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3B4" w:rsidRDefault="00813472" w:rsidP="00813472">
      <w:pPr>
        <w:spacing w:after="0" w:line="240" w:lineRule="auto"/>
        <w:jc w:val="center"/>
        <w:rPr>
          <w:rFonts w:cs="Times New Roman"/>
          <w:b/>
          <w:sz w:val="26"/>
          <w:szCs w:val="26"/>
        </w:rPr>
      </w:pPr>
      <w:r w:rsidRPr="00CD42AF">
        <w:rPr>
          <w:rFonts w:cs="Times New Roman"/>
          <w:b/>
          <w:sz w:val="26"/>
          <w:szCs w:val="26"/>
        </w:rPr>
        <w:t>BEFORE</w:t>
      </w:r>
    </w:p>
    <w:p w:rsidR="00813472" w:rsidRPr="00CD42AF" w:rsidRDefault="00813472" w:rsidP="00813472">
      <w:pPr>
        <w:spacing w:after="0" w:line="240" w:lineRule="auto"/>
        <w:jc w:val="center"/>
        <w:rPr>
          <w:rFonts w:cs="Times New Roman"/>
          <w:b/>
          <w:sz w:val="26"/>
          <w:szCs w:val="26"/>
        </w:rPr>
      </w:pPr>
      <w:r w:rsidRPr="00CD42AF">
        <w:rPr>
          <w:rFonts w:cs="Times New Roman"/>
          <w:b/>
          <w:sz w:val="26"/>
          <w:szCs w:val="26"/>
        </w:rPr>
        <w:t>THE PUBLIC UTILITIES COMMISSION OF OHIO</w:t>
      </w:r>
    </w:p>
    <w:p w:rsidR="00813472" w:rsidRPr="00CD42AF" w:rsidRDefault="00813472" w:rsidP="00813472">
      <w:pPr>
        <w:rPr>
          <w:rFonts w:cs="Times New Roman"/>
          <w:sz w:val="26"/>
          <w:szCs w:val="26"/>
        </w:rPr>
      </w:pPr>
    </w:p>
    <w:tbl>
      <w:tblPr>
        <w:tblW w:w="8762" w:type="dxa"/>
        <w:tblLook w:val="04A0" w:firstRow="1" w:lastRow="0" w:firstColumn="1" w:lastColumn="0" w:noHBand="0" w:noVBand="1"/>
      </w:tblPr>
      <w:tblGrid>
        <w:gridCol w:w="4518"/>
        <w:gridCol w:w="360"/>
        <w:gridCol w:w="3884"/>
      </w:tblGrid>
      <w:tr w:rsidR="00813472" w:rsidRPr="00CD42AF" w:rsidTr="000E73B4">
        <w:tc>
          <w:tcPr>
            <w:tcW w:w="4518" w:type="dxa"/>
            <w:shd w:val="clear" w:color="auto" w:fill="auto"/>
          </w:tcPr>
          <w:p w:rsidR="00813472" w:rsidRPr="0036080A" w:rsidRDefault="00813472" w:rsidP="00B13213">
            <w:pPr>
              <w:spacing w:after="0" w:line="240" w:lineRule="auto"/>
              <w:rPr>
                <w:rFonts w:cs="Times New Roman"/>
                <w:sz w:val="26"/>
                <w:szCs w:val="26"/>
              </w:rPr>
            </w:pPr>
            <w:r w:rsidRPr="0036080A">
              <w:rPr>
                <w:rFonts w:cs="Times New Roman"/>
                <w:sz w:val="26"/>
                <w:szCs w:val="26"/>
              </w:rPr>
              <w:t xml:space="preserve">In the Matter of the Application of </w:t>
            </w:r>
            <w:r w:rsidR="00B13213">
              <w:rPr>
                <w:rFonts w:cs="Times New Roman"/>
                <w:sz w:val="26"/>
                <w:szCs w:val="26"/>
              </w:rPr>
              <w:t>Vectren Energy Delivery of</w:t>
            </w:r>
            <w:r w:rsidR="007907BA">
              <w:rPr>
                <w:rFonts w:cs="Times New Roman"/>
                <w:sz w:val="26"/>
                <w:szCs w:val="26"/>
              </w:rPr>
              <w:t xml:space="preserve"> Ohio</w:t>
            </w:r>
            <w:r w:rsidR="00B13213">
              <w:rPr>
                <w:rFonts w:cs="Times New Roman"/>
                <w:sz w:val="26"/>
                <w:szCs w:val="26"/>
              </w:rPr>
              <w:t>, Inc.</w:t>
            </w:r>
            <w:r w:rsidR="007907BA">
              <w:rPr>
                <w:rFonts w:cs="Times New Roman"/>
                <w:sz w:val="26"/>
                <w:szCs w:val="26"/>
              </w:rPr>
              <w:t xml:space="preserve"> </w:t>
            </w:r>
            <w:r w:rsidRPr="0036080A">
              <w:rPr>
                <w:rFonts w:cs="Times New Roman"/>
                <w:sz w:val="26"/>
                <w:szCs w:val="26"/>
              </w:rPr>
              <w:t xml:space="preserve">for </w:t>
            </w:r>
            <w:r w:rsidR="007174B3" w:rsidRPr="0036080A">
              <w:rPr>
                <w:rFonts w:cs="Times New Roman"/>
                <w:sz w:val="26"/>
                <w:szCs w:val="26"/>
              </w:rPr>
              <w:t>A</w:t>
            </w:r>
            <w:r w:rsidR="007174B3">
              <w:rPr>
                <w:rFonts w:cs="Times New Roman"/>
                <w:sz w:val="26"/>
                <w:szCs w:val="26"/>
              </w:rPr>
              <w:t xml:space="preserve">pproval </w:t>
            </w:r>
            <w:r w:rsidRPr="0036080A">
              <w:rPr>
                <w:rFonts w:cs="Times New Roman"/>
                <w:sz w:val="26"/>
                <w:szCs w:val="26"/>
              </w:rPr>
              <w:t xml:space="preserve">to </w:t>
            </w:r>
            <w:r w:rsidR="007174B3">
              <w:rPr>
                <w:rFonts w:cs="Times New Roman"/>
                <w:sz w:val="26"/>
                <w:szCs w:val="26"/>
              </w:rPr>
              <w:t xml:space="preserve">Implement a Capital Expenditure </w:t>
            </w:r>
            <w:r w:rsidR="007174B3" w:rsidRPr="0036080A">
              <w:rPr>
                <w:rFonts w:cs="Times New Roman"/>
                <w:sz w:val="26"/>
                <w:szCs w:val="26"/>
              </w:rPr>
              <w:t>Program</w:t>
            </w:r>
            <w:r w:rsidRPr="0036080A">
              <w:rPr>
                <w:rFonts w:cs="Times New Roman"/>
                <w:sz w:val="26"/>
                <w:szCs w:val="26"/>
              </w:rPr>
              <w:t>.</w:t>
            </w:r>
          </w:p>
        </w:tc>
        <w:tc>
          <w:tcPr>
            <w:tcW w:w="360" w:type="dxa"/>
          </w:tcPr>
          <w:p w:rsidR="007174B3" w:rsidRPr="00CD42AF" w:rsidRDefault="00A27CEE" w:rsidP="000E73B4">
            <w:pPr>
              <w:rPr>
                <w:rFonts w:cs="Times New Roman"/>
                <w:sz w:val="26"/>
                <w:szCs w:val="26"/>
              </w:rPr>
            </w:pPr>
            <w:r>
              <w:rPr>
                <w:rFonts w:cs="Times New Roman"/>
                <w:sz w:val="26"/>
                <w:szCs w:val="26"/>
              </w:rPr>
              <w:t>:</w:t>
            </w:r>
            <w:r>
              <w:rPr>
                <w:rFonts w:cs="Times New Roman"/>
                <w:sz w:val="26"/>
                <w:szCs w:val="26"/>
              </w:rPr>
              <w:br/>
              <w:t>:</w:t>
            </w:r>
            <w:r>
              <w:rPr>
                <w:rFonts w:cs="Times New Roman"/>
                <w:sz w:val="26"/>
                <w:szCs w:val="26"/>
              </w:rPr>
              <w:br/>
              <w:t>:</w:t>
            </w:r>
            <w:r>
              <w:rPr>
                <w:rFonts w:cs="Times New Roman"/>
                <w:sz w:val="26"/>
                <w:szCs w:val="26"/>
              </w:rPr>
              <w:br/>
              <w:t>:</w:t>
            </w:r>
          </w:p>
        </w:tc>
        <w:tc>
          <w:tcPr>
            <w:tcW w:w="3884" w:type="dxa"/>
            <w:shd w:val="clear" w:color="auto" w:fill="auto"/>
          </w:tcPr>
          <w:p w:rsidR="00813472" w:rsidRPr="00CD42AF" w:rsidRDefault="00813472" w:rsidP="000E73B4">
            <w:pPr>
              <w:spacing w:after="0" w:line="240" w:lineRule="auto"/>
              <w:ind w:left="-288"/>
              <w:rPr>
                <w:rFonts w:cs="Times New Roman"/>
                <w:sz w:val="26"/>
                <w:szCs w:val="26"/>
              </w:rPr>
            </w:pPr>
          </w:p>
          <w:p w:rsidR="00813472" w:rsidRPr="00CD42AF" w:rsidRDefault="00813472" w:rsidP="00B13213">
            <w:pPr>
              <w:spacing w:after="0" w:line="240" w:lineRule="auto"/>
              <w:ind w:left="72"/>
              <w:rPr>
                <w:rFonts w:cs="Times New Roman"/>
                <w:sz w:val="26"/>
                <w:szCs w:val="26"/>
              </w:rPr>
            </w:pPr>
            <w:r w:rsidRPr="00CD42AF">
              <w:rPr>
                <w:rFonts w:cs="Times New Roman"/>
                <w:sz w:val="26"/>
                <w:szCs w:val="26"/>
              </w:rPr>
              <w:t xml:space="preserve">Case No. </w:t>
            </w:r>
            <w:r w:rsidR="00B13213">
              <w:rPr>
                <w:rFonts w:cs="Times New Roman"/>
                <w:sz w:val="26"/>
                <w:szCs w:val="26"/>
              </w:rPr>
              <w:t>12-530</w:t>
            </w:r>
            <w:r w:rsidRPr="00CD42AF">
              <w:rPr>
                <w:rFonts w:cs="Times New Roman"/>
                <w:sz w:val="26"/>
                <w:szCs w:val="26"/>
              </w:rPr>
              <w:t>-GA-</w:t>
            </w:r>
            <w:r w:rsidR="007174B3">
              <w:rPr>
                <w:rFonts w:cs="Times New Roman"/>
                <w:sz w:val="26"/>
                <w:szCs w:val="26"/>
              </w:rPr>
              <w:t>UNC</w:t>
            </w:r>
          </w:p>
        </w:tc>
      </w:tr>
      <w:tr w:rsidR="007174B3" w:rsidRPr="00CD42AF" w:rsidTr="000E73B4">
        <w:tc>
          <w:tcPr>
            <w:tcW w:w="4518" w:type="dxa"/>
            <w:shd w:val="clear" w:color="auto" w:fill="auto"/>
          </w:tcPr>
          <w:p w:rsidR="007174B3" w:rsidRPr="0036080A" w:rsidRDefault="007174B3" w:rsidP="007907BA">
            <w:pPr>
              <w:spacing w:after="0" w:line="240" w:lineRule="auto"/>
              <w:rPr>
                <w:rFonts w:cs="Times New Roman"/>
                <w:sz w:val="26"/>
                <w:szCs w:val="26"/>
              </w:rPr>
            </w:pPr>
            <w:r w:rsidRPr="0036080A">
              <w:rPr>
                <w:rFonts w:cs="Times New Roman"/>
                <w:sz w:val="26"/>
                <w:szCs w:val="26"/>
              </w:rPr>
              <w:t xml:space="preserve">In the Matter of the Application of </w:t>
            </w:r>
            <w:r w:rsidR="00B13213">
              <w:rPr>
                <w:rFonts w:cs="Times New Roman"/>
                <w:sz w:val="26"/>
                <w:szCs w:val="26"/>
              </w:rPr>
              <w:t>Vectren Energy Delivery of Ohio, Inc.</w:t>
            </w:r>
            <w:r w:rsidR="007907BA" w:rsidRPr="007907BA">
              <w:rPr>
                <w:rFonts w:cs="Times New Roman"/>
                <w:sz w:val="26"/>
                <w:szCs w:val="26"/>
              </w:rPr>
              <w:t xml:space="preserve"> </w:t>
            </w:r>
            <w:r w:rsidRPr="0036080A">
              <w:rPr>
                <w:rFonts w:cs="Times New Roman"/>
                <w:sz w:val="26"/>
                <w:szCs w:val="26"/>
              </w:rPr>
              <w:t>for A</w:t>
            </w:r>
            <w:r>
              <w:rPr>
                <w:rFonts w:cs="Times New Roman"/>
                <w:sz w:val="26"/>
                <w:szCs w:val="26"/>
              </w:rPr>
              <w:t xml:space="preserve">pproval </w:t>
            </w:r>
            <w:r w:rsidRPr="0036080A">
              <w:rPr>
                <w:rFonts w:cs="Times New Roman"/>
                <w:sz w:val="26"/>
                <w:szCs w:val="26"/>
              </w:rPr>
              <w:t xml:space="preserve">to </w:t>
            </w:r>
            <w:r>
              <w:rPr>
                <w:rFonts w:cs="Times New Roman"/>
                <w:sz w:val="26"/>
                <w:szCs w:val="26"/>
              </w:rPr>
              <w:t>Change Accounting Methods</w:t>
            </w:r>
            <w:r w:rsidRPr="0036080A">
              <w:rPr>
                <w:rFonts w:cs="Times New Roman"/>
                <w:sz w:val="26"/>
                <w:szCs w:val="26"/>
              </w:rPr>
              <w:t>.</w:t>
            </w:r>
          </w:p>
        </w:tc>
        <w:tc>
          <w:tcPr>
            <w:tcW w:w="360" w:type="dxa"/>
          </w:tcPr>
          <w:p w:rsidR="007174B3" w:rsidRPr="00CD42AF" w:rsidRDefault="007174B3" w:rsidP="000E73B4">
            <w:pPr>
              <w:spacing w:after="0" w:line="240" w:lineRule="auto"/>
              <w:rPr>
                <w:rFonts w:cs="Times New Roman"/>
                <w:sz w:val="26"/>
                <w:szCs w:val="26"/>
              </w:rPr>
            </w:pPr>
            <w:r w:rsidRPr="00CD42AF">
              <w:rPr>
                <w:rFonts w:cs="Times New Roman"/>
                <w:sz w:val="26"/>
                <w:szCs w:val="26"/>
              </w:rPr>
              <w:t>:</w:t>
            </w:r>
            <w:r w:rsidR="000E73B4">
              <w:rPr>
                <w:rFonts w:cs="Times New Roman"/>
                <w:sz w:val="26"/>
                <w:szCs w:val="26"/>
              </w:rPr>
              <w:br/>
              <w:t>:</w:t>
            </w:r>
            <w:r w:rsidR="000E73B4">
              <w:rPr>
                <w:rFonts w:cs="Times New Roman"/>
                <w:sz w:val="26"/>
                <w:szCs w:val="26"/>
              </w:rPr>
              <w:br/>
              <w:t>:</w:t>
            </w:r>
            <w:r w:rsidR="000E73B4">
              <w:rPr>
                <w:rFonts w:cs="Times New Roman"/>
                <w:sz w:val="26"/>
                <w:szCs w:val="26"/>
              </w:rPr>
              <w:br/>
              <w:t>:</w:t>
            </w:r>
          </w:p>
        </w:tc>
        <w:tc>
          <w:tcPr>
            <w:tcW w:w="3884" w:type="dxa"/>
            <w:shd w:val="clear" w:color="auto" w:fill="auto"/>
          </w:tcPr>
          <w:p w:rsidR="007174B3" w:rsidRPr="00CD42AF" w:rsidRDefault="007174B3" w:rsidP="000E73B4">
            <w:pPr>
              <w:spacing w:after="0" w:line="240" w:lineRule="auto"/>
              <w:ind w:left="-288"/>
              <w:rPr>
                <w:rFonts w:cs="Times New Roman"/>
                <w:sz w:val="26"/>
                <w:szCs w:val="26"/>
              </w:rPr>
            </w:pPr>
          </w:p>
          <w:p w:rsidR="007174B3" w:rsidRPr="00CD42AF" w:rsidRDefault="007174B3" w:rsidP="00B13213">
            <w:pPr>
              <w:spacing w:after="0" w:line="240" w:lineRule="auto"/>
              <w:ind w:left="72"/>
              <w:rPr>
                <w:rFonts w:cs="Times New Roman"/>
                <w:sz w:val="26"/>
                <w:szCs w:val="26"/>
              </w:rPr>
            </w:pPr>
            <w:r w:rsidRPr="000E73B4">
              <w:rPr>
                <w:rFonts w:cs="Times New Roman"/>
                <w:sz w:val="26"/>
                <w:szCs w:val="26"/>
              </w:rPr>
              <w:t xml:space="preserve">Case No. </w:t>
            </w:r>
            <w:r w:rsidR="00B13213">
              <w:rPr>
                <w:rFonts w:cs="Times New Roman"/>
                <w:sz w:val="26"/>
                <w:szCs w:val="26"/>
              </w:rPr>
              <w:t>12-531</w:t>
            </w:r>
            <w:r w:rsidRPr="000E73B4">
              <w:rPr>
                <w:rFonts w:cs="Times New Roman"/>
                <w:sz w:val="26"/>
                <w:szCs w:val="26"/>
              </w:rPr>
              <w:t>-GA-AAM</w:t>
            </w:r>
          </w:p>
        </w:tc>
      </w:tr>
    </w:tbl>
    <w:p w:rsidR="000E73B4" w:rsidRPr="000E73B4" w:rsidRDefault="000E73B4" w:rsidP="000E73B4"/>
    <w:p w:rsidR="00813472" w:rsidRPr="00915BED" w:rsidRDefault="00915BED" w:rsidP="00915BED">
      <w:pPr>
        <w:tabs>
          <w:tab w:val="left" w:pos="9360"/>
        </w:tabs>
        <w:jc w:val="both"/>
        <w:rPr>
          <w:rFonts w:cs="Times New Roman"/>
          <w:sz w:val="26"/>
          <w:szCs w:val="26"/>
          <w:u w:val="single"/>
        </w:rPr>
      </w:pPr>
      <w:r>
        <w:rPr>
          <w:rFonts w:cs="Times New Roman"/>
          <w:sz w:val="26"/>
          <w:szCs w:val="26"/>
          <w:u w:val="single"/>
        </w:rPr>
        <w:tab/>
      </w:r>
    </w:p>
    <w:p w:rsidR="00915BED" w:rsidRPr="009C4948" w:rsidRDefault="009434D3" w:rsidP="00813472">
      <w:pPr>
        <w:spacing w:after="0" w:line="240" w:lineRule="auto"/>
        <w:jc w:val="center"/>
        <w:rPr>
          <w:rFonts w:cs="Times New Roman"/>
          <w:b/>
          <w:sz w:val="28"/>
          <w:szCs w:val="28"/>
        </w:rPr>
      </w:pPr>
      <w:r>
        <w:rPr>
          <w:rFonts w:cs="Times New Roman"/>
          <w:b/>
          <w:sz w:val="28"/>
          <w:szCs w:val="28"/>
        </w:rPr>
        <w:t>SUR-</w:t>
      </w:r>
      <w:r w:rsidR="008E4708">
        <w:rPr>
          <w:rFonts w:cs="Times New Roman"/>
          <w:b/>
          <w:sz w:val="28"/>
          <w:szCs w:val="28"/>
        </w:rPr>
        <w:t xml:space="preserve">REPLY </w:t>
      </w:r>
      <w:r w:rsidR="0056760B">
        <w:rPr>
          <w:rFonts w:cs="Times New Roman"/>
          <w:b/>
          <w:sz w:val="28"/>
          <w:szCs w:val="28"/>
        </w:rPr>
        <w:t>COMMENTS</w:t>
      </w:r>
      <w:r w:rsidR="0056760B" w:rsidRPr="009C4948">
        <w:rPr>
          <w:rFonts w:cs="Times New Roman"/>
          <w:b/>
          <w:sz w:val="28"/>
          <w:szCs w:val="28"/>
        </w:rPr>
        <w:t xml:space="preserve"> </w:t>
      </w:r>
    </w:p>
    <w:p w:rsidR="00813472" w:rsidRPr="00CD42AF" w:rsidRDefault="00813472" w:rsidP="00813472">
      <w:pPr>
        <w:spacing w:after="0" w:line="240" w:lineRule="auto"/>
        <w:jc w:val="center"/>
        <w:rPr>
          <w:rFonts w:cs="Times New Roman"/>
          <w:b/>
          <w:sz w:val="26"/>
          <w:szCs w:val="26"/>
        </w:rPr>
      </w:pPr>
      <w:r w:rsidRPr="00CD42AF">
        <w:rPr>
          <w:rFonts w:cs="Times New Roman"/>
          <w:b/>
          <w:sz w:val="26"/>
          <w:szCs w:val="26"/>
        </w:rPr>
        <w:t>SUBMITTED ON BEHALF OF</w:t>
      </w:r>
      <w:r w:rsidR="00654A33">
        <w:rPr>
          <w:rFonts w:cs="Times New Roman"/>
          <w:b/>
          <w:sz w:val="26"/>
          <w:szCs w:val="26"/>
        </w:rPr>
        <w:t xml:space="preserve"> THE STAFF OF</w:t>
      </w:r>
    </w:p>
    <w:p w:rsidR="00813472" w:rsidRPr="00CD42AF" w:rsidRDefault="00813472" w:rsidP="00813472">
      <w:pPr>
        <w:spacing w:after="0" w:line="240" w:lineRule="auto"/>
        <w:jc w:val="center"/>
        <w:rPr>
          <w:rFonts w:cs="Times New Roman"/>
          <w:sz w:val="26"/>
          <w:szCs w:val="26"/>
        </w:rPr>
      </w:pPr>
      <w:r w:rsidRPr="00CD42AF">
        <w:rPr>
          <w:rFonts w:cs="Times New Roman"/>
          <w:b/>
          <w:sz w:val="26"/>
          <w:szCs w:val="26"/>
        </w:rPr>
        <w:t>THE PUBLIC UTILITIES COMMISSION OF OHIO</w:t>
      </w:r>
    </w:p>
    <w:p w:rsidR="002B0FA8" w:rsidRDefault="00915BED" w:rsidP="00B42171">
      <w:pPr>
        <w:tabs>
          <w:tab w:val="left" w:pos="9360"/>
        </w:tabs>
        <w:jc w:val="both"/>
        <w:rPr>
          <w:rFonts w:cs="Times New Roman"/>
          <w:sz w:val="26"/>
          <w:szCs w:val="26"/>
          <w:u w:val="single"/>
        </w:rPr>
      </w:pPr>
      <w:r>
        <w:rPr>
          <w:rFonts w:cs="Times New Roman"/>
          <w:sz w:val="26"/>
          <w:szCs w:val="26"/>
          <w:u w:val="single"/>
        </w:rPr>
        <w:tab/>
      </w:r>
    </w:p>
    <w:p w:rsidR="00A27CEE" w:rsidRPr="00B42171" w:rsidRDefault="00A27CEE" w:rsidP="00B42171">
      <w:pPr>
        <w:tabs>
          <w:tab w:val="left" w:pos="9360"/>
        </w:tabs>
        <w:jc w:val="both"/>
        <w:rPr>
          <w:rFonts w:cs="Times New Roman"/>
          <w:sz w:val="26"/>
          <w:szCs w:val="26"/>
          <w:u w:val="single"/>
        </w:rPr>
      </w:pPr>
    </w:p>
    <w:p w:rsidR="00813472" w:rsidRPr="00B42171" w:rsidRDefault="00813472" w:rsidP="00B42171">
      <w:pPr>
        <w:spacing w:after="0" w:line="240" w:lineRule="auto"/>
        <w:ind w:left="4320"/>
        <w:rPr>
          <w:b/>
          <w:sz w:val="26"/>
          <w:szCs w:val="26"/>
        </w:rPr>
      </w:pPr>
      <w:r w:rsidRPr="00B42171">
        <w:rPr>
          <w:b/>
          <w:sz w:val="26"/>
          <w:szCs w:val="26"/>
        </w:rPr>
        <w:t xml:space="preserve">Michael DeWine </w:t>
      </w:r>
    </w:p>
    <w:p w:rsidR="00813472" w:rsidRPr="00B42171" w:rsidRDefault="002B0FA8" w:rsidP="00B42171">
      <w:pPr>
        <w:spacing w:after="0" w:line="240" w:lineRule="auto"/>
        <w:ind w:left="4320"/>
        <w:rPr>
          <w:sz w:val="26"/>
          <w:szCs w:val="26"/>
        </w:rPr>
      </w:pPr>
      <w:r w:rsidRPr="00B42171">
        <w:rPr>
          <w:sz w:val="26"/>
          <w:szCs w:val="26"/>
        </w:rPr>
        <w:t xml:space="preserve">Ohio </w:t>
      </w:r>
      <w:r w:rsidR="00813472" w:rsidRPr="00B42171">
        <w:rPr>
          <w:sz w:val="26"/>
          <w:szCs w:val="26"/>
        </w:rPr>
        <w:t>Attorney General</w:t>
      </w:r>
    </w:p>
    <w:p w:rsidR="00813472" w:rsidRPr="00B42171" w:rsidRDefault="00813472" w:rsidP="00B42171">
      <w:pPr>
        <w:spacing w:after="0" w:line="240" w:lineRule="auto"/>
        <w:ind w:left="4320"/>
        <w:rPr>
          <w:sz w:val="26"/>
          <w:szCs w:val="26"/>
        </w:rPr>
      </w:pPr>
    </w:p>
    <w:p w:rsidR="002B0FA8" w:rsidRPr="00B42171" w:rsidRDefault="002B0FA8" w:rsidP="00B42171">
      <w:pPr>
        <w:spacing w:after="0" w:line="240" w:lineRule="auto"/>
        <w:ind w:left="4320"/>
        <w:rPr>
          <w:sz w:val="26"/>
          <w:szCs w:val="26"/>
        </w:rPr>
      </w:pPr>
      <w:r w:rsidRPr="00B42171">
        <w:rPr>
          <w:b/>
          <w:sz w:val="26"/>
          <w:szCs w:val="26"/>
        </w:rPr>
        <w:t>William L. Wright</w:t>
      </w:r>
    </w:p>
    <w:p w:rsidR="00813472" w:rsidRPr="00B42171" w:rsidRDefault="00813472" w:rsidP="00B42171">
      <w:pPr>
        <w:spacing w:after="0" w:line="240" w:lineRule="auto"/>
        <w:ind w:left="4320"/>
        <w:rPr>
          <w:b/>
          <w:sz w:val="26"/>
          <w:szCs w:val="26"/>
        </w:rPr>
      </w:pPr>
      <w:r w:rsidRPr="00B42171">
        <w:rPr>
          <w:sz w:val="26"/>
          <w:szCs w:val="26"/>
        </w:rPr>
        <w:t>Section Chief</w:t>
      </w:r>
    </w:p>
    <w:p w:rsidR="00813472" w:rsidRPr="00B42171" w:rsidRDefault="00813472" w:rsidP="00B42171">
      <w:pPr>
        <w:spacing w:after="0" w:line="240" w:lineRule="auto"/>
        <w:ind w:left="4320"/>
        <w:rPr>
          <w:sz w:val="26"/>
          <w:szCs w:val="26"/>
        </w:rPr>
      </w:pPr>
    </w:p>
    <w:p w:rsidR="00813472" w:rsidRPr="00B42171" w:rsidRDefault="00B13213" w:rsidP="00B42171">
      <w:pPr>
        <w:spacing w:after="0" w:line="240" w:lineRule="auto"/>
        <w:ind w:left="4320"/>
        <w:rPr>
          <w:b/>
          <w:sz w:val="26"/>
          <w:szCs w:val="26"/>
        </w:rPr>
      </w:pPr>
      <w:r>
        <w:rPr>
          <w:b/>
          <w:sz w:val="26"/>
          <w:szCs w:val="26"/>
        </w:rPr>
        <w:t>Steven L. Beeler</w:t>
      </w:r>
    </w:p>
    <w:p w:rsidR="00813472" w:rsidRPr="00B42171" w:rsidRDefault="00643B5F" w:rsidP="00B42171">
      <w:pPr>
        <w:spacing w:after="0" w:line="240" w:lineRule="auto"/>
        <w:ind w:left="4320"/>
        <w:rPr>
          <w:sz w:val="26"/>
          <w:szCs w:val="26"/>
        </w:rPr>
      </w:pPr>
      <w:r w:rsidRPr="00B42171">
        <w:rPr>
          <w:sz w:val="26"/>
          <w:szCs w:val="26"/>
        </w:rPr>
        <w:t>Assistant Attorney</w:t>
      </w:r>
      <w:r w:rsidR="00813472" w:rsidRPr="00B42171">
        <w:rPr>
          <w:sz w:val="26"/>
          <w:szCs w:val="26"/>
        </w:rPr>
        <w:t xml:space="preserve"> General</w:t>
      </w:r>
    </w:p>
    <w:p w:rsidR="00813472" w:rsidRPr="00B42171" w:rsidRDefault="00813472" w:rsidP="00B42171">
      <w:pPr>
        <w:spacing w:after="0" w:line="240" w:lineRule="auto"/>
        <w:ind w:left="4320"/>
        <w:rPr>
          <w:sz w:val="26"/>
          <w:szCs w:val="26"/>
        </w:rPr>
      </w:pPr>
      <w:r w:rsidRPr="00B42171">
        <w:rPr>
          <w:sz w:val="26"/>
          <w:szCs w:val="26"/>
        </w:rPr>
        <w:t>Public Utilities Section</w:t>
      </w:r>
    </w:p>
    <w:p w:rsidR="00813472" w:rsidRPr="00B42171" w:rsidRDefault="00813472" w:rsidP="00B42171">
      <w:pPr>
        <w:spacing w:after="0" w:line="240" w:lineRule="auto"/>
        <w:ind w:left="4320"/>
        <w:rPr>
          <w:sz w:val="26"/>
          <w:szCs w:val="26"/>
        </w:rPr>
      </w:pPr>
      <w:r w:rsidRPr="00B42171">
        <w:rPr>
          <w:sz w:val="26"/>
          <w:szCs w:val="26"/>
        </w:rPr>
        <w:t>180 East Broad Street, 6</w:t>
      </w:r>
      <w:r w:rsidRPr="00B42171">
        <w:rPr>
          <w:sz w:val="26"/>
          <w:szCs w:val="26"/>
          <w:vertAlign w:val="superscript"/>
        </w:rPr>
        <w:t>th</w:t>
      </w:r>
      <w:r w:rsidRPr="00B42171">
        <w:rPr>
          <w:sz w:val="26"/>
          <w:szCs w:val="26"/>
        </w:rPr>
        <w:t xml:space="preserve"> Fl. </w:t>
      </w:r>
    </w:p>
    <w:p w:rsidR="00813472" w:rsidRPr="00B42171" w:rsidRDefault="00813472" w:rsidP="00B42171">
      <w:pPr>
        <w:spacing w:after="0" w:line="240" w:lineRule="auto"/>
        <w:ind w:left="4320"/>
        <w:rPr>
          <w:sz w:val="26"/>
          <w:szCs w:val="26"/>
        </w:rPr>
      </w:pPr>
      <w:r w:rsidRPr="00B42171">
        <w:rPr>
          <w:sz w:val="26"/>
          <w:szCs w:val="26"/>
        </w:rPr>
        <w:t xml:space="preserve">Columbus, </w:t>
      </w:r>
      <w:r w:rsidR="002B0FA8" w:rsidRPr="00B42171">
        <w:rPr>
          <w:sz w:val="26"/>
          <w:szCs w:val="26"/>
        </w:rPr>
        <w:t>OH</w:t>
      </w:r>
      <w:r w:rsidRPr="00B42171">
        <w:rPr>
          <w:sz w:val="26"/>
          <w:szCs w:val="26"/>
        </w:rPr>
        <w:t xml:space="preserve">  43215</w:t>
      </w:r>
    </w:p>
    <w:p w:rsidR="00813472" w:rsidRPr="00B42171" w:rsidRDefault="002B0FA8" w:rsidP="00B42171">
      <w:pPr>
        <w:spacing w:after="0" w:line="240" w:lineRule="auto"/>
        <w:ind w:left="4320"/>
        <w:rPr>
          <w:sz w:val="26"/>
          <w:szCs w:val="26"/>
        </w:rPr>
      </w:pPr>
      <w:r w:rsidRPr="00B42171">
        <w:rPr>
          <w:sz w:val="26"/>
          <w:szCs w:val="26"/>
        </w:rPr>
        <w:t>614.466.4395 (telephone)</w:t>
      </w:r>
    </w:p>
    <w:p w:rsidR="00813472" w:rsidRPr="00B42171" w:rsidRDefault="002B0FA8" w:rsidP="00B42171">
      <w:pPr>
        <w:spacing w:after="0" w:line="240" w:lineRule="auto"/>
        <w:ind w:left="4320"/>
        <w:jc w:val="both"/>
        <w:rPr>
          <w:rFonts w:cs="Times New Roman"/>
          <w:sz w:val="26"/>
          <w:szCs w:val="26"/>
        </w:rPr>
      </w:pPr>
      <w:r w:rsidRPr="00B42171">
        <w:rPr>
          <w:rFonts w:cs="Times New Roman"/>
          <w:sz w:val="26"/>
          <w:szCs w:val="26"/>
        </w:rPr>
        <w:t>614.644.8764 (fax)</w:t>
      </w:r>
    </w:p>
    <w:p w:rsidR="002B0FA8" w:rsidRPr="00B42171" w:rsidRDefault="00EC68A3" w:rsidP="00B42171">
      <w:pPr>
        <w:spacing w:after="0" w:line="240" w:lineRule="auto"/>
        <w:ind w:left="4320"/>
        <w:jc w:val="both"/>
        <w:rPr>
          <w:rFonts w:cs="Times New Roman"/>
          <w:sz w:val="26"/>
          <w:szCs w:val="26"/>
        </w:rPr>
      </w:pPr>
      <w:hyperlink r:id="rId9" w:history="1">
        <w:r w:rsidR="002B0FA8" w:rsidRPr="00B42171">
          <w:rPr>
            <w:rStyle w:val="Hyperlink"/>
            <w:rFonts w:cs="Times New Roman"/>
            <w:sz w:val="26"/>
            <w:szCs w:val="26"/>
          </w:rPr>
          <w:t>william.wright@puc.state.oh.us</w:t>
        </w:r>
      </w:hyperlink>
    </w:p>
    <w:p w:rsidR="00813472" w:rsidRDefault="00EC68A3" w:rsidP="00B42171">
      <w:pPr>
        <w:spacing w:after="0" w:line="240" w:lineRule="auto"/>
        <w:ind w:left="4320"/>
        <w:jc w:val="both"/>
        <w:rPr>
          <w:rStyle w:val="Hyperlink"/>
          <w:rFonts w:cs="Times New Roman"/>
          <w:sz w:val="26"/>
          <w:szCs w:val="26"/>
        </w:rPr>
      </w:pPr>
      <w:hyperlink r:id="rId10" w:history="1">
        <w:r w:rsidR="00B13213" w:rsidRPr="003D7888">
          <w:rPr>
            <w:rStyle w:val="Hyperlink"/>
            <w:rFonts w:cs="Times New Roman"/>
            <w:sz w:val="26"/>
            <w:szCs w:val="26"/>
          </w:rPr>
          <w:t>steven.beeler@puc.state.oh.us</w:t>
        </w:r>
      </w:hyperlink>
    </w:p>
    <w:p w:rsidR="00B42171" w:rsidRDefault="00B42171" w:rsidP="00B42171">
      <w:pPr>
        <w:spacing w:after="0" w:line="240" w:lineRule="auto"/>
        <w:ind w:left="4320"/>
        <w:jc w:val="both"/>
        <w:rPr>
          <w:rStyle w:val="Hyperlink"/>
          <w:rFonts w:cs="Times New Roman"/>
          <w:sz w:val="26"/>
          <w:szCs w:val="26"/>
        </w:rPr>
      </w:pPr>
    </w:p>
    <w:p w:rsidR="00B42171" w:rsidRDefault="00B42171" w:rsidP="00B42171">
      <w:pPr>
        <w:spacing w:after="0" w:line="240" w:lineRule="auto"/>
        <w:ind w:left="4320"/>
        <w:jc w:val="both"/>
        <w:rPr>
          <w:rStyle w:val="Hyperlink"/>
          <w:rFonts w:cs="Times New Roman"/>
          <w:sz w:val="26"/>
          <w:szCs w:val="26"/>
        </w:rPr>
      </w:pPr>
    </w:p>
    <w:p w:rsidR="00B42171" w:rsidRDefault="00B42171" w:rsidP="00B42171">
      <w:pPr>
        <w:spacing w:after="0" w:line="240" w:lineRule="auto"/>
        <w:ind w:left="4320"/>
        <w:jc w:val="both"/>
        <w:rPr>
          <w:rStyle w:val="Hyperlink"/>
          <w:rFonts w:cs="Times New Roman"/>
          <w:sz w:val="26"/>
          <w:szCs w:val="26"/>
        </w:rPr>
      </w:pPr>
    </w:p>
    <w:p w:rsidR="00813472" w:rsidRPr="00CD42AF" w:rsidRDefault="00813472" w:rsidP="00CD42AF">
      <w:pPr>
        <w:jc w:val="both"/>
        <w:rPr>
          <w:rFonts w:cs="Times New Roman"/>
          <w:sz w:val="26"/>
          <w:szCs w:val="26"/>
        </w:rPr>
      </w:pPr>
      <w:r w:rsidRPr="00CD42AF">
        <w:rPr>
          <w:rFonts w:cs="Times New Roman"/>
          <w:sz w:val="26"/>
          <w:szCs w:val="26"/>
        </w:rPr>
        <w:t xml:space="preserve">Date Submitted: </w:t>
      </w:r>
      <w:r w:rsidR="00B13213" w:rsidRPr="00EA7804">
        <w:rPr>
          <w:rFonts w:cs="Times New Roman"/>
          <w:sz w:val="26"/>
          <w:szCs w:val="26"/>
        </w:rPr>
        <w:t xml:space="preserve">October </w:t>
      </w:r>
      <w:r w:rsidR="003773B5" w:rsidRPr="00EA7804">
        <w:rPr>
          <w:rFonts w:cs="Times New Roman"/>
          <w:sz w:val="26"/>
          <w:szCs w:val="26"/>
        </w:rPr>
        <w:t>26</w:t>
      </w:r>
      <w:r w:rsidR="00457618" w:rsidRPr="00EA7804">
        <w:rPr>
          <w:rFonts w:cs="Times New Roman"/>
          <w:sz w:val="26"/>
          <w:szCs w:val="26"/>
        </w:rPr>
        <w:t>,</w:t>
      </w:r>
      <w:r w:rsidR="00457618" w:rsidRPr="00CD42AF">
        <w:rPr>
          <w:rFonts w:cs="Times New Roman"/>
          <w:sz w:val="26"/>
          <w:szCs w:val="26"/>
        </w:rPr>
        <w:t xml:space="preserve"> </w:t>
      </w:r>
      <w:r w:rsidR="00CD42AF" w:rsidRPr="00CD42AF">
        <w:rPr>
          <w:rFonts w:cs="Times New Roman"/>
          <w:sz w:val="26"/>
          <w:szCs w:val="26"/>
        </w:rPr>
        <w:t>2012</w:t>
      </w:r>
    </w:p>
    <w:p w:rsidR="00CD42AF" w:rsidRPr="00CD42AF" w:rsidRDefault="00CD42AF">
      <w:pPr>
        <w:rPr>
          <w:rFonts w:cs="Times New Roman"/>
          <w:sz w:val="26"/>
          <w:szCs w:val="26"/>
        </w:rPr>
        <w:sectPr w:rsidR="00CD42AF" w:rsidRPr="00CD42AF" w:rsidSect="00B65AD5">
          <w:footerReference w:type="default" r:id="rId11"/>
          <w:headerReference w:type="first" r:id="rId12"/>
          <w:pgSz w:w="12240" w:h="15840"/>
          <w:pgMar w:top="1440" w:right="1440" w:bottom="1440" w:left="1440" w:header="720" w:footer="720" w:gutter="0"/>
          <w:cols w:space="720"/>
          <w:titlePg/>
          <w:docGrid w:linePitch="360"/>
        </w:sectPr>
      </w:pPr>
    </w:p>
    <w:p w:rsidR="005B6C99" w:rsidRDefault="0059084C">
      <w:pPr>
        <w:pStyle w:val="TOC1"/>
        <w:rPr>
          <w:rFonts w:asciiTheme="minorHAnsi" w:eastAsiaTheme="minorEastAsia" w:hAnsiTheme="minorHAnsi"/>
          <w:noProof/>
          <w:sz w:val="22"/>
        </w:rPr>
      </w:pPr>
      <w:r>
        <w:rPr>
          <w:rFonts w:cs="Times New Roman"/>
          <w:b/>
          <w:szCs w:val="26"/>
        </w:rPr>
        <w:lastRenderedPageBreak/>
        <w:fldChar w:fldCharType="begin"/>
      </w:r>
      <w:r>
        <w:rPr>
          <w:rFonts w:cs="Times New Roman"/>
          <w:b/>
          <w:szCs w:val="26"/>
        </w:rPr>
        <w:instrText xml:space="preserve"> TOC \o "1-5" \u </w:instrText>
      </w:r>
      <w:bookmarkStart w:id="0" w:name="_GoBack"/>
      <w:bookmarkEnd w:id="0"/>
      <w:r>
        <w:rPr>
          <w:rFonts w:cs="Times New Roman"/>
          <w:b/>
          <w:szCs w:val="26"/>
        </w:rPr>
        <w:fldChar w:fldCharType="separate"/>
      </w:r>
      <w:r w:rsidR="005B6C99">
        <w:rPr>
          <w:noProof/>
        </w:rPr>
        <w:t>I.</w:t>
      </w:r>
      <w:r w:rsidR="005B6C99">
        <w:rPr>
          <w:rFonts w:asciiTheme="minorHAnsi" w:eastAsiaTheme="minorEastAsia" w:hAnsiTheme="minorHAnsi"/>
          <w:noProof/>
          <w:sz w:val="22"/>
        </w:rPr>
        <w:tab/>
      </w:r>
      <w:r w:rsidR="005B6C99">
        <w:rPr>
          <w:noProof/>
        </w:rPr>
        <w:t>INTRODUCTION</w:t>
      </w:r>
      <w:r w:rsidR="005B6C99">
        <w:rPr>
          <w:noProof/>
        </w:rPr>
        <w:tab/>
      </w:r>
      <w:r w:rsidR="005B6C99">
        <w:rPr>
          <w:noProof/>
        </w:rPr>
        <w:fldChar w:fldCharType="begin"/>
      </w:r>
      <w:r w:rsidR="005B6C99">
        <w:rPr>
          <w:noProof/>
        </w:rPr>
        <w:instrText xml:space="preserve"> PAGEREF _Toc339013414 \h </w:instrText>
      </w:r>
      <w:r w:rsidR="005B6C99">
        <w:rPr>
          <w:noProof/>
        </w:rPr>
      </w:r>
      <w:r w:rsidR="005B6C99">
        <w:rPr>
          <w:noProof/>
        </w:rPr>
        <w:fldChar w:fldCharType="separate"/>
      </w:r>
      <w:r w:rsidR="00EC68A3">
        <w:rPr>
          <w:noProof/>
        </w:rPr>
        <w:t>1</w:t>
      </w:r>
      <w:r w:rsidR="005B6C99">
        <w:rPr>
          <w:noProof/>
        </w:rPr>
        <w:fldChar w:fldCharType="end"/>
      </w:r>
    </w:p>
    <w:p w:rsidR="005B6C99" w:rsidRDefault="005B6C99">
      <w:pPr>
        <w:pStyle w:val="TOC1"/>
        <w:rPr>
          <w:rFonts w:asciiTheme="minorHAnsi" w:eastAsiaTheme="minorEastAsia" w:hAnsiTheme="minorHAnsi"/>
          <w:noProof/>
          <w:sz w:val="22"/>
        </w:rPr>
      </w:pPr>
      <w:r>
        <w:rPr>
          <w:noProof/>
        </w:rPr>
        <w:t>II.</w:t>
      </w:r>
      <w:r>
        <w:rPr>
          <w:rFonts w:asciiTheme="minorHAnsi" w:eastAsiaTheme="minorEastAsia" w:hAnsiTheme="minorHAnsi"/>
          <w:noProof/>
          <w:sz w:val="22"/>
        </w:rPr>
        <w:tab/>
      </w:r>
      <w:r>
        <w:rPr>
          <w:noProof/>
        </w:rPr>
        <w:t>STAFF’S SUR-REPLY COMMENTS</w:t>
      </w:r>
      <w:r>
        <w:rPr>
          <w:noProof/>
        </w:rPr>
        <w:tab/>
      </w:r>
      <w:r>
        <w:rPr>
          <w:noProof/>
        </w:rPr>
        <w:fldChar w:fldCharType="begin"/>
      </w:r>
      <w:r>
        <w:rPr>
          <w:noProof/>
        </w:rPr>
        <w:instrText xml:space="preserve"> PAGEREF _Toc339013415 \h </w:instrText>
      </w:r>
      <w:r>
        <w:rPr>
          <w:noProof/>
        </w:rPr>
      </w:r>
      <w:r>
        <w:rPr>
          <w:noProof/>
        </w:rPr>
        <w:fldChar w:fldCharType="separate"/>
      </w:r>
      <w:r w:rsidR="00EC68A3">
        <w:rPr>
          <w:noProof/>
        </w:rPr>
        <w:t>3</w:t>
      </w:r>
      <w:r>
        <w:rPr>
          <w:noProof/>
        </w:rPr>
        <w:fldChar w:fldCharType="end"/>
      </w:r>
    </w:p>
    <w:p w:rsidR="005B6C99" w:rsidRDefault="005B6C99">
      <w:pPr>
        <w:pStyle w:val="TOC2"/>
        <w:tabs>
          <w:tab w:val="left" w:pos="1440"/>
        </w:tabs>
        <w:rPr>
          <w:rFonts w:asciiTheme="minorHAnsi" w:eastAsiaTheme="minorEastAsia" w:hAnsiTheme="minorHAnsi"/>
          <w:noProof/>
          <w:sz w:val="22"/>
        </w:rPr>
      </w:pPr>
      <w:r>
        <w:rPr>
          <w:noProof/>
        </w:rPr>
        <w:t>A.</w:t>
      </w:r>
      <w:r>
        <w:rPr>
          <w:rFonts w:asciiTheme="minorHAnsi" w:eastAsiaTheme="minorEastAsia" w:hAnsiTheme="minorHAnsi"/>
          <w:noProof/>
          <w:sz w:val="22"/>
        </w:rPr>
        <w:tab/>
      </w:r>
      <w:r>
        <w:rPr>
          <w:noProof/>
        </w:rPr>
        <w:t>The Staff recommends that the Commission acknowledge VEDO’s proposal to modify of its original Application to remove costs associated with compressed natural gas investments and revised CEP spending level.</w:t>
      </w:r>
      <w:r>
        <w:rPr>
          <w:noProof/>
        </w:rPr>
        <w:tab/>
      </w:r>
      <w:r>
        <w:rPr>
          <w:noProof/>
        </w:rPr>
        <w:fldChar w:fldCharType="begin"/>
      </w:r>
      <w:r>
        <w:rPr>
          <w:noProof/>
        </w:rPr>
        <w:instrText xml:space="preserve"> PAGEREF _Toc339013416 \h </w:instrText>
      </w:r>
      <w:r>
        <w:rPr>
          <w:noProof/>
        </w:rPr>
      </w:r>
      <w:r>
        <w:rPr>
          <w:noProof/>
        </w:rPr>
        <w:fldChar w:fldCharType="separate"/>
      </w:r>
      <w:r w:rsidR="00EC68A3">
        <w:rPr>
          <w:noProof/>
        </w:rPr>
        <w:t>3</w:t>
      </w:r>
      <w:r>
        <w:rPr>
          <w:noProof/>
        </w:rPr>
        <w:fldChar w:fldCharType="end"/>
      </w:r>
    </w:p>
    <w:p w:rsidR="005B6C99" w:rsidRDefault="005B6C99">
      <w:pPr>
        <w:pStyle w:val="TOC2"/>
        <w:tabs>
          <w:tab w:val="left" w:pos="1440"/>
        </w:tabs>
        <w:rPr>
          <w:rFonts w:asciiTheme="minorHAnsi" w:eastAsiaTheme="minorEastAsia" w:hAnsiTheme="minorHAnsi"/>
          <w:noProof/>
          <w:sz w:val="22"/>
        </w:rPr>
      </w:pPr>
      <w:r>
        <w:rPr>
          <w:noProof/>
        </w:rPr>
        <w:t>B.</w:t>
      </w:r>
      <w:r>
        <w:rPr>
          <w:rFonts w:asciiTheme="minorHAnsi" w:eastAsiaTheme="minorEastAsia" w:hAnsiTheme="minorHAnsi"/>
          <w:noProof/>
          <w:sz w:val="22"/>
        </w:rPr>
        <w:tab/>
      </w:r>
      <w:r>
        <w:rPr>
          <w:noProof/>
        </w:rPr>
        <w:t>The Staff agrees that VEDO should have the flexibility to allocate CEP expenditures among the broad categories provided in its Application; however such flexibility should not limit the Staff’s ability to monitor VEDO’s CEP or the Commission’s regulatory authority.</w:t>
      </w:r>
      <w:r>
        <w:rPr>
          <w:noProof/>
        </w:rPr>
        <w:tab/>
      </w:r>
      <w:r>
        <w:rPr>
          <w:noProof/>
        </w:rPr>
        <w:fldChar w:fldCharType="begin"/>
      </w:r>
      <w:r>
        <w:rPr>
          <w:noProof/>
        </w:rPr>
        <w:instrText xml:space="preserve"> PAGEREF _Toc339013417 \h </w:instrText>
      </w:r>
      <w:r>
        <w:rPr>
          <w:noProof/>
        </w:rPr>
      </w:r>
      <w:r>
        <w:rPr>
          <w:noProof/>
        </w:rPr>
        <w:fldChar w:fldCharType="separate"/>
      </w:r>
      <w:r w:rsidR="00EC68A3">
        <w:rPr>
          <w:noProof/>
        </w:rPr>
        <w:t>4</w:t>
      </w:r>
      <w:r>
        <w:rPr>
          <w:noProof/>
        </w:rPr>
        <w:fldChar w:fldCharType="end"/>
      </w:r>
    </w:p>
    <w:p w:rsidR="005B6C99" w:rsidRDefault="005B6C99">
      <w:pPr>
        <w:pStyle w:val="TOC2"/>
        <w:tabs>
          <w:tab w:val="left" w:pos="1440"/>
        </w:tabs>
        <w:rPr>
          <w:rFonts w:asciiTheme="minorHAnsi" w:eastAsiaTheme="minorEastAsia" w:hAnsiTheme="minorHAnsi"/>
          <w:noProof/>
          <w:sz w:val="22"/>
        </w:rPr>
      </w:pPr>
      <w:r>
        <w:rPr>
          <w:noProof/>
        </w:rPr>
        <w:t>C.</w:t>
      </w:r>
      <w:r>
        <w:rPr>
          <w:rFonts w:asciiTheme="minorHAnsi" w:eastAsiaTheme="minorEastAsia" w:hAnsiTheme="minorHAnsi"/>
          <w:noProof/>
          <w:sz w:val="22"/>
        </w:rPr>
        <w:tab/>
      </w:r>
      <w:r>
        <w:rPr>
          <w:noProof/>
        </w:rPr>
        <w:t>VEDO agrees that the total monthly deferred regulatory asset should be net of any incremental revenue and VEDO’s and Staff’s recommended formulas for calculating incremental revenue are similar.</w:t>
      </w:r>
      <w:r>
        <w:rPr>
          <w:noProof/>
        </w:rPr>
        <w:tab/>
      </w:r>
      <w:r>
        <w:rPr>
          <w:noProof/>
        </w:rPr>
        <w:fldChar w:fldCharType="begin"/>
      </w:r>
      <w:r>
        <w:rPr>
          <w:noProof/>
        </w:rPr>
        <w:instrText xml:space="preserve"> PAGEREF _Toc339013418 \h </w:instrText>
      </w:r>
      <w:r>
        <w:rPr>
          <w:noProof/>
        </w:rPr>
      </w:r>
      <w:r>
        <w:rPr>
          <w:noProof/>
        </w:rPr>
        <w:fldChar w:fldCharType="separate"/>
      </w:r>
      <w:r w:rsidR="00EC68A3">
        <w:rPr>
          <w:noProof/>
        </w:rPr>
        <w:t>7</w:t>
      </w:r>
      <w:r>
        <w:rPr>
          <w:noProof/>
        </w:rPr>
        <w:fldChar w:fldCharType="end"/>
      </w:r>
    </w:p>
    <w:p w:rsidR="005B6C99" w:rsidRDefault="005B6C99">
      <w:pPr>
        <w:pStyle w:val="TOC2"/>
        <w:tabs>
          <w:tab w:val="left" w:pos="1440"/>
        </w:tabs>
        <w:rPr>
          <w:rFonts w:asciiTheme="minorHAnsi" w:eastAsiaTheme="minorEastAsia" w:hAnsiTheme="minorHAnsi"/>
          <w:noProof/>
          <w:sz w:val="22"/>
        </w:rPr>
      </w:pPr>
      <w:r>
        <w:rPr>
          <w:noProof/>
        </w:rPr>
        <w:t>D.</w:t>
      </w:r>
      <w:r>
        <w:rPr>
          <w:rFonts w:asciiTheme="minorHAnsi" w:eastAsiaTheme="minorEastAsia" w:hAnsiTheme="minorHAnsi"/>
          <w:noProof/>
          <w:sz w:val="22"/>
        </w:rPr>
        <w:tab/>
      </w:r>
      <w:r>
        <w:rPr>
          <w:noProof/>
        </w:rPr>
        <w:t>VEDO’s proposed formulas for calculating the monthly depreciation expense and property tax expense deferrals are acceptable to the Staff, however its proposed formula for calculating monthly PISCC should be adjusted to be consistent with the formula approved by the Commission in the Columbia CEP Order and its long term debt rate should be the rate approved in its last base rate case.</w:t>
      </w:r>
      <w:r>
        <w:rPr>
          <w:noProof/>
        </w:rPr>
        <w:tab/>
      </w:r>
      <w:r>
        <w:rPr>
          <w:noProof/>
        </w:rPr>
        <w:fldChar w:fldCharType="begin"/>
      </w:r>
      <w:r>
        <w:rPr>
          <w:noProof/>
        </w:rPr>
        <w:instrText xml:space="preserve"> PAGEREF _Toc339013419 \h </w:instrText>
      </w:r>
      <w:r>
        <w:rPr>
          <w:noProof/>
        </w:rPr>
      </w:r>
      <w:r>
        <w:rPr>
          <w:noProof/>
        </w:rPr>
        <w:fldChar w:fldCharType="separate"/>
      </w:r>
      <w:r w:rsidR="00EC68A3">
        <w:rPr>
          <w:noProof/>
        </w:rPr>
        <w:t>10</w:t>
      </w:r>
      <w:r>
        <w:rPr>
          <w:noProof/>
        </w:rPr>
        <w:fldChar w:fldCharType="end"/>
      </w:r>
    </w:p>
    <w:p w:rsidR="005B6C99" w:rsidRDefault="005B6C99">
      <w:pPr>
        <w:pStyle w:val="TOC2"/>
        <w:tabs>
          <w:tab w:val="left" w:pos="1440"/>
        </w:tabs>
        <w:rPr>
          <w:rFonts w:asciiTheme="minorHAnsi" w:eastAsiaTheme="minorEastAsia" w:hAnsiTheme="minorHAnsi"/>
          <w:noProof/>
          <w:sz w:val="22"/>
        </w:rPr>
      </w:pPr>
      <w:r>
        <w:rPr>
          <w:noProof/>
        </w:rPr>
        <w:t>E.</w:t>
      </w:r>
      <w:r>
        <w:rPr>
          <w:rFonts w:asciiTheme="minorHAnsi" w:eastAsiaTheme="minorEastAsia" w:hAnsiTheme="minorHAnsi"/>
          <w:noProof/>
          <w:sz w:val="22"/>
        </w:rPr>
        <w:tab/>
      </w:r>
      <w:r>
        <w:rPr>
          <w:noProof/>
        </w:rPr>
        <w:t>The Staff recommends that the Commission set a cap on VEDO’s CEP deferrals at $1.50 per customer per month if the deferrals were included in customer rates as opposed to the $2.50 cap recommended by VEDO.</w:t>
      </w:r>
      <w:r>
        <w:rPr>
          <w:noProof/>
        </w:rPr>
        <w:tab/>
      </w:r>
      <w:r>
        <w:rPr>
          <w:noProof/>
        </w:rPr>
        <w:fldChar w:fldCharType="begin"/>
      </w:r>
      <w:r>
        <w:rPr>
          <w:noProof/>
        </w:rPr>
        <w:instrText xml:space="preserve"> PAGEREF _Toc339013420 \h </w:instrText>
      </w:r>
      <w:r>
        <w:rPr>
          <w:noProof/>
        </w:rPr>
      </w:r>
      <w:r>
        <w:rPr>
          <w:noProof/>
        </w:rPr>
        <w:fldChar w:fldCharType="separate"/>
      </w:r>
      <w:r w:rsidR="00EC68A3">
        <w:rPr>
          <w:noProof/>
        </w:rPr>
        <w:t>11</w:t>
      </w:r>
      <w:r>
        <w:rPr>
          <w:noProof/>
        </w:rPr>
        <w:fldChar w:fldCharType="end"/>
      </w:r>
    </w:p>
    <w:p w:rsidR="005B6C99" w:rsidRDefault="005B6C99">
      <w:pPr>
        <w:pStyle w:val="TOC2"/>
        <w:tabs>
          <w:tab w:val="left" w:pos="1440"/>
        </w:tabs>
        <w:rPr>
          <w:rFonts w:asciiTheme="minorHAnsi" w:eastAsiaTheme="minorEastAsia" w:hAnsiTheme="minorHAnsi"/>
          <w:noProof/>
          <w:sz w:val="22"/>
        </w:rPr>
      </w:pPr>
      <w:r>
        <w:rPr>
          <w:noProof/>
        </w:rPr>
        <w:t>F.</w:t>
      </w:r>
      <w:r>
        <w:rPr>
          <w:rFonts w:asciiTheme="minorHAnsi" w:eastAsiaTheme="minorEastAsia" w:hAnsiTheme="minorHAnsi"/>
          <w:noProof/>
          <w:sz w:val="22"/>
        </w:rPr>
        <w:tab/>
      </w:r>
      <w:r>
        <w:rPr>
          <w:noProof/>
        </w:rPr>
        <w:t>VEDO and the Staff agree that VEDO should make annual informational filings.</w:t>
      </w:r>
      <w:r>
        <w:rPr>
          <w:noProof/>
        </w:rPr>
        <w:tab/>
      </w:r>
      <w:r>
        <w:rPr>
          <w:noProof/>
        </w:rPr>
        <w:fldChar w:fldCharType="begin"/>
      </w:r>
      <w:r>
        <w:rPr>
          <w:noProof/>
        </w:rPr>
        <w:instrText xml:space="preserve"> PAGEREF _Toc339013421 \h </w:instrText>
      </w:r>
      <w:r>
        <w:rPr>
          <w:noProof/>
        </w:rPr>
      </w:r>
      <w:r>
        <w:rPr>
          <w:noProof/>
        </w:rPr>
        <w:fldChar w:fldCharType="separate"/>
      </w:r>
      <w:r w:rsidR="00EC68A3">
        <w:rPr>
          <w:noProof/>
        </w:rPr>
        <w:t>16</w:t>
      </w:r>
      <w:r>
        <w:rPr>
          <w:noProof/>
        </w:rPr>
        <w:fldChar w:fldCharType="end"/>
      </w:r>
    </w:p>
    <w:p w:rsidR="005B6C99" w:rsidRDefault="005B6C99">
      <w:pPr>
        <w:pStyle w:val="TOC2"/>
        <w:tabs>
          <w:tab w:val="left" w:pos="1440"/>
        </w:tabs>
        <w:rPr>
          <w:rFonts w:asciiTheme="minorHAnsi" w:eastAsiaTheme="minorEastAsia" w:hAnsiTheme="minorHAnsi"/>
          <w:noProof/>
          <w:sz w:val="22"/>
        </w:rPr>
      </w:pPr>
      <w:r>
        <w:rPr>
          <w:noProof/>
        </w:rPr>
        <w:t>G.</w:t>
      </w:r>
      <w:r>
        <w:rPr>
          <w:rFonts w:asciiTheme="minorHAnsi" w:eastAsiaTheme="minorEastAsia" w:hAnsiTheme="minorHAnsi"/>
          <w:noProof/>
          <w:sz w:val="22"/>
        </w:rPr>
        <w:tab/>
      </w:r>
      <w:r>
        <w:rPr>
          <w:noProof/>
        </w:rPr>
        <w:t>The Commission should establish the specific formulas that should be used to calculate VEDO’s total monthly CEP deferrals.</w:t>
      </w:r>
      <w:r>
        <w:rPr>
          <w:noProof/>
        </w:rPr>
        <w:tab/>
      </w:r>
      <w:r>
        <w:rPr>
          <w:noProof/>
        </w:rPr>
        <w:fldChar w:fldCharType="begin"/>
      </w:r>
      <w:r>
        <w:rPr>
          <w:noProof/>
        </w:rPr>
        <w:instrText xml:space="preserve"> PAGEREF _Toc339013422 \h </w:instrText>
      </w:r>
      <w:r>
        <w:rPr>
          <w:noProof/>
        </w:rPr>
      </w:r>
      <w:r>
        <w:rPr>
          <w:noProof/>
        </w:rPr>
        <w:fldChar w:fldCharType="separate"/>
      </w:r>
      <w:r w:rsidR="00EC68A3">
        <w:rPr>
          <w:noProof/>
        </w:rPr>
        <w:t>17</w:t>
      </w:r>
      <w:r>
        <w:rPr>
          <w:noProof/>
        </w:rPr>
        <w:fldChar w:fldCharType="end"/>
      </w:r>
    </w:p>
    <w:p w:rsidR="005B6C99" w:rsidRDefault="005B6C99">
      <w:pPr>
        <w:pStyle w:val="TOC1"/>
        <w:rPr>
          <w:rFonts w:asciiTheme="minorHAnsi" w:eastAsiaTheme="minorEastAsia" w:hAnsiTheme="minorHAnsi"/>
          <w:noProof/>
          <w:sz w:val="22"/>
        </w:rPr>
      </w:pPr>
      <w:r>
        <w:rPr>
          <w:noProof/>
        </w:rPr>
        <w:t>III.</w:t>
      </w:r>
      <w:r>
        <w:rPr>
          <w:rFonts w:asciiTheme="minorHAnsi" w:eastAsiaTheme="minorEastAsia" w:hAnsiTheme="minorHAnsi"/>
          <w:noProof/>
          <w:sz w:val="22"/>
        </w:rPr>
        <w:tab/>
      </w:r>
      <w:r>
        <w:rPr>
          <w:noProof/>
        </w:rPr>
        <w:t>CONCLUSION</w:t>
      </w:r>
      <w:r>
        <w:rPr>
          <w:noProof/>
        </w:rPr>
        <w:tab/>
      </w:r>
      <w:r>
        <w:rPr>
          <w:noProof/>
        </w:rPr>
        <w:fldChar w:fldCharType="begin"/>
      </w:r>
      <w:r>
        <w:rPr>
          <w:noProof/>
        </w:rPr>
        <w:instrText xml:space="preserve"> PAGEREF _Toc339013423 \h </w:instrText>
      </w:r>
      <w:r>
        <w:rPr>
          <w:noProof/>
        </w:rPr>
      </w:r>
      <w:r>
        <w:rPr>
          <w:noProof/>
        </w:rPr>
        <w:fldChar w:fldCharType="separate"/>
      </w:r>
      <w:r w:rsidR="00EC68A3">
        <w:rPr>
          <w:noProof/>
        </w:rPr>
        <w:t>21</w:t>
      </w:r>
      <w:r>
        <w:rPr>
          <w:noProof/>
        </w:rPr>
        <w:fldChar w:fldCharType="end"/>
      </w:r>
    </w:p>
    <w:p w:rsidR="005B6C99" w:rsidRDefault="005B6C99">
      <w:pPr>
        <w:pStyle w:val="TOC1"/>
        <w:rPr>
          <w:rFonts w:asciiTheme="minorHAnsi" w:eastAsiaTheme="minorEastAsia" w:hAnsiTheme="minorHAnsi"/>
          <w:noProof/>
          <w:sz w:val="22"/>
        </w:rPr>
      </w:pPr>
      <w:r>
        <w:rPr>
          <w:noProof/>
        </w:rPr>
        <w:t>IV.</w:t>
      </w:r>
      <w:r>
        <w:rPr>
          <w:rFonts w:asciiTheme="minorHAnsi" w:eastAsiaTheme="minorEastAsia" w:hAnsiTheme="minorHAnsi"/>
          <w:noProof/>
          <w:sz w:val="22"/>
        </w:rPr>
        <w:tab/>
      </w:r>
      <w:r>
        <w:rPr>
          <w:noProof/>
        </w:rPr>
        <w:t>CERTIFICATE OF SERVICE</w:t>
      </w:r>
      <w:r>
        <w:rPr>
          <w:noProof/>
        </w:rPr>
        <w:tab/>
      </w:r>
      <w:r>
        <w:rPr>
          <w:noProof/>
        </w:rPr>
        <w:fldChar w:fldCharType="begin"/>
      </w:r>
      <w:r>
        <w:rPr>
          <w:noProof/>
        </w:rPr>
        <w:instrText xml:space="preserve"> PAGEREF _Toc339013424 \h </w:instrText>
      </w:r>
      <w:r>
        <w:rPr>
          <w:noProof/>
        </w:rPr>
      </w:r>
      <w:r>
        <w:rPr>
          <w:noProof/>
        </w:rPr>
        <w:fldChar w:fldCharType="separate"/>
      </w:r>
      <w:r w:rsidR="00EC68A3">
        <w:rPr>
          <w:noProof/>
        </w:rPr>
        <w:t>22</w:t>
      </w:r>
      <w:r>
        <w:rPr>
          <w:noProof/>
        </w:rPr>
        <w:fldChar w:fldCharType="end"/>
      </w:r>
    </w:p>
    <w:p w:rsidR="000E73B4" w:rsidRDefault="0059084C">
      <w:pPr>
        <w:rPr>
          <w:rFonts w:cs="Times New Roman"/>
          <w:b/>
          <w:sz w:val="26"/>
          <w:szCs w:val="26"/>
        </w:rPr>
        <w:sectPr w:rsidR="000E73B4" w:rsidSect="00326194">
          <w:headerReference w:type="default" r:id="rId13"/>
          <w:footerReference w:type="default" r:id="rId14"/>
          <w:headerReference w:type="first" r:id="rId15"/>
          <w:pgSz w:w="12240" w:h="15840"/>
          <w:pgMar w:top="1440" w:right="1440" w:bottom="1440" w:left="1440" w:header="720" w:footer="720" w:gutter="0"/>
          <w:pgNumType w:fmt="lowerRoman" w:start="1"/>
          <w:cols w:space="720"/>
          <w:titlePg/>
          <w:docGrid w:linePitch="360"/>
        </w:sectPr>
      </w:pPr>
      <w:r>
        <w:rPr>
          <w:rFonts w:cs="Times New Roman"/>
          <w:b/>
          <w:sz w:val="26"/>
          <w:szCs w:val="26"/>
        </w:rPr>
        <w:fldChar w:fldCharType="end"/>
      </w:r>
    </w:p>
    <w:p w:rsidR="000E73B4" w:rsidRDefault="000E73B4" w:rsidP="000E73B4">
      <w:pPr>
        <w:spacing w:after="0" w:line="240" w:lineRule="auto"/>
        <w:jc w:val="center"/>
        <w:rPr>
          <w:rFonts w:cs="Times New Roman"/>
          <w:b/>
          <w:sz w:val="26"/>
          <w:szCs w:val="26"/>
        </w:rPr>
      </w:pPr>
      <w:r w:rsidRPr="00CD42AF">
        <w:rPr>
          <w:rFonts w:cs="Times New Roman"/>
          <w:b/>
          <w:sz w:val="26"/>
          <w:szCs w:val="26"/>
        </w:rPr>
        <w:lastRenderedPageBreak/>
        <w:t>BEFORE</w:t>
      </w:r>
    </w:p>
    <w:p w:rsidR="000E73B4" w:rsidRPr="00CD42AF" w:rsidRDefault="000E73B4" w:rsidP="000E73B4">
      <w:pPr>
        <w:spacing w:after="0" w:line="240" w:lineRule="auto"/>
        <w:jc w:val="center"/>
        <w:rPr>
          <w:rFonts w:cs="Times New Roman"/>
          <w:b/>
          <w:sz w:val="26"/>
          <w:szCs w:val="26"/>
        </w:rPr>
      </w:pPr>
      <w:r w:rsidRPr="00CD42AF">
        <w:rPr>
          <w:rFonts w:cs="Times New Roman"/>
          <w:b/>
          <w:sz w:val="26"/>
          <w:szCs w:val="26"/>
        </w:rPr>
        <w:t>THE PUBLIC UTILITIES COMMISSION OF OHIO</w:t>
      </w:r>
    </w:p>
    <w:p w:rsidR="000E73B4" w:rsidRPr="00CD42AF" w:rsidRDefault="000E73B4" w:rsidP="000E73B4">
      <w:pPr>
        <w:rPr>
          <w:rFonts w:cs="Times New Roman"/>
          <w:sz w:val="26"/>
          <w:szCs w:val="26"/>
        </w:rPr>
      </w:pPr>
    </w:p>
    <w:tbl>
      <w:tblPr>
        <w:tblW w:w="8762" w:type="dxa"/>
        <w:tblLook w:val="04A0" w:firstRow="1" w:lastRow="0" w:firstColumn="1" w:lastColumn="0" w:noHBand="0" w:noVBand="1"/>
      </w:tblPr>
      <w:tblGrid>
        <w:gridCol w:w="4518"/>
        <w:gridCol w:w="360"/>
        <w:gridCol w:w="3884"/>
      </w:tblGrid>
      <w:tr w:rsidR="000E73B4" w:rsidRPr="00CD42AF" w:rsidTr="00915BED">
        <w:tc>
          <w:tcPr>
            <w:tcW w:w="4518" w:type="dxa"/>
            <w:shd w:val="clear" w:color="auto" w:fill="auto"/>
          </w:tcPr>
          <w:p w:rsidR="000E73B4" w:rsidRPr="0036080A" w:rsidRDefault="000E73B4" w:rsidP="007907BA">
            <w:pPr>
              <w:spacing w:after="0" w:line="240" w:lineRule="auto"/>
              <w:rPr>
                <w:rFonts w:cs="Times New Roman"/>
                <w:sz w:val="26"/>
                <w:szCs w:val="26"/>
              </w:rPr>
            </w:pPr>
            <w:r w:rsidRPr="0036080A">
              <w:rPr>
                <w:rFonts w:cs="Times New Roman"/>
                <w:sz w:val="26"/>
                <w:szCs w:val="26"/>
              </w:rPr>
              <w:t xml:space="preserve">In the Matter of the Application of </w:t>
            </w:r>
            <w:r w:rsidR="00B13213">
              <w:rPr>
                <w:rFonts w:cs="Times New Roman"/>
                <w:sz w:val="26"/>
                <w:szCs w:val="26"/>
              </w:rPr>
              <w:t>Vectren Energy Delivery of Ohio, Inc.</w:t>
            </w:r>
            <w:r w:rsidR="007907BA" w:rsidRPr="007907BA">
              <w:rPr>
                <w:rFonts w:cs="Times New Roman"/>
                <w:sz w:val="26"/>
                <w:szCs w:val="26"/>
              </w:rPr>
              <w:t xml:space="preserve"> </w:t>
            </w:r>
            <w:r w:rsidRPr="0036080A">
              <w:rPr>
                <w:rFonts w:cs="Times New Roman"/>
                <w:sz w:val="26"/>
                <w:szCs w:val="26"/>
              </w:rPr>
              <w:t>for A</w:t>
            </w:r>
            <w:r>
              <w:rPr>
                <w:rFonts w:cs="Times New Roman"/>
                <w:sz w:val="26"/>
                <w:szCs w:val="26"/>
              </w:rPr>
              <w:t xml:space="preserve">pproval </w:t>
            </w:r>
            <w:r w:rsidRPr="0036080A">
              <w:rPr>
                <w:rFonts w:cs="Times New Roman"/>
                <w:sz w:val="26"/>
                <w:szCs w:val="26"/>
              </w:rPr>
              <w:t xml:space="preserve">to </w:t>
            </w:r>
            <w:r>
              <w:rPr>
                <w:rFonts w:cs="Times New Roman"/>
                <w:sz w:val="26"/>
                <w:szCs w:val="26"/>
              </w:rPr>
              <w:t xml:space="preserve">Implement a Capital Expenditure </w:t>
            </w:r>
            <w:r w:rsidRPr="0036080A">
              <w:rPr>
                <w:rFonts w:cs="Times New Roman"/>
                <w:sz w:val="26"/>
                <w:szCs w:val="26"/>
              </w:rPr>
              <w:t>Program.</w:t>
            </w:r>
          </w:p>
        </w:tc>
        <w:tc>
          <w:tcPr>
            <w:tcW w:w="360" w:type="dxa"/>
          </w:tcPr>
          <w:p w:rsidR="000E73B4" w:rsidRPr="00CD42AF" w:rsidRDefault="00A27CEE" w:rsidP="00915BED">
            <w:pPr>
              <w:rPr>
                <w:rFonts w:cs="Times New Roman"/>
                <w:sz w:val="26"/>
                <w:szCs w:val="26"/>
              </w:rPr>
            </w:pPr>
            <w:r>
              <w:rPr>
                <w:rFonts w:cs="Times New Roman"/>
                <w:sz w:val="26"/>
                <w:szCs w:val="26"/>
              </w:rPr>
              <w:t>:</w:t>
            </w:r>
            <w:r>
              <w:rPr>
                <w:rFonts w:cs="Times New Roman"/>
                <w:sz w:val="26"/>
                <w:szCs w:val="26"/>
              </w:rPr>
              <w:br/>
              <w:t>:</w:t>
            </w:r>
            <w:r>
              <w:rPr>
                <w:rFonts w:cs="Times New Roman"/>
                <w:sz w:val="26"/>
                <w:szCs w:val="26"/>
              </w:rPr>
              <w:br/>
              <w:t>:</w:t>
            </w:r>
            <w:r>
              <w:rPr>
                <w:rFonts w:cs="Times New Roman"/>
                <w:sz w:val="26"/>
                <w:szCs w:val="26"/>
              </w:rPr>
              <w:br/>
              <w:t>:</w:t>
            </w:r>
          </w:p>
        </w:tc>
        <w:tc>
          <w:tcPr>
            <w:tcW w:w="3884" w:type="dxa"/>
            <w:shd w:val="clear" w:color="auto" w:fill="auto"/>
          </w:tcPr>
          <w:p w:rsidR="000E73B4" w:rsidRPr="00CD42AF" w:rsidRDefault="000E73B4" w:rsidP="00915BED">
            <w:pPr>
              <w:spacing w:after="0" w:line="240" w:lineRule="auto"/>
              <w:ind w:left="-288"/>
              <w:rPr>
                <w:rFonts w:cs="Times New Roman"/>
                <w:sz w:val="26"/>
                <w:szCs w:val="26"/>
              </w:rPr>
            </w:pPr>
          </w:p>
          <w:p w:rsidR="000E73B4" w:rsidRPr="00CD42AF" w:rsidRDefault="000E73B4" w:rsidP="00B13213">
            <w:pPr>
              <w:spacing w:after="0" w:line="240" w:lineRule="auto"/>
              <w:ind w:left="72"/>
              <w:rPr>
                <w:rFonts w:cs="Times New Roman"/>
                <w:sz w:val="26"/>
                <w:szCs w:val="26"/>
              </w:rPr>
            </w:pPr>
            <w:r w:rsidRPr="00CD42AF">
              <w:rPr>
                <w:rFonts w:cs="Times New Roman"/>
                <w:sz w:val="26"/>
                <w:szCs w:val="26"/>
              </w:rPr>
              <w:t xml:space="preserve">Case No. </w:t>
            </w:r>
            <w:r w:rsidR="00B13213">
              <w:rPr>
                <w:rFonts w:cs="Times New Roman"/>
                <w:sz w:val="26"/>
                <w:szCs w:val="26"/>
              </w:rPr>
              <w:t>12-530</w:t>
            </w:r>
            <w:r w:rsidRPr="00CD42AF">
              <w:rPr>
                <w:rFonts w:cs="Times New Roman"/>
                <w:sz w:val="26"/>
                <w:szCs w:val="26"/>
              </w:rPr>
              <w:t>-GA-</w:t>
            </w:r>
            <w:r>
              <w:rPr>
                <w:rFonts w:cs="Times New Roman"/>
                <w:sz w:val="26"/>
                <w:szCs w:val="26"/>
              </w:rPr>
              <w:t>UNC</w:t>
            </w:r>
          </w:p>
        </w:tc>
      </w:tr>
      <w:tr w:rsidR="000E73B4" w:rsidRPr="00CD42AF" w:rsidTr="00915BED">
        <w:tc>
          <w:tcPr>
            <w:tcW w:w="4518" w:type="dxa"/>
            <w:shd w:val="clear" w:color="auto" w:fill="auto"/>
          </w:tcPr>
          <w:p w:rsidR="000E73B4" w:rsidRPr="0036080A" w:rsidRDefault="000E73B4" w:rsidP="007907BA">
            <w:pPr>
              <w:spacing w:after="0" w:line="240" w:lineRule="auto"/>
              <w:rPr>
                <w:rFonts w:cs="Times New Roman"/>
                <w:sz w:val="26"/>
                <w:szCs w:val="26"/>
              </w:rPr>
            </w:pPr>
            <w:r w:rsidRPr="0036080A">
              <w:rPr>
                <w:rFonts w:cs="Times New Roman"/>
                <w:sz w:val="26"/>
                <w:szCs w:val="26"/>
              </w:rPr>
              <w:t xml:space="preserve">In the Matter of the Application of </w:t>
            </w:r>
            <w:r w:rsidR="00B13213">
              <w:rPr>
                <w:rFonts w:cs="Times New Roman"/>
                <w:sz w:val="26"/>
                <w:szCs w:val="26"/>
              </w:rPr>
              <w:t>Vectren Energy Delivery of Ohio, Inc.</w:t>
            </w:r>
            <w:r w:rsidR="007907BA">
              <w:rPr>
                <w:rFonts w:cs="Times New Roman"/>
                <w:sz w:val="26"/>
                <w:szCs w:val="26"/>
              </w:rPr>
              <w:t xml:space="preserve"> </w:t>
            </w:r>
            <w:r w:rsidRPr="0036080A">
              <w:rPr>
                <w:rFonts w:cs="Times New Roman"/>
                <w:sz w:val="26"/>
                <w:szCs w:val="26"/>
              </w:rPr>
              <w:t>for A</w:t>
            </w:r>
            <w:r>
              <w:rPr>
                <w:rFonts w:cs="Times New Roman"/>
                <w:sz w:val="26"/>
                <w:szCs w:val="26"/>
              </w:rPr>
              <w:t xml:space="preserve">pproval </w:t>
            </w:r>
            <w:r w:rsidRPr="0036080A">
              <w:rPr>
                <w:rFonts w:cs="Times New Roman"/>
                <w:sz w:val="26"/>
                <w:szCs w:val="26"/>
              </w:rPr>
              <w:t xml:space="preserve">to </w:t>
            </w:r>
            <w:r>
              <w:rPr>
                <w:rFonts w:cs="Times New Roman"/>
                <w:sz w:val="26"/>
                <w:szCs w:val="26"/>
              </w:rPr>
              <w:t>Change Accounting Methods</w:t>
            </w:r>
            <w:r w:rsidRPr="0036080A">
              <w:rPr>
                <w:rFonts w:cs="Times New Roman"/>
                <w:sz w:val="26"/>
                <w:szCs w:val="26"/>
              </w:rPr>
              <w:t>.</w:t>
            </w:r>
          </w:p>
        </w:tc>
        <w:tc>
          <w:tcPr>
            <w:tcW w:w="360" w:type="dxa"/>
          </w:tcPr>
          <w:p w:rsidR="000E73B4" w:rsidRPr="00CD42AF" w:rsidRDefault="000E73B4" w:rsidP="00915BED">
            <w:pPr>
              <w:spacing w:after="0" w:line="240" w:lineRule="auto"/>
              <w:rPr>
                <w:rFonts w:cs="Times New Roman"/>
                <w:sz w:val="26"/>
                <w:szCs w:val="26"/>
              </w:rPr>
            </w:pPr>
            <w:r w:rsidRPr="00CD42AF">
              <w:rPr>
                <w:rFonts w:cs="Times New Roman"/>
                <w:sz w:val="26"/>
                <w:szCs w:val="26"/>
              </w:rPr>
              <w:t>:</w:t>
            </w:r>
            <w:r>
              <w:rPr>
                <w:rFonts w:cs="Times New Roman"/>
                <w:sz w:val="26"/>
                <w:szCs w:val="26"/>
              </w:rPr>
              <w:br/>
              <w:t>:</w:t>
            </w:r>
            <w:r>
              <w:rPr>
                <w:rFonts w:cs="Times New Roman"/>
                <w:sz w:val="26"/>
                <w:szCs w:val="26"/>
              </w:rPr>
              <w:br/>
              <w:t>:</w:t>
            </w:r>
            <w:r>
              <w:rPr>
                <w:rFonts w:cs="Times New Roman"/>
                <w:sz w:val="26"/>
                <w:szCs w:val="26"/>
              </w:rPr>
              <w:br/>
              <w:t>:</w:t>
            </w:r>
          </w:p>
        </w:tc>
        <w:tc>
          <w:tcPr>
            <w:tcW w:w="3884" w:type="dxa"/>
            <w:shd w:val="clear" w:color="auto" w:fill="auto"/>
          </w:tcPr>
          <w:p w:rsidR="000E73B4" w:rsidRPr="00CD42AF" w:rsidRDefault="000E73B4" w:rsidP="00915BED">
            <w:pPr>
              <w:spacing w:after="0" w:line="240" w:lineRule="auto"/>
              <w:ind w:left="-288"/>
              <w:rPr>
                <w:rFonts w:cs="Times New Roman"/>
                <w:sz w:val="26"/>
                <w:szCs w:val="26"/>
              </w:rPr>
            </w:pPr>
          </w:p>
          <w:p w:rsidR="000E73B4" w:rsidRPr="00CD42AF" w:rsidRDefault="000E73B4" w:rsidP="00B13213">
            <w:pPr>
              <w:spacing w:after="0" w:line="240" w:lineRule="auto"/>
              <w:ind w:left="72"/>
              <w:rPr>
                <w:rFonts w:cs="Times New Roman"/>
                <w:sz w:val="26"/>
                <w:szCs w:val="26"/>
              </w:rPr>
            </w:pPr>
            <w:r w:rsidRPr="000E73B4">
              <w:rPr>
                <w:rFonts w:cs="Times New Roman"/>
                <w:sz w:val="26"/>
                <w:szCs w:val="26"/>
              </w:rPr>
              <w:t xml:space="preserve">Case No. </w:t>
            </w:r>
            <w:r w:rsidR="00B13213">
              <w:rPr>
                <w:rFonts w:cs="Times New Roman"/>
                <w:sz w:val="26"/>
                <w:szCs w:val="26"/>
              </w:rPr>
              <w:t>12-531</w:t>
            </w:r>
            <w:r w:rsidRPr="000E73B4">
              <w:rPr>
                <w:rFonts w:cs="Times New Roman"/>
                <w:sz w:val="26"/>
                <w:szCs w:val="26"/>
              </w:rPr>
              <w:t>-GA-AAM</w:t>
            </w:r>
          </w:p>
        </w:tc>
      </w:tr>
    </w:tbl>
    <w:p w:rsidR="00104BB0" w:rsidRDefault="00104BB0" w:rsidP="00915BED">
      <w:pPr>
        <w:tabs>
          <w:tab w:val="left" w:pos="9360"/>
        </w:tabs>
        <w:jc w:val="both"/>
        <w:rPr>
          <w:rFonts w:cs="Times New Roman"/>
          <w:sz w:val="26"/>
          <w:szCs w:val="26"/>
          <w:u w:val="single"/>
        </w:rPr>
      </w:pPr>
    </w:p>
    <w:p w:rsidR="00915BED" w:rsidRPr="00915BED" w:rsidRDefault="00915BED" w:rsidP="00915BED">
      <w:pPr>
        <w:tabs>
          <w:tab w:val="left" w:pos="9360"/>
        </w:tabs>
        <w:jc w:val="both"/>
        <w:rPr>
          <w:rFonts w:cs="Times New Roman"/>
          <w:sz w:val="26"/>
          <w:szCs w:val="26"/>
          <w:u w:val="single"/>
        </w:rPr>
      </w:pPr>
      <w:r>
        <w:rPr>
          <w:rFonts w:cs="Times New Roman"/>
          <w:sz w:val="26"/>
          <w:szCs w:val="26"/>
          <w:u w:val="single"/>
        </w:rPr>
        <w:tab/>
      </w:r>
    </w:p>
    <w:p w:rsidR="009434D3" w:rsidRPr="009C4948" w:rsidRDefault="009434D3" w:rsidP="009434D3">
      <w:pPr>
        <w:spacing w:after="0" w:line="240" w:lineRule="auto"/>
        <w:jc w:val="center"/>
        <w:rPr>
          <w:rFonts w:cs="Times New Roman"/>
          <w:b/>
          <w:sz w:val="28"/>
          <w:szCs w:val="28"/>
        </w:rPr>
      </w:pPr>
      <w:r>
        <w:rPr>
          <w:rFonts w:cs="Times New Roman"/>
          <w:b/>
          <w:sz w:val="28"/>
          <w:szCs w:val="28"/>
        </w:rPr>
        <w:t>SUR-REPLY COMMENTS</w:t>
      </w:r>
      <w:r w:rsidRPr="009C4948">
        <w:rPr>
          <w:rFonts w:cs="Times New Roman"/>
          <w:b/>
          <w:sz w:val="28"/>
          <w:szCs w:val="28"/>
        </w:rPr>
        <w:t xml:space="preserve"> </w:t>
      </w:r>
    </w:p>
    <w:p w:rsidR="009434D3" w:rsidRPr="00CD42AF" w:rsidRDefault="009434D3" w:rsidP="009434D3">
      <w:pPr>
        <w:spacing w:after="0" w:line="240" w:lineRule="auto"/>
        <w:jc w:val="center"/>
        <w:rPr>
          <w:rFonts w:cs="Times New Roman"/>
          <w:b/>
          <w:sz w:val="26"/>
          <w:szCs w:val="26"/>
        </w:rPr>
      </w:pPr>
      <w:r w:rsidRPr="00CD42AF">
        <w:rPr>
          <w:rFonts w:cs="Times New Roman"/>
          <w:b/>
          <w:sz w:val="26"/>
          <w:szCs w:val="26"/>
        </w:rPr>
        <w:t>SUBMITTED ON BEHALF OF</w:t>
      </w:r>
      <w:r>
        <w:rPr>
          <w:rFonts w:cs="Times New Roman"/>
          <w:b/>
          <w:sz w:val="26"/>
          <w:szCs w:val="26"/>
        </w:rPr>
        <w:t xml:space="preserve"> THE STAFF OF</w:t>
      </w:r>
    </w:p>
    <w:p w:rsidR="009434D3" w:rsidRPr="00CD42AF" w:rsidRDefault="009434D3" w:rsidP="009434D3">
      <w:pPr>
        <w:spacing w:after="0" w:line="240" w:lineRule="auto"/>
        <w:jc w:val="center"/>
        <w:rPr>
          <w:rFonts w:cs="Times New Roman"/>
          <w:sz w:val="26"/>
          <w:szCs w:val="26"/>
        </w:rPr>
      </w:pPr>
      <w:r w:rsidRPr="00CD42AF">
        <w:rPr>
          <w:rFonts w:cs="Times New Roman"/>
          <w:b/>
          <w:sz w:val="26"/>
          <w:szCs w:val="26"/>
        </w:rPr>
        <w:t>THE PUBLIC UTILITIES COMMISSION OF OHIO</w:t>
      </w:r>
    </w:p>
    <w:p w:rsidR="00915BED" w:rsidRDefault="00915BED" w:rsidP="00915BED">
      <w:pPr>
        <w:tabs>
          <w:tab w:val="left" w:pos="9360"/>
        </w:tabs>
        <w:jc w:val="both"/>
        <w:rPr>
          <w:rFonts w:cs="Times New Roman"/>
          <w:sz w:val="26"/>
          <w:szCs w:val="26"/>
          <w:u w:val="single"/>
        </w:rPr>
      </w:pPr>
      <w:r>
        <w:rPr>
          <w:rFonts w:cs="Times New Roman"/>
          <w:sz w:val="26"/>
          <w:szCs w:val="26"/>
          <w:u w:val="single"/>
        </w:rPr>
        <w:tab/>
      </w:r>
    </w:p>
    <w:p w:rsidR="00104BB0" w:rsidRPr="00915BED" w:rsidRDefault="00104BB0" w:rsidP="00915BED">
      <w:pPr>
        <w:tabs>
          <w:tab w:val="left" w:pos="9360"/>
        </w:tabs>
        <w:jc w:val="both"/>
        <w:rPr>
          <w:rFonts w:cs="Times New Roman"/>
          <w:sz w:val="26"/>
          <w:szCs w:val="26"/>
          <w:u w:val="single"/>
        </w:rPr>
      </w:pPr>
    </w:p>
    <w:p w:rsidR="002E4BCE" w:rsidRPr="00CD42AF" w:rsidRDefault="005E0D99" w:rsidP="00230969">
      <w:pPr>
        <w:pStyle w:val="Heading1"/>
      </w:pPr>
      <w:bookmarkStart w:id="1" w:name="_Toc339013414"/>
      <w:r w:rsidRPr="00CD42AF">
        <w:t>INTRODUCTION</w:t>
      </w:r>
      <w:bookmarkEnd w:id="1"/>
      <w:r w:rsidR="00E42447" w:rsidRPr="00CD42AF">
        <w:t xml:space="preserve"> </w:t>
      </w:r>
    </w:p>
    <w:p w:rsidR="009434D3" w:rsidRPr="008C19D3" w:rsidRDefault="009434D3" w:rsidP="009434D3">
      <w:pPr>
        <w:pStyle w:val="textstyle"/>
      </w:pPr>
      <w:r>
        <w:tab/>
      </w:r>
      <w:r w:rsidRPr="008C19D3">
        <w:t xml:space="preserve">On </w:t>
      </w:r>
      <w:r w:rsidR="00B13213">
        <w:t>February 3, 2012</w:t>
      </w:r>
      <w:r w:rsidRPr="008C19D3">
        <w:t xml:space="preserve">, </w:t>
      </w:r>
      <w:r w:rsidR="004E5F43">
        <w:t xml:space="preserve">Vectren Energy Delivery of </w:t>
      </w:r>
      <w:r w:rsidR="007907BA">
        <w:t>Ohio</w:t>
      </w:r>
      <w:r w:rsidR="004E5F43">
        <w:t xml:space="preserve">, Inc. </w:t>
      </w:r>
      <w:r w:rsidR="00B42171">
        <w:t>(</w:t>
      </w:r>
      <w:r w:rsidR="004E5F43">
        <w:t>VEDO</w:t>
      </w:r>
      <w:r w:rsidRPr="008C19D3">
        <w:t xml:space="preserve"> or </w:t>
      </w:r>
      <w:r w:rsidR="00B42171">
        <w:t>Company</w:t>
      </w:r>
      <w:r w:rsidRPr="008C19D3">
        <w:t>) filed an Application for Authority to Implement a Capital Expendi</w:t>
      </w:r>
      <w:r w:rsidR="00B42171">
        <w:softHyphen/>
      </w:r>
      <w:r w:rsidRPr="008C19D3">
        <w:t>ture Program and for Approval</w:t>
      </w:r>
      <w:r w:rsidR="00B42171">
        <w:t xml:space="preserve"> to Change Accounting Methods (Application</w:t>
      </w:r>
      <w:r w:rsidRPr="008C19D3">
        <w:t>) in the dockets listed above</w:t>
      </w:r>
      <w:r w:rsidR="00050A19" w:rsidRPr="008C19D3">
        <w:t xml:space="preserve">.  </w:t>
      </w:r>
      <w:r w:rsidR="004E5F43">
        <w:t>VEDO</w:t>
      </w:r>
      <w:r w:rsidR="0068407C" w:rsidRPr="008C19D3">
        <w:t xml:space="preserve"> </w:t>
      </w:r>
      <w:r w:rsidRPr="008C19D3">
        <w:t xml:space="preserve">is seeking the Commission’s approval to create a capital expenditure program </w:t>
      </w:r>
      <w:r w:rsidR="004E5F43">
        <w:t xml:space="preserve">(CEP) </w:t>
      </w:r>
      <w:r w:rsidRPr="008C19D3">
        <w:t>for the period from October 1, 2011, through December 31, 2012, and associ</w:t>
      </w:r>
      <w:r w:rsidR="00F452D9">
        <w:softHyphen/>
      </w:r>
      <w:r w:rsidRPr="008C19D3">
        <w:t>ated deferral authority</w:t>
      </w:r>
      <w:r w:rsidR="004E5F43">
        <w:t>.</w:t>
      </w:r>
      <w:r w:rsidRPr="008C19D3">
        <w:t xml:space="preserve"> </w:t>
      </w:r>
    </w:p>
    <w:p w:rsidR="00795F49" w:rsidRDefault="009434D3" w:rsidP="009434D3">
      <w:pPr>
        <w:pStyle w:val="textstyle"/>
      </w:pPr>
      <w:r>
        <w:tab/>
      </w:r>
      <w:r w:rsidRPr="009434D3">
        <w:t xml:space="preserve">On </w:t>
      </w:r>
      <w:r w:rsidR="004E5F43">
        <w:t>February 9</w:t>
      </w:r>
      <w:r w:rsidR="004D779F">
        <w:t>, 2012</w:t>
      </w:r>
      <w:r w:rsidR="004E5F43">
        <w:t xml:space="preserve"> and February 13, 2012, respectively, </w:t>
      </w:r>
      <w:r w:rsidRPr="009434D3">
        <w:t>the Office o</w:t>
      </w:r>
      <w:r w:rsidR="00B42171">
        <w:t>f the Ohio Consumers’ Counsel (OCC</w:t>
      </w:r>
      <w:r w:rsidRPr="009434D3">
        <w:t>)</w:t>
      </w:r>
      <w:r w:rsidR="004E5F43">
        <w:t xml:space="preserve"> and the Ohio Partners for Affordable Energy (OPAE)</w:t>
      </w:r>
      <w:r w:rsidRPr="009434D3">
        <w:t xml:space="preserve"> </w:t>
      </w:r>
      <w:r w:rsidR="004E5F43">
        <w:t xml:space="preserve">filed </w:t>
      </w:r>
      <w:r w:rsidR="007907BA">
        <w:t>motion</w:t>
      </w:r>
      <w:r w:rsidR="004E5F43">
        <w:t>s to intervene in these cases.  O</w:t>
      </w:r>
      <w:r w:rsidR="007907BA">
        <w:t>n</w:t>
      </w:r>
      <w:r w:rsidRPr="009434D3">
        <w:t xml:space="preserve"> </w:t>
      </w:r>
      <w:r w:rsidR="004E5F43">
        <w:t>April 16</w:t>
      </w:r>
      <w:r w:rsidRPr="009434D3">
        <w:t xml:space="preserve">, 2012, </w:t>
      </w:r>
      <w:r w:rsidR="007907BA">
        <w:t xml:space="preserve">the </w:t>
      </w:r>
      <w:r w:rsidRPr="009434D3">
        <w:t>Commission Staff</w:t>
      </w:r>
      <w:r w:rsidR="004E5F43">
        <w:t xml:space="preserve">, </w:t>
      </w:r>
      <w:r w:rsidRPr="009434D3">
        <w:t>OCC</w:t>
      </w:r>
      <w:r w:rsidR="004E5F43">
        <w:t xml:space="preserve">, and </w:t>
      </w:r>
      <w:r w:rsidR="004E5F43">
        <w:lastRenderedPageBreak/>
        <w:t>OPAE</w:t>
      </w:r>
      <w:r w:rsidRPr="009434D3">
        <w:t xml:space="preserve"> fi</w:t>
      </w:r>
      <w:r w:rsidR="003773B5">
        <w:t>led I</w:t>
      </w:r>
      <w:r w:rsidRPr="009434D3">
        <w:t>ni</w:t>
      </w:r>
      <w:r w:rsidR="00B42171">
        <w:softHyphen/>
      </w:r>
      <w:r w:rsidRPr="009434D3">
        <w:t>tial Comments</w:t>
      </w:r>
      <w:r w:rsidR="007907BA">
        <w:t xml:space="preserve"> on </w:t>
      </w:r>
      <w:r w:rsidR="004E5F43">
        <w:t>VEDO</w:t>
      </w:r>
      <w:r w:rsidR="007907BA">
        <w:t>’s Application</w:t>
      </w:r>
      <w:r w:rsidRPr="009434D3">
        <w:t>.</w:t>
      </w:r>
      <w:r>
        <w:t xml:space="preserve"> </w:t>
      </w:r>
      <w:r w:rsidRPr="009434D3">
        <w:t xml:space="preserve"> On </w:t>
      </w:r>
      <w:r w:rsidR="004E5F43">
        <w:t>April 27</w:t>
      </w:r>
      <w:r w:rsidRPr="009434D3">
        <w:t>, 2012, the OCC</w:t>
      </w:r>
      <w:r w:rsidR="007907BA">
        <w:t xml:space="preserve"> and </w:t>
      </w:r>
      <w:r w:rsidR="004E5F43">
        <w:t>VEDO</w:t>
      </w:r>
      <w:r w:rsidR="007907BA">
        <w:t xml:space="preserve"> </w:t>
      </w:r>
      <w:r w:rsidR="004E5F43">
        <w:t>filed R</w:t>
      </w:r>
      <w:r w:rsidRPr="009434D3">
        <w:t>eply Comments.</w:t>
      </w:r>
      <w:r>
        <w:t xml:space="preserve"> </w:t>
      </w:r>
      <w:r w:rsidRPr="009434D3">
        <w:t xml:space="preserve"> On </w:t>
      </w:r>
      <w:r w:rsidR="004E5F43">
        <w:t>September 14</w:t>
      </w:r>
      <w:r w:rsidRPr="009434D3">
        <w:t xml:space="preserve">, 2012, </w:t>
      </w:r>
      <w:r w:rsidR="004E5F43">
        <w:t>VEDO</w:t>
      </w:r>
      <w:r w:rsidR="0068407C" w:rsidRPr="009434D3">
        <w:t xml:space="preserve"> </w:t>
      </w:r>
      <w:r w:rsidRPr="009434D3">
        <w:t>filed Supplemental Reply Comments.</w:t>
      </w:r>
      <w:r w:rsidR="0068407C">
        <w:t xml:space="preserve">  </w:t>
      </w:r>
    </w:p>
    <w:p w:rsidR="009434D3" w:rsidRPr="009434D3" w:rsidRDefault="004E5F43" w:rsidP="008260AA">
      <w:pPr>
        <w:pStyle w:val="textstyle"/>
        <w:ind w:firstLine="720"/>
      </w:pPr>
      <w:r>
        <w:t>VEDO</w:t>
      </w:r>
      <w:r w:rsidR="0068407C">
        <w:t xml:space="preserve"> filed the Supplemental Reply Comments “[</w:t>
      </w:r>
      <w:r w:rsidR="001078DB">
        <w:t>U</w:t>
      </w:r>
      <w:r w:rsidR="0068407C">
        <w:t>]pon further con</w:t>
      </w:r>
      <w:r w:rsidR="00B42171">
        <w:softHyphen/>
      </w:r>
      <w:r w:rsidR="0068407C">
        <w:t xml:space="preserve">sideration of the </w:t>
      </w:r>
      <w:r w:rsidR="001078DB">
        <w:t>comments</w:t>
      </w:r>
      <w:r w:rsidR="0068407C">
        <w:t xml:space="preserve"> of Staff and </w:t>
      </w:r>
      <w:r w:rsidR="00DD1ACF">
        <w:t>intervenors</w:t>
      </w:r>
      <w:r w:rsidR="0068407C">
        <w:t>, as well as consideration</w:t>
      </w:r>
      <w:r w:rsidR="00DD1ACF">
        <w:t>s</w:t>
      </w:r>
      <w:r w:rsidR="0068407C">
        <w:t xml:space="preserve"> of Supple</w:t>
      </w:r>
      <w:r w:rsidR="00EA7804">
        <w:softHyphen/>
      </w:r>
      <w:r w:rsidR="0068407C">
        <w:t>men</w:t>
      </w:r>
      <w:r w:rsidR="00223C1A">
        <w:t xml:space="preserve">tal Reply Comments filed by </w:t>
      </w:r>
      <w:r w:rsidR="001078DB">
        <w:t>Columbia Gas of Ohio, Inc.</w:t>
      </w:r>
      <w:r w:rsidR="00DD1ACF">
        <w:t xml:space="preserve"> and Staff</w:t>
      </w:r>
      <w:r w:rsidR="001078DB">
        <w:t xml:space="preserve"> in Case No. 11-5351-GA-UNC</w:t>
      </w:r>
      <w:r w:rsidR="00DD1ACF">
        <w:t>, and by Dominion East Ohio Gas Company d/b/a/ Dominion East Ohio</w:t>
      </w:r>
      <w:r w:rsidR="00FE4C15">
        <w:t xml:space="preserve"> in Case No. 11-6024-GA-UNC</w:t>
      </w:r>
      <w:r w:rsidR="001078DB">
        <w:t>”</w:t>
      </w:r>
      <w:r w:rsidR="001078DB">
        <w:rPr>
          <w:rStyle w:val="FootnoteReference"/>
        </w:rPr>
        <w:footnoteReference w:id="1"/>
      </w:r>
      <w:r w:rsidR="00FE4C15">
        <w:t xml:space="preserve"> </w:t>
      </w:r>
      <w:r w:rsidR="001078DB">
        <w:t>and to “clarify its position.”</w:t>
      </w:r>
      <w:r w:rsidR="001078DB">
        <w:rPr>
          <w:rStyle w:val="FootnoteReference"/>
        </w:rPr>
        <w:footnoteReference w:id="2"/>
      </w:r>
      <w:r w:rsidR="00795F49">
        <w:t xml:space="preserve">  In </w:t>
      </w:r>
      <w:r w:rsidR="00C453D2">
        <w:t>its</w:t>
      </w:r>
      <w:r w:rsidR="00795F49">
        <w:t xml:space="preserve"> </w:t>
      </w:r>
      <w:r w:rsidR="00404D8D">
        <w:t xml:space="preserve">Supplemental </w:t>
      </w:r>
      <w:r w:rsidR="00795F49">
        <w:t xml:space="preserve">Comments, </w:t>
      </w:r>
      <w:r w:rsidR="00FE4C15">
        <w:t>VEDO</w:t>
      </w:r>
      <w:r w:rsidR="00795F49">
        <w:t xml:space="preserve"> indicates that it is willing to accede to various proposals and positions contained in the Staff Comments </w:t>
      </w:r>
      <w:r w:rsidR="00A32E21">
        <w:t xml:space="preserve">filed in this case </w:t>
      </w:r>
      <w:r w:rsidR="00795F49">
        <w:t xml:space="preserve">in order to resolve </w:t>
      </w:r>
      <w:r w:rsidR="00DD1926">
        <w:t xml:space="preserve">the </w:t>
      </w:r>
      <w:r w:rsidR="00795F49">
        <w:t xml:space="preserve">case and move forward on its proposed </w:t>
      </w:r>
      <w:r w:rsidR="00FE4C15">
        <w:t>CEP</w:t>
      </w:r>
      <w:r w:rsidR="00795F49">
        <w:t xml:space="preserve">.  </w:t>
      </w:r>
      <w:r w:rsidR="00FE4C15">
        <w:t>VEDO</w:t>
      </w:r>
      <w:r w:rsidR="00795F49">
        <w:t xml:space="preserve"> also proposes several specific formulas for calcu</w:t>
      </w:r>
      <w:r w:rsidR="00EA7804">
        <w:softHyphen/>
      </w:r>
      <w:r w:rsidR="00795F49">
        <w:t>lating the incre</w:t>
      </w:r>
      <w:r w:rsidR="00B745C1">
        <w:softHyphen/>
      </w:r>
      <w:r w:rsidR="00795F49">
        <w:t>mental revenue, post in-service carrying costs</w:t>
      </w:r>
      <w:r w:rsidR="00B42171">
        <w:t xml:space="preserve"> (PISCC</w:t>
      </w:r>
      <w:r w:rsidR="00A32E21">
        <w:t>)</w:t>
      </w:r>
      <w:r w:rsidR="00795F49">
        <w:t>, deferred depreci</w:t>
      </w:r>
      <w:r w:rsidR="00EA7804">
        <w:softHyphen/>
      </w:r>
      <w:r w:rsidR="00795F49">
        <w:t xml:space="preserve">ation expense and deferred property tax expense associated with its </w:t>
      </w:r>
      <w:r w:rsidR="00FE4C15">
        <w:t>CEP</w:t>
      </w:r>
      <w:r w:rsidR="00795F49">
        <w:t xml:space="preserve">.  </w:t>
      </w:r>
      <w:r w:rsidR="009434D3" w:rsidRPr="009434D3">
        <w:t xml:space="preserve">The Staff reviewed </w:t>
      </w:r>
      <w:r w:rsidR="00FE4C15">
        <w:t>VEDO</w:t>
      </w:r>
      <w:r w:rsidR="00795F49" w:rsidRPr="009434D3">
        <w:t xml:space="preserve">’s </w:t>
      </w:r>
      <w:r w:rsidR="009434D3" w:rsidRPr="009434D3">
        <w:t xml:space="preserve">Supplemental Reply Comments </w:t>
      </w:r>
      <w:r w:rsidR="00795F49">
        <w:t xml:space="preserve">and proposed formulas </w:t>
      </w:r>
      <w:r w:rsidR="003322B6">
        <w:t>in light of the Commis</w:t>
      </w:r>
      <w:r w:rsidR="00B42171">
        <w:softHyphen/>
      </w:r>
      <w:r w:rsidR="003322B6">
        <w:t xml:space="preserve">sion’s recent </w:t>
      </w:r>
      <w:r w:rsidR="00663308">
        <w:t xml:space="preserve">Finding </w:t>
      </w:r>
      <w:r w:rsidR="003322B6">
        <w:t xml:space="preserve">and Order in Case No. </w:t>
      </w:r>
      <w:r w:rsidR="003322B6" w:rsidRPr="003322B6">
        <w:t>11-5351-GA-UNC</w:t>
      </w:r>
      <w:r w:rsidR="003322B6">
        <w:t xml:space="preserve"> (Columbia CEP Order)</w:t>
      </w:r>
      <w:r w:rsidR="003322B6" w:rsidRPr="003322B6">
        <w:t xml:space="preserve"> </w:t>
      </w:r>
      <w:r w:rsidR="003322B6">
        <w:t xml:space="preserve">where the Commission adopted specific formulas for calculating </w:t>
      </w:r>
      <w:r w:rsidR="003322B6" w:rsidRPr="003322B6">
        <w:t xml:space="preserve">the incremental revenue, </w:t>
      </w:r>
      <w:r w:rsidR="00A32E21">
        <w:t>PISCC</w:t>
      </w:r>
      <w:r w:rsidR="003322B6" w:rsidRPr="003322B6">
        <w:t>, deferred depreciation expense and deferred property tax expense associ</w:t>
      </w:r>
      <w:r w:rsidR="00EA7804">
        <w:softHyphen/>
      </w:r>
      <w:r w:rsidR="003322B6" w:rsidRPr="003322B6">
        <w:t xml:space="preserve">ated with </w:t>
      </w:r>
      <w:r w:rsidR="003322B6">
        <w:t>Columbia Gas of Ohio, Inc.’s (Columbia) very similar proposed capital expenditure pro</w:t>
      </w:r>
      <w:r w:rsidR="00B42171">
        <w:softHyphen/>
      </w:r>
      <w:r w:rsidR="003322B6">
        <w:lastRenderedPageBreak/>
        <w:t>gram</w:t>
      </w:r>
      <w:r w:rsidR="00A32E21">
        <w:t xml:space="preserve"> </w:t>
      </w:r>
      <w:r w:rsidR="009267F4">
        <w:t>as well as t</w:t>
      </w:r>
      <w:r w:rsidR="00BE515C">
        <w:t>he Staff</w:t>
      </w:r>
      <w:r w:rsidR="009267F4">
        <w:t>’s</w:t>
      </w:r>
      <w:r w:rsidR="00BE515C">
        <w:t xml:space="preserve"> position on the various topics and  proposed formulas.  </w:t>
      </w:r>
      <w:r w:rsidR="004728A6">
        <w:t>The Staff also considered the Staff Sur-Reply Comments filed in Dominion East Ohio Gas’ (DEO) very similar capital expenditure program</w:t>
      </w:r>
      <w:r w:rsidR="006A7361">
        <w:t xml:space="preserve"> (DEO CAPEX)</w:t>
      </w:r>
      <w:r w:rsidR="004728A6">
        <w:t>, where the Staff recom</w:t>
      </w:r>
      <w:r w:rsidR="00B745C1">
        <w:softHyphen/>
      </w:r>
      <w:r w:rsidR="004728A6">
        <w:t xml:space="preserve">mended Commission approval of slightly modified incremental revenue, PISCC, and depreciation and property tax deferral formulas than those approved for Columbia in order to recognize accounting differences between the two companies.  </w:t>
      </w:r>
      <w:r w:rsidR="00BE515C">
        <w:t>The Staff’s com</w:t>
      </w:r>
      <w:r w:rsidR="00B745C1">
        <w:softHyphen/>
      </w:r>
      <w:r w:rsidR="00BE515C">
        <w:t xml:space="preserve">ments and recommendations </w:t>
      </w:r>
      <w:r w:rsidR="004728A6">
        <w:t xml:space="preserve">for VEDO’s Application </w:t>
      </w:r>
      <w:r w:rsidR="00BE515C">
        <w:t>by topic are</w:t>
      </w:r>
      <w:r w:rsidR="00FE4ED3">
        <w:t>a are</w:t>
      </w:r>
      <w:r w:rsidR="00BE515C">
        <w:t xml:space="preserve"> set forth below.</w:t>
      </w:r>
      <w:r w:rsidR="009434D3" w:rsidRPr="009434D3">
        <w:t xml:space="preserve">   </w:t>
      </w:r>
    </w:p>
    <w:p w:rsidR="008E753D" w:rsidRPr="00CD42AF" w:rsidRDefault="00C33368" w:rsidP="00230969">
      <w:pPr>
        <w:pStyle w:val="Heading1"/>
      </w:pPr>
      <w:bookmarkStart w:id="2" w:name="_Toc339013415"/>
      <w:r>
        <w:t xml:space="preserve">STAFF’S </w:t>
      </w:r>
      <w:r w:rsidR="009434D3">
        <w:t>SUR-</w:t>
      </w:r>
      <w:r>
        <w:t>REPLY COMMENTS</w:t>
      </w:r>
      <w:bookmarkEnd w:id="2"/>
      <w:r w:rsidR="00385947">
        <w:t xml:space="preserve"> </w:t>
      </w:r>
    </w:p>
    <w:p w:rsidR="00A346EC" w:rsidRPr="00792A39" w:rsidRDefault="005F5076" w:rsidP="00EA7804">
      <w:pPr>
        <w:pStyle w:val="Heading2"/>
      </w:pPr>
      <w:bookmarkStart w:id="3" w:name="_Toc317248249"/>
      <w:bookmarkStart w:id="4" w:name="_Toc339013416"/>
      <w:r>
        <w:t xml:space="preserve">The Staff </w:t>
      </w:r>
      <w:r w:rsidR="009F31D7">
        <w:t xml:space="preserve">recommends that the Commission acknowledge </w:t>
      </w:r>
      <w:r>
        <w:t>VEDO’s proposal to modify of its original Application to remove costs associated with compressed natural gas investments</w:t>
      </w:r>
      <w:r w:rsidR="009F31D7">
        <w:t xml:space="preserve"> and revised CE</w:t>
      </w:r>
      <w:r w:rsidR="003773B5">
        <w:t>P</w:t>
      </w:r>
      <w:r w:rsidR="009F31D7">
        <w:t xml:space="preserve"> spending level</w:t>
      </w:r>
      <w:r>
        <w:t>.</w:t>
      </w:r>
      <w:bookmarkEnd w:id="4"/>
      <w:r>
        <w:t xml:space="preserve">  </w:t>
      </w:r>
      <w:bookmarkEnd w:id="3"/>
    </w:p>
    <w:p w:rsidR="005F5076" w:rsidRDefault="005F5076" w:rsidP="00792A39">
      <w:pPr>
        <w:pStyle w:val="textstyle"/>
      </w:pPr>
      <w:bookmarkStart w:id="5" w:name="_Toc317248250"/>
      <w:r>
        <w:tab/>
        <w:t>VEDO indicates in its Supplemental Reply Comments that it has opted to remove costs associated with compressed natural gas investments that were included in the esti</w:t>
      </w:r>
      <w:r w:rsidR="00EA7804">
        <w:softHyphen/>
      </w:r>
      <w:r>
        <w:t>mated $24.9 million CEP proposed in its original Application.</w:t>
      </w:r>
      <w:r>
        <w:rPr>
          <w:rStyle w:val="FootnoteReference"/>
        </w:rPr>
        <w:footnoteReference w:id="3"/>
      </w:r>
      <w:r w:rsidR="006725E4">
        <w:t xml:space="preserve">  VEDO states that, with this revision, its new CEP for the October 1, 2011 through December 31, 2012 period will be approximately $23.5 million.</w:t>
      </w:r>
      <w:r w:rsidR="006725E4">
        <w:rPr>
          <w:rStyle w:val="FootnoteReference"/>
        </w:rPr>
        <w:footnoteReference w:id="4"/>
      </w:r>
      <w:r w:rsidR="006725E4">
        <w:t xml:space="preserve">  </w:t>
      </w:r>
      <w:r w:rsidR="009C76B0">
        <w:t>As discussed below, with certain limits</w:t>
      </w:r>
      <w:r w:rsidR="00C453D2">
        <w:t>,</w:t>
      </w:r>
      <w:r w:rsidR="009C76B0">
        <w:t xml:space="preserve"> the </w:t>
      </w:r>
      <w:r w:rsidR="006725E4">
        <w:t xml:space="preserve">Staff </w:t>
      </w:r>
      <w:r w:rsidR="009C76B0">
        <w:t>believes that VEDO should have the discretion to modify it</w:t>
      </w:r>
      <w:r w:rsidR="003773B5">
        <w:t>s</w:t>
      </w:r>
      <w:r w:rsidR="009C76B0">
        <w:t xml:space="preserve"> CEP applications as it deems necessary (especially prior to approval by the Commission).  The Staff recommends that the Commission acknowledge VEDO’s election to remove compressed natural gas </w:t>
      </w:r>
      <w:r w:rsidR="009C76B0">
        <w:lastRenderedPageBreak/>
        <w:t xml:space="preserve">investments from its proposed CEP in this case and that the new CEP spending level that VEDO is requesting is $23.5 million.   </w:t>
      </w:r>
    </w:p>
    <w:p w:rsidR="00601DD8" w:rsidRDefault="00E35230" w:rsidP="00EA7804">
      <w:pPr>
        <w:pStyle w:val="Heading2"/>
      </w:pPr>
      <w:bookmarkStart w:id="6" w:name="_Toc339013417"/>
      <w:r>
        <w:t>The Staff agrees that VEDO should have the flexibility to allo</w:t>
      </w:r>
      <w:r w:rsidR="00EA7804">
        <w:softHyphen/>
      </w:r>
      <w:r>
        <w:t>cate CEP expenditures among the broad categories pro</w:t>
      </w:r>
      <w:r w:rsidR="00EA7804">
        <w:softHyphen/>
      </w:r>
      <w:r>
        <w:t xml:space="preserve">vided in its Application; however such flexibility should not limit the Staff’s ability to monitor VEDO’s CEP or </w:t>
      </w:r>
      <w:r w:rsidR="00182C89">
        <w:t xml:space="preserve">the </w:t>
      </w:r>
      <w:r>
        <w:t>Commission</w:t>
      </w:r>
      <w:r w:rsidR="00182C89">
        <w:t>’s regulatory authority</w:t>
      </w:r>
      <w:r>
        <w:t>.</w:t>
      </w:r>
      <w:bookmarkEnd w:id="6"/>
      <w:r>
        <w:t xml:space="preserve">  </w:t>
      </w:r>
      <w:bookmarkEnd w:id="5"/>
    </w:p>
    <w:p w:rsidR="00E35230" w:rsidRDefault="00182C89" w:rsidP="00182C89">
      <w:pPr>
        <w:pStyle w:val="textstyle"/>
        <w:ind w:firstLine="720"/>
      </w:pPr>
      <w:bookmarkStart w:id="7" w:name="_Toc317248251"/>
      <w:r>
        <w:t>In its Supplemental Reply Comments, VEDO recommends that the Commission “confirm that VEDO, in its discretion, may allocate CEP expenditures among the cate</w:t>
      </w:r>
      <w:r w:rsidR="00EA7804">
        <w:softHyphen/>
      </w:r>
      <w:r>
        <w:t xml:space="preserve">gories set forth in </w:t>
      </w:r>
      <w:r w:rsidR="005A3513">
        <w:t>the [CEP] Application (excluding compressed-natural-gas investments) as necessary to meet the needs of its customers and its gas delivery system.”</w:t>
      </w:r>
      <w:r w:rsidR="005A3513">
        <w:rPr>
          <w:rStyle w:val="FootnoteReference"/>
        </w:rPr>
        <w:footnoteReference w:id="5"/>
      </w:r>
      <w:r w:rsidR="005A3513">
        <w:t xml:space="preserve">  VEDO states that </w:t>
      </w:r>
      <w:r w:rsidR="00AC7B32">
        <w:t>the</w:t>
      </w:r>
      <w:r w:rsidR="005A3513">
        <w:t xml:space="preserve"> discretion to allocate or reallocate expenditures among the CEP categories included in its Application</w:t>
      </w:r>
      <w:r w:rsidR="003069DF">
        <w:t xml:space="preserve"> should extend “up to the aggregate CEP budget amount.”</w:t>
      </w:r>
      <w:r w:rsidR="003069DF">
        <w:rPr>
          <w:rStyle w:val="FootnoteReference"/>
        </w:rPr>
        <w:footnoteReference w:id="6"/>
      </w:r>
      <w:r w:rsidR="005A3513">
        <w:t xml:space="preserve"> </w:t>
      </w:r>
      <w:r w:rsidR="003069DF">
        <w:t xml:space="preserve"> (In this case, the new CEP budget is $23.5 million.)  VEDO maintains that it is difficult to forecast with precision </w:t>
      </w:r>
      <w:r w:rsidR="003E739F">
        <w:t xml:space="preserve">the actual dollars that may be spent on particular CEP projects because not all projects are known when the annual budget is established.  It also points out that circumstances could change throughout a given year requiring reprioritization of projects or new higher priority projects could be identified.  VEDO also states that “[W]hile R.C. 4929.111(C) grants the Commission discretion in setting the aggregate </w:t>
      </w:r>
      <w:r w:rsidR="003E739F">
        <w:lastRenderedPageBreak/>
        <w:t>limit on deferral authority, the statute does not speak to allocations of spending among various categories or projects or costs.”</w:t>
      </w:r>
      <w:r w:rsidR="003E739F">
        <w:rPr>
          <w:rStyle w:val="FootnoteReference"/>
        </w:rPr>
        <w:footnoteReference w:id="7"/>
      </w:r>
    </w:p>
    <w:p w:rsidR="00C45764" w:rsidRDefault="003E739F" w:rsidP="00C45764">
      <w:pPr>
        <w:pStyle w:val="textstyle"/>
        <w:ind w:firstLine="720"/>
      </w:pPr>
      <w:r>
        <w:t xml:space="preserve">Up to a point, Staff agrees that VEDO should </w:t>
      </w:r>
      <w:r w:rsidR="00F11C1B">
        <w:t xml:space="preserve">not be locked into the spending estimates </w:t>
      </w:r>
      <w:r w:rsidR="000E6075">
        <w:t xml:space="preserve">it provided in the current </w:t>
      </w:r>
      <w:r w:rsidR="00EA553C">
        <w:t xml:space="preserve">CEP Application </w:t>
      </w:r>
      <w:r w:rsidR="000E6075">
        <w:t>or provides in future CEP applica</w:t>
      </w:r>
      <w:r w:rsidR="00EA7804">
        <w:softHyphen/>
      </w:r>
      <w:r w:rsidR="000E6075">
        <w:t>tions or annual capital budgets.  The Staff agrees that as long as VEDO stays within a</w:t>
      </w:r>
      <w:r w:rsidR="00E45C5E">
        <w:t>pproved CEP spending limit</w:t>
      </w:r>
      <w:r w:rsidR="0097116C">
        <w:t>s</w:t>
      </w:r>
      <w:r w:rsidR="00E45C5E">
        <w:t xml:space="preserve"> it</w:t>
      </w:r>
      <w:r w:rsidR="000E6075">
        <w:t xml:space="preserve"> should have the </w:t>
      </w:r>
      <w:r w:rsidR="00E45C5E">
        <w:t xml:space="preserve">discretion and </w:t>
      </w:r>
      <w:r w:rsidR="000E6075">
        <w:t xml:space="preserve">flexibility to allocate its capital spending and prioritize and reprioritize its spending as it deems necessary </w:t>
      </w:r>
      <w:r w:rsidR="00D71181">
        <w:t xml:space="preserve">to </w:t>
      </w:r>
      <w:r w:rsidR="000E6075">
        <w:t>respond to new or changing conditions</w:t>
      </w:r>
      <w:r w:rsidR="00E45C5E">
        <w:t>.</w:t>
      </w:r>
      <w:r w:rsidR="000E6075">
        <w:t xml:space="preserve"> </w:t>
      </w:r>
      <w:r w:rsidR="00E45C5E">
        <w:t xml:space="preserve">  However, such discretion and flexibility should not come at the expense </w:t>
      </w:r>
      <w:r w:rsidR="00EA553C">
        <w:t>of t</w:t>
      </w:r>
      <w:r w:rsidR="00184D02">
        <w:t xml:space="preserve">he </w:t>
      </w:r>
      <w:r w:rsidR="00E45C5E">
        <w:t>Staff</w:t>
      </w:r>
      <w:r w:rsidR="00184D02">
        <w:t xml:space="preserve">’s </w:t>
      </w:r>
      <w:r w:rsidR="00E45C5E">
        <w:t>ability to rely on documents necessary for properly monitoring VEDO’s CEP</w:t>
      </w:r>
      <w:r w:rsidR="00EA553C">
        <w:t xml:space="preserve"> or diminish the Commission’s oversight authority.</w:t>
      </w:r>
      <w:r w:rsidR="00E45C5E">
        <w:t xml:space="preserve">  As the dis</w:t>
      </w:r>
      <w:r w:rsidR="00EA7804">
        <w:softHyphen/>
      </w:r>
      <w:r w:rsidR="00E45C5E">
        <w:t xml:space="preserve">cussion below indicates, the Staff recommended </w:t>
      </w:r>
      <w:r w:rsidR="00EA553C">
        <w:t xml:space="preserve">in its Initial Comments </w:t>
      </w:r>
      <w:r w:rsidR="0085618A">
        <w:t xml:space="preserve">that </w:t>
      </w:r>
      <w:r w:rsidR="00E45C5E">
        <w:t xml:space="preserve">VEDO </w:t>
      </w:r>
      <w:r w:rsidR="0085618A">
        <w:t xml:space="preserve">file </w:t>
      </w:r>
      <w:r w:rsidR="00E45C5E">
        <w:t>annual updates on the status of its CEP</w:t>
      </w:r>
      <w:r w:rsidR="0085618A">
        <w:t>, and VEDO does not object</w:t>
      </w:r>
      <w:r w:rsidR="00184D02">
        <w:t xml:space="preserve">.  </w:t>
      </w:r>
      <w:r w:rsidR="00EA553C">
        <w:t>The Staff recom</w:t>
      </w:r>
      <w:r w:rsidR="00EA7804">
        <w:softHyphen/>
      </w:r>
      <w:r w:rsidR="00EA553C">
        <w:t xml:space="preserve">mended the annual filings to enable </w:t>
      </w:r>
      <w:r w:rsidR="00FE3CD0">
        <w:t>it</w:t>
      </w:r>
      <w:r w:rsidR="00EA553C">
        <w:t xml:space="preserve"> to </w:t>
      </w:r>
      <w:r w:rsidR="00FE3CD0">
        <w:t xml:space="preserve">properly </w:t>
      </w:r>
      <w:r w:rsidR="00EA553C">
        <w:t>monitor VEDO’s CEP and associated deferrals</w:t>
      </w:r>
      <w:r w:rsidR="00471515">
        <w:t>,</w:t>
      </w:r>
      <w:r w:rsidR="00EA553C">
        <w:t xml:space="preserve"> which are likely to accrue for several years.  In these Sur-Reply Comments, the Staff </w:t>
      </w:r>
      <w:r w:rsidR="00102C42">
        <w:t xml:space="preserve">recommends that the Commission direct that VEDO’s annual update filings </w:t>
      </w:r>
      <w:r w:rsidR="009D61B1">
        <w:t xml:space="preserve">should </w:t>
      </w:r>
      <w:r w:rsidR="00102C42">
        <w:t xml:space="preserve">include certain forward-looking planning documents such as annual capital budgets in order to </w:t>
      </w:r>
      <w:r w:rsidR="00E11649">
        <w:t xml:space="preserve">facilitate </w:t>
      </w:r>
      <w:r w:rsidR="00102C42">
        <w:t xml:space="preserve">the Staff’s </w:t>
      </w:r>
      <w:r w:rsidR="00E11649">
        <w:t xml:space="preserve">monitoring function.  The Staff believes that it must be able to reasonably rely on the information contained in VEDO’s CEP applications and the </w:t>
      </w:r>
      <w:r w:rsidR="00E032EA">
        <w:t xml:space="preserve">annual update </w:t>
      </w:r>
      <w:r w:rsidR="00E11649">
        <w:t xml:space="preserve">documents in order to properly monitor </w:t>
      </w:r>
      <w:r w:rsidR="00EA5B53">
        <w:t>the program and associated defer</w:t>
      </w:r>
      <w:r w:rsidR="00EA7804">
        <w:softHyphen/>
      </w:r>
      <w:r w:rsidR="00EA5B53">
        <w:t xml:space="preserve">rals.  </w:t>
      </w:r>
      <w:r w:rsidR="00E032EA">
        <w:t xml:space="preserve">With no limits on the discretion that </w:t>
      </w:r>
      <w:r w:rsidR="00EA5B53">
        <w:t xml:space="preserve">VEDO </w:t>
      </w:r>
      <w:r w:rsidR="00E032EA">
        <w:t>is re</w:t>
      </w:r>
      <w:r w:rsidR="00C45764">
        <w:t xml:space="preserve">questing, </w:t>
      </w:r>
      <w:r w:rsidR="00AC7B32">
        <w:t>the Company</w:t>
      </w:r>
      <w:r w:rsidR="00C45764">
        <w:t xml:space="preserve"> could </w:t>
      </w:r>
      <w:r w:rsidR="00EA5B53">
        <w:t>exer</w:t>
      </w:r>
      <w:r w:rsidR="00EA7804">
        <w:softHyphen/>
      </w:r>
      <w:r w:rsidR="00EA5B53">
        <w:lastRenderedPageBreak/>
        <w:t xml:space="preserve">cise </w:t>
      </w:r>
      <w:r w:rsidR="00C45764">
        <w:t xml:space="preserve">its </w:t>
      </w:r>
      <w:r w:rsidR="00EA5B53">
        <w:t xml:space="preserve">discretion to </w:t>
      </w:r>
      <w:r w:rsidR="00FE3CD0">
        <w:t>substantially change capital investments specified in CEP applica</w:t>
      </w:r>
      <w:r w:rsidR="00EA7804">
        <w:softHyphen/>
      </w:r>
      <w:r w:rsidR="00FE3CD0">
        <w:t xml:space="preserve">tions and reallocate </w:t>
      </w:r>
      <w:r w:rsidR="00C45764">
        <w:t>budgeted</w:t>
      </w:r>
      <w:r w:rsidR="00FE3CD0">
        <w:t xml:space="preserve"> </w:t>
      </w:r>
      <w:r w:rsidR="00EA5B53">
        <w:t>CEP</w:t>
      </w:r>
      <w:r w:rsidR="00FE3CD0">
        <w:t xml:space="preserve"> expenditures </w:t>
      </w:r>
      <w:r w:rsidR="00C45764">
        <w:t>as often and as much as it please</w:t>
      </w:r>
      <w:r w:rsidR="00AC7B32">
        <w:t>s</w:t>
      </w:r>
      <w:r w:rsidR="00FE3CD0">
        <w:t xml:space="preserve"> with</w:t>
      </w:r>
      <w:r w:rsidR="00EA7804">
        <w:softHyphen/>
      </w:r>
      <w:r w:rsidR="00FE3CD0">
        <w:t>out explanation</w:t>
      </w:r>
      <w:r w:rsidR="00C45764">
        <w:t xml:space="preserve">.  Discretion exercised in such a manner </w:t>
      </w:r>
      <w:r w:rsidR="00FE3CD0">
        <w:t xml:space="preserve">would </w:t>
      </w:r>
      <w:r w:rsidR="00E032EA">
        <w:t>reduce the CEP applica</w:t>
      </w:r>
      <w:r w:rsidR="00EA7804">
        <w:softHyphen/>
      </w:r>
      <w:r w:rsidR="00E032EA">
        <w:t xml:space="preserve">tions and annual update filings to </w:t>
      </w:r>
      <w:r w:rsidR="00C45764">
        <w:t>no more than</w:t>
      </w:r>
      <w:r w:rsidR="00E032EA">
        <w:t xml:space="preserve"> placeholders for actual information that would </w:t>
      </w:r>
      <w:r w:rsidR="004D779F">
        <w:t xml:space="preserve">be </w:t>
      </w:r>
      <w:r w:rsidR="00C45764">
        <w:t xml:space="preserve">filled in </w:t>
      </w:r>
      <w:r w:rsidR="00E032EA">
        <w:t xml:space="preserve">later and </w:t>
      </w:r>
      <w:r w:rsidR="00FE3CD0">
        <w:t xml:space="preserve">render the information </w:t>
      </w:r>
      <w:r w:rsidR="00E032EA">
        <w:t xml:space="preserve">contained in them </w:t>
      </w:r>
      <w:r w:rsidR="00FE3CD0">
        <w:t>meaning</w:t>
      </w:r>
      <w:r w:rsidR="00541972">
        <w:t>less</w:t>
      </w:r>
      <w:r w:rsidR="00D71181">
        <w:t>, thus</w:t>
      </w:r>
      <w:r w:rsidR="00C45764">
        <w:t xml:space="preserve"> </w:t>
      </w:r>
      <w:r w:rsidR="004F3F93">
        <w:t>negating Staff monitoring</w:t>
      </w:r>
      <w:r w:rsidR="00E032EA">
        <w:t xml:space="preserve">.  </w:t>
      </w:r>
    </w:p>
    <w:p w:rsidR="00C45764" w:rsidRDefault="00C45764" w:rsidP="00C45764">
      <w:pPr>
        <w:pStyle w:val="textstyle"/>
        <w:ind w:firstLine="720"/>
      </w:pPr>
      <w:r>
        <w:t xml:space="preserve">The Staff believes that there </w:t>
      </w:r>
      <w:r w:rsidR="00343C36">
        <w:t>should</w:t>
      </w:r>
      <w:r>
        <w:t xml:space="preserve"> be a balance between VEDO’s </w:t>
      </w:r>
      <w:r w:rsidR="00306578">
        <w:t xml:space="preserve">discretion </w:t>
      </w:r>
      <w:r>
        <w:t xml:space="preserve">to </w:t>
      </w:r>
      <w:r w:rsidR="004F3F93">
        <w:t>allocate or reallocate expenditures among the CEP categories included in its Application up to the approved CEP budget amount in order to respond to new or changing circum</w:t>
      </w:r>
      <w:r w:rsidR="00EA7804">
        <w:softHyphen/>
      </w:r>
      <w:r w:rsidR="004F3F93">
        <w:t xml:space="preserve">stances with the Staff’s ability </w:t>
      </w:r>
      <w:r w:rsidR="004D779F">
        <w:t xml:space="preserve">to </w:t>
      </w:r>
      <w:r w:rsidR="004F3F93">
        <w:t xml:space="preserve">rely on the data included </w:t>
      </w:r>
      <w:r w:rsidR="004D779F">
        <w:t xml:space="preserve">in </w:t>
      </w:r>
      <w:r w:rsidR="004F3F93">
        <w:t>CEP applications and annual capital budgets for ongoing monitoring purposes.  Therefore, the Staff recom</w:t>
      </w:r>
      <w:r w:rsidR="00B745C1">
        <w:softHyphen/>
      </w:r>
      <w:r w:rsidR="004F3F93">
        <w:t>mends that the Commission acknowledge that VEDO has the discretion to allocate and reallocate CEP investments as</w:t>
      </w:r>
      <w:r w:rsidR="009D61B1">
        <w:t xml:space="preserve"> it</w:t>
      </w:r>
      <w:r w:rsidR="004F3F93">
        <w:t xml:space="preserve"> deems necessary.  However, the Commission should </w:t>
      </w:r>
      <w:r w:rsidR="007D332A">
        <w:t>require that</w:t>
      </w:r>
      <w:r w:rsidR="00C453D2">
        <w:t>,</w:t>
      </w:r>
      <w:r w:rsidR="007D332A">
        <w:t xml:space="preserve"> if VEDO</w:t>
      </w:r>
      <w:r w:rsidR="00343C36">
        <w:t xml:space="preserve"> substantially deviates from planned CEP expenditures specified in CEP applica</w:t>
      </w:r>
      <w:r w:rsidR="00EA7804">
        <w:softHyphen/>
      </w:r>
      <w:r w:rsidR="00343C36">
        <w:t>tions and/or capital budgets provided with annual update fil</w:t>
      </w:r>
      <w:r w:rsidR="00380BC6">
        <w:t>ings, then VEDO should pro</w:t>
      </w:r>
      <w:r w:rsidR="00EA7804">
        <w:softHyphen/>
      </w:r>
      <w:r w:rsidR="00380BC6">
        <w:t xml:space="preserve">vide </w:t>
      </w:r>
      <w:r w:rsidR="00343C36">
        <w:t>detailed explanation</w:t>
      </w:r>
      <w:r w:rsidR="00380BC6">
        <w:t>s</w:t>
      </w:r>
      <w:r w:rsidR="00343C36">
        <w:t xml:space="preserve"> for such deviation</w:t>
      </w:r>
      <w:r w:rsidR="00380BC6">
        <w:t>s</w:t>
      </w:r>
      <w:r w:rsidR="00343C36">
        <w:t xml:space="preserve"> in the annual update filings.  </w:t>
      </w:r>
      <w:r w:rsidR="00306578">
        <w:t>Similarly, the Commission should place VEDO on notice that</w:t>
      </w:r>
      <w:r w:rsidR="00380BC6">
        <w:t>,</w:t>
      </w:r>
      <w:r w:rsidR="00306578">
        <w:t xml:space="preserve"> should its CEP applica</w:t>
      </w:r>
      <w:r w:rsidR="00B745C1">
        <w:softHyphen/>
      </w:r>
      <w:r w:rsidR="00306578">
        <w:t>tions and capital budgets provided with the annual updates be modified so frequently and substantially that the Staff’s ability to monitor its CEP is impaired, then the Commission may revisit this topic in the future.  I</w:t>
      </w:r>
      <w:r w:rsidR="00343C36">
        <w:t>n addition, the Staff recommends that the Commis</w:t>
      </w:r>
      <w:r w:rsidR="00B745C1">
        <w:softHyphen/>
      </w:r>
      <w:r w:rsidR="00343C36">
        <w:t>sion expressly</w:t>
      </w:r>
      <w:r w:rsidR="00012420">
        <w:t xml:space="preserve"> reject</w:t>
      </w:r>
      <w:r w:rsidR="00343C36">
        <w:t xml:space="preserve"> </w:t>
      </w:r>
      <w:r w:rsidR="00785C59">
        <w:t>VEDO’s implication in its Supplemental Reply Com</w:t>
      </w:r>
      <w:r w:rsidR="00EA7804">
        <w:softHyphen/>
      </w:r>
      <w:r w:rsidR="00785C59">
        <w:t xml:space="preserve">ments that </w:t>
      </w:r>
      <w:r w:rsidR="0061495F">
        <w:t xml:space="preserve">since </w:t>
      </w:r>
      <w:r w:rsidR="00785C59">
        <w:t>R.C. 4929.111(C)</w:t>
      </w:r>
      <w:r w:rsidR="00306578">
        <w:t xml:space="preserve"> </w:t>
      </w:r>
      <w:r w:rsidR="0061495F">
        <w:t xml:space="preserve">does not expressly state that the Commission can hold VEDO to the </w:t>
      </w:r>
      <w:r w:rsidR="0061495F">
        <w:lastRenderedPageBreak/>
        <w:t>estimated CEP expenditures</w:t>
      </w:r>
      <w:r w:rsidR="00380BC6">
        <w:t xml:space="preserve">, </w:t>
      </w:r>
      <w:r w:rsidR="00266045">
        <w:t xml:space="preserve">then </w:t>
      </w:r>
      <w:r w:rsidR="0061495F">
        <w:t xml:space="preserve">the Commission </w:t>
      </w:r>
      <w:r w:rsidR="008C7606">
        <w:t>is required to</w:t>
      </w:r>
      <w:r w:rsidR="0061495F">
        <w:t xml:space="preserve"> grant VEDO the discre</w:t>
      </w:r>
      <w:r w:rsidR="00B745C1">
        <w:softHyphen/>
      </w:r>
      <w:r w:rsidR="0061495F">
        <w:t>tion it is seeking.  The Commission should accept no such limitation on its general super</w:t>
      </w:r>
      <w:r w:rsidR="00B745C1">
        <w:softHyphen/>
      </w:r>
      <w:r w:rsidR="0061495F">
        <w:t>visory powers</w:t>
      </w:r>
      <w:r w:rsidR="003773B5">
        <w:t xml:space="preserve"> or its authority to determine if CEP services and facilities are “just and reasonable” under R.C. 4929.111(C)</w:t>
      </w:r>
      <w:r w:rsidR="0061495F">
        <w:t xml:space="preserve">. </w:t>
      </w:r>
    </w:p>
    <w:p w:rsidR="00A346EC" w:rsidRDefault="00266045" w:rsidP="00EA7804">
      <w:pPr>
        <w:pStyle w:val="Heading2"/>
      </w:pPr>
      <w:bookmarkStart w:id="8" w:name="_Toc339013418"/>
      <w:bookmarkEnd w:id="7"/>
      <w:r>
        <w:t>VED</w:t>
      </w:r>
      <w:r w:rsidR="00300F32" w:rsidRPr="00300F32">
        <w:t>O agrees that the total monthly deferred regula</w:t>
      </w:r>
      <w:r w:rsidR="00300F32" w:rsidRPr="00300F32">
        <w:softHyphen/>
        <w:t>tory asset should be net of any incre</w:t>
      </w:r>
      <w:r w:rsidR="00300F32" w:rsidRPr="00300F32">
        <w:softHyphen/>
        <w:t xml:space="preserve">mental </w:t>
      </w:r>
      <w:r w:rsidRPr="00300F32">
        <w:t>revenue</w:t>
      </w:r>
      <w:r w:rsidR="00300F32" w:rsidRPr="00300F32">
        <w:t xml:space="preserve"> </w:t>
      </w:r>
      <w:r w:rsidR="00D71181">
        <w:t>and VEDO</w:t>
      </w:r>
      <w:r w:rsidR="00864A31">
        <w:t>’s</w:t>
      </w:r>
      <w:r w:rsidR="00D71181">
        <w:t xml:space="preserve"> </w:t>
      </w:r>
      <w:r w:rsidR="00EA4239">
        <w:t xml:space="preserve">and </w:t>
      </w:r>
      <w:r w:rsidR="003D0DEE">
        <w:t>Staff’s recommended formulas for calculating incre</w:t>
      </w:r>
      <w:r w:rsidR="00EA7804">
        <w:softHyphen/>
      </w:r>
      <w:r w:rsidR="003D0DEE">
        <w:t>mental revenue are similar.</w:t>
      </w:r>
      <w:bookmarkEnd w:id="8"/>
      <w:r w:rsidR="003D0DEE">
        <w:t xml:space="preserve">  </w:t>
      </w:r>
    </w:p>
    <w:p w:rsidR="00266045" w:rsidRDefault="00792A39" w:rsidP="00FE4ED3">
      <w:pPr>
        <w:pStyle w:val="textstyle"/>
      </w:pPr>
      <w:bookmarkStart w:id="9" w:name="_Toc317248254"/>
      <w:r>
        <w:tab/>
      </w:r>
      <w:r w:rsidR="003D0DEE">
        <w:t xml:space="preserve">In its Supplemental Reply Comments, VEDO reiterates that it does not oppose in principle the Staff recommendation that </w:t>
      </w:r>
      <w:r w:rsidR="00DE052A">
        <w:t>the</w:t>
      </w:r>
      <w:r w:rsidR="00DE052A" w:rsidRPr="00DE052A">
        <w:rPr>
          <w:rFonts w:cstheme="minorBidi"/>
          <w:sz w:val="24"/>
          <w:szCs w:val="22"/>
        </w:rPr>
        <w:t xml:space="preserve"> </w:t>
      </w:r>
      <w:r w:rsidR="00DE052A">
        <w:rPr>
          <w:rFonts w:cstheme="minorBidi"/>
          <w:sz w:val="24"/>
          <w:szCs w:val="22"/>
        </w:rPr>
        <w:t xml:space="preserve">CEP </w:t>
      </w:r>
      <w:r w:rsidR="00DE052A" w:rsidRPr="00DE052A">
        <w:t>deferred regula</w:t>
      </w:r>
      <w:r w:rsidR="00DE052A" w:rsidRPr="00DE052A">
        <w:softHyphen/>
      </w:r>
      <w:r w:rsidR="00DE052A">
        <w:t xml:space="preserve">tory asset should be net of incremental revenue attributable to the CEP investments.  In addition, it </w:t>
      </w:r>
      <w:r w:rsidR="003D0DEE">
        <w:t xml:space="preserve">proposes a formula for calculating incremental revenue </w:t>
      </w:r>
      <w:r w:rsidR="000B0268">
        <w:t xml:space="preserve">and related definitions </w:t>
      </w:r>
      <w:r w:rsidR="003D0DEE">
        <w:t xml:space="preserve">that </w:t>
      </w:r>
      <w:r w:rsidR="000B0268">
        <w:t>are</w:t>
      </w:r>
      <w:r w:rsidR="00DE052A">
        <w:t xml:space="preserve"> similar to</w:t>
      </w:r>
      <w:r w:rsidR="003D0DEE">
        <w:t xml:space="preserve"> the incremental revenue formula </w:t>
      </w:r>
      <w:r w:rsidR="000B0268">
        <w:t xml:space="preserve">and definitions </w:t>
      </w:r>
      <w:r w:rsidR="003D0DEE">
        <w:t xml:space="preserve">that the Commission adopted </w:t>
      </w:r>
      <w:r w:rsidR="00DE052A">
        <w:t xml:space="preserve">in the Columbia CEP Order, except that </w:t>
      </w:r>
      <w:r w:rsidR="003773B5">
        <w:t>VEDO</w:t>
      </w:r>
      <w:r w:rsidR="00DE052A">
        <w:t xml:space="preserve"> recommends a calendar year </w:t>
      </w:r>
      <w:r w:rsidR="00A129C7">
        <w:t>calculation for incremental revenue to be consistent with the methodology used in its last base rate case</w:t>
      </w:r>
      <w:r w:rsidR="00471515">
        <w:t>.  In addition, VEDO</w:t>
      </w:r>
      <w:r w:rsidR="00A129C7">
        <w:t xml:space="preserve"> does not include a provision for including revenue generated by sources other than straight fixed-variable </w:t>
      </w:r>
      <w:r w:rsidR="00EA4239">
        <w:t xml:space="preserve">(SFV) </w:t>
      </w:r>
      <w:r w:rsidR="00A129C7">
        <w:t>or non-</w:t>
      </w:r>
      <w:r w:rsidR="00A129C7" w:rsidRPr="00A129C7">
        <w:rPr>
          <w:rFonts w:cstheme="minorBidi"/>
          <w:sz w:val="24"/>
          <w:szCs w:val="22"/>
        </w:rPr>
        <w:t xml:space="preserve"> </w:t>
      </w:r>
      <w:r w:rsidR="00EA4239">
        <w:t>SFV</w:t>
      </w:r>
      <w:r w:rsidR="00A129C7">
        <w:t xml:space="preserve"> customers</w:t>
      </w:r>
      <w:r w:rsidR="00DE052A">
        <w:t xml:space="preserve">.  </w:t>
      </w:r>
    </w:p>
    <w:p w:rsidR="00A129C7" w:rsidRPr="00A129C7" w:rsidRDefault="006A7361" w:rsidP="00140670">
      <w:pPr>
        <w:pStyle w:val="textstyle"/>
      </w:pPr>
      <w:r>
        <w:tab/>
        <w:t>VEDO’s recommendation to use a calendar year baseline in its recommended incre</w:t>
      </w:r>
      <w:r w:rsidR="00EA7804">
        <w:softHyphen/>
      </w:r>
      <w:r>
        <w:t xml:space="preserve">mental revenue formula makes </w:t>
      </w:r>
      <w:r w:rsidR="009F31D7">
        <w:t>it</w:t>
      </w:r>
      <w:r>
        <w:t xml:space="preserve"> very similar to the formula that the Staff recom</w:t>
      </w:r>
      <w:r w:rsidR="00EA7804">
        <w:softHyphen/>
      </w:r>
      <w:r>
        <w:t xml:space="preserve">mended in the DEO CAPEX case.  </w:t>
      </w:r>
      <w:r w:rsidR="00140670">
        <w:t>Despite this apparent agreement, however, the Staff believes that additional clarification regarding calculation of incremental revenue is war</w:t>
      </w:r>
      <w:r w:rsidR="00EA7804">
        <w:softHyphen/>
      </w:r>
      <w:r w:rsidR="00140670">
        <w:t>ranted.  One such clarification is that, l</w:t>
      </w:r>
      <w:r>
        <w:t xml:space="preserve">ike in </w:t>
      </w:r>
      <w:r w:rsidR="00140670">
        <w:t xml:space="preserve">the </w:t>
      </w:r>
      <w:r w:rsidR="00D52173">
        <w:t xml:space="preserve">Staff recommendations in the </w:t>
      </w:r>
      <w:r w:rsidR="00140670">
        <w:t>Colum</w:t>
      </w:r>
      <w:r w:rsidR="00D52173">
        <w:t xml:space="preserve">bia and </w:t>
      </w:r>
      <w:r w:rsidR="00140670">
        <w:t>DEO</w:t>
      </w:r>
      <w:r w:rsidR="00D52173">
        <w:t xml:space="preserve"> cases, </w:t>
      </w:r>
      <w:r w:rsidR="00A129C7" w:rsidRPr="00A129C7">
        <w:t>the Com</w:t>
      </w:r>
      <w:r w:rsidR="00A129C7" w:rsidRPr="00A129C7">
        <w:softHyphen/>
        <w:t xml:space="preserve">mission should </w:t>
      </w:r>
      <w:r w:rsidR="00E8083A">
        <w:t>find</w:t>
      </w:r>
      <w:r w:rsidR="00A129C7" w:rsidRPr="00A129C7">
        <w:t xml:space="preserve"> as a principle</w:t>
      </w:r>
      <w:r w:rsidR="00D52173">
        <w:t xml:space="preserve"> in this case </w:t>
      </w:r>
      <w:r w:rsidR="00A129C7" w:rsidRPr="00A129C7">
        <w:t xml:space="preserve">that any revenue </w:t>
      </w:r>
      <w:r w:rsidR="00D52173">
        <w:lastRenderedPageBreak/>
        <w:t xml:space="preserve">that VEDO obtains that is </w:t>
      </w:r>
      <w:r w:rsidR="00A129C7" w:rsidRPr="00A129C7">
        <w:t>directly associated with CEP invest</w:t>
      </w:r>
      <w:r w:rsidR="00A129C7" w:rsidRPr="00A129C7">
        <w:softHyphen/>
        <w:t xml:space="preserve">ments under a CEP should be used to offset the requested CEP deferrals.  </w:t>
      </w:r>
      <w:r w:rsidR="00D52173">
        <w:t>T</w:t>
      </w:r>
      <w:r w:rsidR="00A129C7" w:rsidRPr="00A129C7">
        <w:t xml:space="preserve">he Staff </w:t>
      </w:r>
      <w:r w:rsidR="00D52173">
        <w:t xml:space="preserve">believes that such revenue can be </w:t>
      </w:r>
      <w:r w:rsidR="00A129C7" w:rsidRPr="00A129C7">
        <w:t xml:space="preserve">categorized </w:t>
      </w:r>
      <w:r w:rsidR="00D52173">
        <w:t xml:space="preserve">into three </w:t>
      </w:r>
      <w:r w:rsidR="00A129C7" w:rsidRPr="00A129C7">
        <w:t>potential sources</w:t>
      </w:r>
      <w:r w:rsidR="00D52173">
        <w:t>: (1)</w:t>
      </w:r>
      <w:r w:rsidR="00A129C7" w:rsidRPr="00A129C7">
        <w:t xml:space="preserve"> </w:t>
      </w:r>
      <w:r w:rsidR="00D52173">
        <w:t xml:space="preserve">SFV customers; (2) non-SFV customers; </w:t>
      </w:r>
      <w:r w:rsidR="00A129C7" w:rsidRPr="00A129C7">
        <w:t>and</w:t>
      </w:r>
      <w:r w:rsidR="00D52173">
        <w:t>, (3)</w:t>
      </w:r>
      <w:r w:rsidR="00A129C7" w:rsidRPr="00A129C7">
        <w:t xml:space="preserve"> other revenues</w:t>
      </w:r>
      <w:r w:rsidR="00D52173">
        <w:t xml:space="preserve">.  The Staff </w:t>
      </w:r>
      <w:r w:rsidR="007251F9">
        <w:t xml:space="preserve">explains how each of these categories should be treated </w:t>
      </w:r>
      <w:r w:rsidR="00FA0859">
        <w:t xml:space="preserve">in the </w:t>
      </w:r>
      <w:r w:rsidR="007251F9">
        <w:t xml:space="preserve">formula for calculating VEDO’s incremental revenue </w:t>
      </w:r>
      <w:r w:rsidR="00A129C7" w:rsidRPr="00A129C7">
        <w:t>below.</w:t>
      </w:r>
    </w:p>
    <w:p w:rsidR="00A129C7" w:rsidRPr="00A129C7" w:rsidRDefault="00A129C7" w:rsidP="007251F9">
      <w:pPr>
        <w:pStyle w:val="textstyle"/>
        <w:ind w:firstLine="720"/>
      </w:pPr>
      <w:r w:rsidRPr="00A129C7">
        <w:t>In the Columbia CEP Order, the Commission adopted Staff’s formula for calcu</w:t>
      </w:r>
      <w:r w:rsidRPr="00A129C7">
        <w:softHyphen/>
        <w:t>lating incremental revenues generated from SFV customers for the purposes of offsetting the total monthly deferral.  This is done by taking the number of customer bills for a spe</w:t>
      </w:r>
      <w:r w:rsidRPr="00A129C7">
        <w:softHyphen/>
        <w:t xml:space="preserve">cific class of customers included in the baseline (from the most recent base rate case) and subtracting  </w:t>
      </w:r>
      <w:r w:rsidR="0097116C">
        <w:t>that number</w:t>
      </w:r>
      <w:r w:rsidR="0097116C" w:rsidRPr="00A129C7">
        <w:t xml:space="preserve"> </w:t>
      </w:r>
      <w:r w:rsidRPr="00A129C7">
        <w:t xml:space="preserve">from the actual number of customer bills, then multiplying </w:t>
      </w:r>
      <w:r w:rsidR="0097116C">
        <w:t>the difference</w:t>
      </w:r>
      <w:r w:rsidRPr="00A129C7">
        <w:t xml:space="preserve"> by the cost portion of the SFV rate for that class.  Revenue generated in this manner would then be subtracted from the deferral amounts.  If the number of current customer bills is less than the baseline, no adjustment is made.  Likewise, if the revenue calculation exceeds the PISCC, property tax expense, and depreciation expense to be deferred for that period, </w:t>
      </w:r>
      <w:r w:rsidR="0097116C">
        <w:t xml:space="preserve">then </w:t>
      </w:r>
      <w:r w:rsidR="007251F9">
        <w:t>VE</w:t>
      </w:r>
      <w:r w:rsidR="00C6159B">
        <w:t>D</w:t>
      </w:r>
      <w:r w:rsidRPr="00A129C7">
        <w:t xml:space="preserve">O would </w:t>
      </w:r>
      <w:r w:rsidR="0097116C" w:rsidRPr="00A129C7">
        <w:t xml:space="preserve">simply </w:t>
      </w:r>
      <w:r w:rsidRPr="00A129C7">
        <w:t xml:space="preserve">not record a deferral rather than recording a negative amount.  Staff would like to </w:t>
      </w:r>
      <w:r w:rsidR="00471515">
        <w:t>cla</w:t>
      </w:r>
      <w:r w:rsidR="00554E68">
        <w:t>r</w:t>
      </w:r>
      <w:r w:rsidR="00471515">
        <w:t>ify</w:t>
      </w:r>
      <w:r w:rsidRPr="00A129C7">
        <w:t xml:space="preserve"> that the actual number of cus</w:t>
      </w:r>
      <w:r w:rsidR="00B745C1">
        <w:softHyphen/>
      </w:r>
      <w:r w:rsidRPr="00A129C7">
        <w:t>tomer bills is not adjusted to reflect only those customer bills identified by the Company as directly attributable to the C</w:t>
      </w:r>
      <w:r w:rsidR="00C6159B">
        <w:t>EP</w:t>
      </w:r>
      <w:r w:rsidRPr="00A129C7">
        <w:t xml:space="preserve"> program.  As </w:t>
      </w:r>
      <w:r w:rsidR="000B28E7">
        <w:t xml:space="preserve">Staff </w:t>
      </w:r>
      <w:r w:rsidRPr="00A129C7">
        <w:t>pointed out in its comments in Columbia’s</w:t>
      </w:r>
      <w:r w:rsidR="000B28E7">
        <w:t xml:space="preserve"> CEP</w:t>
      </w:r>
      <w:r w:rsidRPr="00A129C7">
        <w:t xml:space="preserve"> pro</w:t>
      </w:r>
      <w:r w:rsidRPr="00A129C7">
        <w:softHyphen/>
        <w:t>ceeding, if a company’s “customer count increases or it obtains other sources of revenue that were not considered in the [last base rate case]…, then the com</w:t>
      </w:r>
      <w:r w:rsidR="00B745C1">
        <w:softHyphen/>
      </w:r>
      <w:r w:rsidRPr="00A129C7">
        <w:lastRenderedPageBreak/>
        <w:t>pany would realize earnings above its allowable rate of return.”</w:t>
      </w:r>
      <w:r w:rsidRPr="00A129C7">
        <w:rPr>
          <w:vertAlign w:val="superscript"/>
        </w:rPr>
        <w:footnoteReference w:id="8"/>
      </w:r>
      <w:r w:rsidRPr="00A129C7">
        <w:t xml:space="preserve">  </w:t>
      </w:r>
      <w:r w:rsidR="007251F9">
        <w:t>VED</w:t>
      </w:r>
      <w:r w:rsidRPr="00A129C7">
        <w:t>O, however, raises a valid point regard</w:t>
      </w:r>
      <w:r w:rsidRPr="00A129C7">
        <w:softHyphen/>
        <w:t xml:space="preserve">ing the calculation of the revenues in this manner on a monthly basis.  Staff agrees with </w:t>
      </w:r>
      <w:r w:rsidR="003A36FA">
        <w:t>VED</w:t>
      </w:r>
      <w:r w:rsidRPr="00A129C7">
        <w:t>O that a “calendar year calculation of incremental revenues”</w:t>
      </w:r>
      <w:r w:rsidRPr="00A129C7">
        <w:rPr>
          <w:vertAlign w:val="superscript"/>
        </w:rPr>
        <w:footnoteReference w:id="9"/>
      </w:r>
      <w:r w:rsidRPr="00A129C7">
        <w:t xml:space="preserve"> is appropriate given a calendar year baseline and </w:t>
      </w:r>
      <w:r w:rsidR="000B28E7">
        <w:t xml:space="preserve">Staff </w:t>
      </w:r>
      <w:r w:rsidRPr="00A129C7">
        <w:t>recognizes that calculating this num</w:t>
      </w:r>
      <w:r w:rsidR="00B745C1">
        <w:softHyphen/>
      </w:r>
      <w:r w:rsidRPr="00A129C7">
        <w:t>ber annually still produces the desired result.</w:t>
      </w:r>
    </w:p>
    <w:p w:rsidR="00A129C7" w:rsidRPr="00A129C7" w:rsidRDefault="00A129C7" w:rsidP="00FA0859">
      <w:pPr>
        <w:pStyle w:val="textstyle"/>
        <w:ind w:firstLine="720"/>
      </w:pPr>
      <w:r w:rsidRPr="00A129C7">
        <w:t>The Commission also adopted Staff’s methodology for calculating incremental revenues for non-SFV customers in Columbia’s CEP Order.  For non-SFV customers directly attributable to program investment, the Company should calculate incremental revenue by multiplying total usage by the cost portion of that customer’s rate and sub</w:t>
      </w:r>
      <w:r w:rsidRPr="00A129C7">
        <w:softHyphen/>
        <w:t>tracting it from the deferral for that period.  The Commission found this method to be reasonable and consistent with the calculation of incremental revenue for SFV customers.</w:t>
      </w:r>
      <w:r w:rsidR="00FA0859">
        <w:t xml:space="preserve">  In addition, </w:t>
      </w:r>
      <w:r w:rsidRPr="00A129C7">
        <w:t xml:space="preserve">Staff recommends that any other revenues generated by </w:t>
      </w:r>
      <w:r w:rsidR="008C7606">
        <w:t>CEP</w:t>
      </w:r>
      <w:r w:rsidRPr="00A129C7">
        <w:t xml:space="preserve"> investments also be deducted from the deferral.  </w:t>
      </w:r>
      <w:r w:rsidR="00FA0859">
        <w:t>The</w:t>
      </w:r>
      <w:r w:rsidRPr="00A129C7">
        <w:t xml:space="preserve"> Staff </w:t>
      </w:r>
      <w:r w:rsidR="00FA0859">
        <w:t xml:space="preserve">also </w:t>
      </w:r>
      <w:r w:rsidRPr="00A129C7">
        <w:t>rec</w:t>
      </w:r>
      <w:r w:rsidRPr="00A129C7">
        <w:softHyphen/>
        <w:t xml:space="preserve">ommends that the Commission direct </w:t>
      </w:r>
      <w:r w:rsidR="00FA0859">
        <w:t>VEDO</w:t>
      </w:r>
      <w:r w:rsidRPr="00A129C7">
        <w:t xml:space="preserve"> to maintain sufficient records to enable the Staff to verify that all revenue generated from CEP investments can be accurately excluded from the total monthly deferral.</w:t>
      </w:r>
    </w:p>
    <w:p w:rsidR="00A129C7" w:rsidRDefault="00A129C7" w:rsidP="00FA0859">
      <w:pPr>
        <w:pStyle w:val="textstyle"/>
        <w:ind w:firstLine="720"/>
      </w:pPr>
      <w:r w:rsidRPr="00A129C7">
        <w:t xml:space="preserve">In sum, the Staff believes that the methodologies </w:t>
      </w:r>
      <w:r w:rsidR="00FA0859">
        <w:t>for calculating incremental reve</w:t>
      </w:r>
      <w:r w:rsidR="00EA7804">
        <w:softHyphen/>
      </w:r>
      <w:r w:rsidR="00FA0859">
        <w:t xml:space="preserve">nue </w:t>
      </w:r>
      <w:r w:rsidRPr="00A129C7">
        <w:t xml:space="preserve">set forth herein </w:t>
      </w:r>
      <w:r w:rsidR="00FA0859">
        <w:t xml:space="preserve">are consistent with VEDO’s proposed calculation and statement that </w:t>
      </w:r>
      <w:r w:rsidR="00012420">
        <w:t>VEDO</w:t>
      </w:r>
      <w:r w:rsidR="00FA0859">
        <w:t xml:space="preserve"> does not oppose netting incremental revenue attributable to CEP investments </w:t>
      </w:r>
      <w:r w:rsidR="00FA0859">
        <w:lastRenderedPageBreak/>
        <w:t>from the CEP deferrals.  Therefore, the Staff recommends that the Commission adopt for VEDO the incremental revenue calculation provided below in the summary of Staff-rec</w:t>
      </w:r>
      <w:r w:rsidR="00B745C1">
        <w:softHyphen/>
      </w:r>
      <w:r w:rsidR="00FA0859">
        <w:t>om</w:t>
      </w:r>
      <w:r w:rsidR="00EA7804">
        <w:softHyphen/>
      </w:r>
      <w:r w:rsidR="00FA0859">
        <w:t>mended formulas</w:t>
      </w:r>
      <w:r w:rsidR="000B0268">
        <w:t xml:space="preserve"> and the definitions that support the formula.</w:t>
      </w:r>
      <w:r w:rsidR="00FA0859">
        <w:t xml:space="preserve">    </w:t>
      </w:r>
    </w:p>
    <w:p w:rsidR="009434D3" w:rsidRPr="00C6159B" w:rsidRDefault="000566EB" w:rsidP="00EA7804">
      <w:pPr>
        <w:pStyle w:val="Heading2"/>
      </w:pPr>
      <w:bookmarkStart w:id="10" w:name="_Toc339013419"/>
      <w:r>
        <w:t xml:space="preserve">VEDO’s proposed formulas for calculating the monthly </w:t>
      </w:r>
      <w:r w:rsidRPr="00C6159B">
        <w:t xml:space="preserve">depreciation expense and property tax expense deferrals are </w:t>
      </w:r>
      <w:r>
        <w:t>acceptable to the Staff, however its proposed formula</w:t>
      </w:r>
      <w:r w:rsidR="00B152A7" w:rsidRPr="00C6159B">
        <w:t xml:space="preserve"> for calculating monthly PISCC</w:t>
      </w:r>
      <w:r>
        <w:t xml:space="preserve"> should be adjusted to be con</w:t>
      </w:r>
      <w:r w:rsidR="00B745C1">
        <w:softHyphen/>
      </w:r>
      <w:r>
        <w:t>sistent with</w:t>
      </w:r>
      <w:r w:rsidRPr="000566EB">
        <w:t xml:space="preserve"> </w:t>
      </w:r>
      <w:r>
        <w:t xml:space="preserve">the formula </w:t>
      </w:r>
      <w:r w:rsidRPr="00C6159B">
        <w:t xml:space="preserve">approved by the Commission in the </w:t>
      </w:r>
      <w:r w:rsidR="0097116C" w:rsidRPr="00C6159B">
        <w:t>Col</w:t>
      </w:r>
      <w:r w:rsidR="0097116C">
        <w:t>u</w:t>
      </w:r>
      <w:r w:rsidR="0097116C" w:rsidRPr="00C6159B">
        <w:t xml:space="preserve">mbia </w:t>
      </w:r>
      <w:r w:rsidRPr="00C6159B">
        <w:t>CEP Order</w:t>
      </w:r>
      <w:r w:rsidR="004A4E3B">
        <w:t xml:space="preserve"> and its long term debt rate should be the rate approved in its last base rate case</w:t>
      </w:r>
      <w:r>
        <w:t>.</w:t>
      </w:r>
      <w:bookmarkEnd w:id="10"/>
      <w:r>
        <w:t xml:space="preserve"> </w:t>
      </w:r>
    </w:p>
    <w:p w:rsidR="00951016" w:rsidRDefault="00050A19" w:rsidP="00050A19">
      <w:pPr>
        <w:pStyle w:val="textstyle"/>
      </w:pPr>
      <w:r>
        <w:tab/>
      </w:r>
      <w:r w:rsidR="00B84AF9">
        <w:t xml:space="preserve">In its Supplemental Reply Comments, VEDO proposes formulas </w:t>
      </w:r>
      <w:r w:rsidR="0002112E">
        <w:t xml:space="preserve">and associated definitions </w:t>
      </w:r>
      <w:r w:rsidR="00B84AF9">
        <w:t xml:space="preserve">for calculating </w:t>
      </w:r>
      <w:r w:rsidR="00B84AF9" w:rsidRPr="00B84AF9">
        <w:t>monthly PISCC, depreciation expense, and property tax expense deferrals</w:t>
      </w:r>
      <w:r w:rsidR="00B84AF9">
        <w:t xml:space="preserve"> associated</w:t>
      </w:r>
      <w:r w:rsidR="0002112E">
        <w:t xml:space="preserve"> with its CEP investments.  The</w:t>
      </w:r>
      <w:r w:rsidR="000566EB">
        <w:t xml:space="preserve"> proposed </w:t>
      </w:r>
      <w:r w:rsidR="0002112E">
        <w:t xml:space="preserve">formulas </w:t>
      </w:r>
      <w:r w:rsidR="000566EB">
        <w:t>for cal</w:t>
      </w:r>
      <w:r w:rsidR="00EA7804">
        <w:softHyphen/>
      </w:r>
      <w:r w:rsidR="000566EB">
        <w:t>culating the monthly deferral amounts for the CEP depreciation and property</w:t>
      </w:r>
      <w:r w:rsidR="0075705E">
        <w:t xml:space="preserve"> tax expenses </w:t>
      </w:r>
      <w:r w:rsidR="000566EB">
        <w:t xml:space="preserve">differ slightly from similar formulas that the </w:t>
      </w:r>
      <w:r w:rsidR="0075705E">
        <w:t>Commission</w:t>
      </w:r>
      <w:r w:rsidR="000566EB">
        <w:t xml:space="preserve"> </w:t>
      </w:r>
      <w:r w:rsidR="0075705E">
        <w:t xml:space="preserve">adopted for Columbia in the Columbia CEP Order, but the differences are immaterial and acceptable to the Staff.  Therefore, the Staff recommends that the Commission </w:t>
      </w:r>
      <w:r w:rsidR="003773B5">
        <w:t xml:space="preserve">approve </w:t>
      </w:r>
      <w:r w:rsidR="0075705E">
        <w:t xml:space="preserve">the formulas </w:t>
      </w:r>
      <w:r w:rsidR="00C60247">
        <w:t>pro</w:t>
      </w:r>
      <w:r w:rsidR="00EA7804">
        <w:softHyphen/>
      </w:r>
      <w:r w:rsidR="00C60247">
        <w:t xml:space="preserve">posed by VEDO </w:t>
      </w:r>
      <w:r w:rsidR="0075705E">
        <w:t xml:space="preserve">as delineated below in the summary of Staff-recommended formulas.  </w:t>
      </w:r>
    </w:p>
    <w:p w:rsidR="0075705E" w:rsidRDefault="0075705E" w:rsidP="00951016">
      <w:pPr>
        <w:pStyle w:val="textstyle"/>
        <w:ind w:firstLine="720"/>
      </w:pPr>
      <w:r>
        <w:t xml:space="preserve">VEDO’s proposed PISCC formula assumes that all CEP assets would be placed into service and thus be eligible for PISCC at the beginning of the current month.  This assumption is not correct.  Therefore, the Staff recommends that the Commission adopt for VEDO the same PISCC formula that it approved </w:t>
      </w:r>
      <w:r w:rsidR="00951016">
        <w:t xml:space="preserve">for Columbia in the Columbia CEP </w:t>
      </w:r>
      <w:r w:rsidR="00951016">
        <w:lastRenderedPageBreak/>
        <w:t>Order.</w:t>
      </w:r>
      <w:r w:rsidR="00951016">
        <w:rPr>
          <w:rStyle w:val="FootnoteReference"/>
        </w:rPr>
        <w:footnoteReference w:id="10"/>
      </w:r>
      <w:r w:rsidR="00951016">
        <w:t xml:space="preserve">  This formula is provided in the summary of Staff-recommended formulas below.</w:t>
      </w:r>
    </w:p>
    <w:p w:rsidR="00F10C36" w:rsidRDefault="004A4E3B" w:rsidP="00F10C36">
      <w:pPr>
        <w:pStyle w:val="textstyle"/>
        <w:ind w:firstLine="720"/>
      </w:pPr>
      <w:r>
        <w:t>Lastly, VEDO also asks the Commission to “confirm that the long term debt rate represents VEDO’s preceding year-end average long term debt rate.”</w:t>
      </w:r>
      <w:r>
        <w:rPr>
          <w:rStyle w:val="FootnoteReference"/>
        </w:rPr>
        <w:footnoteReference w:id="11"/>
      </w:r>
      <w:r>
        <w:t xml:space="preserve">  The Staff recom</w:t>
      </w:r>
      <w:r w:rsidR="00EA7804">
        <w:softHyphen/>
      </w:r>
      <w:r>
        <w:t xml:space="preserve">mends that the Commission direct that </w:t>
      </w:r>
      <w:r w:rsidR="00F10C36">
        <w:t xml:space="preserve">the long term debt rate that </w:t>
      </w:r>
      <w:r w:rsidR="004D779F">
        <w:t xml:space="preserve">VEDO </w:t>
      </w:r>
      <w:r w:rsidR="00F10C36">
        <w:t>should use in its formulas is the long term debt rate that was set in its last base rate case, Case No. 07-</w:t>
      </w:r>
      <w:r w:rsidR="00AC7076">
        <w:t>1080</w:t>
      </w:r>
      <w:r w:rsidR="00F10C36">
        <w:t xml:space="preserve">-GA-AIR, </w:t>
      </w:r>
      <w:r w:rsidR="00F10C36" w:rsidRPr="00F10C36">
        <w:rPr>
          <w:i/>
        </w:rPr>
        <w:t>et.al</w:t>
      </w:r>
      <w:r w:rsidR="00F10C36">
        <w:t>.</w:t>
      </w:r>
      <w:r w:rsidR="00F10C36">
        <w:rPr>
          <w:rStyle w:val="FootnoteReference"/>
        </w:rPr>
        <w:footnoteReference w:id="12"/>
      </w:r>
      <w:r w:rsidR="00F10C36">
        <w:t xml:space="preserve">  This would be consistent with the Commission’s practice for set</w:t>
      </w:r>
      <w:r w:rsidR="00EA7804">
        <w:softHyphen/>
      </w:r>
      <w:r w:rsidR="00F10C36">
        <w:t>ting the long term debt rate in numerous other Commission proceedings.</w:t>
      </w:r>
    </w:p>
    <w:p w:rsidR="00A17F79" w:rsidRDefault="00A17F79" w:rsidP="00EA7804">
      <w:pPr>
        <w:pStyle w:val="Heading2"/>
      </w:pPr>
      <w:bookmarkStart w:id="11" w:name="_Toc339013420"/>
      <w:r>
        <w:t>The Staff recommends that the Commission set a cap on VEDO’s CEP deferrals at $1.50 per customer per month if the deferrals were included in customer rates as opposed to the $2.50 cap recommended by VEDO.</w:t>
      </w:r>
      <w:bookmarkEnd w:id="11"/>
    </w:p>
    <w:p w:rsidR="00A17F79" w:rsidRDefault="00A17F79" w:rsidP="00A17F79">
      <w:pPr>
        <w:pStyle w:val="textstyle"/>
        <w:ind w:firstLine="720"/>
      </w:pPr>
      <w:r w:rsidRPr="008C19D3">
        <w:t xml:space="preserve">In </w:t>
      </w:r>
      <w:r>
        <w:t xml:space="preserve">the Columbia CEP Order, the Commission established that: </w:t>
      </w:r>
    </w:p>
    <w:p w:rsidR="00A17F79" w:rsidRPr="00692379" w:rsidRDefault="00A17F79" w:rsidP="00A17F79">
      <w:pPr>
        <w:pStyle w:val="blockquote"/>
      </w:pPr>
      <w:r>
        <w:t>Columbia may accrue CEP deferrals up until the point where the accrued deferrals, if included in rates, would cause the rates charged to the SGS class of customers to increase by more than $1.50/month.  Accrual of all future CEP-related deferrals should cease once the $1.50/month threshold is sur</w:t>
      </w:r>
      <w:r>
        <w:softHyphen/>
        <w:t xml:space="preserve">passed, until such time as Columbia files to recover the </w:t>
      </w:r>
      <w:r>
        <w:lastRenderedPageBreak/>
        <w:t>existing accrued deferrals and establish a recovery mecha</w:t>
      </w:r>
      <w:r>
        <w:softHyphen/>
        <w:t xml:space="preserve">nism under Section 4909.18, 4929.05, or 4929.11, Revised </w:t>
      </w:r>
      <w:r w:rsidRPr="00692379">
        <w:t>Code.</w:t>
      </w:r>
      <w:r w:rsidRPr="00692379">
        <w:rPr>
          <w:rStyle w:val="FootnoteReference"/>
        </w:rPr>
        <w:footnoteReference w:id="13"/>
      </w:r>
    </w:p>
    <w:p w:rsidR="00A17F79" w:rsidRDefault="00A17F79" w:rsidP="00EA7804">
      <w:pPr>
        <w:pStyle w:val="textstyle"/>
      </w:pPr>
      <w:r w:rsidRPr="00692379">
        <w:t>Columbia proposed the $1.50/month cap on accrued CEP deferrals in the CEP Order case to address the Staff’s concern that, without a limit, CEP deferrals could grow to unrea</w:t>
      </w:r>
      <w:r w:rsidRPr="00692379">
        <w:softHyphen/>
        <w:t>sonable levels and potentially cause rate shock for customers once the deferrals were placed into rates while still allowing the deferrals to accrue for a sufficient time to pre</w:t>
      </w:r>
      <w:r w:rsidRPr="00692379">
        <w:softHyphen/>
        <w:t>vent frequent recovery cases.  In its Supplemental Reply Com</w:t>
      </w:r>
      <w:r w:rsidRPr="00692379">
        <w:softHyphen/>
        <w:t xml:space="preserve">ments, VEDO </w:t>
      </w:r>
      <w:r w:rsidR="002E1E55" w:rsidRPr="00692379">
        <w:t>reiterates the position that it took in its Reply Comments that any limit on the CEP deferrals is contrary to R.C. 4929.111 but indicates that it would accept a $2.50 cap.</w:t>
      </w:r>
      <w:r w:rsidR="002E1E55" w:rsidRPr="00692379">
        <w:rPr>
          <w:rStyle w:val="FootnoteReference"/>
        </w:rPr>
        <w:footnoteReference w:id="14"/>
      </w:r>
      <w:r w:rsidR="002E1E55" w:rsidRPr="00692379">
        <w:t xml:space="preserve">  In other words, VEDO proposes that “its CEP deferrals may continue until the rate impact of recovering a return on and of the CEP regulatory asset on VEDO’s Residential (Rate 310, 311, and 315) and General Default Sales Service, Group 1 (Rate 320, 321, and 325) customers</w:t>
      </w:r>
      <w:r w:rsidR="00692379" w:rsidRPr="00692379">
        <w:t xml:space="preserve"> would exceed $2.50 per month.</w:t>
      </w:r>
      <w:r w:rsidR="00692379" w:rsidRPr="00692379">
        <w:rPr>
          <w:rStyle w:val="FootnoteReference"/>
        </w:rPr>
        <w:footnoteReference w:id="15"/>
      </w:r>
      <w:r w:rsidR="00692379" w:rsidRPr="00692379">
        <w:t xml:space="preserve">  </w:t>
      </w:r>
      <w:r w:rsidR="00001F28">
        <w:t xml:space="preserve">VEDO indicates that it is requesting the $2.50 cap because imminent federal regulations requiring infrastructure assessment, improvement, and replacement (collectively “modernization”) will necessitate investments that will cause it to nearly double its </w:t>
      </w:r>
      <w:r w:rsidR="00D329BA">
        <w:t>normal</w:t>
      </w:r>
      <w:r w:rsidR="00001F28">
        <w:t xml:space="preserve"> capital expenditures in e</w:t>
      </w:r>
      <w:r w:rsidR="00061C88">
        <w:t xml:space="preserve">ach of the next several years. </w:t>
      </w:r>
      <w:r w:rsidR="00061C88">
        <w:rPr>
          <w:rStyle w:val="FootnoteReference"/>
        </w:rPr>
        <w:footnoteReference w:id="16"/>
      </w:r>
      <w:r w:rsidR="00001F28">
        <w:t xml:space="preserve">  </w:t>
      </w:r>
      <w:r w:rsidR="00061C88">
        <w:t xml:space="preserve">It maintains that the </w:t>
      </w:r>
      <w:r w:rsidR="00D329BA">
        <w:t>$2.50 cap will not allow the CEP deferrals to accrue for an unreason</w:t>
      </w:r>
      <w:r w:rsidR="00EA7804">
        <w:softHyphen/>
      </w:r>
      <w:r w:rsidR="00D329BA">
        <w:lastRenderedPageBreak/>
        <w:t>able period of time and would equate to a 4.6% annual rate increase for a typical residen</w:t>
      </w:r>
      <w:r w:rsidR="00EA7804">
        <w:softHyphen/>
      </w:r>
      <w:r w:rsidR="00D329BA">
        <w:t>tial customer for a twelve month period.</w:t>
      </w:r>
      <w:r w:rsidR="00D329BA">
        <w:rPr>
          <w:rStyle w:val="FootnoteReference"/>
        </w:rPr>
        <w:footnoteReference w:id="17"/>
      </w:r>
      <w:r w:rsidR="00D329BA">
        <w:t xml:space="preserve">  VEDO also recommends that the Commission </w:t>
      </w:r>
      <w:r w:rsidR="00864A31">
        <w:t xml:space="preserve">clarify that, in its discretion, the Company may </w:t>
      </w:r>
      <w:r w:rsidR="00A25CC3">
        <w:t>file for cost recovery prior to reaching the proposed $2.50 cap</w:t>
      </w:r>
      <w:r w:rsidR="00864A31">
        <w:t xml:space="preserve">.  </w:t>
      </w:r>
      <w:r w:rsidR="00721F18">
        <w:t xml:space="preserve">In addition, </w:t>
      </w:r>
      <w:r w:rsidR="00864A31">
        <w:t xml:space="preserve">VEDO seeks clarification </w:t>
      </w:r>
      <w:r w:rsidR="00A25CC3">
        <w:t>that</w:t>
      </w:r>
      <w:r w:rsidR="003773B5">
        <w:t>,</w:t>
      </w:r>
      <w:r w:rsidR="00A25CC3">
        <w:t xml:space="preserve"> upon filing for recovery of its CEP deferral</w:t>
      </w:r>
      <w:r w:rsidR="003773B5">
        <w:t>,</w:t>
      </w:r>
      <w:r w:rsidR="00A25CC3">
        <w:t xml:space="preserve"> it can continue deferred accounting treatment for its in-service CEP investments until the date of a final order in that filing.  Lastly, VEDO states that it intends to seek recovery of its anticipated modernization expenditures via an alternative rate mechanism such as its distribution replacement rider (DRR) </w:t>
      </w:r>
      <w:r w:rsidR="00F721A5">
        <w:t>which allows the Company accelerated recovery of similar infrastructure investments.</w:t>
      </w:r>
      <w:r w:rsidR="00F721A5">
        <w:rPr>
          <w:rStyle w:val="FootnoteReference"/>
        </w:rPr>
        <w:footnoteReference w:id="18"/>
      </w:r>
      <w:r w:rsidR="00F721A5">
        <w:t xml:space="preserve">  It further indicates that if it is successful in getting recovery </w:t>
      </w:r>
      <w:r w:rsidR="004D779F">
        <w:t xml:space="preserve">of </w:t>
      </w:r>
      <w:r w:rsidR="00F721A5">
        <w:t>the modernization investments through an alter</w:t>
      </w:r>
      <w:r w:rsidR="00EA7804">
        <w:softHyphen/>
      </w:r>
      <w:r w:rsidR="00F721A5">
        <w:t>native rate mechanism, then it will “adjust its CEP to eliminate those types of invest</w:t>
      </w:r>
      <w:r w:rsidR="00EA7804">
        <w:softHyphen/>
      </w:r>
      <w:r w:rsidR="00F721A5">
        <w:t>ments, reset the CEP budget amount in that year, and proportionately reduce the mone</w:t>
      </w:r>
      <w:r w:rsidR="00EA7804">
        <w:softHyphen/>
      </w:r>
      <w:r w:rsidR="00F721A5">
        <w:t>tary cap to reflect the reduction in the projected CEP.”</w:t>
      </w:r>
      <w:r w:rsidR="00F721A5">
        <w:rPr>
          <w:rStyle w:val="FootnoteReference"/>
        </w:rPr>
        <w:footnoteReference w:id="19"/>
      </w:r>
    </w:p>
    <w:p w:rsidR="002416F4" w:rsidRDefault="00F721A5" w:rsidP="00EA7804">
      <w:pPr>
        <w:pStyle w:val="textstyle"/>
      </w:pPr>
      <w:r>
        <w:tab/>
      </w:r>
      <w:r w:rsidRPr="002416F4">
        <w:t>The Staff</w:t>
      </w:r>
      <w:r w:rsidR="002416F4" w:rsidRPr="002416F4">
        <w:t xml:space="preserve"> believes that the Commission should set the cap for VEDO at the $1.50 level that it approved for Columbia in the Columbia CEP Order and that Dominion and the Staff agreed to in comments filed in Dominion’s CAPEX case.</w:t>
      </w:r>
      <w:r w:rsidR="002416F4">
        <w:t xml:space="preserve">  Columbia and Dominion are facing the same imminent federal regulations for assessing and moderniz</w:t>
      </w:r>
      <w:r w:rsidR="00EA7804">
        <w:softHyphen/>
      </w:r>
      <w:r w:rsidR="002416F4">
        <w:t>ing their natural gas distribution systems as VEDO cites as the rationale for setting its cap at $2.50.  Yet, both Columbia and Dominion agreed that the $1.50 cap struck an appro</w:t>
      </w:r>
      <w:r w:rsidR="00EA7804">
        <w:softHyphen/>
      </w:r>
      <w:r w:rsidR="002416F4">
        <w:lastRenderedPageBreak/>
        <w:t xml:space="preserve">priate balance between the Staff concern that CEP deferrals could accrue for protracted periods and cause rate shock for customers when placed into rates and their desire to allow the deferrals to accrue for a sufficient time to avoid frequent recovery proceedings.  </w:t>
      </w:r>
      <w:r w:rsidR="004E46D3">
        <w:t xml:space="preserve">Similarly, Attachment A of the Company’s Application shows that the amount for system modernization that the Company indicates it will seek alternative recovery for </w:t>
      </w:r>
      <w:r w:rsidR="001A3534">
        <w:t xml:space="preserve">in the future </w:t>
      </w:r>
      <w:r w:rsidR="004E46D3">
        <w:t xml:space="preserve">that </w:t>
      </w:r>
      <w:r w:rsidR="001A3534">
        <w:t xml:space="preserve">is </w:t>
      </w:r>
      <w:r w:rsidR="004E46D3">
        <w:t xml:space="preserve">included in this case is </w:t>
      </w:r>
      <w:r w:rsidR="001A3534">
        <w:t>only $3.</w:t>
      </w:r>
      <w:r w:rsidR="0076467E">
        <w:t xml:space="preserve">5 </w:t>
      </w:r>
      <w:r w:rsidR="001A3534">
        <w:t>million of the total $23.5 million CEP requested.  The Staff believes that a $1.50 cap is sufficient for this case and that the ade</w:t>
      </w:r>
      <w:r w:rsidR="00EA7804">
        <w:softHyphen/>
      </w:r>
      <w:r w:rsidR="001A3534">
        <w:t>quacy of the cap can be revisited in a future case if VEDO is unsuccessful in obtaining an alternative recovery mechanism similar to its DRR for its modernization investments in the future.</w:t>
      </w:r>
    </w:p>
    <w:p w:rsidR="003735BB" w:rsidRPr="00C6159B" w:rsidRDefault="002416F4" w:rsidP="00EA7804">
      <w:pPr>
        <w:pStyle w:val="textstyle"/>
      </w:pPr>
      <w:r>
        <w:tab/>
        <w:t>The Staff is also concerned that VEDO’s proposed $2.50 cap could lead to the rate shock that the Staff was initially concerned</w:t>
      </w:r>
      <w:r w:rsidR="005244D4">
        <w:t xml:space="preserve"> with</w:t>
      </w:r>
      <w:r>
        <w:t xml:space="preserve"> and prompted the Staff to recommend caps in the first place.  It is important to recognize that when VEDO applies for recovery of deferred PISCC</w:t>
      </w:r>
      <w:r w:rsidR="005244D4">
        <w:t>,</w:t>
      </w:r>
      <w:r>
        <w:t xml:space="preserve"> depreciation and property tax expenses for its CEP investments</w:t>
      </w:r>
      <w:r w:rsidR="005244D4">
        <w:t>,</w:t>
      </w:r>
      <w:r>
        <w:t xml:space="preserve"> it will also be seeking to place into rates the original cost less accumulated </w:t>
      </w:r>
      <w:r w:rsidR="0048570F">
        <w:t>depreciation (</w:t>
      </w:r>
      <w:r w:rsidR="00721F18">
        <w:t xml:space="preserve">i.e., </w:t>
      </w:r>
      <w:r w:rsidR="0048570F">
        <w:t>net book value)</w:t>
      </w:r>
      <w:r>
        <w:t xml:space="preserve"> of the underlying assets that led to the deferrals.  </w:t>
      </w:r>
      <w:r w:rsidR="00721F18">
        <w:t xml:space="preserve">The actual impact on customer rates caused by including both the deferred CEP regulatory asset and the net book value of the underlying capital assets at the same time is not known.  </w:t>
      </w:r>
      <w:r w:rsidR="005244D4">
        <w:t>The actual customer im</w:t>
      </w:r>
      <w:r w:rsidR="004D779F">
        <w:t>p</w:t>
      </w:r>
      <w:r w:rsidR="005244D4">
        <w:t>act</w:t>
      </w:r>
      <w:r w:rsidR="00E37177">
        <w:t xml:space="preserve"> depends on </w:t>
      </w:r>
      <w:r w:rsidR="00721F18">
        <w:t>a number of factors such as depreciation</w:t>
      </w:r>
      <w:r w:rsidR="00E37177">
        <w:t xml:space="preserve"> of VEDO’s non CEP assets, deferred income taxes, annualized property taxes, and other factors.  How</w:t>
      </w:r>
      <w:r w:rsidR="00B745C1">
        <w:softHyphen/>
      </w:r>
      <w:r w:rsidR="00E37177">
        <w:t>ever, including in rates the cap</w:t>
      </w:r>
      <w:r w:rsidR="00EA7804">
        <w:softHyphen/>
      </w:r>
      <w:r w:rsidR="00E37177">
        <w:t xml:space="preserve">ital costs of the assets underlying the CEP deferrals at the same time as the accrued CEP regulatory asset will almost certainly cause customer rates </w:t>
      </w:r>
      <w:r w:rsidR="00E37177">
        <w:lastRenderedPageBreak/>
        <w:t>to be higher than the $2.50 cap proposed by VEDO</w:t>
      </w:r>
      <w:r w:rsidR="003735BB">
        <w:t>, perhaps by a large amount</w:t>
      </w:r>
      <w:r w:rsidR="00E37177">
        <w:t>.  There</w:t>
      </w:r>
      <w:r w:rsidR="00B745C1">
        <w:softHyphen/>
      </w:r>
      <w:r w:rsidR="00E37177">
        <w:t>fore, the Staff recommends that the Commission set the cap for VEDO at the same $1</w:t>
      </w:r>
      <w:r w:rsidR="00A5126A">
        <w:t xml:space="preserve">.50 amount that it approved for Columbia.  </w:t>
      </w:r>
      <w:r w:rsidR="00E37177">
        <w:t xml:space="preserve"> </w:t>
      </w:r>
      <w:r w:rsidR="003735BB">
        <w:t>Specifically</w:t>
      </w:r>
      <w:r w:rsidR="003735BB" w:rsidRPr="00C6159B">
        <w:t xml:space="preserve">, the Staff recommends that the Commission order that </w:t>
      </w:r>
      <w:r w:rsidR="00A23328" w:rsidRPr="00C6159B">
        <w:t>VEDO</w:t>
      </w:r>
      <w:r w:rsidR="003735BB" w:rsidRPr="00C6159B">
        <w:t xml:space="preserve"> can accrue </w:t>
      </w:r>
      <w:r w:rsidR="00A23328" w:rsidRPr="00C6159B">
        <w:t>CEP</w:t>
      </w:r>
      <w:r w:rsidR="003735BB" w:rsidRPr="00C6159B">
        <w:t xml:space="preserve"> deferrals up until the point where the accrued deferrals, if included in rates, would cause the rates charged to the </w:t>
      </w:r>
      <w:r w:rsidR="00A23328" w:rsidRPr="00C6159B">
        <w:t>Residential (Rate 310, 311, and 315) and Gen</w:t>
      </w:r>
      <w:r w:rsidR="00EA7804">
        <w:softHyphen/>
      </w:r>
      <w:r w:rsidR="00A23328" w:rsidRPr="00C6159B">
        <w:t xml:space="preserve">eral Default Sales Service, Group 1 (Rate 320, 321, and 325) </w:t>
      </w:r>
      <w:r w:rsidR="003735BB" w:rsidRPr="00C6159B">
        <w:t xml:space="preserve">(which is comparable to Columbia’s SGS class of customers) to increase by more than $1.50/month.  Accrual of all future </w:t>
      </w:r>
      <w:r w:rsidR="00A23328" w:rsidRPr="00C6159B">
        <w:t xml:space="preserve">CEP </w:t>
      </w:r>
      <w:r w:rsidR="003735BB" w:rsidRPr="00C6159B">
        <w:t xml:space="preserve">related deferrals would cease once the $1.50/month threshold is surpassed until such time as </w:t>
      </w:r>
      <w:r w:rsidR="00A23328" w:rsidRPr="00C6159B">
        <w:t>VEDO</w:t>
      </w:r>
      <w:r w:rsidR="003735BB" w:rsidRPr="00C6159B">
        <w:t xml:space="preserve"> files to recover the existing accrued deferrals under one of the recovery mech</w:t>
      </w:r>
      <w:r w:rsidR="003735BB" w:rsidRPr="00C6159B">
        <w:softHyphen/>
        <w:t xml:space="preserve">anisms specified in </w:t>
      </w:r>
      <w:r w:rsidR="0085618A">
        <w:t xml:space="preserve">the </w:t>
      </w:r>
      <w:r w:rsidR="003735BB" w:rsidRPr="00C6159B">
        <w:t>Revised Code.</w:t>
      </w:r>
    </w:p>
    <w:p w:rsidR="009434D3" w:rsidRPr="001A3534" w:rsidRDefault="003E6A2E" w:rsidP="00EA7804">
      <w:pPr>
        <w:pStyle w:val="textstyle"/>
      </w:pPr>
      <w:r>
        <w:tab/>
      </w:r>
      <w:r w:rsidRPr="001A3534">
        <w:t>In regards to VEDO’s two points for clarification</w:t>
      </w:r>
      <w:r w:rsidR="00274186">
        <w:t xml:space="preserve"> regarding the monetary cap</w:t>
      </w:r>
      <w:r w:rsidRPr="001A3534">
        <w:t>, the Staff recommends that the Commission</w:t>
      </w:r>
      <w:r w:rsidR="00274186">
        <w:t xml:space="preserve"> allow</w:t>
      </w:r>
      <w:r w:rsidRPr="001A3534">
        <w:t xml:space="preserve"> VEDO </w:t>
      </w:r>
      <w:r w:rsidR="00274186">
        <w:t>to</w:t>
      </w:r>
      <w:r w:rsidRPr="001A3534">
        <w:t xml:space="preserve"> apply for recovery of CEP defer</w:t>
      </w:r>
      <w:r w:rsidR="00B745C1">
        <w:softHyphen/>
      </w:r>
      <w:r w:rsidRPr="001A3534">
        <w:t>rals prior to reaching the $1.50 cap provided that it does not do so more than once per year as specified in R.C. 4929.111(D)</w:t>
      </w:r>
      <w:r w:rsidR="006743DE" w:rsidRPr="001A3534">
        <w:t xml:space="preserve">.  </w:t>
      </w:r>
      <w:r w:rsidR="003F5B76" w:rsidRPr="001A3534">
        <w:t>However, the Staff disagrees with VEDO’s sug</w:t>
      </w:r>
      <w:r w:rsidR="00B745C1">
        <w:softHyphen/>
      </w:r>
      <w:r w:rsidR="003F5B76" w:rsidRPr="001A3534">
        <w:t xml:space="preserve">gestion that </w:t>
      </w:r>
      <w:r w:rsidR="006743DE" w:rsidRPr="001A3534">
        <w:t>the Commis</w:t>
      </w:r>
      <w:r w:rsidR="00EA7804">
        <w:softHyphen/>
      </w:r>
      <w:r w:rsidR="006743DE" w:rsidRPr="001A3534">
        <w:t xml:space="preserve">sion should </w:t>
      </w:r>
      <w:r w:rsidR="003F5B76" w:rsidRPr="001A3534">
        <w:t xml:space="preserve">clarify </w:t>
      </w:r>
      <w:r w:rsidR="006743DE" w:rsidRPr="001A3534">
        <w:t>that VEDO can continue deferred accounting treatment for its in-ser</w:t>
      </w:r>
      <w:r w:rsidR="00EA7804">
        <w:softHyphen/>
      </w:r>
      <w:r w:rsidR="006743DE" w:rsidRPr="001A3534">
        <w:t>vice CEP investments until the Commission has issued a</w:t>
      </w:r>
      <w:r w:rsidR="003F5B76" w:rsidRPr="001A3534">
        <w:t xml:space="preserve"> final</w:t>
      </w:r>
      <w:r w:rsidR="006743DE" w:rsidRPr="001A3534">
        <w:t xml:space="preserve"> order addressing its recov</w:t>
      </w:r>
      <w:r w:rsidR="00EA7804">
        <w:softHyphen/>
      </w:r>
      <w:r w:rsidR="006743DE" w:rsidRPr="001A3534">
        <w:t xml:space="preserve">ery application.  </w:t>
      </w:r>
      <w:r w:rsidR="003F5B76" w:rsidRPr="001A3534">
        <w:t>The Staff believes that the cap that the Com</w:t>
      </w:r>
      <w:r w:rsidR="00B745C1">
        <w:softHyphen/>
      </w:r>
      <w:r w:rsidR="003F5B76" w:rsidRPr="001A3534">
        <w:t xml:space="preserve">mission set in the Columbia was meant to function as a hard cap.  In other words, if VEDO’s (or Columbia’s) accrued CEP deferrals are approaching the $1.50 cap, then it is incumbent upon the Company </w:t>
      </w:r>
      <w:r w:rsidR="00AE0E0A" w:rsidRPr="001A3534">
        <w:t xml:space="preserve">to file an application for recovery before the cap is actually reached in order to avoid hitting the cap and ceasing to accrue the deferrals while the applicable application process and Commission deliberations run their course.  The Staff </w:t>
      </w:r>
      <w:r w:rsidR="00AE0E0A" w:rsidRPr="001A3534">
        <w:lastRenderedPageBreak/>
        <w:t xml:space="preserve">recommends that the Commission state plainly that the $1.50 cap is meant as a hard cap as described above. </w:t>
      </w:r>
    </w:p>
    <w:p w:rsidR="009434D3" w:rsidRPr="00D43E18" w:rsidRDefault="00F10C36" w:rsidP="00EA7804">
      <w:pPr>
        <w:pStyle w:val="Heading2"/>
      </w:pPr>
      <w:bookmarkStart w:id="12" w:name="_Toc339013421"/>
      <w:r>
        <w:t>VEDO</w:t>
      </w:r>
      <w:r w:rsidR="005D2342" w:rsidRPr="005D2342">
        <w:t xml:space="preserve"> and the Staff agree that </w:t>
      </w:r>
      <w:r>
        <w:t>VED</w:t>
      </w:r>
      <w:r w:rsidR="005D2342" w:rsidRPr="005D2342">
        <w:t>O should make annual informational filings.</w:t>
      </w:r>
      <w:bookmarkEnd w:id="12"/>
      <w:r w:rsidR="005D2342">
        <w:t xml:space="preserve"> </w:t>
      </w:r>
    </w:p>
    <w:p w:rsidR="005D2342" w:rsidRDefault="00050A19" w:rsidP="005D2342">
      <w:pPr>
        <w:pStyle w:val="textstyle"/>
      </w:pPr>
      <w:r>
        <w:tab/>
      </w:r>
      <w:r w:rsidR="005D2342" w:rsidRPr="005D2342">
        <w:t xml:space="preserve">In its initial Comments, Staff proposed that </w:t>
      </w:r>
      <w:r w:rsidR="005D2342">
        <w:t>VED</w:t>
      </w:r>
      <w:r w:rsidR="005D2342" w:rsidRPr="005D2342">
        <w:t xml:space="preserve">O should be required to make annual informational filings for its </w:t>
      </w:r>
      <w:r w:rsidR="005D2342">
        <w:t>CEP</w:t>
      </w:r>
      <w:r w:rsidR="005D2342" w:rsidRPr="005D2342">
        <w:t xml:space="preserve"> on March 15 of each year covering the previous calendar year and that this filing “should provide a breakdown of invest</w:t>
      </w:r>
      <w:r w:rsidR="005D2342" w:rsidRPr="005D2342">
        <w:softHyphen/>
        <w:t>ments, PISCC, depreciation expense, property tax expense, and incremental revenue.”</w:t>
      </w:r>
      <w:r w:rsidR="005D2342" w:rsidRPr="005D2342">
        <w:rPr>
          <w:vertAlign w:val="superscript"/>
        </w:rPr>
        <w:footnoteReference w:id="20"/>
      </w:r>
      <w:r w:rsidR="005D2342" w:rsidRPr="005D2342">
        <w:t xml:space="preserve">   In addition, the Staff recommended that the annual filing should include a capital budget for the year suc</w:t>
      </w:r>
      <w:r w:rsidR="00EA7804">
        <w:softHyphen/>
      </w:r>
      <w:r w:rsidR="005D2342" w:rsidRPr="005D2342">
        <w:t>ceeding the year covered in the filing.</w:t>
      </w:r>
      <w:r w:rsidR="005D2342" w:rsidRPr="005D2342">
        <w:rPr>
          <w:vertAlign w:val="superscript"/>
        </w:rPr>
        <w:footnoteReference w:id="21"/>
      </w:r>
      <w:r w:rsidR="005D2342" w:rsidRPr="005D2342">
        <w:t xml:space="preserve">  In its Supplemental Reply Com</w:t>
      </w:r>
      <w:r w:rsidR="005D2342" w:rsidRPr="005D2342">
        <w:softHyphen/>
        <w:t xml:space="preserve">ments, </w:t>
      </w:r>
      <w:r w:rsidR="005D2342">
        <w:t>VEDO</w:t>
      </w:r>
      <w:r w:rsidR="005D2342" w:rsidRPr="005D2342">
        <w:t xml:space="preserve"> agrees to submit annual information filings that </w:t>
      </w:r>
      <w:r w:rsidR="005D2342">
        <w:t>VEDO</w:t>
      </w:r>
      <w:r w:rsidR="005D2342" w:rsidRPr="005D2342">
        <w:t xml:space="preserve"> states will include the following: (1) the C</w:t>
      </w:r>
      <w:r w:rsidR="005D2342">
        <w:t>EP</w:t>
      </w:r>
      <w:r w:rsidR="005D2342" w:rsidRPr="005D2342">
        <w:t xml:space="preserve"> regulatory asset balance as of December 31; and, (2) monthly and total defer</w:t>
      </w:r>
      <w:r w:rsidR="00EA7804">
        <w:softHyphen/>
      </w:r>
      <w:r w:rsidR="005D2342" w:rsidRPr="005D2342">
        <w:t>rals to the regulatory asset for the year ended December 31 based on C</w:t>
      </w:r>
      <w:r w:rsidR="005D2342">
        <w:t>EP</w:t>
      </w:r>
      <w:r w:rsidR="005D2342" w:rsidRPr="005D2342">
        <w:t xml:space="preserve"> investments for PISCC, depreciation expense, property tax expense, and reductions for net incremental revenue.  The Staff recommends that information that </w:t>
      </w:r>
      <w:r w:rsidR="005D2342">
        <w:t>VEDO</w:t>
      </w:r>
      <w:r w:rsidR="005D2342" w:rsidRPr="005D2342">
        <w:t xml:space="preserve"> proposes to include in its annual information filing should</w:t>
      </w:r>
      <w:r w:rsidR="00274186">
        <w:t xml:space="preserve"> be</w:t>
      </w:r>
      <w:r w:rsidR="005D2342" w:rsidRPr="005D2342">
        <w:t xml:space="preserve"> modified to also include a</w:t>
      </w:r>
      <w:r w:rsidR="00274186">
        <w:t xml:space="preserve"> (1)</w:t>
      </w:r>
      <w:r w:rsidR="005D2342" w:rsidRPr="005D2342">
        <w:t xml:space="preserve"> breakdown of C</w:t>
      </w:r>
      <w:r w:rsidR="005D2342">
        <w:t>EP</w:t>
      </w:r>
      <w:r w:rsidR="005D2342" w:rsidRPr="005D2342">
        <w:t xml:space="preserve"> invest</w:t>
      </w:r>
      <w:r w:rsidR="00EA7804">
        <w:softHyphen/>
      </w:r>
      <w:r w:rsidR="005D2342" w:rsidRPr="005D2342">
        <w:t xml:space="preserve">ments by budget class, </w:t>
      </w:r>
      <w:r w:rsidR="00274186">
        <w:t xml:space="preserve">(2) </w:t>
      </w:r>
      <w:r w:rsidR="005D2342" w:rsidRPr="005D2342">
        <w:t>a capital budget for the year suc</w:t>
      </w:r>
      <w:r w:rsidR="005D2342" w:rsidRPr="005D2342">
        <w:softHyphen/>
        <w:t xml:space="preserve">ceeding the year covered in the information filing, </w:t>
      </w:r>
      <w:r w:rsidR="00274186">
        <w:t xml:space="preserve">(3) </w:t>
      </w:r>
      <w:r w:rsidR="005D2342" w:rsidRPr="005D2342">
        <w:t>a schedule showing the potential impact on customer rates if the defer</w:t>
      </w:r>
      <w:r w:rsidR="00EA7804">
        <w:softHyphen/>
      </w:r>
      <w:r w:rsidR="005D2342" w:rsidRPr="005D2342">
        <w:t>rals were included in rates, and</w:t>
      </w:r>
      <w:r w:rsidR="00274186">
        <w:t xml:space="preserve"> (4)</w:t>
      </w:r>
      <w:r w:rsidR="005D2342" w:rsidRPr="005D2342">
        <w:t xml:space="preserve"> schedules showing the calculations and </w:t>
      </w:r>
      <w:r w:rsidR="005D2342" w:rsidRPr="005D2342">
        <w:lastRenderedPageBreak/>
        <w:t>inputs for the deferrals.  The Staff believes that these addi</w:t>
      </w:r>
      <w:r w:rsidR="005D2342" w:rsidRPr="005D2342">
        <w:softHyphen/>
        <w:t xml:space="preserve">tions are necessary and will make </w:t>
      </w:r>
      <w:r w:rsidR="005D2342">
        <w:t>VEDO</w:t>
      </w:r>
      <w:r w:rsidR="005D2342" w:rsidRPr="005D2342">
        <w:t>’s annual information filing consistent with the information filing require</w:t>
      </w:r>
      <w:r w:rsidR="00B745C1">
        <w:softHyphen/>
      </w:r>
      <w:r w:rsidR="005D2342" w:rsidRPr="005D2342">
        <w:t>ments that the Commission adopted for Columbia in the Columbia CEP Order.  The Staff also recom</w:t>
      </w:r>
      <w:r w:rsidR="00EA7804">
        <w:softHyphen/>
      </w:r>
      <w:r w:rsidR="005D2342" w:rsidRPr="005D2342">
        <w:t xml:space="preserve">mends that the Commission set the filing date for </w:t>
      </w:r>
      <w:r w:rsidR="005D2342">
        <w:t>VEDO</w:t>
      </w:r>
      <w:r w:rsidR="005D2342" w:rsidRPr="005D2342">
        <w:t>’s annual information filings as April 30 of each year.  This date is con</w:t>
      </w:r>
      <w:r w:rsidR="005D2342" w:rsidRPr="005D2342">
        <w:softHyphen/>
        <w:t xml:space="preserve">sistent with the filing date that the Commission established in the Columbia CEP Order in recognition of the fact that both Columbia and Staff’s resources are stretched thin around the March 15 date originally proposed by Staff.  Like Columbia, </w:t>
      </w:r>
      <w:r w:rsidR="005D2342">
        <w:t>VEDO</w:t>
      </w:r>
      <w:r w:rsidR="005D2342" w:rsidRPr="005D2342">
        <w:t xml:space="preserve">’s staff will also </w:t>
      </w:r>
      <w:r w:rsidR="003773B5">
        <w:t xml:space="preserve">likely </w:t>
      </w:r>
      <w:r w:rsidR="005D2342" w:rsidRPr="005D2342">
        <w:t>be engaged in closing the Com</w:t>
      </w:r>
      <w:r w:rsidR="00EA7804">
        <w:softHyphen/>
      </w:r>
      <w:r w:rsidR="005D2342" w:rsidRPr="005D2342">
        <w:t xml:space="preserve">pany’s books around the March 15 date.  Therefore, the Staff believes that the April 30 date is better for </w:t>
      </w:r>
      <w:r w:rsidR="005D2342">
        <w:t>VEDO</w:t>
      </w:r>
      <w:r w:rsidR="005D2342" w:rsidRPr="005D2342">
        <w:t xml:space="preserve"> as well as for the Staff.</w:t>
      </w:r>
    </w:p>
    <w:p w:rsidR="00AD0BB8" w:rsidRPr="00AD0BB8" w:rsidRDefault="00AD0BB8" w:rsidP="00EA7804">
      <w:pPr>
        <w:pStyle w:val="Heading2"/>
      </w:pPr>
      <w:bookmarkStart w:id="13" w:name="_Toc339013422"/>
      <w:r w:rsidRPr="00AD0BB8">
        <w:t>The Commission should establish the specific formu</w:t>
      </w:r>
      <w:r w:rsidRPr="00AD0BB8">
        <w:softHyphen/>
        <w:t xml:space="preserve">las that should be used to calculate </w:t>
      </w:r>
      <w:r>
        <w:t>VEDO</w:t>
      </w:r>
      <w:r w:rsidRPr="00AD0BB8">
        <w:t>’s total monthly C</w:t>
      </w:r>
      <w:r>
        <w:t>EP</w:t>
      </w:r>
      <w:r w:rsidRPr="00AD0BB8">
        <w:t xml:space="preserve"> deferrals.</w:t>
      </w:r>
      <w:bookmarkEnd w:id="13"/>
    </w:p>
    <w:p w:rsidR="009434D3" w:rsidRDefault="009434D3" w:rsidP="005D2342">
      <w:pPr>
        <w:pStyle w:val="textstyle"/>
        <w:ind w:firstLine="720"/>
      </w:pPr>
      <w:r>
        <w:t xml:space="preserve">As the </w:t>
      </w:r>
      <w:r w:rsidR="003A3400">
        <w:t xml:space="preserve">preceding </w:t>
      </w:r>
      <w:r>
        <w:t xml:space="preserve">discussion above demonstrates, there is now a substantial amount of agreement between </w:t>
      </w:r>
      <w:r w:rsidR="005D2342">
        <w:t>VEDO</w:t>
      </w:r>
      <w:r w:rsidR="003A3400">
        <w:t xml:space="preserve"> </w:t>
      </w:r>
      <w:r>
        <w:t xml:space="preserve">and the Staff on </w:t>
      </w:r>
      <w:r w:rsidR="00AD0BB8">
        <w:t>VEDO</w:t>
      </w:r>
      <w:r w:rsidR="003A3400">
        <w:t xml:space="preserve">’s </w:t>
      </w:r>
      <w:r>
        <w:t xml:space="preserve">proposal for creation of a </w:t>
      </w:r>
      <w:r w:rsidR="00AD0BB8">
        <w:t>CEP</w:t>
      </w:r>
      <w:r w:rsidR="003A3400">
        <w:t xml:space="preserve"> </w:t>
      </w:r>
      <w:r>
        <w:t xml:space="preserve">and calculation of associated deferrals.  </w:t>
      </w:r>
      <w:r w:rsidR="00C00C11">
        <w:t>Where there are differences, the Staff believes that the differences are relatively minor, but significant enough that the Staff recom</w:t>
      </w:r>
      <w:r w:rsidR="00EA7804">
        <w:softHyphen/>
      </w:r>
      <w:r w:rsidR="00C00C11">
        <w:t xml:space="preserve">mends the Commission adopt the Staff-recommended formulas and definitions specified below.  These </w:t>
      </w:r>
      <w:r w:rsidR="003A3400">
        <w:t xml:space="preserve">formulas </w:t>
      </w:r>
      <w:r w:rsidR="00C00C11">
        <w:t xml:space="preserve">and definitions </w:t>
      </w:r>
      <w:r w:rsidR="003A3400">
        <w:t xml:space="preserve">for calculating </w:t>
      </w:r>
      <w:r w:rsidR="00AD0BB8">
        <w:t xml:space="preserve">VEDO’s </w:t>
      </w:r>
      <w:r w:rsidR="003A3400">
        <w:t>C</w:t>
      </w:r>
      <w:r w:rsidR="00AD0BB8">
        <w:t>EP</w:t>
      </w:r>
      <w:r w:rsidR="003A3400">
        <w:t xml:space="preserve"> deferrals that the Staff </w:t>
      </w:r>
      <w:r w:rsidR="00C00C11">
        <w:t xml:space="preserve">is </w:t>
      </w:r>
      <w:r w:rsidR="003A3400">
        <w:t xml:space="preserve">recommending are consistent with similar formulas that the Commission adopted for Columbia in the Columbia CEP Order.  As a result, the Staff recommends that the </w:t>
      </w:r>
      <w:r w:rsidR="003A3400">
        <w:lastRenderedPageBreak/>
        <w:t xml:space="preserve">Commission adopt the following </w:t>
      </w:r>
      <w:r w:rsidR="00AD0BB8">
        <w:t xml:space="preserve">definitions and </w:t>
      </w:r>
      <w:r w:rsidR="00A32E21">
        <w:t>specific for</w:t>
      </w:r>
      <w:r w:rsidR="00532AE0">
        <w:softHyphen/>
      </w:r>
      <w:r w:rsidR="00A32E21">
        <w:t>mulas</w:t>
      </w:r>
      <w:r>
        <w:t xml:space="preserve"> </w:t>
      </w:r>
      <w:r w:rsidR="003A3400">
        <w:t>for</w:t>
      </w:r>
      <w:r>
        <w:t xml:space="preserve"> calculat</w:t>
      </w:r>
      <w:r w:rsidR="003A3400">
        <w:t>ing</w:t>
      </w:r>
      <w:r>
        <w:t xml:space="preserve"> </w:t>
      </w:r>
      <w:r w:rsidR="00AD0BB8">
        <w:t>VEDO</w:t>
      </w:r>
      <w:r w:rsidR="003A3400">
        <w:t xml:space="preserve">’s </w:t>
      </w:r>
      <w:r>
        <w:t xml:space="preserve">monthly </w:t>
      </w:r>
      <w:r w:rsidR="003A3400">
        <w:t>C</w:t>
      </w:r>
      <w:r w:rsidR="00AD0BB8">
        <w:t>EP</w:t>
      </w:r>
      <w:r w:rsidR="003A3400">
        <w:t xml:space="preserve"> </w:t>
      </w:r>
      <w:r>
        <w:t>deferrals</w:t>
      </w:r>
      <w:r w:rsidR="00F3556B">
        <w:t>:</w:t>
      </w:r>
    </w:p>
    <w:p w:rsidR="004A6C36" w:rsidRDefault="004A6C36" w:rsidP="005D2342">
      <w:pPr>
        <w:pStyle w:val="textstyle"/>
        <w:ind w:firstLine="720"/>
      </w:pPr>
      <w:r>
        <w:t>Definitions:</w:t>
      </w:r>
    </w:p>
    <w:p w:rsidR="0004237B" w:rsidRPr="00EA7804" w:rsidRDefault="004A6C36" w:rsidP="00EA7804">
      <w:pPr>
        <w:spacing w:after="240" w:line="240" w:lineRule="auto"/>
        <w:ind w:left="1440"/>
        <w:rPr>
          <w:sz w:val="26"/>
          <w:szCs w:val="26"/>
        </w:rPr>
      </w:pPr>
      <w:r w:rsidRPr="00EA7804">
        <w:rPr>
          <w:i/>
          <w:sz w:val="26"/>
          <w:szCs w:val="26"/>
        </w:rPr>
        <w:t xml:space="preserve">Straight Fixed Variable </w:t>
      </w:r>
      <w:r w:rsidR="00A27FEA" w:rsidRPr="00EA7804">
        <w:rPr>
          <w:i/>
          <w:sz w:val="26"/>
          <w:szCs w:val="26"/>
        </w:rPr>
        <w:t xml:space="preserve">(SFV) </w:t>
      </w:r>
      <w:r w:rsidRPr="00EA7804">
        <w:rPr>
          <w:i/>
          <w:sz w:val="26"/>
          <w:szCs w:val="26"/>
        </w:rPr>
        <w:t>Customer Incremental Revenue</w:t>
      </w:r>
      <w:r w:rsidRPr="00EA7804">
        <w:rPr>
          <w:sz w:val="26"/>
          <w:szCs w:val="26"/>
        </w:rPr>
        <w:t xml:space="preserve"> – [</w:t>
      </w:r>
      <w:r w:rsidR="00A27FEA" w:rsidRPr="00EA7804">
        <w:rPr>
          <w:sz w:val="26"/>
          <w:szCs w:val="26"/>
        </w:rPr>
        <w:t>(</w:t>
      </w:r>
      <w:r w:rsidRPr="00EA7804">
        <w:rPr>
          <w:sz w:val="26"/>
          <w:szCs w:val="26"/>
        </w:rPr>
        <w:t>Annual number of Customer Bills Issued – Baseline Number of Customer Bills Issued</w:t>
      </w:r>
      <w:r w:rsidR="00A27FEA" w:rsidRPr="00EA7804">
        <w:rPr>
          <w:sz w:val="26"/>
          <w:szCs w:val="26"/>
        </w:rPr>
        <w:t>) x (Cost Portion of Rate)</w:t>
      </w:r>
      <w:r w:rsidR="00F63FD4">
        <w:rPr>
          <w:sz w:val="26"/>
          <w:szCs w:val="26"/>
        </w:rPr>
        <w:t>]</w:t>
      </w:r>
      <w:r w:rsidR="0004237B" w:rsidRPr="00EA7804">
        <w:rPr>
          <w:sz w:val="26"/>
          <w:szCs w:val="26"/>
        </w:rPr>
        <w:t>.</w:t>
      </w:r>
    </w:p>
    <w:p w:rsidR="0004237B" w:rsidRPr="00EA7804" w:rsidRDefault="00A27FEA" w:rsidP="00EA7804">
      <w:pPr>
        <w:spacing w:after="240" w:line="240" w:lineRule="auto"/>
        <w:ind w:left="1440"/>
        <w:rPr>
          <w:sz w:val="26"/>
          <w:szCs w:val="26"/>
        </w:rPr>
      </w:pPr>
      <w:r w:rsidRPr="00EA7804">
        <w:rPr>
          <w:i/>
          <w:sz w:val="26"/>
          <w:szCs w:val="26"/>
        </w:rPr>
        <w:t>Non-SFV Customer Incremental Revenue</w:t>
      </w:r>
      <w:r w:rsidRPr="00EA7804">
        <w:rPr>
          <w:sz w:val="26"/>
          <w:szCs w:val="26"/>
        </w:rPr>
        <w:t xml:space="preserve"> – [</w:t>
      </w:r>
      <w:r w:rsidR="00F63FD4">
        <w:rPr>
          <w:sz w:val="26"/>
          <w:szCs w:val="26"/>
        </w:rPr>
        <w:t>(</w:t>
      </w:r>
      <w:r w:rsidRPr="00EA7804">
        <w:rPr>
          <w:sz w:val="26"/>
          <w:szCs w:val="26"/>
        </w:rPr>
        <w:t>Additional consumption by non-SFV customers directly attributable to CEP investment</w:t>
      </w:r>
      <w:r w:rsidR="00274186">
        <w:rPr>
          <w:sz w:val="26"/>
          <w:szCs w:val="26"/>
        </w:rPr>
        <w:t>)</w:t>
      </w:r>
      <w:r w:rsidRPr="00EA7804">
        <w:rPr>
          <w:sz w:val="26"/>
          <w:szCs w:val="26"/>
        </w:rPr>
        <w:t xml:space="preserve"> x </w:t>
      </w:r>
      <w:r w:rsidR="00274186">
        <w:rPr>
          <w:sz w:val="26"/>
          <w:szCs w:val="26"/>
        </w:rPr>
        <w:t>(</w:t>
      </w:r>
      <w:r w:rsidRPr="00EA7804">
        <w:rPr>
          <w:sz w:val="26"/>
          <w:szCs w:val="26"/>
        </w:rPr>
        <w:t>Cost Portion of Non-SFV Tariff</w:t>
      </w:r>
      <w:r w:rsidR="00274186">
        <w:rPr>
          <w:sz w:val="26"/>
          <w:szCs w:val="26"/>
        </w:rPr>
        <w:t>)</w:t>
      </w:r>
      <w:r w:rsidRPr="00EA7804">
        <w:rPr>
          <w:sz w:val="26"/>
          <w:szCs w:val="26"/>
        </w:rPr>
        <w:t>]</w:t>
      </w:r>
      <w:r w:rsidR="0004237B" w:rsidRPr="00EA7804">
        <w:rPr>
          <w:sz w:val="26"/>
          <w:szCs w:val="26"/>
        </w:rPr>
        <w:t>.</w:t>
      </w:r>
    </w:p>
    <w:p w:rsidR="0004237B" w:rsidRPr="00EA7804" w:rsidRDefault="00A27FEA" w:rsidP="00EA7804">
      <w:pPr>
        <w:spacing w:after="240" w:line="240" w:lineRule="auto"/>
        <w:ind w:left="1440"/>
        <w:rPr>
          <w:sz w:val="26"/>
          <w:szCs w:val="26"/>
        </w:rPr>
      </w:pPr>
      <w:r w:rsidRPr="00EA7804">
        <w:rPr>
          <w:i/>
          <w:sz w:val="26"/>
          <w:szCs w:val="26"/>
        </w:rPr>
        <w:t>Annual Number of Customer Bills Issued</w:t>
      </w:r>
      <w:r w:rsidRPr="00EA7804">
        <w:rPr>
          <w:sz w:val="26"/>
          <w:szCs w:val="26"/>
        </w:rPr>
        <w:t xml:space="preserve"> – actual number of customer bills issued for re</w:t>
      </w:r>
      <w:r w:rsidR="0004237B" w:rsidRPr="00EA7804">
        <w:rPr>
          <w:sz w:val="26"/>
          <w:szCs w:val="26"/>
        </w:rPr>
        <w:t>sidential and general service, G</w:t>
      </w:r>
      <w:r w:rsidRPr="00EA7804">
        <w:rPr>
          <w:sz w:val="26"/>
          <w:szCs w:val="26"/>
        </w:rPr>
        <w:t>roup 1 customer tariffs during the calendar year</w:t>
      </w:r>
      <w:r w:rsidR="0004237B" w:rsidRPr="00EA7804">
        <w:rPr>
          <w:sz w:val="26"/>
          <w:szCs w:val="26"/>
        </w:rPr>
        <w:t>.</w:t>
      </w:r>
    </w:p>
    <w:p w:rsidR="0004237B" w:rsidRPr="00EA7804" w:rsidRDefault="00A27FEA" w:rsidP="00EA7804">
      <w:pPr>
        <w:spacing w:after="240" w:line="240" w:lineRule="auto"/>
        <w:ind w:left="1440"/>
        <w:rPr>
          <w:sz w:val="26"/>
          <w:szCs w:val="26"/>
        </w:rPr>
      </w:pPr>
      <w:r w:rsidRPr="00EA7804">
        <w:rPr>
          <w:i/>
          <w:sz w:val="26"/>
          <w:szCs w:val="26"/>
        </w:rPr>
        <w:t>Baseline Number of Customer Bills Issued</w:t>
      </w:r>
      <w:r w:rsidRPr="00EA7804">
        <w:rPr>
          <w:sz w:val="26"/>
          <w:szCs w:val="26"/>
        </w:rPr>
        <w:t xml:space="preserve"> – residential and general service, group 1 customer annual bill count in VEDO’s last base rate case, Case No. 07-1080-GA-AIR.</w:t>
      </w:r>
    </w:p>
    <w:p w:rsidR="0004237B" w:rsidRPr="00EA7804" w:rsidRDefault="00754B69" w:rsidP="00EA7804">
      <w:pPr>
        <w:spacing w:after="240" w:line="240" w:lineRule="auto"/>
        <w:ind w:left="1440"/>
        <w:rPr>
          <w:sz w:val="26"/>
          <w:szCs w:val="26"/>
        </w:rPr>
      </w:pPr>
      <w:r w:rsidRPr="00EA7804">
        <w:rPr>
          <w:i/>
          <w:sz w:val="26"/>
          <w:szCs w:val="26"/>
        </w:rPr>
        <w:t>Cost Portion of the Rate</w:t>
      </w:r>
      <w:r w:rsidRPr="00EA7804">
        <w:rPr>
          <w:sz w:val="26"/>
          <w:szCs w:val="26"/>
        </w:rPr>
        <w:t xml:space="preserve"> – the revenue requirement in the last base rate case reduced by the equity return and income tax gross up allocated to each of the VEDO’s rate classes using the allocation method utilized in the Com</w:t>
      </w:r>
      <w:r w:rsidR="00EA7804">
        <w:rPr>
          <w:sz w:val="26"/>
          <w:szCs w:val="26"/>
        </w:rPr>
        <w:softHyphen/>
      </w:r>
      <w:r w:rsidRPr="00EA7804">
        <w:rPr>
          <w:sz w:val="26"/>
          <w:szCs w:val="26"/>
        </w:rPr>
        <w:t>pany’s last base rate case.</w:t>
      </w:r>
    </w:p>
    <w:p w:rsidR="0004237B" w:rsidRPr="00EA7804" w:rsidRDefault="00754B69" w:rsidP="00EA7804">
      <w:pPr>
        <w:spacing w:after="240" w:line="240" w:lineRule="auto"/>
        <w:ind w:left="1440"/>
        <w:rPr>
          <w:sz w:val="26"/>
          <w:szCs w:val="26"/>
        </w:rPr>
      </w:pPr>
      <w:r w:rsidRPr="00EA7804">
        <w:rPr>
          <w:i/>
          <w:sz w:val="26"/>
          <w:szCs w:val="26"/>
        </w:rPr>
        <w:t>Additional Consumption by Non-SFV Customer</w:t>
      </w:r>
      <w:r w:rsidRPr="00EA7804">
        <w:rPr>
          <w:sz w:val="26"/>
          <w:szCs w:val="26"/>
        </w:rPr>
        <w:t xml:space="preserve"> – additional consumption directly attributable </w:t>
      </w:r>
      <w:r w:rsidR="00563D93" w:rsidRPr="00EA7804">
        <w:rPr>
          <w:sz w:val="26"/>
          <w:szCs w:val="26"/>
        </w:rPr>
        <w:t xml:space="preserve">to a CEP investment associated with a specifically identified general service </w:t>
      </w:r>
      <w:r w:rsidR="0004237B" w:rsidRPr="00EA7804">
        <w:rPr>
          <w:sz w:val="26"/>
          <w:szCs w:val="26"/>
        </w:rPr>
        <w:t>(Group 2 or Group 3) or large transportation customer such as infrastructure CEP investments for the previously identi</w:t>
      </w:r>
      <w:r w:rsidR="00EA7804">
        <w:rPr>
          <w:sz w:val="26"/>
          <w:szCs w:val="26"/>
        </w:rPr>
        <w:softHyphen/>
      </w:r>
      <w:r w:rsidR="0004237B" w:rsidRPr="00EA7804">
        <w:rPr>
          <w:sz w:val="26"/>
          <w:szCs w:val="26"/>
        </w:rPr>
        <w:t>fied customer classes.</w:t>
      </w:r>
    </w:p>
    <w:p w:rsidR="0004237B" w:rsidRPr="00EA7804" w:rsidRDefault="0004237B" w:rsidP="00EA7804">
      <w:pPr>
        <w:spacing w:after="240" w:line="240" w:lineRule="auto"/>
        <w:ind w:left="1440"/>
        <w:rPr>
          <w:sz w:val="26"/>
          <w:szCs w:val="26"/>
        </w:rPr>
      </w:pPr>
      <w:r w:rsidRPr="00EA7804">
        <w:rPr>
          <w:i/>
          <w:sz w:val="26"/>
          <w:szCs w:val="26"/>
        </w:rPr>
        <w:t xml:space="preserve">Cost Portion of Non-SFV Tariff </w:t>
      </w:r>
      <w:r w:rsidRPr="00EA7804">
        <w:rPr>
          <w:sz w:val="26"/>
          <w:szCs w:val="26"/>
        </w:rPr>
        <w:t>– the revenue requirement less equity less equity return and income tax gross up associated with the tariff or cus</w:t>
      </w:r>
      <w:r w:rsidR="00EA7804">
        <w:rPr>
          <w:sz w:val="26"/>
          <w:szCs w:val="26"/>
        </w:rPr>
        <w:softHyphen/>
      </w:r>
      <w:r w:rsidRPr="00EA7804">
        <w:rPr>
          <w:sz w:val="26"/>
          <w:szCs w:val="26"/>
        </w:rPr>
        <w:t>tomer.</w:t>
      </w:r>
    </w:p>
    <w:tbl>
      <w:tblPr>
        <w:tblW w:w="7680" w:type="dxa"/>
        <w:tblInd w:w="848" w:type="dxa"/>
        <w:tblLook w:val="04A0" w:firstRow="1" w:lastRow="0" w:firstColumn="1" w:lastColumn="0" w:noHBand="0" w:noVBand="1"/>
      </w:tblPr>
      <w:tblGrid>
        <w:gridCol w:w="2860"/>
        <w:gridCol w:w="460"/>
        <w:gridCol w:w="4360"/>
      </w:tblGrid>
      <w:tr w:rsidR="009434D3" w:rsidRPr="008C19D3" w:rsidTr="00050A19">
        <w:trPr>
          <w:trHeight w:val="1500"/>
        </w:trPr>
        <w:tc>
          <w:tcPr>
            <w:tcW w:w="2860" w:type="dxa"/>
            <w:tcBorders>
              <w:top w:val="single" w:sz="4" w:space="0" w:color="auto"/>
              <w:left w:val="single" w:sz="4" w:space="0" w:color="auto"/>
              <w:bottom w:val="single" w:sz="4" w:space="0" w:color="auto"/>
              <w:right w:val="nil"/>
            </w:tcBorders>
            <w:shd w:val="clear" w:color="auto" w:fill="auto"/>
            <w:noWrap/>
            <w:vAlign w:val="center"/>
            <w:hideMark/>
          </w:tcPr>
          <w:p w:rsidR="009434D3" w:rsidRPr="00050A19" w:rsidRDefault="009434D3" w:rsidP="009434D3">
            <w:pPr>
              <w:spacing w:after="0" w:line="240" w:lineRule="auto"/>
              <w:jc w:val="center"/>
              <w:rPr>
                <w:rFonts w:eastAsia="Times New Roman" w:cs="Times New Roman"/>
                <w:color w:val="000000"/>
                <w:sz w:val="26"/>
                <w:szCs w:val="26"/>
              </w:rPr>
            </w:pPr>
            <w:r w:rsidRPr="00050A19">
              <w:rPr>
                <w:rFonts w:eastAsia="Times New Roman" w:cs="Times New Roman"/>
                <w:color w:val="000000"/>
                <w:sz w:val="26"/>
                <w:szCs w:val="26"/>
              </w:rPr>
              <w:t>Total Monthly Deferral</w:t>
            </w:r>
          </w:p>
        </w:tc>
        <w:tc>
          <w:tcPr>
            <w:tcW w:w="460" w:type="dxa"/>
            <w:tcBorders>
              <w:top w:val="single" w:sz="4" w:space="0" w:color="auto"/>
              <w:left w:val="nil"/>
              <w:bottom w:val="single" w:sz="4" w:space="0" w:color="auto"/>
              <w:right w:val="nil"/>
            </w:tcBorders>
            <w:shd w:val="clear" w:color="auto" w:fill="auto"/>
            <w:noWrap/>
            <w:vAlign w:val="center"/>
            <w:hideMark/>
          </w:tcPr>
          <w:p w:rsidR="009434D3" w:rsidRPr="00050A19" w:rsidRDefault="009434D3" w:rsidP="009434D3">
            <w:pPr>
              <w:spacing w:after="0" w:line="240" w:lineRule="auto"/>
              <w:jc w:val="center"/>
              <w:rPr>
                <w:rFonts w:eastAsia="Times New Roman" w:cs="Times New Roman"/>
                <w:color w:val="000000"/>
                <w:sz w:val="26"/>
                <w:szCs w:val="26"/>
              </w:rPr>
            </w:pPr>
            <w:r w:rsidRPr="00050A19">
              <w:rPr>
                <w:rFonts w:eastAsia="Times New Roman" w:cs="Times New Roman"/>
                <w:color w:val="000000"/>
                <w:sz w:val="26"/>
                <w:szCs w:val="26"/>
              </w:rPr>
              <w:t xml:space="preserve"> = </w:t>
            </w:r>
          </w:p>
        </w:tc>
        <w:tc>
          <w:tcPr>
            <w:tcW w:w="4360" w:type="dxa"/>
            <w:tcBorders>
              <w:top w:val="single" w:sz="4" w:space="0" w:color="auto"/>
              <w:left w:val="nil"/>
              <w:bottom w:val="single" w:sz="4" w:space="0" w:color="auto"/>
              <w:right w:val="single" w:sz="4" w:space="0" w:color="auto"/>
            </w:tcBorders>
            <w:shd w:val="clear" w:color="auto" w:fill="auto"/>
            <w:vAlign w:val="center"/>
            <w:hideMark/>
          </w:tcPr>
          <w:p w:rsidR="009434D3" w:rsidRPr="00050A19" w:rsidRDefault="009434D3" w:rsidP="009434D3">
            <w:pPr>
              <w:spacing w:after="0" w:line="240" w:lineRule="auto"/>
              <w:jc w:val="center"/>
              <w:rPr>
                <w:rFonts w:eastAsia="Times New Roman" w:cs="Times New Roman"/>
                <w:color w:val="000000"/>
                <w:sz w:val="26"/>
                <w:szCs w:val="26"/>
              </w:rPr>
            </w:pPr>
            <w:r w:rsidRPr="00050A19">
              <w:rPr>
                <w:rFonts w:eastAsia="Times New Roman" w:cs="Times New Roman"/>
                <w:color w:val="000000"/>
                <w:sz w:val="26"/>
                <w:szCs w:val="26"/>
              </w:rPr>
              <w:t xml:space="preserve">(PISCC) + (Depreciation Expense) + (Property Tax Expense) </w:t>
            </w:r>
            <w:r w:rsidR="00653679">
              <w:rPr>
                <w:rFonts w:eastAsia="Times New Roman" w:cs="Times New Roman"/>
                <w:color w:val="000000"/>
                <w:sz w:val="26"/>
                <w:szCs w:val="26"/>
              </w:rPr>
              <w:t xml:space="preserve">– </w:t>
            </w:r>
            <w:r w:rsidRPr="00050A19">
              <w:rPr>
                <w:rFonts w:eastAsia="Times New Roman" w:cs="Times New Roman"/>
                <w:color w:val="000000"/>
                <w:sz w:val="26"/>
                <w:szCs w:val="26"/>
              </w:rPr>
              <w:t xml:space="preserve"> (Incremental Revenues)</w:t>
            </w:r>
          </w:p>
        </w:tc>
      </w:tr>
    </w:tbl>
    <w:p w:rsidR="009434D3" w:rsidRPr="008C19D3" w:rsidRDefault="009434D3" w:rsidP="009434D3">
      <w:pPr>
        <w:rPr>
          <w:rFonts w:cs="Times New Roman"/>
        </w:rPr>
      </w:pPr>
    </w:p>
    <w:p w:rsidR="00C25496" w:rsidRPr="008C19D3" w:rsidRDefault="009434D3" w:rsidP="00050A19">
      <w:pPr>
        <w:pStyle w:val="textstyle"/>
      </w:pPr>
      <w:r w:rsidRPr="008C19D3">
        <w:lastRenderedPageBreak/>
        <w:t>Where:</w:t>
      </w:r>
    </w:p>
    <w:tbl>
      <w:tblPr>
        <w:tblW w:w="7763" w:type="dxa"/>
        <w:tblInd w:w="848" w:type="dxa"/>
        <w:tblLook w:val="04A0" w:firstRow="1" w:lastRow="0" w:firstColumn="1" w:lastColumn="0" w:noHBand="0" w:noVBand="1"/>
      </w:tblPr>
      <w:tblGrid>
        <w:gridCol w:w="720"/>
        <w:gridCol w:w="1600"/>
        <w:gridCol w:w="363"/>
        <w:gridCol w:w="720"/>
        <w:gridCol w:w="1677"/>
        <w:gridCol w:w="2683"/>
      </w:tblGrid>
      <w:tr w:rsidR="009434D3" w:rsidRPr="008C19D3" w:rsidTr="00050A19">
        <w:trPr>
          <w:trHeight w:val="1500"/>
        </w:trPr>
        <w:tc>
          <w:tcPr>
            <w:tcW w:w="2320" w:type="dxa"/>
            <w:gridSpan w:val="2"/>
            <w:tcBorders>
              <w:top w:val="single" w:sz="4" w:space="0" w:color="auto"/>
              <w:left w:val="single" w:sz="4" w:space="0" w:color="auto"/>
              <w:bottom w:val="single" w:sz="4" w:space="0" w:color="auto"/>
              <w:right w:val="nil"/>
            </w:tcBorders>
            <w:shd w:val="clear" w:color="auto" w:fill="auto"/>
            <w:noWrap/>
            <w:vAlign w:val="center"/>
            <w:hideMark/>
          </w:tcPr>
          <w:p w:rsidR="009434D3" w:rsidRPr="00050A19" w:rsidRDefault="009434D3" w:rsidP="009434D3">
            <w:pPr>
              <w:spacing w:after="0" w:line="240" w:lineRule="auto"/>
              <w:jc w:val="center"/>
              <w:rPr>
                <w:rFonts w:eastAsia="Times New Roman" w:cs="Times New Roman"/>
                <w:color w:val="000000"/>
                <w:sz w:val="26"/>
                <w:szCs w:val="26"/>
              </w:rPr>
            </w:pPr>
            <w:r w:rsidRPr="00050A19">
              <w:rPr>
                <w:rFonts w:eastAsia="Times New Roman" w:cs="Times New Roman"/>
                <w:color w:val="000000"/>
                <w:sz w:val="26"/>
                <w:szCs w:val="26"/>
              </w:rPr>
              <w:t>PISCC</w:t>
            </w:r>
          </w:p>
        </w:tc>
        <w:tc>
          <w:tcPr>
            <w:tcW w:w="363" w:type="dxa"/>
            <w:tcBorders>
              <w:top w:val="single" w:sz="4" w:space="0" w:color="auto"/>
              <w:left w:val="nil"/>
              <w:bottom w:val="single" w:sz="4" w:space="0" w:color="auto"/>
              <w:right w:val="nil"/>
            </w:tcBorders>
            <w:shd w:val="clear" w:color="auto" w:fill="auto"/>
            <w:noWrap/>
            <w:vAlign w:val="center"/>
            <w:hideMark/>
          </w:tcPr>
          <w:p w:rsidR="009434D3" w:rsidRPr="00050A19" w:rsidRDefault="009434D3" w:rsidP="009434D3">
            <w:pPr>
              <w:spacing w:after="0" w:line="240" w:lineRule="auto"/>
              <w:jc w:val="center"/>
              <w:rPr>
                <w:rFonts w:eastAsia="Times New Roman" w:cs="Times New Roman"/>
                <w:color w:val="000000"/>
                <w:sz w:val="26"/>
                <w:szCs w:val="26"/>
              </w:rPr>
            </w:pPr>
            <w:r w:rsidRPr="00050A19">
              <w:rPr>
                <w:rFonts w:eastAsia="Times New Roman" w:cs="Times New Roman"/>
                <w:color w:val="000000"/>
                <w:sz w:val="26"/>
                <w:szCs w:val="26"/>
              </w:rPr>
              <w:t xml:space="preserve"> = </w:t>
            </w:r>
          </w:p>
        </w:tc>
        <w:tc>
          <w:tcPr>
            <w:tcW w:w="5080" w:type="dxa"/>
            <w:gridSpan w:val="3"/>
            <w:tcBorders>
              <w:top w:val="single" w:sz="4" w:space="0" w:color="auto"/>
              <w:left w:val="nil"/>
              <w:bottom w:val="single" w:sz="4" w:space="0" w:color="auto"/>
              <w:right w:val="single" w:sz="4" w:space="0" w:color="auto"/>
            </w:tcBorders>
            <w:shd w:val="clear" w:color="auto" w:fill="auto"/>
            <w:vAlign w:val="center"/>
            <w:hideMark/>
          </w:tcPr>
          <w:p w:rsidR="00A27CEE" w:rsidRDefault="00A27CEE" w:rsidP="00653679">
            <w:pPr>
              <w:spacing w:after="0" w:line="240" w:lineRule="auto"/>
              <w:jc w:val="center"/>
              <w:rPr>
                <w:rFonts w:eastAsia="Times New Roman" w:cs="Times New Roman"/>
                <w:color w:val="000000"/>
                <w:sz w:val="26"/>
                <w:szCs w:val="26"/>
              </w:rPr>
            </w:pPr>
          </w:p>
          <w:p w:rsidR="009434D3" w:rsidRDefault="009434D3" w:rsidP="00653679">
            <w:pPr>
              <w:spacing w:after="0" w:line="240" w:lineRule="auto"/>
              <w:jc w:val="center"/>
              <w:rPr>
                <w:rFonts w:eastAsia="Times New Roman" w:cs="Times New Roman"/>
                <w:color w:val="000000"/>
                <w:sz w:val="26"/>
                <w:szCs w:val="26"/>
              </w:rPr>
            </w:pPr>
            <w:r w:rsidRPr="00050A19">
              <w:rPr>
                <w:rFonts w:eastAsia="Times New Roman" w:cs="Times New Roman"/>
                <w:color w:val="000000"/>
                <w:sz w:val="26"/>
                <w:szCs w:val="26"/>
              </w:rPr>
              <w:t>[(Previous Month's Cumulative Gross Plan</w:t>
            </w:r>
            <w:r w:rsidR="00DD1926">
              <w:rPr>
                <w:rFonts w:eastAsia="Times New Roman" w:cs="Times New Roman"/>
                <w:color w:val="000000"/>
                <w:sz w:val="26"/>
                <w:szCs w:val="26"/>
              </w:rPr>
              <w:t>t</w:t>
            </w:r>
            <w:r w:rsidRPr="00050A19">
              <w:rPr>
                <w:rFonts w:eastAsia="Times New Roman" w:cs="Times New Roman"/>
                <w:color w:val="000000"/>
                <w:sz w:val="26"/>
                <w:szCs w:val="26"/>
              </w:rPr>
              <w:t xml:space="preserve"> Additions) </w:t>
            </w:r>
            <w:r w:rsidR="00DD1926">
              <w:rPr>
                <w:rFonts w:eastAsia="Times New Roman" w:cs="Times New Roman"/>
                <w:color w:val="000000"/>
                <w:sz w:val="26"/>
                <w:szCs w:val="26"/>
              </w:rPr>
              <w:t xml:space="preserve">– </w:t>
            </w:r>
            <w:r w:rsidRPr="00050A19">
              <w:rPr>
                <w:rFonts w:eastAsia="Times New Roman" w:cs="Times New Roman"/>
                <w:color w:val="000000"/>
                <w:sz w:val="26"/>
                <w:szCs w:val="26"/>
              </w:rPr>
              <w:t xml:space="preserve"> (Previous Month's Cumulative Retirements)</w:t>
            </w:r>
            <w:r w:rsidR="00C9678A">
              <w:rPr>
                <w:rFonts w:eastAsia="Times New Roman" w:cs="Times New Roman"/>
                <w:color w:val="000000"/>
                <w:sz w:val="26"/>
                <w:szCs w:val="26"/>
              </w:rPr>
              <w:t xml:space="preserve"> – </w:t>
            </w:r>
            <w:r w:rsidR="00C9678A" w:rsidRPr="00C9678A">
              <w:rPr>
                <w:rFonts w:eastAsia="Times New Roman" w:cs="Times New Roman"/>
                <w:color w:val="000000"/>
                <w:sz w:val="26"/>
                <w:szCs w:val="26"/>
              </w:rPr>
              <w:t>(Previous Month's Accumulated Depreciation</w:t>
            </w:r>
            <w:r w:rsidR="004D779F">
              <w:rPr>
                <w:rFonts w:eastAsia="Times New Roman" w:cs="Times New Roman"/>
                <w:color w:val="000000"/>
                <w:sz w:val="26"/>
                <w:szCs w:val="26"/>
              </w:rPr>
              <w:t>)</w:t>
            </w:r>
            <w:r w:rsidRPr="00050A19">
              <w:rPr>
                <w:rFonts w:eastAsia="Times New Roman" w:cs="Times New Roman"/>
                <w:color w:val="000000"/>
                <w:sz w:val="26"/>
                <w:szCs w:val="26"/>
              </w:rPr>
              <w:t>] x [(Long Term Debt Rate) / (12 Months)]</w:t>
            </w:r>
          </w:p>
          <w:p w:rsidR="00A27CEE" w:rsidRPr="00050A19" w:rsidRDefault="00A27CEE" w:rsidP="00653679">
            <w:pPr>
              <w:spacing w:after="0" w:line="240" w:lineRule="auto"/>
              <w:jc w:val="center"/>
              <w:rPr>
                <w:rFonts w:eastAsia="Times New Roman" w:cs="Times New Roman"/>
                <w:color w:val="000000"/>
                <w:sz w:val="26"/>
                <w:szCs w:val="26"/>
              </w:rPr>
            </w:pPr>
          </w:p>
        </w:tc>
      </w:tr>
      <w:tr w:rsidR="00A27CEE" w:rsidRPr="008C19D3" w:rsidTr="00050A19">
        <w:trPr>
          <w:gridAfter w:val="1"/>
          <w:wAfter w:w="2683" w:type="dxa"/>
          <w:trHeight w:val="300"/>
        </w:trPr>
        <w:tc>
          <w:tcPr>
            <w:tcW w:w="720" w:type="dxa"/>
            <w:tcBorders>
              <w:top w:val="nil"/>
              <w:left w:val="nil"/>
              <w:bottom w:val="nil"/>
              <w:right w:val="nil"/>
            </w:tcBorders>
            <w:shd w:val="clear" w:color="auto" w:fill="auto"/>
            <w:noWrap/>
            <w:vAlign w:val="bottom"/>
          </w:tcPr>
          <w:p w:rsidR="00A27CEE" w:rsidRPr="008C19D3" w:rsidRDefault="00A27CEE" w:rsidP="00A27CEE">
            <w:pPr>
              <w:spacing w:after="0" w:line="240" w:lineRule="auto"/>
              <w:rPr>
                <w:rFonts w:ascii="Calibri" w:eastAsia="Times New Roman" w:hAnsi="Calibri" w:cs="Calibri"/>
                <w:color w:val="000000"/>
              </w:rPr>
            </w:pPr>
          </w:p>
        </w:tc>
        <w:tc>
          <w:tcPr>
            <w:tcW w:w="4360" w:type="dxa"/>
            <w:gridSpan w:val="4"/>
            <w:tcBorders>
              <w:top w:val="nil"/>
              <w:left w:val="nil"/>
              <w:bottom w:val="nil"/>
              <w:right w:val="nil"/>
            </w:tcBorders>
            <w:shd w:val="clear" w:color="auto" w:fill="auto"/>
            <w:noWrap/>
            <w:vAlign w:val="bottom"/>
          </w:tcPr>
          <w:p w:rsidR="00A27CEE" w:rsidRPr="00050A19" w:rsidRDefault="00A27CEE" w:rsidP="00A27CEE">
            <w:pPr>
              <w:spacing w:after="0"/>
            </w:pPr>
          </w:p>
        </w:tc>
      </w:tr>
      <w:tr w:rsidR="009434D3" w:rsidRPr="008C19D3" w:rsidTr="00050A19">
        <w:trPr>
          <w:trHeight w:val="1500"/>
        </w:trPr>
        <w:tc>
          <w:tcPr>
            <w:tcW w:w="2683" w:type="dxa"/>
            <w:gridSpan w:val="3"/>
            <w:tcBorders>
              <w:top w:val="single" w:sz="4" w:space="0" w:color="auto"/>
              <w:left w:val="single" w:sz="4" w:space="0" w:color="auto"/>
              <w:bottom w:val="single" w:sz="4" w:space="0" w:color="auto"/>
              <w:right w:val="nil"/>
            </w:tcBorders>
            <w:shd w:val="clear" w:color="auto" w:fill="auto"/>
            <w:noWrap/>
            <w:vAlign w:val="center"/>
            <w:hideMark/>
          </w:tcPr>
          <w:p w:rsidR="009434D3" w:rsidRPr="00050A19" w:rsidRDefault="009434D3" w:rsidP="009434D3">
            <w:pPr>
              <w:spacing w:after="0" w:line="240" w:lineRule="auto"/>
              <w:jc w:val="center"/>
              <w:rPr>
                <w:rFonts w:eastAsia="Times New Roman" w:cs="Times New Roman"/>
                <w:color w:val="000000"/>
                <w:sz w:val="26"/>
                <w:szCs w:val="26"/>
              </w:rPr>
            </w:pPr>
            <w:r w:rsidRPr="00050A19">
              <w:rPr>
                <w:rFonts w:eastAsia="Times New Roman" w:cs="Times New Roman"/>
                <w:color w:val="000000"/>
                <w:sz w:val="26"/>
                <w:szCs w:val="26"/>
              </w:rPr>
              <w:t>Depreciation Expense</w:t>
            </w:r>
          </w:p>
        </w:tc>
        <w:tc>
          <w:tcPr>
            <w:tcW w:w="720" w:type="dxa"/>
            <w:tcBorders>
              <w:top w:val="single" w:sz="4" w:space="0" w:color="auto"/>
              <w:left w:val="nil"/>
              <w:bottom w:val="single" w:sz="4" w:space="0" w:color="auto"/>
              <w:right w:val="nil"/>
            </w:tcBorders>
            <w:shd w:val="clear" w:color="auto" w:fill="auto"/>
            <w:noWrap/>
            <w:vAlign w:val="center"/>
            <w:hideMark/>
          </w:tcPr>
          <w:p w:rsidR="009434D3" w:rsidRPr="00050A19" w:rsidRDefault="009434D3" w:rsidP="009434D3">
            <w:pPr>
              <w:spacing w:after="0" w:line="240" w:lineRule="auto"/>
              <w:jc w:val="center"/>
              <w:rPr>
                <w:rFonts w:eastAsia="Times New Roman" w:cs="Times New Roman"/>
                <w:color w:val="000000"/>
                <w:sz w:val="26"/>
                <w:szCs w:val="26"/>
              </w:rPr>
            </w:pPr>
            <w:r w:rsidRPr="00050A19">
              <w:rPr>
                <w:rFonts w:eastAsia="Times New Roman" w:cs="Times New Roman"/>
                <w:color w:val="000000"/>
                <w:sz w:val="26"/>
                <w:szCs w:val="26"/>
              </w:rPr>
              <w:t xml:space="preserve"> = </w:t>
            </w:r>
          </w:p>
        </w:tc>
        <w:tc>
          <w:tcPr>
            <w:tcW w:w="4360" w:type="dxa"/>
            <w:gridSpan w:val="2"/>
            <w:tcBorders>
              <w:top w:val="single" w:sz="4" w:space="0" w:color="auto"/>
              <w:left w:val="nil"/>
              <w:bottom w:val="single" w:sz="4" w:space="0" w:color="auto"/>
              <w:right w:val="single" w:sz="4" w:space="0" w:color="auto"/>
            </w:tcBorders>
            <w:shd w:val="clear" w:color="auto" w:fill="auto"/>
            <w:vAlign w:val="center"/>
            <w:hideMark/>
          </w:tcPr>
          <w:p w:rsidR="00A27CEE" w:rsidRDefault="00A27CEE" w:rsidP="00366056">
            <w:pPr>
              <w:spacing w:after="0" w:line="240" w:lineRule="auto"/>
              <w:jc w:val="center"/>
              <w:rPr>
                <w:rFonts w:eastAsia="Times New Roman" w:cs="Times New Roman"/>
                <w:color w:val="000000"/>
                <w:sz w:val="26"/>
                <w:szCs w:val="26"/>
              </w:rPr>
            </w:pPr>
          </w:p>
          <w:p w:rsidR="009434D3" w:rsidRDefault="009434D3" w:rsidP="00366056">
            <w:pPr>
              <w:spacing w:after="0" w:line="240" w:lineRule="auto"/>
              <w:jc w:val="center"/>
              <w:rPr>
                <w:rFonts w:eastAsia="Times New Roman" w:cs="Times New Roman"/>
                <w:color w:val="000000"/>
                <w:sz w:val="26"/>
                <w:szCs w:val="26"/>
              </w:rPr>
            </w:pPr>
            <w:r w:rsidRPr="00050A19">
              <w:rPr>
                <w:rFonts w:eastAsia="Times New Roman" w:cs="Times New Roman"/>
                <w:color w:val="000000"/>
                <w:sz w:val="26"/>
                <w:szCs w:val="26"/>
              </w:rPr>
              <w:t>[(</w:t>
            </w:r>
            <w:r w:rsidR="00366056">
              <w:rPr>
                <w:rFonts w:eastAsia="Times New Roman" w:cs="Times New Roman"/>
                <w:color w:val="000000"/>
                <w:sz w:val="26"/>
                <w:szCs w:val="26"/>
              </w:rPr>
              <w:t>Current</w:t>
            </w:r>
            <w:r w:rsidR="00366056" w:rsidRPr="00050A19">
              <w:rPr>
                <w:rFonts w:eastAsia="Times New Roman" w:cs="Times New Roman"/>
                <w:color w:val="000000"/>
                <w:sz w:val="26"/>
                <w:szCs w:val="26"/>
              </w:rPr>
              <w:t xml:space="preserve"> </w:t>
            </w:r>
            <w:r w:rsidRPr="00050A19">
              <w:rPr>
                <w:rFonts w:eastAsia="Times New Roman" w:cs="Times New Roman"/>
                <w:color w:val="000000"/>
                <w:sz w:val="26"/>
                <w:szCs w:val="26"/>
              </w:rPr>
              <w:t>Month</w:t>
            </w:r>
            <w:r w:rsidR="008C1AE0">
              <w:rPr>
                <w:rFonts w:eastAsia="Times New Roman" w:cs="Times New Roman"/>
                <w:color w:val="000000"/>
                <w:sz w:val="26"/>
                <w:szCs w:val="26"/>
              </w:rPr>
              <w:t xml:space="preserve"> CEP</w:t>
            </w:r>
            <w:r w:rsidRPr="00050A19">
              <w:rPr>
                <w:rFonts w:eastAsia="Times New Roman" w:cs="Times New Roman"/>
                <w:color w:val="000000"/>
                <w:sz w:val="26"/>
                <w:szCs w:val="26"/>
              </w:rPr>
              <w:t xml:space="preserve"> Gross Plan</w:t>
            </w:r>
            <w:r w:rsidR="00C9678A">
              <w:rPr>
                <w:rFonts w:eastAsia="Times New Roman" w:cs="Times New Roman"/>
                <w:color w:val="000000"/>
                <w:sz w:val="26"/>
                <w:szCs w:val="26"/>
              </w:rPr>
              <w:t>t</w:t>
            </w:r>
            <w:r w:rsidRPr="00050A19">
              <w:rPr>
                <w:rFonts w:eastAsia="Times New Roman" w:cs="Times New Roman"/>
                <w:color w:val="000000"/>
                <w:sz w:val="26"/>
                <w:szCs w:val="26"/>
              </w:rPr>
              <w:t xml:space="preserve"> Additions) </w:t>
            </w:r>
            <w:r w:rsidR="008C1AE0">
              <w:rPr>
                <w:rFonts w:eastAsia="Times New Roman" w:cs="Times New Roman"/>
                <w:color w:val="000000"/>
                <w:sz w:val="26"/>
                <w:szCs w:val="26"/>
              </w:rPr>
              <w:t xml:space="preserve">– </w:t>
            </w:r>
            <w:r w:rsidR="00366056">
              <w:rPr>
                <w:rFonts w:eastAsia="Times New Roman" w:cs="Times New Roman"/>
                <w:color w:val="000000"/>
                <w:sz w:val="26"/>
                <w:szCs w:val="26"/>
              </w:rPr>
              <w:t>Current Month</w:t>
            </w:r>
            <w:r w:rsidR="008C1AE0">
              <w:rPr>
                <w:rFonts w:eastAsia="Times New Roman" w:cs="Times New Roman"/>
                <w:color w:val="000000"/>
                <w:sz w:val="26"/>
                <w:szCs w:val="26"/>
              </w:rPr>
              <w:t xml:space="preserve"> CEP</w:t>
            </w:r>
            <w:r w:rsidR="00366056">
              <w:rPr>
                <w:rFonts w:eastAsia="Times New Roman" w:cs="Times New Roman"/>
                <w:color w:val="000000"/>
                <w:sz w:val="26"/>
                <w:szCs w:val="26"/>
              </w:rPr>
              <w:t xml:space="preserve"> </w:t>
            </w:r>
            <w:r w:rsidR="008C1AE0">
              <w:rPr>
                <w:rFonts w:eastAsia="Times New Roman" w:cs="Times New Roman"/>
                <w:color w:val="000000"/>
                <w:sz w:val="26"/>
                <w:szCs w:val="26"/>
              </w:rPr>
              <w:t>Retirements)] x</w:t>
            </w:r>
            <w:r w:rsidRPr="00050A19">
              <w:rPr>
                <w:rFonts w:eastAsia="Times New Roman" w:cs="Times New Roman"/>
                <w:color w:val="000000"/>
                <w:sz w:val="26"/>
                <w:szCs w:val="26"/>
              </w:rPr>
              <w:t xml:space="preserve"> [(D</w:t>
            </w:r>
            <w:r w:rsidR="008C1AE0">
              <w:rPr>
                <w:rFonts w:eastAsia="Times New Roman" w:cs="Times New Roman"/>
                <w:color w:val="000000"/>
                <w:sz w:val="26"/>
                <w:szCs w:val="26"/>
              </w:rPr>
              <w:t>epreciation Rate / 12 Months) x ½) + [(Prior Month-end Cumulative CEP</w:t>
            </w:r>
            <w:r w:rsidR="00277537">
              <w:rPr>
                <w:rFonts w:eastAsia="Times New Roman" w:cs="Times New Roman"/>
                <w:color w:val="000000"/>
                <w:sz w:val="26"/>
                <w:szCs w:val="26"/>
              </w:rPr>
              <w:t xml:space="preserve"> Gross Plant Additions – Cumulative Prior Month CEP Retirements) x (Depreciation Rate / 12 months)]</w:t>
            </w:r>
            <w:r w:rsidR="008C1AE0">
              <w:rPr>
                <w:rFonts w:eastAsia="Times New Roman" w:cs="Times New Roman"/>
                <w:color w:val="000000"/>
                <w:sz w:val="26"/>
                <w:szCs w:val="26"/>
              </w:rPr>
              <w:t xml:space="preserve"> </w:t>
            </w:r>
          </w:p>
          <w:p w:rsidR="00A27CEE" w:rsidRPr="00050A19" w:rsidRDefault="00A27CEE" w:rsidP="00366056">
            <w:pPr>
              <w:spacing w:after="0" w:line="240" w:lineRule="auto"/>
              <w:jc w:val="center"/>
              <w:rPr>
                <w:rFonts w:eastAsia="Times New Roman" w:cs="Times New Roman"/>
                <w:color w:val="000000"/>
                <w:sz w:val="26"/>
                <w:szCs w:val="26"/>
              </w:rPr>
            </w:pPr>
          </w:p>
        </w:tc>
      </w:tr>
      <w:tr w:rsidR="009434D3" w:rsidRPr="008C19D3" w:rsidTr="00050A19">
        <w:trPr>
          <w:trHeight w:val="300"/>
        </w:trPr>
        <w:tc>
          <w:tcPr>
            <w:tcW w:w="2683" w:type="dxa"/>
            <w:gridSpan w:val="3"/>
            <w:tcBorders>
              <w:top w:val="nil"/>
              <w:left w:val="nil"/>
              <w:bottom w:val="nil"/>
              <w:right w:val="nil"/>
            </w:tcBorders>
            <w:shd w:val="clear" w:color="auto" w:fill="auto"/>
            <w:noWrap/>
            <w:vAlign w:val="bottom"/>
            <w:hideMark/>
          </w:tcPr>
          <w:p w:rsidR="009434D3" w:rsidRPr="008C19D3" w:rsidRDefault="009434D3" w:rsidP="009434D3">
            <w:pPr>
              <w:spacing w:after="0" w:line="240" w:lineRule="auto"/>
              <w:rPr>
                <w:rFonts w:ascii="Calibri" w:eastAsia="Times New Roman" w:hAnsi="Calibri" w:cs="Calibri"/>
                <w:color w:val="000000"/>
              </w:rPr>
            </w:pPr>
          </w:p>
        </w:tc>
        <w:tc>
          <w:tcPr>
            <w:tcW w:w="720" w:type="dxa"/>
            <w:tcBorders>
              <w:top w:val="nil"/>
              <w:left w:val="nil"/>
              <w:bottom w:val="nil"/>
              <w:right w:val="nil"/>
            </w:tcBorders>
            <w:shd w:val="clear" w:color="auto" w:fill="auto"/>
            <w:noWrap/>
            <w:vAlign w:val="bottom"/>
            <w:hideMark/>
          </w:tcPr>
          <w:p w:rsidR="009434D3" w:rsidRPr="008C19D3" w:rsidRDefault="009434D3" w:rsidP="009434D3">
            <w:pPr>
              <w:spacing w:after="0" w:line="240" w:lineRule="auto"/>
              <w:rPr>
                <w:rFonts w:ascii="Calibri" w:eastAsia="Times New Roman" w:hAnsi="Calibri" w:cs="Calibri"/>
                <w:color w:val="000000"/>
              </w:rPr>
            </w:pPr>
          </w:p>
        </w:tc>
        <w:tc>
          <w:tcPr>
            <w:tcW w:w="4360" w:type="dxa"/>
            <w:gridSpan w:val="2"/>
            <w:tcBorders>
              <w:top w:val="nil"/>
              <w:left w:val="nil"/>
              <w:bottom w:val="nil"/>
              <w:right w:val="nil"/>
            </w:tcBorders>
            <w:shd w:val="clear" w:color="auto" w:fill="auto"/>
            <w:noWrap/>
            <w:vAlign w:val="bottom"/>
            <w:hideMark/>
          </w:tcPr>
          <w:p w:rsidR="009434D3" w:rsidRPr="008C19D3" w:rsidRDefault="009434D3" w:rsidP="009434D3">
            <w:pPr>
              <w:spacing w:after="0" w:line="240" w:lineRule="auto"/>
              <w:rPr>
                <w:rFonts w:ascii="Calibri" w:eastAsia="Times New Roman" w:hAnsi="Calibri" w:cs="Calibri"/>
                <w:color w:val="000000"/>
              </w:rPr>
            </w:pPr>
          </w:p>
        </w:tc>
      </w:tr>
      <w:tr w:rsidR="009434D3" w:rsidRPr="008C19D3" w:rsidTr="00050A19">
        <w:trPr>
          <w:trHeight w:val="1500"/>
        </w:trPr>
        <w:tc>
          <w:tcPr>
            <w:tcW w:w="2683" w:type="dxa"/>
            <w:gridSpan w:val="3"/>
            <w:tcBorders>
              <w:top w:val="single" w:sz="4" w:space="0" w:color="auto"/>
              <w:left w:val="single" w:sz="4" w:space="0" w:color="auto"/>
              <w:bottom w:val="single" w:sz="4" w:space="0" w:color="auto"/>
              <w:right w:val="nil"/>
            </w:tcBorders>
            <w:shd w:val="clear" w:color="auto" w:fill="auto"/>
            <w:noWrap/>
            <w:vAlign w:val="center"/>
            <w:hideMark/>
          </w:tcPr>
          <w:p w:rsidR="009434D3" w:rsidRPr="00050A19" w:rsidRDefault="009434D3" w:rsidP="009434D3">
            <w:pPr>
              <w:spacing w:after="0" w:line="240" w:lineRule="auto"/>
              <w:jc w:val="center"/>
              <w:rPr>
                <w:rFonts w:eastAsia="Times New Roman" w:cs="Times New Roman"/>
                <w:color w:val="000000"/>
                <w:sz w:val="26"/>
                <w:szCs w:val="26"/>
              </w:rPr>
            </w:pPr>
            <w:r w:rsidRPr="00050A19">
              <w:rPr>
                <w:rFonts w:eastAsia="Times New Roman" w:cs="Times New Roman"/>
                <w:color w:val="000000"/>
                <w:sz w:val="26"/>
                <w:szCs w:val="26"/>
              </w:rPr>
              <w:t>Property Tax Expense</w:t>
            </w:r>
          </w:p>
        </w:tc>
        <w:tc>
          <w:tcPr>
            <w:tcW w:w="720" w:type="dxa"/>
            <w:tcBorders>
              <w:top w:val="single" w:sz="4" w:space="0" w:color="auto"/>
              <w:left w:val="nil"/>
              <w:bottom w:val="single" w:sz="4" w:space="0" w:color="auto"/>
              <w:right w:val="nil"/>
            </w:tcBorders>
            <w:shd w:val="clear" w:color="auto" w:fill="auto"/>
            <w:noWrap/>
            <w:vAlign w:val="center"/>
            <w:hideMark/>
          </w:tcPr>
          <w:p w:rsidR="009434D3" w:rsidRPr="00050A19" w:rsidRDefault="009434D3" w:rsidP="009434D3">
            <w:pPr>
              <w:spacing w:after="0" w:line="240" w:lineRule="auto"/>
              <w:jc w:val="center"/>
              <w:rPr>
                <w:rFonts w:eastAsia="Times New Roman" w:cs="Times New Roman"/>
                <w:color w:val="000000"/>
                <w:sz w:val="26"/>
                <w:szCs w:val="26"/>
              </w:rPr>
            </w:pPr>
            <w:r w:rsidRPr="00050A19">
              <w:rPr>
                <w:rFonts w:eastAsia="Times New Roman" w:cs="Times New Roman"/>
                <w:color w:val="000000"/>
                <w:sz w:val="26"/>
                <w:szCs w:val="26"/>
              </w:rPr>
              <w:t xml:space="preserve"> = </w:t>
            </w:r>
          </w:p>
        </w:tc>
        <w:tc>
          <w:tcPr>
            <w:tcW w:w="4360" w:type="dxa"/>
            <w:gridSpan w:val="2"/>
            <w:tcBorders>
              <w:top w:val="single" w:sz="4" w:space="0" w:color="auto"/>
              <w:left w:val="nil"/>
              <w:bottom w:val="single" w:sz="4" w:space="0" w:color="auto"/>
              <w:right w:val="single" w:sz="4" w:space="0" w:color="auto"/>
            </w:tcBorders>
            <w:shd w:val="clear" w:color="auto" w:fill="auto"/>
            <w:vAlign w:val="center"/>
            <w:hideMark/>
          </w:tcPr>
          <w:p w:rsidR="00A27CEE" w:rsidRDefault="00A27CEE" w:rsidP="00366056">
            <w:pPr>
              <w:spacing w:after="0" w:line="240" w:lineRule="auto"/>
              <w:jc w:val="center"/>
              <w:rPr>
                <w:rFonts w:eastAsia="Times New Roman" w:cs="Times New Roman"/>
                <w:color w:val="000000"/>
                <w:sz w:val="26"/>
                <w:szCs w:val="26"/>
              </w:rPr>
            </w:pPr>
          </w:p>
          <w:p w:rsidR="00277537" w:rsidRDefault="00277537" w:rsidP="00366056">
            <w:pPr>
              <w:spacing w:after="0" w:line="240" w:lineRule="auto"/>
              <w:jc w:val="center"/>
              <w:rPr>
                <w:rFonts w:eastAsia="Times New Roman" w:cs="Times New Roman"/>
                <w:color w:val="000000"/>
                <w:sz w:val="26"/>
                <w:szCs w:val="26"/>
              </w:rPr>
            </w:pPr>
            <w:r>
              <w:rPr>
                <w:rFonts w:eastAsia="Times New Roman" w:cs="Times New Roman"/>
                <w:color w:val="000000"/>
                <w:sz w:val="26"/>
                <w:szCs w:val="26"/>
              </w:rPr>
              <w:t xml:space="preserve">Taxable Value x Weighted Average Personal Property Tax Rate </w:t>
            </w:r>
          </w:p>
          <w:p w:rsidR="00277537" w:rsidRDefault="00277537" w:rsidP="00366056">
            <w:pPr>
              <w:spacing w:after="0" w:line="240" w:lineRule="auto"/>
              <w:jc w:val="center"/>
              <w:rPr>
                <w:rFonts w:eastAsia="Times New Roman" w:cs="Times New Roman"/>
                <w:color w:val="000000"/>
                <w:sz w:val="26"/>
                <w:szCs w:val="26"/>
              </w:rPr>
            </w:pPr>
          </w:p>
          <w:p w:rsidR="00277537" w:rsidRDefault="00277537" w:rsidP="00277537">
            <w:pPr>
              <w:spacing w:after="0" w:line="240" w:lineRule="auto"/>
              <w:jc w:val="center"/>
              <w:rPr>
                <w:rFonts w:eastAsia="Times New Roman" w:cs="Times New Roman"/>
                <w:color w:val="000000"/>
                <w:sz w:val="26"/>
                <w:szCs w:val="26"/>
              </w:rPr>
            </w:pPr>
            <w:r w:rsidRPr="00277537">
              <w:rPr>
                <w:rFonts w:eastAsia="Times New Roman" w:cs="Times New Roman"/>
                <w:color w:val="000000"/>
                <w:sz w:val="26"/>
                <w:szCs w:val="26"/>
                <w:u w:val="single"/>
              </w:rPr>
              <w:t>Where</w:t>
            </w:r>
            <w:r>
              <w:rPr>
                <w:rFonts w:eastAsia="Times New Roman" w:cs="Times New Roman"/>
                <w:color w:val="000000"/>
                <w:sz w:val="26"/>
                <w:szCs w:val="26"/>
              </w:rPr>
              <w:t>:</w:t>
            </w:r>
          </w:p>
          <w:p w:rsidR="00277537" w:rsidRDefault="00277537" w:rsidP="00366056">
            <w:pPr>
              <w:spacing w:after="0" w:line="240" w:lineRule="auto"/>
              <w:jc w:val="center"/>
              <w:rPr>
                <w:rFonts w:eastAsia="Times New Roman" w:cs="Times New Roman"/>
                <w:color w:val="000000"/>
                <w:sz w:val="26"/>
                <w:szCs w:val="26"/>
              </w:rPr>
            </w:pPr>
          </w:p>
          <w:p w:rsidR="009434D3" w:rsidRDefault="00277537" w:rsidP="00366056">
            <w:pPr>
              <w:spacing w:after="0" w:line="240" w:lineRule="auto"/>
              <w:jc w:val="center"/>
              <w:rPr>
                <w:rFonts w:eastAsia="Times New Roman" w:cs="Times New Roman"/>
                <w:color w:val="000000"/>
                <w:sz w:val="26"/>
                <w:szCs w:val="26"/>
              </w:rPr>
            </w:pPr>
            <w:r>
              <w:rPr>
                <w:rFonts w:eastAsia="Times New Roman" w:cs="Times New Roman"/>
                <w:color w:val="000000"/>
                <w:sz w:val="26"/>
                <w:szCs w:val="26"/>
              </w:rPr>
              <w:t xml:space="preserve">Taxable Value = </w:t>
            </w:r>
            <w:r w:rsidR="009434D3" w:rsidRPr="00050A19">
              <w:rPr>
                <w:rFonts w:eastAsia="Times New Roman" w:cs="Times New Roman"/>
                <w:color w:val="000000"/>
                <w:sz w:val="26"/>
                <w:szCs w:val="26"/>
              </w:rPr>
              <w:t>[(</w:t>
            </w:r>
            <w:r w:rsidR="00E84381">
              <w:rPr>
                <w:rFonts w:eastAsia="Times New Roman" w:cs="Times New Roman"/>
                <w:color w:val="000000"/>
                <w:sz w:val="26"/>
                <w:szCs w:val="26"/>
              </w:rPr>
              <w:t>Prior Year-E</w:t>
            </w:r>
            <w:r w:rsidR="00366056">
              <w:rPr>
                <w:rFonts w:eastAsia="Times New Roman" w:cs="Times New Roman"/>
                <w:color w:val="000000"/>
                <w:sz w:val="26"/>
                <w:szCs w:val="26"/>
              </w:rPr>
              <w:t xml:space="preserve">nd </w:t>
            </w:r>
            <w:r w:rsidR="00E84381">
              <w:rPr>
                <w:rFonts w:eastAsia="Times New Roman" w:cs="Times New Roman"/>
                <w:color w:val="000000"/>
                <w:sz w:val="26"/>
                <w:szCs w:val="26"/>
              </w:rPr>
              <w:t xml:space="preserve">CEP </w:t>
            </w:r>
            <w:r w:rsidR="00366056">
              <w:rPr>
                <w:rFonts w:eastAsia="Times New Roman" w:cs="Times New Roman"/>
                <w:color w:val="000000"/>
                <w:sz w:val="26"/>
                <w:szCs w:val="26"/>
              </w:rPr>
              <w:t>Cumulative Gross Plant Additions</w:t>
            </w:r>
            <w:r w:rsidR="00E84381">
              <w:rPr>
                <w:rFonts w:eastAsia="Times New Roman" w:cs="Times New Roman"/>
                <w:color w:val="000000"/>
                <w:sz w:val="26"/>
                <w:szCs w:val="26"/>
              </w:rPr>
              <w:t xml:space="preserve"> x Percent Good</w:t>
            </w:r>
            <w:r w:rsidR="009434D3" w:rsidRPr="00050A19">
              <w:rPr>
                <w:rFonts w:eastAsia="Times New Roman" w:cs="Times New Roman"/>
                <w:color w:val="000000"/>
                <w:sz w:val="26"/>
                <w:szCs w:val="26"/>
              </w:rPr>
              <w:t xml:space="preserve">) </w:t>
            </w:r>
            <w:r w:rsidR="00366056">
              <w:rPr>
                <w:rFonts w:eastAsia="Times New Roman" w:cs="Times New Roman"/>
                <w:color w:val="000000"/>
                <w:sz w:val="26"/>
                <w:szCs w:val="26"/>
              </w:rPr>
              <w:t xml:space="preserve">– (Prior Year-End Cumulative </w:t>
            </w:r>
            <w:r w:rsidR="00E84381">
              <w:rPr>
                <w:rFonts w:eastAsia="Times New Roman" w:cs="Times New Roman"/>
                <w:color w:val="000000"/>
                <w:sz w:val="26"/>
                <w:szCs w:val="26"/>
              </w:rPr>
              <w:t xml:space="preserve">CEP </w:t>
            </w:r>
            <w:r w:rsidR="00366056">
              <w:rPr>
                <w:rFonts w:eastAsia="Times New Roman" w:cs="Times New Roman"/>
                <w:color w:val="000000"/>
                <w:sz w:val="26"/>
                <w:szCs w:val="26"/>
              </w:rPr>
              <w:t>Retirements</w:t>
            </w:r>
            <w:r w:rsidR="00E84381">
              <w:rPr>
                <w:rFonts w:eastAsia="Times New Roman" w:cs="Times New Roman"/>
                <w:color w:val="000000"/>
                <w:sz w:val="26"/>
                <w:szCs w:val="26"/>
              </w:rPr>
              <w:t xml:space="preserve"> x Percent Good</w:t>
            </w:r>
            <w:r w:rsidR="009434D3" w:rsidRPr="00050A19">
              <w:rPr>
                <w:rFonts w:eastAsia="Times New Roman" w:cs="Times New Roman"/>
                <w:color w:val="000000"/>
                <w:sz w:val="26"/>
                <w:szCs w:val="26"/>
              </w:rPr>
              <w:t xml:space="preserve">] x </w:t>
            </w:r>
            <w:r w:rsidR="00E84381">
              <w:rPr>
                <w:rFonts w:eastAsia="Times New Roman" w:cs="Times New Roman"/>
                <w:color w:val="000000"/>
                <w:sz w:val="26"/>
                <w:szCs w:val="26"/>
              </w:rPr>
              <w:t>25%</w:t>
            </w:r>
          </w:p>
          <w:p w:rsidR="00A27CEE" w:rsidRPr="00050A19" w:rsidRDefault="00A27CEE" w:rsidP="00366056">
            <w:pPr>
              <w:spacing w:after="0" w:line="240" w:lineRule="auto"/>
              <w:jc w:val="center"/>
              <w:rPr>
                <w:rFonts w:eastAsia="Times New Roman" w:cs="Times New Roman"/>
                <w:color w:val="000000"/>
                <w:sz w:val="26"/>
                <w:szCs w:val="26"/>
              </w:rPr>
            </w:pPr>
          </w:p>
        </w:tc>
      </w:tr>
    </w:tbl>
    <w:p w:rsidR="00A27CEE" w:rsidRDefault="00A27CEE">
      <w:r>
        <w:br w:type="page"/>
      </w:r>
    </w:p>
    <w:tbl>
      <w:tblPr>
        <w:tblW w:w="7763" w:type="dxa"/>
        <w:tblInd w:w="848" w:type="dxa"/>
        <w:tblLook w:val="04A0" w:firstRow="1" w:lastRow="0" w:firstColumn="1" w:lastColumn="0" w:noHBand="0" w:noVBand="1"/>
      </w:tblPr>
      <w:tblGrid>
        <w:gridCol w:w="2683"/>
        <w:gridCol w:w="720"/>
        <w:gridCol w:w="4360"/>
      </w:tblGrid>
      <w:tr w:rsidR="009434D3" w:rsidRPr="008C19D3" w:rsidTr="00050A19">
        <w:trPr>
          <w:trHeight w:val="300"/>
        </w:trPr>
        <w:tc>
          <w:tcPr>
            <w:tcW w:w="2683" w:type="dxa"/>
            <w:tcBorders>
              <w:top w:val="nil"/>
              <w:left w:val="nil"/>
              <w:bottom w:val="nil"/>
              <w:right w:val="nil"/>
            </w:tcBorders>
            <w:shd w:val="clear" w:color="auto" w:fill="auto"/>
            <w:noWrap/>
            <w:vAlign w:val="bottom"/>
            <w:hideMark/>
          </w:tcPr>
          <w:p w:rsidR="009434D3" w:rsidRPr="008C19D3" w:rsidRDefault="009434D3" w:rsidP="009434D3">
            <w:pPr>
              <w:spacing w:after="0" w:line="240" w:lineRule="auto"/>
              <w:rPr>
                <w:rFonts w:ascii="Calibri" w:eastAsia="Times New Roman" w:hAnsi="Calibri" w:cs="Calibri"/>
                <w:color w:val="000000"/>
              </w:rPr>
            </w:pPr>
          </w:p>
        </w:tc>
        <w:tc>
          <w:tcPr>
            <w:tcW w:w="720" w:type="dxa"/>
            <w:tcBorders>
              <w:top w:val="nil"/>
              <w:left w:val="nil"/>
              <w:bottom w:val="nil"/>
              <w:right w:val="nil"/>
            </w:tcBorders>
            <w:shd w:val="clear" w:color="auto" w:fill="auto"/>
            <w:noWrap/>
            <w:vAlign w:val="bottom"/>
            <w:hideMark/>
          </w:tcPr>
          <w:p w:rsidR="009434D3" w:rsidRPr="008C19D3" w:rsidRDefault="009434D3" w:rsidP="009434D3">
            <w:pPr>
              <w:spacing w:after="0" w:line="240" w:lineRule="auto"/>
              <w:rPr>
                <w:rFonts w:ascii="Calibri" w:eastAsia="Times New Roman" w:hAnsi="Calibri" w:cs="Calibri"/>
                <w:color w:val="000000"/>
              </w:rPr>
            </w:pPr>
          </w:p>
        </w:tc>
        <w:tc>
          <w:tcPr>
            <w:tcW w:w="4360" w:type="dxa"/>
            <w:tcBorders>
              <w:top w:val="nil"/>
              <w:left w:val="nil"/>
              <w:bottom w:val="nil"/>
              <w:right w:val="nil"/>
            </w:tcBorders>
            <w:shd w:val="clear" w:color="auto" w:fill="auto"/>
            <w:noWrap/>
            <w:vAlign w:val="bottom"/>
            <w:hideMark/>
          </w:tcPr>
          <w:p w:rsidR="009434D3" w:rsidRPr="008C19D3" w:rsidRDefault="009434D3" w:rsidP="009434D3">
            <w:pPr>
              <w:spacing w:after="0" w:line="240" w:lineRule="auto"/>
              <w:rPr>
                <w:rFonts w:ascii="Calibri" w:eastAsia="Times New Roman" w:hAnsi="Calibri" w:cs="Calibri"/>
                <w:color w:val="000000"/>
              </w:rPr>
            </w:pPr>
          </w:p>
        </w:tc>
      </w:tr>
      <w:tr w:rsidR="009434D3" w:rsidRPr="00050A19" w:rsidTr="00050A19">
        <w:trPr>
          <w:trHeight w:val="1500"/>
        </w:trPr>
        <w:tc>
          <w:tcPr>
            <w:tcW w:w="2683" w:type="dxa"/>
            <w:tcBorders>
              <w:top w:val="single" w:sz="4" w:space="0" w:color="auto"/>
              <w:left w:val="single" w:sz="4" w:space="0" w:color="auto"/>
              <w:bottom w:val="single" w:sz="4" w:space="0" w:color="auto"/>
              <w:right w:val="nil"/>
            </w:tcBorders>
            <w:shd w:val="clear" w:color="auto" w:fill="auto"/>
            <w:noWrap/>
            <w:vAlign w:val="center"/>
            <w:hideMark/>
          </w:tcPr>
          <w:p w:rsidR="009434D3" w:rsidRPr="00050A19" w:rsidRDefault="009434D3" w:rsidP="009434D3">
            <w:pPr>
              <w:spacing w:after="0" w:line="240" w:lineRule="auto"/>
              <w:jc w:val="center"/>
              <w:rPr>
                <w:rFonts w:eastAsia="Times New Roman" w:cs="Times New Roman"/>
                <w:color w:val="000000"/>
                <w:sz w:val="26"/>
                <w:szCs w:val="26"/>
              </w:rPr>
            </w:pPr>
            <w:r w:rsidRPr="00050A19">
              <w:rPr>
                <w:rFonts w:eastAsia="Times New Roman" w:cs="Times New Roman"/>
                <w:color w:val="000000"/>
                <w:sz w:val="26"/>
                <w:szCs w:val="26"/>
              </w:rPr>
              <w:t>Incremental Revenue</w:t>
            </w:r>
          </w:p>
        </w:tc>
        <w:tc>
          <w:tcPr>
            <w:tcW w:w="720" w:type="dxa"/>
            <w:tcBorders>
              <w:top w:val="single" w:sz="4" w:space="0" w:color="auto"/>
              <w:left w:val="nil"/>
              <w:bottom w:val="single" w:sz="4" w:space="0" w:color="auto"/>
              <w:right w:val="nil"/>
            </w:tcBorders>
            <w:shd w:val="clear" w:color="auto" w:fill="auto"/>
            <w:noWrap/>
            <w:vAlign w:val="center"/>
            <w:hideMark/>
          </w:tcPr>
          <w:p w:rsidR="009434D3" w:rsidRPr="00050A19" w:rsidRDefault="009434D3" w:rsidP="009434D3">
            <w:pPr>
              <w:spacing w:after="0" w:line="240" w:lineRule="auto"/>
              <w:jc w:val="center"/>
              <w:rPr>
                <w:rFonts w:eastAsia="Times New Roman" w:cs="Times New Roman"/>
                <w:color w:val="000000"/>
                <w:sz w:val="26"/>
                <w:szCs w:val="26"/>
              </w:rPr>
            </w:pPr>
            <w:r w:rsidRPr="00050A19">
              <w:rPr>
                <w:rFonts w:eastAsia="Times New Roman" w:cs="Times New Roman"/>
                <w:color w:val="000000"/>
                <w:sz w:val="26"/>
                <w:szCs w:val="26"/>
              </w:rPr>
              <w:t xml:space="preserve"> = </w:t>
            </w:r>
          </w:p>
        </w:tc>
        <w:tc>
          <w:tcPr>
            <w:tcW w:w="4360" w:type="dxa"/>
            <w:tcBorders>
              <w:top w:val="single" w:sz="4" w:space="0" w:color="auto"/>
              <w:left w:val="nil"/>
              <w:bottom w:val="single" w:sz="4" w:space="0" w:color="auto"/>
              <w:right w:val="single" w:sz="4" w:space="0" w:color="auto"/>
            </w:tcBorders>
            <w:shd w:val="clear" w:color="auto" w:fill="auto"/>
            <w:vAlign w:val="center"/>
            <w:hideMark/>
          </w:tcPr>
          <w:p w:rsidR="00A27CEE" w:rsidRDefault="00A27CEE" w:rsidP="009434D3">
            <w:pPr>
              <w:spacing w:after="0" w:line="240" w:lineRule="auto"/>
              <w:jc w:val="center"/>
              <w:rPr>
                <w:rFonts w:eastAsia="Times New Roman" w:cs="Times New Roman"/>
                <w:color w:val="000000"/>
                <w:sz w:val="26"/>
                <w:szCs w:val="26"/>
              </w:rPr>
            </w:pPr>
          </w:p>
          <w:p w:rsidR="00A27CEE" w:rsidRDefault="009434D3" w:rsidP="009434D3">
            <w:pPr>
              <w:spacing w:after="0" w:line="240" w:lineRule="auto"/>
              <w:jc w:val="center"/>
              <w:rPr>
                <w:rFonts w:eastAsia="Times New Roman" w:cs="Times New Roman"/>
                <w:color w:val="000000"/>
                <w:sz w:val="26"/>
                <w:szCs w:val="26"/>
              </w:rPr>
            </w:pPr>
            <w:r w:rsidRPr="00050A19">
              <w:rPr>
                <w:rFonts w:eastAsia="Times New Roman" w:cs="Times New Roman"/>
                <w:color w:val="000000"/>
                <w:sz w:val="26"/>
                <w:szCs w:val="26"/>
              </w:rPr>
              <w:t>[(</w:t>
            </w:r>
            <w:r w:rsidR="00F11E8B">
              <w:rPr>
                <w:rFonts w:eastAsia="Times New Roman" w:cs="Times New Roman"/>
                <w:color w:val="000000"/>
                <w:sz w:val="26"/>
                <w:szCs w:val="26"/>
              </w:rPr>
              <w:t>Annual Number of</w:t>
            </w:r>
            <w:r w:rsidRPr="00050A19">
              <w:rPr>
                <w:rFonts w:eastAsia="Times New Roman" w:cs="Times New Roman"/>
                <w:color w:val="000000"/>
                <w:sz w:val="26"/>
                <w:szCs w:val="26"/>
              </w:rPr>
              <w:t xml:space="preserve"> Customer</w:t>
            </w:r>
            <w:r w:rsidR="00F11E8B">
              <w:rPr>
                <w:rFonts w:eastAsia="Times New Roman" w:cs="Times New Roman"/>
                <w:color w:val="000000"/>
                <w:sz w:val="26"/>
                <w:szCs w:val="26"/>
              </w:rPr>
              <w:t xml:space="preserve"> Bills Issued</w:t>
            </w:r>
            <w:r w:rsidRPr="00050A19">
              <w:rPr>
                <w:rFonts w:eastAsia="Times New Roman" w:cs="Times New Roman"/>
                <w:color w:val="000000"/>
                <w:sz w:val="26"/>
                <w:szCs w:val="26"/>
              </w:rPr>
              <w:t xml:space="preserve"> - </w:t>
            </w:r>
          </w:p>
          <w:p w:rsidR="00A27CEE" w:rsidRDefault="009434D3" w:rsidP="009434D3">
            <w:pPr>
              <w:spacing w:after="0" w:line="240" w:lineRule="auto"/>
              <w:jc w:val="center"/>
              <w:rPr>
                <w:rFonts w:eastAsia="Times New Roman" w:cs="Times New Roman"/>
                <w:color w:val="000000"/>
                <w:sz w:val="26"/>
                <w:szCs w:val="26"/>
              </w:rPr>
            </w:pPr>
            <w:r w:rsidRPr="00050A19">
              <w:rPr>
                <w:rFonts w:eastAsia="Times New Roman" w:cs="Times New Roman"/>
                <w:color w:val="000000"/>
                <w:sz w:val="26"/>
                <w:szCs w:val="26"/>
              </w:rPr>
              <w:t xml:space="preserve">Baseline </w:t>
            </w:r>
            <w:r w:rsidR="00F11E8B">
              <w:rPr>
                <w:rFonts w:eastAsia="Times New Roman" w:cs="Times New Roman"/>
                <w:color w:val="000000"/>
                <w:sz w:val="26"/>
                <w:szCs w:val="26"/>
              </w:rPr>
              <w:t xml:space="preserve">Number of </w:t>
            </w:r>
            <w:r w:rsidRPr="00050A19">
              <w:rPr>
                <w:rFonts w:eastAsia="Times New Roman" w:cs="Times New Roman"/>
                <w:color w:val="000000"/>
                <w:sz w:val="26"/>
                <w:szCs w:val="26"/>
              </w:rPr>
              <w:t>Customer</w:t>
            </w:r>
            <w:r w:rsidR="00F11E8B">
              <w:rPr>
                <w:rFonts w:eastAsia="Times New Roman" w:cs="Times New Roman"/>
                <w:color w:val="000000"/>
                <w:sz w:val="26"/>
                <w:szCs w:val="26"/>
              </w:rPr>
              <w:t xml:space="preserve"> Bills Issued</w:t>
            </w:r>
            <w:r w:rsidRPr="00050A19">
              <w:rPr>
                <w:rFonts w:eastAsia="Times New Roman" w:cs="Times New Roman"/>
                <w:color w:val="000000"/>
                <w:sz w:val="26"/>
                <w:szCs w:val="26"/>
              </w:rPr>
              <w:t xml:space="preserve">) x (Cost Portion of Rate)] + [(Consumption by non-SFV customers directly attributable to program investment) x (Cost Portion of Rate)] + (Other revenues directly attributable to </w:t>
            </w:r>
            <w:r w:rsidR="00277537">
              <w:rPr>
                <w:rFonts w:eastAsia="Times New Roman" w:cs="Times New Roman"/>
                <w:color w:val="000000"/>
                <w:sz w:val="26"/>
                <w:szCs w:val="26"/>
              </w:rPr>
              <w:t xml:space="preserve">CEP </w:t>
            </w:r>
            <w:r w:rsidRPr="00050A19">
              <w:rPr>
                <w:rFonts w:eastAsia="Times New Roman" w:cs="Times New Roman"/>
                <w:color w:val="000000"/>
                <w:sz w:val="26"/>
                <w:szCs w:val="26"/>
              </w:rPr>
              <w:t>investment)</w:t>
            </w:r>
            <w:r w:rsidR="00F3556B">
              <w:rPr>
                <w:rFonts w:eastAsia="Times New Roman" w:cs="Times New Roman"/>
                <w:color w:val="000000"/>
                <w:sz w:val="26"/>
                <w:szCs w:val="26"/>
              </w:rPr>
              <w:t>.</w:t>
            </w:r>
          </w:p>
          <w:p w:rsidR="00A27CEE" w:rsidRPr="00050A19" w:rsidRDefault="00A27CEE" w:rsidP="009434D3">
            <w:pPr>
              <w:spacing w:after="0" w:line="240" w:lineRule="auto"/>
              <w:jc w:val="center"/>
              <w:rPr>
                <w:rFonts w:eastAsia="Times New Roman" w:cs="Times New Roman"/>
                <w:color w:val="000000"/>
                <w:sz w:val="26"/>
                <w:szCs w:val="26"/>
              </w:rPr>
            </w:pPr>
          </w:p>
        </w:tc>
      </w:tr>
    </w:tbl>
    <w:p w:rsidR="009434D3" w:rsidRDefault="009434D3" w:rsidP="009434D3"/>
    <w:p w:rsidR="009434D3" w:rsidRDefault="00050A19" w:rsidP="00050A19">
      <w:pPr>
        <w:pStyle w:val="textstyle"/>
      </w:pPr>
      <w:r>
        <w:tab/>
      </w:r>
      <w:r w:rsidR="00C566FF">
        <w:t xml:space="preserve">The Staff believes that </w:t>
      </w:r>
      <w:r w:rsidR="009434D3">
        <w:t xml:space="preserve">Commission adoption of the </w:t>
      </w:r>
      <w:r w:rsidR="00C566FF">
        <w:t xml:space="preserve">above </w:t>
      </w:r>
      <w:r w:rsidR="00AD0BB8">
        <w:t xml:space="preserve">definitions and </w:t>
      </w:r>
      <w:r w:rsidR="009434D3">
        <w:t>formu</w:t>
      </w:r>
      <w:r w:rsidR="00EA7804">
        <w:softHyphen/>
      </w:r>
      <w:r w:rsidR="009434D3">
        <w:t xml:space="preserve">las </w:t>
      </w:r>
      <w:r w:rsidR="00C566FF">
        <w:t>for</w:t>
      </w:r>
      <w:r w:rsidR="009434D3">
        <w:t xml:space="preserve"> </w:t>
      </w:r>
      <w:r w:rsidR="00C566FF">
        <w:t xml:space="preserve">calculating </w:t>
      </w:r>
      <w:r w:rsidR="00AD0BB8">
        <w:t>VEDO</w:t>
      </w:r>
      <w:r w:rsidR="00C566FF">
        <w:t>’s monthly C</w:t>
      </w:r>
      <w:r w:rsidR="00AD0BB8">
        <w:t>EP</w:t>
      </w:r>
      <w:r w:rsidR="009434D3">
        <w:t xml:space="preserve"> deferrals as well as the other Staff recom</w:t>
      </w:r>
      <w:r w:rsidR="00B745C1">
        <w:softHyphen/>
      </w:r>
      <w:r w:rsidR="009434D3">
        <w:t>mendations made herein should go a long way towards avoiding future misunderstand</w:t>
      </w:r>
      <w:r w:rsidR="00EA7804">
        <w:softHyphen/>
      </w:r>
      <w:r w:rsidR="009434D3">
        <w:t>ings and argu</w:t>
      </w:r>
      <w:r>
        <w:t xml:space="preserve">ments over the </w:t>
      </w:r>
      <w:r w:rsidR="00C566FF">
        <w:t>C</w:t>
      </w:r>
      <w:r w:rsidR="00AD0BB8">
        <w:t>EP</w:t>
      </w:r>
      <w:r w:rsidR="00C566FF">
        <w:t xml:space="preserve"> </w:t>
      </w:r>
      <w:r>
        <w:t xml:space="preserve">deferrals.  </w:t>
      </w:r>
      <w:r w:rsidR="009434D3">
        <w:t xml:space="preserve">Notwithstanding Commission </w:t>
      </w:r>
      <w:r w:rsidR="00C566FF">
        <w:t xml:space="preserve">adoption of </w:t>
      </w:r>
      <w:r w:rsidR="00663308">
        <w:t>the Staff-recom</w:t>
      </w:r>
      <w:r w:rsidR="00B42171">
        <w:softHyphen/>
      </w:r>
      <w:r w:rsidR="00663308">
        <w:t xml:space="preserve">mended </w:t>
      </w:r>
      <w:r w:rsidR="009434D3">
        <w:t>formulas, however, the Staff reiterates the statement that it made in its ini</w:t>
      </w:r>
      <w:r w:rsidR="00F452D9">
        <w:softHyphen/>
      </w:r>
      <w:r w:rsidR="009434D3">
        <w:t xml:space="preserve">tial Comments that </w:t>
      </w:r>
      <w:r w:rsidR="009434D3" w:rsidRPr="00830DCB">
        <w:t>the Staff is taking no position on the level or prudence of the capital</w:t>
      </w:r>
      <w:r w:rsidR="009434D3">
        <w:t xml:space="preserve"> </w:t>
      </w:r>
      <w:r w:rsidR="009434D3" w:rsidRPr="00830DCB">
        <w:t xml:space="preserve">spending proposed </w:t>
      </w:r>
      <w:r w:rsidR="00C566FF">
        <w:t xml:space="preserve">for </w:t>
      </w:r>
      <w:r w:rsidR="00AD0BB8">
        <w:t>VEDO</w:t>
      </w:r>
      <w:r w:rsidR="00C566FF">
        <w:t xml:space="preserve">’s </w:t>
      </w:r>
      <w:r w:rsidR="00AD0BB8">
        <w:t>CEP</w:t>
      </w:r>
      <w:r w:rsidR="009434D3">
        <w:t xml:space="preserve"> in this proceeding</w:t>
      </w:r>
      <w:r w:rsidR="009434D3" w:rsidRPr="00830DCB">
        <w:t xml:space="preserve">. </w:t>
      </w:r>
      <w:r w:rsidR="009434D3">
        <w:t xml:space="preserve"> </w:t>
      </w:r>
      <w:r w:rsidR="00C566FF">
        <w:t>Further</w:t>
      </w:r>
      <w:r w:rsidR="009434D3" w:rsidRPr="00830DCB">
        <w:t>, the Staff</w:t>
      </w:r>
      <w:r w:rsidR="009434D3">
        <w:t>’</w:t>
      </w:r>
      <w:r w:rsidR="009434D3" w:rsidRPr="00830DCB">
        <w:t>s lack of comment or objection to</w:t>
      </w:r>
      <w:r w:rsidR="009434D3">
        <w:t xml:space="preserve"> </w:t>
      </w:r>
      <w:r w:rsidR="009434D3" w:rsidRPr="00830DCB">
        <w:t>the proposed CEP investments should in no way be con</w:t>
      </w:r>
      <w:r w:rsidR="00B42171">
        <w:softHyphen/>
      </w:r>
      <w:r w:rsidR="009434D3" w:rsidRPr="00830DCB">
        <w:t>strued as the Staff</w:t>
      </w:r>
      <w:r w:rsidR="00F67218">
        <w:t>’</w:t>
      </w:r>
      <w:r w:rsidR="009434D3" w:rsidRPr="00830DCB">
        <w:t>s lack of</w:t>
      </w:r>
      <w:r w:rsidR="009434D3">
        <w:t xml:space="preserve"> </w:t>
      </w:r>
      <w:r w:rsidR="009434D3" w:rsidRPr="00830DCB">
        <w:t>objec</w:t>
      </w:r>
      <w:r w:rsidR="009434D3">
        <w:t>t</w:t>
      </w:r>
      <w:r w:rsidR="009434D3" w:rsidRPr="00830DCB">
        <w:t>ion or support for future recovery of the investments or related deferred amounts</w:t>
      </w:r>
      <w:r w:rsidRPr="00830DCB">
        <w:t>.</w:t>
      </w:r>
      <w:r>
        <w:t xml:space="preserve">  </w:t>
      </w:r>
      <w:r w:rsidR="009434D3" w:rsidRPr="00830DCB">
        <w:t>In fact, the Staff will investigate and make any necessary adjustments to the deferrals</w:t>
      </w:r>
      <w:r w:rsidR="009434D3">
        <w:t xml:space="preserve"> </w:t>
      </w:r>
      <w:r w:rsidR="009434D3" w:rsidRPr="00830DCB">
        <w:t xml:space="preserve">when </w:t>
      </w:r>
      <w:r w:rsidR="00AD0BB8">
        <w:t>VEDO</w:t>
      </w:r>
      <w:r w:rsidR="00C566FF" w:rsidRPr="00830DCB">
        <w:t xml:space="preserve"> </w:t>
      </w:r>
      <w:r w:rsidR="009434D3" w:rsidRPr="00830DCB">
        <w:t>applies to recover the deferred assets.</w:t>
      </w:r>
    </w:p>
    <w:p w:rsidR="007E4EA5" w:rsidRDefault="007E4EA5" w:rsidP="00050A19">
      <w:pPr>
        <w:pStyle w:val="textstyle"/>
      </w:pPr>
    </w:p>
    <w:p w:rsidR="005A5444" w:rsidRDefault="005A5444" w:rsidP="00230969">
      <w:pPr>
        <w:pStyle w:val="Heading1"/>
      </w:pPr>
      <w:bookmarkStart w:id="14" w:name="_Toc332788838"/>
      <w:bookmarkStart w:id="15" w:name="_Toc339013423"/>
      <w:r>
        <w:lastRenderedPageBreak/>
        <w:t>CONCLUSION</w:t>
      </w:r>
      <w:bookmarkEnd w:id="9"/>
      <w:bookmarkEnd w:id="14"/>
      <w:bookmarkEnd w:id="15"/>
    </w:p>
    <w:p w:rsidR="009434D3" w:rsidRPr="008C19D3" w:rsidRDefault="00050A19" w:rsidP="00050A19">
      <w:pPr>
        <w:pStyle w:val="textstyle"/>
      </w:pPr>
      <w:r>
        <w:tab/>
      </w:r>
      <w:r w:rsidR="009434D3" w:rsidRPr="008C19D3">
        <w:t xml:space="preserve">With the adoption of the Staff’s unmodified recommendations included in </w:t>
      </w:r>
      <w:r w:rsidR="009434D3">
        <w:t>these Sur</w:t>
      </w:r>
      <w:r w:rsidR="00C566FF">
        <w:t>-</w:t>
      </w:r>
      <w:r w:rsidR="009434D3">
        <w:t xml:space="preserve">Reply </w:t>
      </w:r>
      <w:r w:rsidR="009434D3" w:rsidRPr="008C19D3">
        <w:t>Comments</w:t>
      </w:r>
      <w:r w:rsidR="009434D3">
        <w:t>,</w:t>
      </w:r>
      <w:r w:rsidR="009434D3" w:rsidRPr="008C19D3">
        <w:t xml:space="preserve"> the Staff respectfully recommend</w:t>
      </w:r>
      <w:r w:rsidR="00755457">
        <w:t>s</w:t>
      </w:r>
      <w:r w:rsidR="009434D3" w:rsidRPr="008C19D3">
        <w:t xml:space="preserve"> that the Commission approve </w:t>
      </w:r>
      <w:r w:rsidR="00AD0BB8">
        <w:t>VEDO</w:t>
      </w:r>
      <w:r w:rsidR="00C566FF">
        <w:t xml:space="preserve">’s </w:t>
      </w:r>
      <w:r w:rsidR="009434D3">
        <w:t xml:space="preserve">Application </w:t>
      </w:r>
      <w:r w:rsidR="00F3556B">
        <w:t xml:space="preserve">and the Staff recommendations </w:t>
      </w:r>
      <w:r w:rsidR="009434D3">
        <w:t>in these cases.</w:t>
      </w:r>
    </w:p>
    <w:p w:rsidR="0036080A" w:rsidRPr="00B42171" w:rsidRDefault="0036080A" w:rsidP="00B42171">
      <w:pPr>
        <w:tabs>
          <w:tab w:val="center" w:pos="9360"/>
        </w:tabs>
        <w:spacing w:after="0" w:line="240" w:lineRule="auto"/>
        <w:ind w:left="4320"/>
        <w:rPr>
          <w:rFonts w:cs="Times New Roman"/>
          <w:sz w:val="26"/>
          <w:szCs w:val="26"/>
        </w:rPr>
      </w:pPr>
      <w:r w:rsidRPr="00B42171">
        <w:rPr>
          <w:rFonts w:cs="Times New Roman"/>
          <w:sz w:val="26"/>
          <w:szCs w:val="26"/>
        </w:rPr>
        <w:t>Respectfully Submitted,</w:t>
      </w:r>
    </w:p>
    <w:p w:rsidR="002B0FA8" w:rsidRPr="00B42171" w:rsidRDefault="002B0FA8" w:rsidP="00B42171">
      <w:pPr>
        <w:spacing w:after="0" w:line="240" w:lineRule="auto"/>
        <w:ind w:left="4320"/>
        <w:rPr>
          <w:rFonts w:cs="Times New Roman"/>
          <w:sz w:val="26"/>
          <w:szCs w:val="26"/>
        </w:rPr>
      </w:pPr>
    </w:p>
    <w:p w:rsidR="001420B4" w:rsidRPr="00B42171" w:rsidRDefault="001420B4" w:rsidP="00B42171">
      <w:pPr>
        <w:spacing w:after="0" w:line="240" w:lineRule="auto"/>
        <w:ind w:left="4320"/>
        <w:rPr>
          <w:rFonts w:cs="Times New Roman"/>
          <w:b/>
          <w:sz w:val="26"/>
          <w:szCs w:val="26"/>
        </w:rPr>
      </w:pPr>
      <w:r w:rsidRPr="00B42171">
        <w:rPr>
          <w:rFonts w:cs="Times New Roman"/>
          <w:b/>
          <w:sz w:val="26"/>
          <w:szCs w:val="26"/>
        </w:rPr>
        <w:t xml:space="preserve">Michael DeWine </w:t>
      </w:r>
    </w:p>
    <w:p w:rsidR="001420B4" w:rsidRPr="00B42171" w:rsidRDefault="001420B4" w:rsidP="00B42171">
      <w:pPr>
        <w:spacing w:after="0" w:line="240" w:lineRule="auto"/>
        <w:ind w:left="4320"/>
        <w:rPr>
          <w:rFonts w:cs="Times New Roman"/>
          <w:sz w:val="26"/>
          <w:szCs w:val="26"/>
        </w:rPr>
      </w:pPr>
      <w:r w:rsidRPr="00B42171">
        <w:rPr>
          <w:rFonts w:cs="Times New Roman"/>
          <w:sz w:val="26"/>
          <w:szCs w:val="26"/>
        </w:rPr>
        <w:t>Ohio Attorney General</w:t>
      </w:r>
    </w:p>
    <w:p w:rsidR="001420B4" w:rsidRPr="00B42171" w:rsidRDefault="001420B4" w:rsidP="00B42171">
      <w:pPr>
        <w:spacing w:after="0" w:line="240" w:lineRule="auto"/>
        <w:ind w:left="4320"/>
        <w:rPr>
          <w:rFonts w:cs="Times New Roman"/>
          <w:sz w:val="26"/>
          <w:szCs w:val="26"/>
        </w:rPr>
      </w:pPr>
    </w:p>
    <w:p w:rsidR="001420B4" w:rsidRPr="00B42171" w:rsidRDefault="001420B4" w:rsidP="00B42171">
      <w:pPr>
        <w:spacing w:after="0" w:line="240" w:lineRule="auto"/>
        <w:ind w:left="4320"/>
        <w:rPr>
          <w:rFonts w:cs="Times New Roman"/>
          <w:sz w:val="26"/>
          <w:szCs w:val="26"/>
        </w:rPr>
      </w:pPr>
      <w:r w:rsidRPr="00B42171">
        <w:rPr>
          <w:rFonts w:cs="Times New Roman"/>
          <w:b/>
          <w:sz w:val="26"/>
          <w:szCs w:val="26"/>
        </w:rPr>
        <w:t>William L. Wright</w:t>
      </w:r>
    </w:p>
    <w:p w:rsidR="00395DDD" w:rsidRDefault="001420B4" w:rsidP="00B42171">
      <w:pPr>
        <w:spacing w:after="0" w:line="240" w:lineRule="auto"/>
        <w:ind w:left="4320"/>
        <w:rPr>
          <w:rFonts w:cs="Times New Roman"/>
          <w:sz w:val="26"/>
          <w:szCs w:val="26"/>
        </w:rPr>
      </w:pPr>
      <w:r w:rsidRPr="00B42171">
        <w:rPr>
          <w:rFonts w:cs="Times New Roman"/>
          <w:sz w:val="26"/>
          <w:szCs w:val="26"/>
        </w:rPr>
        <w:t>Section Chief</w:t>
      </w:r>
    </w:p>
    <w:p w:rsidR="00EA7804" w:rsidRPr="004C1633" w:rsidRDefault="00EA7804" w:rsidP="00B42171">
      <w:pPr>
        <w:spacing w:after="0" w:line="240" w:lineRule="auto"/>
        <w:ind w:left="4320"/>
        <w:rPr>
          <w:rFonts w:cs="Times New Roman"/>
          <w:b/>
          <w:sz w:val="26"/>
          <w:szCs w:val="26"/>
        </w:rPr>
      </w:pPr>
    </w:p>
    <w:p w:rsidR="00395DDD" w:rsidRPr="00EA7804" w:rsidRDefault="005B6C99" w:rsidP="00B42171">
      <w:pPr>
        <w:pStyle w:val="SignatureStyle"/>
      </w:pPr>
      <w:r>
        <w:t>/s/ Steven L. Beeler</w:t>
      </w:r>
      <w:r w:rsidR="00395DDD" w:rsidRPr="00EA7804">
        <w:tab/>
      </w:r>
    </w:p>
    <w:p w:rsidR="001420B4" w:rsidRPr="00B42171" w:rsidRDefault="00EA7804" w:rsidP="00B42171">
      <w:pPr>
        <w:spacing w:after="0" w:line="240" w:lineRule="auto"/>
        <w:ind w:left="4320"/>
        <w:rPr>
          <w:rFonts w:cs="Times New Roman"/>
          <w:b/>
          <w:sz w:val="26"/>
          <w:szCs w:val="26"/>
        </w:rPr>
      </w:pPr>
      <w:r>
        <w:rPr>
          <w:rFonts w:cs="Times New Roman"/>
          <w:b/>
          <w:sz w:val="26"/>
          <w:szCs w:val="26"/>
        </w:rPr>
        <w:t xml:space="preserve">Steven L. </w:t>
      </w:r>
      <w:r w:rsidR="00E84381" w:rsidRPr="00EA7804">
        <w:rPr>
          <w:rFonts w:cs="Times New Roman"/>
          <w:b/>
          <w:sz w:val="26"/>
          <w:szCs w:val="26"/>
        </w:rPr>
        <w:t>Beeler</w:t>
      </w:r>
    </w:p>
    <w:p w:rsidR="001420B4" w:rsidRPr="00B42171" w:rsidRDefault="001420B4" w:rsidP="00B42171">
      <w:pPr>
        <w:spacing w:after="0" w:line="240" w:lineRule="auto"/>
        <w:ind w:left="4320"/>
        <w:rPr>
          <w:rFonts w:cs="Times New Roman"/>
          <w:sz w:val="26"/>
          <w:szCs w:val="26"/>
        </w:rPr>
      </w:pPr>
      <w:r w:rsidRPr="00B42171">
        <w:rPr>
          <w:rFonts w:cs="Times New Roman"/>
          <w:sz w:val="26"/>
          <w:szCs w:val="26"/>
        </w:rPr>
        <w:t>Assistant Attorney General</w:t>
      </w:r>
    </w:p>
    <w:p w:rsidR="001420B4" w:rsidRPr="00B42171" w:rsidRDefault="001420B4" w:rsidP="00B42171">
      <w:pPr>
        <w:spacing w:after="0" w:line="240" w:lineRule="auto"/>
        <w:ind w:left="4320"/>
        <w:rPr>
          <w:rFonts w:cs="Times New Roman"/>
          <w:sz w:val="26"/>
          <w:szCs w:val="26"/>
        </w:rPr>
      </w:pPr>
      <w:r w:rsidRPr="00B42171">
        <w:rPr>
          <w:rFonts w:cs="Times New Roman"/>
          <w:sz w:val="26"/>
          <w:szCs w:val="26"/>
        </w:rPr>
        <w:t>Public Utilities Section</w:t>
      </w:r>
    </w:p>
    <w:p w:rsidR="001420B4" w:rsidRPr="00B42171" w:rsidRDefault="001420B4" w:rsidP="00B42171">
      <w:pPr>
        <w:spacing w:after="0" w:line="240" w:lineRule="auto"/>
        <w:ind w:left="4320"/>
        <w:rPr>
          <w:rFonts w:cs="Times New Roman"/>
          <w:sz w:val="26"/>
          <w:szCs w:val="26"/>
        </w:rPr>
      </w:pPr>
      <w:r w:rsidRPr="00B42171">
        <w:rPr>
          <w:rFonts w:cs="Times New Roman"/>
          <w:sz w:val="26"/>
          <w:szCs w:val="26"/>
        </w:rPr>
        <w:t>180 East Broad Street, 6</w:t>
      </w:r>
      <w:r w:rsidRPr="00B42171">
        <w:rPr>
          <w:rFonts w:cs="Times New Roman"/>
          <w:sz w:val="26"/>
          <w:szCs w:val="26"/>
          <w:vertAlign w:val="superscript"/>
        </w:rPr>
        <w:t>th</w:t>
      </w:r>
      <w:r w:rsidRPr="00B42171">
        <w:rPr>
          <w:rFonts w:cs="Times New Roman"/>
          <w:sz w:val="26"/>
          <w:szCs w:val="26"/>
        </w:rPr>
        <w:t xml:space="preserve"> Fl. </w:t>
      </w:r>
    </w:p>
    <w:p w:rsidR="001420B4" w:rsidRPr="00B42171" w:rsidRDefault="001420B4" w:rsidP="00B42171">
      <w:pPr>
        <w:spacing w:after="0" w:line="240" w:lineRule="auto"/>
        <w:ind w:left="4320"/>
        <w:rPr>
          <w:rFonts w:cs="Times New Roman"/>
          <w:sz w:val="26"/>
          <w:szCs w:val="26"/>
        </w:rPr>
      </w:pPr>
      <w:r w:rsidRPr="00B42171">
        <w:rPr>
          <w:rFonts w:cs="Times New Roman"/>
          <w:sz w:val="26"/>
          <w:szCs w:val="26"/>
        </w:rPr>
        <w:t>Columbus, OH  43215</w:t>
      </w:r>
    </w:p>
    <w:p w:rsidR="001420B4" w:rsidRPr="00B42171" w:rsidRDefault="001420B4" w:rsidP="00B42171">
      <w:pPr>
        <w:spacing w:after="0" w:line="240" w:lineRule="auto"/>
        <w:ind w:left="4320"/>
        <w:rPr>
          <w:rFonts w:cs="Times New Roman"/>
          <w:sz w:val="26"/>
          <w:szCs w:val="26"/>
        </w:rPr>
      </w:pPr>
      <w:r w:rsidRPr="00B42171">
        <w:rPr>
          <w:rFonts w:cs="Times New Roman"/>
          <w:sz w:val="26"/>
          <w:szCs w:val="26"/>
        </w:rPr>
        <w:t>614.466.4395 (telephone)</w:t>
      </w:r>
    </w:p>
    <w:p w:rsidR="001420B4" w:rsidRPr="00B42171" w:rsidRDefault="001420B4" w:rsidP="00B42171">
      <w:pPr>
        <w:spacing w:after="0" w:line="240" w:lineRule="auto"/>
        <w:ind w:left="4320"/>
        <w:jc w:val="both"/>
        <w:rPr>
          <w:rFonts w:cs="Times New Roman"/>
          <w:sz w:val="26"/>
          <w:szCs w:val="26"/>
        </w:rPr>
      </w:pPr>
      <w:r w:rsidRPr="00B42171">
        <w:rPr>
          <w:rFonts w:cs="Times New Roman"/>
          <w:sz w:val="26"/>
          <w:szCs w:val="26"/>
        </w:rPr>
        <w:t>614.644.8764 (fax)</w:t>
      </w:r>
    </w:p>
    <w:p w:rsidR="001420B4" w:rsidRPr="00B42171" w:rsidRDefault="00EC68A3" w:rsidP="00B42171">
      <w:pPr>
        <w:spacing w:after="0" w:line="240" w:lineRule="auto"/>
        <w:ind w:left="4320"/>
        <w:jc w:val="both"/>
        <w:rPr>
          <w:rFonts w:cs="Times New Roman"/>
          <w:sz w:val="26"/>
          <w:szCs w:val="26"/>
        </w:rPr>
      </w:pPr>
      <w:hyperlink r:id="rId16" w:history="1">
        <w:r w:rsidR="00EA7804" w:rsidRPr="000E155D">
          <w:rPr>
            <w:rStyle w:val="Hyperlink"/>
            <w:rFonts w:cs="Times New Roman"/>
            <w:sz w:val="26"/>
            <w:szCs w:val="26"/>
          </w:rPr>
          <w:t>steven.beeler@puc.state.oh.us</w:t>
        </w:r>
      </w:hyperlink>
    </w:p>
    <w:p w:rsidR="005A5444" w:rsidRDefault="005A5444" w:rsidP="0036080A">
      <w:pPr>
        <w:jc w:val="center"/>
        <w:rPr>
          <w:rFonts w:cs="Times New Roman"/>
          <w:b/>
          <w:sz w:val="26"/>
          <w:szCs w:val="26"/>
        </w:rPr>
      </w:pPr>
      <w:r>
        <w:rPr>
          <w:rFonts w:cs="Times New Roman"/>
          <w:b/>
          <w:sz w:val="26"/>
          <w:szCs w:val="26"/>
        </w:rPr>
        <w:br w:type="page"/>
      </w:r>
    </w:p>
    <w:p w:rsidR="00CD42AF" w:rsidRPr="000E73B4" w:rsidRDefault="00CD42AF" w:rsidP="00230969">
      <w:pPr>
        <w:pStyle w:val="Heading1"/>
      </w:pPr>
      <w:bookmarkStart w:id="16" w:name="_Toc317248255"/>
      <w:bookmarkStart w:id="17" w:name="_Toc339013424"/>
      <w:r w:rsidRPr="000E73B4">
        <w:lastRenderedPageBreak/>
        <w:t>CERTIFICATE OF SERVICE</w:t>
      </w:r>
      <w:bookmarkEnd w:id="16"/>
      <w:bookmarkEnd w:id="17"/>
    </w:p>
    <w:p w:rsidR="00CD42AF" w:rsidRDefault="00CD42AF" w:rsidP="00EA7804">
      <w:pPr>
        <w:pStyle w:val="textstyle"/>
      </w:pPr>
      <w:r w:rsidRPr="000E73B4">
        <w:tab/>
        <w:t>I hereby certify that a true copy of the</w:t>
      </w:r>
      <w:r w:rsidR="0061659A" w:rsidRPr="000E73B4">
        <w:t xml:space="preserve"> </w:t>
      </w:r>
      <w:r w:rsidR="002B0FA8">
        <w:t xml:space="preserve">foregoing </w:t>
      </w:r>
      <w:r w:rsidR="00050A19">
        <w:rPr>
          <w:b/>
        </w:rPr>
        <w:t>Sur-</w:t>
      </w:r>
      <w:r w:rsidR="002362D8" w:rsidRPr="002362D8">
        <w:rPr>
          <w:b/>
        </w:rPr>
        <w:t>Reply</w:t>
      </w:r>
      <w:r w:rsidR="002362D8">
        <w:t xml:space="preserve"> </w:t>
      </w:r>
      <w:r w:rsidR="00B17D9A">
        <w:rPr>
          <w:b/>
        </w:rPr>
        <w:t>Comments</w:t>
      </w:r>
      <w:r w:rsidRPr="000E73B4">
        <w:rPr>
          <w:b/>
        </w:rPr>
        <w:t xml:space="preserve"> </w:t>
      </w:r>
      <w:r w:rsidR="002B0FA8" w:rsidRPr="002B0FA8">
        <w:t xml:space="preserve">submitted on behalf of the Staff of the Public Utilities Commission of Ohio </w:t>
      </w:r>
      <w:r w:rsidRPr="000E73B4">
        <w:t>was served by elec</w:t>
      </w:r>
      <w:r w:rsidR="00F452D9">
        <w:softHyphen/>
      </w:r>
      <w:r w:rsidRPr="000E73B4">
        <w:t xml:space="preserve">tronic mail upon the following parties of record, this </w:t>
      </w:r>
      <w:r w:rsidR="00B42171">
        <w:t>2</w:t>
      </w:r>
      <w:r w:rsidR="00274186">
        <w:t>6</w:t>
      </w:r>
      <w:r w:rsidR="00B42171" w:rsidRPr="00B42171">
        <w:rPr>
          <w:vertAlign w:val="superscript"/>
        </w:rPr>
        <w:t>th</w:t>
      </w:r>
      <w:r w:rsidR="00B42171">
        <w:t xml:space="preserve"> day of</w:t>
      </w:r>
      <w:r w:rsidR="00274186">
        <w:t xml:space="preserve"> October</w:t>
      </w:r>
      <w:r w:rsidR="00B65AD5" w:rsidRPr="000E73B4">
        <w:t>, 2012</w:t>
      </w:r>
      <w:r w:rsidRPr="000E73B4">
        <w:t>.</w:t>
      </w:r>
    </w:p>
    <w:p w:rsidR="007F3328" w:rsidRPr="000E73B4" w:rsidRDefault="007F3328" w:rsidP="00EA7804">
      <w:pPr>
        <w:pStyle w:val="textstyle"/>
      </w:pPr>
    </w:p>
    <w:p w:rsidR="001E55BC" w:rsidRDefault="005B6C99" w:rsidP="00B42171">
      <w:pPr>
        <w:pStyle w:val="SignatureStyle"/>
      </w:pPr>
      <w:r>
        <w:t>/s/ Steven L. Beeler</w:t>
      </w:r>
      <w:r w:rsidR="001E55BC">
        <w:tab/>
      </w:r>
    </w:p>
    <w:p w:rsidR="00CD42AF" w:rsidRPr="00050A19" w:rsidRDefault="00EA7804" w:rsidP="007E4EA5">
      <w:pPr>
        <w:spacing w:after="0" w:line="240" w:lineRule="auto"/>
        <w:ind w:left="4320"/>
        <w:rPr>
          <w:b/>
          <w:sz w:val="26"/>
          <w:szCs w:val="26"/>
        </w:rPr>
      </w:pPr>
      <w:r>
        <w:rPr>
          <w:b/>
          <w:sz w:val="26"/>
          <w:szCs w:val="26"/>
        </w:rPr>
        <w:t>Steven L. Beeler</w:t>
      </w:r>
    </w:p>
    <w:p w:rsidR="00CD42AF" w:rsidRPr="00050A19" w:rsidRDefault="00395DDD" w:rsidP="007E4EA5">
      <w:pPr>
        <w:spacing w:after="0" w:line="240" w:lineRule="auto"/>
        <w:ind w:left="4320"/>
        <w:jc w:val="both"/>
        <w:rPr>
          <w:rFonts w:cs="Times New Roman"/>
          <w:sz w:val="26"/>
          <w:szCs w:val="26"/>
        </w:rPr>
      </w:pPr>
      <w:r w:rsidRPr="00050A19">
        <w:rPr>
          <w:rFonts w:cs="Times New Roman"/>
          <w:sz w:val="26"/>
          <w:szCs w:val="26"/>
        </w:rPr>
        <w:t>Assistant Attorney General</w:t>
      </w:r>
    </w:p>
    <w:p w:rsidR="00CD42AF" w:rsidRDefault="00CD42AF" w:rsidP="00B42171">
      <w:pPr>
        <w:spacing w:after="0" w:line="240" w:lineRule="auto"/>
        <w:jc w:val="both"/>
        <w:rPr>
          <w:rFonts w:cs="Times New Roman"/>
          <w:b/>
          <w:sz w:val="26"/>
          <w:szCs w:val="26"/>
        </w:rPr>
      </w:pPr>
      <w:r w:rsidRPr="000E73B4">
        <w:rPr>
          <w:rFonts w:cs="Times New Roman"/>
          <w:b/>
          <w:sz w:val="26"/>
          <w:szCs w:val="26"/>
        </w:rPr>
        <w:t>PARTIES OF RECORD:</w:t>
      </w:r>
    </w:p>
    <w:p w:rsidR="00B42171" w:rsidRPr="000E73B4" w:rsidRDefault="00B42171" w:rsidP="00B42171">
      <w:pPr>
        <w:spacing w:after="0" w:line="240" w:lineRule="auto"/>
        <w:jc w:val="both"/>
        <w:rPr>
          <w:rFonts w:cs="Times New Roman"/>
          <w:b/>
          <w:sz w:val="26"/>
          <w:szCs w:val="26"/>
        </w:rPr>
      </w:pPr>
    </w:p>
    <w:p w:rsidR="008E753D" w:rsidRPr="000E73B4" w:rsidRDefault="00B65AD5" w:rsidP="00B42171">
      <w:pPr>
        <w:spacing w:after="0" w:line="240" w:lineRule="auto"/>
        <w:rPr>
          <w:rFonts w:cs="Times New Roman"/>
          <w:sz w:val="26"/>
          <w:szCs w:val="26"/>
        </w:rPr>
      </w:pPr>
      <w:r w:rsidRPr="000E73B4">
        <w:rPr>
          <w:rFonts w:cs="Times New Roman"/>
          <w:sz w:val="26"/>
          <w:szCs w:val="26"/>
        </w:rPr>
        <w:t>Larry S. Sauer</w:t>
      </w:r>
    </w:p>
    <w:p w:rsidR="00B65AD5" w:rsidRPr="000E73B4" w:rsidRDefault="00B65AD5" w:rsidP="00B42171">
      <w:pPr>
        <w:spacing w:after="0" w:line="240" w:lineRule="auto"/>
        <w:rPr>
          <w:rFonts w:cs="Times New Roman"/>
          <w:sz w:val="26"/>
          <w:szCs w:val="26"/>
        </w:rPr>
      </w:pPr>
      <w:r w:rsidRPr="000E73B4">
        <w:rPr>
          <w:rFonts w:cs="Times New Roman"/>
          <w:sz w:val="26"/>
          <w:szCs w:val="26"/>
        </w:rPr>
        <w:t>Joseph P. Serio</w:t>
      </w:r>
    </w:p>
    <w:p w:rsidR="00B65AD5" w:rsidRPr="000E73B4" w:rsidRDefault="00B65AD5" w:rsidP="00B42171">
      <w:pPr>
        <w:spacing w:after="0" w:line="240" w:lineRule="auto"/>
        <w:rPr>
          <w:rFonts w:cs="Times New Roman"/>
          <w:sz w:val="26"/>
          <w:szCs w:val="26"/>
        </w:rPr>
      </w:pPr>
      <w:r w:rsidRPr="000E73B4">
        <w:rPr>
          <w:rFonts w:cs="Times New Roman"/>
          <w:sz w:val="26"/>
          <w:szCs w:val="26"/>
        </w:rPr>
        <w:t>Assistant Consumers’ counsel</w:t>
      </w:r>
    </w:p>
    <w:p w:rsidR="00B65AD5" w:rsidRPr="000E73B4" w:rsidRDefault="00B65AD5" w:rsidP="00B42171">
      <w:pPr>
        <w:spacing w:after="0" w:line="240" w:lineRule="auto"/>
        <w:rPr>
          <w:rFonts w:cs="Times New Roman"/>
          <w:sz w:val="26"/>
          <w:szCs w:val="26"/>
        </w:rPr>
      </w:pPr>
      <w:r w:rsidRPr="000E73B4">
        <w:rPr>
          <w:rFonts w:cs="Times New Roman"/>
          <w:sz w:val="26"/>
          <w:szCs w:val="26"/>
        </w:rPr>
        <w:t>10 West Broad Street, Suite 1800</w:t>
      </w:r>
    </w:p>
    <w:p w:rsidR="00B65AD5" w:rsidRPr="000E73B4" w:rsidRDefault="00B65AD5" w:rsidP="00B42171">
      <w:pPr>
        <w:spacing w:after="0" w:line="240" w:lineRule="auto"/>
        <w:rPr>
          <w:rFonts w:cs="Times New Roman"/>
          <w:sz w:val="26"/>
          <w:szCs w:val="26"/>
        </w:rPr>
      </w:pPr>
      <w:r w:rsidRPr="000E73B4">
        <w:rPr>
          <w:rFonts w:cs="Times New Roman"/>
          <w:sz w:val="26"/>
          <w:szCs w:val="26"/>
        </w:rPr>
        <w:t>Columbus, Ohio  43215-3485</w:t>
      </w:r>
    </w:p>
    <w:p w:rsidR="00B65AD5" w:rsidRDefault="00EC68A3" w:rsidP="00B42171">
      <w:pPr>
        <w:spacing w:after="0" w:line="240" w:lineRule="auto"/>
        <w:rPr>
          <w:rFonts w:cs="Times New Roman"/>
          <w:sz w:val="26"/>
          <w:szCs w:val="26"/>
        </w:rPr>
      </w:pPr>
      <w:hyperlink r:id="rId17" w:history="1">
        <w:r w:rsidR="00B42171" w:rsidRPr="00767016">
          <w:rPr>
            <w:rStyle w:val="Hyperlink"/>
            <w:rFonts w:cs="Times New Roman"/>
            <w:sz w:val="26"/>
            <w:szCs w:val="26"/>
          </w:rPr>
          <w:t>serio@occ.state.oh.us</w:t>
        </w:r>
      </w:hyperlink>
    </w:p>
    <w:p w:rsidR="00B65AD5" w:rsidRDefault="00EC68A3" w:rsidP="00B42171">
      <w:pPr>
        <w:spacing w:after="0" w:line="240" w:lineRule="auto"/>
        <w:rPr>
          <w:rFonts w:cs="Times New Roman"/>
          <w:sz w:val="26"/>
          <w:szCs w:val="26"/>
        </w:rPr>
      </w:pPr>
      <w:hyperlink r:id="rId18" w:history="1">
        <w:r w:rsidR="00B42171" w:rsidRPr="00767016">
          <w:rPr>
            <w:rStyle w:val="Hyperlink"/>
            <w:rFonts w:cs="Times New Roman"/>
            <w:sz w:val="26"/>
            <w:szCs w:val="26"/>
          </w:rPr>
          <w:t>sauer@occ.state.oh.us</w:t>
        </w:r>
      </w:hyperlink>
    </w:p>
    <w:p w:rsidR="00B42171" w:rsidRPr="000E73B4" w:rsidRDefault="00B42171" w:rsidP="00B42171">
      <w:pPr>
        <w:spacing w:after="0" w:line="240" w:lineRule="auto"/>
        <w:rPr>
          <w:rStyle w:val="Hyperlink"/>
          <w:rFonts w:cs="Times New Roman"/>
          <w:sz w:val="26"/>
          <w:szCs w:val="26"/>
        </w:rPr>
      </w:pPr>
    </w:p>
    <w:p w:rsidR="0061659A" w:rsidRDefault="00B42171" w:rsidP="00B42171">
      <w:pPr>
        <w:spacing w:after="0" w:line="240" w:lineRule="auto"/>
        <w:rPr>
          <w:rFonts w:cs="Times New Roman"/>
          <w:sz w:val="26"/>
          <w:szCs w:val="26"/>
        </w:rPr>
      </w:pPr>
      <w:r>
        <w:rPr>
          <w:rFonts w:cs="Times New Roman"/>
          <w:sz w:val="26"/>
          <w:szCs w:val="26"/>
        </w:rPr>
        <w:t>Mark A. Whitt</w:t>
      </w:r>
      <w:r>
        <w:rPr>
          <w:rFonts w:cs="Times New Roman"/>
          <w:sz w:val="26"/>
          <w:szCs w:val="26"/>
        </w:rPr>
        <w:br/>
        <w:t>Andrew J. Campbell</w:t>
      </w:r>
    </w:p>
    <w:p w:rsidR="00B42171" w:rsidRDefault="00B42171" w:rsidP="00B42171">
      <w:pPr>
        <w:spacing w:after="0" w:line="240" w:lineRule="auto"/>
        <w:rPr>
          <w:rFonts w:cs="Times New Roman"/>
          <w:sz w:val="26"/>
          <w:szCs w:val="26"/>
        </w:rPr>
      </w:pPr>
      <w:r>
        <w:rPr>
          <w:rFonts w:cs="Times New Roman"/>
          <w:sz w:val="26"/>
          <w:szCs w:val="26"/>
        </w:rPr>
        <w:t>Whitt Sturtevant</w:t>
      </w:r>
    </w:p>
    <w:p w:rsidR="00B42171" w:rsidRDefault="00B42171" w:rsidP="00B42171">
      <w:pPr>
        <w:spacing w:after="0" w:line="240" w:lineRule="auto"/>
        <w:rPr>
          <w:rFonts w:cs="Times New Roman"/>
          <w:sz w:val="26"/>
          <w:szCs w:val="26"/>
        </w:rPr>
      </w:pPr>
      <w:r>
        <w:rPr>
          <w:rFonts w:cs="Times New Roman"/>
          <w:sz w:val="26"/>
          <w:szCs w:val="26"/>
        </w:rPr>
        <w:t>PNC Plaza, Suite 2020</w:t>
      </w:r>
    </w:p>
    <w:p w:rsidR="00B42171" w:rsidRDefault="00B42171" w:rsidP="00B42171">
      <w:pPr>
        <w:spacing w:after="0" w:line="240" w:lineRule="auto"/>
        <w:rPr>
          <w:rFonts w:cs="Times New Roman"/>
          <w:sz w:val="26"/>
          <w:szCs w:val="26"/>
        </w:rPr>
      </w:pPr>
      <w:r>
        <w:rPr>
          <w:rFonts w:cs="Times New Roman"/>
          <w:sz w:val="26"/>
          <w:szCs w:val="26"/>
        </w:rPr>
        <w:t>155 East Broad Street</w:t>
      </w:r>
    </w:p>
    <w:p w:rsidR="00B42171" w:rsidRDefault="00B42171" w:rsidP="00B42171">
      <w:pPr>
        <w:spacing w:after="0" w:line="240" w:lineRule="auto"/>
        <w:rPr>
          <w:rFonts w:cs="Times New Roman"/>
          <w:sz w:val="26"/>
          <w:szCs w:val="26"/>
        </w:rPr>
      </w:pPr>
      <w:r>
        <w:rPr>
          <w:rFonts w:cs="Times New Roman"/>
          <w:sz w:val="26"/>
          <w:szCs w:val="26"/>
        </w:rPr>
        <w:t>Columbus, OH  43215</w:t>
      </w:r>
    </w:p>
    <w:p w:rsidR="00B42171" w:rsidRDefault="00EC68A3" w:rsidP="00B42171">
      <w:pPr>
        <w:spacing w:after="0" w:line="240" w:lineRule="auto"/>
        <w:rPr>
          <w:rFonts w:cs="Times New Roman"/>
          <w:sz w:val="26"/>
          <w:szCs w:val="26"/>
        </w:rPr>
      </w:pPr>
      <w:hyperlink r:id="rId19" w:history="1">
        <w:r w:rsidR="00B42171" w:rsidRPr="00767016">
          <w:rPr>
            <w:rStyle w:val="Hyperlink"/>
            <w:rFonts w:cs="Times New Roman"/>
            <w:sz w:val="26"/>
            <w:szCs w:val="26"/>
          </w:rPr>
          <w:t>whitt@whitt-sturtevant.com</w:t>
        </w:r>
      </w:hyperlink>
    </w:p>
    <w:p w:rsidR="00B42171" w:rsidRDefault="00EC68A3" w:rsidP="00B42171">
      <w:pPr>
        <w:spacing w:after="0" w:line="240" w:lineRule="auto"/>
        <w:rPr>
          <w:rFonts w:cs="Times New Roman"/>
          <w:sz w:val="26"/>
          <w:szCs w:val="26"/>
        </w:rPr>
      </w:pPr>
      <w:hyperlink r:id="rId20" w:history="1">
        <w:r w:rsidR="00B42171" w:rsidRPr="00767016">
          <w:rPr>
            <w:rStyle w:val="Hyperlink"/>
            <w:rFonts w:cs="Times New Roman"/>
            <w:sz w:val="26"/>
            <w:szCs w:val="26"/>
          </w:rPr>
          <w:t>campbell@whitt.sturtevant.com</w:t>
        </w:r>
      </w:hyperlink>
    </w:p>
    <w:p w:rsidR="00B42171" w:rsidRDefault="00B42171" w:rsidP="00B42171">
      <w:pPr>
        <w:spacing w:after="0" w:line="240" w:lineRule="auto"/>
        <w:rPr>
          <w:rFonts w:cs="Times New Roman"/>
          <w:sz w:val="26"/>
          <w:szCs w:val="26"/>
        </w:rPr>
      </w:pPr>
    </w:p>
    <w:p w:rsidR="00B65AD5" w:rsidRDefault="00EA7804" w:rsidP="00B42171">
      <w:pPr>
        <w:spacing w:after="0" w:line="240" w:lineRule="auto"/>
        <w:rPr>
          <w:rFonts w:cs="Times New Roman"/>
          <w:sz w:val="26"/>
          <w:szCs w:val="26"/>
        </w:rPr>
      </w:pPr>
      <w:r>
        <w:rPr>
          <w:rFonts w:cs="Times New Roman"/>
          <w:sz w:val="26"/>
          <w:szCs w:val="26"/>
        </w:rPr>
        <w:t>Colleen L. Mooney</w:t>
      </w:r>
    </w:p>
    <w:p w:rsidR="00EA7804" w:rsidRDefault="00EA7804" w:rsidP="00B42171">
      <w:pPr>
        <w:spacing w:after="0" w:line="240" w:lineRule="auto"/>
        <w:rPr>
          <w:rFonts w:cs="Times New Roman"/>
          <w:sz w:val="26"/>
          <w:szCs w:val="26"/>
        </w:rPr>
      </w:pPr>
      <w:r>
        <w:rPr>
          <w:rFonts w:cs="Times New Roman"/>
          <w:sz w:val="26"/>
          <w:szCs w:val="26"/>
        </w:rPr>
        <w:t>Ohio Partners for Affordable Energy</w:t>
      </w:r>
    </w:p>
    <w:p w:rsidR="00EA7804" w:rsidRDefault="00EA7804" w:rsidP="00B42171">
      <w:pPr>
        <w:spacing w:after="0" w:line="240" w:lineRule="auto"/>
        <w:rPr>
          <w:rFonts w:cs="Times New Roman"/>
          <w:sz w:val="26"/>
          <w:szCs w:val="26"/>
        </w:rPr>
      </w:pPr>
      <w:r>
        <w:rPr>
          <w:rFonts w:cs="Times New Roman"/>
          <w:sz w:val="26"/>
          <w:szCs w:val="26"/>
        </w:rPr>
        <w:t>231 West Lima Street</w:t>
      </w:r>
    </w:p>
    <w:p w:rsidR="00EA7804" w:rsidRDefault="00EA7804" w:rsidP="00B42171">
      <w:pPr>
        <w:spacing w:after="0" w:line="240" w:lineRule="auto"/>
        <w:rPr>
          <w:rFonts w:cs="Times New Roman"/>
          <w:sz w:val="26"/>
          <w:szCs w:val="26"/>
        </w:rPr>
      </w:pPr>
      <w:r>
        <w:rPr>
          <w:rFonts w:cs="Times New Roman"/>
          <w:sz w:val="26"/>
          <w:szCs w:val="26"/>
        </w:rPr>
        <w:t>Findlay, Ohio 45840</w:t>
      </w:r>
    </w:p>
    <w:p w:rsidR="00EA7804" w:rsidRDefault="00EC68A3" w:rsidP="00B42171">
      <w:pPr>
        <w:spacing w:after="0" w:line="240" w:lineRule="auto"/>
        <w:rPr>
          <w:rFonts w:cs="Times New Roman"/>
          <w:sz w:val="26"/>
          <w:szCs w:val="26"/>
        </w:rPr>
      </w:pPr>
      <w:hyperlink r:id="rId21" w:history="1">
        <w:r w:rsidR="00EA7804" w:rsidRPr="000E155D">
          <w:rPr>
            <w:rStyle w:val="Hyperlink"/>
            <w:rFonts w:cs="Times New Roman"/>
            <w:sz w:val="26"/>
            <w:szCs w:val="26"/>
          </w:rPr>
          <w:t>cmooney@columbus.rr.com</w:t>
        </w:r>
      </w:hyperlink>
    </w:p>
    <w:p w:rsidR="00EA7804" w:rsidRPr="00CD42AF" w:rsidRDefault="00EA7804" w:rsidP="00B42171">
      <w:pPr>
        <w:spacing w:after="0" w:line="240" w:lineRule="auto"/>
        <w:rPr>
          <w:rFonts w:cs="Times New Roman"/>
          <w:sz w:val="26"/>
          <w:szCs w:val="26"/>
        </w:rPr>
      </w:pPr>
    </w:p>
    <w:sectPr w:rsidR="00EA7804" w:rsidRPr="00CD42AF" w:rsidSect="002B0FA8">
      <w:headerReference w:type="default" r:id="rId22"/>
      <w:footerReference w:type="default" r:id="rId23"/>
      <w:headerReference w:type="first" r:id="rId24"/>
      <w:footerReference w:type="first" r:id="rId2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4E3" w:rsidRDefault="009F14E3" w:rsidP="00334569">
      <w:pPr>
        <w:spacing w:after="0" w:line="240" w:lineRule="auto"/>
      </w:pPr>
      <w:r>
        <w:separator/>
      </w:r>
    </w:p>
    <w:p w:rsidR="009F14E3" w:rsidRDefault="009F14E3"/>
  </w:endnote>
  <w:endnote w:type="continuationSeparator" w:id="0">
    <w:p w:rsidR="009F14E3" w:rsidRDefault="009F14E3" w:rsidP="00334569">
      <w:pPr>
        <w:spacing w:after="0" w:line="240" w:lineRule="auto"/>
      </w:pPr>
      <w:r>
        <w:continuationSeparator/>
      </w:r>
    </w:p>
    <w:p w:rsidR="009F14E3" w:rsidRDefault="009F14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580093"/>
      <w:docPartObj>
        <w:docPartGallery w:val="Page Numbers (Bottom of Page)"/>
        <w:docPartUnique/>
      </w:docPartObj>
    </w:sdtPr>
    <w:sdtEndPr>
      <w:rPr>
        <w:noProof/>
      </w:rPr>
    </w:sdtEndPr>
    <w:sdtContent>
      <w:p w:rsidR="007E7390" w:rsidRDefault="007E73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E7390" w:rsidRDefault="007E73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056011"/>
      <w:docPartObj>
        <w:docPartGallery w:val="Page Numbers (Bottom of Page)"/>
        <w:docPartUnique/>
      </w:docPartObj>
    </w:sdtPr>
    <w:sdtEndPr>
      <w:rPr>
        <w:noProof/>
      </w:rPr>
    </w:sdtEndPr>
    <w:sdtContent>
      <w:p w:rsidR="007E7390" w:rsidRDefault="007E7390" w:rsidP="002B0FA8">
        <w:pPr>
          <w:pStyle w:val="Footer"/>
          <w:jc w:val="center"/>
        </w:pPr>
        <w:r>
          <w:fldChar w:fldCharType="begin"/>
        </w:r>
        <w:r>
          <w:instrText xml:space="preserve"> PAGE   \* MERGEFORMAT </w:instrText>
        </w:r>
        <w:r>
          <w:fldChar w:fldCharType="separate"/>
        </w:r>
        <w:r w:rsidR="00554E68">
          <w:rPr>
            <w:noProof/>
          </w:rPr>
          <w:t>ii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298612"/>
      <w:docPartObj>
        <w:docPartGallery w:val="Page Numbers (Bottom of Page)"/>
        <w:docPartUnique/>
      </w:docPartObj>
    </w:sdtPr>
    <w:sdtEndPr>
      <w:rPr>
        <w:noProof/>
      </w:rPr>
    </w:sdtEndPr>
    <w:sdtContent>
      <w:p w:rsidR="007E7390" w:rsidRDefault="007E7390" w:rsidP="002B0FA8">
        <w:pPr>
          <w:pStyle w:val="Footer"/>
          <w:jc w:val="center"/>
        </w:pPr>
        <w:r>
          <w:fldChar w:fldCharType="begin"/>
        </w:r>
        <w:r>
          <w:instrText xml:space="preserve"> PAGE   \* MERGEFORMAT </w:instrText>
        </w:r>
        <w:r>
          <w:fldChar w:fldCharType="separate"/>
        </w:r>
        <w:r w:rsidR="00EC68A3">
          <w:rPr>
            <w:noProof/>
          </w:rPr>
          <w:t>22</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390" w:rsidRDefault="007E73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4E3" w:rsidRDefault="009F14E3" w:rsidP="00B42171">
      <w:pPr>
        <w:spacing w:after="0" w:line="240" w:lineRule="auto"/>
      </w:pPr>
      <w:r>
        <w:separator/>
      </w:r>
    </w:p>
  </w:footnote>
  <w:footnote w:type="continuationSeparator" w:id="0">
    <w:p w:rsidR="009F14E3" w:rsidRDefault="009F14E3" w:rsidP="00334569">
      <w:pPr>
        <w:spacing w:after="0" w:line="240" w:lineRule="auto"/>
      </w:pPr>
      <w:r>
        <w:continuationSeparator/>
      </w:r>
    </w:p>
    <w:p w:rsidR="009F14E3" w:rsidRDefault="009F14E3"/>
  </w:footnote>
  <w:footnote w:id="1">
    <w:p w:rsidR="007E7390" w:rsidRDefault="007E7390" w:rsidP="00EA7804">
      <w:pPr>
        <w:pStyle w:val="FootnoteText"/>
      </w:pPr>
      <w:r>
        <w:rPr>
          <w:rStyle w:val="FootnoteReference"/>
        </w:rPr>
        <w:footnoteRef/>
      </w:r>
      <w:r>
        <w:t xml:space="preserve"> </w:t>
      </w:r>
      <w:r>
        <w:tab/>
      </w:r>
      <w:r>
        <w:tab/>
      </w:r>
      <w:r w:rsidRPr="00104BB0">
        <w:rPr>
          <w:i/>
        </w:rPr>
        <w:t>In the Matter of the Application of Vectren Energy Delivery of Ohio, Inc. for Approval to Implement a Capital Expenditure Program</w:t>
      </w:r>
      <w:r>
        <w:t xml:space="preserve">, Case Nos. 12-530-GA-UNC, </w:t>
      </w:r>
      <w:r w:rsidRPr="00104BB0">
        <w:rPr>
          <w:i/>
        </w:rPr>
        <w:t>et al.</w:t>
      </w:r>
      <w:r>
        <w:t xml:space="preserve"> (Supplemental Reply Comments of Vectren Energy Delivery of </w:t>
      </w:r>
      <w:r w:rsidRPr="00DF5F1C">
        <w:t>Ohio</w:t>
      </w:r>
      <w:r>
        <w:t>, Inc. at 1) (September 14, 2012) (</w:t>
      </w:r>
      <w:r w:rsidRPr="00EA7804">
        <w:rPr>
          <w:i/>
        </w:rPr>
        <w:t>VEDO Supplemental Reply Comments</w:t>
      </w:r>
      <w:r>
        <w:t>).</w:t>
      </w:r>
    </w:p>
  </w:footnote>
  <w:footnote w:id="2">
    <w:p w:rsidR="007E7390" w:rsidRDefault="007E7390" w:rsidP="00EA7804">
      <w:pPr>
        <w:pStyle w:val="FootnoteText"/>
      </w:pPr>
      <w:r>
        <w:rPr>
          <w:rStyle w:val="FootnoteReference"/>
        </w:rPr>
        <w:footnoteRef/>
      </w:r>
      <w:r>
        <w:t xml:space="preserve"> </w:t>
      </w:r>
      <w:r>
        <w:tab/>
      </w:r>
      <w:r>
        <w:tab/>
      </w:r>
      <w:r w:rsidRPr="007B591D">
        <w:rPr>
          <w:i/>
        </w:rPr>
        <w:t>Id.</w:t>
      </w:r>
    </w:p>
  </w:footnote>
  <w:footnote w:id="3">
    <w:p w:rsidR="007E7390" w:rsidRDefault="007E7390" w:rsidP="00EA7804">
      <w:pPr>
        <w:pStyle w:val="FootnoteText"/>
      </w:pPr>
      <w:r>
        <w:rPr>
          <w:rStyle w:val="FootnoteReference"/>
        </w:rPr>
        <w:footnoteRef/>
      </w:r>
      <w:r>
        <w:t xml:space="preserve"> </w:t>
      </w:r>
      <w:r>
        <w:tab/>
      </w:r>
      <w:r>
        <w:tab/>
      </w:r>
      <w:r w:rsidRPr="00EA7804">
        <w:rPr>
          <w:i/>
        </w:rPr>
        <w:t>VEDO Supplemental Reply Comments</w:t>
      </w:r>
      <w:r>
        <w:t xml:space="preserve"> at 1.</w:t>
      </w:r>
    </w:p>
  </w:footnote>
  <w:footnote w:id="4">
    <w:p w:rsidR="007E7390" w:rsidRDefault="007E7390" w:rsidP="00EA7804">
      <w:pPr>
        <w:pStyle w:val="FootnoteText"/>
      </w:pPr>
      <w:r>
        <w:rPr>
          <w:rStyle w:val="FootnoteReference"/>
        </w:rPr>
        <w:footnoteRef/>
      </w:r>
      <w:r>
        <w:t xml:space="preserve"> </w:t>
      </w:r>
      <w:r>
        <w:tab/>
      </w:r>
      <w:r>
        <w:tab/>
      </w:r>
      <w:r w:rsidRPr="006725E4">
        <w:rPr>
          <w:i/>
        </w:rPr>
        <w:t>Id.</w:t>
      </w:r>
    </w:p>
  </w:footnote>
  <w:footnote w:id="5">
    <w:p w:rsidR="007E7390" w:rsidRDefault="007E7390" w:rsidP="00EA7804">
      <w:pPr>
        <w:pStyle w:val="FootnoteText"/>
      </w:pPr>
      <w:r>
        <w:rPr>
          <w:rStyle w:val="FootnoteReference"/>
        </w:rPr>
        <w:footnoteRef/>
      </w:r>
      <w:r>
        <w:t xml:space="preserve"> </w:t>
      </w:r>
      <w:r>
        <w:tab/>
      </w:r>
      <w:r>
        <w:tab/>
      </w:r>
      <w:r w:rsidRPr="00EA7804">
        <w:rPr>
          <w:i/>
        </w:rPr>
        <w:t>VEDO Supplemental Reply Comments</w:t>
      </w:r>
      <w:r>
        <w:t xml:space="preserve"> at 2.</w:t>
      </w:r>
    </w:p>
  </w:footnote>
  <w:footnote w:id="6">
    <w:p w:rsidR="007E7390" w:rsidRDefault="007E7390" w:rsidP="00EA7804">
      <w:pPr>
        <w:pStyle w:val="FootnoteText"/>
      </w:pPr>
      <w:r>
        <w:rPr>
          <w:rStyle w:val="FootnoteReference"/>
        </w:rPr>
        <w:footnoteRef/>
      </w:r>
      <w:r>
        <w:t xml:space="preserve"> </w:t>
      </w:r>
      <w:r>
        <w:tab/>
      </w:r>
      <w:r>
        <w:tab/>
      </w:r>
      <w:r w:rsidRPr="003069DF">
        <w:rPr>
          <w:i/>
        </w:rPr>
        <w:t>Id.</w:t>
      </w:r>
    </w:p>
  </w:footnote>
  <w:footnote w:id="7">
    <w:p w:rsidR="007E7390" w:rsidRDefault="007E7390" w:rsidP="00EA7804">
      <w:pPr>
        <w:pStyle w:val="FootnoteText"/>
      </w:pPr>
      <w:r>
        <w:rPr>
          <w:rStyle w:val="FootnoteReference"/>
        </w:rPr>
        <w:footnoteRef/>
      </w:r>
      <w:r>
        <w:t xml:space="preserve"> </w:t>
      </w:r>
      <w:r>
        <w:tab/>
      </w:r>
      <w:r>
        <w:tab/>
      </w:r>
      <w:r w:rsidRPr="00EA7804">
        <w:rPr>
          <w:i/>
        </w:rPr>
        <w:t>VEDO Supplemental Reply Comments</w:t>
      </w:r>
      <w:r>
        <w:t xml:space="preserve"> at 2.</w:t>
      </w:r>
    </w:p>
  </w:footnote>
  <w:footnote w:id="8">
    <w:p w:rsidR="007E7390" w:rsidRDefault="007E7390" w:rsidP="00EA7804">
      <w:pPr>
        <w:pStyle w:val="FootnoteText"/>
      </w:pPr>
      <w:r>
        <w:rPr>
          <w:rStyle w:val="FootnoteReference"/>
        </w:rPr>
        <w:footnoteRef/>
      </w:r>
      <w:r>
        <w:t xml:space="preserve"> </w:t>
      </w:r>
      <w:r>
        <w:tab/>
      </w:r>
      <w:r>
        <w:tab/>
      </w:r>
      <w:r w:rsidRPr="00F9305D">
        <w:rPr>
          <w:i/>
        </w:rPr>
        <w:t>In the Matter of the Application of Columbia Gas of Ohio, Inc. for Approval to Implement a Capital Expenditure Program</w:t>
      </w:r>
      <w:r>
        <w:t xml:space="preserve">, Case Nos. 11-5351-GA-UNC, </w:t>
      </w:r>
      <w:r w:rsidRPr="00EA7804">
        <w:rPr>
          <w:i/>
        </w:rPr>
        <w:t>et al.</w:t>
      </w:r>
      <w:r>
        <w:t xml:space="preserve"> (Staff Comments at 9) (February 17, 2012) (</w:t>
      </w:r>
      <w:r>
        <w:rPr>
          <w:i/>
        </w:rPr>
        <w:t>Staff Initial Comments</w:t>
      </w:r>
      <w:r>
        <w:t>).</w:t>
      </w:r>
    </w:p>
  </w:footnote>
  <w:footnote w:id="9">
    <w:p w:rsidR="007E7390" w:rsidRDefault="007E7390" w:rsidP="00EA7804">
      <w:pPr>
        <w:pStyle w:val="FootnoteText"/>
      </w:pPr>
      <w:r>
        <w:rPr>
          <w:rStyle w:val="FootnoteReference"/>
        </w:rPr>
        <w:footnoteRef/>
      </w:r>
      <w:r>
        <w:t xml:space="preserve"> </w:t>
      </w:r>
      <w:r>
        <w:tab/>
      </w:r>
      <w:r>
        <w:tab/>
      </w:r>
      <w:r w:rsidRPr="00EA7804">
        <w:rPr>
          <w:i/>
        </w:rPr>
        <w:t>VEDO Supplemental Reply Comments</w:t>
      </w:r>
      <w:r>
        <w:t xml:space="preserve"> at 3.</w:t>
      </w:r>
    </w:p>
  </w:footnote>
  <w:footnote w:id="10">
    <w:p w:rsidR="007E7390" w:rsidRDefault="007E7390" w:rsidP="00EA7804">
      <w:pPr>
        <w:pStyle w:val="FootnoteText"/>
      </w:pPr>
      <w:r>
        <w:rPr>
          <w:rStyle w:val="FootnoteReference"/>
        </w:rPr>
        <w:footnoteRef/>
      </w:r>
      <w:r>
        <w:t xml:space="preserve"> </w:t>
      </w:r>
      <w:r>
        <w:tab/>
      </w:r>
      <w:r>
        <w:tab/>
        <w:t>The Staff would also accept a PISCC formula utilizing a ½ month lag convention that recognizes that assets would be placed into service throughout a given month by using the mid-point of the month to calculate the PISCC.  This formula would be: PISCC = [</w:t>
      </w:r>
      <w:r w:rsidRPr="00554E68">
        <w:rPr>
          <w:sz w:val="20"/>
        </w:rPr>
        <w:t>1/2</w:t>
      </w:r>
      <w:r>
        <w:t xml:space="preserve"> x (current month’s plant additions – current month’s retirements – current month’s depreciation) x (long term cost of debt/12)] + </w:t>
      </w:r>
      <w:r w:rsidR="004D779F">
        <w:t>[</w:t>
      </w:r>
      <w:r>
        <w:t xml:space="preserve">(previous month’s cumulative plant additions – previous month’s cumulative retirements – previous month’s accumulated depreciation) x </w:t>
      </w:r>
      <w:r w:rsidR="004D779F">
        <w:t>(</w:t>
      </w:r>
      <w:r>
        <w:t>long term cost of debt/12)</w:t>
      </w:r>
      <w:r w:rsidR="004D779F">
        <w:t>]</w:t>
      </w:r>
      <w:r>
        <w:t>.</w:t>
      </w:r>
    </w:p>
  </w:footnote>
  <w:footnote w:id="11">
    <w:p w:rsidR="007E7390" w:rsidRDefault="007E7390" w:rsidP="00EA7804">
      <w:pPr>
        <w:pStyle w:val="FootnoteText"/>
      </w:pPr>
      <w:r>
        <w:rPr>
          <w:rStyle w:val="FootnoteReference"/>
        </w:rPr>
        <w:footnoteRef/>
      </w:r>
      <w:r>
        <w:t xml:space="preserve"> </w:t>
      </w:r>
      <w:r>
        <w:tab/>
      </w:r>
      <w:r>
        <w:tab/>
      </w:r>
      <w:r w:rsidRPr="00EA7804">
        <w:rPr>
          <w:i/>
        </w:rPr>
        <w:t>VEDO Supplemental Reply Comments</w:t>
      </w:r>
      <w:r>
        <w:t xml:space="preserve"> at 5.</w:t>
      </w:r>
    </w:p>
  </w:footnote>
  <w:footnote w:id="12">
    <w:p w:rsidR="007E7390" w:rsidRDefault="007E7390" w:rsidP="00EA7804">
      <w:pPr>
        <w:pStyle w:val="FootnoteText"/>
      </w:pPr>
      <w:r>
        <w:rPr>
          <w:rStyle w:val="FootnoteReference"/>
        </w:rPr>
        <w:footnoteRef/>
      </w:r>
      <w:r>
        <w:t xml:space="preserve"> </w:t>
      </w:r>
      <w:r>
        <w:tab/>
      </w:r>
      <w:r>
        <w:tab/>
        <w:t xml:space="preserve">The approved long term debt rate set in Case No. 07-1080-GA-AIR, </w:t>
      </w:r>
      <w:r w:rsidR="00104BB0">
        <w:rPr>
          <w:i/>
        </w:rPr>
        <w:t xml:space="preserve">et </w:t>
      </w:r>
      <w:r w:rsidRPr="00AC7076">
        <w:rPr>
          <w:i/>
        </w:rPr>
        <w:t>al</w:t>
      </w:r>
      <w:r w:rsidR="00104BB0">
        <w:rPr>
          <w:i/>
        </w:rPr>
        <w:t>.,</w:t>
      </w:r>
      <w:r>
        <w:t xml:space="preserve"> was 7.02%.</w:t>
      </w:r>
    </w:p>
  </w:footnote>
  <w:footnote w:id="13">
    <w:p w:rsidR="007E7390" w:rsidRPr="00104BB0" w:rsidRDefault="007E7390" w:rsidP="00EA7804">
      <w:pPr>
        <w:pStyle w:val="FootnoteText"/>
        <w:rPr>
          <w:i/>
        </w:rPr>
      </w:pPr>
      <w:r>
        <w:rPr>
          <w:rStyle w:val="FootnoteReference"/>
        </w:rPr>
        <w:footnoteRef/>
      </w:r>
      <w:r>
        <w:t xml:space="preserve"> </w:t>
      </w:r>
      <w:r>
        <w:tab/>
      </w:r>
      <w:r>
        <w:tab/>
      </w:r>
      <w:r w:rsidRPr="007E4EA5">
        <w:rPr>
          <w:i/>
        </w:rPr>
        <w:t>In the Matter of the Application of Columbia Gas of Ohio, Inc. for Approval to Implement a Capital Expenditure Program</w:t>
      </w:r>
      <w:r>
        <w:t xml:space="preserve">, Case Nos. 11-5351-GA-UNC, </w:t>
      </w:r>
      <w:r w:rsidR="00104BB0">
        <w:rPr>
          <w:i/>
        </w:rPr>
        <w:t>et al.</w:t>
      </w:r>
      <w:r>
        <w:t>. (Finding and Order at 12-13) (August 29, 2012).</w:t>
      </w:r>
    </w:p>
  </w:footnote>
  <w:footnote w:id="14">
    <w:p w:rsidR="007E7390" w:rsidRDefault="007E7390" w:rsidP="00EA7804">
      <w:pPr>
        <w:pStyle w:val="FootnoteText"/>
      </w:pPr>
      <w:r>
        <w:rPr>
          <w:rStyle w:val="FootnoteReference"/>
        </w:rPr>
        <w:footnoteRef/>
      </w:r>
      <w:r>
        <w:t xml:space="preserve"> </w:t>
      </w:r>
      <w:r>
        <w:tab/>
      </w:r>
      <w:r>
        <w:tab/>
      </w:r>
      <w:r w:rsidRPr="00EA7804">
        <w:rPr>
          <w:i/>
        </w:rPr>
        <w:t>VEDO Supplemental Reply Comments</w:t>
      </w:r>
      <w:r>
        <w:t xml:space="preserve"> at 5.</w:t>
      </w:r>
    </w:p>
  </w:footnote>
  <w:footnote w:id="15">
    <w:p w:rsidR="007E7390" w:rsidRPr="00C00C11" w:rsidRDefault="007E7390" w:rsidP="00EA7804">
      <w:pPr>
        <w:pStyle w:val="FootnoteText"/>
      </w:pPr>
      <w:r>
        <w:rPr>
          <w:rStyle w:val="FootnoteReference"/>
        </w:rPr>
        <w:footnoteRef/>
      </w:r>
      <w:r>
        <w:t xml:space="preserve"> </w:t>
      </w:r>
      <w:r>
        <w:tab/>
      </w:r>
      <w:r>
        <w:tab/>
      </w:r>
      <w:r w:rsidRPr="00E8083A">
        <w:rPr>
          <w:i/>
        </w:rPr>
        <w:t>Id.</w:t>
      </w:r>
    </w:p>
  </w:footnote>
  <w:footnote w:id="16">
    <w:p w:rsidR="007E7390" w:rsidRDefault="007E7390" w:rsidP="00EA7804">
      <w:pPr>
        <w:pStyle w:val="FootnoteText"/>
      </w:pPr>
      <w:r>
        <w:rPr>
          <w:rStyle w:val="FootnoteReference"/>
        </w:rPr>
        <w:footnoteRef/>
      </w:r>
      <w:r>
        <w:t xml:space="preserve"> </w:t>
      </w:r>
      <w:r>
        <w:tab/>
      </w:r>
      <w:r>
        <w:tab/>
      </w:r>
      <w:r w:rsidRPr="00C00C11">
        <w:rPr>
          <w:i/>
        </w:rPr>
        <w:t>Id.</w:t>
      </w:r>
    </w:p>
  </w:footnote>
  <w:footnote w:id="17">
    <w:p w:rsidR="007E7390" w:rsidRDefault="007E7390" w:rsidP="00EA7804">
      <w:pPr>
        <w:pStyle w:val="FootnoteText"/>
      </w:pPr>
      <w:r>
        <w:rPr>
          <w:rStyle w:val="FootnoteReference"/>
        </w:rPr>
        <w:footnoteRef/>
      </w:r>
      <w:r>
        <w:t xml:space="preserve"> </w:t>
      </w:r>
      <w:r>
        <w:tab/>
      </w:r>
      <w:r>
        <w:tab/>
      </w:r>
      <w:r w:rsidRPr="00EA7804">
        <w:rPr>
          <w:i/>
        </w:rPr>
        <w:t>VEDO Supplemental Reply Comments</w:t>
      </w:r>
      <w:r>
        <w:t xml:space="preserve"> at 6.</w:t>
      </w:r>
    </w:p>
  </w:footnote>
  <w:footnote w:id="18">
    <w:p w:rsidR="007E7390" w:rsidRDefault="007E7390" w:rsidP="00EA7804">
      <w:pPr>
        <w:pStyle w:val="FootnoteText"/>
      </w:pPr>
      <w:r>
        <w:rPr>
          <w:rStyle w:val="FootnoteReference"/>
        </w:rPr>
        <w:footnoteRef/>
      </w:r>
      <w:r>
        <w:t xml:space="preserve"> </w:t>
      </w:r>
      <w:r>
        <w:tab/>
      </w:r>
      <w:r>
        <w:tab/>
      </w:r>
      <w:r>
        <w:rPr>
          <w:i/>
        </w:rPr>
        <w:t>Id.</w:t>
      </w:r>
      <w:r>
        <w:t xml:space="preserve"> at 5-6.</w:t>
      </w:r>
    </w:p>
  </w:footnote>
  <w:footnote w:id="19">
    <w:p w:rsidR="007E7390" w:rsidRDefault="007E7390" w:rsidP="00EA7804">
      <w:pPr>
        <w:pStyle w:val="FootnoteText"/>
      </w:pPr>
      <w:r>
        <w:rPr>
          <w:rStyle w:val="FootnoteReference"/>
        </w:rPr>
        <w:footnoteRef/>
      </w:r>
      <w:r>
        <w:t xml:space="preserve"> </w:t>
      </w:r>
      <w:r>
        <w:tab/>
      </w:r>
      <w:r>
        <w:tab/>
      </w:r>
      <w:r>
        <w:rPr>
          <w:i/>
        </w:rPr>
        <w:t>Id</w:t>
      </w:r>
      <w:r>
        <w:t>. at 6.</w:t>
      </w:r>
    </w:p>
  </w:footnote>
  <w:footnote w:id="20">
    <w:p w:rsidR="007E7390" w:rsidRDefault="007E7390" w:rsidP="00EA7804">
      <w:pPr>
        <w:pStyle w:val="FootnoteText"/>
      </w:pPr>
      <w:r>
        <w:rPr>
          <w:rStyle w:val="FootnoteReference"/>
        </w:rPr>
        <w:footnoteRef/>
      </w:r>
      <w:r>
        <w:t xml:space="preserve"> </w:t>
      </w:r>
      <w:r>
        <w:tab/>
      </w:r>
      <w:r>
        <w:tab/>
      </w:r>
      <w:r w:rsidRPr="00EA7804">
        <w:rPr>
          <w:i/>
        </w:rPr>
        <w:t>Staff Initial Comments</w:t>
      </w:r>
      <w:r>
        <w:t xml:space="preserve"> at 12.</w:t>
      </w:r>
    </w:p>
  </w:footnote>
  <w:footnote w:id="21">
    <w:p w:rsidR="007E7390" w:rsidRDefault="007E7390" w:rsidP="00EA7804">
      <w:pPr>
        <w:pStyle w:val="FootnoteText"/>
      </w:pPr>
      <w:r>
        <w:rPr>
          <w:rStyle w:val="FootnoteReference"/>
        </w:rPr>
        <w:footnoteRef/>
      </w:r>
      <w:r>
        <w:t xml:space="preserve"> </w:t>
      </w:r>
      <w:r>
        <w:tab/>
      </w:r>
      <w:r>
        <w:tab/>
      </w:r>
      <w:r w:rsidRPr="007B591D">
        <w:rPr>
          <w:i/>
        </w:rPr>
        <w:t>Id</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390" w:rsidRPr="00EA7804" w:rsidRDefault="007E7390" w:rsidP="00EA7804">
    <w:pPr>
      <w:pStyle w:val="Header"/>
      <w:jc w:val="center"/>
      <w:rPr>
        <w:rFonts w:ascii="Arial" w:hAnsi="Arial" w:cs="Arial"/>
        <w:b/>
        <w:color w:val="FF0000"/>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390" w:rsidRPr="00EA7804" w:rsidRDefault="007E7390" w:rsidP="00EA7804">
    <w:pPr>
      <w:pStyle w:val="Header"/>
      <w:jc w:val="center"/>
      <w:rPr>
        <w:rFonts w:ascii="Arial" w:hAnsi="Arial" w:cs="Arial"/>
        <w:b/>
        <w:color w:val="FF0000"/>
        <w:sz w:val="16"/>
        <w:szCs w:val="16"/>
      </w:rPr>
    </w:pPr>
    <w:r>
      <w:rPr>
        <w:rFonts w:ascii="Arial" w:hAnsi="Arial" w:cs="Arial"/>
        <w:b/>
        <w:color w:val="FF0000"/>
        <w:sz w:val="16"/>
        <w:szCs w:val="16"/>
      </w:rPr>
      <w:t xml:space="preserve">DRAFT - </w:t>
    </w:r>
    <w:r>
      <w:rPr>
        <w:rFonts w:ascii="Arial" w:hAnsi="Arial" w:cs="Arial"/>
        <w:b/>
        <w:color w:val="FF0000"/>
        <w:sz w:val="16"/>
        <w:szCs w:val="16"/>
      </w:rPr>
      <w:fldChar w:fldCharType="begin"/>
    </w:r>
    <w:r>
      <w:rPr>
        <w:rFonts w:ascii="Arial" w:hAnsi="Arial" w:cs="Arial"/>
        <w:b/>
        <w:color w:val="FF0000"/>
        <w:sz w:val="16"/>
        <w:szCs w:val="16"/>
      </w:rPr>
      <w:instrText xml:space="preserve"> DATE \@ "M/d/yyyy h:mm am/pm" </w:instrText>
    </w:r>
    <w:r>
      <w:rPr>
        <w:rFonts w:ascii="Arial" w:hAnsi="Arial" w:cs="Arial"/>
        <w:b/>
        <w:color w:val="FF0000"/>
        <w:sz w:val="16"/>
        <w:szCs w:val="16"/>
      </w:rPr>
      <w:fldChar w:fldCharType="separate"/>
    </w:r>
    <w:r w:rsidR="00EC68A3">
      <w:rPr>
        <w:rFonts w:ascii="Arial" w:hAnsi="Arial" w:cs="Arial"/>
        <w:b/>
        <w:noProof/>
        <w:color w:val="FF0000"/>
        <w:sz w:val="16"/>
        <w:szCs w:val="16"/>
      </w:rPr>
      <w:t>10/26/2012 11:16 AM</w:t>
    </w:r>
    <w:r>
      <w:rPr>
        <w:rFonts w:ascii="Arial" w:hAnsi="Arial" w:cs="Arial"/>
        <w:b/>
        <w:color w:val="FF0000"/>
        <w:sz w:val="16"/>
        <w:szCs w:val="16"/>
      </w:rPr>
      <w:fldChar w:fldCharType="end"/>
    </w:r>
    <w:r>
      <w:rPr>
        <w:rFonts w:ascii="Arial" w:hAnsi="Arial" w:cs="Arial"/>
        <w:b/>
        <w:color w:val="FF0000"/>
        <w:sz w:val="16"/>
        <w:szCs w:val="16"/>
      </w:rPr>
      <w:t xml:space="preserve"> </w:t>
    </w:r>
    <w:r>
      <w:rPr>
        <w:rFonts w:ascii="Arial" w:hAnsi="Arial" w:cs="Arial"/>
        <w:b/>
        <w:color w:val="FF0000"/>
        <w:sz w:val="16"/>
        <w:szCs w:val="16"/>
      </w:rPr>
      <w:br/>
    </w:r>
    <w:r w:rsidRPr="00EA7804">
      <w:rPr>
        <w:rFonts w:ascii="Arial" w:hAnsi="Arial" w:cs="Arial"/>
        <w:b/>
        <w:color w:val="FF0000"/>
        <w:sz w:val="16"/>
        <w:szCs w:val="16"/>
      </w:rPr>
      <w:fldChar w:fldCharType="begin"/>
    </w:r>
    <w:r w:rsidRPr="00EA7804">
      <w:rPr>
        <w:rFonts w:ascii="Arial" w:hAnsi="Arial" w:cs="Arial"/>
        <w:b/>
        <w:color w:val="FF0000"/>
        <w:sz w:val="16"/>
        <w:szCs w:val="16"/>
      </w:rPr>
      <w:instrText xml:space="preserve"> FILENAME  \* Lower \p  \* MERGEFORMAT </w:instrText>
    </w:r>
    <w:r w:rsidRPr="00EA7804">
      <w:rPr>
        <w:rFonts w:ascii="Arial" w:hAnsi="Arial" w:cs="Arial"/>
        <w:b/>
        <w:color w:val="FF0000"/>
        <w:sz w:val="16"/>
        <w:szCs w:val="16"/>
      </w:rPr>
      <w:fldChar w:fldCharType="separate"/>
    </w:r>
    <w:r w:rsidR="00EC68A3">
      <w:rPr>
        <w:rFonts w:ascii="Arial" w:hAnsi="Arial" w:cs="Arial"/>
        <w:b/>
        <w:noProof/>
        <w:color w:val="FF0000"/>
        <w:sz w:val="16"/>
        <w:szCs w:val="16"/>
      </w:rPr>
      <w:t>\\puc\shares\departments\attorney general\attorneys\beeler\commission cases\gas\vedo 12-530-ga-unc\sur-reply comments 102612.docx</w:t>
    </w:r>
    <w:r w:rsidRPr="00EA7804">
      <w:rPr>
        <w:rFonts w:ascii="Arial" w:hAnsi="Arial" w:cs="Arial"/>
        <w:b/>
        <w:noProof/>
        <w:color w:val="FF0000"/>
        <w:sz w:val="16"/>
        <w:szCs w:val="16"/>
      </w:rPr>
      <w:fldChar w:fldCharType="end"/>
    </w:r>
    <w:r w:rsidRPr="00EA7804">
      <w:rPr>
        <w:rFonts w:ascii="Arial" w:hAnsi="Arial" w:cs="Arial"/>
        <w:b/>
        <w:color w:val="FF0000"/>
        <w:sz w:val="16"/>
        <w:szCs w:val="16"/>
      </w:rPr>
      <w:t xml:space="preserve"> </w:t>
    </w:r>
  </w:p>
  <w:p w:rsidR="007E7390" w:rsidRDefault="007E7390" w:rsidP="002B0FA8">
    <w:pPr>
      <w:pStyle w:val="Header"/>
      <w:jc w:val="center"/>
      <w:rPr>
        <w:b/>
        <w:sz w:val="28"/>
        <w:szCs w:val="28"/>
      </w:rPr>
    </w:pPr>
    <w:r>
      <w:rPr>
        <w:b/>
        <w:sz w:val="28"/>
        <w:szCs w:val="28"/>
      </w:rPr>
      <w:t>TABLE OF CONTENTS (cont’d)</w:t>
    </w:r>
  </w:p>
  <w:p w:rsidR="007E7390" w:rsidRDefault="007E7390" w:rsidP="002B0FA8">
    <w:pPr>
      <w:pStyle w:val="Header"/>
      <w:jc w:val="right"/>
      <w:rPr>
        <w:b/>
        <w:sz w:val="28"/>
        <w:szCs w:val="28"/>
      </w:rPr>
    </w:pPr>
    <w:r>
      <w:rPr>
        <w:b/>
        <w:sz w:val="28"/>
        <w:szCs w:val="28"/>
      </w:rPr>
      <w:t>Page</w:t>
    </w:r>
  </w:p>
  <w:p w:rsidR="007E7390" w:rsidRDefault="007E7390" w:rsidP="002B0FA8">
    <w:pPr>
      <w:pStyle w:val="Header"/>
      <w:jc w:val="right"/>
      <w:rPr>
        <w:b/>
        <w:sz w:val="28"/>
        <w:szCs w:val="28"/>
      </w:rPr>
    </w:pPr>
  </w:p>
  <w:p w:rsidR="007E7390" w:rsidRPr="002B0FA8" w:rsidRDefault="007E7390" w:rsidP="002B0FA8">
    <w:pPr>
      <w:pStyle w:val="Header"/>
      <w:jc w:val="right"/>
      <w:rPr>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390" w:rsidRDefault="007E7390" w:rsidP="00326194">
    <w:pPr>
      <w:pStyle w:val="Header"/>
      <w:jc w:val="center"/>
      <w:rPr>
        <w:b/>
        <w:sz w:val="28"/>
        <w:szCs w:val="28"/>
      </w:rPr>
    </w:pPr>
    <w:r>
      <w:rPr>
        <w:b/>
        <w:sz w:val="28"/>
        <w:szCs w:val="28"/>
      </w:rPr>
      <w:t>TABLE OF CONTENTS</w:t>
    </w:r>
  </w:p>
  <w:p w:rsidR="007E7390" w:rsidRDefault="007E7390" w:rsidP="00326194">
    <w:pPr>
      <w:pStyle w:val="Header"/>
      <w:jc w:val="right"/>
      <w:rPr>
        <w:b/>
        <w:sz w:val="28"/>
        <w:szCs w:val="28"/>
      </w:rPr>
    </w:pPr>
    <w:r>
      <w:rPr>
        <w:b/>
        <w:sz w:val="28"/>
        <w:szCs w:val="28"/>
      </w:rPr>
      <w:t>Page</w:t>
    </w:r>
  </w:p>
  <w:p w:rsidR="007E7390" w:rsidRDefault="007E7390" w:rsidP="00326194">
    <w:pPr>
      <w:pStyle w:val="Header"/>
      <w:jc w:val="right"/>
      <w:rPr>
        <w:b/>
        <w:sz w:val="28"/>
        <w:szCs w:val="28"/>
      </w:rPr>
    </w:pPr>
  </w:p>
  <w:p w:rsidR="007E7390" w:rsidRPr="00326194" w:rsidRDefault="007E7390" w:rsidP="0032619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390" w:rsidRPr="00EA7804" w:rsidRDefault="007E7390" w:rsidP="00EA7804">
    <w:pPr>
      <w:pStyle w:val="Header"/>
      <w:jc w:val="center"/>
      <w:rPr>
        <w:rFonts w:ascii="Arial" w:hAnsi="Arial" w:cs="Arial"/>
        <w:b/>
        <w:color w:val="FF0000"/>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390" w:rsidRPr="00EA7804" w:rsidRDefault="007E7390" w:rsidP="00EA7804">
    <w:pPr>
      <w:pStyle w:val="Header"/>
      <w:jc w:val="center"/>
      <w:rPr>
        <w:rFonts w:ascii="Arial" w:hAnsi="Arial" w:cs="Arial"/>
        <w:b/>
        <w:color w:val="FF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D2BE6E"/>
    <w:lvl w:ilvl="0">
      <w:start w:val="1"/>
      <w:numFmt w:val="decimal"/>
      <w:lvlText w:val="%1."/>
      <w:lvlJc w:val="left"/>
      <w:pPr>
        <w:tabs>
          <w:tab w:val="num" w:pos="1800"/>
        </w:tabs>
        <w:ind w:left="1800" w:hanging="360"/>
      </w:pPr>
    </w:lvl>
  </w:abstractNum>
  <w:abstractNum w:abstractNumId="1">
    <w:nsid w:val="FFFFFF7D"/>
    <w:multiLevelType w:val="singleLevel"/>
    <w:tmpl w:val="89365A5C"/>
    <w:lvl w:ilvl="0">
      <w:start w:val="1"/>
      <w:numFmt w:val="decimal"/>
      <w:lvlText w:val="%1."/>
      <w:lvlJc w:val="left"/>
      <w:pPr>
        <w:tabs>
          <w:tab w:val="num" w:pos="1440"/>
        </w:tabs>
        <w:ind w:left="1440" w:hanging="360"/>
      </w:pPr>
    </w:lvl>
  </w:abstractNum>
  <w:abstractNum w:abstractNumId="2">
    <w:nsid w:val="FFFFFF7E"/>
    <w:multiLevelType w:val="singleLevel"/>
    <w:tmpl w:val="BC78C928"/>
    <w:lvl w:ilvl="0">
      <w:start w:val="1"/>
      <w:numFmt w:val="decimal"/>
      <w:lvlText w:val="%1."/>
      <w:lvlJc w:val="left"/>
      <w:pPr>
        <w:tabs>
          <w:tab w:val="num" w:pos="1080"/>
        </w:tabs>
        <w:ind w:left="1080" w:hanging="360"/>
      </w:pPr>
    </w:lvl>
  </w:abstractNum>
  <w:abstractNum w:abstractNumId="3">
    <w:nsid w:val="FFFFFF7F"/>
    <w:multiLevelType w:val="singleLevel"/>
    <w:tmpl w:val="B3AEB0C4"/>
    <w:lvl w:ilvl="0">
      <w:start w:val="1"/>
      <w:numFmt w:val="decimal"/>
      <w:lvlText w:val="%1."/>
      <w:lvlJc w:val="left"/>
      <w:pPr>
        <w:tabs>
          <w:tab w:val="num" w:pos="720"/>
        </w:tabs>
        <w:ind w:left="720" w:hanging="360"/>
      </w:pPr>
    </w:lvl>
  </w:abstractNum>
  <w:abstractNum w:abstractNumId="4">
    <w:nsid w:val="FFFFFF80"/>
    <w:multiLevelType w:val="singleLevel"/>
    <w:tmpl w:val="BB6CC12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ED48A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3474E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57A3E9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CC4A894"/>
    <w:lvl w:ilvl="0">
      <w:start w:val="1"/>
      <w:numFmt w:val="decimal"/>
      <w:lvlText w:val="%1."/>
      <w:lvlJc w:val="left"/>
      <w:pPr>
        <w:tabs>
          <w:tab w:val="num" w:pos="360"/>
        </w:tabs>
        <w:ind w:left="360" w:hanging="360"/>
      </w:pPr>
    </w:lvl>
  </w:abstractNum>
  <w:abstractNum w:abstractNumId="9">
    <w:nsid w:val="FFFFFF89"/>
    <w:multiLevelType w:val="singleLevel"/>
    <w:tmpl w:val="30DE0A10"/>
    <w:lvl w:ilvl="0">
      <w:start w:val="1"/>
      <w:numFmt w:val="bullet"/>
      <w:lvlText w:val=""/>
      <w:lvlJc w:val="left"/>
      <w:pPr>
        <w:tabs>
          <w:tab w:val="num" w:pos="360"/>
        </w:tabs>
        <w:ind w:left="360" w:hanging="360"/>
      </w:pPr>
      <w:rPr>
        <w:rFonts w:ascii="Symbol" w:hAnsi="Symbol" w:hint="default"/>
      </w:rPr>
    </w:lvl>
  </w:abstractNum>
  <w:abstractNum w:abstractNumId="10">
    <w:nsid w:val="0A0B0161"/>
    <w:multiLevelType w:val="hybridMultilevel"/>
    <w:tmpl w:val="1E76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E96A30"/>
    <w:multiLevelType w:val="hybridMultilevel"/>
    <w:tmpl w:val="AC54A9C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15033B3"/>
    <w:multiLevelType w:val="hybridMultilevel"/>
    <w:tmpl w:val="C4A203FE"/>
    <w:lvl w:ilvl="0" w:tplc="36EED1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3D4511"/>
    <w:multiLevelType w:val="hybridMultilevel"/>
    <w:tmpl w:val="D2CEA59A"/>
    <w:lvl w:ilvl="0" w:tplc="ED382888">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B522CE"/>
    <w:multiLevelType w:val="hybridMultilevel"/>
    <w:tmpl w:val="93A6DF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32139F"/>
    <w:multiLevelType w:val="hybridMultilevel"/>
    <w:tmpl w:val="C84A4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5106AC"/>
    <w:multiLevelType w:val="hybridMultilevel"/>
    <w:tmpl w:val="0D1A0F98"/>
    <w:lvl w:ilvl="0" w:tplc="B2F863A2">
      <w:start w:val="1"/>
      <w:numFmt w:val="upperRoman"/>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023975"/>
    <w:multiLevelType w:val="hybridMultilevel"/>
    <w:tmpl w:val="04382B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E7A6F5A"/>
    <w:multiLevelType w:val="hybridMultilevel"/>
    <w:tmpl w:val="4F3C3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DD749D"/>
    <w:multiLevelType w:val="hybridMultilevel"/>
    <w:tmpl w:val="E67496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617DC0"/>
    <w:multiLevelType w:val="hybridMultilevel"/>
    <w:tmpl w:val="EE64045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0212D27"/>
    <w:multiLevelType w:val="hybridMultilevel"/>
    <w:tmpl w:val="A3D818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DC598E"/>
    <w:multiLevelType w:val="hybridMultilevel"/>
    <w:tmpl w:val="57DCEDD8"/>
    <w:lvl w:ilvl="0" w:tplc="283AC486">
      <w:start w:val="1"/>
      <w:numFmt w:val="upperLetter"/>
      <w:pStyle w:val="Heading2"/>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7A67EFB"/>
    <w:multiLevelType w:val="hybridMultilevel"/>
    <w:tmpl w:val="8B888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18"/>
  </w:num>
  <w:num w:numId="4">
    <w:abstractNumId w:val="10"/>
  </w:num>
  <w:num w:numId="5">
    <w:abstractNumId w:val="21"/>
  </w:num>
  <w:num w:numId="6">
    <w:abstractNumId w:val="19"/>
  </w:num>
  <w:num w:numId="7">
    <w:abstractNumId w:val="14"/>
  </w:num>
  <w:num w:numId="8">
    <w:abstractNumId w:val="12"/>
  </w:num>
  <w:num w:numId="9">
    <w:abstractNumId w:val="16"/>
  </w:num>
  <w:num w:numId="10">
    <w:abstractNumId w:val="22"/>
  </w:num>
  <w:num w:numId="11">
    <w:abstractNumId w:val="13"/>
  </w:num>
  <w:num w:numId="12">
    <w:abstractNumId w:val="22"/>
    <w:lvlOverride w:ilvl="0">
      <w:startOverride w:val="1"/>
    </w:lvlOverride>
  </w:num>
  <w:num w:numId="13">
    <w:abstractNumId w:val="23"/>
  </w:num>
  <w:num w:numId="14">
    <w:abstractNumId w:val="11"/>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D99"/>
    <w:rsid w:val="00001F28"/>
    <w:rsid w:val="00011697"/>
    <w:rsid w:val="00012420"/>
    <w:rsid w:val="00014504"/>
    <w:rsid w:val="00014A1D"/>
    <w:rsid w:val="00020DAE"/>
    <w:rsid w:val="0002112E"/>
    <w:rsid w:val="0003578D"/>
    <w:rsid w:val="000365C1"/>
    <w:rsid w:val="0004237B"/>
    <w:rsid w:val="00047A6D"/>
    <w:rsid w:val="00050A19"/>
    <w:rsid w:val="000566EB"/>
    <w:rsid w:val="00061C88"/>
    <w:rsid w:val="000643F0"/>
    <w:rsid w:val="00064E41"/>
    <w:rsid w:val="00065663"/>
    <w:rsid w:val="00072B4B"/>
    <w:rsid w:val="00073FE2"/>
    <w:rsid w:val="00074EAC"/>
    <w:rsid w:val="00094BC3"/>
    <w:rsid w:val="000A3619"/>
    <w:rsid w:val="000A6BE2"/>
    <w:rsid w:val="000B0268"/>
    <w:rsid w:val="000B288C"/>
    <w:rsid w:val="000B28E7"/>
    <w:rsid w:val="000B4E82"/>
    <w:rsid w:val="000B552F"/>
    <w:rsid w:val="000C00A3"/>
    <w:rsid w:val="000C2BC0"/>
    <w:rsid w:val="000C60E8"/>
    <w:rsid w:val="000D0211"/>
    <w:rsid w:val="000D51EB"/>
    <w:rsid w:val="000E6075"/>
    <w:rsid w:val="000E73B4"/>
    <w:rsid w:val="000F32DE"/>
    <w:rsid w:val="000F44F2"/>
    <w:rsid w:val="00102C42"/>
    <w:rsid w:val="00104BB0"/>
    <w:rsid w:val="001078DB"/>
    <w:rsid w:val="00107B2A"/>
    <w:rsid w:val="00121D72"/>
    <w:rsid w:val="001316F1"/>
    <w:rsid w:val="001360B6"/>
    <w:rsid w:val="00140670"/>
    <w:rsid w:val="001408B2"/>
    <w:rsid w:val="001420B4"/>
    <w:rsid w:val="00150F3B"/>
    <w:rsid w:val="00153220"/>
    <w:rsid w:val="001562E4"/>
    <w:rsid w:val="00160121"/>
    <w:rsid w:val="00182C89"/>
    <w:rsid w:val="001846BC"/>
    <w:rsid w:val="00184D02"/>
    <w:rsid w:val="001A3534"/>
    <w:rsid w:val="001C42E5"/>
    <w:rsid w:val="001E55BC"/>
    <w:rsid w:val="001E66FD"/>
    <w:rsid w:val="001F1CBC"/>
    <w:rsid w:val="001F5BAF"/>
    <w:rsid w:val="001F7912"/>
    <w:rsid w:val="0020282B"/>
    <w:rsid w:val="00217012"/>
    <w:rsid w:val="00223C1A"/>
    <w:rsid w:val="00225570"/>
    <w:rsid w:val="00225C09"/>
    <w:rsid w:val="00226E85"/>
    <w:rsid w:val="00230969"/>
    <w:rsid w:val="002331A7"/>
    <w:rsid w:val="00233972"/>
    <w:rsid w:val="00234BA6"/>
    <w:rsid w:val="002362D8"/>
    <w:rsid w:val="002371D5"/>
    <w:rsid w:val="002416F4"/>
    <w:rsid w:val="002472F5"/>
    <w:rsid w:val="00251C7F"/>
    <w:rsid w:val="0025706E"/>
    <w:rsid w:val="00266045"/>
    <w:rsid w:val="002736D9"/>
    <w:rsid w:val="00274186"/>
    <w:rsid w:val="00277537"/>
    <w:rsid w:val="00295EBD"/>
    <w:rsid w:val="002A0387"/>
    <w:rsid w:val="002A13C3"/>
    <w:rsid w:val="002A1BD2"/>
    <w:rsid w:val="002A71CE"/>
    <w:rsid w:val="002B0FA8"/>
    <w:rsid w:val="002B45EE"/>
    <w:rsid w:val="002B749D"/>
    <w:rsid w:val="002C60EA"/>
    <w:rsid w:val="002E1E55"/>
    <w:rsid w:val="002E4BCE"/>
    <w:rsid w:val="002E713E"/>
    <w:rsid w:val="002F3244"/>
    <w:rsid w:val="00300F32"/>
    <w:rsid w:val="00306578"/>
    <w:rsid w:val="003069DF"/>
    <w:rsid w:val="003137FA"/>
    <w:rsid w:val="00313F86"/>
    <w:rsid w:val="00322587"/>
    <w:rsid w:val="00326194"/>
    <w:rsid w:val="003322B6"/>
    <w:rsid w:val="00334569"/>
    <w:rsid w:val="0034104D"/>
    <w:rsid w:val="00343C36"/>
    <w:rsid w:val="00344D0E"/>
    <w:rsid w:val="00347346"/>
    <w:rsid w:val="00351A60"/>
    <w:rsid w:val="0036080A"/>
    <w:rsid w:val="00363A9A"/>
    <w:rsid w:val="00366056"/>
    <w:rsid w:val="00366339"/>
    <w:rsid w:val="00372296"/>
    <w:rsid w:val="003735BB"/>
    <w:rsid w:val="003773B5"/>
    <w:rsid w:val="00380BC6"/>
    <w:rsid w:val="00383334"/>
    <w:rsid w:val="003838E0"/>
    <w:rsid w:val="00385947"/>
    <w:rsid w:val="00387B59"/>
    <w:rsid w:val="00395DDD"/>
    <w:rsid w:val="003A2BB1"/>
    <w:rsid w:val="003A3400"/>
    <w:rsid w:val="003A36FA"/>
    <w:rsid w:val="003B6CAC"/>
    <w:rsid w:val="003C3D34"/>
    <w:rsid w:val="003C5DFF"/>
    <w:rsid w:val="003D0DEE"/>
    <w:rsid w:val="003D4C13"/>
    <w:rsid w:val="003E6A2E"/>
    <w:rsid w:val="003E6CB5"/>
    <w:rsid w:val="003E739F"/>
    <w:rsid w:val="003F3DAB"/>
    <w:rsid w:val="003F5B76"/>
    <w:rsid w:val="00404D8D"/>
    <w:rsid w:val="00412B1A"/>
    <w:rsid w:val="00414971"/>
    <w:rsid w:val="00420A66"/>
    <w:rsid w:val="00420D22"/>
    <w:rsid w:val="004268C2"/>
    <w:rsid w:val="00432876"/>
    <w:rsid w:val="0043374F"/>
    <w:rsid w:val="004338CA"/>
    <w:rsid w:val="004473DE"/>
    <w:rsid w:val="004508D9"/>
    <w:rsid w:val="00451D2C"/>
    <w:rsid w:val="00457618"/>
    <w:rsid w:val="00471515"/>
    <w:rsid w:val="004728A6"/>
    <w:rsid w:val="00476DAF"/>
    <w:rsid w:val="0048570F"/>
    <w:rsid w:val="00495401"/>
    <w:rsid w:val="004A2998"/>
    <w:rsid w:val="004A4E3B"/>
    <w:rsid w:val="004A6C36"/>
    <w:rsid w:val="004B2885"/>
    <w:rsid w:val="004B3408"/>
    <w:rsid w:val="004B3766"/>
    <w:rsid w:val="004B731D"/>
    <w:rsid w:val="004B7F00"/>
    <w:rsid w:val="004C1633"/>
    <w:rsid w:val="004C7418"/>
    <w:rsid w:val="004D3240"/>
    <w:rsid w:val="004D5222"/>
    <w:rsid w:val="004D779F"/>
    <w:rsid w:val="004E46D3"/>
    <w:rsid w:val="004E57FC"/>
    <w:rsid w:val="004E5F43"/>
    <w:rsid w:val="004F293B"/>
    <w:rsid w:val="004F3F93"/>
    <w:rsid w:val="004F5D3A"/>
    <w:rsid w:val="004F7FCD"/>
    <w:rsid w:val="0050047E"/>
    <w:rsid w:val="0051330D"/>
    <w:rsid w:val="0052205B"/>
    <w:rsid w:val="00522146"/>
    <w:rsid w:val="00522BA5"/>
    <w:rsid w:val="005244D4"/>
    <w:rsid w:val="00532AE0"/>
    <w:rsid w:val="00541972"/>
    <w:rsid w:val="00542498"/>
    <w:rsid w:val="00545975"/>
    <w:rsid w:val="005544EE"/>
    <w:rsid w:val="00554CA7"/>
    <w:rsid w:val="00554E68"/>
    <w:rsid w:val="00563D93"/>
    <w:rsid w:val="0056760B"/>
    <w:rsid w:val="005770CC"/>
    <w:rsid w:val="00581CB8"/>
    <w:rsid w:val="00583A9C"/>
    <w:rsid w:val="0059084C"/>
    <w:rsid w:val="00591325"/>
    <w:rsid w:val="005A3513"/>
    <w:rsid w:val="005A5444"/>
    <w:rsid w:val="005B1E8F"/>
    <w:rsid w:val="005B6BA2"/>
    <w:rsid w:val="005B6C99"/>
    <w:rsid w:val="005C3508"/>
    <w:rsid w:val="005C51C2"/>
    <w:rsid w:val="005C7D27"/>
    <w:rsid w:val="005D2342"/>
    <w:rsid w:val="005D256E"/>
    <w:rsid w:val="005E0D99"/>
    <w:rsid w:val="005F5076"/>
    <w:rsid w:val="00601DD8"/>
    <w:rsid w:val="00603052"/>
    <w:rsid w:val="0061495F"/>
    <w:rsid w:val="00614BFD"/>
    <w:rsid w:val="0061659A"/>
    <w:rsid w:val="00630E6E"/>
    <w:rsid w:val="00640CC5"/>
    <w:rsid w:val="00643B5F"/>
    <w:rsid w:val="006516B8"/>
    <w:rsid w:val="00653679"/>
    <w:rsid w:val="00654A33"/>
    <w:rsid w:val="006550D1"/>
    <w:rsid w:val="00663308"/>
    <w:rsid w:val="006725E4"/>
    <w:rsid w:val="006743DE"/>
    <w:rsid w:val="0068407C"/>
    <w:rsid w:val="00691FC4"/>
    <w:rsid w:val="00692379"/>
    <w:rsid w:val="006A2244"/>
    <w:rsid w:val="006A7361"/>
    <w:rsid w:val="006A77B8"/>
    <w:rsid w:val="006B616E"/>
    <w:rsid w:val="006C0052"/>
    <w:rsid w:val="006C119A"/>
    <w:rsid w:val="006C6FDD"/>
    <w:rsid w:val="006E4DB3"/>
    <w:rsid w:val="00707DD4"/>
    <w:rsid w:val="00713803"/>
    <w:rsid w:val="007146A1"/>
    <w:rsid w:val="007174B3"/>
    <w:rsid w:val="00721F18"/>
    <w:rsid w:val="007251F9"/>
    <w:rsid w:val="00725B11"/>
    <w:rsid w:val="007334DB"/>
    <w:rsid w:val="0073661A"/>
    <w:rsid w:val="0074394D"/>
    <w:rsid w:val="00754B69"/>
    <w:rsid w:val="00755457"/>
    <w:rsid w:val="0075705E"/>
    <w:rsid w:val="00760F32"/>
    <w:rsid w:val="007635F2"/>
    <w:rsid w:val="0076467E"/>
    <w:rsid w:val="0077312C"/>
    <w:rsid w:val="00774531"/>
    <w:rsid w:val="00777D10"/>
    <w:rsid w:val="007802DA"/>
    <w:rsid w:val="007840BD"/>
    <w:rsid w:val="0078448E"/>
    <w:rsid w:val="00785C59"/>
    <w:rsid w:val="00786DDC"/>
    <w:rsid w:val="00790288"/>
    <w:rsid w:val="007907BA"/>
    <w:rsid w:val="00792A39"/>
    <w:rsid w:val="00793117"/>
    <w:rsid w:val="00795F49"/>
    <w:rsid w:val="007A496D"/>
    <w:rsid w:val="007B3BA9"/>
    <w:rsid w:val="007B591D"/>
    <w:rsid w:val="007B7CAD"/>
    <w:rsid w:val="007D332A"/>
    <w:rsid w:val="007E1D01"/>
    <w:rsid w:val="007E4EA5"/>
    <w:rsid w:val="007E7390"/>
    <w:rsid w:val="007F0491"/>
    <w:rsid w:val="007F3328"/>
    <w:rsid w:val="007F4C8A"/>
    <w:rsid w:val="00804C67"/>
    <w:rsid w:val="008116C5"/>
    <w:rsid w:val="00813472"/>
    <w:rsid w:val="00813FC9"/>
    <w:rsid w:val="0081583D"/>
    <w:rsid w:val="0081683F"/>
    <w:rsid w:val="008260AA"/>
    <w:rsid w:val="00831E52"/>
    <w:rsid w:val="00836A14"/>
    <w:rsid w:val="008405C3"/>
    <w:rsid w:val="00855B92"/>
    <w:rsid w:val="0085618A"/>
    <w:rsid w:val="0086335A"/>
    <w:rsid w:val="00864A31"/>
    <w:rsid w:val="00882879"/>
    <w:rsid w:val="00894D38"/>
    <w:rsid w:val="008A1676"/>
    <w:rsid w:val="008C1AE0"/>
    <w:rsid w:val="008C7606"/>
    <w:rsid w:val="008D0471"/>
    <w:rsid w:val="008E2D21"/>
    <w:rsid w:val="008E4708"/>
    <w:rsid w:val="008E753D"/>
    <w:rsid w:val="009006FF"/>
    <w:rsid w:val="00901669"/>
    <w:rsid w:val="00902FCF"/>
    <w:rsid w:val="0090503D"/>
    <w:rsid w:val="00915BED"/>
    <w:rsid w:val="009178AE"/>
    <w:rsid w:val="00921027"/>
    <w:rsid w:val="0092344F"/>
    <w:rsid w:val="00925638"/>
    <w:rsid w:val="009267F4"/>
    <w:rsid w:val="00932925"/>
    <w:rsid w:val="00935201"/>
    <w:rsid w:val="00943338"/>
    <w:rsid w:val="009434D3"/>
    <w:rsid w:val="00951016"/>
    <w:rsid w:val="00954DD5"/>
    <w:rsid w:val="00957C1A"/>
    <w:rsid w:val="00960011"/>
    <w:rsid w:val="009614FF"/>
    <w:rsid w:val="0096161D"/>
    <w:rsid w:val="009624AD"/>
    <w:rsid w:val="00963F9F"/>
    <w:rsid w:val="009666B2"/>
    <w:rsid w:val="0097072C"/>
    <w:rsid w:val="0097116C"/>
    <w:rsid w:val="00971CE8"/>
    <w:rsid w:val="009A0303"/>
    <w:rsid w:val="009B2C1D"/>
    <w:rsid w:val="009B52C2"/>
    <w:rsid w:val="009B65CA"/>
    <w:rsid w:val="009C4948"/>
    <w:rsid w:val="009C5231"/>
    <w:rsid w:val="009C76B0"/>
    <w:rsid w:val="009D0C73"/>
    <w:rsid w:val="009D3CA5"/>
    <w:rsid w:val="009D61B1"/>
    <w:rsid w:val="009D6CE4"/>
    <w:rsid w:val="009E52D5"/>
    <w:rsid w:val="009E7DC1"/>
    <w:rsid w:val="009F14E3"/>
    <w:rsid w:val="009F31D7"/>
    <w:rsid w:val="009F5AD9"/>
    <w:rsid w:val="00A11E7D"/>
    <w:rsid w:val="00A129C7"/>
    <w:rsid w:val="00A14FCA"/>
    <w:rsid w:val="00A178C1"/>
    <w:rsid w:val="00A17F79"/>
    <w:rsid w:val="00A23328"/>
    <w:rsid w:val="00A25357"/>
    <w:rsid w:val="00A25CC3"/>
    <w:rsid w:val="00A27CEE"/>
    <w:rsid w:val="00A27FEA"/>
    <w:rsid w:val="00A32E21"/>
    <w:rsid w:val="00A346EC"/>
    <w:rsid w:val="00A35B93"/>
    <w:rsid w:val="00A44D0D"/>
    <w:rsid w:val="00A46922"/>
    <w:rsid w:val="00A47960"/>
    <w:rsid w:val="00A5126A"/>
    <w:rsid w:val="00A5184E"/>
    <w:rsid w:val="00A52FD0"/>
    <w:rsid w:val="00A57B1D"/>
    <w:rsid w:val="00A64C2F"/>
    <w:rsid w:val="00A70785"/>
    <w:rsid w:val="00A71593"/>
    <w:rsid w:val="00A7391A"/>
    <w:rsid w:val="00A8001F"/>
    <w:rsid w:val="00A84678"/>
    <w:rsid w:val="00A879CB"/>
    <w:rsid w:val="00AB1B94"/>
    <w:rsid w:val="00AB4BAC"/>
    <w:rsid w:val="00AB5BB4"/>
    <w:rsid w:val="00AB762C"/>
    <w:rsid w:val="00AC7076"/>
    <w:rsid w:val="00AC7B32"/>
    <w:rsid w:val="00AD0BB8"/>
    <w:rsid w:val="00AD74E4"/>
    <w:rsid w:val="00AE0E0A"/>
    <w:rsid w:val="00AE6A65"/>
    <w:rsid w:val="00AE6B2F"/>
    <w:rsid w:val="00B13213"/>
    <w:rsid w:val="00B152A7"/>
    <w:rsid w:val="00B15315"/>
    <w:rsid w:val="00B17D9A"/>
    <w:rsid w:val="00B25BB4"/>
    <w:rsid w:val="00B25BF5"/>
    <w:rsid w:val="00B40984"/>
    <w:rsid w:val="00B41A53"/>
    <w:rsid w:val="00B42171"/>
    <w:rsid w:val="00B475DC"/>
    <w:rsid w:val="00B60DCA"/>
    <w:rsid w:val="00B625BB"/>
    <w:rsid w:val="00B62DFA"/>
    <w:rsid w:val="00B65AD5"/>
    <w:rsid w:val="00B745C1"/>
    <w:rsid w:val="00B81DFB"/>
    <w:rsid w:val="00B84AF9"/>
    <w:rsid w:val="00B9713C"/>
    <w:rsid w:val="00BA00FC"/>
    <w:rsid w:val="00BA09C3"/>
    <w:rsid w:val="00BA1DA5"/>
    <w:rsid w:val="00BC195C"/>
    <w:rsid w:val="00BC21D2"/>
    <w:rsid w:val="00BC62E7"/>
    <w:rsid w:val="00BD4520"/>
    <w:rsid w:val="00BE2F05"/>
    <w:rsid w:val="00BE515C"/>
    <w:rsid w:val="00BF1F6A"/>
    <w:rsid w:val="00C00C11"/>
    <w:rsid w:val="00C1021D"/>
    <w:rsid w:val="00C132BA"/>
    <w:rsid w:val="00C2057B"/>
    <w:rsid w:val="00C25496"/>
    <w:rsid w:val="00C26062"/>
    <w:rsid w:val="00C33368"/>
    <w:rsid w:val="00C42BB8"/>
    <w:rsid w:val="00C453D2"/>
    <w:rsid w:val="00C45764"/>
    <w:rsid w:val="00C50515"/>
    <w:rsid w:val="00C50EEC"/>
    <w:rsid w:val="00C52922"/>
    <w:rsid w:val="00C566FF"/>
    <w:rsid w:val="00C60247"/>
    <w:rsid w:val="00C6159B"/>
    <w:rsid w:val="00C620C6"/>
    <w:rsid w:val="00C62CED"/>
    <w:rsid w:val="00C669B2"/>
    <w:rsid w:val="00C77EB1"/>
    <w:rsid w:val="00C87A99"/>
    <w:rsid w:val="00C9678A"/>
    <w:rsid w:val="00CA600B"/>
    <w:rsid w:val="00CA6E92"/>
    <w:rsid w:val="00CB2B71"/>
    <w:rsid w:val="00CC1F47"/>
    <w:rsid w:val="00CC52BC"/>
    <w:rsid w:val="00CD1722"/>
    <w:rsid w:val="00CD42AF"/>
    <w:rsid w:val="00CD60B1"/>
    <w:rsid w:val="00CE2968"/>
    <w:rsid w:val="00CF2C0C"/>
    <w:rsid w:val="00D1024F"/>
    <w:rsid w:val="00D11596"/>
    <w:rsid w:val="00D132E5"/>
    <w:rsid w:val="00D13B8A"/>
    <w:rsid w:val="00D271A0"/>
    <w:rsid w:val="00D32990"/>
    <w:rsid w:val="00D329BA"/>
    <w:rsid w:val="00D33D0F"/>
    <w:rsid w:val="00D37631"/>
    <w:rsid w:val="00D52173"/>
    <w:rsid w:val="00D56F59"/>
    <w:rsid w:val="00D579DB"/>
    <w:rsid w:val="00D6216A"/>
    <w:rsid w:val="00D71181"/>
    <w:rsid w:val="00D77E2E"/>
    <w:rsid w:val="00D83E32"/>
    <w:rsid w:val="00D87C2F"/>
    <w:rsid w:val="00D93E8A"/>
    <w:rsid w:val="00DA03E0"/>
    <w:rsid w:val="00DA32A9"/>
    <w:rsid w:val="00DB050F"/>
    <w:rsid w:val="00DB46C6"/>
    <w:rsid w:val="00DB5296"/>
    <w:rsid w:val="00DC13DF"/>
    <w:rsid w:val="00DC5FF1"/>
    <w:rsid w:val="00DD1926"/>
    <w:rsid w:val="00DD1ACF"/>
    <w:rsid w:val="00DE052A"/>
    <w:rsid w:val="00DE12CB"/>
    <w:rsid w:val="00DF416A"/>
    <w:rsid w:val="00E032EA"/>
    <w:rsid w:val="00E069B3"/>
    <w:rsid w:val="00E11649"/>
    <w:rsid w:val="00E1699F"/>
    <w:rsid w:val="00E2561E"/>
    <w:rsid w:val="00E26ED9"/>
    <w:rsid w:val="00E3326E"/>
    <w:rsid w:val="00E35230"/>
    <w:rsid w:val="00E35540"/>
    <w:rsid w:val="00E35D59"/>
    <w:rsid w:val="00E37177"/>
    <w:rsid w:val="00E42447"/>
    <w:rsid w:val="00E45C5E"/>
    <w:rsid w:val="00E4674A"/>
    <w:rsid w:val="00E46759"/>
    <w:rsid w:val="00E51A55"/>
    <w:rsid w:val="00E53DFA"/>
    <w:rsid w:val="00E657E3"/>
    <w:rsid w:val="00E71C2B"/>
    <w:rsid w:val="00E71DAD"/>
    <w:rsid w:val="00E8083A"/>
    <w:rsid w:val="00E84381"/>
    <w:rsid w:val="00E86804"/>
    <w:rsid w:val="00E978B3"/>
    <w:rsid w:val="00EA0384"/>
    <w:rsid w:val="00EA4239"/>
    <w:rsid w:val="00EA553C"/>
    <w:rsid w:val="00EA5B53"/>
    <w:rsid w:val="00EA7804"/>
    <w:rsid w:val="00EC68A3"/>
    <w:rsid w:val="00EE2C4C"/>
    <w:rsid w:val="00EE797C"/>
    <w:rsid w:val="00EE7AB3"/>
    <w:rsid w:val="00EE7C08"/>
    <w:rsid w:val="00EF2076"/>
    <w:rsid w:val="00EF7FD1"/>
    <w:rsid w:val="00F01B2C"/>
    <w:rsid w:val="00F068BE"/>
    <w:rsid w:val="00F10C36"/>
    <w:rsid w:val="00F11C1B"/>
    <w:rsid w:val="00F11E8B"/>
    <w:rsid w:val="00F159CA"/>
    <w:rsid w:val="00F25A9B"/>
    <w:rsid w:val="00F25C88"/>
    <w:rsid w:val="00F3556B"/>
    <w:rsid w:val="00F375FB"/>
    <w:rsid w:val="00F452D9"/>
    <w:rsid w:val="00F5371D"/>
    <w:rsid w:val="00F56EB4"/>
    <w:rsid w:val="00F62B1E"/>
    <w:rsid w:val="00F63FD4"/>
    <w:rsid w:val="00F67218"/>
    <w:rsid w:val="00F700DC"/>
    <w:rsid w:val="00F721A5"/>
    <w:rsid w:val="00F80C14"/>
    <w:rsid w:val="00F87E05"/>
    <w:rsid w:val="00F914E0"/>
    <w:rsid w:val="00F92037"/>
    <w:rsid w:val="00F9305D"/>
    <w:rsid w:val="00F97CB5"/>
    <w:rsid w:val="00FA0859"/>
    <w:rsid w:val="00FA288E"/>
    <w:rsid w:val="00FB1C59"/>
    <w:rsid w:val="00FB4393"/>
    <w:rsid w:val="00FD5570"/>
    <w:rsid w:val="00FD61FC"/>
    <w:rsid w:val="00FE3CD0"/>
    <w:rsid w:val="00FE4C15"/>
    <w:rsid w:val="00FE4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referred"/>
    <w:qFormat/>
    <w:rsid w:val="00B42171"/>
    <w:rPr>
      <w:rFonts w:ascii="Times New Roman" w:hAnsi="Times New Roman"/>
      <w:sz w:val="24"/>
    </w:rPr>
  </w:style>
  <w:style w:type="paragraph" w:styleId="Heading1">
    <w:name w:val="heading 1"/>
    <w:basedOn w:val="Normal"/>
    <w:next w:val="Normal"/>
    <w:link w:val="Heading1Char"/>
    <w:autoRedefine/>
    <w:uiPriority w:val="9"/>
    <w:qFormat/>
    <w:rsid w:val="001420B4"/>
    <w:pPr>
      <w:keepNext/>
      <w:keepLines/>
      <w:numPr>
        <w:numId w:val="11"/>
      </w:numPr>
      <w:spacing w:before="360" w:after="240" w:line="240" w:lineRule="auto"/>
      <w:ind w:hanging="720"/>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EA7804"/>
    <w:pPr>
      <w:keepNext/>
      <w:keepLines/>
      <w:numPr>
        <w:numId w:val="10"/>
      </w:numPr>
      <w:spacing w:before="360" w:after="240" w:line="240" w:lineRule="auto"/>
      <w:ind w:right="720" w:hanging="720"/>
      <w:outlineLvl w:val="1"/>
    </w:pPr>
    <w:rPr>
      <w:rFonts w:eastAsiaTheme="majorEastAsia" w:cs="Times New Roman"/>
      <w:b/>
      <w:bCs/>
      <w:sz w:val="28"/>
      <w:szCs w:val="28"/>
    </w:rPr>
  </w:style>
  <w:style w:type="paragraph" w:styleId="Heading3">
    <w:name w:val="heading 3"/>
    <w:basedOn w:val="Normal"/>
    <w:next w:val="Normal"/>
    <w:link w:val="Heading3Char"/>
    <w:autoRedefine/>
    <w:uiPriority w:val="9"/>
    <w:unhideWhenUsed/>
    <w:qFormat/>
    <w:rsid w:val="00792A39"/>
    <w:pPr>
      <w:keepNext/>
      <w:keepLines/>
      <w:spacing w:before="360" w:after="240" w:line="240" w:lineRule="auto"/>
      <w:ind w:left="2160" w:right="1440" w:hanging="720"/>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textstyle"/>
    <w:autoRedefine/>
    <w:rsid w:val="00B42171"/>
    <w:pPr>
      <w:spacing w:after="260" w:line="240" w:lineRule="auto"/>
      <w:ind w:left="1440" w:right="1440"/>
    </w:pPr>
  </w:style>
  <w:style w:type="paragraph" w:styleId="FootnoteText">
    <w:name w:val="footnote text"/>
    <w:basedOn w:val="Normal"/>
    <w:link w:val="FootnoteTextChar"/>
    <w:autoRedefine/>
    <w:uiPriority w:val="99"/>
    <w:unhideWhenUsed/>
    <w:rsid w:val="00EA7804"/>
    <w:pPr>
      <w:spacing w:before="240" w:after="240" w:line="240" w:lineRule="auto"/>
      <w:ind w:left="720" w:hanging="720"/>
    </w:pPr>
    <w:rPr>
      <w:rFonts w:cs="Arial"/>
      <w:szCs w:val="20"/>
    </w:rPr>
  </w:style>
  <w:style w:type="character" w:customStyle="1" w:styleId="FootnoteTextChar">
    <w:name w:val="Footnote Text Char"/>
    <w:basedOn w:val="DefaultParagraphFont"/>
    <w:link w:val="FootnoteText"/>
    <w:uiPriority w:val="99"/>
    <w:rsid w:val="00EA7804"/>
    <w:rPr>
      <w:rFonts w:ascii="Times New Roman" w:hAnsi="Times New Roman" w:cs="Arial"/>
      <w:sz w:val="24"/>
      <w:szCs w:val="20"/>
    </w:rPr>
  </w:style>
  <w:style w:type="character" w:styleId="FootnoteReference">
    <w:name w:val="footnote reference"/>
    <w:basedOn w:val="DefaultParagraphFont"/>
    <w:uiPriority w:val="99"/>
    <w:semiHidden/>
    <w:unhideWhenUsed/>
    <w:rsid w:val="00334569"/>
    <w:rPr>
      <w:vertAlign w:val="superscript"/>
    </w:rPr>
  </w:style>
  <w:style w:type="paragraph" w:customStyle="1" w:styleId="SignatureStyle">
    <w:name w:val="Signature Style"/>
    <w:basedOn w:val="Normal"/>
    <w:qFormat/>
    <w:rsid w:val="00B42171"/>
    <w:pPr>
      <w:tabs>
        <w:tab w:val="left" w:pos="9360"/>
      </w:tabs>
      <w:spacing w:after="0" w:line="240" w:lineRule="auto"/>
      <w:ind w:left="4320"/>
    </w:pPr>
    <w:rPr>
      <w:rFonts w:ascii="Viner Hand ITC" w:hAnsi="Viner Hand ITC" w:cs="Arial"/>
      <w:sz w:val="32"/>
      <w:szCs w:val="32"/>
      <w:u w:val="single"/>
    </w:rPr>
  </w:style>
  <w:style w:type="character" w:styleId="Hyperlink">
    <w:name w:val="Hyperlink"/>
    <w:basedOn w:val="DefaultParagraphFont"/>
    <w:uiPriority w:val="99"/>
    <w:unhideWhenUsed/>
    <w:rsid w:val="00813472"/>
    <w:rPr>
      <w:color w:val="0000FF"/>
      <w:u w:val="single"/>
    </w:rPr>
  </w:style>
  <w:style w:type="paragraph" w:styleId="Header">
    <w:name w:val="header"/>
    <w:basedOn w:val="Normal"/>
    <w:link w:val="HeaderChar"/>
    <w:uiPriority w:val="99"/>
    <w:unhideWhenUsed/>
    <w:rsid w:val="00B65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AD5"/>
    <w:rPr>
      <w:rFonts w:ascii="Times New Roman" w:hAnsi="Times New Roman"/>
      <w:sz w:val="24"/>
    </w:rPr>
  </w:style>
  <w:style w:type="paragraph" w:styleId="Footer">
    <w:name w:val="footer"/>
    <w:basedOn w:val="Normal"/>
    <w:link w:val="FooterChar"/>
    <w:uiPriority w:val="99"/>
    <w:unhideWhenUsed/>
    <w:rsid w:val="00B65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AD5"/>
    <w:rPr>
      <w:rFonts w:ascii="Times New Roman" w:hAnsi="Times New Roman"/>
      <w:sz w:val="24"/>
    </w:rPr>
  </w:style>
  <w:style w:type="paragraph" w:styleId="BalloonText">
    <w:name w:val="Balloon Text"/>
    <w:basedOn w:val="Normal"/>
    <w:link w:val="BalloonTextChar"/>
    <w:uiPriority w:val="99"/>
    <w:semiHidden/>
    <w:unhideWhenUsed/>
    <w:rsid w:val="00B65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AD5"/>
    <w:rPr>
      <w:rFonts w:ascii="Tahoma" w:hAnsi="Tahoma" w:cs="Tahoma"/>
      <w:sz w:val="16"/>
      <w:szCs w:val="16"/>
    </w:rPr>
  </w:style>
  <w:style w:type="table" w:styleId="TableGrid">
    <w:name w:val="Table Grid"/>
    <w:basedOn w:val="TableNormal"/>
    <w:uiPriority w:val="59"/>
    <w:rsid w:val="007A49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420B4"/>
    <w:rPr>
      <w:rFonts w:ascii="Times New Roman" w:eastAsiaTheme="majorEastAsia" w:hAnsi="Times New Roman" w:cstheme="majorBidi"/>
      <w:b/>
      <w:bCs/>
      <w:sz w:val="28"/>
      <w:szCs w:val="28"/>
    </w:rPr>
  </w:style>
  <w:style w:type="paragraph" w:customStyle="1" w:styleId="textstyle">
    <w:name w:val="text style"/>
    <w:basedOn w:val="Normal"/>
    <w:autoRedefine/>
    <w:rsid w:val="00EA7804"/>
    <w:pPr>
      <w:spacing w:after="0" w:line="480" w:lineRule="auto"/>
    </w:pPr>
    <w:rPr>
      <w:rFonts w:cs="Times New Roman"/>
      <w:sz w:val="26"/>
      <w:szCs w:val="26"/>
    </w:rPr>
  </w:style>
  <w:style w:type="character" w:customStyle="1" w:styleId="Heading2Char">
    <w:name w:val="Heading 2 Char"/>
    <w:basedOn w:val="DefaultParagraphFont"/>
    <w:link w:val="Heading2"/>
    <w:uiPriority w:val="9"/>
    <w:rsid w:val="00EA7804"/>
    <w:rPr>
      <w:rFonts w:ascii="Times New Roman" w:eastAsiaTheme="majorEastAsia" w:hAnsi="Times New Roman" w:cs="Times New Roman"/>
      <w:b/>
      <w:bCs/>
      <w:sz w:val="28"/>
      <w:szCs w:val="28"/>
    </w:rPr>
  </w:style>
  <w:style w:type="paragraph" w:styleId="TOC1">
    <w:name w:val="toc 1"/>
    <w:basedOn w:val="Normal"/>
    <w:next w:val="Normal"/>
    <w:autoRedefine/>
    <w:uiPriority w:val="39"/>
    <w:unhideWhenUsed/>
    <w:rsid w:val="00AD74E4"/>
    <w:pPr>
      <w:tabs>
        <w:tab w:val="right" w:leader="dot" w:pos="9350"/>
      </w:tabs>
      <w:spacing w:before="240" w:after="240" w:line="240" w:lineRule="auto"/>
      <w:ind w:left="720" w:right="1440" w:hanging="720"/>
    </w:pPr>
    <w:rPr>
      <w:sz w:val="26"/>
    </w:rPr>
  </w:style>
  <w:style w:type="paragraph" w:styleId="TOC2">
    <w:name w:val="toc 2"/>
    <w:basedOn w:val="Normal"/>
    <w:next w:val="Normal"/>
    <w:autoRedefine/>
    <w:uiPriority w:val="39"/>
    <w:unhideWhenUsed/>
    <w:rsid w:val="0059084C"/>
    <w:pPr>
      <w:tabs>
        <w:tab w:val="right" w:leader="dot" w:pos="9350"/>
      </w:tabs>
      <w:spacing w:before="240" w:after="240" w:line="240" w:lineRule="auto"/>
      <w:ind w:left="1440" w:right="1440" w:hanging="720"/>
    </w:pPr>
    <w:rPr>
      <w:sz w:val="26"/>
    </w:rPr>
  </w:style>
  <w:style w:type="paragraph" w:styleId="EndnoteText">
    <w:name w:val="endnote text"/>
    <w:basedOn w:val="Normal"/>
    <w:link w:val="EndnoteTextChar"/>
    <w:uiPriority w:val="99"/>
    <w:semiHidden/>
    <w:unhideWhenUsed/>
    <w:rsid w:val="009B65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B65CA"/>
    <w:rPr>
      <w:rFonts w:ascii="Times New Roman" w:hAnsi="Times New Roman"/>
      <w:sz w:val="20"/>
      <w:szCs w:val="20"/>
    </w:rPr>
  </w:style>
  <w:style w:type="character" w:styleId="EndnoteReference">
    <w:name w:val="endnote reference"/>
    <w:basedOn w:val="DefaultParagraphFont"/>
    <w:uiPriority w:val="99"/>
    <w:semiHidden/>
    <w:unhideWhenUsed/>
    <w:rsid w:val="009B65CA"/>
    <w:rPr>
      <w:vertAlign w:val="superscript"/>
    </w:rPr>
  </w:style>
  <w:style w:type="character" w:customStyle="1" w:styleId="Heading3Char">
    <w:name w:val="Heading 3 Char"/>
    <w:basedOn w:val="DefaultParagraphFont"/>
    <w:link w:val="Heading3"/>
    <w:uiPriority w:val="9"/>
    <w:rsid w:val="00792A39"/>
    <w:rPr>
      <w:rFonts w:ascii="Times New Roman" w:eastAsiaTheme="majorEastAsia" w:hAnsi="Times New Roman" w:cstheme="majorBidi"/>
      <w:b/>
      <w:bC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referred"/>
    <w:qFormat/>
    <w:rsid w:val="00B42171"/>
    <w:rPr>
      <w:rFonts w:ascii="Times New Roman" w:hAnsi="Times New Roman"/>
      <w:sz w:val="24"/>
    </w:rPr>
  </w:style>
  <w:style w:type="paragraph" w:styleId="Heading1">
    <w:name w:val="heading 1"/>
    <w:basedOn w:val="Normal"/>
    <w:next w:val="Normal"/>
    <w:link w:val="Heading1Char"/>
    <w:autoRedefine/>
    <w:uiPriority w:val="9"/>
    <w:qFormat/>
    <w:rsid w:val="001420B4"/>
    <w:pPr>
      <w:keepNext/>
      <w:keepLines/>
      <w:numPr>
        <w:numId w:val="11"/>
      </w:numPr>
      <w:spacing w:before="360" w:after="240" w:line="240" w:lineRule="auto"/>
      <w:ind w:hanging="720"/>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EA7804"/>
    <w:pPr>
      <w:keepNext/>
      <w:keepLines/>
      <w:numPr>
        <w:numId w:val="10"/>
      </w:numPr>
      <w:spacing w:before="360" w:after="240" w:line="240" w:lineRule="auto"/>
      <w:ind w:right="720" w:hanging="720"/>
      <w:outlineLvl w:val="1"/>
    </w:pPr>
    <w:rPr>
      <w:rFonts w:eastAsiaTheme="majorEastAsia" w:cs="Times New Roman"/>
      <w:b/>
      <w:bCs/>
      <w:sz w:val="28"/>
      <w:szCs w:val="28"/>
    </w:rPr>
  </w:style>
  <w:style w:type="paragraph" w:styleId="Heading3">
    <w:name w:val="heading 3"/>
    <w:basedOn w:val="Normal"/>
    <w:next w:val="Normal"/>
    <w:link w:val="Heading3Char"/>
    <w:autoRedefine/>
    <w:uiPriority w:val="9"/>
    <w:unhideWhenUsed/>
    <w:qFormat/>
    <w:rsid w:val="00792A39"/>
    <w:pPr>
      <w:keepNext/>
      <w:keepLines/>
      <w:spacing w:before="360" w:after="240" w:line="240" w:lineRule="auto"/>
      <w:ind w:left="2160" w:right="1440" w:hanging="720"/>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textstyle"/>
    <w:autoRedefine/>
    <w:rsid w:val="00B42171"/>
    <w:pPr>
      <w:spacing w:after="260" w:line="240" w:lineRule="auto"/>
      <w:ind w:left="1440" w:right="1440"/>
    </w:pPr>
  </w:style>
  <w:style w:type="paragraph" w:styleId="FootnoteText">
    <w:name w:val="footnote text"/>
    <w:basedOn w:val="Normal"/>
    <w:link w:val="FootnoteTextChar"/>
    <w:autoRedefine/>
    <w:uiPriority w:val="99"/>
    <w:unhideWhenUsed/>
    <w:rsid w:val="00EA7804"/>
    <w:pPr>
      <w:spacing w:before="240" w:after="240" w:line="240" w:lineRule="auto"/>
      <w:ind w:left="720" w:hanging="720"/>
    </w:pPr>
    <w:rPr>
      <w:rFonts w:cs="Arial"/>
      <w:szCs w:val="20"/>
    </w:rPr>
  </w:style>
  <w:style w:type="character" w:customStyle="1" w:styleId="FootnoteTextChar">
    <w:name w:val="Footnote Text Char"/>
    <w:basedOn w:val="DefaultParagraphFont"/>
    <w:link w:val="FootnoteText"/>
    <w:uiPriority w:val="99"/>
    <w:rsid w:val="00EA7804"/>
    <w:rPr>
      <w:rFonts w:ascii="Times New Roman" w:hAnsi="Times New Roman" w:cs="Arial"/>
      <w:sz w:val="24"/>
      <w:szCs w:val="20"/>
    </w:rPr>
  </w:style>
  <w:style w:type="character" w:styleId="FootnoteReference">
    <w:name w:val="footnote reference"/>
    <w:basedOn w:val="DefaultParagraphFont"/>
    <w:uiPriority w:val="99"/>
    <w:semiHidden/>
    <w:unhideWhenUsed/>
    <w:rsid w:val="00334569"/>
    <w:rPr>
      <w:vertAlign w:val="superscript"/>
    </w:rPr>
  </w:style>
  <w:style w:type="paragraph" w:customStyle="1" w:styleId="SignatureStyle">
    <w:name w:val="Signature Style"/>
    <w:basedOn w:val="Normal"/>
    <w:qFormat/>
    <w:rsid w:val="00B42171"/>
    <w:pPr>
      <w:tabs>
        <w:tab w:val="left" w:pos="9360"/>
      </w:tabs>
      <w:spacing w:after="0" w:line="240" w:lineRule="auto"/>
      <w:ind w:left="4320"/>
    </w:pPr>
    <w:rPr>
      <w:rFonts w:ascii="Viner Hand ITC" w:hAnsi="Viner Hand ITC" w:cs="Arial"/>
      <w:sz w:val="32"/>
      <w:szCs w:val="32"/>
      <w:u w:val="single"/>
    </w:rPr>
  </w:style>
  <w:style w:type="character" w:styleId="Hyperlink">
    <w:name w:val="Hyperlink"/>
    <w:basedOn w:val="DefaultParagraphFont"/>
    <w:uiPriority w:val="99"/>
    <w:unhideWhenUsed/>
    <w:rsid w:val="00813472"/>
    <w:rPr>
      <w:color w:val="0000FF"/>
      <w:u w:val="single"/>
    </w:rPr>
  </w:style>
  <w:style w:type="paragraph" w:styleId="Header">
    <w:name w:val="header"/>
    <w:basedOn w:val="Normal"/>
    <w:link w:val="HeaderChar"/>
    <w:uiPriority w:val="99"/>
    <w:unhideWhenUsed/>
    <w:rsid w:val="00B65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AD5"/>
    <w:rPr>
      <w:rFonts w:ascii="Times New Roman" w:hAnsi="Times New Roman"/>
      <w:sz w:val="24"/>
    </w:rPr>
  </w:style>
  <w:style w:type="paragraph" w:styleId="Footer">
    <w:name w:val="footer"/>
    <w:basedOn w:val="Normal"/>
    <w:link w:val="FooterChar"/>
    <w:uiPriority w:val="99"/>
    <w:unhideWhenUsed/>
    <w:rsid w:val="00B65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AD5"/>
    <w:rPr>
      <w:rFonts w:ascii="Times New Roman" w:hAnsi="Times New Roman"/>
      <w:sz w:val="24"/>
    </w:rPr>
  </w:style>
  <w:style w:type="paragraph" w:styleId="BalloonText">
    <w:name w:val="Balloon Text"/>
    <w:basedOn w:val="Normal"/>
    <w:link w:val="BalloonTextChar"/>
    <w:uiPriority w:val="99"/>
    <w:semiHidden/>
    <w:unhideWhenUsed/>
    <w:rsid w:val="00B65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AD5"/>
    <w:rPr>
      <w:rFonts w:ascii="Tahoma" w:hAnsi="Tahoma" w:cs="Tahoma"/>
      <w:sz w:val="16"/>
      <w:szCs w:val="16"/>
    </w:rPr>
  </w:style>
  <w:style w:type="table" w:styleId="TableGrid">
    <w:name w:val="Table Grid"/>
    <w:basedOn w:val="TableNormal"/>
    <w:uiPriority w:val="59"/>
    <w:rsid w:val="007A49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420B4"/>
    <w:rPr>
      <w:rFonts w:ascii="Times New Roman" w:eastAsiaTheme="majorEastAsia" w:hAnsi="Times New Roman" w:cstheme="majorBidi"/>
      <w:b/>
      <w:bCs/>
      <w:sz w:val="28"/>
      <w:szCs w:val="28"/>
    </w:rPr>
  </w:style>
  <w:style w:type="paragraph" w:customStyle="1" w:styleId="textstyle">
    <w:name w:val="text style"/>
    <w:basedOn w:val="Normal"/>
    <w:autoRedefine/>
    <w:rsid w:val="00EA7804"/>
    <w:pPr>
      <w:spacing w:after="0" w:line="480" w:lineRule="auto"/>
    </w:pPr>
    <w:rPr>
      <w:rFonts w:cs="Times New Roman"/>
      <w:sz w:val="26"/>
      <w:szCs w:val="26"/>
    </w:rPr>
  </w:style>
  <w:style w:type="character" w:customStyle="1" w:styleId="Heading2Char">
    <w:name w:val="Heading 2 Char"/>
    <w:basedOn w:val="DefaultParagraphFont"/>
    <w:link w:val="Heading2"/>
    <w:uiPriority w:val="9"/>
    <w:rsid w:val="00EA7804"/>
    <w:rPr>
      <w:rFonts w:ascii="Times New Roman" w:eastAsiaTheme="majorEastAsia" w:hAnsi="Times New Roman" w:cs="Times New Roman"/>
      <w:b/>
      <w:bCs/>
      <w:sz w:val="28"/>
      <w:szCs w:val="28"/>
    </w:rPr>
  </w:style>
  <w:style w:type="paragraph" w:styleId="TOC1">
    <w:name w:val="toc 1"/>
    <w:basedOn w:val="Normal"/>
    <w:next w:val="Normal"/>
    <w:autoRedefine/>
    <w:uiPriority w:val="39"/>
    <w:unhideWhenUsed/>
    <w:rsid w:val="00AD74E4"/>
    <w:pPr>
      <w:tabs>
        <w:tab w:val="right" w:leader="dot" w:pos="9350"/>
      </w:tabs>
      <w:spacing w:before="240" w:after="240" w:line="240" w:lineRule="auto"/>
      <w:ind w:left="720" w:right="1440" w:hanging="720"/>
    </w:pPr>
    <w:rPr>
      <w:sz w:val="26"/>
    </w:rPr>
  </w:style>
  <w:style w:type="paragraph" w:styleId="TOC2">
    <w:name w:val="toc 2"/>
    <w:basedOn w:val="Normal"/>
    <w:next w:val="Normal"/>
    <w:autoRedefine/>
    <w:uiPriority w:val="39"/>
    <w:unhideWhenUsed/>
    <w:rsid w:val="0059084C"/>
    <w:pPr>
      <w:tabs>
        <w:tab w:val="right" w:leader="dot" w:pos="9350"/>
      </w:tabs>
      <w:spacing w:before="240" w:after="240" w:line="240" w:lineRule="auto"/>
      <w:ind w:left="1440" w:right="1440" w:hanging="720"/>
    </w:pPr>
    <w:rPr>
      <w:sz w:val="26"/>
    </w:rPr>
  </w:style>
  <w:style w:type="paragraph" w:styleId="EndnoteText">
    <w:name w:val="endnote text"/>
    <w:basedOn w:val="Normal"/>
    <w:link w:val="EndnoteTextChar"/>
    <w:uiPriority w:val="99"/>
    <w:semiHidden/>
    <w:unhideWhenUsed/>
    <w:rsid w:val="009B65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B65CA"/>
    <w:rPr>
      <w:rFonts w:ascii="Times New Roman" w:hAnsi="Times New Roman"/>
      <w:sz w:val="20"/>
      <w:szCs w:val="20"/>
    </w:rPr>
  </w:style>
  <w:style w:type="character" w:styleId="EndnoteReference">
    <w:name w:val="endnote reference"/>
    <w:basedOn w:val="DefaultParagraphFont"/>
    <w:uiPriority w:val="99"/>
    <w:semiHidden/>
    <w:unhideWhenUsed/>
    <w:rsid w:val="009B65CA"/>
    <w:rPr>
      <w:vertAlign w:val="superscript"/>
    </w:rPr>
  </w:style>
  <w:style w:type="character" w:customStyle="1" w:styleId="Heading3Char">
    <w:name w:val="Heading 3 Char"/>
    <w:basedOn w:val="DefaultParagraphFont"/>
    <w:link w:val="Heading3"/>
    <w:uiPriority w:val="9"/>
    <w:rsid w:val="00792A39"/>
    <w:rPr>
      <w:rFonts w:ascii="Times New Roman" w:eastAsiaTheme="majorEastAsia" w:hAnsi="Times New Roman" w:cstheme="majorBidi"/>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mailto:sauer@occ.state.oh.u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mooney@columbus.rr.com"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serio@occ.state.oh.us"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steven.beeler@puc.state.oh.us" TargetMode="External"/><Relationship Id="rId20" Type="http://schemas.openxmlformats.org/officeDocument/2006/relationships/hyperlink" Target="mailto:campbell@whitt.sturtevan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3.xml"/><Relationship Id="rId10" Type="http://schemas.openxmlformats.org/officeDocument/2006/relationships/hyperlink" Target="mailto:steven.beeler@puc.state.oh.us" TargetMode="External"/><Relationship Id="rId19" Type="http://schemas.openxmlformats.org/officeDocument/2006/relationships/hyperlink" Target="mailto:whitt@whitt-sturtevant.com" TargetMode="External"/><Relationship Id="rId4" Type="http://schemas.microsoft.com/office/2007/relationships/stylesWithEffects" Target="stylesWithEffects.xml"/><Relationship Id="rId9" Type="http://schemas.openxmlformats.org/officeDocument/2006/relationships/hyperlink" Target="mailto:william.wright@puc.state.oh.us" TargetMode="Externa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724DB-A6B8-48F9-8878-650011FF1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5227</Words>
  <Characters>29800</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2012-10-26T15:10:00Z</dcterms:created>
  <dcterms:modified xsi:type="dcterms:W3CDTF">2012-10-26T15:16:00Z</dcterms:modified>
</cp:coreProperties>
</file>