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737A3" w:rsidRPr="00E110EF" w14:paraId="3D75E8B5" w14:textId="77777777">
      <w:pPr>
        <w:pStyle w:val="HTMLPreformatted"/>
        <w:jc w:val="center"/>
        <w:rPr>
          <w:rFonts w:ascii="Times New Roman" w:hAnsi="Times New Roman"/>
          <w:b/>
          <w:bCs/>
          <w:sz w:val="24"/>
          <w:szCs w:val="24"/>
        </w:rPr>
      </w:pPr>
      <w:r w:rsidRPr="00E110EF">
        <w:rPr>
          <w:rFonts w:ascii="Times New Roman" w:hAnsi="Times New Roman"/>
          <w:b/>
          <w:bCs/>
          <w:sz w:val="24"/>
          <w:szCs w:val="24"/>
        </w:rPr>
        <w:t>BEFORE</w:t>
      </w:r>
    </w:p>
    <w:p w:rsidR="007737A3" w:rsidRPr="00E110EF" w14:paraId="6F6D4E7A" w14:textId="77777777">
      <w:pPr>
        <w:pStyle w:val="HTMLPreformatted"/>
        <w:jc w:val="center"/>
        <w:rPr>
          <w:rFonts w:ascii="Times New Roman" w:hAnsi="Times New Roman"/>
          <w:b/>
          <w:bCs/>
          <w:sz w:val="24"/>
          <w:szCs w:val="24"/>
        </w:rPr>
      </w:pPr>
      <w:r w:rsidRPr="00E110EF">
        <w:rPr>
          <w:rFonts w:ascii="Times New Roman" w:hAnsi="Times New Roman"/>
          <w:b/>
          <w:bCs/>
          <w:sz w:val="24"/>
          <w:szCs w:val="24"/>
        </w:rPr>
        <w:t>THE PUBLIC UTILITIES COMMISSION OF OHIO</w:t>
      </w:r>
    </w:p>
    <w:p w:rsidR="007737A3" w:rsidRPr="00E110EF" w14:paraId="4F689FA5" w14:textId="77777777">
      <w:pPr>
        <w:pStyle w:val="HTMLPreformatted"/>
        <w:jc w:val="center"/>
        <w:rPr>
          <w:rFonts w:ascii="Times New Roman" w:hAnsi="Times New Roman"/>
          <w:b/>
          <w:bCs/>
          <w:sz w:val="24"/>
          <w:szCs w:val="24"/>
        </w:rPr>
      </w:pPr>
    </w:p>
    <w:tbl>
      <w:tblPr>
        <w:tblW w:w="9092" w:type="dxa"/>
        <w:tblInd w:w="-90" w:type="dxa"/>
        <w:tblLook w:val="01E0"/>
      </w:tblPr>
      <w:tblGrid>
        <w:gridCol w:w="4332"/>
        <w:gridCol w:w="360"/>
        <w:gridCol w:w="4400"/>
      </w:tblGrid>
      <w:tr w14:paraId="166A282C" w14:textId="77777777" w:rsidTr="0067430B">
        <w:tblPrEx>
          <w:tblW w:w="9092" w:type="dxa"/>
          <w:tblInd w:w="-90" w:type="dxa"/>
          <w:tblLook w:val="01E0"/>
        </w:tblPrEx>
        <w:trPr>
          <w:trHeight w:val="807"/>
        </w:trPr>
        <w:tc>
          <w:tcPr>
            <w:tcW w:w="4332" w:type="dxa"/>
            <w:shd w:val="clear" w:color="auto" w:fill="auto"/>
          </w:tcPr>
          <w:p w:rsidR="00B226BF" w:rsidRPr="00E110EF" w:rsidP="00B226BF" w14:paraId="7BC16A8F" w14:textId="77777777">
            <w:pPr>
              <w:pStyle w:val="HTMLPreformatted"/>
              <w:rPr>
                <w:rFonts w:ascii="Times New Roman" w:hAnsi="Times New Roman"/>
                <w:sz w:val="24"/>
                <w:szCs w:val="24"/>
              </w:rPr>
            </w:pPr>
            <w:r w:rsidRPr="00E110EF">
              <w:rPr>
                <w:rFonts w:ascii="Times New Roman" w:hAnsi="Times New Roman"/>
                <w:sz w:val="24"/>
                <w:szCs w:val="24"/>
              </w:rPr>
              <w:t>In the Matter of the Application of Columbia Gas of Ohio, Inc. for Authority to Amend its Filed Tariffs to Increase the Rates and Charges for Gas Services and Related Matters.</w:t>
            </w:r>
          </w:p>
          <w:p w:rsidR="00B226BF" w:rsidRPr="00E110EF" w:rsidP="00B226BF" w14:paraId="4621E630" w14:textId="77777777">
            <w:pPr>
              <w:pStyle w:val="HTMLPreformatted"/>
              <w:rPr>
                <w:rFonts w:ascii="Times New Roman" w:hAnsi="Times New Roman"/>
                <w:sz w:val="24"/>
                <w:szCs w:val="24"/>
              </w:rPr>
            </w:pPr>
          </w:p>
          <w:p w:rsidR="00B226BF" w:rsidRPr="00E110EF" w:rsidP="00B226BF" w14:paraId="1D888B31" w14:textId="77777777">
            <w:pPr>
              <w:pStyle w:val="HTMLPreformatted"/>
              <w:rPr>
                <w:rFonts w:ascii="Times New Roman" w:hAnsi="Times New Roman"/>
                <w:sz w:val="24"/>
                <w:szCs w:val="24"/>
              </w:rPr>
            </w:pPr>
            <w:r w:rsidRPr="00E110EF">
              <w:rPr>
                <w:rFonts w:ascii="Times New Roman" w:hAnsi="Times New Roman"/>
                <w:sz w:val="24"/>
                <w:szCs w:val="24"/>
              </w:rPr>
              <w:t>In the Matter of the Application of Columbia Gas of Ohio, Inc. for Approval of an Alternative Form of Regulation.</w:t>
            </w:r>
          </w:p>
          <w:p w:rsidR="00B226BF" w:rsidRPr="00E110EF" w:rsidP="00B226BF" w14:paraId="1A50A2C8" w14:textId="77777777">
            <w:pPr>
              <w:pStyle w:val="HTMLPreformatted"/>
              <w:rPr>
                <w:rFonts w:ascii="Times New Roman" w:hAnsi="Times New Roman"/>
                <w:sz w:val="24"/>
                <w:szCs w:val="24"/>
              </w:rPr>
            </w:pPr>
          </w:p>
          <w:p w:rsidR="00B226BF" w:rsidRPr="00E110EF" w:rsidP="00B226BF" w14:paraId="22818D2D" w14:textId="77777777">
            <w:pPr>
              <w:pStyle w:val="HTMLPreformatted"/>
              <w:rPr>
                <w:rFonts w:ascii="Times New Roman" w:hAnsi="Times New Roman"/>
                <w:sz w:val="24"/>
                <w:szCs w:val="24"/>
              </w:rPr>
            </w:pPr>
            <w:r w:rsidRPr="00E110EF">
              <w:rPr>
                <w:rFonts w:ascii="Times New Roman" w:hAnsi="Times New Roman"/>
                <w:sz w:val="24"/>
                <w:szCs w:val="24"/>
              </w:rPr>
              <w:t>In the Matter of the Application of Columbia Gas of Ohio, Inc. for Approval of a Demand Side Management Program for its Residential and Commercial Customers.</w:t>
            </w:r>
          </w:p>
          <w:p w:rsidR="00B226BF" w:rsidRPr="00E110EF" w:rsidP="00B226BF" w14:paraId="5F11CBDD" w14:textId="77777777">
            <w:pPr>
              <w:pStyle w:val="HTMLPreformatted"/>
              <w:rPr>
                <w:rFonts w:ascii="Times New Roman" w:hAnsi="Times New Roman"/>
                <w:sz w:val="24"/>
                <w:szCs w:val="24"/>
              </w:rPr>
            </w:pPr>
          </w:p>
          <w:p w:rsidR="00B226BF" w:rsidRPr="00E110EF" w:rsidP="00B226BF" w14:paraId="48C6D94B" w14:textId="77777777">
            <w:pPr>
              <w:autoSpaceDE w:val="0"/>
              <w:autoSpaceDN w:val="0"/>
              <w:adjustRightInd w:val="0"/>
              <w:rPr>
                <w:szCs w:val="24"/>
              </w:rPr>
            </w:pPr>
            <w:r w:rsidRPr="00E110EF">
              <w:rPr>
                <w:szCs w:val="24"/>
              </w:rPr>
              <w:t>In the Matter of the Application of Columbia Gas of Ohio, Inc. for Approval to Change Accounting Methods.</w:t>
            </w:r>
          </w:p>
        </w:tc>
        <w:tc>
          <w:tcPr>
            <w:tcW w:w="360" w:type="dxa"/>
            <w:shd w:val="clear" w:color="auto" w:fill="auto"/>
          </w:tcPr>
          <w:p w:rsidR="00B226BF" w:rsidRPr="00E110EF" w:rsidP="00B226BF" w14:paraId="0F8ADD54"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5D599324"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506EABB0"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40BD5016"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39B62AF8" w14:textId="77777777">
            <w:pPr>
              <w:pStyle w:val="HTMLPreformatted"/>
              <w:rPr>
                <w:rFonts w:ascii="Times New Roman" w:hAnsi="Times New Roman"/>
                <w:sz w:val="24"/>
                <w:szCs w:val="24"/>
                <w:lang w:val="en-US"/>
              </w:rPr>
            </w:pPr>
            <w:r w:rsidRPr="00E110EF">
              <w:rPr>
                <w:rFonts w:ascii="Times New Roman" w:hAnsi="Times New Roman"/>
                <w:sz w:val="24"/>
                <w:szCs w:val="24"/>
                <w:lang w:val="en-US"/>
              </w:rPr>
              <w:t>)</w:t>
            </w:r>
          </w:p>
          <w:p w:rsidR="00B226BF" w:rsidRPr="00E110EF" w:rsidP="00B226BF" w14:paraId="1C9B30CE" w14:textId="77777777">
            <w:pPr>
              <w:pStyle w:val="HTMLPreformatted"/>
              <w:rPr>
                <w:rFonts w:ascii="Times New Roman" w:hAnsi="Times New Roman"/>
                <w:sz w:val="24"/>
                <w:szCs w:val="24"/>
              </w:rPr>
            </w:pPr>
          </w:p>
          <w:p w:rsidR="00B226BF" w:rsidRPr="00E110EF" w:rsidP="00B226BF" w14:paraId="08AC17F8"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4D20435C"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69C4F816"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446E51C3" w14:textId="77777777">
            <w:pPr>
              <w:pStyle w:val="HTMLPreformatted"/>
              <w:rPr>
                <w:rFonts w:ascii="Times New Roman" w:hAnsi="Times New Roman"/>
                <w:sz w:val="24"/>
                <w:szCs w:val="24"/>
              </w:rPr>
            </w:pPr>
          </w:p>
          <w:p w:rsidR="00B226BF" w:rsidRPr="00E110EF" w:rsidP="00B226BF" w14:paraId="574383A6"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541E6107"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2C7D2EB3"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597544BE"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P="00B226BF" w14:paraId="2C0CCB22" w14:textId="64AA0613">
            <w:pPr>
              <w:pStyle w:val="HTMLPreformatted"/>
              <w:rPr>
                <w:rFonts w:ascii="Times New Roman" w:hAnsi="Times New Roman"/>
                <w:sz w:val="24"/>
                <w:szCs w:val="24"/>
              </w:rPr>
            </w:pPr>
            <w:r w:rsidRPr="00E110EF">
              <w:rPr>
                <w:rFonts w:ascii="Times New Roman" w:hAnsi="Times New Roman"/>
                <w:sz w:val="24"/>
                <w:szCs w:val="24"/>
              </w:rPr>
              <w:t>)</w:t>
            </w:r>
          </w:p>
          <w:p w:rsidR="00584365" w:rsidRPr="00E110EF" w:rsidP="00B226BF" w14:paraId="69B7F100" w14:textId="77777777">
            <w:pPr>
              <w:pStyle w:val="HTMLPreformatted"/>
              <w:rPr>
                <w:rFonts w:ascii="Times New Roman" w:hAnsi="Times New Roman"/>
                <w:sz w:val="24"/>
                <w:szCs w:val="24"/>
              </w:rPr>
            </w:pPr>
          </w:p>
          <w:p w:rsidR="00B226BF" w:rsidRPr="00E110EF" w:rsidP="00B226BF" w14:paraId="01D9A86E"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161F3C9C"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4764EC70" w14:textId="77777777">
            <w:pPr>
              <w:pStyle w:val="HTMLPreformatted"/>
              <w:rPr>
                <w:rFonts w:ascii="Times New Roman" w:hAnsi="Times New Roman"/>
                <w:sz w:val="24"/>
                <w:szCs w:val="24"/>
                <w:lang w:val="en-US"/>
              </w:rPr>
            </w:pPr>
            <w:r w:rsidRPr="00E110EF">
              <w:rPr>
                <w:rFonts w:ascii="Times New Roman" w:hAnsi="Times New Roman"/>
                <w:sz w:val="24"/>
                <w:szCs w:val="24"/>
                <w:lang w:val="en-US"/>
              </w:rPr>
              <w:t>)</w:t>
            </w:r>
          </w:p>
        </w:tc>
        <w:tc>
          <w:tcPr>
            <w:tcW w:w="4400" w:type="dxa"/>
            <w:shd w:val="clear" w:color="auto" w:fill="auto"/>
          </w:tcPr>
          <w:p w:rsidR="00B226BF" w:rsidRPr="00E110EF" w:rsidP="00B226BF" w14:paraId="05CF6546" w14:textId="77777777">
            <w:pPr>
              <w:pStyle w:val="HTMLPreformatted"/>
              <w:rPr>
                <w:rFonts w:ascii="Times New Roman" w:hAnsi="Times New Roman"/>
                <w:sz w:val="24"/>
                <w:szCs w:val="24"/>
              </w:rPr>
            </w:pPr>
          </w:p>
          <w:p w:rsidR="00B226BF" w:rsidRPr="00E110EF" w:rsidP="00B226BF" w14:paraId="006CE714" w14:textId="77777777">
            <w:pPr>
              <w:pStyle w:val="HTMLPreformatted"/>
              <w:rPr>
                <w:rFonts w:ascii="Times New Roman" w:hAnsi="Times New Roman"/>
                <w:sz w:val="24"/>
                <w:szCs w:val="24"/>
              </w:rPr>
            </w:pPr>
            <w:r w:rsidRPr="00E110EF">
              <w:rPr>
                <w:rFonts w:ascii="Times New Roman" w:hAnsi="Times New Roman"/>
                <w:sz w:val="24"/>
                <w:szCs w:val="24"/>
              </w:rPr>
              <w:t>Case No. 21-637-GA-AIR</w:t>
            </w:r>
          </w:p>
          <w:p w:rsidR="00B226BF" w:rsidRPr="00E110EF" w:rsidP="00B226BF" w14:paraId="6CE9AA07" w14:textId="77777777">
            <w:pPr>
              <w:pStyle w:val="HTMLPreformatted"/>
              <w:rPr>
                <w:rFonts w:ascii="Times New Roman" w:hAnsi="Times New Roman"/>
                <w:sz w:val="24"/>
                <w:szCs w:val="24"/>
              </w:rPr>
            </w:pPr>
          </w:p>
          <w:p w:rsidR="00B226BF" w:rsidRPr="00E110EF" w:rsidP="00B226BF" w14:paraId="5B2CBE7C" w14:textId="77777777">
            <w:pPr>
              <w:pStyle w:val="HTMLPreformatted"/>
              <w:rPr>
                <w:rFonts w:ascii="Times New Roman" w:hAnsi="Times New Roman"/>
                <w:sz w:val="24"/>
                <w:szCs w:val="24"/>
              </w:rPr>
            </w:pPr>
          </w:p>
          <w:p w:rsidR="00B226BF" w:rsidRPr="00E110EF" w:rsidP="00B226BF" w14:paraId="5E948EA9" w14:textId="77777777">
            <w:pPr>
              <w:pStyle w:val="HTMLPreformatted"/>
              <w:rPr>
                <w:rFonts w:ascii="Times New Roman" w:hAnsi="Times New Roman"/>
                <w:sz w:val="24"/>
                <w:szCs w:val="24"/>
              </w:rPr>
            </w:pPr>
          </w:p>
          <w:p w:rsidR="00B226BF" w:rsidRPr="00E110EF" w:rsidP="00B226BF" w14:paraId="0431CDA7" w14:textId="77777777">
            <w:pPr>
              <w:pStyle w:val="HTMLPreformatted"/>
              <w:rPr>
                <w:rFonts w:ascii="Times New Roman" w:hAnsi="Times New Roman"/>
                <w:sz w:val="24"/>
                <w:szCs w:val="24"/>
              </w:rPr>
            </w:pPr>
          </w:p>
          <w:p w:rsidR="00B226BF" w:rsidRPr="00E110EF" w:rsidP="00B226BF" w14:paraId="05AB347F" w14:textId="77777777">
            <w:pPr>
              <w:pStyle w:val="HTMLPreformatted"/>
              <w:rPr>
                <w:rFonts w:ascii="Times New Roman" w:hAnsi="Times New Roman"/>
                <w:sz w:val="24"/>
                <w:szCs w:val="24"/>
              </w:rPr>
            </w:pPr>
            <w:r w:rsidRPr="00E110EF">
              <w:rPr>
                <w:rFonts w:ascii="Times New Roman" w:hAnsi="Times New Roman"/>
                <w:sz w:val="24"/>
                <w:szCs w:val="24"/>
              </w:rPr>
              <w:t>Case No. 21-638-GA-ALT</w:t>
            </w:r>
          </w:p>
          <w:p w:rsidR="00B226BF" w:rsidRPr="00E110EF" w:rsidP="00B226BF" w14:paraId="1409A1CA" w14:textId="77777777">
            <w:pPr>
              <w:pStyle w:val="HTMLPreformatted"/>
              <w:rPr>
                <w:rFonts w:ascii="Times New Roman" w:hAnsi="Times New Roman"/>
                <w:sz w:val="24"/>
                <w:szCs w:val="24"/>
              </w:rPr>
            </w:pPr>
          </w:p>
          <w:p w:rsidR="00B226BF" w:rsidRPr="00E110EF" w:rsidP="00B226BF" w14:paraId="509077F5" w14:textId="77777777">
            <w:pPr>
              <w:pStyle w:val="HTMLPreformatted"/>
              <w:rPr>
                <w:rFonts w:ascii="Times New Roman" w:hAnsi="Times New Roman"/>
                <w:sz w:val="24"/>
                <w:szCs w:val="24"/>
              </w:rPr>
            </w:pPr>
          </w:p>
          <w:p w:rsidR="00B226BF" w:rsidRPr="00E110EF" w:rsidP="00B226BF" w14:paraId="5156C6F9" w14:textId="77777777">
            <w:pPr>
              <w:pStyle w:val="HTMLPreformatted"/>
              <w:rPr>
                <w:rFonts w:ascii="Times New Roman" w:hAnsi="Times New Roman"/>
                <w:sz w:val="24"/>
                <w:szCs w:val="24"/>
              </w:rPr>
            </w:pPr>
          </w:p>
          <w:p w:rsidR="00B226BF" w:rsidRPr="00E110EF" w:rsidP="00B226BF" w14:paraId="091C178D" w14:textId="77777777">
            <w:pPr>
              <w:pStyle w:val="HTMLPreformatted"/>
              <w:rPr>
                <w:rFonts w:ascii="Times New Roman" w:hAnsi="Times New Roman"/>
                <w:sz w:val="24"/>
                <w:szCs w:val="24"/>
              </w:rPr>
            </w:pPr>
            <w:r w:rsidRPr="00E110EF">
              <w:rPr>
                <w:rFonts w:ascii="Times New Roman" w:hAnsi="Times New Roman"/>
                <w:sz w:val="24"/>
                <w:szCs w:val="24"/>
              </w:rPr>
              <w:t>Case No. 21-639-GA-UNC</w:t>
            </w:r>
          </w:p>
          <w:p w:rsidR="00B226BF" w:rsidRPr="00E110EF" w:rsidP="00B226BF" w14:paraId="15C02E94" w14:textId="77777777">
            <w:pPr>
              <w:pStyle w:val="HTMLPreformatted"/>
              <w:rPr>
                <w:rFonts w:ascii="Times New Roman" w:hAnsi="Times New Roman"/>
                <w:sz w:val="24"/>
                <w:szCs w:val="24"/>
              </w:rPr>
            </w:pPr>
          </w:p>
          <w:p w:rsidR="00B226BF" w:rsidRPr="00E110EF" w:rsidP="00B226BF" w14:paraId="08C799A5" w14:textId="77777777">
            <w:pPr>
              <w:pStyle w:val="HTMLPreformatted"/>
              <w:rPr>
                <w:rFonts w:ascii="Times New Roman" w:hAnsi="Times New Roman"/>
                <w:sz w:val="24"/>
                <w:szCs w:val="24"/>
              </w:rPr>
            </w:pPr>
          </w:p>
          <w:p w:rsidR="00B226BF" w:rsidRPr="00E110EF" w:rsidP="00B226BF" w14:paraId="6C5DF30E" w14:textId="77777777">
            <w:pPr>
              <w:pStyle w:val="HTMLPreformatted"/>
              <w:rPr>
                <w:rFonts w:ascii="Times New Roman" w:hAnsi="Times New Roman"/>
                <w:sz w:val="24"/>
                <w:szCs w:val="24"/>
              </w:rPr>
            </w:pPr>
          </w:p>
          <w:p w:rsidR="00B226BF" w:rsidRPr="00E110EF" w:rsidP="00B226BF" w14:paraId="6B424F0D" w14:textId="77777777">
            <w:pPr>
              <w:pStyle w:val="HTMLPreformatted"/>
              <w:rPr>
                <w:rFonts w:ascii="Times New Roman" w:hAnsi="Times New Roman"/>
                <w:sz w:val="24"/>
                <w:szCs w:val="24"/>
              </w:rPr>
            </w:pPr>
          </w:p>
          <w:p w:rsidR="00584365" w:rsidP="00B226BF" w14:paraId="75920A53" w14:textId="77777777">
            <w:pPr>
              <w:pStyle w:val="HTMLPreformatted"/>
              <w:rPr>
                <w:rFonts w:ascii="Times New Roman" w:hAnsi="Times New Roman"/>
                <w:sz w:val="24"/>
                <w:szCs w:val="24"/>
              </w:rPr>
            </w:pPr>
          </w:p>
          <w:p w:rsidR="00B226BF" w:rsidRPr="00E110EF" w:rsidP="00B226BF" w14:paraId="69DFA65F" w14:textId="50A56EA2">
            <w:pPr>
              <w:pStyle w:val="HTMLPreformatted"/>
              <w:rPr>
                <w:rFonts w:ascii="Times New Roman" w:hAnsi="Times New Roman"/>
                <w:sz w:val="24"/>
                <w:szCs w:val="24"/>
              </w:rPr>
            </w:pPr>
            <w:r w:rsidRPr="00E110EF">
              <w:rPr>
                <w:rFonts w:ascii="Times New Roman" w:hAnsi="Times New Roman"/>
                <w:sz w:val="24"/>
                <w:szCs w:val="24"/>
              </w:rPr>
              <w:t>Case No. 21-640-GA-AAM</w:t>
            </w:r>
          </w:p>
          <w:p w:rsidR="00B226BF" w:rsidRPr="00E110EF" w:rsidP="00B226BF" w14:paraId="43FE8612" w14:textId="77777777">
            <w:pPr>
              <w:rPr>
                <w:i/>
                <w:szCs w:val="24"/>
              </w:rPr>
            </w:pPr>
          </w:p>
        </w:tc>
      </w:tr>
    </w:tbl>
    <w:p w:rsidR="007737A3" w:rsidRPr="00E110EF" w14:paraId="0193EC57" w14:textId="77777777">
      <w:pPr>
        <w:pStyle w:val="HTMLPreformatted"/>
        <w:rPr>
          <w:rFonts w:ascii="Times New Roman" w:hAnsi="Times New Roman"/>
          <w:sz w:val="24"/>
          <w:szCs w:val="24"/>
        </w:rPr>
      </w:pPr>
    </w:p>
    <w:p w:rsidR="007737A3" w:rsidRPr="00E110EF" w14:paraId="22DE7C9B" w14:textId="77777777">
      <w:pPr>
        <w:pStyle w:val="HTMLPreformatted"/>
        <w:pBdr>
          <w:top w:val="single" w:sz="12" w:space="1" w:color="auto"/>
        </w:pBdr>
        <w:rPr>
          <w:rFonts w:ascii="Times New Roman" w:hAnsi="Times New Roman"/>
          <w:sz w:val="24"/>
          <w:szCs w:val="24"/>
        </w:rPr>
      </w:pPr>
    </w:p>
    <w:p w:rsidR="00591AF7" w14:paraId="32F9E04B" w14:textId="371E6661">
      <w:pPr>
        <w:jc w:val="center"/>
        <w:rPr>
          <w:b/>
          <w:bCs/>
          <w:szCs w:val="24"/>
        </w:rPr>
      </w:pPr>
      <w:r w:rsidRPr="00E110EF">
        <w:rPr>
          <w:b/>
          <w:bCs/>
          <w:szCs w:val="24"/>
        </w:rPr>
        <w:t xml:space="preserve">MOTION TO STRIKE </w:t>
      </w:r>
      <w:r w:rsidR="00CB7B45">
        <w:rPr>
          <w:b/>
          <w:bCs/>
          <w:szCs w:val="24"/>
        </w:rPr>
        <w:t>OPAE’</w:t>
      </w:r>
      <w:r w:rsidR="003F56E3">
        <w:rPr>
          <w:b/>
          <w:bCs/>
          <w:szCs w:val="24"/>
        </w:rPr>
        <w:t>S</w:t>
      </w:r>
      <w:r w:rsidR="00CB7B45">
        <w:rPr>
          <w:b/>
          <w:bCs/>
          <w:szCs w:val="24"/>
        </w:rPr>
        <w:t xml:space="preserve"> </w:t>
      </w:r>
      <w:r w:rsidR="005E0513">
        <w:rPr>
          <w:b/>
          <w:bCs/>
          <w:szCs w:val="24"/>
        </w:rPr>
        <w:t>USE OF NON-RECORD INFORMATION</w:t>
      </w:r>
    </w:p>
    <w:p w:rsidR="007737A3" w:rsidRPr="00E110EF" w14:paraId="4C5F0639" w14:textId="23B00699">
      <w:pPr>
        <w:jc w:val="center"/>
        <w:rPr>
          <w:b/>
          <w:bCs/>
          <w:szCs w:val="24"/>
        </w:rPr>
      </w:pPr>
      <w:r>
        <w:rPr>
          <w:b/>
          <w:bCs/>
          <w:szCs w:val="24"/>
        </w:rPr>
        <w:t>IN</w:t>
      </w:r>
      <w:r w:rsidRPr="00E110EF">
        <w:rPr>
          <w:b/>
          <w:bCs/>
          <w:szCs w:val="24"/>
        </w:rPr>
        <w:t xml:space="preserve"> </w:t>
      </w:r>
      <w:r w:rsidR="00CB7B45">
        <w:rPr>
          <w:b/>
          <w:bCs/>
          <w:szCs w:val="24"/>
        </w:rPr>
        <w:t>ITS</w:t>
      </w:r>
      <w:r>
        <w:rPr>
          <w:b/>
          <w:bCs/>
          <w:szCs w:val="24"/>
        </w:rPr>
        <w:t xml:space="preserve"> </w:t>
      </w:r>
      <w:r w:rsidRPr="00E110EF" w:rsidR="004168E5">
        <w:rPr>
          <w:b/>
          <w:bCs/>
          <w:szCs w:val="24"/>
        </w:rPr>
        <w:t>REPLY BRIEF</w:t>
      </w:r>
    </w:p>
    <w:p w:rsidR="007737A3" w:rsidRPr="00E110EF" w14:paraId="747E9BB9" w14:textId="77777777">
      <w:pPr>
        <w:jc w:val="center"/>
        <w:rPr>
          <w:b/>
          <w:bCs/>
          <w:szCs w:val="24"/>
        </w:rPr>
      </w:pPr>
      <w:r w:rsidRPr="00E110EF">
        <w:rPr>
          <w:b/>
          <w:bCs/>
          <w:szCs w:val="24"/>
        </w:rPr>
        <w:t>BY</w:t>
      </w:r>
    </w:p>
    <w:p w:rsidR="007737A3" w:rsidRPr="00E110EF" w14:paraId="3828F6A7" w14:textId="728D5A30">
      <w:pPr>
        <w:jc w:val="center"/>
        <w:rPr>
          <w:b/>
          <w:bCs/>
          <w:szCs w:val="24"/>
        </w:rPr>
      </w:pPr>
      <w:r w:rsidRPr="00E110EF">
        <w:rPr>
          <w:b/>
          <w:bCs/>
          <w:szCs w:val="24"/>
        </w:rPr>
        <w:t>OFFICE OF THE OHIO CONSUMERS</w:t>
      </w:r>
      <w:r w:rsidR="00880768">
        <w:rPr>
          <w:b/>
          <w:bCs/>
          <w:szCs w:val="24"/>
        </w:rPr>
        <w:t>’</w:t>
      </w:r>
      <w:r w:rsidRPr="00E110EF">
        <w:rPr>
          <w:b/>
          <w:bCs/>
          <w:szCs w:val="24"/>
        </w:rPr>
        <w:t xml:space="preserve"> COUNSEL</w:t>
      </w:r>
    </w:p>
    <w:p w:rsidR="007737A3" w:rsidRPr="00E110EF" w14:paraId="168B349F" w14:textId="77777777">
      <w:pPr>
        <w:pBdr>
          <w:bottom w:val="single" w:sz="12" w:space="1" w:color="auto"/>
        </w:pBdr>
        <w:tabs>
          <w:tab w:val="left" w:pos="4320"/>
        </w:tabs>
        <w:rPr>
          <w:szCs w:val="24"/>
        </w:rPr>
      </w:pPr>
    </w:p>
    <w:p w:rsidR="007737A3" w:rsidRPr="00E110EF" w14:paraId="756E63F7" w14:textId="77777777">
      <w:pPr>
        <w:rPr>
          <w:b/>
          <w:bCs/>
          <w:szCs w:val="24"/>
        </w:rPr>
      </w:pPr>
    </w:p>
    <w:p w:rsidR="005E0513" w14:paraId="652DF807" w14:textId="5F229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The Ohio Consumers’ Counsel files this Motion for fairness and the integrity of the process in presenting evidence for the PUCO’s decision. In this regard, efforts were made by parties to arrange for an orderly presentation of evidence in the hearing of this case. Never even contemplated was the approach used by the </w:t>
      </w:r>
      <w:r w:rsidRPr="00E110EF" w:rsidR="004168E5">
        <w:rPr>
          <w:rFonts w:ascii="Times New Roman" w:hAnsi="Times New Roman"/>
          <w:sz w:val="24"/>
          <w:szCs w:val="24"/>
          <w:lang w:val="en-US"/>
        </w:rPr>
        <w:t xml:space="preserve">Ohio Partners for Affordable Energy (“OPAE”) </w:t>
      </w:r>
      <w:r>
        <w:rPr>
          <w:rFonts w:ascii="Times New Roman" w:hAnsi="Times New Roman"/>
          <w:sz w:val="24"/>
          <w:szCs w:val="24"/>
          <w:lang w:val="en-US"/>
        </w:rPr>
        <w:t xml:space="preserve">to cite non-record information in </w:t>
      </w:r>
      <w:r w:rsidR="00CB7B45">
        <w:rPr>
          <w:rFonts w:ascii="Times New Roman" w:hAnsi="Times New Roman"/>
          <w:sz w:val="24"/>
          <w:szCs w:val="24"/>
          <w:lang w:val="en-US"/>
        </w:rPr>
        <w:t>its</w:t>
      </w:r>
      <w:r>
        <w:rPr>
          <w:rFonts w:ascii="Times New Roman" w:hAnsi="Times New Roman"/>
          <w:sz w:val="24"/>
          <w:szCs w:val="24"/>
          <w:lang w:val="en-US"/>
        </w:rPr>
        <w:t xml:space="preserve"> </w:t>
      </w:r>
      <w:r w:rsidRPr="00E110EF" w:rsidR="004168E5">
        <w:rPr>
          <w:rFonts w:ascii="Times New Roman" w:hAnsi="Times New Roman"/>
          <w:sz w:val="24"/>
          <w:szCs w:val="24"/>
          <w:lang w:val="en-US"/>
        </w:rPr>
        <w:t>reply brief</w:t>
      </w:r>
      <w:r>
        <w:rPr>
          <w:rFonts w:ascii="Times New Roman" w:hAnsi="Times New Roman"/>
          <w:sz w:val="24"/>
          <w:szCs w:val="24"/>
          <w:lang w:val="en-US"/>
        </w:rPr>
        <w:t>. It</w:t>
      </w:r>
      <w:r w:rsidR="00CB7B45">
        <w:rPr>
          <w:rFonts w:ascii="Times New Roman" w:hAnsi="Times New Roman"/>
          <w:sz w:val="24"/>
          <w:szCs w:val="24"/>
          <w:lang w:val="en-US"/>
        </w:rPr>
        <w:t xml:space="preserve"> is</w:t>
      </w:r>
      <w:r>
        <w:rPr>
          <w:rFonts w:ascii="Times New Roman" w:hAnsi="Times New Roman"/>
          <w:sz w:val="24"/>
          <w:szCs w:val="24"/>
          <w:lang w:val="en-US"/>
        </w:rPr>
        <w:t xml:space="preserve"> wrong</w:t>
      </w:r>
      <w:r w:rsidR="00CB7B45">
        <w:rPr>
          <w:rFonts w:ascii="Times New Roman" w:hAnsi="Times New Roman"/>
          <w:sz w:val="24"/>
          <w:szCs w:val="24"/>
          <w:lang w:val="en-US"/>
        </w:rPr>
        <w:t>.</w:t>
      </w:r>
      <w:r>
        <w:rPr>
          <w:rFonts w:ascii="Times New Roman" w:hAnsi="Times New Roman"/>
          <w:sz w:val="24"/>
          <w:szCs w:val="24"/>
          <w:lang w:val="en-US"/>
        </w:rPr>
        <w:t xml:space="preserve"> </w:t>
      </w:r>
      <w:r w:rsidR="00CB7B45">
        <w:rPr>
          <w:rFonts w:ascii="Times New Roman" w:hAnsi="Times New Roman"/>
          <w:sz w:val="24"/>
          <w:szCs w:val="24"/>
          <w:lang w:val="en-US"/>
        </w:rPr>
        <w:t>OPAE’s</w:t>
      </w:r>
      <w:r>
        <w:rPr>
          <w:rFonts w:ascii="Times New Roman" w:hAnsi="Times New Roman"/>
          <w:sz w:val="24"/>
          <w:szCs w:val="24"/>
          <w:lang w:val="en-US"/>
        </w:rPr>
        <w:t xml:space="preserve"> information should be stricken from the record. </w:t>
      </w:r>
    </w:p>
    <w:p w:rsidR="007737A3" w:rsidRPr="00E110EF" w14:paraId="26FE0161" w14:textId="143FA3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480" w:lineRule="auto"/>
        <w:ind w:firstLine="720"/>
        <w:rPr>
          <w:rFonts w:ascii="Times New Roman" w:hAnsi="Times New Roman"/>
          <w:sz w:val="24"/>
          <w:szCs w:val="24"/>
          <w:lang w:val="en-US"/>
        </w:rPr>
      </w:pPr>
      <w:r w:rsidRPr="00E110EF">
        <w:rPr>
          <w:rFonts w:ascii="Times New Roman" w:hAnsi="Times New Roman"/>
          <w:sz w:val="24"/>
          <w:szCs w:val="24"/>
          <w:lang w:val="en-US"/>
        </w:rPr>
        <w:t>PUCO precedent on this issue is straightforward:</w:t>
      </w:r>
    </w:p>
    <w:p w:rsidR="007737A3" w:rsidRPr="00E110EF" w14:paraId="7987A972" w14:textId="5129ECE6">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right="720" w:hanging="720"/>
        <w:rPr>
          <w:rFonts w:ascii="Times New Roman" w:hAnsi="Times New Roman"/>
          <w:sz w:val="24"/>
          <w:szCs w:val="24"/>
          <w:lang w:val="en-US"/>
        </w:rPr>
      </w:pPr>
      <w:r w:rsidRPr="00E110EF">
        <w:rPr>
          <w:rFonts w:ascii="Times New Roman" w:hAnsi="Times New Roman"/>
          <w:sz w:val="24"/>
          <w:szCs w:val="24"/>
          <w:lang w:val="en-US"/>
        </w:rPr>
        <w:t xml:space="preserve">Parties </w:t>
      </w:r>
      <w:r w:rsidRPr="00E110EF">
        <w:rPr>
          <w:rFonts w:ascii="Times New Roman" w:hAnsi="Times New Roman"/>
          <w:sz w:val="24"/>
          <w:szCs w:val="24"/>
          <w:u w:val="single"/>
          <w:lang w:val="en-US"/>
        </w:rPr>
        <w:t>can</w:t>
      </w:r>
      <w:r w:rsidRPr="00E110EF">
        <w:rPr>
          <w:rFonts w:ascii="Times New Roman" w:hAnsi="Times New Roman"/>
          <w:sz w:val="24"/>
          <w:szCs w:val="24"/>
          <w:lang w:val="en-US"/>
        </w:rPr>
        <w:t xml:space="preserve"> cite record evidence.</w:t>
      </w:r>
      <w:r>
        <w:rPr>
          <w:rStyle w:val="FootnoteReference"/>
          <w:rFonts w:ascii="Times New Roman" w:hAnsi="Times New Roman"/>
          <w:sz w:val="24"/>
          <w:szCs w:val="24"/>
          <w:lang w:val="en-US"/>
        </w:rPr>
        <w:footnoteReference w:id="2"/>
      </w:r>
    </w:p>
    <w:p w:rsidR="007737A3" w:rsidRPr="00E110EF" w14:paraId="647C77FE" w14:textId="24241AB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right="720" w:hanging="720"/>
        <w:rPr>
          <w:rFonts w:ascii="Times New Roman" w:hAnsi="Times New Roman"/>
          <w:sz w:val="24"/>
          <w:szCs w:val="24"/>
          <w:lang w:val="en-US"/>
        </w:rPr>
      </w:pPr>
      <w:r w:rsidRPr="00E110EF">
        <w:rPr>
          <w:rFonts w:ascii="Times New Roman" w:hAnsi="Times New Roman"/>
          <w:sz w:val="24"/>
          <w:szCs w:val="24"/>
          <w:lang w:val="en-US"/>
        </w:rPr>
        <w:t xml:space="preserve">Parties </w:t>
      </w:r>
      <w:r w:rsidRPr="00E110EF">
        <w:rPr>
          <w:rFonts w:ascii="Times New Roman" w:hAnsi="Times New Roman"/>
          <w:sz w:val="24"/>
          <w:szCs w:val="24"/>
          <w:u w:val="single"/>
          <w:lang w:val="en-US"/>
        </w:rPr>
        <w:t>can</w:t>
      </w:r>
      <w:r w:rsidRPr="00E110EF">
        <w:rPr>
          <w:rFonts w:ascii="Times New Roman" w:hAnsi="Times New Roman"/>
          <w:sz w:val="24"/>
          <w:szCs w:val="24"/>
          <w:lang w:val="en-US"/>
        </w:rPr>
        <w:t xml:space="preserve"> cite PUCO Orders and Entries.</w:t>
      </w:r>
      <w:r>
        <w:rPr>
          <w:rStyle w:val="FootnoteReference"/>
          <w:rFonts w:ascii="Times New Roman" w:hAnsi="Times New Roman"/>
          <w:sz w:val="24"/>
          <w:szCs w:val="24"/>
          <w:lang w:val="en-US"/>
        </w:rPr>
        <w:footnoteReference w:id="3"/>
      </w:r>
    </w:p>
    <w:p w:rsidR="007737A3" w:rsidRPr="00E110EF" w14:paraId="16143599" w14:textId="284FA19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right="720" w:hanging="720"/>
        <w:rPr>
          <w:rFonts w:ascii="Times New Roman" w:hAnsi="Times New Roman"/>
          <w:sz w:val="24"/>
          <w:szCs w:val="24"/>
          <w:lang w:val="en-US"/>
        </w:rPr>
      </w:pPr>
      <w:r w:rsidRPr="00E110EF">
        <w:rPr>
          <w:rFonts w:ascii="Times New Roman" w:hAnsi="Times New Roman"/>
          <w:sz w:val="24"/>
          <w:szCs w:val="24"/>
          <w:lang w:val="en-US"/>
        </w:rPr>
        <w:t xml:space="preserve">Parties </w:t>
      </w:r>
      <w:r w:rsidRPr="00E110EF">
        <w:rPr>
          <w:rFonts w:ascii="Times New Roman" w:hAnsi="Times New Roman"/>
          <w:sz w:val="24"/>
          <w:szCs w:val="24"/>
          <w:u w:val="single"/>
          <w:lang w:val="en-US"/>
        </w:rPr>
        <w:t>cannot</w:t>
      </w:r>
      <w:r w:rsidRPr="00E110EF">
        <w:rPr>
          <w:rFonts w:ascii="Times New Roman" w:hAnsi="Times New Roman"/>
          <w:sz w:val="24"/>
          <w:szCs w:val="24"/>
          <w:lang w:val="en-US"/>
        </w:rPr>
        <w:t xml:space="preserve"> cite facts not in evidence.</w:t>
      </w:r>
      <w:r>
        <w:rPr>
          <w:rStyle w:val="FootnoteReference"/>
          <w:rFonts w:ascii="Times New Roman" w:hAnsi="Times New Roman"/>
          <w:sz w:val="24"/>
          <w:szCs w:val="24"/>
          <w:lang w:val="en-US"/>
        </w:rPr>
        <w:footnoteReference w:id="4"/>
      </w:r>
    </w:p>
    <w:p w:rsidR="007737A3" w:rsidRPr="00E110EF" w14:paraId="2058FEC2" w14:textId="518E8AF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right="720" w:hanging="720"/>
        <w:rPr>
          <w:rFonts w:ascii="Times New Roman" w:hAnsi="Times New Roman"/>
          <w:sz w:val="24"/>
          <w:szCs w:val="24"/>
          <w:lang w:val="en-US"/>
        </w:rPr>
      </w:pPr>
      <w:r w:rsidRPr="00E110EF">
        <w:rPr>
          <w:rFonts w:ascii="Times New Roman" w:hAnsi="Times New Roman"/>
          <w:sz w:val="24"/>
          <w:szCs w:val="24"/>
          <w:lang w:val="en-US"/>
        </w:rPr>
        <w:t xml:space="preserve">Parties </w:t>
      </w:r>
      <w:r w:rsidRPr="00E110EF">
        <w:rPr>
          <w:rFonts w:ascii="Times New Roman" w:hAnsi="Times New Roman"/>
          <w:sz w:val="24"/>
          <w:szCs w:val="24"/>
          <w:u w:val="single"/>
          <w:lang w:val="en-US"/>
        </w:rPr>
        <w:t>cannot</w:t>
      </w:r>
      <w:r w:rsidRPr="00E110EF">
        <w:rPr>
          <w:rFonts w:ascii="Times New Roman" w:hAnsi="Times New Roman"/>
          <w:sz w:val="24"/>
          <w:szCs w:val="24"/>
          <w:lang w:val="en-US"/>
        </w:rPr>
        <w:t xml:space="preserve"> cite documents filed in PUCO proceedings (applications, stipulations, briefs, etc.) unless those documents are either admitted into the record or administratively noticed.</w:t>
      </w:r>
      <w:r>
        <w:rPr>
          <w:rStyle w:val="FootnoteReference"/>
          <w:rFonts w:ascii="Times New Roman" w:hAnsi="Times New Roman"/>
          <w:sz w:val="24"/>
          <w:szCs w:val="24"/>
          <w:lang w:val="en-US"/>
        </w:rPr>
        <w:footnoteReference w:id="5"/>
      </w:r>
    </w:p>
    <w:p w:rsidR="007737A3" w:rsidRPr="00E110EF" w14:paraId="1132199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480" w:lineRule="auto"/>
        <w:ind w:firstLine="720"/>
        <w:rPr>
          <w:rFonts w:ascii="Times New Roman" w:hAnsi="Times New Roman"/>
          <w:sz w:val="24"/>
          <w:szCs w:val="24"/>
          <w:lang w:val="en-US"/>
        </w:rPr>
      </w:pPr>
      <w:r w:rsidRPr="00E110EF">
        <w:rPr>
          <w:rFonts w:ascii="Times New Roman" w:hAnsi="Times New Roman"/>
          <w:sz w:val="24"/>
          <w:szCs w:val="24"/>
          <w:lang w:val="en-US"/>
        </w:rPr>
        <w:t>This precedent is reasonable and fair to all parties. The PUCO gives parties ample opportunity to present evidence and allows other parties to test that evidence. This is done by permitting all parties to (i) file testimony, (ii) attend a hearing before an Attorney Examiner, (iii) present documents and request that they be admitted into the record, (iv) request administrative notice of documents, and (v) cross-examine witnesses at the hearing.</w:t>
      </w:r>
    </w:p>
    <w:p w:rsidR="007737A3" w:rsidRPr="00E110EF" w14:paraId="4A0C89C6" w14:textId="11719C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480" w:lineRule="auto"/>
        <w:ind w:firstLine="720"/>
        <w:rPr>
          <w:rFonts w:ascii="Times New Roman" w:hAnsi="Times New Roman"/>
          <w:sz w:val="24"/>
          <w:szCs w:val="24"/>
          <w:lang w:val="en-US"/>
        </w:rPr>
      </w:pPr>
      <w:r w:rsidRPr="00E110EF">
        <w:rPr>
          <w:rFonts w:ascii="Times New Roman" w:hAnsi="Times New Roman"/>
          <w:sz w:val="24"/>
          <w:szCs w:val="24"/>
          <w:lang w:val="en-US"/>
        </w:rPr>
        <w:t xml:space="preserve">To protect the integrity of the PUCO's administrative process—which in this case will affect over </w:t>
      </w:r>
      <w:r w:rsidRPr="00E110EF" w:rsidR="004168E5">
        <w:rPr>
          <w:rFonts w:ascii="Times New Roman" w:hAnsi="Times New Roman"/>
          <w:sz w:val="24"/>
          <w:szCs w:val="24"/>
          <w:lang w:val="en-US"/>
        </w:rPr>
        <w:t>1.4 million</w:t>
      </w:r>
      <w:r w:rsidRPr="00E110EF">
        <w:rPr>
          <w:rFonts w:ascii="Times New Roman" w:hAnsi="Times New Roman"/>
          <w:sz w:val="24"/>
          <w:szCs w:val="24"/>
          <w:lang w:val="en-US"/>
        </w:rPr>
        <w:t xml:space="preserve"> consumers—the Office of the Ohio Consumers</w:t>
      </w:r>
      <w:r w:rsidR="007619C1">
        <w:rPr>
          <w:rFonts w:ascii="Times New Roman" w:hAnsi="Times New Roman"/>
          <w:sz w:val="24"/>
          <w:szCs w:val="24"/>
          <w:lang w:val="en-US"/>
        </w:rPr>
        <w:t>’</w:t>
      </w:r>
      <w:r w:rsidRPr="00E110EF">
        <w:rPr>
          <w:rFonts w:ascii="Times New Roman" w:hAnsi="Times New Roman"/>
          <w:sz w:val="24"/>
          <w:szCs w:val="24"/>
          <w:lang w:val="en-US"/>
        </w:rPr>
        <w:t xml:space="preserve"> Counsel (</w:t>
      </w:r>
      <w:r w:rsidR="007619C1">
        <w:rPr>
          <w:rFonts w:ascii="Times New Roman" w:hAnsi="Times New Roman"/>
          <w:sz w:val="24"/>
          <w:szCs w:val="24"/>
          <w:lang w:val="en-US"/>
        </w:rPr>
        <w:t>“</w:t>
      </w:r>
      <w:r w:rsidRPr="00E110EF">
        <w:rPr>
          <w:rFonts w:ascii="Times New Roman" w:hAnsi="Times New Roman"/>
          <w:sz w:val="24"/>
          <w:szCs w:val="24"/>
          <w:lang w:val="en-US"/>
        </w:rPr>
        <w:t>OCC</w:t>
      </w:r>
      <w:r w:rsidR="007619C1">
        <w:rPr>
          <w:rFonts w:ascii="Times New Roman" w:hAnsi="Times New Roman"/>
          <w:sz w:val="24"/>
          <w:szCs w:val="24"/>
          <w:lang w:val="en-US"/>
        </w:rPr>
        <w:t>”</w:t>
      </w:r>
      <w:r w:rsidRPr="00E110EF">
        <w:rPr>
          <w:rFonts w:ascii="Times New Roman" w:hAnsi="Times New Roman"/>
          <w:sz w:val="24"/>
          <w:szCs w:val="24"/>
          <w:lang w:val="en-US"/>
        </w:rPr>
        <w:t xml:space="preserve">) </w:t>
      </w:r>
      <w:r w:rsidRPr="00E110EF">
        <w:rPr>
          <w:rFonts w:ascii="Times New Roman" w:hAnsi="Times New Roman"/>
          <w:sz w:val="24"/>
          <w:szCs w:val="24"/>
        </w:rPr>
        <w:t>respectfully move</w:t>
      </w:r>
      <w:r w:rsidRPr="00E110EF">
        <w:rPr>
          <w:rFonts w:ascii="Times New Roman" w:hAnsi="Times New Roman"/>
          <w:sz w:val="24"/>
          <w:szCs w:val="24"/>
          <w:lang w:val="en-US"/>
        </w:rPr>
        <w:t>s</w:t>
      </w:r>
      <w:r w:rsidRPr="00E110EF">
        <w:rPr>
          <w:rFonts w:ascii="Times New Roman" w:hAnsi="Times New Roman"/>
          <w:sz w:val="24"/>
          <w:szCs w:val="24"/>
        </w:rPr>
        <w:t xml:space="preserve"> to strike </w:t>
      </w:r>
      <w:r w:rsidRPr="00E110EF">
        <w:rPr>
          <w:rFonts w:ascii="Times New Roman" w:hAnsi="Times New Roman"/>
          <w:sz w:val="24"/>
          <w:szCs w:val="24"/>
          <w:lang w:val="en-US"/>
        </w:rPr>
        <w:t xml:space="preserve">the portions of </w:t>
      </w:r>
      <w:r w:rsidRPr="00E110EF" w:rsidR="00B226BF">
        <w:rPr>
          <w:rFonts w:ascii="Times New Roman" w:hAnsi="Times New Roman"/>
          <w:sz w:val="24"/>
          <w:szCs w:val="24"/>
          <w:lang w:val="en-US"/>
        </w:rPr>
        <w:t>OPAE’s post-hearing reply brief</w:t>
      </w:r>
      <w:r w:rsidRPr="00E110EF">
        <w:rPr>
          <w:rFonts w:ascii="Times New Roman" w:hAnsi="Times New Roman"/>
          <w:sz w:val="24"/>
          <w:szCs w:val="24"/>
          <w:lang w:val="en-US"/>
        </w:rPr>
        <w:t xml:space="preserve"> that rely on non-record allegations, opinions, and assertions. It is unfair for parties, on </w:t>
      </w:r>
      <w:r w:rsidRPr="00E110EF">
        <w:rPr>
          <w:rFonts w:ascii="Times New Roman" w:hAnsi="Times New Roman"/>
          <w:sz w:val="24"/>
          <w:szCs w:val="24"/>
          <w:lang w:val="en-US"/>
        </w:rPr>
        <w:t>brief and after the fact, to rely on information that was not subject to scrutiny by other parties and was not subject to the PUCO's reasonable administrative process.</w:t>
      </w:r>
    </w:p>
    <w:p w:rsidR="00F51D3B" w:rsidRPr="00E110EF" w14:paraId="5E0E5B8D"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480" w:lineRule="auto"/>
        <w:ind w:firstLine="720"/>
        <w:rPr>
          <w:rFonts w:ascii="Times New Roman" w:hAnsi="Times New Roman"/>
          <w:sz w:val="24"/>
          <w:szCs w:val="24"/>
          <w:lang w:val="en-US"/>
        </w:rPr>
      </w:pPr>
      <w:r w:rsidRPr="00E110EF">
        <w:rPr>
          <w:rFonts w:ascii="Times New Roman" w:hAnsi="Times New Roman"/>
          <w:sz w:val="24"/>
          <w:szCs w:val="24"/>
          <w:lang w:val="en-US"/>
        </w:rPr>
        <w:t>The PUCO should strike the following portions</w:t>
      </w:r>
      <w:r w:rsidRPr="00E110EF">
        <w:rPr>
          <w:rFonts w:ascii="Times New Roman" w:hAnsi="Times New Roman"/>
          <w:sz w:val="24"/>
          <w:szCs w:val="24"/>
        </w:rPr>
        <w:t xml:space="preserve"> of</w:t>
      </w:r>
      <w:r w:rsidRPr="00E110EF" w:rsidR="004168E5">
        <w:rPr>
          <w:rFonts w:ascii="Times New Roman" w:hAnsi="Times New Roman"/>
          <w:sz w:val="24"/>
          <w:szCs w:val="24"/>
          <w:lang w:val="en-US"/>
        </w:rPr>
        <w:t xml:space="preserve"> OPAE’s reply brief</w:t>
      </w:r>
      <w:r w:rsidRPr="00E110EF">
        <w:rPr>
          <w:rFonts w:ascii="Times New Roman" w:hAnsi="Times New Roman"/>
          <w:sz w:val="24"/>
          <w:szCs w:val="24"/>
          <w:lang w:val="en-US"/>
        </w:rPr>
        <w:t>:</w:t>
      </w:r>
      <w:r w:rsidRPr="00E110EF">
        <w:rPr>
          <w:rFonts w:ascii="Times New Roman" w:hAnsi="Times New Roman"/>
          <w:sz w:val="24"/>
          <w:szCs w:val="24"/>
          <w:lang w:val="en-US"/>
        </w:rPr>
        <w:t xml:space="preserve"> </w:t>
      </w:r>
    </w:p>
    <w:p w:rsidR="00E625EE" w:rsidRPr="00E625EE" w:rsidP="001F3A55" w14:paraId="6FF004EC" w14:textId="287DB101">
      <w:pPr>
        <w:pStyle w:val="HTMLPreformatted"/>
        <w:keepNext/>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left="1440" w:hanging="720"/>
        <w:rPr>
          <w:rFonts w:ascii="Times New Roman" w:hAnsi="Times New Roman"/>
          <w:sz w:val="24"/>
          <w:szCs w:val="24"/>
          <w:lang w:val="en-US"/>
        </w:rPr>
      </w:pPr>
      <w:r>
        <w:rPr>
          <w:rFonts w:ascii="Times New Roman" w:hAnsi="Times New Roman"/>
          <w:sz w:val="24"/>
          <w:szCs w:val="24"/>
          <w:lang w:val="en-US"/>
        </w:rPr>
        <w:t xml:space="preserve">Page 4-5, beginning with “As Columbia previously,” and ending with “gas DSM Program,” including all related footnotes. </w:t>
      </w:r>
    </w:p>
    <w:p w:rsidR="007737A3" w:rsidP="001F3A55" w14:paraId="67DB1C44" w14:textId="58C3F08C">
      <w:pPr>
        <w:pStyle w:val="HTMLPreformatted"/>
        <w:keepNext/>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1440" w:hanging="720"/>
        <w:rPr>
          <w:rFonts w:ascii="Times New Roman" w:hAnsi="Times New Roman"/>
          <w:sz w:val="24"/>
          <w:szCs w:val="24"/>
          <w:lang w:val="en-US"/>
        </w:rPr>
      </w:pPr>
      <w:r w:rsidRPr="00E110EF">
        <w:rPr>
          <w:rFonts w:ascii="Times New Roman" w:hAnsi="Times New Roman"/>
          <w:sz w:val="24"/>
          <w:szCs w:val="24"/>
          <w:lang w:val="en-US"/>
        </w:rPr>
        <w:t>Page 7, beginning with “For example,” and ending with “Duke case?,” including all related footnotes.</w:t>
      </w:r>
    </w:p>
    <w:p w:rsidR="003F1689" w:rsidRPr="00E110EF" w:rsidP="001F3A55" w14:paraId="52D4EEFA"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1440" w:hanging="720"/>
        <w:rPr>
          <w:rFonts w:ascii="Times New Roman" w:hAnsi="Times New Roman"/>
          <w:sz w:val="24"/>
          <w:szCs w:val="24"/>
          <w:lang w:val="en-US"/>
        </w:rPr>
      </w:pPr>
    </w:p>
    <w:p w:rsidR="00F51D3B" w:rsidRPr="00E110EF" w:rsidP="001F3A55" w14:paraId="5BD85A0F" w14:textId="77777777">
      <w:pPr>
        <w:pStyle w:val="HTMLPreformatted"/>
        <w:keepNext/>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1440" w:hanging="720"/>
        <w:rPr>
          <w:rFonts w:ascii="Times New Roman" w:hAnsi="Times New Roman"/>
          <w:sz w:val="24"/>
          <w:szCs w:val="24"/>
          <w:lang w:val="en-US"/>
        </w:rPr>
      </w:pPr>
      <w:r w:rsidRPr="00E110EF">
        <w:rPr>
          <w:rFonts w:ascii="Times New Roman" w:hAnsi="Times New Roman"/>
          <w:sz w:val="24"/>
          <w:szCs w:val="24"/>
          <w:lang w:val="en-US"/>
        </w:rPr>
        <w:t>Page 8, beginning with “Again in 2020,” and ending with “three years ago</w:t>
      </w:r>
      <w:r w:rsidRPr="00E110EF" w:rsidR="00B02919">
        <w:rPr>
          <w:rFonts w:ascii="Times New Roman" w:hAnsi="Times New Roman"/>
          <w:sz w:val="24"/>
          <w:szCs w:val="24"/>
          <w:lang w:val="en-US"/>
        </w:rPr>
        <w:t>,</w:t>
      </w:r>
      <w:r w:rsidRPr="00E110EF">
        <w:rPr>
          <w:rFonts w:ascii="Times New Roman" w:hAnsi="Times New Roman"/>
          <w:sz w:val="24"/>
          <w:szCs w:val="24"/>
          <w:lang w:val="en-US"/>
        </w:rPr>
        <w:t>”</w:t>
      </w:r>
      <w:r w:rsidRPr="00E110EF" w:rsidR="00B02919">
        <w:rPr>
          <w:rFonts w:ascii="Times New Roman" w:hAnsi="Times New Roman"/>
          <w:sz w:val="24"/>
          <w:szCs w:val="24"/>
          <w:lang w:val="en-US"/>
        </w:rPr>
        <w:t xml:space="preserve"> including all related footnotes.</w:t>
      </w:r>
    </w:p>
    <w:p w:rsidR="00F51D3B" w:rsidRPr="00E110EF" w:rsidP="00F51D3B" w14:paraId="1603C6DF"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720"/>
        <w:rPr>
          <w:rFonts w:ascii="Times New Roman" w:hAnsi="Times New Roman"/>
          <w:sz w:val="24"/>
          <w:szCs w:val="24"/>
          <w:lang w:val="en-US"/>
        </w:rPr>
      </w:pPr>
    </w:p>
    <w:p w:rsidR="00915098" w:rsidP="00915098" w14:paraId="74348A0E" w14:textId="0FE6B2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480" w:lineRule="auto"/>
        <w:ind w:firstLine="720"/>
        <w:rPr>
          <w:szCs w:val="24"/>
        </w:rPr>
      </w:pPr>
      <w:r w:rsidRPr="00E110EF">
        <w:rPr>
          <w:rFonts w:ascii="Times New Roman" w:hAnsi="Times New Roman"/>
          <w:sz w:val="24"/>
          <w:szCs w:val="24"/>
          <w:lang w:val="en-US"/>
        </w:rPr>
        <w:t xml:space="preserve">As described in the attached memorandum in support, the PUCO should strike these portions of the brief because they cite to information that is not evidence in this proceeding and constitutes hearsay. Allowing </w:t>
      </w:r>
      <w:r w:rsidR="00BB2895">
        <w:rPr>
          <w:rFonts w:ascii="Times New Roman" w:hAnsi="Times New Roman"/>
          <w:sz w:val="24"/>
          <w:szCs w:val="24"/>
          <w:lang w:val="en-US"/>
        </w:rPr>
        <w:t>non-</w:t>
      </w:r>
      <w:r w:rsidRPr="00E110EF">
        <w:rPr>
          <w:rFonts w:ascii="Times New Roman" w:hAnsi="Times New Roman"/>
          <w:sz w:val="24"/>
          <w:szCs w:val="24"/>
          <w:lang w:val="en-US"/>
        </w:rPr>
        <w:t>record, untested information is prejudicial to OCC and consumer interests. It is inappropriate for the PUCO to rely on such information</w:t>
      </w:r>
      <w:r w:rsidR="00DA5FE4">
        <w:rPr>
          <w:rFonts w:ascii="Times New Roman" w:hAnsi="Times New Roman"/>
          <w:sz w:val="24"/>
          <w:szCs w:val="24"/>
          <w:lang w:val="en-US"/>
        </w:rPr>
        <w:t xml:space="preserve"> that OPAE, for whatever reason, </w:t>
      </w:r>
      <w:r w:rsidR="0039024E">
        <w:rPr>
          <w:rFonts w:ascii="Times New Roman" w:hAnsi="Times New Roman"/>
          <w:sz w:val="24"/>
          <w:szCs w:val="24"/>
          <w:lang w:val="en-US"/>
        </w:rPr>
        <w:t>did not seek to adduce through the hearing process where purported evidence can be contested</w:t>
      </w:r>
      <w:r w:rsidRPr="00E110EF">
        <w:rPr>
          <w:rFonts w:ascii="Times New Roman" w:hAnsi="Times New Roman"/>
          <w:sz w:val="24"/>
          <w:szCs w:val="24"/>
          <w:lang w:val="en-US"/>
        </w:rPr>
        <w:t>.</w:t>
      </w:r>
      <w:r>
        <w:rPr>
          <w:rFonts w:ascii="Times New Roman" w:hAnsi="Times New Roman"/>
          <w:sz w:val="24"/>
          <w:szCs w:val="24"/>
          <w:lang w:val="en-US"/>
        </w:rPr>
        <w:br w:type="page"/>
      </w:r>
    </w:p>
    <w:p w:rsidR="00175029" w:rsidP="00175029" w14:paraId="37468A0C" w14:textId="4A7196FA">
      <w:pPr>
        <w:ind w:firstLine="4320"/>
        <w:rPr>
          <w:szCs w:val="24"/>
        </w:rPr>
      </w:pPr>
      <w:r w:rsidRPr="00C80BFE">
        <w:rPr>
          <w:szCs w:val="24"/>
        </w:rPr>
        <w:t>Respectfully submitted,</w:t>
      </w:r>
    </w:p>
    <w:p w:rsidR="00175029" w:rsidRPr="00C80BFE" w:rsidP="00175029" w14:paraId="02B9DE79" w14:textId="77777777">
      <w:pPr>
        <w:ind w:firstLine="4320"/>
        <w:rPr>
          <w:szCs w:val="24"/>
        </w:rPr>
      </w:pPr>
    </w:p>
    <w:p w:rsidR="00175029" w:rsidRPr="00C80BFE" w:rsidP="00175029" w14:paraId="282AC31B" w14:textId="77777777">
      <w:pPr>
        <w:tabs>
          <w:tab w:val="right" w:pos="8640"/>
        </w:tabs>
        <w:ind w:left="4320"/>
        <w:rPr>
          <w:szCs w:val="24"/>
        </w:rPr>
      </w:pPr>
      <w:r w:rsidRPr="00C80BFE">
        <w:rPr>
          <w:szCs w:val="24"/>
        </w:rPr>
        <w:t>Bruce Weston (0016973)</w:t>
      </w:r>
    </w:p>
    <w:p w:rsidR="00175029" w:rsidRPr="00C80BFE" w:rsidP="00175029" w14:paraId="0B8BA6FF" w14:textId="77777777">
      <w:pPr>
        <w:ind w:left="4320"/>
        <w:contextualSpacing/>
        <w:rPr>
          <w:rFonts w:eastAsia="Calibri"/>
          <w:szCs w:val="24"/>
        </w:rPr>
      </w:pPr>
      <w:r w:rsidRPr="00C80BFE">
        <w:rPr>
          <w:rFonts w:eastAsia="Calibri"/>
          <w:szCs w:val="24"/>
        </w:rPr>
        <w:t>Ohio Consumers’ Counsel</w:t>
      </w:r>
    </w:p>
    <w:p w:rsidR="00175029" w:rsidRPr="00C80BFE" w:rsidP="00175029" w14:paraId="0792435B" w14:textId="77777777">
      <w:pPr>
        <w:ind w:left="4320"/>
        <w:contextualSpacing/>
        <w:rPr>
          <w:rFonts w:eastAsia="Calibri"/>
          <w:szCs w:val="24"/>
        </w:rPr>
      </w:pPr>
    </w:p>
    <w:p w:rsidR="00175029" w:rsidRPr="00C80BFE" w:rsidP="00175029" w14:paraId="112EAED0" w14:textId="77777777">
      <w:pPr>
        <w:ind w:left="4320"/>
        <w:contextualSpacing/>
        <w:rPr>
          <w:rFonts w:eastAsia="Calibri"/>
          <w:szCs w:val="24"/>
        </w:rPr>
      </w:pPr>
      <w:r w:rsidRPr="00C80BFE">
        <w:rPr>
          <w:rFonts w:eastAsia="Calibri"/>
          <w:i/>
          <w:iCs/>
          <w:szCs w:val="24"/>
          <w:u w:val="single"/>
        </w:rPr>
        <w:t>/s/ Angela D. O’Brien</w:t>
      </w:r>
      <w:r w:rsidRPr="00C80BFE">
        <w:rPr>
          <w:rFonts w:eastAsia="Calibri"/>
          <w:i/>
          <w:iCs/>
          <w:szCs w:val="24"/>
          <w:u w:val="single"/>
        </w:rPr>
        <w:tab/>
      </w:r>
      <w:r w:rsidRPr="00C80BFE">
        <w:rPr>
          <w:rFonts w:eastAsia="Calibri"/>
          <w:i/>
          <w:iCs/>
          <w:szCs w:val="24"/>
          <w:u w:val="single"/>
        </w:rPr>
        <w:tab/>
      </w:r>
      <w:r w:rsidRPr="00C80BFE">
        <w:rPr>
          <w:rFonts w:eastAsia="Calibri"/>
          <w:szCs w:val="24"/>
        </w:rPr>
        <w:tab/>
      </w:r>
    </w:p>
    <w:p w:rsidR="00175029" w:rsidRPr="00C80BFE" w:rsidP="00175029" w14:paraId="46F5103E" w14:textId="77777777">
      <w:pPr>
        <w:ind w:left="4320"/>
        <w:rPr>
          <w:szCs w:val="24"/>
        </w:rPr>
      </w:pPr>
      <w:r w:rsidRPr="00C80BFE">
        <w:rPr>
          <w:szCs w:val="24"/>
        </w:rPr>
        <w:t>Angela D. O’Brien (0097579)</w:t>
      </w:r>
    </w:p>
    <w:p w:rsidR="00175029" w:rsidRPr="00C80BFE" w:rsidP="00175029" w14:paraId="427CFA95" w14:textId="77777777">
      <w:pPr>
        <w:ind w:left="4320"/>
        <w:rPr>
          <w:szCs w:val="24"/>
        </w:rPr>
      </w:pPr>
      <w:r w:rsidRPr="00C80BFE">
        <w:rPr>
          <w:szCs w:val="24"/>
        </w:rPr>
        <w:t xml:space="preserve">Counsel of Record </w:t>
      </w:r>
    </w:p>
    <w:p w:rsidR="00175029" w:rsidRPr="00C80BFE" w:rsidP="00175029" w14:paraId="4FA5FAB9" w14:textId="77777777">
      <w:pPr>
        <w:tabs>
          <w:tab w:val="left" w:pos="4320"/>
        </w:tabs>
        <w:ind w:left="4320"/>
        <w:rPr>
          <w:szCs w:val="24"/>
        </w:rPr>
      </w:pPr>
      <w:r w:rsidRPr="00C80BFE">
        <w:rPr>
          <w:szCs w:val="24"/>
        </w:rPr>
        <w:t>William J. Michael (0070921)</w:t>
      </w:r>
    </w:p>
    <w:p w:rsidR="00175029" w:rsidRPr="00C80BFE" w:rsidP="00175029" w14:paraId="2D9067D2" w14:textId="77777777">
      <w:pPr>
        <w:tabs>
          <w:tab w:val="left" w:pos="4320"/>
        </w:tabs>
        <w:ind w:left="4320"/>
        <w:rPr>
          <w:szCs w:val="24"/>
        </w:rPr>
      </w:pPr>
      <w:r w:rsidRPr="00C80BFE">
        <w:rPr>
          <w:szCs w:val="24"/>
        </w:rPr>
        <w:t>Connor D. Semple (0101102)</w:t>
      </w:r>
    </w:p>
    <w:p w:rsidR="00175029" w:rsidRPr="00C80BFE" w:rsidP="00175029" w14:paraId="17EBAA40" w14:textId="77777777">
      <w:pPr>
        <w:ind w:left="4320"/>
        <w:rPr>
          <w:szCs w:val="24"/>
        </w:rPr>
      </w:pPr>
      <w:r w:rsidRPr="00C80BFE">
        <w:rPr>
          <w:szCs w:val="24"/>
        </w:rPr>
        <w:t>Assistant Consumers’ Counsel</w:t>
      </w:r>
    </w:p>
    <w:p w:rsidR="00175029" w:rsidRPr="00C80BFE" w:rsidP="00175029" w14:paraId="46EF0D40" w14:textId="77777777">
      <w:pPr>
        <w:ind w:left="4320"/>
        <w:rPr>
          <w:b/>
          <w:szCs w:val="24"/>
        </w:rPr>
      </w:pPr>
    </w:p>
    <w:p w:rsidR="00175029" w:rsidRPr="00C80BFE" w:rsidP="00175029" w14:paraId="5BDC2C56" w14:textId="77777777">
      <w:pPr>
        <w:ind w:left="4320"/>
        <w:rPr>
          <w:b/>
          <w:szCs w:val="24"/>
        </w:rPr>
      </w:pPr>
      <w:r w:rsidRPr="00C80BFE">
        <w:rPr>
          <w:b/>
          <w:szCs w:val="24"/>
        </w:rPr>
        <w:t>Office of the Ohio Consumers’ Counsel</w:t>
      </w:r>
    </w:p>
    <w:p w:rsidR="00175029" w:rsidRPr="00C80BFE" w:rsidP="00175029" w14:paraId="289DC226" w14:textId="77777777">
      <w:pPr>
        <w:ind w:left="4320"/>
        <w:rPr>
          <w:szCs w:val="24"/>
        </w:rPr>
      </w:pPr>
      <w:r w:rsidRPr="00C80BFE">
        <w:rPr>
          <w:szCs w:val="24"/>
        </w:rPr>
        <w:t>65 East State Street, Suite 700</w:t>
      </w:r>
    </w:p>
    <w:p w:rsidR="00175029" w:rsidRPr="00C80BFE" w:rsidP="00175029" w14:paraId="472DFCA7" w14:textId="77777777">
      <w:pPr>
        <w:ind w:left="4320"/>
        <w:rPr>
          <w:szCs w:val="24"/>
        </w:rPr>
      </w:pPr>
      <w:r w:rsidRPr="00C80BFE">
        <w:rPr>
          <w:szCs w:val="24"/>
        </w:rPr>
        <w:t>Columbus, Ohio 43215</w:t>
      </w:r>
    </w:p>
    <w:p w:rsidR="00175029" w:rsidRPr="00C80BFE" w:rsidP="00175029" w14:paraId="4A426C22" w14:textId="77777777">
      <w:pPr>
        <w:ind w:left="4320"/>
        <w:rPr>
          <w:szCs w:val="24"/>
        </w:rPr>
      </w:pPr>
      <w:r w:rsidRPr="00C80BFE">
        <w:rPr>
          <w:color w:val="000000"/>
          <w:szCs w:val="24"/>
        </w:rPr>
        <w:t>Telephone [O’Brien]: (614) 499-9531</w:t>
      </w:r>
      <w:r w:rsidRPr="00C80BFE">
        <w:rPr>
          <w:szCs w:val="24"/>
        </w:rPr>
        <w:tab/>
      </w:r>
    </w:p>
    <w:p w:rsidR="00175029" w:rsidRPr="00C80BFE" w:rsidP="00175029" w14:paraId="713B298B" w14:textId="77777777">
      <w:pPr>
        <w:ind w:left="4320"/>
        <w:rPr>
          <w:color w:val="000000"/>
          <w:szCs w:val="24"/>
        </w:rPr>
      </w:pPr>
      <w:r w:rsidRPr="00C80BFE">
        <w:rPr>
          <w:szCs w:val="24"/>
        </w:rPr>
        <w:t>Telephone [Michael]: (</w:t>
      </w:r>
      <w:r w:rsidRPr="00C80BFE">
        <w:rPr>
          <w:color w:val="000000"/>
          <w:szCs w:val="24"/>
        </w:rPr>
        <w:t>614) 466-1291</w:t>
      </w:r>
    </w:p>
    <w:p w:rsidR="00175029" w:rsidRPr="00C80BFE" w:rsidP="00175029" w14:paraId="05B5A77F" w14:textId="77777777">
      <w:pPr>
        <w:ind w:left="4320"/>
        <w:rPr>
          <w:color w:val="000000"/>
          <w:szCs w:val="24"/>
        </w:rPr>
      </w:pPr>
      <w:r w:rsidRPr="00C80BFE">
        <w:rPr>
          <w:color w:val="000000"/>
          <w:szCs w:val="24"/>
        </w:rPr>
        <w:t>Telephone [Semple]:</w:t>
      </w:r>
      <w:r w:rsidRPr="00C80BFE">
        <w:rPr>
          <w:color w:val="000000"/>
          <w:szCs w:val="24"/>
        </w:rPr>
        <w:tab/>
        <w:t>(614) 466-9565</w:t>
      </w:r>
    </w:p>
    <w:p w:rsidR="00175029" w:rsidRPr="00C80BFE" w:rsidP="00175029" w14:paraId="24E75921" w14:textId="77777777">
      <w:pPr>
        <w:ind w:left="4320"/>
        <w:rPr>
          <w:szCs w:val="24"/>
        </w:rPr>
      </w:pPr>
      <w:hyperlink r:id="rId6" w:history="1">
        <w:r w:rsidRPr="00C80BFE">
          <w:rPr>
            <w:rStyle w:val="Hyperlink"/>
            <w:szCs w:val="24"/>
          </w:rPr>
          <w:t>angela.obrien@occ.ohio.gov</w:t>
        </w:r>
      </w:hyperlink>
    </w:p>
    <w:p w:rsidR="00175029" w:rsidRPr="00C80BFE" w:rsidP="00175029" w14:paraId="5A52FDFC" w14:textId="77777777">
      <w:pPr>
        <w:ind w:left="4320"/>
        <w:rPr>
          <w:rStyle w:val="Hyperlink"/>
          <w:rFonts w:eastAsia="Courier New"/>
          <w:szCs w:val="24"/>
        </w:rPr>
      </w:pPr>
      <w:hyperlink r:id="rId7" w:history="1">
        <w:r w:rsidRPr="00C80BFE">
          <w:rPr>
            <w:rStyle w:val="Hyperlink"/>
            <w:rFonts w:eastAsia="Courier New"/>
            <w:szCs w:val="24"/>
          </w:rPr>
          <w:t>william.michael@occ.ohio.gov</w:t>
        </w:r>
      </w:hyperlink>
    </w:p>
    <w:p w:rsidR="00175029" w:rsidRPr="00C80BFE" w:rsidP="00175029" w14:paraId="3CE692D3" w14:textId="77777777">
      <w:pPr>
        <w:ind w:left="4320"/>
        <w:rPr>
          <w:rFonts w:eastAsia="Courier New"/>
          <w:szCs w:val="24"/>
        </w:rPr>
      </w:pPr>
      <w:r w:rsidRPr="00C80BFE">
        <w:rPr>
          <w:rStyle w:val="Hyperlink"/>
          <w:rFonts w:eastAsia="Courier New"/>
          <w:szCs w:val="24"/>
        </w:rPr>
        <w:t>connor.semple@occ.ohio.gov</w:t>
      </w:r>
    </w:p>
    <w:p w:rsidR="00175029" w:rsidRPr="00C80BFE" w:rsidP="00175029" w14:paraId="749B802A" w14:textId="77777777">
      <w:pPr>
        <w:ind w:left="4320"/>
        <w:rPr>
          <w:szCs w:val="24"/>
        </w:rPr>
      </w:pPr>
      <w:r w:rsidRPr="00C80BFE">
        <w:rPr>
          <w:szCs w:val="24"/>
        </w:rPr>
        <w:t>(willing to accept service by e-mail)</w:t>
      </w:r>
    </w:p>
    <w:p w:rsidR="007737A3" w:rsidRPr="00E110EF" w14:paraId="1D3711C5" w14:textId="77777777">
      <w:pPr>
        <w:ind w:left="4320"/>
        <w:rPr>
          <w:szCs w:val="24"/>
        </w:rPr>
      </w:pPr>
    </w:p>
    <w:p w:rsidR="007737A3" w:rsidRPr="00E110EF" w14:paraId="64B16CEF" w14:textId="77777777">
      <w:pPr>
        <w:ind w:left="4320"/>
        <w:rPr>
          <w:szCs w:val="24"/>
        </w:rPr>
      </w:pPr>
    </w:p>
    <w:p w:rsidR="007737A3" w:rsidRPr="00E110EF" w14:paraId="05ACF9C6" w14:textId="77777777">
      <w:pPr>
        <w:ind w:left="4320"/>
        <w:rPr>
          <w:szCs w:val="24"/>
        </w:rPr>
        <w:sectPr>
          <w:footerReference w:type="default" r:id="rId8"/>
          <w:pgSz w:w="12240" w:h="15840"/>
          <w:pgMar w:top="1440" w:right="1800" w:bottom="1440" w:left="1800" w:header="720" w:footer="720" w:gutter="0"/>
          <w:pgNumType w:start="1"/>
          <w:cols w:space="720"/>
          <w:titlePg/>
          <w:docGrid w:linePitch="65"/>
        </w:sectPr>
      </w:pPr>
    </w:p>
    <w:p w:rsidR="007737A3" w:rsidRPr="00E110EF" w14:paraId="57F6D873" w14:textId="77777777">
      <w:pPr>
        <w:pStyle w:val="HTMLPreformatted"/>
        <w:jc w:val="center"/>
        <w:rPr>
          <w:rFonts w:ascii="Times New Roman" w:hAnsi="Times New Roman"/>
          <w:b/>
          <w:bCs/>
          <w:sz w:val="24"/>
          <w:szCs w:val="24"/>
        </w:rPr>
      </w:pPr>
      <w:r w:rsidRPr="00E110EF">
        <w:rPr>
          <w:rFonts w:ascii="Times New Roman" w:hAnsi="Times New Roman"/>
          <w:b/>
          <w:bCs/>
          <w:sz w:val="24"/>
          <w:szCs w:val="24"/>
        </w:rPr>
        <w:t>BEFORE</w:t>
      </w:r>
    </w:p>
    <w:p w:rsidR="007737A3" w:rsidRPr="00E110EF" w14:paraId="33DAA478" w14:textId="77777777">
      <w:pPr>
        <w:pStyle w:val="HTMLPreformatted"/>
        <w:jc w:val="center"/>
        <w:rPr>
          <w:rFonts w:ascii="Times New Roman" w:hAnsi="Times New Roman"/>
          <w:b/>
          <w:bCs/>
          <w:sz w:val="24"/>
          <w:szCs w:val="24"/>
        </w:rPr>
      </w:pPr>
      <w:r w:rsidRPr="00E110EF">
        <w:rPr>
          <w:rFonts w:ascii="Times New Roman" w:hAnsi="Times New Roman"/>
          <w:b/>
          <w:bCs/>
          <w:sz w:val="24"/>
          <w:szCs w:val="24"/>
        </w:rPr>
        <w:t>THE PUBLIC UTILITIES COMMISSION OF OHIO</w:t>
      </w:r>
    </w:p>
    <w:p w:rsidR="007737A3" w:rsidRPr="00E110EF" w14:paraId="65E470A0" w14:textId="77777777">
      <w:pPr>
        <w:pStyle w:val="HTMLPreformatted"/>
        <w:jc w:val="center"/>
        <w:rPr>
          <w:rFonts w:ascii="Times New Roman" w:hAnsi="Times New Roman"/>
          <w:b/>
          <w:bCs/>
          <w:sz w:val="24"/>
          <w:szCs w:val="24"/>
        </w:rPr>
      </w:pPr>
    </w:p>
    <w:tbl>
      <w:tblPr>
        <w:tblW w:w="9092" w:type="dxa"/>
        <w:tblLook w:val="01E0"/>
      </w:tblPr>
      <w:tblGrid>
        <w:gridCol w:w="4332"/>
        <w:gridCol w:w="360"/>
        <w:gridCol w:w="4400"/>
      </w:tblGrid>
      <w:tr w14:paraId="4CA666D2" w14:textId="77777777">
        <w:tblPrEx>
          <w:tblW w:w="9092" w:type="dxa"/>
          <w:tblLook w:val="01E0"/>
        </w:tblPrEx>
        <w:trPr>
          <w:trHeight w:val="807"/>
        </w:trPr>
        <w:tc>
          <w:tcPr>
            <w:tcW w:w="4332" w:type="dxa"/>
            <w:shd w:val="clear" w:color="auto" w:fill="auto"/>
          </w:tcPr>
          <w:p w:rsidR="00B226BF" w:rsidRPr="00E110EF" w:rsidP="00B226BF" w14:paraId="07C18C96" w14:textId="77777777">
            <w:pPr>
              <w:pStyle w:val="HTMLPreformatted"/>
              <w:rPr>
                <w:rFonts w:ascii="Times New Roman" w:hAnsi="Times New Roman"/>
                <w:sz w:val="24"/>
                <w:szCs w:val="24"/>
              </w:rPr>
            </w:pPr>
            <w:r w:rsidRPr="00E110EF">
              <w:rPr>
                <w:rFonts w:ascii="Times New Roman" w:hAnsi="Times New Roman"/>
                <w:sz w:val="24"/>
                <w:szCs w:val="24"/>
              </w:rPr>
              <w:t>In the Matter of the Application of Columbia Gas of Ohio, Inc. for Authority to Amend its Filed Tariffs to Increase the Rates and Charges for Gas Services and Related Matters.</w:t>
            </w:r>
          </w:p>
          <w:p w:rsidR="00B226BF" w:rsidRPr="00E110EF" w:rsidP="00B226BF" w14:paraId="273AFD88" w14:textId="77777777">
            <w:pPr>
              <w:pStyle w:val="HTMLPreformatted"/>
              <w:rPr>
                <w:rFonts w:ascii="Times New Roman" w:hAnsi="Times New Roman"/>
                <w:sz w:val="24"/>
                <w:szCs w:val="24"/>
              </w:rPr>
            </w:pPr>
          </w:p>
          <w:p w:rsidR="00B226BF" w:rsidRPr="00E110EF" w:rsidP="00B226BF" w14:paraId="1D1D163C" w14:textId="77777777">
            <w:pPr>
              <w:pStyle w:val="HTMLPreformatted"/>
              <w:rPr>
                <w:rFonts w:ascii="Times New Roman" w:hAnsi="Times New Roman"/>
                <w:sz w:val="24"/>
                <w:szCs w:val="24"/>
              </w:rPr>
            </w:pPr>
            <w:r w:rsidRPr="00E110EF">
              <w:rPr>
                <w:rFonts w:ascii="Times New Roman" w:hAnsi="Times New Roman"/>
                <w:sz w:val="24"/>
                <w:szCs w:val="24"/>
              </w:rPr>
              <w:t>In the Matter of the Application of Columbia Gas of Ohio, Inc. for Approval of an Alternative Form of Regulation.</w:t>
            </w:r>
          </w:p>
          <w:p w:rsidR="00B226BF" w:rsidRPr="00E110EF" w:rsidP="00B226BF" w14:paraId="7FEACEBD" w14:textId="77777777">
            <w:pPr>
              <w:pStyle w:val="HTMLPreformatted"/>
              <w:rPr>
                <w:rFonts w:ascii="Times New Roman" w:hAnsi="Times New Roman"/>
                <w:sz w:val="24"/>
                <w:szCs w:val="24"/>
              </w:rPr>
            </w:pPr>
          </w:p>
          <w:p w:rsidR="00B226BF" w:rsidRPr="00E110EF" w:rsidP="00B226BF" w14:paraId="6E0A2BC8" w14:textId="77777777">
            <w:pPr>
              <w:pStyle w:val="HTMLPreformatted"/>
              <w:rPr>
                <w:rFonts w:ascii="Times New Roman" w:hAnsi="Times New Roman"/>
                <w:sz w:val="24"/>
                <w:szCs w:val="24"/>
              </w:rPr>
            </w:pPr>
            <w:r w:rsidRPr="00E110EF">
              <w:rPr>
                <w:rFonts w:ascii="Times New Roman" w:hAnsi="Times New Roman"/>
                <w:sz w:val="24"/>
                <w:szCs w:val="24"/>
              </w:rPr>
              <w:t>In the Matter of the Application of Columbia Gas of Ohio, Inc. for Approval of a Demand Side Management Program for its Residential and Commercial Customers.</w:t>
            </w:r>
          </w:p>
          <w:p w:rsidR="00B226BF" w:rsidRPr="00E110EF" w:rsidP="00B226BF" w14:paraId="173E9311" w14:textId="77777777">
            <w:pPr>
              <w:pStyle w:val="HTMLPreformatted"/>
              <w:rPr>
                <w:rFonts w:ascii="Times New Roman" w:hAnsi="Times New Roman"/>
                <w:sz w:val="24"/>
                <w:szCs w:val="24"/>
              </w:rPr>
            </w:pPr>
          </w:p>
          <w:p w:rsidR="00B226BF" w:rsidRPr="00E110EF" w:rsidP="00B226BF" w14:paraId="569CACF2" w14:textId="77777777">
            <w:pPr>
              <w:autoSpaceDE w:val="0"/>
              <w:autoSpaceDN w:val="0"/>
              <w:adjustRightInd w:val="0"/>
              <w:rPr>
                <w:szCs w:val="24"/>
              </w:rPr>
            </w:pPr>
            <w:r w:rsidRPr="00E110EF">
              <w:rPr>
                <w:szCs w:val="24"/>
              </w:rPr>
              <w:t>In the Matter of the Application of Columbia Gas of Ohio, Inc. for Approval to Change Accounting Methods.</w:t>
            </w:r>
          </w:p>
        </w:tc>
        <w:tc>
          <w:tcPr>
            <w:tcW w:w="360" w:type="dxa"/>
            <w:shd w:val="clear" w:color="auto" w:fill="auto"/>
          </w:tcPr>
          <w:p w:rsidR="00B226BF" w:rsidRPr="00E110EF" w:rsidP="00B226BF" w14:paraId="53A39B7A"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46906FD0"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2E1E45E5"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5A6C3908"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04D4D5C1" w14:textId="77777777">
            <w:pPr>
              <w:pStyle w:val="HTMLPreformatted"/>
              <w:rPr>
                <w:rFonts w:ascii="Times New Roman" w:hAnsi="Times New Roman"/>
                <w:sz w:val="24"/>
                <w:szCs w:val="24"/>
                <w:lang w:val="en-US"/>
              </w:rPr>
            </w:pPr>
            <w:r w:rsidRPr="00E110EF">
              <w:rPr>
                <w:rFonts w:ascii="Times New Roman" w:hAnsi="Times New Roman"/>
                <w:sz w:val="24"/>
                <w:szCs w:val="24"/>
                <w:lang w:val="en-US"/>
              </w:rPr>
              <w:t>)</w:t>
            </w:r>
          </w:p>
          <w:p w:rsidR="00B226BF" w:rsidRPr="00E110EF" w:rsidP="00B226BF" w14:paraId="74190B87" w14:textId="77777777">
            <w:pPr>
              <w:pStyle w:val="HTMLPreformatted"/>
              <w:rPr>
                <w:rFonts w:ascii="Times New Roman" w:hAnsi="Times New Roman"/>
                <w:sz w:val="24"/>
                <w:szCs w:val="24"/>
              </w:rPr>
            </w:pPr>
          </w:p>
          <w:p w:rsidR="00B226BF" w:rsidRPr="00E110EF" w:rsidP="00B226BF" w14:paraId="7FDC1FA4"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3AB6E278"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151AF43B"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46183EB8" w14:textId="77777777">
            <w:pPr>
              <w:pStyle w:val="HTMLPreformatted"/>
              <w:rPr>
                <w:rFonts w:ascii="Times New Roman" w:hAnsi="Times New Roman"/>
                <w:sz w:val="24"/>
                <w:szCs w:val="24"/>
              </w:rPr>
            </w:pPr>
          </w:p>
          <w:p w:rsidR="00B226BF" w:rsidRPr="00E110EF" w:rsidP="00B226BF" w14:paraId="2B2AF708"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2A53ADBF"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673D48EF"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3523DCC8"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584365" w:rsidP="00B226BF" w14:paraId="3BD9A3F9" w14:textId="3EBFF1BF">
            <w:pPr>
              <w:pStyle w:val="HTMLPreformatted"/>
              <w:rPr>
                <w:rFonts w:ascii="Times New Roman" w:hAnsi="Times New Roman"/>
                <w:sz w:val="24"/>
                <w:szCs w:val="24"/>
                <w:lang w:val="en-US"/>
              </w:rPr>
            </w:pPr>
            <w:r>
              <w:rPr>
                <w:rFonts w:ascii="Times New Roman" w:hAnsi="Times New Roman"/>
                <w:sz w:val="24"/>
                <w:szCs w:val="24"/>
                <w:lang w:val="en-US"/>
              </w:rPr>
              <w:t>)</w:t>
            </w:r>
          </w:p>
          <w:p w:rsidR="00B226BF" w:rsidRPr="00E110EF" w:rsidP="00B226BF" w14:paraId="27744D97" w14:textId="3378DCEB">
            <w:pPr>
              <w:pStyle w:val="HTMLPreformatted"/>
              <w:rPr>
                <w:rFonts w:ascii="Times New Roman" w:hAnsi="Times New Roman"/>
                <w:sz w:val="24"/>
                <w:szCs w:val="24"/>
              </w:rPr>
            </w:pPr>
          </w:p>
          <w:p w:rsidR="00B226BF" w:rsidRPr="00E110EF" w:rsidP="00B226BF" w14:paraId="33D1744C"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0567444E" w14:textId="77777777">
            <w:pPr>
              <w:pStyle w:val="HTMLPreformatted"/>
              <w:rPr>
                <w:rFonts w:ascii="Times New Roman" w:hAnsi="Times New Roman"/>
                <w:sz w:val="24"/>
                <w:szCs w:val="24"/>
              </w:rPr>
            </w:pPr>
            <w:r w:rsidRPr="00E110EF">
              <w:rPr>
                <w:rFonts w:ascii="Times New Roman" w:hAnsi="Times New Roman"/>
                <w:sz w:val="24"/>
                <w:szCs w:val="24"/>
              </w:rPr>
              <w:t>)</w:t>
            </w:r>
          </w:p>
          <w:p w:rsidR="00B226BF" w:rsidRPr="00E110EF" w:rsidP="00B226BF" w14:paraId="65B41CC1" w14:textId="77777777">
            <w:pPr>
              <w:pStyle w:val="HTMLPreformatted"/>
              <w:rPr>
                <w:rFonts w:ascii="Times New Roman" w:hAnsi="Times New Roman"/>
                <w:sz w:val="24"/>
                <w:szCs w:val="24"/>
              </w:rPr>
            </w:pPr>
            <w:r w:rsidRPr="00E110EF">
              <w:rPr>
                <w:rFonts w:ascii="Times New Roman" w:hAnsi="Times New Roman"/>
                <w:sz w:val="24"/>
                <w:szCs w:val="24"/>
                <w:lang w:val="en-US"/>
              </w:rPr>
              <w:t>)</w:t>
            </w:r>
          </w:p>
        </w:tc>
        <w:tc>
          <w:tcPr>
            <w:tcW w:w="4400" w:type="dxa"/>
            <w:shd w:val="clear" w:color="auto" w:fill="auto"/>
          </w:tcPr>
          <w:p w:rsidR="00B226BF" w:rsidRPr="00E110EF" w:rsidP="00B226BF" w14:paraId="49C00FB3" w14:textId="77777777">
            <w:pPr>
              <w:pStyle w:val="HTMLPreformatted"/>
              <w:rPr>
                <w:rFonts w:ascii="Times New Roman" w:hAnsi="Times New Roman"/>
                <w:sz w:val="24"/>
                <w:szCs w:val="24"/>
              </w:rPr>
            </w:pPr>
          </w:p>
          <w:p w:rsidR="00B226BF" w:rsidRPr="00E110EF" w:rsidP="00B226BF" w14:paraId="68271BF8" w14:textId="77777777">
            <w:pPr>
              <w:pStyle w:val="HTMLPreformatted"/>
              <w:rPr>
                <w:rFonts w:ascii="Times New Roman" w:hAnsi="Times New Roman"/>
                <w:sz w:val="24"/>
                <w:szCs w:val="24"/>
              </w:rPr>
            </w:pPr>
          </w:p>
          <w:p w:rsidR="00B226BF" w:rsidRPr="00E110EF" w:rsidP="00B226BF" w14:paraId="3F68E00C" w14:textId="77777777">
            <w:pPr>
              <w:pStyle w:val="HTMLPreformatted"/>
              <w:rPr>
                <w:rFonts w:ascii="Times New Roman" w:hAnsi="Times New Roman"/>
                <w:sz w:val="24"/>
                <w:szCs w:val="24"/>
              </w:rPr>
            </w:pPr>
            <w:r w:rsidRPr="00E110EF">
              <w:rPr>
                <w:rFonts w:ascii="Times New Roman" w:hAnsi="Times New Roman"/>
                <w:sz w:val="24"/>
                <w:szCs w:val="24"/>
              </w:rPr>
              <w:t>Case No. 21-637-GA-AIR</w:t>
            </w:r>
          </w:p>
          <w:p w:rsidR="00B226BF" w:rsidRPr="00E110EF" w:rsidP="00B226BF" w14:paraId="3567F5DD" w14:textId="77777777">
            <w:pPr>
              <w:pStyle w:val="HTMLPreformatted"/>
              <w:rPr>
                <w:rFonts w:ascii="Times New Roman" w:hAnsi="Times New Roman"/>
                <w:sz w:val="24"/>
                <w:szCs w:val="24"/>
              </w:rPr>
            </w:pPr>
          </w:p>
          <w:p w:rsidR="00B226BF" w:rsidRPr="00E110EF" w:rsidP="00B226BF" w14:paraId="70500064" w14:textId="77777777">
            <w:pPr>
              <w:pStyle w:val="HTMLPreformatted"/>
              <w:rPr>
                <w:rFonts w:ascii="Times New Roman" w:hAnsi="Times New Roman"/>
                <w:sz w:val="24"/>
                <w:szCs w:val="24"/>
              </w:rPr>
            </w:pPr>
          </w:p>
          <w:p w:rsidR="00B226BF" w:rsidRPr="00E110EF" w:rsidP="00B226BF" w14:paraId="482BE5C1" w14:textId="77777777">
            <w:pPr>
              <w:pStyle w:val="HTMLPreformatted"/>
              <w:rPr>
                <w:rFonts w:ascii="Times New Roman" w:hAnsi="Times New Roman"/>
                <w:sz w:val="24"/>
                <w:szCs w:val="24"/>
              </w:rPr>
            </w:pPr>
          </w:p>
          <w:p w:rsidR="00B226BF" w:rsidRPr="00E110EF" w:rsidP="00B226BF" w14:paraId="5719E678" w14:textId="77777777">
            <w:pPr>
              <w:pStyle w:val="HTMLPreformatted"/>
              <w:rPr>
                <w:rFonts w:ascii="Times New Roman" w:hAnsi="Times New Roman"/>
                <w:sz w:val="24"/>
                <w:szCs w:val="24"/>
              </w:rPr>
            </w:pPr>
          </w:p>
          <w:p w:rsidR="00B226BF" w:rsidRPr="00E110EF" w:rsidP="00B226BF" w14:paraId="17AB5CC4" w14:textId="77777777">
            <w:pPr>
              <w:pStyle w:val="HTMLPreformatted"/>
              <w:rPr>
                <w:rFonts w:ascii="Times New Roman" w:hAnsi="Times New Roman"/>
                <w:sz w:val="24"/>
                <w:szCs w:val="24"/>
              </w:rPr>
            </w:pPr>
            <w:r w:rsidRPr="00E110EF">
              <w:rPr>
                <w:rFonts w:ascii="Times New Roman" w:hAnsi="Times New Roman"/>
                <w:sz w:val="24"/>
                <w:szCs w:val="24"/>
              </w:rPr>
              <w:t>Case No. 21-638-GA-ALT</w:t>
            </w:r>
          </w:p>
          <w:p w:rsidR="00B226BF" w:rsidRPr="00E110EF" w:rsidP="00B226BF" w14:paraId="24129682" w14:textId="77777777">
            <w:pPr>
              <w:pStyle w:val="HTMLPreformatted"/>
              <w:rPr>
                <w:rFonts w:ascii="Times New Roman" w:hAnsi="Times New Roman"/>
                <w:sz w:val="24"/>
                <w:szCs w:val="24"/>
              </w:rPr>
            </w:pPr>
          </w:p>
          <w:p w:rsidR="00B226BF" w:rsidRPr="00E110EF" w:rsidP="00B226BF" w14:paraId="7824C1C1" w14:textId="77777777">
            <w:pPr>
              <w:pStyle w:val="HTMLPreformatted"/>
              <w:rPr>
                <w:rFonts w:ascii="Times New Roman" w:hAnsi="Times New Roman"/>
                <w:sz w:val="24"/>
                <w:szCs w:val="24"/>
              </w:rPr>
            </w:pPr>
          </w:p>
          <w:p w:rsidR="00B226BF" w:rsidRPr="00E110EF" w:rsidP="00B226BF" w14:paraId="352A02B9" w14:textId="77777777">
            <w:pPr>
              <w:pStyle w:val="HTMLPreformatted"/>
              <w:rPr>
                <w:rFonts w:ascii="Times New Roman" w:hAnsi="Times New Roman"/>
                <w:sz w:val="24"/>
                <w:szCs w:val="24"/>
              </w:rPr>
            </w:pPr>
          </w:p>
          <w:p w:rsidR="00B226BF" w:rsidRPr="00E110EF" w:rsidP="00B226BF" w14:paraId="27B7458E" w14:textId="77777777">
            <w:pPr>
              <w:pStyle w:val="HTMLPreformatted"/>
              <w:rPr>
                <w:rFonts w:ascii="Times New Roman" w:hAnsi="Times New Roman"/>
                <w:sz w:val="24"/>
                <w:szCs w:val="24"/>
              </w:rPr>
            </w:pPr>
            <w:r w:rsidRPr="00E110EF">
              <w:rPr>
                <w:rFonts w:ascii="Times New Roman" w:hAnsi="Times New Roman"/>
                <w:sz w:val="24"/>
                <w:szCs w:val="24"/>
              </w:rPr>
              <w:t>Case No. 21-639-GA-UNC</w:t>
            </w:r>
          </w:p>
          <w:p w:rsidR="00B226BF" w:rsidRPr="00E110EF" w:rsidP="00B226BF" w14:paraId="3CF423F7" w14:textId="77777777">
            <w:pPr>
              <w:pStyle w:val="HTMLPreformatted"/>
              <w:rPr>
                <w:rFonts w:ascii="Times New Roman" w:hAnsi="Times New Roman"/>
                <w:sz w:val="24"/>
                <w:szCs w:val="24"/>
              </w:rPr>
            </w:pPr>
          </w:p>
          <w:p w:rsidR="00B226BF" w:rsidRPr="00E110EF" w:rsidP="00B226BF" w14:paraId="7D148A3A" w14:textId="77777777">
            <w:pPr>
              <w:pStyle w:val="HTMLPreformatted"/>
              <w:rPr>
                <w:rFonts w:ascii="Times New Roman" w:hAnsi="Times New Roman"/>
                <w:sz w:val="24"/>
                <w:szCs w:val="24"/>
              </w:rPr>
            </w:pPr>
          </w:p>
          <w:p w:rsidR="00B226BF" w:rsidRPr="00E110EF" w:rsidP="00B226BF" w14:paraId="1807C890" w14:textId="77777777">
            <w:pPr>
              <w:pStyle w:val="HTMLPreformatted"/>
              <w:rPr>
                <w:rFonts w:ascii="Times New Roman" w:hAnsi="Times New Roman"/>
                <w:sz w:val="24"/>
                <w:szCs w:val="24"/>
              </w:rPr>
            </w:pPr>
          </w:p>
          <w:p w:rsidR="00B226BF" w:rsidRPr="00E110EF" w:rsidP="00B226BF" w14:paraId="7DA5E897" w14:textId="77777777">
            <w:pPr>
              <w:pStyle w:val="HTMLPreformatted"/>
              <w:rPr>
                <w:rFonts w:ascii="Times New Roman" w:hAnsi="Times New Roman"/>
                <w:sz w:val="24"/>
                <w:szCs w:val="24"/>
              </w:rPr>
            </w:pPr>
          </w:p>
          <w:p w:rsidR="00B226BF" w:rsidRPr="00E110EF" w:rsidP="00B226BF" w14:paraId="60D8F678" w14:textId="77777777">
            <w:pPr>
              <w:pStyle w:val="HTMLPreformatted"/>
              <w:rPr>
                <w:rFonts w:ascii="Times New Roman" w:hAnsi="Times New Roman"/>
                <w:sz w:val="24"/>
                <w:szCs w:val="24"/>
              </w:rPr>
            </w:pPr>
            <w:r w:rsidRPr="00E110EF">
              <w:rPr>
                <w:rFonts w:ascii="Times New Roman" w:hAnsi="Times New Roman"/>
                <w:sz w:val="24"/>
                <w:szCs w:val="24"/>
              </w:rPr>
              <w:t>Case No. 21-640-GA-AAM</w:t>
            </w:r>
          </w:p>
          <w:p w:rsidR="00B226BF" w:rsidRPr="00E110EF" w:rsidP="00B226BF" w14:paraId="7E743F1E" w14:textId="77777777">
            <w:pPr>
              <w:rPr>
                <w:i/>
                <w:szCs w:val="24"/>
              </w:rPr>
            </w:pPr>
          </w:p>
        </w:tc>
      </w:tr>
    </w:tbl>
    <w:p w:rsidR="007737A3" w:rsidRPr="00E110EF" w14:paraId="26C3691F" w14:textId="77777777">
      <w:pPr>
        <w:pStyle w:val="HTMLPreformatted"/>
        <w:rPr>
          <w:rFonts w:ascii="Times New Roman" w:hAnsi="Times New Roman"/>
          <w:sz w:val="24"/>
          <w:szCs w:val="24"/>
        </w:rPr>
      </w:pPr>
    </w:p>
    <w:p w:rsidR="007737A3" w:rsidRPr="00E110EF" w14:paraId="31A49424" w14:textId="77777777">
      <w:pPr>
        <w:pStyle w:val="HTMLPreformatted"/>
        <w:pBdr>
          <w:top w:val="single" w:sz="12" w:space="1" w:color="auto"/>
        </w:pBdr>
        <w:rPr>
          <w:rFonts w:ascii="Times New Roman" w:hAnsi="Times New Roman"/>
          <w:sz w:val="24"/>
          <w:szCs w:val="24"/>
        </w:rPr>
      </w:pPr>
    </w:p>
    <w:p w:rsidR="007737A3" w:rsidRPr="00E110EF" w14:paraId="11D406AB" w14:textId="77777777">
      <w:pPr>
        <w:jc w:val="center"/>
        <w:rPr>
          <w:b/>
          <w:bCs/>
          <w:szCs w:val="24"/>
        </w:rPr>
      </w:pPr>
      <w:r w:rsidRPr="00E110EF">
        <w:rPr>
          <w:b/>
          <w:bCs/>
          <w:szCs w:val="24"/>
        </w:rPr>
        <w:t>MEMORANDUM IN SUPPORT</w:t>
      </w:r>
    </w:p>
    <w:p w:rsidR="007737A3" w:rsidRPr="00E110EF" w14:paraId="0E107C94" w14:textId="77777777">
      <w:pPr>
        <w:pBdr>
          <w:bottom w:val="single" w:sz="12" w:space="1" w:color="auto"/>
        </w:pBdr>
        <w:tabs>
          <w:tab w:val="left" w:pos="4320"/>
        </w:tabs>
        <w:rPr>
          <w:szCs w:val="24"/>
        </w:rPr>
      </w:pPr>
    </w:p>
    <w:p w:rsidR="007737A3" w:rsidRPr="00E110EF" w14:paraId="298804EC" w14:textId="77777777">
      <w:pPr>
        <w:rPr>
          <w:b/>
          <w:bCs/>
          <w:szCs w:val="24"/>
        </w:rPr>
      </w:pPr>
    </w:p>
    <w:p w:rsidR="00C74BDC" w:rsidRPr="00C74BDC" w:rsidP="001F3A55" w14:paraId="2E04EC95" w14:textId="5F5650D4">
      <w:pPr>
        <w:pStyle w:val="Heading1"/>
      </w:pPr>
      <w:r w:rsidRPr="00C74BDC">
        <w:t>INTRODUCTION</w:t>
      </w:r>
    </w:p>
    <w:p w:rsidR="00736416" w14:paraId="34AEBA17" w14:textId="7042C5EE">
      <w:pPr>
        <w:spacing w:line="480" w:lineRule="auto"/>
        <w:ind w:firstLine="720"/>
        <w:rPr>
          <w:szCs w:val="24"/>
        </w:rPr>
      </w:pPr>
      <w:r w:rsidRPr="00E110EF">
        <w:rPr>
          <w:color w:val="000000"/>
          <w:szCs w:val="24"/>
        </w:rPr>
        <w:t xml:space="preserve">The record in this case was closed on </w:t>
      </w:r>
      <w:r w:rsidRPr="00E110EF" w:rsidR="00B00AB1">
        <w:rPr>
          <w:color w:val="000000"/>
          <w:szCs w:val="24"/>
        </w:rPr>
        <w:t>November 16, 2022</w:t>
      </w:r>
      <w:r w:rsidRPr="00E110EF">
        <w:rPr>
          <w:color w:val="000000"/>
          <w:szCs w:val="24"/>
        </w:rPr>
        <w:t>.</w:t>
      </w:r>
      <w:r>
        <w:rPr>
          <w:rStyle w:val="FootnoteReference"/>
          <w:color w:val="000000"/>
          <w:szCs w:val="24"/>
        </w:rPr>
        <w:footnoteReference w:id="6"/>
      </w:r>
      <w:r w:rsidRPr="00E110EF">
        <w:rPr>
          <w:color w:val="000000"/>
          <w:szCs w:val="24"/>
        </w:rPr>
        <w:t xml:space="preserve"> But now, in its </w:t>
      </w:r>
      <w:r w:rsidRPr="00E110EF" w:rsidR="00FF08D3">
        <w:rPr>
          <w:color w:val="000000"/>
          <w:szCs w:val="24"/>
        </w:rPr>
        <w:t>post-hearing brief</w:t>
      </w:r>
      <w:r w:rsidRPr="00E110EF">
        <w:rPr>
          <w:color w:val="000000"/>
          <w:szCs w:val="24"/>
        </w:rPr>
        <w:t xml:space="preserve">, </w:t>
      </w:r>
      <w:r w:rsidRPr="00E110EF" w:rsidR="00B00AB1">
        <w:rPr>
          <w:color w:val="000000"/>
          <w:szCs w:val="24"/>
        </w:rPr>
        <w:t xml:space="preserve">OPAE </w:t>
      </w:r>
      <w:r w:rsidRPr="00E110EF">
        <w:rPr>
          <w:color w:val="000000"/>
          <w:szCs w:val="24"/>
        </w:rPr>
        <w:t xml:space="preserve">cites </w:t>
      </w:r>
      <w:r w:rsidRPr="00E110EF" w:rsidR="00F51D3B">
        <w:rPr>
          <w:color w:val="000000"/>
          <w:szCs w:val="24"/>
        </w:rPr>
        <w:t xml:space="preserve">to documents that </w:t>
      </w:r>
      <w:r w:rsidR="0039024E">
        <w:rPr>
          <w:color w:val="000000"/>
          <w:szCs w:val="24"/>
        </w:rPr>
        <w:t>that it did</w:t>
      </w:r>
      <w:r w:rsidRPr="00E110EF" w:rsidR="0039024E">
        <w:rPr>
          <w:color w:val="000000"/>
          <w:szCs w:val="24"/>
        </w:rPr>
        <w:t xml:space="preserve"> </w:t>
      </w:r>
      <w:r w:rsidRPr="00E110EF" w:rsidR="00F51D3B">
        <w:rPr>
          <w:color w:val="000000"/>
          <w:szCs w:val="24"/>
        </w:rPr>
        <w:t>not</w:t>
      </w:r>
      <w:r w:rsidR="0039024E">
        <w:rPr>
          <w:color w:val="000000"/>
          <w:szCs w:val="24"/>
        </w:rPr>
        <w:t xml:space="preserve"> seek to have</w:t>
      </w:r>
      <w:r w:rsidRPr="00E110EF" w:rsidR="00F51D3B">
        <w:rPr>
          <w:color w:val="000000"/>
          <w:szCs w:val="24"/>
        </w:rPr>
        <w:t xml:space="preserve"> </w:t>
      </w:r>
      <w:r w:rsidRPr="00E110EF">
        <w:rPr>
          <w:color w:val="000000"/>
          <w:szCs w:val="24"/>
        </w:rPr>
        <w:t>admitted into the record</w:t>
      </w:r>
      <w:r w:rsidR="0039024E">
        <w:rPr>
          <w:color w:val="000000"/>
          <w:szCs w:val="24"/>
        </w:rPr>
        <w:t xml:space="preserve"> and that accordingly were not subject to the hearing process for contesting purported evidence</w:t>
      </w:r>
      <w:r w:rsidRPr="00E110EF">
        <w:rPr>
          <w:color w:val="000000"/>
          <w:szCs w:val="24"/>
        </w:rPr>
        <w:t xml:space="preserve">. </w:t>
      </w:r>
      <w:r w:rsidR="004A7158">
        <w:rPr>
          <w:color w:val="000000"/>
          <w:szCs w:val="24"/>
        </w:rPr>
        <w:t xml:space="preserve">OPAE offers </w:t>
      </w:r>
      <w:r w:rsidR="00BB2895">
        <w:rPr>
          <w:color w:val="000000"/>
          <w:szCs w:val="24"/>
        </w:rPr>
        <w:t>this non-record</w:t>
      </w:r>
      <w:r w:rsidR="004A7158">
        <w:rPr>
          <w:color w:val="000000"/>
          <w:szCs w:val="24"/>
        </w:rPr>
        <w:t xml:space="preserve"> information </w:t>
      </w:r>
      <w:r w:rsidR="00BB2895">
        <w:rPr>
          <w:color w:val="000000"/>
          <w:szCs w:val="24"/>
        </w:rPr>
        <w:t>for the purpose of speculating about OCC’s motives for signing the Stipulation.</w:t>
      </w:r>
      <w:r w:rsidR="004A7158">
        <w:rPr>
          <w:color w:val="000000"/>
          <w:szCs w:val="24"/>
        </w:rPr>
        <w:t xml:space="preserve"> </w:t>
      </w:r>
      <w:r w:rsidRPr="00E110EF">
        <w:rPr>
          <w:szCs w:val="24"/>
        </w:rPr>
        <w:t xml:space="preserve">This should not be permitted, consistent with PUCO precedent. </w:t>
      </w:r>
    </w:p>
    <w:p w:rsidR="00736416" w14:paraId="4ADF9033" w14:textId="77777777">
      <w:pPr>
        <w:spacing w:line="480" w:lineRule="auto"/>
        <w:ind w:firstLine="720"/>
        <w:rPr>
          <w:szCs w:val="24"/>
        </w:rPr>
      </w:pPr>
    </w:p>
    <w:p w:rsidR="00736416" w:rsidRPr="00736416" w:rsidP="001F3A55" w14:paraId="53744DDF" w14:textId="0E7BAD70">
      <w:pPr>
        <w:pStyle w:val="Heading1"/>
      </w:pPr>
      <w:r>
        <w:t>RECOMMENDATIONS</w:t>
      </w:r>
    </w:p>
    <w:p w:rsidR="007737A3" w:rsidRPr="00E110EF" w14:paraId="62318C54" w14:textId="41900169">
      <w:pPr>
        <w:spacing w:line="480" w:lineRule="auto"/>
        <w:ind w:firstLine="720"/>
        <w:rPr>
          <w:color w:val="000000"/>
          <w:szCs w:val="24"/>
        </w:rPr>
      </w:pPr>
      <w:r w:rsidRPr="00E110EF">
        <w:rPr>
          <w:szCs w:val="24"/>
        </w:rPr>
        <w:t>The PUCO</w:t>
      </w:r>
      <w:r w:rsidRPr="00E110EF" w:rsidR="00D37095">
        <w:rPr>
          <w:szCs w:val="24"/>
        </w:rPr>
        <w:t>’</w:t>
      </w:r>
      <w:r w:rsidRPr="00E110EF">
        <w:rPr>
          <w:szCs w:val="24"/>
        </w:rPr>
        <w:t>s precedent regarding post-hearing briefs is fair</w:t>
      </w:r>
      <w:r w:rsidR="00725B12">
        <w:rPr>
          <w:szCs w:val="24"/>
        </w:rPr>
        <w:t xml:space="preserve"> and </w:t>
      </w:r>
      <w:r w:rsidRPr="00E110EF">
        <w:rPr>
          <w:szCs w:val="24"/>
        </w:rPr>
        <w:t>reasonable</w:t>
      </w:r>
      <w:r w:rsidR="00725B12">
        <w:rPr>
          <w:szCs w:val="24"/>
        </w:rPr>
        <w:t>.</w:t>
      </w:r>
      <w:r w:rsidRPr="00E110EF">
        <w:rPr>
          <w:szCs w:val="24"/>
        </w:rPr>
        <w:t xml:space="preserve"> Parties can cite record evidence in their briefs. Parties can cite documents that have been administratively noticed.</w:t>
      </w:r>
      <w:r>
        <w:rPr>
          <w:rStyle w:val="FootnoteReference"/>
          <w:szCs w:val="24"/>
        </w:rPr>
        <w:footnoteReference w:id="7"/>
      </w:r>
      <w:r w:rsidRPr="00E110EF">
        <w:rPr>
          <w:szCs w:val="24"/>
        </w:rPr>
        <w:t xml:space="preserve"> Parties can cite PUCO orders and entries.</w:t>
      </w:r>
      <w:r>
        <w:rPr>
          <w:rStyle w:val="FootnoteReference"/>
          <w:szCs w:val="24"/>
        </w:rPr>
        <w:footnoteReference w:id="8"/>
      </w:r>
      <w:r w:rsidRPr="00E110EF">
        <w:rPr>
          <w:szCs w:val="24"/>
        </w:rPr>
        <w:t xml:space="preserve"> </w:t>
      </w:r>
      <w:r w:rsidRPr="002D15FD">
        <w:rPr>
          <w:i/>
          <w:iCs/>
          <w:szCs w:val="24"/>
        </w:rPr>
        <w:t>Parties cannot cite facts not in evidence.</w:t>
      </w:r>
      <w:r>
        <w:rPr>
          <w:rStyle w:val="FootnoteReference"/>
          <w:szCs w:val="24"/>
        </w:rPr>
        <w:footnoteReference w:id="9"/>
      </w:r>
      <w:r w:rsidRPr="00E110EF">
        <w:rPr>
          <w:szCs w:val="24"/>
        </w:rPr>
        <w:t xml:space="preserve"> </w:t>
      </w:r>
      <w:r w:rsidRPr="002D15FD">
        <w:rPr>
          <w:i/>
          <w:iCs/>
          <w:szCs w:val="24"/>
        </w:rPr>
        <w:t xml:space="preserve">Parties cannot cite documents filed in PUCO </w:t>
      </w:r>
      <w:r w:rsidRPr="002D15FD">
        <w:rPr>
          <w:i/>
          <w:iCs/>
          <w:color w:val="000000"/>
          <w:szCs w:val="24"/>
        </w:rPr>
        <w:t>proceedings (applications, stipulations, briefs, etc.) unless those documents are either admitted into the record or administratively noticed.</w:t>
      </w:r>
      <w:r>
        <w:rPr>
          <w:rStyle w:val="FootnoteReference"/>
          <w:color w:val="000000"/>
          <w:szCs w:val="24"/>
        </w:rPr>
        <w:footnoteReference w:id="10"/>
      </w:r>
      <w:r w:rsidRPr="00E110EF">
        <w:rPr>
          <w:color w:val="000000"/>
          <w:szCs w:val="24"/>
        </w:rPr>
        <w:t xml:space="preserve"> </w:t>
      </w:r>
      <w:r w:rsidR="004A7158">
        <w:rPr>
          <w:color w:val="000000"/>
          <w:szCs w:val="24"/>
        </w:rPr>
        <w:t xml:space="preserve">The PUCO’s precedent </w:t>
      </w:r>
      <w:r w:rsidR="00BB2895">
        <w:rPr>
          <w:color w:val="000000"/>
          <w:szCs w:val="24"/>
        </w:rPr>
        <w:t xml:space="preserve">gives parties a </w:t>
      </w:r>
      <w:r w:rsidR="004A7158">
        <w:rPr>
          <w:color w:val="000000"/>
          <w:szCs w:val="24"/>
        </w:rPr>
        <w:t xml:space="preserve">fundamental right to challenge information that a party seeks to introduce. </w:t>
      </w:r>
    </w:p>
    <w:p w:rsidR="007737A3" w:rsidRPr="00E110EF" w14:paraId="21E14E01" w14:textId="098D8F26">
      <w:pPr>
        <w:spacing w:line="480" w:lineRule="auto"/>
        <w:ind w:firstLine="720"/>
        <w:rPr>
          <w:color w:val="000000"/>
          <w:szCs w:val="24"/>
        </w:rPr>
      </w:pPr>
      <w:r>
        <w:rPr>
          <w:color w:val="000000"/>
          <w:szCs w:val="24"/>
        </w:rPr>
        <w:t xml:space="preserve">But </w:t>
      </w:r>
      <w:r w:rsidRPr="00E110EF" w:rsidR="00A71746">
        <w:rPr>
          <w:color w:val="000000"/>
          <w:szCs w:val="24"/>
        </w:rPr>
        <w:t>OPAE</w:t>
      </w:r>
      <w:r>
        <w:rPr>
          <w:color w:val="000000"/>
          <w:szCs w:val="24"/>
        </w:rPr>
        <w:t xml:space="preserve"> does not follow the legal convention of what cannot be included in a</w:t>
      </w:r>
      <w:r w:rsidRPr="00E110EF" w:rsidR="00A71746">
        <w:rPr>
          <w:color w:val="000000"/>
          <w:szCs w:val="24"/>
        </w:rPr>
        <w:t xml:space="preserve"> post-hearing brief</w:t>
      </w:r>
      <w:r>
        <w:rPr>
          <w:color w:val="000000"/>
          <w:szCs w:val="24"/>
        </w:rPr>
        <w:t>. OPAE</w:t>
      </w:r>
      <w:r w:rsidRPr="00E110EF" w:rsidR="00A71746">
        <w:rPr>
          <w:color w:val="000000"/>
          <w:szCs w:val="24"/>
        </w:rPr>
        <w:t xml:space="preserve"> </w:t>
      </w:r>
      <w:r w:rsidRPr="00E110EF" w:rsidR="00E4742D">
        <w:rPr>
          <w:color w:val="000000"/>
          <w:szCs w:val="24"/>
        </w:rPr>
        <w:t>relies</w:t>
      </w:r>
      <w:r w:rsidRPr="00E110EF">
        <w:rPr>
          <w:color w:val="000000"/>
          <w:szCs w:val="24"/>
        </w:rPr>
        <w:t xml:space="preserve"> on information that is not part of the record in this case. </w:t>
      </w:r>
      <w:r w:rsidRPr="00E110EF" w:rsidR="00E4742D">
        <w:rPr>
          <w:color w:val="000000"/>
          <w:szCs w:val="24"/>
        </w:rPr>
        <w:t xml:space="preserve">OPAE instead cites to documents filed in </w:t>
      </w:r>
      <w:r w:rsidRPr="002D15FD" w:rsidR="00E4742D">
        <w:rPr>
          <w:i/>
          <w:iCs/>
          <w:color w:val="000000"/>
          <w:szCs w:val="24"/>
        </w:rPr>
        <w:t>other</w:t>
      </w:r>
      <w:r w:rsidRPr="00E110EF" w:rsidR="00E4742D">
        <w:rPr>
          <w:color w:val="000000"/>
          <w:szCs w:val="24"/>
        </w:rPr>
        <w:t xml:space="preserve"> PUCO proceedings.</w:t>
      </w:r>
    </w:p>
    <w:p w:rsidR="007737A3" w:rsidRPr="00E110EF" w14:paraId="5B7A4DE2" w14:textId="40D8162C">
      <w:pPr>
        <w:spacing w:line="480" w:lineRule="auto"/>
        <w:ind w:firstLine="720"/>
        <w:rPr>
          <w:szCs w:val="24"/>
        </w:rPr>
      </w:pPr>
      <w:r w:rsidRPr="00E110EF">
        <w:rPr>
          <w:color w:val="000000"/>
          <w:szCs w:val="24"/>
        </w:rPr>
        <w:t xml:space="preserve">The PUCO should strike the portions of </w:t>
      </w:r>
      <w:r w:rsidRPr="00E110EF" w:rsidR="00FF08D3">
        <w:rPr>
          <w:color w:val="000000"/>
          <w:szCs w:val="24"/>
        </w:rPr>
        <w:t>OPAE’s brief that rel</w:t>
      </w:r>
      <w:r w:rsidR="00725B12">
        <w:rPr>
          <w:color w:val="000000"/>
          <w:szCs w:val="24"/>
        </w:rPr>
        <w:t>y</w:t>
      </w:r>
      <w:r w:rsidRPr="00E110EF">
        <w:rPr>
          <w:color w:val="000000"/>
          <w:szCs w:val="24"/>
        </w:rPr>
        <w:t xml:space="preserve"> on information that has not been admitted as evidence in this proceeding and that constitutes hearsay. The PUCO should not consider</w:t>
      </w:r>
      <w:r w:rsidRPr="00E110EF">
        <w:rPr>
          <w:szCs w:val="24"/>
        </w:rPr>
        <w:t xml:space="preserve"> or rely on that information, which is outside a fair hearing process, in deciding the merits of this case affecting over </w:t>
      </w:r>
      <w:r w:rsidRPr="00E110EF" w:rsidR="00FF08D3">
        <w:rPr>
          <w:szCs w:val="24"/>
        </w:rPr>
        <w:t>1.</w:t>
      </w:r>
      <w:r w:rsidR="00E625EE">
        <w:rPr>
          <w:szCs w:val="24"/>
        </w:rPr>
        <w:t>4</w:t>
      </w:r>
      <w:r w:rsidRPr="00E110EF" w:rsidR="00FF08D3">
        <w:rPr>
          <w:szCs w:val="24"/>
        </w:rPr>
        <w:t xml:space="preserve"> million</w:t>
      </w:r>
      <w:r w:rsidRPr="00E110EF">
        <w:rPr>
          <w:szCs w:val="24"/>
        </w:rPr>
        <w:t xml:space="preserve"> consumers.</w:t>
      </w:r>
    </w:p>
    <w:p w:rsidR="007737A3" w:rsidRPr="00E110EF" w14:paraId="7E0AC8EA" w14:textId="58DCE800">
      <w:pPr>
        <w:spacing w:line="480" w:lineRule="auto"/>
        <w:ind w:firstLine="720"/>
        <w:rPr>
          <w:szCs w:val="24"/>
        </w:rPr>
      </w:pPr>
      <w:bookmarkStart w:id="0" w:name="_Toc422754477"/>
      <w:bookmarkStart w:id="1" w:name="_Toc463363873"/>
      <w:r w:rsidRPr="00E110EF">
        <w:rPr>
          <w:szCs w:val="24"/>
        </w:rPr>
        <w:t xml:space="preserve">OPAE’s </w:t>
      </w:r>
      <w:r w:rsidRPr="00E110EF" w:rsidR="00B02919">
        <w:rPr>
          <w:szCs w:val="24"/>
        </w:rPr>
        <w:t xml:space="preserve">reply </w:t>
      </w:r>
      <w:r w:rsidRPr="00E110EF">
        <w:rPr>
          <w:szCs w:val="24"/>
        </w:rPr>
        <w:t>brief relies</w:t>
      </w:r>
      <w:r w:rsidRPr="00E110EF">
        <w:rPr>
          <w:szCs w:val="24"/>
        </w:rPr>
        <w:t xml:space="preserve"> on (i) </w:t>
      </w:r>
      <w:r w:rsidRPr="00E110EF">
        <w:rPr>
          <w:szCs w:val="24"/>
        </w:rPr>
        <w:t>OCC’s Initial Brief in Case No. 21-887-EL-AIR</w:t>
      </w:r>
      <w:r w:rsidRPr="00E110EF">
        <w:rPr>
          <w:szCs w:val="24"/>
        </w:rPr>
        <w:t>,</w:t>
      </w:r>
      <w:r>
        <w:rPr>
          <w:rStyle w:val="FootnoteReference"/>
          <w:szCs w:val="24"/>
        </w:rPr>
        <w:footnoteReference w:id="11"/>
      </w:r>
      <w:r w:rsidRPr="00E110EF">
        <w:rPr>
          <w:szCs w:val="24"/>
        </w:rPr>
        <w:t xml:space="preserve"> (ii) </w:t>
      </w:r>
      <w:r w:rsidRPr="00E110EF">
        <w:rPr>
          <w:szCs w:val="24"/>
        </w:rPr>
        <w:t>Columbia’s Initial Brief in 19-1940-GA-RDR</w:t>
      </w:r>
      <w:r w:rsidRPr="00E110EF">
        <w:rPr>
          <w:szCs w:val="24"/>
        </w:rPr>
        <w:t>,</w:t>
      </w:r>
      <w:r>
        <w:rPr>
          <w:rStyle w:val="FootnoteReference"/>
          <w:szCs w:val="24"/>
        </w:rPr>
        <w:footnoteReference w:id="12"/>
      </w:r>
      <w:r w:rsidRPr="00E110EF">
        <w:rPr>
          <w:szCs w:val="24"/>
        </w:rPr>
        <w:t xml:space="preserve"> and (iii) </w:t>
      </w:r>
      <w:r w:rsidRPr="00E110EF">
        <w:rPr>
          <w:szCs w:val="24"/>
        </w:rPr>
        <w:t>Direct Testimony of Kenneth Costello in Case No. 19-1940-GA-RDR</w:t>
      </w:r>
      <w:r w:rsidRPr="00E110EF">
        <w:rPr>
          <w:szCs w:val="24"/>
        </w:rPr>
        <w:t>.</w:t>
      </w:r>
      <w:r>
        <w:rPr>
          <w:rStyle w:val="FootnoteReference"/>
          <w:szCs w:val="24"/>
        </w:rPr>
        <w:footnoteReference w:id="13"/>
      </w:r>
      <w:r w:rsidRPr="00E110EF">
        <w:rPr>
          <w:szCs w:val="24"/>
        </w:rPr>
        <w:t xml:space="preserve"> These documents were not admitted into the evidentiary record. </w:t>
      </w:r>
      <w:r w:rsidRPr="00E110EF">
        <w:rPr>
          <w:szCs w:val="24"/>
        </w:rPr>
        <w:t>OPAE</w:t>
      </w:r>
      <w:r w:rsidRPr="00E110EF">
        <w:rPr>
          <w:szCs w:val="24"/>
        </w:rPr>
        <w:t xml:space="preserve"> did not offer these documents as evidence. </w:t>
      </w:r>
      <w:r w:rsidRPr="00E110EF">
        <w:rPr>
          <w:szCs w:val="24"/>
        </w:rPr>
        <w:t>OPAE</w:t>
      </w:r>
      <w:r w:rsidRPr="00E110EF">
        <w:rPr>
          <w:szCs w:val="24"/>
        </w:rPr>
        <w:t xml:space="preserve"> offered no testimony supporting the information in these documents. Yet now, when there is no opportunity to test </w:t>
      </w:r>
      <w:r w:rsidRPr="00E110EF">
        <w:rPr>
          <w:szCs w:val="24"/>
        </w:rPr>
        <w:t>OPAE</w:t>
      </w:r>
      <w:r w:rsidR="00582D8B">
        <w:rPr>
          <w:szCs w:val="24"/>
        </w:rPr>
        <w:t>’s</w:t>
      </w:r>
      <w:r w:rsidRPr="00E110EF">
        <w:rPr>
          <w:szCs w:val="24"/>
        </w:rPr>
        <w:t xml:space="preserve"> assertions, it relies on this non-record information in its arguments to the PUCO. This is unfair and should not be permitted, consistent with PUCO practice. </w:t>
      </w:r>
    </w:p>
    <w:p w:rsidR="007737A3" w:rsidRPr="00E110EF" w14:paraId="7ECAB5D6" w14:textId="243254CD">
      <w:pPr>
        <w:spacing w:line="480" w:lineRule="auto"/>
        <w:ind w:firstLine="720"/>
        <w:rPr>
          <w:szCs w:val="24"/>
        </w:rPr>
      </w:pPr>
      <w:r w:rsidRPr="00E110EF">
        <w:rPr>
          <w:szCs w:val="24"/>
        </w:rPr>
        <w:t>OPAE’s</w:t>
      </w:r>
      <w:r w:rsidRPr="00E110EF">
        <w:rPr>
          <w:szCs w:val="24"/>
        </w:rPr>
        <w:t xml:space="preserve"> reliance on non-record information is improper and violates PUCO precedent. The PUCO has continuously rejected efforts by parties to include information in a brief that is not part of the record, including information that was submitted in other PUCO proceedings.</w:t>
      </w:r>
      <w:r>
        <w:rPr>
          <w:rStyle w:val="FootnoteReference"/>
          <w:szCs w:val="24"/>
        </w:rPr>
        <w:footnoteReference w:id="14"/>
      </w:r>
      <w:r w:rsidRPr="00E110EF">
        <w:rPr>
          <w:szCs w:val="24"/>
        </w:rPr>
        <w:t xml:space="preserve"> In doing so, the PUCO has defended fairness in its processes by noting: "If we were to allow evidence to be admitted in such a manner, any document in question would not be supported by testimony and the opposing party would have no opportunity to conduct cross-examination concerning the document or to refute statements contained in the document."</w:t>
      </w:r>
      <w:r>
        <w:rPr>
          <w:rStyle w:val="FootnoteReference"/>
          <w:szCs w:val="24"/>
        </w:rPr>
        <w:footnoteReference w:id="15"/>
      </w:r>
      <w:r w:rsidR="00E110EF">
        <w:rPr>
          <w:szCs w:val="24"/>
        </w:rPr>
        <w:t xml:space="preserve"> </w:t>
      </w:r>
    </w:p>
    <w:p w:rsidR="005C7126" w:rsidRPr="00E110EF" w:rsidP="002D15FD" w14:paraId="136DEB44" w14:textId="3DF45914">
      <w:pPr>
        <w:spacing w:line="480" w:lineRule="auto"/>
        <w:ind w:firstLine="720"/>
      </w:pPr>
      <w:r w:rsidRPr="00E110EF">
        <w:rPr>
          <w:szCs w:val="24"/>
        </w:rPr>
        <w:t>Because</w:t>
      </w:r>
      <w:r w:rsidRPr="00E110EF" w:rsidR="00E4742D">
        <w:rPr>
          <w:szCs w:val="24"/>
        </w:rPr>
        <w:t xml:space="preserve"> OPAE</w:t>
      </w:r>
      <w:r w:rsidRPr="00E110EF">
        <w:rPr>
          <w:szCs w:val="24"/>
        </w:rPr>
        <w:t xml:space="preserve"> did not seek admission of these documents into the record, OCC had not had the opportunity to test </w:t>
      </w:r>
      <w:r w:rsidRPr="00E110EF" w:rsidR="00E4742D">
        <w:rPr>
          <w:szCs w:val="24"/>
        </w:rPr>
        <w:t>OPAE’s</w:t>
      </w:r>
      <w:r w:rsidRPr="00E110EF">
        <w:rPr>
          <w:szCs w:val="24"/>
        </w:rPr>
        <w:t xml:space="preserve"> extra-record information. This prejudices OCC and the consumers it represents. </w:t>
      </w:r>
      <w:r w:rsidRPr="00E110EF">
        <w:rPr>
          <w:szCs w:val="24"/>
        </w:rPr>
        <w:t>The PUCO should strike the following portions of OPAE’s reply brief</w:t>
      </w:r>
      <w:r w:rsidR="00BB2895">
        <w:rPr>
          <w:szCs w:val="24"/>
        </w:rPr>
        <w:t>,</w:t>
      </w:r>
      <w:r>
        <w:rPr>
          <w:szCs w:val="24"/>
        </w:rPr>
        <w:t xml:space="preserve"> </w:t>
      </w:r>
      <w:r w:rsidRPr="00E110EF">
        <w:rPr>
          <w:szCs w:val="24"/>
        </w:rPr>
        <w:t>consistent with PUCO precedent</w:t>
      </w:r>
      <w:r w:rsidR="00736416">
        <w:rPr>
          <w:szCs w:val="24"/>
        </w:rPr>
        <w:t>:</w:t>
      </w:r>
    </w:p>
    <w:p w:rsidR="00BB2895" w:rsidP="007458CF" w14:paraId="5BC03779" w14:textId="10A592DA">
      <w:pPr>
        <w:pStyle w:val="HTMLPreformatted"/>
        <w:keepNext/>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left="1440" w:hanging="720"/>
        <w:rPr>
          <w:rFonts w:ascii="Times New Roman" w:hAnsi="Times New Roman"/>
          <w:sz w:val="24"/>
          <w:szCs w:val="24"/>
          <w:lang w:val="en-US"/>
        </w:rPr>
      </w:pPr>
      <w:r>
        <w:rPr>
          <w:rFonts w:ascii="Times New Roman" w:hAnsi="Times New Roman"/>
          <w:sz w:val="24"/>
          <w:szCs w:val="24"/>
          <w:lang w:val="en-US"/>
        </w:rPr>
        <w:t xml:space="preserve">Page 4-5, beginning with “As Columbia previously,” and ending with “gas DSM Program,” including all related footnotes. </w:t>
      </w:r>
    </w:p>
    <w:p w:rsidR="005C7126" w:rsidRPr="00BB2895" w:rsidP="007458CF" w14:paraId="15034DA5" w14:textId="5B763818">
      <w:pPr>
        <w:pStyle w:val="HTMLPreformatted"/>
        <w:keepNext/>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40"/>
        <w:ind w:left="1440" w:hanging="720"/>
        <w:rPr>
          <w:rFonts w:ascii="Times New Roman" w:hAnsi="Times New Roman"/>
          <w:sz w:val="24"/>
          <w:szCs w:val="24"/>
          <w:lang w:val="en-US"/>
        </w:rPr>
      </w:pPr>
      <w:r w:rsidRPr="00E110EF">
        <w:rPr>
          <w:rFonts w:ascii="Times New Roman" w:hAnsi="Times New Roman"/>
          <w:sz w:val="24"/>
          <w:szCs w:val="24"/>
          <w:lang w:val="en-US"/>
        </w:rPr>
        <w:t xml:space="preserve">Page 7, beginning with “For example,” and ending with “Duke </w:t>
      </w:r>
      <w:r w:rsidRPr="00E110EF" w:rsidR="001F3A55">
        <w:rPr>
          <w:rFonts w:ascii="Times New Roman" w:hAnsi="Times New Roman"/>
          <w:sz w:val="24"/>
          <w:szCs w:val="24"/>
          <w:lang w:val="en-US"/>
        </w:rPr>
        <w:t>case?</w:t>
      </w:r>
      <w:r w:rsidR="001F3A55">
        <w:rPr>
          <w:rFonts w:ascii="Times New Roman" w:hAnsi="Times New Roman"/>
          <w:sz w:val="24"/>
          <w:szCs w:val="24"/>
          <w:lang w:val="en-US"/>
        </w:rPr>
        <w:t>,</w:t>
      </w:r>
      <w:r w:rsidRPr="00E110EF">
        <w:rPr>
          <w:rFonts w:ascii="Times New Roman" w:hAnsi="Times New Roman"/>
          <w:sz w:val="24"/>
          <w:szCs w:val="24"/>
          <w:lang w:val="en-US"/>
        </w:rPr>
        <w:t>” including all related footnotes.</w:t>
      </w:r>
    </w:p>
    <w:p w:rsidR="005C7126" w:rsidP="007458CF" w14:paraId="3AC66E36" w14:textId="2B8DF055">
      <w:pPr>
        <w:pStyle w:val="HTMLPreformatted"/>
        <w:keepNext/>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left="1440" w:hanging="720"/>
        <w:rPr>
          <w:rFonts w:ascii="Times New Roman" w:hAnsi="Times New Roman"/>
          <w:sz w:val="24"/>
          <w:szCs w:val="24"/>
          <w:lang w:val="en-US"/>
        </w:rPr>
      </w:pPr>
      <w:r w:rsidRPr="00E110EF">
        <w:rPr>
          <w:rFonts w:ascii="Times New Roman" w:hAnsi="Times New Roman"/>
          <w:sz w:val="24"/>
          <w:szCs w:val="24"/>
          <w:lang w:val="en-US"/>
        </w:rPr>
        <w:t>Page 8, beginning with “Again in 2020,” and ending with “three years ago,” including all related footnotes.</w:t>
      </w:r>
    </w:p>
    <w:p w:rsidR="004A7158" w:rsidP="007458CF" w14:paraId="7F49C391" w14:textId="72AA9705">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rPr>
          <w:rFonts w:ascii="Times New Roman" w:hAnsi="Times New Roman"/>
          <w:sz w:val="24"/>
          <w:szCs w:val="24"/>
          <w:lang w:val="en-US"/>
        </w:rPr>
      </w:pPr>
    </w:p>
    <w:p w:rsidR="007458CF" w:rsidRPr="00C74EF0" w:rsidP="007458CF" w14:paraId="15709AF2" w14:textId="7777777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rPr>
          <w:rFonts w:ascii="Times New Roman" w:hAnsi="Times New Roman"/>
          <w:sz w:val="24"/>
          <w:szCs w:val="24"/>
          <w:lang w:val="en-US"/>
        </w:rPr>
      </w:pPr>
    </w:p>
    <w:p w:rsidR="00C74EF0" w:rsidRPr="00962A6F" w:rsidP="001F3A55" w14:paraId="0F880E51" w14:textId="151D5A44">
      <w:pPr>
        <w:pStyle w:val="Heading1"/>
        <w:rPr>
          <w:bCs/>
        </w:rPr>
      </w:pPr>
      <w:r w:rsidRPr="00C74EF0">
        <w:t>CONCLUSION</w:t>
      </w:r>
      <w:bookmarkEnd w:id="0"/>
      <w:bookmarkEnd w:id="1"/>
    </w:p>
    <w:p w:rsidR="00C66FCC" w:rsidP="00090113" w14:paraId="3FBE44E9" w14:textId="4E1B7C9A">
      <w:pPr>
        <w:tabs>
          <w:tab w:val="left" w:pos="0"/>
        </w:tabs>
        <w:spacing w:line="480" w:lineRule="auto"/>
        <w:ind w:firstLine="720"/>
        <w:rPr>
          <w:szCs w:val="24"/>
        </w:rPr>
      </w:pPr>
      <w:r w:rsidRPr="00E110EF">
        <w:rPr>
          <w:szCs w:val="24"/>
        </w:rPr>
        <w:t>The PUCO should grant OCC's motion to strike.</w:t>
      </w:r>
    </w:p>
    <w:p w:rsidR="00962A6F" w:rsidP="00175029" w14:paraId="3D1C1B7F" w14:textId="77777777">
      <w:pPr>
        <w:ind w:firstLine="4320"/>
        <w:rPr>
          <w:szCs w:val="24"/>
        </w:rPr>
      </w:pPr>
    </w:p>
    <w:p w:rsidR="00962A6F" w:rsidP="00175029" w14:paraId="1094DF5A" w14:textId="77777777">
      <w:pPr>
        <w:ind w:firstLine="4320"/>
        <w:rPr>
          <w:szCs w:val="24"/>
        </w:rPr>
      </w:pPr>
    </w:p>
    <w:p w:rsidR="00175029" w:rsidP="00175029" w14:paraId="2F987FC8" w14:textId="7A57AD00">
      <w:pPr>
        <w:ind w:firstLine="4320"/>
        <w:rPr>
          <w:szCs w:val="24"/>
        </w:rPr>
      </w:pPr>
      <w:r w:rsidRPr="00C80BFE">
        <w:rPr>
          <w:szCs w:val="24"/>
        </w:rPr>
        <w:t>Respectfully submitted,</w:t>
      </w:r>
    </w:p>
    <w:p w:rsidR="00175029" w:rsidRPr="00C80BFE" w:rsidP="00175029" w14:paraId="47582B49" w14:textId="77777777">
      <w:pPr>
        <w:ind w:firstLine="4320"/>
        <w:rPr>
          <w:szCs w:val="24"/>
        </w:rPr>
      </w:pPr>
    </w:p>
    <w:p w:rsidR="00175029" w:rsidRPr="00C80BFE" w:rsidP="00175029" w14:paraId="086ADB80" w14:textId="77777777">
      <w:pPr>
        <w:tabs>
          <w:tab w:val="right" w:pos="8640"/>
        </w:tabs>
        <w:ind w:left="4320"/>
        <w:rPr>
          <w:szCs w:val="24"/>
        </w:rPr>
      </w:pPr>
      <w:r w:rsidRPr="00C80BFE">
        <w:rPr>
          <w:szCs w:val="24"/>
        </w:rPr>
        <w:t>Bruce Weston (0016973)</w:t>
      </w:r>
    </w:p>
    <w:p w:rsidR="00175029" w:rsidRPr="00C80BFE" w:rsidP="00175029" w14:paraId="06737EB1" w14:textId="77777777">
      <w:pPr>
        <w:ind w:left="4320"/>
        <w:contextualSpacing/>
        <w:rPr>
          <w:rFonts w:eastAsia="Calibri"/>
          <w:szCs w:val="24"/>
        </w:rPr>
      </w:pPr>
      <w:r w:rsidRPr="00C80BFE">
        <w:rPr>
          <w:rFonts w:eastAsia="Calibri"/>
          <w:szCs w:val="24"/>
        </w:rPr>
        <w:t>Ohio Consumers’ Counsel</w:t>
      </w:r>
    </w:p>
    <w:p w:rsidR="00175029" w:rsidRPr="00C80BFE" w:rsidP="00175029" w14:paraId="17D000D4" w14:textId="77777777">
      <w:pPr>
        <w:ind w:left="4320"/>
        <w:contextualSpacing/>
        <w:rPr>
          <w:rFonts w:eastAsia="Calibri"/>
          <w:szCs w:val="24"/>
        </w:rPr>
      </w:pPr>
    </w:p>
    <w:p w:rsidR="00175029" w:rsidRPr="00C80BFE" w:rsidP="00175029" w14:paraId="21BC8528" w14:textId="77777777">
      <w:pPr>
        <w:ind w:left="4320"/>
        <w:contextualSpacing/>
        <w:rPr>
          <w:rFonts w:eastAsia="Calibri"/>
          <w:szCs w:val="24"/>
        </w:rPr>
      </w:pPr>
      <w:r w:rsidRPr="00C80BFE">
        <w:rPr>
          <w:rFonts w:eastAsia="Calibri"/>
          <w:i/>
          <w:iCs/>
          <w:szCs w:val="24"/>
          <w:u w:val="single"/>
        </w:rPr>
        <w:t>/s/ Angela D. O’Brien</w:t>
      </w:r>
      <w:r w:rsidRPr="00C80BFE">
        <w:rPr>
          <w:rFonts w:eastAsia="Calibri"/>
          <w:i/>
          <w:iCs/>
          <w:szCs w:val="24"/>
          <w:u w:val="single"/>
        </w:rPr>
        <w:tab/>
      </w:r>
      <w:r w:rsidRPr="00C80BFE">
        <w:rPr>
          <w:rFonts w:eastAsia="Calibri"/>
          <w:i/>
          <w:iCs/>
          <w:szCs w:val="24"/>
          <w:u w:val="single"/>
        </w:rPr>
        <w:tab/>
      </w:r>
      <w:r w:rsidRPr="00C80BFE">
        <w:rPr>
          <w:rFonts w:eastAsia="Calibri"/>
          <w:szCs w:val="24"/>
        </w:rPr>
        <w:tab/>
      </w:r>
    </w:p>
    <w:p w:rsidR="00175029" w:rsidRPr="00C80BFE" w:rsidP="00175029" w14:paraId="584D1597" w14:textId="77777777">
      <w:pPr>
        <w:ind w:left="4320"/>
        <w:rPr>
          <w:szCs w:val="24"/>
        </w:rPr>
      </w:pPr>
      <w:r w:rsidRPr="00C80BFE">
        <w:rPr>
          <w:szCs w:val="24"/>
        </w:rPr>
        <w:t>Angela D. O’Brien (0097579)</w:t>
      </w:r>
    </w:p>
    <w:p w:rsidR="00175029" w:rsidRPr="00C80BFE" w:rsidP="00175029" w14:paraId="20421554" w14:textId="77777777">
      <w:pPr>
        <w:ind w:left="4320"/>
        <w:rPr>
          <w:szCs w:val="24"/>
        </w:rPr>
      </w:pPr>
      <w:r w:rsidRPr="00C80BFE">
        <w:rPr>
          <w:szCs w:val="24"/>
        </w:rPr>
        <w:t xml:space="preserve">Counsel of Record </w:t>
      </w:r>
    </w:p>
    <w:p w:rsidR="00175029" w:rsidRPr="00C80BFE" w:rsidP="00175029" w14:paraId="2238F855" w14:textId="77777777">
      <w:pPr>
        <w:tabs>
          <w:tab w:val="left" w:pos="4320"/>
        </w:tabs>
        <w:ind w:left="4320"/>
        <w:rPr>
          <w:szCs w:val="24"/>
        </w:rPr>
      </w:pPr>
      <w:r w:rsidRPr="00C80BFE">
        <w:rPr>
          <w:szCs w:val="24"/>
        </w:rPr>
        <w:t>William J. Michael (0070921)</w:t>
      </w:r>
    </w:p>
    <w:p w:rsidR="00175029" w:rsidRPr="00C80BFE" w:rsidP="00175029" w14:paraId="7E9B8CEC" w14:textId="77777777">
      <w:pPr>
        <w:tabs>
          <w:tab w:val="left" w:pos="4320"/>
        </w:tabs>
        <w:ind w:left="4320"/>
        <w:rPr>
          <w:szCs w:val="24"/>
        </w:rPr>
      </w:pPr>
      <w:r w:rsidRPr="00C80BFE">
        <w:rPr>
          <w:szCs w:val="24"/>
        </w:rPr>
        <w:t>Connor D. Semple (0101102)</w:t>
      </w:r>
    </w:p>
    <w:p w:rsidR="00175029" w:rsidRPr="00C80BFE" w:rsidP="00175029" w14:paraId="307A34D8" w14:textId="77777777">
      <w:pPr>
        <w:ind w:left="4320"/>
        <w:rPr>
          <w:szCs w:val="24"/>
        </w:rPr>
      </w:pPr>
      <w:r w:rsidRPr="00C80BFE">
        <w:rPr>
          <w:szCs w:val="24"/>
        </w:rPr>
        <w:t>Assistant Consumers’ Counsel</w:t>
      </w:r>
    </w:p>
    <w:p w:rsidR="00175029" w:rsidRPr="00C80BFE" w:rsidP="00175029" w14:paraId="5B4A06BA" w14:textId="77777777">
      <w:pPr>
        <w:ind w:left="4320"/>
        <w:rPr>
          <w:b/>
          <w:szCs w:val="24"/>
        </w:rPr>
      </w:pPr>
    </w:p>
    <w:p w:rsidR="00175029" w:rsidRPr="00C80BFE" w:rsidP="00175029" w14:paraId="41F0F99E" w14:textId="77777777">
      <w:pPr>
        <w:ind w:left="4320"/>
        <w:rPr>
          <w:b/>
          <w:szCs w:val="24"/>
        </w:rPr>
      </w:pPr>
      <w:r w:rsidRPr="00C80BFE">
        <w:rPr>
          <w:b/>
          <w:szCs w:val="24"/>
        </w:rPr>
        <w:t>Office of the Ohio Consumers’ Counsel</w:t>
      </w:r>
    </w:p>
    <w:p w:rsidR="00175029" w:rsidRPr="00C80BFE" w:rsidP="00175029" w14:paraId="54A4F964" w14:textId="77777777">
      <w:pPr>
        <w:ind w:left="4320"/>
        <w:rPr>
          <w:szCs w:val="24"/>
        </w:rPr>
      </w:pPr>
      <w:r w:rsidRPr="00C80BFE">
        <w:rPr>
          <w:szCs w:val="24"/>
        </w:rPr>
        <w:t>65 East State Street, Suite 700</w:t>
      </w:r>
    </w:p>
    <w:p w:rsidR="00175029" w:rsidRPr="00C80BFE" w:rsidP="00175029" w14:paraId="580046BF" w14:textId="77777777">
      <w:pPr>
        <w:ind w:left="4320"/>
        <w:rPr>
          <w:szCs w:val="24"/>
        </w:rPr>
      </w:pPr>
      <w:r w:rsidRPr="00C80BFE">
        <w:rPr>
          <w:szCs w:val="24"/>
        </w:rPr>
        <w:t>Columbus, Ohio 43215</w:t>
      </w:r>
    </w:p>
    <w:p w:rsidR="00175029" w:rsidRPr="00C80BFE" w:rsidP="00175029" w14:paraId="1DA6E9ED" w14:textId="77777777">
      <w:pPr>
        <w:ind w:left="4320"/>
        <w:rPr>
          <w:szCs w:val="24"/>
        </w:rPr>
      </w:pPr>
      <w:r w:rsidRPr="00C80BFE">
        <w:rPr>
          <w:color w:val="000000"/>
          <w:szCs w:val="24"/>
        </w:rPr>
        <w:t>Telephone [O’Brien]: (614) 499-9531</w:t>
      </w:r>
      <w:r w:rsidRPr="00C80BFE">
        <w:rPr>
          <w:szCs w:val="24"/>
        </w:rPr>
        <w:tab/>
      </w:r>
    </w:p>
    <w:p w:rsidR="00175029" w:rsidRPr="00C80BFE" w:rsidP="00175029" w14:paraId="2768E917" w14:textId="77777777">
      <w:pPr>
        <w:ind w:left="4320"/>
        <w:rPr>
          <w:color w:val="000000"/>
          <w:szCs w:val="24"/>
        </w:rPr>
      </w:pPr>
      <w:r w:rsidRPr="00C80BFE">
        <w:rPr>
          <w:szCs w:val="24"/>
        </w:rPr>
        <w:t>Telephone [Michael]: (</w:t>
      </w:r>
      <w:r w:rsidRPr="00C80BFE">
        <w:rPr>
          <w:color w:val="000000"/>
          <w:szCs w:val="24"/>
        </w:rPr>
        <w:t>614) 466-1291</w:t>
      </w:r>
    </w:p>
    <w:p w:rsidR="00175029" w:rsidRPr="00C80BFE" w:rsidP="00175029" w14:paraId="7EC2CF79" w14:textId="77777777">
      <w:pPr>
        <w:ind w:left="4320"/>
        <w:rPr>
          <w:color w:val="000000"/>
          <w:szCs w:val="24"/>
        </w:rPr>
      </w:pPr>
      <w:r w:rsidRPr="00C80BFE">
        <w:rPr>
          <w:color w:val="000000"/>
          <w:szCs w:val="24"/>
        </w:rPr>
        <w:t>Telephone [Semple]:</w:t>
      </w:r>
      <w:r w:rsidRPr="00C80BFE">
        <w:rPr>
          <w:color w:val="000000"/>
          <w:szCs w:val="24"/>
        </w:rPr>
        <w:tab/>
        <w:t>(614) 466-9565</w:t>
      </w:r>
    </w:p>
    <w:p w:rsidR="00175029" w:rsidRPr="00C80BFE" w:rsidP="00175029" w14:paraId="129E5709" w14:textId="77777777">
      <w:pPr>
        <w:ind w:left="4320"/>
        <w:rPr>
          <w:szCs w:val="24"/>
        </w:rPr>
      </w:pPr>
      <w:hyperlink r:id="rId6" w:history="1">
        <w:r w:rsidRPr="00C80BFE">
          <w:rPr>
            <w:rStyle w:val="Hyperlink"/>
            <w:szCs w:val="24"/>
          </w:rPr>
          <w:t>angela.obrien@occ.ohio.gov</w:t>
        </w:r>
      </w:hyperlink>
    </w:p>
    <w:p w:rsidR="00175029" w:rsidRPr="00C80BFE" w:rsidP="00175029" w14:paraId="5F7DB455" w14:textId="77777777">
      <w:pPr>
        <w:ind w:left="4320"/>
        <w:rPr>
          <w:rStyle w:val="Hyperlink"/>
          <w:rFonts w:eastAsia="Courier New"/>
          <w:szCs w:val="24"/>
        </w:rPr>
      </w:pPr>
      <w:hyperlink r:id="rId7" w:history="1">
        <w:r w:rsidRPr="00C80BFE">
          <w:rPr>
            <w:rStyle w:val="Hyperlink"/>
            <w:rFonts w:eastAsia="Courier New"/>
            <w:szCs w:val="24"/>
          </w:rPr>
          <w:t>william.michael@occ.ohio.gov</w:t>
        </w:r>
      </w:hyperlink>
    </w:p>
    <w:p w:rsidR="00175029" w:rsidRPr="00C80BFE" w:rsidP="00175029" w14:paraId="747C0654" w14:textId="77777777">
      <w:pPr>
        <w:ind w:left="4320"/>
        <w:rPr>
          <w:rFonts w:eastAsia="Courier New"/>
          <w:szCs w:val="24"/>
        </w:rPr>
      </w:pPr>
      <w:r w:rsidRPr="00C80BFE">
        <w:rPr>
          <w:rStyle w:val="Hyperlink"/>
          <w:rFonts w:eastAsia="Courier New"/>
          <w:szCs w:val="24"/>
        </w:rPr>
        <w:t>connor.semple@occ.ohio.gov</w:t>
      </w:r>
    </w:p>
    <w:p w:rsidR="00175029" w:rsidRPr="00C80BFE" w:rsidP="00175029" w14:paraId="550BC278" w14:textId="77777777">
      <w:pPr>
        <w:ind w:left="4320"/>
        <w:rPr>
          <w:szCs w:val="24"/>
        </w:rPr>
      </w:pPr>
      <w:r w:rsidRPr="00C80BFE">
        <w:rPr>
          <w:szCs w:val="24"/>
        </w:rPr>
        <w:t>(willing to accept service by e-mail)</w:t>
      </w:r>
    </w:p>
    <w:p w:rsidR="007737A3" w:rsidRPr="00E110EF" w:rsidP="00FA7F34" w14:paraId="65C26CFD" w14:textId="77777777">
      <w:pPr>
        <w:tabs>
          <w:tab w:val="left" w:pos="4320"/>
        </w:tabs>
        <w:rPr>
          <w:szCs w:val="24"/>
        </w:rPr>
      </w:pPr>
    </w:p>
    <w:p w:rsidR="007737A3" w:rsidRPr="00E110EF" w14:paraId="6EDC157A" w14:textId="77777777">
      <w:pPr>
        <w:ind w:left="4320"/>
        <w:rPr>
          <w:szCs w:val="24"/>
        </w:rPr>
      </w:pPr>
    </w:p>
    <w:p w:rsidR="00C66FCC" w14:paraId="0C30D4EC" w14:textId="5669B3DF">
      <w:pPr>
        <w:rPr>
          <w:szCs w:val="24"/>
        </w:rPr>
      </w:pPr>
      <w:r>
        <w:rPr>
          <w:szCs w:val="24"/>
        </w:rPr>
        <w:br w:type="page"/>
      </w:r>
    </w:p>
    <w:p w:rsidR="007737A3" w:rsidRPr="00E110EF" w14:paraId="000A5376" w14:textId="77777777">
      <w:pPr>
        <w:jc w:val="center"/>
        <w:rPr>
          <w:b/>
          <w:bCs/>
          <w:szCs w:val="24"/>
          <w:u w:val="single"/>
        </w:rPr>
      </w:pPr>
      <w:r w:rsidRPr="00E110EF">
        <w:rPr>
          <w:b/>
          <w:bCs/>
          <w:szCs w:val="24"/>
          <w:u w:val="single"/>
        </w:rPr>
        <w:t>CERTIFICATE OF SERVICE</w:t>
      </w:r>
    </w:p>
    <w:p w:rsidR="00962A6F" w:rsidP="00962A6F" w14:paraId="39772B4C" w14:textId="77777777">
      <w:pPr>
        <w:rPr>
          <w:szCs w:val="24"/>
        </w:rPr>
      </w:pPr>
    </w:p>
    <w:p w:rsidR="007737A3" w:rsidRPr="00962A6F" w:rsidP="00962A6F" w14:paraId="273084A0" w14:textId="5AD571A8">
      <w:pPr>
        <w:spacing w:line="480" w:lineRule="auto"/>
        <w:ind w:firstLine="720"/>
        <w:rPr>
          <w:b/>
          <w:bCs/>
          <w:szCs w:val="24"/>
        </w:rPr>
      </w:pPr>
      <w:r w:rsidRPr="00E110EF">
        <w:rPr>
          <w:szCs w:val="24"/>
        </w:rPr>
        <w:t xml:space="preserve">I hereby certify that a copy of this </w:t>
      </w:r>
      <w:r w:rsidRPr="009A6918" w:rsidR="009A6918">
        <w:rPr>
          <w:szCs w:val="24"/>
        </w:rPr>
        <w:t xml:space="preserve">Motion to Strike </w:t>
      </w:r>
      <w:r w:rsidRPr="00962A6F" w:rsidR="00962A6F">
        <w:rPr>
          <w:szCs w:val="24"/>
        </w:rPr>
        <w:t xml:space="preserve">OPAE’s </w:t>
      </w:r>
      <w:r w:rsidR="00962A6F">
        <w:rPr>
          <w:szCs w:val="24"/>
        </w:rPr>
        <w:t>Use</w:t>
      </w:r>
      <w:r w:rsidRPr="00962A6F" w:rsidR="00962A6F">
        <w:rPr>
          <w:szCs w:val="24"/>
        </w:rPr>
        <w:t xml:space="preserve"> </w:t>
      </w:r>
      <w:r w:rsidR="00962A6F">
        <w:rPr>
          <w:szCs w:val="24"/>
        </w:rPr>
        <w:t>of</w:t>
      </w:r>
      <w:r w:rsidRPr="00962A6F" w:rsidR="00962A6F">
        <w:rPr>
          <w:szCs w:val="24"/>
        </w:rPr>
        <w:t xml:space="preserve"> N</w:t>
      </w:r>
      <w:r w:rsidR="00962A6F">
        <w:rPr>
          <w:szCs w:val="24"/>
        </w:rPr>
        <w:t>on</w:t>
      </w:r>
      <w:r w:rsidRPr="00962A6F" w:rsidR="00962A6F">
        <w:rPr>
          <w:szCs w:val="24"/>
        </w:rPr>
        <w:t>-R</w:t>
      </w:r>
      <w:r w:rsidR="00962A6F">
        <w:rPr>
          <w:szCs w:val="24"/>
        </w:rPr>
        <w:t>ecord</w:t>
      </w:r>
      <w:r w:rsidRPr="00962A6F" w:rsidR="00962A6F">
        <w:rPr>
          <w:szCs w:val="24"/>
        </w:rPr>
        <w:t xml:space="preserve"> I</w:t>
      </w:r>
      <w:r w:rsidR="00962A6F">
        <w:rPr>
          <w:szCs w:val="24"/>
        </w:rPr>
        <w:t>nformation</w:t>
      </w:r>
      <w:r w:rsidRPr="00962A6F" w:rsidR="00962A6F">
        <w:rPr>
          <w:szCs w:val="24"/>
        </w:rPr>
        <w:t xml:space="preserve"> </w:t>
      </w:r>
      <w:r w:rsidR="00962A6F">
        <w:rPr>
          <w:szCs w:val="24"/>
        </w:rPr>
        <w:t>in its</w:t>
      </w:r>
      <w:r w:rsidRPr="00962A6F" w:rsidR="00962A6F">
        <w:rPr>
          <w:szCs w:val="24"/>
        </w:rPr>
        <w:t xml:space="preserve"> R</w:t>
      </w:r>
      <w:r w:rsidR="00962A6F">
        <w:rPr>
          <w:szCs w:val="24"/>
        </w:rPr>
        <w:t>eply</w:t>
      </w:r>
      <w:r w:rsidRPr="00962A6F" w:rsidR="00962A6F">
        <w:rPr>
          <w:szCs w:val="24"/>
        </w:rPr>
        <w:t xml:space="preserve"> B</w:t>
      </w:r>
      <w:r w:rsidR="00962A6F">
        <w:rPr>
          <w:szCs w:val="24"/>
        </w:rPr>
        <w:t>rief</w:t>
      </w:r>
      <w:r w:rsidR="00962A6F">
        <w:rPr>
          <w:b/>
          <w:bCs/>
          <w:szCs w:val="24"/>
        </w:rPr>
        <w:t xml:space="preserve"> </w:t>
      </w:r>
      <w:r w:rsidRPr="00E110EF">
        <w:rPr>
          <w:szCs w:val="24"/>
        </w:rPr>
        <w:t>was served on the persons stated below via electronic transmission this</w:t>
      </w:r>
      <w:r w:rsidR="002D15FD">
        <w:rPr>
          <w:szCs w:val="24"/>
        </w:rPr>
        <w:t xml:space="preserve"> 6</w:t>
      </w:r>
      <w:r w:rsidRPr="002D15FD" w:rsidR="002D15FD">
        <w:rPr>
          <w:szCs w:val="24"/>
          <w:vertAlign w:val="superscript"/>
        </w:rPr>
        <w:t>th</w:t>
      </w:r>
      <w:r w:rsidRPr="00E110EF">
        <w:rPr>
          <w:szCs w:val="24"/>
        </w:rPr>
        <w:t xml:space="preserve"> day of</w:t>
      </w:r>
      <w:r w:rsidRPr="00E110EF" w:rsidR="00FA7F34">
        <w:rPr>
          <w:szCs w:val="24"/>
        </w:rPr>
        <w:t xml:space="preserve"> </w:t>
      </w:r>
      <w:r w:rsidR="009A6918">
        <w:rPr>
          <w:szCs w:val="24"/>
        </w:rPr>
        <w:t>January</w:t>
      </w:r>
      <w:r w:rsidRPr="00E110EF" w:rsidR="00FA7F34">
        <w:rPr>
          <w:szCs w:val="24"/>
        </w:rPr>
        <w:t xml:space="preserve"> 202</w:t>
      </w:r>
      <w:r w:rsidR="009A6918">
        <w:rPr>
          <w:szCs w:val="24"/>
        </w:rPr>
        <w:t>3</w:t>
      </w:r>
      <w:r w:rsidRPr="00E110EF">
        <w:rPr>
          <w:szCs w:val="24"/>
        </w:rPr>
        <w:t>.</w:t>
      </w:r>
    </w:p>
    <w:p w:rsidR="007737A3" w:rsidRPr="00E110EF" w:rsidP="009A6918" w14:paraId="0B5CAECB" w14:textId="77777777">
      <w:pPr>
        <w:rPr>
          <w:szCs w:val="24"/>
        </w:rPr>
      </w:pPr>
    </w:p>
    <w:p w:rsidR="007737A3" w:rsidRPr="00E110EF" w14:paraId="7DAA597D" w14:textId="4AA38C70">
      <w:pPr>
        <w:tabs>
          <w:tab w:val="left" w:pos="4320"/>
        </w:tabs>
        <w:rPr>
          <w:szCs w:val="24"/>
          <w:u w:val="single"/>
        </w:rPr>
      </w:pPr>
      <w:r w:rsidRPr="00E110EF">
        <w:rPr>
          <w:szCs w:val="24"/>
        </w:rPr>
        <w:tab/>
      </w:r>
      <w:r w:rsidRPr="00E110EF">
        <w:rPr>
          <w:i/>
          <w:szCs w:val="24"/>
          <w:u w:val="single"/>
        </w:rPr>
        <w:t xml:space="preserve">/s/ </w:t>
      </w:r>
      <w:r w:rsidRPr="00E110EF" w:rsidR="00FA7F34">
        <w:rPr>
          <w:i/>
          <w:szCs w:val="24"/>
          <w:u w:val="single"/>
        </w:rPr>
        <w:t xml:space="preserve">Angela </w:t>
      </w:r>
      <w:r w:rsidR="007458CF">
        <w:rPr>
          <w:i/>
          <w:szCs w:val="24"/>
          <w:u w:val="single"/>
        </w:rPr>
        <w:t xml:space="preserve">D. </w:t>
      </w:r>
      <w:r w:rsidRPr="00E110EF" w:rsidR="00FA7F34">
        <w:rPr>
          <w:i/>
          <w:szCs w:val="24"/>
          <w:u w:val="single"/>
        </w:rPr>
        <w:t>O’Brien</w:t>
      </w:r>
      <w:r w:rsidRPr="00E110EF">
        <w:rPr>
          <w:szCs w:val="24"/>
          <w:u w:val="single"/>
        </w:rPr>
        <w:tab/>
      </w:r>
      <w:r w:rsidRPr="00E110EF">
        <w:rPr>
          <w:szCs w:val="24"/>
          <w:u w:val="single"/>
        </w:rPr>
        <w:tab/>
      </w:r>
    </w:p>
    <w:p w:rsidR="007737A3" w:rsidRPr="00E110EF" w14:paraId="0B381603" w14:textId="18734B52">
      <w:pPr>
        <w:tabs>
          <w:tab w:val="left" w:pos="4320"/>
        </w:tabs>
        <w:ind w:left="4320"/>
        <w:rPr>
          <w:szCs w:val="24"/>
        </w:rPr>
      </w:pPr>
      <w:r w:rsidRPr="00E110EF">
        <w:rPr>
          <w:szCs w:val="24"/>
        </w:rPr>
        <w:t xml:space="preserve">Angela </w:t>
      </w:r>
      <w:r w:rsidR="007458CF">
        <w:rPr>
          <w:szCs w:val="24"/>
        </w:rPr>
        <w:t xml:space="preserve">D. </w:t>
      </w:r>
      <w:r w:rsidRPr="00E110EF">
        <w:rPr>
          <w:szCs w:val="24"/>
        </w:rPr>
        <w:t>O’Brien</w:t>
      </w:r>
    </w:p>
    <w:p w:rsidR="007737A3" w:rsidRPr="00E110EF" w14:paraId="01B11F79" w14:textId="77777777">
      <w:pPr>
        <w:tabs>
          <w:tab w:val="left" w:pos="4320"/>
        </w:tabs>
        <w:rPr>
          <w:szCs w:val="24"/>
        </w:rPr>
      </w:pPr>
      <w:r w:rsidRPr="00E110EF">
        <w:rPr>
          <w:szCs w:val="24"/>
        </w:rPr>
        <w:tab/>
        <w:t>Assistant Consumers' Counsel</w:t>
      </w:r>
    </w:p>
    <w:p w:rsidR="007737A3" w14:paraId="51AF4DCA" w14:textId="0D191C4A">
      <w:pPr>
        <w:rPr>
          <w:szCs w:val="24"/>
        </w:rPr>
      </w:pPr>
    </w:p>
    <w:p w:rsidR="009A6918" w:rsidRPr="00C0659F" w:rsidP="009A6918" w14:paraId="32574B00" w14:textId="77777777">
      <w:pPr>
        <w:pStyle w:val="CommentText"/>
      </w:pPr>
      <w:r w:rsidRPr="00C0659F">
        <w:t>The PUCO’s e-filing system will electronically serve notice of the filing of this document on the following parties:</w:t>
      </w:r>
    </w:p>
    <w:p w:rsidR="009A6918" w:rsidRPr="00C0659F" w:rsidP="00BF5FCF" w14:paraId="59E4FD30" w14:textId="77777777">
      <w:pPr>
        <w:pStyle w:val="CommentText"/>
      </w:pPr>
    </w:p>
    <w:p w:rsidR="009A6918" w:rsidRPr="00C0659F" w:rsidP="009A6918" w14:paraId="40D21180" w14:textId="77777777">
      <w:pPr>
        <w:pStyle w:val="CommentText"/>
        <w:jc w:val="center"/>
        <w:rPr>
          <w:b/>
          <w:u w:val="single"/>
        </w:rPr>
      </w:pPr>
      <w:r w:rsidRPr="00C0659F">
        <w:rPr>
          <w:b/>
          <w:u w:val="single"/>
        </w:rPr>
        <w:t>SERVICE LIST</w:t>
      </w:r>
    </w:p>
    <w:p w:rsidR="009A6918" w:rsidRPr="00C0659F" w:rsidP="009A6918" w14:paraId="55F62707" w14:textId="77777777">
      <w:pPr>
        <w:pStyle w:val="BodyText"/>
        <w:jc w:val="left"/>
        <w:rPr>
          <w:b/>
          <w:bCs/>
          <w:szCs w:val="24"/>
        </w:rPr>
      </w:pPr>
    </w:p>
    <w:tbl>
      <w:tblPr>
        <w:tblW w:w="0" w:type="auto"/>
        <w:tblLook w:val="01E0"/>
      </w:tblPr>
      <w:tblGrid>
        <w:gridCol w:w="4322"/>
        <w:gridCol w:w="4318"/>
      </w:tblGrid>
      <w:tr w14:paraId="41800E56" w14:textId="77777777" w:rsidTr="00C606D2">
        <w:tblPrEx>
          <w:tblW w:w="0" w:type="auto"/>
          <w:tblLook w:val="01E0"/>
        </w:tblPrEx>
        <w:tc>
          <w:tcPr>
            <w:tcW w:w="4322" w:type="dxa"/>
            <w:shd w:val="clear" w:color="auto" w:fill="auto"/>
          </w:tcPr>
          <w:p w:rsidR="0008141A" w:rsidRPr="0008141A" w:rsidP="0008141A" w14:paraId="35EA1A53" w14:textId="77777777">
            <w:pPr>
              <w:rPr>
                <w:rFonts w:eastAsia="Calibri"/>
                <w:color w:val="0000FF"/>
                <w:szCs w:val="24"/>
                <w:u w:val="single"/>
              </w:rPr>
            </w:pPr>
            <w:hyperlink r:id="rId9" w:history="1">
              <w:r w:rsidRPr="0008141A">
                <w:rPr>
                  <w:rFonts w:eastAsia="Calibri"/>
                  <w:color w:val="0000FF"/>
                  <w:szCs w:val="24"/>
                  <w:u w:val="single"/>
                </w:rPr>
                <w:t>werner.margard@OhioAGO.gov</w:t>
              </w:r>
            </w:hyperlink>
          </w:p>
          <w:p w:rsidR="0008141A" w:rsidRPr="0008141A" w:rsidP="0008141A" w14:paraId="7100A97B" w14:textId="77777777">
            <w:pPr>
              <w:rPr>
                <w:rFonts w:eastAsia="Calibri"/>
                <w:szCs w:val="24"/>
              </w:rPr>
            </w:pPr>
            <w:r w:rsidRPr="0008141A">
              <w:rPr>
                <w:rFonts w:eastAsia="Calibri"/>
                <w:color w:val="0000FF"/>
                <w:szCs w:val="24"/>
                <w:u w:val="single"/>
              </w:rPr>
              <w:t>shaun.lyons@OhioAGO.gov</w:t>
            </w:r>
          </w:p>
          <w:bookmarkStart w:id="2" w:name="_Hlk76570769"/>
          <w:p w:rsidR="0008141A" w:rsidRPr="0008141A" w:rsidP="0008141A" w14:paraId="4172D0E4" w14:textId="77777777">
            <w:pPr>
              <w:tabs>
                <w:tab w:val="left" w:pos="-720"/>
              </w:tabs>
              <w:suppressAutoHyphens/>
              <w:jc w:val="both"/>
              <w:rPr>
                <w:rFonts w:eastAsia="Calibri"/>
                <w:bCs/>
                <w:color w:val="0000FF"/>
                <w:szCs w:val="24"/>
                <w:u w:val="single"/>
              </w:rPr>
            </w:pPr>
            <w:hyperlink r:id="rId10" w:history="1">
              <w:r w:rsidRPr="0008141A">
                <w:rPr>
                  <w:rFonts w:eastAsia="Calibri"/>
                  <w:bCs/>
                  <w:color w:val="0000FF"/>
                  <w:szCs w:val="24"/>
                  <w:u w:val="single"/>
                </w:rPr>
                <w:t>mjsettineri@vorys.com</w:t>
              </w:r>
            </w:hyperlink>
          </w:p>
          <w:p w:rsidR="0008141A" w:rsidRPr="0008141A" w:rsidP="0008141A" w14:paraId="6CC48262" w14:textId="77777777">
            <w:pPr>
              <w:tabs>
                <w:tab w:val="left" w:pos="-720"/>
              </w:tabs>
              <w:suppressAutoHyphens/>
              <w:jc w:val="both"/>
              <w:rPr>
                <w:rFonts w:eastAsia="Calibri"/>
                <w:color w:val="0000FF"/>
                <w:szCs w:val="24"/>
                <w:u w:val="single"/>
              </w:rPr>
            </w:pPr>
            <w:hyperlink r:id="rId11" w:history="1">
              <w:r w:rsidRPr="0008141A">
                <w:rPr>
                  <w:rFonts w:eastAsia="Calibri"/>
                  <w:color w:val="0000FF"/>
                  <w:szCs w:val="24"/>
                  <w:u w:val="single"/>
                </w:rPr>
                <w:t>glpetrucci@vorys.com</w:t>
              </w:r>
            </w:hyperlink>
          </w:p>
          <w:p w:rsidR="0008141A" w:rsidRPr="0008141A" w:rsidP="0008141A" w14:paraId="49CAD559" w14:textId="77777777">
            <w:pPr>
              <w:tabs>
                <w:tab w:val="left" w:pos="-720"/>
              </w:tabs>
              <w:suppressAutoHyphens/>
              <w:jc w:val="both"/>
              <w:rPr>
                <w:rFonts w:eastAsia="Calibri"/>
                <w:color w:val="0000FF"/>
                <w:szCs w:val="24"/>
                <w:u w:val="single"/>
              </w:rPr>
            </w:pPr>
            <w:r w:rsidRPr="0008141A">
              <w:rPr>
                <w:rFonts w:eastAsia="Calibri"/>
                <w:color w:val="0000FF"/>
                <w:szCs w:val="24"/>
                <w:u w:val="single"/>
              </w:rPr>
              <w:t>stacie.cathcart@igs.com</w:t>
            </w:r>
          </w:p>
          <w:p w:rsidR="0008141A" w:rsidRPr="0008141A" w:rsidP="0008141A" w14:paraId="056798F8" w14:textId="77777777">
            <w:pPr>
              <w:tabs>
                <w:tab w:val="left" w:pos="-720"/>
              </w:tabs>
              <w:suppressAutoHyphens/>
              <w:jc w:val="both"/>
              <w:rPr>
                <w:rFonts w:eastAsia="Calibri"/>
                <w:color w:val="0000FF"/>
                <w:szCs w:val="24"/>
                <w:u w:val="single"/>
              </w:rPr>
            </w:pPr>
            <w:hyperlink r:id="rId12" w:history="1">
              <w:r w:rsidRPr="0008141A">
                <w:rPr>
                  <w:rFonts w:eastAsia="Calibri"/>
                  <w:color w:val="0000FF"/>
                  <w:szCs w:val="24"/>
                  <w:u w:val="single"/>
                </w:rPr>
                <w:t>michael.nugent@igs.com</w:t>
              </w:r>
            </w:hyperlink>
          </w:p>
          <w:p w:rsidR="0008141A" w:rsidRPr="0008141A" w:rsidP="0008141A" w14:paraId="72640934" w14:textId="77777777">
            <w:pPr>
              <w:tabs>
                <w:tab w:val="left" w:pos="-720"/>
              </w:tabs>
              <w:suppressAutoHyphens/>
              <w:jc w:val="both"/>
              <w:rPr>
                <w:rFonts w:eastAsia="Calibri"/>
                <w:bCs/>
                <w:szCs w:val="24"/>
              </w:rPr>
            </w:pPr>
            <w:hyperlink r:id="rId13" w:history="1">
              <w:r w:rsidRPr="0008141A">
                <w:rPr>
                  <w:rFonts w:eastAsia="Calibri"/>
                  <w:bCs/>
                  <w:color w:val="0000FF"/>
                  <w:szCs w:val="24"/>
                  <w:u w:val="single"/>
                </w:rPr>
                <w:t>evan.betterton@igs.com</w:t>
              </w:r>
            </w:hyperlink>
          </w:p>
          <w:p w:rsidR="0008141A" w:rsidRPr="0008141A" w:rsidP="0008141A" w14:paraId="02C2090E" w14:textId="77777777">
            <w:pPr>
              <w:tabs>
                <w:tab w:val="left" w:pos="-720"/>
              </w:tabs>
              <w:suppressAutoHyphens/>
              <w:jc w:val="both"/>
              <w:rPr>
                <w:rFonts w:eastAsia="Calibri"/>
                <w:bCs/>
                <w:szCs w:val="24"/>
              </w:rPr>
            </w:pPr>
            <w:hyperlink r:id="rId14" w:history="1">
              <w:r w:rsidRPr="0008141A">
                <w:rPr>
                  <w:rFonts w:eastAsia="Calibri"/>
                  <w:bCs/>
                  <w:color w:val="0000FF"/>
                  <w:szCs w:val="24"/>
                  <w:u w:val="single"/>
                </w:rPr>
                <w:t>joe.oliker@igs.com</w:t>
              </w:r>
            </w:hyperlink>
          </w:p>
          <w:p w:rsidR="0008141A" w:rsidRPr="0008141A" w:rsidP="0008141A" w14:paraId="68E2069F" w14:textId="77777777">
            <w:pPr>
              <w:tabs>
                <w:tab w:val="left" w:pos="-720"/>
              </w:tabs>
              <w:suppressAutoHyphens/>
              <w:jc w:val="both"/>
              <w:rPr>
                <w:rFonts w:eastAsia="Calibri"/>
                <w:bCs/>
                <w:color w:val="0000FF"/>
                <w:szCs w:val="24"/>
                <w:u w:val="single"/>
              </w:rPr>
            </w:pPr>
            <w:hyperlink r:id="rId15" w:history="1">
              <w:r w:rsidRPr="0008141A">
                <w:rPr>
                  <w:rFonts w:eastAsia="Calibri"/>
                  <w:bCs/>
                  <w:color w:val="0000FF"/>
                  <w:szCs w:val="24"/>
                  <w:u w:val="single"/>
                </w:rPr>
                <w:t>rdove@keglerbrown.com</w:t>
              </w:r>
            </w:hyperlink>
          </w:p>
          <w:p w:rsidR="0008141A" w:rsidRPr="0008141A" w:rsidP="0008141A" w14:paraId="4224E5DE" w14:textId="77777777">
            <w:pPr>
              <w:tabs>
                <w:tab w:val="left" w:pos="-720"/>
              </w:tabs>
              <w:suppressAutoHyphens/>
              <w:jc w:val="both"/>
              <w:rPr>
                <w:rFonts w:eastAsia="Calibri"/>
                <w:bCs/>
                <w:color w:val="0000FF"/>
                <w:szCs w:val="24"/>
                <w:u w:val="single"/>
              </w:rPr>
            </w:pPr>
            <w:hyperlink r:id="rId16" w:history="1">
              <w:r w:rsidRPr="0008141A">
                <w:rPr>
                  <w:rFonts w:eastAsia="Calibri"/>
                  <w:bCs/>
                  <w:color w:val="0000FF"/>
                  <w:szCs w:val="24"/>
                  <w:u w:val="single"/>
                </w:rPr>
                <w:t>jweber@elpc.org</w:t>
              </w:r>
            </w:hyperlink>
          </w:p>
          <w:p w:rsidR="0008141A" w:rsidRPr="0008141A" w:rsidP="0008141A" w14:paraId="1C9359E8" w14:textId="77777777">
            <w:pPr>
              <w:tabs>
                <w:tab w:val="left" w:pos="-720"/>
              </w:tabs>
              <w:suppressAutoHyphens/>
              <w:jc w:val="both"/>
              <w:rPr>
                <w:rFonts w:eastAsia="Calibri"/>
                <w:bCs/>
                <w:color w:val="0000FF"/>
                <w:szCs w:val="24"/>
                <w:u w:val="single"/>
              </w:rPr>
            </w:pPr>
            <w:r w:rsidRPr="0008141A">
              <w:rPr>
                <w:rFonts w:eastAsia="Calibri"/>
                <w:bCs/>
                <w:color w:val="0000FF"/>
                <w:szCs w:val="24"/>
                <w:u w:val="single"/>
              </w:rPr>
              <w:t>tdougherty@theoec.org</w:t>
            </w:r>
          </w:p>
          <w:p w:rsidR="0008141A" w:rsidRPr="0008141A" w:rsidP="0008141A" w14:paraId="5BECCE1B" w14:textId="77777777">
            <w:pPr>
              <w:tabs>
                <w:tab w:val="left" w:pos="-720"/>
              </w:tabs>
              <w:suppressAutoHyphens/>
              <w:jc w:val="both"/>
              <w:rPr>
                <w:rFonts w:eastAsia="Calibri"/>
                <w:bCs/>
                <w:color w:val="0000FF"/>
                <w:szCs w:val="24"/>
                <w:u w:val="single"/>
              </w:rPr>
            </w:pPr>
            <w:hyperlink r:id="rId17" w:history="1">
              <w:r w:rsidRPr="0008141A">
                <w:rPr>
                  <w:rFonts w:eastAsia="Calibri"/>
                  <w:bCs/>
                  <w:color w:val="0000FF"/>
                  <w:szCs w:val="24"/>
                  <w:u w:val="single"/>
                </w:rPr>
                <w:t>mpritchard@mcneeslaw.com</w:t>
              </w:r>
            </w:hyperlink>
          </w:p>
          <w:p w:rsidR="0008141A" w:rsidRPr="0008141A" w:rsidP="0008141A" w14:paraId="26ABBDD3" w14:textId="77777777">
            <w:pPr>
              <w:tabs>
                <w:tab w:val="left" w:pos="-720"/>
              </w:tabs>
              <w:suppressAutoHyphens/>
              <w:jc w:val="both"/>
              <w:rPr>
                <w:rFonts w:eastAsia="Calibri"/>
                <w:bCs/>
                <w:color w:val="0000FF"/>
                <w:szCs w:val="24"/>
                <w:u w:val="single"/>
              </w:rPr>
            </w:pPr>
            <w:r w:rsidRPr="0008141A">
              <w:rPr>
                <w:rFonts w:eastAsia="Calibri"/>
                <w:bCs/>
                <w:color w:val="0000FF"/>
                <w:szCs w:val="24"/>
                <w:u w:val="single"/>
              </w:rPr>
              <w:t>bmckenney@mcneeslaw.com</w:t>
            </w:r>
          </w:p>
          <w:p w:rsidR="0008141A" w:rsidRPr="0008141A" w:rsidP="0008141A" w14:paraId="259DFD3A" w14:textId="77777777">
            <w:pPr>
              <w:tabs>
                <w:tab w:val="left" w:pos="-720"/>
              </w:tabs>
              <w:suppressAutoHyphens/>
              <w:jc w:val="both"/>
              <w:rPr>
                <w:rFonts w:eastAsia="Calibri"/>
                <w:bCs/>
                <w:color w:val="0000FF"/>
                <w:szCs w:val="24"/>
                <w:u w:val="single"/>
              </w:rPr>
            </w:pPr>
          </w:p>
          <w:p w:rsidR="0008141A" w:rsidRPr="0008141A" w:rsidP="0008141A" w14:paraId="39086F0A" w14:textId="77777777">
            <w:pPr>
              <w:tabs>
                <w:tab w:val="left" w:pos="-720"/>
              </w:tabs>
              <w:suppressAutoHyphens/>
              <w:jc w:val="both"/>
              <w:rPr>
                <w:rFonts w:eastAsia="Calibri"/>
                <w:bCs/>
                <w:szCs w:val="24"/>
              </w:rPr>
            </w:pPr>
            <w:r w:rsidRPr="0008141A">
              <w:rPr>
                <w:rFonts w:eastAsia="Calibri"/>
                <w:bCs/>
                <w:szCs w:val="24"/>
              </w:rPr>
              <w:t>Attorney Examiners:</w:t>
            </w:r>
          </w:p>
          <w:p w:rsidR="0008141A" w:rsidRPr="0008141A" w:rsidP="0008141A" w14:paraId="1398ABBA" w14:textId="77777777">
            <w:pPr>
              <w:rPr>
                <w:rFonts w:eastAsia="Calibri"/>
                <w:color w:val="0000FF"/>
                <w:szCs w:val="24"/>
                <w:u w:val="single"/>
              </w:rPr>
            </w:pPr>
            <w:hyperlink r:id="rId18" w:history="1">
              <w:r w:rsidRPr="0008141A">
                <w:rPr>
                  <w:rFonts w:eastAsia="Calibri"/>
                  <w:color w:val="0000FF"/>
                  <w:szCs w:val="24"/>
                  <w:u w:val="single"/>
                </w:rPr>
                <w:t>jacqueline.st.john@puco.ohio.gov</w:t>
              </w:r>
            </w:hyperlink>
          </w:p>
          <w:p w:rsidR="0008141A" w:rsidRPr="0008141A" w:rsidP="0008141A" w14:paraId="6300B0EC" w14:textId="77777777">
            <w:pPr>
              <w:adjustRightInd w:val="0"/>
              <w:rPr>
                <w:rFonts w:eastAsia="Calibri"/>
                <w:color w:val="0000FF"/>
                <w:szCs w:val="24"/>
                <w:u w:val="single"/>
              </w:rPr>
            </w:pPr>
            <w:hyperlink r:id="rId19" w:history="1">
              <w:r w:rsidRPr="0008141A">
                <w:rPr>
                  <w:rFonts w:eastAsia="Calibri"/>
                  <w:color w:val="0000FF"/>
                  <w:szCs w:val="24"/>
                  <w:u w:val="single"/>
                </w:rPr>
                <w:t>gregory.price@puco.ohio.gov</w:t>
              </w:r>
            </w:hyperlink>
          </w:p>
          <w:p w:rsidR="0008141A" w:rsidRPr="0008141A" w:rsidP="0008141A" w14:paraId="2C9029F9" w14:textId="77777777">
            <w:pPr>
              <w:autoSpaceDE w:val="0"/>
              <w:autoSpaceDN w:val="0"/>
              <w:adjustRightInd w:val="0"/>
              <w:rPr>
                <w:rFonts w:eastAsia="Calibri"/>
                <w:bCs/>
                <w:szCs w:val="24"/>
              </w:rPr>
            </w:pPr>
          </w:p>
          <w:p w:rsidR="0008141A" w:rsidRPr="0008141A" w:rsidP="0008141A" w14:paraId="31A6FFF0" w14:textId="77777777">
            <w:pPr>
              <w:autoSpaceDE w:val="0"/>
              <w:autoSpaceDN w:val="0"/>
              <w:adjustRightInd w:val="0"/>
              <w:rPr>
                <w:rFonts w:eastAsia="Calibri"/>
                <w:bCs/>
                <w:szCs w:val="24"/>
              </w:rPr>
            </w:pPr>
          </w:p>
          <w:bookmarkEnd w:id="2"/>
          <w:p w:rsidR="0008141A" w:rsidRPr="0008141A" w:rsidP="0008141A" w14:paraId="6EB562CA" w14:textId="77777777">
            <w:pPr>
              <w:autoSpaceDE w:val="0"/>
              <w:autoSpaceDN w:val="0"/>
              <w:adjustRightInd w:val="0"/>
              <w:rPr>
                <w:rFonts w:eastAsia="Calibri"/>
                <w:bCs/>
                <w:szCs w:val="24"/>
              </w:rPr>
            </w:pPr>
          </w:p>
        </w:tc>
        <w:tc>
          <w:tcPr>
            <w:tcW w:w="4318" w:type="dxa"/>
            <w:shd w:val="clear" w:color="auto" w:fill="auto"/>
          </w:tcPr>
          <w:p w:rsidR="0008141A" w:rsidRPr="0008141A" w:rsidP="0008141A" w14:paraId="3F9BDFF6" w14:textId="77777777">
            <w:pPr>
              <w:tabs>
                <w:tab w:val="left" w:pos="-720"/>
              </w:tabs>
              <w:suppressAutoHyphens/>
              <w:jc w:val="both"/>
              <w:rPr>
                <w:rFonts w:eastAsia="Calibri"/>
                <w:bCs/>
                <w:szCs w:val="24"/>
              </w:rPr>
            </w:pPr>
            <w:hyperlink r:id="rId20" w:history="1">
              <w:r w:rsidRPr="0008141A">
                <w:rPr>
                  <w:rFonts w:eastAsia="Calibri"/>
                  <w:bCs/>
                  <w:color w:val="0000FF"/>
                  <w:szCs w:val="24"/>
                  <w:u w:val="single"/>
                </w:rPr>
                <w:t>mkurtz@bkllawfirm.com</w:t>
              </w:r>
            </w:hyperlink>
          </w:p>
          <w:p w:rsidR="0008141A" w:rsidRPr="0008141A" w:rsidP="0008141A" w14:paraId="59EBAE84" w14:textId="77777777">
            <w:pPr>
              <w:tabs>
                <w:tab w:val="left" w:pos="-720"/>
              </w:tabs>
              <w:suppressAutoHyphens/>
              <w:jc w:val="both"/>
              <w:rPr>
                <w:rFonts w:eastAsia="Calibri"/>
                <w:bCs/>
                <w:szCs w:val="24"/>
              </w:rPr>
            </w:pPr>
            <w:hyperlink r:id="rId21" w:history="1">
              <w:r w:rsidRPr="0008141A">
                <w:rPr>
                  <w:rFonts w:eastAsia="Calibri"/>
                  <w:bCs/>
                  <w:color w:val="0000FF"/>
                  <w:szCs w:val="24"/>
                  <w:u w:val="single"/>
                </w:rPr>
                <w:t>kboehm@bkllawfirm.com</w:t>
              </w:r>
            </w:hyperlink>
          </w:p>
          <w:p w:rsidR="0008141A" w:rsidRPr="0008141A" w:rsidP="0008141A" w14:paraId="4192E91A" w14:textId="77777777">
            <w:pPr>
              <w:tabs>
                <w:tab w:val="left" w:pos="-720"/>
              </w:tabs>
              <w:suppressAutoHyphens/>
              <w:jc w:val="both"/>
              <w:rPr>
                <w:rFonts w:eastAsia="Calibri"/>
                <w:bCs/>
                <w:szCs w:val="24"/>
              </w:rPr>
            </w:pPr>
            <w:hyperlink r:id="rId22" w:history="1">
              <w:r w:rsidRPr="0008141A">
                <w:rPr>
                  <w:rFonts w:eastAsia="Calibri"/>
                  <w:bCs/>
                  <w:color w:val="0000FF"/>
                  <w:szCs w:val="24"/>
                  <w:u w:val="single"/>
                </w:rPr>
                <w:t>jkylercohn@bkllawfirm.com</w:t>
              </w:r>
            </w:hyperlink>
          </w:p>
          <w:p w:rsidR="0008141A" w:rsidRPr="0008141A" w:rsidP="0008141A" w14:paraId="3C055A8B" w14:textId="77777777">
            <w:pPr>
              <w:tabs>
                <w:tab w:val="left" w:pos="-720"/>
              </w:tabs>
              <w:suppressAutoHyphens/>
              <w:jc w:val="both"/>
              <w:rPr>
                <w:rFonts w:eastAsia="Calibri"/>
                <w:bCs/>
                <w:szCs w:val="24"/>
              </w:rPr>
            </w:pPr>
            <w:hyperlink r:id="rId23" w:history="1">
              <w:r w:rsidRPr="0008141A">
                <w:rPr>
                  <w:rFonts w:eastAsia="Calibri"/>
                  <w:bCs/>
                  <w:color w:val="0000FF"/>
                  <w:szCs w:val="24"/>
                  <w:u w:val="single"/>
                </w:rPr>
                <w:t>josephclark@nisource.com</w:t>
              </w:r>
            </w:hyperlink>
          </w:p>
          <w:p w:rsidR="0008141A" w:rsidRPr="0008141A" w:rsidP="0008141A" w14:paraId="346F6701" w14:textId="77777777">
            <w:pPr>
              <w:tabs>
                <w:tab w:val="left" w:pos="-720"/>
              </w:tabs>
              <w:suppressAutoHyphens/>
              <w:jc w:val="both"/>
              <w:rPr>
                <w:rFonts w:eastAsia="Calibri"/>
                <w:bCs/>
                <w:szCs w:val="24"/>
              </w:rPr>
            </w:pPr>
            <w:hyperlink r:id="rId24" w:history="1">
              <w:r w:rsidRPr="0008141A">
                <w:rPr>
                  <w:rFonts w:eastAsia="Calibri"/>
                  <w:bCs/>
                  <w:color w:val="0000FF"/>
                  <w:szCs w:val="24"/>
                  <w:u w:val="single"/>
                </w:rPr>
                <w:t>mlthompson@nisource.com</w:t>
              </w:r>
            </w:hyperlink>
          </w:p>
          <w:p w:rsidR="0008141A" w:rsidRPr="0008141A" w:rsidP="0008141A" w14:paraId="30CF6968" w14:textId="77777777">
            <w:pPr>
              <w:tabs>
                <w:tab w:val="left" w:pos="-720"/>
              </w:tabs>
              <w:suppressAutoHyphens/>
              <w:jc w:val="both"/>
              <w:rPr>
                <w:rFonts w:eastAsia="Calibri"/>
                <w:bCs/>
                <w:szCs w:val="24"/>
              </w:rPr>
            </w:pPr>
            <w:hyperlink r:id="rId25" w:history="1">
              <w:r w:rsidRPr="0008141A">
                <w:rPr>
                  <w:rFonts w:eastAsia="Calibri"/>
                  <w:bCs/>
                  <w:color w:val="0000FF"/>
                  <w:szCs w:val="24"/>
                  <w:u w:val="single"/>
                </w:rPr>
                <w:t>johnryan@nisource.com</w:t>
              </w:r>
            </w:hyperlink>
          </w:p>
          <w:p w:rsidR="0008141A" w:rsidRPr="0008141A" w:rsidP="0008141A" w14:paraId="200B7EAB" w14:textId="77777777">
            <w:pPr>
              <w:tabs>
                <w:tab w:val="left" w:pos="-720"/>
              </w:tabs>
              <w:suppressAutoHyphens/>
              <w:jc w:val="both"/>
              <w:rPr>
                <w:rFonts w:eastAsia="Calibri"/>
                <w:bCs/>
                <w:szCs w:val="24"/>
              </w:rPr>
            </w:pPr>
            <w:hyperlink r:id="rId26" w:history="1">
              <w:r w:rsidRPr="0008141A">
                <w:rPr>
                  <w:rFonts w:eastAsia="Calibri"/>
                  <w:bCs/>
                  <w:color w:val="0000FF"/>
                  <w:szCs w:val="24"/>
                  <w:u w:val="single"/>
                </w:rPr>
                <w:t>egallon@porterwright.com</w:t>
              </w:r>
            </w:hyperlink>
          </w:p>
          <w:p w:rsidR="0008141A" w:rsidRPr="0008141A" w:rsidP="0008141A" w14:paraId="74072F53" w14:textId="77777777">
            <w:pPr>
              <w:tabs>
                <w:tab w:val="left" w:pos="-720"/>
              </w:tabs>
              <w:suppressAutoHyphens/>
              <w:jc w:val="both"/>
              <w:rPr>
                <w:rFonts w:eastAsia="Calibri"/>
                <w:bCs/>
                <w:szCs w:val="24"/>
              </w:rPr>
            </w:pPr>
            <w:hyperlink r:id="rId27" w:history="1">
              <w:r w:rsidRPr="0008141A">
                <w:rPr>
                  <w:rFonts w:eastAsia="Calibri"/>
                  <w:bCs/>
                  <w:color w:val="0000FF"/>
                  <w:szCs w:val="24"/>
                  <w:u w:val="single"/>
                </w:rPr>
                <w:t>mstemm@porterwright.com</w:t>
              </w:r>
            </w:hyperlink>
          </w:p>
          <w:p w:rsidR="0008141A" w:rsidRPr="0008141A" w:rsidP="0008141A" w14:paraId="52AF6EC0" w14:textId="77777777">
            <w:pPr>
              <w:tabs>
                <w:tab w:val="left" w:pos="-720"/>
              </w:tabs>
              <w:suppressAutoHyphens/>
              <w:jc w:val="both"/>
              <w:rPr>
                <w:rFonts w:eastAsia="Calibri"/>
                <w:bCs/>
                <w:szCs w:val="24"/>
              </w:rPr>
            </w:pPr>
            <w:hyperlink r:id="rId28" w:history="1">
              <w:r w:rsidRPr="0008141A">
                <w:rPr>
                  <w:rFonts w:eastAsia="Calibri"/>
                  <w:bCs/>
                  <w:color w:val="0000FF"/>
                  <w:szCs w:val="24"/>
                  <w:u w:val="single"/>
                </w:rPr>
                <w:t>bhughes@porterwright.com</w:t>
              </w:r>
            </w:hyperlink>
          </w:p>
          <w:p w:rsidR="0008141A" w:rsidRPr="0008141A" w:rsidP="0008141A" w14:paraId="2F388F4C" w14:textId="77777777">
            <w:pPr>
              <w:tabs>
                <w:tab w:val="left" w:pos="-720"/>
              </w:tabs>
              <w:suppressAutoHyphens/>
              <w:jc w:val="both"/>
              <w:rPr>
                <w:rFonts w:eastAsia="Calibri"/>
                <w:bCs/>
                <w:color w:val="0000FF"/>
                <w:szCs w:val="24"/>
                <w:u w:val="single"/>
              </w:rPr>
            </w:pPr>
            <w:hyperlink r:id="rId29" w:history="1">
              <w:r w:rsidRPr="0008141A">
                <w:rPr>
                  <w:rFonts w:eastAsia="Calibri"/>
                  <w:bCs/>
                  <w:color w:val="0000FF"/>
                  <w:szCs w:val="24"/>
                  <w:u w:val="single"/>
                </w:rPr>
                <w:t>dflahive@porterwright.com</w:t>
              </w:r>
            </w:hyperlink>
          </w:p>
          <w:p w:rsidR="0008141A" w:rsidRPr="0008141A" w:rsidP="0008141A" w14:paraId="27DE1E64" w14:textId="77777777">
            <w:pPr>
              <w:tabs>
                <w:tab w:val="left" w:pos="-720"/>
              </w:tabs>
              <w:suppressAutoHyphens/>
              <w:jc w:val="both"/>
              <w:rPr>
                <w:rFonts w:eastAsia="Calibri"/>
                <w:bCs/>
                <w:szCs w:val="24"/>
              </w:rPr>
            </w:pPr>
            <w:hyperlink r:id="rId30" w:history="1">
              <w:r w:rsidRPr="0008141A">
                <w:rPr>
                  <w:rFonts w:eastAsia="Calibri"/>
                  <w:bCs/>
                  <w:color w:val="0000FF"/>
                  <w:szCs w:val="24"/>
                  <w:u w:val="single"/>
                </w:rPr>
                <w:t>dparram@bricker.com</w:t>
              </w:r>
            </w:hyperlink>
          </w:p>
          <w:p w:rsidR="0008141A" w:rsidRPr="0008141A" w:rsidP="0008141A" w14:paraId="0F40BC9F" w14:textId="77777777">
            <w:pPr>
              <w:tabs>
                <w:tab w:val="left" w:pos="-720"/>
              </w:tabs>
              <w:suppressAutoHyphens/>
              <w:jc w:val="both"/>
              <w:rPr>
                <w:rFonts w:eastAsia="Calibri"/>
                <w:bCs/>
                <w:szCs w:val="24"/>
              </w:rPr>
            </w:pPr>
            <w:hyperlink r:id="rId31" w:history="1">
              <w:r w:rsidRPr="0008141A">
                <w:rPr>
                  <w:rFonts w:eastAsia="Calibri"/>
                  <w:bCs/>
                  <w:color w:val="0000FF"/>
                  <w:szCs w:val="24"/>
                  <w:u w:val="single"/>
                </w:rPr>
                <w:t>gkrassen@nopec.org</w:t>
              </w:r>
            </w:hyperlink>
          </w:p>
          <w:p w:rsidR="0008141A" w:rsidRPr="0008141A" w:rsidP="0008141A" w14:paraId="4190CE84" w14:textId="77777777">
            <w:pPr>
              <w:tabs>
                <w:tab w:val="left" w:pos="-720"/>
              </w:tabs>
              <w:suppressAutoHyphens/>
              <w:jc w:val="both"/>
              <w:rPr>
                <w:rFonts w:eastAsia="Calibri"/>
                <w:bCs/>
                <w:color w:val="0000FF"/>
                <w:szCs w:val="24"/>
                <w:u w:val="single"/>
              </w:rPr>
            </w:pPr>
            <w:hyperlink r:id="rId32" w:history="1">
              <w:r w:rsidRPr="0008141A">
                <w:rPr>
                  <w:rFonts w:eastAsia="Calibri"/>
                  <w:bCs/>
                  <w:color w:val="0000FF"/>
                  <w:szCs w:val="24"/>
                  <w:u w:val="single"/>
                </w:rPr>
                <w:t>dstinson@bricker.com</w:t>
              </w:r>
            </w:hyperlink>
          </w:p>
          <w:p w:rsidR="0008141A" w:rsidRPr="0008141A" w:rsidP="0008141A" w14:paraId="6B4F84FA" w14:textId="77777777">
            <w:pPr>
              <w:tabs>
                <w:tab w:val="left" w:pos="-720"/>
              </w:tabs>
              <w:suppressAutoHyphens/>
              <w:jc w:val="both"/>
              <w:rPr>
                <w:rFonts w:eastAsia="Calibri"/>
                <w:bCs/>
                <w:szCs w:val="24"/>
              </w:rPr>
            </w:pPr>
            <w:r w:rsidRPr="0008141A">
              <w:rPr>
                <w:rFonts w:eastAsia="Calibri"/>
                <w:bCs/>
                <w:color w:val="0000FF"/>
                <w:szCs w:val="24"/>
                <w:u w:val="single"/>
              </w:rPr>
              <w:t>rmains@bricker.com</w:t>
            </w:r>
          </w:p>
          <w:p w:rsidR="0008141A" w:rsidRPr="0008141A" w:rsidP="0008141A" w14:paraId="64AD61A8" w14:textId="77777777">
            <w:pPr>
              <w:tabs>
                <w:tab w:val="left" w:pos="-720"/>
              </w:tabs>
              <w:suppressAutoHyphens/>
              <w:jc w:val="both"/>
              <w:rPr>
                <w:rFonts w:eastAsia="Calibri"/>
                <w:bCs/>
                <w:szCs w:val="24"/>
              </w:rPr>
            </w:pPr>
            <w:hyperlink r:id="rId31" w:history="1">
              <w:r w:rsidRPr="0008141A">
                <w:rPr>
                  <w:rFonts w:eastAsia="Calibri"/>
                  <w:bCs/>
                  <w:color w:val="0000FF"/>
                  <w:szCs w:val="24"/>
                  <w:u w:val="single"/>
                </w:rPr>
                <w:t>gkrassen@nopec.org</w:t>
              </w:r>
            </w:hyperlink>
          </w:p>
          <w:p w:rsidR="0008141A" w:rsidRPr="0008141A" w:rsidP="0008141A" w14:paraId="6A88472A" w14:textId="77777777">
            <w:pPr>
              <w:tabs>
                <w:tab w:val="left" w:pos="-720"/>
              </w:tabs>
              <w:suppressAutoHyphens/>
              <w:jc w:val="both"/>
              <w:rPr>
                <w:rFonts w:eastAsia="Calibri"/>
                <w:bCs/>
                <w:color w:val="0000FF"/>
                <w:szCs w:val="24"/>
                <w:u w:val="single"/>
              </w:rPr>
            </w:pPr>
            <w:hyperlink r:id="rId33" w:history="1">
              <w:r w:rsidRPr="0008141A">
                <w:rPr>
                  <w:rFonts w:eastAsia="Calibri"/>
                  <w:bCs/>
                  <w:color w:val="0000FF"/>
                  <w:szCs w:val="24"/>
                  <w:u w:val="single"/>
                </w:rPr>
                <w:t>bojko@carpenterlipps.com</w:t>
              </w:r>
            </w:hyperlink>
          </w:p>
          <w:p w:rsidR="0008141A" w:rsidRPr="0008141A" w:rsidP="0008141A" w14:paraId="091F0DFF" w14:textId="77777777">
            <w:pPr>
              <w:tabs>
                <w:tab w:val="left" w:pos="-720"/>
              </w:tabs>
              <w:suppressAutoHyphens/>
              <w:jc w:val="both"/>
              <w:rPr>
                <w:rFonts w:eastAsia="Calibri"/>
                <w:bCs/>
                <w:szCs w:val="24"/>
              </w:rPr>
            </w:pPr>
            <w:hyperlink r:id="rId34" w:history="1">
              <w:r w:rsidRPr="0008141A">
                <w:rPr>
                  <w:rFonts w:eastAsia="Calibri"/>
                  <w:bCs/>
                  <w:color w:val="0000FF"/>
                  <w:szCs w:val="24"/>
                  <w:u w:val="single"/>
                </w:rPr>
                <w:t>paul@carpenterlipps.com</w:t>
              </w:r>
            </w:hyperlink>
          </w:p>
          <w:p w:rsidR="0008141A" w:rsidRPr="0008141A" w:rsidP="0008141A" w14:paraId="0768AD28" w14:textId="77777777">
            <w:pPr>
              <w:tabs>
                <w:tab w:val="left" w:pos="-720"/>
              </w:tabs>
              <w:suppressAutoHyphens/>
              <w:jc w:val="both"/>
              <w:rPr>
                <w:rFonts w:eastAsia="Calibri"/>
                <w:bCs/>
                <w:szCs w:val="24"/>
              </w:rPr>
            </w:pPr>
            <w:hyperlink r:id="rId35" w:history="1">
              <w:r w:rsidRPr="0008141A">
                <w:rPr>
                  <w:rFonts w:eastAsia="Calibri"/>
                  <w:bCs/>
                  <w:color w:val="0000FF"/>
                  <w:szCs w:val="24"/>
                  <w:u w:val="single"/>
                </w:rPr>
                <w:t>wygonski@carpenterlipps.com</w:t>
              </w:r>
            </w:hyperlink>
          </w:p>
          <w:p w:rsidR="0008141A" w:rsidRPr="0008141A" w:rsidP="0008141A" w14:paraId="55C78FE0" w14:textId="77777777">
            <w:pPr>
              <w:tabs>
                <w:tab w:val="left" w:pos="-720"/>
              </w:tabs>
              <w:suppressAutoHyphens/>
              <w:jc w:val="both"/>
              <w:rPr>
                <w:rFonts w:eastAsia="Calibri"/>
                <w:bCs/>
                <w:szCs w:val="24"/>
              </w:rPr>
            </w:pPr>
            <w:hyperlink r:id="rId36" w:history="1">
              <w:r w:rsidRPr="0008141A">
                <w:rPr>
                  <w:rFonts w:eastAsia="Calibri"/>
                  <w:bCs/>
                  <w:color w:val="0000FF"/>
                  <w:szCs w:val="24"/>
                  <w:u w:val="single"/>
                </w:rPr>
                <w:t>trent@hubaydougherty.com</w:t>
              </w:r>
            </w:hyperlink>
          </w:p>
          <w:p w:rsidR="0008141A" w:rsidRPr="0008141A" w:rsidP="0008141A" w14:paraId="63E774FE" w14:textId="77777777">
            <w:pPr>
              <w:tabs>
                <w:tab w:val="left" w:pos="-720"/>
              </w:tabs>
              <w:suppressAutoHyphens/>
              <w:jc w:val="both"/>
              <w:rPr>
                <w:rFonts w:eastAsia="Calibri"/>
                <w:bCs/>
                <w:szCs w:val="24"/>
              </w:rPr>
            </w:pPr>
          </w:p>
        </w:tc>
      </w:tr>
    </w:tbl>
    <w:p w:rsidR="009A6918" w:rsidRPr="00E110EF" w14:paraId="175EFE87" w14:textId="77777777">
      <w:pPr>
        <w:rPr>
          <w:szCs w:val="24"/>
        </w:rPr>
      </w:pPr>
    </w:p>
    <w:p w:rsidR="003532BA" w:rsidRPr="00E110EF" w14:paraId="4D480C88" w14:textId="77777777">
      <w:pPr>
        <w:pStyle w:val="BodyText"/>
        <w:rPr>
          <w:b/>
          <w:bCs/>
          <w:szCs w:val="24"/>
        </w:rPr>
      </w:pPr>
    </w:p>
    <w:sectPr>
      <w:headerReference w:type="even" r:id="rId37"/>
      <w:headerReference w:type="default" r:id="rId38"/>
      <w:footerReference w:type="even" r:id="rId39"/>
      <w:footerReference w:type="default" r:id="rId40"/>
      <w:headerReference w:type="first" r:id="rId41"/>
      <w:footerReference w:type="first" r:id="rId42"/>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7A3" w:rsidRPr="00DB7B4A" w14:paraId="3BC3F821" w14:textId="77777777">
    <w:pPr>
      <w:pStyle w:val="Footer"/>
      <w:jc w:val="center"/>
      <w:rPr>
        <w:sz w:val="24"/>
        <w:szCs w:val="24"/>
      </w:rPr>
    </w:pPr>
    <w:r w:rsidRPr="00DB7B4A">
      <w:rPr>
        <w:sz w:val="24"/>
        <w:szCs w:val="24"/>
      </w:rPr>
      <w:fldChar w:fldCharType="begin"/>
    </w:r>
    <w:r w:rsidRPr="00DB7B4A">
      <w:rPr>
        <w:sz w:val="24"/>
        <w:szCs w:val="24"/>
      </w:rPr>
      <w:instrText xml:space="preserve"> PAGE   \* MERGEFORMAT </w:instrText>
    </w:r>
    <w:r w:rsidRPr="00DB7B4A">
      <w:rPr>
        <w:sz w:val="24"/>
        <w:szCs w:val="24"/>
      </w:rPr>
      <w:fldChar w:fldCharType="separate"/>
    </w:r>
    <w:r>
      <w:rPr>
        <w:noProof/>
        <w:sz w:val="24"/>
        <w:szCs w:val="24"/>
      </w:rPr>
      <w:t>5</w:t>
    </w:r>
    <w:r w:rsidRPr="00DB7B4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7A3" w14:paraId="44718B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7A3" w:rsidRPr="00DB7B4A" w14:paraId="6C61A6B0" w14:textId="77777777">
    <w:pPr>
      <w:pStyle w:val="Footer"/>
      <w:jc w:val="center"/>
      <w:rPr>
        <w:sz w:val="24"/>
        <w:szCs w:val="24"/>
      </w:rPr>
    </w:pPr>
    <w:r w:rsidRPr="00DB7B4A">
      <w:rPr>
        <w:rStyle w:val="PageNumber"/>
        <w:sz w:val="24"/>
        <w:szCs w:val="24"/>
      </w:rPr>
      <w:fldChar w:fldCharType="begin"/>
    </w:r>
    <w:r w:rsidRPr="00DB7B4A">
      <w:rPr>
        <w:rStyle w:val="PageNumber"/>
        <w:sz w:val="24"/>
        <w:szCs w:val="24"/>
      </w:rPr>
      <w:instrText xml:space="preserve"> PAGE </w:instrText>
    </w:r>
    <w:r w:rsidRPr="00DB7B4A">
      <w:rPr>
        <w:rStyle w:val="PageNumber"/>
        <w:sz w:val="24"/>
        <w:szCs w:val="24"/>
      </w:rPr>
      <w:fldChar w:fldCharType="separate"/>
    </w:r>
    <w:r w:rsidRPr="00DB7B4A">
      <w:rPr>
        <w:rStyle w:val="PageNumber"/>
        <w:noProof/>
        <w:sz w:val="24"/>
        <w:szCs w:val="24"/>
      </w:rPr>
      <w:t>2</w:t>
    </w:r>
    <w:r w:rsidRPr="00DB7B4A">
      <w:rPr>
        <w:rStyle w:val="PageNumbe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9107155"/>
      <w:docPartObj>
        <w:docPartGallery w:val="Page Numbers (Bottom of Page)"/>
        <w:docPartUnique/>
      </w:docPartObj>
    </w:sdtPr>
    <w:sdtEndPr>
      <w:rPr>
        <w:noProof/>
        <w:sz w:val="24"/>
        <w:szCs w:val="24"/>
      </w:rPr>
    </w:sdtEndPr>
    <w:sdtContent>
      <w:p w:rsidR="0018684F" w:rsidRPr="0018684F" w14:paraId="03E42EFE" w14:textId="302500E2">
        <w:pPr>
          <w:pStyle w:val="Footer"/>
          <w:jc w:val="center"/>
          <w:rPr>
            <w:sz w:val="24"/>
            <w:szCs w:val="24"/>
          </w:rPr>
        </w:pPr>
        <w:r w:rsidRPr="0018684F">
          <w:rPr>
            <w:sz w:val="24"/>
            <w:szCs w:val="24"/>
          </w:rPr>
          <w:fldChar w:fldCharType="begin"/>
        </w:r>
        <w:r w:rsidRPr="0018684F">
          <w:rPr>
            <w:sz w:val="24"/>
            <w:szCs w:val="24"/>
          </w:rPr>
          <w:instrText xml:space="preserve"> PAGE   \* MERGEFORMAT </w:instrText>
        </w:r>
        <w:r w:rsidRPr="0018684F">
          <w:rPr>
            <w:sz w:val="24"/>
            <w:szCs w:val="24"/>
          </w:rPr>
          <w:fldChar w:fldCharType="separate"/>
        </w:r>
        <w:r w:rsidRPr="0018684F">
          <w:rPr>
            <w:noProof/>
            <w:sz w:val="24"/>
            <w:szCs w:val="24"/>
          </w:rPr>
          <w:t>2</w:t>
        </w:r>
        <w:r w:rsidRPr="0018684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C7459" w14:paraId="4B5FB700" w14:textId="77777777">
      <w:r>
        <w:separator/>
      </w:r>
    </w:p>
  </w:footnote>
  <w:footnote w:type="continuationSeparator" w:id="1">
    <w:p w:rsidR="005C7459" w14:paraId="3610A7A5" w14:textId="77777777">
      <w:r>
        <w:continuationSeparator/>
      </w:r>
    </w:p>
  </w:footnote>
  <w:footnote w:id="2">
    <w:p w:rsidR="007619C1" w:rsidP="007458CF" w14:paraId="7DE926F2" w14:textId="24A258D2">
      <w:pPr>
        <w:pStyle w:val="FootnoteText"/>
        <w:spacing w:before="0" w:after="120"/>
      </w:pPr>
      <w:r>
        <w:rPr>
          <w:rStyle w:val="FootnoteReference"/>
        </w:rPr>
        <w:footnoteRef/>
      </w:r>
      <w:r>
        <w:t xml:space="preserve"> Order on Remand at 9-10, </w:t>
      </w:r>
      <w:r>
        <w:rPr>
          <w:i/>
          <w:iCs/>
        </w:rPr>
        <w:t>In re Application of Columbus S. Power Co. for Approval of an Elec. Sec. Plan</w:t>
      </w:r>
      <w:r>
        <w:t xml:space="preserve">, Case No. 08-917-EL-SSO (granting a motion to strike portions of AEP's initial post-hearing brief that included non-record information); 5th Entry on Rehearing at 169-72, </w:t>
      </w:r>
      <w:r>
        <w:rPr>
          <w:i/>
          <w:iCs/>
        </w:rPr>
        <w:t>In re Application of [FirstEnergy] for Authority to Provide for a Standard Serv. Offer in the Form of an Elec. Sec. Plan</w:t>
      </w:r>
      <w:r>
        <w:t>, Case No. 14-1297-EL-SSO (October 12, 2016) (granting motions to strike portions of rehearing briefs that included information and statements that were not part of the evidentiary record).</w:t>
      </w:r>
    </w:p>
  </w:footnote>
  <w:footnote w:id="3">
    <w:p w:rsidR="007619C1" w:rsidP="007458CF" w14:paraId="24680C6C" w14:textId="33E29930">
      <w:pPr>
        <w:pStyle w:val="FootnoteText"/>
        <w:spacing w:before="0" w:after="120"/>
      </w:pPr>
      <w:r>
        <w:rPr>
          <w:rStyle w:val="FootnoteReference"/>
        </w:rPr>
        <w:footnoteRef/>
      </w:r>
      <w:r>
        <w:t xml:space="preserve"> Opinion &amp; Order ¶ 31, </w:t>
      </w:r>
      <w:r>
        <w:rPr>
          <w:i/>
          <w:iCs/>
        </w:rPr>
        <w:t>In re Application of Columbia Gas of Ohio, Inc. for Approval of Demand-Side Mgmt. Programs for its Residential &amp; Commercial Customers</w:t>
      </w:r>
      <w:r>
        <w:t>, Case No. 16-1309-GA-UNC (December 31, 2016).</w:t>
      </w:r>
    </w:p>
  </w:footnote>
  <w:footnote w:id="4">
    <w:p w:rsidR="007619C1" w:rsidRPr="00BB2895" w:rsidP="007458CF" w14:paraId="1ACAC641" w14:textId="171B8947">
      <w:pPr>
        <w:pStyle w:val="FootnoteText"/>
        <w:spacing w:before="0" w:after="120"/>
      </w:pPr>
      <w:r>
        <w:rPr>
          <w:rStyle w:val="FootnoteReference"/>
        </w:rPr>
        <w:footnoteRef/>
      </w:r>
      <w:r>
        <w:t xml:space="preserve"> </w:t>
      </w:r>
      <w:r>
        <w:rPr>
          <w:i/>
          <w:iCs/>
        </w:rPr>
        <w:t>Supra</w:t>
      </w:r>
      <w:r>
        <w:t xml:space="preserve"> note 2. </w:t>
      </w:r>
    </w:p>
  </w:footnote>
  <w:footnote w:id="5">
    <w:p w:rsidR="00BB2895" w:rsidP="007458CF" w14:paraId="64755A47" w14:textId="166E1D2C">
      <w:pPr>
        <w:pStyle w:val="FootnoteText"/>
        <w:spacing w:before="0" w:after="120"/>
      </w:pPr>
      <w:r>
        <w:rPr>
          <w:rStyle w:val="FootnoteReference"/>
        </w:rPr>
        <w:footnoteRef/>
      </w:r>
      <w:r>
        <w:t xml:space="preserve"> Opinion &amp; Order at 37, </w:t>
      </w:r>
      <w:r>
        <w:rPr>
          <w:i/>
          <w:iCs/>
        </w:rPr>
        <w:t>In re Application of [FirstEnergy] for Authority to Provide a Standard Serv. Offer in the Form of an Elec. Sec. Plan</w:t>
      </w:r>
      <w:r>
        <w:t xml:space="preserve">, Case No. 14-1297-EL-SSO (March 31, 2016) (granting motions to strike portions of reply briefs that cited to documents filed in other PUCO proceedings); </w:t>
      </w:r>
      <w:r>
        <w:rPr>
          <w:i/>
          <w:iCs/>
        </w:rPr>
        <w:t>In re Application of Columbia Gas of Ohio, Inc. for Approval of Demand-Side Mgmt. Programs for its Residential &amp; Commercial Customers</w:t>
      </w:r>
      <w:r>
        <w:t xml:space="preserve">, Case No. 16-1309-GA-UNC (December 31, 2016) (striking portion of a post-hearing brief that cited a motion filed in the same case because the motion was not admitted into the evidentiary record); </w:t>
      </w:r>
      <w:r>
        <w:rPr>
          <w:i/>
          <w:iCs/>
        </w:rPr>
        <w:t>Canton Storage &amp; Transfer Co. v. PUCO</w:t>
      </w:r>
      <w:r>
        <w:t>, 72 Ohio St.3d 1, 8 (1995).</w:t>
      </w:r>
    </w:p>
  </w:footnote>
  <w:footnote w:id="6">
    <w:p w:rsidR="007737A3" w:rsidP="007458CF" w14:paraId="08323B91" w14:textId="77777777">
      <w:pPr>
        <w:pStyle w:val="FootnoteText"/>
        <w:spacing w:before="0" w:after="120"/>
      </w:pPr>
      <w:r>
        <w:rPr>
          <w:rStyle w:val="FootnoteReference"/>
        </w:rPr>
        <w:footnoteRef/>
      </w:r>
      <w:r>
        <w:t xml:space="preserve"> Tr. at </w:t>
      </w:r>
      <w:r w:rsidR="00B00AB1">
        <w:t>162:24-25</w:t>
      </w:r>
      <w:r>
        <w:t>.</w:t>
      </w:r>
    </w:p>
  </w:footnote>
  <w:footnote w:id="7">
    <w:p w:rsidR="007737A3" w:rsidP="007458CF" w14:paraId="0A23DEA7" w14:textId="181C6C32">
      <w:pPr>
        <w:pStyle w:val="FootnoteText"/>
        <w:spacing w:before="0" w:after="120"/>
      </w:pPr>
      <w:r>
        <w:rPr>
          <w:rStyle w:val="FootnoteReference"/>
        </w:rPr>
        <w:footnoteRef/>
      </w:r>
      <w:r>
        <w:t xml:space="preserve"> </w:t>
      </w:r>
      <w:r w:rsidRPr="00C25AAB">
        <w:rPr>
          <w:i/>
          <w:iCs/>
        </w:rPr>
        <w:t>Canton Storage &amp; Transfer Co. v. PUCO</w:t>
      </w:r>
      <w:r>
        <w:t>, 72 Ohio St.3d 1, 8 (1995).</w:t>
      </w:r>
    </w:p>
  </w:footnote>
  <w:footnote w:id="8">
    <w:p w:rsidR="007737A3" w:rsidP="007458CF" w14:paraId="1D217041" w14:textId="6F6B0D4D">
      <w:pPr>
        <w:pStyle w:val="FootnoteText"/>
        <w:spacing w:before="0" w:after="120"/>
      </w:pPr>
      <w:r>
        <w:rPr>
          <w:rStyle w:val="FootnoteReference"/>
        </w:rPr>
        <w:footnoteRef/>
      </w:r>
      <w:r>
        <w:t xml:space="preserve"> Opinion &amp; Order ¶ 31, </w:t>
      </w:r>
      <w:r w:rsidRPr="00E51A32">
        <w:rPr>
          <w:i/>
          <w:iCs/>
        </w:rPr>
        <w:t>In re Application of Columbia Gas of Ohio, Inc. for Approval of Demand-Side Mgmt. Programs for its Residential &amp; Commercial Customers</w:t>
      </w:r>
      <w:r>
        <w:t>, Case No. 16-1309-GA-UNC (Dec</w:t>
      </w:r>
      <w:r w:rsidR="00AF605B">
        <w:t>ember</w:t>
      </w:r>
      <w:r>
        <w:t xml:space="preserve"> 31, 2016).</w:t>
      </w:r>
    </w:p>
  </w:footnote>
  <w:footnote w:id="9">
    <w:p w:rsidR="007737A3" w:rsidRPr="000807C5" w:rsidP="007458CF" w14:paraId="26DC414F" w14:textId="3588A5CC">
      <w:pPr>
        <w:pStyle w:val="FootnoteText"/>
        <w:spacing w:before="0" w:after="120"/>
      </w:pPr>
      <w:r>
        <w:rPr>
          <w:rStyle w:val="FootnoteReference"/>
        </w:rPr>
        <w:footnoteRef/>
      </w:r>
      <w:r>
        <w:t xml:space="preserve"> Order on Remand at 9-10, </w:t>
      </w:r>
      <w:r w:rsidRPr="00CC7900">
        <w:rPr>
          <w:i/>
          <w:iCs/>
        </w:rPr>
        <w:t>In re Application of Columbus S. Power Co. for Approval of an Elec. Sec. Plan</w:t>
      </w:r>
      <w:r>
        <w:t>, Case No. 08-917-EL-SSO (</w:t>
      </w:r>
      <w:r w:rsidRPr="009F66F0">
        <w:t>granting</w:t>
      </w:r>
      <w:r>
        <w:t xml:space="preserve"> a motion to strike portions of AEP's initial post-hearing brief that included non-record information); 5th Entry on Rehearing at 169-72, </w:t>
      </w:r>
      <w:r w:rsidRPr="00CC7900">
        <w:rPr>
          <w:i/>
          <w:iCs/>
        </w:rPr>
        <w:t>In re Application of [FirstEnergy] for Authority to Provide for a Standard Serv. Offer in the Form of an Elec. Sec. Plan</w:t>
      </w:r>
      <w:r>
        <w:t>, Case No. 14-1297-EL-SSO (Oct</w:t>
      </w:r>
      <w:r w:rsidR="00690B40">
        <w:t>ober</w:t>
      </w:r>
      <w:r>
        <w:t xml:space="preserve"> 12, 2016) (granting motions to strike portions of rehearing briefs that included information and statements that were not part of the evidentiary record).</w:t>
      </w:r>
    </w:p>
  </w:footnote>
  <w:footnote w:id="10">
    <w:p w:rsidR="007737A3" w:rsidP="007458CF" w14:paraId="6AC2496A" w14:textId="7F72DC62">
      <w:pPr>
        <w:pStyle w:val="FootnoteText"/>
        <w:spacing w:before="0" w:after="120"/>
      </w:pPr>
      <w:r>
        <w:rPr>
          <w:rStyle w:val="FootnoteReference"/>
        </w:rPr>
        <w:footnoteRef/>
      </w:r>
      <w:r>
        <w:t xml:space="preserve"> Opinion &amp; Order at 37, </w:t>
      </w:r>
      <w:r w:rsidRPr="00E91CB0">
        <w:rPr>
          <w:i/>
          <w:iCs/>
        </w:rPr>
        <w:t>In re Application of [FirstEnergy] for Authority to Provide a Standard Serv. Offer in the Form of an Elec. Sec. Plan</w:t>
      </w:r>
      <w:r>
        <w:t>, Case No. 14-1297-EL-SSO (Mar</w:t>
      </w:r>
      <w:r w:rsidR="00E91CB0">
        <w:t>ch</w:t>
      </w:r>
      <w:r>
        <w:t xml:space="preserve"> 31, 2016) (granting motions to strike portions of reply briefs that cited to documents filed in other PUCO proceedings); </w:t>
      </w:r>
      <w:r w:rsidRPr="00E91CB0">
        <w:rPr>
          <w:i/>
          <w:iCs/>
        </w:rPr>
        <w:t>In re Application of Columbia Gas of Ohio, Inc. for Approval of Demand-Side Mgmt. Programs for its Residential &amp; Commercial Customers</w:t>
      </w:r>
      <w:r>
        <w:t>, Case No. 16-1309-GA-UNC (Dec</w:t>
      </w:r>
      <w:r w:rsidR="002C140A">
        <w:t>ember</w:t>
      </w:r>
      <w:r>
        <w:t xml:space="preserve"> 31, 2016) (striking portion of a post-hearing brief that cited a motion filed in the same case because the motion was not admitted into the evidentiary record).</w:t>
      </w:r>
    </w:p>
  </w:footnote>
  <w:footnote w:id="11">
    <w:p w:rsidR="007737A3" w:rsidP="007458CF" w14:paraId="3A875FEB" w14:textId="77777777">
      <w:pPr>
        <w:pStyle w:val="FootnoteText"/>
        <w:spacing w:before="0" w:after="120"/>
        <w:rPr>
          <w:color w:val="000000"/>
        </w:rPr>
      </w:pPr>
      <w:r>
        <w:rPr>
          <w:rStyle w:val="FootnoteReference"/>
          <w:color w:val="000000"/>
        </w:rPr>
        <w:footnoteRef/>
      </w:r>
      <w:r>
        <w:rPr>
          <w:color w:val="000000"/>
        </w:rPr>
        <w:t xml:space="preserve"> </w:t>
      </w:r>
      <w:r w:rsidR="00F51D3B">
        <w:rPr>
          <w:color w:val="000000"/>
        </w:rPr>
        <w:t>Reply Brief, footnotes 10, 11, and 13.</w:t>
      </w:r>
    </w:p>
  </w:footnote>
  <w:footnote w:id="12">
    <w:p w:rsidR="007737A3" w:rsidP="007458CF" w14:paraId="7677903C" w14:textId="77777777">
      <w:pPr>
        <w:pStyle w:val="FootnoteText"/>
        <w:spacing w:before="0" w:after="120"/>
        <w:rPr>
          <w:color w:val="000000"/>
        </w:rPr>
      </w:pPr>
      <w:r>
        <w:rPr>
          <w:rStyle w:val="FootnoteReference"/>
          <w:color w:val="000000"/>
        </w:rPr>
        <w:footnoteRef/>
      </w:r>
      <w:r>
        <w:rPr>
          <w:color w:val="000000"/>
        </w:rPr>
        <w:t xml:space="preserve"> </w:t>
      </w:r>
      <w:r w:rsidR="00F51D3B">
        <w:rPr>
          <w:i/>
          <w:iCs/>
          <w:color w:val="000000"/>
        </w:rPr>
        <w:t xml:space="preserve">Id. </w:t>
      </w:r>
      <w:r w:rsidR="00F51D3B">
        <w:rPr>
          <w:color w:val="000000"/>
        </w:rPr>
        <w:t>at footnotes 18, 20.</w:t>
      </w:r>
    </w:p>
  </w:footnote>
  <w:footnote w:id="13">
    <w:p w:rsidR="007737A3" w:rsidP="007458CF" w14:paraId="63E55424" w14:textId="77777777">
      <w:pPr>
        <w:pStyle w:val="FootnoteText"/>
        <w:spacing w:before="0" w:after="120"/>
        <w:rPr>
          <w:color w:val="000000"/>
        </w:rPr>
      </w:pPr>
      <w:r>
        <w:rPr>
          <w:rStyle w:val="FootnoteReference"/>
          <w:color w:val="000000"/>
        </w:rPr>
        <w:footnoteRef/>
      </w:r>
      <w:r>
        <w:rPr>
          <w:color w:val="000000"/>
        </w:rPr>
        <w:t xml:space="preserve"> </w:t>
      </w:r>
      <w:r w:rsidR="00F51D3B">
        <w:rPr>
          <w:i/>
          <w:iCs/>
          <w:color w:val="000000"/>
        </w:rPr>
        <w:t xml:space="preserve">Id. </w:t>
      </w:r>
      <w:r w:rsidR="00F51D3B">
        <w:rPr>
          <w:color w:val="000000"/>
        </w:rPr>
        <w:t xml:space="preserve">at footnote 19. </w:t>
      </w:r>
    </w:p>
  </w:footnote>
  <w:footnote w:id="14">
    <w:p w:rsidR="007737A3" w:rsidRPr="008B7540" w:rsidP="007458CF" w14:paraId="6FD9DD24" w14:textId="77777777">
      <w:pPr>
        <w:pStyle w:val="FootnoteText"/>
        <w:spacing w:before="0" w:after="120"/>
      </w:pPr>
      <w:r>
        <w:rPr>
          <w:rStyle w:val="FootnoteReference"/>
          <w:color w:val="000000"/>
        </w:rPr>
        <w:footnoteRef/>
      </w:r>
      <w:r>
        <w:rPr>
          <w:color w:val="000000"/>
        </w:rPr>
        <w:t xml:space="preserve"> </w:t>
      </w:r>
      <w:r w:rsidR="009B58B5">
        <w:rPr>
          <w:i/>
          <w:iCs/>
          <w:color w:val="000000"/>
        </w:rPr>
        <w:t xml:space="preserve">Supra </w:t>
      </w:r>
      <w:r w:rsidR="009B58B5">
        <w:rPr>
          <w:color w:val="000000"/>
        </w:rPr>
        <w:t>note 6.</w:t>
      </w:r>
      <w:r>
        <w:t xml:space="preserve"> </w:t>
      </w:r>
    </w:p>
  </w:footnote>
  <w:footnote w:id="15">
    <w:p w:rsidR="007737A3" w:rsidRPr="009F66F0" w:rsidP="007458CF" w14:paraId="140595C8" w14:textId="77777777">
      <w:pPr>
        <w:pStyle w:val="FootnoteText"/>
        <w:spacing w:before="0" w:after="120"/>
      </w:pPr>
      <w:r>
        <w:rPr>
          <w:rStyle w:val="FootnoteReference"/>
        </w:rPr>
        <w:footnoteRef/>
      </w:r>
      <w:r>
        <w:t xml:space="preserve"> </w:t>
      </w:r>
      <w:r w:rsidRPr="00E110EF">
        <w:rPr>
          <w:i/>
          <w:iCs/>
        </w:rPr>
        <w:t>In the Matter of FAF, Inc., Notice of Apparent Violation and Intent to Assess Forfeiture</w:t>
      </w:r>
      <w:r>
        <w:rPr>
          <w:i/>
        </w:rPr>
        <w:t xml:space="preserve">, </w:t>
      </w:r>
      <w:r>
        <w:t xml:space="preserve">PUCO Case No. 06-786-TR-CVF, Opinion and Order at 3 (November 21, 2006).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7A3" w14:paraId="7C9194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7A3" w14:paraId="0C6933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7A3" w14:paraId="5627E2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71328"/>
    <w:multiLevelType w:val="hybridMultilevel"/>
    <w:tmpl w:val="37924714"/>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C97E10"/>
    <w:multiLevelType w:val="hybridMultilevel"/>
    <w:tmpl w:val="37F659A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5D01F7"/>
    <w:multiLevelType w:val="hybridMultilevel"/>
    <w:tmpl w:val="41F6E506"/>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FB96A0B"/>
    <w:multiLevelType w:val="hybridMultilevel"/>
    <w:tmpl w:val="FCAAC6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6967DF"/>
    <w:multiLevelType w:val="hybridMultilevel"/>
    <w:tmpl w:val="221298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5A024AE"/>
    <w:multiLevelType w:val="hybridMultilevel"/>
    <w:tmpl w:val="BE60FB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D5B44F3"/>
    <w:multiLevelType w:val="hybridMultilevel"/>
    <w:tmpl w:val="E326A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29341A"/>
    <w:multiLevelType w:val="hybridMultilevel"/>
    <w:tmpl w:val="3A646A4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7D823D4F"/>
    <w:multiLevelType w:val="hybridMultilevel"/>
    <w:tmpl w:val="5C768536"/>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4"/>
  </w:num>
  <w:num w:numId="7">
    <w:abstractNumId w:val="7"/>
  </w:num>
  <w:num w:numId="8">
    <w:abstractNumId w:val="6"/>
  </w:num>
  <w:num w:numId="9">
    <w:abstractNumId w:val="3"/>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2088"/>
    <w:rsid w:val="000807C5"/>
    <w:rsid w:val="0008141A"/>
    <w:rsid w:val="00090113"/>
    <w:rsid w:val="000B4BDF"/>
    <w:rsid w:val="00154AC7"/>
    <w:rsid w:val="00175029"/>
    <w:rsid w:val="0018684F"/>
    <w:rsid w:val="001D0BDA"/>
    <w:rsid w:val="001F2F90"/>
    <w:rsid w:val="001F3A55"/>
    <w:rsid w:val="002A4912"/>
    <w:rsid w:val="002B42CC"/>
    <w:rsid w:val="002C140A"/>
    <w:rsid w:val="002D15FD"/>
    <w:rsid w:val="00313321"/>
    <w:rsid w:val="00320B18"/>
    <w:rsid w:val="003258E4"/>
    <w:rsid w:val="0034057C"/>
    <w:rsid w:val="003532BA"/>
    <w:rsid w:val="0039024E"/>
    <w:rsid w:val="003F1689"/>
    <w:rsid w:val="003F56E3"/>
    <w:rsid w:val="00406BFC"/>
    <w:rsid w:val="004168E5"/>
    <w:rsid w:val="004A7158"/>
    <w:rsid w:val="00582D8B"/>
    <w:rsid w:val="00584365"/>
    <w:rsid w:val="00591AF7"/>
    <w:rsid w:val="005B5611"/>
    <w:rsid w:val="005C7126"/>
    <w:rsid w:val="005C7459"/>
    <w:rsid w:val="005C7D18"/>
    <w:rsid w:val="005D3670"/>
    <w:rsid w:val="005E0513"/>
    <w:rsid w:val="00634DF8"/>
    <w:rsid w:val="0067430B"/>
    <w:rsid w:val="00690B40"/>
    <w:rsid w:val="006C6C17"/>
    <w:rsid w:val="00725B12"/>
    <w:rsid w:val="00736416"/>
    <w:rsid w:val="007458CF"/>
    <w:rsid w:val="007619C1"/>
    <w:rsid w:val="007737A3"/>
    <w:rsid w:val="007B78C1"/>
    <w:rsid w:val="008168D1"/>
    <w:rsid w:val="00880768"/>
    <w:rsid w:val="008B7540"/>
    <w:rsid w:val="008E629C"/>
    <w:rsid w:val="00915098"/>
    <w:rsid w:val="00917B92"/>
    <w:rsid w:val="00962A6F"/>
    <w:rsid w:val="009A6918"/>
    <w:rsid w:val="009B58B5"/>
    <w:rsid w:val="009C664D"/>
    <w:rsid w:val="009F66F0"/>
    <w:rsid w:val="00A0322B"/>
    <w:rsid w:val="00A71746"/>
    <w:rsid w:val="00AF2F1D"/>
    <w:rsid w:val="00AF605B"/>
    <w:rsid w:val="00B00AB1"/>
    <w:rsid w:val="00B02919"/>
    <w:rsid w:val="00B226BF"/>
    <w:rsid w:val="00B40B97"/>
    <w:rsid w:val="00B43E30"/>
    <w:rsid w:val="00B55EF1"/>
    <w:rsid w:val="00BB2895"/>
    <w:rsid w:val="00BD3837"/>
    <w:rsid w:val="00BF5FCF"/>
    <w:rsid w:val="00C0659F"/>
    <w:rsid w:val="00C25AAB"/>
    <w:rsid w:val="00C66FCC"/>
    <w:rsid w:val="00C74BDC"/>
    <w:rsid w:val="00C74EF0"/>
    <w:rsid w:val="00C80BFE"/>
    <w:rsid w:val="00C843B2"/>
    <w:rsid w:val="00CB7B45"/>
    <w:rsid w:val="00CC7900"/>
    <w:rsid w:val="00D37095"/>
    <w:rsid w:val="00DA5FE4"/>
    <w:rsid w:val="00DB7B4A"/>
    <w:rsid w:val="00E05DC1"/>
    <w:rsid w:val="00E110EF"/>
    <w:rsid w:val="00E4742D"/>
    <w:rsid w:val="00E51A32"/>
    <w:rsid w:val="00E625EE"/>
    <w:rsid w:val="00E75566"/>
    <w:rsid w:val="00E76673"/>
    <w:rsid w:val="00E91CB0"/>
    <w:rsid w:val="00EB3DA3"/>
    <w:rsid w:val="00EC248D"/>
    <w:rsid w:val="00F51D3B"/>
    <w:rsid w:val="00F95BBE"/>
    <w:rsid w:val="00FA4A83"/>
    <w:rsid w:val="00FA7F34"/>
    <w:rsid w:val="00FF0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3ED"/>
    <w:rPr>
      <w:sz w:val="24"/>
    </w:rPr>
  </w:style>
  <w:style w:type="paragraph" w:styleId="Heading1">
    <w:name w:val="heading 1"/>
    <w:basedOn w:val="Normal"/>
    <w:next w:val="Normal"/>
    <w:autoRedefine/>
    <w:qFormat/>
    <w:rsid w:val="001F3A55"/>
    <w:pPr>
      <w:keepNext/>
      <w:numPr>
        <w:numId w:val="2"/>
      </w:numPr>
      <w:spacing w:after="240"/>
      <w:ind w:left="720"/>
      <w:outlineLvl w:val="0"/>
    </w:pPr>
    <w:rPr>
      <w:b/>
      <w:caps/>
      <w:szCs w:val="24"/>
    </w:rPr>
  </w:style>
  <w:style w:type="paragraph" w:styleId="Heading2">
    <w:name w:val="heading 2"/>
    <w:basedOn w:val="Normal"/>
    <w:next w:val="Normal"/>
    <w:autoRedefine/>
    <w:qFormat/>
    <w:rsid w:val="00F51D3B"/>
    <w:pPr>
      <w:keepNext/>
      <w:spacing w:after="240"/>
      <w:ind w:left="1440" w:right="720" w:hanging="720"/>
      <w:outlineLvl w:val="1"/>
    </w:pPr>
    <w:rPr>
      <w:b/>
    </w:rPr>
  </w:style>
  <w:style w:type="paragraph" w:styleId="Heading3">
    <w:name w:val="heading 3"/>
    <w:basedOn w:val="Normal"/>
    <w:next w:val="Normal"/>
    <w:link w:val="Heading3Char"/>
    <w:autoRedefine/>
    <w:uiPriority w:val="9"/>
    <w:qFormat/>
    <w:rsid w:val="00FC0880"/>
    <w:pPr>
      <w:keepNext/>
      <w:numPr>
        <w:numId w:val="1"/>
      </w:numPr>
      <w:spacing w:after="240"/>
      <w:ind w:left="2160" w:righ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x-none" w:eastAsia="x-none"/>
    </w:rPr>
  </w:style>
  <w:style w:type="paragraph" w:styleId="Footer">
    <w:name w:val="footer"/>
    <w:aliases w:val=" Char1"/>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sid w:val="00A433ED"/>
    <w:pPr>
      <w:spacing w:before="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link w:val="BodyTextIndentChar"/>
    <w:pPr>
      <w:spacing w:line="480" w:lineRule="auto"/>
      <w:ind w:firstLine="720"/>
    </w:pPr>
    <w:rPr>
      <w:lang w:val="x-none" w:eastAsia="x-none"/>
    </w:rPr>
  </w:style>
  <w:style w:type="paragraph" w:styleId="BodyTextIndent3">
    <w:name w:val="Body Text Indent 3"/>
    <w:basedOn w:val="Normal"/>
    <w:link w:val="BodyTextIndent3Char"/>
    <w:pPr>
      <w:spacing w:line="480" w:lineRule="atLeast"/>
      <w:ind w:firstLine="720"/>
    </w:pPr>
    <w:rPr>
      <w:lang w:val="x-none" w:eastAsia="x-none"/>
    </w:r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rPr>
      <w:lang w:val="x-none" w:eastAsia="x-none"/>
    </w:r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pPr>
      <w:tabs>
        <w:tab w:val="center" w:pos="4320"/>
        <w:tab w:val="right" w:pos="8640"/>
      </w:tabs>
    </w:pPr>
    <w:rPr>
      <w:lang w:val="x-none" w:eastAsia="x-none"/>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aliases w:val="Footnote Text Cha Char,Footnote Text Char Char4 Char Char1,Footnote Text Char Char4 Char1 Char Char Char1,Footnote Text Char2 Char,Footnote Text Char4 Char Char1,Footnote Text Char4 Char1 Char Char Char1"/>
    <w:link w:val="FootnoteText"/>
    <w:uiPriority w:val="99"/>
    <w:semiHidden/>
    <w:rsid w:val="00A433ED"/>
  </w:style>
  <w:style w:type="character" w:customStyle="1" w:styleId="HeaderChar">
    <w:name w:val="Header Char"/>
    <w:link w:val="Header"/>
    <w:rsid w:val="00C24824"/>
    <w:rPr>
      <w:sz w:val="24"/>
    </w:rPr>
  </w:style>
  <w:style w:type="character" w:customStyle="1" w:styleId="BodyTextChar">
    <w:name w:val="Body Text Char"/>
    <w:link w:val="BodyText"/>
    <w:rsid w:val="003D0D8A"/>
    <w:rPr>
      <w:sz w:val="24"/>
    </w:rPr>
  </w:style>
  <w:style w:type="character" w:customStyle="1" w:styleId="BodyTextIndentChar">
    <w:name w:val="Body Text Indent Char"/>
    <w:link w:val="BodyTextIndent"/>
    <w:rsid w:val="003D0D8A"/>
    <w:rPr>
      <w:sz w:val="24"/>
    </w:rPr>
  </w:style>
  <w:style w:type="character" w:customStyle="1" w:styleId="DocID">
    <w:name w:val="DocID"/>
    <w:rsid w:val="001F4BAC"/>
    <w:rPr>
      <w:rFonts w:ascii="Times New Roman" w:hAnsi="Times New Roman" w:cs="Times New Roman"/>
      <w:b w:val="0"/>
      <w:bCs/>
      <w:i w:val="0"/>
      <w:caps w:val="0"/>
      <w:vanish w:val="0"/>
      <w:color w:val="000000"/>
      <w:sz w:val="16"/>
      <w:u w:val="none"/>
    </w:rPr>
  </w:style>
  <w:style w:type="character" w:customStyle="1" w:styleId="BodyTextIndent3Char">
    <w:name w:val="Body Text Indent 3 Char"/>
    <w:link w:val="BodyTextIndent3"/>
    <w:rsid w:val="00AC6992"/>
    <w:rPr>
      <w:sz w:val="24"/>
    </w:rPr>
  </w:style>
  <w:style w:type="character" w:customStyle="1" w:styleId="FooterChar">
    <w:name w:val="Footer Char"/>
    <w:aliases w:val=" Char1 Char"/>
    <w:link w:val="Footer"/>
    <w:uiPriority w:val="99"/>
    <w:rsid w:val="00A458F2"/>
  </w:style>
  <w:style w:type="paragraph" w:styleId="TOC1">
    <w:name w:val="toc 1"/>
    <w:basedOn w:val="Normal"/>
    <w:next w:val="Normal"/>
    <w:autoRedefine/>
    <w:uiPriority w:val="39"/>
    <w:qFormat/>
    <w:rsid w:val="00046B6B"/>
    <w:pPr>
      <w:tabs>
        <w:tab w:val="decimal" w:leader="dot" w:pos="8640"/>
      </w:tabs>
      <w:spacing w:after="240"/>
      <w:ind w:left="720" w:hanging="720"/>
    </w:pPr>
    <w:rPr>
      <w:caps/>
    </w:rPr>
  </w:style>
  <w:style w:type="paragraph" w:styleId="TOC2">
    <w:name w:val="toc 2"/>
    <w:basedOn w:val="Normal"/>
    <w:next w:val="Normal"/>
    <w:autoRedefine/>
    <w:uiPriority w:val="39"/>
    <w:qFormat/>
    <w:rsid w:val="00046B6B"/>
    <w:pPr>
      <w:tabs>
        <w:tab w:val="decimal" w:leader="dot" w:pos="8640"/>
      </w:tabs>
      <w:spacing w:after="240"/>
      <w:ind w:left="1440" w:hanging="720"/>
    </w:pPr>
  </w:style>
  <w:style w:type="paragraph" w:styleId="TOC3">
    <w:name w:val="toc 3"/>
    <w:basedOn w:val="Normal"/>
    <w:next w:val="Normal"/>
    <w:autoRedefine/>
    <w:uiPriority w:val="39"/>
    <w:qFormat/>
    <w:rsid w:val="00046B6B"/>
    <w:pPr>
      <w:tabs>
        <w:tab w:val="decimal" w:leader="dot" w:pos="8640"/>
      </w:tabs>
      <w:spacing w:after="240"/>
      <w:ind w:left="2160" w:hanging="720"/>
    </w:pPr>
  </w:style>
  <w:style w:type="paragraph" w:styleId="Title">
    <w:name w:val="Title"/>
    <w:basedOn w:val="Normal"/>
    <w:link w:val="TitleChar"/>
    <w:qFormat/>
    <w:rsid w:val="00AA4DAA"/>
    <w:pPr>
      <w:jc w:val="center"/>
    </w:pPr>
    <w:rPr>
      <w:b/>
      <w:lang w:val="x-none" w:eastAsia="x-none"/>
    </w:rPr>
  </w:style>
  <w:style w:type="character" w:customStyle="1" w:styleId="TitleChar">
    <w:name w:val="Title Char"/>
    <w:link w:val="Title"/>
    <w:rsid w:val="00AA4DAA"/>
    <w:rPr>
      <w:b/>
      <w:sz w:val="24"/>
    </w:rPr>
  </w:style>
  <w:style w:type="character" w:customStyle="1" w:styleId="HTMLPreformattedChar">
    <w:name w:val="HTML Preformatted Char"/>
    <w:aliases w:val=" Char Char"/>
    <w:link w:val="HTMLPreformatted"/>
    <w:locked/>
    <w:rsid w:val="00AA4DAA"/>
    <w:rPr>
      <w:rFonts w:ascii="Courier New" w:eastAsia="Courier New" w:hAnsi="Courier New" w:cs="Courier New"/>
    </w:rPr>
  </w:style>
  <w:style w:type="paragraph" w:customStyle="1" w:styleId="ANSWER">
    <w:name w:val="ANSWER"/>
    <w:basedOn w:val="Normal"/>
    <w:rsid w:val="00AA4DAA"/>
    <w:pPr>
      <w:spacing w:line="480" w:lineRule="auto"/>
      <w:ind w:left="1008" w:hanging="720"/>
    </w:pPr>
  </w:style>
  <w:style w:type="character" w:customStyle="1" w:styleId="ssleftalign">
    <w:name w:val="ss_leftalign"/>
    <w:rsid w:val="00732075"/>
  </w:style>
  <w:style w:type="paragraph" w:customStyle="1" w:styleId="ColorfulList-Accent11">
    <w:name w:val="Colorful List - Accent 11"/>
    <w:basedOn w:val="Normal"/>
    <w:uiPriority w:val="34"/>
    <w:qFormat/>
    <w:rsid w:val="0043733C"/>
    <w:pPr>
      <w:ind w:left="720"/>
    </w:pPr>
  </w:style>
  <w:style w:type="paragraph" w:customStyle="1" w:styleId="ColorfulShading-Accent11">
    <w:name w:val="Colorful Shading - Accent 11"/>
    <w:hidden/>
    <w:uiPriority w:val="99"/>
    <w:semiHidden/>
    <w:rsid w:val="006E54EB"/>
    <w:rPr>
      <w:sz w:val="24"/>
    </w:rPr>
  </w:style>
  <w:style w:type="paragraph" w:styleId="ListParagraph">
    <w:name w:val="List Paragraph"/>
    <w:basedOn w:val="Normal"/>
    <w:uiPriority w:val="34"/>
    <w:qFormat/>
    <w:rsid w:val="00CA7741"/>
    <w:pPr>
      <w:spacing w:after="200" w:line="276" w:lineRule="auto"/>
      <w:ind w:left="720"/>
      <w:contextualSpacing/>
    </w:pPr>
    <w:rPr>
      <w:rFonts w:eastAsia="Calibri"/>
      <w:szCs w:val="22"/>
    </w:rPr>
  </w:style>
  <w:style w:type="paragraph" w:styleId="TOC4">
    <w:name w:val="toc 4"/>
    <w:basedOn w:val="Normal"/>
    <w:next w:val="Normal"/>
    <w:autoRedefine/>
    <w:qFormat/>
    <w:rsid w:val="003575D4"/>
    <w:pPr>
      <w:tabs>
        <w:tab w:val="decimal" w:leader="dot" w:pos="8640"/>
      </w:tabs>
      <w:spacing w:after="240"/>
      <w:ind w:left="2880" w:hanging="720"/>
    </w:pPr>
  </w:style>
  <w:style w:type="character" w:customStyle="1" w:styleId="FootnoteTextChar1">
    <w:name w:val="Footnote Text Char1"/>
    <w:aliases w:val="Footnote Text Char Char,Footnote Text Char Char4 Char Char,Footnote Text Char Char4 Char1 Char Char Char,Footnote Text Char4 Char Char,Footnote Text Char4 Char1 Char Char Char,Footnote Text Char5 Char1 Char Char Char Char Char Char"/>
    <w:rsid w:val="009B502F"/>
  </w:style>
  <w:style w:type="character" w:customStyle="1" w:styleId="Heading3Char">
    <w:name w:val="Heading 3 Char"/>
    <w:link w:val="Heading3"/>
    <w:uiPriority w:val="9"/>
    <w:rsid w:val="00B226BF"/>
    <w:rPr>
      <w:b/>
      <w:bCs/>
      <w:sz w:val="24"/>
    </w:rPr>
  </w:style>
  <w:style w:type="character" w:customStyle="1" w:styleId="CommentTextChar">
    <w:name w:val="Comment Text Char"/>
    <w:basedOn w:val="DefaultParagraphFont"/>
    <w:link w:val="CommentText"/>
    <w:rsid w:val="009A6918"/>
    <w:rPr>
      <w:sz w:val="24"/>
      <w:szCs w:val="24"/>
    </w:rPr>
  </w:style>
  <w:style w:type="character" w:customStyle="1" w:styleId="UnresolvedMention">
    <w:name w:val="Unresolved Mention"/>
    <w:basedOn w:val="DefaultParagraphFont"/>
    <w:uiPriority w:val="99"/>
    <w:semiHidden/>
    <w:unhideWhenUsed/>
    <w:rsid w:val="00A0322B"/>
    <w:rPr>
      <w:color w:val="605E5C"/>
      <w:shd w:val="clear" w:color="auto" w:fill="E1DFDD"/>
    </w:rPr>
  </w:style>
  <w:style w:type="paragraph" w:styleId="Revision">
    <w:name w:val="Revision"/>
    <w:hidden/>
    <w:uiPriority w:val="99"/>
    <w:semiHidden/>
    <w:rsid w:val="003133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jsettineri@vorys.com" TargetMode="External" /><Relationship Id="rId11" Type="http://schemas.openxmlformats.org/officeDocument/2006/relationships/hyperlink" Target="mailto:glpetrucci@vorys.com" TargetMode="External" /><Relationship Id="rId12" Type="http://schemas.openxmlformats.org/officeDocument/2006/relationships/hyperlink" Target="mailto:michael.nugent@igs.com" TargetMode="External" /><Relationship Id="rId13" Type="http://schemas.openxmlformats.org/officeDocument/2006/relationships/hyperlink" Target="mailto:evan.betterton@igs.com" TargetMode="External" /><Relationship Id="rId14" Type="http://schemas.openxmlformats.org/officeDocument/2006/relationships/hyperlink" Target="mailto:joe.oliker@igs.com" TargetMode="External" /><Relationship Id="rId15" Type="http://schemas.openxmlformats.org/officeDocument/2006/relationships/hyperlink" Target="mailto:rdove@keglerbrown.com" TargetMode="External" /><Relationship Id="rId16" Type="http://schemas.openxmlformats.org/officeDocument/2006/relationships/hyperlink" Target="mailto:jweber@elpc.org" TargetMode="External" /><Relationship Id="rId17" Type="http://schemas.openxmlformats.org/officeDocument/2006/relationships/hyperlink" Target="mailto:mpritchard@mcneeslaw.com" TargetMode="External" /><Relationship Id="rId18" Type="http://schemas.openxmlformats.org/officeDocument/2006/relationships/hyperlink" Target="mailto:jacqueline.st.john@puco.ohio.gov" TargetMode="External" /><Relationship Id="rId19" Type="http://schemas.openxmlformats.org/officeDocument/2006/relationships/hyperlink" Target="mailto:gregory.price@puco.ohio.gov" TargetMode="External" /><Relationship Id="rId2" Type="http://schemas.openxmlformats.org/officeDocument/2006/relationships/settings" Target="settings.xml" /><Relationship Id="rId20" Type="http://schemas.openxmlformats.org/officeDocument/2006/relationships/hyperlink" Target="mailto:mkurtz@bkllawfirm.com" TargetMode="External" /><Relationship Id="rId21" Type="http://schemas.openxmlformats.org/officeDocument/2006/relationships/hyperlink" Target="mailto:kboehm@bkllawfirm.com" TargetMode="External" /><Relationship Id="rId22" Type="http://schemas.openxmlformats.org/officeDocument/2006/relationships/hyperlink" Target="mailto:jkylercohn@bkllawfirm.com" TargetMode="External" /><Relationship Id="rId23" Type="http://schemas.openxmlformats.org/officeDocument/2006/relationships/hyperlink" Target="mailto:josephclark@nisource.com" TargetMode="External" /><Relationship Id="rId24" Type="http://schemas.openxmlformats.org/officeDocument/2006/relationships/hyperlink" Target="mailto:mlthompson@nisource.com" TargetMode="External" /><Relationship Id="rId25" Type="http://schemas.openxmlformats.org/officeDocument/2006/relationships/hyperlink" Target="mailto:johnryan@nisource.com" TargetMode="External" /><Relationship Id="rId26" Type="http://schemas.openxmlformats.org/officeDocument/2006/relationships/hyperlink" Target="mailto:egallon@porterwright.com" TargetMode="External" /><Relationship Id="rId27" Type="http://schemas.openxmlformats.org/officeDocument/2006/relationships/hyperlink" Target="mailto:mstemm@porterwright.com" TargetMode="External" /><Relationship Id="rId28" Type="http://schemas.openxmlformats.org/officeDocument/2006/relationships/hyperlink" Target="mailto:bhughes@porterwright.com" TargetMode="External" /><Relationship Id="rId29" Type="http://schemas.openxmlformats.org/officeDocument/2006/relationships/hyperlink" Target="mailto:dflahive@porterwright.com" TargetMode="External" /><Relationship Id="rId3" Type="http://schemas.openxmlformats.org/officeDocument/2006/relationships/webSettings" Target="webSettings.xml" /><Relationship Id="rId30" Type="http://schemas.openxmlformats.org/officeDocument/2006/relationships/hyperlink" Target="mailto:dparram@bricker.com" TargetMode="External" /><Relationship Id="rId31" Type="http://schemas.openxmlformats.org/officeDocument/2006/relationships/hyperlink" Target="mailto:gkrassen@nopec.org" TargetMode="External" /><Relationship Id="rId32" Type="http://schemas.openxmlformats.org/officeDocument/2006/relationships/hyperlink" Target="mailto:dstinson@bricker.com" TargetMode="External" /><Relationship Id="rId33" Type="http://schemas.openxmlformats.org/officeDocument/2006/relationships/hyperlink" Target="mailto:bojko@carpenterlipps.com" TargetMode="External" /><Relationship Id="rId34" Type="http://schemas.openxmlformats.org/officeDocument/2006/relationships/hyperlink" Target="mailto:paul@carpenterlipps.com" TargetMode="External" /><Relationship Id="rId35" Type="http://schemas.openxmlformats.org/officeDocument/2006/relationships/hyperlink" Target="mailto:wygonski@carpenterlipps.com" TargetMode="External" /><Relationship Id="rId36" Type="http://schemas.openxmlformats.org/officeDocument/2006/relationships/hyperlink" Target="mailto:trent@hubaydougherty.com" TargetMode="Externa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footer" Target="footer2.xml" /><Relationship Id="rId4" Type="http://schemas.openxmlformats.org/officeDocument/2006/relationships/fontTable" Target="fontTable.xml" /><Relationship Id="rId40" Type="http://schemas.openxmlformats.org/officeDocument/2006/relationships/footer" Target="footer3.xml" /><Relationship Id="rId41" Type="http://schemas.openxmlformats.org/officeDocument/2006/relationships/header" Target="header3.xml" /><Relationship Id="rId42" Type="http://schemas.openxmlformats.org/officeDocument/2006/relationships/footer" Target="footer4.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hyperlink" Target="mailto:werner.margard@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D91B-1D08-9048-87E4-F47FD21F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2023-01-06T17:03:09Z</dcterms:created>
  <dcterms:modified xsi:type="dcterms:W3CDTF">2023-01-06T17:03:09Z</dcterms:modified>
</cp:coreProperties>
</file>