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E6197">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E6197">
      <w:pPr>
        <w:pStyle w:val="HTMLPreformatted"/>
        <w:jc w:val="center"/>
        <w:rPr>
          <w:rFonts w:ascii="Times New Roman" w:hAnsi="Times New Roman"/>
          <w:sz w:val="24"/>
        </w:rPr>
      </w:pPr>
      <w:r>
        <w:rPr>
          <w:rFonts w:ascii="Times New Roman" w:hAnsi="Times New Roman"/>
          <w:b/>
          <w:bCs/>
          <w:sz w:val="24"/>
        </w:rPr>
        <w:t>THE PUBLIC UTILITIES COMMISSION OF OHIO</w:t>
      </w:r>
    </w:p>
    <w:p w:rsidR="00AE6197" w:rsidRPr="00FC4D0C">
      <w:pPr>
        <w:pStyle w:val="HTMLPreformatted"/>
        <w:rPr>
          <w:rFonts w:ascii="Times New Roman" w:hAnsi="Times New Roman"/>
          <w:sz w:val="18"/>
          <w:szCs w:val="18"/>
        </w:rPr>
      </w:pPr>
    </w:p>
    <w:tbl>
      <w:tblPr>
        <w:tblW w:w="9092" w:type="dxa"/>
        <w:tblLook w:val="01E0"/>
      </w:tblPr>
      <w:tblGrid>
        <w:gridCol w:w="3972"/>
        <w:gridCol w:w="480"/>
        <w:gridCol w:w="4640"/>
      </w:tblGrid>
      <w:tr w:rsidTr="00AE6197">
        <w:tblPrEx>
          <w:tblW w:w="9092" w:type="dxa"/>
          <w:tblLook w:val="01E0"/>
        </w:tblPrEx>
        <w:trPr>
          <w:trHeight w:val="807"/>
        </w:trPr>
        <w:tc>
          <w:tcPr>
            <w:tcW w:w="3972" w:type="dxa"/>
            <w:shd w:val="clear" w:color="auto" w:fill="auto"/>
          </w:tcPr>
          <w:p w:rsidR="000939E7" w:rsidP="000939E7">
            <w:pPr>
              <w:autoSpaceDE w:val="0"/>
              <w:autoSpaceDN w:val="0"/>
              <w:adjustRightInd w:val="0"/>
              <w:ind w:right="-90"/>
            </w:pPr>
            <w:r>
              <w:t>In the Matter of the A</w:t>
            </w:r>
            <w:r w:rsidR="00F66404">
              <w:t>nnual Report</w:t>
            </w:r>
            <w:r>
              <w:t xml:space="preserve"> </w:t>
            </w:r>
            <w:r w:rsidR="00F66404">
              <w:t>of</w:t>
            </w:r>
            <w:r>
              <w:t xml:space="preserve"> Columbia Gas of Ohio, Inc. for Approval </w:t>
            </w:r>
            <w:r w:rsidR="00F66404">
              <w:t>of an Adjustment to its Infrastructure Development Rider Rate.</w:t>
            </w:r>
          </w:p>
          <w:p w:rsidR="00AE6197" w:rsidRPr="000939E7" w:rsidP="000939E7">
            <w:pPr>
              <w:ind w:firstLine="720"/>
            </w:pPr>
          </w:p>
        </w:tc>
        <w:tc>
          <w:tcPr>
            <w:tcW w:w="480" w:type="dxa"/>
            <w:shd w:val="clear" w:color="auto" w:fill="auto"/>
          </w:tcPr>
          <w:p w:rsidR="00AE6197" w:rsidRPr="003378D1" w:rsidP="00AE6197">
            <w:pPr>
              <w:pStyle w:val="HTMLPreformatted"/>
              <w:rPr>
                <w:rFonts w:ascii="Times New Roman" w:hAnsi="Times New Roman"/>
                <w:sz w:val="24"/>
              </w:rPr>
            </w:pPr>
            <w:r w:rsidRPr="003378D1">
              <w:rPr>
                <w:rFonts w:ascii="Times New Roman" w:hAnsi="Times New Roman"/>
                <w:sz w:val="24"/>
              </w:rPr>
              <w:t>)</w:t>
            </w:r>
          </w:p>
          <w:p w:rsidR="00AE6197" w:rsidRPr="003378D1" w:rsidP="00AE6197">
            <w:pPr>
              <w:pStyle w:val="HTMLPreformatted"/>
              <w:rPr>
                <w:rFonts w:ascii="Times New Roman" w:hAnsi="Times New Roman"/>
                <w:sz w:val="24"/>
              </w:rPr>
            </w:pPr>
            <w:r w:rsidRPr="003378D1">
              <w:rPr>
                <w:rFonts w:ascii="Times New Roman" w:hAnsi="Times New Roman"/>
                <w:sz w:val="24"/>
              </w:rPr>
              <w:t>)</w:t>
            </w:r>
          </w:p>
          <w:p w:rsidR="00AE6197" w:rsidP="00AE6197">
            <w:pPr>
              <w:pStyle w:val="HTMLPreformatted"/>
              <w:rPr>
                <w:rFonts w:ascii="Times New Roman" w:hAnsi="Times New Roman"/>
                <w:sz w:val="24"/>
              </w:rPr>
            </w:pPr>
            <w:r>
              <w:rPr>
                <w:rFonts w:ascii="Times New Roman" w:hAnsi="Times New Roman"/>
                <w:sz w:val="24"/>
              </w:rPr>
              <w:t>)</w:t>
            </w:r>
          </w:p>
          <w:p w:rsidR="00AE6197" w:rsidRPr="003378D1" w:rsidP="000939E7">
            <w:pPr>
              <w:pStyle w:val="HTMLPreformatted"/>
              <w:rPr>
                <w:rFonts w:ascii="Times New Roman" w:hAnsi="Times New Roman"/>
                <w:sz w:val="24"/>
              </w:rPr>
            </w:pPr>
            <w:r>
              <w:rPr>
                <w:rFonts w:ascii="Times New Roman" w:hAnsi="Times New Roman"/>
                <w:sz w:val="24"/>
              </w:rPr>
              <w:t>)</w:t>
            </w:r>
          </w:p>
        </w:tc>
        <w:tc>
          <w:tcPr>
            <w:tcW w:w="4640" w:type="dxa"/>
            <w:shd w:val="clear" w:color="auto" w:fill="auto"/>
          </w:tcPr>
          <w:p w:rsidR="00AE6197" w:rsidP="00AE6197">
            <w:pPr>
              <w:autoSpaceDE w:val="0"/>
              <w:autoSpaceDN w:val="0"/>
              <w:adjustRightInd w:val="0"/>
            </w:pPr>
          </w:p>
          <w:p w:rsidR="00AE6197" w:rsidP="00AE6197">
            <w:pPr>
              <w:autoSpaceDE w:val="0"/>
              <w:autoSpaceDN w:val="0"/>
              <w:adjustRightInd w:val="0"/>
            </w:pPr>
            <w:r>
              <w:t>Case No. 17</w:t>
            </w:r>
            <w:r w:rsidR="00F57BB0">
              <w:t>-</w:t>
            </w:r>
            <w:r>
              <w:t>521</w:t>
            </w:r>
            <w:r w:rsidR="00F57BB0">
              <w:t>-GA-</w:t>
            </w:r>
            <w:r>
              <w:t>IDR</w:t>
            </w:r>
          </w:p>
          <w:p w:rsidR="00AE6197" w:rsidP="00AE6197">
            <w:pPr>
              <w:autoSpaceDE w:val="0"/>
              <w:autoSpaceDN w:val="0"/>
              <w:adjustRightInd w:val="0"/>
            </w:pPr>
          </w:p>
          <w:p w:rsidR="00AE6197" w:rsidP="00AE6197">
            <w:pPr>
              <w:autoSpaceDE w:val="0"/>
              <w:autoSpaceDN w:val="0"/>
              <w:adjustRightInd w:val="0"/>
            </w:pPr>
          </w:p>
          <w:p w:rsidR="00AE6197" w:rsidRPr="003378D1" w:rsidP="00AE6197">
            <w:pPr>
              <w:autoSpaceDE w:val="0"/>
              <w:autoSpaceDN w:val="0"/>
              <w:adjustRightInd w:val="0"/>
            </w:pPr>
          </w:p>
        </w:tc>
      </w:tr>
    </w:tbl>
    <w:p w:rsidR="00AE6197" w:rsidRPr="00391F38">
      <w:pPr>
        <w:pStyle w:val="HTMLPreformatted"/>
        <w:pBdr>
          <w:top w:val="single" w:sz="12" w:space="1" w:color="auto"/>
        </w:pBdr>
        <w:rPr>
          <w:rFonts w:ascii="Times New Roman" w:hAnsi="Times New Roman"/>
          <w:sz w:val="10"/>
          <w:szCs w:val="10"/>
        </w:rPr>
      </w:pPr>
    </w:p>
    <w:p w:rsidR="00AE6197">
      <w:pPr>
        <w:jc w:val="center"/>
        <w:rPr>
          <w:b/>
          <w:bCs/>
        </w:rPr>
      </w:pPr>
      <w:r>
        <w:rPr>
          <w:b/>
          <w:bCs/>
        </w:rPr>
        <w:t xml:space="preserve">MOTION TO INTERVENE </w:t>
      </w:r>
    </w:p>
    <w:p w:rsidR="00AE6197">
      <w:pPr>
        <w:jc w:val="center"/>
        <w:rPr>
          <w:b/>
          <w:bCs/>
        </w:rPr>
      </w:pPr>
      <w:r>
        <w:rPr>
          <w:b/>
          <w:bCs/>
        </w:rPr>
        <w:t>BY</w:t>
      </w:r>
    </w:p>
    <w:p w:rsidR="00AE6197">
      <w:pPr>
        <w:jc w:val="center"/>
        <w:rPr>
          <w:b/>
          <w:bCs/>
        </w:rPr>
      </w:pPr>
      <w:r>
        <w:rPr>
          <w:b/>
          <w:bCs/>
        </w:rPr>
        <w:t>THE OFFICE OF THE OHIO CONSUMERS’ COUNSEL</w:t>
      </w:r>
    </w:p>
    <w:p w:rsidR="00AE6197" w:rsidRPr="00391F38">
      <w:pPr>
        <w:pBdr>
          <w:bottom w:val="single" w:sz="12" w:space="1" w:color="auto"/>
        </w:pBdr>
        <w:tabs>
          <w:tab w:val="left" w:pos="4320"/>
        </w:tabs>
        <w:rPr>
          <w:sz w:val="10"/>
          <w:szCs w:val="10"/>
        </w:rPr>
      </w:pPr>
    </w:p>
    <w:p w:rsidR="00AE6197" w:rsidRPr="00391F38">
      <w:pPr>
        <w:tabs>
          <w:tab w:val="left" w:pos="4320"/>
        </w:tabs>
        <w:rPr>
          <w:sz w:val="16"/>
          <w:szCs w:val="16"/>
        </w:rPr>
      </w:pPr>
    </w:p>
    <w:p w:rsidR="00AE6197" w:rsidP="00AE6197">
      <w:pPr>
        <w:pStyle w:val="BodyTextIndent3"/>
        <w:widowControl w:val="0"/>
        <w:spacing w:line="480" w:lineRule="auto"/>
        <w:ind w:right="-317"/>
      </w:pPr>
      <w:r w:rsidRPr="00391F38">
        <w:t xml:space="preserve">The Office of the Ohio Consumers' Counsel (“OCC”) moves to intervene in this case to </w:t>
      </w:r>
      <w:r>
        <w:t>make recommendations</w:t>
      </w:r>
      <w:r w:rsidRPr="00391F38">
        <w:t xml:space="preserve"> on behalf of </w:t>
      </w:r>
      <w:r w:rsidR="00CA0026">
        <w:t>Columbia Gas of Ohio’s 1.3 million</w:t>
      </w:r>
      <w:r w:rsidR="00C670CC">
        <w:t xml:space="preserve"> </w:t>
      </w:r>
      <w:r w:rsidR="00CA0026">
        <w:t>residential customers</w:t>
      </w:r>
      <w:r w:rsidR="00C670CC">
        <w:t xml:space="preserve"> </w:t>
      </w:r>
      <w:r w:rsidRPr="00391F38">
        <w:t>regarding the</w:t>
      </w:r>
      <w:r w:rsidR="00C670CC">
        <w:t xml:space="preserve"> rate increases proposed and the </w:t>
      </w:r>
      <w:r w:rsidRPr="00391F38">
        <w:t>process by which the</w:t>
      </w:r>
      <w:r>
        <w:t xml:space="preserve"> proposed</w:t>
      </w:r>
      <w:r w:rsidRPr="00391F38">
        <w:t xml:space="preserve"> </w:t>
      </w:r>
      <w:r>
        <w:t>e</w:t>
      </w:r>
      <w:r w:rsidRPr="00391F38">
        <w:t xml:space="preserve">conomic </w:t>
      </w:r>
      <w:r>
        <w:t>d</w:t>
      </w:r>
      <w:r w:rsidRPr="00391F38">
        <w:t xml:space="preserve">evelopment </w:t>
      </w:r>
      <w:r>
        <w:t>p</w:t>
      </w:r>
      <w:r w:rsidRPr="00391F38">
        <w:t xml:space="preserve">rojects are </w:t>
      </w:r>
      <w:r>
        <w:t>considered</w:t>
      </w:r>
      <w:r w:rsidRPr="00391F38">
        <w:t>.</w:t>
      </w:r>
      <w:r>
        <w:t xml:space="preserve"> </w:t>
      </w:r>
      <w:r w:rsidRPr="00391F38">
        <w:t>The reasons the Public Utilities Commission of Ohio (“PUCO”) should grant OCC’s Motion are set forth in the attached Memorandum in Support.</w:t>
      </w:r>
    </w:p>
    <w:p w:rsidR="00AE6197">
      <w:pPr>
        <w:pStyle w:val="BodyTextIndent3"/>
        <w:widowControl w:val="0"/>
        <w:spacing w:line="480" w:lineRule="auto"/>
        <w:ind w:left="4320" w:firstLine="0"/>
        <w:rPr>
          <w:szCs w:val="24"/>
        </w:rPr>
      </w:pPr>
      <w:r>
        <w:rPr>
          <w:szCs w:val="24"/>
        </w:rPr>
        <w:t>Respectfully submitted,</w:t>
      </w:r>
    </w:p>
    <w:p w:rsidR="00AE6197">
      <w:pPr>
        <w:pStyle w:val="Footer"/>
        <w:tabs>
          <w:tab w:val="left" w:pos="4320"/>
          <w:tab w:val="clear" w:pos="8640"/>
        </w:tabs>
        <w:ind w:left="4320"/>
        <w:rPr>
          <w:sz w:val="24"/>
          <w:szCs w:val="24"/>
        </w:rPr>
      </w:pPr>
      <w:r>
        <w:rPr>
          <w:sz w:val="24"/>
          <w:szCs w:val="24"/>
        </w:rPr>
        <w:t>BRUCE WESTON (0016973)</w:t>
      </w:r>
    </w:p>
    <w:p w:rsidR="00AE6197">
      <w:pPr>
        <w:tabs>
          <w:tab w:val="left" w:pos="4320"/>
        </w:tabs>
        <w:ind w:left="4320"/>
        <w:rPr>
          <w:szCs w:val="24"/>
        </w:rPr>
      </w:pPr>
      <w:r>
        <w:rPr>
          <w:szCs w:val="24"/>
        </w:rPr>
        <w:t>OHIO CONSUMERS’ COUNSEL</w:t>
      </w:r>
    </w:p>
    <w:p w:rsidR="00AE6197" w:rsidRPr="00FC4D0C">
      <w:pPr>
        <w:tabs>
          <w:tab w:val="left" w:pos="4320"/>
        </w:tabs>
        <w:ind w:left="4320"/>
        <w:rPr>
          <w:sz w:val="16"/>
          <w:szCs w:val="16"/>
        </w:rPr>
      </w:pPr>
    </w:p>
    <w:p w:rsidR="00AE6197" w:rsidRPr="00E72D63" w:rsidP="00AE6197">
      <w:pPr>
        <w:autoSpaceDE w:val="0"/>
        <w:autoSpaceDN w:val="0"/>
        <w:adjustRightInd w:val="0"/>
        <w:ind w:left="4320"/>
        <w:rPr>
          <w:rFonts w:eastAsia="PMingLiU"/>
          <w:i/>
        </w:rPr>
      </w:pPr>
      <w:r>
        <w:rPr>
          <w:rFonts w:eastAsia="PMingLiU"/>
          <w:i/>
          <w:u w:val="single"/>
        </w:rPr>
        <w:t>/s/ Jodi Bair</w:t>
      </w:r>
      <w:r w:rsidRPr="00E72D63">
        <w:rPr>
          <w:rFonts w:eastAsia="PMingLiU"/>
          <w:i/>
          <w:u w:val="single"/>
        </w:rPr>
        <w:t>                       </w:t>
      </w:r>
    </w:p>
    <w:p w:rsidR="00AE6197" w:rsidRPr="00E72D63" w:rsidP="00AE6197">
      <w:pPr>
        <w:tabs>
          <w:tab w:val="left" w:pos="4320"/>
        </w:tabs>
        <w:ind w:left="4320"/>
        <w:rPr>
          <w:rFonts w:eastAsia="PMingLiU"/>
          <w:szCs w:val="24"/>
        </w:rPr>
      </w:pPr>
      <w:r w:rsidRPr="00E72D63">
        <w:rPr>
          <w:rFonts w:eastAsia="PMingLiU"/>
          <w:szCs w:val="24"/>
        </w:rPr>
        <w:t>Jodi Bair, (0062921) Counsel of Record</w:t>
      </w:r>
    </w:p>
    <w:p w:rsidR="00AE6197" w:rsidRPr="00E72D63" w:rsidP="00AE6197">
      <w:pPr>
        <w:tabs>
          <w:tab w:val="left" w:pos="4320"/>
        </w:tabs>
        <w:ind w:left="4320"/>
        <w:rPr>
          <w:rFonts w:eastAsia="PMingLiU"/>
          <w:szCs w:val="24"/>
        </w:rPr>
      </w:pPr>
      <w:r w:rsidRPr="00E72D63">
        <w:rPr>
          <w:rFonts w:eastAsia="PMingLiU"/>
          <w:szCs w:val="24"/>
        </w:rPr>
        <w:t>Ajay Kumar (0092208)</w:t>
      </w:r>
    </w:p>
    <w:p w:rsidR="00AE6197" w:rsidRPr="00FC4D0C" w:rsidP="00AE6197">
      <w:pPr>
        <w:tabs>
          <w:tab w:val="left" w:pos="4320"/>
        </w:tabs>
        <w:ind w:left="4320"/>
        <w:rPr>
          <w:rFonts w:eastAsia="PMingLiU"/>
          <w:szCs w:val="24"/>
        </w:rPr>
      </w:pPr>
      <w:r>
        <w:rPr>
          <w:rFonts w:eastAsia="PMingLiU"/>
          <w:szCs w:val="24"/>
        </w:rPr>
        <w:t>Assistant Consumers’ Counsel</w:t>
      </w:r>
    </w:p>
    <w:p w:rsidR="00AE6197" w:rsidRPr="00E72D63" w:rsidP="00AE6197">
      <w:pPr>
        <w:keepNext/>
        <w:spacing w:before="120"/>
        <w:ind w:left="4320"/>
        <w:outlineLvl w:val="0"/>
        <w:rPr>
          <w:rFonts w:eastAsia="PMingLiU"/>
          <w:b/>
          <w:szCs w:val="24"/>
        </w:rPr>
      </w:pPr>
      <w:r w:rsidRPr="00E72D63">
        <w:rPr>
          <w:rFonts w:eastAsia="PMingLiU"/>
          <w:b/>
          <w:szCs w:val="24"/>
        </w:rPr>
        <w:t>Office of the Ohio Consumers’ Counsel</w:t>
      </w:r>
    </w:p>
    <w:p w:rsidR="00AE6197" w:rsidRPr="00E72D63" w:rsidP="00AE6197">
      <w:pPr>
        <w:keepNext/>
        <w:ind w:left="4320"/>
        <w:outlineLvl w:val="0"/>
        <w:rPr>
          <w:rFonts w:eastAsia="PMingLiU"/>
          <w:szCs w:val="24"/>
        </w:rPr>
      </w:pPr>
      <w:r w:rsidRPr="00E72D63">
        <w:rPr>
          <w:rFonts w:eastAsia="PMingLiU"/>
          <w:szCs w:val="24"/>
        </w:rPr>
        <w:t>10 West Broad Street, Suite 1800</w:t>
      </w:r>
    </w:p>
    <w:p w:rsidR="00AE6197" w:rsidRPr="00E72D63" w:rsidP="00AE6197">
      <w:pPr>
        <w:keepNext/>
        <w:ind w:left="4320"/>
        <w:outlineLvl w:val="0"/>
        <w:rPr>
          <w:rFonts w:eastAsia="PMingLiU"/>
          <w:szCs w:val="24"/>
        </w:rPr>
      </w:pPr>
      <w:r w:rsidRPr="00E72D63">
        <w:rPr>
          <w:rFonts w:eastAsia="PMingLiU"/>
          <w:szCs w:val="24"/>
        </w:rPr>
        <w:t>Columbus, Ohio 43215-3485</w:t>
      </w:r>
    </w:p>
    <w:p w:rsidR="00AE6197" w:rsidRPr="00E72D63" w:rsidP="00AE6197">
      <w:pPr>
        <w:autoSpaceDE w:val="0"/>
        <w:autoSpaceDN w:val="0"/>
        <w:adjustRightInd w:val="0"/>
        <w:ind w:left="4320"/>
        <w:rPr>
          <w:rFonts w:eastAsia="PMingLiU"/>
          <w:szCs w:val="24"/>
        </w:rPr>
      </w:pPr>
      <w:r w:rsidRPr="00E72D63">
        <w:rPr>
          <w:rFonts w:eastAsia="PMingLiU"/>
          <w:szCs w:val="24"/>
        </w:rPr>
        <w:t>Telephone:  Bair – (614) 466-9559</w:t>
      </w:r>
    </w:p>
    <w:p w:rsidR="00AE6197" w:rsidRPr="00E72D63" w:rsidP="00AE6197">
      <w:pPr>
        <w:autoSpaceDE w:val="0"/>
        <w:autoSpaceDN w:val="0"/>
        <w:adjustRightInd w:val="0"/>
        <w:ind w:left="4320"/>
        <w:rPr>
          <w:rFonts w:eastAsia="PMingLiU"/>
          <w:szCs w:val="24"/>
        </w:rPr>
      </w:pPr>
      <w:r w:rsidRPr="00E72D63">
        <w:rPr>
          <w:rFonts w:eastAsia="PMingLiU"/>
          <w:szCs w:val="24"/>
        </w:rPr>
        <w:t>Telephone:  Kumar – (614) 466-1292</w:t>
      </w:r>
    </w:p>
    <w:p w:rsidR="00AE6197" w:rsidRPr="00E72D63" w:rsidP="00AE6197">
      <w:pPr>
        <w:autoSpaceDE w:val="0"/>
        <w:autoSpaceDN w:val="0"/>
        <w:adjustRightInd w:val="0"/>
        <w:ind w:left="4320"/>
        <w:rPr>
          <w:rFonts w:eastAsia="PMingLiU"/>
          <w:szCs w:val="24"/>
        </w:rPr>
      </w:pPr>
      <w:r w:rsidRPr="00E72D63" w:rsidR="00F57BB0">
        <w:rPr>
          <w:rFonts w:eastAsia="PMingLiU"/>
          <w:color w:val="0000FF"/>
          <w:szCs w:val="24"/>
          <w:u w:val="single"/>
        </w:rPr>
        <w:t>Jodi.bair@occ.ohio.gov</w:t>
      </w:r>
    </w:p>
    <w:p w:rsidR="00AE6197" w:rsidRPr="00E72D63" w:rsidP="00AE6197">
      <w:pPr>
        <w:ind w:left="4320"/>
        <w:rPr>
          <w:rFonts w:eastAsia="PMingLiU"/>
          <w:szCs w:val="24"/>
        </w:rPr>
      </w:pPr>
      <w:r w:rsidRPr="00E72D63" w:rsidR="00F57BB0">
        <w:rPr>
          <w:rFonts w:eastAsia="PMingLiU"/>
          <w:color w:val="0000FF"/>
          <w:szCs w:val="24"/>
          <w:u w:val="single"/>
        </w:rPr>
        <w:t>Ajay.kumar@occ.ohio.gov</w:t>
      </w:r>
    </w:p>
    <w:p w:rsidR="00AE6197">
      <w:pPr>
        <w:ind w:left="4320"/>
        <w:rPr>
          <w:szCs w:val="24"/>
        </w:rPr>
      </w:pPr>
      <w:r w:rsidRPr="00E72D63">
        <w:rPr>
          <w:rFonts w:eastAsia="PMingLiU"/>
          <w:szCs w:val="24"/>
        </w:rPr>
        <w:t>(will accept service via email)</w:t>
      </w:r>
    </w:p>
    <w:p w:rsidR="00AE6197">
      <w:pPr>
        <w:pStyle w:val="HTMLPreformatted"/>
        <w:jc w:val="center"/>
        <w:rPr>
          <w:rFonts w:ascii="Times New Roman" w:hAnsi="Times New Roman"/>
          <w:b/>
          <w:bCs/>
          <w:sz w:val="24"/>
        </w:rPr>
        <w:sectPr>
          <w:headerReference w:type="default" r:id="rId5"/>
          <w:footerReference w:type="even" r:id="rId6"/>
          <w:footerReference w:type="default" r:id="rId7"/>
          <w:pgSz w:w="12240" w:h="15840"/>
          <w:pgMar w:top="1440" w:right="1800" w:bottom="1440" w:left="1800" w:header="720" w:footer="720" w:gutter="0"/>
          <w:cols w:space="720"/>
          <w:titlePg/>
          <w:docGrid w:linePitch="65"/>
        </w:sectPr>
      </w:pPr>
    </w:p>
    <w:p w:rsidR="00AE6197">
      <w:pPr>
        <w:pStyle w:val="HTMLPreformatted"/>
        <w:jc w:val="center"/>
        <w:rPr>
          <w:rFonts w:ascii="Times New Roman" w:hAnsi="Times New Roman"/>
          <w:b/>
          <w:bCs/>
          <w:sz w:val="24"/>
        </w:rPr>
      </w:pPr>
      <w:r>
        <w:rPr>
          <w:rFonts w:ascii="Times New Roman" w:hAnsi="Times New Roman"/>
          <w:b/>
          <w:bCs/>
          <w:sz w:val="24"/>
        </w:rPr>
        <w:t>BEFORE</w:t>
      </w:r>
    </w:p>
    <w:p w:rsidR="00AE6197">
      <w:pPr>
        <w:pStyle w:val="HTMLPreformatted"/>
        <w:jc w:val="center"/>
        <w:rPr>
          <w:rFonts w:ascii="Times New Roman" w:hAnsi="Times New Roman"/>
          <w:sz w:val="24"/>
        </w:rPr>
      </w:pPr>
      <w:r>
        <w:rPr>
          <w:rFonts w:ascii="Times New Roman" w:hAnsi="Times New Roman"/>
          <w:b/>
          <w:bCs/>
          <w:sz w:val="24"/>
        </w:rPr>
        <w:t>THE PUBLIC UTILITIES COMMISSION OF OHIO</w:t>
      </w:r>
    </w:p>
    <w:p w:rsidR="00AE6197">
      <w:pPr>
        <w:pStyle w:val="HTMLPreformatted"/>
        <w:rPr>
          <w:rFonts w:ascii="Times New Roman" w:hAnsi="Times New Roman"/>
          <w:sz w:val="24"/>
        </w:rPr>
      </w:pPr>
    </w:p>
    <w:tbl>
      <w:tblPr>
        <w:tblW w:w="9320" w:type="dxa"/>
        <w:tblLook w:val="01E0"/>
      </w:tblPr>
      <w:tblGrid>
        <w:gridCol w:w="4140"/>
        <w:gridCol w:w="540"/>
        <w:gridCol w:w="4640"/>
      </w:tblGrid>
      <w:tr w:rsidTr="000939E7">
        <w:tblPrEx>
          <w:tblW w:w="9320" w:type="dxa"/>
          <w:tblLook w:val="01E0"/>
        </w:tblPrEx>
        <w:trPr>
          <w:trHeight w:val="807"/>
        </w:trPr>
        <w:tc>
          <w:tcPr>
            <w:tcW w:w="4140" w:type="dxa"/>
            <w:shd w:val="clear" w:color="auto" w:fill="auto"/>
          </w:tcPr>
          <w:p w:rsidR="00AB6F21" w:rsidP="00BA2C86">
            <w:pPr>
              <w:autoSpaceDE w:val="0"/>
              <w:autoSpaceDN w:val="0"/>
              <w:adjustRightInd w:val="0"/>
            </w:pPr>
            <w:r>
              <w:t>In the Matter of the Annual Report of Columbia Gas of Ohio, Inc. for Approval of an Adjustment to its Infrastructure Development Rider Rate.</w:t>
            </w:r>
          </w:p>
        </w:tc>
        <w:tc>
          <w:tcPr>
            <w:tcW w:w="540" w:type="dxa"/>
            <w:shd w:val="clear" w:color="auto" w:fill="auto"/>
          </w:tcPr>
          <w:p w:rsidR="00AB6F21" w:rsidRPr="003378D1" w:rsidP="00BA2C86">
            <w:pPr>
              <w:pStyle w:val="HTMLPreformatted"/>
              <w:rPr>
                <w:rFonts w:ascii="Times New Roman" w:hAnsi="Times New Roman"/>
                <w:sz w:val="24"/>
              </w:rPr>
            </w:pPr>
            <w:r w:rsidRPr="003378D1">
              <w:rPr>
                <w:rFonts w:ascii="Times New Roman" w:hAnsi="Times New Roman"/>
                <w:sz w:val="24"/>
              </w:rPr>
              <w:t>)</w:t>
            </w:r>
          </w:p>
          <w:p w:rsidR="00AB6F21" w:rsidRPr="003378D1" w:rsidP="00BA2C86">
            <w:pPr>
              <w:pStyle w:val="HTMLPreformatted"/>
              <w:rPr>
                <w:rFonts w:ascii="Times New Roman" w:hAnsi="Times New Roman"/>
                <w:sz w:val="24"/>
              </w:rPr>
            </w:pPr>
            <w:r w:rsidRPr="003378D1">
              <w:rPr>
                <w:rFonts w:ascii="Times New Roman" w:hAnsi="Times New Roman"/>
                <w:sz w:val="24"/>
              </w:rPr>
              <w:t>)</w:t>
            </w:r>
          </w:p>
          <w:p w:rsidR="00AB6F21" w:rsidP="00BA2C86">
            <w:pPr>
              <w:pStyle w:val="HTMLPreformatted"/>
              <w:rPr>
                <w:rFonts w:ascii="Times New Roman" w:hAnsi="Times New Roman"/>
                <w:sz w:val="24"/>
              </w:rPr>
            </w:pPr>
            <w:r>
              <w:rPr>
                <w:rFonts w:ascii="Times New Roman" w:hAnsi="Times New Roman"/>
                <w:sz w:val="24"/>
              </w:rPr>
              <w:t>)</w:t>
            </w:r>
          </w:p>
          <w:p w:rsidR="00AB6F21" w:rsidP="00BA2C86">
            <w:pPr>
              <w:pStyle w:val="HTMLPreformatted"/>
              <w:rPr>
                <w:rFonts w:ascii="Times New Roman" w:hAnsi="Times New Roman"/>
                <w:sz w:val="24"/>
              </w:rPr>
            </w:pPr>
            <w:r>
              <w:rPr>
                <w:rFonts w:ascii="Times New Roman" w:hAnsi="Times New Roman"/>
                <w:sz w:val="24"/>
              </w:rPr>
              <w:t>)</w:t>
            </w:r>
          </w:p>
          <w:p w:rsidR="000939E7" w:rsidRPr="003378D1" w:rsidP="000939E7">
            <w:pPr>
              <w:pStyle w:val="HTMLPreformatted"/>
              <w:rPr>
                <w:rFonts w:ascii="Times New Roman" w:hAnsi="Times New Roman"/>
                <w:sz w:val="24"/>
              </w:rPr>
            </w:pPr>
          </w:p>
        </w:tc>
        <w:tc>
          <w:tcPr>
            <w:tcW w:w="4640" w:type="dxa"/>
            <w:shd w:val="clear" w:color="auto" w:fill="auto"/>
          </w:tcPr>
          <w:p w:rsidR="00AB6F21" w:rsidP="00BA2C86">
            <w:pPr>
              <w:autoSpaceDE w:val="0"/>
              <w:autoSpaceDN w:val="0"/>
              <w:adjustRightInd w:val="0"/>
            </w:pPr>
          </w:p>
          <w:p w:rsidR="00AB6F21" w:rsidP="00BA2C86">
            <w:pPr>
              <w:autoSpaceDE w:val="0"/>
              <w:autoSpaceDN w:val="0"/>
              <w:adjustRightInd w:val="0"/>
            </w:pPr>
            <w:r>
              <w:t>Case No. 17-521-GA-IDR</w:t>
            </w:r>
          </w:p>
          <w:p w:rsidR="00AB6F21" w:rsidP="00BA2C86">
            <w:pPr>
              <w:autoSpaceDE w:val="0"/>
              <w:autoSpaceDN w:val="0"/>
              <w:adjustRightInd w:val="0"/>
            </w:pPr>
          </w:p>
          <w:p w:rsidR="00AB6F21" w:rsidRPr="003378D1" w:rsidP="00BA2C86">
            <w:pPr>
              <w:autoSpaceDE w:val="0"/>
              <w:autoSpaceDN w:val="0"/>
              <w:adjustRightInd w:val="0"/>
            </w:pPr>
          </w:p>
        </w:tc>
      </w:tr>
    </w:tbl>
    <w:p w:rsidR="00AE6197" w:rsidRPr="00AB6F21">
      <w:pPr>
        <w:pStyle w:val="Heading2"/>
        <w:pBdr>
          <w:bottom w:val="single" w:sz="12" w:space="1" w:color="auto"/>
        </w:pBdr>
        <w:jc w:val="left"/>
        <w:rPr>
          <w:b w:val="0"/>
          <w:sz w:val="16"/>
          <w:szCs w:val="16"/>
        </w:rPr>
      </w:pPr>
    </w:p>
    <w:p w:rsidR="00AE6197" w:rsidRPr="00391F38">
      <w:pPr>
        <w:pStyle w:val="Heading2"/>
        <w:rPr>
          <w:sz w:val="10"/>
          <w:szCs w:val="10"/>
        </w:rPr>
      </w:pPr>
    </w:p>
    <w:p w:rsidR="000939E7">
      <w:pPr>
        <w:pStyle w:val="Heading2"/>
        <w:pBdr>
          <w:bottom w:val="single" w:sz="12" w:space="1" w:color="auto"/>
        </w:pBdr>
      </w:pPr>
      <w:r>
        <w:t>MEMORANDUM IN SUPPORT</w:t>
      </w:r>
    </w:p>
    <w:p w:rsidR="00AE6197" w:rsidRPr="00391F38" w:rsidP="000939E7">
      <w:pPr>
        <w:pStyle w:val="Heading2"/>
        <w:pBdr>
          <w:bottom w:val="single" w:sz="12" w:space="1" w:color="auto"/>
        </w:pBdr>
        <w:rPr>
          <w:sz w:val="10"/>
          <w:szCs w:val="10"/>
        </w:rPr>
      </w:pPr>
    </w:p>
    <w:p w:rsidR="00AE6197" w:rsidP="00AE6197">
      <w:pPr>
        <w:pStyle w:val="BodyTextIndent3"/>
        <w:widowControl w:val="0"/>
        <w:spacing w:before="240" w:line="480" w:lineRule="auto"/>
      </w:pPr>
      <w:r>
        <w:t xml:space="preserve">On October 21, 2016, Columbia Gas of Ohio, Inc. (“Columbia”) filed an application to create a new Infrastructure Development Rider (“IDR”) </w:t>
      </w:r>
      <w:r w:rsidR="00C670CC">
        <w:t>under</w:t>
      </w:r>
      <w:r>
        <w:t xml:space="preserve"> Ohio law.</w:t>
      </w:r>
      <w:r>
        <w:rPr>
          <w:rStyle w:val="FootnoteReference"/>
        </w:rPr>
        <w:footnoteReference w:id="2"/>
      </w:r>
      <w:r w:rsidR="00AB6F21">
        <w:t xml:space="preserve"> On March 15,</w:t>
      </w:r>
      <w:r w:rsidR="00DC69E0">
        <w:t xml:space="preserve"> 2017,</w:t>
      </w:r>
      <w:r w:rsidR="00AB6F21">
        <w:t xml:space="preserve"> Columbia filed an Annual Report for Approval of an adjustment to its Infrastructure Development Rider Rate.</w:t>
      </w:r>
      <w:r>
        <w:rPr>
          <w:rStyle w:val="FootnoteReference"/>
        </w:rPr>
        <w:footnoteReference w:id="3"/>
      </w:r>
      <w:r w:rsidR="00AB6F21">
        <w:t xml:space="preserve">  This filing</w:t>
      </w:r>
      <w:r>
        <w:t xml:space="preserve"> seeks to allow Columbia to</w:t>
      </w:r>
      <w:r w:rsidR="00AB6F21">
        <w:t xml:space="preserve"> begin charging</w:t>
      </w:r>
      <w:r>
        <w:t xml:space="preserve"> </w:t>
      </w:r>
      <w:r w:rsidR="00C670CC">
        <w:t xml:space="preserve">(through the infrastructure development rider) </w:t>
      </w:r>
      <w:r>
        <w:t xml:space="preserve">certain infrastructure costs that are associated with economic development projects. </w:t>
      </w:r>
    </w:p>
    <w:p w:rsidR="00AE6197" w:rsidP="00AE6197">
      <w:pPr>
        <w:pStyle w:val="BodyTextIndent3"/>
        <w:widowControl w:val="0"/>
        <w:spacing w:line="480" w:lineRule="auto"/>
      </w:pPr>
      <w:r>
        <w:t xml:space="preserve">R.C. 4903.221 provides, in part, that any person “who may be adversely affected” by a PUCO proceeding is entitled to seek intervention in that proceeding. In this proceeding Columbia seeks authority </w:t>
      </w:r>
      <w:r w:rsidR="00AB6F21">
        <w:t>to charge residential customers $0.14 per month or $1.68 per year.</w:t>
      </w:r>
      <w:r>
        <w:rPr>
          <w:rStyle w:val="FootnoteReference"/>
        </w:rPr>
        <w:footnoteReference w:id="4"/>
      </w:r>
      <w:r w:rsidR="00AB6F21">
        <w:t xml:space="preserve"> </w:t>
      </w:r>
      <w:r>
        <w:t xml:space="preserve">So, for purposes of the statute, residential customers may be adversely affected. This element of the intervention standard in R.C. 4903.221 is satisfied. </w:t>
      </w:r>
    </w:p>
    <w:p w:rsidR="00AE6197">
      <w:pPr>
        <w:spacing w:line="480" w:lineRule="auto"/>
        <w:ind w:firstLine="720"/>
        <w:rPr>
          <w:szCs w:val="24"/>
        </w:rPr>
      </w:pPr>
      <w:r>
        <w:rPr>
          <w:szCs w:val="24"/>
        </w:rPr>
        <w:t>R.C. 4903.221(B) requires the Commission to consider the following criteria in ruling on motions to intervene:</w:t>
      </w:r>
    </w:p>
    <w:p w:rsidR="00AE6197">
      <w:pPr>
        <w:spacing w:after="240"/>
        <w:ind w:left="2160" w:right="720" w:hanging="720"/>
        <w:rPr>
          <w:szCs w:val="24"/>
        </w:rPr>
      </w:pPr>
      <w:r>
        <w:rPr>
          <w:szCs w:val="24"/>
        </w:rPr>
        <w:t>(1)</w:t>
      </w:r>
      <w:r>
        <w:rPr>
          <w:szCs w:val="24"/>
        </w:rPr>
        <w:tab/>
        <w:t>The nature and extent of the prospective intervenor’s interest;</w:t>
      </w:r>
    </w:p>
    <w:p w:rsidR="00AE6197">
      <w:pPr>
        <w:spacing w:after="240"/>
        <w:ind w:left="2160" w:right="720" w:hanging="720"/>
        <w:rPr>
          <w:szCs w:val="24"/>
        </w:rPr>
      </w:pPr>
      <w:r>
        <w:rPr>
          <w:szCs w:val="24"/>
        </w:rPr>
        <w:t>(2)</w:t>
      </w:r>
      <w:r>
        <w:rPr>
          <w:szCs w:val="24"/>
        </w:rPr>
        <w:tab/>
        <w:t>The legal position advanced by the prospective intervenor and its probable relation to the merits of the case;</w:t>
      </w:r>
    </w:p>
    <w:p w:rsidR="00AE6197">
      <w:pPr>
        <w:spacing w:after="240"/>
        <w:ind w:left="2160" w:right="720" w:hanging="720"/>
        <w:rPr>
          <w:szCs w:val="24"/>
        </w:rPr>
      </w:pPr>
      <w:r>
        <w:rPr>
          <w:szCs w:val="24"/>
        </w:rPr>
        <w:t>(3)</w:t>
      </w:r>
      <w:r>
        <w:rPr>
          <w:szCs w:val="24"/>
        </w:rPr>
        <w:tab/>
        <w:t>Whether the intervention by the prospective intervenor will unduly prolong or delay the proceeding; and</w:t>
      </w:r>
    </w:p>
    <w:p w:rsidR="00AE6197">
      <w:pPr>
        <w:pStyle w:val="BodyTextIndent2"/>
        <w:tabs>
          <w:tab w:val="clear" w:pos="720"/>
        </w:tabs>
        <w:spacing w:before="0"/>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AE6197" w:rsidP="00AE6197">
      <w:pPr>
        <w:pStyle w:val="BodyTextIndent3"/>
        <w:spacing w:line="480" w:lineRule="auto"/>
        <w:rPr>
          <w:szCs w:val="24"/>
        </w:rPr>
      </w:pPr>
      <w:r>
        <w:t>First, the nature and extent of OCC’s interest is to represent Ohio residential customers to ensure that the economic development costs are just and reasonable and prudently incurred before being collected from the Utility’s customers</w:t>
      </w:r>
      <w:r>
        <w:rPr>
          <w:szCs w:val="24"/>
        </w:rPr>
        <w:t>. This interest is different than that of any other party and especially different than that of Columbia.</w:t>
      </w:r>
    </w:p>
    <w:p w:rsidR="00AE6197">
      <w:pPr>
        <w:pStyle w:val="Footer"/>
        <w:tabs>
          <w:tab w:val="clear" w:pos="4320"/>
          <w:tab w:val="clear" w:pos="8640"/>
        </w:tabs>
        <w:spacing w:line="480" w:lineRule="auto"/>
        <w:ind w:firstLine="720"/>
        <w:rPr>
          <w:sz w:val="24"/>
          <w:szCs w:val="24"/>
        </w:rPr>
      </w:pPr>
      <w:r>
        <w:rPr>
          <w:sz w:val="24"/>
          <w:szCs w:val="24"/>
        </w:rPr>
        <w:t>Second, OCC’s legal position will include advancing that any costs charged to consumers should be reasonable, prudent and lawful. OCC’s position is directly related to the merits of this case that is pending before the PUCO. The PUCO is an authority tasked with promoting “the availability to consumers of adequate, reliable, and reasonably priced natural gas service and goods[.]”</w:t>
      </w:r>
      <w:r>
        <w:rPr>
          <w:rStyle w:val="FootnoteReference"/>
          <w:sz w:val="24"/>
          <w:szCs w:val="24"/>
        </w:rPr>
        <w:footnoteReference w:id="5"/>
      </w:r>
      <w:r>
        <w:rPr>
          <w:sz w:val="24"/>
          <w:szCs w:val="24"/>
        </w:rPr>
        <w:t xml:space="preserve"> </w:t>
      </w:r>
    </w:p>
    <w:p w:rsidR="00AE6197">
      <w:pPr>
        <w:pStyle w:val="BodyTextIndent3"/>
        <w:spacing w:line="480" w:lineRule="auto"/>
        <w:rPr>
          <w:szCs w:val="24"/>
        </w:rPr>
      </w:pPr>
      <w:r>
        <w:t xml:space="preserve">Third, </w:t>
      </w:r>
      <w:r>
        <w:rPr>
          <w:szCs w:val="24"/>
        </w:rPr>
        <w:t xml:space="preserve">OCC’s intervention will not unduly prolong or delay the proceedings. OCC, with its longstanding expertise and experience in PUCO proceedings, will allow for the efficient processing of the case with consideration of the public interest. </w:t>
      </w:r>
    </w:p>
    <w:p w:rsidR="00AE6197">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cases in the public interest. </w:t>
      </w:r>
    </w:p>
    <w:p w:rsidR="00AE6197">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 economic development costs could be passed on to customers. </w:t>
      </w:r>
    </w:p>
    <w:p w:rsidR="00AE6197">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AE6197" w:rsidP="00AE6197">
      <w:pPr>
        <w:pStyle w:val="BodyTextIndent3"/>
        <w:widowControl w:val="0"/>
        <w:spacing w:line="480" w:lineRule="auto"/>
        <w:ind w:right="-24"/>
        <w:rPr>
          <w:szCs w:val="24"/>
        </w:rPr>
      </w:pPr>
      <w:r>
        <w:rPr>
          <w:szCs w:val="24"/>
        </w:rPr>
        <w:t xml:space="preserve">Ohio Adm. Code 4901-1-11(B)(5) states that the Commission shall consider the “extent to which the person’s interest is represented by existing parties.” While OCC does not concede the lawfulness of this criterion, OCC satisfies this criterion. OCC is the state representative of Ohio’s residential utility customers. That interest is different from, and not represented by, any other entity in Ohio. </w:t>
      </w:r>
    </w:p>
    <w:p w:rsidR="00AE6197" w:rsidP="00AE6197">
      <w:pPr>
        <w:pStyle w:val="BodyTextIndent3"/>
        <w:widowControl w:val="0"/>
        <w:spacing w:line="480" w:lineRule="auto"/>
        <w:rPr>
          <w:szCs w:val="24"/>
        </w:rPr>
      </w:pPr>
      <w:r>
        <w:rPr>
          <w:szCs w:val="24"/>
        </w:rPr>
        <w:t>The Supreme Court of Ohio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6"/>
      </w:r>
      <w:r>
        <w:rPr>
          <w:szCs w:val="24"/>
        </w:rPr>
        <w:t xml:space="preserve"> </w:t>
      </w:r>
    </w:p>
    <w:p w:rsidR="00AE6197">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AE6197" w:rsidRPr="00053FAB" w:rsidP="00AE6197"/>
    <w:p w:rsidR="00AE6197" w:rsidP="00AE6197">
      <w:pPr>
        <w:pStyle w:val="BodyTextIndent3"/>
        <w:widowControl w:val="0"/>
        <w:spacing w:line="480" w:lineRule="auto"/>
        <w:ind w:left="4320" w:firstLine="0"/>
        <w:rPr>
          <w:szCs w:val="24"/>
        </w:rPr>
      </w:pPr>
      <w:r>
        <w:rPr>
          <w:szCs w:val="24"/>
        </w:rPr>
        <w:t>Respectfully submitted,</w:t>
      </w:r>
    </w:p>
    <w:p w:rsidR="00AE6197" w:rsidP="00AE6197">
      <w:pPr>
        <w:pStyle w:val="Footer"/>
        <w:tabs>
          <w:tab w:val="left" w:pos="4320"/>
          <w:tab w:val="clear" w:pos="8640"/>
        </w:tabs>
        <w:ind w:left="4320"/>
        <w:rPr>
          <w:sz w:val="24"/>
          <w:szCs w:val="24"/>
        </w:rPr>
      </w:pPr>
      <w:r>
        <w:rPr>
          <w:sz w:val="24"/>
          <w:szCs w:val="24"/>
        </w:rPr>
        <w:t>BRUCE WESTON (0016973)</w:t>
      </w:r>
    </w:p>
    <w:p w:rsidR="00AE6197" w:rsidP="00AE6197">
      <w:pPr>
        <w:tabs>
          <w:tab w:val="left" w:pos="4320"/>
        </w:tabs>
        <w:ind w:left="4320"/>
        <w:rPr>
          <w:szCs w:val="24"/>
        </w:rPr>
      </w:pPr>
      <w:r>
        <w:rPr>
          <w:szCs w:val="24"/>
        </w:rPr>
        <w:t>OHIO CONSUMERS’ COUNSEL</w:t>
      </w:r>
    </w:p>
    <w:p w:rsidR="00AE6197" w:rsidP="00AE6197">
      <w:pPr>
        <w:tabs>
          <w:tab w:val="left" w:pos="4320"/>
        </w:tabs>
        <w:ind w:left="4320"/>
        <w:rPr>
          <w:szCs w:val="24"/>
        </w:rPr>
      </w:pPr>
    </w:p>
    <w:p w:rsidR="00AE6197" w:rsidRPr="00E72D63" w:rsidP="00AE6197">
      <w:pPr>
        <w:autoSpaceDE w:val="0"/>
        <w:autoSpaceDN w:val="0"/>
        <w:adjustRightInd w:val="0"/>
        <w:ind w:left="4320"/>
        <w:rPr>
          <w:rFonts w:eastAsia="PMingLiU"/>
          <w:i/>
        </w:rPr>
      </w:pPr>
      <w:r>
        <w:rPr>
          <w:rFonts w:eastAsia="PMingLiU"/>
          <w:i/>
          <w:u w:val="single"/>
        </w:rPr>
        <w:t>/s/ Jodi Bair</w:t>
      </w:r>
      <w:r w:rsidRPr="00E72D63">
        <w:rPr>
          <w:rFonts w:eastAsia="PMingLiU"/>
          <w:i/>
          <w:u w:val="single"/>
        </w:rPr>
        <w:t>                       </w:t>
      </w:r>
    </w:p>
    <w:p w:rsidR="00AE6197" w:rsidRPr="00E72D63" w:rsidP="00AE6197">
      <w:pPr>
        <w:tabs>
          <w:tab w:val="left" w:pos="4320"/>
        </w:tabs>
        <w:ind w:left="4320"/>
        <w:rPr>
          <w:rFonts w:eastAsia="PMingLiU"/>
          <w:szCs w:val="24"/>
        </w:rPr>
      </w:pPr>
      <w:r w:rsidRPr="00E72D63">
        <w:rPr>
          <w:rFonts w:eastAsia="PMingLiU"/>
          <w:szCs w:val="24"/>
        </w:rPr>
        <w:t>Jodi Bair, (0062921) Counsel of Record</w:t>
      </w:r>
    </w:p>
    <w:p w:rsidR="00AE6197" w:rsidRPr="00E72D63" w:rsidP="00AE6197">
      <w:pPr>
        <w:tabs>
          <w:tab w:val="left" w:pos="4320"/>
        </w:tabs>
        <w:ind w:left="4320"/>
        <w:rPr>
          <w:rFonts w:eastAsia="PMingLiU"/>
          <w:szCs w:val="24"/>
        </w:rPr>
      </w:pPr>
      <w:r w:rsidRPr="00E72D63">
        <w:rPr>
          <w:rFonts w:eastAsia="PMingLiU"/>
          <w:szCs w:val="24"/>
        </w:rPr>
        <w:t>Ajay Kumar (0092208)</w:t>
      </w:r>
    </w:p>
    <w:p w:rsidR="00AE6197" w:rsidP="00AE6197">
      <w:pPr>
        <w:tabs>
          <w:tab w:val="left" w:pos="4320"/>
        </w:tabs>
        <w:ind w:left="4320"/>
        <w:rPr>
          <w:rFonts w:eastAsia="PMingLiU"/>
          <w:szCs w:val="24"/>
        </w:rPr>
      </w:pPr>
      <w:r>
        <w:rPr>
          <w:rFonts w:eastAsia="PMingLiU"/>
          <w:szCs w:val="24"/>
        </w:rPr>
        <w:t>Assistant Consumers’ Counsel</w:t>
      </w:r>
    </w:p>
    <w:p w:rsidR="00AE6197" w:rsidRPr="00E72D63" w:rsidP="00AE6197">
      <w:pPr>
        <w:tabs>
          <w:tab w:val="left" w:pos="4320"/>
        </w:tabs>
        <w:ind w:left="4320"/>
        <w:rPr>
          <w:rFonts w:eastAsia="PMingLiU"/>
          <w:szCs w:val="24"/>
        </w:rPr>
      </w:pPr>
    </w:p>
    <w:p w:rsidR="00AE6197" w:rsidRPr="00E72D63" w:rsidP="00AE6197">
      <w:pPr>
        <w:keepNext/>
        <w:spacing w:before="120"/>
        <w:ind w:left="4320"/>
        <w:outlineLvl w:val="0"/>
        <w:rPr>
          <w:rFonts w:eastAsia="PMingLiU"/>
          <w:b/>
          <w:szCs w:val="24"/>
        </w:rPr>
      </w:pPr>
      <w:r w:rsidRPr="00E72D63">
        <w:rPr>
          <w:rFonts w:eastAsia="PMingLiU"/>
          <w:b/>
          <w:szCs w:val="24"/>
        </w:rPr>
        <w:t>Office of the Ohio Consumers’ Counsel</w:t>
      </w:r>
    </w:p>
    <w:p w:rsidR="00AE6197" w:rsidRPr="00E72D63" w:rsidP="00AE6197">
      <w:pPr>
        <w:keepNext/>
        <w:ind w:left="4320"/>
        <w:outlineLvl w:val="0"/>
        <w:rPr>
          <w:rFonts w:eastAsia="PMingLiU"/>
          <w:szCs w:val="24"/>
        </w:rPr>
      </w:pPr>
      <w:r w:rsidRPr="00E72D63">
        <w:rPr>
          <w:rFonts w:eastAsia="PMingLiU"/>
          <w:szCs w:val="24"/>
        </w:rPr>
        <w:t>10 West Broad Street, Suite 1800</w:t>
      </w:r>
    </w:p>
    <w:p w:rsidR="00AE6197" w:rsidRPr="00E72D63" w:rsidP="00AE6197">
      <w:pPr>
        <w:keepNext/>
        <w:ind w:left="4320"/>
        <w:outlineLvl w:val="0"/>
        <w:rPr>
          <w:rFonts w:eastAsia="PMingLiU"/>
          <w:szCs w:val="24"/>
        </w:rPr>
      </w:pPr>
      <w:r w:rsidRPr="00E72D63">
        <w:rPr>
          <w:rFonts w:eastAsia="PMingLiU"/>
          <w:szCs w:val="24"/>
        </w:rPr>
        <w:t>Columbus, Ohio 43215-3485</w:t>
      </w:r>
    </w:p>
    <w:p w:rsidR="00AE6197" w:rsidRPr="00E72D63" w:rsidP="00AE6197">
      <w:pPr>
        <w:autoSpaceDE w:val="0"/>
        <w:autoSpaceDN w:val="0"/>
        <w:adjustRightInd w:val="0"/>
        <w:ind w:left="4320"/>
        <w:rPr>
          <w:rFonts w:eastAsia="PMingLiU"/>
          <w:szCs w:val="24"/>
        </w:rPr>
      </w:pPr>
      <w:r w:rsidRPr="00E72D63">
        <w:rPr>
          <w:rFonts w:eastAsia="PMingLiU"/>
          <w:szCs w:val="24"/>
        </w:rPr>
        <w:t>Telephone:  Bair – (614) 466-9559</w:t>
      </w:r>
    </w:p>
    <w:p w:rsidR="00AE6197" w:rsidRPr="00E72D63" w:rsidP="00AE6197">
      <w:pPr>
        <w:autoSpaceDE w:val="0"/>
        <w:autoSpaceDN w:val="0"/>
        <w:adjustRightInd w:val="0"/>
        <w:ind w:left="4320"/>
        <w:rPr>
          <w:rFonts w:eastAsia="PMingLiU"/>
          <w:szCs w:val="24"/>
        </w:rPr>
      </w:pPr>
      <w:r w:rsidRPr="00E72D63">
        <w:rPr>
          <w:rFonts w:eastAsia="PMingLiU"/>
          <w:szCs w:val="24"/>
        </w:rPr>
        <w:t>Telephone:  Kumar – (614) 466-1292</w:t>
      </w:r>
    </w:p>
    <w:p w:rsidR="00AE6197" w:rsidRPr="00E72D63" w:rsidP="00AE6197">
      <w:pPr>
        <w:autoSpaceDE w:val="0"/>
        <w:autoSpaceDN w:val="0"/>
        <w:adjustRightInd w:val="0"/>
        <w:ind w:left="4320"/>
        <w:rPr>
          <w:rFonts w:eastAsia="PMingLiU"/>
          <w:szCs w:val="24"/>
        </w:rPr>
      </w:pPr>
      <w:r w:rsidRPr="00E72D63" w:rsidR="00F57BB0">
        <w:rPr>
          <w:rFonts w:eastAsia="PMingLiU"/>
          <w:color w:val="0000FF"/>
          <w:szCs w:val="24"/>
          <w:u w:val="single"/>
        </w:rPr>
        <w:t>Jodi.bair@occ.ohio.gov</w:t>
      </w:r>
    </w:p>
    <w:p w:rsidR="00AE6197" w:rsidRPr="00E72D63" w:rsidP="00AE6197">
      <w:pPr>
        <w:ind w:left="4320"/>
        <w:rPr>
          <w:rFonts w:eastAsia="PMingLiU"/>
          <w:szCs w:val="24"/>
        </w:rPr>
      </w:pPr>
      <w:r w:rsidRPr="00E72D63" w:rsidR="00F57BB0">
        <w:rPr>
          <w:rFonts w:eastAsia="PMingLiU"/>
          <w:color w:val="0000FF"/>
          <w:szCs w:val="24"/>
          <w:u w:val="single"/>
        </w:rPr>
        <w:t>Ajay.kumar@occ.ohio.gov</w:t>
      </w:r>
    </w:p>
    <w:p w:rsidR="00AE6197" w:rsidP="00AE6197">
      <w:pPr>
        <w:ind w:left="3600" w:firstLine="720"/>
        <w:rPr>
          <w:szCs w:val="24"/>
        </w:rPr>
      </w:pPr>
      <w:r w:rsidRPr="00E72D63">
        <w:rPr>
          <w:rFonts w:eastAsia="PMingLiU"/>
          <w:szCs w:val="24"/>
        </w:rPr>
        <w:t>(will accept service via email)</w:t>
      </w:r>
      <w:r>
        <w:rPr>
          <w:szCs w:val="24"/>
        </w:rPr>
        <w:tab/>
      </w:r>
      <w:r>
        <w:rPr>
          <w:szCs w:val="24"/>
        </w:rPr>
        <w:tab/>
      </w:r>
    </w:p>
    <w:p w:rsidR="00AE6197">
      <w:pPr>
        <w:jc w:val="center"/>
        <w:rPr>
          <w:b/>
          <w:bCs/>
          <w:u w:val="single"/>
        </w:rPr>
        <w:sectPr>
          <w:headerReference w:type="even" r:id="rId8"/>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65"/>
        </w:sectPr>
      </w:pPr>
    </w:p>
    <w:p w:rsidR="00AE6197">
      <w:pPr>
        <w:jc w:val="center"/>
        <w:rPr>
          <w:b/>
          <w:bCs/>
          <w:u w:val="single"/>
        </w:rPr>
      </w:pPr>
      <w:r>
        <w:rPr>
          <w:b/>
          <w:bCs/>
          <w:u w:val="single"/>
        </w:rPr>
        <w:t>CERTIFICATE OF SERVICE</w:t>
      </w:r>
    </w:p>
    <w:p w:rsidR="000939E7">
      <w:pPr>
        <w:jc w:val="center"/>
        <w:rPr>
          <w:b/>
          <w:bCs/>
          <w:u w:val="single"/>
        </w:rPr>
      </w:pPr>
    </w:p>
    <w:p w:rsidR="00AE6197" w:rsidP="005447EE">
      <w:pPr>
        <w:spacing w:line="480" w:lineRule="atLeast"/>
        <w:ind w:firstLine="720"/>
      </w:pPr>
      <w:r>
        <w:t>I hereby certify that a copy of this Motion to Intervene was served on the person</w:t>
      </w:r>
      <w:r w:rsidR="00AB6F21">
        <w:t>s stated below via email, this 1st</w:t>
      </w:r>
      <w:r>
        <w:t xml:space="preserve"> day of </w:t>
      </w:r>
      <w:r w:rsidR="00AB6F21">
        <w:t>May</w:t>
      </w:r>
      <w:r>
        <w:t xml:space="preserve"> 201</w:t>
      </w:r>
      <w:r w:rsidR="00AB6F21">
        <w:t>7</w:t>
      </w:r>
      <w:r>
        <w:t>.</w:t>
      </w:r>
    </w:p>
    <w:p w:rsidR="00AE6197">
      <w:pPr>
        <w:spacing w:line="480" w:lineRule="atLeast"/>
      </w:pPr>
    </w:p>
    <w:p w:rsidR="00AE6197">
      <w:pPr>
        <w:autoSpaceDE w:val="0"/>
        <w:autoSpaceDN w:val="0"/>
        <w:adjustRightInd w:val="0"/>
        <w:ind w:left="4320"/>
        <w:rPr>
          <w:i/>
        </w:rPr>
      </w:pPr>
      <w:r>
        <w:rPr>
          <w:i/>
          <w:u w:val="single"/>
        </w:rPr>
        <w:t>/s/ Jodi Bair                           </w:t>
      </w:r>
    </w:p>
    <w:p w:rsidR="00AE6197">
      <w:pPr>
        <w:tabs>
          <w:tab w:val="left" w:pos="4320"/>
        </w:tabs>
      </w:pPr>
      <w:r>
        <w:tab/>
        <w:t>Jodi Bair</w:t>
      </w:r>
    </w:p>
    <w:p w:rsidR="00AE6197">
      <w:pPr>
        <w:tabs>
          <w:tab w:val="left" w:pos="4320"/>
        </w:tabs>
      </w:pPr>
      <w:r>
        <w:tab/>
        <w:t>Assistant Consumers’ Counsel</w:t>
      </w:r>
    </w:p>
    <w:p w:rsidR="00AE6197">
      <w:pPr>
        <w:pStyle w:val="CommentSubject"/>
      </w:pPr>
    </w:p>
    <w:p w:rsidR="00AE6197">
      <w:pPr>
        <w:pStyle w:val="CommentText"/>
      </w:pPr>
    </w:p>
    <w:p w:rsidR="00AE6197">
      <w:pPr>
        <w:pStyle w:val="CommentText"/>
        <w:jc w:val="center"/>
        <w:rPr>
          <w:b/>
          <w:u w:val="single"/>
        </w:rPr>
      </w:pPr>
      <w:r>
        <w:rPr>
          <w:b/>
          <w:u w:val="single"/>
        </w:rPr>
        <w:t>SERVICE LIST</w:t>
      </w:r>
    </w:p>
    <w:p w:rsidR="00AE6197">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6"/>
        <w:gridCol w:w="4234"/>
      </w:tblGrid>
      <w:tr w:rsidTr="005447E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hideMark/>
          </w:tcPr>
          <w:p w:rsidR="005447EE">
            <w:pPr>
              <w:pStyle w:val="BodyText"/>
              <w:rPr>
                <w:b/>
                <w:bCs/>
              </w:rPr>
            </w:pPr>
            <w:r>
              <w:rPr>
                <w:rStyle w:val="DefaultParagraphFont"/>
              </w:rPr>
              <w:t>William.wright@ohioattorneygeneral.gov</w:t>
            </w:r>
            <w:r>
              <w:rPr>
                <w:b/>
                <w:bCs/>
              </w:rPr>
              <w:t xml:space="preserve"> </w:t>
            </w:r>
          </w:p>
        </w:tc>
        <w:tc>
          <w:tcPr>
            <w:tcW w:w="4428" w:type="dxa"/>
            <w:hideMark/>
          </w:tcPr>
          <w:p w:rsidR="005447EE">
            <w:pPr>
              <w:pStyle w:val="BodyText"/>
              <w:rPr>
                <w:b/>
                <w:bCs/>
              </w:rPr>
            </w:pPr>
            <w:r>
              <w:rPr>
                <w:rStyle w:val="DefaultParagraphFont"/>
              </w:rPr>
              <w:t>sseiple@nisource.com</w:t>
            </w:r>
            <w:r>
              <w:rPr>
                <w:b/>
                <w:bCs/>
              </w:rPr>
              <w:t xml:space="preserve"> </w:t>
            </w:r>
          </w:p>
          <w:p w:rsidR="005447EE">
            <w:pPr>
              <w:pStyle w:val="BodyText"/>
              <w:rPr>
                <w:b/>
                <w:bCs/>
              </w:rPr>
            </w:pPr>
            <w:r>
              <w:rPr>
                <w:rStyle w:val="DefaultParagraphFont"/>
              </w:rPr>
              <w:t>josephclark@nisource.com</w:t>
            </w:r>
            <w:r>
              <w:rPr>
                <w:b/>
                <w:bCs/>
              </w:rPr>
              <w:t xml:space="preserve"> </w:t>
            </w:r>
          </w:p>
          <w:p w:rsidR="005447EE">
            <w:pPr>
              <w:pStyle w:val="BodyText"/>
              <w:rPr>
                <w:b/>
                <w:bCs/>
              </w:rPr>
            </w:pPr>
            <w:r>
              <w:rPr>
                <w:rStyle w:val="DefaultParagraphFont"/>
              </w:rPr>
              <w:t>joliker@igsenergy.com</w:t>
            </w:r>
            <w:r>
              <w:rPr>
                <w:b/>
                <w:bCs/>
              </w:rPr>
              <w:t xml:space="preserve"> </w:t>
            </w:r>
          </w:p>
        </w:tc>
      </w:tr>
    </w:tbl>
    <w:p w:rsidR="00AE6197">
      <w:pPr>
        <w:pStyle w:val="BodyText"/>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6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97" w:rsidRPr="00D8096E">
    <w:pPr>
      <w:pStyle w:val="Footer"/>
      <w:jc w:val="center"/>
      <w:rPr>
        <w:sz w:val="24"/>
        <w:szCs w:val="24"/>
      </w:rPr>
    </w:pPr>
    <w:r w:rsidRPr="00D8096E">
      <w:rPr>
        <w:rStyle w:val="PageNumber"/>
        <w:sz w:val="24"/>
        <w:szCs w:val="24"/>
      </w:rPr>
      <w:fldChar w:fldCharType="begin"/>
    </w:r>
    <w:r w:rsidRPr="00D8096E">
      <w:rPr>
        <w:rStyle w:val="PageNumber"/>
        <w:sz w:val="24"/>
        <w:szCs w:val="24"/>
      </w:rPr>
      <w:instrText xml:space="preserve"> PAGE </w:instrText>
    </w:r>
    <w:r w:rsidRPr="00D8096E">
      <w:rPr>
        <w:rStyle w:val="PageNumber"/>
        <w:sz w:val="24"/>
        <w:szCs w:val="24"/>
      </w:rPr>
      <w:fldChar w:fldCharType="separate"/>
    </w:r>
    <w:r>
      <w:rPr>
        <w:rStyle w:val="PageNumber"/>
        <w:noProof/>
        <w:sz w:val="24"/>
        <w:szCs w:val="24"/>
      </w:rPr>
      <w:t>2</w:t>
    </w:r>
    <w:r w:rsidRPr="00D8096E">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97" w:rsidRPr="00D8096E">
    <w:pPr>
      <w:pStyle w:val="Footer"/>
      <w:framePr w:wrap="around" w:vAnchor="text" w:hAnchor="margin" w:xAlign="center" w:y="1"/>
      <w:jc w:val="center"/>
      <w:rPr>
        <w:rStyle w:val="PageNumber"/>
        <w:sz w:val="24"/>
        <w:szCs w:val="24"/>
      </w:rPr>
    </w:pPr>
    <w:r w:rsidRPr="00D8096E">
      <w:rPr>
        <w:rStyle w:val="PageNumber"/>
        <w:sz w:val="24"/>
        <w:szCs w:val="24"/>
      </w:rPr>
      <w:fldChar w:fldCharType="begin"/>
    </w:r>
    <w:r w:rsidRPr="00D8096E">
      <w:rPr>
        <w:rStyle w:val="PageNumber"/>
        <w:sz w:val="24"/>
        <w:szCs w:val="24"/>
      </w:rPr>
      <w:instrText xml:space="preserve">PAGE  </w:instrText>
    </w:r>
    <w:r w:rsidRPr="00D8096E">
      <w:rPr>
        <w:rStyle w:val="PageNumber"/>
        <w:sz w:val="24"/>
        <w:szCs w:val="24"/>
      </w:rPr>
      <w:fldChar w:fldCharType="separate"/>
    </w:r>
    <w:r w:rsidRPr="00D8096E">
      <w:rPr>
        <w:rStyle w:val="PageNumber"/>
        <w:sz w:val="24"/>
        <w:szCs w:val="24"/>
      </w:rPr>
      <w:t>4</w:t>
    </w:r>
    <w:r w:rsidRPr="00D8096E">
      <w:rPr>
        <w:rStyle w:val="PageNumber"/>
        <w:sz w:val="24"/>
        <w:szCs w:val="24"/>
      </w:rPr>
      <w:fldChar w:fldCharType="end"/>
    </w:r>
  </w:p>
  <w:p w:rsidR="00AE6197" w:rsidRPr="00D8096E">
    <w:pPr>
      <w:pStyle w:val="Footer"/>
      <w:framePr w:wrap="around" w:vAnchor="text" w:hAnchor="margin" w:xAlign="center" w:y="1"/>
      <w:rPr>
        <w:rStyle w:val="PageNumber"/>
      </w:rPr>
    </w:pPr>
  </w:p>
  <w:p w:rsidR="00AE6197" w:rsidRPr="00D809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97" w:rsidRPr="00D80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1E32">
      <w:r>
        <w:separator/>
      </w:r>
    </w:p>
  </w:footnote>
  <w:footnote w:type="continuationSeparator" w:id="1">
    <w:p w:rsidR="008A1E32">
      <w:r>
        <w:continuationSeparator/>
      </w:r>
    </w:p>
  </w:footnote>
  <w:footnote w:id="2">
    <w:p w:rsidR="00AE6197" w:rsidRPr="00D861DE" w:rsidP="005447EE">
      <w:pPr>
        <w:pStyle w:val="FootnoteText"/>
        <w:spacing w:after="120"/>
      </w:pPr>
      <w:r>
        <w:rPr>
          <w:rStyle w:val="FootnoteReference"/>
        </w:rPr>
        <w:footnoteRef/>
      </w:r>
      <w:r>
        <w:t xml:space="preserve"> </w:t>
      </w:r>
      <w:r>
        <w:rPr>
          <w:i/>
        </w:rPr>
        <w:t xml:space="preserve">In the Matter of Columbia Gas of Ohio, Inc. for Approval to Establish an Infrastructure Development Rider, </w:t>
      </w:r>
      <w:r>
        <w:t xml:space="preserve">Case No. 16-2067-GA-ATA, Application (Oct. 21, 2016). </w:t>
      </w:r>
    </w:p>
  </w:footnote>
  <w:footnote w:id="3">
    <w:p w:rsidR="00DC69E0" w:rsidRPr="00DC69E0" w:rsidP="005447EE">
      <w:pPr>
        <w:pStyle w:val="FootnoteText"/>
        <w:spacing w:after="120"/>
      </w:pPr>
      <w:r>
        <w:rPr>
          <w:rStyle w:val="FootnoteReference"/>
        </w:rPr>
        <w:footnoteRef/>
      </w:r>
      <w:r>
        <w:t xml:space="preserve"> </w:t>
      </w:r>
      <w:r>
        <w:rPr>
          <w:i/>
        </w:rPr>
        <w:t>In the Matter of the Annual Report of Columbia Gas of Ohio, Inc. for Approval of an Adjustment to its Infrastructure Development Rider Rate</w:t>
      </w:r>
      <w:r>
        <w:t xml:space="preserve">, Case No. 17-521-GA-IDR, Annual Report (March 15, 2017). </w:t>
      </w:r>
    </w:p>
  </w:footnote>
  <w:footnote w:id="4">
    <w:p w:rsidR="00DC69E0" w:rsidRPr="00DC69E0" w:rsidP="005447EE">
      <w:pPr>
        <w:pStyle w:val="FootnoteText"/>
        <w:spacing w:after="120"/>
      </w:pPr>
      <w:r>
        <w:rPr>
          <w:rStyle w:val="FootnoteReference"/>
        </w:rPr>
        <w:footnoteRef/>
      </w:r>
      <w:r>
        <w:t xml:space="preserve"> </w:t>
      </w:r>
      <w:r w:rsidR="00E042E7">
        <w:rPr>
          <w:i/>
        </w:rPr>
        <w:t>Id.</w:t>
      </w:r>
      <w:r>
        <w:t xml:space="preserve">at 1. </w:t>
      </w:r>
    </w:p>
  </w:footnote>
  <w:footnote w:id="5">
    <w:p w:rsidR="00AE6197" w:rsidP="005447EE">
      <w:pPr>
        <w:pStyle w:val="FootnoteText"/>
        <w:spacing w:after="120"/>
      </w:pPr>
      <w:r>
        <w:rPr>
          <w:rStyle w:val="FootnoteReference"/>
        </w:rPr>
        <w:footnoteRef/>
      </w:r>
      <w:r>
        <w:t xml:space="preserve"> R.C. 4929.02(A)(1).</w:t>
      </w:r>
    </w:p>
  </w:footnote>
  <w:footnote w:id="6">
    <w:p w:rsidR="00AE6197" w:rsidP="005447EE">
      <w:pPr>
        <w:pStyle w:val="FootnoteText"/>
        <w:spacing w:after="120"/>
      </w:pPr>
      <w:r>
        <w:rPr>
          <w:rStyle w:val="FootnoteReference"/>
        </w:rPr>
        <w:footnoteRef/>
      </w:r>
      <w:r>
        <w:rPr>
          <w:i/>
        </w:rPr>
        <w:t xml:space="preserve"> </w:t>
      </w:r>
      <w:r w:rsidRPr="00A63BEC">
        <w:rPr>
          <w:i/>
        </w:rPr>
        <w:t>See</w:t>
      </w:r>
      <w:r>
        <w:rPr>
          <w:i/>
        </w:rPr>
        <w:t xml:space="preserv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 13-20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9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6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A1713F0"/>
    <w:multiLevelType w:val="hybridMultilevel"/>
    <w:tmpl w:val="017A164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CommentTextChar">
    <w:name w:val="Comment Text Char"/>
    <w:link w:val="CommentText"/>
    <w:semiHidden/>
    <w:rsid w:val="00E47C0C"/>
    <w:rPr>
      <w:sz w:val="24"/>
      <w:szCs w:val="24"/>
    </w:rPr>
  </w:style>
  <w:style w:type="character" w:customStyle="1" w:styleId="HTMLPreformattedChar">
    <w:name w:val="HTML Preformatted Char"/>
    <w:link w:val="HTMLPreformatted"/>
    <w:rsid w:val="00391F38"/>
    <w:rPr>
      <w:rFonts w:ascii="Courier New" w:eastAsia="Courier New" w:hAnsi="Courier New" w:cs="Courier New"/>
    </w:rPr>
  </w:style>
  <w:style w:type="character" w:customStyle="1" w:styleId="BodyTextChar">
    <w:name w:val="Body Text Char"/>
    <w:basedOn w:val="DefaultParagraphFont"/>
    <w:link w:val="BodyText"/>
    <w:rsid w:val="005447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17-521-GA-IDR Motion to Intervene.DOCX</vt:lpstr>
    </vt:vector>
  </TitlesOfParts>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2017-05-01T19:15:37Z</dcterms:created>
  <dcterms:modified xsi:type="dcterms:W3CDTF">2017-05-01T19:15:37Z</dcterms:modified>
</cp:coreProperties>
</file>