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25">
        <w:rPr>
          <w:spacing w:val="-3"/>
          <w:sz w:val="24"/>
          <w:szCs w:val="24"/>
        </w:rPr>
        <w:t>August 27</w:t>
      </w:r>
      <w:r w:rsidR="00986161">
        <w:rPr>
          <w:spacing w:val="-3"/>
          <w:sz w:val="24"/>
          <w:szCs w:val="24"/>
        </w:rPr>
        <w:t>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F92E43" w:rsidP="003A1025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 w:rsidR="00E604DD">
              <w:rPr>
                <w:spacing w:val="-3"/>
                <w:sz w:val="24"/>
                <w:szCs w:val="24"/>
              </w:rPr>
              <w:t xml:space="preserve"> and </w:t>
            </w:r>
            <w:r w:rsidR="00DD2575">
              <w:rPr>
                <w:spacing w:val="-3"/>
                <w:sz w:val="24"/>
                <w:szCs w:val="24"/>
              </w:rPr>
              <w:t>T</w:t>
            </w:r>
            <w:r w:rsidR="003A1025">
              <w:rPr>
                <w:spacing w:val="-3"/>
                <w:sz w:val="24"/>
                <w:szCs w:val="24"/>
              </w:rPr>
              <w:t>hirteenth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DB14E3" w:rsidP="003A1025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 xml:space="preserve">One Hundred and </w:t>
            </w:r>
            <w:r w:rsidR="00486E0A">
              <w:rPr>
                <w:spacing w:val="-3"/>
                <w:sz w:val="24"/>
                <w:szCs w:val="24"/>
              </w:rPr>
              <w:t>Fifty-</w:t>
            </w:r>
            <w:r w:rsidR="003A1025">
              <w:rPr>
                <w:spacing w:val="-3"/>
                <w:sz w:val="24"/>
                <w:szCs w:val="24"/>
              </w:rPr>
              <w:t>Seventh</w:t>
            </w:r>
            <w:r w:rsidR="00986161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1b</w:t>
            </w:r>
            <w:bookmarkStart w:id="0" w:name="_GoBack"/>
            <w:bookmarkEnd w:id="0"/>
          </w:p>
        </w:tc>
        <w:tc>
          <w:tcPr>
            <w:tcW w:w="810" w:type="dxa"/>
            <w:vMerge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486E0A" w:rsidP="003A102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Sixt</w:t>
            </w:r>
            <w:r w:rsidR="00DD2575">
              <w:rPr>
                <w:spacing w:val="-3"/>
                <w:sz w:val="24"/>
                <w:szCs w:val="24"/>
              </w:rPr>
              <w:t>y-</w:t>
            </w:r>
            <w:r w:rsidR="003A1025">
              <w:rPr>
                <w:spacing w:val="-3"/>
                <w:sz w:val="24"/>
                <w:szCs w:val="24"/>
              </w:rPr>
              <w:t>Second</w:t>
            </w:r>
            <w:r w:rsidR="00F92E43"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603DCF" w:rsidRPr="00882E1C" w:rsidTr="00F92E43">
        <w:tc>
          <w:tcPr>
            <w:tcW w:w="979" w:type="dxa"/>
          </w:tcPr>
          <w:p w:rsidR="00603DCF" w:rsidRDefault="00603DCF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603DCF" w:rsidRDefault="00486E0A" w:rsidP="00DD257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</w:t>
            </w:r>
            <w:r w:rsidR="003A1025">
              <w:rPr>
                <w:spacing w:val="-3"/>
                <w:sz w:val="24"/>
                <w:szCs w:val="24"/>
              </w:rPr>
              <w:t>y-Second</w:t>
            </w:r>
            <w:r w:rsidR="00603DCF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  <w:tcBorders>
              <w:left w:val="nil"/>
            </w:tcBorders>
          </w:tcPr>
          <w:p w:rsidR="00603DCF" w:rsidRDefault="00603DCF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603DCF" w:rsidRDefault="00603DCF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025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6E0F"/>
    <w:rsid w:val="00663A78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2575"/>
    <w:rsid w:val="00DD5603"/>
    <w:rsid w:val="00DD7BD2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2</cp:revision>
  <cp:lastPrinted>2014-03-27T18:43:00Z</cp:lastPrinted>
  <dcterms:created xsi:type="dcterms:W3CDTF">2014-08-27T13:23:00Z</dcterms:created>
  <dcterms:modified xsi:type="dcterms:W3CDTF">2014-08-27T13:23:00Z</dcterms:modified>
</cp:coreProperties>
</file>