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14C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14C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14CD5" w:rsidRPr="00376A99" w:rsidP="00537C49">
            <w:pPr>
              <w:autoSpaceDE w:val="0"/>
              <w:autoSpaceDN w:val="0"/>
              <w:adjustRightInd w:val="0"/>
              <w:rPr>
                <w:rStyle w:val="DefaultParagraphFont"/>
                <w:sz w:val="24"/>
                <w:szCs w:val="24"/>
                <w:lang w:val="en-US" w:eastAsia="en-US" w:bidi="ar-SA"/>
              </w:rPr>
            </w:pPr>
            <w:r>
              <w:rPr>
                <w:sz w:val="24"/>
                <w:szCs w:val="24"/>
                <w:lang w:val="en-US" w:eastAsia="en-US" w:bidi="ar-SA"/>
              </w:rPr>
              <w:t xml:space="preserve">In The Matter of the </w:t>
            </w:r>
            <w:r w:rsidR="00C84435">
              <w:rPr>
                <w:sz w:val="24"/>
                <w:szCs w:val="24"/>
                <w:lang w:val="en-US" w:eastAsia="en-US" w:bidi="ar-SA"/>
              </w:rPr>
              <w:t xml:space="preserve">Application of </w:t>
            </w:r>
            <w:r w:rsidR="00537C49">
              <w:rPr>
                <w:sz w:val="24"/>
                <w:szCs w:val="24"/>
                <w:lang w:val="en-US" w:eastAsia="en-US" w:bidi="ar-SA"/>
              </w:rPr>
              <w:t>the Energy Efficiency and Peak Demand Reduction Program Portfolio Status Report by the Ohio Edison Company, The Cleveland Electric Illuminating Company and The Toledo Edison Company</w:t>
            </w:r>
            <w:r w:rsidR="00DC1873">
              <w:rPr>
                <w:sz w:val="24"/>
                <w:szCs w:val="24"/>
                <w:lang w:val="en-US" w:eastAsia="en-US" w:bidi="ar-SA"/>
              </w:rPr>
              <w:t>.</w:t>
            </w:r>
          </w:p>
        </w:tc>
        <w:tc>
          <w:tcPr>
            <w:tcW w:w="36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614CD5"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2686E"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82686E"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DC1873"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DC1873" w:rsidRPr="00376A99" w:rsidP="00614C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614C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C1873" w:rsidP="00537C4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 xml:space="preserve">Case No. </w:t>
            </w:r>
            <w:r w:rsidR="00537C49">
              <w:rPr>
                <w:rFonts w:ascii="Times New Roman" w:eastAsia="Courier New" w:hAnsi="Times New Roman" w:cs="Courier New"/>
                <w:sz w:val="24"/>
                <w:szCs w:val="24"/>
                <w:lang w:val="en-US" w:eastAsia="en-US" w:bidi="ar-SA"/>
              </w:rPr>
              <w:t>18-</w:t>
            </w:r>
            <w:r>
              <w:rPr>
                <w:rFonts w:ascii="Times New Roman" w:eastAsia="Courier New" w:hAnsi="Times New Roman" w:cs="Courier New"/>
                <w:sz w:val="24"/>
                <w:szCs w:val="24"/>
                <w:lang w:val="en-US" w:eastAsia="en-US" w:bidi="ar-SA"/>
              </w:rPr>
              <w:t>0</w:t>
            </w:r>
            <w:r w:rsidR="00537C49">
              <w:rPr>
                <w:rFonts w:ascii="Times New Roman" w:eastAsia="Courier New" w:hAnsi="Times New Roman" w:cs="Courier New"/>
                <w:sz w:val="24"/>
                <w:szCs w:val="24"/>
                <w:lang w:val="en-US" w:eastAsia="en-US" w:bidi="ar-SA"/>
              </w:rPr>
              <w:t xml:space="preserve">841-EL-EEC </w:t>
            </w:r>
          </w:p>
          <w:p w:rsidR="00DC1873" w:rsidP="00537C4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                </w:t>
            </w:r>
            <w:r w:rsidR="00537C49">
              <w:rPr>
                <w:rFonts w:ascii="Times New Roman" w:eastAsia="Courier New" w:hAnsi="Times New Roman" w:cs="Courier New"/>
                <w:sz w:val="24"/>
                <w:szCs w:val="24"/>
                <w:lang w:val="en-US" w:eastAsia="en-US" w:bidi="ar-SA"/>
              </w:rPr>
              <w:t xml:space="preserve">18-0842-EL-EEC </w:t>
            </w:r>
          </w:p>
          <w:p w:rsidR="00614CD5" w:rsidRPr="00376A99" w:rsidP="00537C4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                </w:t>
            </w:r>
            <w:r w:rsidR="00537C49">
              <w:rPr>
                <w:rFonts w:ascii="Times New Roman" w:eastAsia="Courier New" w:hAnsi="Times New Roman" w:cs="Courier New"/>
                <w:sz w:val="24"/>
                <w:szCs w:val="24"/>
                <w:lang w:val="en-US" w:eastAsia="en-US" w:bidi="ar-SA"/>
              </w:rPr>
              <w:t>18-0843-EL-EEC</w:t>
            </w:r>
          </w:p>
        </w:tc>
      </w:tr>
    </w:tbl>
    <w:p w:rsidR="00614CD5">
      <w:pPr>
        <w:pStyle w:val="HTMLPreformatted"/>
        <w:rPr>
          <w:rFonts w:ascii="Times New Roman" w:hAnsi="Times New Roman"/>
          <w:sz w:val="24"/>
        </w:rPr>
      </w:pPr>
    </w:p>
    <w:p w:rsidR="00614CD5">
      <w:pPr>
        <w:pStyle w:val="HTMLPreformatted"/>
        <w:pBdr>
          <w:top w:val="single" w:sz="12" w:space="1" w:color="auto"/>
        </w:pBdr>
        <w:rPr>
          <w:rFonts w:ascii="Times New Roman" w:hAnsi="Times New Roman"/>
          <w:sz w:val="24"/>
        </w:rPr>
      </w:pPr>
    </w:p>
    <w:p w:rsidR="00614CD5">
      <w:pPr>
        <w:jc w:val="center"/>
        <w:rPr>
          <w:b/>
          <w:bCs/>
        </w:rPr>
      </w:pPr>
      <w:r>
        <w:rPr>
          <w:b/>
          <w:bCs/>
        </w:rPr>
        <w:t>COMMENTS</w:t>
      </w:r>
    </w:p>
    <w:p w:rsidR="00614CD5">
      <w:pPr>
        <w:jc w:val="center"/>
        <w:rPr>
          <w:b/>
          <w:bCs/>
        </w:rPr>
      </w:pPr>
      <w:r>
        <w:rPr>
          <w:b/>
          <w:bCs/>
        </w:rPr>
        <w:t>BY</w:t>
      </w:r>
    </w:p>
    <w:p w:rsidR="00614CD5">
      <w:pPr>
        <w:jc w:val="center"/>
        <w:rPr>
          <w:b/>
          <w:bCs/>
        </w:rPr>
      </w:pPr>
      <w:r>
        <w:rPr>
          <w:b/>
          <w:bCs/>
        </w:rPr>
        <w:t>THE OFFICE OF THE OHIO CONSUMERS' COUNSEL</w:t>
      </w:r>
    </w:p>
    <w:p w:rsidR="00614CD5">
      <w:pPr>
        <w:pBdr>
          <w:bottom w:val="single" w:sz="12" w:space="1" w:color="auto"/>
        </w:pBdr>
        <w:tabs>
          <w:tab w:val="left" w:pos="4320"/>
        </w:tabs>
      </w:pPr>
    </w:p>
    <w:p w:rsidR="00614CD5">
      <w:pPr>
        <w:tabs>
          <w:tab w:val="left" w:pos="4320"/>
        </w:tabs>
      </w:pPr>
    </w:p>
    <w:p w:rsidR="0046295C" w:rsidP="00DC1873">
      <w:pPr>
        <w:pStyle w:val="BodyTextIndent3"/>
        <w:widowControl w:val="0"/>
        <w:spacing w:line="480" w:lineRule="auto"/>
      </w:pPr>
      <w:r>
        <w:t>In this case, FirstEnergy</w:t>
      </w:r>
      <w:r>
        <w:rPr>
          <w:rStyle w:val="FootnoteReference"/>
        </w:rPr>
        <w:footnoteReference w:id="2"/>
      </w:r>
      <w:r>
        <w:t xml:space="preserve"> filed its annual status report, providing the Public Utilities Commission of Ohio (“PUCO”) and parties an update on (i) the amount it will charge customers for 2017 energy efficiency programs, plus utility profits (shared savings) and (ii) the amount of energy that customers saved from those programs, among other things.</w:t>
      </w:r>
    </w:p>
    <w:p w:rsidR="00080CEE" w:rsidP="00DC1873">
      <w:pPr>
        <w:pStyle w:val="BodyTextIndent3"/>
        <w:widowControl w:val="0"/>
        <w:spacing w:line="480" w:lineRule="auto"/>
      </w:pPr>
      <w:r>
        <w:t xml:space="preserve">In </w:t>
      </w:r>
      <w:r w:rsidR="00537C49">
        <w:t xml:space="preserve">FirstEnergy’s </w:t>
      </w:r>
      <w:r>
        <w:t>recent energy efficiency portfolio case,</w:t>
      </w:r>
      <w:r>
        <w:rPr>
          <w:rStyle w:val="FootnoteReference"/>
        </w:rPr>
        <w:footnoteReference w:id="3"/>
      </w:r>
      <w:r>
        <w:t xml:space="preserve"> </w:t>
      </w:r>
      <w:r>
        <w:t>the Staff of the Public Utilities Commission of Ohio (“PUCO Staff”) and the Office of the Ohio Consumers’ Counsel (“OCC”) asked the PUCO to</w:t>
      </w:r>
      <w:r w:rsidR="00CC7BAF">
        <w:t xml:space="preserve"> protect consumers by</w:t>
      </w:r>
      <w:r>
        <w:t xml:space="preserve"> limit</w:t>
      </w:r>
      <w:r w:rsidR="00CC7BAF">
        <w:t>ing</w:t>
      </w:r>
      <w:r>
        <w:t xml:space="preserve"> the amount that the utility could charge customers for energy efficiency program costs and utility profits.</w:t>
      </w:r>
      <w:r>
        <w:rPr>
          <w:rStyle w:val="FootnoteReference"/>
        </w:rPr>
        <w:footnoteReference w:id="4"/>
      </w:r>
      <w:r>
        <w:t xml:space="preserve"> The</w:t>
      </w:r>
      <w:r w:rsidR="00CC7BAF">
        <w:t xml:space="preserve"> Staff and OCC</w:t>
      </w:r>
      <w:r>
        <w:t xml:space="preserve"> recommended </w:t>
      </w:r>
      <w:r w:rsidR="004206AE">
        <w:t xml:space="preserve">limiting what consumers could be charged by </w:t>
      </w:r>
      <w:r w:rsidR="004206AE">
        <w:t>establishing a</w:t>
      </w:r>
      <w:r>
        <w:t xml:space="preserve"> “cost cap” of $80.1 million per year.</w:t>
      </w:r>
      <w:r>
        <w:rPr>
          <w:rStyle w:val="FootnoteReference"/>
        </w:rPr>
        <w:footnoteReference w:id="5"/>
      </w:r>
      <w:r>
        <w:t xml:space="preserve"> FirstEnergy opposed this recommendation. Among other things, it claimed that this $80.1 million limit was unfair to </w:t>
      </w:r>
      <w:r w:rsidR="00511BFB">
        <w:t>it</w:t>
      </w:r>
      <w:r>
        <w:t xml:space="preserve"> because it would not allow </w:t>
      </w:r>
      <w:r w:rsidR="00511BFB">
        <w:t>it</w:t>
      </w:r>
      <w:r>
        <w:t xml:space="preserve"> to (i) meet its energy efficiency mandates or (ii) maximize the amount of profits (shared savings) that it charged customers.</w:t>
      </w:r>
      <w:r>
        <w:rPr>
          <w:rStyle w:val="FootnoteReference"/>
        </w:rPr>
        <w:footnoteReference w:id="6"/>
      </w:r>
      <w:r w:rsidR="00CA47E9">
        <w:t xml:space="preserve"> The PUCO ultimately approved a $107 million cost cap</w:t>
      </w:r>
      <w:r w:rsidRPr="004206AE" w:rsidR="004206AE">
        <w:t xml:space="preserve"> </w:t>
      </w:r>
      <w:r w:rsidR="004206AE">
        <w:t>instead of an $80.1 million cost cap</w:t>
      </w:r>
      <w:r w:rsidR="00CA47E9">
        <w:t>.</w:t>
      </w:r>
      <w:r>
        <w:rPr>
          <w:rStyle w:val="FootnoteReference"/>
        </w:rPr>
        <w:footnoteReference w:id="7"/>
      </w:r>
      <w:r w:rsidR="00CA47E9">
        <w:t xml:space="preserve"> FirstEnergy challenged this ruling</w:t>
      </w:r>
      <w:r w:rsidR="004A015D">
        <w:t>, too</w:t>
      </w:r>
      <w:r w:rsidR="00CA47E9">
        <w:t>, first applying for rehearing, and then appealing to the Supreme Court of Ohio.</w:t>
      </w:r>
      <w:r>
        <w:rPr>
          <w:rStyle w:val="FootnoteReference"/>
        </w:rPr>
        <w:footnoteReference w:id="8"/>
      </w:r>
    </w:p>
    <w:p w:rsidR="00CA47E9" w:rsidP="00B55F8C">
      <w:pPr>
        <w:pStyle w:val="BodyTextIndent3"/>
        <w:widowControl w:val="0"/>
        <w:spacing w:line="480" w:lineRule="auto"/>
        <w:ind w:right="-312"/>
      </w:pPr>
      <w:r>
        <w:t xml:space="preserve">But </w:t>
      </w:r>
      <w:r w:rsidR="00CA4296">
        <w:t>the</w:t>
      </w:r>
      <w:r>
        <w:t xml:space="preserve"> numbers </w:t>
      </w:r>
      <w:r w:rsidR="0046295C">
        <w:t xml:space="preserve">provided in FirstEnergy’s status report </w:t>
      </w:r>
      <w:r w:rsidR="004206AE">
        <w:t>tell a different story than FirstEnergy’s earlier claims</w:t>
      </w:r>
      <w:r>
        <w:t>:</w:t>
      </w:r>
    </w:p>
    <w:p w:rsidR="00080CEE" w:rsidP="00DC1873">
      <w:pPr>
        <w:pStyle w:val="BodyTextIndent3"/>
        <w:widowControl w:val="0"/>
        <w:numPr>
          <w:ilvl w:val="0"/>
          <w:numId w:val="7"/>
        </w:numPr>
        <w:spacing w:after="240" w:line="240" w:lineRule="auto"/>
        <w:ind w:right="720" w:hanging="720"/>
      </w:pPr>
      <w:r>
        <w:t>In 2017, FirstEnergy spent $57 million on energy efficiency programs</w:t>
      </w:r>
      <w:r w:rsidR="00CA4296">
        <w:t>.</w:t>
      </w:r>
      <w:r>
        <w:rPr>
          <w:rStyle w:val="FootnoteReference"/>
        </w:rPr>
        <w:footnoteReference w:id="9"/>
      </w:r>
      <w:r w:rsidR="00CA4296">
        <w:t xml:space="preserve"> This is $23 million less than the PUCO Staff’s and OCC’s recommende</w:t>
      </w:r>
      <w:r w:rsidR="004A015D">
        <w:t xml:space="preserve">d $80.1 million cost cap, and </w:t>
      </w:r>
      <w:r w:rsidR="00CA4296">
        <w:t>$50 million less than the $107 million cost cap</w:t>
      </w:r>
      <w:r w:rsidR="004206AE">
        <w:t xml:space="preserve"> that the PUCO established</w:t>
      </w:r>
      <w:r w:rsidR="00CA4296">
        <w:t>.</w:t>
      </w:r>
    </w:p>
    <w:p w:rsidR="00CA4296" w:rsidP="00DC1873">
      <w:pPr>
        <w:pStyle w:val="BodyTextIndent3"/>
        <w:widowControl w:val="0"/>
        <w:numPr>
          <w:ilvl w:val="0"/>
          <w:numId w:val="7"/>
        </w:numPr>
        <w:spacing w:after="240" w:line="240" w:lineRule="auto"/>
        <w:ind w:right="720" w:hanging="720"/>
      </w:pPr>
      <w:r>
        <w:t xml:space="preserve">In 2017, each of the FirstEnergy </w:t>
      </w:r>
      <w:r w:rsidR="004206AE">
        <w:t xml:space="preserve">utilities </w:t>
      </w:r>
      <w:r>
        <w:t>met its statutory energy efficiency and peak demand reduction mandates</w:t>
      </w:r>
      <w:r w:rsidR="004206AE">
        <w:t xml:space="preserve"> under Ohio law</w:t>
      </w:r>
      <w:r>
        <w:t>.</w:t>
      </w:r>
      <w:r>
        <w:rPr>
          <w:rStyle w:val="FootnoteReference"/>
        </w:rPr>
        <w:footnoteReference w:id="10"/>
      </w:r>
    </w:p>
    <w:p w:rsidR="00CA47E9" w:rsidP="00DC1873">
      <w:pPr>
        <w:pStyle w:val="BodyTextIndent3"/>
        <w:widowControl w:val="0"/>
        <w:numPr>
          <w:ilvl w:val="0"/>
          <w:numId w:val="7"/>
        </w:numPr>
        <w:spacing w:after="240" w:line="240" w:lineRule="auto"/>
        <w:ind w:right="720" w:hanging="720"/>
      </w:pPr>
      <w:r>
        <w:t>In 2017, FirstEnergy achieved the maximum amount of utility profits</w:t>
      </w:r>
      <w:r w:rsidR="004206AE">
        <w:t xml:space="preserve"> to charge customers</w:t>
      </w:r>
      <w:r>
        <w:t>, $15.6 million.</w:t>
      </w:r>
    </w:p>
    <w:p w:rsidR="00307416" w:rsidP="00DC1873">
      <w:pPr>
        <w:pStyle w:val="BodyTextIndent3"/>
        <w:widowControl w:val="0"/>
        <w:spacing w:line="480" w:lineRule="auto"/>
      </w:pPr>
      <w:r>
        <w:t>FirstEnergy complained that it could not meet its mandates while spending</w:t>
      </w:r>
      <w:r w:rsidR="004206AE">
        <w:t xml:space="preserve"> (and charging consumers)</w:t>
      </w:r>
      <w:r>
        <w:t xml:space="preserve"> less than $80.1 million per year on energy efficiency programs. Th</w:t>
      </w:r>
      <w:r w:rsidR="004206AE">
        <w:t>at claim</w:t>
      </w:r>
      <w:r>
        <w:t xml:space="preserve"> was </w:t>
      </w:r>
      <w:r w:rsidR="00177D00">
        <w:t>unfounded</w:t>
      </w:r>
      <w:r>
        <w:t>. FirstEnergy met its mandates spending just $57 million.</w:t>
      </w:r>
      <w:r w:rsidR="004A015D">
        <w:t xml:space="preserve"> In </w:t>
      </w:r>
    </w:p>
    <w:p w:rsidR="00307416">
      <w:r>
        <w:br w:type="page"/>
      </w:r>
    </w:p>
    <w:p w:rsidR="00CA4296" w:rsidRPr="009A1D83" w:rsidP="00307416">
      <w:pPr>
        <w:pStyle w:val="BodyTextIndent3"/>
        <w:widowControl w:val="0"/>
        <w:spacing w:line="480" w:lineRule="auto"/>
        <w:ind w:firstLine="0"/>
      </w:pPr>
      <w:r>
        <w:t xml:space="preserve">fact, the FirstEnergy companies not only met </w:t>
      </w:r>
      <w:r w:rsidR="009A1D83">
        <w:t>their</w:t>
      </w:r>
      <w:r>
        <w:t xml:space="preserve"> mandate</w:t>
      </w:r>
      <w:r w:rsidR="009A1D83">
        <w:t>s</w:t>
      </w:r>
      <w:r>
        <w:t>, but</w:t>
      </w:r>
      <w:r w:rsidR="009A1D83">
        <w:t xml:space="preserve"> </w:t>
      </w:r>
      <w:r w:rsidR="004206AE">
        <w:t xml:space="preserve">they </w:t>
      </w:r>
      <w:r w:rsidR="009A1D83">
        <w:t xml:space="preserve">met </w:t>
      </w:r>
      <w:r w:rsidR="009A1D83">
        <w:rPr>
          <w:i/>
        </w:rPr>
        <w:t>double</w:t>
      </w:r>
      <w:r w:rsidR="009A1D83">
        <w:t xml:space="preserve"> their energy efficiency mandates</w:t>
      </w:r>
      <w:r>
        <w:rPr>
          <w:rStyle w:val="FootnoteReference"/>
        </w:rPr>
        <w:footnoteReference w:id="11"/>
      </w:r>
      <w:r w:rsidR="009A1D83">
        <w:t xml:space="preserve"> and </w:t>
      </w:r>
      <w:r w:rsidR="009A1D83">
        <w:rPr>
          <w:i/>
        </w:rPr>
        <w:t>triple</w:t>
      </w:r>
      <w:r w:rsidR="009A1D83">
        <w:t xml:space="preserve"> their peak demand reduction mandates.</w:t>
      </w:r>
      <w:r>
        <w:rPr>
          <w:rStyle w:val="FootnoteReference"/>
        </w:rPr>
        <w:footnoteReference w:id="12"/>
      </w:r>
    </w:p>
    <w:p w:rsidR="00CA4296" w:rsidP="00DC1873">
      <w:pPr>
        <w:pStyle w:val="BodyTextIndent3"/>
        <w:widowControl w:val="0"/>
        <w:spacing w:line="480" w:lineRule="auto"/>
      </w:pPr>
      <w:r>
        <w:t xml:space="preserve">FirstEnergy complained that it could not </w:t>
      </w:r>
      <w:r w:rsidR="004206AE">
        <w:t xml:space="preserve">sufficiently </w:t>
      </w:r>
      <w:r>
        <w:t xml:space="preserve">profit from energy efficiency under an $80.1 million cost cap. This was </w:t>
      </w:r>
      <w:r w:rsidR="009A1D83">
        <w:t xml:space="preserve">also </w:t>
      </w:r>
      <w:r w:rsidR="00177D00">
        <w:t>unfounded</w:t>
      </w:r>
      <w:r>
        <w:t xml:space="preserve">. FirstEnergy not only profited, it achieved the maximum </w:t>
      </w:r>
      <w:r w:rsidR="00C3647F">
        <w:t>available</w:t>
      </w:r>
      <w:r w:rsidR="004A015D">
        <w:t xml:space="preserve"> </w:t>
      </w:r>
      <w:r w:rsidR="00726401">
        <w:t>profits (</w:t>
      </w:r>
      <w:r w:rsidR="004A015D">
        <w:t>shared savings</w:t>
      </w:r>
      <w:r w:rsidR="00C3647F">
        <w:t>)</w:t>
      </w:r>
      <w:r w:rsidR="004206AE">
        <w:t xml:space="preserve"> to charge customers</w:t>
      </w:r>
      <w:r w:rsidR="004A015D">
        <w:t xml:space="preserve"> for 2017.</w:t>
      </w:r>
    </w:p>
    <w:p w:rsidR="00CA47E9" w:rsidP="00DC1873">
      <w:pPr>
        <w:pStyle w:val="BodyTextIndent3"/>
        <w:widowControl w:val="0"/>
        <w:spacing w:line="480" w:lineRule="auto"/>
      </w:pPr>
      <w:r>
        <w:t>T</w:t>
      </w:r>
      <w:r w:rsidR="00D43268">
        <w:t>h</w:t>
      </w:r>
      <w:r>
        <w:t>e FirstEnergy report</w:t>
      </w:r>
      <w:r w:rsidR="00D43268">
        <w:t xml:space="preserve"> shows</w:t>
      </w:r>
      <w:r>
        <w:t xml:space="preserve"> that</w:t>
      </w:r>
      <w:r w:rsidR="00D43268">
        <w:t xml:space="preserve"> the</w:t>
      </w:r>
      <w:r>
        <w:t xml:space="preserve"> PUCO’s</w:t>
      </w:r>
      <w:r w:rsidR="00D43268">
        <w:t xml:space="preserve"> $107 million</w:t>
      </w:r>
      <w:r>
        <w:t xml:space="preserve"> limit on charges to consumers</w:t>
      </w:r>
      <w:r w:rsidR="00FB3BEB">
        <w:t xml:space="preserve"> </w:t>
      </w:r>
      <w:r>
        <w:t>is</w:t>
      </w:r>
      <w:r w:rsidR="00D321A9">
        <w:t>, if anything,</w:t>
      </w:r>
      <w:r w:rsidR="00FB3BEB">
        <w:t xml:space="preserve"> unduly generous to FirstEnergy</w:t>
      </w:r>
      <w:r>
        <w:t xml:space="preserve">. </w:t>
      </w:r>
      <w:r w:rsidR="00D321A9">
        <w:t xml:space="preserve">(That limit resulted in part from FirstEnergy’s advocacy and from rejecting the PUCO Staff and OCC’s recommendations for a lower limit.) </w:t>
      </w:r>
      <w:r>
        <w:t>The limit certainly</w:t>
      </w:r>
      <w:r w:rsidR="00D43268">
        <w:t xml:space="preserve"> is not inhibiting FirstEnergy from providing robust energy efficiency programs to consumers</w:t>
      </w:r>
      <w:r>
        <w:t xml:space="preserve">. And the </w:t>
      </w:r>
      <w:r w:rsidR="00D43268">
        <w:t>energy savings and peak demand reductions</w:t>
      </w:r>
      <w:r w:rsidRPr="004206AE">
        <w:t xml:space="preserve"> </w:t>
      </w:r>
      <w:r>
        <w:t>that resulted from lower spending have a</w:t>
      </w:r>
      <w:r w:rsidR="00447FE1">
        <w:t>c</w:t>
      </w:r>
      <w:r>
        <w:t>hieved significantly more than the statutory benchmark</w:t>
      </w:r>
      <w:r w:rsidR="00FB3BEB">
        <w:t xml:space="preserve">. Finally, the $107 million limit has not prevented </w:t>
      </w:r>
      <w:r w:rsidR="0046295C">
        <w:t>FirstEnergy from charging customers for</w:t>
      </w:r>
      <w:r w:rsidR="00FB3BEB">
        <w:t xml:space="preserve"> </w:t>
      </w:r>
      <w:r w:rsidR="00C3647F">
        <w:t xml:space="preserve">significant profits </w:t>
      </w:r>
      <w:r w:rsidR="0046295C">
        <w:t>from energy efficiency</w:t>
      </w:r>
      <w:r w:rsidR="00D43268">
        <w:t>.</w:t>
      </w:r>
    </w:p>
    <w:p w:rsidR="00307416" w:rsidP="00F575E1">
      <w:pPr>
        <w:pStyle w:val="BodyTextIndent3"/>
        <w:widowControl w:val="0"/>
        <w:spacing w:line="480" w:lineRule="auto"/>
        <w:ind w:right="-312"/>
        <w:rPr>
          <w:szCs w:val="24"/>
        </w:rPr>
      </w:pPr>
      <w:r>
        <w:rPr>
          <w:szCs w:val="24"/>
        </w:rPr>
        <w:tab/>
      </w:r>
      <w:r>
        <w:rPr>
          <w:szCs w:val="24"/>
        </w:rPr>
        <w:tab/>
      </w:r>
      <w:r>
        <w:rPr>
          <w:szCs w:val="24"/>
        </w:rPr>
        <w:tab/>
      </w:r>
      <w:r>
        <w:rPr>
          <w:szCs w:val="24"/>
        </w:rPr>
        <w:tab/>
      </w:r>
      <w:r>
        <w:rPr>
          <w:szCs w:val="24"/>
        </w:rPr>
        <w:tab/>
      </w:r>
    </w:p>
    <w:p w:rsidR="00307416">
      <w:pPr>
        <w:rPr>
          <w:szCs w:val="24"/>
        </w:rPr>
      </w:pPr>
      <w:r>
        <w:rPr>
          <w:szCs w:val="24"/>
        </w:rPr>
        <w:br w:type="page"/>
      </w:r>
    </w:p>
    <w:p w:rsidR="00614CD5" w:rsidRPr="00F257DB" w:rsidP="00307416">
      <w:pPr>
        <w:pStyle w:val="BodyTextIndent3"/>
        <w:widowControl w:val="0"/>
        <w:spacing w:line="480" w:lineRule="auto"/>
        <w:ind w:left="3600" w:right="-312"/>
        <w:rPr>
          <w:szCs w:val="24"/>
        </w:rPr>
      </w:pPr>
      <w:r w:rsidRPr="00F257DB">
        <w:rPr>
          <w:szCs w:val="24"/>
        </w:rPr>
        <w:t>Respectfully submitted,</w:t>
      </w:r>
    </w:p>
    <w:p w:rsidR="00614CD5" w:rsidRPr="00F257DB" w:rsidP="00614CD5">
      <w:pPr>
        <w:ind w:left="4320"/>
        <w:rPr>
          <w:szCs w:val="24"/>
        </w:rPr>
      </w:pPr>
      <w:r w:rsidRPr="00F257DB">
        <w:rPr>
          <w:szCs w:val="24"/>
        </w:rPr>
        <w:t>BRUCE WESTON (0016973)</w:t>
      </w:r>
    </w:p>
    <w:p w:rsidR="00614CD5" w:rsidRPr="00F257DB"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P="00614CD5">
      <w:pPr>
        <w:tabs>
          <w:tab w:val="left" w:pos="4320"/>
        </w:tabs>
        <w:ind w:left="4320"/>
        <w:rPr>
          <w:szCs w:val="24"/>
        </w:rPr>
      </w:pPr>
    </w:p>
    <w:p w:rsidR="00614CD5" w:rsidRPr="00F257DB" w:rsidP="00614CD5">
      <w:pPr>
        <w:autoSpaceDE w:val="0"/>
        <w:autoSpaceDN w:val="0"/>
        <w:adjustRightInd w:val="0"/>
        <w:ind w:left="4320"/>
        <w:rPr>
          <w:i/>
          <w:szCs w:val="24"/>
        </w:rPr>
      </w:pPr>
      <w:r w:rsidRPr="00F257DB">
        <w:rPr>
          <w:i/>
          <w:szCs w:val="24"/>
          <w:u w:val="single"/>
        </w:rPr>
        <w:t xml:space="preserve">/s/ </w:t>
      </w:r>
      <w:r w:rsidR="00177D00">
        <w:rPr>
          <w:i/>
          <w:szCs w:val="24"/>
          <w:u w:val="single"/>
        </w:rPr>
        <w:t xml:space="preserve">Christopher </w:t>
      </w:r>
      <w:r>
        <w:rPr>
          <w:i/>
          <w:szCs w:val="24"/>
          <w:u w:val="single"/>
        </w:rPr>
        <w:t>Healey</w:t>
      </w:r>
      <w:r w:rsidRPr="00F257DB">
        <w:rPr>
          <w:i/>
          <w:szCs w:val="24"/>
          <w:u w:val="single"/>
        </w:rPr>
        <w:tab/>
      </w:r>
      <w:r w:rsidRPr="00F257DB">
        <w:rPr>
          <w:i/>
          <w:szCs w:val="24"/>
          <w:u w:val="single"/>
        </w:rPr>
        <w:tab/>
      </w:r>
    </w:p>
    <w:p w:rsidR="00614CD5" w:rsidP="00614CD5">
      <w:pPr>
        <w:tabs>
          <w:tab w:val="left" w:pos="4320"/>
        </w:tabs>
        <w:ind w:left="4320"/>
        <w:rPr>
          <w:szCs w:val="24"/>
        </w:rPr>
      </w:pPr>
      <w:r>
        <w:rPr>
          <w:szCs w:val="24"/>
        </w:rPr>
        <w:t xml:space="preserve">Christopher </w:t>
      </w:r>
      <w:r>
        <w:rPr>
          <w:szCs w:val="24"/>
        </w:rPr>
        <w:t>Healey (0086027)</w:t>
      </w:r>
    </w:p>
    <w:p w:rsidR="00856E1B" w:rsidP="00614CD5">
      <w:pPr>
        <w:tabs>
          <w:tab w:val="left" w:pos="4320"/>
        </w:tabs>
        <w:ind w:left="4320"/>
        <w:rPr>
          <w:szCs w:val="24"/>
        </w:rPr>
      </w:pPr>
      <w:r>
        <w:rPr>
          <w:szCs w:val="24"/>
        </w:rPr>
        <w:t>Counsel of Record</w:t>
      </w:r>
    </w:p>
    <w:p w:rsidR="00856E1B" w:rsidP="00614CD5">
      <w:pPr>
        <w:tabs>
          <w:tab w:val="left" w:pos="4320"/>
        </w:tabs>
        <w:ind w:left="4320"/>
        <w:rPr>
          <w:szCs w:val="24"/>
        </w:rPr>
      </w:pPr>
      <w:r>
        <w:rPr>
          <w:szCs w:val="24"/>
        </w:rPr>
        <w:t>Amy Botschner-O’Brien (0074423)</w:t>
      </w:r>
    </w:p>
    <w:p w:rsidR="00614CD5" w:rsidP="00614CD5">
      <w:pPr>
        <w:tabs>
          <w:tab w:val="left" w:pos="4320"/>
        </w:tabs>
        <w:ind w:left="4320"/>
        <w:rPr>
          <w:szCs w:val="24"/>
        </w:rPr>
      </w:pPr>
      <w:r>
        <w:rPr>
          <w:szCs w:val="24"/>
        </w:rPr>
        <w:t>Assistant Consumers' Counsel</w:t>
      </w:r>
      <w:r w:rsidRPr="00F257DB">
        <w:rPr>
          <w:szCs w:val="24"/>
        </w:rPr>
        <w:br/>
      </w:r>
    </w:p>
    <w:p w:rsidR="00614CD5" w:rsidRPr="002C2315" w:rsidP="00614C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614CD5" w:rsidP="00614CD5">
      <w:pPr>
        <w:tabs>
          <w:tab w:val="left" w:pos="4320"/>
        </w:tabs>
        <w:ind w:left="4320"/>
        <w:rPr>
          <w:szCs w:val="24"/>
        </w:rPr>
      </w:pPr>
      <w:r>
        <w:rPr>
          <w:szCs w:val="24"/>
        </w:rPr>
        <w:t>65 East State Street, 7</w:t>
      </w:r>
      <w:r w:rsidRPr="00DC1873">
        <w:rPr>
          <w:szCs w:val="24"/>
          <w:vertAlign w:val="superscript"/>
        </w:rPr>
        <w:t>th</w:t>
      </w:r>
      <w:r>
        <w:rPr>
          <w:szCs w:val="24"/>
        </w:rPr>
        <w:t xml:space="preserve"> Floor</w:t>
      </w:r>
    </w:p>
    <w:p w:rsidR="00614CD5" w:rsidP="00614CD5">
      <w:pPr>
        <w:tabs>
          <w:tab w:val="left" w:pos="4320"/>
        </w:tabs>
        <w:ind w:left="4320"/>
        <w:rPr>
          <w:szCs w:val="24"/>
        </w:rPr>
      </w:pPr>
      <w:r w:rsidRPr="00F257DB">
        <w:rPr>
          <w:szCs w:val="24"/>
        </w:rPr>
        <w:t>Columbus, Ohio 43215</w:t>
      </w:r>
    </w:p>
    <w:p w:rsidR="00614CD5" w:rsidP="00614CD5">
      <w:pPr>
        <w:tabs>
          <w:tab w:val="left" w:pos="4320"/>
        </w:tabs>
        <w:ind w:left="4320"/>
        <w:rPr>
          <w:szCs w:val="24"/>
        </w:rPr>
      </w:pPr>
      <w:r>
        <w:rPr>
          <w:szCs w:val="24"/>
        </w:rPr>
        <w:t>Telephone</w:t>
      </w:r>
      <w:r w:rsidR="00856E1B">
        <w:rPr>
          <w:szCs w:val="24"/>
        </w:rPr>
        <w:t xml:space="preserve"> [Healey]</w:t>
      </w:r>
      <w:r>
        <w:rPr>
          <w:szCs w:val="24"/>
        </w:rPr>
        <w:t xml:space="preserve">: </w:t>
      </w:r>
      <w:r w:rsidRPr="00F257DB">
        <w:rPr>
          <w:szCs w:val="24"/>
        </w:rPr>
        <w:t>614</w:t>
      </w:r>
      <w:r w:rsidR="00856E1B">
        <w:rPr>
          <w:szCs w:val="24"/>
        </w:rPr>
        <w:t>-</w:t>
      </w:r>
      <w:r>
        <w:rPr>
          <w:szCs w:val="24"/>
        </w:rPr>
        <w:t>466-9571</w:t>
      </w:r>
    </w:p>
    <w:p w:rsidR="00856E1B" w:rsidRPr="00F257DB" w:rsidP="00614CD5">
      <w:pPr>
        <w:tabs>
          <w:tab w:val="left" w:pos="4320"/>
        </w:tabs>
        <w:ind w:left="4320"/>
        <w:rPr>
          <w:szCs w:val="24"/>
        </w:rPr>
      </w:pPr>
      <w:r>
        <w:rPr>
          <w:szCs w:val="24"/>
        </w:rPr>
        <w:t>Telephone [</w:t>
      </w:r>
      <w:r w:rsidR="00D43268">
        <w:rPr>
          <w:szCs w:val="24"/>
        </w:rPr>
        <w:t>O’Brien</w:t>
      </w:r>
      <w:r>
        <w:rPr>
          <w:szCs w:val="24"/>
        </w:rPr>
        <w:t>]: 614-466-</w:t>
      </w:r>
      <w:r w:rsidR="00D43268">
        <w:rPr>
          <w:szCs w:val="24"/>
        </w:rPr>
        <w:t>9575</w:t>
      </w:r>
    </w:p>
    <w:p w:rsidR="00614CD5" w:rsidP="00614C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DC1873" w:rsidP="00614CD5">
      <w:pPr>
        <w:ind w:left="4320"/>
      </w:pPr>
      <w:r>
        <w:fldChar w:fldCharType="begin"/>
      </w:r>
      <w:r>
        <w:instrText xml:space="preserve"> HYPERLINK "mailto:amy.botschner.obrien@occ.ohio.gov" </w:instrText>
      </w:r>
      <w:r>
        <w:fldChar w:fldCharType="separate"/>
      </w:r>
      <w:r w:rsidRPr="003843E3">
        <w:rPr>
          <w:rStyle w:val="Hyperlink"/>
        </w:rPr>
        <w:t>amy.botschner.obrien@occ.ohio.gov</w:t>
      </w:r>
      <w:r>
        <w:fldChar w:fldCharType="end"/>
      </w:r>
    </w:p>
    <w:p w:rsidR="00614CD5" w:rsidRPr="00F257DB" w:rsidP="00614CD5">
      <w:pPr>
        <w:ind w:left="4320"/>
        <w:rPr>
          <w:szCs w:val="24"/>
        </w:rPr>
      </w:pPr>
      <w:r w:rsidRPr="00F257DB">
        <w:rPr>
          <w:szCs w:val="24"/>
        </w:rPr>
        <w:t>(</w:t>
      </w:r>
      <w:r>
        <w:rPr>
          <w:szCs w:val="24"/>
        </w:rPr>
        <w:t>Will</w:t>
      </w:r>
      <w:r w:rsidRPr="00F257DB">
        <w:rPr>
          <w:szCs w:val="24"/>
        </w:rPr>
        <w:t xml:space="preserve"> accept service via email)</w:t>
      </w:r>
    </w:p>
    <w:p w:rsidR="00614CD5">
      <w:pPr>
        <w:pStyle w:val="HTMLPreformatted"/>
        <w:jc w:val="center"/>
        <w:rPr>
          <w:rFonts w:ascii="Times New Roman" w:hAnsi="Times New Roman"/>
          <w:b/>
          <w:bCs/>
          <w:sz w:val="24"/>
        </w:rPr>
        <w:sectPr w:rsidSect="00DC1873">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614CD5" w:rsidP="00614CD5">
      <w:pPr>
        <w:jc w:val="center"/>
        <w:rPr>
          <w:b/>
          <w:bCs/>
          <w:u w:val="single"/>
        </w:rPr>
      </w:pPr>
      <w:r>
        <w:rPr>
          <w:b/>
          <w:bCs/>
          <w:u w:val="single"/>
        </w:rPr>
        <w:t>CERTIFICATE OF SERVICE</w:t>
      </w:r>
    </w:p>
    <w:p w:rsidR="00614CD5" w:rsidRPr="001E4C2F" w:rsidP="00614CD5">
      <w:pPr>
        <w:spacing w:line="480" w:lineRule="atLeast"/>
        <w:ind w:firstLine="720"/>
      </w:pPr>
      <w:r w:rsidRPr="001E4C2F">
        <w:t>I hereby certify that a copy of th</w:t>
      </w:r>
      <w:r w:rsidR="00E04F14">
        <w:t>ese</w:t>
      </w:r>
      <w:r w:rsidRPr="001E4C2F">
        <w:t xml:space="preserve"> </w:t>
      </w:r>
      <w:r w:rsidR="00E04F14">
        <w:t>Comments</w:t>
      </w:r>
      <w:r w:rsidRPr="001E4C2F">
        <w:t xml:space="preserve"> was served on the persons stated below via electronic transmission, this </w:t>
      </w:r>
      <w:r w:rsidR="00DC1873">
        <w:t>14th</w:t>
      </w:r>
      <w:r w:rsidRPr="001E4C2F">
        <w:t xml:space="preserve"> day of </w:t>
      </w:r>
      <w:r w:rsidR="00E04F14">
        <w:t>June</w:t>
      </w:r>
      <w:r w:rsidRPr="001E4C2F">
        <w:t xml:space="preserve"> 201</w:t>
      </w:r>
      <w:r w:rsidR="00D43268">
        <w:t>8</w:t>
      </w:r>
      <w:r w:rsidRPr="001E4C2F">
        <w:t>.</w:t>
      </w:r>
    </w:p>
    <w:p w:rsidR="00614CD5">
      <w:pPr>
        <w:spacing w:line="480" w:lineRule="atLeast"/>
      </w:pPr>
    </w:p>
    <w:p w:rsidR="00614CD5">
      <w:pPr>
        <w:tabs>
          <w:tab w:val="left" w:pos="4320"/>
        </w:tabs>
      </w:pPr>
      <w:r>
        <w:tab/>
      </w:r>
      <w:r>
        <w:rPr>
          <w:i/>
          <w:u w:val="single"/>
        </w:rPr>
        <w:t>/s/ Christopher M. Healey</w:t>
      </w:r>
      <w:r>
        <w:rPr>
          <w:i/>
          <w:u w:val="single"/>
        </w:rPr>
        <w:tab/>
      </w:r>
    </w:p>
    <w:p w:rsidR="00614CD5">
      <w:pPr>
        <w:tabs>
          <w:tab w:val="left" w:pos="4320"/>
        </w:tabs>
      </w:pPr>
      <w:r>
        <w:tab/>
        <w:t>Christopher M. Healey</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614CD5">
        <w:tblPrEx>
          <w:tblW w:w="0" w:type="auto"/>
          <w:tblInd w:w="0" w:type="dxa"/>
          <w:tblCellMar>
            <w:top w:w="0" w:type="dxa"/>
            <w:left w:w="108" w:type="dxa"/>
            <w:bottom w:w="0" w:type="dxa"/>
            <w:right w:w="108" w:type="dxa"/>
          </w:tblCellMar>
          <w:tblLook w:val="04A0"/>
        </w:tblPrEx>
        <w:tc>
          <w:tcPr>
            <w:tcW w:w="4428" w:type="dxa"/>
            <w:shd w:val="clear" w:color="auto" w:fill="auto"/>
          </w:tcPr>
          <w:p w:rsidR="00614CD5" w:rsidRPr="00F7490A" w:rsidP="00614CD5">
            <w:pPr>
              <w:pStyle w:val="CommentText"/>
              <w:rPr>
                <w:rStyle w:val="DefaultParagraphFont"/>
                <w:sz w:val="24"/>
                <w:szCs w:val="24"/>
                <w:lang w:val="en-US" w:eastAsia="en-US" w:bidi="ar-SA"/>
              </w:rPr>
            </w:pPr>
          </w:p>
        </w:tc>
        <w:tc>
          <w:tcPr>
            <w:tcW w:w="4428" w:type="dxa"/>
            <w:shd w:val="clear" w:color="auto" w:fill="auto"/>
          </w:tcPr>
          <w:p w:rsidR="00614CD5" w:rsidRPr="00F7490A" w:rsidP="00614CD5">
            <w:pPr>
              <w:pStyle w:val="CommentText"/>
              <w:rPr>
                <w:rStyle w:val="DefaultParagraphFont"/>
                <w:sz w:val="24"/>
                <w:szCs w:val="24"/>
                <w:lang w:val="en-US" w:eastAsia="en-US" w:bidi="ar-SA"/>
              </w:rPr>
            </w:pPr>
          </w:p>
        </w:tc>
      </w:tr>
    </w:tbl>
    <w:p w:rsidR="00F575E1" w:rsidP="00F575E1">
      <w:pPr>
        <w:pStyle w:val="CommentText"/>
        <w:jc w:val="center"/>
        <w:rPr>
          <w:b/>
          <w:u w:val="single"/>
        </w:rPr>
      </w:pPr>
      <w:r w:rsidRPr="00FB7D74">
        <w:rPr>
          <w:b/>
          <w:u w:val="single"/>
        </w:rPr>
        <w:t>SERVICE LIST</w:t>
      </w:r>
    </w:p>
    <w:p w:rsidR="00F575E1" w:rsidP="00F575E1">
      <w:pPr>
        <w:pStyle w:val="CommentText"/>
        <w:jc w:val="center"/>
        <w:rPr>
          <w:b/>
          <w:u w:val="single"/>
        </w:rPr>
      </w:pPr>
    </w:p>
    <w:p w:rsidR="00F575E1" w:rsidP="00F575E1">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943C5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F575E1" w:rsidP="00C8210A">
            <w:pPr>
              <w:pStyle w:val="CommentText"/>
              <w:jc w:val="center"/>
              <w:rPr>
                <w:rStyle w:val="DefaultParagraphFont"/>
                <w:b/>
                <w:sz w:val="24"/>
                <w:szCs w:val="24"/>
                <w:u w:val="single"/>
                <w:lang w:val="en-US" w:eastAsia="en-US" w:bidi="ar-SA"/>
              </w:rPr>
            </w:pPr>
          </w:p>
        </w:tc>
        <w:tc>
          <w:tcPr>
            <w:tcW w:w="4428" w:type="dxa"/>
          </w:tcPr>
          <w:p w:rsidR="00F575E1" w:rsidP="00C8210A">
            <w:pPr>
              <w:pStyle w:val="CommentText"/>
              <w:ind w:left="612"/>
              <w:rPr>
                <w:rStyle w:val="DefaultParagraphFont"/>
                <w:b/>
                <w:sz w:val="24"/>
                <w:szCs w:val="24"/>
                <w:u w:val="single"/>
                <w:lang w:val="en-US" w:eastAsia="en-US" w:bidi="ar-SA"/>
              </w:rPr>
            </w:pPr>
          </w:p>
        </w:tc>
      </w:tr>
      <w:tr w:rsidTr="00943C5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428" w:type="dxa"/>
            <w:tcBorders>
              <w:top w:val="nil"/>
              <w:left w:val="nil"/>
              <w:bottom w:val="nil"/>
              <w:right w:val="nil"/>
            </w:tcBorders>
          </w:tcPr>
          <w:p w:rsidR="00943C5E" w:rsidP="00943C5E">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"mailto:William.wright@ohioattorneygeneral" </w:instrText>
            </w:r>
            <w:r>
              <w:fldChar w:fldCharType="separate"/>
            </w:r>
            <w:r w:rsidRPr="003843E3">
              <w:rPr>
                <w:rStyle w:val="Hyperlink"/>
                <w:color w:val="0000FF"/>
                <w:sz w:val="24"/>
                <w:szCs w:val="24"/>
                <w:u w:val="single"/>
                <w:lang w:val="en-US" w:eastAsia="en-US" w:bidi="ar-SA"/>
              </w:rPr>
              <w:t>William.wright@ohioattorneygeneral</w:t>
            </w:r>
            <w:r>
              <w:fldChar w:fldCharType="end"/>
            </w:r>
          </w:p>
          <w:p w:rsidR="00943C5E" w:rsidRPr="00943C5E" w:rsidP="00943C5E">
            <w:pPr>
              <w:pStyle w:val="CommentText"/>
              <w:rPr>
                <w:rStyle w:val="DefaultParagraphFont"/>
                <w:sz w:val="24"/>
                <w:szCs w:val="24"/>
                <w:lang w:val="en-US" w:eastAsia="en-US" w:bidi="ar-SA"/>
              </w:rPr>
            </w:pPr>
          </w:p>
        </w:tc>
        <w:tc>
          <w:tcPr>
            <w:tcW w:w="4428" w:type="dxa"/>
            <w:tcBorders>
              <w:top w:val="nil"/>
              <w:left w:val="nil"/>
              <w:bottom w:val="nil"/>
              <w:right w:val="nil"/>
            </w:tcBorders>
          </w:tcPr>
          <w:p w:rsidR="00943C5E" w:rsidP="00943C5E">
            <w:pPr>
              <w:pStyle w:val="CommentText"/>
              <w:ind w:left="1337"/>
              <w:rPr>
                <w:rStyle w:val="DefaultParagraphFont"/>
                <w:sz w:val="24"/>
                <w:szCs w:val="24"/>
                <w:lang w:val="en-US" w:eastAsia="en-US" w:bidi="ar-SA"/>
              </w:rPr>
            </w:pPr>
            <w:r>
              <w:fldChar w:fldCharType="begin"/>
            </w:r>
            <w:r>
              <w:rPr>
                <w:sz w:val="24"/>
                <w:szCs w:val="24"/>
                <w:lang w:val="en-US" w:eastAsia="en-US" w:bidi="ar-SA"/>
              </w:rPr>
              <w:instrText xml:space="preserve"> HYPERLINK "mailto:jeckert@firstenergycorp.com" </w:instrText>
            </w:r>
            <w:r>
              <w:fldChar w:fldCharType="separate"/>
            </w:r>
            <w:r w:rsidRPr="003843E3">
              <w:rPr>
                <w:rStyle w:val="Hyperlink"/>
                <w:color w:val="0000FF"/>
                <w:sz w:val="24"/>
                <w:szCs w:val="24"/>
                <w:u w:val="single"/>
                <w:lang w:val="en-US" w:eastAsia="en-US" w:bidi="ar-SA"/>
              </w:rPr>
              <w:t>jeckert@firstenergycorp.com</w:t>
            </w:r>
            <w:r>
              <w:fldChar w:fldCharType="end"/>
            </w:r>
          </w:p>
          <w:p w:rsidR="00943C5E" w:rsidRPr="00943C5E" w:rsidP="00943C5E">
            <w:pPr>
              <w:pStyle w:val="CommentText"/>
              <w:rPr>
                <w:rStyle w:val="DefaultParagraphFont"/>
                <w:sz w:val="24"/>
                <w:szCs w:val="24"/>
                <w:lang w:val="en-US" w:eastAsia="en-US" w:bidi="ar-SA"/>
              </w:rPr>
            </w:pPr>
          </w:p>
        </w:tc>
      </w:tr>
    </w:tbl>
    <w:p w:rsidR="00F575E1" w:rsidP="00F575E1">
      <w:pPr>
        <w:pStyle w:val="CommentText"/>
        <w:jc w:val="center"/>
        <w:rPr>
          <w:b/>
          <w:u w:val="single"/>
        </w:rPr>
      </w:pPr>
    </w:p>
    <w:p w:rsidR="00614CD5">
      <w:pPr>
        <w:pStyle w:val="BodyText"/>
        <w:rPr>
          <w:b/>
          <w:bCs/>
        </w:rPr>
      </w:pPr>
    </w:p>
    <w:sectPr w:rsidSect="00DC1873">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jc w:val="center"/>
      <w:rPr>
        <w:sz w:val="24"/>
        <w:szCs w:val="24"/>
      </w:rPr>
    </w:pPr>
    <w:r w:rsidRPr="00670F10">
      <w:rPr>
        <w:rStyle w:val="PageNumber"/>
        <w:sz w:val="24"/>
        <w:szCs w:val="24"/>
      </w:rPr>
      <w:fldChar w:fldCharType="begin"/>
    </w:r>
    <w:r w:rsidRPr="00670F10">
      <w:rPr>
        <w:rStyle w:val="PageNumber"/>
        <w:sz w:val="24"/>
        <w:szCs w:val="24"/>
      </w:rPr>
      <w:instrText xml:space="preserve"> PAGE </w:instrText>
    </w:r>
    <w:r w:rsidRPr="00670F10">
      <w:rPr>
        <w:rStyle w:val="PageNumber"/>
        <w:sz w:val="24"/>
        <w:szCs w:val="24"/>
      </w:rPr>
      <w:fldChar w:fldCharType="separate"/>
    </w:r>
    <w:r w:rsidR="00447FE1">
      <w:rPr>
        <w:rStyle w:val="PageNumber"/>
        <w:noProof/>
        <w:sz w:val="24"/>
        <w:szCs w:val="24"/>
      </w:rPr>
      <w:t>3</w:t>
    </w:r>
    <w:r w:rsidRPr="00670F1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8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framePr w:wrap="around" w:vAnchor="text" w:hAnchor="margin" w:xAlign="center" w:y="1"/>
      <w:jc w:val="center"/>
      <w:rPr>
        <w:rStyle w:val="PageNumber"/>
        <w:sz w:val="24"/>
        <w:szCs w:val="24"/>
      </w:rPr>
    </w:pPr>
    <w:r w:rsidRPr="00670F10">
      <w:rPr>
        <w:rStyle w:val="PageNumber"/>
        <w:sz w:val="24"/>
        <w:szCs w:val="24"/>
      </w:rPr>
      <w:fldChar w:fldCharType="begin"/>
    </w:r>
    <w:r w:rsidRPr="00670F10">
      <w:rPr>
        <w:rStyle w:val="PageNumber"/>
        <w:sz w:val="24"/>
        <w:szCs w:val="24"/>
      </w:rPr>
      <w:instrText xml:space="preserve">PAGE  </w:instrText>
    </w:r>
    <w:r w:rsidRPr="00670F10">
      <w:rPr>
        <w:rStyle w:val="PageNumber"/>
        <w:sz w:val="24"/>
        <w:szCs w:val="24"/>
      </w:rPr>
      <w:fldChar w:fldCharType="separate"/>
    </w:r>
    <w:r w:rsidRPr="00670F10" w:rsidR="00D9594A">
      <w:rPr>
        <w:rStyle w:val="PageNumber"/>
        <w:noProof/>
        <w:sz w:val="24"/>
        <w:szCs w:val="24"/>
      </w:rPr>
      <w:t>4</w:t>
    </w:r>
    <w:r w:rsidRPr="00670F10">
      <w:rPr>
        <w:rStyle w:val="PageNumber"/>
        <w:sz w:val="24"/>
        <w:szCs w:val="24"/>
      </w:rPr>
      <w:fldChar w:fldCharType="end"/>
    </w:r>
  </w:p>
  <w:p w:rsidR="00614CD5" w:rsidRPr="00670F10">
    <w:pPr>
      <w:pStyle w:val="Footer"/>
      <w:framePr w:wrap="around" w:vAnchor="text" w:hAnchor="margin" w:xAlign="center" w:y="1"/>
      <w:rPr>
        <w:rStyle w:val="PageNumber"/>
      </w:rPr>
    </w:pPr>
  </w:p>
  <w:p w:rsidR="00614CD5" w:rsidRPr="00670F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670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4D1E">
      <w:r>
        <w:separator/>
      </w:r>
    </w:p>
  </w:footnote>
  <w:footnote w:type="continuationSeparator" w:id="1">
    <w:p w:rsidR="00514D1E">
      <w:r>
        <w:continuationSeparator/>
      </w:r>
    </w:p>
  </w:footnote>
  <w:footnote w:id="2">
    <w:p w:rsidR="0046295C" w:rsidP="0046295C">
      <w:pPr>
        <w:pStyle w:val="FootnoteText"/>
        <w:spacing w:after="120"/>
      </w:pPr>
      <w:r>
        <w:rPr>
          <w:rStyle w:val="FootnoteReference"/>
        </w:rPr>
        <w:footnoteRef/>
      </w:r>
      <w:r>
        <w:t xml:space="preserve"> “FirstEnergy” is three electric distribution utilities: Ohio Edison Co., the Cleveland Electric Illuminating Co., and the Toledo Edison Co.</w:t>
      </w:r>
    </w:p>
  </w:footnote>
  <w:footnote w:id="3">
    <w:p w:rsidR="00544BCD" w:rsidP="00177D00">
      <w:pPr>
        <w:pStyle w:val="FootnoteText"/>
        <w:spacing w:after="120"/>
      </w:pPr>
      <w:r>
        <w:rPr>
          <w:rStyle w:val="FootnoteReference"/>
        </w:rPr>
        <w:footnoteRef/>
      </w:r>
      <w:r>
        <w:t xml:space="preserve"> </w:t>
      </w:r>
      <w:r w:rsidRPr="00E542D8">
        <w:rPr>
          <w:i/>
        </w:rPr>
        <w:t xml:space="preserve">In </w:t>
      </w:r>
      <w:r w:rsidR="00537C49">
        <w:rPr>
          <w:i/>
        </w:rPr>
        <w:t xml:space="preserve">re Application of </w:t>
      </w:r>
      <w:r w:rsidR="00080CEE">
        <w:rPr>
          <w:i/>
        </w:rPr>
        <w:t>Ohio Edison Co., the Cleveland Elec. Illuminating Co., and t</w:t>
      </w:r>
      <w:r w:rsidR="00537C49">
        <w:rPr>
          <w:i/>
        </w:rPr>
        <w:t>he Toledo Edison Co</w:t>
      </w:r>
      <w:r w:rsidR="00080CEE">
        <w:rPr>
          <w:i/>
        </w:rPr>
        <w:t xml:space="preserve">. </w:t>
      </w:r>
      <w:r w:rsidRPr="00E542D8">
        <w:rPr>
          <w:i/>
        </w:rPr>
        <w:t xml:space="preserve">for Approval of </w:t>
      </w:r>
      <w:r w:rsidR="00080CEE">
        <w:rPr>
          <w:i/>
        </w:rPr>
        <w:t>their</w:t>
      </w:r>
      <w:r w:rsidRPr="00E542D8" w:rsidR="00080CEE">
        <w:rPr>
          <w:i/>
        </w:rPr>
        <w:t xml:space="preserve"> </w:t>
      </w:r>
      <w:r w:rsidRPr="00E542D8">
        <w:rPr>
          <w:i/>
        </w:rPr>
        <w:t>Energy Efficiency</w:t>
      </w:r>
      <w:r w:rsidR="00080CEE">
        <w:rPr>
          <w:i/>
        </w:rPr>
        <w:t xml:space="preserve"> &amp; </w:t>
      </w:r>
      <w:r w:rsidRPr="00E542D8">
        <w:rPr>
          <w:i/>
        </w:rPr>
        <w:t>Peak Demand Reduction Portfolio Plan</w:t>
      </w:r>
      <w:r w:rsidR="00080CEE">
        <w:rPr>
          <w:i/>
        </w:rPr>
        <w:t xml:space="preserve"> for 2017 through 2019</w:t>
      </w:r>
      <w:r w:rsidR="00537C49">
        <w:t>, Case No. 16-743</w:t>
      </w:r>
      <w:r>
        <w:t>-EL-POR</w:t>
      </w:r>
      <w:r w:rsidR="00080CEE">
        <w:t xml:space="preserve"> (the “Portfolio Case”)</w:t>
      </w:r>
      <w:r>
        <w:t>.</w:t>
      </w:r>
    </w:p>
  </w:footnote>
  <w:footnote w:id="4">
    <w:p w:rsidR="00080CEE" w:rsidRPr="00080CEE" w:rsidP="00177D00">
      <w:pPr>
        <w:pStyle w:val="FootnoteText"/>
        <w:spacing w:after="120"/>
      </w:pPr>
      <w:r>
        <w:rPr>
          <w:rStyle w:val="FootnoteReference"/>
        </w:rPr>
        <w:footnoteRef/>
      </w:r>
      <w:r>
        <w:t xml:space="preserve"> </w:t>
      </w:r>
      <w:r>
        <w:rPr>
          <w:i/>
        </w:rPr>
        <w:t>Id.</w:t>
      </w:r>
      <w:r>
        <w:t>, Amended Direct Testimony of Patrick Donlon (Jan. 10, 2017); Supplemental Direct Testimony of Richard F. Spellman (Jan. 10, 2017).</w:t>
      </w:r>
    </w:p>
  </w:footnote>
  <w:footnote w:id="5">
    <w:p w:rsidR="00080CEE" w:rsidRPr="00080CEE" w:rsidP="00177D00">
      <w:pPr>
        <w:pStyle w:val="FootnoteText"/>
        <w:spacing w:after="120"/>
      </w:pPr>
      <w:r>
        <w:rPr>
          <w:rStyle w:val="FootnoteReference"/>
        </w:rPr>
        <w:footnoteRef/>
      </w:r>
      <w:r>
        <w:t xml:space="preserve"> </w:t>
      </w:r>
      <w:r w:rsidRPr="00177D00">
        <w:rPr>
          <w:i/>
        </w:rPr>
        <w:t>See supra</w:t>
      </w:r>
      <w:r w:rsidR="00177D00">
        <w:t xml:space="preserve"> note 3</w:t>
      </w:r>
      <w:r>
        <w:t>.</w:t>
      </w:r>
    </w:p>
  </w:footnote>
  <w:footnote w:id="6">
    <w:p w:rsidR="00080CEE" w:rsidRPr="00080CEE" w:rsidP="00177D00">
      <w:pPr>
        <w:pStyle w:val="FootnoteText"/>
        <w:spacing w:after="120"/>
      </w:pPr>
      <w:r>
        <w:rPr>
          <w:rStyle w:val="FootnoteReference"/>
        </w:rPr>
        <w:footnoteRef/>
      </w:r>
      <w:r>
        <w:t xml:space="preserve"> Portfolio Case, Post-Hearing Brief of [FirstEnergy] at 86 (Feb. 21, 2017) (arguing that FirstEnergy “cannot realistic</w:t>
      </w:r>
      <w:r w:rsidR="00CA47E9">
        <w:t>ally achieve [its] statutory EE/PDR benchmarks under Staff’s Proposed Cost Cap” and that FirstEnergy “obviously will be unable to earn any shared savings”).</w:t>
      </w:r>
    </w:p>
  </w:footnote>
  <w:footnote w:id="7">
    <w:p w:rsidR="00CA47E9" w:rsidP="00177D00">
      <w:pPr>
        <w:pStyle w:val="FootnoteText"/>
        <w:spacing w:after="120"/>
      </w:pPr>
      <w:r>
        <w:rPr>
          <w:rStyle w:val="FootnoteReference"/>
        </w:rPr>
        <w:footnoteRef/>
      </w:r>
      <w:r>
        <w:t xml:space="preserve"> Portfolio Case, Opinion &amp; Order (Nov. 21, 2017).</w:t>
      </w:r>
    </w:p>
  </w:footnote>
  <w:footnote w:id="8">
    <w:p w:rsidR="00CA47E9" w:rsidP="00177D00">
      <w:pPr>
        <w:pStyle w:val="FootnoteText"/>
        <w:spacing w:after="120"/>
      </w:pPr>
      <w:r>
        <w:rPr>
          <w:rStyle w:val="FootnoteReference"/>
        </w:rPr>
        <w:footnoteRef/>
      </w:r>
      <w:r>
        <w:t xml:space="preserve"> Portfolio Case, Notice of Appeal (Mar. 12, 2018).</w:t>
      </w:r>
    </w:p>
  </w:footnote>
  <w:footnote w:id="9">
    <w:p w:rsidR="004A015D" w:rsidP="00177D00">
      <w:pPr>
        <w:pStyle w:val="FootnoteText"/>
        <w:spacing w:after="120"/>
      </w:pPr>
      <w:r>
        <w:rPr>
          <w:rStyle w:val="FootnoteReference"/>
        </w:rPr>
        <w:footnoteRef/>
      </w:r>
      <w:r>
        <w:t xml:space="preserve"> Application § 2.4, Case No. 18-841-EL-EEC.</w:t>
      </w:r>
    </w:p>
  </w:footnote>
  <w:footnote w:id="10">
    <w:p w:rsidR="004A015D" w:rsidP="00177D00">
      <w:pPr>
        <w:pStyle w:val="FootnoteText"/>
        <w:spacing w:after="120"/>
      </w:pPr>
      <w:r>
        <w:rPr>
          <w:rStyle w:val="FootnoteReference"/>
        </w:rPr>
        <w:footnoteRef/>
      </w:r>
      <w:r>
        <w:t xml:space="preserve"> Application § 2.3, Case No. 18-841-EL-EEC.</w:t>
      </w:r>
    </w:p>
  </w:footnote>
  <w:footnote w:id="11">
    <w:p w:rsidR="009A1D83" w:rsidRPr="005C0352" w:rsidP="00177D00">
      <w:pPr>
        <w:pStyle w:val="FootnoteText"/>
        <w:spacing w:after="120"/>
      </w:pPr>
      <w:r>
        <w:rPr>
          <w:rStyle w:val="FootnoteReference"/>
        </w:rPr>
        <w:footnoteRef/>
      </w:r>
      <w:r>
        <w:t xml:space="preserve"> </w:t>
      </w:r>
      <w:r>
        <w:rPr>
          <w:i/>
        </w:rPr>
        <w:t>Id.</w:t>
      </w:r>
      <w:r>
        <w:t xml:space="preserve"> at Table 2-1 (showing 219% compliance for Cleveland Electric, 176% compliance for Ohio Edison, and 214% compliance for Toledo Edison).</w:t>
      </w:r>
    </w:p>
  </w:footnote>
  <w:footnote w:id="12">
    <w:p w:rsidR="009A1D83" w:rsidRPr="009A1D83" w:rsidP="00177D00">
      <w:pPr>
        <w:pStyle w:val="FootnoteText"/>
        <w:spacing w:after="120"/>
      </w:pPr>
      <w:r>
        <w:rPr>
          <w:rStyle w:val="FootnoteReference"/>
        </w:rPr>
        <w:footnoteRef/>
      </w:r>
      <w:r>
        <w:t xml:space="preserve"> </w:t>
      </w:r>
      <w:r>
        <w:rPr>
          <w:i/>
        </w:rPr>
        <w:t>Id.</w:t>
      </w:r>
      <w:r>
        <w:t xml:space="preserve"> (showing 342% compliance for Cleveland Electric, 241% compliance for Ohio Edison, and 291% compliance for Toledo Edison).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8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E830B6F"/>
    <w:multiLevelType w:val="hybridMultilevel"/>
    <w:tmpl w:val="A7B439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 w:type="character" w:customStyle="1" w:styleId="UnresolvedMention1">
    <w:name w:val="Unresolved Mention1"/>
    <w:basedOn w:val="DefaultParagraphFont"/>
    <w:uiPriority w:val="99"/>
    <w:semiHidden/>
    <w:unhideWhenUsed/>
    <w:rsid w:val="00DC18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 18-841 OCC Comments w-dfs ls.mrw_CMH.docx</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2018-06-14T15:31:06Z</dcterms:created>
  <dcterms:modified xsi:type="dcterms:W3CDTF">2018-06-14T15:31:06Z</dcterms:modified>
</cp:coreProperties>
</file>