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9A093" w14:textId="77777777" w:rsidR="004E539B" w:rsidRPr="004E539B" w:rsidRDefault="004E539B" w:rsidP="004E539B">
      <w:pPr>
        <w:spacing w:after="0"/>
        <w:jc w:val="center"/>
        <w:rPr>
          <w:b/>
        </w:rPr>
      </w:pPr>
      <w:r w:rsidRPr="004E539B">
        <w:rPr>
          <w:b/>
        </w:rPr>
        <w:t>BEFORE</w:t>
      </w:r>
    </w:p>
    <w:p w14:paraId="0041FE53" w14:textId="77777777" w:rsidR="004E539B" w:rsidRPr="004E539B" w:rsidRDefault="004E539B" w:rsidP="004E539B">
      <w:pPr>
        <w:spacing w:after="0"/>
        <w:jc w:val="center"/>
        <w:rPr>
          <w:b/>
        </w:rPr>
      </w:pPr>
      <w:r w:rsidRPr="004E539B">
        <w:rPr>
          <w:b/>
        </w:rPr>
        <w:t>THE PUBLIC UTILITIES COMMISSION OF OHIO</w:t>
      </w:r>
    </w:p>
    <w:p w14:paraId="7EC65E3C" w14:textId="77777777" w:rsidR="004E539B" w:rsidRPr="004E539B" w:rsidRDefault="004E539B" w:rsidP="004E539B">
      <w:pPr>
        <w:spacing w:after="0"/>
        <w:jc w:val="both"/>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794"/>
        <w:gridCol w:w="3967"/>
      </w:tblGrid>
      <w:tr w:rsidR="004E539B" w:rsidRPr="004E539B" w14:paraId="25A00745" w14:textId="77777777" w:rsidTr="004E539B">
        <w:tc>
          <w:tcPr>
            <w:tcW w:w="4599" w:type="dxa"/>
            <w:hideMark/>
          </w:tcPr>
          <w:p w14:paraId="1B1A2AD2" w14:textId="77777777" w:rsidR="004E539B" w:rsidRPr="00692D39" w:rsidRDefault="004E539B">
            <w:pPr>
              <w:rPr>
                <w:rFonts w:ascii="Arial" w:hAnsi="Arial" w:cs="Arial"/>
                <w:b/>
              </w:rPr>
            </w:pPr>
            <w:r w:rsidRPr="004E539B">
              <w:rPr>
                <w:b/>
              </w:rPr>
              <w:t>In the Matter of the Application of Columbia Gas of Ohio, Inc. for Authority to Increase the Rates and Charges for Gas Services and Related Matters.</w:t>
            </w:r>
          </w:p>
        </w:tc>
        <w:tc>
          <w:tcPr>
            <w:tcW w:w="794" w:type="dxa"/>
            <w:hideMark/>
          </w:tcPr>
          <w:p w14:paraId="55E9884A" w14:textId="77777777" w:rsidR="004E539B" w:rsidRPr="00692D39" w:rsidRDefault="004E539B">
            <w:pPr>
              <w:jc w:val="both"/>
              <w:rPr>
                <w:rFonts w:ascii="Arial" w:hAnsi="Arial" w:cs="Arial"/>
                <w:b/>
              </w:rPr>
            </w:pPr>
            <w:r w:rsidRPr="004E539B">
              <w:rPr>
                <w:b/>
              </w:rPr>
              <w:t>)</w:t>
            </w:r>
          </w:p>
          <w:p w14:paraId="7B1E5C17" w14:textId="77777777" w:rsidR="004E539B" w:rsidRPr="00692D39" w:rsidRDefault="004E539B">
            <w:pPr>
              <w:jc w:val="both"/>
              <w:rPr>
                <w:rFonts w:ascii="Arial" w:hAnsi="Arial" w:cs="Arial"/>
                <w:b/>
              </w:rPr>
            </w:pPr>
            <w:r w:rsidRPr="004E539B">
              <w:rPr>
                <w:b/>
              </w:rPr>
              <w:t>)</w:t>
            </w:r>
          </w:p>
          <w:p w14:paraId="56BFDD0F" w14:textId="77777777" w:rsidR="004E539B" w:rsidRPr="00692D39" w:rsidRDefault="004E539B">
            <w:pPr>
              <w:jc w:val="both"/>
              <w:rPr>
                <w:rFonts w:ascii="Arial" w:hAnsi="Arial" w:cs="Arial"/>
                <w:b/>
              </w:rPr>
            </w:pPr>
            <w:r w:rsidRPr="004E539B">
              <w:rPr>
                <w:b/>
              </w:rPr>
              <w:t>)</w:t>
            </w:r>
          </w:p>
          <w:p w14:paraId="19906849" w14:textId="77777777" w:rsidR="004E539B" w:rsidRPr="00692D39" w:rsidRDefault="004E539B">
            <w:pPr>
              <w:jc w:val="both"/>
              <w:rPr>
                <w:rFonts w:ascii="Arial" w:hAnsi="Arial" w:cs="Arial"/>
                <w:b/>
              </w:rPr>
            </w:pPr>
            <w:r w:rsidRPr="004E539B">
              <w:rPr>
                <w:b/>
              </w:rPr>
              <w:t>)</w:t>
            </w:r>
          </w:p>
        </w:tc>
        <w:tc>
          <w:tcPr>
            <w:tcW w:w="3967" w:type="dxa"/>
          </w:tcPr>
          <w:p w14:paraId="53FD7835" w14:textId="77777777" w:rsidR="004E539B" w:rsidRPr="00692D39" w:rsidRDefault="004E539B">
            <w:pPr>
              <w:jc w:val="both"/>
              <w:rPr>
                <w:rFonts w:ascii="Arial" w:hAnsi="Arial" w:cs="Arial"/>
                <w:b/>
              </w:rPr>
            </w:pPr>
          </w:p>
          <w:p w14:paraId="3DF9723B" w14:textId="77777777" w:rsidR="004E539B" w:rsidRPr="00692D39" w:rsidRDefault="004E539B">
            <w:pPr>
              <w:jc w:val="both"/>
              <w:rPr>
                <w:rFonts w:ascii="Arial" w:hAnsi="Arial" w:cs="Arial"/>
                <w:b/>
              </w:rPr>
            </w:pPr>
            <w:r w:rsidRPr="004E539B">
              <w:rPr>
                <w:b/>
              </w:rPr>
              <w:t>Case No. 21-637-GA-AIR</w:t>
            </w:r>
          </w:p>
        </w:tc>
      </w:tr>
      <w:tr w:rsidR="004E539B" w:rsidRPr="004E539B" w14:paraId="75031D52" w14:textId="77777777" w:rsidTr="004E539B">
        <w:tc>
          <w:tcPr>
            <w:tcW w:w="4599" w:type="dxa"/>
          </w:tcPr>
          <w:p w14:paraId="0743A0A3" w14:textId="77777777" w:rsidR="004E539B" w:rsidRPr="00692D39" w:rsidRDefault="004E539B">
            <w:pPr>
              <w:rPr>
                <w:rFonts w:ascii="Arial" w:hAnsi="Arial" w:cs="Arial"/>
                <w:b/>
              </w:rPr>
            </w:pPr>
          </w:p>
        </w:tc>
        <w:tc>
          <w:tcPr>
            <w:tcW w:w="794" w:type="dxa"/>
          </w:tcPr>
          <w:p w14:paraId="48763407" w14:textId="77777777" w:rsidR="004E539B" w:rsidRPr="00692D39" w:rsidRDefault="004E539B">
            <w:pPr>
              <w:jc w:val="both"/>
              <w:rPr>
                <w:rFonts w:ascii="Arial" w:hAnsi="Arial" w:cs="Arial"/>
                <w:b/>
              </w:rPr>
            </w:pPr>
          </w:p>
        </w:tc>
        <w:tc>
          <w:tcPr>
            <w:tcW w:w="3967" w:type="dxa"/>
          </w:tcPr>
          <w:p w14:paraId="79B6CDD3" w14:textId="77777777" w:rsidR="004E539B" w:rsidRPr="00692D39" w:rsidRDefault="004E539B">
            <w:pPr>
              <w:jc w:val="both"/>
              <w:rPr>
                <w:rFonts w:ascii="Arial" w:hAnsi="Arial" w:cs="Arial"/>
                <w:b/>
              </w:rPr>
            </w:pPr>
          </w:p>
        </w:tc>
      </w:tr>
      <w:tr w:rsidR="004E539B" w:rsidRPr="004E539B" w14:paraId="24D4EF47" w14:textId="77777777" w:rsidTr="004E539B">
        <w:tc>
          <w:tcPr>
            <w:tcW w:w="4599" w:type="dxa"/>
            <w:hideMark/>
          </w:tcPr>
          <w:p w14:paraId="1388D4CB" w14:textId="77777777" w:rsidR="004E539B" w:rsidRPr="00692D39" w:rsidRDefault="004E539B">
            <w:pPr>
              <w:rPr>
                <w:rFonts w:ascii="Arial" w:hAnsi="Arial" w:cs="Arial"/>
                <w:b/>
              </w:rPr>
            </w:pPr>
            <w:r w:rsidRPr="004E539B">
              <w:rPr>
                <w:b/>
              </w:rPr>
              <w:t>In the Matter of the Application of Columbia Gas of Ohio, Inc. for Approval of an Alternative Form of Regulation.</w:t>
            </w:r>
          </w:p>
        </w:tc>
        <w:tc>
          <w:tcPr>
            <w:tcW w:w="794" w:type="dxa"/>
            <w:hideMark/>
          </w:tcPr>
          <w:p w14:paraId="035828EC" w14:textId="77777777" w:rsidR="004E539B" w:rsidRPr="00692D39" w:rsidRDefault="004E539B">
            <w:pPr>
              <w:jc w:val="both"/>
              <w:rPr>
                <w:rFonts w:ascii="Arial" w:hAnsi="Arial" w:cs="Arial"/>
                <w:b/>
              </w:rPr>
            </w:pPr>
            <w:r w:rsidRPr="004E539B">
              <w:rPr>
                <w:b/>
              </w:rPr>
              <w:t>)</w:t>
            </w:r>
            <w:r w:rsidRPr="004E539B">
              <w:rPr>
                <w:b/>
              </w:rPr>
              <w:br/>
              <w:t>)</w:t>
            </w:r>
          </w:p>
          <w:p w14:paraId="6826898C" w14:textId="77777777" w:rsidR="004E539B" w:rsidRPr="00692D39" w:rsidRDefault="004E539B">
            <w:pPr>
              <w:jc w:val="both"/>
              <w:rPr>
                <w:rFonts w:ascii="Arial" w:hAnsi="Arial" w:cs="Arial"/>
                <w:b/>
              </w:rPr>
            </w:pPr>
            <w:r w:rsidRPr="004E539B">
              <w:rPr>
                <w:b/>
              </w:rPr>
              <w:t>)</w:t>
            </w:r>
          </w:p>
        </w:tc>
        <w:tc>
          <w:tcPr>
            <w:tcW w:w="3967" w:type="dxa"/>
          </w:tcPr>
          <w:p w14:paraId="2977B952" w14:textId="77777777" w:rsidR="004E539B" w:rsidRPr="00692D39" w:rsidRDefault="004E539B">
            <w:pPr>
              <w:jc w:val="both"/>
              <w:rPr>
                <w:rFonts w:ascii="Arial" w:hAnsi="Arial" w:cs="Arial"/>
                <w:b/>
              </w:rPr>
            </w:pPr>
          </w:p>
          <w:p w14:paraId="710D431F" w14:textId="77777777" w:rsidR="004E539B" w:rsidRPr="00692D39" w:rsidRDefault="004E539B">
            <w:pPr>
              <w:jc w:val="both"/>
              <w:rPr>
                <w:rFonts w:ascii="Arial" w:hAnsi="Arial" w:cs="Arial"/>
                <w:b/>
              </w:rPr>
            </w:pPr>
            <w:r w:rsidRPr="004E539B">
              <w:rPr>
                <w:b/>
              </w:rPr>
              <w:t>Case No. 21-638-GA-ALT</w:t>
            </w:r>
          </w:p>
        </w:tc>
      </w:tr>
      <w:tr w:rsidR="004E539B" w:rsidRPr="004E539B" w14:paraId="4AE28C1C" w14:textId="77777777" w:rsidTr="004E539B">
        <w:tc>
          <w:tcPr>
            <w:tcW w:w="4599" w:type="dxa"/>
          </w:tcPr>
          <w:p w14:paraId="17EC49BE" w14:textId="77777777" w:rsidR="004E539B" w:rsidRPr="00692D39" w:rsidRDefault="004E539B">
            <w:pPr>
              <w:rPr>
                <w:rFonts w:ascii="Arial" w:hAnsi="Arial" w:cs="Arial"/>
                <w:b/>
              </w:rPr>
            </w:pPr>
          </w:p>
        </w:tc>
        <w:tc>
          <w:tcPr>
            <w:tcW w:w="794" w:type="dxa"/>
          </w:tcPr>
          <w:p w14:paraId="5ED5B46B" w14:textId="77777777" w:rsidR="004E539B" w:rsidRPr="00692D39" w:rsidRDefault="004E539B">
            <w:pPr>
              <w:jc w:val="both"/>
              <w:rPr>
                <w:rFonts w:ascii="Arial" w:hAnsi="Arial" w:cs="Arial"/>
                <w:b/>
              </w:rPr>
            </w:pPr>
          </w:p>
        </w:tc>
        <w:tc>
          <w:tcPr>
            <w:tcW w:w="3967" w:type="dxa"/>
          </w:tcPr>
          <w:p w14:paraId="47776821" w14:textId="77777777" w:rsidR="004E539B" w:rsidRPr="00692D39" w:rsidRDefault="004E539B">
            <w:pPr>
              <w:jc w:val="both"/>
              <w:rPr>
                <w:rFonts w:ascii="Arial" w:hAnsi="Arial" w:cs="Arial"/>
                <w:b/>
              </w:rPr>
            </w:pPr>
          </w:p>
        </w:tc>
      </w:tr>
      <w:tr w:rsidR="004E539B" w:rsidRPr="004E539B" w14:paraId="0E0584C3" w14:textId="77777777" w:rsidTr="004E539B">
        <w:tc>
          <w:tcPr>
            <w:tcW w:w="4599" w:type="dxa"/>
            <w:hideMark/>
          </w:tcPr>
          <w:p w14:paraId="7025EB01" w14:textId="77777777" w:rsidR="004E539B" w:rsidRPr="00692D39" w:rsidRDefault="004E539B">
            <w:pPr>
              <w:rPr>
                <w:rFonts w:ascii="Arial" w:hAnsi="Arial" w:cs="Arial"/>
                <w:b/>
              </w:rPr>
            </w:pPr>
            <w:r w:rsidRPr="004E539B">
              <w:rPr>
                <w:b/>
              </w:rPr>
              <w:t>In the Matter of the Application of Columbia Gas of Ohio, Inc. for Approval of a Demand Side Management Program for Its Residential and Commercial Customers.</w:t>
            </w:r>
          </w:p>
        </w:tc>
        <w:tc>
          <w:tcPr>
            <w:tcW w:w="794" w:type="dxa"/>
            <w:hideMark/>
          </w:tcPr>
          <w:p w14:paraId="79B58796" w14:textId="77777777" w:rsidR="004E539B" w:rsidRPr="00692D39" w:rsidRDefault="004E539B">
            <w:pPr>
              <w:jc w:val="both"/>
              <w:rPr>
                <w:rFonts w:ascii="Arial" w:hAnsi="Arial" w:cs="Arial"/>
                <w:b/>
              </w:rPr>
            </w:pPr>
            <w:r w:rsidRPr="004E539B">
              <w:rPr>
                <w:b/>
              </w:rPr>
              <w:t>)</w:t>
            </w:r>
            <w:r w:rsidRPr="004E539B">
              <w:rPr>
                <w:b/>
              </w:rPr>
              <w:br/>
              <w:t>)</w:t>
            </w:r>
            <w:r w:rsidRPr="004E539B">
              <w:rPr>
                <w:b/>
              </w:rPr>
              <w:br/>
              <w:t>)</w:t>
            </w:r>
          </w:p>
          <w:p w14:paraId="441F7A01" w14:textId="77777777" w:rsidR="004E539B" w:rsidRPr="00692D39" w:rsidRDefault="004E539B">
            <w:pPr>
              <w:jc w:val="both"/>
              <w:rPr>
                <w:rFonts w:ascii="Arial" w:hAnsi="Arial" w:cs="Arial"/>
                <w:b/>
              </w:rPr>
            </w:pPr>
            <w:r w:rsidRPr="004E539B">
              <w:rPr>
                <w:b/>
              </w:rPr>
              <w:t>)</w:t>
            </w:r>
          </w:p>
          <w:p w14:paraId="06986397" w14:textId="77777777" w:rsidR="004E539B" w:rsidRPr="00692D39" w:rsidRDefault="004E539B">
            <w:pPr>
              <w:jc w:val="both"/>
              <w:rPr>
                <w:rFonts w:ascii="Arial" w:hAnsi="Arial" w:cs="Arial"/>
                <w:b/>
              </w:rPr>
            </w:pPr>
            <w:r w:rsidRPr="004E539B">
              <w:rPr>
                <w:b/>
              </w:rPr>
              <w:t>)</w:t>
            </w:r>
          </w:p>
        </w:tc>
        <w:tc>
          <w:tcPr>
            <w:tcW w:w="3967" w:type="dxa"/>
          </w:tcPr>
          <w:p w14:paraId="1F314890" w14:textId="77777777" w:rsidR="004E539B" w:rsidRPr="00692D39" w:rsidRDefault="004E539B">
            <w:pPr>
              <w:jc w:val="both"/>
              <w:rPr>
                <w:rFonts w:ascii="Arial" w:hAnsi="Arial" w:cs="Arial"/>
                <w:b/>
              </w:rPr>
            </w:pPr>
          </w:p>
          <w:p w14:paraId="40B97256" w14:textId="77777777" w:rsidR="004E539B" w:rsidRPr="00692D39" w:rsidRDefault="004E539B">
            <w:pPr>
              <w:jc w:val="both"/>
              <w:rPr>
                <w:rFonts w:ascii="Arial" w:hAnsi="Arial" w:cs="Arial"/>
                <w:b/>
              </w:rPr>
            </w:pPr>
          </w:p>
          <w:p w14:paraId="256425A9" w14:textId="77777777" w:rsidR="004E539B" w:rsidRPr="00692D39" w:rsidRDefault="004E539B">
            <w:pPr>
              <w:jc w:val="both"/>
              <w:rPr>
                <w:rFonts w:ascii="Arial" w:hAnsi="Arial" w:cs="Arial"/>
                <w:b/>
              </w:rPr>
            </w:pPr>
            <w:r w:rsidRPr="004E539B">
              <w:rPr>
                <w:b/>
              </w:rPr>
              <w:t>Case No. 21-639-GA-UNC</w:t>
            </w:r>
          </w:p>
        </w:tc>
      </w:tr>
      <w:tr w:rsidR="004E539B" w:rsidRPr="004E539B" w14:paraId="0D76983A" w14:textId="77777777" w:rsidTr="004E539B">
        <w:tc>
          <w:tcPr>
            <w:tcW w:w="4599" w:type="dxa"/>
          </w:tcPr>
          <w:p w14:paraId="04C2E172" w14:textId="77777777" w:rsidR="004E539B" w:rsidRPr="00692D39" w:rsidRDefault="004E539B">
            <w:pPr>
              <w:rPr>
                <w:rFonts w:ascii="Arial" w:hAnsi="Arial" w:cs="Arial"/>
                <w:b/>
              </w:rPr>
            </w:pPr>
          </w:p>
        </w:tc>
        <w:tc>
          <w:tcPr>
            <w:tcW w:w="794" w:type="dxa"/>
          </w:tcPr>
          <w:p w14:paraId="434F7328" w14:textId="77777777" w:rsidR="004E539B" w:rsidRPr="00692D39" w:rsidRDefault="004E539B">
            <w:pPr>
              <w:jc w:val="both"/>
              <w:rPr>
                <w:rFonts w:ascii="Arial" w:hAnsi="Arial" w:cs="Arial"/>
                <w:b/>
              </w:rPr>
            </w:pPr>
          </w:p>
        </w:tc>
        <w:tc>
          <w:tcPr>
            <w:tcW w:w="3967" w:type="dxa"/>
          </w:tcPr>
          <w:p w14:paraId="5A01ADD5" w14:textId="77777777" w:rsidR="004E539B" w:rsidRPr="00692D39" w:rsidRDefault="004E539B">
            <w:pPr>
              <w:jc w:val="both"/>
              <w:rPr>
                <w:rFonts w:ascii="Arial" w:hAnsi="Arial" w:cs="Arial"/>
                <w:b/>
              </w:rPr>
            </w:pPr>
          </w:p>
        </w:tc>
      </w:tr>
      <w:tr w:rsidR="004E539B" w:rsidRPr="004E539B" w14:paraId="2793B5D2" w14:textId="77777777" w:rsidTr="004E539B">
        <w:tc>
          <w:tcPr>
            <w:tcW w:w="4599" w:type="dxa"/>
            <w:hideMark/>
          </w:tcPr>
          <w:p w14:paraId="19BAA65D" w14:textId="77777777" w:rsidR="004E539B" w:rsidRPr="00692D39" w:rsidRDefault="004E539B">
            <w:pPr>
              <w:rPr>
                <w:rFonts w:ascii="Arial" w:hAnsi="Arial" w:cs="Arial"/>
                <w:b/>
              </w:rPr>
            </w:pPr>
            <w:r w:rsidRPr="004E539B">
              <w:rPr>
                <w:b/>
              </w:rPr>
              <w:t>In the Matter of the Application of Columbia Gas of Ohio, Inc. for Approval to Change Accounting Methods.</w:t>
            </w:r>
          </w:p>
        </w:tc>
        <w:tc>
          <w:tcPr>
            <w:tcW w:w="794" w:type="dxa"/>
            <w:hideMark/>
          </w:tcPr>
          <w:p w14:paraId="288D0797" w14:textId="77777777" w:rsidR="004E539B" w:rsidRPr="00692D39" w:rsidRDefault="004E539B">
            <w:pPr>
              <w:jc w:val="both"/>
              <w:rPr>
                <w:rFonts w:ascii="Arial" w:hAnsi="Arial" w:cs="Arial"/>
                <w:b/>
              </w:rPr>
            </w:pPr>
            <w:r w:rsidRPr="004E539B">
              <w:rPr>
                <w:b/>
              </w:rPr>
              <w:t>)</w:t>
            </w:r>
          </w:p>
          <w:p w14:paraId="45690279" w14:textId="77777777" w:rsidR="004E539B" w:rsidRPr="00692D39" w:rsidRDefault="004E539B">
            <w:pPr>
              <w:jc w:val="both"/>
              <w:rPr>
                <w:rFonts w:ascii="Arial" w:hAnsi="Arial" w:cs="Arial"/>
                <w:b/>
              </w:rPr>
            </w:pPr>
            <w:r w:rsidRPr="004E539B">
              <w:rPr>
                <w:b/>
              </w:rPr>
              <w:t>)</w:t>
            </w:r>
          </w:p>
          <w:p w14:paraId="6890B4E5" w14:textId="77777777" w:rsidR="004E539B" w:rsidRPr="00692D39" w:rsidRDefault="004E539B">
            <w:pPr>
              <w:jc w:val="both"/>
              <w:rPr>
                <w:rFonts w:ascii="Arial" w:hAnsi="Arial" w:cs="Arial"/>
                <w:b/>
              </w:rPr>
            </w:pPr>
            <w:r w:rsidRPr="004E539B">
              <w:rPr>
                <w:b/>
              </w:rPr>
              <w:t>)</w:t>
            </w:r>
          </w:p>
        </w:tc>
        <w:tc>
          <w:tcPr>
            <w:tcW w:w="3967" w:type="dxa"/>
          </w:tcPr>
          <w:p w14:paraId="1278A656" w14:textId="77777777" w:rsidR="004E539B" w:rsidRPr="00692D39" w:rsidRDefault="004E539B">
            <w:pPr>
              <w:jc w:val="both"/>
              <w:rPr>
                <w:rFonts w:ascii="Arial" w:hAnsi="Arial" w:cs="Arial"/>
                <w:b/>
              </w:rPr>
            </w:pPr>
          </w:p>
          <w:p w14:paraId="3991EF5C" w14:textId="77777777" w:rsidR="004E539B" w:rsidRPr="00692D39" w:rsidRDefault="004E539B">
            <w:pPr>
              <w:jc w:val="both"/>
              <w:rPr>
                <w:rFonts w:ascii="Arial" w:hAnsi="Arial" w:cs="Arial"/>
                <w:b/>
              </w:rPr>
            </w:pPr>
            <w:r w:rsidRPr="004E539B">
              <w:rPr>
                <w:b/>
              </w:rPr>
              <w:t>Case No. 21-640-GA-AAM</w:t>
            </w:r>
          </w:p>
          <w:p w14:paraId="2E986627" w14:textId="77777777" w:rsidR="004E539B" w:rsidRPr="00692D39" w:rsidRDefault="004E539B">
            <w:pPr>
              <w:jc w:val="both"/>
              <w:rPr>
                <w:rFonts w:ascii="Arial" w:hAnsi="Arial" w:cs="Arial"/>
                <w:b/>
              </w:rPr>
            </w:pPr>
          </w:p>
        </w:tc>
      </w:tr>
    </w:tbl>
    <w:p w14:paraId="68B2EFFC" w14:textId="77777777" w:rsidR="004E539B" w:rsidRPr="004E539B" w:rsidRDefault="004E539B" w:rsidP="004E539B">
      <w:pPr>
        <w:spacing w:after="0"/>
        <w:jc w:val="both"/>
      </w:pPr>
    </w:p>
    <w:p w14:paraId="7323358E" w14:textId="77777777" w:rsidR="004E539B" w:rsidRPr="004E539B" w:rsidRDefault="004E539B" w:rsidP="00692D39">
      <w:pPr>
        <w:widowControl w:val="0"/>
        <w:suppressLineNumbers/>
        <w:pBdr>
          <w:bottom w:val="single" w:sz="12" w:space="11" w:color="auto"/>
        </w:pBdr>
        <w:spacing w:after="0" w:line="240" w:lineRule="auto"/>
      </w:pPr>
    </w:p>
    <w:p w14:paraId="788A919E" w14:textId="7347CD4A" w:rsidR="004E539B" w:rsidRPr="004E539B" w:rsidRDefault="004E539B" w:rsidP="004E539B">
      <w:pPr>
        <w:widowControl w:val="0"/>
        <w:suppressLineNumbers/>
        <w:pBdr>
          <w:bottom w:val="single" w:sz="12" w:space="1" w:color="auto"/>
        </w:pBdr>
        <w:tabs>
          <w:tab w:val="left" w:pos="6461"/>
        </w:tabs>
        <w:spacing w:after="0" w:line="240" w:lineRule="auto"/>
        <w:jc w:val="center"/>
        <w:rPr>
          <w:b/>
          <w:bCs/>
        </w:rPr>
      </w:pPr>
      <w:r w:rsidRPr="004E539B">
        <w:rPr>
          <w:b/>
          <w:bCs/>
        </w:rPr>
        <w:t>MEMORANDUM CONTRA</w:t>
      </w:r>
    </w:p>
    <w:p w14:paraId="249B8333" w14:textId="474F2723" w:rsidR="004E539B" w:rsidRPr="004E539B" w:rsidRDefault="004E539B" w:rsidP="004E539B">
      <w:pPr>
        <w:widowControl w:val="0"/>
        <w:suppressLineNumbers/>
        <w:pBdr>
          <w:bottom w:val="single" w:sz="12" w:space="1" w:color="auto"/>
        </w:pBdr>
        <w:tabs>
          <w:tab w:val="left" w:pos="6461"/>
        </w:tabs>
        <w:spacing w:after="0" w:line="240" w:lineRule="auto"/>
        <w:jc w:val="center"/>
        <w:rPr>
          <w:b/>
          <w:bCs/>
        </w:rPr>
      </w:pPr>
      <w:r w:rsidRPr="004E539B">
        <w:rPr>
          <w:b/>
          <w:bCs/>
        </w:rPr>
        <w:t xml:space="preserve">OF </w:t>
      </w:r>
    </w:p>
    <w:p w14:paraId="429D389D" w14:textId="7F88721F" w:rsidR="004E539B" w:rsidRPr="004E539B" w:rsidRDefault="004E539B" w:rsidP="004E539B">
      <w:pPr>
        <w:widowControl w:val="0"/>
        <w:suppressLineNumbers/>
        <w:pBdr>
          <w:bottom w:val="single" w:sz="12" w:space="1" w:color="auto"/>
        </w:pBdr>
        <w:tabs>
          <w:tab w:val="left" w:pos="6461"/>
        </w:tabs>
        <w:spacing w:after="0" w:line="240" w:lineRule="auto"/>
        <w:jc w:val="center"/>
        <w:rPr>
          <w:b/>
          <w:bCs/>
        </w:rPr>
      </w:pPr>
      <w:r w:rsidRPr="004E539B">
        <w:rPr>
          <w:b/>
          <w:bCs/>
        </w:rPr>
        <w:t>INTERSTATE GAS SUPPLY, INC. TO</w:t>
      </w:r>
    </w:p>
    <w:p w14:paraId="308F141C" w14:textId="07DCEC75" w:rsidR="004E539B" w:rsidRPr="004E539B" w:rsidRDefault="004E539B" w:rsidP="004E539B">
      <w:pPr>
        <w:widowControl w:val="0"/>
        <w:suppressLineNumbers/>
        <w:pBdr>
          <w:bottom w:val="single" w:sz="12" w:space="1" w:color="auto"/>
        </w:pBdr>
        <w:tabs>
          <w:tab w:val="left" w:pos="6461"/>
        </w:tabs>
        <w:spacing w:after="0" w:line="240" w:lineRule="auto"/>
        <w:jc w:val="center"/>
      </w:pPr>
      <w:r w:rsidRPr="004E539B">
        <w:rPr>
          <w:b/>
          <w:bCs/>
        </w:rPr>
        <w:t>COLUMBIA GAS OF OHIO, INC.’S MOTION TO STRIKE OBJECTIONS</w:t>
      </w:r>
    </w:p>
    <w:p w14:paraId="640757D3" w14:textId="77777777" w:rsidR="004E539B" w:rsidRPr="009813C5" w:rsidRDefault="004E539B" w:rsidP="000418B0"/>
    <w:p w14:paraId="32FB6504" w14:textId="41D3E748" w:rsidR="00390ABB" w:rsidRDefault="00390ABB" w:rsidP="00C11356">
      <w:pPr>
        <w:pStyle w:val="ListParagraph"/>
        <w:numPr>
          <w:ilvl w:val="0"/>
          <w:numId w:val="1"/>
        </w:numPr>
        <w:spacing w:after="0"/>
        <w:jc w:val="both"/>
        <w:rPr>
          <w:b/>
          <w:bCs/>
        </w:rPr>
      </w:pPr>
      <w:r w:rsidRPr="00692D39">
        <w:rPr>
          <w:b/>
          <w:bCs/>
        </w:rPr>
        <w:t>Introduction</w:t>
      </w:r>
    </w:p>
    <w:p w14:paraId="795C7F8F" w14:textId="77777777" w:rsidR="00C11356" w:rsidRPr="00692D39" w:rsidRDefault="00C11356" w:rsidP="00692D39">
      <w:pPr>
        <w:pStyle w:val="ListParagraph"/>
        <w:spacing w:after="0"/>
        <w:ind w:left="1080"/>
        <w:jc w:val="both"/>
        <w:rPr>
          <w:b/>
          <w:bCs/>
        </w:rPr>
      </w:pPr>
    </w:p>
    <w:p w14:paraId="3655FAA2" w14:textId="259DD3DB" w:rsidR="00FC1C4E" w:rsidRDefault="00FC62C1" w:rsidP="00ED1A7D">
      <w:pPr>
        <w:spacing w:after="0" w:line="480" w:lineRule="auto"/>
        <w:ind w:firstLine="720"/>
        <w:jc w:val="both"/>
      </w:pPr>
      <w:r>
        <w:t>In this case, Columbia of Ohio</w:t>
      </w:r>
      <w:r w:rsidR="00FC1C4E">
        <w:t>, Inc. (“Columbia”)</w:t>
      </w:r>
      <w:r>
        <w:t xml:space="preserve"> seeks to increase and modify its distribution rates, adjust accounting requirements, and amend its alternative rate plan. </w:t>
      </w:r>
      <w:r w:rsidRPr="00692D39">
        <w:t xml:space="preserve">Application </w:t>
      </w:r>
      <w:r>
        <w:t xml:space="preserve">(June 30, 2021). </w:t>
      </w:r>
      <w:r w:rsidR="00F172F3">
        <w:t>As set out in</w:t>
      </w:r>
      <w:r>
        <w:t xml:space="preserve"> the Application and the resulting Staff Report of Investigation</w:t>
      </w:r>
      <w:r w:rsidR="00F172F3">
        <w:t xml:space="preserve">, Columbia continues to provide default service to commercial and industrial customers through the Standard Choice Offer and apply switching fees to any customer that switches to a competitive supplier and proposed rates are set on that basis. See, e.g., </w:t>
      </w:r>
      <w:r w:rsidR="00F172F3" w:rsidRPr="0060432A">
        <w:t>Application</w:t>
      </w:r>
      <w:r w:rsidR="00F172F3" w:rsidRPr="00692D39">
        <w:rPr>
          <w:i/>
          <w:iCs/>
        </w:rPr>
        <w:t xml:space="preserve">, </w:t>
      </w:r>
      <w:r w:rsidR="00F172F3" w:rsidRPr="0060432A">
        <w:t xml:space="preserve">Direct Testimony of </w:t>
      </w:r>
      <w:r w:rsidR="00F26A47" w:rsidRPr="0060432A">
        <w:t>Melissa Thompson</w:t>
      </w:r>
      <w:r w:rsidR="00F26A47">
        <w:t xml:space="preserve"> at 8</w:t>
      </w:r>
      <w:r w:rsidR="0060432A">
        <w:t>,</w:t>
      </w:r>
      <w:r w:rsidR="00F26A47">
        <w:t xml:space="preserve"> and </w:t>
      </w:r>
      <w:r w:rsidR="00F172F3">
        <w:t xml:space="preserve">Schedule E; </w:t>
      </w:r>
      <w:r w:rsidR="00F172F3" w:rsidRPr="0060432A">
        <w:t xml:space="preserve">Staff </w:t>
      </w:r>
      <w:r w:rsidR="00F172F3" w:rsidRPr="0060432A">
        <w:lastRenderedPageBreak/>
        <w:t>Report</w:t>
      </w:r>
      <w:r w:rsidR="00F172F3" w:rsidRPr="00692D39">
        <w:rPr>
          <w:i/>
          <w:iCs/>
        </w:rPr>
        <w:t xml:space="preserve"> </w:t>
      </w:r>
      <w:r w:rsidR="00F172F3">
        <w:t>at</w:t>
      </w:r>
      <w:r w:rsidR="00F26A47">
        <w:t xml:space="preserve"> 18 and Schedule B-6.</w:t>
      </w:r>
      <w:r w:rsidR="00F26A47" w:rsidRPr="009813C5">
        <w:t xml:space="preserve"> </w:t>
      </w:r>
      <w:r w:rsidR="00F26A47">
        <w:t xml:space="preserve">Columbia elected to leave a switching fee applied to only those customers taking gas supply from a </w:t>
      </w:r>
      <w:r w:rsidR="00FC1C4E">
        <w:t xml:space="preserve">competitive supplier unchanged, and the Staff Report does not address the charge. </w:t>
      </w:r>
    </w:p>
    <w:p w14:paraId="17157867" w14:textId="387156A6" w:rsidR="00390ABB" w:rsidRPr="009813C5" w:rsidRDefault="00116EB8" w:rsidP="000418B0">
      <w:pPr>
        <w:spacing w:after="0" w:line="480" w:lineRule="auto"/>
        <w:ind w:firstLine="720"/>
        <w:jc w:val="both"/>
      </w:pPr>
      <w:r w:rsidRPr="009813C5">
        <w:t xml:space="preserve">Through </w:t>
      </w:r>
      <w:r w:rsidR="00CF16A8" w:rsidRPr="009813C5">
        <w:t>Objections 4 and 5</w:t>
      </w:r>
      <w:r w:rsidRPr="009813C5">
        <w:t xml:space="preserve"> to the </w:t>
      </w:r>
      <w:r w:rsidR="0060432A">
        <w:t>A</w:t>
      </w:r>
      <w:r w:rsidRPr="009813C5">
        <w:t xml:space="preserve">pplication and </w:t>
      </w:r>
      <w:r w:rsidR="00ED1A7D" w:rsidRPr="009813C5">
        <w:t>S</w:t>
      </w:r>
      <w:r w:rsidRPr="009813C5">
        <w:t xml:space="preserve">taff </w:t>
      </w:r>
      <w:r w:rsidR="00ED1A7D" w:rsidRPr="009813C5">
        <w:t>R</w:t>
      </w:r>
      <w:r w:rsidRPr="009813C5">
        <w:t>eport</w:t>
      </w:r>
      <w:r w:rsidR="00F26A47">
        <w:t xml:space="preserve">, </w:t>
      </w:r>
      <w:r w:rsidRPr="009813C5">
        <w:t xml:space="preserve">Interstate Gas Supply, Inc. (“IGS”) has placed in issue the failure of Columbia and the Staff of the Public Utilities Commission of Ohio to </w:t>
      </w:r>
      <w:r w:rsidR="00AC1892">
        <w:t xml:space="preserve">properly address </w:t>
      </w:r>
      <w:r w:rsidRPr="009813C5">
        <w:t xml:space="preserve">supplier rates and the on-going failure of </w:t>
      </w:r>
      <w:r w:rsidR="00ED1A7D" w:rsidRPr="009813C5">
        <w:t>Columbia</w:t>
      </w:r>
      <w:r w:rsidRPr="009813C5">
        <w:t xml:space="preserve"> and the Staff to advance competition as required by Ohio law. In a motion to strike, Columbia seeks to isolate this case from the steps that should be taken to address supplier charges and Columbia’s migration of commercial and industrial customers. </w:t>
      </w:r>
      <w:r w:rsidR="000355DD" w:rsidRPr="00692D39">
        <w:t xml:space="preserve">Columbia Gas of Ohio, Inc.’s Motion to Strike Objections of Interstate Gas Supply, Inc. and Retail Energy Supply </w:t>
      </w:r>
      <w:r w:rsidR="009813C5" w:rsidRPr="00692D39">
        <w:t>Association</w:t>
      </w:r>
      <w:r w:rsidR="000355DD" w:rsidRPr="00692D39">
        <w:t xml:space="preserve"> </w:t>
      </w:r>
      <w:r w:rsidR="000355DD" w:rsidRPr="009813C5">
        <w:t>(May 16, 2022)</w:t>
      </w:r>
      <w:r w:rsidR="00CB5A00">
        <w:t xml:space="preserve"> (“Columbia Motion to Dismiss”)</w:t>
      </w:r>
      <w:r w:rsidR="000355DD" w:rsidRPr="009813C5">
        <w:t>. Because t</w:t>
      </w:r>
      <w:r w:rsidRPr="009813C5">
        <w:t xml:space="preserve">hat attempt is not supported by Ohio law, the Commission should deny Columbia’s motion to strike IGS Objections </w:t>
      </w:r>
      <w:r w:rsidR="00CF16A8" w:rsidRPr="009813C5">
        <w:t>4</w:t>
      </w:r>
      <w:r w:rsidRPr="009813C5">
        <w:t xml:space="preserve"> and </w:t>
      </w:r>
      <w:r w:rsidR="00CF16A8" w:rsidRPr="009813C5">
        <w:t>5</w:t>
      </w:r>
      <w:r w:rsidRPr="009813C5">
        <w:t>.</w:t>
      </w:r>
    </w:p>
    <w:p w14:paraId="5AF6F697" w14:textId="6F7C0C15" w:rsidR="00FB2B6D" w:rsidRPr="00692D39" w:rsidRDefault="00FB2B6D" w:rsidP="00692D39">
      <w:pPr>
        <w:pStyle w:val="ListParagraph"/>
        <w:numPr>
          <w:ilvl w:val="0"/>
          <w:numId w:val="1"/>
        </w:numPr>
        <w:spacing w:after="0"/>
        <w:jc w:val="both"/>
        <w:rPr>
          <w:b/>
          <w:bCs/>
        </w:rPr>
      </w:pPr>
      <w:r w:rsidRPr="00692D39">
        <w:rPr>
          <w:b/>
          <w:bCs/>
        </w:rPr>
        <w:t xml:space="preserve">The </w:t>
      </w:r>
      <w:r w:rsidR="00ED1A7D" w:rsidRPr="00692D39">
        <w:rPr>
          <w:b/>
          <w:bCs/>
        </w:rPr>
        <w:t>p</w:t>
      </w:r>
      <w:r w:rsidRPr="00692D39">
        <w:rPr>
          <w:b/>
          <w:bCs/>
        </w:rPr>
        <w:t xml:space="preserve">urpose of </w:t>
      </w:r>
      <w:r w:rsidR="00ED1A7D" w:rsidRPr="00692D39">
        <w:rPr>
          <w:b/>
          <w:bCs/>
        </w:rPr>
        <w:t>o</w:t>
      </w:r>
      <w:r w:rsidRPr="00692D39">
        <w:rPr>
          <w:b/>
          <w:bCs/>
        </w:rPr>
        <w:t xml:space="preserve">bjections is </w:t>
      </w:r>
      <w:r w:rsidR="00390ABB" w:rsidRPr="00692D39">
        <w:rPr>
          <w:b/>
          <w:bCs/>
        </w:rPr>
        <w:t>to provide timely and specific notice of the claims a party seeks to advance at hearing</w:t>
      </w:r>
      <w:r w:rsidR="00FC1C4E" w:rsidRPr="00692D39">
        <w:rPr>
          <w:b/>
          <w:bCs/>
        </w:rPr>
        <w:t>; these objections must demonstrate a sufficient nexus to the application and Staff Report</w:t>
      </w:r>
    </w:p>
    <w:p w14:paraId="2353EFF3" w14:textId="77777777" w:rsidR="00390ABB" w:rsidRPr="009813C5" w:rsidRDefault="00390ABB" w:rsidP="00AB0734">
      <w:pPr>
        <w:spacing w:after="0"/>
        <w:jc w:val="both"/>
      </w:pPr>
    </w:p>
    <w:p w14:paraId="636FC164" w14:textId="7F88C946" w:rsidR="000F6CF7" w:rsidRPr="009813C5" w:rsidRDefault="00FB2B6D" w:rsidP="00ED1A7D">
      <w:pPr>
        <w:spacing w:after="0" w:line="480" w:lineRule="auto"/>
        <w:jc w:val="both"/>
      </w:pPr>
      <w:r w:rsidRPr="009813C5">
        <w:tab/>
        <w:t xml:space="preserve">R.C. 4909.19 and Rules </w:t>
      </w:r>
      <w:r w:rsidR="00606A1E" w:rsidRPr="009813C5">
        <w:t>4901-1-28</w:t>
      </w:r>
      <w:r w:rsidR="000F6CF7" w:rsidRPr="009813C5">
        <w:rPr>
          <w:rStyle w:val="FootnoteReference"/>
        </w:rPr>
        <w:footnoteReference w:id="1"/>
      </w:r>
      <w:r w:rsidR="00606A1E" w:rsidRPr="009813C5">
        <w:t xml:space="preserve"> </w:t>
      </w:r>
      <w:r w:rsidRPr="009813C5">
        <w:t xml:space="preserve">govern this motion. </w:t>
      </w:r>
      <w:r w:rsidRPr="009813C5">
        <w:rPr>
          <w:shd w:val="clear" w:color="auto" w:fill="FFFFFF"/>
        </w:rPr>
        <w:t>R.C 4909.19 allows the filing of objections by interested persons.</w:t>
      </w:r>
      <w:r w:rsidR="00DF51D1" w:rsidRPr="009813C5">
        <w:rPr>
          <w:shd w:val="clear" w:color="auto" w:fill="FFFFFF"/>
        </w:rPr>
        <w:t xml:space="preserve"> </w:t>
      </w:r>
      <w:r w:rsidRPr="009813C5">
        <w:rPr>
          <w:shd w:val="clear" w:color="auto" w:fill="FFFFFF"/>
        </w:rPr>
        <w:t>Rule 4901-1-28</w:t>
      </w:r>
      <w:r w:rsidR="00606A1E" w:rsidRPr="009813C5">
        <w:rPr>
          <w:shd w:val="clear" w:color="auto" w:fill="FFFFFF"/>
        </w:rPr>
        <w:t xml:space="preserve"> </w:t>
      </w:r>
      <w:r w:rsidRPr="009813C5">
        <w:rPr>
          <w:shd w:val="clear" w:color="auto" w:fill="FFFFFF"/>
        </w:rPr>
        <w:t xml:space="preserve">further clarifies the procedure, </w:t>
      </w:r>
      <w:r w:rsidRPr="009813C5">
        <w:rPr>
          <w:shd w:val="clear" w:color="auto" w:fill="FFFFFF"/>
        </w:rPr>
        <w:lastRenderedPageBreak/>
        <w:t>statin</w:t>
      </w:r>
      <w:r w:rsidR="00FC1FF4" w:rsidRPr="009813C5">
        <w:rPr>
          <w:shd w:val="clear" w:color="auto" w:fill="FFFFFF"/>
        </w:rPr>
        <w:t xml:space="preserve">g </w:t>
      </w:r>
      <w:r w:rsidR="0007369D" w:rsidRPr="009813C5">
        <w:rPr>
          <w:shd w:val="clear" w:color="auto" w:fill="FFFFFF"/>
        </w:rPr>
        <w:t xml:space="preserve">that objections </w:t>
      </w:r>
      <w:r w:rsidR="00FC1FF4" w:rsidRPr="009813C5">
        <w:rPr>
          <w:shd w:val="clear" w:color="auto" w:fill="FFFFFF"/>
        </w:rPr>
        <w:t>must be filed within thirty days of the issuance of the Staff Report</w:t>
      </w:r>
      <w:r w:rsidR="0007369D" w:rsidRPr="009813C5">
        <w:rPr>
          <w:shd w:val="clear" w:color="auto" w:fill="FFFFFF"/>
        </w:rPr>
        <w:t>. It continues</w:t>
      </w:r>
      <w:r w:rsidR="00606A1E" w:rsidRPr="009813C5">
        <w:rPr>
          <w:shd w:val="clear" w:color="auto" w:fill="FFFFFF"/>
        </w:rPr>
        <w:t xml:space="preserve"> </w:t>
      </w:r>
      <w:r w:rsidRPr="009813C5">
        <w:rPr>
          <w:shd w:val="clear" w:color="auto" w:fill="FFFFFF"/>
        </w:rPr>
        <w:t xml:space="preserve">that the "objections may relate to the findings, conclusions, or recommendations contained in the report, </w:t>
      </w:r>
      <w:r w:rsidRPr="009813C5">
        <w:rPr>
          <w:i/>
          <w:iCs/>
          <w:shd w:val="clear" w:color="auto" w:fill="FFFFFF"/>
        </w:rPr>
        <w:t xml:space="preserve">or to the failure of the report to address one more specific </w:t>
      </w:r>
      <w:proofErr w:type="gramStart"/>
      <w:r w:rsidRPr="009813C5">
        <w:rPr>
          <w:i/>
          <w:iCs/>
          <w:shd w:val="clear" w:color="auto" w:fill="FFFFFF"/>
        </w:rPr>
        <w:t>items</w:t>
      </w:r>
      <w:proofErr w:type="gramEnd"/>
      <w:r w:rsidRPr="009813C5">
        <w:rPr>
          <w:i/>
          <w:iCs/>
          <w:shd w:val="clear" w:color="auto" w:fill="FFFFFF"/>
        </w:rPr>
        <w:t>.</w:t>
      </w:r>
      <w:r w:rsidRPr="009813C5">
        <w:rPr>
          <w:shd w:val="clear" w:color="auto" w:fill="FFFFFF"/>
        </w:rPr>
        <w:t xml:space="preserve"> All objections must be specific, and objections which fail to meet this requirement may be stricken."</w:t>
      </w:r>
      <w:r w:rsidR="00606A1E" w:rsidRPr="009813C5">
        <w:rPr>
          <w:shd w:val="clear" w:color="auto" w:fill="FFFFFF"/>
        </w:rPr>
        <w:t xml:space="preserve"> </w:t>
      </w:r>
      <w:r w:rsidR="000F6CF7" w:rsidRPr="009813C5">
        <w:rPr>
          <w:shd w:val="clear" w:color="auto" w:fill="FFFFFF"/>
        </w:rPr>
        <w:t xml:space="preserve">(Emphasis added.) As the Commission explained its rules regarding rate cases, </w:t>
      </w:r>
      <w:r w:rsidR="00606A1E" w:rsidRPr="009813C5">
        <w:rPr>
          <w:shd w:val="clear" w:color="auto" w:fill="FFFFFF"/>
        </w:rPr>
        <w:t>“</w:t>
      </w:r>
      <w:r w:rsidRPr="00630BA6">
        <w:rPr>
          <w:shd w:val="clear" w:color="auto" w:fill="FFFFFF"/>
        </w:rPr>
        <w:t xml:space="preserve">Thus, the </w:t>
      </w:r>
      <w:r w:rsidRPr="00630BA6">
        <w:rPr>
          <w:i/>
          <w:iCs/>
          <w:shd w:val="clear" w:color="auto" w:fill="FFFFFF"/>
        </w:rPr>
        <w:t>only</w:t>
      </w:r>
      <w:r w:rsidRPr="00630BA6">
        <w:rPr>
          <w:shd w:val="clear" w:color="auto" w:fill="FFFFFF"/>
        </w:rPr>
        <w:t xml:space="preserve"> requirements as to objections are that they must relate to findings, conclusions, or recommendation in a staff report, or must relate to the failure of the staff report to address as </w:t>
      </w:r>
      <w:proofErr w:type="gramStart"/>
      <w:r w:rsidRPr="00630BA6">
        <w:rPr>
          <w:shd w:val="clear" w:color="auto" w:fill="FFFFFF"/>
        </w:rPr>
        <w:t>items, and</w:t>
      </w:r>
      <w:proofErr w:type="gramEnd"/>
      <w:r w:rsidRPr="00630BA6">
        <w:rPr>
          <w:shd w:val="clear" w:color="auto" w:fill="FFFFFF"/>
        </w:rPr>
        <w:t xml:space="preserve"> must be specific.</w:t>
      </w:r>
      <w:r w:rsidR="00606A1E" w:rsidRPr="00630BA6">
        <w:rPr>
          <w:shd w:val="clear" w:color="auto" w:fill="FFFFFF"/>
        </w:rPr>
        <w:t>”</w:t>
      </w:r>
      <w:r w:rsidR="00606A1E" w:rsidRPr="009813C5">
        <w:rPr>
          <w:i/>
          <w:iCs/>
          <w:shd w:val="clear" w:color="auto" w:fill="FFFFFF"/>
        </w:rPr>
        <w:t xml:space="preserve"> </w:t>
      </w:r>
      <w:r w:rsidR="000F6CF7" w:rsidRPr="00692D39">
        <w:rPr>
          <w:i/>
          <w:iCs/>
          <w:shd w:val="clear" w:color="auto" w:fill="FFFFFF"/>
        </w:rPr>
        <w:t>In the Matter of the Application of Water and Sewer LLC for an Increase in its Rates and Charges</w:t>
      </w:r>
      <w:r w:rsidR="000F6CF7" w:rsidRPr="009813C5">
        <w:rPr>
          <w:shd w:val="clear" w:color="auto" w:fill="FFFFFF"/>
        </w:rPr>
        <w:t>,</w:t>
      </w:r>
      <w:r w:rsidR="000F6CF7" w:rsidRPr="009813C5">
        <w:rPr>
          <w:i/>
          <w:iCs/>
          <w:shd w:val="clear" w:color="auto" w:fill="FFFFFF"/>
        </w:rPr>
        <w:t xml:space="preserve"> </w:t>
      </w:r>
      <w:r w:rsidR="000F6CF7" w:rsidRPr="009813C5">
        <w:rPr>
          <w:shd w:val="clear" w:color="auto" w:fill="FFFFFF"/>
        </w:rPr>
        <w:t>Case No. 08-227-WS-AIR, Opinion ¶ 5 (Apr. 14, 2009) (emphasis added).</w:t>
      </w:r>
    </w:p>
    <w:p w14:paraId="128FDDA6" w14:textId="2C3B5055" w:rsidR="003256A4" w:rsidRPr="009813C5" w:rsidRDefault="00DF51D1" w:rsidP="00ED1A7D">
      <w:pPr>
        <w:spacing w:after="0" w:line="480" w:lineRule="auto"/>
        <w:ind w:firstLine="720"/>
        <w:jc w:val="both"/>
        <w:rPr>
          <w:shd w:val="clear" w:color="auto" w:fill="FFFFFF"/>
        </w:rPr>
      </w:pPr>
      <w:r w:rsidRPr="009813C5">
        <w:rPr>
          <w:shd w:val="clear" w:color="auto" w:fill="FFFFFF"/>
        </w:rPr>
        <w:t>The purpose of objections is to place the applicant, the Staff, and other parties on notice as to the issues that will be litigated.</w:t>
      </w:r>
      <w:r w:rsidR="005D7C2B" w:rsidRPr="009813C5">
        <w:rPr>
          <w:shd w:val="clear" w:color="auto" w:fill="FFFFFF"/>
        </w:rPr>
        <w:t xml:space="preserve"> </w:t>
      </w:r>
      <w:r w:rsidR="005D7C2B" w:rsidRPr="00692D39">
        <w:rPr>
          <w:i/>
          <w:iCs/>
          <w:shd w:val="clear" w:color="auto" w:fill="FFFFFF"/>
        </w:rPr>
        <w:t>In the Matter of the Application of The Dayton Power and Light Company for Authority to Modify and Increase its Rates for Gas Service to All Jurisdictional Customers</w:t>
      </w:r>
      <w:r w:rsidR="005D7C2B" w:rsidRPr="009813C5">
        <w:rPr>
          <w:shd w:val="clear" w:color="auto" w:fill="FFFFFF"/>
        </w:rPr>
        <w:t>, Case No. 88-777-GA-AIR, 1984 Ohio PUC LEXIS 26 Opinion and Order, at *11-12 (Aug. 7, 1984).</w:t>
      </w:r>
      <w:r w:rsidR="00855452" w:rsidRPr="009813C5">
        <w:rPr>
          <w:shd w:val="clear" w:color="auto" w:fill="FFFFFF"/>
        </w:rPr>
        <w:t xml:space="preserve"> </w:t>
      </w:r>
      <w:r w:rsidR="000355DD" w:rsidRPr="009813C5">
        <w:rPr>
          <w:shd w:val="clear" w:color="auto" w:fill="FFFFFF"/>
        </w:rPr>
        <w:t xml:space="preserve">This function of providing notice is not limited to </w:t>
      </w:r>
      <w:r w:rsidR="00855452" w:rsidRPr="009813C5">
        <w:rPr>
          <w:shd w:val="clear" w:color="auto" w:fill="FFFFFF"/>
        </w:rPr>
        <w:t>the narrow view of Columbia that its application somehow dictates what parties may address in objections</w:t>
      </w:r>
      <w:r w:rsidR="000355DD" w:rsidRPr="009813C5">
        <w:rPr>
          <w:shd w:val="clear" w:color="auto" w:fill="FFFFFF"/>
        </w:rPr>
        <w:t>.</w:t>
      </w:r>
      <w:r w:rsidR="005D7C2B" w:rsidRPr="009813C5">
        <w:rPr>
          <w:shd w:val="clear" w:color="auto" w:fill="FFFFFF"/>
        </w:rPr>
        <w:t xml:space="preserve"> </w:t>
      </w:r>
      <w:r w:rsidR="005D7C2B" w:rsidRPr="00692D39">
        <w:rPr>
          <w:shd w:val="clear" w:color="auto" w:fill="FFFFFF"/>
        </w:rPr>
        <w:t>Columbia Motion to Strike</w:t>
      </w:r>
      <w:r w:rsidR="005D7C2B" w:rsidRPr="009813C5">
        <w:rPr>
          <w:shd w:val="clear" w:color="auto" w:fill="FFFFFF"/>
        </w:rPr>
        <w:t xml:space="preserve"> at 3-4.</w:t>
      </w:r>
      <w:r w:rsidR="00855452" w:rsidRPr="009813C5">
        <w:rPr>
          <w:shd w:val="clear" w:color="auto" w:fill="FFFFFF"/>
        </w:rPr>
        <w:t xml:space="preserve"> </w:t>
      </w:r>
      <w:r w:rsidR="005D7C2B" w:rsidRPr="009813C5">
        <w:rPr>
          <w:shd w:val="clear" w:color="auto" w:fill="FFFFFF"/>
        </w:rPr>
        <w:t xml:space="preserve">As previously noted, </w:t>
      </w:r>
      <w:r w:rsidR="00855452" w:rsidRPr="009813C5">
        <w:rPr>
          <w:shd w:val="clear" w:color="auto" w:fill="FFFFFF"/>
        </w:rPr>
        <w:t xml:space="preserve">the Commission rule governing </w:t>
      </w:r>
      <w:r w:rsidR="005D7C2B" w:rsidRPr="009813C5">
        <w:rPr>
          <w:shd w:val="clear" w:color="auto" w:fill="FFFFFF"/>
        </w:rPr>
        <w:t xml:space="preserve">objections </w:t>
      </w:r>
      <w:r w:rsidR="003256A4" w:rsidRPr="009813C5">
        <w:rPr>
          <w:shd w:val="clear" w:color="auto" w:fill="FFFFFF"/>
        </w:rPr>
        <w:t xml:space="preserve">in </w:t>
      </w:r>
      <w:r w:rsidR="00855452" w:rsidRPr="009813C5">
        <w:rPr>
          <w:shd w:val="clear" w:color="auto" w:fill="FFFFFF"/>
        </w:rPr>
        <w:t xml:space="preserve">rate cases provides that objections may raise issues that the Staff Report failed to address. </w:t>
      </w:r>
      <w:r w:rsidR="00630BA6">
        <w:rPr>
          <w:shd w:val="clear" w:color="auto" w:fill="FFFFFF"/>
        </w:rPr>
        <w:t>To this end</w:t>
      </w:r>
      <w:r w:rsidR="006946DD" w:rsidRPr="009813C5">
        <w:rPr>
          <w:shd w:val="clear" w:color="auto" w:fill="FFFFFF"/>
        </w:rPr>
        <w:t>,</w:t>
      </w:r>
      <w:r w:rsidR="003256A4" w:rsidRPr="009813C5">
        <w:rPr>
          <w:shd w:val="clear" w:color="auto" w:fill="FFFFFF"/>
        </w:rPr>
        <w:t xml:space="preserve"> the Commission has permitted parties to go forward if their objections </w:t>
      </w:r>
      <w:r w:rsidR="006946DD" w:rsidRPr="009813C5">
        <w:rPr>
          <w:shd w:val="clear" w:color="auto" w:fill="FFFFFF"/>
        </w:rPr>
        <w:t xml:space="preserve">show a “sufficient nexus” between issues not </w:t>
      </w:r>
      <w:r w:rsidR="006946DD" w:rsidRPr="009813C5">
        <w:rPr>
          <w:shd w:val="clear" w:color="auto" w:fill="FFFFFF"/>
        </w:rPr>
        <w:lastRenderedPageBreak/>
        <w:t xml:space="preserve">addressed in the application and </w:t>
      </w:r>
      <w:r w:rsidR="0007369D" w:rsidRPr="009813C5">
        <w:rPr>
          <w:shd w:val="clear" w:color="auto" w:fill="FFFFFF"/>
        </w:rPr>
        <w:t>those that are expressly put in issue.</w:t>
      </w:r>
      <w:r w:rsidR="006946DD" w:rsidRPr="009813C5">
        <w:rPr>
          <w:shd w:val="clear" w:color="auto" w:fill="FFFFFF"/>
        </w:rPr>
        <w:t xml:space="preserve"> </w:t>
      </w:r>
      <w:r w:rsidR="003256A4" w:rsidRPr="00692D39">
        <w:rPr>
          <w:i/>
          <w:iCs/>
          <w:shd w:val="clear" w:color="auto" w:fill="FFFFFF"/>
        </w:rPr>
        <w:t>In the Matter of the Application of The Toledo Company for Authority to Amend and Increase Certain of Its Rates and Charges for Electric Service</w:t>
      </w:r>
      <w:r w:rsidR="003256A4" w:rsidRPr="009813C5">
        <w:rPr>
          <w:shd w:val="clear" w:color="auto" w:fill="FFFFFF"/>
        </w:rPr>
        <w:t>, Case No. 95-299-EL-AIR, 1996 Ohio PUC LEXIS 180, *215 (Apr. 11-1996).</w:t>
      </w:r>
    </w:p>
    <w:p w14:paraId="246A7117" w14:textId="03C08A07" w:rsidR="00390ABB" w:rsidRPr="009813C5" w:rsidRDefault="00F635A5" w:rsidP="000418B0">
      <w:pPr>
        <w:spacing w:after="0" w:line="480" w:lineRule="auto"/>
        <w:ind w:firstLine="720"/>
        <w:jc w:val="both"/>
        <w:rPr>
          <w:shd w:val="clear" w:color="auto" w:fill="FFFFFF"/>
        </w:rPr>
      </w:pPr>
      <w:r w:rsidRPr="009813C5">
        <w:rPr>
          <w:shd w:val="clear" w:color="auto" w:fill="FFFFFF"/>
        </w:rPr>
        <w:t xml:space="preserve">Because the purpose of objections is to place parties on notice of issues that will be raised concerning the application and Staff Report, the objections cannot be properly struck on substantive grounds. In a case involving a request to increase rates by a water company, for example, the Commission rejected an attempt by the applicant to strike objections on the ground that the issue had been addressed in another case. </w:t>
      </w:r>
      <w:r w:rsidRPr="00692D39">
        <w:rPr>
          <w:i/>
          <w:iCs/>
          <w:shd w:val="clear" w:color="auto" w:fill="FFFFFF"/>
        </w:rPr>
        <w:t>In the Matter of the Application of Water and Sewer LLC for an Increase in its Rates and Charges</w:t>
      </w:r>
      <w:r w:rsidRPr="009813C5">
        <w:rPr>
          <w:shd w:val="clear" w:color="auto" w:fill="FFFFFF"/>
        </w:rPr>
        <w:t>, supra, Opinion ¶ 7. Other grounds for deciding a matter are left to the hearing and briefing.</w:t>
      </w:r>
    </w:p>
    <w:p w14:paraId="1C47F062" w14:textId="03D70DC2" w:rsidR="00033984" w:rsidRPr="00692D39" w:rsidRDefault="00F635A5" w:rsidP="00692D39">
      <w:pPr>
        <w:pStyle w:val="ListParagraph"/>
        <w:numPr>
          <w:ilvl w:val="0"/>
          <w:numId w:val="1"/>
        </w:numPr>
        <w:spacing w:after="0"/>
        <w:jc w:val="both"/>
        <w:rPr>
          <w:b/>
          <w:bCs/>
          <w:shd w:val="clear" w:color="auto" w:fill="FFFFFF"/>
        </w:rPr>
      </w:pPr>
      <w:r w:rsidRPr="00692D39">
        <w:rPr>
          <w:b/>
          <w:bCs/>
          <w:shd w:val="clear" w:color="auto" w:fill="FFFFFF"/>
        </w:rPr>
        <w:t>IGS</w:t>
      </w:r>
      <w:r w:rsidR="00033984" w:rsidRPr="00692D39">
        <w:rPr>
          <w:b/>
          <w:bCs/>
          <w:shd w:val="clear" w:color="auto" w:fill="FFFFFF"/>
        </w:rPr>
        <w:t xml:space="preserve">’s Objection 4 concerning the failure of the application and the Staff Report to </w:t>
      </w:r>
      <w:r w:rsidR="00630BA6" w:rsidRPr="00692D39">
        <w:rPr>
          <w:b/>
          <w:bCs/>
          <w:shd w:val="clear" w:color="auto" w:fill="FFFFFF"/>
        </w:rPr>
        <w:t xml:space="preserve">address </w:t>
      </w:r>
      <w:r w:rsidR="00033984" w:rsidRPr="00692D39">
        <w:rPr>
          <w:b/>
          <w:bCs/>
          <w:shd w:val="clear" w:color="auto" w:fill="FFFFFF"/>
        </w:rPr>
        <w:t xml:space="preserve">Columbia’s exit from the merchant function for commercial and industrial customers </w:t>
      </w:r>
      <w:r w:rsidR="00D2087C" w:rsidRPr="00692D39">
        <w:rPr>
          <w:b/>
          <w:bCs/>
          <w:shd w:val="clear" w:color="auto" w:fill="FFFFFF"/>
        </w:rPr>
        <w:t>is properly before the Commission</w:t>
      </w:r>
    </w:p>
    <w:p w14:paraId="52AFF9BB" w14:textId="77777777" w:rsidR="00390ABB" w:rsidRPr="009813C5" w:rsidRDefault="00390ABB" w:rsidP="00AB0734">
      <w:pPr>
        <w:spacing w:after="0"/>
        <w:jc w:val="both"/>
        <w:rPr>
          <w:shd w:val="clear" w:color="auto" w:fill="FFFFFF"/>
        </w:rPr>
      </w:pPr>
    </w:p>
    <w:p w14:paraId="0566A808" w14:textId="1819F2C1" w:rsidR="00F635A5" w:rsidRPr="009813C5" w:rsidRDefault="00033984" w:rsidP="00ED1A7D">
      <w:pPr>
        <w:spacing w:after="0" w:line="480" w:lineRule="auto"/>
        <w:ind w:firstLine="720"/>
        <w:jc w:val="both"/>
        <w:rPr>
          <w:shd w:val="clear" w:color="auto" w:fill="FFFFFF"/>
        </w:rPr>
      </w:pPr>
      <w:r w:rsidRPr="009813C5">
        <w:rPr>
          <w:shd w:val="clear" w:color="auto" w:fill="FFFFFF"/>
        </w:rPr>
        <w:t xml:space="preserve">In Objection 4, IGS objects to the failure of the application and the Staff Report to recommend that Columbia exit the merchant function for commercial and industrial customers. In its motion to strike, Columbia argues </w:t>
      </w:r>
      <w:r w:rsidR="0058316F" w:rsidRPr="009813C5">
        <w:rPr>
          <w:shd w:val="clear" w:color="auto" w:fill="FFFFFF"/>
        </w:rPr>
        <w:t xml:space="preserve">that </w:t>
      </w:r>
      <w:r w:rsidR="00317744">
        <w:rPr>
          <w:shd w:val="clear" w:color="auto" w:fill="FFFFFF"/>
        </w:rPr>
        <w:t xml:space="preserve">the </w:t>
      </w:r>
      <w:r w:rsidR="00AC1892">
        <w:rPr>
          <w:shd w:val="clear" w:color="auto" w:fill="FFFFFF"/>
        </w:rPr>
        <w:t>exit the</w:t>
      </w:r>
      <w:r w:rsidR="00AC1892" w:rsidRPr="009813C5">
        <w:rPr>
          <w:shd w:val="clear" w:color="auto" w:fill="FFFFFF"/>
        </w:rPr>
        <w:t xml:space="preserve"> </w:t>
      </w:r>
      <w:r w:rsidR="0058316F" w:rsidRPr="009813C5">
        <w:rPr>
          <w:shd w:val="clear" w:color="auto" w:fill="FFFFFF"/>
        </w:rPr>
        <w:t xml:space="preserve">merchant function </w:t>
      </w:r>
      <w:r w:rsidR="00C57DB5" w:rsidRPr="009813C5">
        <w:rPr>
          <w:shd w:val="clear" w:color="auto" w:fill="FFFFFF"/>
        </w:rPr>
        <w:t>is</w:t>
      </w:r>
      <w:r w:rsidR="0058316F" w:rsidRPr="009813C5">
        <w:rPr>
          <w:shd w:val="clear" w:color="auto" w:fill="FFFFFF"/>
        </w:rPr>
        <w:t xml:space="preserve"> not </w:t>
      </w:r>
      <w:r w:rsidR="00C57DB5" w:rsidRPr="009813C5">
        <w:rPr>
          <w:shd w:val="clear" w:color="auto" w:fill="FFFFFF"/>
        </w:rPr>
        <w:t xml:space="preserve">an </w:t>
      </w:r>
      <w:r w:rsidR="0058316F" w:rsidRPr="009813C5">
        <w:rPr>
          <w:shd w:val="clear" w:color="auto" w:fill="FFFFFF"/>
        </w:rPr>
        <w:t xml:space="preserve">issue raised in </w:t>
      </w:r>
      <w:r w:rsidR="00317744">
        <w:rPr>
          <w:shd w:val="clear" w:color="auto" w:fill="FFFFFF"/>
        </w:rPr>
        <w:t xml:space="preserve">its </w:t>
      </w:r>
      <w:r w:rsidR="0058316F" w:rsidRPr="009813C5">
        <w:rPr>
          <w:shd w:val="clear" w:color="auto" w:fill="FFFFFF"/>
        </w:rPr>
        <w:t xml:space="preserve">application and </w:t>
      </w:r>
      <w:r w:rsidRPr="009813C5">
        <w:rPr>
          <w:shd w:val="clear" w:color="auto" w:fill="FFFFFF"/>
        </w:rPr>
        <w:t>that “IGS may not use this rate proceeding to reopen previously settled matter</w:t>
      </w:r>
      <w:r w:rsidR="00265F3A" w:rsidRPr="009813C5">
        <w:rPr>
          <w:shd w:val="clear" w:color="auto" w:fill="FFFFFF"/>
        </w:rPr>
        <w:t xml:space="preserve">s” addressed in a stipulation to which IGS was a party. </w:t>
      </w:r>
      <w:r w:rsidR="00265F3A" w:rsidRPr="00692D39">
        <w:rPr>
          <w:shd w:val="clear" w:color="auto" w:fill="FFFFFF"/>
        </w:rPr>
        <w:t>Columbia Motion to Strike</w:t>
      </w:r>
      <w:r w:rsidR="00265F3A" w:rsidRPr="009813C5">
        <w:rPr>
          <w:shd w:val="clear" w:color="auto" w:fill="FFFFFF"/>
        </w:rPr>
        <w:t xml:space="preserve"> at 5. The Commission should reject both arguments.</w:t>
      </w:r>
    </w:p>
    <w:p w14:paraId="101776EE" w14:textId="4BFE6CB8" w:rsidR="0086226F" w:rsidRDefault="0058316F" w:rsidP="00ED1A7D">
      <w:pPr>
        <w:spacing w:after="0" w:line="480" w:lineRule="auto"/>
        <w:ind w:firstLine="720"/>
        <w:jc w:val="both"/>
        <w:rPr>
          <w:shd w:val="clear" w:color="auto" w:fill="FFFFFF"/>
        </w:rPr>
      </w:pPr>
      <w:r w:rsidRPr="009813C5">
        <w:rPr>
          <w:shd w:val="clear" w:color="auto" w:fill="FFFFFF"/>
        </w:rPr>
        <w:lastRenderedPageBreak/>
        <w:t xml:space="preserve">The </w:t>
      </w:r>
      <w:r w:rsidR="00FC1FF4" w:rsidRPr="009813C5">
        <w:rPr>
          <w:shd w:val="clear" w:color="auto" w:fill="FFFFFF"/>
        </w:rPr>
        <w:t xml:space="preserve">first </w:t>
      </w:r>
      <w:r w:rsidRPr="009813C5">
        <w:rPr>
          <w:shd w:val="clear" w:color="auto" w:fill="FFFFFF"/>
        </w:rPr>
        <w:t>argument that Columbia did not raise its efforts to exit the merchant function in its application ignores Ohio law</w:t>
      </w:r>
      <w:r w:rsidR="0086226F" w:rsidRPr="009813C5">
        <w:rPr>
          <w:shd w:val="clear" w:color="auto" w:fill="FFFFFF"/>
        </w:rPr>
        <w:t>. The Commission’s rules, in fact, direct that issues not raised by the Staff Report may be raised through objections.</w:t>
      </w:r>
      <w:r w:rsidR="00B4718F" w:rsidRPr="009813C5">
        <w:rPr>
          <w:rStyle w:val="FootnoteReference"/>
          <w:shd w:val="clear" w:color="auto" w:fill="FFFFFF"/>
        </w:rPr>
        <w:footnoteReference w:id="2"/>
      </w:r>
    </w:p>
    <w:p w14:paraId="0FD756D7" w14:textId="47F9544E" w:rsidR="00F4658C" w:rsidRDefault="0086226F" w:rsidP="00ED1A7D">
      <w:pPr>
        <w:spacing w:after="0" w:line="480" w:lineRule="auto"/>
        <w:ind w:firstLine="720"/>
        <w:jc w:val="both"/>
        <w:rPr>
          <w:shd w:val="clear" w:color="auto" w:fill="FFFFFF"/>
        </w:rPr>
      </w:pPr>
      <w:r w:rsidRPr="009813C5">
        <w:rPr>
          <w:shd w:val="clear" w:color="auto" w:fill="FFFFFF"/>
        </w:rPr>
        <w:t>Moreover</w:t>
      </w:r>
      <w:r w:rsidR="00265F3A" w:rsidRPr="009813C5">
        <w:rPr>
          <w:shd w:val="clear" w:color="auto" w:fill="FFFFFF"/>
        </w:rPr>
        <w:t xml:space="preserve">, both the Application and the Staff Report note extensively </w:t>
      </w:r>
      <w:r w:rsidR="00317744">
        <w:rPr>
          <w:shd w:val="clear" w:color="auto" w:fill="FFFFFF"/>
        </w:rPr>
        <w:t xml:space="preserve">the interrelation between </w:t>
      </w:r>
      <w:r w:rsidR="00B4718F">
        <w:rPr>
          <w:shd w:val="clear" w:color="auto" w:fill="FFFFFF"/>
        </w:rPr>
        <w:t>Columbia’s Standard Choice Offer</w:t>
      </w:r>
      <w:r w:rsidR="00317744">
        <w:rPr>
          <w:shd w:val="clear" w:color="auto" w:fill="FFFFFF"/>
        </w:rPr>
        <w:t xml:space="preserve"> and distribution rates</w:t>
      </w:r>
      <w:r w:rsidR="007A1D51">
        <w:rPr>
          <w:shd w:val="clear" w:color="auto" w:fill="FFFFFF"/>
        </w:rPr>
        <w:t>.</w:t>
      </w:r>
      <w:r w:rsidR="00265F3A" w:rsidRPr="009813C5">
        <w:rPr>
          <w:shd w:val="clear" w:color="auto" w:fill="FFFFFF"/>
        </w:rPr>
        <w:t xml:space="preserve"> This continuing </w:t>
      </w:r>
      <w:r w:rsidR="00F4658C" w:rsidRPr="009813C5">
        <w:rPr>
          <w:shd w:val="clear" w:color="auto" w:fill="FFFFFF"/>
        </w:rPr>
        <w:t>role</w:t>
      </w:r>
      <w:r w:rsidR="00265F3A" w:rsidRPr="009813C5">
        <w:rPr>
          <w:shd w:val="clear" w:color="auto" w:fill="FFFFFF"/>
        </w:rPr>
        <w:t xml:space="preserve"> as default supplier carries with i</w:t>
      </w:r>
      <w:r w:rsidR="00F4658C" w:rsidRPr="009813C5">
        <w:rPr>
          <w:shd w:val="clear" w:color="auto" w:fill="FFFFFF"/>
        </w:rPr>
        <w:t>t rate and market effects that affect Columbia, its customers, and competitive suppliers</w:t>
      </w:r>
      <w:r w:rsidR="00B4718F">
        <w:rPr>
          <w:shd w:val="clear" w:color="auto" w:fill="FFFFFF"/>
        </w:rPr>
        <w:t xml:space="preserve"> that are addressed in the application and flow into the Staff Report. </w:t>
      </w:r>
      <w:r w:rsidR="00B4718F" w:rsidRPr="00692D39">
        <w:t>Application, Direct Testimony of Melissa Thompson</w:t>
      </w:r>
      <w:r w:rsidR="00B4718F">
        <w:t xml:space="preserve"> at 8 and Schedule E; </w:t>
      </w:r>
      <w:r w:rsidR="00B4718F" w:rsidRPr="00692D39">
        <w:t>Staff Report</w:t>
      </w:r>
      <w:r w:rsidR="00B4718F">
        <w:t xml:space="preserve"> at 18 and Schedule B-6.</w:t>
      </w:r>
      <w:r w:rsidR="00B4718F" w:rsidRPr="009813C5">
        <w:t xml:space="preserve"> </w:t>
      </w:r>
      <w:r w:rsidR="00F4658C" w:rsidRPr="009813C5">
        <w:rPr>
          <w:shd w:val="clear" w:color="auto" w:fill="FFFFFF"/>
        </w:rPr>
        <w:t xml:space="preserve">Thus, there is sufficient nexus between the application and the Staff Report to warrant the Commission to proceed on </w:t>
      </w:r>
      <w:r w:rsidR="00C57DB5" w:rsidRPr="009813C5">
        <w:rPr>
          <w:shd w:val="clear" w:color="auto" w:fill="FFFFFF"/>
        </w:rPr>
        <w:t>IGS’s Objection 4</w:t>
      </w:r>
      <w:r w:rsidR="00F4658C" w:rsidRPr="009813C5">
        <w:rPr>
          <w:shd w:val="clear" w:color="auto" w:fill="FFFFFF"/>
        </w:rPr>
        <w:t>.</w:t>
      </w:r>
    </w:p>
    <w:p w14:paraId="43241D50" w14:textId="4181ECF9" w:rsidR="00216052" w:rsidRPr="009813C5" w:rsidRDefault="00216052" w:rsidP="00216052">
      <w:pPr>
        <w:spacing w:after="0" w:line="480" w:lineRule="auto"/>
        <w:ind w:firstLine="720"/>
        <w:jc w:val="both"/>
        <w:rPr>
          <w:shd w:val="clear" w:color="auto" w:fill="FFFFFF"/>
        </w:rPr>
      </w:pPr>
      <w:r w:rsidRPr="00216052">
        <w:rPr>
          <w:shd w:val="clear" w:color="auto" w:fill="FFFFFF"/>
        </w:rPr>
        <w:t xml:space="preserve">The exit the merchant function has been an integral piece of gas rate cases in the past. Exit the merchant function is a vital part of Vectren's recent rate case stipulation which created a working group to further explore the topic. </w:t>
      </w:r>
      <w:r>
        <w:rPr>
          <w:i/>
          <w:iCs/>
        </w:rPr>
        <w:t xml:space="preserve">See, </w:t>
      </w:r>
      <w:r w:rsidRPr="00347D39">
        <w:rPr>
          <w:i/>
          <w:iCs/>
        </w:rPr>
        <w:t xml:space="preserve">In the Matter of the Application of Vectren Energy Delivery of Ohio, Inc. for Approval of an </w:t>
      </w:r>
      <w:r>
        <w:rPr>
          <w:i/>
          <w:iCs/>
        </w:rPr>
        <w:t>Increase in Rates</w:t>
      </w:r>
      <w:r>
        <w:t xml:space="preserve">, Case No. 18-298-GA-AIR, et al. Opinion and Order (August 28, 2019). </w:t>
      </w:r>
    </w:p>
    <w:p w14:paraId="4B55ABFA" w14:textId="706AB046" w:rsidR="00216052" w:rsidRPr="009813C5" w:rsidRDefault="009E3A67" w:rsidP="00216052">
      <w:pPr>
        <w:spacing w:after="0" w:line="480" w:lineRule="auto"/>
        <w:ind w:firstLine="720"/>
        <w:jc w:val="both"/>
        <w:rPr>
          <w:shd w:val="clear" w:color="auto" w:fill="FFFFFF"/>
        </w:rPr>
      </w:pPr>
      <w:r w:rsidRPr="009813C5">
        <w:rPr>
          <w:shd w:val="clear" w:color="auto" w:fill="FFFFFF"/>
        </w:rPr>
        <w:t>Additionally</w:t>
      </w:r>
      <w:r w:rsidR="00F4658C" w:rsidRPr="009813C5">
        <w:rPr>
          <w:shd w:val="clear" w:color="auto" w:fill="FFFFFF"/>
        </w:rPr>
        <w:t xml:space="preserve">, Objection 4 </w:t>
      </w:r>
      <w:r w:rsidRPr="009813C5">
        <w:rPr>
          <w:shd w:val="clear" w:color="auto" w:fill="FFFFFF"/>
        </w:rPr>
        <w:t>notifies</w:t>
      </w:r>
      <w:r w:rsidR="00F4658C" w:rsidRPr="009813C5">
        <w:rPr>
          <w:shd w:val="clear" w:color="auto" w:fill="FFFFFF"/>
        </w:rPr>
        <w:t xml:space="preserve"> the parties that an issue sufficiently related to the application and the Commission investigation but not properly addressed by the Staff Report will be placed at </w:t>
      </w:r>
      <w:r w:rsidR="001E09D1" w:rsidRPr="009813C5">
        <w:rPr>
          <w:shd w:val="clear" w:color="auto" w:fill="FFFFFF"/>
        </w:rPr>
        <w:t>issue.</w:t>
      </w:r>
      <w:r w:rsidR="0086226F" w:rsidRPr="009813C5">
        <w:rPr>
          <w:shd w:val="clear" w:color="auto" w:fill="FFFFFF"/>
        </w:rPr>
        <w:t xml:space="preserve"> </w:t>
      </w:r>
      <w:r w:rsidR="001E09D1" w:rsidRPr="009813C5">
        <w:rPr>
          <w:shd w:val="clear" w:color="auto" w:fill="FFFFFF"/>
        </w:rPr>
        <w:t xml:space="preserve">IGS’s testimony </w:t>
      </w:r>
      <w:r w:rsidRPr="009813C5">
        <w:rPr>
          <w:shd w:val="clear" w:color="auto" w:fill="FFFFFF"/>
        </w:rPr>
        <w:t xml:space="preserve">then </w:t>
      </w:r>
      <w:r w:rsidR="001E09D1" w:rsidRPr="009813C5">
        <w:rPr>
          <w:shd w:val="clear" w:color="auto" w:fill="FFFFFF"/>
        </w:rPr>
        <w:t xml:space="preserve">lays out in detail the reasons for addressing this </w:t>
      </w:r>
      <w:r w:rsidR="00C57DB5" w:rsidRPr="009813C5">
        <w:rPr>
          <w:shd w:val="clear" w:color="auto" w:fill="FFFFFF"/>
        </w:rPr>
        <w:t xml:space="preserve">problem even though the application </w:t>
      </w:r>
      <w:r w:rsidR="005B4E95">
        <w:rPr>
          <w:shd w:val="clear" w:color="auto" w:fill="FFFFFF"/>
        </w:rPr>
        <w:t xml:space="preserve">and </w:t>
      </w:r>
      <w:r w:rsidR="00C57DB5" w:rsidRPr="009813C5">
        <w:rPr>
          <w:shd w:val="clear" w:color="auto" w:fill="FFFFFF"/>
        </w:rPr>
        <w:t>Staff Report do not</w:t>
      </w:r>
      <w:r w:rsidR="001E09D1" w:rsidRPr="009813C5">
        <w:rPr>
          <w:shd w:val="clear" w:color="auto" w:fill="FFFFFF"/>
        </w:rPr>
        <w:t xml:space="preserve">. See </w:t>
      </w:r>
      <w:r w:rsidR="001E09D1" w:rsidRPr="00692D39">
        <w:rPr>
          <w:shd w:val="clear" w:color="auto" w:fill="FFFFFF"/>
        </w:rPr>
        <w:t>Direct Testimony of Paul Leanza (</w:t>
      </w:r>
      <w:r w:rsidR="001E09D1" w:rsidRPr="009813C5">
        <w:rPr>
          <w:shd w:val="clear" w:color="auto" w:fill="FFFFFF"/>
        </w:rPr>
        <w:t xml:space="preserve">May 13, 2022) and </w:t>
      </w:r>
      <w:r w:rsidR="001E09D1" w:rsidRPr="00692D39">
        <w:rPr>
          <w:shd w:val="clear" w:color="auto" w:fill="FFFFFF"/>
        </w:rPr>
        <w:t>Direct Testimony of Matthew White</w:t>
      </w:r>
      <w:r w:rsidR="001E09D1" w:rsidRPr="009813C5">
        <w:rPr>
          <w:shd w:val="clear" w:color="auto" w:fill="FFFFFF"/>
        </w:rPr>
        <w:t xml:space="preserve"> (May 13, 2022). Thus, there is no surprise.</w:t>
      </w:r>
    </w:p>
    <w:p w14:paraId="1DBD34BD" w14:textId="63A54C0C" w:rsidR="00CF16A8" w:rsidRDefault="00626F61" w:rsidP="00ED1A7D">
      <w:pPr>
        <w:spacing w:after="0" w:line="480" w:lineRule="auto"/>
        <w:ind w:firstLine="720"/>
        <w:jc w:val="both"/>
        <w:rPr>
          <w:shd w:val="clear" w:color="auto" w:fill="FFFFFF"/>
        </w:rPr>
      </w:pPr>
      <w:r w:rsidRPr="009813C5">
        <w:lastRenderedPageBreak/>
        <w:t>Columbia’s</w:t>
      </w:r>
      <w:r w:rsidR="009E3A67" w:rsidRPr="009813C5">
        <w:t xml:space="preserve"> second argument </w:t>
      </w:r>
      <w:r w:rsidR="0086226F" w:rsidRPr="009813C5">
        <w:t>that rests on the</w:t>
      </w:r>
      <w:r w:rsidR="009E3A67" w:rsidRPr="009813C5">
        <w:t xml:space="preserve"> enforcement of the Stipulation is similarly without merit. </w:t>
      </w:r>
      <w:r w:rsidR="00556859" w:rsidRPr="009813C5">
        <w:t>Columbia’s assertion that</w:t>
      </w:r>
      <w:r w:rsidR="009E3A67" w:rsidRPr="009813C5">
        <w:t xml:space="preserve"> IGS may not use this proceeding to address Columbia’s merchant function </w:t>
      </w:r>
      <w:r w:rsidR="0086226F" w:rsidRPr="009813C5">
        <w:t>is based</w:t>
      </w:r>
      <w:r w:rsidR="009E3A67" w:rsidRPr="009813C5">
        <w:t xml:space="preserve"> a substantive claim</w:t>
      </w:r>
      <w:r w:rsidR="00C57DB5" w:rsidRPr="009813C5">
        <w:t xml:space="preserve"> that a stipulation prevents the Commission from addressing </w:t>
      </w:r>
      <w:r w:rsidR="00556859" w:rsidRPr="009813C5">
        <w:t>Columbia’s merchant function as default supplier. The role of a stipulation</w:t>
      </w:r>
      <w:r w:rsidR="00E8229B">
        <w:t>,</w:t>
      </w:r>
      <w:r w:rsidR="00556859" w:rsidRPr="009813C5">
        <w:t xml:space="preserve"> like the effect of a prior rate decision on a current application, however,</w:t>
      </w:r>
      <w:r w:rsidR="009E3A67" w:rsidRPr="009813C5">
        <w:t xml:space="preserve"> is not a proper </w:t>
      </w:r>
      <w:r w:rsidR="00556859" w:rsidRPr="009813C5">
        <w:t>basis to support a motion to strike</w:t>
      </w:r>
      <w:r w:rsidR="009E3A67" w:rsidRPr="00692D39">
        <w:rPr>
          <w:i/>
          <w:iCs/>
        </w:rPr>
        <w:t xml:space="preserve">. </w:t>
      </w:r>
      <w:r w:rsidR="009E3A67" w:rsidRPr="00692D39">
        <w:rPr>
          <w:i/>
          <w:iCs/>
          <w:shd w:val="clear" w:color="auto" w:fill="FFFFFF"/>
        </w:rPr>
        <w:t>In the Matter of the Application of Water and Sewer LLC for an Increase in its Rates and Charges</w:t>
      </w:r>
      <w:r w:rsidR="009E3A67" w:rsidRPr="009813C5">
        <w:rPr>
          <w:shd w:val="clear" w:color="auto" w:fill="FFFFFF"/>
        </w:rPr>
        <w:t>, supra, Opinion ¶ 7</w:t>
      </w:r>
      <w:r w:rsidR="00D2087C" w:rsidRPr="009813C5">
        <w:rPr>
          <w:shd w:val="clear" w:color="auto" w:fill="FFFFFF"/>
        </w:rPr>
        <w:t xml:space="preserve"> (denying a motion to strike an objection based on a claim of res judicata)</w:t>
      </w:r>
      <w:r w:rsidR="009E3A67" w:rsidRPr="009813C5">
        <w:rPr>
          <w:shd w:val="clear" w:color="auto" w:fill="FFFFFF"/>
        </w:rPr>
        <w:t>.</w:t>
      </w:r>
      <w:r w:rsidR="0086226F" w:rsidRPr="009813C5">
        <w:rPr>
          <w:shd w:val="clear" w:color="auto" w:fill="FFFFFF"/>
        </w:rPr>
        <w:t xml:space="preserve"> </w:t>
      </w:r>
      <w:r w:rsidRPr="009813C5">
        <w:rPr>
          <w:shd w:val="clear" w:color="auto" w:fill="FFFFFF"/>
        </w:rPr>
        <w:t>If Columbia’s concerns have any merit, it</w:t>
      </w:r>
      <w:r w:rsidR="00CF6C85" w:rsidRPr="009813C5">
        <w:rPr>
          <w:shd w:val="clear" w:color="auto" w:fill="FFFFFF"/>
        </w:rPr>
        <w:t xml:space="preserve"> will have ample opportunity to raise </w:t>
      </w:r>
      <w:r w:rsidRPr="009813C5">
        <w:rPr>
          <w:shd w:val="clear" w:color="auto" w:fill="FFFFFF"/>
        </w:rPr>
        <w:t xml:space="preserve">them </w:t>
      </w:r>
      <w:r w:rsidR="00CF6C85" w:rsidRPr="009813C5">
        <w:rPr>
          <w:shd w:val="clear" w:color="auto" w:fill="FFFFFF"/>
        </w:rPr>
        <w:t xml:space="preserve">in its testimony and </w:t>
      </w:r>
      <w:proofErr w:type="gramStart"/>
      <w:r w:rsidR="00CF6C85" w:rsidRPr="009813C5">
        <w:rPr>
          <w:shd w:val="clear" w:color="auto" w:fill="FFFFFF"/>
        </w:rPr>
        <w:t>briefs, but</w:t>
      </w:r>
      <w:proofErr w:type="gramEnd"/>
      <w:r w:rsidR="00CF6C85" w:rsidRPr="009813C5">
        <w:rPr>
          <w:shd w:val="clear" w:color="auto" w:fill="FFFFFF"/>
        </w:rPr>
        <w:t xml:space="preserve"> </w:t>
      </w:r>
      <w:r w:rsidR="005B4E95">
        <w:rPr>
          <w:shd w:val="clear" w:color="auto" w:fill="FFFFFF"/>
        </w:rPr>
        <w:t>avoiding that debate by granting a motion to strike is not proper</w:t>
      </w:r>
      <w:r w:rsidR="00556859" w:rsidRPr="009813C5">
        <w:rPr>
          <w:shd w:val="clear" w:color="auto" w:fill="FFFFFF"/>
        </w:rPr>
        <w:t>.</w:t>
      </w:r>
    </w:p>
    <w:p w14:paraId="1A616505" w14:textId="3EEE9DD7" w:rsidR="004E539B" w:rsidRDefault="001E0172" w:rsidP="001E0172">
      <w:pPr>
        <w:spacing w:after="0" w:line="480" w:lineRule="auto"/>
        <w:ind w:firstLine="720"/>
        <w:jc w:val="both"/>
        <w:rPr>
          <w:shd w:val="clear" w:color="auto" w:fill="FFFFFF"/>
        </w:rPr>
      </w:pPr>
      <w:r w:rsidRPr="001E0172">
        <w:rPr>
          <w:shd w:val="clear" w:color="auto" w:fill="FFFFFF"/>
        </w:rPr>
        <w:t xml:space="preserve">Additionally, it is the state policy of Ohio to promote unbundled and comparable natural gas services across the state and to ensure an “expeditious transition to the provision of natural gas services in a manner that achieves effective competition.” R.C. 4902.02(A)(2) and (7). This application and the investigation it triggered directly and indirectly should serve to advance those policies. Although the Staff report took the opportunity to examine several charges and programs that would have a direct tie to the overarching state policy, it failed to exam Columbia’s ability to completely exit the merchant function concerning those customers in the best position to shop, commercial and industrial customers. </w:t>
      </w:r>
      <w:r w:rsidR="00664CD7">
        <w:rPr>
          <w:rStyle w:val="FootnoteReference"/>
          <w:shd w:val="clear" w:color="auto" w:fill="FFFFFF"/>
        </w:rPr>
        <w:footnoteReference w:id="3"/>
      </w:r>
    </w:p>
    <w:p w14:paraId="46497034" w14:textId="0660480F" w:rsidR="00390ABB" w:rsidRPr="009813C5" w:rsidRDefault="001E0172" w:rsidP="000418B0">
      <w:pPr>
        <w:spacing w:after="0" w:line="480" w:lineRule="auto"/>
        <w:ind w:firstLine="720"/>
        <w:jc w:val="both"/>
        <w:rPr>
          <w:shd w:val="clear" w:color="auto" w:fill="FFFFFF"/>
        </w:rPr>
      </w:pPr>
      <w:r w:rsidRPr="001E0172">
        <w:rPr>
          <w:shd w:val="clear" w:color="auto" w:fill="FFFFFF"/>
        </w:rPr>
        <w:t xml:space="preserve">Because the Staff Report failed to take the issue to its logical conclusion of proposing Columbia create a plan to fully exit the merchant function for commercial </w:t>
      </w:r>
      <w:r w:rsidRPr="001E0172">
        <w:rPr>
          <w:shd w:val="clear" w:color="auto" w:fill="FFFFFF"/>
        </w:rPr>
        <w:lastRenderedPageBreak/>
        <w:t>customers in accordance with state policy, IGS properly filed an objection to bring this issue to this hearing. Rule 4901-1-28(B).</w:t>
      </w:r>
      <w:r w:rsidR="00664CD7">
        <w:rPr>
          <w:shd w:val="clear" w:color="auto" w:fill="FFFFFF"/>
        </w:rPr>
        <w:t xml:space="preserve"> </w:t>
      </w:r>
      <w:r w:rsidR="00556859" w:rsidRPr="009813C5">
        <w:rPr>
          <w:shd w:val="clear" w:color="auto" w:fill="FFFFFF"/>
        </w:rPr>
        <w:t>For these reasons</w:t>
      </w:r>
      <w:r w:rsidR="00CF6C85" w:rsidRPr="009813C5">
        <w:rPr>
          <w:shd w:val="clear" w:color="auto" w:fill="FFFFFF"/>
        </w:rPr>
        <w:t>, Columbia’s motion to strike IGS’s Objection 4 should be denied.</w:t>
      </w:r>
    </w:p>
    <w:p w14:paraId="7EB64C44" w14:textId="7136CD72" w:rsidR="00D2087C" w:rsidRPr="00692D39" w:rsidRDefault="00D2087C" w:rsidP="00692D39">
      <w:pPr>
        <w:pStyle w:val="ListParagraph"/>
        <w:numPr>
          <w:ilvl w:val="0"/>
          <w:numId w:val="1"/>
        </w:numPr>
        <w:spacing w:after="0"/>
        <w:jc w:val="both"/>
        <w:rPr>
          <w:b/>
          <w:bCs/>
          <w:shd w:val="clear" w:color="auto" w:fill="FFFFFF"/>
        </w:rPr>
      </w:pPr>
      <w:r w:rsidRPr="00692D39">
        <w:rPr>
          <w:b/>
          <w:bCs/>
          <w:shd w:val="clear" w:color="auto" w:fill="FFFFFF"/>
        </w:rPr>
        <w:t>IGS’s Objection 5 concerning unreasonable and unduly discriminatory switching fees is properly before the Commission</w:t>
      </w:r>
    </w:p>
    <w:p w14:paraId="6DEB0214" w14:textId="77777777" w:rsidR="00390ABB" w:rsidRPr="009813C5" w:rsidRDefault="00390ABB" w:rsidP="00AB0734">
      <w:pPr>
        <w:spacing w:after="0"/>
        <w:jc w:val="both"/>
        <w:rPr>
          <w:shd w:val="clear" w:color="auto" w:fill="FFFFFF"/>
        </w:rPr>
      </w:pPr>
    </w:p>
    <w:p w14:paraId="7A99F0C2" w14:textId="2AFD8746" w:rsidR="00D2087C" w:rsidRPr="009813C5" w:rsidRDefault="00AE534C" w:rsidP="00ED1A7D">
      <w:pPr>
        <w:spacing w:after="0" w:line="480" w:lineRule="auto"/>
        <w:jc w:val="both"/>
      </w:pPr>
      <w:r w:rsidRPr="009813C5">
        <w:tab/>
        <w:t xml:space="preserve">In Objection 5, IGS objects to the failure of </w:t>
      </w:r>
      <w:r w:rsidR="00647D00" w:rsidRPr="009813C5">
        <w:t>the Staff Report</w:t>
      </w:r>
      <w:r w:rsidRPr="009813C5">
        <w:t xml:space="preserve"> to recommend that the </w:t>
      </w:r>
      <w:r w:rsidR="00647D00" w:rsidRPr="009813C5">
        <w:t xml:space="preserve">switching </w:t>
      </w:r>
      <w:r w:rsidRPr="009813C5">
        <w:t xml:space="preserve">fee assessed </w:t>
      </w:r>
      <w:r w:rsidR="00556859" w:rsidRPr="009813C5">
        <w:t xml:space="preserve">only on service changes to competitive suppliers </w:t>
      </w:r>
      <w:r w:rsidR="00647D00" w:rsidRPr="009813C5">
        <w:t xml:space="preserve">be set to zero is unreasonable and discriminatory. Columbia </w:t>
      </w:r>
      <w:r w:rsidR="00BD7B7A" w:rsidRPr="009813C5">
        <w:t>moves to strike this objection</w:t>
      </w:r>
      <w:r w:rsidR="00647D00" w:rsidRPr="009813C5">
        <w:t xml:space="preserve"> because “Columbia’s application does not seek to change any portion of Section VII [of its tariff] that relates to switching fees.” Columbia Motion to Dismiss at 6. For familiar reasons, the Commission should reject this argument.</w:t>
      </w:r>
    </w:p>
    <w:p w14:paraId="3641A0D9" w14:textId="7E6F0284" w:rsidR="00873D53" w:rsidRPr="009813C5" w:rsidRDefault="00647D00" w:rsidP="000418B0">
      <w:pPr>
        <w:spacing w:after="0" w:line="480" w:lineRule="auto"/>
        <w:jc w:val="both"/>
      </w:pPr>
      <w:r w:rsidRPr="009813C5">
        <w:tab/>
      </w:r>
      <w:r w:rsidR="00BD7B7A" w:rsidRPr="009813C5">
        <w:t xml:space="preserve">Simply put, </w:t>
      </w:r>
      <w:r w:rsidR="00AA5AF5">
        <w:t>Columbia’s election to leave the switching fees as they are does not prevent IGS or any other party from complaining that they are unjust and unduly discriminatory through an objection</w:t>
      </w:r>
      <w:r w:rsidR="00873D53" w:rsidRPr="009813C5">
        <w:t xml:space="preserve">. </w:t>
      </w:r>
      <w:r w:rsidR="00873D53" w:rsidRPr="00692D39">
        <w:rPr>
          <w:i/>
          <w:iCs/>
        </w:rPr>
        <w:t>Industrial Energy Consumers v. Pub. Utils. Comm’n of Ohio</w:t>
      </w:r>
      <w:r w:rsidR="00873D53" w:rsidRPr="009813C5">
        <w:t>, 63 Ohio St. 3d at 553-55.</w:t>
      </w:r>
      <w:r w:rsidR="00BD7B7A" w:rsidRPr="009813C5">
        <w:t xml:space="preserve"> </w:t>
      </w:r>
      <w:r w:rsidR="003E47D0">
        <w:t>Moreover,</w:t>
      </w:r>
      <w:r w:rsidR="00AA5AF5">
        <w:t xml:space="preserve"> t</w:t>
      </w:r>
      <w:r w:rsidR="0089245D" w:rsidRPr="009813C5">
        <w:t xml:space="preserve">he tariff provisions are included in the Columbia </w:t>
      </w:r>
      <w:r w:rsidR="00BD7B7A" w:rsidRPr="009813C5">
        <w:t>application</w:t>
      </w:r>
      <w:r w:rsidR="00AA5AF5">
        <w:t>, s</w:t>
      </w:r>
      <w:r w:rsidR="00BD7B7A" w:rsidRPr="009813C5">
        <w:t xml:space="preserve">ee </w:t>
      </w:r>
      <w:r w:rsidR="00BD7B7A" w:rsidRPr="00692D39">
        <w:t>Application E Schedules</w:t>
      </w:r>
      <w:r w:rsidR="00AA5AF5" w:rsidRPr="00692D39">
        <w:t>,</w:t>
      </w:r>
      <w:r w:rsidR="00AA5AF5">
        <w:t xml:space="preserve"> and t</w:t>
      </w:r>
      <w:r w:rsidR="009B3CD0" w:rsidRPr="009813C5">
        <w:t>he hearing will likely demonstrate that t</w:t>
      </w:r>
      <w:r w:rsidR="0089245D" w:rsidRPr="009813C5">
        <w:t>he fees are included as revenue for purposes of calculating the revenue requirement</w:t>
      </w:r>
      <w:r w:rsidR="003E47D0">
        <w:t>. Because</w:t>
      </w:r>
      <w:r w:rsidR="00AA5AF5">
        <w:t xml:space="preserve"> </w:t>
      </w:r>
      <w:r w:rsidR="003E47D0">
        <w:rPr>
          <w:shd w:val="clear" w:color="auto" w:fill="FFFFFF"/>
        </w:rPr>
        <w:t>Objection 5 has</w:t>
      </w:r>
      <w:r w:rsidR="003E47D0" w:rsidRPr="009813C5">
        <w:rPr>
          <w:shd w:val="clear" w:color="auto" w:fill="FFFFFF"/>
        </w:rPr>
        <w:t xml:space="preserve"> a “sufficient nexus” </w:t>
      </w:r>
      <w:r w:rsidR="003E47D0">
        <w:rPr>
          <w:shd w:val="clear" w:color="auto" w:fill="FFFFFF"/>
        </w:rPr>
        <w:t>to the application and Staff Report, the ground for Columbia’s objection should be rejected</w:t>
      </w:r>
      <w:r w:rsidR="003E47D0">
        <w:t>.</w:t>
      </w:r>
    </w:p>
    <w:p w14:paraId="2F19289A" w14:textId="0CCB6359" w:rsidR="00390ABB" w:rsidRPr="00692D39" w:rsidRDefault="00390ABB" w:rsidP="00692D39">
      <w:pPr>
        <w:pStyle w:val="ListParagraph"/>
        <w:numPr>
          <w:ilvl w:val="0"/>
          <w:numId w:val="1"/>
        </w:numPr>
        <w:spacing w:after="0"/>
        <w:jc w:val="both"/>
        <w:rPr>
          <w:b/>
          <w:bCs/>
        </w:rPr>
      </w:pPr>
      <w:r w:rsidRPr="00692D39">
        <w:rPr>
          <w:b/>
          <w:bCs/>
        </w:rPr>
        <w:t>Conclusion</w:t>
      </w:r>
    </w:p>
    <w:p w14:paraId="36FC27FC" w14:textId="0296CCA9" w:rsidR="00390ABB" w:rsidRPr="009813C5" w:rsidRDefault="00390ABB" w:rsidP="00AB0734">
      <w:pPr>
        <w:spacing w:after="0"/>
        <w:jc w:val="both"/>
      </w:pPr>
    </w:p>
    <w:p w14:paraId="6E362843" w14:textId="1BEE301B" w:rsidR="00390ABB" w:rsidRDefault="00390ABB" w:rsidP="00ED1A7D">
      <w:pPr>
        <w:spacing w:after="0" w:line="480" w:lineRule="auto"/>
        <w:jc w:val="both"/>
      </w:pPr>
      <w:r w:rsidRPr="009813C5">
        <w:tab/>
        <w:t xml:space="preserve">Because </w:t>
      </w:r>
      <w:r w:rsidR="00ED1A7D" w:rsidRPr="009813C5">
        <w:t>Columbia does not provide a reasoned basis</w:t>
      </w:r>
      <w:r w:rsidR="003E47D0">
        <w:t xml:space="preserve"> to strike Objection 4 and 5</w:t>
      </w:r>
      <w:r w:rsidR="00ED1A7D" w:rsidRPr="009813C5">
        <w:t>,</w:t>
      </w:r>
      <w:r w:rsidRPr="009813C5">
        <w:t xml:space="preserve"> the Commission should deny Columbia’s motion.</w:t>
      </w:r>
    </w:p>
    <w:p w14:paraId="1BB84098" w14:textId="0692D752" w:rsidR="004E539B" w:rsidRDefault="004E539B" w:rsidP="00ED1A7D">
      <w:pPr>
        <w:spacing w:after="0" w:line="480" w:lineRule="auto"/>
        <w:jc w:val="both"/>
      </w:pPr>
    </w:p>
    <w:p w14:paraId="4A5B1EEF" w14:textId="24BE8EDE" w:rsidR="004E539B" w:rsidRDefault="004E539B" w:rsidP="00ED1A7D">
      <w:pPr>
        <w:spacing w:after="0" w:line="480" w:lineRule="auto"/>
        <w:jc w:val="both"/>
      </w:pPr>
    </w:p>
    <w:p w14:paraId="6C57A430" w14:textId="77777777" w:rsidR="004E539B" w:rsidRPr="0060432A" w:rsidRDefault="004E539B" w:rsidP="004E539B">
      <w:pPr>
        <w:widowControl w:val="0"/>
        <w:suppressLineNumbers/>
        <w:autoSpaceDE w:val="0"/>
        <w:autoSpaceDN w:val="0"/>
        <w:spacing w:before="61" w:after="0" w:line="240" w:lineRule="auto"/>
        <w:jc w:val="center"/>
        <w:outlineLvl w:val="0"/>
        <w:rPr>
          <w:rFonts w:eastAsia="Times New Roman"/>
          <w:b/>
          <w:bCs/>
          <w:caps/>
        </w:rPr>
      </w:pPr>
      <w:bookmarkStart w:id="0" w:name="_Toc97278225"/>
      <w:bookmarkStart w:id="1" w:name="_Toc99069961"/>
      <w:r w:rsidRPr="0060432A">
        <w:rPr>
          <w:rFonts w:eastAsia="Times New Roman"/>
          <w:b/>
          <w:bCs/>
          <w:caps/>
          <w:u w:val="thick"/>
        </w:rPr>
        <w:lastRenderedPageBreak/>
        <w:t>Certificate of Service</w:t>
      </w:r>
      <w:bookmarkEnd w:id="0"/>
      <w:bookmarkEnd w:id="1"/>
    </w:p>
    <w:p w14:paraId="7942BC45" w14:textId="77777777" w:rsidR="004E539B" w:rsidRPr="004E539B" w:rsidRDefault="004E539B" w:rsidP="004E539B">
      <w:pPr>
        <w:widowControl w:val="0"/>
        <w:suppressLineNumbers/>
        <w:autoSpaceDE w:val="0"/>
        <w:autoSpaceDN w:val="0"/>
        <w:spacing w:before="5" w:after="0" w:line="240" w:lineRule="auto"/>
        <w:jc w:val="both"/>
        <w:rPr>
          <w:rFonts w:ascii="Times New Roman" w:eastAsia="Times New Roman" w:hAnsi="Times New Roman" w:cs="Times New Roman"/>
          <w:b/>
        </w:rPr>
      </w:pPr>
    </w:p>
    <w:p w14:paraId="103DA692" w14:textId="2063D0D9" w:rsidR="004E539B" w:rsidRPr="0060432A" w:rsidRDefault="004E539B" w:rsidP="004E539B">
      <w:pPr>
        <w:widowControl w:val="0"/>
        <w:suppressLineNumbers/>
        <w:autoSpaceDE w:val="0"/>
        <w:autoSpaceDN w:val="0"/>
        <w:spacing w:before="5" w:after="0" w:line="240" w:lineRule="auto"/>
        <w:ind w:firstLine="720"/>
        <w:jc w:val="both"/>
        <w:rPr>
          <w:rFonts w:eastAsia="Times New Roman"/>
        </w:rPr>
      </w:pPr>
      <w:r w:rsidRPr="0060432A">
        <w:rPr>
          <w:rFonts w:eastAsia="Times New Roman"/>
        </w:rPr>
        <w:t xml:space="preserve">I hereby certify that a true copy of the foregoing </w:t>
      </w:r>
      <w:r w:rsidRPr="0060432A">
        <w:rPr>
          <w:rFonts w:eastAsia="Times New Roman"/>
          <w:i/>
          <w:iCs/>
        </w:rPr>
        <w:t>Memorandum Contra of Interstate Gas Supply, Inc.</w:t>
      </w:r>
      <w:r w:rsidRPr="0060432A">
        <w:rPr>
          <w:rFonts w:eastAsia="Times New Roman"/>
        </w:rPr>
        <w:t xml:space="preserve"> was filed electronically through the Docketing Information System of the Public Utilities Commission of Ohio on Ma</w:t>
      </w:r>
      <w:r w:rsidR="00C11356" w:rsidRPr="0060432A">
        <w:rPr>
          <w:rFonts w:eastAsia="Times New Roman"/>
        </w:rPr>
        <w:t>y</w:t>
      </w:r>
      <w:r w:rsidRPr="0060432A">
        <w:rPr>
          <w:rFonts w:eastAsia="Times New Roman"/>
        </w:rPr>
        <w:t xml:space="preserve"> </w:t>
      </w:r>
      <w:r w:rsidR="00C11356" w:rsidRPr="0060432A">
        <w:rPr>
          <w:rFonts w:eastAsia="Times New Roman"/>
        </w:rPr>
        <w:t>23</w:t>
      </w:r>
      <w:r w:rsidRPr="0060432A">
        <w:rPr>
          <w:rFonts w:eastAsia="Times New Roman"/>
        </w:rPr>
        <w:t>, 2022. The Commission’s e-filing system will electronically serve notice of the filing of this document upon the following parties listed below.</w:t>
      </w:r>
    </w:p>
    <w:p w14:paraId="282BDA20" w14:textId="77777777" w:rsidR="004E539B" w:rsidRPr="0060432A" w:rsidRDefault="004E539B" w:rsidP="004E539B">
      <w:pPr>
        <w:widowControl w:val="0"/>
        <w:suppressLineNumbers/>
        <w:autoSpaceDE w:val="0"/>
        <w:autoSpaceDN w:val="0"/>
        <w:spacing w:before="5" w:after="0" w:line="240" w:lineRule="auto"/>
        <w:rPr>
          <w:rFonts w:eastAsia="Times New Roman"/>
        </w:rPr>
      </w:pPr>
    </w:p>
    <w:p w14:paraId="355BC21C" w14:textId="30B3E835" w:rsidR="004E539B" w:rsidRPr="0060432A" w:rsidRDefault="004E539B" w:rsidP="004E539B">
      <w:pPr>
        <w:widowControl w:val="0"/>
        <w:suppressLineNumbers/>
        <w:autoSpaceDE w:val="0"/>
        <w:autoSpaceDN w:val="0"/>
        <w:spacing w:before="5" w:after="0" w:line="240" w:lineRule="auto"/>
        <w:ind w:left="5760"/>
        <w:rPr>
          <w:rFonts w:eastAsia="Times New Roman"/>
          <w:i/>
          <w:u w:val="single"/>
        </w:rPr>
      </w:pPr>
      <w:r w:rsidRPr="0060432A">
        <w:rPr>
          <w:rFonts w:eastAsia="Times New Roman"/>
          <w:i/>
          <w:u w:val="single"/>
        </w:rPr>
        <w:t xml:space="preserve">/s/ </w:t>
      </w:r>
      <w:r w:rsidR="00C11356" w:rsidRPr="0060432A">
        <w:rPr>
          <w:rFonts w:eastAsia="Times New Roman"/>
          <w:i/>
          <w:u w:val="single"/>
        </w:rPr>
        <w:t>Stacie Cathcart</w:t>
      </w:r>
    </w:p>
    <w:p w14:paraId="1C3286C3" w14:textId="17D8CD47" w:rsidR="004E539B" w:rsidRPr="0060432A" w:rsidRDefault="00C11356" w:rsidP="004E539B">
      <w:pPr>
        <w:widowControl w:val="0"/>
        <w:suppressLineNumbers/>
        <w:autoSpaceDE w:val="0"/>
        <w:autoSpaceDN w:val="0"/>
        <w:spacing w:before="5" w:after="0" w:line="240" w:lineRule="auto"/>
        <w:ind w:left="5760"/>
        <w:rPr>
          <w:rFonts w:eastAsia="Times New Roman"/>
        </w:rPr>
      </w:pPr>
      <w:r w:rsidRPr="0060432A">
        <w:rPr>
          <w:rFonts w:eastAsia="Times New Roman"/>
        </w:rPr>
        <w:t>Stacie Cathcart</w:t>
      </w:r>
    </w:p>
    <w:p w14:paraId="53E15A0E" w14:textId="32FFF289" w:rsidR="004E539B" w:rsidRPr="00692D39" w:rsidRDefault="0060432A" w:rsidP="00692D39">
      <w:pPr>
        <w:spacing w:after="0"/>
      </w:pPr>
      <w:hyperlink r:id="rId8" w:history="1">
        <w:r w:rsidR="009A2F89" w:rsidRPr="00692D39">
          <w:rPr>
            <w:rStyle w:val="Hyperlink"/>
            <w:color w:val="auto"/>
          </w:rPr>
          <w:t>josephclark@nisource.com</w:t>
        </w:r>
      </w:hyperlink>
      <w:r w:rsidR="009A2F89" w:rsidRPr="00692D39">
        <w:t xml:space="preserve">  </w:t>
      </w:r>
      <w:r w:rsidR="009A2F89" w:rsidRPr="00692D39">
        <w:br/>
      </w:r>
      <w:hyperlink r:id="rId9" w:history="1">
        <w:r w:rsidR="009A2F89" w:rsidRPr="00692D39">
          <w:rPr>
            <w:rStyle w:val="Hyperlink"/>
            <w:color w:val="auto"/>
          </w:rPr>
          <w:t>johnryan@nisource.com</w:t>
        </w:r>
      </w:hyperlink>
      <w:r w:rsidR="009A2F89" w:rsidRPr="00692D39">
        <w:t xml:space="preserve">  </w:t>
      </w:r>
      <w:r w:rsidR="009A2F89" w:rsidRPr="00692D39">
        <w:br/>
      </w:r>
      <w:hyperlink r:id="rId10" w:history="1">
        <w:r w:rsidR="009A2F89" w:rsidRPr="00692D39">
          <w:rPr>
            <w:rStyle w:val="Hyperlink"/>
            <w:color w:val="auto"/>
          </w:rPr>
          <w:t>mlthompson@nisource.com</w:t>
        </w:r>
      </w:hyperlink>
      <w:r w:rsidR="009A2F89" w:rsidRPr="00692D39">
        <w:t xml:space="preserve"> </w:t>
      </w:r>
    </w:p>
    <w:p w14:paraId="7CEAF8CE" w14:textId="77777777" w:rsidR="009A2F89" w:rsidRPr="00692D39" w:rsidRDefault="0060432A" w:rsidP="00692D39">
      <w:pPr>
        <w:spacing w:after="0"/>
      </w:pPr>
      <w:hyperlink r:id="rId11" w:history="1">
        <w:r w:rsidR="009A2F89" w:rsidRPr="00692D39">
          <w:rPr>
            <w:rStyle w:val="Hyperlink"/>
            <w:color w:val="auto"/>
          </w:rPr>
          <w:t>egallon@porterwright.com</w:t>
        </w:r>
      </w:hyperlink>
      <w:r w:rsidR="009A2F89" w:rsidRPr="00692D39">
        <w:t xml:space="preserve">  </w:t>
      </w:r>
    </w:p>
    <w:p w14:paraId="35B819F6" w14:textId="77777777" w:rsidR="009A2F89" w:rsidRPr="00692D39" w:rsidRDefault="0060432A" w:rsidP="00692D39">
      <w:pPr>
        <w:spacing w:after="0"/>
      </w:pPr>
      <w:hyperlink r:id="rId12" w:history="1">
        <w:r w:rsidR="009A2F89" w:rsidRPr="00692D39">
          <w:rPr>
            <w:rStyle w:val="Hyperlink"/>
            <w:color w:val="auto"/>
          </w:rPr>
          <w:t>mstemm@porterwright.com</w:t>
        </w:r>
      </w:hyperlink>
      <w:r w:rsidR="009A2F89" w:rsidRPr="00692D39">
        <w:t xml:space="preserve">  </w:t>
      </w:r>
    </w:p>
    <w:p w14:paraId="34B5C3F7" w14:textId="67BF1805" w:rsidR="009A2F89" w:rsidRPr="00692D39" w:rsidRDefault="0060432A" w:rsidP="00692D39">
      <w:pPr>
        <w:spacing w:after="0"/>
      </w:pPr>
      <w:hyperlink r:id="rId13" w:history="1">
        <w:r w:rsidR="009A2F89" w:rsidRPr="00692D39">
          <w:rPr>
            <w:rStyle w:val="Hyperlink"/>
            <w:color w:val="auto"/>
          </w:rPr>
          <w:t>bhughes@porterwright.com</w:t>
        </w:r>
      </w:hyperlink>
      <w:r w:rsidR="009A2F89" w:rsidRPr="00692D39">
        <w:t xml:space="preserve">  </w:t>
      </w:r>
    </w:p>
    <w:p w14:paraId="3C2B97F3" w14:textId="77777777" w:rsidR="009A2F89" w:rsidRPr="00692D39" w:rsidRDefault="0060432A" w:rsidP="00692D39">
      <w:pPr>
        <w:spacing w:after="0"/>
      </w:pPr>
      <w:hyperlink r:id="rId14" w:history="1">
        <w:r w:rsidR="009A2F89" w:rsidRPr="00692D39">
          <w:rPr>
            <w:rStyle w:val="Hyperlink"/>
            <w:color w:val="auto"/>
          </w:rPr>
          <w:t>dflahive@porterwright.com</w:t>
        </w:r>
      </w:hyperlink>
      <w:r w:rsidR="009A2F89" w:rsidRPr="00692D39">
        <w:t xml:space="preserve"> </w:t>
      </w:r>
    </w:p>
    <w:p w14:paraId="68CF9710" w14:textId="77777777" w:rsidR="009A2F89" w:rsidRPr="00692D39" w:rsidRDefault="0060432A" w:rsidP="00692D39">
      <w:pPr>
        <w:spacing w:after="0"/>
      </w:pPr>
      <w:hyperlink r:id="rId15" w:history="1">
        <w:r w:rsidR="009A2F89" w:rsidRPr="00692D39">
          <w:rPr>
            <w:rStyle w:val="Hyperlink"/>
            <w:color w:val="auto"/>
          </w:rPr>
          <w:t>jweber@elpc.org</w:t>
        </w:r>
      </w:hyperlink>
      <w:r w:rsidR="009A2F89" w:rsidRPr="00692D39">
        <w:t xml:space="preserve"> </w:t>
      </w:r>
    </w:p>
    <w:p w14:paraId="20083B20" w14:textId="18682199" w:rsidR="009A2F89" w:rsidRPr="009A2F89" w:rsidRDefault="0060432A" w:rsidP="00692D39">
      <w:pPr>
        <w:spacing w:after="0"/>
      </w:pPr>
      <w:hyperlink r:id="rId16" w:history="1">
        <w:r w:rsidR="009A2F89" w:rsidRPr="00692D39">
          <w:rPr>
            <w:rStyle w:val="Hyperlink"/>
            <w:color w:val="auto"/>
          </w:rPr>
          <w:t>dparram@bricker.com</w:t>
        </w:r>
      </w:hyperlink>
    </w:p>
    <w:p w14:paraId="6DDDAE17" w14:textId="02514362" w:rsidR="009A2F89" w:rsidRPr="00692D39" w:rsidRDefault="0060432A" w:rsidP="00692D39">
      <w:pPr>
        <w:spacing w:after="0"/>
      </w:pPr>
      <w:hyperlink r:id="rId17" w:history="1">
        <w:r w:rsidR="009A2F89" w:rsidRPr="00692D39">
          <w:rPr>
            <w:rStyle w:val="Hyperlink"/>
            <w:color w:val="auto"/>
          </w:rPr>
          <w:t>gkrassen@nopec.org</w:t>
        </w:r>
      </w:hyperlink>
    </w:p>
    <w:p w14:paraId="52EA3DFD" w14:textId="77777777" w:rsidR="009A2F89" w:rsidRPr="00692D39" w:rsidRDefault="0060432A" w:rsidP="00692D39">
      <w:pPr>
        <w:spacing w:after="0"/>
      </w:pPr>
      <w:hyperlink r:id="rId18" w:history="1">
        <w:r w:rsidR="009A2F89" w:rsidRPr="00692D39">
          <w:rPr>
            <w:rStyle w:val="Hyperlink"/>
            <w:color w:val="auto"/>
          </w:rPr>
          <w:t>william.michael@occ.ohio.gov</w:t>
        </w:r>
      </w:hyperlink>
      <w:r w:rsidR="009A2F89" w:rsidRPr="00692D39">
        <w:t xml:space="preserve"> </w:t>
      </w:r>
    </w:p>
    <w:p w14:paraId="56EC9492" w14:textId="77777777" w:rsidR="009A2F89" w:rsidRPr="00692D39" w:rsidRDefault="0060432A" w:rsidP="00692D39">
      <w:pPr>
        <w:spacing w:after="0"/>
      </w:pPr>
      <w:hyperlink r:id="rId19" w:history="1">
        <w:r w:rsidR="009A2F89" w:rsidRPr="00692D39">
          <w:rPr>
            <w:rStyle w:val="Hyperlink"/>
            <w:color w:val="auto"/>
          </w:rPr>
          <w:t>angela.obrien@occ.ohio.gov</w:t>
        </w:r>
      </w:hyperlink>
      <w:r w:rsidR="009A2F89" w:rsidRPr="00692D39">
        <w:t xml:space="preserve">  </w:t>
      </w:r>
    </w:p>
    <w:p w14:paraId="4481EB6F" w14:textId="77777777" w:rsidR="009A2F89" w:rsidRPr="00692D39" w:rsidRDefault="0060432A" w:rsidP="00692D39">
      <w:pPr>
        <w:spacing w:after="0"/>
      </w:pPr>
      <w:hyperlink r:id="rId20" w:history="1">
        <w:r w:rsidR="009A2F89" w:rsidRPr="00692D39">
          <w:rPr>
            <w:rStyle w:val="Hyperlink"/>
            <w:color w:val="auto"/>
          </w:rPr>
          <w:t>mkurtz@BKLlawfirm.com</w:t>
        </w:r>
      </w:hyperlink>
      <w:r w:rsidR="009A2F89" w:rsidRPr="00692D39">
        <w:t xml:space="preserve">  </w:t>
      </w:r>
    </w:p>
    <w:p w14:paraId="740F2CA6" w14:textId="77777777" w:rsidR="009A2F89" w:rsidRPr="00692D39" w:rsidRDefault="0060432A" w:rsidP="00692D39">
      <w:pPr>
        <w:spacing w:after="0"/>
      </w:pPr>
      <w:hyperlink r:id="rId21" w:history="1">
        <w:r w:rsidR="009A2F89" w:rsidRPr="00692D39">
          <w:rPr>
            <w:rStyle w:val="Hyperlink"/>
            <w:color w:val="auto"/>
          </w:rPr>
          <w:t>kboehm@BKLlawfirm.com</w:t>
        </w:r>
      </w:hyperlink>
      <w:r w:rsidR="009A2F89" w:rsidRPr="00692D39">
        <w:t xml:space="preserve">  </w:t>
      </w:r>
    </w:p>
    <w:p w14:paraId="59BEBA10" w14:textId="625806E1" w:rsidR="009A2F89" w:rsidRPr="00692D39" w:rsidRDefault="0060432A" w:rsidP="00692D39">
      <w:pPr>
        <w:spacing w:after="0"/>
      </w:pPr>
      <w:hyperlink r:id="rId22" w:history="1">
        <w:r w:rsidR="009A2F89" w:rsidRPr="00692D39">
          <w:rPr>
            <w:rStyle w:val="Hyperlink"/>
            <w:color w:val="auto"/>
          </w:rPr>
          <w:t>jkylercohn@BKLlawfirm.com</w:t>
        </w:r>
      </w:hyperlink>
    </w:p>
    <w:p w14:paraId="1E37C028" w14:textId="77777777" w:rsidR="009A2F89" w:rsidRPr="00692D39" w:rsidRDefault="0060432A" w:rsidP="00692D39">
      <w:pPr>
        <w:spacing w:after="0"/>
      </w:pPr>
      <w:hyperlink r:id="rId23" w:history="1">
        <w:r w:rsidR="009A2F89" w:rsidRPr="00692D39">
          <w:rPr>
            <w:rStyle w:val="Hyperlink"/>
            <w:color w:val="auto"/>
          </w:rPr>
          <w:t>bojko@carpenterlipps.com</w:t>
        </w:r>
      </w:hyperlink>
    </w:p>
    <w:p w14:paraId="660CCB90" w14:textId="5A76BBFF" w:rsidR="009A2F89" w:rsidRPr="009A2F89" w:rsidRDefault="0060432A" w:rsidP="00692D39">
      <w:pPr>
        <w:spacing w:after="0"/>
      </w:pPr>
      <w:hyperlink r:id="rId24" w:history="1">
        <w:r w:rsidR="009A2F89" w:rsidRPr="00692D39">
          <w:rPr>
            <w:rStyle w:val="Hyperlink"/>
            <w:color w:val="auto"/>
          </w:rPr>
          <w:t>wygonski@carpenterlipps.com</w:t>
        </w:r>
      </w:hyperlink>
    </w:p>
    <w:p w14:paraId="18171D60" w14:textId="18AB72D9" w:rsidR="009A2F89" w:rsidRPr="009A2F89" w:rsidRDefault="0060432A" w:rsidP="00692D39">
      <w:pPr>
        <w:spacing w:after="0"/>
      </w:pPr>
      <w:hyperlink r:id="rId25" w:history="1">
        <w:r w:rsidR="009A2F89" w:rsidRPr="00692D39">
          <w:rPr>
            <w:rStyle w:val="Hyperlink"/>
            <w:color w:val="auto"/>
          </w:rPr>
          <w:t>rdove@keglerbrown.com</w:t>
        </w:r>
      </w:hyperlink>
    </w:p>
    <w:p w14:paraId="0461AE3A" w14:textId="122EE150" w:rsidR="009A2F89" w:rsidRPr="009A2F89" w:rsidRDefault="0060432A" w:rsidP="00692D39">
      <w:pPr>
        <w:spacing w:after="0"/>
      </w:pPr>
      <w:hyperlink r:id="rId26" w:history="1">
        <w:r w:rsidR="009A2F89" w:rsidRPr="00692D39">
          <w:rPr>
            <w:rStyle w:val="Hyperlink"/>
            <w:color w:val="auto"/>
          </w:rPr>
          <w:t>gkrassen@bricker.com</w:t>
        </w:r>
      </w:hyperlink>
    </w:p>
    <w:p w14:paraId="2EF4D32B" w14:textId="57728294" w:rsidR="009A2F89" w:rsidRPr="00692D39" w:rsidRDefault="0060432A" w:rsidP="00692D39">
      <w:pPr>
        <w:spacing w:after="0"/>
      </w:pPr>
      <w:hyperlink r:id="rId27" w:history="1">
        <w:r w:rsidR="009A2F89" w:rsidRPr="00692D39">
          <w:rPr>
            <w:rStyle w:val="Hyperlink"/>
            <w:color w:val="auto"/>
          </w:rPr>
          <w:t>dstinson@bricker.com</w:t>
        </w:r>
      </w:hyperlink>
      <w:r w:rsidR="009A2F89" w:rsidRPr="00692D39">
        <w:t xml:space="preserve"> </w:t>
      </w:r>
    </w:p>
    <w:p w14:paraId="472DDB83" w14:textId="77777777" w:rsidR="009A2F89" w:rsidRPr="00692D39" w:rsidRDefault="0060432A" w:rsidP="00692D39">
      <w:pPr>
        <w:spacing w:after="0"/>
      </w:pPr>
      <w:hyperlink r:id="rId28" w:history="1">
        <w:r w:rsidR="009A2F89" w:rsidRPr="00692D39">
          <w:rPr>
            <w:rStyle w:val="Hyperlink"/>
            <w:color w:val="auto"/>
          </w:rPr>
          <w:t>mjsettineri@vorys.com</w:t>
        </w:r>
      </w:hyperlink>
      <w:r w:rsidR="009A2F89" w:rsidRPr="00692D39">
        <w:t xml:space="preserve"> </w:t>
      </w:r>
    </w:p>
    <w:p w14:paraId="454B09FB" w14:textId="69265846" w:rsidR="009A2F89" w:rsidRPr="00692D39" w:rsidRDefault="0060432A" w:rsidP="00692D39">
      <w:pPr>
        <w:spacing w:after="0"/>
      </w:pPr>
      <w:hyperlink r:id="rId29" w:history="1">
        <w:r w:rsidR="009A2F89" w:rsidRPr="00692D39">
          <w:rPr>
            <w:rStyle w:val="Hyperlink"/>
            <w:color w:val="auto"/>
          </w:rPr>
          <w:t>glpetrucci@vorys.com</w:t>
        </w:r>
      </w:hyperlink>
      <w:r w:rsidR="009A2F89" w:rsidRPr="00692D39">
        <w:t xml:space="preserve"> </w:t>
      </w:r>
    </w:p>
    <w:p w14:paraId="02DFCEE0" w14:textId="793742E3" w:rsidR="009A2F89" w:rsidRPr="009A2F89" w:rsidRDefault="0060432A" w:rsidP="00692D39">
      <w:pPr>
        <w:widowControl w:val="0"/>
        <w:autoSpaceDE w:val="0"/>
        <w:autoSpaceDN w:val="0"/>
        <w:adjustRightInd w:val="0"/>
        <w:spacing w:after="0"/>
      </w:pPr>
      <w:hyperlink r:id="rId30" w:history="1">
        <w:r w:rsidR="009A2F89" w:rsidRPr="00692D39">
          <w:rPr>
            <w:rStyle w:val="Hyperlink"/>
            <w:color w:val="auto"/>
          </w:rPr>
          <w:t>mjsettineri@vorys.com</w:t>
        </w:r>
      </w:hyperlink>
    </w:p>
    <w:p w14:paraId="7F1569F1" w14:textId="2B6F2B38" w:rsidR="009A2F89" w:rsidRPr="00692D39" w:rsidRDefault="0060432A" w:rsidP="00692D39">
      <w:pPr>
        <w:widowControl w:val="0"/>
        <w:autoSpaceDE w:val="0"/>
        <w:autoSpaceDN w:val="0"/>
        <w:adjustRightInd w:val="0"/>
        <w:spacing w:after="0"/>
        <w:rPr>
          <w:u w:val="single"/>
        </w:rPr>
      </w:pPr>
      <w:hyperlink r:id="rId31" w:history="1">
        <w:r w:rsidR="009A2F89" w:rsidRPr="00692D39">
          <w:rPr>
            <w:rStyle w:val="Hyperlink"/>
            <w:color w:val="auto"/>
          </w:rPr>
          <w:t>glpetrucci@vorys.com</w:t>
        </w:r>
      </w:hyperlink>
    </w:p>
    <w:p w14:paraId="79F795E6" w14:textId="77777777" w:rsidR="009A2F89" w:rsidRPr="00692D39" w:rsidRDefault="0060432A" w:rsidP="00692D39">
      <w:pPr>
        <w:spacing w:after="0"/>
      </w:pPr>
      <w:hyperlink r:id="rId32" w:history="1">
        <w:r w:rsidR="009A2F89" w:rsidRPr="00692D39">
          <w:rPr>
            <w:rStyle w:val="Hyperlink"/>
            <w:color w:val="auto"/>
          </w:rPr>
          <w:t>kyle.kern@OhioAGO.gov</w:t>
        </w:r>
      </w:hyperlink>
      <w:r w:rsidR="009A2F89" w:rsidRPr="00692D39">
        <w:br/>
      </w:r>
      <w:hyperlink r:id="rId33" w:history="1">
        <w:r w:rsidR="009A2F89" w:rsidRPr="00692D39">
          <w:rPr>
            <w:rStyle w:val="Hyperlink"/>
            <w:color w:val="auto"/>
          </w:rPr>
          <w:t>werner.margard@OhioAGO.gov</w:t>
        </w:r>
      </w:hyperlink>
      <w:r w:rsidR="009A2F89" w:rsidRPr="00692D39">
        <w:t xml:space="preserve">  </w:t>
      </w:r>
      <w:r w:rsidR="009A2F89" w:rsidRPr="00692D39">
        <w:br/>
      </w:r>
      <w:hyperlink r:id="rId34" w:history="1">
        <w:r w:rsidR="009A2F89" w:rsidRPr="00692D39">
          <w:rPr>
            <w:rStyle w:val="Hyperlink"/>
            <w:color w:val="auto"/>
          </w:rPr>
          <w:t>thomas.shepherd@OhioAGO.gov</w:t>
        </w:r>
      </w:hyperlink>
      <w:r w:rsidR="009A2F89" w:rsidRPr="00692D39">
        <w:t xml:space="preserve"> </w:t>
      </w:r>
    </w:p>
    <w:p w14:paraId="10C7E83D" w14:textId="77777777" w:rsidR="009A2F89" w:rsidRDefault="009A2F89" w:rsidP="009A2F89">
      <w:pPr>
        <w:rPr>
          <w:sz w:val="22"/>
          <w:szCs w:val="22"/>
        </w:rPr>
      </w:pPr>
    </w:p>
    <w:p w14:paraId="5F0853BC" w14:textId="77777777" w:rsidR="009A2F89" w:rsidRDefault="009A2F89" w:rsidP="009A2F89">
      <w:pPr>
        <w:rPr>
          <w:sz w:val="22"/>
          <w:szCs w:val="22"/>
        </w:rPr>
      </w:pPr>
    </w:p>
    <w:p w14:paraId="2B868152" w14:textId="77777777" w:rsidR="009A2F89" w:rsidRPr="00692D39" w:rsidRDefault="009A2F89" w:rsidP="00692D39">
      <w:pPr>
        <w:rPr>
          <w:sz w:val="22"/>
          <w:szCs w:val="22"/>
        </w:rPr>
      </w:pPr>
    </w:p>
    <w:sectPr w:rsidR="009A2F89" w:rsidRPr="00692D39">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C6DBB" w14:textId="77777777" w:rsidR="00587E7E" w:rsidRDefault="00587E7E" w:rsidP="000F6CF7">
      <w:pPr>
        <w:spacing w:after="0" w:line="240" w:lineRule="auto"/>
      </w:pPr>
      <w:r>
        <w:separator/>
      </w:r>
    </w:p>
  </w:endnote>
  <w:endnote w:type="continuationSeparator" w:id="0">
    <w:p w14:paraId="750B2D48" w14:textId="77777777" w:rsidR="00587E7E" w:rsidRDefault="00587E7E" w:rsidP="000F6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3843518"/>
      <w:docPartObj>
        <w:docPartGallery w:val="Page Numbers (Bottom of Page)"/>
        <w:docPartUnique/>
      </w:docPartObj>
    </w:sdtPr>
    <w:sdtEndPr>
      <w:rPr>
        <w:noProof/>
      </w:rPr>
    </w:sdtEndPr>
    <w:sdtContent>
      <w:p w14:paraId="31B37CFF" w14:textId="19A1B2BE" w:rsidR="00B422B6" w:rsidRDefault="00B422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299971" w14:textId="77777777" w:rsidR="00B422B6" w:rsidRDefault="00B42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1A5E9" w14:textId="77777777" w:rsidR="00587E7E" w:rsidRDefault="00587E7E" w:rsidP="000F6CF7">
      <w:pPr>
        <w:spacing w:after="0" w:line="240" w:lineRule="auto"/>
      </w:pPr>
      <w:r>
        <w:separator/>
      </w:r>
    </w:p>
  </w:footnote>
  <w:footnote w:type="continuationSeparator" w:id="0">
    <w:p w14:paraId="7451AC8F" w14:textId="77777777" w:rsidR="00587E7E" w:rsidRDefault="00587E7E" w:rsidP="000F6CF7">
      <w:pPr>
        <w:spacing w:after="0" w:line="240" w:lineRule="auto"/>
      </w:pPr>
      <w:r>
        <w:continuationSeparator/>
      </w:r>
    </w:p>
  </w:footnote>
  <w:footnote w:id="1">
    <w:p w14:paraId="4E9E752E" w14:textId="6AEC281D" w:rsidR="000F6CF7" w:rsidRPr="000F6CF7" w:rsidRDefault="000F6CF7" w:rsidP="00390ABB">
      <w:pPr>
        <w:pStyle w:val="FootnoteText"/>
        <w:jc w:val="both"/>
      </w:pPr>
      <w:r>
        <w:rPr>
          <w:rStyle w:val="FootnoteReference"/>
        </w:rPr>
        <w:footnoteRef/>
      </w:r>
      <w:r>
        <w:t xml:space="preserve"> </w:t>
      </w:r>
      <w:r w:rsidR="00DB0768">
        <w:t xml:space="preserve">Columbia incorrectly invokes </w:t>
      </w:r>
      <w:r>
        <w:t>Division (F) of Rule 4901:1-19-07</w:t>
      </w:r>
      <w:r w:rsidR="00DB0768">
        <w:t xml:space="preserve"> in its motion. While objections under that rule must “[s]</w:t>
      </w:r>
      <w:proofErr w:type="spellStart"/>
      <w:r w:rsidR="00DB0768" w:rsidRPr="000F6CF7">
        <w:t>pecifically</w:t>
      </w:r>
      <w:proofErr w:type="spellEnd"/>
      <w:r w:rsidR="00DB0768" w:rsidRPr="000F6CF7">
        <w:t xml:space="preserve"> designate those portions of the staff report and/or the application that are considered to be objectionable and explain the objection</w:t>
      </w:r>
      <w:r w:rsidR="00DB0768">
        <w:t>,” Columbia has also filed a general rate case that is governed by the broader requirements of R.C. 4909.19 and Rule 4901-1-28. Columbia elects to ignore those broader requirements in its motion to strike</w:t>
      </w:r>
      <w:r w:rsidR="00F54E92">
        <w:t xml:space="preserve">. Nonetheless, Columbia </w:t>
      </w:r>
      <w:r w:rsidR="006946DD">
        <w:t>relies</w:t>
      </w:r>
      <w:r w:rsidR="00F54E92">
        <w:t xml:space="preserve"> on cases that interpret the Commission’s authority to strike objections in general rate cases, but Columbia’s </w:t>
      </w:r>
      <w:r w:rsidR="00CB5A00">
        <w:t>“</w:t>
      </w:r>
      <w:r w:rsidR="00F54E92">
        <w:t>pick and choose</w:t>
      </w:r>
      <w:r w:rsidR="00CB5A00">
        <w:t>”</w:t>
      </w:r>
      <w:r w:rsidR="00F54E92">
        <w:t xml:space="preserve"> approach suffers an</w:t>
      </w:r>
      <w:r w:rsidR="00ED1A7D">
        <w:t>o</w:t>
      </w:r>
      <w:r w:rsidR="00F54E92">
        <w:t xml:space="preserve">ther problem: </w:t>
      </w:r>
      <w:r w:rsidR="00D42051">
        <w:t xml:space="preserve">the case relied upon in footnote 3 of Columbia’s memorandum in support </w:t>
      </w:r>
      <w:r w:rsidR="00ED1A7D">
        <w:t xml:space="preserve">of the Commission’s discretion to </w:t>
      </w:r>
      <w:r w:rsidR="0007369D">
        <w:t xml:space="preserve">run its own proceedings </w:t>
      </w:r>
      <w:r w:rsidR="00D42051">
        <w:t xml:space="preserve">was </w:t>
      </w:r>
      <w:r w:rsidR="006946DD">
        <w:t>reversed in</w:t>
      </w:r>
      <w:r w:rsidR="00D42051">
        <w:t xml:space="preserve"> the case </w:t>
      </w:r>
      <w:r w:rsidR="006946DD">
        <w:t>cite</w:t>
      </w:r>
      <w:r w:rsidR="00CB5A00">
        <w:t>d</w:t>
      </w:r>
      <w:r w:rsidR="006946DD">
        <w:t xml:space="preserve"> </w:t>
      </w:r>
      <w:r w:rsidR="00D42051">
        <w:t>in footnote 4 of its memorandum</w:t>
      </w:r>
      <w:r w:rsidR="00CB5A00">
        <w:t>,</w:t>
      </w:r>
      <w:r w:rsidR="00ED1A7D">
        <w:t xml:space="preserve"> which adopts </w:t>
      </w:r>
      <w:r w:rsidR="00CB5A00">
        <w:t>a</w:t>
      </w:r>
      <w:r w:rsidR="00ED1A7D">
        <w:t xml:space="preserve"> broader approach governing </w:t>
      </w:r>
      <w:r w:rsidR="0007369D">
        <w:t xml:space="preserve">objections in </w:t>
      </w:r>
      <w:r w:rsidR="00ED1A7D">
        <w:t>rate cases</w:t>
      </w:r>
      <w:r w:rsidR="00D42051" w:rsidRPr="00692D39">
        <w:rPr>
          <w:i/>
          <w:iCs/>
        </w:rPr>
        <w:t>. See In the Matter of the Application of Ohio Edison Company for Authority to Change Certain of its Filed Schedules Fixing Rates and Charges for Electric Service</w:t>
      </w:r>
      <w:r w:rsidR="00F54E92">
        <w:t xml:space="preserve">, Case No. 89-1001-EL-AIR, 1990 Ohio PUC LEXIS 912, Opinion and Order at *9 (Aug. 16, 1990) (granting motion to strike), reversed and remanded, </w:t>
      </w:r>
      <w:r w:rsidR="00F54E92" w:rsidRPr="00692D39">
        <w:rPr>
          <w:i/>
          <w:iCs/>
        </w:rPr>
        <w:t>Industrial Energy Consumers v. Pub. Utils. Comm’n of Ohio</w:t>
      </w:r>
      <w:r w:rsidR="00F54E92">
        <w:t>, 63 Ohio St. 3d 551, 553-54 (1992).</w:t>
      </w:r>
      <w:r w:rsidR="00F03134">
        <w:t xml:space="preserve"> In another questionable reference, Columbia cites a case addressing a motion to strike comments, not objections, regarding a matter that was being considered in a separate proceeding See Columbia Motion to Dismiss at 4 n.4, citing. </w:t>
      </w:r>
      <w:r w:rsidR="00F03134" w:rsidRPr="00692D39">
        <w:rPr>
          <w:i/>
          <w:iCs/>
        </w:rPr>
        <w:t xml:space="preserve">In the Matter </w:t>
      </w:r>
      <w:r w:rsidR="00317744" w:rsidRPr="00692D39">
        <w:rPr>
          <w:i/>
          <w:iCs/>
        </w:rPr>
        <w:t>of the</w:t>
      </w:r>
      <w:r w:rsidR="00F03134" w:rsidRPr="00692D39">
        <w:rPr>
          <w:i/>
          <w:iCs/>
        </w:rPr>
        <w:t xml:space="preserve"> Application of Duke Energy Ohio, Inc. for Authority to Adjust Rider AU for 2016 Grid Modernization Costs</w:t>
      </w:r>
      <w:r w:rsidR="00F03134">
        <w:t>, Case No. 17-690-GA-RDR, Entry (Sept. 14, 2017). This motion did not present any issues related to the application of R.C. 4909.19 or Commission rules.</w:t>
      </w:r>
    </w:p>
    <w:p w14:paraId="1AB824F8" w14:textId="77777777" w:rsidR="000F6CF7" w:rsidRDefault="000F6CF7" w:rsidP="00390ABB">
      <w:pPr>
        <w:pStyle w:val="FootnoteText"/>
        <w:jc w:val="both"/>
      </w:pPr>
    </w:p>
  </w:footnote>
  <w:footnote w:id="2">
    <w:p w14:paraId="1A275BDF" w14:textId="77777777" w:rsidR="00B4718F" w:rsidRDefault="00B4718F" w:rsidP="00B4718F">
      <w:pPr>
        <w:pStyle w:val="FootnoteText"/>
        <w:jc w:val="both"/>
      </w:pPr>
      <w:r>
        <w:rPr>
          <w:rStyle w:val="FootnoteReference"/>
        </w:rPr>
        <w:footnoteRef/>
      </w:r>
      <w:r>
        <w:t xml:space="preserve"> Under Rule 4901-1-28(B), an objection must be timely, demonstrate a sufficient nexus, and be specific. The arguments raised by Columbia concerning the go directly or indirectly to the second requirement.</w:t>
      </w:r>
    </w:p>
  </w:footnote>
  <w:footnote w:id="3">
    <w:p w14:paraId="632A28BB" w14:textId="175C77A3" w:rsidR="00664CD7" w:rsidRDefault="00664CD7">
      <w:pPr>
        <w:pStyle w:val="FootnoteText"/>
      </w:pPr>
      <w:r>
        <w:rPr>
          <w:rStyle w:val="FootnoteReference"/>
        </w:rPr>
        <w:footnoteRef/>
      </w:r>
      <w:r>
        <w:t xml:space="preserve"> </w:t>
      </w:r>
      <w:r w:rsidRPr="001E0172">
        <w:rPr>
          <w:shd w:val="clear" w:color="auto" w:fill="FFFFFF"/>
        </w:rPr>
        <w:t xml:space="preserve">This failure stands in sharp contrast to the Staff’s recent efforts in a settlement involving Duke in which it supported several recommendations addressing EXM issues wholly unrelated to the application. </w:t>
      </w:r>
      <w:r w:rsidRPr="001E0172">
        <w:rPr>
          <w:i/>
          <w:iCs/>
          <w:shd w:val="clear" w:color="auto" w:fill="FFFFFF"/>
        </w:rPr>
        <w:t>See</w:t>
      </w:r>
      <w:r w:rsidRPr="001E0172">
        <w:rPr>
          <w:shd w:val="clear" w:color="auto" w:fill="FFFFFF"/>
        </w:rPr>
        <w:t xml:space="preserve"> </w:t>
      </w:r>
      <w:r w:rsidRPr="001E0172">
        <w:rPr>
          <w:i/>
          <w:iCs/>
          <w:shd w:val="clear" w:color="auto" w:fill="FFFFFF"/>
        </w:rPr>
        <w:t>In the Matter of the Application of Duke Energy Ohio, Inc. for an Adjustment to Rider MGP Rates</w:t>
      </w:r>
      <w:r w:rsidRPr="001E0172">
        <w:rPr>
          <w:shd w:val="clear" w:color="auto" w:fill="FFFFFF"/>
        </w:rPr>
        <w:t xml:space="preserve">, Case No. 14-0375-GA-RDR; </w:t>
      </w:r>
      <w:r w:rsidRPr="001E0172">
        <w:rPr>
          <w:i/>
          <w:iCs/>
          <w:shd w:val="clear" w:color="auto" w:fill="FFFFFF"/>
        </w:rPr>
        <w:t>et</w:t>
      </w:r>
      <w:r w:rsidRPr="001E0172">
        <w:rPr>
          <w:shd w:val="clear" w:color="auto" w:fill="FFFFFF"/>
        </w:rPr>
        <w:t xml:space="preserve"> </w:t>
      </w:r>
      <w:r w:rsidRPr="001E0172">
        <w:rPr>
          <w:i/>
          <w:iCs/>
          <w:shd w:val="clear" w:color="auto" w:fill="FFFFFF"/>
        </w:rPr>
        <w:t>al</w:t>
      </w:r>
      <w:r w:rsidRPr="001E0172">
        <w:rPr>
          <w:shd w:val="clear" w:color="auto" w:fill="FFFFFF"/>
        </w:rPr>
        <w:t xml:space="preserve">. Stipulation and Recommendation (Aug. 8, 2021).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0F46FC"/>
    <w:multiLevelType w:val="hybridMultilevel"/>
    <w:tmpl w:val="F4A8787C"/>
    <w:lvl w:ilvl="0" w:tplc="F9C45D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B8"/>
    <w:rsid w:val="00033984"/>
    <w:rsid w:val="000355DD"/>
    <w:rsid w:val="000418B0"/>
    <w:rsid w:val="0007369D"/>
    <w:rsid w:val="000F6CF7"/>
    <w:rsid w:val="00116EB8"/>
    <w:rsid w:val="001E0172"/>
    <w:rsid w:val="001E09D1"/>
    <w:rsid w:val="00216052"/>
    <w:rsid w:val="00225850"/>
    <w:rsid w:val="00265F3A"/>
    <w:rsid w:val="00317744"/>
    <w:rsid w:val="003256A4"/>
    <w:rsid w:val="00347D39"/>
    <w:rsid w:val="00390ABB"/>
    <w:rsid w:val="003E47D0"/>
    <w:rsid w:val="004E539B"/>
    <w:rsid w:val="00517DA2"/>
    <w:rsid w:val="00556859"/>
    <w:rsid w:val="0058316F"/>
    <w:rsid w:val="00587E7E"/>
    <w:rsid w:val="005B4E95"/>
    <w:rsid w:val="005D7C2B"/>
    <w:rsid w:val="0060432A"/>
    <w:rsid w:val="00606A1E"/>
    <w:rsid w:val="00626F61"/>
    <w:rsid w:val="00630BA6"/>
    <w:rsid w:val="00647D00"/>
    <w:rsid w:val="00664CD7"/>
    <w:rsid w:val="00692D39"/>
    <w:rsid w:val="006946DD"/>
    <w:rsid w:val="0069487E"/>
    <w:rsid w:val="007A1D51"/>
    <w:rsid w:val="007F1170"/>
    <w:rsid w:val="00855452"/>
    <w:rsid w:val="0086226F"/>
    <w:rsid w:val="00873D53"/>
    <w:rsid w:val="0089245D"/>
    <w:rsid w:val="008F7CFF"/>
    <w:rsid w:val="009813C5"/>
    <w:rsid w:val="009A2F89"/>
    <w:rsid w:val="009B3CD0"/>
    <w:rsid w:val="009E3A67"/>
    <w:rsid w:val="00AA5AF5"/>
    <w:rsid w:val="00AB0734"/>
    <w:rsid w:val="00AC1892"/>
    <w:rsid w:val="00AE534C"/>
    <w:rsid w:val="00B422B6"/>
    <w:rsid w:val="00B4718F"/>
    <w:rsid w:val="00BD7B7A"/>
    <w:rsid w:val="00C11356"/>
    <w:rsid w:val="00C57DB5"/>
    <w:rsid w:val="00C665F7"/>
    <w:rsid w:val="00CB5A00"/>
    <w:rsid w:val="00CF16A8"/>
    <w:rsid w:val="00CF6C85"/>
    <w:rsid w:val="00D2087C"/>
    <w:rsid w:val="00D42051"/>
    <w:rsid w:val="00D73EB6"/>
    <w:rsid w:val="00DB0768"/>
    <w:rsid w:val="00DF51D1"/>
    <w:rsid w:val="00E8229B"/>
    <w:rsid w:val="00ED1A7D"/>
    <w:rsid w:val="00F03134"/>
    <w:rsid w:val="00F172F3"/>
    <w:rsid w:val="00F26A47"/>
    <w:rsid w:val="00F34701"/>
    <w:rsid w:val="00F4658C"/>
    <w:rsid w:val="00F54E92"/>
    <w:rsid w:val="00F635A5"/>
    <w:rsid w:val="00FB2B6D"/>
    <w:rsid w:val="00FC1C4E"/>
    <w:rsid w:val="00FC1FF4"/>
    <w:rsid w:val="00FC6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1C69"/>
  <w15:chartTrackingRefBased/>
  <w15:docId w15:val="{99EE0623-74C8-49D6-AF8E-C793EA20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7C"/>
  </w:style>
  <w:style w:type="paragraph" w:styleId="Heading2">
    <w:name w:val="heading 2"/>
    <w:basedOn w:val="Normal"/>
    <w:next w:val="Normal"/>
    <w:link w:val="Heading2Char"/>
    <w:uiPriority w:val="9"/>
    <w:semiHidden/>
    <w:unhideWhenUsed/>
    <w:qFormat/>
    <w:rsid w:val="005D7C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2B6D"/>
    <w:rPr>
      <w:color w:val="0000FF"/>
      <w:u w:val="single"/>
    </w:rPr>
  </w:style>
  <w:style w:type="paragraph" w:styleId="FootnoteText">
    <w:name w:val="footnote text"/>
    <w:basedOn w:val="Normal"/>
    <w:link w:val="FootnoteTextChar"/>
    <w:uiPriority w:val="99"/>
    <w:unhideWhenUsed/>
    <w:rsid w:val="000F6CF7"/>
    <w:pPr>
      <w:spacing w:after="0" w:line="240" w:lineRule="auto"/>
    </w:pPr>
    <w:rPr>
      <w:sz w:val="20"/>
      <w:szCs w:val="20"/>
    </w:rPr>
  </w:style>
  <w:style w:type="character" w:customStyle="1" w:styleId="FootnoteTextChar">
    <w:name w:val="Footnote Text Char"/>
    <w:basedOn w:val="DefaultParagraphFont"/>
    <w:link w:val="FootnoteText"/>
    <w:uiPriority w:val="99"/>
    <w:rsid w:val="000F6CF7"/>
    <w:rPr>
      <w:sz w:val="20"/>
      <w:szCs w:val="20"/>
    </w:rPr>
  </w:style>
  <w:style w:type="character" w:styleId="FootnoteReference">
    <w:name w:val="footnote reference"/>
    <w:basedOn w:val="DefaultParagraphFont"/>
    <w:uiPriority w:val="99"/>
    <w:semiHidden/>
    <w:unhideWhenUsed/>
    <w:rsid w:val="000F6CF7"/>
    <w:rPr>
      <w:vertAlign w:val="superscript"/>
    </w:rPr>
  </w:style>
  <w:style w:type="character" w:customStyle="1" w:styleId="Heading2Char">
    <w:name w:val="Heading 2 Char"/>
    <w:basedOn w:val="DefaultParagraphFont"/>
    <w:link w:val="Heading2"/>
    <w:uiPriority w:val="9"/>
    <w:semiHidden/>
    <w:rsid w:val="005D7C2B"/>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E8229B"/>
    <w:rPr>
      <w:sz w:val="16"/>
      <w:szCs w:val="16"/>
    </w:rPr>
  </w:style>
  <w:style w:type="paragraph" w:styleId="CommentText">
    <w:name w:val="annotation text"/>
    <w:basedOn w:val="Normal"/>
    <w:link w:val="CommentTextChar"/>
    <w:uiPriority w:val="99"/>
    <w:unhideWhenUsed/>
    <w:rsid w:val="00E8229B"/>
    <w:pPr>
      <w:spacing w:line="240" w:lineRule="auto"/>
    </w:pPr>
    <w:rPr>
      <w:sz w:val="20"/>
      <w:szCs w:val="20"/>
    </w:rPr>
  </w:style>
  <w:style w:type="character" w:customStyle="1" w:styleId="CommentTextChar">
    <w:name w:val="Comment Text Char"/>
    <w:basedOn w:val="DefaultParagraphFont"/>
    <w:link w:val="CommentText"/>
    <w:uiPriority w:val="99"/>
    <w:rsid w:val="00E8229B"/>
    <w:rPr>
      <w:sz w:val="20"/>
      <w:szCs w:val="20"/>
    </w:rPr>
  </w:style>
  <w:style w:type="paragraph" w:styleId="CommentSubject">
    <w:name w:val="annotation subject"/>
    <w:basedOn w:val="CommentText"/>
    <w:next w:val="CommentText"/>
    <w:link w:val="CommentSubjectChar"/>
    <w:uiPriority w:val="99"/>
    <w:semiHidden/>
    <w:unhideWhenUsed/>
    <w:rsid w:val="00E8229B"/>
    <w:rPr>
      <w:b/>
      <w:bCs/>
    </w:rPr>
  </w:style>
  <w:style w:type="character" w:customStyle="1" w:styleId="CommentSubjectChar">
    <w:name w:val="Comment Subject Char"/>
    <w:basedOn w:val="CommentTextChar"/>
    <w:link w:val="CommentSubject"/>
    <w:uiPriority w:val="99"/>
    <w:semiHidden/>
    <w:rsid w:val="00E8229B"/>
    <w:rPr>
      <w:b/>
      <w:bCs/>
      <w:sz w:val="20"/>
      <w:szCs w:val="20"/>
    </w:rPr>
  </w:style>
  <w:style w:type="paragraph" w:styleId="Revision">
    <w:name w:val="Revision"/>
    <w:hidden/>
    <w:uiPriority w:val="99"/>
    <w:semiHidden/>
    <w:rsid w:val="00317744"/>
    <w:pPr>
      <w:spacing w:after="0" w:line="240" w:lineRule="auto"/>
    </w:pPr>
  </w:style>
  <w:style w:type="table" w:styleId="TableGrid">
    <w:name w:val="Table Grid"/>
    <w:basedOn w:val="TableNormal"/>
    <w:uiPriority w:val="59"/>
    <w:rsid w:val="004E539B"/>
    <w:pPr>
      <w:spacing w:after="0" w:line="240" w:lineRule="auto"/>
    </w:pPr>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1356"/>
    <w:pPr>
      <w:ind w:left="720"/>
      <w:contextualSpacing/>
    </w:pPr>
  </w:style>
  <w:style w:type="character" w:styleId="UnresolvedMention">
    <w:name w:val="Unresolved Mention"/>
    <w:basedOn w:val="DefaultParagraphFont"/>
    <w:uiPriority w:val="99"/>
    <w:semiHidden/>
    <w:unhideWhenUsed/>
    <w:rsid w:val="009A2F89"/>
    <w:rPr>
      <w:color w:val="605E5C"/>
      <w:shd w:val="clear" w:color="auto" w:fill="E1DFDD"/>
    </w:rPr>
  </w:style>
  <w:style w:type="paragraph" w:styleId="Header">
    <w:name w:val="header"/>
    <w:basedOn w:val="Normal"/>
    <w:link w:val="HeaderChar"/>
    <w:uiPriority w:val="99"/>
    <w:unhideWhenUsed/>
    <w:rsid w:val="00B42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2B6"/>
  </w:style>
  <w:style w:type="paragraph" w:styleId="Footer">
    <w:name w:val="footer"/>
    <w:basedOn w:val="Normal"/>
    <w:link w:val="FooterChar"/>
    <w:uiPriority w:val="99"/>
    <w:unhideWhenUsed/>
    <w:rsid w:val="00B42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7057">
      <w:bodyDiv w:val="1"/>
      <w:marLeft w:val="0"/>
      <w:marRight w:val="0"/>
      <w:marTop w:val="0"/>
      <w:marBottom w:val="0"/>
      <w:divBdr>
        <w:top w:val="none" w:sz="0" w:space="0" w:color="auto"/>
        <w:left w:val="none" w:sz="0" w:space="0" w:color="auto"/>
        <w:bottom w:val="none" w:sz="0" w:space="0" w:color="auto"/>
        <w:right w:val="none" w:sz="0" w:space="0" w:color="auto"/>
      </w:divBdr>
    </w:div>
    <w:div w:id="182479263">
      <w:bodyDiv w:val="1"/>
      <w:marLeft w:val="0"/>
      <w:marRight w:val="0"/>
      <w:marTop w:val="0"/>
      <w:marBottom w:val="0"/>
      <w:divBdr>
        <w:top w:val="none" w:sz="0" w:space="0" w:color="auto"/>
        <w:left w:val="none" w:sz="0" w:space="0" w:color="auto"/>
        <w:bottom w:val="none" w:sz="0" w:space="0" w:color="auto"/>
        <w:right w:val="none" w:sz="0" w:space="0" w:color="auto"/>
      </w:divBdr>
    </w:div>
    <w:div w:id="380251836">
      <w:bodyDiv w:val="1"/>
      <w:marLeft w:val="0"/>
      <w:marRight w:val="0"/>
      <w:marTop w:val="0"/>
      <w:marBottom w:val="0"/>
      <w:divBdr>
        <w:top w:val="none" w:sz="0" w:space="0" w:color="auto"/>
        <w:left w:val="none" w:sz="0" w:space="0" w:color="auto"/>
        <w:bottom w:val="none" w:sz="0" w:space="0" w:color="auto"/>
        <w:right w:val="none" w:sz="0" w:space="0" w:color="auto"/>
      </w:divBdr>
    </w:div>
    <w:div w:id="427578723">
      <w:bodyDiv w:val="1"/>
      <w:marLeft w:val="0"/>
      <w:marRight w:val="0"/>
      <w:marTop w:val="0"/>
      <w:marBottom w:val="0"/>
      <w:divBdr>
        <w:top w:val="none" w:sz="0" w:space="0" w:color="auto"/>
        <w:left w:val="none" w:sz="0" w:space="0" w:color="auto"/>
        <w:bottom w:val="none" w:sz="0" w:space="0" w:color="auto"/>
        <w:right w:val="none" w:sz="0" w:space="0" w:color="auto"/>
      </w:divBdr>
    </w:div>
    <w:div w:id="451679993">
      <w:bodyDiv w:val="1"/>
      <w:marLeft w:val="0"/>
      <w:marRight w:val="0"/>
      <w:marTop w:val="0"/>
      <w:marBottom w:val="0"/>
      <w:divBdr>
        <w:top w:val="none" w:sz="0" w:space="0" w:color="auto"/>
        <w:left w:val="none" w:sz="0" w:space="0" w:color="auto"/>
        <w:bottom w:val="none" w:sz="0" w:space="0" w:color="auto"/>
        <w:right w:val="none" w:sz="0" w:space="0" w:color="auto"/>
      </w:divBdr>
    </w:div>
    <w:div w:id="479469515">
      <w:bodyDiv w:val="1"/>
      <w:marLeft w:val="0"/>
      <w:marRight w:val="0"/>
      <w:marTop w:val="0"/>
      <w:marBottom w:val="0"/>
      <w:divBdr>
        <w:top w:val="none" w:sz="0" w:space="0" w:color="auto"/>
        <w:left w:val="none" w:sz="0" w:space="0" w:color="auto"/>
        <w:bottom w:val="none" w:sz="0" w:space="0" w:color="auto"/>
        <w:right w:val="none" w:sz="0" w:space="0" w:color="auto"/>
      </w:divBdr>
    </w:div>
    <w:div w:id="529074938">
      <w:bodyDiv w:val="1"/>
      <w:marLeft w:val="0"/>
      <w:marRight w:val="0"/>
      <w:marTop w:val="0"/>
      <w:marBottom w:val="0"/>
      <w:divBdr>
        <w:top w:val="none" w:sz="0" w:space="0" w:color="auto"/>
        <w:left w:val="none" w:sz="0" w:space="0" w:color="auto"/>
        <w:bottom w:val="none" w:sz="0" w:space="0" w:color="auto"/>
        <w:right w:val="none" w:sz="0" w:space="0" w:color="auto"/>
      </w:divBdr>
    </w:div>
    <w:div w:id="753282812">
      <w:bodyDiv w:val="1"/>
      <w:marLeft w:val="0"/>
      <w:marRight w:val="0"/>
      <w:marTop w:val="0"/>
      <w:marBottom w:val="0"/>
      <w:divBdr>
        <w:top w:val="none" w:sz="0" w:space="0" w:color="auto"/>
        <w:left w:val="none" w:sz="0" w:space="0" w:color="auto"/>
        <w:bottom w:val="none" w:sz="0" w:space="0" w:color="auto"/>
        <w:right w:val="none" w:sz="0" w:space="0" w:color="auto"/>
      </w:divBdr>
    </w:div>
    <w:div w:id="818303704">
      <w:bodyDiv w:val="1"/>
      <w:marLeft w:val="0"/>
      <w:marRight w:val="0"/>
      <w:marTop w:val="0"/>
      <w:marBottom w:val="0"/>
      <w:divBdr>
        <w:top w:val="none" w:sz="0" w:space="0" w:color="auto"/>
        <w:left w:val="none" w:sz="0" w:space="0" w:color="auto"/>
        <w:bottom w:val="none" w:sz="0" w:space="0" w:color="auto"/>
        <w:right w:val="none" w:sz="0" w:space="0" w:color="auto"/>
      </w:divBdr>
    </w:div>
    <w:div w:id="911428243">
      <w:bodyDiv w:val="1"/>
      <w:marLeft w:val="0"/>
      <w:marRight w:val="0"/>
      <w:marTop w:val="0"/>
      <w:marBottom w:val="0"/>
      <w:divBdr>
        <w:top w:val="none" w:sz="0" w:space="0" w:color="auto"/>
        <w:left w:val="none" w:sz="0" w:space="0" w:color="auto"/>
        <w:bottom w:val="none" w:sz="0" w:space="0" w:color="auto"/>
        <w:right w:val="none" w:sz="0" w:space="0" w:color="auto"/>
      </w:divBdr>
    </w:div>
    <w:div w:id="1009059182">
      <w:bodyDiv w:val="1"/>
      <w:marLeft w:val="0"/>
      <w:marRight w:val="0"/>
      <w:marTop w:val="0"/>
      <w:marBottom w:val="0"/>
      <w:divBdr>
        <w:top w:val="none" w:sz="0" w:space="0" w:color="auto"/>
        <w:left w:val="none" w:sz="0" w:space="0" w:color="auto"/>
        <w:bottom w:val="none" w:sz="0" w:space="0" w:color="auto"/>
        <w:right w:val="none" w:sz="0" w:space="0" w:color="auto"/>
      </w:divBdr>
    </w:div>
    <w:div w:id="1030180047">
      <w:bodyDiv w:val="1"/>
      <w:marLeft w:val="0"/>
      <w:marRight w:val="0"/>
      <w:marTop w:val="0"/>
      <w:marBottom w:val="0"/>
      <w:divBdr>
        <w:top w:val="none" w:sz="0" w:space="0" w:color="auto"/>
        <w:left w:val="none" w:sz="0" w:space="0" w:color="auto"/>
        <w:bottom w:val="none" w:sz="0" w:space="0" w:color="auto"/>
        <w:right w:val="none" w:sz="0" w:space="0" w:color="auto"/>
      </w:divBdr>
    </w:div>
    <w:div w:id="1557232452">
      <w:bodyDiv w:val="1"/>
      <w:marLeft w:val="0"/>
      <w:marRight w:val="0"/>
      <w:marTop w:val="0"/>
      <w:marBottom w:val="0"/>
      <w:divBdr>
        <w:top w:val="none" w:sz="0" w:space="0" w:color="auto"/>
        <w:left w:val="none" w:sz="0" w:space="0" w:color="auto"/>
        <w:bottom w:val="none" w:sz="0" w:space="0" w:color="auto"/>
        <w:right w:val="none" w:sz="0" w:space="0" w:color="auto"/>
      </w:divBdr>
    </w:div>
    <w:div w:id="1589264788">
      <w:bodyDiv w:val="1"/>
      <w:marLeft w:val="0"/>
      <w:marRight w:val="0"/>
      <w:marTop w:val="0"/>
      <w:marBottom w:val="0"/>
      <w:divBdr>
        <w:top w:val="none" w:sz="0" w:space="0" w:color="auto"/>
        <w:left w:val="none" w:sz="0" w:space="0" w:color="auto"/>
        <w:bottom w:val="none" w:sz="0" w:space="0" w:color="auto"/>
        <w:right w:val="none" w:sz="0" w:space="0" w:color="auto"/>
      </w:divBdr>
    </w:div>
    <w:div w:id="1686591908">
      <w:bodyDiv w:val="1"/>
      <w:marLeft w:val="0"/>
      <w:marRight w:val="0"/>
      <w:marTop w:val="0"/>
      <w:marBottom w:val="0"/>
      <w:divBdr>
        <w:top w:val="none" w:sz="0" w:space="0" w:color="auto"/>
        <w:left w:val="none" w:sz="0" w:space="0" w:color="auto"/>
        <w:bottom w:val="none" w:sz="0" w:space="0" w:color="auto"/>
        <w:right w:val="none" w:sz="0" w:space="0" w:color="auto"/>
      </w:divBdr>
    </w:div>
    <w:div w:id="1705205973">
      <w:bodyDiv w:val="1"/>
      <w:marLeft w:val="0"/>
      <w:marRight w:val="0"/>
      <w:marTop w:val="0"/>
      <w:marBottom w:val="0"/>
      <w:divBdr>
        <w:top w:val="none" w:sz="0" w:space="0" w:color="auto"/>
        <w:left w:val="none" w:sz="0" w:space="0" w:color="auto"/>
        <w:bottom w:val="none" w:sz="0" w:space="0" w:color="auto"/>
        <w:right w:val="none" w:sz="0" w:space="0" w:color="auto"/>
      </w:divBdr>
    </w:div>
    <w:div w:id="180650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clark@nisource.com" TargetMode="External"/><Relationship Id="rId13" Type="http://schemas.openxmlformats.org/officeDocument/2006/relationships/hyperlink" Target="mailto:bhughes@porterwright.com" TargetMode="External"/><Relationship Id="rId18" Type="http://schemas.openxmlformats.org/officeDocument/2006/relationships/hyperlink" Target="mailto:william.michael@occ.ohio.gov" TargetMode="External"/><Relationship Id="rId26" Type="http://schemas.openxmlformats.org/officeDocument/2006/relationships/hyperlink" Target="mailto:gkrassen@bricker.com" TargetMode="External"/><Relationship Id="rId3" Type="http://schemas.openxmlformats.org/officeDocument/2006/relationships/styles" Target="styles.xml"/><Relationship Id="rId21" Type="http://schemas.openxmlformats.org/officeDocument/2006/relationships/hyperlink" Target="mailto:kboehm@BKLlawfirm.com" TargetMode="External"/><Relationship Id="rId34" Type="http://schemas.openxmlformats.org/officeDocument/2006/relationships/hyperlink" Target="mailto:thomas.shepherd@OhioAGO.gov" TargetMode="External"/><Relationship Id="rId7" Type="http://schemas.openxmlformats.org/officeDocument/2006/relationships/endnotes" Target="endnotes.xml"/><Relationship Id="rId12" Type="http://schemas.openxmlformats.org/officeDocument/2006/relationships/hyperlink" Target="mailto:mstemm@porterwright.com" TargetMode="External"/><Relationship Id="rId17" Type="http://schemas.openxmlformats.org/officeDocument/2006/relationships/hyperlink" Target="mailto:gkrassen@nopec.org" TargetMode="External"/><Relationship Id="rId25" Type="http://schemas.openxmlformats.org/officeDocument/2006/relationships/hyperlink" Target="mailto:rdove@keglerbrown.com" TargetMode="External"/><Relationship Id="rId33" Type="http://schemas.openxmlformats.org/officeDocument/2006/relationships/hyperlink" Target="mailto:werner.margard@OhioAGO.gov" TargetMode="External"/><Relationship Id="rId2" Type="http://schemas.openxmlformats.org/officeDocument/2006/relationships/numbering" Target="numbering.xml"/><Relationship Id="rId16" Type="http://schemas.openxmlformats.org/officeDocument/2006/relationships/hyperlink" Target="mailto:dparram@bricker.com" TargetMode="External"/><Relationship Id="rId20" Type="http://schemas.openxmlformats.org/officeDocument/2006/relationships/hyperlink" Target="mailto:mkurtz@BKLlawfirm.com" TargetMode="External"/><Relationship Id="rId29" Type="http://schemas.openxmlformats.org/officeDocument/2006/relationships/hyperlink" Target="mailto:glpetrucci@vory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allon@porterwright.com" TargetMode="External"/><Relationship Id="rId24" Type="http://schemas.openxmlformats.org/officeDocument/2006/relationships/hyperlink" Target="mailto:wygonski@carpenterlipps.com" TargetMode="External"/><Relationship Id="rId32" Type="http://schemas.openxmlformats.org/officeDocument/2006/relationships/hyperlink" Target="mailto:kyle.kern@OhioAGO.gov"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weber@elpc.org" TargetMode="External"/><Relationship Id="rId23" Type="http://schemas.openxmlformats.org/officeDocument/2006/relationships/hyperlink" Target="mailto:bojko@carpenterlipps.com" TargetMode="External"/><Relationship Id="rId28" Type="http://schemas.openxmlformats.org/officeDocument/2006/relationships/hyperlink" Target="mailto:mjsettineri@vorys.com" TargetMode="External"/><Relationship Id="rId36" Type="http://schemas.openxmlformats.org/officeDocument/2006/relationships/fontTable" Target="fontTable.xml"/><Relationship Id="rId10" Type="http://schemas.openxmlformats.org/officeDocument/2006/relationships/hyperlink" Target="mailto:mlthompson@nisource.com" TargetMode="External"/><Relationship Id="rId19" Type="http://schemas.openxmlformats.org/officeDocument/2006/relationships/hyperlink" Target="mailto:angela.obrien@occ.ohio.gov" TargetMode="External"/><Relationship Id="rId31" Type="http://schemas.openxmlformats.org/officeDocument/2006/relationships/hyperlink" Target="mailto:glpetrucci@vorys.com" TargetMode="External"/><Relationship Id="rId4" Type="http://schemas.openxmlformats.org/officeDocument/2006/relationships/settings" Target="settings.xml"/><Relationship Id="rId9" Type="http://schemas.openxmlformats.org/officeDocument/2006/relationships/hyperlink" Target="mailto:johnryan@nisource.com" TargetMode="External"/><Relationship Id="rId14" Type="http://schemas.openxmlformats.org/officeDocument/2006/relationships/hyperlink" Target="mailto:dflahive@porterwright.com" TargetMode="External"/><Relationship Id="rId22" Type="http://schemas.openxmlformats.org/officeDocument/2006/relationships/hyperlink" Target="mailto:jkylercohn@BKLlawfirm.com" TargetMode="External"/><Relationship Id="rId27" Type="http://schemas.openxmlformats.org/officeDocument/2006/relationships/hyperlink" Target="mailto:dstinson@bricker.com" TargetMode="External"/><Relationship Id="rId30" Type="http://schemas.openxmlformats.org/officeDocument/2006/relationships/hyperlink" Target="mailto:mjsettineri@vorys.com"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820AB-AA62-4229-8082-423759C7B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2041</Words>
  <Characters>11635</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Darr</dc:creator>
  <cp:keywords/>
  <dc:description/>
  <cp:lastModifiedBy>Evan Betterton</cp:lastModifiedBy>
  <cp:revision>2</cp:revision>
  <dcterms:created xsi:type="dcterms:W3CDTF">2022-05-23T20:50:00Z</dcterms:created>
  <dcterms:modified xsi:type="dcterms:W3CDTF">2022-05-23T20:50:00Z</dcterms:modified>
</cp:coreProperties>
</file>