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D1FECC" w14:textId="77777777" w:rsidR="00955D8C" w:rsidRPr="00E15005" w:rsidRDefault="00955D8C" w:rsidP="00955D8C">
      <w:pPr>
        <w:spacing w:line="240" w:lineRule="auto"/>
        <w:jc w:val="center"/>
        <w:rPr>
          <w:rFonts w:eastAsia="Calibri"/>
          <w:b/>
          <w:smallCaps/>
          <w:sz w:val="28"/>
          <w:szCs w:val="28"/>
        </w:rPr>
      </w:pPr>
      <w:bookmarkStart w:id="0" w:name="OLE_LINK1"/>
      <w:bookmarkStart w:id="1" w:name="OLE_LINK2"/>
      <w:r w:rsidRPr="00E15005">
        <w:rPr>
          <w:rFonts w:eastAsia="Calibri"/>
          <w:b/>
          <w:smallCaps/>
          <w:sz w:val="28"/>
          <w:szCs w:val="28"/>
        </w:rPr>
        <w:t>Before</w:t>
      </w:r>
    </w:p>
    <w:p w14:paraId="2E28CF52" w14:textId="77777777" w:rsidR="00955D8C" w:rsidRPr="00E15005" w:rsidRDefault="00955D8C" w:rsidP="00955D8C">
      <w:pPr>
        <w:spacing w:line="240" w:lineRule="auto"/>
        <w:jc w:val="center"/>
        <w:rPr>
          <w:rFonts w:eastAsia="Calibri"/>
          <w:b/>
          <w:smallCaps/>
          <w:sz w:val="28"/>
          <w:szCs w:val="28"/>
        </w:rPr>
      </w:pPr>
      <w:r w:rsidRPr="00E15005">
        <w:rPr>
          <w:rFonts w:eastAsia="Calibri"/>
          <w:b/>
          <w:smallCaps/>
          <w:sz w:val="28"/>
          <w:szCs w:val="28"/>
        </w:rPr>
        <w:t>The Public Utilities Commission Of Ohio</w:t>
      </w:r>
    </w:p>
    <w:p w14:paraId="6EA65640" w14:textId="77777777" w:rsidR="00955D8C" w:rsidRPr="001A24CA" w:rsidRDefault="00955D8C" w:rsidP="00955D8C">
      <w:pPr>
        <w:spacing w:line="240" w:lineRule="auto"/>
        <w:rPr>
          <w:rFonts w:eastAsia="Calibri" w:cs="Times New Roman"/>
          <w:b/>
          <w:szCs w:val="22"/>
        </w:rPr>
      </w:pPr>
    </w:p>
    <w:p w14:paraId="7E47D0CE" w14:textId="6FCF4976" w:rsidR="00955D8C" w:rsidRPr="00873B33" w:rsidRDefault="00955D8C" w:rsidP="003D746C">
      <w:pPr>
        <w:tabs>
          <w:tab w:val="left" w:pos="4590"/>
          <w:tab w:val="left" w:pos="5220"/>
        </w:tabs>
        <w:spacing w:line="240" w:lineRule="auto"/>
        <w:rPr>
          <w:rFonts w:eastAsia="Calibri" w:cs="Times New Roman"/>
          <w:szCs w:val="22"/>
        </w:rPr>
      </w:pPr>
      <w:r w:rsidRPr="00873B33">
        <w:rPr>
          <w:rFonts w:eastAsia="Calibri" w:cs="Times New Roman"/>
          <w:szCs w:val="22"/>
        </w:rPr>
        <w:t xml:space="preserve">In the Matter of the Application of </w:t>
      </w:r>
      <w:r w:rsidRPr="00873B33">
        <w:rPr>
          <w:rFonts w:eastAsia="Calibri" w:cs="Times New Roman"/>
          <w:szCs w:val="22"/>
        </w:rPr>
        <w:tab/>
        <w:t>)</w:t>
      </w:r>
    </w:p>
    <w:p w14:paraId="24225CE8" w14:textId="3DBC9F16" w:rsidR="00955D8C" w:rsidRPr="00873B33" w:rsidRDefault="00955D8C" w:rsidP="003D746C">
      <w:pPr>
        <w:tabs>
          <w:tab w:val="left" w:pos="4590"/>
          <w:tab w:val="left" w:pos="5220"/>
        </w:tabs>
        <w:spacing w:line="240" w:lineRule="auto"/>
        <w:rPr>
          <w:rFonts w:eastAsia="Calibri" w:cs="Times New Roman"/>
          <w:szCs w:val="22"/>
        </w:rPr>
      </w:pPr>
      <w:r w:rsidRPr="00873B33">
        <w:rPr>
          <w:rFonts w:eastAsia="Calibri" w:cs="Times New Roman"/>
          <w:szCs w:val="22"/>
        </w:rPr>
        <w:t xml:space="preserve">The Dayton Power and Light Company </w:t>
      </w:r>
      <w:r w:rsidRPr="00873B33">
        <w:rPr>
          <w:rFonts w:eastAsia="Calibri" w:cs="Times New Roman"/>
          <w:szCs w:val="22"/>
        </w:rPr>
        <w:tab/>
        <w:t>)</w:t>
      </w:r>
      <w:r w:rsidRPr="00873B33">
        <w:rPr>
          <w:rFonts w:eastAsia="Calibri" w:cs="Times New Roman"/>
          <w:szCs w:val="22"/>
        </w:rPr>
        <w:tab/>
        <w:t>Case No. 12-426-EL-SSO</w:t>
      </w:r>
    </w:p>
    <w:p w14:paraId="555303AD" w14:textId="77777777" w:rsidR="00955D8C" w:rsidRPr="00873B33" w:rsidRDefault="00955D8C" w:rsidP="003D746C">
      <w:pPr>
        <w:tabs>
          <w:tab w:val="left" w:pos="4590"/>
          <w:tab w:val="left" w:pos="5220"/>
        </w:tabs>
        <w:spacing w:line="240" w:lineRule="auto"/>
        <w:rPr>
          <w:rFonts w:eastAsia="Calibri" w:cs="Times New Roman"/>
          <w:szCs w:val="22"/>
        </w:rPr>
      </w:pPr>
      <w:r w:rsidRPr="00873B33">
        <w:rPr>
          <w:rFonts w:eastAsia="Calibri" w:cs="Times New Roman"/>
          <w:szCs w:val="22"/>
        </w:rPr>
        <w:t>for Approval of Its Market Rate Offer.</w:t>
      </w:r>
      <w:r w:rsidRPr="00873B33">
        <w:rPr>
          <w:rFonts w:eastAsia="Calibri" w:cs="Times New Roman"/>
          <w:szCs w:val="22"/>
        </w:rPr>
        <w:tab/>
        <w:t>)</w:t>
      </w:r>
    </w:p>
    <w:p w14:paraId="6CC0E40E" w14:textId="324F5695" w:rsidR="00955D8C" w:rsidRDefault="00955D8C" w:rsidP="003D746C">
      <w:pPr>
        <w:tabs>
          <w:tab w:val="left" w:pos="4590"/>
          <w:tab w:val="left" w:pos="5220"/>
        </w:tabs>
        <w:spacing w:line="240" w:lineRule="auto"/>
        <w:rPr>
          <w:rFonts w:eastAsia="Calibri" w:cs="Times New Roman"/>
          <w:szCs w:val="22"/>
        </w:rPr>
      </w:pPr>
      <w:r w:rsidRPr="00873B33">
        <w:rPr>
          <w:rFonts w:eastAsia="Calibri" w:cs="Times New Roman"/>
          <w:szCs w:val="22"/>
        </w:rPr>
        <w:t>In the Matter of the Application of</w:t>
      </w:r>
      <w:r w:rsidRPr="00873B33">
        <w:rPr>
          <w:rFonts w:eastAsia="Calibri" w:cs="Times New Roman"/>
          <w:szCs w:val="22"/>
        </w:rPr>
        <w:tab/>
        <w:t>)</w:t>
      </w:r>
    </w:p>
    <w:p w14:paraId="35EE5F3F" w14:textId="77777777" w:rsidR="003C654B" w:rsidRPr="00873B33" w:rsidRDefault="003C654B" w:rsidP="003D746C">
      <w:pPr>
        <w:tabs>
          <w:tab w:val="left" w:pos="4590"/>
          <w:tab w:val="left" w:pos="5220"/>
        </w:tabs>
        <w:spacing w:line="240" w:lineRule="auto"/>
        <w:rPr>
          <w:rFonts w:eastAsia="Calibri" w:cs="Times New Roman"/>
          <w:szCs w:val="22"/>
        </w:rPr>
      </w:pPr>
    </w:p>
    <w:p w14:paraId="3EF9CF9E" w14:textId="082FDDE5" w:rsidR="00955D8C" w:rsidRPr="00873B33" w:rsidRDefault="00955D8C" w:rsidP="003D746C">
      <w:pPr>
        <w:tabs>
          <w:tab w:val="left" w:pos="4590"/>
          <w:tab w:val="left" w:pos="5220"/>
        </w:tabs>
        <w:spacing w:line="240" w:lineRule="auto"/>
        <w:rPr>
          <w:rFonts w:eastAsia="Calibri" w:cs="Times New Roman"/>
          <w:szCs w:val="22"/>
        </w:rPr>
      </w:pPr>
      <w:r w:rsidRPr="00873B33">
        <w:rPr>
          <w:rFonts w:eastAsia="Calibri" w:cs="Times New Roman"/>
          <w:szCs w:val="22"/>
        </w:rPr>
        <w:t>The Dayton Power and Light Company</w:t>
      </w:r>
      <w:r w:rsidRPr="00873B33">
        <w:rPr>
          <w:rFonts w:eastAsia="Calibri" w:cs="Times New Roman"/>
          <w:szCs w:val="22"/>
        </w:rPr>
        <w:tab/>
        <w:t>)</w:t>
      </w:r>
      <w:r w:rsidRPr="00873B33">
        <w:rPr>
          <w:rFonts w:eastAsia="Calibri" w:cs="Times New Roman"/>
          <w:szCs w:val="22"/>
        </w:rPr>
        <w:tab/>
        <w:t>Case No. 12-427-EL-ATA</w:t>
      </w:r>
    </w:p>
    <w:p w14:paraId="109EB4D9" w14:textId="17248A03" w:rsidR="00955D8C" w:rsidRPr="00873B33" w:rsidRDefault="00955D8C" w:rsidP="003D746C">
      <w:pPr>
        <w:tabs>
          <w:tab w:val="left" w:pos="4590"/>
          <w:tab w:val="left" w:pos="5220"/>
        </w:tabs>
        <w:spacing w:line="240" w:lineRule="auto"/>
        <w:rPr>
          <w:rFonts w:eastAsia="Calibri" w:cs="Times New Roman"/>
          <w:szCs w:val="22"/>
        </w:rPr>
      </w:pPr>
      <w:r w:rsidRPr="00873B33">
        <w:rPr>
          <w:rFonts w:eastAsia="Calibri" w:cs="Times New Roman"/>
          <w:szCs w:val="22"/>
        </w:rPr>
        <w:t>for Approval of Revised Tariffs.</w:t>
      </w:r>
      <w:r w:rsidRPr="00873B33">
        <w:rPr>
          <w:rFonts w:eastAsia="Calibri" w:cs="Times New Roman"/>
          <w:szCs w:val="22"/>
        </w:rPr>
        <w:tab/>
        <w:t>)</w:t>
      </w:r>
    </w:p>
    <w:p w14:paraId="338C9125" w14:textId="58D65A34" w:rsidR="00955D8C" w:rsidRDefault="00955D8C" w:rsidP="003D746C">
      <w:pPr>
        <w:tabs>
          <w:tab w:val="left" w:pos="4590"/>
          <w:tab w:val="left" w:pos="5220"/>
        </w:tabs>
        <w:spacing w:line="240" w:lineRule="auto"/>
        <w:rPr>
          <w:rFonts w:eastAsia="Calibri" w:cs="Times New Roman"/>
          <w:szCs w:val="22"/>
        </w:rPr>
      </w:pPr>
      <w:r w:rsidRPr="00873B33">
        <w:rPr>
          <w:rFonts w:eastAsia="Calibri" w:cs="Times New Roman"/>
          <w:szCs w:val="22"/>
        </w:rPr>
        <w:t>In the Matter of the Application of</w:t>
      </w:r>
      <w:r w:rsidRPr="00873B33">
        <w:rPr>
          <w:rFonts w:eastAsia="Calibri" w:cs="Times New Roman"/>
          <w:szCs w:val="22"/>
        </w:rPr>
        <w:tab/>
        <w:t>)</w:t>
      </w:r>
    </w:p>
    <w:p w14:paraId="14C8BF91" w14:textId="77777777" w:rsidR="003C654B" w:rsidRPr="00873B33" w:rsidRDefault="003C654B" w:rsidP="003D746C">
      <w:pPr>
        <w:tabs>
          <w:tab w:val="left" w:pos="4590"/>
          <w:tab w:val="left" w:pos="5220"/>
        </w:tabs>
        <w:spacing w:line="240" w:lineRule="auto"/>
        <w:rPr>
          <w:rFonts w:eastAsia="Calibri" w:cs="Times New Roman"/>
          <w:szCs w:val="22"/>
        </w:rPr>
      </w:pPr>
    </w:p>
    <w:p w14:paraId="32A907A4" w14:textId="2C26C5EF" w:rsidR="00955D8C" w:rsidRPr="00873B33" w:rsidRDefault="00955D8C" w:rsidP="003D746C">
      <w:pPr>
        <w:tabs>
          <w:tab w:val="left" w:pos="4590"/>
          <w:tab w:val="left" w:pos="5220"/>
        </w:tabs>
        <w:spacing w:line="240" w:lineRule="auto"/>
        <w:rPr>
          <w:rFonts w:eastAsia="Calibri" w:cs="Times New Roman"/>
          <w:szCs w:val="22"/>
        </w:rPr>
      </w:pPr>
      <w:r w:rsidRPr="00873B33">
        <w:rPr>
          <w:rFonts w:eastAsia="Calibri" w:cs="Times New Roman"/>
          <w:szCs w:val="22"/>
        </w:rPr>
        <w:t>The Dayton Power and Light Company</w:t>
      </w:r>
      <w:r w:rsidRPr="00873B33">
        <w:rPr>
          <w:rFonts w:eastAsia="Calibri" w:cs="Times New Roman"/>
          <w:szCs w:val="22"/>
        </w:rPr>
        <w:tab/>
        <w:t>)</w:t>
      </w:r>
      <w:r w:rsidRPr="00873B33">
        <w:rPr>
          <w:rFonts w:eastAsia="Calibri" w:cs="Times New Roman"/>
          <w:szCs w:val="22"/>
        </w:rPr>
        <w:tab/>
        <w:t>Case No. 12-428-EL-AAM</w:t>
      </w:r>
    </w:p>
    <w:p w14:paraId="1996F832" w14:textId="77777777" w:rsidR="00955D8C" w:rsidRPr="00873B33" w:rsidRDefault="00955D8C" w:rsidP="003D746C">
      <w:pPr>
        <w:tabs>
          <w:tab w:val="left" w:pos="4590"/>
          <w:tab w:val="left" w:pos="5220"/>
        </w:tabs>
        <w:spacing w:line="240" w:lineRule="auto"/>
        <w:rPr>
          <w:rFonts w:eastAsia="Calibri" w:cs="Times New Roman"/>
          <w:szCs w:val="22"/>
        </w:rPr>
      </w:pPr>
      <w:r w:rsidRPr="00873B33">
        <w:rPr>
          <w:rFonts w:eastAsia="Calibri" w:cs="Times New Roman"/>
          <w:szCs w:val="22"/>
        </w:rPr>
        <w:t xml:space="preserve">for Approval of Certain Accounting </w:t>
      </w:r>
      <w:r w:rsidRPr="00873B33">
        <w:rPr>
          <w:rFonts w:eastAsia="Calibri" w:cs="Times New Roman"/>
          <w:szCs w:val="22"/>
        </w:rPr>
        <w:tab/>
        <w:t>)</w:t>
      </w:r>
    </w:p>
    <w:p w14:paraId="4FBC52EE" w14:textId="1B5E991C" w:rsidR="00955D8C" w:rsidRDefault="00955D8C" w:rsidP="003D746C">
      <w:pPr>
        <w:tabs>
          <w:tab w:val="left" w:pos="4590"/>
          <w:tab w:val="left" w:pos="5220"/>
        </w:tabs>
        <w:spacing w:line="240" w:lineRule="auto"/>
        <w:rPr>
          <w:rFonts w:eastAsia="Calibri" w:cs="Times New Roman"/>
          <w:szCs w:val="22"/>
        </w:rPr>
      </w:pPr>
      <w:r w:rsidRPr="00873B33">
        <w:rPr>
          <w:rFonts w:eastAsia="Calibri" w:cs="Times New Roman"/>
          <w:szCs w:val="22"/>
        </w:rPr>
        <w:t>Authority.</w:t>
      </w:r>
      <w:r w:rsidRPr="00873B33">
        <w:rPr>
          <w:rFonts w:eastAsia="Calibri" w:cs="Times New Roman"/>
          <w:szCs w:val="22"/>
        </w:rPr>
        <w:tab/>
        <w:t>)</w:t>
      </w:r>
    </w:p>
    <w:p w14:paraId="7469E2AF" w14:textId="77777777" w:rsidR="003C654B" w:rsidRPr="00873B33" w:rsidRDefault="003C654B" w:rsidP="003D746C">
      <w:pPr>
        <w:tabs>
          <w:tab w:val="left" w:pos="4590"/>
          <w:tab w:val="left" w:pos="5220"/>
        </w:tabs>
        <w:spacing w:line="240" w:lineRule="auto"/>
        <w:rPr>
          <w:rFonts w:eastAsia="Calibri" w:cs="Times New Roman"/>
          <w:szCs w:val="22"/>
        </w:rPr>
      </w:pPr>
    </w:p>
    <w:p w14:paraId="06C65A38" w14:textId="6180ACC0" w:rsidR="00955D8C" w:rsidRPr="00873B33" w:rsidRDefault="00955D8C" w:rsidP="003D746C">
      <w:pPr>
        <w:tabs>
          <w:tab w:val="left" w:pos="4590"/>
          <w:tab w:val="left" w:pos="5220"/>
        </w:tabs>
        <w:spacing w:line="240" w:lineRule="auto"/>
        <w:rPr>
          <w:rFonts w:eastAsia="Calibri" w:cs="Times New Roman"/>
          <w:szCs w:val="22"/>
        </w:rPr>
      </w:pPr>
      <w:r w:rsidRPr="00873B33">
        <w:rPr>
          <w:rFonts w:eastAsia="Calibri" w:cs="Times New Roman"/>
          <w:szCs w:val="22"/>
        </w:rPr>
        <w:t>In the Matter of the Application of</w:t>
      </w:r>
      <w:r w:rsidRPr="00873B33">
        <w:rPr>
          <w:rFonts w:eastAsia="Calibri" w:cs="Times New Roman"/>
          <w:szCs w:val="22"/>
        </w:rPr>
        <w:tab/>
        <w:t>)</w:t>
      </w:r>
    </w:p>
    <w:p w14:paraId="027FBD16" w14:textId="66841E5D" w:rsidR="00955D8C" w:rsidRPr="00873B33" w:rsidRDefault="00955D8C" w:rsidP="003D746C">
      <w:pPr>
        <w:tabs>
          <w:tab w:val="left" w:pos="4590"/>
          <w:tab w:val="left" w:pos="5220"/>
        </w:tabs>
        <w:spacing w:line="240" w:lineRule="auto"/>
        <w:rPr>
          <w:rFonts w:eastAsia="Calibri" w:cs="Times New Roman"/>
          <w:szCs w:val="22"/>
        </w:rPr>
      </w:pPr>
      <w:r w:rsidRPr="00873B33">
        <w:rPr>
          <w:rFonts w:eastAsia="Calibri" w:cs="Times New Roman"/>
          <w:szCs w:val="22"/>
        </w:rPr>
        <w:t>The Dayton Power and Light Company</w:t>
      </w:r>
      <w:r w:rsidRPr="00873B33">
        <w:rPr>
          <w:rFonts w:eastAsia="Calibri" w:cs="Times New Roman"/>
          <w:szCs w:val="22"/>
        </w:rPr>
        <w:tab/>
        <w:t>)</w:t>
      </w:r>
      <w:r w:rsidRPr="00873B33">
        <w:rPr>
          <w:rFonts w:eastAsia="Calibri" w:cs="Times New Roman"/>
          <w:szCs w:val="22"/>
        </w:rPr>
        <w:tab/>
        <w:t>Case No. 12-429-EL-WVR</w:t>
      </w:r>
    </w:p>
    <w:p w14:paraId="7985A4F1" w14:textId="0B2930B8" w:rsidR="00955D8C" w:rsidRDefault="00955D8C" w:rsidP="003D746C">
      <w:pPr>
        <w:tabs>
          <w:tab w:val="left" w:pos="4590"/>
          <w:tab w:val="left" w:pos="5220"/>
        </w:tabs>
        <w:spacing w:line="240" w:lineRule="auto"/>
        <w:rPr>
          <w:rFonts w:eastAsia="Calibri" w:cs="Times New Roman"/>
          <w:szCs w:val="22"/>
        </w:rPr>
      </w:pPr>
      <w:r w:rsidRPr="00873B33">
        <w:rPr>
          <w:rFonts w:eastAsia="Calibri" w:cs="Times New Roman"/>
          <w:szCs w:val="22"/>
        </w:rPr>
        <w:t>for Waiver of Certain Commission Rules.</w:t>
      </w:r>
      <w:r w:rsidR="003D746C">
        <w:rPr>
          <w:rFonts w:eastAsia="Calibri" w:cs="Times New Roman"/>
          <w:szCs w:val="22"/>
        </w:rPr>
        <w:tab/>
      </w:r>
      <w:r w:rsidRPr="00873B33">
        <w:rPr>
          <w:rFonts w:eastAsia="Calibri" w:cs="Times New Roman"/>
          <w:szCs w:val="22"/>
        </w:rPr>
        <w:t>)</w:t>
      </w:r>
    </w:p>
    <w:p w14:paraId="028B18D0" w14:textId="77777777" w:rsidR="003C654B" w:rsidRPr="00873B33" w:rsidRDefault="003C654B" w:rsidP="003D746C">
      <w:pPr>
        <w:tabs>
          <w:tab w:val="left" w:pos="4590"/>
          <w:tab w:val="left" w:pos="5220"/>
        </w:tabs>
        <w:spacing w:line="240" w:lineRule="auto"/>
        <w:rPr>
          <w:rFonts w:eastAsia="Calibri" w:cs="Times New Roman"/>
          <w:szCs w:val="22"/>
        </w:rPr>
      </w:pPr>
    </w:p>
    <w:p w14:paraId="1D2A3894" w14:textId="20E738F4" w:rsidR="003C654B" w:rsidRPr="00873B33" w:rsidRDefault="00955D8C" w:rsidP="003D746C">
      <w:pPr>
        <w:tabs>
          <w:tab w:val="left" w:pos="4590"/>
          <w:tab w:val="left" w:pos="5220"/>
        </w:tabs>
        <w:spacing w:line="240" w:lineRule="auto"/>
        <w:rPr>
          <w:rFonts w:eastAsia="Calibri" w:cs="Times New Roman"/>
          <w:szCs w:val="22"/>
        </w:rPr>
      </w:pPr>
      <w:r w:rsidRPr="00873B33">
        <w:rPr>
          <w:rFonts w:eastAsia="Calibri" w:cs="Times New Roman"/>
          <w:szCs w:val="22"/>
        </w:rPr>
        <w:t>In the Matter of the Application of</w:t>
      </w:r>
      <w:r w:rsidRPr="00873B33">
        <w:rPr>
          <w:rFonts w:eastAsia="Calibri" w:cs="Times New Roman"/>
          <w:szCs w:val="22"/>
        </w:rPr>
        <w:tab/>
        <w:t>)</w:t>
      </w:r>
    </w:p>
    <w:p w14:paraId="37C1113C" w14:textId="758DCCFE" w:rsidR="00955D8C" w:rsidRPr="00873B33" w:rsidRDefault="00955D8C" w:rsidP="003D746C">
      <w:pPr>
        <w:tabs>
          <w:tab w:val="left" w:pos="4590"/>
          <w:tab w:val="left" w:pos="5220"/>
        </w:tabs>
        <w:spacing w:line="240" w:lineRule="auto"/>
        <w:rPr>
          <w:rFonts w:eastAsia="Calibri" w:cs="Times New Roman"/>
          <w:szCs w:val="22"/>
        </w:rPr>
      </w:pPr>
      <w:r w:rsidRPr="00873B33">
        <w:rPr>
          <w:rFonts w:eastAsia="Calibri" w:cs="Times New Roman"/>
          <w:szCs w:val="22"/>
        </w:rPr>
        <w:t>The Dayton Power and Light Company</w:t>
      </w:r>
      <w:r w:rsidRPr="00873B33">
        <w:rPr>
          <w:rFonts w:eastAsia="Calibri" w:cs="Times New Roman"/>
          <w:szCs w:val="22"/>
        </w:rPr>
        <w:tab/>
        <w:t>)</w:t>
      </w:r>
      <w:r w:rsidRPr="00873B33">
        <w:rPr>
          <w:rFonts w:eastAsia="Calibri" w:cs="Times New Roman"/>
          <w:szCs w:val="22"/>
        </w:rPr>
        <w:tab/>
        <w:t>Case No. 12-672-EL-RDR</w:t>
      </w:r>
    </w:p>
    <w:p w14:paraId="04BF04B7" w14:textId="40EEB6CA" w:rsidR="00955D8C" w:rsidRPr="00873B33" w:rsidRDefault="00955D8C" w:rsidP="003D746C">
      <w:pPr>
        <w:tabs>
          <w:tab w:val="left" w:pos="4590"/>
          <w:tab w:val="left" w:pos="5220"/>
        </w:tabs>
        <w:spacing w:line="240" w:lineRule="auto"/>
        <w:rPr>
          <w:rFonts w:eastAsia="Calibri" w:cs="Times New Roman"/>
          <w:szCs w:val="22"/>
        </w:rPr>
      </w:pPr>
      <w:r w:rsidRPr="00873B33">
        <w:rPr>
          <w:rFonts w:eastAsia="Calibri" w:cs="Times New Roman"/>
          <w:szCs w:val="22"/>
        </w:rPr>
        <w:t>to Establish Tariff Riders.</w:t>
      </w:r>
      <w:r w:rsidRPr="00873B33">
        <w:rPr>
          <w:rFonts w:eastAsia="Calibri" w:cs="Times New Roman"/>
          <w:szCs w:val="22"/>
        </w:rPr>
        <w:tab/>
        <w:t>)</w:t>
      </w:r>
    </w:p>
    <w:p w14:paraId="291EF1BF" w14:textId="77777777" w:rsidR="00955D8C" w:rsidRPr="001A24CA" w:rsidRDefault="00955D8C" w:rsidP="007523CE">
      <w:pPr>
        <w:tabs>
          <w:tab w:val="left" w:pos="4500"/>
          <w:tab w:val="left" w:pos="5040"/>
        </w:tabs>
        <w:spacing w:line="240" w:lineRule="auto"/>
      </w:pPr>
    </w:p>
    <w:p w14:paraId="232CFAFD" w14:textId="77777777" w:rsidR="00955D8C" w:rsidRPr="00E61BA6" w:rsidRDefault="00955D8C" w:rsidP="00FF7CE3">
      <w:pPr>
        <w:pBdr>
          <w:top w:val="single" w:sz="12" w:space="1" w:color="auto"/>
        </w:pBdr>
        <w:spacing w:line="240" w:lineRule="auto"/>
        <w:rPr>
          <w:b/>
          <w:caps/>
          <w:sz w:val="8"/>
          <w:szCs w:val="8"/>
        </w:rPr>
      </w:pPr>
    </w:p>
    <w:p w14:paraId="0C8CE6A1" w14:textId="77777777" w:rsidR="00FF7CE3" w:rsidRPr="00770E7F" w:rsidRDefault="00FF7CE3" w:rsidP="00FF7CE3">
      <w:pPr>
        <w:spacing w:line="240" w:lineRule="auto"/>
        <w:jc w:val="center"/>
        <w:rPr>
          <w:rFonts w:ascii="Arial Bold" w:hAnsi="Arial Bold"/>
          <w:b/>
          <w:smallCaps/>
          <w:sz w:val="28"/>
        </w:rPr>
      </w:pPr>
      <w:r w:rsidRPr="00770E7F">
        <w:rPr>
          <w:rFonts w:ascii="Arial Bold" w:hAnsi="Arial Bold"/>
          <w:b/>
          <w:smallCaps/>
          <w:sz w:val="28"/>
        </w:rPr>
        <w:t>Joint Motion of Industrial Energy Users-Ohio</w:t>
      </w:r>
    </w:p>
    <w:p w14:paraId="14787333" w14:textId="17128E54" w:rsidR="00FF7CE3" w:rsidRPr="00770E7F" w:rsidRDefault="00FF7CE3" w:rsidP="00FF7CE3">
      <w:pPr>
        <w:spacing w:line="240" w:lineRule="auto"/>
        <w:jc w:val="center"/>
        <w:rPr>
          <w:rFonts w:ascii="Arial Bold" w:hAnsi="Arial Bold"/>
          <w:b/>
          <w:smallCaps/>
          <w:sz w:val="28"/>
        </w:rPr>
      </w:pPr>
      <w:r w:rsidRPr="00770E7F">
        <w:rPr>
          <w:rFonts w:ascii="Arial Bold" w:hAnsi="Arial Bold"/>
          <w:b/>
          <w:smallCaps/>
          <w:sz w:val="28"/>
        </w:rPr>
        <w:t>and the Office of the Ohio Consumers’ Counsel</w:t>
      </w:r>
    </w:p>
    <w:p w14:paraId="6BE834A8" w14:textId="77777777" w:rsidR="00FF7CE3" w:rsidRPr="00770E7F" w:rsidRDefault="00FF7CE3" w:rsidP="00FF7CE3">
      <w:pPr>
        <w:spacing w:line="240" w:lineRule="auto"/>
        <w:jc w:val="center"/>
        <w:rPr>
          <w:rFonts w:ascii="Arial Bold" w:hAnsi="Arial Bold"/>
          <w:b/>
          <w:smallCaps/>
          <w:sz w:val="28"/>
        </w:rPr>
      </w:pPr>
      <w:r w:rsidRPr="00770E7F">
        <w:rPr>
          <w:rFonts w:ascii="Arial Bold" w:hAnsi="Arial Bold"/>
          <w:b/>
          <w:smallCaps/>
          <w:sz w:val="28"/>
        </w:rPr>
        <w:t>for an Order Requiring that the Service Stability Rider</w:t>
      </w:r>
    </w:p>
    <w:p w14:paraId="12352C24" w14:textId="67A4F99E" w:rsidR="00FF7CE3" w:rsidRDefault="00FF7CE3" w:rsidP="00982BBA">
      <w:pPr>
        <w:spacing w:line="240" w:lineRule="auto"/>
        <w:jc w:val="center"/>
        <w:rPr>
          <w:rFonts w:ascii="Arial Bold" w:hAnsi="Arial Bold"/>
          <w:b/>
          <w:smallCaps/>
          <w:sz w:val="28"/>
        </w:rPr>
      </w:pPr>
      <w:r w:rsidRPr="00770E7F">
        <w:rPr>
          <w:rFonts w:ascii="Arial Bold" w:hAnsi="Arial Bold"/>
          <w:b/>
          <w:smallCaps/>
          <w:sz w:val="28"/>
        </w:rPr>
        <w:t xml:space="preserve">be Collected Subject to Refund and Request for Expedited </w:t>
      </w:r>
      <w:r w:rsidR="00ED1AAB">
        <w:rPr>
          <w:rFonts w:ascii="Arial Bold" w:hAnsi="Arial Bold"/>
          <w:b/>
          <w:smallCaps/>
          <w:sz w:val="28"/>
        </w:rPr>
        <w:t>Ruling</w:t>
      </w:r>
      <w:r w:rsidR="00982BBA">
        <w:rPr>
          <w:rFonts w:ascii="Arial Bold" w:hAnsi="Arial Bold"/>
          <w:b/>
          <w:smallCaps/>
          <w:sz w:val="28"/>
        </w:rPr>
        <w:t xml:space="preserve"> </w:t>
      </w:r>
    </w:p>
    <w:p w14:paraId="3B941CE0" w14:textId="3B50A759" w:rsidR="00982BBA" w:rsidRPr="00770E7F" w:rsidRDefault="00982BBA" w:rsidP="00982BBA">
      <w:pPr>
        <w:spacing w:line="240" w:lineRule="auto"/>
        <w:jc w:val="center"/>
        <w:rPr>
          <w:rFonts w:ascii="Arial Bold" w:hAnsi="Arial Bold"/>
          <w:b/>
          <w:smallCaps/>
          <w:sz w:val="28"/>
        </w:rPr>
      </w:pPr>
      <w:r w:rsidRPr="00770E7F">
        <w:rPr>
          <w:rFonts w:ascii="Arial Bold" w:hAnsi="Arial Bold"/>
          <w:b/>
          <w:smallCaps/>
          <w:sz w:val="28"/>
        </w:rPr>
        <w:t>and</w:t>
      </w:r>
      <w:r>
        <w:rPr>
          <w:rFonts w:ascii="Arial Bold" w:hAnsi="Arial Bold"/>
          <w:b/>
          <w:smallCaps/>
          <w:sz w:val="28"/>
        </w:rPr>
        <w:t xml:space="preserve"> </w:t>
      </w:r>
      <w:r w:rsidRPr="00770E7F">
        <w:rPr>
          <w:rFonts w:ascii="Arial Bold" w:hAnsi="Arial Bold"/>
          <w:b/>
          <w:smallCaps/>
          <w:sz w:val="28"/>
        </w:rPr>
        <w:t>Memorandum In Support</w:t>
      </w:r>
    </w:p>
    <w:p w14:paraId="1E02AC52" w14:textId="77777777" w:rsidR="00955D8C" w:rsidRPr="00E61BA6" w:rsidRDefault="00955D8C" w:rsidP="00FF7CE3">
      <w:pPr>
        <w:pBdr>
          <w:bottom w:val="single" w:sz="12" w:space="1" w:color="auto"/>
        </w:pBdr>
        <w:spacing w:line="240" w:lineRule="auto"/>
        <w:rPr>
          <w:b/>
          <w:caps/>
          <w:sz w:val="8"/>
          <w:szCs w:val="8"/>
        </w:rPr>
      </w:pPr>
    </w:p>
    <w:p w14:paraId="23E14FB3" w14:textId="77777777" w:rsidR="00615F60" w:rsidRPr="00264572" w:rsidRDefault="00615F60" w:rsidP="00FF7CE3">
      <w:pPr>
        <w:spacing w:line="240" w:lineRule="auto"/>
        <w:rPr>
          <w:sz w:val="22"/>
          <w:szCs w:val="22"/>
        </w:rPr>
      </w:pPr>
    </w:p>
    <w:p w14:paraId="65C4C1CA" w14:textId="77777777" w:rsidR="00E259A8" w:rsidRPr="00264572" w:rsidRDefault="00E259A8" w:rsidP="003A5339">
      <w:pPr>
        <w:widowControl w:val="0"/>
        <w:spacing w:line="240" w:lineRule="auto"/>
        <w:ind w:left="4140"/>
        <w:rPr>
          <w:bCs/>
          <w:color w:val="000000" w:themeColor="text1"/>
          <w:sz w:val="22"/>
          <w:szCs w:val="22"/>
        </w:rPr>
        <w:sectPr w:rsidR="00E259A8" w:rsidRPr="00264572" w:rsidSect="00E61BA6">
          <w:headerReference w:type="even" r:id="rId8"/>
          <w:headerReference w:type="default" r:id="rId9"/>
          <w:footerReference w:type="even" r:id="rId10"/>
          <w:footerReference w:type="default" r:id="rId11"/>
          <w:headerReference w:type="first" r:id="rId12"/>
          <w:footerReference w:type="first" r:id="rId13"/>
          <w:pgSz w:w="12240" w:h="15840" w:code="1"/>
          <w:pgMar w:top="1296" w:right="1440" w:bottom="1296" w:left="1440" w:header="720" w:footer="720" w:gutter="0"/>
          <w:cols w:space="720"/>
          <w:titlePg/>
          <w:docGrid w:linePitch="360"/>
        </w:sectPr>
      </w:pPr>
    </w:p>
    <w:p w14:paraId="2D06B8F7" w14:textId="22DBCFEF" w:rsidR="003C654B" w:rsidRPr="00264572" w:rsidRDefault="003C654B" w:rsidP="00E259A8">
      <w:pPr>
        <w:widowControl w:val="0"/>
        <w:spacing w:line="240" w:lineRule="auto"/>
        <w:rPr>
          <w:b/>
          <w:bCs/>
          <w:color w:val="000000" w:themeColor="text1"/>
          <w:sz w:val="22"/>
          <w:szCs w:val="22"/>
        </w:rPr>
      </w:pPr>
      <w:r w:rsidRPr="00264572">
        <w:rPr>
          <w:bCs/>
          <w:color w:val="000000" w:themeColor="text1"/>
          <w:sz w:val="22"/>
          <w:szCs w:val="22"/>
        </w:rPr>
        <w:t>Frank P. Darr (Reg. No. 0025469)</w:t>
      </w:r>
    </w:p>
    <w:p w14:paraId="75F2B81D" w14:textId="77777777" w:rsidR="003C654B" w:rsidRPr="00264572" w:rsidRDefault="003C654B" w:rsidP="00E259A8">
      <w:pPr>
        <w:tabs>
          <w:tab w:val="right" w:pos="8640"/>
        </w:tabs>
        <w:spacing w:line="240" w:lineRule="auto"/>
        <w:rPr>
          <w:color w:val="000000" w:themeColor="text1"/>
          <w:sz w:val="22"/>
          <w:szCs w:val="22"/>
        </w:rPr>
      </w:pPr>
      <w:r w:rsidRPr="00264572">
        <w:rPr>
          <w:b/>
          <w:bCs/>
          <w:color w:val="000000" w:themeColor="text1"/>
          <w:sz w:val="22"/>
          <w:szCs w:val="22"/>
        </w:rPr>
        <w:t xml:space="preserve">  </w:t>
      </w:r>
      <w:r w:rsidRPr="00264572">
        <w:rPr>
          <w:color w:val="000000" w:themeColor="text1"/>
          <w:sz w:val="22"/>
          <w:szCs w:val="22"/>
        </w:rPr>
        <w:t>(Counsel of Record)</w:t>
      </w:r>
    </w:p>
    <w:p w14:paraId="7B8E2F4F" w14:textId="77777777" w:rsidR="003C654B" w:rsidRPr="00264572" w:rsidRDefault="003C654B" w:rsidP="00E259A8">
      <w:pPr>
        <w:widowControl w:val="0"/>
        <w:spacing w:line="240" w:lineRule="auto"/>
        <w:rPr>
          <w:b/>
          <w:bCs/>
          <w:color w:val="000000" w:themeColor="text1"/>
          <w:sz w:val="22"/>
          <w:szCs w:val="22"/>
        </w:rPr>
      </w:pPr>
      <w:r w:rsidRPr="00264572">
        <w:rPr>
          <w:bCs/>
          <w:color w:val="000000" w:themeColor="text1"/>
          <w:sz w:val="22"/>
          <w:szCs w:val="22"/>
        </w:rPr>
        <w:t>Matthew R. Pritchard (Reg. No. 0088070)</w:t>
      </w:r>
    </w:p>
    <w:p w14:paraId="18B9F6CB" w14:textId="77777777" w:rsidR="003C654B" w:rsidRPr="00264572" w:rsidRDefault="003C654B" w:rsidP="00E259A8">
      <w:pPr>
        <w:widowControl w:val="0"/>
        <w:spacing w:line="240" w:lineRule="auto"/>
        <w:rPr>
          <w:b/>
          <w:bCs/>
          <w:smallCaps/>
          <w:color w:val="000000" w:themeColor="text1"/>
          <w:sz w:val="22"/>
          <w:szCs w:val="22"/>
        </w:rPr>
      </w:pPr>
      <w:r w:rsidRPr="00264572">
        <w:rPr>
          <w:bCs/>
          <w:smallCaps/>
          <w:color w:val="000000" w:themeColor="text1"/>
          <w:sz w:val="22"/>
          <w:szCs w:val="22"/>
        </w:rPr>
        <w:t>McNees Wallace &amp; Nurick LLC</w:t>
      </w:r>
    </w:p>
    <w:p w14:paraId="313D7E6C" w14:textId="77777777" w:rsidR="003C654B" w:rsidRPr="00264572" w:rsidRDefault="003C654B" w:rsidP="00E259A8">
      <w:pPr>
        <w:widowControl w:val="0"/>
        <w:spacing w:line="240" w:lineRule="auto"/>
        <w:rPr>
          <w:b/>
          <w:bCs/>
          <w:color w:val="000000" w:themeColor="text1"/>
          <w:sz w:val="22"/>
          <w:szCs w:val="22"/>
        </w:rPr>
      </w:pPr>
      <w:r w:rsidRPr="00264572">
        <w:rPr>
          <w:bCs/>
          <w:color w:val="000000" w:themeColor="text1"/>
          <w:sz w:val="22"/>
          <w:szCs w:val="22"/>
        </w:rPr>
        <w:t>21 East State Street, 17</w:t>
      </w:r>
      <w:r w:rsidRPr="00264572">
        <w:rPr>
          <w:bCs/>
          <w:color w:val="000000" w:themeColor="text1"/>
          <w:sz w:val="22"/>
          <w:szCs w:val="22"/>
          <w:vertAlign w:val="superscript"/>
        </w:rPr>
        <w:t>TH</w:t>
      </w:r>
      <w:r w:rsidRPr="00264572">
        <w:rPr>
          <w:bCs/>
          <w:color w:val="000000" w:themeColor="text1"/>
          <w:sz w:val="22"/>
          <w:szCs w:val="22"/>
        </w:rPr>
        <w:t xml:space="preserve"> Floor</w:t>
      </w:r>
    </w:p>
    <w:p w14:paraId="1F27C350" w14:textId="77777777" w:rsidR="003C654B" w:rsidRPr="00264572" w:rsidRDefault="003C654B" w:rsidP="00E259A8">
      <w:pPr>
        <w:spacing w:line="240" w:lineRule="auto"/>
        <w:rPr>
          <w:rFonts w:eastAsia="Times New Roman"/>
          <w:color w:val="000000" w:themeColor="text1"/>
          <w:sz w:val="22"/>
          <w:szCs w:val="22"/>
        </w:rPr>
      </w:pPr>
      <w:r w:rsidRPr="00264572">
        <w:rPr>
          <w:rFonts w:eastAsia="Times New Roman"/>
          <w:color w:val="000000" w:themeColor="text1"/>
          <w:sz w:val="22"/>
          <w:szCs w:val="22"/>
        </w:rPr>
        <w:t>Columbus, OH  43215</w:t>
      </w:r>
    </w:p>
    <w:p w14:paraId="537C91E1" w14:textId="77777777" w:rsidR="003C654B" w:rsidRPr="00264572" w:rsidRDefault="003C654B" w:rsidP="00E259A8">
      <w:pPr>
        <w:spacing w:line="240" w:lineRule="auto"/>
        <w:rPr>
          <w:rFonts w:eastAsia="Times New Roman"/>
          <w:color w:val="000000" w:themeColor="text1"/>
          <w:sz w:val="22"/>
          <w:szCs w:val="22"/>
        </w:rPr>
      </w:pPr>
      <w:r w:rsidRPr="00264572">
        <w:rPr>
          <w:rFonts w:eastAsia="Times New Roman"/>
          <w:color w:val="000000" w:themeColor="text1"/>
          <w:sz w:val="22"/>
          <w:szCs w:val="22"/>
        </w:rPr>
        <w:t>Telephone:  (614) 469-8000</w:t>
      </w:r>
    </w:p>
    <w:p w14:paraId="6CF538F5" w14:textId="77777777" w:rsidR="003C654B" w:rsidRPr="00264572" w:rsidRDefault="003C654B" w:rsidP="00E259A8">
      <w:pPr>
        <w:spacing w:line="240" w:lineRule="auto"/>
        <w:rPr>
          <w:rFonts w:eastAsia="Times New Roman"/>
          <w:color w:val="000000" w:themeColor="text1"/>
          <w:sz w:val="22"/>
          <w:szCs w:val="22"/>
        </w:rPr>
      </w:pPr>
      <w:r w:rsidRPr="00264572">
        <w:rPr>
          <w:rFonts w:eastAsia="Times New Roman"/>
          <w:color w:val="000000" w:themeColor="text1"/>
          <w:sz w:val="22"/>
          <w:szCs w:val="22"/>
        </w:rPr>
        <w:t>Telecopier:  (614) 469-4653</w:t>
      </w:r>
    </w:p>
    <w:p w14:paraId="1696EF24" w14:textId="0C8576E0" w:rsidR="003C654B" w:rsidRPr="00264572" w:rsidRDefault="00A47E6C" w:rsidP="00E259A8">
      <w:pPr>
        <w:spacing w:line="240" w:lineRule="auto"/>
        <w:rPr>
          <w:rFonts w:eastAsia="Times New Roman"/>
          <w:color w:val="000000" w:themeColor="text1"/>
          <w:sz w:val="22"/>
          <w:szCs w:val="22"/>
        </w:rPr>
      </w:pPr>
      <w:r w:rsidRPr="00264572">
        <w:rPr>
          <w:rFonts w:eastAsia="Times New Roman"/>
          <w:sz w:val="22"/>
          <w:szCs w:val="22"/>
        </w:rPr>
        <w:t>fdarr@mwncmh.com</w:t>
      </w:r>
    </w:p>
    <w:p w14:paraId="3760ED5A" w14:textId="3F693D77" w:rsidR="003C654B" w:rsidRPr="00264572" w:rsidRDefault="00A47E6C" w:rsidP="00E259A8">
      <w:pPr>
        <w:spacing w:line="240" w:lineRule="auto"/>
        <w:rPr>
          <w:rFonts w:eastAsia="Times New Roman"/>
          <w:color w:val="000000" w:themeColor="text1"/>
          <w:sz w:val="22"/>
          <w:szCs w:val="22"/>
        </w:rPr>
      </w:pPr>
      <w:r w:rsidRPr="00264572">
        <w:rPr>
          <w:rFonts w:eastAsia="Times New Roman"/>
          <w:sz w:val="22"/>
          <w:szCs w:val="22"/>
        </w:rPr>
        <w:t>mpritchard@mwncmh.com</w:t>
      </w:r>
    </w:p>
    <w:p w14:paraId="2AD2A8AF" w14:textId="77777777" w:rsidR="00955D8C" w:rsidRPr="00264572" w:rsidRDefault="00955D8C" w:rsidP="00E259A8">
      <w:pPr>
        <w:tabs>
          <w:tab w:val="left" w:pos="-1440"/>
          <w:tab w:val="left" w:pos="-720"/>
          <w:tab w:val="right" w:pos="8640"/>
        </w:tabs>
        <w:spacing w:line="240" w:lineRule="auto"/>
        <w:rPr>
          <w:rFonts w:eastAsia="Calibri"/>
          <w:color w:val="000000" w:themeColor="text1"/>
          <w:sz w:val="22"/>
          <w:szCs w:val="22"/>
        </w:rPr>
      </w:pPr>
    </w:p>
    <w:p w14:paraId="6CAED057" w14:textId="77777777" w:rsidR="00455CFF" w:rsidRPr="00264572" w:rsidRDefault="00955D8C" w:rsidP="00051DAD">
      <w:pPr>
        <w:pStyle w:val="Title"/>
        <w:rPr>
          <w:sz w:val="22"/>
          <w:szCs w:val="22"/>
        </w:rPr>
      </w:pPr>
      <w:r w:rsidRPr="00264572">
        <w:rPr>
          <w:sz w:val="22"/>
          <w:szCs w:val="22"/>
        </w:rPr>
        <w:t>Attorneys for Industrial Energy Users-Ohio</w:t>
      </w:r>
      <w:bookmarkEnd w:id="0"/>
      <w:bookmarkEnd w:id="1"/>
    </w:p>
    <w:p w14:paraId="61533F5D" w14:textId="77777777" w:rsidR="00455CFF" w:rsidRPr="00264572" w:rsidRDefault="00455CFF" w:rsidP="00051DAD">
      <w:pPr>
        <w:pStyle w:val="Title"/>
        <w:rPr>
          <w:sz w:val="22"/>
          <w:szCs w:val="22"/>
        </w:rPr>
      </w:pPr>
    </w:p>
    <w:p w14:paraId="51B2AC8C" w14:textId="77777777" w:rsidR="00455CFF" w:rsidRPr="00264572" w:rsidRDefault="00455CFF" w:rsidP="00051DAD">
      <w:pPr>
        <w:pStyle w:val="Title"/>
        <w:rPr>
          <w:sz w:val="22"/>
          <w:szCs w:val="22"/>
        </w:rPr>
      </w:pPr>
    </w:p>
    <w:p w14:paraId="4E9267ED" w14:textId="77777777" w:rsidR="00455CFF" w:rsidRPr="00264572" w:rsidRDefault="00455CFF" w:rsidP="00051DAD">
      <w:pPr>
        <w:pStyle w:val="Title"/>
        <w:rPr>
          <w:sz w:val="22"/>
          <w:szCs w:val="22"/>
        </w:rPr>
      </w:pPr>
    </w:p>
    <w:p w14:paraId="54C9F587" w14:textId="61A9CC9B" w:rsidR="00E259A8" w:rsidRPr="00264572" w:rsidRDefault="00455CFF" w:rsidP="00051DAD">
      <w:pPr>
        <w:pStyle w:val="Title"/>
        <w:rPr>
          <w:sz w:val="22"/>
          <w:szCs w:val="22"/>
        </w:rPr>
      </w:pPr>
      <w:r w:rsidRPr="00264572">
        <w:rPr>
          <w:color w:val="000000"/>
          <w:sz w:val="22"/>
          <w:szCs w:val="22"/>
        </w:rPr>
        <w:t>May 17, 2016</w:t>
      </w:r>
      <w:r w:rsidR="00E259A8" w:rsidRPr="00264572">
        <w:rPr>
          <w:color w:val="000000"/>
          <w:sz w:val="22"/>
          <w:szCs w:val="22"/>
        </w:rPr>
        <w:br w:type="column"/>
      </w:r>
      <w:r w:rsidR="00E259A8" w:rsidRPr="00264572">
        <w:rPr>
          <w:sz w:val="22"/>
          <w:szCs w:val="22"/>
        </w:rPr>
        <w:t>BRUCE J. WESTON (Reg. # 0016973)</w:t>
      </w:r>
    </w:p>
    <w:p w14:paraId="62DD247E" w14:textId="77777777" w:rsidR="00E259A8" w:rsidRPr="00264572" w:rsidRDefault="00E259A8" w:rsidP="00E259A8">
      <w:pPr>
        <w:autoSpaceDE w:val="0"/>
        <w:autoSpaceDN w:val="0"/>
        <w:adjustRightInd w:val="0"/>
        <w:spacing w:line="240" w:lineRule="auto"/>
        <w:jc w:val="left"/>
        <w:rPr>
          <w:sz w:val="22"/>
          <w:szCs w:val="22"/>
        </w:rPr>
      </w:pPr>
      <w:r w:rsidRPr="00264572">
        <w:rPr>
          <w:sz w:val="22"/>
          <w:szCs w:val="22"/>
        </w:rPr>
        <w:t>OHIO CONSUMERS' COUNSEL</w:t>
      </w:r>
    </w:p>
    <w:p w14:paraId="58CDD78E" w14:textId="77777777" w:rsidR="00E259A8" w:rsidRPr="00264572" w:rsidRDefault="00E259A8" w:rsidP="00E259A8">
      <w:pPr>
        <w:autoSpaceDE w:val="0"/>
        <w:autoSpaceDN w:val="0"/>
        <w:adjustRightInd w:val="0"/>
        <w:spacing w:line="240" w:lineRule="auto"/>
        <w:jc w:val="left"/>
        <w:rPr>
          <w:sz w:val="22"/>
          <w:szCs w:val="22"/>
        </w:rPr>
      </w:pPr>
    </w:p>
    <w:p w14:paraId="21FE508E" w14:textId="77777777" w:rsidR="00E259A8" w:rsidRPr="00264572" w:rsidRDefault="00E259A8" w:rsidP="00E259A8">
      <w:pPr>
        <w:autoSpaceDE w:val="0"/>
        <w:autoSpaceDN w:val="0"/>
        <w:adjustRightInd w:val="0"/>
        <w:spacing w:line="240" w:lineRule="auto"/>
        <w:jc w:val="left"/>
        <w:rPr>
          <w:sz w:val="22"/>
          <w:szCs w:val="22"/>
        </w:rPr>
      </w:pPr>
      <w:r w:rsidRPr="00264572">
        <w:rPr>
          <w:sz w:val="22"/>
          <w:szCs w:val="22"/>
        </w:rPr>
        <w:t>Maureen R. Willis (Reg. # 0020847)</w:t>
      </w:r>
    </w:p>
    <w:p w14:paraId="3465273C" w14:textId="77777777" w:rsidR="00E259A8" w:rsidRPr="00264572" w:rsidRDefault="00E259A8" w:rsidP="00E259A8">
      <w:pPr>
        <w:autoSpaceDE w:val="0"/>
        <w:autoSpaceDN w:val="0"/>
        <w:adjustRightInd w:val="0"/>
        <w:spacing w:line="240" w:lineRule="auto"/>
        <w:jc w:val="left"/>
        <w:rPr>
          <w:sz w:val="22"/>
          <w:szCs w:val="22"/>
        </w:rPr>
      </w:pPr>
      <w:r w:rsidRPr="00264572">
        <w:rPr>
          <w:sz w:val="22"/>
          <w:szCs w:val="22"/>
        </w:rPr>
        <w:t xml:space="preserve"> (Counsel of Record)</w:t>
      </w:r>
    </w:p>
    <w:p w14:paraId="279F05DC" w14:textId="77777777" w:rsidR="00E259A8" w:rsidRPr="00264572" w:rsidRDefault="00E259A8" w:rsidP="00E259A8">
      <w:pPr>
        <w:autoSpaceDE w:val="0"/>
        <w:autoSpaceDN w:val="0"/>
        <w:adjustRightInd w:val="0"/>
        <w:spacing w:line="240" w:lineRule="auto"/>
        <w:jc w:val="left"/>
        <w:rPr>
          <w:sz w:val="22"/>
          <w:szCs w:val="22"/>
        </w:rPr>
      </w:pPr>
      <w:r w:rsidRPr="00264572">
        <w:rPr>
          <w:sz w:val="22"/>
          <w:szCs w:val="22"/>
        </w:rPr>
        <w:t>Terry L. Etter (Reg. No. 0067445)</w:t>
      </w:r>
    </w:p>
    <w:p w14:paraId="1AB09354" w14:textId="77777777" w:rsidR="00E259A8" w:rsidRPr="00264572" w:rsidRDefault="00E259A8" w:rsidP="00E259A8">
      <w:pPr>
        <w:autoSpaceDE w:val="0"/>
        <w:autoSpaceDN w:val="0"/>
        <w:adjustRightInd w:val="0"/>
        <w:spacing w:line="240" w:lineRule="auto"/>
        <w:jc w:val="left"/>
        <w:rPr>
          <w:sz w:val="22"/>
          <w:szCs w:val="22"/>
        </w:rPr>
      </w:pPr>
      <w:r w:rsidRPr="00264572">
        <w:rPr>
          <w:sz w:val="22"/>
          <w:szCs w:val="22"/>
        </w:rPr>
        <w:t>Assistant Consumers' Counsel</w:t>
      </w:r>
    </w:p>
    <w:p w14:paraId="0310BF28" w14:textId="77777777" w:rsidR="00E259A8" w:rsidRPr="00264572" w:rsidRDefault="00E259A8" w:rsidP="00E259A8">
      <w:pPr>
        <w:autoSpaceDE w:val="0"/>
        <w:autoSpaceDN w:val="0"/>
        <w:adjustRightInd w:val="0"/>
        <w:spacing w:line="240" w:lineRule="auto"/>
        <w:jc w:val="left"/>
        <w:rPr>
          <w:sz w:val="22"/>
          <w:szCs w:val="22"/>
        </w:rPr>
      </w:pPr>
      <w:r w:rsidRPr="00264572">
        <w:rPr>
          <w:sz w:val="22"/>
          <w:szCs w:val="22"/>
        </w:rPr>
        <w:t>Office of the Ohio Consumers' Counsel</w:t>
      </w:r>
    </w:p>
    <w:p w14:paraId="34821981" w14:textId="77777777" w:rsidR="00E259A8" w:rsidRPr="00264572" w:rsidRDefault="00E259A8" w:rsidP="00E259A8">
      <w:pPr>
        <w:autoSpaceDE w:val="0"/>
        <w:autoSpaceDN w:val="0"/>
        <w:adjustRightInd w:val="0"/>
        <w:spacing w:line="240" w:lineRule="auto"/>
        <w:jc w:val="left"/>
        <w:rPr>
          <w:sz w:val="22"/>
          <w:szCs w:val="22"/>
        </w:rPr>
      </w:pPr>
      <w:r w:rsidRPr="00264572">
        <w:rPr>
          <w:sz w:val="22"/>
          <w:szCs w:val="22"/>
        </w:rPr>
        <w:t>10 West Broad Street, Suite 1800</w:t>
      </w:r>
    </w:p>
    <w:p w14:paraId="7E1937A3" w14:textId="77777777" w:rsidR="00E259A8" w:rsidRPr="00264572" w:rsidRDefault="00E259A8" w:rsidP="00E259A8">
      <w:pPr>
        <w:autoSpaceDE w:val="0"/>
        <w:autoSpaceDN w:val="0"/>
        <w:adjustRightInd w:val="0"/>
        <w:spacing w:line="240" w:lineRule="auto"/>
        <w:jc w:val="left"/>
        <w:rPr>
          <w:sz w:val="22"/>
          <w:szCs w:val="22"/>
        </w:rPr>
      </w:pPr>
      <w:r w:rsidRPr="00264572">
        <w:rPr>
          <w:sz w:val="22"/>
          <w:szCs w:val="22"/>
        </w:rPr>
        <w:t>Columbus, Ohio 43215-3485</w:t>
      </w:r>
    </w:p>
    <w:p w14:paraId="28786DE4" w14:textId="77777777" w:rsidR="00E259A8" w:rsidRPr="00264572" w:rsidRDefault="00E259A8" w:rsidP="00E259A8">
      <w:pPr>
        <w:autoSpaceDE w:val="0"/>
        <w:autoSpaceDN w:val="0"/>
        <w:adjustRightInd w:val="0"/>
        <w:spacing w:line="240" w:lineRule="auto"/>
        <w:jc w:val="left"/>
        <w:rPr>
          <w:sz w:val="22"/>
          <w:szCs w:val="22"/>
        </w:rPr>
      </w:pPr>
      <w:r w:rsidRPr="00264572">
        <w:rPr>
          <w:sz w:val="22"/>
          <w:szCs w:val="22"/>
        </w:rPr>
        <w:t>Telephone:  (614) 466-9567 (Willis)</w:t>
      </w:r>
    </w:p>
    <w:p w14:paraId="2F1C791A" w14:textId="77777777" w:rsidR="00E259A8" w:rsidRPr="00264572" w:rsidRDefault="00E259A8" w:rsidP="00E259A8">
      <w:pPr>
        <w:autoSpaceDE w:val="0"/>
        <w:autoSpaceDN w:val="0"/>
        <w:adjustRightInd w:val="0"/>
        <w:spacing w:line="240" w:lineRule="auto"/>
        <w:jc w:val="left"/>
        <w:rPr>
          <w:sz w:val="22"/>
          <w:szCs w:val="22"/>
        </w:rPr>
      </w:pPr>
      <w:r w:rsidRPr="00264572">
        <w:rPr>
          <w:sz w:val="22"/>
          <w:szCs w:val="22"/>
        </w:rPr>
        <w:t>Facsimile:  (614) 466-9475</w:t>
      </w:r>
    </w:p>
    <w:p w14:paraId="725EB9E7" w14:textId="77777777" w:rsidR="00E259A8" w:rsidRPr="00264572" w:rsidRDefault="00E259A8" w:rsidP="00E259A8">
      <w:pPr>
        <w:autoSpaceDE w:val="0"/>
        <w:autoSpaceDN w:val="0"/>
        <w:adjustRightInd w:val="0"/>
        <w:spacing w:line="240" w:lineRule="auto"/>
        <w:jc w:val="left"/>
        <w:rPr>
          <w:sz w:val="22"/>
          <w:szCs w:val="22"/>
        </w:rPr>
      </w:pPr>
      <w:r w:rsidRPr="00264572">
        <w:rPr>
          <w:sz w:val="22"/>
          <w:szCs w:val="22"/>
        </w:rPr>
        <w:t>maureen.willis@occ.ohio.gov</w:t>
      </w:r>
    </w:p>
    <w:p w14:paraId="370EBC7E" w14:textId="77777777" w:rsidR="00E259A8" w:rsidRPr="00264572" w:rsidRDefault="00E259A8" w:rsidP="00E259A8">
      <w:pPr>
        <w:autoSpaceDE w:val="0"/>
        <w:autoSpaceDN w:val="0"/>
        <w:adjustRightInd w:val="0"/>
        <w:spacing w:line="240" w:lineRule="auto"/>
        <w:jc w:val="left"/>
        <w:rPr>
          <w:sz w:val="22"/>
          <w:szCs w:val="22"/>
        </w:rPr>
      </w:pPr>
      <w:r w:rsidRPr="00264572">
        <w:rPr>
          <w:sz w:val="22"/>
          <w:szCs w:val="22"/>
        </w:rPr>
        <w:t>Terry.etter@occ.ohio.gov</w:t>
      </w:r>
    </w:p>
    <w:p w14:paraId="4B620511" w14:textId="77777777" w:rsidR="00E259A8" w:rsidRPr="00264572" w:rsidRDefault="00E259A8" w:rsidP="00E259A8">
      <w:pPr>
        <w:autoSpaceDE w:val="0"/>
        <w:autoSpaceDN w:val="0"/>
        <w:adjustRightInd w:val="0"/>
        <w:spacing w:line="240" w:lineRule="auto"/>
        <w:jc w:val="left"/>
        <w:rPr>
          <w:sz w:val="22"/>
          <w:szCs w:val="22"/>
        </w:rPr>
      </w:pPr>
    </w:p>
    <w:p w14:paraId="0A69281C" w14:textId="77777777" w:rsidR="00E259A8" w:rsidRPr="00455CFF" w:rsidRDefault="00E259A8" w:rsidP="00051DAD">
      <w:pPr>
        <w:pStyle w:val="Title"/>
        <w:sectPr w:rsidR="00E259A8" w:rsidRPr="00455CFF" w:rsidSect="001B2A39">
          <w:headerReference w:type="default" r:id="rId14"/>
          <w:footerReference w:type="default" r:id="rId15"/>
          <w:headerReference w:type="first" r:id="rId16"/>
          <w:footerReference w:type="first" r:id="rId17"/>
          <w:type w:val="continuous"/>
          <w:pgSz w:w="12240" w:h="15840" w:code="1"/>
          <w:pgMar w:top="1440" w:right="1440" w:bottom="1440" w:left="1440" w:header="720" w:footer="720" w:gutter="0"/>
          <w:pgNumType w:start="1"/>
          <w:cols w:num="2" w:space="720"/>
          <w:titlePg/>
          <w:docGrid w:linePitch="360"/>
        </w:sectPr>
      </w:pPr>
      <w:r w:rsidRPr="00264572">
        <w:rPr>
          <w:sz w:val="22"/>
          <w:szCs w:val="22"/>
        </w:rPr>
        <w:t>Attorneys for the Office of the Ohio Consumers' Counsel</w:t>
      </w:r>
    </w:p>
    <w:p w14:paraId="6E1D1AA6" w14:textId="77777777" w:rsidR="00051DAD" w:rsidRPr="00051DAD" w:rsidRDefault="00051DAD" w:rsidP="00051DAD">
      <w:pPr>
        <w:pStyle w:val="TOC1"/>
      </w:pPr>
      <w:r w:rsidRPr="00051DAD">
        <w:lastRenderedPageBreak/>
        <w:t>Table of Contents</w:t>
      </w:r>
    </w:p>
    <w:p w14:paraId="6B6AF6C9" w14:textId="77777777" w:rsidR="00051DAD" w:rsidRDefault="00051DAD" w:rsidP="00051DAD">
      <w:pPr>
        <w:pStyle w:val="TOC1"/>
      </w:pPr>
    </w:p>
    <w:p w14:paraId="1A46FD3C" w14:textId="77777777" w:rsidR="00051DAD" w:rsidRPr="00264572" w:rsidRDefault="00051DAD" w:rsidP="00051DAD">
      <w:pPr>
        <w:pStyle w:val="Title"/>
        <w:spacing w:line="480" w:lineRule="auto"/>
        <w:rPr>
          <w:sz w:val="28"/>
          <w:szCs w:val="28"/>
        </w:rPr>
      </w:pPr>
      <w:r>
        <w:rPr>
          <w:rFonts w:eastAsia="Calibri"/>
        </w:rPr>
        <w:fldChar w:fldCharType="begin"/>
      </w:r>
      <w:r>
        <w:rPr>
          <w:rFonts w:eastAsia="Calibri"/>
        </w:rPr>
        <w:instrText xml:space="preserve"> TOC \o "1-3" \h \z \u </w:instrText>
      </w:r>
      <w:r>
        <w:rPr>
          <w:rFonts w:eastAsia="Calibri"/>
        </w:rPr>
        <w:fldChar w:fldCharType="separate"/>
      </w:r>
      <w:hyperlink w:anchor="_Toc451259537" w:history="1">
        <w:r w:rsidRPr="00264572">
          <w:rPr>
            <w:rStyle w:val="Hyperlink"/>
            <w:sz w:val="28"/>
            <w:szCs w:val="28"/>
          </w:rPr>
          <w:t>I.</w:t>
        </w:r>
        <w:r w:rsidRPr="00264572">
          <w:rPr>
            <w:sz w:val="28"/>
            <w:szCs w:val="28"/>
          </w:rPr>
          <w:tab/>
        </w:r>
        <w:r w:rsidRPr="00264572">
          <w:rPr>
            <w:rStyle w:val="Hyperlink"/>
            <w:color w:val="auto"/>
            <w:sz w:val="28"/>
            <w:szCs w:val="28"/>
            <w:u w:val="none"/>
          </w:rPr>
          <w:t>introduction</w:t>
        </w:r>
        <w:r w:rsidRPr="00264572">
          <w:rPr>
            <w:webHidden/>
            <w:sz w:val="28"/>
            <w:szCs w:val="28"/>
          </w:rPr>
          <w:tab/>
        </w:r>
        <w:r w:rsidRPr="00264572">
          <w:rPr>
            <w:webHidden/>
            <w:sz w:val="28"/>
            <w:szCs w:val="28"/>
          </w:rPr>
          <w:fldChar w:fldCharType="begin"/>
        </w:r>
        <w:r w:rsidRPr="00264572">
          <w:rPr>
            <w:webHidden/>
            <w:sz w:val="28"/>
            <w:szCs w:val="28"/>
          </w:rPr>
          <w:instrText xml:space="preserve"> PAGEREF _Toc451259537 \h </w:instrText>
        </w:r>
        <w:r w:rsidRPr="00264572">
          <w:rPr>
            <w:webHidden/>
            <w:sz w:val="28"/>
            <w:szCs w:val="28"/>
          </w:rPr>
        </w:r>
        <w:r w:rsidRPr="00264572">
          <w:rPr>
            <w:webHidden/>
            <w:sz w:val="28"/>
            <w:szCs w:val="28"/>
          </w:rPr>
          <w:fldChar w:fldCharType="separate"/>
        </w:r>
        <w:r w:rsidR="0041284C">
          <w:rPr>
            <w:webHidden/>
            <w:sz w:val="28"/>
            <w:szCs w:val="28"/>
          </w:rPr>
          <w:t>3</w:t>
        </w:r>
        <w:r w:rsidRPr="00264572">
          <w:rPr>
            <w:webHidden/>
            <w:sz w:val="28"/>
            <w:szCs w:val="28"/>
          </w:rPr>
          <w:fldChar w:fldCharType="end"/>
        </w:r>
      </w:hyperlink>
    </w:p>
    <w:p w14:paraId="306DA091" w14:textId="77777777" w:rsidR="00051DAD" w:rsidRPr="00264572" w:rsidRDefault="00051DAD" w:rsidP="00051DAD">
      <w:pPr>
        <w:pStyle w:val="Title"/>
        <w:spacing w:line="480" w:lineRule="auto"/>
        <w:rPr>
          <w:sz w:val="28"/>
          <w:szCs w:val="28"/>
        </w:rPr>
      </w:pPr>
      <w:hyperlink w:anchor="_Toc451259538" w:history="1">
        <w:r w:rsidRPr="00264572">
          <w:rPr>
            <w:rStyle w:val="Hyperlink"/>
            <w:rFonts w:eastAsia="Times New Roman"/>
            <w:sz w:val="28"/>
            <w:szCs w:val="28"/>
          </w:rPr>
          <w:t>II.</w:t>
        </w:r>
        <w:r w:rsidRPr="00264572">
          <w:rPr>
            <w:sz w:val="28"/>
            <w:szCs w:val="28"/>
          </w:rPr>
          <w:tab/>
        </w:r>
        <w:r w:rsidRPr="00264572">
          <w:rPr>
            <w:rStyle w:val="Hyperlink"/>
            <w:rFonts w:eastAsia="Times New Roman"/>
            <w:sz w:val="28"/>
            <w:szCs w:val="28"/>
          </w:rPr>
          <w:t>argument</w:t>
        </w:r>
        <w:r w:rsidRPr="00264572">
          <w:rPr>
            <w:webHidden/>
            <w:sz w:val="28"/>
            <w:szCs w:val="28"/>
          </w:rPr>
          <w:tab/>
        </w:r>
        <w:r w:rsidRPr="00264572">
          <w:rPr>
            <w:webHidden/>
            <w:sz w:val="28"/>
            <w:szCs w:val="28"/>
          </w:rPr>
          <w:fldChar w:fldCharType="begin"/>
        </w:r>
        <w:r w:rsidRPr="00264572">
          <w:rPr>
            <w:webHidden/>
            <w:sz w:val="28"/>
            <w:szCs w:val="28"/>
          </w:rPr>
          <w:instrText xml:space="preserve"> PAGEREF _Toc451259538 \h </w:instrText>
        </w:r>
        <w:r w:rsidRPr="00264572">
          <w:rPr>
            <w:webHidden/>
            <w:sz w:val="28"/>
            <w:szCs w:val="28"/>
          </w:rPr>
        </w:r>
        <w:r w:rsidRPr="00264572">
          <w:rPr>
            <w:webHidden/>
            <w:sz w:val="28"/>
            <w:szCs w:val="28"/>
          </w:rPr>
          <w:fldChar w:fldCharType="separate"/>
        </w:r>
        <w:r w:rsidR="0041284C">
          <w:rPr>
            <w:webHidden/>
            <w:sz w:val="28"/>
            <w:szCs w:val="28"/>
          </w:rPr>
          <w:t>5</w:t>
        </w:r>
        <w:r w:rsidRPr="00264572">
          <w:rPr>
            <w:webHidden/>
            <w:sz w:val="28"/>
            <w:szCs w:val="28"/>
          </w:rPr>
          <w:fldChar w:fldCharType="end"/>
        </w:r>
      </w:hyperlink>
    </w:p>
    <w:p w14:paraId="78B5B63C" w14:textId="77777777" w:rsidR="00051DAD" w:rsidRDefault="00051DAD" w:rsidP="00051DAD">
      <w:pPr>
        <w:pStyle w:val="Title"/>
        <w:spacing w:line="480" w:lineRule="auto"/>
      </w:pPr>
      <w:hyperlink w:anchor="_Toc451259539" w:history="1">
        <w:r w:rsidRPr="00264572">
          <w:rPr>
            <w:rStyle w:val="Hyperlink"/>
            <w:rFonts w:eastAsia="Times New Roman"/>
            <w:sz w:val="28"/>
            <w:szCs w:val="28"/>
          </w:rPr>
          <w:t>III.</w:t>
        </w:r>
        <w:r w:rsidRPr="00264572">
          <w:rPr>
            <w:sz w:val="28"/>
            <w:szCs w:val="28"/>
          </w:rPr>
          <w:tab/>
        </w:r>
        <w:r w:rsidRPr="00264572">
          <w:rPr>
            <w:rStyle w:val="Hyperlink"/>
            <w:rFonts w:eastAsia="Times New Roman"/>
            <w:sz w:val="28"/>
            <w:szCs w:val="28"/>
          </w:rPr>
          <w:t>conclusion</w:t>
        </w:r>
        <w:r w:rsidRPr="00264572">
          <w:rPr>
            <w:webHidden/>
            <w:sz w:val="28"/>
            <w:szCs w:val="28"/>
          </w:rPr>
          <w:tab/>
        </w:r>
        <w:r w:rsidRPr="00264572">
          <w:rPr>
            <w:webHidden/>
            <w:sz w:val="28"/>
            <w:szCs w:val="28"/>
          </w:rPr>
          <w:fldChar w:fldCharType="begin"/>
        </w:r>
        <w:r w:rsidRPr="00264572">
          <w:rPr>
            <w:webHidden/>
            <w:sz w:val="28"/>
            <w:szCs w:val="28"/>
          </w:rPr>
          <w:instrText xml:space="preserve"> PAGEREF _Toc451259539 \h </w:instrText>
        </w:r>
        <w:r w:rsidRPr="00264572">
          <w:rPr>
            <w:webHidden/>
            <w:sz w:val="28"/>
            <w:szCs w:val="28"/>
          </w:rPr>
        </w:r>
        <w:r w:rsidRPr="00264572">
          <w:rPr>
            <w:webHidden/>
            <w:sz w:val="28"/>
            <w:szCs w:val="28"/>
          </w:rPr>
          <w:fldChar w:fldCharType="separate"/>
        </w:r>
        <w:r w:rsidR="0041284C">
          <w:rPr>
            <w:webHidden/>
            <w:sz w:val="28"/>
            <w:szCs w:val="28"/>
          </w:rPr>
          <w:t>13</w:t>
        </w:r>
        <w:r w:rsidRPr="00264572">
          <w:rPr>
            <w:webHidden/>
            <w:sz w:val="28"/>
            <w:szCs w:val="28"/>
          </w:rPr>
          <w:fldChar w:fldCharType="end"/>
        </w:r>
      </w:hyperlink>
    </w:p>
    <w:p w14:paraId="5396E82E" w14:textId="77777777" w:rsidR="00051DAD" w:rsidRDefault="00051DAD" w:rsidP="003A3370">
      <w:pPr>
        <w:spacing w:line="240" w:lineRule="auto"/>
        <w:jc w:val="center"/>
        <w:rPr>
          <w:rFonts w:eastAsia="Calibri"/>
          <w:b/>
          <w:smallCaps/>
          <w:sz w:val="28"/>
          <w:szCs w:val="28"/>
        </w:rPr>
        <w:sectPr w:rsidR="00051DAD" w:rsidSect="006D653C">
          <w:headerReference w:type="default" r:id="rId18"/>
          <w:footerReference w:type="default" r:id="rId19"/>
          <w:headerReference w:type="first" r:id="rId20"/>
          <w:footerReference w:type="first" r:id="rId21"/>
          <w:pgSz w:w="12240" w:h="15840" w:code="1"/>
          <w:pgMar w:top="1440" w:right="1440" w:bottom="1440" w:left="1440" w:header="720" w:footer="720" w:gutter="0"/>
          <w:pgNumType w:fmt="lowerRoman" w:start="1"/>
          <w:cols w:space="720"/>
          <w:titlePg/>
          <w:docGrid w:linePitch="360"/>
        </w:sectPr>
      </w:pPr>
      <w:r>
        <w:rPr>
          <w:rFonts w:eastAsia="Calibri"/>
          <w:b/>
          <w:smallCaps/>
          <w:sz w:val="28"/>
          <w:szCs w:val="28"/>
        </w:rPr>
        <w:fldChar w:fldCharType="end"/>
      </w:r>
    </w:p>
    <w:p w14:paraId="3416CB3E" w14:textId="307A0176" w:rsidR="003A3370" w:rsidRPr="00E15005" w:rsidRDefault="003A3370" w:rsidP="003A3370">
      <w:pPr>
        <w:spacing w:line="240" w:lineRule="auto"/>
        <w:jc w:val="center"/>
        <w:rPr>
          <w:rFonts w:eastAsia="Calibri"/>
          <w:b/>
          <w:smallCaps/>
          <w:sz w:val="28"/>
          <w:szCs w:val="28"/>
        </w:rPr>
      </w:pPr>
      <w:r w:rsidRPr="00E15005">
        <w:rPr>
          <w:rFonts w:eastAsia="Calibri"/>
          <w:b/>
          <w:smallCaps/>
          <w:sz w:val="28"/>
          <w:szCs w:val="28"/>
        </w:rPr>
        <w:lastRenderedPageBreak/>
        <w:t>Before</w:t>
      </w:r>
    </w:p>
    <w:p w14:paraId="697FCAEF" w14:textId="77777777" w:rsidR="003A3370" w:rsidRPr="00E15005" w:rsidRDefault="003A3370" w:rsidP="003A3370">
      <w:pPr>
        <w:spacing w:line="240" w:lineRule="auto"/>
        <w:jc w:val="center"/>
        <w:rPr>
          <w:rFonts w:eastAsia="Calibri"/>
          <w:b/>
          <w:smallCaps/>
          <w:sz w:val="28"/>
          <w:szCs w:val="28"/>
        </w:rPr>
      </w:pPr>
      <w:r w:rsidRPr="00E15005">
        <w:rPr>
          <w:rFonts w:eastAsia="Calibri"/>
          <w:b/>
          <w:smallCaps/>
          <w:sz w:val="28"/>
          <w:szCs w:val="28"/>
        </w:rPr>
        <w:t>The Public Utilities Commission Of Ohio</w:t>
      </w:r>
    </w:p>
    <w:p w14:paraId="6699229D" w14:textId="77777777" w:rsidR="003A3370" w:rsidRPr="001A24CA" w:rsidRDefault="003A3370" w:rsidP="003A3370">
      <w:pPr>
        <w:spacing w:line="240" w:lineRule="auto"/>
        <w:rPr>
          <w:rFonts w:eastAsia="Calibri" w:cs="Times New Roman"/>
          <w:b/>
          <w:szCs w:val="22"/>
        </w:rPr>
      </w:pPr>
    </w:p>
    <w:p w14:paraId="02B87C1C" w14:textId="77777777" w:rsidR="003D746C" w:rsidRPr="00873B33" w:rsidRDefault="003D746C" w:rsidP="003D746C">
      <w:pPr>
        <w:tabs>
          <w:tab w:val="left" w:pos="4590"/>
          <w:tab w:val="left" w:pos="5220"/>
        </w:tabs>
        <w:spacing w:line="240" w:lineRule="auto"/>
        <w:rPr>
          <w:rFonts w:eastAsia="Calibri" w:cs="Times New Roman"/>
          <w:szCs w:val="22"/>
        </w:rPr>
      </w:pPr>
      <w:r w:rsidRPr="00873B33">
        <w:rPr>
          <w:rFonts w:eastAsia="Calibri" w:cs="Times New Roman"/>
          <w:szCs w:val="22"/>
        </w:rPr>
        <w:t xml:space="preserve">In the Matter of the Application of </w:t>
      </w:r>
      <w:r w:rsidRPr="00873B33">
        <w:rPr>
          <w:rFonts w:eastAsia="Calibri" w:cs="Times New Roman"/>
          <w:szCs w:val="22"/>
        </w:rPr>
        <w:tab/>
        <w:t>)</w:t>
      </w:r>
    </w:p>
    <w:p w14:paraId="7A7DFD68" w14:textId="77777777" w:rsidR="003D746C" w:rsidRPr="00873B33" w:rsidRDefault="003D746C" w:rsidP="003D746C">
      <w:pPr>
        <w:tabs>
          <w:tab w:val="left" w:pos="4590"/>
          <w:tab w:val="left" w:pos="5220"/>
        </w:tabs>
        <w:spacing w:line="240" w:lineRule="auto"/>
        <w:rPr>
          <w:rFonts w:eastAsia="Calibri" w:cs="Times New Roman"/>
          <w:szCs w:val="22"/>
        </w:rPr>
      </w:pPr>
      <w:r w:rsidRPr="00873B33">
        <w:rPr>
          <w:rFonts w:eastAsia="Calibri" w:cs="Times New Roman"/>
          <w:szCs w:val="22"/>
        </w:rPr>
        <w:t xml:space="preserve">The Dayton Power and Light Company </w:t>
      </w:r>
      <w:r w:rsidRPr="00873B33">
        <w:rPr>
          <w:rFonts w:eastAsia="Calibri" w:cs="Times New Roman"/>
          <w:szCs w:val="22"/>
        </w:rPr>
        <w:tab/>
        <w:t>)</w:t>
      </w:r>
      <w:r w:rsidRPr="00873B33">
        <w:rPr>
          <w:rFonts w:eastAsia="Calibri" w:cs="Times New Roman"/>
          <w:szCs w:val="22"/>
        </w:rPr>
        <w:tab/>
        <w:t>Case No. 12-426-EL-SSO</w:t>
      </w:r>
    </w:p>
    <w:p w14:paraId="4E6F8AAD" w14:textId="77777777" w:rsidR="003D746C" w:rsidRPr="00873B33" w:rsidRDefault="003D746C" w:rsidP="003D746C">
      <w:pPr>
        <w:tabs>
          <w:tab w:val="left" w:pos="4590"/>
          <w:tab w:val="left" w:pos="5220"/>
        </w:tabs>
        <w:spacing w:line="240" w:lineRule="auto"/>
        <w:rPr>
          <w:rFonts w:eastAsia="Calibri" w:cs="Times New Roman"/>
          <w:szCs w:val="22"/>
        </w:rPr>
      </w:pPr>
      <w:r w:rsidRPr="00873B33">
        <w:rPr>
          <w:rFonts w:eastAsia="Calibri" w:cs="Times New Roman"/>
          <w:szCs w:val="22"/>
        </w:rPr>
        <w:t>for Approval of Its Market Rate Offer.</w:t>
      </w:r>
      <w:r w:rsidRPr="00873B33">
        <w:rPr>
          <w:rFonts w:eastAsia="Calibri" w:cs="Times New Roman"/>
          <w:szCs w:val="22"/>
        </w:rPr>
        <w:tab/>
        <w:t>)</w:t>
      </w:r>
    </w:p>
    <w:p w14:paraId="2827DE0C" w14:textId="77777777" w:rsidR="003D746C" w:rsidRDefault="003D746C" w:rsidP="003D746C">
      <w:pPr>
        <w:tabs>
          <w:tab w:val="left" w:pos="4590"/>
          <w:tab w:val="left" w:pos="5220"/>
        </w:tabs>
        <w:spacing w:line="240" w:lineRule="auto"/>
        <w:rPr>
          <w:rFonts w:eastAsia="Calibri" w:cs="Times New Roman"/>
          <w:szCs w:val="22"/>
        </w:rPr>
      </w:pPr>
      <w:r w:rsidRPr="00873B33">
        <w:rPr>
          <w:rFonts w:eastAsia="Calibri" w:cs="Times New Roman"/>
          <w:szCs w:val="22"/>
        </w:rPr>
        <w:t>In the Matter of the Application of</w:t>
      </w:r>
      <w:r w:rsidRPr="00873B33">
        <w:rPr>
          <w:rFonts w:eastAsia="Calibri" w:cs="Times New Roman"/>
          <w:szCs w:val="22"/>
        </w:rPr>
        <w:tab/>
        <w:t>)</w:t>
      </w:r>
    </w:p>
    <w:p w14:paraId="1C7E4BFA" w14:textId="77777777" w:rsidR="003D746C" w:rsidRPr="00873B33" w:rsidRDefault="003D746C" w:rsidP="003D746C">
      <w:pPr>
        <w:tabs>
          <w:tab w:val="left" w:pos="4590"/>
          <w:tab w:val="left" w:pos="5220"/>
        </w:tabs>
        <w:spacing w:line="240" w:lineRule="auto"/>
        <w:rPr>
          <w:rFonts w:eastAsia="Calibri" w:cs="Times New Roman"/>
          <w:szCs w:val="22"/>
        </w:rPr>
      </w:pPr>
    </w:p>
    <w:p w14:paraId="34357297" w14:textId="77777777" w:rsidR="003D746C" w:rsidRPr="00873B33" w:rsidRDefault="003D746C" w:rsidP="003D746C">
      <w:pPr>
        <w:tabs>
          <w:tab w:val="left" w:pos="4590"/>
          <w:tab w:val="left" w:pos="5220"/>
        </w:tabs>
        <w:spacing w:line="240" w:lineRule="auto"/>
        <w:rPr>
          <w:rFonts w:eastAsia="Calibri" w:cs="Times New Roman"/>
          <w:szCs w:val="22"/>
        </w:rPr>
      </w:pPr>
      <w:r w:rsidRPr="00873B33">
        <w:rPr>
          <w:rFonts w:eastAsia="Calibri" w:cs="Times New Roman"/>
          <w:szCs w:val="22"/>
        </w:rPr>
        <w:t>The Dayton Power and Light Company</w:t>
      </w:r>
      <w:r w:rsidRPr="00873B33">
        <w:rPr>
          <w:rFonts w:eastAsia="Calibri" w:cs="Times New Roman"/>
          <w:szCs w:val="22"/>
        </w:rPr>
        <w:tab/>
        <w:t>)</w:t>
      </w:r>
      <w:r w:rsidRPr="00873B33">
        <w:rPr>
          <w:rFonts w:eastAsia="Calibri" w:cs="Times New Roman"/>
          <w:szCs w:val="22"/>
        </w:rPr>
        <w:tab/>
        <w:t>Case No. 12-427-EL-ATA</w:t>
      </w:r>
    </w:p>
    <w:p w14:paraId="0179CA40" w14:textId="77777777" w:rsidR="003D746C" w:rsidRPr="00873B33" w:rsidRDefault="003D746C" w:rsidP="003D746C">
      <w:pPr>
        <w:tabs>
          <w:tab w:val="left" w:pos="4590"/>
          <w:tab w:val="left" w:pos="5220"/>
        </w:tabs>
        <w:spacing w:line="240" w:lineRule="auto"/>
        <w:rPr>
          <w:rFonts w:eastAsia="Calibri" w:cs="Times New Roman"/>
          <w:szCs w:val="22"/>
        </w:rPr>
      </w:pPr>
      <w:r w:rsidRPr="00873B33">
        <w:rPr>
          <w:rFonts w:eastAsia="Calibri" w:cs="Times New Roman"/>
          <w:szCs w:val="22"/>
        </w:rPr>
        <w:t>for Approval of Revised Tariffs.</w:t>
      </w:r>
      <w:r w:rsidRPr="00873B33">
        <w:rPr>
          <w:rFonts w:eastAsia="Calibri" w:cs="Times New Roman"/>
          <w:szCs w:val="22"/>
        </w:rPr>
        <w:tab/>
        <w:t>)</w:t>
      </w:r>
    </w:p>
    <w:p w14:paraId="38509FFD" w14:textId="77777777" w:rsidR="003D746C" w:rsidRDefault="003D746C" w:rsidP="003D746C">
      <w:pPr>
        <w:tabs>
          <w:tab w:val="left" w:pos="4590"/>
          <w:tab w:val="left" w:pos="5220"/>
        </w:tabs>
        <w:spacing w:line="240" w:lineRule="auto"/>
        <w:rPr>
          <w:rFonts w:eastAsia="Calibri" w:cs="Times New Roman"/>
          <w:szCs w:val="22"/>
        </w:rPr>
      </w:pPr>
      <w:r w:rsidRPr="00873B33">
        <w:rPr>
          <w:rFonts w:eastAsia="Calibri" w:cs="Times New Roman"/>
          <w:szCs w:val="22"/>
        </w:rPr>
        <w:t>In the Matter of the Application of</w:t>
      </w:r>
      <w:r w:rsidRPr="00873B33">
        <w:rPr>
          <w:rFonts w:eastAsia="Calibri" w:cs="Times New Roman"/>
          <w:szCs w:val="22"/>
        </w:rPr>
        <w:tab/>
        <w:t>)</w:t>
      </w:r>
    </w:p>
    <w:p w14:paraId="0816833C" w14:textId="77777777" w:rsidR="003D746C" w:rsidRPr="00873B33" w:rsidRDefault="003D746C" w:rsidP="003D746C">
      <w:pPr>
        <w:tabs>
          <w:tab w:val="left" w:pos="4590"/>
          <w:tab w:val="left" w:pos="5220"/>
        </w:tabs>
        <w:spacing w:line="240" w:lineRule="auto"/>
        <w:rPr>
          <w:rFonts w:eastAsia="Calibri" w:cs="Times New Roman"/>
          <w:szCs w:val="22"/>
        </w:rPr>
      </w:pPr>
    </w:p>
    <w:p w14:paraId="62B536F6" w14:textId="77777777" w:rsidR="003D746C" w:rsidRPr="00873B33" w:rsidRDefault="003D746C" w:rsidP="003D746C">
      <w:pPr>
        <w:tabs>
          <w:tab w:val="left" w:pos="4590"/>
          <w:tab w:val="left" w:pos="5220"/>
        </w:tabs>
        <w:spacing w:line="240" w:lineRule="auto"/>
        <w:rPr>
          <w:rFonts w:eastAsia="Calibri" w:cs="Times New Roman"/>
          <w:szCs w:val="22"/>
        </w:rPr>
      </w:pPr>
      <w:r w:rsidRPr="00873B33">
        <w:rPr>
          <w:rFonts w:eastAsia="Calibri" w:cs="Times New Roman"/>
          <w:szCs w:val="22"/>
        </w:rPr>
        <w:t>The Dayton Power and Light Company</w:t>
      </w:r>
      <w:r w:rsidRPr="00873B33">
        <w:rPr>
          <w:rFonts w:eastAsia="Calibri" w:cs="Times New Roman"/>
          <w:szCs w:val="22"/>
        </w:rPr>
        <w:tab/>
        <w:t>)</w:t>
      </w:r>
      <w:r w:rsidRPr="00873B33">
        <w:rPr>
          <w:rFonts w:eastAsia="Calibri" w:cs="Times New Roman"/>
          <w:szCs w:val="22"/>
        </w:rPr>
        <w:tab/>
        <w:t>Case No. 12-428-EL-AAM</w:t>
      </w:r>
    </w:p>
    <w:p w14:paraId="5D0A74F9" w14:textId="77777777" w:rsidR="003D746C" w:rsidRPr="00873B33" w:rsidRDefault="003D746C" w:rsidP="003D746C">
      <w:pPr>
        <w:tabs>
          <w:tab w:val="left" w:pos="4590"/>
          <w:tab w:val="left" w:pos="5220"/>
        </w:tabs>
        <w:spacing w:line="240" w:lineRule="auto"/>
        <w:rPr>
          <w:rFonts w:eastAsia="Calibri" w:cs="Times New Roman"/>
          <w:szCs w:val="22"/>
        </w:rPr>
      </w:pPr>
      <w:r w:rsidRPr="00873B33">
        <w:rPr>
          <w:rFonts w:eastAsia="Calibri" w:cs="Times New Roman"/>
          <w:szCs w:val="22"/>
        </w:rPr>
        <w:t xml:space="preserve">for Approval of Certain Accounting </w:t>
      </w:r>
      <w:r w:rsidRPr="00873B33">
        <w:rPr>
          <w:rFonts w:eastAsia="Calibri" w:cs="Times New Roman"/>
          <w:szCs w:val="22"/>
        </w:rPr>
        <w:tab/>
        <w:t>)</w:t>
      </w:r>
    </w:p>
    <w:p w14:paraId="75366D17" w14:textId="77777777" w:rsidR="003D746C" w:rsidRDefault="003D746C" w:rsidP="003D746C">
      <w:pPr>
        <w:tabs>
          <w:tab w:val="left" w:pos="4590"/>
          <w:tab w:val="left" w:pos="5220"/>
        </w:tabs>
        <w:spacing w:line="240" w:lineRule="auto"/>
        <w:rPr>
          <w:rFonts w:eastAsia="Calibri" w:cs="Times New Roman"/>
          <w:szCs w:val="22"/>
        </w:rPr>
      </w:pPr>
      <w:r w:rsidRPr="00873B33">
        <w:rPr>
          <w:rFonts w:eastAsia="Calibri" w:cs="Times New Roman"/>
          <w:szCs w:val="22"/>
        </w:rPr>
        <w:t>Authority.</w:t>
      </w:r>
      <w:r w:rsidRPr="00873B33">
        <w:rPr>
          <w:rFonts w:eastAsia="Calibri" w:cs="Times New Roman"/>
          <w:szCs w:val="22"/>
        </w:rPr>
        <w:tab/>
        <w:t>)</w:t>
      </w:r>
    </w:p>
    <w:p w14:paraId="4403F621" w14:textId="77777777" w:rsidR="003D746C" w:rsidRPr="00873B33" w:rsidRDefault="003D746C" w:rsidP="003D746C">
      <w:pPr>
        <w:tabs>
          <w:tab w:val="left" w:pos="4590"/>
          <w:tab w:val="left" w:pos="5220"/>
        </w:tabs>
        <w:spacing w:line="240" w:lineRule="auto"/>
        <w:rPr>
          <w:rFonts w:eastAsia="Calibri" w:cs="Times New Roman"/>
          <w:szCs w:val="22"/>
        </w:rPr>
      </w:pPr>
    </w:p>
    <w:p w14:paraId="670623AE" w14:textId="77777777" w:rsidR="003D746C" w:rsidRPr="00873B33" w:rsidRDefault="003D746C" w:rsidP="003D746C">
      <w:pPr>
        <w:tabs>
          <w:tab w:val="left" w:pos="4590"/>
          <w:tab w:val="left" w:pos="5220"/>
        </w:tabs>
        <w:spacing w:line="240" w:lineRule="auto"/>
        <w:rPr>
          <w:rFonts w:eastAsia="Calibri" w:cs="Times New Roman"/>
          <w:szCs w:val="22"/>
        </w:rPr>
      </w:pPr>
      <w:r w:rsidRPr="00873B33">
        <w:rPr>
          <w:rFonts w:eastAsia="Calibri" w:cs="Times New Roman"/>
          <w:szCs w:val="22"/>
        </w:rPr>
        <w:t>In the Matter of the Application of</w:t>
      </w:r>
      <w:r w:rsidRPr="00873B33">
        <w:rPr>
          <w:rFonts w:eastAsia="Calibri" w:cs="Times New Roman"/>
          <w:szCs w:val="22"/>
        </w:rPr>
        <w:tab/>
        <w:t>)</w:t>
      </w:r>
    </w:p>
    <w:p w14:paraId="7193C64A" w14:textId="77777777" w:rsidR="003D746C" w:rsidRPr="00873B33" w:rsidRDefault="003D746C" w:rsidP="003D746C">
      <w:pPr>
        <w:tabs>
          <w:tab w:val="left" w:pos="4590"/>
          <w:tab w:val="left" w:pos="5220"/>
        </w:tabs>
        <w:spacing w:line="240" w:lineRule="auto"/>
        <w:rPr>
          <w:rFonts w:eastAsia="Calibri" w:cs="Times New Roman"/>
          <w:szCs w:val="22"/>
        </w:rPr>
      </w:pPr>
      <w:r w:rsidRPr="00873B33">
        <w:rPr>
          <w:rFonts w:eastAsia="Calibri" w:cs="Times New Roman"/>
          <w:szCs w:val="22"/>
        </w:rPr>
        <w:t>The Dayton Power and Light Company</w:t>
      </w:r>
      <w:r w:rsidRPr="00873B33">
        <w:rPr>
          <w:rFonts w:eastAsia="Calibri" w:cs="Times New Roman"/>
          <w:szCs w:val="22"/>
        </w:rPr>
        <w:tab/>
        <w:t>)</w:t>
      </w:r>
      <w:r w:rsidRPr="00873B33">
        <w:rPr>
          <w:rFonts w:eastAsia="Calibri" w:cs="Times New Roman"/>
          <w:szCs w:val="22"/>
        </w:rPr>
        <w:tab/>
        <w:t>Case No. 12-429-EL-WVR</w:t>
      </w:r>
    </w:p>
    <w:p w14:paraId="4D2AFD4B" w14:textId="77777777" w:rsidR="003D746C" w:rsidRDefault="003D746C" w:rsidP="003D746C">
      <w:pPr>
        <w:tabs>
          <w:tab w:val="left" w:pos="4590"/>
          <w:tab w:val="left" w:pos="5220"/>
        </w:tabs>
        <w:spacing w:line="240" w:lineRule="auto"/>
        <w:rPr>
          <w:rFonts w:eastAsia="Calibri" w:cs="Times New Roman"/>
          <w:szCs w:val="22"/>
        </w:rPr>
      </w:pPr>
      <w:r w:rsidRPr="00873B33">
        <w:rPr>
          <w:rFonts w:eastAsia="Calibri" w:cs="Times New Roman"/>
          <w:szCs w:val="22"/>
        </w:rPr>
        <w:t>for Waiver of Certain Commission Rules.</w:t>
      </w:r>
      <w:r>
        <w:rPr>
          <w:rFonts w:eastAsia="Calibri" w:cs="Times New Roman"/>
          <w:szCs w:val="22"/>
        </w:rPr>
        <w:tab/>
      </w:r>
      <w:r w:rsidRPr="00873B33">
        <w:rPr>
          <w:rFonts w:eastAsia="Calibri" w:cs="Times New Roman"/>
          <w:szCs w:val="22"/>
        </w:rPr>
        <w:t>)</w:t>
      </w:r>
    </w:p>
    <w:p w14:paraId="0543FC31" w14:textId="77777777" w:rsidR="003D746C" w:rsidRPr="00873B33" w:rsidRDefault="003D746C" w:rsidP="003D746C">
      <w:pPr>
        <w:tabs>
          <w:tab w:val="left" w:pos="4590"/>
          <w:tab w:val="left" w:pos="5220"/>
        </w:tabs>
        <w:spacing w:line="240" w:lineRule="auto"/>
        <w:rPr>
          <w:rFonts w:eastAsia="Calibri" w:cs="Times New Roman"/>
          <w:szCs w:val="22"/>
        </w:rPr>
      </w:pPr>
    </w:p>
    <w:p w14:paraId="1C2EA464" w14:textId="77777777" w:rsidR="003D746C" w:rsidRPr="00873B33" w:rsidRDefault="003D746C" w:rsidP="003D746C">
      <w:pPr>
        <w:tabs>
          <w:tab w:val="left" w:pos="4590"/>
          <w:tab w:val="left" w:pos="5220"/>
        </w:tabs>
        <w:spacing w:line="240" w:lineRule="auto"/>
        <w:rPr>
          <w:rFonts w:eastAsia="Calibri" w:cs="Times New Roman"/>
          <w:szCs w:val="22"/>
        </w:rPr>
      </w:pPr>
      <w:r w:rsidRPr="00873B33">
        <w:rPr>
          <w:rFonts w:eastAsia="Calibri" w:cs="Times New Roman"/>
          <w:szCs w:val="22"/>
        </w:rPr>
        <w:t>In the Matter of the Application of</w:t>
      </w:r>
      <w:r w:rsidRPr="00873B33">
        <w:rPr>
          <w:rFonts w:eastAsia="Calibri" w:cs="Times New Roman"/>
          <w:szCs w:val="22"/>
        </w:rPr>
        <w:tab/>
        <w:t>)</w:t>
      </w:r>
    </w:p>
    <w:p w14:paraId="446559D5" w14:textId="77777777" w:rsidR="003D746C" w:rsidRPr="00873B33" w:rsidRDefault="003D746C" w:rsidP="003D746C">
      <w:pPr>
        <w:tabs>
          <w:tab w:val="left" w:pos="4590"/>
          <w:tab w:val="left" w:pos="5220"/>
        </w:tabs>
        <w:spacing w:line="240" w:lineRule="auto"/>
        <w:rPr>
          <w:rFonts w:eastAsia="Calibri" w:cs="Times New Roman"/>
          <w:szCs w:val="22"/>
        </w:rPr>
      </w:pPr>
      <w:r w:rsidRPr="00873B33">
        <w:rPr>
          <w:rFonts w:eastAsia="Calibri" w:cs="Times New Roman"/>
          <w:szCs w:val="22"/>
        </w:rPr>
        <w:t>The Dayton Power and Light Company</w:t>
      </w:r>
      <w:r w:rsidRPr="00873B33">
        <w:rPr>
          <w:rFonts w:eastAsia="Calibri" w:cs="Times New Roman"/>
          <w:szCs w:val="22"/>
        </w:rPr>
        <w:tab/>
        <w:t>)</w:t>
      </w:r>
      <w:r w:rsidRPr="00873B33">
        <w:rPr>
          <w:rFonts w:eastAsia="Calibri" w:cs="Times New Roman"/>
          <w:szCs w:val="22"/>
        </w:rPr>
        <w:tab/>
        <w:t>Case No. 12-672-EL-RDR</w:t>
      </w:r>
    </w:p>
    <w:p w14:paraId="7F34217C" w14:textId="77777777" w:rsidR="003D746C" w:rsidRPr="00873B33" w:rsidRDefault="003D746C" w:rsidP="003D746C">
      <w:pPr>
        <w:tabs>
          <w:tab w:val="left" w:pos="4590"/>
          <w:tab w:val="left" w:pos="5220"/>
        </w:tabs>
        <w:spacing w:line="240" w:lineRule="auto"/>
        <w:rPr>
          <w:rFonts w:eastAsia="Calibri" w:cs="Times New Roman"/>
          <w:szCs w:val="22"/>
        </w:rPr>
      </w:pPr>
      <w:r w:rsidRPr="00873B33">
        <w:rPr>
          <w:rFonts w:eastAsia="Calibri" w:cs="Times New Roman"/>
          <w:szCs w:val="22"/>
        </w:rPr>
        <w:t>to Establish Tariff Riders.</w:t>
      </w:r>
      <w:r w:rsidRPr="00873B33">
        <w:rPr>
          <w:rFonts w:eastAsia="Calibri" w:cs="Times New Roman"/>
          <w:szCs w:val="22"/>
        </w:rPr>
        <w:tab/>
        <w:t>)</w:t>
      </w:r>
    </w:p>
    <w:p w14:paraId="11CC487A" w14:textId="77777777" w:rsidR="003A3370" w:rsidRDefault="003A3370" w:rsidP="003A3370">
      <w:pPr>
        <w:spacing w:line="240" w:lineRule="auto"/>
      </w:pPr>
    </w:p>
    <w:p w14:paraId="7E33917C" w14:textId="77777777" w:rsidR="001B2A39" w:rsidRPr="001A24CA" w:rsidRDefault="001B2A39" w:rsidP="003A3370">
      <w:pPr>
        <w:spacing w:line="240" w:lineRule="auto"/>
      </w:pPr>
    </w:p>
    <w:p w14:paraId="650518EE" w14:textId="77777777" w:rsidR="003A3370" w:rsidRDefault="003A3370" w:rsidP="003A3370">
      <w:pPr>
        <w:pBdr>
          <w:top w:val="single" w:sz="12" w:space="1" w:color="auto"/>
        </w:pBdr>
        <w:spacing w:line="240" w:lineRule="auto"/>
        <w:rPr>
          <w:b/>
          <w:caps/>
          <w:sz w:val="16"/>
          <w:szCs w:val="16"/>
        </w:rPr>
      </w:pPr>
    </w:p>
    <w:p w14:paraId="0F9A4D89" w14:textId="77777777" w:rsidR="003A3370" w:rsidRPr="00770E7F" w:rsidRDefault="003A3370" w:rsidP="003A3370">
      <w:pPr>
        <w:spacing w:line="240" w:lineRule="auto"/>
        <w:jc w:val="center"/>
        <w:rPr>
          <w:rFonts w:ascii="Arial Bold" w:hAnsi="Arial Bold"/>
          <w:b/>
          <w:smallCaps/>
          <w:sz w:val="28"/>
        </w:rPr>
      </w:pPr>
      <w:r w:rsidRPr="00770E7F">
        <w:rPr>
          <w:rFonts w:ascii="Arial Bold" w:hAnsi="Arial Bold"/>
          <w:b/>
          <w:smallCaps/>
          <w:sz w:val="28"/>
        </w:rPr>
        <w:t>Joint Motion of Industrial Energy Users-Ohio</w:t>
      </w:r>
    </w:p>
    <w:p w14:paraId="2D9D49E7" w14:textId="77777777" w:rsidR="003A3370" w:rsidRPr="00770E7F" w:rsidRDefault="003A3370" w:rsidP="003A3370">
      <w:pPr>
        <w:spacing w:line="240" w:lineRule="auto"/>
        <w:jc w:val="center"/>
        <w:rPr>
          <w:rFonts w:ascii="Arial Bold" w:hAnsi="Arial Bold"/>
          <w:b/>
          <w:smallCaps/>
          <w:sz w:val="28"/>
        </w:rPr>
      </w:pPr>
      <w:r w:rsidRPr="00770E7F">
        <w:rPr>
          <w:rFonts w:ascii="Arial Bold" w:hAnsi="Arial Bold"/>
          <w:b/>
          <w:smallCaps/>
          <w:sz w:val="28"/>
        </w:rPr>
        <w:t>and the Office of the Ohio Consumers’ Counsel</w:t>
      </w:r>
    </w:p>
    <w:p w14:paraId="0628E130" w14:textId="77777777" w:rsidR="003A3370" w:rsidRPr="00770E7F" w:rsidRDefault="003A3370" w:rsidP="003A3370">
      <w:pPr>
        <w:spacing w:line="240" w:lineRule="auto"/>
        <w:jc w:val="center"/>
        <w:rPr>
          <w:rFonts w:ascii="Arial Bold" w:hAnsi="Arial Bold"/>
          <w:b/>
          <w:smallCaps/>
          <w:sz w:val="28"/>
        </w:rPr>
      </w:pPr>
      <w:r w:rsidRPr="00770E7F">
        <w:rPr>
          <w:rFonts w:ascii="Arial Bold" w:hAnsi="Arial Bold"/>
          <w:b/>
          <w:smallCaps/>
          <w:sz w:val="28"/>
        </w:rPr>
        <w:t>for an Order Requiring that the Service Stability Rider</w:t>
      </w:r>
    </w:p>
    <w:p w14:paraId="4824036E" w14:textId="036C7032" w:rsidR="003A3370" w:rsidRPr="00770E7F" w:rsidRDefault="003A3370" w:rsidP="003A3370">
      <w:pPr>
        <w:spacing w:line="240" w:lineRule="auto"/>
        <w:jc w:val="center"/>
        <w:rPr>
          <w:rFonts w:ascii="Arial Bold" w:hAnsi="Arial Bold"/>
          <w:b/>
          <w:smallCaps/>
          <w:sz w:val="28"/>
        </w:rPr>
      </w:pPr>
      <w:r w:rsidRPr="00770E7F">
        <w:rPr>
          <w:rFonts w:ascii="Arial Bold" w:hAnsi="Arial Bold"/>
          <w:b/>
          <w:smallCaps/>
          <w:sz w:val="28"/>
        </w:rPr>
        <w:t>be Collected Subject to Refund</w:t>
      </w:r>
      <w:r w:rsidR="00ED1AAB">
        <w:rPr>
          <w:rFonts w:ascii="Arial Bold" w:hAnsi="Arial Bold"/>
          <w:b/>
          <w:smallCaps/>
          <w:sz w:val="28"/>
        </w:rPr>
        <w:t xml:space="preserve"> and Request for Expedited Ruling</w:t>
      </w:r>
    </w:p>
    <w:p w14:paraId="28A470C6" w14:textId="77777777" w:rsidR="003A3370" w:rsidRPr="00FF7CE3" w:rsidRDefault="003A3370" w:rsidP="003A3370">
      <w:pPr>
        <w:pBdr>
          <w:bottom w:val="single" w:sz="12" w:space="1" w:color="auto"/>
        </w:pBdr>
        <w:spacing w:line="240" w:lineRule="auto"/>
        <w:rPr>
          <w:b/>
          <w:caps/>
          <w:sz w:val="16"/>
          <w:szCs w:val="16"/>
        </w:rPr>
      </w:pPr>
    </w:p>
    <w:p w14:paraId="47871F4A" w14:textId="77777777" w:rsidR="003A3370" w:rsidRDefault="003A3370" w:rsidP="003A3370">
      <w:pPr>
        <w:spacing w:line="240" w:lineRule="auto"/>
      </w:pPr>
    </w:p>
    <w:p w14:paraId="1B6149F8" w14:textId="77777777" w:rsidR="001B2A39" w:rsidRDefault="001B2A39" w:rsidP="003A3370">
      <w:pPr>
        <w:spacing w:line="240" w:lineRule="auto"/>
      </w:pPr>
    </w:p>
    <w:p w14:paraId="0E9A0B06" w14:textId="10A48F5C" w:rsidR="00812D1E" w:rsidRDefault="0069420B" w:rsidP="005E53B1">
      <w:pPr>
        <w:ind w:firstLine="720"/>
      </w:pPr>
      <w:r>
        <w:rPr>
          <w:rFonts w:cs="Times New Roman"/>
        </w:rPr>
        <w:t xml:space="preserve">In its orders in this case, the Public Utilities Commission of Ohio (“Commission”) authorized </w:t>
      </w:r>
      <w:r w:rsidRPr="00F356E6">
        <w:rPr>
          <w:rFonts w:cs="Times New Roman"/>
        </w:rPr>
        <w:t xml:space="preserve">The Dayton Power and Light Company (“DP&amp;L”) </w:t>
      </w:r>
      <w:r>
        <w:rPr>
          <w:rFonts w:cs="Times New Roman"/>
        </w:rPr>
        <w:t xml:space="preserve">to collect $110 million annually through a nonbypassable charge, </w:t>
      </w:r>
      <w:r w:rsidRPr="00F356E6">
        <w:rPr>
          <w:rFonts w:cs="Times New Roman"/>
        </w:rPr>
        <w:t>the Service Stability Rider (“SSR”)</w:t>
      </w:r>
      <w:r>
        <w:rPr>
          <w:rFonts w:cs="Times New Roman"/>
        </w:rPr>
        <w:t>, to replace revenue DP&amp;L claimed it lost to competition and low wholesale energy and capacity prices.  Th</w:t>
      </w:r>
      <w:r w:rsidR="00E32811">
        <w:rPr>
          <w:rFonts w:cs="Times New Roman"/>
        </w:rPr>
        <w:t>e</w:t>
      </w:r>
      <w:r>
        <w:rPr>
          <w:rFonts w:cs="Times New Roman"/>
        </w:rPr>
        <w:t xml:space="preserve"> </w:t>
      </w:r>
      <w:r w:rsidR="00881253">
        <w:rPr>
          <w:rFonts w:cs="Times New Roman"/>
        </w:rPr>
        <w:t xml:space="preserve">Ohio Supreme </w:t>
      </w:r>
      <w:r>
        <w:rPr>
          <w:rFonts w:cs="Times New Roman"/>
        </w:rPr>
        <w:t xml:space="preserve">Court </w:t>
      </w:r>
      <w:r w:rsidR="006B45F1">
        <w:rPr>
          <w:rFonts w:cs="Times New Roman"/>
        </w:rPr>
        <w:t xml:space="preserve">(“Court”) </w:t>
      </w:r>
      <w:r>
        <w:rPr>
          <w:rFonts w:cs="Times New Roman"/>
        </w:rPr>
        <w:t xml:space="preserve">recently concluded that the Commission had </w:t>
      </w:r>
      <w:r>
        <w:rPr>
          <w:rFonts w:cs="Times New Roman"/>
        </w:rPr>
        <w:lastRenderedPageBreak/>
        <w:t>no authority to authorize such charges.</w:t>
      </w:r>
      <w:r>
        <w:rPr>
          <w:rStyle w:val="FootnoteReference"/>
          <w:rFonts w:cs="Times New Roman"/>
        </w:rPr>
        <w:footnoteReference w:id="1"/>
      </w:r>
      <w:r>
        <w:rPr>
          <w:rFonts w:cs="Times New Roman"/>
        </w:rPr>
        <w:t xml:space="preserve">  To prevent the further unlawful collection of </w:t>
      </w:r>
      <w:r w:rsidR="00812D1E">
        <w:rPr>
          <w:rFonts w:cs="Times New Roman"/>
        </w:rPr>
        <w:t>the SSR</w:t>
      </w:r>
      <w:r>
        <w:rPr>
          <w:rFonts w:cs="Times New Roman"/>
        </w:rPr>
        <w:t xml:space="preserve"> and</w:t>
      </w:r>
      <w:r w:rsidRPr="00F356E6">
        <w:rPr>
          <w:rFonts w:cs="Times New Roman"/>
        </w:rPr>
        <w:t xml:space="preserve"> to protect the 600,000 customers of </w:t>
      </w:r>
      <w:r>
        <w:rPr>
          <w:rFonts w:cs="Times New Roman"/>
        </w:rPr>
        <w:t xml:space="preserve">DP&amp;L, </w:t>
      </w:r>
      <w:r w:rsidRPr="00F356E6">
        <w:rPr>
          <w:rFonts w:cs="Times New Roman"/>
        </w:rPr>
        <w:t>Ind</w:t>
      </w:r>
      <w:r w:rsidR="001F6FC0">
        <w:rPr>
          <w:rFonts w:cs="Times New Roman"/>
        </w:rPr>
        <w:t>ustrial Energy Users-Ohio (“IEU</w:t>
      </w:r>
      <w:r w:rsidR="001F6FC0">
        <w:rPr>
          <w:rFonts w:cs="Times New Roman"/>
        </w:rPr>
        <w:noBreakHyphen/>
      </w:r>
      <w:r w:rsidRPr="00F356E6">
        <w:rPr>
          <w:rFonts w:cs="Times New Roman"/>
        </w:rPr>
        <w:t>Ohio”) and the Office of the Ohio Consumers’ Counsel (“OCC”) (collectively, “</w:t>
      </w:r>
      <w:r w:rsidR="003E0667">
        <w:rPr>
          <w:rFonts w:cs="Times New Roman"/>
        </w:rPr>
        <w:t>Consumer Advocates</w:t>
      </w:r>
      <w:r w:rsidRPr="00F356E6">
        <w:rPr>
          <w:rFonts w:cs="Times New Roman"/>
        </w:rPr>
        <w:t xml:space="preserve">”) move the </w:t>
      </w:r>
      <w:r w:rsidR="00812D1E">
        <w:rPr>
          <w:rFonts w:cs="Times New Roman"/>
        </w:rPr>
        <w:t xml:space="preserve">Commission </w:t>
      </w:r>
      <w:r w:rsidRPr="00F356E6">
        <w:rPr>
          <w:rFonts w:cs="Times New Roman"/>
        </w:rPr>
        <w:t xml:space="preserve">pursuant to </w:t>
      </w:r>
      <w:r w:rsidR="00812D1E">
        <w:t>Rule 4901-1-</w:t>
      </w:r>
      <w:r w:rsidR="00072466">
        <w:t>12</w:t>
      </w:r>
      <w:r w:rsidR="00812D1E">
        <w:t>, Ohio Administrative Code (“O.A.C.”),</w:t>
      </w:r>
      <w:r w:rsidRPr="00F356E6">
        <w:rPr>
          <w:rFonts w:cs="Times New Roman"/>
        </w:rPr>
        <w:t xml:space="preserve"> </w:t>
      </w:r>
      <w:r w:rsidR="005E53B1">
        <w:t xml:space="preserve">to issue an order prospectively modifying its authorization of the </w:t>
      </w:r>
      <w:r w:rsidR="00812D1E">
        <w:t xml:space="preserve">SSR </w:t>
      </w:r>
      <w:r w:rsidR="005E53B1">
        <w:t>such that all prospectively collected revenue under the rider is subject to refund.</w:t>
      </w:r>
      <w:r w:rsidR="00B97A15">
        <w:t xml:space="preserve">  </w:t>
      </w:r>
      <w:r w:rsidR="0045224F">
        <w:t xml:space="preserve">Consumer Advocates </w:t>
      </w:r>
      <w:r w:rsidR="00D95DB8">
        <w:t>further request that the Commission grant this Motion on an expedited basis.</w:t>
      </w:r>
      <w:r w:rsidR="003E0667">
        <w:rPr>
          <w:rStyle w:val="FootnoteReference"/>
        </w:rPr>
        <w:footnoteReference w:id="2"/>
      </w:r>
    </w:p>
    <w:p w14:paraId="46A59835" w14:textId="77777777" w:rsidR="005E53B1" w:rsidRDefault="00715459" w:rsidP="005E53B1">
      <w:pPr>
        <w:ind w:firstLine="720"/>
      </w:pPr>
      <w:r>
        <w:t>The reasons supporting this Motion are set out in the accompanying Memorandum in Support.</w:t>
      </w:r>
    </w:p>
    <w:p w14:paraId="5D645767" w14:textId="77777777" w:rsidR="00615F60" w:rsidRDefault="00615F60" w:rsidP="001B2A39">
      <w:pPr>
        <w:tabs>
          <w:tab w:val="right" w:pos="8640"/>
        </w:tabs>
        <w:spacing w:line="240" w:lineRule="auto"/>
        <w:jc w:val="center"/>
      </w:pPr>
      <w:r>
        <w:t>Respectfully submitted,</w:t>
      </w:r>
    </w:p>
    <w:p w14:paraId="6D79EA06" w14:textId="77777777" w:rsidR="00615F60" w:rsidRPr="006F36FF" w:rsidRDefault="00615F60" w:rsidP="001B2A39">
      <w:pPr>
        <w:tabs>
          <w:tab w:val="right" w:pos="8640"/>
        </w:tabs>
        <w:spacing w:line="240" w:lineRule="auto"/>
      </w:pPr>
    </w:p>
    <w:p w14:paraId="4458776C" w14:textId="77777777" w:rsidR="001B2A39" w:rsidRDefault="001B2A39" w:rsidP="001B2A39">
      <w:pPr>
        <w:tabs>
          <w:tab w:val="left" w:pos="3960"/>
          <w:tab w:val="right" w:pos="8640"/>
        </w:tabs>
        <w:spacing w:line="240" w:lineRule="auto"/>
        <w:rPr>
          <w:i/>
          <w:u w:val="single"/>
        </w:rPr>
        <w:sectPr w:rsidR="001B2A39" w:rsidSect="00264572">
          <w:headerReference w:type="default" r:id="rId22"/>
          <w:footerReference w:type="default" r:id="rId23"/>
          <w:headerReference w:type="first" r:id="rId24"/>
          <w:footerReference w:type="first" r:id="rId25"/>
          <w:pgSz w:w="12240" w:h="15840" w:code="1"/>
          <w:pgMar w:top="1440" w:right="1440" w:bottom="1440" w:left="1440" w:header="720" w:footer="720" w:gutter="0"/>
          <w:pgNumType w:start="1"/>
          <w:cols w:space="720"/>
          <w:titlePg/>
          <w:docGrid w:linePitch="360"/>
        </w:sectPr>
      </w:pPr>
    </w:p>
    <w:p w14:paraId="42B7E5FC" w14:textId="77777777" w:rsidR="008664EA" w:rsidRPr="00264572" w:rsidRDefault="008664EA" w:rsidP="008664EA">
      <w:pPr>
        <w:tabs>
          <w:tab w:val="left" w:pos="3960"/>
          <w:tab w:val="right" w:pos="8640"/>
        </w:tabs>
        <w:spacing w:line="240" w:lineRule="auto"/>
        <w:jc w:val="left"/>
        <w:rPr>
          <w:i/>
          <w:u w:val="single"/>
        </w:rPr>
      </w:pPr>
    </w:p>
    <w:p w14:paraId="23FECDA3" w14:textId="77777777" w:rsidR="008664EA" w:rsidRPr="00264572" w:rsidRDefault="008664EA" w:rsidP="008664EA">
      <w:pPr>
        <w:tabs>
          <w:tab w:val="left" w:pos="3960"/>
          <w:tab w:val="right" w:pos="8640"/>
        </w:tabs>
        <w:spacing w:line="240" w:lineRule="auto"/>
        <w:jc w:val="left"/>
        <w:rPr>
          <w:i/>
          <w:u w:val="single"/>
        </w:rPr>
      </w:pPr>
    </w:p>
    <w:p w14:paraId="5F1B6F0A" w14:textId="77777777" w:rsidR="008664EA" w:rsidRPr="00264572" w:rsidRDefault="008664EA" w:rsidP="008664EA">
      <w:pPr>
        <w:tabs>
          <w:tab w:val="left" w:pos="3960"/>
          <w:tab w:val="right" w:pos="8640"/>
        </w:tabs>
        <w:spacing w:line="240" w:lineRule="auto"/>
        <w:jc w:val="left"/>
        <w:rPr>
          <w:i/>
          <w:u w:val="single"/>
        </w:rPr>
      </w:pPr>
    </w:p>
    <w:p w14:paraId="7913DFB0" w14:textId="4B16CA37" w:rsidR="00615F60" w:rsidRPr="00264572" w:rsidRDefault="00615F60" w:rsidP="008664EA">
      <w:pPr>
        <w:tabs>
          <w:tab w:val="left" w:pos="3960"/>
          <w:tab w:val="right" w:pos="8640"/>
        </w:tabs>
        <w:spacing w:line="240" w:lineRule="auto"/>
        <w:jc w:val="left"/>
        <w:rPr>
          <w:i/>
          <w:u w:val="single"/>
        </w:rPr>
      </w:pPr>
      <w:r w:rsidRPr="00264572">
        <w:rPr>
          <w:i/>
          <w:u w:val="single"/>
        </w:rPr>
        <w:t>/s/ Matthew R. Pritchard</w:t>
      </w:r>
      <w:r w:rsidRPr="00264572">
        <w:rPr>
          <w:i/>
          <w:u w:val="single"/>
        </w:rPr>
        <w:tab/>
      </w:r>
    </w:p>
    <w:p w14:paraId="0A79585B" w14:textId="4921159B" w:rsidR="00615F60" w:rsidRPr="00264572" w:rsidRDefault="00615F60" w:rsidP="008664EA">
      <w:pPr>
        <w:pStyle w:val="BodyText3"/>
        <w:widowControl w:val="0"/>
        <w:spacing w:after="0" w:line="240" w:lineRule="auto"/>
        <w:jc w:val="left"/>
        <w:rPr>
          <w:bCs/>
          <w:sz w:val="24"/>
          <w:szCs w:val="24"/>
        </w:rPr>
      </w:pPr>
      <w:r w:rsidRPr="00264572">
        <w:rPr>
          <w:bCs/>
          <w:sz w:val="24"/>
          <w:szCs w:val="24"/>
        </w:rPr>
        <w:t xml:space="preserve">Frank P. Darr (Reg. </w:t>
      </w:r>
      <w:r w:rsidR="008664EA" w:rsidRPr="00264572">
        <w:rPr>
          <w:bCs/>
          <w:sz w:val="24"/>
          <w:szCs w:val="24"/>
        </w:rPr>
        <w:t xml:space="preserve"># </w:t>
      </w:r>
      <w:r w:rsidRPr="00264572">
        <w:rPr>
          <w:bCs/>
          <w:sz w:val="24"/>
          <w:szCs w:val="24"/>
        </w:rPr>
        <w:t>0025469)</w:t>
      </w:r>
    </w:p>
    <w:p w14:paraId="6C3F4072" w14:textId="77777777" w:rsidR="00615F60" w:rsidRPr="00264572" w:rsidRDefault="00615F60" w:rsidP="008664EA">
      <w:pPr>
        <w:tabs>
          <w:tab w:val="right" w:pos="8640"/>
        </w:tabs>
        <w:spacing w:line="240" w:lineRule="auto"/>
        <w:jc w:val="left"/>
      </w:pPr>
      <w:r w:rsidRPr="00264572">
        <w:t>(Counsel of Record)</w:t>
      </w:r>
    </w:p>
    <w:p w14:paraId="519847C1" w14:textId="026001FD" w:rsidR="00615F60" w:rsidRPr="00264572" w:rsidRDefault="00615F60" w:rsidP="008664EA">
      <w:pPr>
        <w:pStyle w:val="BodyText3"/>
        <w:widowControl w:val="0"/>
        <w:spacing w:after="0" w:line="240" w:lineRule="auto"/>
        <w:jc w:val="left"/>
        <w:rPr>
          <w:b/>
          <w:bCs/>
          <w:sz w:val="24"/>
          <w:szCs w:val="24"/>
        </w:rPr>
      </w:pPr>
      <w:r w:rsidRPr="00264572">
        <w:rPr>
          <w:bCs/>
          <w:sz w:val="24"/>
          <w:szCs w:val="24"/>
        </w:rPr>
        <w:t xml:space="preserve">Matthew R. Pritchard (Reg. </w:t>
      </w:r>
      <w:r w:rsidR="008664EA" w:rsidRPr="00264572">
        <w:rPr>
          <w:bCs/>
          <w:sz w:val="24"/>
          <w:szCs w:val="24"/>
        </w:rPr>
        <w:t xml:space="preserve"># </w:t>
      </w:r>
      <w:r w:rsidRPr="00264572">
        <w:rPr>
          <w:bCs/>
          <w:sz w:val="24"/>
          <w:szCs w:val="24"/>
        </w:rPr>
        <w:t>0088070)</w:t>
      </w:r>
    </w:p>
    <w:p w14:paraId="5A059825" w14:textId="77777777" w:rsidR="00615F60" w:rsidRPr="00264572" w:rsidRDefault="00615F60" w:rsidP="008664EA">
      <w:pPr>
        <w:pStyle w:val="BodyText3"/>
        <w:widowControl w:val="0"/>
        <w:spacing w:after="0" w:line="240" w:lineRule="auto"/>
        <w:jc w:val="left"/>
        <w:rPr>
          <w:b/>
          <w:bCs/>
          <w:smallCaps/>
          <w:sz w:val="24"/>
          <w:szCs w:val="24"/>
        </w:rPr>
      </w:pPr>
      <w:r w:rsidRPr="00264572">
        <w:rPr>
          <w:bCs/>
          <w:smallCaps/>
          <w:sz w:val="24"/>
          <w:szCs w:val="24"/>
        </w:rPr>
        <w:t>McNees Wallace &amp; Nurick LLC</w:t>
      </w:r>
    </w:p>
    <w:p w14:paraId="23AAA5E6" w14:textId="77777777" w:rsidR="00615F60" w:rsidRPr="00264572" w:rsidRDefault="00615F60" w:rsidP="008664EA">
      <w:pPr>
        <w:pStyle w:val="BodyText3"/>
        <w:widowControl w:val="0"/>
        <w:spacing w:after="0" w:line="240" w:lineRule="auto"/>
        <w:jc w:val="left"/>
        <w:rPr>
          <w:b/>
          <w:bCs/>
          <w:sz w:val="24"/>
          <w:szCs w:val="24"/>
        </w:rPr>
      </w:pPr>
      <w:r w:rsidRPr="00264572">
        <w:rPr>
          <w:bCs/>
          <w:sz w:val="24"/>
          <w:szCs w:val="24"/>
        </w:rPr>
        <w:t>21 East State Street, 17</w:t>
      </w:r>
      <w:r w:rsidRPr="00264572">
        <w:rPr>
          <w:bCs/>
          <w:sz w:val="24"/>
          <w:szCs w:val="24"/>
          <w:vertAlign w:val="superscript"/>
        </w:rPr>
        <w:t>TH</w:t>
      </w:r>
      <w:r w:rsidRPr="00264572">
        <w:rPr>
          <w:bCs/>
          <w:sz w:val="24"/>
          <w:szCs w:val="24"/>
        </w:rPr>
        <w:t xml:space="preserve"> Floor</w:t>
      </w:r>
    </w:p>
    <w:p w14:paraId="64AB35F4" w14:textId="77777777" w:rsidR="00615F60" w:rsidRPr="00264572" w:rsidRDefault="00615F60" w:rsidP="008664EA">
      <w:pPr>
        <w:pStyle w:val="BodyText"/>
        <w:spacing w:after="0" w:line="240" w:lineRule="auto"/>
        <w:jc w:val="left"/>
      </w:pPr>
      <w:r w:rsidRPr="00264572">
        <w:t>Columbus, OH  43215</w:t>
      </w:r>
    </w:p>
    <w:p w14:paraId="1741C3D6" w14:textId="77777777" w:rsidR="00615F60" w:rsidRPr="00264572" w:rsidRDefault="00615F60" w:rsidP="008664EA">
      <w:pPr>
        <w:pStyle w:val="BodyText"/>
        <w:spacing w:after="0" w:line="240" w:lineRule="auto"/>
        <w:jc w:val="left"/>
      </w:pPr>
      <w:r w:rsidRPr="00264572">
        <w:t>Telephone:  (614) 469-8000</w:t>
      </w:r>
    </w:p>
    <w:p w14:paraId="51029553" w14:textId="77777777" w:rsidR="00615F60" w:rsidRPr="00264572" w:rsidRDefault="00615F60" w:rsidP="008664EA">
      <w:pPr>
        <w:pStyle w:val="BodyText"/>
        <w:spacing w:after="0" w:line="240" w:lineRule="auto"/>
        <w:jc w:val="left"/>
      </w:pPr>
      <w:r w:rsidRPr="00264572">
        <w:t>Telecopier:  (614) 469-4653</w:t>
      </w:r>
    </w:p>
    <w:p w14:paraId="6B276DE9" w14:textId="77777777" w:rsidR="00615F60" w:rsidRPr="00264572" w:rsidRDefault="00615F60" w:rsidP="008664EA">
      <w:pPr>
        <w:pStyle w:val="BodyText"/>
        <w:spacing w:after="0" w:line="240" w:lineRule="auto"/>
        <w:jc w:val="left"/>
      </w:pPr>
      <w:r w:rsidRPr="00264572">
        <w:t>fdarr@mwncmh.com</w:t>
      </w:r>
    </w:p>
    <w:p w14:paraId="62B07EE6" w14:textId="77777777" w:rsidR="00615F60" w:rsidRPr="00264572" w:rsidRDefault="00615F60" w:rsidP="008664EA">
      <w:pPr>
        <w:pStyle w:val="BodyText"/>
        <w:spacing w:after="0" w:line="240" w:lineRule="auto"/>
        <w:jc w:val="left"/>
      </w:pPr>
      <w:r w:rsidRPr="00264572">
        <w:t>mpritchard@mwncmh.com</w:t>
      </w:r>
    </w:p>
    <w:p w14:paraId="2801361E" w14:textId="77777777" w:rsidR="00615F60" w:rsidRPr="00264572" w:rsidRDefault="00615F60" w:rsidP="008664EA">
      <w:pPr>
        <w:pStyle w:val="BodyText"/>
        <w:spacing w:after="0" w:line="240" w:lineRule="auto"/>
        <w:jc w:val="left"/>
      </w:pPr>
    </w:p>
    <w:p w14:paraId="781F599B" w14:textId="3EE0D7D9" w:rsidR="00DA77AB" w:rsidRPr="00264572" w:rsidRDefault="00615F60" w:rsidP="00051DAD">
      <w:pPr>
        <w:pStyle w:val="Title"/>
        <w:rPr>
          <w:sz w:val="24"/>
        </w:rPr>
      </w:pPr>
      <w:r w:rsidRPr="00264572">
        <w:rPr>
          <w:sz w:val="24"/>
        </w:rPr>
        <w:t>Attorneys for Industrial Energy Users-Ohio</w:t>
      </w:r>
      <w:r w:rsidR="008664EA" w:rsidRPr="00264572">
        <w:rPr>
          <w:sz w:val="24"/>
        </w:rPr>
        <w:br w:type="column"/>
      </w:r>
      <w:r w:rsidR="00DA77AB" w:rsidRPr="00264572">
        <w:rPr>
          <w:sz w:val="24"/>
        </w:rPr>
        <w:t>BRUCE J. WESTON (Reg.</w:t>
      </w:r>
      <w:r w:rsidR="008664EA" w:rsidRPr="00264572">
        <w:rPr>
          <w:sz w:val="24"/>
        </w:rPr>
        <w:t xml:space="preserve"> # </w:t>
      </w:r>
      <w:r w:rsidR="00DA77AB" w:rsidRPr="00264572">
        <w:rPr>
          <w:sz w:val="24"/>
        </w:rPr>
        <w:t>0016973)</w:t>
      </w:r>
    </w:p>
    <w:p w14:paraId="65BD762F" w14:textId="77777777" w:rsidR="00DA77AB" w:rsidRPr="00264572" w:rsidRDefault="00DA77AB" w:rsidP="008664EA">
      <w:pPr>
        <w:autoSpaceDE w:val="0"/>
        <w:autoSpaceDN w:val="0"/>
        <w:adjustRightInd w:val="0"/>
        <w:spacing w:line="240" w:lineRule="auto"/>
        <w:jc w:val="left"/>
        <w:rPr>
          <w:rFonts w:cs="Times New Roman"/>
        </w:rPr>
      </w:pPr>
      <w:r w:rsidRPr="00264572">
        <w:rPr>
          <w:rFonts w:cs="Times New Roman"/>
        </w:rPr>
        <w:t>OHIO CONSUMERS' COUNSEL</w:t>
      </w:r>
    </w:p>
    <w:p w14:paraId="306BD20D" w14:textId="77777777" w:rsidR="00DA77AB" w:rsidRPr="00264572" w:rsidRDefault="00DA77AB" w:rsidP="008664EA">
      <w:pPr>
        <w:autoSpaceDE w:val="0"/>
        <w:autoSpaceDN w:val="0"/>
        <w:adjustRightInd w:val="0"/>
        <w:spacing w:line="240" w:lineRule="auto"/>
        <w:jc w:val="left"/>
        <w:rPr>
          <w:rFonts w:cs="Times New Roman"/>
        </w:rPr>
      </w:pPr>
    </w:p>
    <w:p w14:paraId="3366028F" w14:textId="77777777" w:rsidR="00DA77AB" w:rsidRPr="00264572" w:rsidRDefault="00DA77AB" w:rsidP="008664EA">
      <w:pPr>
        <w:tabs>
          <w:tab w:val="right" w:pos="8640"/>
        </w:tabs>
        <w:autoSpaceDE w:val="0"/>
        <w:autoSpaceDN w:val="0"/>
        <w:adjustRightInd w:val="0"/>
        <w:spacing w:line="240" w:lineRule="auto"/>
        <w:jc w:val="left"/>
        <w:rPr>
          <w:rFonts w:cs="Times New Roman"/>
        </w:rPr>
      </w:pPr>
      <w:r w:rsidRPr="00264572">
        <w:rPr>
          <w:rFonts w:eastAsia="Times New Roman" w:cs="Times New Roman"/>
          <w:bCs/>
          <w:i/>
          <w:color w:val="000000"/>
          <w:u w:val="single"/>
        </w:rPr>
        <w:t>/s/ Maureen R. Willis</w:t>
      </w:r>
      <w:r w:rsidRPr="00264572">
        <w:rPr>
          <w:rFonts w:eastAsia="Times New Roman" w:cs="Times New Roman"/>
          <w:bCs/>
          <w:i/>
          <w:color w:val="000000"/>
          <w:u w:val="single"/>
        </w:rPr>
        <w:tab/>
      </w:r>
    </w:p>
    <w:p w14:paraId="6B7CE683" w14:textId="79FFA2F4" w:rsidR="00DA77AB" w:rsidRPr="00264572" w:rsidRDefault="00DA77AB" w:rsidP="008664EA">
      <w:pPr>
        <w:autoSpaceDE w:val="0"/>
        <w:autoSpaceDN w:val="0"/>
        <w:adjustRightInd w:val="0"/>
        <w:spacing w:line="240" w:lineRule="auto"/>
        <w:jc w:val="left"/>
        <w:rPr>
          <w:rFonts w:cs="Times New Roman"/>
        </w:rPr>
      </w:pPr>
      <w:r w:rsidRPr="00264572">
        <w:rPr>
          <w:rFonts w:cs="Times New Roman"/>
        </w:rPr>
        <w:t xml:space="preserve">Maureen R. Willis (Reg. </w:t>
      </w:r>
      <w:r w:rsidR="008664EA" w:rsidRPr="00264572">
        <w:rPr>
          <w:rFonts w:cs="Times New Roman"/>
        </w:rPr>
        <w:t xml:space="preserve"># </w:t>
      </w:r>
      <w:r w:rsidRPr="00264572">
        <w:rPr>
          <w:rFonts w:cs="Times New Roman"/>
        </w:rPr>
        <w:t>0020847)</w:t>
      </w:r>
    </w:p>
    <w:p w14:paraId="31A42321" w14:textId="77777777" w:rsidR="00DA77AB" w:rsidRPr="00264572" w:rsidRDefault="00DA77AB" w:rsidP="008664EA">
      <w:pPr>
        <w:autoSpaceDE w:val="0"/>
        <w:autoSpaceDN w:val="0"/>
        <w:adjustRightInd w:val="0"/>
        <w:spacing w:line="240" w:lineRule="auto"/>
        <w:jc w:val="left"/>
        <w:rPr>
          <w:rFonts w:cs="Times New Roman"/>
        </w:rPr>
      </w:pPr>
      <w:r w:rsidRPr="00264572">
        <w:rPr>
          <w:rFonts w:cs="Times New Roman"/>
        </w:rPr>
        <w:t xml:space="preserve"> (Counsel of Record)</w:t>
      </w:r>
    </w:p>
    <w:p w14:paraId="00E4866E" w14:textId="77777777" w:rsidR="00DA77AB" w:rsidRPr="00264572" w:rsidRDefault="00DA77AB" w:rsidP="008664EA">
      <w:pPr>
        <w:autoSpaceDE w:val="0"/>
        <w:autoSpaceDN w:val="0"/>
        <w:adjustRightInd w:val="0"/>
        <w:spacing w:line="240" w:lineRule="auto"/>
        <w:jc w:val="left"/>
        <w:rPr>
          <w:rFonts w:cs="Times New Roman"/>
        </w:rPr>
      </w:pPr>
      <w:r w:rsidRPr="00264572">
        <w:rPr>
          <w:rFonts w:cs="Times New Roman"/>
        </w:rPr>
        <w:t>Terry L. Etter (Reg. No. 0067445)</w:t>
      </w:r>
    </w:p>
    <w:p w14:paraId="5A05CA7B" w14:textId="77777777" w:rsidR="00DA77AB" w:rsidRPr="00264572" w:rsidRDefault="00DA77AB" w:rsidP="008664EA">
      <w:pPr>
        <w:autoSpaceDE w:val="0"/>
        <w:autoSpaceDN w:val="0"/>
        <w:adjustRightInd w:val="0"/>
        <w:spacing w:line="240" w:lineRule="auto"/>
        <w:jc w:val="left"/>
        <w:rPr>
          <w:rFonts w:cs="Times New Roman"/>
        </w:rPr>
      </w:pPr>
      <w:r w:rsidRPr="00264572">
        <w:rPr>
          <w:rFonts w:cs="Times New Roman"/>
        </w:rPr>
        <w:t>Assistant Consumers' Counsel</w:t>
      </w:r>
    </w:p>
    <w:p w14:paraId="2B35A415" w14:textId="77777777" w:rsidR="00DA77AB" w:rsidRPr="00264572" w:rsidRDefault="00DA77AB" w:rsidP="008664EA">
      <w:pPr>
        <w:autoSpaceDE w:val="0"/>
        <w:autoSpaceDN w:val="0"/>
        <w:adjustRightInd w:val="0"/>
        <w:spacing w:line="240" w:lineRule="auto"/>
        <w:jc w:val="left"/>
        <w:rPr>
          <w:rFonts w:cs="Times New Roman"/>
        </w:rPr>
      </w:pPr>
      <w:r w:rsidRPr="00264572">
        <w:rPr>
          <w:rFonts w:cs="Times New Roman"/>
        </w:rPr>
        <w:t>Office of the Ohio Consumers' Counsel</w:t>
      </w:r>
    </w:p>
    <w:p w14:paraId="43E47EF0" w14:textId="77777777" w:rsidR="00DA77AB" w:rsidRPr="00264572" w:rsidRDefault="00DA77AB" w:rsidP="008664EA">
      <w:pPr>
        <w:autoSpaceDE w:val="0"/>
        <w:autoSpaceDN w:val="0"/>
        <w:adjustRightInd w:val="0"/>
        <w:spacing w:line="240" w:lineRule="auto"/>
        <w:jc w:val="left"/>
        <w:rPr>
          <w:rFonts w:cs="Times New Roman"/>
        </w:rPr>
      </w:pPr>
      <w:r w:rsidRPr="00264572">
        <w:rPr>
          <w:rFonts w:cs="Times New Roman"/>
        </w:rPr>
        <w:t>10 West Broad Street, Suite 1800</w:t>
      </w:r>
    </w:p>
    <w:p w14:paraId="2FE697B4" w14:textId="77777777" w:rsidR="00DA77AB" w:rsidRPr="00264572" w:rsidRDefault="00DA77AB" w:rsidP="008664EA">
      <w:pPr>
        <w:autoSpaceDE w:val="0"/>
        <w:autoSpaceDN w:val="0"/>
        <w:adjustRightInd w:val="0"/>
        <w:spacing w:line="240" w:lineRule="auto"/>
        <w:jc w:val="left"/>
        <w:rPr>
          <w:rFonts w:cs="Times New Roman"/>
        </w:rPr>
      </w:pPr>
      <w:r w:rsidRPr="00264572">
        <w:rPr>
          <w:rFonts w:cs="Times New Roman"/>
        </w:rPr>
        <w:t>Columbus, Ohio 43215-3485</w:t>
      </w:r>
    </w:p>
    <w:p w14:paraId="3C56980D" w14:textId="77777777" w:rsidR="00DA77AB" w:rsidRPr="00264572" w:rsidRDefault="00DA77AB" w:rsidP="008664EA">
      <w:pPr>
        <w:autoSpaceDE w:val="0"/>
        <w:autoSpaceDN w:val="0"/>
        <w:adjustRightInd w:val="0"/>
        <w:spacing w:line="240" w:lineRule="auto"/>
        <w:jc w:val="left"/>
        <w:rPr>
          <w:rFonts w:cs="Times New Roman"/>
        </w:rPr>
      </w:pPr>
      <w:r w:rsidRPr="00264572">
        <w:rPr>
          <w:rFonts w:cs="Times New Roman"/>
        </w:rPr>
        <w:t>Telephone:  (614) 466-9567 (Willis)</w:t>
      </w:r>
    </w:p>
    <w:p w14:paraId="61140562" w14:textId="77777777" w:rsidR="00DA77AB" w:rsidRPr="00264572" w:rsidRDefault="00DA77AB" w:rsidP="008664EA">
      <w:pPr>
        <w:autoSpaceDE w:val="0"/>
        <w:autoSpaceDN w:val="0"/>
        <w:adjustRightInd w:val="0"/>
        <w:spacing w:line="240" w:lineRule="auto"/>
        <w:jc w:val="left"/>
        <w:rPr>
          <w:rFonts w:cs="Times New Roman"/>
        </w:rPr>
      </w:pPr>
      <w:r w:rsidRPr="00264572">
        <w:rPr>
          <w:rFonts w:cs="Times New Roman"/>
        </w:rPr>
        <w:t>Facsimile:  (614) 466-9475</w:t>
      </w:r>
    </w:p>
    <w:p w14:paraId="581F7890" w14:textId="77777777" w:rsidR="00DA77AB" w:rsidRPr="00264572" w:rsidRDefault="00DA77AB" w:rsidP="008664EA">
      <w:pPr>
        <w:autoSpaceDE w:val="0"/>
        <w:autoSpaceDN w:val="0"/>
        <w:adjustRightInd w:val="0"/>
        <w:spacing w:line="240" w:lineRule="auto"/>
        <w:jc w:val="left"/>
        <w:rPr>
          <w:rFonts w:cs="Times New Roman"/>
        </w:rPr>
      </w:pPr>
      <w:r w:rsidRPr="00264572">
        <w:rPr>
          <w:rFonts w:cs="Times New Roman"/>
        </w:rPr>
        <w:t>maureen.willis@occ.ohio.gov</w:t>
      </w:r>
    </w:p>
    <w:p w14:paraId="4A60FEBC" w14:textId="77777777" w:rsidR="00DA77AB" w:rsidRPr="00264572" w:rsidRDefault="00DA77AB" w:rsidP="008664EA">
      <w:pPr>
        <w:autoSpaceDE w:val="0"/>
        <w:autoSpaceDN w:val="0"/>
        <w:adjustRightInd w:val="0"/>
        <w:spacing w:line="240" w:lineRule="auto"/>
        <w:jc w:val="left"/>
        <w:rPr>
          <w:rFonts w:cs="Times New Roman"/>
        </w:rPr>
      </w:pPr>
      <w:r w:rsidRPr="00264572">
        <w:rPr>
          <w:rFonts w:cs="Times New Roman"/>
        </w:rPr>
        <w:t>Terry.etter@occ.ohio.gov</w:t>
      </w:r>
    </w:p>
    <w:p w14:paraId="061944A6" w14:textId="77777777" w:rsidR="00DA77AB" w:rsidRPr="00264572" w:rsidRDefault="00DA77AB" w:rsidP="008664EA">
      <w:pPr>
        <w:autoSpaceDE w:val="0"/>
        <w:autoSpaceDN w:val="0"/>
        <w:adjustRightInd w:val="0"/>
        <w:spacing w:line="240" w:lineRule="auto"/>
        <w:jc w:val="left"/>
        <w:rPr>
          <w:rFonts w:cs="Times New Roman"/>
        </w:rPr>
      </w:pPr>
    </w:p>
    <w:p w14:paraId="6E86B1E9" w14:textId="77777777" w:rsidR="0027202E" w:rsidRPr="00264572" w:rsidRDefault="00DA77AB" w:rsidP="00051DAD">
      <w:pPr>
        <w:pStyle w:val="Title"/>
        <w:rPr>
          <w:sz w:val="24"/>
        </w:rPr>
        <w:sectPr w:rsidR="0027202E" w:rsidRPr="00264572" w:rsidSect="0027202E">
          <w:headerReference w:type="default" r:id="rId26"/>
          <w:footerReference w:type="default" r:id="rId27"/>
          <w:headerReference w:type="first" r:id="rId28"/>
          <w:footerReference w:type="first" r:id="rId29"/>
          <w:type w:val="continuous"/>
          <w:pgSz w:w="12240" w:h="15840" w:code="1"/>
          <w:pgMar w:top="1440" w:right="1440" w:bottom="1440" w:left="1440" w:header="720" w:footer="720" w:gutter="0"/>
          <w:pgNumType w:start="3"/>
          <w:cols w:num="2" w:space="720"/>
          <w:docGrid w:linePitch="360"/>
        </w:sectPr>
      </w:pPr>
      <w:r w:rsidRPr="00264572">
        <w:rPr>
          <w:sz w:val="24"/>
        </w:rPr>
        <w:t>Attorneys for the Offic</w:t>
      </w:r>
      <w:r w:rsidR="001A5EA4" w:rsidRPr="00264572">
        <w:rPr>
          <w:sz w:val="24"/>
        </w:rPr>
        <w:t>e of the Ohio Consumers' Couns</w:t>
      </w:r>
      <w:r w:rsidR="0027202E" w:rsidRPr="00264572">
        <w:rPr>
          <w:sz w:val="24"/>
        </w:rPr>
        <w:t>el</w:t>
      </w:r>
    </w:p>
    <w:p w14:paraId="23A11981" w14:textId="7D9C416B" w:rsidR="003A3370" w:rsidRPr="00962521" w:rsidRDefault="003A3370" w:rsidP="00962521">
      <w:pPr>
        <w:pStyle w:val="Title"/>
        <w:jc w:val="center"/>
        <w:rPr>
          <w:rFonts w:eastAsia="Calibri"/>
          <w:sz w:val="28"/>
          <w:szCs w:val="28"/>
        </w:rPr>
      </w:pPr>
      <w:r w:rsidRPr="00962521">
        <w:rPr>
          <w:rFonts w:eastAsia="Calibri"/>
          <w:sz w:val="28"/>
          <w:szCs w:val="28"/>
        </w:rPr>
        <w:lastRenderedPageBreak/>
        <w:t>Before</w:t>
      </w:r>
    </w:p>
    <w:p w14:paraId="765C2D5F" w14:textId="77777777" w:rsidR="003A3370" w:rsidRPr="00962521" w:rsidRDefault="003A3370" w:rsidP="003A3370">
      <w:pPr>
        <w:spacing w:line="240" w:lineRule="auto"/>
        <w:jc w:val="center"/>
        <w:rPr>
          <w:rFonts w:eastAsia="Calibri"/>
          <w:b/>
          <w:smallCaps/>
          <w:sz w:val="28"/>
          <w:szCs w:val="28"/>
        </w:rPr>
      </w:pPr>
      <w:r w:rsidRPr="00962521">
        <w:rPr>
          <w:rFonts w:eastAsia="Calibri"/>
          <w:b/>
          <w:smallCaps/>
          <w:sz w:val="28"/>
          <w:szCs w:val="28"/>
        </w:rPr>
        <w:t>The Public Utilities Commission Of Ohio</w:t>
      </w:r>
    </w:p>
    <w:p w14:paraId="4945889A" w14:textId="77777777" w:rsidR="003A3370" w:rsidRPr="001A24CA" w:rsidRDefault="003A3370" w:rsidP="003A3370">
      <w:pPr>
        <w:spacing w:line="240" w:lineRule="auto"/>
        <w:rPr>
          <w:rFonts w:eastAsia="Calibri" w:cs="Times New Roman"/>
          <w:b/>
          <w:szCs w:val="22"/>
        </w:rPr>
      </w:pPr>
    </w:p>
    <w:p w14:paraId="471F97B7" w14:textId="77777777" w:rsidR="004B0638" w:rsidRPr="00873B33" w:rsidRDefault="004B0638" w:rsidP="004B0638">
      <w:pPr>
        <w:tabs>
          <w:tab w:val="left" w:pos="4590"/>
          <w:tab w:val="left" w:pos="5220"/>
        </w:tabs>
        <w:spacing w:line="240" w:lineRule="auto"/>
        <w:rPr>
          <w:rFonts w:eastAsia="Calibri" w:cs="Times New Roman"/>
          <w:szCs w:val="22"/>
        </w:rPr>
      </w:pPr>
      <w:r w:rsidRPr="00873B33">
        <w:rPr>
          <w:rFonts w:eastAsia="Calibri" w:cs="Times New Roman"/>
          <w:szCs w:val="22"/>
        </w:rPr>
        <w:t xml:space="preserve">In the Matter of the Application of </w:t>
      </w:r>
      <w:r w:rsidRPr="00873B33">
        <w:rPr>
          <w:rFonts w:eastAsia="Calibri" w:cs="Times New Roman"/>
          <w:szCs w:val="22"/>
        </w:rPr>
        <w:tab/>
        <w:t>)</w:t>
      </w:r>
    </w:p>
    <w:p w14:paraId="220C2F55" w14:textId="77777777" w:rsidR="004B0638" w:rsidRPr="00873B33" w:rsidRDefault="004B0638" w:rsidP="004B0638">
      <w:pPr>
        <w:tabs>
          <w:tab w:val="left" w:pos="4590"/>
          <w:tab w:val="left" w:pos="5220"/>
        </w:tabs>
        <w:spacing w:line="240" w:lineRule="auto"/>
        <w:rPr>
          <w:rFonts w:eastAsia="Calibri" w:cs="Times New Roman"/>
          <w:szCs w:val="22"/>
        </w:rPr>
      </w:pPr>
      <w:r w:rsidRPr="00873B33">
        <w:rPr>
          <w:rFonts w:eastAsia="Calibri" w:cs="Times New Roman"/>
          <w:szCs w:val="22"/>
        </w:rPr>
        <w:t xml:space="preserve">The Dayton Power and Light Company </w:t>
      </w:r>
      <w:r w:rsidRPr="00873B33">
        <w:rPr>
          <w:rFonts w:eastAsia="Calibri" w:cs="Times New Roman"/>
          <w:szCs w:val="22"/>
        </w:rPr>
        <w:tab/>
        <w:t>)</w:t>
      </w:r>
      <w:r w:rsidRPr="00873B33">
        <w:rPr>
          <w:rFonts w:eastAsia="Calibri" w:cs="Times New Roman"/>
          <w:szCs w:val="22"/>
        </w:rPr>
        <w:tab/>
        <w:t>Case No. 12-426-EL-SSO</w:t>
      </w:r>
    </w:p>
    <w:p w14:paraId="4880A047" w14:textId="77777777" w:rsidR="004B0638" w:rsidRPr="00873B33" w:rsidRDefault="004B0638" w:rsidP="004B0638">
      <w:pPr>
        <w:tabs>
          <w:tab w:val="left" w:pos="4590"/>
          <w:tab w:val="left" w:pos="5220"/>
        </w:tabs>
        <w:spacing w:line="240" w:lineRule="auto"/>
        <w:rPr>
          <w:rFonts w:eastAsia="Calibri" w:cs="Times New Roman"/>
          <w:szCs w:val="22"/>
        </w:rPr>
      </w:pPr>
      <w:r w:rsidRPr="00873B33">
        <w:rPr>
          <w:rFonts w:eastAsia="Calibri" w:cs="Times New Roman"/>
          <w:szCs w:val="22"/>
        </w:rPr>
        <w:t>for Approval of Its Market Rate Offer.</w:t>
      </w:r>
      <w:r w:rsidRPr="00873B33">
        <w:rPr>
          <w:rFonts w:eastAsia="Calibri" w:cs="Times New Roman"/>
          <w:szCs w:val="22"/>
        </w:rPr>
        <w:tab/>
        <w:t>)</w:t>
      </w:r>
    </w:p>
    <w:p w14:paraId="099199D0" w14:textId="77777777" w:rsidR="004B0638" w:rsidRDefault="004B0638" w:rsidP="004B0638">
      <w:pPr>
        <w:tabs>
          <w:tab w:val="left" w:pos="4590"/>
          <w:tab w:val="left" w:pos="5220"/>
        </w:tabs>
        <w:spacing w:line="240" w:lineRule="auto"/>
        <w:rPr>
          <w:rFonts w:eastAsia="Calibri" w:cs="Times New Roman"/>
          <w:szCs w:val="22"/>
        </w:rPr>
      </w:pPr>
      <w:r w:rsidRPr="00873B33">
        <w:rPr>
          <w:rFonts w:eastAsia="Calibri" w:cs="Times New Roman"/>
          <w:szCs w:val="22"/>
        </w:rPr>
        <w:t>In the Matter of the Application of</w:t>
      </w:r>
      <w:r w:rsidRPr="00873B33">
        <w:rPr>
          <w:rFonts w:eastAsia="Calibri" w:cs="Times New Roman"/>
          <w:szCs w:val="22"/>
        </w:rPr>
        <w:tab/>
        <w:t>)</w:t>
      </w:r>
    </w:p>
    <w:p w14:paraId="31C6881F" w14:textId="77777777" w:rsidR="004B0638" w:rsidRPr="00873B33" w:rsidRDefault="004B0638" w:rsidP="004B0638">
      <w:pPr>
        <w:tabs>
          <w:tab w:val="left" w:pos="4590"/>
          <w:tab w:val="left" w:pos="5220"/>
        </w:tabs>
        <w:spacing w:line="240" w:lineRule="auto"/>
        <w:rPr>
          <w:rFonts w:eastAsia="Calibri" w:cs="Times New Roman"/>
          <w:szCs w:val="22"/>
        </w:rPr>
      </w:pPr>
    </w:p>
    <w:p w14:paraId="2860D2A6" w14:textId="77777777" w:rsidR="004B0638" w:rsidRPr="00873B33" w:rsidRDefault="004B0638" w:rsidP="004B0638">
      <w:pPr>
        <w:tabs>
          <w:tab w:val="left" w:pos="4590"/>
          <w:tab w:val="left" w:pos="5220"/>
        </w:tabs>
        <w:spacing w:line="240" w:lineRule="auto"/>
        <w:rPr>
          <w:rFonts w:eastAsia="Calibri" w:cs="Times New Roman"/>
          <w:szCs w:val="22"/>
        </w:rPr>
      </w:pPr>
      <w:r w:rsidRPr="00873B33">
        <w:rPr>
          <w:rFonts w:eastAsia="Calibri" w:cs="Times New Roman"/>
          <w:szCs w:val="22"/>
        </w:rPr>
        <w:t>The Dayton Power and Light Company</w:t>
      </w:r>
      <w:r w:rsidRPr="00873B33">
        <w:rPr>
          <w:rFonts w:eastAsia="Calibri" w:cs="Times New Roman"/>
          <w:szCs w:val="22"/>
        </w:rPr>
        <w:tab/>
        <w:t>)</w:t>
      </w:r>
      <w:r w:rsidRPr="00873B33">
        <w:rPr>
          <w:rFonts w:eastAsia="Calibri" w:cs="Times New Roman"/>
          <w:szCs w:val="22"/>
        </w:rPr>
        <w:tab/>
        <w:t>Case No. 12-427-EL-ATA</w:t>
      </w:r>
    </w:p>
    <w:p w14:paraId="257DE56D" w14:textId="77777777" w:rsidR="004B0638" w:rsidRPr="00873B33" w:rsidRDefault="004B0638" w:rsidP="004B0638">
      <w:pPr>
        <w:tabs>
          <w:tab w:val="left" w:pos="4590"/>
          <w:tab w:val="left" w:pos="5220"/>
        </w:tabs>
        <w:spacing w:line="240" w:lineRule="auto"/>
        <w:rPr>
          <w:rFonts w:eastAsia="Calibri" w:cs="Times New Roman"/>
          <w:szCs w:val="22"/>
        </w:rPr>
      </w:pPr>
      <w:r w:rsidRPr="00873B33">
        <w:rPr>
          <w:rFonts w:eastAsia="Calibri" w:cs="Times New Roman"/>
          <w:szCs w:val="22"/>
        </w:rPr>
        <w:t>for Approval of Revised Tariffs.</w:t>
      </w:r>
      <w:r w:rsidRPr="00873B33">
        <w:rPr>
          <w:rFonts w:eastAsia="Calibri" w:cs="Times New Roman"/>
          <w:szCs w:val="22"/>
        </w:rPr>
        <w:tab/>
        <w:t>)</w:t>
      </w:r>
    </w:p>
    <w:p w14:paraId="69D74622" w14:textId="77777777" w:rsidR="004B0638" w:rsidRDefault="004B0638" w:rsidP="004B0638">
      <w:pPr>
        <w:tabs>
          <w:tab w:val="left" w:pos="4590"/>
          <w:tab w:val="left" w:pos="5220"/>
        </w:tabs>
        <w:spacing w:line="240" w:lineRule="auto"/>
        <w:rPr>
          <w:rFonts w:eastAsia="Calibri" w:cs="Times New Roman"/>
          <w:szCs w:val="22"/>
        </w:rPr>
      </w:pPr>
      <w:r w:rsidRPr="00873B33">
        <w:rPr>
          <w:rFonts w:eastAsia="Calibri" w:cs="Times New Roman"/>
          <w:szCs w:val="22"/>
        </w:rPr>
        <w:t>In the Matter of the Application of</w:t>
      </w:r>
      <w:r w:rsidRPr="00873B33">
        <w:rPr>
          <w:rFonts w:eastAsia="Calibri" w:cs="Times New Roman"/>
          <w:szCs w:val="22"/>
        </w:rPr>
        <w:tab/>
        <w:t>)</w:t>
      </w:r>
    </w:p>
    <w:p w14:paraId="02AA87C2" w14:textId="77777777" w:rsidR="004B0638" w:rsidRPr="00873B33" w:rsidRDefault="004B0638" w:rsidP="004B0638">
      <w:pPr>
        <w:tabs>
          <w:tab w:val="left" w:pos="4590"/>
          <w:tab w:val="left" w:pos="5220"/>
        </w:tabs>
        <w:spacing w:line="240" w:lineRule="auto"/>
        <w:rPr>
          <w:rFonts w:eastAsia="Calibri" w:cs="Times New Roman"/>
          <w:szCs w:val="22"/>
        </w:rPr>
      </w:pPr>
    </w:p>
    <w:p w14:paraId="6326C530" w14:textId="77777777" w:rsidR="004B0638" w:rsidRPr="00873B33" w:rsidRDefault="004B0638" w:rsidP="004B0638">
      <w:pPr>
        <w:tabs>
          <w:tab w:val="left" w:pos="4590"/>
          <w:tab w:val="left" w:pos="5220"/>
        </w:tabs>
        <w:spacing w:line="240" w:lineRule="auto"/>
        <w:rPr>
          <w:rFonts w:eastAsia="Calibri" w:cs="Times New Roman"/>
          <w:szCs w:val="22"/>
        </w:rPr>
      </w:pPr>
      <w:r w:rsidRPr="00873B33">
        <w:rPr>
          <w:rFonts w:eastAsia="Calibri" w:cs="Times New Roman"/>
          <w:szCs w:val="22"/>
        </w:rPr>
        <w:t>The Dayton Power and Light Company</w:t>
      </w:r>
      <w:r w:rsidRPr="00873B33">
        <w:rPr>
          <w:rFonts w:eastAsia="Calibri" w:cs="Times New Roman"/>
          <w:szCs w:val="22"/>
        </w:rPr>
        <w:tab/>
        <w:t>)</w:t>
      </w:r>
      <w:r w:rsidRPr="00873B33">
        <w:rPr>
          <w:rFonts w:eastAsia="Calibri" w:cs="Times New Roman"/>
          <w:szCs w:val="22"/>
        </w:rPr>
        <w:tab/>
        <w:t>Case No. 12-428-EL-AAM</w:t>
      </w:r>
    </w:p>
    <w:p w14:paraId="6167A69E" w14:textId="77777777" w:rsidR="004B0638" w:rsidRPr="00873B33" w:rsidRDefault="004B0638" w:rsidP="004B0638">
      <w:pPr>
        <w:tabs>
          <w:tab w:val="left" w:pos="4590"/>
          <w:tab w:val="left" w:pos="5220"/>
        </w:tabs>
        <w:spacing w:line="240" w:lineRule="auto"/>
        <w:rPr>
          <w:rFonts w:eastAsia="Calibri" w:cs="Times New Roman"/>
          <w:szCs w:val="22"/>
        </w:rPr>
      </w:pPr>
      <w:r w:rsidRPr="00873B33">
        <w:rPr>
          <w:rFonts w:eastAsia="Calibri" w:cs="Times New Roman"/>
          <w:szCs w:val="22"/>
        </w:rPr>
        <w:t xml:space="preserve">for Approval of Certain Accounting </w:t>
      </w:r>
      <w:r w:rsidRPr="00873B33">
        <w:rPr>
          <w:rFonts w:eastAsia="Calibri" w:cs="Times New Roman"/>
          <w:szCs w:val="22"/>
        </w:rPr>
        <w:tab/>
        <w:t>)</w:t>
      </w:r>
    </w:p>
    <w:p w14:paraId="606FE69F" w14:textId="77777777" w:rsidR="004B0638" w:rsidRDefault="004B0638" w:rsidP="004B0638">
      <w:pPr>
        <w:tabs>
          <w:tab w:val="left" w:pos="4590"/>
          <w:tab w:val="left" w:pos="5220"/>
        </w:tabs>
        <w:spacing w:line="240" w:lineRule="auto"/>
        <w:rPr>
          <w:rFonts w:eastAsia="Calibri" w:cs="Times New Roman"/>
          <w:szCs w:val="22"/>
        </w:rPr>
      </w:pPr>
      <w:r w:rsidRPr="00873B33">
        <w:rPr>
          <w:rFonts w:eastAsia="Calibri" w:cs="Times New Roman"/>
          <w:szCs w:val="22"/>
        </w:rPr>
        <w:t>Authority.</w:t>
      </w:r>
      <w:r w:rsidRPr="00873B33">
        <w:rPr>
          <w:rFonts w:eastAsia="Calibri" w:cs="Times New Roman"/>
          <w:szCs w:val="22"/>
        </w:rPr>
        <w:tab/>
        <w:t>)</w:t>
      </w:r>
    </w:p>
    <w:p w14:paraId="3FEF38D4" w14:textId="77777777" w:rsidR="004B0638" w:rsidRPr="00873B33" w:rsidRDefault="004B0638" w:rsidP="004B0638">
      <w:pPr>
        <w:tabs>
          <w:tab w:val="left" w:pos="4590"/>
          <w:tab w:val="left" w:pos="5220"/>
        </w:tabs>
        <w:spacing w:line="240" w:lineRule="auto"/>
        <w:rPr>
          <w:rFonts w:eastAsia="Calibri" w:cs="Times New Roman"/>
          <w:szCs w:val="22"/>
        </w:rPr>
      </w:pPr>
    </w:p>
    <w:p w14:paraId="5763F967" w14:textId="77777777" w:rsidR="004B0638" w:rsidRPr="00873B33" w:rsidRDefault="004B0638" w:rsidP="004B0638">
      <w:pPr>
        <w:tabs>
          <w:tab w:val="left" w:pos="4590"/>
          <w:tab w:val="left" w:pos="5220"/>
        </w:tabs>
        <w:spacing w:line="240" w:lineRule="auto"/>
        <w:rPr>
          <w:rFonts w:eastAsia="Calibri" w:cs="Times New Roman"/>
          <w:szCs w:val="22"/>
        </w:rPr>
      </w:pPr>
      <w:r w:rsidRPr="00873B33">
        <w:rPr>
          <w:rFonts w:eastAsia="Calibri" w:cs="Times New Roman"/>
          <w:szCs w:val="22"/>
        </w:rPr>
        <w:t>In the Matter of the Application of</w:t>
      </w:r>
      <w:r w:rsidRPr="00873B33">
        <w:rPr>
          <w:rFonts w:eastAsia="Calibri" w:cs="Times New Roman"/>
          <w:szCs w:val="22"/>
        </w:rPr>
        <w:tab/>
        <w:t>)</w:t>
      </w:r>
    </w:p>
    <w:p w14:paraId="3163BCD6" w14:textId="77777777" w:rsidR="004B0638" w:rsidRPr="00873B33" w:rsidRDefault="004B0638" w:rsidP="004B0638">
      <w:pPr>
        <w:tabs>
          <w:tab w:val="left" w:pos="4590"/>
          <w:tab w:val="left" w:pos="5220"/>
        </w:tabs>
        <w:spacing w:line="240" w:lineRule="auto"/>
        <w:rPr>
          <w:rFonts w:eastAsia="Calibri" w:cs="Times New Roman"/>
          <w:szCs w:val="22"/>
        </w:rPr>
      </w:pPr>
      <w:r w:rsidRPr="00873B33">
        <w:rPr>
          <w:rFonts w:eastAsia="Calibri" w:cs="Times New Roman"/>
          <w:szCs w:val="22"/>
        </w:rPr>
        <w:t>The Dayton Power and Light Company</w:t>
      </w:r>
      <w:r w:rsidRPr="00873B33">
        <w:rPr>
          <w:rFonts w:eastAsia="Calibri" w:cs="Times New Roman"/>
          <w:szCs w:val="22"/>
        </w:rPr>
        <w:tab/>
        <w:t>)</w:t>
      </w:r>
      <w:r w:rsidRPr="00873B33">
        <w:rPr>
          <w:rFonts w:eastAsia="Calibri" w:cs="Times New Roman"/>
          <w:szCs w:val="22"/>
        </w:rPr>
        <w:tab/>
        <w:t>Case No. 12-429-EL-WVR</w:t>
      </w:r>
    </w:p>
    <w:p w14:paraId="5A501E1B" w14:textId="77777777" w:rsidR="004B0638" w:rsidRDefault="004B0638" w:rsidP="004B0638">
      <w:pPr>
        <w:tabs>
          <w:tab w:val="left" w:pos="4590"/>
          <w:tab w:val="left" w:pos="5220"/>
        </w:tabs>
        <w:spacing w:line="240" w:lineRule="auto"/>
        <w:rPr>
          <w:rFonts w:eastAsia="Calibri" w:cs="Times New Roman"/>
          <w:szCs w:val="22"/>
        </w:rPr>
      </w:pPr>
      <w:r w:rsidRPr="00873B33">
        <w:rPr>
          <w:rFonts w:eastAsia="Calibri" w:cs="Times New Roman"/>
          <w:szCs w:val="22"/>
        </w:rPr>
        <w:t>for Waiver of Certain Commission Rules.</w:t>
      </w:r>
      <w:r>
        <w:rPr>
          <w:rFonts w:eastAsia="Calibri" w:cs="Times New Roman"/>
          <w:szCs w:val="22"/>
        </w:rPr>
        <w:tab/>
      </w:r>
      <w:r w:rsidRPr="00873B33">
        <w:rPr>
          <w:rFonts w:eastAsia="Calibri" w:cs="Times New Roman"/>
          <w:szCs w:val="22"/>
        </w:rPr>
        <w:t>)</w:t>
      </w:r>
    </w:p>
    <w:p w14:paraId="4E9FCCC5" w14:textId="77777777" w:rsidR="004B0638" w:rsidRPr="00873B33" w:rsidRDefault="004B0638" w:rsidP="004B0638">
      <w:pPr>
        <w:tabs>
          <w:tab w:val="left" w:pos="4590"/>
          <w:tab w:val="left" w:pos="5220"/>
        </w:tabs>
        <w:spacing w:line="240" w:lineRule="auto"/>
        <w:rPr>
          <w:rFonts w:eastAsia="Calibri" w:cs="Times New Roman"/>
          <w:szCs w:val="22"/>
        </w:rPr>
      </w:pPr>
    </w:p>
    <w:p w14:paraId="637F8F09" w14:textId="77777777" w:rsidR="004B0638" w:rsidRPr="00873B33" w:rsidRDefault="004B0638" w:rsidP="004B0638">
      <w:pPr>
        <w:tabs>
          <w:tab w:val="left" w:pos="4590"/>
          <w:tab w:val="left" w:pos="5220"/>
        </w:tabs>
        <w:spacing w:line="240" w:lineRule="auto"/>
        <w:rPr>
          <w:rFonts w:eastAsia="Calibri" w:cs="Times New Roman"/>
          <w:szCs w:val="22"/>
        </w:rPr>
      </w:pPr>
      <w:r w:rsidRPr="00873B33">
        <w:rPr>
          <w:rFonts w:eastAsia="Calibri" w:cs="Times New Roman"/>
          <w:szCs w:val="22"/>
        </w:rPr>
        <w:t>In the Matter of the Application of</w:t>
      </w:r>
      <w:r w:rsidRPr="00873B33">
        <w:rPr>
          <w:rFonts w:eastAsia="Calibri" w:cs="Times New Roman"/>
          <w:szCs w:val="22"/>
        </w:rPr>
        <w:tab/>
        <w:t>)</w:t>
      </w:r>
    </w:p>
    <w:p w14:paraId="2F9F3492" w14:textId="77777777" w:rsidR="004B0638" w:rsidRPr="00873B33" w:rsidRDefault="004B0638" w:rsidP="004B0638">
      <w:pPr>
        <w:tabs>
          <w:tab w:val="left" w:pos="4590"/>
          <w:tab w:val="left" w:pos="5220"/>
        </w:tabs>
        <w:spacing w:line="240" w:lineRule="auto"/>
        <w:rPr>
          <w:rFonts w:eastAsia="Calibri" w:cs="Times New Roman"/>
          <w:szCs w:val="22"/>
        </w:rPr>
      </w:pPr>
      <w:r w:rsidRPr="00873B33">
        <w:rPr>
          <w:rFonts w:eastAsia="Calibri" w:cs="Times New Roman"/>
          <w:szCs w:val="22"/>
        </w:rPr>
        <w:t>The Dayton Power and Light Company</w:t>
      </w:r>
      <w:r w:rsidRPr="00873B33">
        <w:rPr>
          <w:rFonts w:eastAsia="Calibri" w:cs="Times New Roman"/>
          <w:szCs w:val="22"/>
        </w:rPr>
        <w:tab/>
        <w:t>)</w:t>
      </w:r>
      <w:r w:rsidRPr="00873B33">
        <w:rPr>
          <w:rFonts w:eastAsia="Calibri" w:cs="Times New Roman"/>
          <w:szCs w:val="22"/>
        </w:rPr>
        <w:tab/>
        <w:t>Case No. 12-672-EL-RDR</w:t>
      </w:r>
    </w:p>
    <w:p w14:paraId="09B098E3" w14:textId="77777777" w:rsidR="004B0638" w:rsidRPr="00873B33" w:rsidRDefault="004B0638" w:rsidP="004B0638">
      <w:pPr>
        <w:tabs>
          <w:tab w:val="left" w:pos="4590"/>
          <w:tab w:val="left" w:pos="5220"/>
        </w:tabs>
        <w:spacing w:line="240" w:lineRule="auto"/>
        <w:rPr>
          <w:rFonts w:eastAsia="Calibri" w:cs="Times New Roman"/>
          <w:szCs w:val="22"/>
        </w:rPr>
      </w:pPr>
      <w:r w:rsidRPr="00873B33">
        <w:rPr>
          <w:rFonts w:eastAsia="Calibri" w:cs="Times New Roman"/>
          <w:szCs w:val="22"/>
        </w:rPr>
        <w:t>to Establish Tariff Riders.</w:t>
      </w:r>
      <w:r w:rsidRPr="00873B33">
        <w:rPr>
          <w:rFonts w:eastAsia="Calibri" w:cs="Times New Roman"/>
          <w:szCs w:val="22"/>
        </w:rPr>
        <w:tab/>
        <w:t>)</w:t>
      </w:r>
    </w:p>
    <w:p w14:paraId="57D94EBB" w14:textId="77777777" w:rsidR="003A3370" w:rsidRDefault="003A3370" w:rsidP="003A3370">
      <w:pPr>
        <w:spacing w:line="240" w:lineRule="auto"/>
      </w:pPr>
    </w:p>
    <w:p w14:paraId="721550A7" w14:textId="77777777" w:rsidR="003A3370" w:rsidRPr="001A24CA" w:rsidRDefault="003A3370" w:rsidP="003A3370">
      <w:pPr>
        <w:spacing w:line="240" w:lineRule="auto"/>
      </w:pPr>
    </w:p>
    <w:p w14:paraId="46AE2DE8" w14:textId="77777777" w:rsidR="003A3370" w:rsidRDefault="003A3370" w:rsidP="003A3370">
      <w:pPr>
        <w:pBdr>
          <w:top w:val="single" w:sz="12" w:space="1" w:color="auto"/>
        </w:pBdr>
        <w:spacing w:line="240" w:lineRule="auto"/>
        <w:rPr>
          <w:b/>
          <w:caps/>
          <w:sz w:val="16"/>
          <w:szCs w:val="16"/>
        </w:rPr>
      </w:pPr>
    </w:p>
    <w:p w14:paraId="1AA2C968" w14:textId="141C86FB" w:rsidR="003A3370" w:rsidRPr="00770E7F" w:rsidRDefault="003A3370" w:rsidP="003A3370">
      <w:pPr>
        <w:spacing w:line="240" w:lineRule="auto"/>
        <w:jc w:val="center"/>
        <w:rPr>
          <w:rFonts w:ascii="Arial Bold" w:hAnsi="Arial Bold"/>
          <w:b/>
          <w:smallCaps/>
          <w:sz w:val="28"/>
        </w:rPr>
      </w:pPr>
      <w:r w:rsidRPr="00770E7F">
        <w:rPr>
          <w:rFonts w:ascii="Arial Bold" w:hAnsi="Arial Bold"/>
          <w:b/>
          <w:smallCaps/>
          <w:sz w:val="28"/>
        </w:rPr>
        <w:t>Memorandum In Support</w:t>
      </w:r>
    </w:p>
    <w:p w14:paraId="5CC3B422" w14:textId="77777777" w:rsidR="003A3370" w:rsidRPr="00FF7CE3" w:rsidRDefault="003A3370" w:rsidP="003A3370">
      <w:pPr>
        <w:pBdr>
          <w:bottom w:val="single" w:sz="12" w:space="1" w:color="auto"/>
        </w:pBdr>
        <w:spacing w:line="240" w:lineRule="auto"/>
        <w:rPr>
          <w:b/>
          <w:caps/>
          <w:sz w:val="16"/>
          <w:szCs w:val="16"/>
        </w:rPr>
      </w:pPr>
    </w:p>
    <w:p w14:paraId="5AE2585D" w14:textId="77777777" w:rsidR="003A3370" w:rsidRDefault="003A3370" w:rsidP="003A3370">
      <w:pPr>
        <w:spacing w:line="240" w:lineRule="auto"/>
      </w:pPr>
    </w:p>
    <w:p w14:paraId="6AD2EFB9" w14:textId="77777777" w:rsidR="00DB5BB8" w:rsidRDefault="00DB5BB8" w:rsidP="007B617A">
      <w:pPr>
        <w:pStyle w:val="Heading1"/>
      </w:pPr>
      <w:bookmarkStart w:id="2" w:name="_Toc451259537"/>
      <w:r w:rsidRPr="007B617A">
        <w:t>introduction</w:t>
      </w:r>
      <w:bookmarkEnd w:id="2"/>
    </w:p>
    <w:p w14:paraId="39437DA6" w14:textId="7BE6F49C" w:rsidR="00DB5BB8" w:rsidRPr="00F356E6" w:rsidRDefault="003E0667" w:rsidP="00DB5BB8">
      <w:pPr>
        <w:ind w:firstLine="720"/>
        <w:rPr>
          <w:rFonts w:eastAsia="Times New Roman" w:cs="Times New Roman"/>
          <w:bCs/>
          <w:color w:val="000000"/>
        </w:rPr>
      </w:pPr>
      <w:r>
        <w:rPr>
          <w:rFonts w:eastAsia="Times New Roman" w:cs="Times New Roman"/>
          <w:bCs/>
          <w:color w:val="000000"/>
        </w:rPr>
        <w:t>Electric u</w:t>
      </w:r>
      <w:r w:rsidR="00DB5BB8" w:rsidRPr="00F356E6">
        <w:rPr>
          <w:rFonts w:eastAsia="Times New Roman" w:cs="Times New Roman"/>
          <w:bCs/>
          <w:color w:val="000000"/>
        </w:rPr>
        <w:t xml:space="preserve">tilities were provided one opportunity to seek approval to collect transition revenue.  </w:t>
      </w:r>
      <w:r w:rsidR="00DB5BB8">
        <w:rPr>
          <w:rFonts w:eastAsia="Times New Roman" w:cs="Times New Roman"/>
          <w:bCs/>
          <w:color w:val="000000"/>
        </w:rPr>
        <w:t>Under</w:t>
      </w:r>
      <w:r w:rsidR="00DB5BB8" w:rsidRPr="00F356E6">
        <w:rPr>
          <w:rFonts w:eastAsia="Times New Roman" w:cs="Times New Roman"/>
          <w:bCs/>
          <w:color w:val="000000"/>
        </w:rPr>
        <w:t xml:space="preserve"> this limited opportunity, DP&amp;L was authorized to collect $441 million in transition revenue from its customers</w:t>
      </w:r>
      <w:r w:rsidR="00DB5BB8">
        <w:rPr>
          <w:rFonts w:eastAsia="Times New Roman" w:cs="Times New Roman"/>
          <w:bCs/>
          <w:color w:val="000000"/>
        </w:rPr>
        <w:t xml:space="preserve"> beginning in 2001</w:t>
      </w:r>
      <w:r w:rsidR="00DB5BB8" w:rsidRPr="00F356E6">
        <w:rPr>
          <w:rFonts w:eastAsia="Times New Roman" w:cs="Times New Roman"/>
          <w:bCs/>
          <w:color w:val="000000"/>
        </w:rPr>
        <w:t>.</w:t>
      </w:r>
      <w:r w:rsidR="00321D41">
        <w:rPr>
          <w:rStyle w:val="FootnoteReference"/>
          <w:rFonts w:eastAsia="Times New Roman" w:cs="Times New Roman"/>
          <w:bCs/>
          <w:color w:val="000000"/>
        </w:rPr>
        <w:footnoteReference w:id="3"/>
      </w:r>
      <w:r w:rsidR="00DB5BB8" w:rsidRPr="00F356E6">
        <w:rPr>
          <w:rFonts w:eastAsia="Times New Roman" w:cs="Times New Roman"/>
          <w:bCs/>
          <w:color w:val="000000"/>
        </w:rPr>
        <w:t xml:space="preserve">  </w:t>
      </w:r>
      <w:r w:rsidR="00DB5BB8">
        <w:rPr>
          <w:rFonts w:eastAsia="Times New Roman" w:cs="Times New Roman"/>
          <w:bCs/>
          <w:color w:val="000000"/>
        </w:rPr>
        <w:t xml:space="preserve">The period to collect transition revenue could not extend beyond 2010, and utilities have no further right to collect </w:t>
      </w:r>
      <w:r w:rsidR="00DB5BB8">
        <w:rPr>
          <w:rFonts w:eastAsia="Times New Roman" w:cs="Times New Roman"/>
          <w:bCs/>
          <w:color w:val="000000"/>
        </w:rPr>
        <w:lastRenderedPageBreak/>
        <w:t>transition revenue or its equivalent.</w:t>
      </w:r>
      <w:r>
        <w:rPr>
          <w:rStyle w:val="FootnoteReference"/>
          <w:rFonts w:eastAsia="Times New Roman" w:cs="Times New Roman"/>
          <w:bCs/>
          <w:color w:val="000000"/>
        </w:rPr>
        <w:footnoteReference w:id="4"/>
      </w:r>
      <w:r w:rsidR="00DB5BB8">
        <w:rPr>
          <w:rFonts w:eastAsia="Times New Roman" w:cs="Times New Roman"/>
          <w:bCs/>
          <w:color w:val="000000"/>
        </w:rPr>
        <w:t xml:space="preserve">  </w:t>
      </w:r>
      <w:r w:rsidR="00321D41">
        <w:rPr>
          <w:rFonts w:eastAsia="Times New Roman" w:cs="Times New Roman"/>
          <w:bCs/>
          <w:color w:val="000000"/>
        </w:rPr>
        <w:t>Additionally</w:t>
      </w:r>
      <w:r w:rsidR="00DB5BB8">
        <w:rPr>
          <w:rFonts w:eastAsia="Times New Roman" w:cs="Times New Roman"/>
          <w:bCs/>
          <w:color w:val="000000"/>
        </w:rPr>
        <w:t xml:space="preserve">, </w:t>
      </w:r>
      <w:r w:rsidR="00DB5BB8" w:rsidRPr="00F356E6">
        <w:rPr>
          <w:rFonts w:eastAsia="Times New Roman" w:cs="Times New Roman"/>
          <w:bCs/>
          <w:color w:val="000000"/>
        </w:rPr>
        <w:t xml:space="preserve">the Commission is prohibited </w:t>
      </w:r>
      <w:r w:rsidR="00DB5BB8">
        <w:rPr>
          <w:rFonts w:eastAsia="Times New Roman" w:cs="Times New Roman"/>
          <w:bCs/>
          <w:color w:val="000000"/>
        </w:rPr>
        <w:t>by R.C. 4928.38 f</w:t>
      </w:r>
      <w:r w:rsidR="00DB5BB8" w:rsidRPr="00F356E6">
        <w:rPr>
          <w:rFonts w:eastAsia="Times New Roman" w:cs="Times New Roman"/>
          <w:bCs/>
          <w:color w:val="000000"/>
        </w:rPr>
        <w:t xml:space="preserve">rom authorizing a utility to collect transition revenue or its equivalent.   </w:t>
      </w:r>
    </w:p>
    <w:p w14:paraId="6D382371" w14:textId="77777777" w:rsidR="00DB5BB8" w:rsidRDefault="00DB5BB8" w:rsidP="00DB5BB8">
      <w:pPr>
        <w:ind w:firstLine="720"/>
        <w:rPr>
          <w:rFonts w:eastAsia="Times New Roman" w:cs="Times New Roman"/>
          <w:bCs/>
          <w:color w:val="000000"/>
        </w:rPr>
      </w:pPr>
      <w:r>
        <w:rPr>
          <w:rFonts w:eastAsia="Times New Roman" w:cs="Times New Roman"/>
          <w:bCs/>
          <w:color w:val="000000"/>
        </w:rPr>
        <w:t xml:space="preserve">In two decisions issued in 2012 and 2013 </w:t>
      </w:r>
      <w:r w:rsidRPr="00F356E6">
        <w:rPr>
          <w:rFonts w:eastAsia="Times New Roman" w:cs="Times New Roman"/>
          <w:bCs/>
          <w:color w:val="000000"/>
        </w:rPr>
        <w:t xml:space="preserve">in electric security plan (“ESP”) cases involving Ohio Power Company (“AEP-Ohio”) and DP&amp;L, </w:t>
      </w:r>
      <w:r>
        <w:rPr>
          <w:rFonts w:eastAsia="Times New Roman" w:cs="Times New Roman"/>
          <w:bCs/>
          <w:color w:val="000000"/>
        </w:rPr>
        <w:t xml:space="preserve">respectively, </w:t>
      </w:r>
      <w:r w:rsidRPr="00F356E6">
        <w:rPr>
          <w:rFonts w:eastAsia="Times New Roman" w:cs="Times New Roman"/>
          <w:bCs/>
          <w:color w:val="000000"/>
        </w:rPr>
        <w:t>the Commission authorized the</w:t>
      </w:r>
      <w:r>
        <w:rPr>
          <w:rFonts w:eastAsia="Times New Roman" w:cs="Times New Roman"/>
          <w:bCs/>
          <w:color w:val="000000"/>
        </w:rPr>
        <w:t xml:space="preserve"> collection of transition revenue or its equivalent in violation of R.C. 4928.38.  For AEP-Ohio, the collection of transition revenue or its equivalent occurred through its </w:t>
      </w:r>
      <w:r w:rsidRPr="00F356E6">
        <w:rPr>
          <w:rFonts w:eastAsia="Times New Roman" w:cs="Times New Roman"/>
          <w:bCs/>
          <w:color w:val="000000"/>
        </w:rPr>
        <w:t>Retail Stability Rider (“RSR”)</w:t>
      </w:r>
      <w:r>
        <w:rPr>
          <w:rFonts w:eastAsia="Times New Roman" w:cs="Times New Roman"/>
          <w:bCs/>
          <w:color w:val="000000"/>
        </w:rPr>
        <w:t>; for DP&amp;L the collection of transition revenue or its equivalent occurs through its</w:t>
      </w:r>
      <w:r w:rsidRPr="00F356E6">
        <w:rPr>
          <w:rFonts w:eastAsia="Times New Roman" w:cs="Times New Roman"/>
          <w:bCs/>
          <w:color w:val="000000"/>
        </w:rPr>
        <w:t xml:space="preserve"> SSR.</w:t>
      </w:r>
      <w:r w:rsidRPr="00F356E6">
        <w:rPr>
          <w:rStyle w:val="FootnoteReference"/>
          <w:rFonts w:eastAsia="Times New Roman" w:cs="Times New Roman"/>
          <w:bCs/>
          <w:color w:val="000000"/>
        </w:rPr>
        <w:footnoteReference w:id="5"/>
      </w:r>
    </w:p>
    <w:p w14:paraId="1DB49399" w14:textId="77777777" w:rsidR="003022C1" w:rsidRPr="00F356E6" w:rsidRDefault="003022C1" w:rsidP="003022C1">
      <w:pPr>
        <w:ind w:firstLine="720"/>
        <w:rPr>
          <w:rFonts w:eastAsia="Times New Roman" w:cs="Times New Roman"/>
          <w:bCs/>
          <w:color w:val="000000"/>
        </w:rPr>
      </w:pPr>
      <w:r>
        <w:rPr>
          <w:rFonts w:eastAsia="Times New Roman" w:cs="Times New Roman"/>
          <w:bCs/>
          <w:color w:val="000000"/>
        </w:rPr>
        <w:t>In the two ESP cases, the Commission approved charges under nearly identical rationales that permitted the utilities to replace revenue lost to competition and low wholesale energy and capacity prices.</w:t>
      </w:r>
      <w:r w:rsidRPr="00F356E6">
        <w:rPr>
          <w:rFonts w:eastAsia="Times New Roman" w:cs="Times New Roman"/>
          <w:bCs/>
          <w:color w:val="000000"/>
        </w:rPr>
        <w:t xml:space="preserve">  The Commission also explicitly relied upon its authorization of AEP-Ohio’s charge as a basis for authorizing</w:t>
      </w:r>
      <w:r>
        <w:rPr>
          <w:rFonts w:eastAsia="Times New Roman" w:cs="Times New Roman"/>
          <w:bCs/>
          <w:color w:val="000000"/>
        </w:rPr>
        <w:t xml:space="preserve"> DP&amp;L’s charge.</w:t>
      </w:r>
      <w:r w:rsidR="000E0E3C">
        <w:rPr>
          <w:rStyle w:val="FootnoteReference"/>
          <w:rFonts w:eastAsia="Times New Roman" w:cs="Times New Roman"/>
          <w:bCs/>
          <w:color w:val="000000"/>
        </w:rPr>
        <w:footnoteReference w:id="6"/>
      </w:r>
      <w:r>
        <w:rPr>
          <w:rFonts w:eastAsia="Times New Roman" w:cs="Times New Roman"/>
          <w:bCs/>
          <w:color w:val="000000"/>
        </w:rPr>
        <w:t xml:space="preserve">  </w:t>
      </w:r>
      <w:r w:rsidRPr="00F356E6">
        <w:rPr>
          <w:rFonts w:eastAsia="Times New Roman" w:cs="Times New Roman"/>
          <w:bCs/>
          <w:color w:val="000000"/>
        </w:rPr>
        <w:t xml:space="preserve">  </w:t>
      </w:r>
    </w:p>
    <w:p w14:paraId="338F1DA3" w14:textId="17687966" w:rsidR="003022C1" w:rsidRPr="00F356E6" w:rsidRDefault="000E0E3C" w:rsidP="003022C1">
      <w:pPr>
        <w:ind w:firstLine="720"/>
        <w:rPr>
          <w:rFonts w:eastAsia="Times New Roman" w:cs="Times New Roman"/>
          <w:bCs/>
          <w:color w:val="000000"/>
        </w:rPr>
      </w:pPr>
      <w:r>
        <w:rPr>
          <w:rFonts w:eastAsia="Times New Roman" w:cs="Times New Roman"/>
          <w:bCs/>
          <w:color w:val="000000"/>
        </w:rPr>
        <w:t xml:space="preserve">However, in </w:t>
      </w:r>
      <w:r>
        <w:rPr>
          <w:rFonts w:eastAsia="Times New Roman" w:cs="Times New Roman"/>
          <w:bCs/>
          <w:i/>
          <w:color w:val="000000"/>
        </w:rPr>
        <w:t xml:space="preserve">Columbus </w:t>
      </w:r>
      <w:r w:rsidRPr="000E0E3C">
        <w:rPr>
          <w:rFonts w:eastAsia="Times New Roman" w:cs="Times New Roman"/>
          <w:bCs/>
          <w:i/>
          <w:color w:val="000000"/>
        </w:rPr>
        <w:t>Southern</w:t>
      </w:r>
      <w:r w:rsidR="009200C8">
        <w:rPr>
          <w:rFonts w:eastAsia="Times New Roman" w:cs="Times New Roman"/>
          <w:bCs/>
          <w:i/>
          <w:color w:val="000000"/>
        </w:rPr>
        <w:t>,</w:t>
      </w:r>
      <w:r>
        <w:rPr>
          <w:rFonts w:eastAsia="Times New Roman" w:cs="Times New Roman"/>
          <w:bCs/>
          <w:color w:val="000000"/>
        </w:rPr>
        <w:t xml:space="preserve"> t</w:t>
      </w:r>
      <w:r w:rsidR="003022C1" w:rsidRPr="000E0E3C">
        <w:rPr>
          <w:rFonts w:eastAsia="Times New Roman" w:cs="Times New Roman"/>
          <w:bCs/>
          <w:color w:val="000000"/>
        </w:rPr>
        <w:t>he</w:t>
      </w:r>
      <w:r w:rsidR="003022C1" w:rsidRPr="00F356E6">
        <w:rPr>
          <w:rFonts w:eastAsia="Times New Roman" w:cs="Times New Roman"/>
          <w:bCs/>
          <w:color w:val="000000"/>
        </w:rPr>
        <w:t xml:space="preserve"> Court recently held that the Commission acted unlawfully and unreasonably when it authorized AEP-Ohio’s RSR.</w:t>
      </w:r>
      <w:r>
        <w:rPr>
          <w:rStyle w:val="FootnoteReference"/>
          <w:rFonts w:eastAsia="Times New Roman" w:cs="Times New Roman"/>
          <w:bCs/>
          <w:color w:val="000000"/>
        </w:rPr>
        <w:footnoteReference w:id="7"/>
      </w:r>
      <w:r w:rsidR="003022C1" w:rsidRPr="00F356E6">
        <w:rPr>
          <w:rFonts w:eastAsia="Times New Roman" w:cs="Times New Roman"/>
          <w:bCs/>
          <w:color w:val="000000"/>
        </w:rPr>
        <w:t xml:space="preserve">  </w:t>
      </w:r>
      <w:r w:rsidR="003022C1">
        <w:rPr>
          <w:rFonts w:eastAsia="Times New Roman" w:cs="Times New Roman"/>
          <w:bCs/>
          <w:color w:val="000000"/>
        </w:rPr>
        <w:t xml:space="preserve">Finding that </w:t>
      </w:r>
      <w:r w:rsidR="003022C1" w:rsidRPr="00F356E6">
        <w:rPr>
          <w:rFonts w:eastAsia="Times New Roman" w:cs="Times New Roman"/>
          <w:bCs/>
          <w:color w:val="000000"/>
        </w:rPr>
        <w:t xml:space="preserve">the nature of AEP-Ohio’s charge allowed AEP-Ohio to collect the equivalent of transition revenue, </w:t>
      </w:r>
      <w:r w:rsidR="003022C1">
        <w:rPr>
          <w:rFonts w:eastAsia="Times New Roman" w:cs="Times New Roman"/>
          <w:bCs/>
          <w:color w:val="000000"/>
        </w:rPr>
        <w:t xml:space="preserve">the Court held the Commission had violated the prohibition in R.C. 4928.38 and </w:t>
      </w:r>
      <w:r w:rsidR="003022C1" w:rsidRPr="00F356E6">
        <w:rPr>
          <w:rFonts w:eastAsia="Times New Roman" w:cs="Times New Roman"/>
          <w:bCs/>
          <w:color w:val="000000"/>
        </w:rPr>
        <w:lastRenderedPageBreak/>
        <w:t>reversed and remanded th</w:t>
      </w:r>
      <w:r w:rsidR="003022C1">
        <w:rPr>
          <w:rFonts w:eastAsia="Times New Roman" w:cs="Times New Roman"/>
          <w:bCs/>
          <w:color w:val="000000"/>
        </w:rPr>
        <w:t>e</w:t>
      </w:r>
      <w:r w:rsidR="003022C1" w:rsidRPr="00F356E6">
        <w:rPr>
          <w:rFonts w:eastAsia="Times New Roman" w:cs="Times New Roman"/>
          <w:bCs/>
          <w:color w:val="000000"/>
        </w:rPr>
        <w:t xml:space="preserve"> case </w:t>
      </w:r>
      <w:r w:rsidR="003022C1">
        <w:rPr>
          <w:rFonts w:eastAsia="Times New Roman" w:cs="Times New Roman"/>
          <w:bCs/>
          <w:color w:val="000000"/>
        </w:rPr>
        <w:t xml:space="preserve">to the Commission </w:t>
      </w:r>
      <w:r w:rsidR="003022C1" w:rsidRPr="00F356E6">
        <w:rPr>
          <w:rFonts w:eastAsia="Times New Roman" w:cs="Times New Roman"/>
          <w:bCs/>
          <w:color w:val="000000"/>
        </w:rPr>
        <w:t xml:space="preserve">for further proceedings consistent with the Court’s decision.  </w:t>
      </w:r>
    </w:p>
    <w:p w14:paraId="1470D3E1" w14:textId="664302ED" w:rsidR="003022C1" w:rsidRPr="00F356E6" w:rsidRDefault="003022C1" w:rsidP="003022C1">
      <w:pPr>
        <w:ind w:firstLine="720"/>
        <w:rPr>
          <w:rFonts w:eastAsia="Times New Roman" w:cs="Times New Roman"/>
          <w:bCs/>
          <w:color w:val="000000"/>
        </w:rPr>
      </w:pPr>
      <w:r w:rsidRPr="00F356E6">
        <w:rPr>
          <w:rFonts w:eastAsia="Times New Roman" w:cs="Times New Roman"/>
          <w:bCs/>
          <w:color w:val="000000"/>
        </w:rPr>
        <w:t xml:space="preserve">The implications of the Court’s holding in </w:t>
      </w:r>
      <w:r w:rsidRPr="00F356E6">
        <w:rPr>
          <w:rFonts w:eastAsia="Times New Roman" w:cs="Times New Roman"/>
          <w:bCs/>
          <w:i/>
          <w:color w:val="000000"/>
        </w:rPr>
        <w:t>Columbus Southern</w:t>
      </w:r>
      <w:r w:rsidRPr="00F356E6">
        <w:rPr>
          <w:rFonts w:eastAsia="Times New Roman" w:cs="Times New Roman"/>
          <w:bCs/>
          <w:color w:val="000000"/>
        </w:rPr>
        <w:t xml:space="preserve">, however, reach beyond the confines of the AEP-Ohio appeal.  </w:t>
      </w:r>
      <w:r>
        <w:rPr>
          <w:rFonts w:eastAsia="Times New Roman" w:cs="Times New Roman"/>
          <w:bCs/>
          <w:color w:val="000000"/>
        </w:rPr>
        <w:t xml:space="preserve">Because DP&amp;L’s arguments in support of the SSR and the rationale adopted by the Commission for its authorization of </w:t>
      </w:r>
      <w:r w:rsidR="00037651">
        <w:rPr>
          <w:rFonts w:eastAsia="Times New Roman" w:cs="Times New Roman"/>
          <w:bCs/>
          <w:color w:val="000000"/>
        </w:rPr>
        <w:t xml:space="preserve">the SSR </w:t>
      </w:r>
      <w:r>
        <w:rPr>
          <w:rFonts w:eastAsia="Times New Roman" w:cs="Times New Roman"/>
          <w:bCs/>
          <w:color w:val="000000"/>
        </w:rPr>
        <w:t xml:space="preserve">are nearly identical to the Commission’s authorization of AEP-Ohio’s RSR, the Court’s holding in </w:t>
      </w:r>
      <w:r>
        <w:rPr>
          <w:rFonts w:eastAsia="Times New Roman" w:cs="Times New Roman"/>
          <w:bCs/>
          <w:i/>
          <w:color w:val="000000"/>
        </w:rPr>
        <w:t xml:space="preserve">Columbus Southern </w:t>
      </w:r>
      <w:r w:rsidR="00D05598">
        <w:rPr>
          <w:rFonts w:eastAsia="Times New Roman" w:cs="Times New Roman"/>
          <w:bCs/>
          <w:color w:val="000000"/>
        </w:rPr>
        <w:t xml:space="preserve">is controlling with respect to the SSR and </w:t>
      </w:r>
      <w:r w:rsidR="00C94D7D">
        <w:rPr>
          <w:rFonts w:eastAsia="Times New Roman" w:cs="Times New Roman"/>
          <w:bCs/>
          <w:color w:val="000000"/>
        </w:rPr>
        <w:t xml:space="preserve">indicates that a reversal of the Commission’s authorization of </w:t>
      </w:r>
      <w:r w:rsidR="00781EEB">
        <w:rPr>
          <w:rFonts w:eastAsia="Times New Roman" w:cs="Times New Roman"/>
          <w:bCs/>
          <w:color w:val="000000"/>
        </w:rPr>
        <w:t xml:space="preserve">DP&amp;L’s </w:t>
      </w:r>
      <w:r w:rsidR="00C94D7D">
        <w:rPr>
          <w:rFonts w:eastAsia="Times New Roman" w:cs="Times New Roman"/>
          <w:bCs/>
          <w:color w:val="000000"/>
        </w:rPr>
        <w:t>SSR is likely.</w:t>
      </w:r>
    </w:p>
    <w:p w14:paraId="477D1429" w14:textId="77777777" w:rsidR="003022C1" w:rsidRPr="00F356E6" w:rsidRDefault="003022C1" w:rsidP="003022C1">
      <w:pPr>
        <w:ind w:firstLine="720"/>
        <w:rPr>
          <w:rFonts w:eastAsia="Times New Roman" w:cs="Times New Roman"/>
          <w:bCs/>
          <w:color w:val="000000"/>
        </w:rPr>
      </w:pPr>
      <w:r>
        <w:rPr>
          <w:rFonts w:eastAsia="Times New Roman" w:cs="Times New Roman"/>
          <w:bCs/>
          <w:color w:val="000000"/>
        </w:rPr>
        <w:t>To prevent further injury to customers as a result of the Commission’s unl</w:t>
      </w:r>
      <w:r w:rsidR="006A743B">
        <w:rPr>
          <w:rFonts w:eastAsia="Times New Roman" w:cs="Times New Roman"/>
          <w:bCs/>
          <w:color w:val="000000"/>
        </w:rPr>
        <w:t>awful authorization of the SSR</w:t>
      </w:r>
      <w:r>
        <w:rPr>
          <w:rFonts w:eastAsia="Times New Roman" w:cs="Times New Roman"/>
          <w:bCs/>
          <w:color w:val="000000"/>
        </w:rPr>
        <w:t xml:space="preserve">, DP&amp;L’s customers are requesting immediate action by </w:t>
      </w:r>
      <w:r w:rsidR="00D05598">
        <w:rPr>
          <w:rFonts w:eastAsia="Times New Roman" w:cs="Times New Roman"/>
          <w:bCs/>
          <w:color w:val="000000"/>
        </w:rPr>
        <w:t>the Commission</w:t>
      </w:r>
      <w:r>
        <w:rPr>
          <w:rFonts w:eastAsia="Times New Roman" w:cs="Times New Roman"/>
          <w:bCs/>
          <w:color w:val="000000"/>
        </w:rPr>
        <w:t>.</w:t>
      </w:r>
      <w:r w:rsidR="00D05598">
        <w:rPr>
          <w:rStyle w:val="FootnoteReference"/>
          <w:rFonts w:eastAsia="Times New Roman" w:cs="Times New Roman"/>
          <w:bCs/>
          <w:color w:val="000000"/>
        </w:rPr>
        <w:footnoteReference w:id="8"/>
      </w:r>
      <w:r>
        <w:rPr>
          <w:rFonts w:eastAsia="Times New Roman" w:cs="Times New Roman"/>
          <w:bCs/>
          <w:color w:val="000000"/>
        </w:rPr>
        <w:t xml:space="preserve">  </w:t>
      </w:r>
      <w:r w:rsidRPr="00F356E6">
        <w:rPr>
          <w:rFonts w:eastAsia="Times New Roman" w:cs="Times New Roman"/>
          <w:bCs/>
          <w:color w:val="000000"/>
        </w:rPr>
        <w:t xml:space="preserve">The collection period for the SSR ends December 31, 2016. </w:t>
      </w:r>
      <w:r>
        <w:rPr>
          <w:rFonts w:eastAsia="Times New Roman" w:cs="Times New Roman"/>
          <w:bCs/>
          <w:color w:val="000000"/>
        </w:rPr>
        <w:t xml:space="preserve"> </w:t>
      </w:r>
      <w:r w:rsidRPr="00F356E6">
        <w:rPr>
          <w:rFonts w:eastAsia="Times New Roman" w:cs="Times New Roman"/>
          <w:bCs/>
          <w:color w:val="000000"/>
        </w:rPr>
        <w:t xml:space="preserve">As each month goes by, DP&amp;L’s customers pay nearly $10 million in unlawful transition revenue </w:t>
      </w:r>
      <w:r>
        <w:rPr>
          <w:rFonts w:eastAsia="Times New Roman" w:cs="Times New Roman"/>
          <w:bCs/>
          <w:color w:val="000000"/>
        </w:rPr>
        <w:t xml:space="preserve">or its equivalent </w:t>
      </w:r>
      <w:r w:rsidRPr="00F356E6">
        <w:rPr>
          <w:rFonts w:eastAsia="Times New Roman" w:cs="Times New Roman"/>
          <w:bCs/>
          <w:color w:val="000000"/>
        </w:rPr>
        <w:t>to DP&amp;L, and have already paid approximately $250 million</w:t>
      </w:r>
      <w:r>
        <w:rPr>
          <w:rFonts w:eastAsia="Times New Roman" w:cs="Times New Roman"/>
          <w:bCs/>
          <w:color w:val="000000"/>
        </w:rPr>
        <w:t xml:space="preserve">.  </w:t>
      </w:r>
    </w:p>
    <w:p w14:paraId="247B564B" w14:textId="33D41A7C" w:rsidR="003022C1" w:rsidRDefault="008329F6" w:rsidP="003022C1">
      <w:pPr>
        <w:ind w:firstLine="720"/>
        <w:rPr>
          <w:rFonts w:eastAsia="Times New Roman" w:cs="Times New Roman"/>
          <w:bCs/>
          <w:color w:val="000000"/>
        </w:rPr>
      </w:pPr>
      <w:r>
        <w:rPr>
          <w:rFonts w:eastAsia="Times New Roman" w:cs="Times New Roman"/>
          <w:bCs/>
          <w:color w:val="000000"/>
        </w:rPr>
        <w:t xml:space="preserve">To mitigate further injury to customers, </w:t>
      </w:r>
      <w:r w:rsidR="00781EEB">
        <w:rPr>
          <w:rFonts w:eastAsia="Times New Roman" w:cs="Times New Roman"/>
          <w:bCs/>
          <w:color w:val="000000"/>
        </w:rPr>
        <w:t>Consumer Advocates</w:t>
      </w:r>
      <w:r w:rsidR="003022C1" w:rsidRPr="00F356E6">
        <w:rPr>
          <w:rFonts w:eastAsia="Times New Roman" w:cs="Times New Roman"/>
          <w:bCs/>
          <w:color w:val="000000"/>
        </w:rPr>
        <w:t xml:space="preserve"> request that the </w:t>
      </w:r>
      <w:r w:rsidR="00492042">
        <w:rPr>
          <w:rFonts w:eastAsia="Times New Roman" w:cs="Times New Roman"/>
          <w:bCs/>
          <w:color w:val="000000"/>
        </w:rPr>
        <w:t xml:space="preserve">Commission </w:t>
      </w:r>
      <w:r w:rsidR="003022C1" w:rsidRPr="00F356E6">
        <w:rPr>
          <w:rFonts w:eastAsia="Times New Roman" w:cs="Times New Roman"/>
          <w:bCs/>
          <w:color w:val="000000"/>
        </w:rPr>
        <w:t xml:space="preserve">immediately </w:t>
      </w:r>
      <w:r w:rsidR="00492042">
        <w:rPr>
          <w:rFonts w:eastAsia="Times New Roman" w:cs="Times New Roman"/>
          <w:bCs/>
          <w:color w:val="000000"/>
        </w:rPr>
        <w:t>modify its authorization of the SSR to require that all revenue prospectively collected through the SSR be collected subject to refund.</w:t>
      </w:r>
    </w:p>
    <w:p w14:paraId="2AAA3637" w14:textId="77777777" w:rsidR="00037651" w:rsidRDefault="00492042" w:rsidP="007B617A">
      <w:pPr>
        <w:pStyle w:val="Heading1"/>
        <w:rPr>
          <w:rFonts w:eastAsia="Times New Roman"/>
        </w:rPr>
      </w:pPr>
      <w:bookmarkStart w:id="3" w:name="_Toc451259538"/>
      <w:r>
        <w:rPr>
          <w:rFonts w:eastAsia="Times New Roman"/>
        </w:rPr>
        <w:t>argument</w:t>
      </w:r>
      <w:bookmarkEnd w:id="3"/>
    </w:p>
    <w:p w14:paraId="5EEEB3F2" w14:textId="25F85AC4" w:rsidR="00492042" w:rsidRPr="00492042" w:rsidRDefault="00AA0FD6" w:rsidP="00AA0FD6">
      <w:pPr>
        <w:ind w:firstLine="720"/>
      </w:pPr>
      <w:r>
        <w:rPr>
          <w:rFonts w:eastAsia="Times New Roman" w:cs="Times New Roman"/>
          <w:bCs/>
          <w:color w:val="000000"/>
        </w:rPr>
        <w:t>In a 2012 ESP case, the Commission approved the RSR as a nonbypassable charge for AEP-Ohio.  Th</w:t>
      </w:r>
      <w:r w:rsidR="002817E6">
        <w:rPr>
          <w:rFonts w:eastAsia="Times New Roman" w:cs="Times New Roman"/>
          <w:bCs/>
          <w:color w:val="000000"/>
        </w:rPr>
        <w:t xml:space="preserve">e RSR </w:t>
      </w:r>
      <w:r w:rsidR="008329F6">
        <w:rPr>
          <w:rFonts w:eastAsia="Times New Roman" w:cs="Times New Roman"/>
          <w:bCs/>
          <w:color w:val="000000"/>
        </w:rPr>
        <w:t>was designed</w:t>
      </w:r>
      <w:r>
        <w:rPr>
          <w:rFonts w:eastAsia="Times New Roman" w:cs="Times New Roman"/>
          <w:bCs/>
          <w:color w:val="000000"/>
        </w:rPr>
        <w:t xml:space="preserve"> </w:t>
      </w:r>
      <w:r w:rsidR="00EC1868">
        <w:rPr>
          <w:rFonts w:eastAsia="Times New Roman" w:cs="Times New Roman"/>
          <w:bCs/>
          <w:color w:val="000000"/>
        </w:rPr>
        <w:t xml:space="preserve">to </w:t>
      </w:r>
      <w:r>
        <w:rPr>
          <w:rFonts w:eastAsia="Times New Roman" w:cs="Times New Roman"/>
          <w:bCs/>
          <w:color w:val="000000"/>
        </w:rPr>
        <w:t>replace revenue AEP-Ohio lost as a result of generation competition and low wholesale energy and capacity prices</w:t>
      </w:r>
      <w:r w:rsidR="00D42B77">
        <w:rPr>
          <w:rFonts w:eastAsia="Times New Roman" w:cs="Times New Roman"/>
          <w:bCs/>
          <w:color w:val="000000"/>
        </w:rPr>
        <w:t xml:space="preserve"> to permit </w:t>
      </w:r>
      <w:r w:rsidR="00D42B77">
        <w:rPr>
          <w:rFonts w:eastAsia="Times New Roman" w:cs="Times New Roman"/>
          <w:bCs/>
          <w:color w:val="000000"/>
        </w:rPr>
        <w:lastRenderedPageBreak/>
        <w:t>AEP-Ohio to earn a return on equity between 7 and 11 percent</w:t>
      </w:r>
      <w:r>
        <w:rPr>
          <w:rFonts w:eastAsia="Times New Roman" w:cs="Times New Roman"/>
          <w:bCs/>
          <w:color w:val="000000"/>
        </w:rPr>
        <w:t>.</w:t>
      </w:r>
      <w:r w:rsidR="002817E6">
        <w:rPr>
          <w:rStyle w:val="FootnoteReference"/>
          <w:rFonts w:eastAsia="Times New Roman" w:cs="Times New Roman"/>
          <w:bCs/>
          <w:color w:val="000000"/>
        </w:rPr>
        <w:footnoteReference w:id="9"/>
      </w:r>
      <w:r>
        <w:rPr>
          <w:rFonts w:eastAsia="Times New Roman" w:cs="Times New Roman"/>
          <w:bCs/>
          <w:color w:val="000000"/>
        </w:rPr>
        <w:t xml:space="preserve">  The authorization of AEP-Ohio’s charge was appealed to the Court.</w:t>
      </w:r>
    </w:p>
    <w:p w14:paraId="067A2E33" w14:textId="2D502A2E" w:rsidR="00037651" w:rsidRDefault="002817E6" w:rsidP="003022C1">
      <w:pPr>
        <w:ind w:firstLine="720"/>
      </w:pPr>
      <w:r>
        <w:rPr>
          <w:rFonts w:eastAsia="Times New Roman" w:cs="Times New Roman"/>
          <w:bCs/>
          <w:color w:val="000000"/>
        </w:rPr>
        <w:t>While the Commission was reviewing AEP-Ohio’s ESP application and request for the RSR, DP&amp;L filed an application for an ESP that contained a request for authorization of the SSR.  In its application, DP&amp;L claimed that it needed its charge to make up for revenue lost due to increased customer switching, declining wholesale energy prices, and declining capacity prices.</w:t>
      </w:r>
      <w:r>
        <w:rPr>
          <w:rStyle w:val="FootnoteReference"/>
          <w:rFonts w:eastAsia="Times New Roman" w:cs="Times New Roman"/>
          <w:bCs/>
          <w:color w:val="000000"/>
        </w:rPr>
        <w:footnoteReference w:id="10"/>
      </w:r>
      <w:r>
        <w:rPr>
          <w:rFonts w:eastAsia="Times New Roman" w:cs="Times New Roman"/>
          <w:bCs/>
          <w:color w:val="000000"/>
        </w:rPr>
        <w:t xml:space="preserve">  The Commission authorized DP&amp;L’s SSR charge and permitted DP&amp;L to collect $110 million annually from its customers for three years through the end of 2016.</w:t>
      </w:r>
      <w:r>
        <w:rPr>
          <w:rStyle w:val="FootnoteReference"/>
          <w:rFonts w:eastAsia="Times New Roman" w:cs="Times New Roman"/>
          <w:bCs/>
          <w:color w:val="000000"/>
        </w:rPr>
        <w:footnoteReference w:id="11"/>
      </w:r>
      <w:r>
        <w:rPr>
          <w:rFonts w:eastAsia="Times New Roman" w:cs="Times New Roman"/>
          <w:bCs/>
          <w:color w:val="000000"/>
        </w:rPr>
        <w:t xml:space="preserve">  </w:t>
      </w:r>
      <w:r>
        <w:t>The authorization of DP&amp;L’s charge was also appealed to the Court.</w:t>
      </w:r>
    </w:p>
    <w:p w14:paraId="184B017E" w14:textId="77777777" w:rsidR="00830CC2" w:rsidRDefault="00830CC2" w:rsidP="00830CC2">
      <w:pPr>
        <w:ind w:firstLine="720"/>
        <w:rPr>
          <w:rFonts w:eastAsia="Times New Roman" w:cs="Times New Roman"/>
          <w:bCs/>
          <w:color w:val="000000"/>
        </w:rPr>
      </w:pPr>
      <w:r>
        <w:rPr>
          <w:rFonts w:eastAsia="Times New Roman" w:cs="Times New Roman"/>
          <w:bCs/>
          <w:color w:val="000000"/>
        </w:rPr>
        <w:t xml:space="preserve">In the first case in which the Court has reached a decision, the Court in </w:t>
      </w:r>
      <w:r>
        <w:rPr>
          <w:rFonts w:eastAsia="Times New Roman" w:cs="Times New Roman"/>
          <w:bCs/>
          <w:i/>
          <w:color w:val="000000"/>
        </w:rPr>
        <w:t>Columbus Southern</w:t>
      </w:r>
      <w:r>
        <w:rPr>
          <w:rFonts w:eastAsia="Times New Roman" w:cs="Times New Roman"/>
          <w:bCs/>
          <w:color w:val="000000"/>
        </w:rPr>
        <w:t xml:space="preserve"> agreed with customers that the Commission had acted unlawfully and unreasonably and reversed and remanded the AEP-Ohio case to the Commission.  </w:t>
      </w:r>
      <w:r w:rsidRPr="00F356E6">
        <w:rPr>
          <w:rFonts w:eastAsia="Times New Roman" w:cs="Times New Roman"/>
          <w:bCs/>
          <w:color w:val="000000"/>
        </w:rPr>
        <w:t xml:space="preserve">As </w:t>
      </w:r>
      <w:r>
        <w:rPr>
          <w:rFonts w:eastAsia="Times New Roman" w:cs="Times New Roman"/>
          <w:bCs/>
          <w:color w:val="000000"/>
        </w:rPr>
        <w:t xml:space="preserve">the Court </w:t>
      </w:r>
      <w:r w:rsidRPr="00F356E6">
        <w:rPr>
          <w:rFonts w:eastAsia="Times New Roman" w:cs="Times New Roman"/>
          <w:bCs/>
          <w:color w:val="000000"/>
        </w:rPr>
        <w:t>explained, “[u]tilities had until December 31, 2005 … to receive generation transition revenue … [and] were also permitted to receive transition revenue associated with regulatory assets … until December 31, 2010.”</w:t>
      </w:r>
      <w:r>
        <w:rPr>
          <w:rStyle w:val="FootnoteReference"/>
          <w:rFonts w:eastAsia="Times New Roman" w:cs="Times New Roman"/>
          <w:bCs/>
          <w:color w:val="000000"/>
        </w:rPr>
        <w:footnoteReference w:id="12"/>
      </w:r>
      <w:r w:rsidRPr="00F356E6">
        <w:rPr>
          <w:rFonts w:eastAsia="Times New Roman" w:cs="Times New Roman"/>
          <w:bCs/>
          <w:color w:val="000000"/>
        </w:rPr>
        <w:t xml:space="preserve">  “After that date, R.C. 4928.38 prohibits the commission from ‘authoriz[ing] the receipt of transition revenues or any equivalent revenues by an electric utility.’”</w:t>
      </w:r>
      <w:r>
        <w:rPr>
          <w:rStyle w:val="FootnoteReference"/>
          <w:rFonts w:eastAsia="Times New Roman" w:cs="Times New Roman"/>
          <w:bCs/>
          <w:color w:val="000000"/>
        </w:rPr>
        <w:footnoteReference w:id="13"/>
      </w:r>
      <w:r w:rsidRPr="00F356E6">
        <w:rPr>
          <w:rFonts w:eastAsia="Times New Roman" w:cs="Times New Roman"/>
          <w:bCs/>
          <w:color w:val="000000"/>
        </w:rPr>
        <w:t xml:space="preserve">  The Court also noted that subsequent legislation enacted in 2008 further “expressly prohibits the recovery of transition costs” under “a standard service offer made through an ESP.”</w:t>
      </w:r>
      <w:r>
        <w:rPr>
          <w:rStyle w:val="FootnoteReference"/>
          <w:rFonts w:eastAsia="Times New Roman" w:cs="Times New Roman"/>
          <w:bCs/>
          <w:color w:val="000000"/>
        </w:rPr>
        <w:footnoteReference w:id="14"/>
      </w:r>
      <w:r w:rsidRPr="00F356E6">
        <w:rPr>
          <w:rFonts w:eastAsia="Times New Roman" w:cs="Times New Roman"/>
          <w:bCs/>
          <w:color w:val="000000"/>
        </w:rPr>
        <w:t xml:space="preserve">  </w:t>
      </w:r>
    </w:p>
    <w:p w14:paraId="108503A3" w14:textId="77777777" w:rsidR="00830CC2" w:rsidRDefault="00F52977" w:rsidP="003022C1">
      <w:pPr>
        <w:ind w:firstLine="720"/>
        <w:rPr>
          <w:rFonts w:eastAsia="Times New Roman" w:cs="Times New Roman"/>
          <w:bCs/>
          <w:i/>
          <w:color w:val="000000"/>
        </w:rPr>
      </w:pPr>
      <w:r w:rsidRPr="00F356E6">
        <w:rPr>
          <w:rFonts w:eastAsia="Times New Roman" w:cs="Times New Roman"/>
          <w:bCs/>
          <w:color w:val="000000"/>
        </w:rPr>
        <w:lastRenderedPageBreak/>
        <w:t>Turning to the record in the AEP-Ohio case, the Court looked at the true nature of the RSR to determine if it allowed the collection of transition revenue or its equivalent.  The Court found that AEP-Ohio “proposed the RSR as a means to ensure that the company was not financially harmed during its transition to a fully competitive generation market over the three-year ESP period.”</w:t>
      </w:r>
      <w:r>
        <w:rPr>
          <w:rStyle w:val="FootnoteReference"/>
          <w:rFonts w:eastAsia="Times New Roman" w:cs="Times New Roman"/>
          <w:bCs/>
          <w:color w:val="000000"/>
        </w:rPr>
        <w:footnoteReference w:id="15"/>
      </w:r>
      <w:r w:rsidRPr="00F356E6">
        <w:rPr>
          <w:rFonts w:eastAsia="Times New Roman" w:cs="Times New Roman"/>
          <w:bCs/>
          <w:color w:val="000000"/>
        </w:rPr>
        <w:t xml:space="preserve"> To achieve this result, AEP-Ohio requested that the Commission “guarantee recovery of lost revenue” through the RSR related to three sources of generation revenue:  retail nonfuel generation revenues, decreased capacity revenue, and revenue lost due to customer switching.</w:t>
      </w:r>
      <w:r>
        <w:rPr>
          <w:rStyle w:val="FootnoteReference"/>
          <w:rFonts w:eastAsia="Times New Roman" w:cs="Times New Roman"/>
          <w:bCs/>
          <w:color w:val="000000"/>
        </w:rPr>
        <w:footnoteReference w:id="16"/>
      </w:r>
      <w:r w:rsidRPr="00F356E6">
        <w:rPr>
          <w:rFonts w:eastAsia="Times New Roman" w:cs="Times New Roman"/>
          <w:bCs/>
          <w:color w:val="000000"/>
        </w:rPr>
        <w:t xml:space="preserve">  “According to [AEP-Ohio’s] witnesses, the RSR was designed to generate enough revenue for the company to achieve a certain rate of return on its generation assets as it transitions to full auction pricing for energy and capacity by June 2015.”</w:t>
      </w:r>
      <w:r>
        <w:rPr>
          <w:rStyle w:val="FootnoteReference"/>
          <w:rFonts w:eastAsia="Times New Roman" w:cs="Times New Roman"/>
          <w:bCs/>
          <w:color w:val="000000"/>
        </w:rPr>
        <w:footnoteReference w:id="17"/>
      </w:r>
      <w:r w:rsidRPr="00F356E6">
        <w:rPr>
          <w:rFonts w:eastAsia="Times New Roman" w:cs="Times New Roman"/>
          <w:bCs/>
          <w:color w:val="000000"/>
        </w:rPr>
        <w:t xml:space="preserve">  The Court also noted that the Commission had approved the RSR “to provide AEP with sufficient revenue to maintain its financial integrity and ability to attract capital during the ESP.”</w:t>
      </w:r>
      <w:r>
        <w:rPr>
          <w:rStyle w:val="FootnoteReference"/>
          <w:rFonts w:eastAsia="Times New Roman" w:cs="Times New Roman"/>
          <w:bCs/>
          <w:color w:val="000000"/>
        </w:rPr>
        <w:footnoteReference w:id="18"/>
      </w:r>
      <w:r w:rsidRPr="00F356E6">
        <w:rPr>
          <w:rFonts w:eastAsia="Times New Roman" w:cs="Times New Roman"/>
          <w:bCs/>
          <w:i/>
          <w:color w:val="000000"/>
        </w:rPr>
        <w:t xml:space="preserve"> </w:t>
      </w:r>
    </w:p>
    <w:p w14:paraId="59E934EB" w14:textId="77777777" w:rsidR="00BE00D7" w:rsidRPr="00F356E6" w:rsidRDefault="00BE00D7" w:rsidP="00FB14A4">
      <w:pPr>
        <w:ind w:firstLine="720"/>
        <w:rPr>
          <w:rFonts w:eastAsia="Times New Roman" w:cs="Times New Roman"/>
          <w:bCs/>
          <w:color w:val="000000"/>
        </w:rPr>
      </w:pPr>
      <w:r w:rsidRPr="00F356E6">
        <w:rPr>
          <w:rFonts w:eastAsia="Times New Roman" w:cs="Times New Roman"/>
          <w:bCs/>
          <w:color w:val="000000"/>
        </w:rPr>
        <w:t xml:space="preserve">The Court </w:t>
      </w:r>
      <w:r>
        <w:rPr>
          <w:rFonts w:eastAsia="Times New Roman" w:cs="Times New Roman"/>
          <w:bCs/>
          <w:color w:val="000000"/>
        </w:rPr>
        <w:t xml:space="preserve">also </w:t>
      </w:r>
      <w:r w:rsidRPr="00F356E6">
        <w:rPr>
          <w:rFonts w:eastAsia="Times New Roman" w:cs="Times New Roman"/>
          <w:bCs/>
          <w:color w:val="000000"/>
        </w:rPr>
        <w:t xml:space="preserve">rejected the Commission’s claim that </w:t>
      </w:r>
      <w:r>
        <w:rPr>
          <w:rFonts w:eastAsia="Times New Roman" w:cs="Times New Roman"/>
          <w:bCs/>
          <w:color w:val="000000"/>
        </w:rPr>
        <w:t xml:space="preserve">the </w:t>
      </w:r>
      <w:r w:rsidR="00AD27E1">
        <w:rPr>
          <w:rFonts w:eastAsia="Times New Roman" w:cs="Times New Roman"/>
          <w:bCs/>
          <w:color w:val="000000"/>
        </w:rPr>
        <w:t>R</w:t>
      </w:r>
      <w:r>
        <w:rPr>
          <w:rFonts w:eastAsia="Times New Roman" w:cs="Times New Roman"/>
          <w:bCs/>
          <w:color w:val="000000"/>
        </w:rPr>
        <w:t>SR</w:t>
      </w:r>
      <w:r w:rsidRPr="00F356E6">
        <w:rPr>
          <w:rFonts w:eastAsia="Times New Roman" w:cs="Times New Roman"/>
          <w:bCs/>
          <w:color w:val="000000"/>
        </w:rPr>
        <w:t xml:space="preserve"> was not transition revenue because AEP-Ohio did not seek recovery of transition revenue.</w:t>
      </w:r>
      <w:r>
        <w:rPr>
          <w:rStyle w:val="FootnoteReference"/>
          <w:rFonts w:eastAsia="Times New Roman" w:cs="Times New Roman"/>
          <w:bCs/>
          <w:color w:val="000000"/>
        </w:rPr>
        <w:footnoteReference w:id="19"/>
      </w:r>
      <w:r w:rsidRPr="00F356E6">
        <w:rPr>
          <w:rFonts w:eastAsia="Times New Roman" w:cs="Times New Roman"/>
          <w:bCs/>
          <w:color w:val="000000"/>
        </w:rPr>
        <w:t xml:space="preserve">  “[T]he fact that AEP did not explicitly seek transition revenues does not foreclose a finding that the company is receiving the equivalent of transition revenue under the guise of the RSR.”</w:t>
      </w:r>
      <w:r>
        <w:rPr>
          <w:rStyle w:val="FootnoteReference"/>
          <w:rFonts w:eastAsia="Times New Roman" w:cs="Times New Roman"/>
          <w:bCs/>
          <w:color w:val="000000"/>
        </w:rPr>
        <w:footnoteReference w:id="20"/>
      </w:r>
      <w:r w:rsidRPr="00F356E6">
        <w:rPr>
          <w:rFonts w:eastAsia="Times New Roman" w:cs="Times New Roman"/>
          <w:bCs/>
          <w:color w:val="000000"/>
        </w:rPr>
        <w:t xml:space="preserve">  “By inserting the phrase ‘any equivalent revenues,’ the General Assembly has demonstrated its intention to bar not only transition revenue associated with costs that </w:t>
      </w:r>
      <w:r w:rsidRPr="00F356E6">
        <w:rPr>
          <w:rFonts w:eastAsia="Times New Roman" w:cs="Times New Roman"/>
          <w:bCs/>
          <w:color w:val="000000"/>
        </w:rPr>
        <w:lastRenderedPageBreak/>
        <w:t>were stranded during the transition to market following S.B. 3 but also any revenue that amounts to transition revenue by another name.”</w:t>
      </w:r>
      <w:r>
        <w:rPr>
          <w:rStyle w:val="FootnoteReference"/>
          <w:rFonts w:eastAsia="Times New Roman" w:cs="Times New Roman"/>
          <w:bCs/>
          <w:color w:val="000000"/>
        </w:rPr>
        <w:footnoteReference w:id="21"/>
      </w:r>
      <w:r w:rsidRPr="00F356E6">
        <w:rPr>
          <w:rFonts w:eastAsia="Times New Roman" w:cs="Times New Roman"/>
          <w:bCs/>
          <w:color w:val="000000"/>
        </w:rPr>
        <w:t xml:space="preserve"> </w:t>
      </w:r>
      <w:r>
        <w:rPr>
          <w:rFonts w:eastAsia="Times New Roman" w:cs="Times New Roman"/>
          <w:bCs/>
          <w:color w:val="000000"/>
        </w:rPr>
        <w:t xml:space="preserve"> </w:t>
      </w:r>
      <w:r w:rsidRPr="00F356E6">
        <w:rPr>
          <w:rFonts w:eastAsia="Times New Roman" w:cs="Times New Roman"/>
          <w:bCs/>
          <w:color w:val="000000"/>
        </w:rPr>
        <w:t>Accordingly, the Court concluded “that the Commission erred in focusing solely on whether AEP had expressly sought to receive transition revenue</w:t>
      </w:r>
      <w:r>
        <w:rPr>
          <w:rFonts w:eastAsia="Times New Roman" w:cs="Times New Roman"/>
          <w:bCs/>
          <w:color w:val="000000"/>
        </w:rPr>
        <w:t>s</w:t>
      </w:r>
      <w:r w:rsidRPr="00F356E6">
        <w:rPr>
          <w:rFonts w:eastAsia="Times New Roman" w:cs="Times New Roman"/>
          <w:bCs/>
          <w:color w:val="000000"/>
        </w:rPr>
        <w:t xml:space="preserve"> rather than looking at the nature of the costs recovered through the RSR.”</w:t>
      </w:r>
      <w:r>
        <w:rPr>
          <w:rStyle w:val="FootnoteReference"/>
          <w:rFonts w:eastAsia="Times New Roman" w:cs="Times New Roman"/>
          <w:bCs/>
          <w:color w:val="000000"/>
        </w:rPr>
        <w:footnoteReference w:id="22"/>
      </w:r>
      <w:r w:rsidRPr="00F356E6">
        <w:rPr>
          <w:rFonts w:eastAsia="Times New Roman" w:cs="Times New Roman"/>
          <w:bCs/>
          <w:color w:val="000000"/>
        </w:rPr>
        <w:t xml:space="preserve">  </w:t>
      </w:r>
    </w:p>
    <w:p w14:paraId="629FF7C2" w14:textId="5686900B" w:rsidR="00881FCE" w:rsidRDefault="00BE00D7" w:rsidP="00BE00D7">
      <w:pPr>
        <w:ind w:firstLine="720"/>
        <w:rPr>
          <w:rFonts w:eastAsia="Times New Roman" w:cs="Times New Roman"/>
          <w:bCs/>
          <w:color w:val="000000"/>
        </w:rPr>
      </w:pPr>
      <w:r>
        <w:rPr>
          <w:rFonts w:eastAsia="Times New Roman" w:cs="Times New Roman"/>
          <w:bCs/>
          <w:color w:val="000000"/>
        </w:rPr>
        <w:t xml:space="preserve">Like AEP-Ohio’s RSR, DP&amp;L’s SSR permits DP&amp;L to collect transition revenue or its equivalent.  </w:t>
      </w:r>
      <w:r w:rsidRPr="00F356E6">
        <w:rPr>
          <w:rFonts w:eastAsia="Times New Roman" w:cs="Times New Roman"/>
          <w:bCs/>
          <w:color w:val="000000"/>
        </w:rPr>
        <w:t xml:space="preserve">The “nature” of </w:t>
      </w:r>
      <w:r>
        <w:rPr>
          <w:rFonts w:eastAsia="Times New Roman" w:cs="Times New Roman"/>
          <w:bCs/>
          <w:color w:val="000000"/>
        </w:rPr>
        <w:t>the SSR</w:t>
      </w:r>
      <w:r w:rsidRPr="00F356E6">
        <w:rPr>
          <w:rFonts w:eastAsia="Times New Roman" w:cs="Times New Roman"/>
          <w:bCs/>
          <w:color w:val="000000"/>
        </w:rPr>
        <w:t xml:space="preserve"> in this case is identical to the nature of </w:t>
      </w:r>
      <w:r w:rsidR="00145775">
        <w:rPr>
          <w:rFonts w:eastAsia="Times New Roman" w:cs="Times New Roman"/>
          <w:bCs/>
          <w:color w:val="000000"/>
        </w:rPr>
        <w:t>the RSR</w:t>
      </w:r>
      <w:r w:rsidRPr="00F356E6">
        <w:rPr>
          <w:rFonts w:eastAsia="Times New Roman" w:cs="Times New Roman"/>
          <w:bCs/>
          <w:color w:val="000000"/>
        </w:rPr>
        <w:t xml:space="preserve"> that the Court held was an unlawful transition charge.  DP&amp;L proposed </w:t>
      </w:r>
      <w:r w:rsidR="00145775">
        <w:rPr>
          <w:rFonts w:eastAsia="Times New Roman" w:cs="Times New Roman"/>
          <w:bCs/>
          <w:color w:val="000000"/>
        </w:rPr>
        <w:t>the SSR</w:t>
      </w:r>
      <w:r w:rsidRPr="00F356E6">
        <w:rPr>
          <w:rFonts w:eastAsia="Times New Roman" w:cs="Times New Roman"/>
          <w:bCs/>
          <w:color w:val="000000"/>
        </w:rPr>
        <w:t xml:space="preserve"> for </w:t>
      </w:r>
      <w:r w:rsidR="00D9115C">
        <w:rPr>
          <w:rFonts w:eastAsia="Times New Roman" w:cs="Times New Roman"/>
          <w:bCs/>
          <w:color w:val="000000"/>
        </w:rPr>
        <w:t xml:space="preserve">a </w:t>
      </w:r>
      <w:r w:rsidRPr="00F356E6">
        <w:rPr>
          <w:rFonts w:eastAsia="Times New Roman" w:cs="Times New Roman"/>
          <w:bCs/>
          <w:color w:val="000000"/>
        </w:rPr>
        <w:t xml:space="preserve">similar reason as </w:t>
      </w:r>
      <w:r>
        <w:rPr>
          <w:rFonts w:eastAsia="Times New Roman" w:cs="Times New Roman"/>
          <w:bCs/>
          <w:color w:val="000000"/>
        </w:rPr>
        <w:t>AEP</w:t>
      </w:r>
      <w:r>
        <w:rPr>
          <w:rFonts w:eastAsia="Times New Roman" w:cs="Times New Roman"/>
          <w:bCs/>
          <w:color w:val="000000"/>
        </w:rPr>
        <w:noBreakHyphen/>
      </w:r>
      <w:r w:rsidRPr="00F356E6">
        <w:rPr>
          <w:rFonts w:eastAsia="Times New Roman" w:cs="Times New Roman"/>
          <w:bCs/>
          <w:color w:val="000000"/>
        </w:rPr>
        <w:t>Ohio</w:t>
      </w:r>
      <w:r>
        <w:rPr>
          <w:rFonts w:eastAsia="Times New Roman" w:cs="Times New Roman"/>
          <w:bCs/>
          <w:color w:val="000000"/>
        </w:rPr>
        <w:t>:</w:t>
      </w:r>
      <w:r w:rsidRPr="00F356E6">
        <w:rPr>
          <w:rFonts w:eastAsia="Times New Roman" w:cs="Times New Roman"/>
          <w:bCs/>
          <w:color w:val="000000"/>
        </w:rPr>
        <w:t xml:space="preserve"> </w:t>
      </w:r>
      <w:r>
        <w:rPr>
          <w:rFonts w:eastAsia="Times New Roman" w:cs="Times New Roman"/>
          <w:bCs/>
          <w:color w:val="000000"/>
        </w:rPr>
        <w:t xml:space="preserve"> </w:t>
      </w:r>
      <w:r w:rsidRPr="00F356E6">
        <w:rPr>
          <w:rFonts w:eastAsia="Times New Roman" w:cs="Times New Roman"/>
          <w:bCs/>
          <w:color w:val="000000"/>
        </w:rPr>
        <w:t>to make up for revenue DP&amp;L was not receiving in the competitive generat</w:t>
      </w:r>
      <w:r>
        <w:rPr>
          <w:rFonts w:eastAsia="Times New Roman" w:cs="Times New Roman"/>
          <w:bCs/>
          <w:color w:val="000000"/>
        </w:rPr>
        <w:t>ion market primarily related to</w:t>
      </w:r>
      <w:r w:rsidRPr="00F356E6">
        <w:rPr>
          <w:rFonts w:eastAsia="Times New Roman" w:cs="Times New Roman"/>
          <w:bCs/>
          <w:color w:val="000000"/>
        </w:rPr>
        <w:t xml:space="preserve"> “increased [customer] switching, declining wholesale prices, and declining capacity prices.”</w:t>
      </w:r>
      <w:r w:rsidR="00145775">
        <w:rPr>
          <w:rStyle w:val="FootnoteReference"/>
          <w:rFonts w:eastAsia="Times New Roman" w:cs="Times New Roman"/>
          <w:bCs/>
          <w:color w:val="000000"/>
        </w:rPr>
        <w:footnoteReference w:id="23"/>
      </w:r>
      <w:r w:rsidRPr="00F356E6">
        <w:rPr>
          <w:rFonts w:eastAsia="Times New Roman" w:cs="Times New Roman"/>
          <w:bCs/>
          <w:color w:val="000000"/>
        </w:rPr>
        <w:t xml:space="preserve">  </w:t>
      </w:r>
      <w:r>
        <w:rPr>
          <w:rFonts w:eastAsia="Times New Roman" w:cs="Times New Roman"/>
          <w:bCs/>
          <w:color w:val="000000"/>
        </w:rPr>
        <w:t xml:space="preserve">Further, </w:t>
      </w:r>
      <w:r w:rsidR="00145775">
        <w:rPr>
          <w:rFonts w:eastAsia="Times New Roman" w:cs="Times New Roman"/>
          <w:bCs/>
          <w:color w:val="000000"/>
        </w:rPr>
        <w:t>the SSR</w:t>
      </w:r>
      <w:r>
        <w:rPr>
          <w:rFonts w:eastAsia="Times New Roman" w:cs="Times New Roman"/>
          <w:bCs/>
          <w:color w:val="000000"/>
        </w:rPr>
        <w:t xml:space="preserve"> was</w:t>
      </w:r>
      <w:r w:rsidRPr="00F356E6">
        <w:rPr>
          <w:rFonts w:eastAsia="Times New Roman" w:cs="Times New Roman"/>
          <w:bCs/>
          <w:color w:val="000000"/>
        </w:rPr>
        <w:t xml:space="preserve"> designed to ensure that </w:t>
      </w:r>
      <w:r w:rsidR="00145775">
        <w:rPr>
          <w:rFonts w:eastAsia="Times New Roman" w:cs="Times New Roman"/>
          <w:bCs/>
          <w:color w:val="000000"/>
        </w:rPr>
        <w:t>DP&amp;L</w:t>
      </w:r>
      <w:r w:rsidRPr="00F356E6">
        <w:rPr>
          <w:rFonts w:eastAsia="Times New Roman" w:cs="Times New Roman"/>
          <w:bCs/>
          <w:color w:val="000000"/>
        </w:rPr>
        <w:t xml:space="preserve"> collected enough revenue through </w:t>
      </w:r>
      <w:r>
        <w:rPr>
          <w:rFonts w:eastAsia="Times New Roman" w:cs="Times New Roman"/>
          <w:bCs/>
          <w:color w:val="000000"/>
        </w:rPr>
        <w:t>its charge</w:t>
      </w:r>
      <w:r w:rsidRPr="00F356E6">
        <w:rPr>
          <w:rFonts w:eastAsia="Times New Roman" w:cs="Times New Roman"/>
          <w:bCs/>
          <w:color w:val="000000"/>
        </w:rPr>
        <w:t xml:space="preserve"> to earn a return </w:t>
      </w:r>
      <w:r w:rsidR="00145775">
        <w:rPr>
          <w:rFonts w:eastAsia="Times New Roman" w:cs="Times New Roman"/>
          <w:bCs/>
          <w:color w:val="000000"/>
        </w:rPr>
        <w:t xml:space="preserve">on equity </w:t>
      </w:r>
      <w:r w:rsidRPr="00F356E6">
        <w:rPr>
          <w:rFonts w:eastAsia="Times New Roman" w:cs="Times New Roman"/>
          <w:bCs/>
          <w:color w:val="000000"/>
        </w:rPr>
        <w:t>between 7 and 11 percent</w:t>
      </w:r>
      <w:r>
        <w:rPr>
          <w:rFonts w:eastAsia="Times New Roman" w:cs="Times New Roman"/>
          <w:bCs/>
          <w:color w:val="000000"/>
        </w:rPr>
        <w:t>, just as the Commission had authorized for AEP-Ohio</w:t>
      </w:r>
      <w:r w:rsidRPr="00F356E6">
        <w:rPr>
          <w:rFonts w:eastAsia="Times New Roman" w:cs="Times New Roman"/>
          <w:bCs/>
          <w:color w:val="000000"/>
        </w:rPr>
        <w:t>.</w:t>
      </w:r>
      <w:r w:rsidR="00145775">
        <w:rPr>
          <w:rStyle w:val="FootnoteReference"/>
          <w:rFonts w:eastAsia="Times New Roman" w:cs="Times New Roman"/>
          <w:bCs/>
          <w:color w:val="000000"/>
        </w:rPr>
        <w:footnoteReference w:id="24"/>
      </w:r>
      <w:r w:rsidRPr="00F356E6">
        <w:rPr>
          <w:rFonts w:eastAsia="Times New Roman" w:cs="Times New Roman"/>
          <w:bCs/>
          <w:color w:val="000000"/>
        </w:rPr>
        <w:t xml:space="preserve">  The </w:t>
      </w:r>
      <w:r w:rsidR="00881FCE">
        <w:rPr>
          <w:rFonts w:eastAsia="Times New Roman" w:cs="Times New Roman"/>
          <w:bCs/>
          <w:color w:val="000000"/>
        </w:rPr>
        <w:t>RSR and SSR</w:t>
      </w:r>
      <w:r w:rsidRPr="00F356E6">
        <w:rPr>
          <w:rFonts w:eastAsia="Times New Roman" w:cs="Times New Roman"/>
          <w:bCs/>
          <w:color w:val="000000"/>
        </w:rPr>
        <w:t xml:space="preserve"> were also related to claims that they would protect the utilities’ financial integrity.</w:t>
      </w:r>
      <w:r w:rsidR="00881FCE">
        <w:rPr>
          <w:rStyle w:val="FootnoteReference"/>
          <w:rFonts w:eastAsia="Times New Roman" w:cs="Times New Roman"/>
          <w:bCs/>
          <w:color w:val="000000"/>
        </w:rPr>
        <w:footnoteReference w:id="25"/>
      </w:r>
      <w:r w:rsidRPr="00F356E6">
        <w:rPr>
          <w:rFonts w:eastAsia="Times New Roman" w:cs="Times New Roman"/>
          <w:bCs/>
          <w:color w:val="000000"/>
        </w:rPr>
        <w:t xml:space="preserve">  </w:t>
      </w:r>
    </w:p>
    <w:p w14:paraId="2DF0A5E5" w14:textId="776EEEA4" w:rsidR="00BE00D7" w:rsidRPr="00F356E6" w:rsidRDefault="00607E38" w:rsidP="00BE00D7">
      <w:pPr>
        <w:ind w:firstLine="720"/>
        <w:rPr>
          <w:rFonts w:eastAsia="Times New Roman" w:cs="Times New Roman"/>
          <w:bCs/>
          <w:color w:val="000000"/>
        </w:rPr>
      </w:pPr>
      <w:r>
        <w:rPr>
          <w:rFonts w:eastAsia="Times New Roman" w:cs="Times New Roman"/>
          <w:bCs/>
          <w:color w:val="000000"/>
        </w:rPr>
        <w:t xml:space="preserve">The arguments and findings of DP&amp;L and the Commission, respectively, confirm that the RSR and SSR </w:t>
      </w:r>
      <w:r w:rsidR="007B617A">
        <w:rPr>
          <w:rFonts w:eastAsia="Times New Roman" w:cs="Times New Roman"/>
          <w:bCs/>
          <w:color w:val="000000"/>
        </w:rPr>
        <w:t xml:space="preserve">are </w:t>
      </w:r>
      <w:r>
        <w:rPr>
          <w:rFonts w:eastAsia="Times New Roman" w:cs="Times New Roman"/>
          <w:bCs/>
          <w:color w:val="000000"/>
        </w:rPr>
        <w:t xml:space="preserve">equivalent unlawful transition charges.  </w:t>
      </w:r>
      <w:r w:rsidR="00BE00D7" w:rsidRPr="00F356E6">
        <w:rPr>
          <w:rFonts w:eastAsia="Times New Roman" w:cs="Times New Roman"/>
          <w:bCs/>
          <w:color w:val="000000"/>
        </w:rPr>
        <w:t xml:space="preserve">In its post-hearing </w:t>
      </w:r>
      <w:r w:rsidR="00BE00D7" w:rsidRPr="00F356E6">
        <w:rPr>
          <w:rFonts w:eastAsia="Times New Roman" w:cs="Times New Roman"/>
          <w:bCs/>
          <w:color w:val="000000"/>
        </w:rPr>
        <w:lastRenderedPageBreak/>
        <w:t>briefs, DP&amp;L argued that the Commission should approve its</w:t>
      </w:r>
      <w:r w:rsidR="00BE00D7">
        <w:rPr>
          <w:rFonts w:eastAsia="Times New Roman" w:cs="Times New Roman"/>
          <w:bCs/>
          <w:color w:val="000000"/>
        </w:rPr>
        <w:t xml:space="preserve"> charge because “the SSR is substantially similar to AEP's Rate Stabilization Rider (RSR) approved by the </w:t>
      </w:r>
      <w:r w:rsidR="00BE00D7" w:rsidRPr="00F356E6">
        <w:rPr>
          <w:rFonts w:eastAsia="Times New Roman" w:cs="Times New Roman"/>
          <w:bCs/>
          <w:color w:val="000000"/>
        </w:rPr>
        <w:t>Commission.”</w:t>
      </w:r>
      <w:r>
        <w:rPr>
          <w:rStyle w:val="FootnoteReference"/>
          <w:rFonts w:eastAsia="Times New Roman" w:cs="Times New Roman"/>
          <w:bCs/>
          <w:color w:val="000000"/>
        </w:rPr>
        <w:footnoteReference w:id="26"/>
      </w:r>
      <w:r w:rsidR="00BE00D7" w:rsidRPr="00F356E6">
        <w:rPr>
          <w:rFonts w:eastAsia="Times New Roman" w:cs="Times New Roman"/>
          <w:bCs/>
          <w:color w:val="000000"/>
        </w:rPr>
        <w:t xml:space="preserve">  The Commission also cited to its approval of AEP-Ohio’s charge as a basis for authorizing the magnitude of DP&amp;L’s charge.</w:t>
      </w:r>
      <w:r>
        <w:rPr>
          <w:rStyle w:val="FootnoteReference"/>
          <w:rFonts w:eastAsia="Times New Roman" w:cs="Times New Roman"/>
          <w:bCs/>
          <w:color w:val="000000"/>
        </w:rPr>
        <w:footnoteReference w:id="27"/>
      </w:r>
      <w:r w:rsidR="00BE00D7" w:rsidRPr="00F356E6">
        <w:rPr>
          <w:rFonts w:eastAsia="Times New Roman" w:cs="Times New Roman"/>
          <w:bCs/>
          <w:color w:val="000000"/>
        </w:rPr>
        <w:t xml:space="preserve">  The Commission further found that its authorization of DP&amp;L’s charge and rejection of arguments that DP&amp;L’s charge would allow DP&amp;L to collect transition revenue or its equivalent was “consistent with [its] decision in the </w:t>
      </w:r>
      <w:r w:rsidR="00BE00D7" w:rsidRPr="00F356E6">
        <w:rPr>
          <w:rFonts w:eastAsia="Times New Roman" w:cs="Times New Roman"/>
          <w:bCs/>
          <w:i/>
          <w:color w:val="000000"/>
        </w:rPr>
        <w:t>AEP ESP II Case</w:t>
      </w:r>
      <w:r w:rsidR="00BE00D7" w:rsidRPr="00F356E6">
        <w:rPr>
          <w:rFonts w:eastAsia="Times New Roman" w:cs="Times New Roman"/>
          <w:bCs/>
          <w:color w:val="000000"/>
        </w:rPr>
        <w:t>, in which [it] determined that AEP-Ohio's proposed RSR did not allow for the collection of inappropriate transition revenues or stranded costs.”</w:t>
      </w:r>
      <w:r>
        <w:rPr>
          <w:rStyle w:val="FootnoteReference"/>
          <w:rFonts w:eastAsia="Times New Roman" w:cs="Times New Roman"/>
          <w:bCs/>
          <w:color w:val="000000"/>
        </w:rPr>
        <w:footnoteReference w:id="28"/>
      </w:r>
      <w:r w:rsidR="00BE00D7" w:rsidRPr="00F356E6">
        <w:rPr>
          <w:rFonts w:eastAsia="Times New Roman" w:cs="Times New Roman"/>
          <w:bCs/>
          <w:color w:val="000000"/>
        </w:rPr>
        <w:t xml:space="preserve">  Finally, in its amicus brief filed in the AEP-Ohio appeal, DP&amp;L argued to the Court that the record supporting </w:t>
      </w:r>
      <w:r w:rsidR="002953A0">
        <w:rPr>
          <w:rFonts w:eastAsia="Times New Roman" w:cs="Times New Roman"/>
          <w:bCs/>
          <w:color w:val="000000"/>
        </w:rPr>
        <w:t>the SSR</w:t>
      </w:r>
      <w:r w:rsidR="00BE00D7" w:rsidRPr="00F356E6">
        <w:rPr>
          <w:rFonts w:eastAsia="Times New Roman" w:cs="Times New Roman"/>
          <w:bCs/>
          <w:color w:val="000000"/>
        </w:rPr>
        <w:t xml:space="preserve"> “closely resembles” the record that AEP-Ohio developed in support of </w:t>
      </w:r>
      <w:r w:rsidR="002953A0">
        <w:rPr>
          <w:rFonts w:eastAsia="Times New Roman" w:cs="Times New Roman"/>
          <w:bCs/>
          <w:color w:val="000000"/>
        </w:rPr>
        <w:t>the RSR</w:t>
      </w:r>
      <w:r w:rsidR="00BE00D7" w:rsidRPr="00F356E6">
        <w:rPr>
          <w:rFonts w:eastAsia="Times New Roman" w:cs="Times New Roman"/>
          <w:bCs/>
          <w:color w:val="000000"/>
        </w:rPr>
        <w:t>.</w:t>
      </w:r>
      <w:r>
        <w:rPr>
          <w:rStyle w:val="FootnoteReference"/>
          <w:rFonts w:eastAsia="Times New Roman" w:cs="Times New Roman"/>
          <w:bCs/>
          <w:color w:val="000000"/>
        </w:rPr>
        <w:footnoteReference w:id="29"/>
      </w:r>
      <w:r w:rsidR="00BE00D7" w:rsidRPr="00F356E6">
        <w:rPr>
          <w:rFonts w:eastAsia="Times New Roman" w:cs="Times New Roman"/>
          <w:bCs/>
          <w:color w:val="000000"/>
        </w:rPr>
        <w:t xml:space="preserve">  </w:t>
      </w:r>
    </w:p>
    <w:p w14:paraId="0419028F" w14:textId="77777777" w:rsidR="00BE00D7" w:rsidRDefault="00BE00D7" w:rsidP="00BE00D7">
      <w:pPr>
        <w:ind w:firstLine="720"/>
        <w:rPr>
          <w:rFonts w:eastAsia="Times New Roman" w:cs="Times New Roman"/>
          <w:bCs/>
          <w:color w:val="000000"/>
        </w:rPr>
      </w:pPr>
      <w:r>
        <w:rPr>
          <w:rFonts w:eastAsia="Times New Roman" w:cs="Times New Roman"/>
          <w:bCs/>
          <w:color w:val="000000"/>
        </w:rPr>
        <w:t xml:space="preserve">Further, as it had done with respect to </w:t>
      </w:r>
      <w:r w:rsidR="002953A0">
        <w:rPr>
          <w:rFonts w:eastAsia="Times New Roman" w:cs="Times New Roman"/>
          <w:bCs/>
          <w:color w:val="000000"/>
        </w:rPr>
        <w:t>the RSR</w:t>
      </w:r>
      <w:r>
        <w:rPr>
          <w:rFonts w:eastAsia="Times New Roman" w:cs="Times New Roman"/>
          <w:bCs/>
          <w:color w:val="000000"/>
        </w:rPr>
        <w:t xml:space="preserve">, the Commission rejected claims that </w:t>
      </w:r>
      <w:r w:rsidR="002953A0">
        <w:rPr>
          <w:rFonts w:eastAsia="Times New Roman" w:cs="Times New Roman"/>
          <w:bCs/>
          <w:color w:val="000000"/>
        </w:rPr>
        <w:t>the SSR</w:t>
      </w:r>
      <w:r>
        <w:rPr>
          <w:rFonts w:eastAsia="Times New Roman" w:cs="Times New Roman"/>
          <w:bCs/>
          <w:color w:val="000000"/>
        </w:rPr>
        <w:t xml:space="preserve"> unlawfully allowed DP&amp;L to collect transition revenue or its equivalent because DP&amp;L had not requested additional transition revenue.</w:t>
      </w:r>
      <w:r w:rsidR="00607E38">
        <w:rPr>
          <w:rStyle w:val="FootnoteReference"/>
          <w:rFonts w:eastAsia="Times New Roman" w:cs="Times New Roman"/>
          <w:bCs/>
          <w:color w:val="000000"/>
        </w:rPr>
        <w:footnoteReference w:id="30"/>
      </w:r>
      <w:r w:rsidRPr="00F356E6">
        <w:rPr>
          <w:rFonts w:eastAsia="Times New Roman" w:cs="Times New Roman"/>
          <w:bCs/>
          <w:color w:val="000000"/>
        </w:rPr>
        <w:t xml:space="preserve"> </w:t>
      </w:r>
      <w:r w:rsidR="00607E38">
        <w:rPr>
          <w:rFonts w:eastAsia="Times New Roman" w:cs="Times New Roman"/>
          <w:bCs/>
          <w:color w:val="000000"/>
        </w:rPr>
        <w:t xml:space="preserve"> </w:t>
      </w:r>
      <w:r w:rsidRPr="00F356E6">
        <w:rPr>
          <w:rFonts w:eastAsia="Times New Roman" w:cs="Times New Roman"/>
          <w:bCs/>
          <w:color w:val="000000"/>
        </w:rPr>
        <w:t xml:space="preserve">As noted above, the Court has already rejected the Commission’s rationale and held that </w:t>
      </w:r>
      <w:r>
        <w:rPr>
          <w:rFonts w:eastAsia="Times New Roman" w:cs="Times New Roman"/>
          <w:bCs/>
          <w:color w:val="000000"/>
        </w:rPr>
        <w:t>a</w:t>
      </w:r>
      <w:r w:rsidRPr="00F356E6">
        <w:rPr>
          <w:rFonts w:eastAsia="Times New Roman" w:cs="Times New Roman"/>
          <w:bCs/>
          <w:color w:val="000000"/>
        </w:rPr>
        <w:t xml:space="preserve"> charge could be overturned if the “nature” of the charge was equivalent to a transition charge.</w:t>
      </w:r>
      <w:r w:rsidR="00C63130">
        <w:rPr>
          <w:rStyle w:val="FootnoteReference"/>
          <w:rFonts w:eastAsia="Times New Roman" w:cs="Times New Roman"/>
          <w:bCs/>
          <w:color w:val="000000"/>
        </w:rPr>
        <w:footnoteReference w:id="31"/>
      </w:r>
      <w:r w:rsidRPr="00F356E6">
        <w:rPr>
          <w:rFonts w:eastAsia="Times New Roman" w:cs="Times New Roman"/>
          <w:bCs/>
          <w:color w:val="000000"/>
        </w:rPr>
        <w:t xml:space="preserve">    </w:t>
      </w:r>
    </w:p>
    <w:p w14:paraId="4E83DC8C" w14:textId="77777777" w:rsidR="0080290F" w:rsidRDefault="00BE00D7" w:rsidP="00BE00D7">
      <w:pPr>
        <w:ind w:firstLine="720"/>
        <w:rPr>
          <w:rFonts w:eastAsia="Times New Roman" w:cs="Times New Roman"/>
          <w:bCs/>
          <w:color w:val="000000"/>
        </w:rPr>
      </w:pPr>
      <w:r w:rsidRPr="00F356E6">
        <w:rPr>
          <w:rFonts w:eastAsia="Times New Roman" w:cs="Times New Roman"/>
          <w:bCs/>
          <w:color w:val="000000"/>
        </w:rPr>
        <w:t>Simply put, DP&amp;L’s SSR is substantially similar to AEP-Ohio’s RSR that was held to be an unlawful transition charge.</w:t>
      </w:r>
    </w:p>
    <w:p w14:paraId="33B0D455" w14:textId="0EB99ECF" w:rsidR="00E92FAA" w:rsidRDefault="00E92FAA" w:rsidP="000B5835">
      <w:pPr>
        <w:ind w:firstLine="720"/>
      </w:pPr>
      <w:r>
        <w:rPr>
          <w:rFonts w:eastAsia="Times New Roman" w:cs="Times New Roman"/>
          <w:bCs/>
          <w:color w:val="000000"/>
        </w:rPr>
        <w:lastRenderedPageBreak/>
        <w:t xml:space="preserve">Customers </w:t>
      </w:r>
      <w:r w:rsidR="00902500">
        <w:rPr>
          <w:rFonts w:eastAsia="Times New Roman" w:cs="Times New Roman"/>
          <w:bCs/>
          <w:color w:val="000000"/>
        </w:rPr>
        <w:t xml:space="preserve">have previously </w:t>
      </w:r>
      <w:r>
        <w:rPr>
          <w:rFonts w:eastAsia="Times New Roman" w:cs="Times New Roman"/>
          <w:bCs/>
          <w:color w:val="000000"/>
        </w:rPr>
        <w:t xml:space="preserve">sought to prevent the Commission from authorizing the SSR, sought to stay the SSR, and requested that the Commission authorize the SSR subject to refund.  </w:t>
      </w:r>
      <w:r w:rsidR="00D9115C">
        <w:rPr>
          <w:rFonts w:eastAsia="Times New Roman" w:cs="Times New Roman"/>
          <w:bCs/>
          <w:color w:val="000000"/>
        </w:rPr>
        <w:t>T</w:t>
      </w:r>
      <w:r w:rsidR="000B55E0">
        <w:rPr>
          <w:rFonts w:eastAsia="Times New Roman" w:cs="Times New Roman"/>
          <w:bCs/>
          <w:color w:val="000000"/>
        </w:rPr>
        <w:t xml:space="preserve">he Commission denied these customer protections.  </w:t>
      </w:r>
      <w:r>
        <w:rPr>
          <w:rFonts w:eastAsia="Times New Roman" w:cs="Times New Roman"/>
          <w:bCs/>
          <w:color w:val="000000"/>
        </w:rPr>
        <w:t xml:space="preserve">The Court’s </w:t>
      </w:r>
      <w:r w:rsidR="000B55E0">
        <w:rPr>
          <w:rFonts w:eastAsia="Times New Roman" w:cs="Times New Roman"/>
          <w:bCs/>
          <w:color w:val="000000"/>
        </w:rPr>
        <w:t>subsequent</w:t>
      </w:r>
      <w:r>
        <w:rPr>
          <w:rFonts w:eastAsia="Times New Roman" w:cs="Times New Roman"/>
          <w:bCs/>
          <w:color w:val="000000"/>
        </w:rPr>
        <w:t xml:space="preserve"> action</w:t>
      </w:r>
      <w:r w:rsidR="000B5835">
        <w:rPr>
          <w:rFonts w:eastAsia="Times New Roman" w:cs="Times New Roman"/>
          <w:bCs/>
          <w:color w:val="000000"/>
        </w:rPr>
        <w:t xml:space="preserve"> in overturning the Commission’s authorization of AEP-Ohio’s RSR as an unlawful transition charge warrants the Commission reconsidering whether the SSR should be ordered collected subject to refund.  </w:t>
      </w:r>
    </w:p>
    <w:p w14:paraId="21CE82D1" w14:textId="6B08DF76" w:rsidR="008223BA" w:rsidRDefault="00BD6F6C" w:rsidP="00F7352C">
      <w:pPr>
        <w:ind w:firstLine="720"/>
        <w:rPr>
          <w:rFonts w:eastAsia="Times New Roman" w:cs="Times New Roman"/>
          <w:bCs/>
          <w:color w:val="000000"/>
        </w:rPr>
      </w:pPr>
      <w:r>
        <w:rPr>
          <w:rFonts w:eastAsia="Times New Roman" w:cs="Times New Roman"/>
          <w:bCs/>
          <w:color w:val="000000"/>
        </w:rPr>
        <w:t xml:space="preserve">The relief </w:t>
      </w:r>
      <w:r w:rsidR="00781EEB">
        <w:rPr>
          <w:rFonts w:eastAsia="Times New Roman" w:cs="Times New Roman"/>
          <w:bCs/>
          <w:color w:val="000000"/>
        </w:rPr>
        <w:t>Consumer Advocates</w:t>
      </w:r>
      <w:r w:rsidR="00FB5638">
        <w:rPr>
          <w:rFonts w:eastAsia="Times New Roman" w:cs="Times New Roman"/>
          <w:bCs/>
          <w:color w:val="000000"/>
        </w:rPr>
        <w:t xml:space="preserve"> </w:t>
      </w:r>
      <w:r>
        <w:rPr>
          <w:rFonts w:eastAsia="Times New Roman" w:cs="Times New Roman"/>
          <w:bCs/>
          <w:color w:val="000000"/>
        </w:rPr>
        <w:t>seek through this Motion is supported by the Commission’s prior actions.  In AEP-Ohio’s first ESP case</w:t>
      </w:r>
      <w:r w:rsidR="00D9115C">
        <w:rPr>
          <w:rFonts w:eastAsia="Times New Roman" w:cs="Times New Roman"/>
          <w:bCs/>
          <w:color w:val="000000"/>
        </w:rPr>
        <w:t>,</w:t>
      </w:r>
      <w:r>
        <w:rPr>
          <w:rFonts w:eastAsia="Times New Roman" w:cs="Times New Roman"/>
          <w:bCs/>
          <w:color w:val="000000"/>
        </w:rPr>
        <w:t xml:space="preserve"> parties appealed the Commission’s authorization of the provider of last resort (“POLR”) charge and </w:t>
      </w:r>
      <w:r w:rsidR="006A5CE2">
        <w:rPr>
          <w:rFonts w:eastAsia="Times New Roman" w:cs="Times New Roman"/>
          <w:bCs/>
          <w:color w:val="000000"/>
        </w:rPr>
        <w:t>the collection of carrying charges on environmental investment</w:t>
      </w:r>
      <w:r w:rsidR="00D3792F">
        <w:rPr>
          <w:rFonts w:eastAsia="Times New Roman" w:cs="Times New Roman"/>
          <w:bCs/>
          <w:color w:val="000000"/>
        </w:rPr>
        <w:t>.</w:t>
      </w:r>
      <w:r w:rsidR="00473245">
        <w:rPr>
          <w:rStyle w:val="FootnoteReference"/>
          <w:rFonts w:eastAsia="Times New Roman" w:cs="Times New Roman"/>
          <w:bCs/>
          <w:color w:val="000000"/>
        </w:rPr>
        <w:footnoteReference w:id="32"/>
      </w:r>
      <w:r w:rsidR="00D3792F">
        <w:rPr>
          <w:rFonts w:eastAsia="Times New Roman" w:cs="Times New Roman"/>
          <w:bCs/>
          <w:color w:val="000000"/>
        </w:rPr>
        <w:t xml:space="preserve">  On appeal, the Court reversed the </w:t>
      </w:r>
      <w:r w:rsidR="006A5CE2">
        <w:rPr>
          <w:rFonts w:eastAsia="Times New Roman" w:cs="Times New Roman"/>
          <w:bCs/>
          <w:color w:val="000000"/>
        </w:rPr>
        <w:t>Commission</w:t>
      </w:r>
      <w:r w:rsidR="00D9115C">
        <w:rPr>
          <w:rFonts w:eastAsia="Times New Roman" w:cs="Times New Roman"/>
          <w:bCs/>
          <w:color w:val="000000"/>
        </w:rPr>
        <w:t>,</w:t>
      </w:r>
      <w:r w:rsidR="006A5CE2">
        <w:rPr>
          <w:rFonts w:eastAsia="Times New Roman" w:cs="Times New Roman"/>
          <w:bCs/>
          <w:color w:val="000000"/>
        </w:rPr>
        <w:t xml:space="preserve"> </w:t>
      </w:r>
      <w:r w:rsidR="001B358B">
        <w:rPr>
          <w:rFonts w:eastAsia="Times New Roman" w:cs="Times New Roman"/>
          <w:bCs/>
          <w:color w:val="000000"/>
        </w:rPr>
        <w:t>holding that the Commission’s authorization of the POLR charge was against the manifest weight of the evidence</w:t>
      </w:r>
      <w:r w:rsidR="00D718A8">
        <w:rPr>
          <w:rFonts w:eastAsia="Times New Roman" w:cs="Times New Roman"/>
          <w:bCs/>
          <w:color w:val="000000"/>
        </w:rPr>
        <w:t>.</w:t>
      </w:r>
      <w:r w:rsidR="00701DBF">
        <w:rPr>
          <w:rStyle w:val="FootnoteReference"/>
          <w:rFonts w:eastAsia="Times New Roman" w:cs="Times New Roman"/>
          <w:bCs/>
          <w:color w:val="000000"/>
        </w:rPr>
        <w:footnoteReference w:id="33"/>
      </w:r>
      <w:r w:rsidR="00D718A8">
        <w:rPr>
          <w:rFonts w:eastAsia="Times New Roman" w:cs="Times New Roman"/>
          <w:bCs/>
          <w:color w:val="000000"/>
        </w:rPr>
        <w:t xml:space="preserve">  The Court also reversed the Commission’s authorization of the collection of carrying charges on environmental investment holding that the Commission errored in concluding that “R</w:t>
      </w:r>
      <w:r w:rsidR="00D718A8">
        <w:t>.C. 4928.143(B)(2) permits ESPs to include unlisted items</w:t>
      </w:r>
      <w:r w:rsidR="00701DBF">
        <w:rPr>
          <w:rFonts w:eastAsia="Times New Roman" w:cs="Times New Roman"/>
          <w:bCs/>
          <w:color w:val="000000"/>
        </w:rPr>
        <w:t>.”</w:t>
      </w:r>
      <w:r w:rsidR="00701DBF">
        <w:rPr>
          <w:rStyle w:val="FootnoteReference"/>
          <w:rFonts w:eastAsia="Times New Roman" w:cs="Times New Roman"/>
          <w:bCs/>
          <w:color w:val="000000"/>
        </w:rPr>
        <w:footnoteReference w:id="34"/>
      </w:r>
      <w:r w:rsidR="00701DBF">
        <w:rPr>
          <w:rFonts w:eastAsia="Times New Roman" w:cs="Times New Roman"/>
          <w:bCs/>
          <w:color w:val="000000"/>
        </w:rPr>
        <w:t xml:space="preserve">  </w:t>
      </w:r>
      <w:r w:rsidR="00A04DC6">
        <w:rPr>
          <w:rFonts w:eastAsia="Times New Roman" w:cs="Times New Roman"/>
          <w:bCs/>
          <w:color w:val="000000"/>
        </w:rPr>
        <w:t>On remand, the Court held that the Commission could revisit its authorizations of the charges if it chose to do so.</w:t>
      </w:r>
      <w:r w:rsidR="00A04DC6">
        <w:rPr>
          <w:rStyle w:val="FootnoteReference"/>
          <w:rFonts w:eastAsia="Times New Roman" w:cs="Times New Roman"/>
          <w:bCs/>
          <w:color w:val="000000"/>
        </w:rPr>
        <w:footnoteReference w:id="35"/>
      </w:r>
    </w:p>
    <w:p w14:paraId="06CFEC3A" w14:textId="4456A2D7" w:rsidR="00A04DC6" w:rsidRDefault="00701DBF" w:rsidP="000E710E">
      <w:pPr>
        <w:ind w:firstLine="720"/>
        <w:rPr>
          <w:rFonts w:eastAsia="Times New Roman" w:cs="Times New Roman"/>
          <w:bCs/>
          <w:color w:val="000000"/>
        </w:rPr>
      </w:pPr>
      <w:r>
        <w:rPr>
          <w:rFonts w:eastAsia="Times New Roman" w:cs="Times New Roman"/>
          <w:bCs/>
          <w:color w:val="000000"/>
        </w:rPr>
        <w:t>Following the Court’</w:t>
      </w:r>
      <w:r w:rsidR="00FE7A47">
        <w:rPr>
          <w:rFonts w:eastAsia="Times New Roman" w:cs="Times New Roman"/>
          <w:bCs/>
          <w:color w:val="000000"/>
        </w:rPr>
        <w:t>s decision</w:t>
      </w:r>
      <w:r w:rsidR="00937020">
        <w:rPr>
          <w:rFonts w:eastAsia="Times New Roman" w:cs="Times New Roman"/>
          <w:bCs/>
          <w:color w:val="000000"/>
        </w:rPr>
        <w:t>,</w:t>
      </w:r>
      <w:r w:rsidR="00FE7A47">
        <w:rPr>
          <w:rFonts w:eastAsia="Times New Roman" w:cs="Times New Roman"/>
          <w:bCs/>
          <w:color w:val="000000"/>
        </w:rPr>
        <w:t xml:space="preserve"> a group of intervenors filed a motion requesting that the Commission direct AEP-Ohio to remove the POLR charge</w:t>
      </w:r>
      <w:r w:rsidR="00C846F3">
        <w:rPr>
          <w:rFonts w:eastAsia="Times New Roman" w:cs="Times New Roman"/>
          <w:bCs/>
          <w:color w:val="000000"/>
        </w:rPr>
        <w:t>s</w:t>
      </w:r>
      <w:r w:rsidR="00FE7A47">
        <w:rPr>
          <w:rFonts w:eastAsia="Times New Roman" w:cs="Times New Roman"/>
          <w:bCs/>
          <w:color w:val="000000"/>
        </w:rPr>
        <w:t xml:space="preserve"> </w:t>
      </w:r>
      <w:r w:rsidR="00FE7A47" w:rsidRPr="00FE7A47">
        <w:rPr>
          <w:rFonts w:eastAsia="Times New Roman" w:cs="Times New Roman"/>
          <w:bCs/>
          <w:color w:val="000000"/>
        </w:rPr>
        <w:t>and environmental carrying</w:t>
      </w:r>
      <w:r w:rsidR="00C846F3">
        <w:rPr>
          <w:rFonts w:eastAsia="Times New Roman" w:cs="Times New Roman"/>
          <w:bCs/>
          <w:color w:val="000000"/>
        </w:rPr>
        <w:t xml:space="preserve"> </w:t>
      </w:r>
      <w:r w:rsidR="00FE7A47" w:rsidRPr="00FE7A47">
        <w:rPr>
          <w:rFonts w:eastAsia="Times New Roman" w:cs="Times New Roman"/>
          <w:bCs/>
          <w:color w:val="000000"/>
        </w:rPr>
        <w:t>cost charges</w:t>
      </w:r>
      <w:r w:rsidR="00C846F3">
        <w:rPr>
          <w:rFonts w:eastAsia="Times New Roman" w:cs="Times New Roman"/>
          <w:bCs/>
          <w:color w:val="000000"/>
        </w:rPr>
        <w:t xml:space="preserve"> from its tariffs.  One week later</w:t>
      </w:r>
      <w:r w:rsidR="00937020">
        <w:rPr>
          <w:rFonts w:eastAsia="Times New Roman" w:cs="Times New Roman"/>
          <w:bCs/>
          <w:color w:val="000000"/>
        </w:rPr>
        <w:t>,</w:t>
      </w:r>
      <w:r w:rsidR="00C846F3">
        <w:rPr>
          <w:rFonts w:eastAsia="Times New Roman" w:cs="Times New Roman"/>
          <w:bCs/>
          <w:color w:val="000000"/>
        </w:rPr>
        <w:t xml:space="preserve"> the Commission issued an entry </w:t>
      </w:r>
      <w:r w:rsidR="00C846F3">
        <w:rPr>
          <w:rFonts w:eastAsia="Times New Roman" w:cs="Times New Roman"/>
          <w:bCs/>
          <w:color w:val="000000"/>
        </w:rPr>
        <w:lastRenderedPageBreak/>
        <w:t xml:space="preserve">ordering </w:t>
      </w:r>
      <w:r w:rsidR="00FC5DF7">
        <w:rPr>
          <w:rFonts w:eastAsia="Times New Roman" w:cs="Times New Roman"/>
          <w:bCs/>
          <w:color w:val="000000"/>
        </w:rPr>
        <w:t>AEP-Ohio to file tariff sheets removing the POLR and environmental carrying cost charges</w:t>
      </w:r>
      <w:r w:rsidR="007C56FD" w:rsidRPr="007C56FD">
        <w:rPr>
          <w:rFonts w:eastAsia="Times New Roman" w:cs="Times New Roman"/>
          <w:bCs/>
          <w:color w:val="000000"/>
        </w:rPr>
        <w:t>.</w:t>
      </w:r>
      <w:r w:rsidR="007C56FD">
        <w:rPr>
          <w:rStyle w:val="FootnoteReference"/>
          <w:rFonts w:eastAsia="Times New Roman" w:cs="Times New Roman"/>
          <w:bCs/>
          <w:color w:val="000000"/>
        </w:rPr>
        <w:footnoteReference w:id="36"/>
      </w:r>
    </w:p>
    <w:p w14:paraId="0AD44836" w14:textId="71DF79A4" w:rsidR="00CA0127" w:rsidRDefault="00FC5DF7" w:rsidP="000E710E">
      <w:pPr>
        <w:ind w:firstLine="720"/>
      </w:pPr>
      <w:r>
        <w:t xml:space="preserve">In response to the Commission’s directive, </w:t>
      </w:r>
      <w:r w:rsidR="008D2EF3">
        <w:t>AEP-Ohio requested that the Commission alternatively allow the rates to continue, subject to refund, while the Commission addressed the issues remanded by the Court.</w:t>
      </w:r>
      <w:r w:rsidR="00A04DC6">
        <w:rPr>
          <w:rStyle w:val="FootnoteReference"/>
        </w:rPr>
        <w:footnoteReference w:id="37"/>
      </w:r>
      <w:r w:rsidR="003D3DA0">
        <w:t xml:space="preserve">  The Commission granted AEP-Ohio’s request.</w:t>
      </w:r>
      <w:r w:rsidR="003D3DA0">
        <w:rPr>
          <w:rStyle w:val="FootnoteReference"/>
        </w:rPr>
        <w:footnoteReference w:id="38"/>
      </w:r>
      <w:r w:rsidR="00AD6D6A">
        <w:t xml:space="preserve">  The C</w:t>
      </w:r>
      <w:r w:rsidR="005A20CC">
        <w:t>ommission</w:t>
      </w:r>
      <w:r w:rsidR="00AD6D6A">
        <w:t xml:space="preserve"> found that this was </w:t>
      </w:r>
      <w:r w:rsidR="005A20CC">
        <w:t>“</w:t>
      </w:r>
      <w:r w:rsidR="00AD6D6A">
        <w:t>t</w:t>
      </w:r>
      <w:r w:rsidR="005A20CC">
        <w:t>he most reasonable means to facil</w:t>
      </w:r>
      <w:r w:rsidR="00AD6D6A">
        <w:t>itate a just</w:t>
      </w:r>
      <w:r w:rsidR="005A20CC">
        <w:t xml:space="preserve"> </w:t>
      </w:r>
      <w:r w:rsidR="00AD6D6A">
        <w:t>process for AEP-O</w:t>
      </w:r>
      <w:r w:rsidR="005A20CC">
        <w:t>hio customers and the Companies.”</w:t>
      </w:r>
      <w:r w:rsidR="005A20CC">
        <w:rPr>
          <w:rStyle w:val="FootnoteReference"/>
        </w:rPr>
        <w:footnoteReference w:id="39"/>
      </w:r>
      <w:r w:rsidR="007D0E57">
        <w:t xml:space="preserve">  In other contexts, the Commission has also ordered that charges be collected subject to refund to protect customers.</w:t>
      </w:r>
      <w:r w:rsidR="007D0E57">
        <w:rPr>
          <w:rStyle w:val="FootnoteReference"/>
        </w:rPr>
        <w:footnoteReference w:id="40"/>
      </w:r>
    </w:p>
    <w:p w14:paraId="0CE2F232" w14:textId="79CFBE3F" w:rsidR="00306BC2" w:rsidRPr="00CC1759" w:rsidRDefault="00CC1759" w:rsidP="002A7314">
      <w:pPr>
        <w:ind w:firstLine="720"/>
      </w:pPr>
      <w:r>
        <w:t xml:space="preserve">The Court has rejected the Commission’s rationale for authorizing the SSR in the </w:t>
      </w:r>
      <w:r>
        <w:rPr>
          <w:i/>
        </w:rPr>
        <w:t xml:space="preserve">Columbus Southern </w:t>
      </w:r>
      <w:r>
        <w:t>case, but DP&amp;L continues to collect nearly $10 million monthly under the Commission’s authorization of the SSR.  To mitigate the injury to DP&amp;L’s customers, the Commission should take the minimal step of ordering that future collections under the SSR be collected subject to refund.</w:t>
      </w:r>
    </w:p>
    <w:p w14:paraId="797232F0" w14:textId="08E192B9" w:rsidR="00F565F5" w:rsidRPr="00F565F5" w:rsidRDefault="001D21AC" w:rsidP="00B22E43">
      <w:pPr>
        <w:ind w:firstLine="720"/>
        <w:rPr>
          <w:rFonts w:eastAsia="Times New Roman" w:cs="Times New Roman"/>
          <w:bCs/>
          <w:color w:val="000000"/>
        </w:rPr>
      </w:pPr>
      <w:r>
        <w:t xml:space="preserve">While mitigating the harm to customers from the unlawful charge, </w:t>
      </w:r>
      <w:r w:rsidR="002A7314">
        <w:t>p</w:t>
      </w:r>
      <w:r w:rsidR="002A7314">
        <w:rPr>
          <w:rFonts w:eastAsia="Times New Roman" w:cs="Times New Roman"/>
          <w:bCs/>
          <w:color w:val="000000"/>
        </w:rPr>
        <w:t>rospectively collecting the SSR revenue subject to refund will not cause any undue harm to DP&amp;L</w:t>
      </w:r>
      <w:r w:rsidR="006C48C1">
        <w:rPr>
          <w:rFonts w:eastAsia="Times New Roman" w:cs="Times New Roman"/>
          <w:bCs/>
          <w:color w:val="000000"/>
        </w:rPr>
        <w:t>.</w:t>
      </w:r>
      <w:r w:rsidR="002A7314">
        <w:rPr>
          <w:rFonts w:eastAsia="Times New Roman" w:cs="Times New Roman"/>
          <w:bCs/>
          <w:color w:val="000000"/>
        </w:rPr>
        <w:t xml:space="preserve"> If </w:t>
      </w:r>
      <w:r w:rsidR="002A7314">
        <w:rPr>
          <w:rFonts w:eastAsia="Times New Roman" w:cs="Times New Roman"/>
          <w:bCs/>
          <w:color w:val="000000"/>
        </w:rPr>
        <w:lastRenderedPageBreak/>
        <w:t>the Court agrees that DP&amp;L’s SSR is an unlawful transition charge</w:t>
      </w:r>
      <w:r>
        <w:rPr>
          <w:rFonts w:eastAsia="Times New Roman" w:cs="Times New Roman"/>
          <w:bCs/>
          <w:color w:val="000000"/>
        </w:rPr>
        <w:t>,</w:t>
      </w:r>
      <w:r w:rsidR="002A7314">
        <w:rPr>
          <w:rFonts w:eastAsia="Times New Roman" w:cs="Times New Roman"/>
          <w:bCs/>
          <w:color w:val="000000"/>
        </w:rPr>
        <w:t xml:space="preserve"> then DP&amp;L never had a legitimate claim to the revenue collected through the SSR.  </w:t>
      </w:r>
      <w:r w:rsidR="00B22E43">
        <w:rPr>
          <w:rFonts w:eastAsia="Times New Roman" w:cs="Times New Roman"/>
          <w:bCs/>
          <w:color w:val="000000"/>
        </w:rPr>
        <w:t>If the Court affirms the Commission’s authorization of the SSR</w:t>
      </w:r>
      <w:r>
        <w:rPr>
          <w:rFonts w:eastAsia="Times New Roman" w:cs="Times New Roman"/>
          <w:bCs/>
          <w:color w:val="000000"/>
        </w:rPr>
        <w:t>, the Commission can lift the refund condition</w:t>
      </w:r>
      <w:r w:rsidR="00A14B3D">
        <w:rPr>
          <w:rFonts w:eastAsia="Times New Roman" w:cs="Times New Roman"/>
          <w:bCs/>
          <w:color w:val="000000"/>
        </w:rPr>
        <w:t xml:space="preserve"> and DP&amp;L will have suffered no harm.</w:t>
      </w:r>
      <w:r w:rsidR="00B22E43">
        <w:rPr>
          <w:rFonts w:eastAsia="Times New Roman" w:cs="Times New Roman"/>
          <w:bCs/>
          <w:color w:val="000000"/>
        </w:rPr>
        <w:t xml:space="preserve">  </w:t>
      </w:r>
      <w:r w:rsidR="00F565F5">
        <w:rPr>
          <w:rFonts w:eastAsia="Times New Roman" w:cs="Times New Roman"/>
          <w:bCs/>
          <w:color w:val="000000"/>
        </w:rPr>
        <w:t>It would be</w:t>
      </w:r>
      <w:r w:rsidR="00F565F5" w:rsidRPr="00F565F5">
        <w:rPr>
          <w:rFonts w:eastAsia="Times New Roman" w:cs="Times New Roman"/>
          <w:bCs/>
          <w:color w:val="000000"/>
        </w:rPr>
        <w:t xml:space="preserve"> in</w:t>
      </w:r>
      <w:r w:rsidR="00F565F5">
        <w:rPr>
          <w:rFonts w:eastAsia="Times New Roman" w:cs="Times New Roman"/>
          <w:bCs/>
          <w:color w:val="000000"/>
        </w:rPr>
        <w:t>equitable</w:t>
      </w:r>
      <w:r w:rsidR="00473912">
        <w:rPr>
          <w:rFonts w:eastAsia="Times New Roman" w:cs="Times New Roman"/>
          <w:bCs/>
          <w:color w:val="000000"/>
        </w:rPr>
        <w:t>, however,</w:t>
      </w:r>
      <w:r w:rsidR="00F565F5">
        <w:rPr>
          <w:rFonts w:eastAsia="Times New Roman" w:cs="Times New Roman"/>
          <w:bCs/>
          <w:color w:val="000000"/>
        </w:rPr>
        <w:t xml:space="preserve"> to deny the relief sought herein, potentially foreclosing customers’ ability to obtain a remedy for the prospective SSR charges paid by customers until the Court issues a decision.  In such circumstances </w:t>
      </w:r>
      <w:r w:rsidR="00A14B3D">
        <w:rPr>
          <w:rFonts w:eastAsia="Times New Roman" w:cs="Times New Roman"/>
          <w:bCs/>
          <w:color w:val="000000"/>
        </w:rPr>
        <w:t xml:space="preserve">in which </w:t>
      </w:r>
      <w:r w:rsidR="00F565F5">
        <w:rPr>
          <w:rFonts w:eastAsia="Times New Roman" w:cs="Times New Roman"/>
          <w:bCs/>
          <w:color w:val="000000"/>
        </w:rPr>
        <w:t>there would be harm to one party (customers) and no harm</w:t>
      </w:r>
      <w:r w:rsidR="00B22E43">
        <w:rPr>
          <w:rFonts w:eastAsia="Times New Roman" w:cs="Times New Roman"/>
          <w:bCs/>
          <w:color w:val="000000"/>
        </w:rPr>
        <w:t xml:space="preserve"> to the other (DP&amp;L), the balancing of equities squarely supports granting the relief sought herein.</w:t>
      </w:r>
      <w:r w:rsidR="00945EA7">
        <w:rPr>
          <w:rStyle w:val="FootnoteReference"/>
          <w:rFonts w:eastAsia="Times New Roman" w:cs="Times New Roman"/>
          <w:bCs/>
          <w:color w:val="000000"/>
        </w:rPr>
        <w:footnoteReference w:id="41"/>
      </w:r>
      <w:r w:rsidR="00B22E43">
        <w:rPr>
          <w:rFonts w:eastAsia="Times New Roman" w:cs="Times New Roman"/>
          <w:bCs/>
          <w:color w:val="000000"/>
        </w:rPr>
        <w:t xml:space="preserve">  </w:t>
      </w:r>
    </w:p>
    <w:p w14:paraId="2D192C08" w14:textId="4816DBDF" w:rsidR="00A04DC6" w:rsidRDefault="00D97241" w:rsidP="002A7314">
      <w:pPr>
        <w:ind w:firstLine="720"/>
      </w:pPr>
      <w:r>
        <w:rPr>
          <w:rFonts w:eastAsia="Times New Roman" w:cs="Times New Roman"/>
          <w:bCs/>
          <w:color w:val="000000"/>
        </w:rPr>
        <w:t>E</w:t>
      </w:r>
      <w:r w:rsidR="002A7314">
        <w:rPr>
          <w:rFonts w:eastAsia="Times New Roman" w:cs="Times New Roman"/>
          <w:bCs/>
          <w:color w:val="000000"/>
        </w:rPr>
        <w:t>nsuring that customers may receive a refund for amounts prospectively collected through the SSR fulfils the public interest in ensuring that regulated entities do not receive unlawful windfalls at customers’ expense.</w:t>
      </w:r>
      <w:r w:rsidR="00DB01FD">
        <w:rPr>
          <w:rStyle w:val="FootnoteReference"/>
          <w:rFonts w:eastAsia="Times New Roman" w:cs="Times New Roman"/>
          <w:bCs/>
          <w:color w:val="000000"/>
        </w:rPr>
        <w:footnoteReference w:id="42"/>
      </w:r>
      <w:r w:rsidR="007D3E38">
        <w:rPr>
          <w:rFonts w:eastAsia="Times New Roman" w:cs="Times New Roman"/>
          <w:bCs/>
          <w:color w:val="000000"/>
        </w:rPr>
        <w:t xml:space="preserve">  The Commission has also held that under similar circumstances, setting the rates subject to refund </w:t>
      </w:r>
      <w:r w:rsidR="007D3E38">
        <w:t xml:space="preserve">was “the most reasonable means to facilitate a just process for </w:t>
      </w:r>
      <w:r w:rsidR="008655D8">
        <w:t>[]</w:t>
      </w:r>
      <w:r w:rsidR="007D3E38">
        <w:t xml:space="preserve"> customers and the </w:t>
      </w:r>
      <w:r w:rsidR="008655D8">
        <w:t>[utility]</w:t>
      </w:r>
      <w:r w:rsidR="007D3E38">
        <w:t>.”</w:t>
      </w:r>
      <w:r w:rsidR="007D3E38">
        <w:rPr>
          <w:rStyle w:val="FootnoteReference"/>
        </w:rPr>
        <w:footnoteReference w:id="43"/>
      </w:r>
    </w:p>
    <w:p w14:paraId="2FFDE6A9" w14:textId="67A36672" w:rsidR="00D97241" w:rsidRDefault="00D97241" w:rsidP="002A7314">
      <w:pPr>
        <w:ind w:firstLine="720"/>
      </w:pPr>
      <w:r>
        <w:t xml:space="preserve">Finally, because DP&amp;L’s customers continue to pay the unlawful SSR charge and will continue to pay the charge until the Commission takes action, </w:t>
      </w:r>
      <w:r w:rsidR="0045224F">
        <w:t xml:space="preserve">Consumer Advocates </w:t>
      </w:r>
      <w:r>
        <w:t>request th</w:t>
      </w:r>
      <w:r w:rsidR="005421FF">
        <w:t>at the Commission rule on this m</w:t>
      </w:r>
      <w:r>
        <w:t xml:space="preserve">otion on an </w:t>
      </w:r>
      <w:r w:rsidR="00E975DF">
        <w:t>expedited basis and promptly direct DP&amp;L to begin prospectively collecting the SSR subject to refund.</w:t>
      </w:r>
    </w:p>
    <w:p w14:paraId="7963BF87" w14:textId="77777777" w:rsidR="001B1E6B" w:rsidRDefault="001B1E6B">
      <w:pPr>
        <w:spacing w:line="240" w:lineRule="auto"/>
        <w:rPr>
          <w:rFonts w:eastAsia="Times New Roman"/>
          <w:b/>
          <w:caps/>
          <w:szCs w:val="32"/>
          <w:u w:val="single"/>
        </w:rPr>
      </w:pPr>
      <w:r>
        <w:rPr>
          <w:rFonts w:eastAsia="Times New Roman"/>
        </w:rPr>
        <w:br w:type="page"/>
      </w:r>
    </w:p>
    <w:p w14:paraId="54E434BC" w14:textId="1AF663EA" w:rsidR="007D3E38" w:rsidRDefault="007D3E38" w:rsidP="007B617A">
      <w:pPr>
        <w:pStyle w:val="Heading1"/>
        <w:rPr>
          <w:rFonts w:eastAsia="Times New Roman"/>
        </w:rPr>
      </w:pPr>
      <w:bookmarkStart w:id="4" w:name="_Toc451259539"/>
      <w:r>
        <w:rPr>
          <w:rFonts w:eastAsia="Times New Roman"/>
        </w:rPr>
        <w:lastRenderedPageBreak/>
        <w:t>conclusion</w:t>
      </w:r>
      <w:bookmarkEnd w:id="4"/>
    </w:p>
    <w:p w14:paraId="51C7E93C" w14:textId="49DBB281" w:rsidR="007D3E38" w:rsidRDefault="00DA2005" w:rsidP="007D3E38">
      <w:pPr>
        <w:ind w:firstLine="720"/>
      </w:pPr>
      <w:r>
        <w:t xml:space="preserve">For the reasons discussed herein, IEU-Ohio </w:t>
      </w:r>
      <w:r w:rsidR="008655D8">
        <w:t xml:space="preserve">and OCC jointly </w:t>
      </w:r>
      <w:r>
        <w:t xml:space="preserve">request that the Commission </w:t>
      </w:r>
      <w:r w:rsidR="00E975DF">
        <w:t xml:space="preserve">expeditiously </w:t>
      </w:r>
      <w:r>
        <w:t>order DP&amp;L to prospectively collect the SSR rates subject to refund pending a Court ruling in the appeal of DP&amp;L’s current ESP.</w:t>
      </w:r>
    </w:p>
    <w:p w14:paraId="4FB23950" w14:textId="77777777" w:rsidR="00A72E64" w:rsidRDefault="00A72E64" w:rsidP="00A72E64">
      <w:pPr>
        <w:tabs>
          <w:tab w:val="right" w:pos="8640"/>
        </w:tabs>
        <w:spacing w:line="240" w:lineRule="auto"/>
        <w:jc w:val="center"/>
      </w:pPr>
      <w:r>
        <w:t>Respectfully submitted,</w:t>
      </w:r>
    </w:p>
    <w:p w14:paraId="034D9A71" w14:textId="77777777" w:rsidR="00A72E64" w:rsidRPr="006F36FF" w:rsidRDefault="00A72E64" w:rsidP="00A72E64">
      <w:pPr>
        <w:tabs>
          <w:tab w:val="right" w:pos="8640"/>
        </w:tabs>
        <w:spacing w:line="240" w:lineRule="auto"/>
      </w:pPr>
    </w:p>
    <w:p w14:paraId="532A9580" w14:textId="77777777" w:rsidR="00A72E64" w:rsidRDefault="00A72E64" w:rsidP="00A72E64">
      <w:pPr>
        <w:tabs>
          <w:tab w:val="left" w:pos="3960"/>
          <w:tab w:val="right" w:pos="8640"/>
        </w:tabs>
        <w:spacing w:line="240" w:lineRule="auto"/>
        <w:rPr>
          <w:i/>
          <w:u w:val="single"/>
        </w:rPr>
        <w:sectPr w:rsidR="00A72E64" w:rsidSect="0027202E">
          <w:headerReference w:type="default" r:id="rId30"/>
          <w:footerReference w:type="default" r:id="rId31"/>
          <w:headerReference w:type="first" r:id="rId32"/>
          <w:footerReference w:type="first" r:id="rId33"/>
          <w:pgSz w:w="12240" w:h="15840" w:code="1"/>
          <w:pgMar w:top="1440" w:right="1440" w:bottom="1440" w:left="1440" w:header="720" w:footer="720" w:gutter="0"/>
          <w:pgNumType w:start="3"/>
          <w:cols w:space="720"/>
          <w:docGrid w:linePitch="360"/>
        </w:sectPr>
      </w:pPr>
    </w:p>
    <w:p w14:paraId="23B62F0A" w14:textId="77777777" w:rsidR="00A72E64" w:rsidRPr="008312F9" w:rsidRDefault="00A72E64" w:rsidP="00A72E64">
      <w:pPr>
        <w:tabs>
          <w:tab w:val="left" w:pos="3960"/>
          <w:tab w:val="right" w:pos="8640"/>
        </w:tabs>
        <w:spacing w:line="240" w:lineRule="auto"/>
        <w:jc w:val="left"/>
        <w:rPr>
          <w:i/>
          <w:u w:val="single"/>
        </w:rPr>
      </w:pPr>
    </w:p>
    <w:p w14:paraId="1F374D74" w14:textId="77777777" w:rsidR="00A72E64" w:rsidRPr="008312F9" w:rsidRDefault="00A72E64" w:rsidP="00A72E64">
      <w:pPr>
        <w:tabs>
          <w:tab w:val="left" w:pos="3960"/>
          <w:tab w:val="right" w:pos="8640"/>
        </w:tabs>
        <w:spacing w:line="240" w:lineRule="auto"/>
        <w:jc w:val="left"/>
        <w:rPr>
          <w:i/>
          <w:u w:val="single"/>
        </w:rPr>
      </w:pPr>
    </w:p>
    <w:p w14:paraId="27A3252C" w14:textId="77777777" w:rsidR="00A72E64" w:rsidRPr="008312F9" w:rsidRDefault="00A72E64" w:rsidP="00A72E64">
      <w:pPr>
        <w:tabs>
          <w:tab w:val="left" w:pos="3960"/>
          <w:tab w:val="right" w:pos="8640"/>
        </w:tabs>
        <w:spacing w:line="240" w:lineRule="auto"/>
        <w:jc w:val="left"/>
        <w:rPr>
          <w:i/>
          <w:u w:val="single"/>
        </w:rPr>
      </w:pPr>
    </w:p>
    <w:p w14:paraId="38D5CE25" w14:textId="77777777" w:rsidR="00A72E64" w:rsidRPr="008312F9" w:rsidRDefault="00A72E64" w:rsidP="00A72E64">
      <w:pPr>
        <w:tabs>
          <w:tab w:val="left" w:pos="3960"/>
          <w:tab w:val="right" w:pos="8640"/>
        </w:tabs>
        <w:spacing w:line="240" w:lineRule="auto"/>
        <w:jc w:val="left"/>
        <w:rPr>
          <w:i/>
          <w:u w:val="single"/>
        </w:rPr>
      </w:pPr>
      <w:r w:rsidRPr="008312F9">
        <w:rPr>
          <w:i/>
          <w:u w:val="single"/>
        </w:rPr>
        <w:t>/s/ Matthew R. Pritchard</w:t>
      </w:r>
      <w:r w:rsidRPr="008312F9">
        <w:rPr>
          <w:i/>
          <w:u w:val="single"/>
        </w:rPr>
        <w:tab/>
      </w:r>
    </w:p>
    <w:p w14:paraId="7D522E04" w14:textId="77777777" w:rsidR="00A72E64" w:rsidRPr="008312F9" w:rsidRDefault="00A72E64" w:rsidP="00A72E64">
      <w:pPr>
        <w:pStyle w:val="BodyText3"/>
        <w:widowControl w:val="0"/>
        <w:spacing w:after="0" w:line="240" w:lineRule="auto"/>
        <w:jc w:val="left"/>
        <w:rPr>
          <w:bCs/>
          <w:sz w:val="24"/>
          <w:szCs w:val="24"/>
        </w:rPr>
      </w:pPr>
      <w:r w:rsidRPr="008312F9">
        <w:rPr>
          <w:bCs/>
          <w:sz w:val="24"/>
          <w:szCs w:val="24"/>
        </w:rPr>
        <w:t>Frank P. Darr (Reg. # 0025469)</w:t>
      </w:r>
    </w:p>
    <w:p w14:paraId="54BC41B8" w14:textId="77777777" w:rsidR="00A72E64" w:rsidRPr="008312F9" w:rsidRDefault="00A72E64" w:rsidP="00A72E64">
      <w:pPr>
        <w:tabs>
          <w:tab w:val="right" w:pos="8640"/>
        </w:tabs>
        <w:spacing w:line="240" w:lineRule="auto"/>
        <w:jc w:val="left"/>
      </w:pPr>
      <w:r w:rsidRPr="008312F9">
        <w:t>(Counsel of Record)</w:t>
      </w:r>
    </w:p>
    <w:p w14:paraId="553209D5" w14:textId="77777777" w:rsidR="00A72E64" w:rsidRPr="008312F9" w:rsidRDefault="00A72E64" w:rsidP="00A72E64">
      <w:pPr>
        <w:pStyle w:val="BodyText3"/>
        <w:widowControl w:val="0"/>
        <w:spacing w:after="0" w:line="240" w:lineRule="auto"/>
        <w:jc w:val="left"/>
        <w:rPr>
          <w:b/>
          <w:bCs/>
          <w:sz w:val="24"/>
          <w:szCs w:val="24"/>
        </w:rPr>
      </w:pPr>
      <w:r w:rsidRPr="008312F9">
        <w:rPr>
          <w:bCs/>
          <w:sz w:val="24"/>
          <w:szCs w:val="24"/>
        </w:rPr>
        <w:t>Matthew R. Pritchard (Reg. # 0088070)</w:t>
      </w:r>
    </w:p>
    <w:p w14:paraId="7BB00FFC" w14:textId="77777777" w:rsidR="00A72E64" w:rsidRPr="008312F9" w:rsidRDefault="00A72E64" w:rsidP="00A72E64">
      <w:pPr>
        <w:pStyle w:val="BodyText3"/>
        <w:widowControl w:val="0"/>
        <w:spacing w:after="0" w:line="240" w:lineRule="auto"/>
        <w:jc w:val="left"/>
        <w:rPr>
          <w:b/>
          <w:bCs/>
          <w:smallCaps/>
          <w:sz w:val="24"/>
          <w:szCs w:val="24"/>
        </w:rPr>
      </w:pPr>
      <w:r w:rsidRPr="008312F9">
        <w:rPr>
          <w:bCs/>
          <w:smallCaps/>
          <w:sz w:val="24"/>
          <w:szCs w:val="24"/>
        </w:rPr>
        <w:t>McNees Wallace &amp; Nurick LLC</w:t>
      </w:r>
    </w:p>
    <w:p w14:paraId="04D0C69F" w14:textId="6CCB1F56" w:rsidR="0041284C" w:rsidRPr="0041284C" w:rsidRDefault="00A72E64" w:rsidP="00A72E64">
      <w:pPr>
        <w:pStyle w:val="BodyText3"/>
        <w:widowControl w:val="0"/>
        <w:spacing w:after="0" w:line="240" w:lineRule="auto"/>
        <w:jc w:val="left"/>
        <w:rPr>
          <w:bCs/>
          <w:sz w:val="24"/>
          <w:szCs w:val="24"/>
        </w:rPr>
      </w:pPr>
      <w:r w:rsidRPr="008312F9">
        <w:rPr>
          <w:bCs/>
          <w:sz w:val="24"/>
          <w:szCs w:val="24"/>
        </w:rPr>
        <w:t>21 East State Street, 17</w:t>
      </w:r>
      <w:r w:rsidRPr="008312F9">
        <w:rPr>
          <w:bCs/>
          <w:sz w:val="24"/>
          <w:szCs w:val="24"/>
          <w:vertAlign w:val="superscript"/>
        </w:rPr>
        <w:t>TH</w:t>
      </w:r>
      <w:r w:rsidRPr="008312F9">
        <w:rPr>
          <w:bCs/>
          <w:sz w:val="24"/>
          <w:szCs w:val="24"/>
        </w:rPr>
        <w:t xml:space="preserve"> Floor</w:t>
      </w:r>
    </w:p>
    <w:p w14:paraId="4D8DC480" w14:textId="77777777" w:rsidR="00A72E64" w:rsidRPr="008312F9" w:rsidRDefault="00A72E64" w:rsidP="00A72E64">
      <w:pPr>
        <w:pStyle w:val="BodyText"/>
        <w:spacing w:after="0" w:line="240" w:lineRule="auto"/>
        <w:jc w:val="left"/>
      </w:pPr>
      <w:r w:rsidRPr="008312F9">
        <w:t>Columbus, OH  43215</w:t>
      </w:r>
    </w:p>
    <w:p w14:paraId="52B82E2D" w14:textId="77777777" w:rsidR="00A72E64" w:rsidRPr="008312F9" w:rsidRDefault="00A72E64" w:rsidP="00A72E64">
      <w:pPr>
        <w:pStyle w:val="BodyText"/>
        <w:spacing w:after="0" w:line="240" w:lineRule="auto"/>
        <w:jc w:val="left"/>
      </w:pPr>
      <w:r w:rsidRPr="008312F9">
        <w:t>Telephone:  (614) 469-8000</w:t>
      </w:r>
    </w:p>
    <w:p w14:paraId="7ED05FB7" w14:textId="77777777" w:rsidR="00A72E64" w:rsidRPr="008312F9" w:rsidRDefault="00A72E64" w:rsidP="00A72E64">
      <w:pPr>
        <w:pStyle w:val="BodyText"/>
        <w:spacing w:after="0" w:line="240" w:lineRule="auto"/>
        <w:jc w:val="left"/>
      </w:pPr>
      <w:r w:rsidRPr="008312F9">
        <w:t>Telecopier:  (614) 469-4653</w:t>
      </w:r>
    </w:p>
    <w:p w14:paraId="1AF4FADA" w14:textId="77777777" w:rsidR="00A72E64" w:rsidRPr="008312F9" w:rsidRDefault="00A72E64" w:rsidP="00A72E64">
      <w:pPr>
        <w:pStyle w:val="BodyText"/>
        <w:spacing w:after="0" w:line="240" w:lineRule="auto"/>
        <w:jc w:val="left"/>
      </w:pPr>
      <w:r w:rsidRPr="008312F9">
        <w:t>fdarr@mwncmh.com</w:t>
      </w:r>
    </w:p>
    <w:p w14:paraId="43482AFA" w14:textId="77777777" w:rsidR="00A72E64" w:rsidRPr="008312F9" w:rsidRDefault="00A72E64" w:rsidP="00A72E64">
      <w:pPr>
        <w:pStyle w:val="BodyText"/>
        <w:spacing w:after="0" w:line="240" w:lineRule="auto"/>
        <w:jc w:val="left"/>
      </w:pPr>
      <w:r w:rsidRPr="008312F9">
        <w:t>mpritchard@mwncmh.com</w:t>
      </w:r>
    </w:p>
    <w:p w14:paraId="42A591FC" w14:textId="77777777" w:rsidR="00A72E64" w:rsidRPr="008312F9" w:rsidRDefault="00A72E64" w:rsidP="00A72E64">
      <w:pPr>
        <w:pStyle w:val="BodyText"/>
        <w:spacing w:after="0" w:line="240" w:lineRule="auto"/>
        <w:jc w:val="left"/>
      </w:pPr>
    </w:p>
    <w:p w14:paraId="64DE503A" w14:textId="77777777" w:rsidR="00A72E64" w:rsidRPr="008312F9" w:rsidRDefault="00A72E64" w:rsidP="00051DAD">
      <w:pPr>
        <w:pStyle w:val="Title"/>
        <w:rPr>
          <w:sz w:val="24"/>
        </w:rPr>
      </w:pPr>
      <w:r w:rsidRPr="008312F9">
        <w:rPr>
          <w:sz w:val="24"/>
        </w:rPr>
        <w:t>Attorneys for Industrial Energy Users-Ohio</w:t>
      </w:r>
      <w:r w:rsidRPr="008312F9">
        <w:rPr>
          <w:sz w:val="24"/>
        </w:rPr>
        <w:br w:type="column"/>
      </w:r>
      <w:r w:rsidRPr="008312F9">
        <w:rPr>
          <w:sz w:val="24"/>
        </w:rPr>
        <w:t>BRUCE J. WESTON (Reg. # 0016973)</w:t>
      </w:r>
    </w:p>
    <w:p w14:paraId="3FB8BF8D" w14:textId="77777777" w:rsidR="00A72E64" w:rsidRPr="008312F9" w:rsidRDefault="00A72E64" w:rsidP="00A72E64">
      <w:pPr>
        <w:autoSpaceDE w:val="0"/>
        <w:autoSpaceDN w:val="0"/>
        <w:adjustRightInd w:val="0"/>
        <w:spacing w:line="240" w:lineRule="auto"/>
        <w:jc w:val="left"/>
        <w:rPr>
          <w:rFonts w:cs="Times New Roman"/>
        </w:rPr>
      </w:pPr>
      <w:r w:rsidRPr="008312F9">
        <w:rPr>
          <w:rFonts w:cs="Times New Roman"/>
        </w:rPr>
        <w:t>OHIO CONSUMERS' COUNSEL</w:t>
      </w:r>
    </w:p>
    <w:p w14:paraId="2D994F14" w14:textId="77777777" w:rsidR="00A72E64" w:rsidRPr="008312F9" w:rsidRDefault="00A72E64" w:rsidP="00A72E64">
      <w:pPr>
        <w:autoSpaceDE w:val="0"/>
        <w:autoSpaceDN w:val="0"/>
        <w:adjustRightInd w:val="0"/>
        <w:spacing w:line="240" w:lineRule="auto"/>
        <w:jc w:val="left"/>
        <w:rPr>
          <w:rFonts w:cs="Times New Roman"/>
        </w:rPr>
      </w:pPr>
    </w:p>
    <w:p w14:paraId="6D7B7759" w14:textId="77777777" w:rsidR="00A72E64" w:rsidRPr="008312F9" w:rsidRDefault="00A72E64" w:rsidP="00A72E64">
      <w:pPr>
        <w:tabs>
          <w:tab w:val="right" w:pos="8640"/>
        </w:tabs>
        <w:autoSpaceDE w:val="0"/>
        <w:autoSpaceDN w:val="0"/>
        <w:adjustRightInd w:val="0"/>
        <w:spacing w:line="240" w:lineRule="auto"/>
        <w:jc w:val="left"/>
        <w:rPr>
          <w:rFonts w:cs="Times New Roman"/>
        </w:rPr>
      </w:pPr>
      <w:r w:rsidRPr="008312F9">
        <w:rPr>
          <w:rFonts w:eastAsia="Times New Roman" w:cs="Times New Roman"/>
          <w:bCs/>
          <w:i/>
          <w:color w:val="000000"/>
          <w:u w:val="single"/>
        </w:rPr>
        <w:t>/s/ Maureen R. Willis</w:t>
      </w:r>
      <w:r w:rsidRPr="008312F9">
        <w:rPr>
          <w:rFonts w:eastAsia="Times New Roman" w:cs="Times New Roman"/>
          <w:bCs/>
          <w:i/>
          <w:color w:val="000000"/>
          <w:u w:val="single"/>
        </w:rPr>
        <w:tab/>
      </w:r>
    </w:p>
    <w:p w14:paraId="349E7D4E" w14:textId="77777777" w:rsidR="00A72E64" w:rsidRPr="008312F9" w:rsidRDefault="00A72E64" w:rsidP="00A72E64">
      <w:pPr>
        <w:autoSpaceDE w:val="0"/>
        <w:autoSpaceDN w:val="0"/>
        <w:adjustRightInd w:val="0"/>
        <w:spacing w:line="240" w:lineRule="auto"/>
        <w:jc w:val="left"/>
        <w:rPr>
          <w:rFonts w:cs="Times New Roman"/>
        </w:rPr>
      </w:pPr>
      <w:r w:rsidRPr="008312F9">
        <w:rPr>
          <w:rFonts w:cs="Times New Roman"/>
        </w:rPr>
        <w:t>Maureen R. Willis (Reg. # 0020847)</w:t>
      </w:r>
    </w:p>
    <w:p w14:paraId="3F39E96F" w14:textId="77777777" w:rsidR="00A72E64" w:rsidRPr="008312F9" w:rsidRDefault="00A72E64" w:rsidP="00A72E64">
      <w:pPr>
        <w:autoSpaceDE w:val="0"/>
        <w:autoSpaceDN w:val="0"/>
        <w:adjustRightInd w:val="0"/>
        <w:spacing w:line="240" w:lineRule="auto"/>
        <w:jc w:val="left"/>
        <w:rPr>
          <w:rFonts w:cs="Times New Roman"/>
        </w:rPr>
      </w:pPr>
      <w:r w:rsidRPr="008312F9">
        <w:rPr>
          <w:rFonts w:cs="Times New Roman"/>
        </w:rPr>
        <w:t xml:space="preserve"> (Counsel of Record)</w:t>
      </w:r>
    </w:p>
    <w:p w14:paraId="2BBD27D5" w14:textId="77777777" w:rsidR="00A72E64" w:rsidRPr="008312F9" w:rsidRDefault="00A72E64" w:rsidP="00A72E64">
      <w:pPr>
        <w:autoSpaceDE w:val="0"/>
        <w:autoSpaceDN w:val="0"/>
        <w:adjustRightInd w:val="0"/>
        <w:spacing w:line="240" w:lineRule="auto"/>
        <w:jc w:val="left"/>
        <w:rPr>
          <w:rFonts w:cs="Times New Roman"/>
        </w:rPr>
      </w:pPr>
      <w:r w:rsidRPr="008312F9">
        <w:rPr>
          <w:rFonts w:cs="Times New Roman"/>
        </w:rPr>
        <w:t>Terry L. Etter (Reg. No. 0067445)</w:t>
      </w:r>
    </w:p>
    <w:p w14:paraId="12ADEE6C" w14:textId="77777777" w:rsidR="00A72E64" w:rsidRPr="008312F9" w:rsidRDefault="00A72E64" w:rsidP="00A72E64">
      <w:pPr>
        <w:autoSpaceDE w:val="0"/>
        <w:autoSpaceDN w:val="0"/>
        <w:adjustRightInd w:val="0"/>
        <w:spacing w:line="240" w:lineRule="auto"/>
        <w:jc w:val="left"/>
        <w:rPr>
          <w:rFonts w:cs="Times New Roman"/>
        </w:rPr>
      </w:pPr>
      <w:r w:rsidRPr="008312F9">
        <w:rPr>
          <w:rFonts w:cs="Times New Roman"/>
        </w:rPr>
        <w:t>Assistant Consumers' Counsel</w:t>
      </w:r>
    </w:p>
    <w:p w14:paraId="35A0691F" w14:textId="77777777" w:rsidR="00A72E64" w:rsidRPr="008312F9" w:rsidRDefault="00A72E64" w:rsidP="00A72E64">
      <w:pPr>
        <w:autoSpaceDE w:val="0"/>
        <w:autoSpaceDN w:val="0"/>
        <w:adjustRightInd w:val="0"/>
        <w:spacing w:line="240" w:lineRule="auto"/>
        <w:jc w:val="left"/>
        <w:rPr>
          <w:rFonts w:cs="Times New Roman"/>
        </w:rPr>
      </w:pPr>
      <w:r w:rsidRPr="008312F9">
        <w:rPr>
          <w:rFonts w:cs="Times New Roman"/>
        </w:rPr>
        <w:t>Office of the Ohio Consumers' Counsel</w:t>
      </w:r>
    </w:p>
    <w:p w14:paraId="65ED9377" w14:textId="77777777" w:rsidR="00A72E64" w:rsidRPr="008312F9" w:rsidRDefault="00A72E64" w:rsidP="00A72E64">
      <w:pPr>
        <w:autoSpaceDE w:val="0"/>
        <w:autoSpaceDN w:val="0"/>
        <w:adjustRightInd w:val="0"/>
        <w:spacing w:line="240" w:lineRule="auto"/>
        <w:jc w:val="left"/>
        <w:rPr>
          <w:rFonts w:cs="Times New Roman"/>
        </w:rPr>
      </w:pPr>
      <w:r w:rsidRPr="008312F9">
        <w:rPr>
          <w:rFonts w:cs="Times New Roman"/>
        </w:rPr>
        <w:t>10 West Broad Street, Suite 1800</w:t>
      </w:r>
    </w:p>
    <w:p w14:paraId="663F27D3" w14:textId="77777777" w:rsidR="00A72E64" w:rsidRPr="008312F9" w:rsidRDefault="00A72E64" w:rsidP="00A72E64">
      <w:pPr>
        <w:autoSpaceDE w:val="0"/>
        <w:autoSpaceDN w:val="0"/>
        <w:adjustRightInd w:val="0"/>
        <w:spacing w:line="240" w:lineRule="auto"/>
        <w:jc w:val="left"/>
        <w:rPr>
          <w:rFonts w:cs="Times New Roman"/>
        </w:rPr>
      </w:pPr>
      <w:r w:rsidRPr="008312F9">
        <w:rPr>
          <w:rFonts w:cs="Times New Roman"/>
        </w:rPr>
        <w:t>Columbus, Ohio 43215-3485</w:t>
      </w:r>
    </w:p>
    <w:p w14:paraId="1FE7C390" w14:textId="77777777" w:rsidR="00A72E64" w:rsidRPr="008312F9" w:rsidRDefault="00A72E64" w:rsidP="00A72E64">
      <w:pPr>
        <w:autoSpaceDE w:val="0"/>
        <w:autoSpaceDN w:val="0"/>
        <w:adjustRightInd w:val="0"/>
        <w:spacing w:line="240" w:lineRule="auto"/>
        <w:jc w:val="left"/>
        <w:rPr>
          <w:rFonts w:cs="Times New Roman"/>
        </w:rPr>
      </w:pPr>
      <w:r w:rsidRPr="008312F9">
        <w:rPr>
          <w:rFonts w:cs="Times New Roman"/>
        </w:rPr>
        <w:t>Telephone:  (614) 466-9567 (Willis)</w:t>
      </w:r>
    </w:p>
    <w:p w14:paraId="19463319" w14:textId="77777777" w:rsidR="00A72E64" w:rsidRPr="008312F9" w:rsidRDefault="00A72E64" w:rsidP="00A72E64">
      <w:pPr>
        <w:autoSpaceDE w:val="0"/>
        <w:autoSpaceDN w:val="0"/>
        <w:adjustRightInd w:val="0"/>
        <w:spacing w:line="240" w:lineRule="auto"/>
        <w:jc w:val="left"/>
        <w:rPr>
          <w:rFonts w:cs="Times New Roman"/>
        </w:rPr>
      </w:pPr>
      <w:r w:rsidRPr="008312F9">
        <w:rPr>
          <w:rFonts w:cs="Times New Roman"/>
        </w:rPr>
        <w:t>Facsimile:  (614) 466-9475</w:t>
      </w:r>
    </w:p>
    <w:p w14:paraId="3522FA02" w14:textId="77777777" w:rsidR="00A72E64" w:rsidRPr="008312F9" w:rsidRDefault="00A72E64" w:rsidP="00A72E64">
      <w:pPr>
        <w:autoSpaceDE w:val="0"/>
        <w:autoSpaceDN w:val="0"/>
        <w:adjustRightInd w:val="0"/>
        <w:spacing w:line="240" w:lineRule="auto"/>
        <w:jc w:val="left"/>
        <w:rPr>
          <w:rFonts w:cs="Times New Roman"/>
        </w:rPr>
      </w:pPr>
      <w:r w:rsidRPr="008312F9">
        <w:rPr>
          <w:rFonts w:cs="Times New Roman"/>
        </w:rPr>
        <w:t>maureen.willis@occ.ohio.gov</w:t>
      </w:r>
    </w:p>
    <w:p w14:paraId="19DDF3D9" w14:textId="77777777" w:rsidR="00A72E64" w:rsidRPr="008312F9" w:rsidRDefault="00A72E64" w:rsidP="00A72E64">
      <w:pPr>
        <w:autoSpaceDE w:val="0"/>
        <w:autoSpaceDN w:val="0"/>
        <w:adjustRightInd w:val="0"/>
        <w:spacing w:line="240" w:lineRule="auto"/>
        <w:jc w:val="left"/>
        <w:rPr>
          <w:rFonts w:cs="Times New Roman"/>
        </w:rPr>
      </w:pPr>
      <w:r w:rsidRPr="008312F9">
        <w:rPr>
          <w:rFonts w:cs="Times New Roman"/>
        </w:rPr>
        <w:t>Terry.etter@occ.ohio.gov</w:t>
      </w:r>
    </w:p>
    <w:p w14:paraId="72E08C7E" w14:textId="77777777" w:rsidR="00A72E64" w:rsidRPr="008312F9" w:rsidRDefault="00A72E64" w:rsidP="00A72E64">
      <w:pPr>
        <w:autoSpaceDE w:val="0"/>
        <w:autoSpaceDN w:val="0"/>
        <w:adjustRightInd w:val="0"/>
        <w:spacing w:line="240" w:lineRule="auto"/>
        <w:jc w:val="left"/>
        <w:rPr>
          <w:rFonts w:cs="Times New Roman"/>
        </w:rPr>
      </w:pPr>
    </w:p>
    <w:p w14:paraId="2B7AB49C" w14:textId="77777777" w:rsidR="00A72E64" w:rsidRPr="008312F9" w:rsidRDefault="00A72E64" w:rsidP="00051DAD">
      <w:pPr>
        <w:pStyle w:val="Title"/>
        <w:rPr>
          <w:sz w:val="24"/>
        </w:rPr>
        <w:sectPr w:rsidR="00A72E64" w:rsidRPr="008312F9" w:rsidSect="001B2A39">
          <w:headerReference w:type="default" r:id="rId34"/>
          <w:footerReference w:type="default" r:id="rId35"/>
          <w:headerReference w:type="first" r:id="rId36"/>
          <w:footerReference w:type="first" r:id="rId37"/>
          <w:type w:val="continuous"/>
          <w:pgSz w:w="12240" w:h="15840" w:code="1"/>
          <w:pgMar w:top="1440" w:right="1440" w:bottom="1440" w:left="1440" w:header="720" w:footer="720" w:gutter="0"/>
          <w:pgNumType w:start="1"/>
          <w:cols w:num="2" w:space="720"/>
          <w:titlePg/>
          <w:docGrid w:linePitch="360"/>
        </w:sectPr>
      </w:pPr>
      <w:r w:rsidRPr="008312F9">
        <w:rPr>
          <w:sz w:val="24"/>
        </w:rPr>
        <w:t>Attorneys for the Office of the Ohio Consumers' Counsel</w:t>
      </w:r>
    </w:p>
    <w:p w14:paraId="1D6FA1CF" w14:textId="77777777" w:rsidR="00A72E64" w:rsidRPr="00364C61" w:rsidRDefault="00A72E64" w:rsidP="00051DAD">
      <w:pPr>
        <w:pStyle w:val="Title"/>
      </w:pPr>
    </w:p>
    <w:p w14:paraId="6E5AF871" w14:textId="77777777" w:rsidR="00615F60" w:rsidRDefault="00615F60" w:rsidP="007D3E38">
      <w:pPr>
        <w:ind w:firstLine="720"/>
      </w:pPr>
    </w:p>
    <w:p w14:paraId="666DCFA9" w14:textId="77777777" w:rsidR="00D75D57" w:rsidRDefault="00D75D57" w:rsidP="007D3E38">
      <w:pPr>
        <w:ind w:firstLine="720"/>
        <w:sectPr w:rsidR="00D75D57" w:rsidSect="001B2A39">
          <w:headerReference w:type="default" r:id="rId38"/>
          <w:footerReference w:type="default" r:id="rId39"/>
          <w:headerReference w:type="first" r:id="rId40"/>
          <w:footerReference w:type="first" r:id="rId41"/>
          <w:type w:val="continuous"/>
          <w:pgSz w:w="12240" w:h="15840" w:code="1"/>
          <w:pgMar w:top="1440" w:right="1440" w:bottom="1440" w:left="1440" w:header="720" w:footer="720" w:gutter="0"/>
          <w:pgNumType w:start="1"/>
          <w:cols w:space="720"/>
          <w:titlePg/>
          <w:docGrid w:linePitch="360"/>
        </w:sectPr>
      </w:pPr>
    </w:p>
    <w:p w14:paraId="1563108A" w14:textId="77777777" w:rsidR="003A3370" w:rsidRPr="00A91E96" w:rsidRDefault="003A3370" w:rsidP="003A3370">
      <w:pPr>
        <w:tabs>
          <w:tab w:val="left" w:pos="2160"/>
          <w:tab w:val="left" w:pos="2280"/>
        </w:tabs>
        <w:spacing w:line="240" w:lineRule="auto"/>
        <w:jc w:val="center"/>
        <w:rPr>
          <w:b/>
          <w:smallCaps/>
          <w:sz w:val="28"/>
          <w:szCs w:val="28"/>
          <w:u w:val="single"/>
        </w:rPr>
      </w:pPr>
      <w:bookmarkStart w:id="5" w:name="_GoBack"/>
      <w:bookmarkEnd w:id="5"/>
      <w:r w:rsidRPr="00A91E96">
        <w:rPr>
          <w:b/>
          <w:smallCaps/>
          <w:sz w:val="28"/>
          <w:szCs w:val="28"/>
          <w:u w:val="single"/>
        </w:rPr>
        <w:lastRenderedPageBreak/>
        <w:t>Certificate of Service</w:t>
      </w:r>
    </w:p>
    <w:p w14:paraId="147E3210" w14:textId="77777777" w:rsidR="003A3370" w:rsidRPr="006F36FF" w:rsidRDefault="003A3370" w:rsidP="003A3370">
      <w:pPr>
        <w:spacing w:line="240" w:lineRule="auto"/>
      </w:pPr>
    </w:p>
    <w:p w14:paraId="48533E91" w14:textId="5B45AB0D" w:rsidR="003A3370" w:rsidRPr="006F36FF" w:rsidRDefault="003A3370" w:rsidP="003A3370">
      <w:pPr>
        <w:pStyle w:val="BodyText"/>
        <w:spacing w:after="0"/>
        <w:ind w:firstLine="720"/>
      </w:pPr>
      <w:r w:rsidRPr="006F36FF">
        <w:t>In accordance with Rule 4901-1-05, Ohio Administrative Code, the PUCO's e</w:t>
      </w:r>
      <w:r w:rsidRPr="006F36FF">
        <w:noBreakHyphen/>
        <w:t xml:space="preserve">filing system will electronically serve notice of the filing of this document upon the following parties.  In addition, I hereby certify that a service copy of the foregoing </w:t>
      </w:r>
      <w:r w:rsidR="006E34EC" w:rsidRPr="006E34EC">
        <w:rPr>
          <w:i/>
        </w:rPr>
        <w:t>Joint Motion of</w:t>
      </w:r>
      <w:r w:rsidR="006E34EC">
        <w:t xml:space="preserve"> </w:t>
      </w:r>
      <w:r>
        <w:rPr>
          <w:i/>
        </w:rPr>
        <w:t>Industrial Energy Users-Ohio</w:t>
      </w:r>
      <w:r w:rsidR="006E34EC">
        <w:rPr>
          <w:i/>
        </w:rPr>
        <w:t xml:space="preserve"> and the Office of the Ohio Consumers’ Counsel for an Order Requiring that the Service Stability Rider be Collected Subject to Refund and Request for Expedited </w:t>
      </w:r>
      <w:r w:rsidR="00982BBA">
        <w:rPr>
          <w:i/>
        </w:rPr>
        <w:t xml:space="preserve">Ruling and Memorandum in Support </w:t>
      </w:r>
      <w:r w:rsidRPr="006F36FF">
        <w:t xml:space="preserve">was sent by, or on behalf of, the undersigned counsel for IEU-Ohio to the following parties of record this </w:t>
      </w:r>
      <w:r w:rsidR="006E34EC">
        <w:t>1</w:t>
      </w:r>
      <w:r w:rsidR="00982BBA">
        <w:t>7</w:t>
      </w:r>
      <w:r w:rsidR="006E34EC" w:rsidRPr="006E34EC">
        <w:rPr>
          <w:vertAlign w:val="superscript"/>
        </w:rPr>
        <w:t>th</w:t>
      </w:r>
      <w:r w:rsidR="006E34EC">
        <w:t xml:space="preserve"> </w:t>
      </w:r>
      <w:r w:rsidRPr="006F36FF">
        <w:t xml:space="preserve">day of </w:t>
      </w:r>
      <w:r>
        <w:t xml:space="preserve">May </w:t>
      </w:r>
      <w:r w:rsidRPr="006F36FF">
        <w:t xml:space="preserve">2016, </w:t>
      </w:r>
      <w:r w:rsidRPr="006F36FF">
        <w:rPr>
          <w:i/>
        </w:rPr>
        <w:t>via</w:t>
      </w:r>
      <w:r w:rsidRPr="006F36FF">
        <w:t xml:space="preserve"> electronic transmission. </w:t>
      </w:r>
    </w:p>
    <w:p w14:paraId="3C9427B4" w14:textId="77777777" w:rsidR="003A3370" w:rsidRPr="006F36FF" w:rsidRDefault="003A3370" w:rsidP="003A3370">
      <w:pPr>
        <w:tabs>
          <w:tab w:val="center" w:pos="7200"/>
          <w:tab w:val="right" w:pos="9360"/>
        </w:tabs>
        <w:spacing w:line="240" w:lineRule="auto"/>
        <w:ind w:left="5040"/>
        <w:rPr>
          <w:i/>
          <w:u w:val="single"/>
        </w:rPr>
      </w:pPr>
      <w:r w:rsidRPr="006F36FF">
        <w:rPr>
          <w:i/>
          <w:u w:val="single"/>
        </w:rPr>
        <w:t xml:space="preserve">/s/ </w:t>
      </w:r>
      <w:r>
        <w:rPr>
          <w:i/>
          <w:u w:val="single"/>
        </w:rPr>
        <w:t>Matthew R. Pritchard</w:t>
      </w:r>
      <w:r w:rsidRPr="006F36FF">
        <w:rPr>
          <w:i/>
          <w:u w:val="single"/>
        </w:rPr>
        <w:tab/>
      </w:r>
    </w:p>
    <w:p w14:paraId="1AC3F4DE" w14:textId="77777777" w:rsidR="003A3370" w:rsidRDefault="003A3370" w:rsidP="003A3370">
      <w:pPr>
        <w:tabs>
          <w:tab w:val="center" w:pos="7200"/>
          <w:tab w:val="right" w:pos="9360"/>
        </w:tabs>
        <w:spacing w:line="240" w:lineRule="auto"/>
        <w:ind w:left="5760"/>
      </w:pPr>
      <w:r>
        <w:t>Matthew R. Pritchard</w:t>
      </w:r>
    </w:p>
    <w:p w14:paraId="2E380787" w14:textId="77777777" w:rsidR="00D75D57" w:rsidRPr="00846355" w:rsidRDefault="00D75D57" w:rsidP="00051DAD">
      <w:pPr>
        <w:pStyle w:val="Title"/>
      </w:pPr>
    </w:p>
    <w:p w14:paraId="0486F0E2" w14:textId="77777777" w:rsidR="00D75D57" w:rsidRPr="00846355" w:rsidRDefault="00D75D57" w:rsidP="00D75D57">
      <w:pPr>
        <w:spacing w:line="240" w:lineRule="auto"/>
        <w:rPr>
          <w:color w:val="000000" w:themeColor="text1"/>
          <w:sz w:val="20"/>
          <w:szCs w:val="20"/>
        </w:rPr>
        <w:sectPr w:rsidR="00D75D57" w:rsidRPr="00846355" w:rsidSect="00C0405A">
          <w:headerReference w:type="even" r:id="rId42"/>
          <w:headerReference w:type="default" r:id="rId43"/>
          <w:footerReference w:type="even" r:id="rId44"/>
          <w:footerReference w:type="default" r:id="rId45"/>
          <w:headerReference w:type="first" r:id="rId46"/>
          <w:footerReference w:type="first" r:id="rId47"/>
          <w:pgSz w:w="12240" w:h="15840" w:code="1"/>
          <w:pgMar w:top="1440" w:right="1440" w:bottom="1440" w:left="1440" w:header="720" w:footer="720" w:gutter="0"/>
          <w:cols w:space="720"/>
          <w:titlePg/>
          <w:docGrid w:linePitch="360"/>
        </w:sectPr>
      </w:pPr>
    </w:p>
    <w:p w14:paraId="2B6E94A6"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judi.sobecki@dplinc.com</w:t>
      </w:r>
    </w:p>
    <w:p w14:paraId="4C497E5E"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randall.griffin@dplinc.com</w:t>
      </w:r>
    </w:p>
    <w:p w14:paraId="3A81C2BA"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cfaruki@ficlaw.com</w:t>
      </w:r>
    </w:p>
    <w:p w14:paraId="1F182699"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jsharkey@ficlaw.com</w:t>
      </w:r>
    </w:p>
    <w:p w14:paraId="7C8D8AED" w14:textId="77777777" w:rsidR="00D75D57" w:rsidRPr="00846355" w:rsidRDefault="00D75D57" w:rsidP="00D75D57">
      <w:pPr>
        <w:tabs>
          <w:tab w:val="left" w:pos="-1440"/>
          <w:tab w:val="left" w:pos="-720"/>
          <w:tab w:val="left" w:pos="5040"/>
          <w:tab w:val="center" w:pos="7200"/>
        </w:tabs>
        <w:spacing w:line="240" w:lineRule="auto"/>
        <w:rPr>
          <w:color w:val="000000" w:themeColor="text1"/>
          <w:sz w:val="20"/>
          <w:szCs w:val="20"/>
        </w:rPr>
      </w:pPr>
      <w:r w:rsidRPr="00846355">
        <w:rPr>
          <w:color w:val="000000" w:themeColor="text1"/>
          <w:sz w:val="20"/>
          <w:szCs w:val="20"/>
        </w:rPr>
        <w:t>arthur.meyer@dplinc.com</w:t>
      </w:r>
    </w:p>
    <w:p w14:paraId="5D17B403" w14:textId="77777777" w:rsidR="00D75D57" w:rsidRPr="00846355" w:rsidRDefault="00D75D57" w:rsidP="00D75D57">
      <w:pPr>
        <w:pStyle w:val="BodyTextIndent"/>
        <w:spacing w:after="0" w:line="240" w:lineRule="auto"/>
        <w:ind w:left="0"/>
        <w:rPr>
          <w:color w:val="000000" w:themeColor="text1"/>
          <w:sz w:val="20"/>
          <w:szCs w:val="20"/>
        </w:rPr>
      </w:pPr>
      <w:r w:rsidRPr="00846355">
        <w:rPr>
          <w:color w:val="000000" w:themeColor="text1"/>
          <w:sz w:val="20"/>
          <w:szCs w:val="20"/>
        </w:rPr>
        <w:t>dboehm@BKLlawfirm.com</w:t>
      </w:r>
    </w:p>
    <w:p w14:paraId="7161B220" w14:textId="77777777" w:rsidR="00D75D57" w:rsidRPr="00846355" w:rsidRDefault="00D75D57" w:rsidP="00D75D57">
      <w:pPr>
        <w:pStyle w:val="BodyTextIndent"/>
        <w:spacing w:after="0" w:line="240" w:lineRule="auto"/>
        <w:ind w:left="0"/>
        <w:rPr>
          <w:color w:val="000000" w:themeColor="text1"/>
          <w:sz w:val="20"/>
          <w:szCs w:val="20"/>
        </w:rPr>
      </w:pPr>
      <w:r w:rsidRPr="00846355">
        <w:rPr>
          <w:color w:val="000000" w:themeColor="text1"/>
          <w:sz w:val="20"/>
          <w:szCs w:val="20"/>
        </w:rPr>
        <w:t>mkurtz@BKLlawfirm.com</w:t>
      </w:r>
    </w:p>
    <w:p w14:paraId="4BFB6A10" w14:textId="77777777" w:rsidR="00D75D57" w:rsidRPr="00846355" w:rsidRDefault="00D75D57" w:rsidP="00D75D57">
      <w:pPr>
        <w:tabs>
          <w:tab w:val="left" w:pos="2160"/>
          <w:tab w:val="left" w:pos="2280"/>
        </w:tabs>
        <w:spacing w:line="240" w:lineRule="auto"/>
        <w:rPr>
          <w:color w:val="000000" w:themeColor="text1"/>
          <w:sz w:val="20"/>
          <w:szCs w:val="20"/>
        </w:rPr>
      </w:pPr>
      <w:r w:rsidRPr="00846355">
        <w:rPr>
          <w:color w:val="000000" w:themeColor="text1"/>
          <w:sz w:val="20"/>
          <w:szCs w:val="20"/>
        </w:rPr>
        <w:t>grady@occ.state.oh.us</w:t>
      </w:r>
    </w:p>
    <w:p w14:paraId="0720CC25" w14:textId="77777777" w:rsidR="00D75D57" w:rsidRPr="00846355" w:rsidRDefault="00D75D57" w:rsidP="00D75D57">
      <w:pPr>
        <w:tabs>
          <w:tab w:val="left" w:pos="2160"/>
          <w:tab w:val="left" w:pos="2280"/>
        </w:tabs>
        <w:spacing w:line="240" w:lineRule="auto"/>
        <w:rPr>
          <w:color w:val="000000" w:themeColor="text1"/>
          <w:sz w:val="20"/>
          <w:szCs w:val="20"/>
        </w:rPr>
      </w:pPr>
      <w:r w:rsidRPr="00846355">
        <w:rPr>
          <w:color w:val="000000" w:themeColor="text1"/>
          <w:sz w:val="20"/>
          <w:szCs w:val="20"/>
        </w:rPr>
        <w:t>etter@occ.state.oh.us</w:t>
      </w:r>
    </w:p>
    <w:p w14:paraId="1044633D" w14:textId="77777777" w:rsidR="00D75D57" w:rsidRPr="00846355" w:rsidRDefault="00D75D57" w:rsidP="00D75D57">
      <w:pPr>
        <w:tabs>
          <w:tab w:val="left" w:pos="2160"/>
          <w:tab w:val="left" w:pos="2280"/>
        </w:tabs>
        <w:spacing w:line="240" w:lineRule="auto"/>
        <w:rPr>
          <w:color w:val="000000" w:themeColor="text1"/>
          <w:sz w:val="20"/>
          <w:szCs w:val="20"/>
        </w:rPr>
      </w:pPr>
      <w:r w:rsidRPr="00846355">
        <w:rPr>
          <w:color w:val="000000" w:themeColor="text1"/>
          <w:sz w:val="20"/>
          <w:szCs w:val="20"/>
        </w:rPr>
        <w:t>serio@occ.state.oh.us</w:t>
      </w:r>
    </w:p>
    <w:p w14:paraId="2A9FCCB0" w14:textId="77777777" w:rsidR="00D75D57" w:rsidRPr="00846355" w:rsidRDefault="00D75D57" w:rsidP="00D75D57">
      <w:pPr>
        <w:tabs>
          <w:tab w:val="left" w:pos="2160"/>
          <w:tab w:val="left" w:pos="2280"/>
        </w:tabs>
        <w:spacing w:line="240" w:lineRule="auto"/>
        <w:rPr>
          <w:color w:val="000000" w:themeColor="text1"/>
          <w:sz w:val="20"/>
          <w:szCs w:val="20"/>
        </w:rPr>
      </w:pPr>
      <w:r w:rsidRPr="00846355">
        <w:rPr>
          <w:color w:val="000000" w:themeColor="text1"/>
          <w:sz w:val="20"/>
          <w:szCs w:val="20"/>
        </w:rPr>
        <w:t>amy.spiller@duke-energy.com</w:t>
      </w:r>
    </w:p>
    <w:p w14:paraId="4F7C5840" w14:textId="77777777" w:rsidR="00D75D57" w:rsidRPr="00846355" w:rsidRDefault="00D75D57" w:rsidP="00D75D57">
      <w:pPr>
        <w:tabs>
          <w:tab w:val="left" w:pos="2160"/>
          <w:tab w:val="left" w:pos="2280"/>
        </w:tabs>
        <w:spacing w:line="240" w:lineRule="auto"/>
        <w:rPr>
          <w:color w:val="000000" w:themeColor="text1"/>
          <w:sz w:val="20"/>
          <w:szCs w:val="20"/>
        </w:rPr>
      </w:pPr>
      <w:r w:rsidRPr="00846355">
        <w:rPr>
          <w:color w:val="000000" w:themeColor="text1"/>
          <w:sz w:val="20"/>
          <w:szCs w:val="20"/>
        </w:rPr>
        <w:t>jeanne.kingery@duke-energy.com</w:t>
      </w:r>
    </w:p>
    <w:p w14:paraId="705260B2" w14:textId="77777777" w:rsidR="00D75D57" w:rsidRPr="00846355" w:rsidRDefault="00D75D57" w:rsidP="00D75D57">
      <w:pPr>
        <w:tabs>
          <w:tab w:val="left" w:pos="2160"/>
          <w:tab w:val="left" w:pos="2280"/>
        </w:tabs>
        <w:spacing w:line="240" w:lineRule="auto"/>
        <w:rPr>
          <w:color w:val="000000" w:themeColor="text1"/>
          <w:sz w:val="20"/>
          <w:szCs w:val="20"/>
        </w:rPr>
      </w:pPr>
      <w:r w:rsidRPr="00846355">
        <w:rPr>
          <w:color w:val="000000" w:themeColor="text1"/>
          <w:sz w:val="20"/>
          <w:szCs w:val="20"/>
        </w:rPr>
        <w:t>philip.sineneng@ThompsonHine.com</w:t>
      </w:r>
    </w:p>
    <w:p w14:paraId="23547784" w14:textId="77777777" w:rsidR="00D75D57" w:rsidRPr="00846355" w:rsidRDefault="00D75D57" w:rsidP="00D75D57">
      <w:pPr>
        <w:tabs>
          <w:tab w:val="left" w:pos="2160"/>
          <w:tab w:val="left" w:pos="2280"/>
        </w:tabs>
        <w:spacing w:line="240" w:lineRule="auto"/>
        <w:rPr>
          <w:color w:val="000000" w:themeColor="text1"/>
          <w:sz w:val="20"/>
          <w:szCs w:val="20"/>
        </w:rPr>
      </w:pPr>
      <w:r w:rsidRPr="00846355">
        <w:rPr>
          <w:color w:val="000000" w:themeColor="text1"/>
          <w:sz w:val="20"/>
          <w:szCs w:val="20"/>
        </w:rPr>
        <w:t>bmcmahon@emh-law.com</w:t>
      </w:r>
    </w:p>
    <w:p w14:paraId="7A79B753" w14:textId="77777777" w:rsidR="00D75D57" w:rsidRPr="00846355" w:rsidRDefault="00D75D57" w:rsidP="00D75D57">
      <w:pPr>
        <w:tabs>
          <w:tab w:val="left" w:pos="2160"/>
          <w:tab w:val="left" w:pos="2280"/>
        </w:tabs>
        <w:spacing w:line="240" w:lineRule="auto"/>
        <w:rPr>
          <w:color w:val="000000" w:themeColor="text1"/>
          <w:sz w:val="20"/>
          <w:szCs w:val="20"/>
        </w:rPr>
      </w:pPr>
      <w:r w:rsidRPr="00846355">
        <w:rPr>
          <w:color w:val="000000" w:themeColor="text1"/>
          <w:sz w:val="20"/>
          <w:szCs w:val="20"/>
        </w:rPr>
        <w:t>elizabeth.watts@duke-energy.com</w:t>
      </w:r>
    </w:p>
    <w:p w14:paraId="2A7AEA15" w14:textId="77777777" w:rsidR="00D75D57" w:rsidRPr="00846355" w:rsidRDefault="00D75D57" w:rsidP="00D75D57">
      <w:pPr>
        <w:tabs>
          <w:tab w:val="left" w:pos="2160"/>
          <w:tab w:val="left" w:pos="2280"/>
        </w:tabs>
        <w:spacing w:line="240" w:lineRule="auto"/>
        <w:rPr>
          <w:color w:val="000000" w:themeColor="text1"/>
          <w:sz w:val="20"/>
          <w:szCs w:val="20"/>
        </w:rPr>
      </w:pPr>
      <w:r w:rsidRPr="00846355">
        <w:rPr>
          <w:color w:val="000000" w:themeColor="text1"/>
          <w:sz w:val="20"/>
          <w:szCs w:val="20"/>
        </w:rPr>
        <w:t>rocco.d’ascenzo@duke-energy.com</w:t>
      </w:r>
    </w:p>
    <w:p w14:paraId="4872F614"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ricks@ohanet.org</w:t>
      </w:r>
    </w:p>
    <w:p w14:paraId="7D573DEB" w14:textId="7E097423" w:rsidR="00D75D57" w:rsidRPr="00846355" w:rsidRDefault="00461BF6" w:rsidP="00D75D57">
      <w:pPr>
        <w:spacing w:line="240" w:lineRule="auto"/>
        <w:rPr>
          <w:color w:val="000000" w:themeColor="text1"/>
          <w:sz w:val="20"/>
          <w:szCs w:val="20"/>
        </w:rPr>
      </w:pPr>
      <w:r w:rsidRPr="00846355">
        <w:rPr>
          <w:color w:val="000000" w:themeColor="text1"/>
          <w:sz w:val="20"/>
          <w:szCs w:val="20"/>
        </w:rPr>
        <w:t>mwarnock@bricker.com</w:t>
      </w:r>
    </w:p>
    <w:p w14:paraId="6AF63AE7" w14:textId="4BB96910" w:rsidR="00461BF6" w:rsidRPr="00846355" w:rsidRDefault="00461BF6" w:rsidP="00D75D57">
      <w:pPr>
        <w:spacing w:line="240" w:lineRule="auto"/>
        <w:rPr>
          <w:color w:val="000000" w:themeColor="text1"/>
          <w:sz w:val="20"/>
          <w:szCs w:val="20"/>
        </w:rPr>
      </w:pPr>
      <w:r w:rsidRPr="00846355">
        <w:rPr>
          <w:color w:val="000000" w:themeColor="text1"/>
          <w:sz w:val="20"/>
          <w:szCs w:val="20"/>
        </w:rPr>
        <w:t>dborchers@bricker.com</w:t>
      </w:r>
    </w:p>
    <w:p w14:paraId="16EF6CB7"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gary.a.jeffries@dom.com</w:t>
      </w:r>
    </w:p>
    <w:p w14:paraId="7A2A6432"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drinebolt@ohiopartners.org</w:t>
      </w:r>
    </w:p>
    <w:p w14:paraId="4752C973"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cmooney2@columbus.rr.com</w:t>
      </w:r>
    </w:p>
    <w:p w14:paraId="4E072136" w14:textId="77777777" w:rsidR="00D75D57" w:rsidRPr="00846355" w:rsidRDefault="00D75D57" w:rsidP="00D75D57">
      <w:pPr>
        <w:tabs>
          <w:tab w:val="left" w:pos="2160"/>
          <w:tab w:val="left" w:pos="2280"/>
        </w:tabs>
        <w:spacing w:line="240" w:lineRule="auto"/>
        <w:rPr>
          <w:color w:val="000000" w:themeColor="text1"/>
          <w:sz w:val="20"/>
          <w:szCs w:val="20"/>
        </w:rPr>
      </w:pPr>
      <w:r w:rsidRPr="00846355">
        <w:rPr>
          <w:color w:val="000000" w:themeColor="text1"/>
          <w:sz w:val="20"/>
          <w:szCs w:val="20"/>
        </w:rPr>
        <w:t>whitt@whitt-sturtevant.com</w:t>
      </w:r>
    </w:p>
    <w:p w14:paraId="0291E5B2" w14:textId="77777777" w:rsidR="00D75D57" w:rsidRPr="00846355" w:rsidRDefault="00D75D57" w:rsidP="00D75D57">
      <w:pPr>
        <w:tabs>
          <w:tab w:val="left" w:pos="2160"/>
          <w:tab w:val="left" w:pos="2280"/>
        </w:tabs>
        <w:spacing w:line="240" w:lineRule="auto"/>
        <w:rPr>
          <w:color w:val="000000" w:themeColor="text1"/>
          <w:sz w:val="20"/>
          <w:szCs w:val="20"/>
        </w:rPr>
      </w:pPr>
      <w:r w:rsidRPr="00846355">
        <w:rPr>
          <w:color w:val="000000" w:themeColor="text1"/>
          <w:sz w:val="20"/>
          <w:szCs w:val="20"/>
        </w:rPr>
        <w:t>campbell@whitt-sturtevant.com</w:t>
      </w:r>
    </w:p>
    <w:p w14:paraId="32257F4F" w14:textId="7ECB1F62" w:rsidR="00D75D57" w:rsidRPr="00846355" w:rsidRDefault="00D75D57" w:rsidP="00D75D57">
      <w:pPr>
        <w:tabs>
          <w:tab w:val="left" w:pos="2160"/>
          <w:tab w:val="left" w:pos="2280"/>
        </w:tabs>
        <w:spacing w:line="240" w:lineRule="auto"/>
        <w:rPr>
          <w:color w:val="000000" w:themeColor="text1"/>
          <w:sz w:val="20"/>
          <w:szCs w:val="20"/>
        </w:rPr>
      </w:pPr>
      <w:r w:rsidRPr="00387703">
        <w:rPr>
          <w:sz w:val="20"/>
          <w:szCs w:val="20"/>
        </w:rPr>
        <w:t>glover@whitt-sturtevant.com</w:t>
      </w:r>
    </w:p>
    <w:p w14:paraId="6391C288" w14:textId="77777777" w:rsidR="00D75D57" w:rsidRPr="00846355" w:rsidRDefault="00D75D57" w:rsidP="00D75D57">
      <w:pPr>
        <w:tabs>
          <w:tab w:val="left" w:pos="2160"/>
          <w:tab w:val="left" w:pos="2280"/>
        </w:tabs>
        <w:spacing w:line="240" w:lineRule="auto"/>
        <w:rPr>
          <w:color w:val="000000" w:themeColor="text1"/>
          <w:sz w:val="20"/>
          <w:szCs w:val="20"/>
        </w:rPr>
      </w:pPr>
      <w:r w:rsidRPr="00846355">
        <w:rPr>
          <w:color w:val="000000" w:themeColor="text1"/>
          <w:sz w:val="20"/>
          <w:szCs w:val="20"/>
        </w:rPr>
        <w:t>vparisi@igsenergy.com</w:t>
      </w:r>
    </w:p>
    <w:p w14:paraId="69E0BB2A"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barthroyer@aol.com</w:t>
      </w:r>
    </w:p>
    <w:p w14:paraId="6D791957"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trent@theoec.org</w:t>
      </w:r>
    </w:p>
    <w:p w14:paraId="59CE0BB3"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williams.toddm@gmail.com</w:t>
      </w:r>
    </w:p>
    <w:p w14:paraId="50A3BDD9"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ejacobs@ablelaw.org</w:t>
      </w:r>
    </w:p>
    <w:p w14:paraId="34B71648"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mhpetricoff@vorys.com</w:t>
      </w:r>
    </w:p>
    <w:p w14:paraId="6EDEA9EF"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smhoward@vorys.com</w:t>
      </w:r>
    </w:p>
    <w:p w14:paraId="6F2A3799"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david.fein@constellation.com</w:t>
      </w:r>
    </w:p>
    <w:p w14:paraId="41A3D980"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cynthia.a.fonner@constellation.com</w:t>
      </w:r>
    </w:p>
    <w:p w14:paraId="45DBD326"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Tasha.hamilton@constellation.com</w:t>
      </w:r>
    </w:p>
    <w:p w14:paraId="1D4035DE"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Tony_Long@ham.honda.com</w:t>
      </w:r>
    </w:p>
    <w:p w14:paraId="435F500D" w14:textId="35C34CE0" w:rsidR="00D75D57" w:rsidRPr="00846355" w:rsidRDefault="00D75D57" w:rsidP="00D75D57">
      <w:pPr>
        <w:spacing w:line="240" w:lineRule="auto"/>
        <w:rPr>
          <w:rStyle w:val="Hyperlink"/>
          <w:color w:val="000000" w:themeColor="text1"/>
          <w:sz w:val="20"/>
          <w:szCs w:val="20"/>
          <w:u w:val="none"/>
        </w:rPr>
      </w:pPr>
      <w:r w:rsidRPr="00387703">
        <w:rPr>
          <w:sz w:val="20"/>
          <w:szCs w:val="20"/>
        </w:rPr>
        <w:t>Stephen.bennett@exeloncorp.com</w:t>
      </w:r>
    </w:p>
    <w:p w14:paraId="3A8EEAB9" w14:textId="77777777" w:rsidR="00D75D57" w:rsidRPr="00846355" w:rsidRDefault="00D75D57" w:rsidP="00D75D57">
      <w:pPr>
        <w:spacing w:line="240" w:lineRule="auto"/>
        <w:rPr>
          <w:rStyle w:val="Hyperlink"/>
          <w:color w:val="000000" w:themeColor="text1"/>
          <w:sz w:val="20"/>
          <w:szCs w:val="20"/>
          <w:u w:val="none"/>
        </w:rPr>
      </w:pPr>
      <w:r w:rsidRPr="00846355">
        <w:rPr>
          <w:rStyle w:val="Hyperlink"/>
          <w:color w:val="000000" w:themeColor="text1"/>
          <w:sz w:val="20"/>
          <w:szCs w:val="20"/>
          <w:u w:val="none"/>
        </w:rPr>
        <w:t>rbrundrett@ohiomfg.com</w:t>
      </w:r>
    </w:p>
    <w:p w14:paraId="12423746" w14:textId="77777777" w:rsidR="00D75D57" w:rsidRPr="00846355" w:rsidRDefault="00D75D57" w:rsidP="00D75D57">
      <w:pPr>
        <w:tabs>
          <w:tab w:val="left" w:pos="-1440"/>
          <w:tab w:val="left" w:pos="-720"/>
          <w:tab w:val="left" w:pos="5040"/>
          <w:tab w:val="center" w:pos="7200"/>
        </w:tabs>
        <w:spacing w:line="240" w:lineRule="auto"/>
        <w:rPr>
          <w:color w:val="000000" w:themeColor="text1"/>
          <w:sz w:val="20"/>
          <w:szCs w:val="20"/>
        </w:rPr>
      </w:pPr>
      <w:r w:rsidRPr="00846355">
        <w:rPr>
          <w:color w:val="000000" w:themeColor="text1"/>
          <w:sz w:val="20"/>
          <w:szCs w:val="20"/>
        </w:rPr>
        <w:t>dconway@porterwright.com</w:t>
      </w:r>
    </w:p>
    <w:p w14:paraId="114F40BD" w14:textId="77777777" w:rsidR="00D75D57" w:rsidRPr="00846355" w:rsidRDefault="00D75D57" w:rsidP="00D75D57">
      <w:pPr>
        <w:tabs>
          <w:tab w:val="left" w:pos="-1440"/>
          <w:tab w:val="left" w:pos="-720"/>
          <w:tab w:val="left" w:pos="5040"/>
          <w:tab w:val="center" w:pos="7200"/>
        </w:tabs>
        <w:spacing w:line="240" w:lineRule="auto"/>
        <w:rPr>
          <w:color w:val="000000" w:themeColor="text1"/>
          <w:sz w:val="20"/>
          <w:szCs w:val="20"/>
        </w:rPr>
      </w:pPr>
      <w:r w:rsidRPr="00846355">
        <w:rPr>
          <w:color w:val="000000" w:themeColor="text1"/>
          <w:sz w:val="20"/>
          <w:szCs w:val="20"/>
        </w:rPr>
        <w:t>aemerson@porterwright.com</w:t>
      </w:r>
    </w:p>
    <w:p w14:paraId="28735101"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haydenm@firstenergycorp.com</w:t>
      </w:r>
    </w:p>
    <w:p w14:paraId="6AF74BA2"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jlang@calfee.com</w:t>
      </w:r>
    </w:p>
    <w:p w14:paraId="2C1D6F81"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lmcbride@calfee.com</w:t>
      </w:r>
    </w:p>
    <w:p w14:paraId="004B5FD7"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talexander@calfee.com</w:t>
      </w:r>
    </w:p>
    <w:p w14:paraId="66A86284"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dakutik@jonesday.com</w:t>
      </w:r>
    </w:p>
    <w:p w14:paraId="64D8509F"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aehaedt@jonesday.com</w:t>
      </w:r>
    </w:p>
    <w:p w14:paraId="5999D6DA" w14:textId="77777777" w:rsidR="00D75D57" w:rsidRPr="00846355" w:rsidRDefault="00D75D57" w:rsidP="00D75D57">
      <w:pPr>
        <w:tabs>
          <w:tab w:val="left" w:pos="2160"/>
          <w:tab w:val="left" w:pos="2280"/>
        </w:tabs>
        <w:spacing w:line="240" w:lineRule="auto"/>
        <w:rPr>
          <w:color w:val="000000" w:themeColor="text1"/>
          <w:sz w:val="20"/>
          <w:szCs w:val="20"/>
        </w:rPr>
      </w:pPr>
      <w:r w:rsidRPr="00846355">
        <w:rPr>
          <w:color w:val="000000" w:themeColor="text1"/>
          <w:sz w:val="20"/>
          <w:szCs w:val="20"/>
        </w:rPr>
        <w:t>jejadwin@aep.com</w:t>
      </w:r>
    </w:p>
    <w:p w14:paraId="7DD44308" w14:textId="77777777" w:rsidR="00D75D57" w:rsidRPr="00846355" w:rsidRDefault="00D75D57" w:rsidP="00D75D57">
      <w:pPr>
        <w:tabs>
          <w:tab w:val="left" w:pos="2160"/>
          <w:tab w:val="left" w:pos="2280"/>
        </w:tabs>
        <w:spacing w:line="240" w:lineRule="auto"/>
        <w:rPr>
          <w:color w:val="000000" w:themeColor="text1"/>
          <w:sz w:val="20"/>
          <w:szCs w:val="20"/>
        </w:rPr>
      </w:pPr>
      <w:r w:rsidRPr="00846355">
        <w:rPr>
          <w:color w:val="000000" w:themeColor="text1"/>
          <w:sz w:val="20"/>
          <w:szCs w:val="20"/>
        </w:rPr>
        <w:t>christopher.miller@icemiller.com</w:t>
      </w:r>
    </w:p>
    <w:p w14:paraId="531C81F1" w14:textId="77777777" w:rsidR="00D75D57" w:rsidRPr="00846355" w:rsidRDefault="00D75D57" w:rsidP="00D75D57">
      <w:pPr>
        <w:tabs>
          <w:tab w:val="left" w:pos="2160"/>
          <w:tab w:val="left" w:pos="2280"/>
        </w:tabs>
        <w:spacing w:line="240" w:lineRule="auto"/>
        <w:rPr>
          <w:color w:val="000000" w:themeColor="text1"/>
          <w:sz w:val="20"/>
          <w:szCs w:val="20"/>
        </w:rPr>
      </w:pPr>
      <w:r w:rsidRPr="00846355">
        <w:rPr>
          <w:color w:val="000000" w:themeColor="text1"/>
          <w:sz w:val="20"/>
          <w:szCs w:val="20"/>
        </w:rPr>
        <w:t>gregory.dunn@icemiller.com</w:t>
      </w:r>
    </w:p>
    <w:p w14:paraId="07B1D418" w14:textId="77777777" w:rsidR="00D75D57" w:rsidRPr="00846355" w:rsidRDefault="00D75D57" w:rsidP="00D75D57">
      <w:pPr>
        <w:tabs>
          <w:tab w:val="left" w:pos="2160"/>
          <w:tab w:val="left" w:pos="2280"/>
        </w:tabs>
        <w:spacing w:line="240" w:lineRule="auto"/>
        <w:rPr>
          <w:color w:val="000000" w:themeColor="text1"/>
          <w:sz w:val="20"/>
          <w:szCs w:val="20"/>
        </w:rPr>
      </w:pPr>
      <w:r w:rsidRPr="00846355">
        <w:rPr>
          <w:color w:val="000000" w:themeColor="text1"/>
          <w:sz w:val="20"/>
          <w:szCs w:val="20"/>
        </w:rPr>
        <w:t>alan.starkoff@icemiller.com</w:t>
      </w:r>
    </w:p>
    <w:p w14:paraId="4C225284"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chris.michael@icemiller.com</w:t>
      </w:r>
    </w:p>
    <w:p w14:paraId="5BC47BD3" w14:textId="77777777" w:rsidR="00D75D57" w:rsidRPr="00846355" w:rsidRDefault="00D75D57" w:rsidP="00D75D57">
      <w:pPr>
        <w:tabs>
          <w:tab w:val="left" w:pos="2160"/>
          <w:tab w:val="left" w:pos="2280"/>
        </w:tabs>
        <w:spacing w:line="240" w:lineRule="auto"/>
        <w:rPr>
          <w:color w:val="000000" w:themeColor="text1"/>
          <w:sz w:val="20"/>
          <w:szCs w:val="20"/>
        </w:rPr>
      </w:pPr>
      <w:r w:rsidRPr="00846355">
        <w:rPr>
          <w:color w:val="000000" w:themeColor="text1"/>
          <w:sz w:val="20"/>
          <w:szCs w:val="20"/>
        </w:rPr>
        <w:t>ssolberg@EimerStahl.com</w:t>
      </w:r>
    </w:p>
    <w:p w14:paraId="1BCF40BF" w14:textId="77777777" w:rsidR="00D75D57" w:rsidRPr="00846355" w:rsidRDefault="00D75D57" w:rsidP="00D75D57">
      <w:pPr>
        <w:tabs>
          <w:tab w:val="left" w:pos="2160"/>
          <w:tab w:val="left" w:pos="2280"/>
        </w:tabs>
        <w:spacing w:line="240" w:lineRule="auto"/>
        <w:rPr>
          <w:color w:val="000000" w:themeColor="text1"/>
          <w:sz w:val="20"/>
          <w:szCs w:val="20"/>
        </w:rPr>
      </w:pPr>
      <w:r w:rsidRPr="00846355">
        <w:rPr>
          <w:rStyle w:val="Hyperlink"/>
          <w:color w:val="000000" w:themeColor="text1"/>
          <w:sz w:val="20"/>
          <w:szCs w:val="20"/>
          <w:u w:val="none"/>
        </w:rPr>
        <w:t>philip.sineneng@ThompsonHine.com</w:t>
      </w:r>
    </w:p>
    <w:p w14:paraId="78F392DC" w14:textId="77777777" w:rsidR="00D75D57" w:rsidRPr="00846355" w:rsidRDefault="00D75D57" w:rsidP="00D75D57">
      <w:pPr>
        <w:tabs>
          <w:tab w:val="left" w:pos="2160"/>
          <w:tab w:val="left" w:pos="2280"/>
        </w:tabs>
        <w:spacing w:line="240" w:lineRule="auto"/>
        <w:rPr>
          <w:color w:val="000000" w:themeColor="text1"/>
          <w:sz w:val="20"/>
          <w:szCs w:val="20"/>
        </w:rPr>
      </w:pPr>
      <w:r w:rsidRPr="00846355">
        <w:rPr>
          <w:color w:val="000000" w:themeColor="text1"/>
          <w:sz w:val="20"/>
          <w:szCs w:val="20"/>
        </w:rPr>
        <w:t>mjsatterwhite@aep.com</w:t>
      </w:r>
    </w:p>
    <w:p w14:paraId="3355F9F5" w14:textId="77777777" w:rsidR="00D75D57" w:rsidRPr="00846355" w:rsidRDefault="00D75D57" w:rsidP="00D75D57">
      <w:pPr>
        <w:tabs>
          <w:tab w:val="left" w:pos="2160"/>
          <w:tab w:val="left" w:pos="2280"/>
        </w:tabs>
        <w:spacing w:line="240" w:lineRule="auto"/>
        <w:rPr>
          <w:color w:val="000000" w:themeColor="text1"/>
          <w:sz w:val="20"/>
          <w:szCs w:val="20"/>
        </w:rPr>
      </w:pPr>
      <w:r w:rsidRPr="00846355">
        <w:rPr>
          <w:color w:val="000000" w:themeColor="text1"/>
          <w:sz w:val="20"/>
          <w:szCs w:val="20"/>
        </w:rPr>
        <w:t>stnourse@aep.com</w:t>
      </w:r>
    </w:p>
    <w:p w14:paraId="0463058C" w14:textId="77777777" w:rsidR="00D75D57" w:rsidRPr="00846355" w:rsidRDefault="00D75D57" w:rsidP="00D75D57">
      <w:pPr>
        <w:tabs>
          <w:tab w:val="left" w:pos="2160"/>
          <w:tab w:val="left" w:pos="2280"/>
        </w:tabs>
        <w:spacing w:line="240" w:lineRule="auto"/>
        <w:rPr>
          <w:color w:val="000000" w:themeColor="text1"/>
          <w:sz w:val="20"/>
          <w:szCs w:val="20"/>
        </w:rPr>
      </w:pPr>
      <w:r w:rsidRPr="00846355">
        <w:rPr>
          <w:color w:val="000000" w:themeColor="text1"/>
          <w:sz w:val="20"/>
          <w:szCs w:val="20"/>
        </w:rPr>
        <w:t>bojko@carpenterlipps.com</w:t>
      </w:r>
    </w:p>
    <w:p w14:paraId="65D881A8" w14:textId="77777777" w:rsidR="00D75D57" w:rsidRPr="00846355" w:rsidRDefault="00D75D57" w:rsidP="00D75D57">
      <w:pPr>
        <w:tabs>
          <w:tab w:val="left" w:pos="2160"/>
          <w:tab w:val="left" w:pos="2280"/>
        </w:tabs>
        <w:spacing w:line="240" w:lineRule="auto"/>
        <w:rPr>
          <w:color w:val="000000" w:themeColor="text1"/>
          <w:sz w:val="20"/>
          <w:szCs w:val="20"/>
        </w:rPr>
      </w:pPr>
      <w:r w:rsidRPr="00846355">
        <w:rPr>
          <w:color w:val="000000" w:themeColor="text1"/>
          <w:sz w:val="20"/>
          <w:szCs w:val="20"/>
        </w:rPr>
        <w:t>Mohler@carpenterlipps.com</w:t>
      </w:r>
    </w:p>
    <w:p w14:paraId="3DF2F3E8" w14:textId="77777777" w:rsidR="00D75D57" w:rsidRPr="00846355" w:rsidRDefault="00D75D57" w:rsidP="00D75D57">
      <w:pPr>
        <w:tabs>
          <w:tab w:val="left" w:pos="2160"/>
          <w:tab w:val="left" w:pos="2280"/>
        </w:tabs>
        <w:spacing w:line="240" w:lineRule="auto"/>
        <w:rPr>
          <w:color w:val="000000" w:themeColor="text1"/>
          <w:sz w:val="20"/>
          <w:szCs w:val="20"/>
        </w:rPr>
      </w:pPr>
      <w:r w:rsidRPr="00846355">
        <w:rPr>
          <w:color w:val="000000" w:themeColor="text1"/>
          <w:sz w:val="20"/>
          <w:szCs w:val="20"/>
        </w:rPr>
        <w:t>sechler@carpenterlipps.com</w:t>
      </w:r>
    </w:p>
    <w:p w14:paraId="2C83D802" w14:textId="77777777" w:rsidR="00D75D57" w:rsidRPr="00846355" w:rsidRDefault="00D75D57" w:rsidP="00D75D57">
      <w:pPr>
        <w:tabs>
          <w:tab w:val="left" w:pos="2160"/>
          <w:tab w:val="left" w:pos="2280"/>
        </w:tabs>
        <w:spacing w:line="240" w:lineRule="auto"/>
        <w:rPr>
          <w:rStyle w:val="Hyperlink"/>
          <w:color w:val="000000" w:themeColor="text1"/>
          <w:sz w:val="20"/>
          <w:szCs w:val="20"/>
          <w:u w:val="none"/>
        </w:rPr>
      </w:pPr>
      <w:r w:rsidRPr="00846355">
        <w:rPr>
          <w:color w:val="000000" w:themeColor="text1"/>
          <w:sz w:val="20"/>
          <w:szCs w:val="20"/>
        </w:rPr>
        <w:t>matt@matthewcoxlaw.com</w:t>
      </w:r>
    </w:p>
    <w:p w14:paraId="59029E90" w14:textId="77777777" w:rsidR="00D75D57" w:rsidRPr="00846355" w:rsidRDefault="00D75D57" w:rsidP="00D75D57">
      <w:pPr>
        <w:tabs>
          <w:tab w:val="left" w:pos="2160"/>
          <w:tab w:val="left" w:pos="2280"/>
        </w:tabs>
        <w:spacing w:line="240" w:lineRule="auto"/>
        <w:rPr>
          <w:color w:val="000000" w:themeColor="text1"/>
          <w:sz w:val="20"/>
          <w:szCs w:val="20"/>
        </w:rPr>
      </w:pPr>
      <w:r w:rsidRPr="00846355">
        <w:rPr>
          <w:color w:val="000000" w:themeColor="text1"/>
          <w:sz w:val="20"/>
          <w:szCs w:val="20"/>
        </w:rPr>
        <w:t>gpoulos@enernoc.com</w:t>
      </w:r>
    </w:p>
    <w:p w14:paraId="5489F259" w14:textId="77777777" w:rsidR="00D75D57" w:rsidRPr="00846355" w:rsidRDefault="00D75D57" w:rsidP="00D75D57">
      <w:pPr>
        <w:pStyle w:val="BodyText"/>
        <w:spacing w:after="0" w:line="240" w:lineRule="auto"/>
        <w:rPr>
          <w:color w:val="000000" w:themeColor="text1"/>
          <w:sz w:val="20"/>
          <w:szCs w:val="20"/>
        </w:rPr>
      </w:pPr>
      <w:r w:rsidRPr="00846355">
        <w:rPr>
          <w:color w:val="000000" w:themeColor="text1"/>
          <w:sz w:val="20"/>
          <w:szCs w:val="20"/>
        </w:rPr>
        <w:lastRenderedPageBreak/>
        <w:t>william.wright@ohioattorneygeneral.gov</w:t>
      </w:r>
    </w:p>
    <w:p w14:paraId="4B2319B9" w14:textId="77777777" w:rsidR="00D75D57" w:rsidRPr="00846355" w:rsidRDefault="00D75D57" w:rsidP="00D75D57">
      <w:pPr>
        <w:pStyle w:val="BodyText"/>
        <w:spacing w:after="0" w:line="240" w:lineRule="auto"/>
        <w:rPr>
          <w:color w:val="000000" w:themeColor="text1"/>
          <w:sz w:val="20"/>
          <w:szCs w:val="20"/>
        </w:rPr>
      </w:pPr>
      <w:r w:rsidRPr="00846355">
        <w:rPr>
          <w:color w:val="000000" w:themeColor="text1"/>
          <w:sz w:val="20"/>
          <w:szCs w:val="20"/>
        </w:rPr>
        <w:t>thomas.lindgren@ohioattorneygeneral.gov</w:t>
      </w:r>
    </w:p>
    <w:p w14:paraId="1C9E9C6F" w14:textId="77777777" w:rsidR="00D75D57" w:rsidRPr="00846355" w:rsidRDefault="00D75D57" w:rsidP="00D75D57">
      <w:pPr>
        <w:pStyle w:val="BodyText"/>
        <w:spacing w:after="0" w:line="240" w:lineRule="auto"/>
        <w:rPr>
          <w:color w:val="000000" w:themeColor="text1"/>
          <w:sz w:val="20"/>
          <w:szCs w:val="20"/>
        </w:rPr>
      </w:pPr>
      <w:r w:rsidRPr="00846355">
        <w:rPr>
          <w:color w:val="000000" w:themeColor="text1"/>
          <w:sz w:val="20"/>
          <w:szCs w:val="20"/>
        </w:rPr>
        <w:t>thomas.mcnamee@ohioattorneygeneral.gov</w:t>
      </w:r>
    </w:p>
    <w:p w14:paraId="0BE41A15" w14:textId="77777777" w:rsidR="00D75D57" w:rsidRPr="00846355" w:rsidRDefault="00D75D57" w:rsidP="00D75D57">
      <w:pPr>
        <w:pStyle w:val="BodyText"/>
        <w:spacing w:after="0" w:line="240" w:lineRule="auto"/>
        <w:rPr>
          <w:color w:val="000000" w:themeColor="text1"/>
          <w:sz w:val="20"/>
          <w:szCs w:val="20"/>
        </w:rPr>
      </w:pPr>
      <w:r w:rsidRPr="00846355">
        <w:rPr>
          <w:color w:val="000000" w:themeColor="text1"/>
          <w:sz w:val="20"/>
          <w:szCs w:val="20"/>
        </w:rPr>
        <w:t>werner.margard@ ohioattorneygeneral.gov</w:t>
      </w:r>
    </w:p>
    <w:p w14:paraId="48C93D3E" w14:textId="77777777" w:rsidR="00D75D57" w:rsidRPr="00846355" w:rsidRDefault="00D75D57" w:rsidP="00D75D57">
      <w:pPr>
        <w:pStyle w:val="BodyText"/>
        <w:spacing w:after="0" w:line="240" w:lineRule="auto"/>
        <w:rPr>
          <w:color w:val="000000" w:themeColor="text1"/>
          <w:sz w:val="20"/>
          <w:szCs w:val="20"/>
        </w:rPr>
      </w:pPr>
      <w:r w:rsidRPr="00846355">
        <w:rPr>
          <w:color w:val="000000" w:themeColor="text1"/>
          <w:sz w:val="20"/>
          <w:szCs w:val="20"/>
        </w:rPr>
        <w:t>steven.beeler@puc.state.oh.us</w:t>
      </w:r>
    </w:p>
    <w:p w14:paraId="6B3F5467" w14:textId="77777777" w:rsidR="00D75D57" w:rsidRPr="00846355" w:rsidRDefault="00D75D57" w:rsidP="00D75D57">
      <w:pPr>
        <w:pStyle w:val="BodyText"/>
        <w:spacing w:after="0" w:line="240" w:lineRule="auto"/>
        <w:rPr>
          <w:color w:val="000000" w:themeColor="text1"/>
          <w:sz w:val="20"/>
          <w:szCs w:val="20"/>
        </w:rPr>
      </w:pPr>
      <w:r w:rsidRPr="00846355">
        <w:rPr>
          <w:color w:val="000000" w:themeColor="text1"/>
          <w:sz w:val="20"/>
          <w:szCs w:val="20"/>
        </w:rPr>
        <w:t>devin.parram@puc.state.oh.us</w:t>
      </w:r>
    </w:p>
    <w:p w14:paraId="7795EE4C" w14:textId="77777777" w:rsidR="00D75D57" w:rsidRPr="00846355" w:rsidRDefault="00D75D57" w:rsidP="00D75D57">
      <w:pPr>
        <w:pStyle w:val="BodyText"/>
        <w:spacing w:after="0" w:line="240" w:lineRule="auto"/>
        <w:rPr>
          <w:color w:val="000000" w:themeColor="text1"/>
          <w:sz w:val="20"/>
          <w:szCs w:val="20"/>
        </w:rPr>
      </w:pPr>
      <w:r w:rsidRPr="00846355">
        <w:rPr>
          <w:color w:val="000000" w:themeColor="text1"/>
          <w:sz w:val="20"/>
          <w:szCs w:val="20"/>
        </w:rPr>
        <w:t>gregory.price@puc.state.oh.us</w:t>
      </w:r>
    </w:p>
    <w:p w14:paraId="4DE3D59D" w14:textId="77777777" w:rsidR="00D75D57" w:rsidRPr="00846355" w:rsidRDefault="00D75D57" w:rsidP="00D75D57">
      <w:pPr>
        <w:pStyle w:val="BodyText"/>
        <w:spacing w:after="0" w:line="240" w:lineRule="auto"/>
        <w:rPr>
          <w:color w:val="000000" w:themeColor="text1"/>
          <w:sz w:val="20"/>
          <w:szCs w:val="20"/>
        </w:rPr>
      </w:pPr>
      <w:r w:rsidRPr="00846355">
        <w:rPr>
          <w:color w:val="000000" w:themeColor="text1"/>
          <w:sz w:val="20"/>
          <w:szCs w:val="20"/>
        </w:rPr>
        <w:t>mandy.willey@puc.state.oh.us</w:t>
      </w:r>
    </w:p>
    <w:p w14:paraId="3886D98D" w14:textId="77777777" w:rsidR="00D75D57" w:rsidRPr="00846355" w:rsidRDefault="00D75D57" w:rsidP="00D75D57">
      <w:pPr>
        <w:pStyle w:val="BodyText"/>
        <w:spacing w:after="0" w:line="240" w:lineRule="auto"/>
        <w:rPr>
          <w:color w:val="000000" w:themeColor="text1"/>
          <w:sz w:val="20"/>
          <w:szCs w:val="20"/>
        </w:rPr>
      </w:pPr>
      <w:r w:rsidRPr="00846355">
        <w:rPr>
          <w:color w:val="000000" w:themeColor="text1"/>
          <w:sz w:val="20"/>
          <w:szCs w:val="20"/>
        </w:rPr>
        <w:t>bryce.mckenney@puc.state.oh.us</w:t>
      </w:r>
    </w:p>
    <w:p w14:paraId="2854D72E"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henryeckhart@aol.com</w:t>
      </w:r>
    </w:p>
    <w:p w14:paraId="59CFDB32"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Wis29@yahoo.com</w:t>
      </w:r>
    </w:p>
    <w:p w14:paraId="1619050D"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bill.wells@wpafb.af.mil</w:t>
      </w:r>
    </w:p>
    <w:p w14:paraId="58E38F2D"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chris.thompson.2@tyndall.af.mil</w:t>
      </w:r>
    </w:p>
    <w:p w14:paraId="2CF887D1" w14:textId="77777777" w:rsidR="00D75D57" w:rsidRPr="00846355" w:rsidRDefault="00D75D57" w:rsidP="00D75D57">
      <w:pPr>
        <w:spacing w:line="240" w:lineRule="auto"/>
        <w:rPr>
          <w:color w:val="000000" w:themeColor="text1"/>
          <w:sz w:val="20"/>
          <w:szCs w:val="20"/>
        </w:rPr>
      </w:pPr>
      <w:r w:rsidRPr="00846355">
        <w:rPr>
          <w:color w:val="000000" w:themeColor="text1"/>
          <w:sz w:val="20"/>
          <w:szCs w:val="20"/>
        </w:rPr>
        <w:t>mchristensen@columbuslaw.org</w:t>
      </w:r>
    </w:p>
    <w:p w14:paraId="557F27EE" w14:textId="77777777" w:rsidR="00D75D57" w:rsidRPr="00846355" w:rsidRDefault="00D75D57" w:rsidP="00D75D57">
      <w:pPr>
        <w:spacing w:line="240" w:lineRule="auto"/>
        <w:rPr>
          <w:rStyle w:val="Hyperlink"/>
          <w:color w:val="000000" w:themeColor="text1"/>
          <w:sz w:val="20"/>
          <w:szCs w:val="20"/>
          <w:u w:val="none"/>
        </w:rPr>
      </w:pPr>
      <w:r w:rsidRPr="00846355">
        <w:rPr>
          <w:rStyle w:val="Hyperlink"/>
          <w:color w:val="000000" w:themeColor="text1"/>
          <w:sz w:val="20"/>
          <w:szCs w:val="20"/>
          <w:u w:val="none"/>
        </w:rPr>
        <w:t>stephen.chriss@wal-mart.com</w:t>
      </w:r>
    </w:p>
    <w:p w14:paraId="71BC6E8E" w14:textId="04E1D324" w:rsidR="00D75D57" w:rsidRPr="00D75D57" w:rsidRDefault="00D75D57" w:rsidP="00D75D57">
      <w:pPr>
        <w:spacing w:line="240" w:lineRule="auto"/>
        <w:ind w:firstLine="720"/>
        <w:rPr>
          <w:color w:val="000000" w:themeColor="text1"/>
          <w:sz w:val="19"/>
          <w:szCs w:val="19"/>
        </w:rPr>
      </w:pPr>
    </w:p>
    <w:sectPr w:rsidR="00D75D57" w:rsidRPr="00D75D57" w:rsidSect="00D75D57">
      <w:headerReference w:type="default" r:id="rId48"/>
      <w:footerReference w:type="default" r:id="rId49"/>
      <w:headerReference w:type="first" r:id="rId50"/>
      <w:footerReference w:type="first" r:id="rId51"/>
      <w:type w:val="continuous"/>
      <w:pgSz w:w="12240" w:h="15840" w:code="1"/>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6FC89" w14:textId="77777777" w:rsidR="00275B9D" w:rsidRDefault="00275B9D" w:rsidP="00275B9D">
      <w:pPr>
        <w:spacing w:line="240" w:lineRule="auto"/>
      </w:pPr>
      <w:r>
        <w:separator/>
      </w:r>
    </w:p>
  </w:endnote>
  <w:endnote w:type="continuationSeparator" w:id="0">
    <w:p w14:paraId="4B0EFDD3" w14:textId="77777777" w:rsidR="00275B9D" w:rsidRDefault="00275B9D" w:rsidP="00275B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2A2FE" w14:textId="77777777" w:rsidR="00264572" w:rsidRDefault="0026457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87514" w14:textId="1817085F" w:rsidR="00A72E64" w:rsidRPr="00275B9D" w:rsidRDefault="008312F9">
    <w:pPr>
      <w:pStyle w:val="Footer"/>
    </w:pPr>
    <w:r w:rsidRPr="008312F9">
      <w:rPr>
        <w:noProof/>
        <w:sz w:val="16"/>
      </w:rPr>
      <w:t>{C49944:2 }</w:t>
    </w:r>
    <w:r w:rsidR="00A72E64">
      <w:rPr>
        <w:noProof/>
        <w:sz w:val="16"/>
      </w:rPr>
      <w:tab/>
    </w:r>
    <w:r w:rsidR="00A72E64" w:rsidRPr="003A3370">
      <w:rPr>
        <w:noProof/>
        <w:sz w:val="22"/>
        <w:szCs w:val="22"/>
      </w:rPr>
      <w:fldChar w:fldCharType="begin"/>
    </w:r>
    <w:r w:rsidR="00A72E64" w:rsidRPr="003A3370">
      <w:rPr>
        <w:noProof/>
        <w:sz w:val="22"/>
        <w:szCs w:val="22"/>
      </w:rPr>
      <w:instrText xml:space="preserve"> PAGE   \* MERGEFORMAT </w:instrText>
    </w:r>
    <w:r w:rsidR="00A72E64" w:rsidRPr="003A3370">
      <w:rPr>
        <w:noProof/>
        <w:sz w:val="22"/>
        <w:szCs w:val="22"/>
      </w:rPr>
      <w:fldChar w:fldCharType="separate"/>
    </w:r>
    <w:r>
      <w:rPr>
        <w:noProof/>
        <w:sz w:val="22"/>
        <w:szCs w:val="22"/>
      </w:rPr>
      <w:t>3</w:t>
    </w:r>
    <w:r w:rsidR="00A72E64" w:rsidRPr="003A3370">
      <w:rPr>
        <w:noProof/>
        <w:sz w:val="22"/>
        <w:szCs w:val="22"/>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ABDA9" w14:textId="0A11AABD" w:rsidR="00A72E64" w:rsidRPr="00275B9D" w:rsidRDefault="00BB1C83">
    <w:pPr>
      <w:pStyle w:val="Footer"/>
    </w:pPr>
    <w:r w:rsidRPr="00BB1C83">
      <w:rPr>
        <w:noProof/>
        <w:sz w:val="16"/>
      </w:rPr>
      <w:t>{C49944:2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6A965" w14:textId="61BAFF09" w:rsidR="00264572" w:rsidRPr="00275B9D" w:rsidRDefault="008312F9">
    <w:pPr>
      <w:pStyle w:val="Footer"/>
    </w:pPr>
    <w:r w:rsidRPr="008312F9">
      <w:rPr>
        <w:noProof/>
        <w:sz w:val="16"/>
      </w:rPr>
      <w:t>{C49944:2 }</w:t>
    </w:r>
    <w:r w:rsidR="00264572">
      <w:rPr>
        <w:noProof/>
        <w:sz w:val="16"/>
      </w:rPr>
      <w:tab/>
    </w:r>
    <w:r w:rsidR="00264572" w:rsidRPr="003A3370">
      <w:rPr>
        <w:noProof/>
        <w:sz w:val="22"/>
        <w:szCs w:val="22"/>
      </w:rPr>
      <w:fldChar w:fldCharType="begin"/>
    </w:r>
    <w:r w:rsidR="00264572" w:rsidRPr="003A3370">
      <w:rPr>
        <w:noProof/>
        <w:sz w:val="22"/>
        <w:szCs w:val="22"/>
      </w:rPr>
      <w:instrText xml:space="preserve"> PAGE   \* MERGEFORMAT </w:instrText>
    </w:r>
    <w:r w:rsidR="00264572" w:rsidRPr="003A3370">
      <w:rPr>
        <w:noProof/>
        <w:sz w:val="22"/>
        <w:szCs w:val="22"/>
      </w:rPr>
      <w:fldChar w:fldCharType="separate"/>
    </w:r>
    <w:r w:rsidR="0041284C">
      <w:rPr>
        <w:noProof/>
        <w:sz w:val="22"/>
        <w:szCs w:val="22"/>
      </w:rPr>
      <w:t>13</w:t>
    </w:r>
    <w:r w:rsidR="00264572" w:rsidRPr="003A3370">
      <w:rPr>
        <w:noProof/>
        <w:sz w:val="22"/>
        <w:szCs w:val="22"/>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17970" w14:textId="77777777" w:rsidR="00264572" w:rsidRPr="00275B9D" w:rsidRDefault="00264572">
    <w:pPr>
      <w:pStyle w:val="Footer"/>
    </w:pPr>
    <w:r w:rsidRPr="00BB1C83">
      <w:rPr>
        <w:noProof/>
        <w:sz w:val="16"/>
      </w:rPr>
      <w:t>{C49944:2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DB2DF" w14:textId="51367009" w:rsidR="00264572" w:rsidRPr="00275B9D" w:rsidRDefault="008312F9">
    <w:pPr>
      <w:pStyle w:val="Footer"/>
    </w:pPr>
    <w:r w:rsidRPr="008312F9">
      <w:rPr>
        <w:noProof/>
        <w:sz w:val="16"/>
      </w:rPr>
      <w:t>{C49944:2 }</w:t>
    </w:r>
    <w:r w:rsidR="00264572">
      <w:rPr>
        <w:noProof/>
        <w:sz w:val="16"/>
      </w:rPr>
      <w:tab/>
    </w:r>
    <w:r w:rsidR="00264572" w:rsidRPr="003A3370">
      <w:rPr>
        <w:noProof/>
        <w:sz w:val="22"/>
        <w:szCs w:val="22"/>
      </w:rPr>
      <w:fldChar w:fldCharType="begin"/>
    </w:r>
    <w:r w:rsidR="00264572" w:rsidRPr="003A3370">
      <w:rPr>
        <w:noProof/>
        <w:sz w:val="22"/>
        <w:szCs w:val="22"/>
      </w:rPr>
      <w:instrText xml:space="preserve"> PAGE   \* MERGEFORMAT </w:instrText>
    </w:r>
    <w:r w:rsidR="00264572" w:rsidRPr="003A3370">
      <w:rPr>
        <w:noProof/>
        <w:sz w:val="22"/>
        <w:szCs w:val="22"/>
      </w:rPr>
      <w:fldChar w:fldCharType="separate"/>
    </w:r>
    <w:r w:rsidR="00264572">
      <w:rPr>
        <w:noProof/>
        <w:sz w:val="22"/>
        <w:szCs w:val="22"/>
      </w:rPr>
      <w:t>13</w:t>
    </w:r>
    <w:r w:rsidR="00264572" w:rsidRPr="003A3370">
      <w:rPr>
        <w:noProof/>
        <w:sz w:val="22"/>
        <w:szCs w:val="22"/>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93B65" w14:textId="113643F5" w:rsidR="00264572" w:rsidRPr="00275B9D" w:rsidRDefault="008312F9">
    <w:pPr>
      <w:pStyle w:val="Footer"/>
    </w:pPr>
    <w:r w:rsidRPr="008312F9">
      <w:rPr>
        <w:noProof/>
        <w:sz w:val="16"/>
      </w:rPr>
      <w:t>{C49944:2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ECF5A" w14:textId="6C63FEEE" w:rsidR="00264572" w:rsidRPr="00275B9D" w:rsidRDefault="008312F9">
    <w:pPr>
      <w:pStyle w:val="Footer"/>
    </w:pPr>
    <w:r w:rsidRPr="008312F9">
      <w:rPr>
        <w:noProof/>
        <w:sz w:val="16"/>
      </w:rPr>
      <w:t>{C49944:2 }</w:t>
    </w:r>
    <w:r w:rsidR="00264572">
      <w:rPr>
        <w:noProof/>
        <w:sz w:val="16"/>
      </w:rPr>
      <w:tab/>
    </w:r>
    <w:r w:rsidR="00264572" w:rsidRPr="003A3370">
      <w:rPr>
        <w:noProof/>
        <w:sz w:val="22"/>
        <w:szCs w:val="22"/>
      </w:rPr>
      <w:fldChar w:fldCharType="begin"/>
    </w:r>
    <w:r w:rsidR="00264572" w:rsidRPr="003A3370">
      <w:rPr>
        <w:noProof/>
        <w:sz w:val="22"/>
        <w:szCs w:val="22"/>
      </w:rPr>
      <w:instrText xml:space="preserve"> PAGE   \* MERGEFORMAT </w:instrText>
    </w:r>
    <w:r w:rsidR="00264572" w:rsidRPr="003A3370">
      <w:rPr>
        <w:noProof/>
        <w:sz w:val="22"/>
        <w:szCs w:val="22"/>
      </w:rPr>
      <w:fldChar w:fldCharType="separate"/>
    </w:r>
    <w:r w:rsidR="00264572">
      <w:rPr>
        <w:noProof/>
        <w:sz w:val="22"/>
        <w:szCs w:val="22"/>
      </w:rPr>
      <w:t>13</w:t>
    </w:r>
    <w:r w:rsidR="00264572" w:rsidRPr="003A3370">
      <w:rPr>
        <w:noProof/>
        <w:sz w:val="22"/>
        <w:szCs w:val="22"/>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9D0FE" w14:textId="20F39FB8" w:rsidR="00264572" w:rsidRPr="00275B9D" w:rsidRDefault="008312F9">
    <w:pPr>
      <w:pStyle w:val="Footer"/>
    </w:pPr>
    <w:r w:rsidRPr="008312F9">
      <w:rPr>
        <w:noProof/>
        <w:sz w:val="16"/>
      </w:rPr>
      <w:t>{C49944:2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9D8FB" w14:textId="77777777" w:rsidR="00D75D57" w:rsidRDefault="00D75D57">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668C9" w14:textId="0EC799EC" w:rsidR="00D75D57" w:rsidRPr="0080115E" w:rsidRDefault="008312F9">
    <w:pPr>
      <w:pStyle w:val="Footer"/>
    </w:pPr>
    <w:r w:rsidRPr="008312F9">
      <w:rPr>
        <w:noProof/>
        <w:sz w:val="16"/>
      </w:rPr>
      <w:t>{C49944:2 }</w:t>
    </w:r>
    <w:r w:rsidR="00D75D57">
      <w:rPr>
        <w:noProof/>
        <w:sz w:val="16"/>
      </w:rPr>
      <w:tab/>
    </w:r>
    <w:r w:rsidR="00D75D57" w:rsidRPr="00F424C2">
      <w:rPr>
        <w:noProof/>
        <w:sz w:val="22"/>
      </w:rPr>
      <w:fldChar w:fldCharType="begin"/>
    </w:r>
    <w:r w:rsidR="00D75D57" w:rsidRPr="00F424C2">
      <w:rPr>
        <w:noProof/>
        <w:sz w:val="22"/>
      </w:rPr>
      <w:instrText xml:space="preserve"> PAGE   \* MERGEFORMAT </w:instrText>
    </w:r>
    <w:r w:rsidR="00D75D57" w:rsidRPr="00F424C2">
      <w:rPr>
        <w:noProof/>
        <w:sz w:val="22"/>
      </w:rPr>
      <w:fldChar w:fldCharType="separate"/>
    </w:r>
    <w:r w:rsidR="00387703">
      <w:rPr>
        <w:noProof/>
        <w:sz w:val="22"/>
      </w:rPr>
      <w:t>2</w:t>
    </w:r>
    <w:r w:rsidR="00D75D57" w:rsidRPr="00F424C2">
      <w:rPr>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91CE6" w14:textId="32BAD0BB" w:rsidR="00275B9D" w:rsidRPr="00275B9D" w:rsidRDefault="008312F9">
    <w:pPr>
      <w:pStyle w:val="Footer"/>
    </w:pPr>
    <w:r w:rsidRPr="008312F9">
      <w:rPr>
        <w:noProof/>
        <w:sz w:val="16"/>
      </w:rPr>
      <w:t>{C49944:2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F5C1A" w14:textId="3CDCAA5B" w:rsidR="00D75D57" w:rsidRPr="0080115E" w:rsidRDefault="008312F9">
    <w:pPr>
      <w:pStyle w:val="Footer"/>
    </w:pPr>
    <w:r w:rsidRPr="008312F9">
      <w:rPr>
        <w:noProof/>
        <w:sz w:val="16"/>
      </w:rPr>
      <w:t>{C49944:2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09004" w14:textId="0396766B" w:rsidR="003A3370" w:rsidRPr="0080115E" w:rsidRDefault="008312F9">
    <w:pPr>
      <w:pStyle w:val="Footer"/>
    </w:pPr>
    <w:r w:rsidRPr="008312F9">
      <w:rPr>
        <w:noProof/>
        <w:sz w:val="16"/>
      </w:rPr>
      <w:t>{C49944:2 }</w:t>
    </w:r>
    <w:r w:rsidR="003A3370">
      <w:rPr>
        <w:noProof/>
        <w:sz w:val="16"/>
      </w:rPr>
      <w:tab/>
    </w:r>
    <w:r w:rsidR="003A3370" w:rsidRPr="00F424C2">
      <w:rPr>
        <w:noProof/>
        <w:sz w:val="22"/>
      </w:rPr>
      <w:fldChar w:fldCharType="begin"/>
    </w:r>
    <w:r w:rsidR="003A3370" w:rsidRPr="00F424C2">
      <w:rPr>
        <w:noProof/>
        <w:sz w:val="22"/>
      </w:rPr>
      <w:instrText xml:space="preserve"> PAGE   \* MERGEFORMAT </w:instrText>
    </w:r>
    <w:r w:rsidR="003A3370" w:rsidRPr="00F424C2">
      <w:rPr>
        <w:noProof/>
        <w:sz w:val="22"/>
      </w:rPr>
      <w:fldChar w:fldCharType="separate"/>
    </w:r>
    <w:r w:rsidR="0041284C">
      <w:rPr>
        <w:noProof/>
        <w:sz w:val="22"/>
      </w:rPr>
      <w:t>3</w:t>
    </w:r>
    <w:r w:rsidR="003A3370" w:rsidRPr="00F424C2">
      <w:rPr>
        <w:noProof/>
        <w:sz w:val="22"/>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EB03B" w14:textId="262F36FA" w:rsidR="003A3370" w:rsidRPr="0080115E" w:rsidRDefault="008312F9">
    <w:pPr>
      <w:pStyle w:val="Footer"/>
    </w:pPr>
    <w:r w:rsidRPr="008312F9">
      <w:rPr>
        <w:noProof/>
        <w:sz w:val="16"/>
      </w:rPr>
      <w:t>{C49944:2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115C4" w14:textId="79273E70" w:rsidR="00275B9D" w:rsidRPr="00275B9D" w:rsidRDefault="008312F9">
    <w:pPr>
      <w:pStyle w:val="Footer"/>
    </w:pPr>
    <w:r w:rsidRPr="008312F9">
      <w:rPr>
        <w:noProof/>
        <w:sz w:val="16"/>
      </w:rPr>
      <w:t>{C49944:2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59B84" w14:textId="1202ECE7" w:rsidR="00264572" w:rsidRPr="00275B9D" w:rsidRDefault="008312F9">
    <w:pPr>
      <w:pStyle w:val="Footer"/>
    </w:pPr>
    <w:r w:rsidRPr="008312F9">
      <w:rPr>
        <w:noProof/>
        <w:sz w:val="16"/>
      </w:rPr>
      <w:t>{C49944:2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C7B50" w14:textId="634C7CAE" w:rsidR="00264572" w:rsidRPr="00275B9D" w:rsidRDefault="008312F9">
    <w:pPr>
      <w:pStyle w:val="Footer"/>
    </w:pPr>
    <w:r w:rsidRPr="008312F9">
      <w:rPr>
        <w:noProof/>
        <w:sz w:val="16"/>
      </w:rPr>
      <w:t>{C49944:2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E15E2" w14:textId="25B2738E" w:rsidR="003A3370" w:rsidRPr="00962521" w:rsidRDefault="008312F9" w:rsidP="00962521">
    <w:pPr>
      <w:pStyle w:val="Footer"/>
      <w:tabs>
        <w:tab w:val="clear" w:pos="9360"/>
      </w:tabs>
      <w:rPr>
        <w:sz w:val="22"/>
        <w:szCs w:val="22"/>
      </w:rPr>
    </w:pPr>
    <w:r w:rsidRPr="008312F9">
      <w:rPr>
        <w:noProof/>
        <w:sz w:val="16"/>
      </w:rPr>
      <w:t>{C49944:2 }</w:t>
    </w:r>
    <w:r w:rsidR="00962521">
      <w:rPr>
        <w:noProof/>
        <w:sz w:val="16"/>
      </w:rPr>
      <w:tab/>
    </w:r>
    <w:r w:rsidR="00962521" w:rsidRPr="00962521">
      <w:rPr>
        <w:noProof/>
        <w:sz w:val="22"/>
        <w:szCs w:val="22"/>
      </w:rPr>
      <w:fldChar w:fldCharType="begin"/>
    </w:r>
    <w:r w:rsidR="00962521" w:rsidRPr="00962521">
      <w:rPr>
        <w:noProof/>
        <w:sz w:val="22"/>
        <w:szCs w:val="22"/>
      </w:rPr>
      <w:instrText xml:space="preserve"> PAGE   \* MERGEFORMAT </w:instrText>
    </w:r>
    <w:r w:rsidR="00962521" w:rsidRPr="00962521">
      <w:rPr>
        <w:noProof/>
        <w:sz w:val="22"/>
        <w:szCs w:val="22"/>
      </w:rPr>
      <w:fldChar w:fldCharType="separate"/>
    </w:r>
    <w:r w:rsidR="00264572">
      <w:rPr>
        <w:noProof/>
        <w:sz w:val="22"/>
        <w:szCs w:val="22"/>
      </w:rPr>
      <w:t>2</w:t>
    </w:r>
    <w:r w:rsidR="00962521" w:rsidRPr="00962521">
      <w:rPr>
        <w:noProof/>
        <w:sz w:val="22"/>
        <w:szCs w:val="2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57EDA" w14:textId="2B7DDA01" w:rsidR="003A3370" w:rsidRPr="00275B9D" w:rsidRDefault="008312F9">
    <w:pPr>
      <w:pStyle w:val="Footer"/>
    </w:pPr>
    <w:r w:rsidRPr="008312F9">
      <w:rPr>
        <w:noProof/>
        <w:sz w:val="16"/>
      </w:rPr>
      <w:t>{C49944:2 }</w:t>
    </w:r>
    <w:r w:rsidR="00264572">
      <w:rPr>
        <w:noProof/>
        <w:sz w:val="16"/>
      </w:rPr>
      <w:tab/>
    </w:r>
    <w:r w:rsidR="00264572" w:rsidRPr="00264572">
      <w:rPr>
        <w:noProof/>
        <w:sz w:val="16"/>
      </w:rPr>
      <w:fldChar w:fldCharType="begin"/>
    </w:r>
    <w:r w:rsidR="00264572" w:rsidRPr="00264572">
      <w:rPr>
        <w:noProof/>
        <w:sz w:val="16"/>
      </w:rPr>
      <w:instrText xml:space="preserve"> PAGE   \* MERGEFORMAT </w:instrText>
    </w:r>
    <w:r w:rsidR="00264572" w:rsidRPr="00264572">
      <w:rPr>
        <w:noProof/>
        <w:sz w:val="16"/>
      </w:rPr>
      <w:fldChar w:fldCharType="separate"/>
    </w:r>
    <w:r w:rsidR="0041284C">
      <w:rPr>
        <w:noProof/>
        <w:sz w:val="16"/>
      </w:rPr>
      <w:t>i</w:t>
    </w:r>
    <w:r w:rsidR="00264572" w:rsidRPr="00264572">
      <w:rPr>
        <w:noProof/>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41FE4" w14:textId="55730217" w:rsidR="00264572" w:rsidRPr="00962521" w:rsidRDefault="008312F9" w:rsidP="00962521">
    <w:pPr>
      <w:pStyle w:val="Footer"/>
      <w:tabs>
        <w:tab w:val="clear" w:pos="9360"/>
      </w:tabs>
      <w:rPr>
        <w:sz w:val="22"/>
        <w:szCs w:val="22"/>
      </w:rPr>
    </w:pPr>
    <w:r w:rsidRPr="008312F9">
      <w:rPr>
        <w:noProof/>
        <w:sz w:val="16"/>
      </w:rPr>
      <w:t>{C49944:2 }</w:t>
    </w:r>
    <w:r w:rsidR="00264572">
      <w:rPr>
        <w:noProof/>
        <w:sz w:val="16"/>
      </w:rPr>
      <w:tab/>
    </w:r>
    <w:r w:rsidR="00264572" w:rsidRPr="00962521">
      <w:rPr>
        <w:noProof/>
        <w:sz w:val="22"/>
        <w:szCs w:val="22"/>
      </w:rPr>
      <w:fldChar w:fldCharType="begin"/>
    </w:r>
    <w:r w:rsidR="00264572" w:rsidRPr="00962521">
      <w:rPr>
        <w:noProof/>
        <w:sz w:val="22"/>
        <w:szCs w:val="22"/>
      </w:rPr>
      <w:instrText xml:space="preserve"> PAGE   \* MERGEFORMAT </w:instrText>
    </w:r>
    <w:r w:rsidR="00264572" w:rsidRPr="00962521">
      <w:rPr>
        <w:noProof/>
        <w:sz w:val="22"/>
        <w:szCs w:val="22"/>
      </w:rPr>
      <w:fldChar w:fldCharType="separate"/>
    </w:r>
    <w:r w:rsidR="0041284C">
      <w:rPr>
        <w:noProof/>
        <w:sz w:val="22"/>
        <w:szCs w:val="22"/>
      </w:rPr>
      <w:t>2</w:t>
    </w:r>
    <w:r w:rsidR="00264572" w:rsidRPr="00962521">
      <w:rPr>
        <w:noProof/>
        <w:sz w:val="22"/>
        <w:szCs w:val="22"/>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164E5" w14:textId="5C36397E" w:rsidR="00264572" w:rsidRPr="00275B9D" w:rsidRDefault="008312F9">
    <w:pPr>
      <w:pStyle w:val="Footer"/>
    </w:pPr>
    <w:r w:rsidRPr="008312F9">
      <w:rPr>
        <w:noProof/>
        <w:sz w:val="16"/>
      </w:rPr>
      <w:t>{C49944:2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0047B" w14:textId="77777777" w:rsidR="00275B9D" w:rsidRDefault="00275B9D" w:rsidP="00275B9D">
      <w:pPr>
        <w:spacing w:line="240" w:lineRule="auto"/>
        <w:rPr>
          <w:noProof/>
        </w:rPr>
      </w:pPr>
      <w:r>
        <w:rPr>
          <w:noProof/>
        </w:rPr>
        <w:separator/>
      </w:r>
    </w:p>
  </w:footnote>
  <w:footnote w:type="continuationSeparator" w:id="0">
    <w:p w14:paraId="62AAC695" w14:textId="77777777" w:rsidR="00275B9D" w:rsidRDefault="00275B9D" w:rsidP="00275B9D">
      <w:pPr>
        <w:spacing w:line="240" w:lineRule="auto"/>
      </w:pPr>
      <w:r>
        <w:continuationSeparator/>
      </w:r>
    </w:p>
  </w:footnote>
  <w:footnote w:id="1">
    <w:p w14:paraId="05C10298" w14:textId="77777777" w:rsidR="0069420B" w:rsidRPr="00145775" w:rsidRDefault="0069420B">
      <w:pPr>
        <w:pStyle w:val="FootnoteText"/>
      </w:pPr>
      <w:r w:rsidRPr="00145775">
        <w:rPr>
          <w:rStyle w:val="FootnoteReference"/>
        </w:rPr>
        <w:footnoteRef/>
      </w:r>
      <w:r w:rsidRPr="00145775">
        <w:t xml:space="preserve"> </w:t>
      </w:r>
      <w:r w:rsidRPr="00145775">
        <w:rPr>
          <w:i/>
        </w:rPr>
        <w:t>In re Application of Columbus Southern Power Company and Ohio Power Company for Authority to Establish a Standard Service Offer Under R.C. 4928.143 in the Form of an Electric Security Plan</w:t>
      </w:r>
      <w:r w:rsidRPr="00145775">
        <w:t>, Slip Opinion No. 2016-Ohio-1608, ¶ 13-25 (“</w:t>
      </w:r>
      <w:r w:rsidRPr="00145775">
        <w:rPr>
          <w:i/>
        </w:rPr>
        <w:t>Columbus Southern</w:t>
      </w:r>
      <w:r w:rsidRPr="00145775">
        <w:t xml:space="preserve">”).  </w:t>
      </w:r>
    </w:p>
  </w:footnote>
  <w:footnote w:id="2">
    <w:p w14:paraId="1D63C18B" w14:textId="0850A063" w:rsidR="003E0667" w:rsidRDefault="003E0667">
      <w:pPr>
        <w:pStyle w:val="FootnoteText"/>
      </w:pPr>
      <w:r>
        <w:rPr>
          <w:rStyle w:val="FootnoteReference"/>
        </w:rPr>
        <w:footnoteRef/>
      </w:r>
      <w:r>
        <w:t xml:space="preserve"> Rule 4901-1-12(C), O.A.C.</w:t>
      </w:r>
    </w:p>
  </w:footnote>
  <w:footnote w:id="3">
    <w:p w14:paraId="588D21F6" w14:textId="77777777" w:rsidR="00321D41" w:rsidRDefault="00321D41">
      <w:pPr>
        <w:pStyle w:val="FootnoteText"/>
      </w:pPr>
      <w:r>
        <w:rPr>
          <w:rStyle w:val="FootnoteReference"/>
        </w:rPr>
        <w:footnoteRef/>
      </w:r>
      <w:r>
        <w:t xml:space="preserve"> </w:t>
      </w:r>
      <w:r w:rsidRPr="00F356E6">
        <w:rPr>
          <w:rFonts w:eastAsia="Times New Roman" w:cs="Times New Roman"/>
          <w:bCs/>
          <w:color w:val="000000"/>
        </w:rPr>
        <w:t>IEU-Ohio Ex. 14 at 30.</w:t>
      </w:r>
    </w:p>
  </w:footnote>
  <w:footnote w:id="4">
    <w:p w14:paraId="0B770BC5" w14:textId="2AF98B98" w:rsidR="003E0667" w:rsidRDefault="003E0667">
      <w:pPr>
        <w:pStyle w:val="FootnoteText"/>
      </w:pPr>
      <w:r>
        <w:rPr>
          <w:rStyle w:val="FootnoteReference"/>
        </w:rPr>
        <w:footnoteRef/>
      </w:r>
      <w:r>
        <w:t xml:space="preserve"> </w:t>
      </w:r>
      <w:r>
        <w:rPr>
          <w:rFonts w:eastAsia="Times New Roman" w:cs="Times New Roman"/>
          <w:bCs/>
          <w:color w:val="000000"/>
        </w:rPr>
        <w:t>R.C. 4928.40.</w:t>
      </w:r>
    </w:p>
  </w:footnote>
  <w:footnote w:id="5">
    <w:p w14:paraId="36A4EDF7" w14:textId="0FA042A8" w:rsidR="00DB5BB8" w:rsidRPr="00145775" w:rsidRDefault="00DB5BB8" w:rsidP="00BB1C83">
      <w:pPr>
        <w:pStyle w:val="FootnoteText"/>
      </w:pPr>
      <w:r w:rsidRPr="00145775">
        <w:rPr>
          <w:rStyle w:val="FootnoteReference"/>
        </w:rPr>
        <w:footnoteRef/>
      </w:r>
      <w:r w:rsidRPr="00145775">
        <w:t xml:space="preserve"> </w:t>
      </w:r>
      <w:r w:rsidRPr="00145775">
        <w:rPr>
          <w:rFonts w:eastAsia="Times New Roman"/>
          <w:bCs/>
          <w:color w:val="000000"/>
        </w:rPr>
        <w:t>The authorization of these charges resulted in customers being required to pay the utilities nearly a billion dollars of transition revenue;</w:t>
      </w:r>
      <w:r w:rsidRPr="00145775">
        <w:t xml:space="preserve"> $508 million in the case of AEP-Ohio’s RSR charge, and $330 million in the case of DP&amp;L’s SSR charge.  Opinion and Order at 25-26</w:t>
      </w:r>
      <w:r w:rsidR="0027202E">
        <w:t xml:space="preserve"> (Sept. 4, 2013)</w:t>
      </w:r>
      <w:r w:rsidRPr="00145775">
        <w:t>; Entry Nunc Pro Tunc at 2</w:t>
      </w:r>
      <w:r w:rsidR="0027202E">
        <w:t xml:space="preserve"> </w:t>
      </w:r>
      <w:r w:rsidR="0027202E">
        <w:t xml:space="preserve"> (Sept. </w:t>
      </w:r>
      <w:r w:rsidR="0027202E">
        <w:t>6</w:t>
      </w:r>
      <w:r w:rsidR="0027202E">
        <w:t>, 2013)</w:t>
      </w:r>
      <w:r w:rsidRPr="00145775">
        <w:t xml:space="preserve">; </w:t>
      </w:r>
      <w:r w:rsidRPr="00145775">
        <w:rPr>
          <w:i/>
        </w:rPr>
        <w:t>In the Matter of the Application of Columbus Southern Power Company and Ohio Power Company for Authority to Establish a Standard Service Offer Pursuant to Section 4928.143, Revised Code, in the Form of an Electric Security Plan</w:t>
      </w:r>
      <w:r w:rsidRPr="00145775">
        <w:t xml:space="preserve">, Case Nos. 11-346-EL-SSO, </w:t>
      </w:r>
      <w:r w:rsidRPr="00145775">
        <w:rPr>
          <w:i/>
        </w:rPr>
        <w:t>et al</w:t>
      </w:r>
      <w:r w:rsidRPr="00145775">
        <w:t>., Opinion and Order</w:t>
      </w:r>
      <w:r w:rsidRPr="00145775">
        <w:rPr>
          <w:i/>
        </w:rPr>
        <w:t xml:space="preserve"> </w:t>
      </w:r>
      <w:r w:rsidRPr="00145775">
        <w:t>at 35 (Aug. 8, 2012)</w:t>
      </w:r>
      <w:r w:rsidR="00DB6252">
        <w:t xml:space="preserve"> (“AEP-Ohio ESP II Order”).</w:t>
      </w:r>
    </w:p>
  </w:footnote>
  <w:footnote w:id="6">
    <w:p w14:paraId="704A0062" w14:textId="6CCC24F0" w:rsidR="000E0E3C" w:rsidRDefault="000E0E3C">
      <w:pPr>
        <w:pStyle w:val="FootnoteText"/>
      </w:pPr>
      <w:r>
        <w:rPr>
          <w:rStyle w:val="FootnoteReference"/>
        </w:rPr>
        <w:footnoteRef/>
      </w:r>
      <w:r>
        <w:t xml:space="preserve"> </w:t>
      </w:r>
      <w:r w:rsidRPr="00F356E6">
        <w:rPr>
          <w:rFonts w:eastAsia="Times New Roman" w:cs="Times New Roman"/>
          <w:bCs/>
          <w:color w:val="000000"/>
        </w:rPr>
        <w:t>Opinion and Order at 22</w:t>
      </w:r>
      <w:r w:rsidR="0027202E">
        <w:t xml:space="preserve"> (Sept. 4, 2013)</w:t>
      </w:r>
      <w:r w:rsidRPr="00F356E6">
        <w:rPr>
          <w:rFonts w:eastAsia="Times New Roman" w:cs="Times New Roman"/>
          <w:bCs/>
          <w:color w:val="000000"/>
        </w:rPr>
        <w:t>.</w:t>
      </w:r>
    </w:p>
  </w:footnote>
  <w:footnote w:id="7">
    <w:p w14:paraId="61FD9FC4" w14:textId="77777777" w:rsidR="000E0E3C" w:rsidRDefault="000E0E3C">
      <w:pPr>
        <w:pStyle w:val="FootnoteText"/>
      </w:pPr>
      <w:r>
        <w:rPr>
          <w:rStyle w:val="FootnoteReference"/>
        </w:rPr>
        <w:footnoteRef/>
      </w:r>
      <w:r>
        <w:t xml:space="preserve"> </w:t>
      </w:r>
      <w:r w:rsidR="006A743B" w:rsidRPr="00F356E6">
        <w:rPr>
          <w:rFonts w:eastAsia="Times New Roman" w:cs="Times New Roman"/>
          <w:bCs/>
          <w:i/>
          <w:color w:val="000000"/>
        </w:rPr>
        <w:t>Columbus Southern</w:t>
      </w:r>
      <w:r w:rsidR="006A743B" w:rsidRPr="00F356E6">
        <w:rPr>
          <w:rFonts w:eastAsia="Times New Roman" w:cs="Times New Roman"/>
          <w:bCs/>
          <w:color w:val="000000"/>
        </w:rPr>
        <w:t xml:space="preserve">, </w:t>
      </w:r>
      <w:r w:rsidR="006A743B" w:rsidRPr="00F356E6">
        <w:rPr>
          <w:rFonts w:cs="Times New Roman"/>
        </w:rPr>
        <w:t>2016-Ohio-1608, ¶</w:t>
      </w:r>
      <w:r w:rsidR="006A743B">
        <w:rPr>
          <w:rFonts w:cs="Times New Roman"/>
        </w:rPr>
        <w:t> </w:t>
      </w:r>
      <w:r w:rsidR="006A743B" w:rsidRPr="00F356E6">
        <w:rPr>
          <w:rFonts w:cs="Times New Roman"/>
        </w:rPr>
        <w:t xml:space="preserve">13-25. </w:t>
      </w:r>
      <w:r w:rsidR="006A743B" w:rsidRPr="00F356E6">
        <w:rPr>
          <w:rFonts w:eastAsia="Times New Roman" w:cs="Times New Roman"/>
          <w:bCs/>
          <w:i/>
          <w:color w:val="000000"/>
        </w:rPr>
        <w:t xml:space="preserve"> </w:t>
      </w:r>
    </w:p>
  </w:footnote>
  <w:footnote w:id="8">
    <w:p w14:paraId="59E71F42" w14:textId="77777777" w:rsidR="00D05598" w:rsidRPr="00607E38" w:rsidRDefault="00D05598">
      <w:pPr>
        <w:pStyle w:val="FootnoteText"/>
      </w:pPr>
      <w:r w:rsidRPr="00145775">
        <w:rPr>
          <w:rStyle w:val="FootnoteReference"/>
        </w:rPr>
        <w:footnoteRef/>
      </w:r>
      <w:r w:rsidRPr="00145775">
        <w:t xml:space="preserve"> On May 12, 2016, IEU-Ohio and OCC also filed a Joint Motion with the Court requesting the Court to immediately vacate the Commission</w:t>
      </w:r>
      <w:r w:rsidRPr="00881FCE">
        <w:t xml:space="preserve">’s orders authorizing the SSR and direct the Commission to promptly </w:t>
      </w:r>
      <w:r w:rsidRPr="00186E1F">
        <w:t>suspend its authorization of the SSR.</w:t>
      </w:r>
    </w:p>
  </w:footnote>
  <w:footnote w:id="9">
    <w:p w14:paraId="12A706E3" w14:textId="023681D4" w:rsidR="002817E6" w:rsidRPr="00607E38" w:rsidRDefault="002817E6">
      <w:pPr>
        <w:pStyle w:val="FootnoteText"/>
      </w:pPr>
      <w:r w:rsidRPr="00607E38">
        <w:rPr>
          <w:rStyle w:val="FootnoteReference"/>
        </w:rPr>
        <w:footnoteRef/>
      </w:r>
      <w:r w:rsidRPr="00607E38">
        <w:t xml:space="preserve"> </w:t>
      </w:r>
      <w:r w:rsidRPr="00607E38">
        <w:rPr>
          <w:rFonts w:eastAsia="Times New Roman"/>
          <w:bCs/>
          <w:i/>
          <w:color w:val="000000"/>
        </w:rPr>
        <w:t>See Columbus Southern</w:t>
      </w:r>
      <w:r w:rsidRPr="00607E38">
        <w:rPr>
          <w:rFonts w:eastAsia="Times New Roman"/>
          <w:bCs/>
          <w:color w:val="000000"/>
        </w:rPr>
        <w:t>, at ¶ 24</w:t>
      </w:r>
      <w:r w:rsidR="00DB6252">
        <w:rPr>
          <w:rFonts w:eastAsia="Times New Roman"/>
          <w:bCs/>
          <w:color w:val="000000"/>
        </w:rPr>
        <w:t xml:space="preserve">; </w:t>
      </w:r>
      <w:r w:rsidR="007519BB">
        <w:rPr>
          <w:rFonts w:eastAsia="Times New Roman"/>
          <w:bCs/>
          <w:color w:val="000000"/>
        </w:rPr>
        <w:t>AEP-Ohio ESP II Order at 34-35.</w:t>
      </w:r>
    </w:p>
  </w:footnote>
  <w:footnote w:id="10">
    <w:p w14:paraId="2CBFF920" w14:textId="107D2820" w:rsidR="002817E6" w:rsidRPr="00607E38" w:rsidRDefault="002817E6">
      <w:pPr>
        <w:pStyle w:val="FootnoteText"/>
      </w:pPr>
      <w:r w:rsidRPr="00607E38">
        <w:rPr>
          <w:rStyle w:val="FootnoteReference"/>
        </w:rPr>
        <w:footnoteRef/>
      </w:r>
      <w:r w:rsidRPr="00607E38">
        <w:t xml:space="preserve"> </w:t>
      </w:r>
      <w:r w:rsidRPr="00607E38">
        <w:rPr>
          <w:rFonts w:eastAsia="Times New Roman"/>
          <w:bCs/>
          <w:color w:val="000000"/>
        </w:rPr>
        <w:t>Opinion and Order at 17</w:t>
      </w:r>
      <w:r w:rsidR="00841807">
        <w:rPr>
          <w:rFonts w:eastAsia="Times New Roman"/>
          <w:bCs/>
          <w:color w:val="000000"/>
        </w:rPr>
        <w:t xml:space="preserve"> </w:t>
      </w:r>
      <w:r w:rsidR="00841807">
        <w:t>(Sept. 4, 2013)</w:t>
      </w:r>
      <w:r w:rsidRPr="00607E38">
        <w:rPr>
          <w:rFonts w:eastAsia="Times New Roman"/>
          <w:bCs/>
          <w:color w:val="000000"/>
        </w:rPr>
        <w:t>.</w:t>
      </w:r>
    </w:p>
  </w:footnote>
  <w:footnote w:id="11">
    <w:p w14:paraId="5BC4FF1D" w14:textId="49BAD117" w:rsidR="002817E6" w:rsidRPr="00607E38" w:rsidRDefault="002817E6">
      <w:pPr>
        <w:pStyle w:val="FootnoteText"/>
      </w:pPr>
      <w:r w:rsidRPr="00607E38">
        <w:rPr>
          <w:rStyle w:val="FootnoteReference"/>
        </w:rPr>
        <w:footnoteRef/>
      </w:r>
      <w:r w:rsidRPr="00607E38">
        <w:t xml:space="preserve"> </w:t>
      </w:r>
      <w:r w:rsidR="00F320F8">
        <w:rPr>
          <w:i/>
        </w:rPr>
        <w:t xml:space="preserve">Id. </w:t>
      </w:r>
      <w:r w:rsidRPr="00607E38">
        <w:t>at 25-26; Entry Nunc Pro Tunc at 2</w:t>
      </w:r>
      <w:r w:rsidR="00841807">
        <w:t xml:space="preserve"> (Sept. </w:t>
      </w:r>
      <w:r w:rsidR="00841807">
        <w:t>6</w:t>
      </w:r>
      <w:r w:rsidR="00841807">
        <w:t>, 2013)</w:t>
      </w:r>
      <w:r w:rsidRPr="00607E38">
        <w:t>.</w:t>
      </w:r>
    </w:p>
  </w:footnote>
  <w:footnote w:id="12">
    <w:p w14:paraId="2F7BE81C" w14:textId="77777777" w:rsidR="00830CC2" w:rsidRPr="00E92FAA" w:rsidRDefault="00830CC2">
      <w:pPr>
        <w:pStyle w:val="FootnoteText"/>
      </w:pPr>
      <w:r w:rsidRPr="00C63130">
        <w:rPr>
          <w:rStyle w:val="FootnoteReference"/>
        </w:rPr>
        <w:footnoteRef/>
      </w:r>
      <w:r w:rsidRPr="00C63130">
        <w:t xml:space="preserve"> </w:t>
      </w:r>
      <w:r w:rsidRPr="00C63130">
        <w:rPr>
          <w:rFonts w:eastAsia="Times New Roman"/>
          <w:bCs/>
          <w:i/>
          <w:color w:val="000000"/>
        </w:rPr>
        <w:t>Columbus Southern</w:t>
      </w:r>
      <w:r w:rsidRPr="00C63130">
        <w:rPr>
          <w:rFonts w:eastAsia="Times New Roman"/>
          <w:bCs/>
          <w:color w:val="000000"/>
        </w:rPr>
        <w:t xml:space="preserve">, at ¶ 16.  </w:t>
      </w:r>
    </w:p>
  </w:footnote>
  <w:footnote w:id="13">
    <w:p w14:paraId="3F843537" w14:textId="77777777" w:rsidR="00830CC2" w:rsidRPr="00FB14A4" w:rsidRDefault="00830CC2">
      <w:pPr>
        <w:pStyle w:val="FootnoteText"/>
      </w:pPr>
      <w:r w:rsidRPr="00FB14A4">
        <w:rPr>
          <w:rStyle w:val="FootnoteReference"/>
        </w:rPr>
        <w:footnoteRef/>
      </w:r>
      <w:r w:rsidRPr="00FB14A4">
        <w:t xml:space="preserve"> </w:t>
      </w:r>
      <w:r w:rsidRPr="00FB14A4">
        <w:rPr>
          <w:rFonts w:eastAsia="Times New Roman"/>
          <w:bCs/>
          <w:i/>
          <w:color w:val="000000"/>
        </w:rPr>
        <w:t xml:space="preserve">Id.  </w:t>
      </w:r>
    </w:p>
  </w:footnote>
  <w:footnote w:id="14">
    <w:p w14:paraId="4DFA5DEA" w14:textId="77777777" w:rsidR="00830CC2" w:rsidRPr="00FB14A4" w:rsidRDefault="00830CC2">
      <w:pPr>
        <w:pStyle w:val="FootnoteText"/>
      </w:pPr>
      <w:r w:rsidRPr="00FB14A4">
        <w:rPr>
          <w:rStyle w:val="FootnoteReference"/>
        </w:rPr>
        <w:footnoteRef/>
      </w:r>
      <w:r w:rsidRPr="00FB14A4">
        <w:t xml:space="preserve"> </w:t>
      </w:r>
      <w:r w:rsidRPr="00FB14A4">
        <w:rPr>
          <w:rFonts w:eastAsia="Times New Roman"/>
          <w:bCs/>
          <w:i/>
          <w:color w:val="000000"/>
        </w:rPr>
        <w:t>Id.</w:t>
      </w:r>
      <w:r w:rsidRPr="00FB14A4">
        <w:rPr>
          <w:rFonts w:eastAsia="Times New Roman"/>
          <w:bCs/>
          <w:color w:val="000000"/>
        </w:rPr>
        <w:t xml:space="preserve"> at ¶ 17.</w:t>
      </w:r>
    </w:p>
  </w:footnote>
  <w:footnote w:id="15">
    <w:p w14:paraId="18F1B92B" w14:textId="77777777" w:rsidR="00F52977" w:rsidRPr="00FB14A4" w:rsidRDefault="00F52977">
      <w:pPr>
        <w:pStyle w:val="FootnoteText"/>
      </w:pPr>
      <w:r w:rsidRPr="00FB14A4">
        <w:rPr>
          <w:rStyle w:val="FootnoteReference"/>
        </w:rPr>
        <w:footnoteRef/>
      </w:r>
      <w:r w:rsidRPr="00FB14A4">
        <w:t xml:space="preserve"> </w:t>
      </w:r>
      <w:r w:rsidRPr="00FB14A4">
        <w:rPr>
          <w:rFonts w:eastAsia="Times New Roman"/>
          <w:bCs/>
          <w:i/>
          <w:color w:val="000000"/>
        </w:rPr>
        <w:t>Id.</w:t>
      </w:r>
      <w:r w:rsidRPr="00FB14A4">
        <w:rPr>
          <w:rFonts w:eastAsia="Times New Roman"/>
          <w:bCs/>
          <w:color w:val="000000"/>
        </w:rPr>
        <w:t xml:space="preserve"> at ¶ 23.  </w:t>
      </w:r>
    </w:p>
  </w:footnote>
  <w:footnote w:id="16">
    <w:p w14:paraId="0C597453" w14:textId="77777777" w:rsidR="00F52977" w:rsidRPr="00FB14A4" w:rsidRDefault="00F52977">
      <w:pPr>
        <w:pStyle w:val="FootnoteText"/>
      </w:pPr>
      <w:r w:rsidRPr="00FB14A4">
        <w:rPr>
          <w:rStyle w:val="FootnoteReference"/>
        </w:rPr>
        <w:footnoteRef/>
      </w:r>
      <w:r w:rsidRPr="00FB14A4">
        <w:t xml:space="preserve"> </w:t>
      </w:r>
      <w:r w:rsidRPr="00FB14A4">
        <w:rPr>
          <w:rFonts w:eastAsia="Times New Roman"/>
          <w:bCs/>
          <w:i/>
          <w:color w:val="000000"/>
        </w:rPr>
        <w:t>Id.</w:t>
      </w:r>
      <w:r w:rsidRPr="00FB14A4">
        <w:rPr>
          <w:rFonts w:eastAsia="Times New Roman"/>
          <w:bCs/>
          <w:color w:val="000000"/>
        </w:rPr>
        <w:t xml:space="preserve"> at ¶ 23-24.</w:t>
      </w:r>
    </w:p>
  </w:footnote>
  <w:footnote w:id="17">
    <w:p w14:paraId="5ED0557D" w14:textId="77777777" w:rsidR="00F52977" w:rsidRPr="00FB14A4" w:rsidRDefault="00F52977">
      <w:pPr>
        <w:pStyle w:val="FootnoteText"/>
      </w:pPr>
      <w:r w:rsidRPr="00FB14A4">
        <w:rPr>
          <w:rStyle w:val="FootnoteReference"/>
        </w:rPr>
        <w:footnoteRef/>
      </w:r>
      <w:r w:rsidRPr="00FB14A4">
        <w:t xml:space="preserve"> </w:t>
      </w:r>
      <w:r w:rsidRPr="00FB14A4">
        <w:rPr>
          <w:rFonts w:eastAsia="Times New Roman"/>
          <w:bCs/>
          <w:i/>
          <w:color w:val="000000"/>
        </w:rPr>
        <w:t>Id.</w:t>
      </w:r>
      <w:r w:rsidRPr="00FB14A4">
        <w:rPr>
          <w:rFonts w:eastAsia="Times New Roman"/>
          <w:bCs/>
          <w:color w:val="000000"/>
        </w:rPr>
        <w:t xml:space="preserve"> at ¶ 23.  </w:t>
      </w:r>
    </w:p>
  </w:footnote>
  <w:footnote w:id="18">
    <w:p w14:paraId="796C853B" w14:textId="77777777" w:rsidR="00F52977" w:rsidRPr="00145775" w:rsidRDefault="00F52977">
      <w:pPr>
        <w:pStyle w:val="FootnoteText"/>
      </w:pPr>
      <w:r w:rsidRPr="00FB14A4">
        <w:rPr>
          <w:rStyle w:val="FootnoteReference"/>
        </w:rPr>
        <w:footnoteRef/>
      </w:r>
      <w:r w:rsidRPr="00FB14A4">
        <w:t xml:space="preserve"> </w:t>
      </w:r>
      <w:r w:rsidRPr="00FB14A4">
        <w:rPr>
          <w:i/>
        </w:rPr>
        <w:t>Id.</w:t>
      </w:r>
      <w:r w:rsidRPr="00145775">
        <w:t xml:space="preserve"> at ¶ 8.</w:t>
      </w:r>
    </w:p>
  </w:footnote>
  <w:footnote w:id="19">
    <w:p w14:paraId="53402D0E" w14:textId="77777777" w:rsidR="00BE00D7" w:rsidRPr="00145775" w:rsidRDefault="00BE00D7">
      <w:pPr>
        <w:pStyle w:val="FootnoteText"/>
      </w:pPr>
      <w:r w:rsidRPr="00145775">
        <w:rPr>
          <w:rStyle w:val="FootnoteReference"/>
        </w:rPr>
        <w:footnoteRef/>
      </w:r>
      <w:r w:rsidRPr="00145775">
        <w:t xml:space="preserve"> </w:t>
      </w:r>
      <w:r w:rsidRPr="00145775">
        <w:rPr>
          <w:rFonts w:eastAsia="Times New Roman"/>
          <w:bCs/>
          <w:i/>
          <w:color w:val="000000"/>
        </w:rPr>
        <w:t>Id.</w:t>
      </w:r>
      <w:r w:rsidRPr="00145775">
        <w:rPr>
          <w:rFonts w:eastAsia="Times New Roman"/>
          <w:bCs/>
          <w:color w:val="000000"/>
        </w:rPr>
        <w:t xml:space="preserve"> at ¶ 20.  </w:t>
      </w:r>
    </w:p>
  </w:footnote>
  <w:footnote w:id="20">
    <w:p w14:paraId="600D5F68" w14:textId="77777777" w:rsidR="00BE00D7" w:rsidRPr="00881FCE" w:rsidRDefault="00BE00D7">
      <w:pPr>
        <w:pStyle w:val="FootnoteText"/>
      </w:pPr>
      <w:r w:rsidRPr="00881FCE">
        <w:rPr>
          <w:rStyle w:val="FootnoteReference"/>
        </w:rPr>
        <w:footnoteRef/>
      </w:r>
      <w:r w:rsidRPr="00881FCE">
        <w:t xml:space="preserve"> </w:t>
      </w:r>
      <w:r w:rsidRPr="00881FCE">
        <w:rPr>
          <w:rFonts w:eastAsia="Times New Roman"/>
          <w:bCs/>
          <w:i/>
          <w:color w:val="000000"/>
        </w:rPr>
        <w:t xml:space="preserve">Id. </w:t>
      </w:r>
      <w:r w:rsidRPr="00881FCE">
        <w:rPr>
          <w:rFonts w:eastAsia="Times New Roman"/>
          <w:bCs/>
          <w:color w:val="000000"/>
        </w:rPr>
        <w:t xml:space="preserve">at ¶ 21.  </w:t>
      </w:r>
    </w:p>
  </w:footnote>
  <w:footnote w:id="21">
    <w:p w14:paraId="7C11F324" w14:textId="77777777" w:rsidR="00BE00D7" w:rsidRPr="00607E38" w:rsidRDefault="00BE00D7">
      <w:pPr>
        <w:pStyle w:val="FootnoteText"/>
      </w:pPr>
      <w:r w:rsidRPr="00607E38">
        <w:rPr>
          <w:rStyle w:val="FootnoteReference"/>
        </w:rPr>
        <w:footnoteRef/>
      </w:r>
      <w:r w:rsidRPr="00607E38">
        <w:t xml:space="preserve"> </w:t>
      </w:r>
      <w:r w:rsidRPr="00607E38">
        <w:rPr>
          <w:rFonts w:eastAsia="Times New Roman"/>
          <w:bCs/>
          <w:i/>
          <w:color w:val="000000"/>
        </w:rPr>
        <w:t>Id.</w:t>
      </w:r>
      <w:r w:rsidRPr="00607E38">
        <w:rPr>
          <w:rFonts w:eastAsia="Times New Roman"/>
          <w:bCs/>
          <w:color w:val="000000"/>
        </w:rPr>
        <w:t xml:space="preserve">  </w:t>
      </w:r>
    </w:p>
  </w:footnote>
  <w:footnote w:id="22">
    <w:p w14:paraId="57A9AE87" w14:textId="77777777" w:rsidR="00BE00D7" w:rsidRPr="00607E38" w:rsidRDefault="00BE00D7">
      <w:pPr>
        <w:pStyle w:val="FootnoteText"/>
      </w:pPr>
      <w:r w:rsidRPr="00607E38">
        <w:rPr>
          <w:rStyle w:val="FootnoteReference"/>
        </w:rPr>
        <w:footnoteRef/>
      </w:r>
      <w:r w:rsidRPr="00607E38">
        <w:t xml:space="preserve"> </w:t>
      </w:r>
      <w:r w:rsidRPr="00607E38">
        <w:rPr>
          <w:rFonts w:eastAsia="Times New Roman"/>
          <w:bCs/>
          <w:i/>
          <w:color w:val="000000"/>
        </w:rPr>
        <w:t>Id.</w:t>
      </w:r>
      <w:r w:rsidRPr="00607E38">
        <w:rPr>
          <w:rFonts w:eastAsia="Times New Roman"/>
          <w:bCs/>
          <w:color w:val="000000"/>
        </w:rPr>
        <w:t xml:space="preserve"> at ¶ 25.  </w:t>
      </w:r>
    </w:p>
  </w:footnote>
  <w:footnote w:id="23">
    <w:p w14:paraId="23995406" w14:textId="27D0F412" w:rsidR="00145775" w:rsidRDefault="00145775">
      <w:pPr>
        <w:pStyle w:val="FootnoteText"/>
      </w:pPr>
      <w:r>
        <w:rPr>
          <w:rStyle w:val="FootnoteReference"/>
        </w:rPr>
        <w:footnoteRef/>
      </w:r>
      <w:r>
        <w:t xml:space="preserve"> </w:t>
      </w:r>
      <w:r w:rsidRPr="00F356E6">
        <w:rPr>
          <w:rFonts w:eastAsia="Times New Roman" w:cs="Times New Roman"/>
          <w:bCs/>
          <w:i/>
          <w:color w:val="000000"/>
        </w:rPr>
        <w:t xml:space="preserve">Compare </w:t>
      </w:r>
      <w:r w:rsidRPr="00F356E6">
        <w:rPr>
          <w:rFonts w:eastAsia="Times New Roman" w:cs="Times New Roman"/>
          <w:bCs/>
          <w:color w:val="000000"/>
        </w:rPr>
        <w:t>Opinion and Order at 17</w:t>
      </w:r>
      <w:r w:rsidR="00841807">
        <w:t xml:space="preserve"> (Sept. 4, 2013)</w:t>
      </w:r>
      <w:r w:rsidRPr="00F356E6">
        <w:rPr>
          <w:rFonts w:eastAsia="Times New Roman" w:cs="Times New Roman"/>
          <w:bCs/>
          <w:color w:val="000000"/>
        </w:rPr>
        <w:t xml:space="preserve">; </w:t>
      </w:r>
      <w:r w:rsidRPr="00F356E6">
        <w:rPr>
          <w:rFonts w:eastAsia="Times New Roman" w:cs="Times New Roman"/>
          <w:bCs/>
          <w:i/>
          <w:color w:val="000000"/>
        </w:rPr>
        <w:t>with Columbus Southern</w:t>
      </w:r>
      <w:r>
        <w:rPr>
          <w:rFonts w:eastAsia="Times New Roman" w:cs="Times New Roman"/>
          <w:bCs/>
          <w:color w:val="000000"/>
        </w:rPr>
        <w:t>,</w:t>
      </w:r>
      <w:r w:rsidRPr="00F356E6">
        <w:rPr>
          <w:rFonts w:eastAsia="Times New Roman" w:cs="Times New Roman"/>
          <w:bCs/>
          <w:color w:val="000000"/>
        </w:rPr>
        <w:t xml:space="preserve"> at ¶</w:t>
      </w:r>
      <w:r>
        <w:rPr>
          <w:rFonts w:eastAsia="Times New Roman" w:cs="Times New Roman"/>
          <w:bCs/>
          <w:color w:val="000000"/>
        </w:rPr>
        <w:t> </w:t>
      </w:r>
      <w:r w:rsidRPr="00F356E6">
        <w:rPr>
          <w:rFonts w:eastAsia="Times New Roman" w:cs="Times New Roman"/>
          <w:bCs/>
          <w:color w:val="000000"/>
        </w:rPr>
        <w:t>24 (in calculating a revenue requirement for AEP-Ohio’s charge, the Commission focused on three generation-related factors:  nonfuel generation revenue, capacity revenues, and customer switching)</w:t>
      </w:r>
      <w:r>
        <w:rPr>
          <w:rFonts w:eastAsia="Times New Roman" w:cs="Times New Roman"/>
          <w:bCs/>
          <w:color w:val="000000"/>
        </w:rPr>
        <w:t>.</w:t>
      </w:r>
      <w:r w:rsidR="00881FCE">
        <w:rPr>
          <w:rFonts w:eastAsia="Times New Roman" w:cs="Times New Roman"/>
          <w:bCs/>
          <w:color w:val="000000"/>
        </w:rPr>
        <w:t xml:space="preserve">  </w:t>
      </w:r>
      <w:r w:rsidR="00881FCE" w:rsidRPr="00B92622">
        <w:rPr>
          <w:rFonts w:eastAsia="Times New Roman"/>
          <w:bCs/>
          <w:color w:val="000000"/>
        </w:rPr>
        <w:t xml:space="preserve">DP&amp;L </w:t>
      </w:r>
      <w:r w:rsidR="00881FCE">
        <w:rPr>
          <w:rFonts w:eastAsia="Times New Roman"/>
          <w:bCs/>
          <w:color w:val="000000"/>
        </w:rPr>
        <w:t xml:space="preserve">also </w:t>
      </w:r>
      <w:r w:rsidR="00881FCE" w:rsidRPr="00B92622">
        <w:rPr>
          <w:rFonts w:eastAsia="Times New Roman"/>
          <w:bCs/>
          <w:color w:val="000000"/>
        </w:rPr>
        <w:t>confirmed during the hearing that the SSR charge was driven solely by its generation business as it admitted that its revenue from its other two lines of business, transmission and distribution, were adequate and would remain so.  DP&amp;L Ex. 1 at 13; Tr. Vol. I at 118; Tr. Vol. I at 150.</w:t>
      </w:r>
    </w:p>
  </w:footnote>
  <w:footnote w:id="24">
    <w:p w14:paraId="4C3941FF" w14:textId="4B4CBB22" w:rsidR="00145775" w:rsidRPr="00145775" w:rsidRDefault="00145775">
      <w:pPr>
        <w:pStyle w:val="FootnoteText"/>
      </w:pPr>
      <w:r w:rsidRPr="00145775">
        <w:rPr>
          <w:rStyle w:val="FootnoteReference"/>
        </w:rPr>
        <w:footnoteRef/>
      </w:r>
      <w:r w:rsidRPr="00145775">
        <w:t xml:space="preserve"> </w:t>
      </w:r>
      <w:r w:rsidRPr="00145775">
        <w:rPr>
          <w:rFonts w:eastAsia="Times New Roman"/>
          <w:bCs/>
          <w:color w:val="000000"/>
        </w:rPr>
        <w:t>Opinion and Order</w:t>
      </w:r>
      <w:r w:rsidRPr="00145775">
        <w:rPr>
          <w:rFonts w:eastAsia="Times New Roman"/>
          <w:bCs/>
          <w:i/>
          <w:color w:val="000000"/>
        </w:rPr>
        <w:t xml:space="preserve"> </w:t>
      </w:r>
      <w:r w:rsidRPr="00145775">
        <w:rPr>
          <w:rFonts w:eastAsia="Times New Roman"/>
          <w:bCs/>
          <w:color w:val="000000"/>
        </w:rPr>
        <w:t>at 25 (concluding a return on equity range of 7-11% for DP&amp;L’s charge was reasonable because it was consistent with the Commission’s prior treatment of AEP-Ohio’s charge)</w:t>
      </w:r>
      <w:r w:rsidR="007B617A">
        <w:rPr>
          <w:rFonts w:eastAsia="Times New Roman"/>
          <w:bCs/>
          <w:color w:val="000000"/>
        </w:rPr>
        <w:t>.</w:t>
      </w:r>
    </w:p>
  </w:footnote>
  <w:footnote w:id="25">
    <w:p w14:paraId="4BA5A8FB" w14:textId="16302F42" w:rsidR="00881FCE" w:rsidRDefault="00881FCE">
      <w:pPr>
        <w:pStyle w:val="FootnoteText"/>
      </w:pPr>
      <w:r>
        <w:rPr>
          <w:rStyle w:val="FootnoteReference"/>
        </w:rPr>
        <w:footnoteRef/>
      </w:r>
      <w:r>
        <w:t xml:space="preserve"> </w:t>
      </w:r>
      <w:r w:rsidRPr="00FB14A4">
        <w:rPr>
          <w:i/>
        </w:rPr>
        <w:t>Columbus Southern</w:t>
      </w:r>
      <w:r w:rsidRPr="00881FCE">
        <w:t>, at ¶ 8; Opinion and Order at 22</w:t>
      </w:r>
      <w:r w:rsidR="00841807">
        <w:t xml:space="preserve"> (Sept. 4, 2013)</w:t>
      </w:r>
      <w:r w:rsidRPr="00881FCE">
        <w:t xml:space="preserve">.  </w:t>
      </w:r>
    </w:p>
  </w:footnote>
  <w:footnote w:id="26">
    <w:p w14:paraId="2D507AC1" w14:textId="50FBD6A1" w:rsidR="00607E38" w:rsidRDefault="00607E38">
      <w:pPr>
        <w:pStyle w:val="FootnoteText"/>
      </w:pPr>
      <w:r>
        <w:rPr>
          <w:rStyle w:val="FootnoteReference"/>
        </w:rPr>
        <w:footnoteRef/>
      </w:r>
      <w:r w:rsidR="003E17CA">
        <w:rPr>
          <w:rFonts w:eastAsia="Times New Roman" w:cs="Times New Roman"/>
          <w:bCs/>
          <w:color w:val="000000"/>
        </w:rPr>
        <w:t xml:space="preserve"> </w:t>
      </w:r>
      <w:r w:rsidR="00441DA8" w:rsidRPr="00846355">
        <w:rPr>
          <w:rFonts w:eastAsia="Times New Roman" w:cs="Times New Roman"/>
          <w:bCs/>
          <w:i/>
          <w:color w:val="000000"/>
        </w:rPr>
        <w:t>Id.</w:t>
      </w:r>
      <w:r>
        <w:rPr>
          <w:rFonts w:eastAsia="Times New Roman" w:cs="Times New Roman"/>
          <w:bCs/>
          <w:color w:val="000000"/>
        </w:rPr>
        <w:t xml:space="preserve"> at 17</w:t>
      </w:r>
      <w:r w:rsidRPr="00F356E6">
        <w:rPr>
          <w:rFonts w:eastAsia="Times New Roman" w:cs="Times New Roman"/>
          <w:bCs/>
          <w:color w:val="000000"/>
        </w:rPr>
        <w:t xml:space="preserve">.  </w:t>
      </w:r>
    </w:p>
  </w:footnote>
  <w:footnote w:id="27">
    <w:p w14:paraId="0382023A" w14:textId="77777777" w:rsidR="00607E38" w:rsidRDefault="00607E38">
      <w:pPr>
        <w:pStyle w:val="FootnoteText"/>
      </w:pPr>
      <w:r>
        <w:rPr>
          <w:rStyle w:val="FootnoteReference"/>
        </w:rPr>
        <w:footnoteRef/>
      </w:r>
      <w:r>
        <w:t xml:space="preserve"> </w:t>
      </w:r>
      <w:r>
        <w:rPr>
          <w:rFonts w:eastAsia="Times New Roman" w:cs="Times New Roman"/>
          <w:bCs/>
          <w:i/>
          <w:color w:val="000000"/>
        </w:rPr>
        <w:t>Id .</w:t>
      </w:r>
      <w:r w:rsidRPr="00F356E6">
        <w:rPr>
          <w:rFonts w:eastAsia="Times New Roman" w:cs="Times New Roman"/>
          <w:bCs/>
          <w:color w:val="000000"/>
        </w:rPr>
        <w:t>at 25</w:t>
      </w:r>
      <w:r>
        <w:rPr>
          <w:rFonts w:eastAsia="Times New Roman" w:cs="Times New Roman"/>
          <w:bCs/>
          <w:color w:val="000000"/>
        </w:rPr>
        <w:t>.</w:t>
      </w:r>
    </w:p>
  </w:footnote>
  <w:footnote w:id="28">
    <w:p w14:paraId="2D9C22D2" w14:textId="77777777" w:rsidR="00607E38" w:rsidRDefault="00607E38">
      <w:pPr>
        <w:pStyle w:val="FootnoteText"/>
      </w:pPr>
      <w:r>
        <w:rPr>
          <w:rStyle w:val="FootnoteReference"/>
        </w:rPr>
        <w:footnoteRef/>
      </w:r>
      <w:r>
        <w:t xml:space="preserve"> </w:t>
      </w:r>
      <w:r>
        <w:rPr>
          <w:rFonts w:eastAsia="Times New Roman" w:cs="Times New Roman"/>
          <w:bCs/>
          <w:i/>
          <w:color w:val="000000"/>
        </w:rPr>
        <w:t>Id.</w:t>
      </w:r>
      <w:r w:rsidRPr="00F356E6">
        <w:rPr>
          <w:rFonts w:eastAsia="Times New Roman" w:cs="Times New Roman"/>
          <w:bCs/>
          <w:color w:val="000000"/>
        </w:rPr>
        <w:t xml:space="preserve"> at 22.</w:t>
      </w:r>
    </w:p>
  </w:footnote>
  <w:footnote w:id="29">
    <w:p w14:paraId="59F08B29" w14:textId="77777777" w:rsidR="00607E38" w:rsidRDefault="00607E38">
      <w:pPr>
        <w:pStyle w:val="FootnoteText"/>
      </w:pPr>
      <w:r>
        <w:rPr>
          <w:rStyle w:val="FootnoteReference"/>
        </w:rPr>
        <w:footnoteRef/>
      </w:r>
      <w:r>
        <w:t xml:space="preserve"> </w:t>
      </w:r>
      <w:r w:rsidRPr="00F356E6">
        <w:rPr>
          <w:rFonts w:eastAsia="Times New Roman" w:cs="Times New Roman"/>
          <w:bCs/>
          <w:i/>
          <w:color w:val="000000"/>
        </w:rPr>
        <w:t>Columbus Southern</w:t>
      </w:r>
      <w:r w:rsidRPr="00F356E6">
        <w:rPr>
          <w:rFonts w:eastAsia="Times New Roman" w:cs="Times New Roman"/>
          <w:bCs/>
          <w:color w:val="000000"/>
        </w:rPr>
        <w:t xml:space="preserve">, </w:t>
      </w:r>
      <w:r w:rsidRPr="00A014D5">
        <w:t xml:space="preserve">S.Ct. </w:t>
      </w:r>
      <w:r w:rsidRPr="00F356E6">
        <w:rPr>
          <w:rFonts w:eastAsia="Times New Roman" w:cs="Times New Roman"/>
          <w:bCs/>
          <w:color w:val="000000"/>
        </w:rPr>
        <w:t>Case No. 2013-521, Merit Brief of Amicus Curiae DP&amp;L in Support of Appellee PUCO at 6 (Oct. 21, 2013).</w:t>
      </w:r>
    </w:p>
  </w:footnote>
  <w:footnote w:id="30">
    <w:p w14:paraId="7C17788F" w14:textId="5191ACD9" w:rsidR="00607E38" w:rsidRDefault="00607E38">
      <w:pPr>
        <w:pStyle w:val="FootnoteText"/>
      </w:pPr>
      <w:r>
        <w:rPr>
          <w:rStyle w:val="FootnoteReference"/>
        </w:rPr>
        <w:footnoteRef/>
      </w:r>
      <w:r>
        <w:t xml:space="preserve"> </w:t>
      </w:r>
      <w:r>
        <w:rPr>
          <w:rFonts w:eastAsia="Times New Roman" w:cs="Times New Roman"/>
          <w:bCs/>
          <w:color w:val="000000"/>
        </w:rPr>
        <w:t>Opinion and Order at 22</w:t>
      </w:r>
      <w:r w:rsidR="00841807">
        <w:t xml:space="preserve"> (Sept. 4, 2013)</w:t>
      </w:r>
      <w:r>
        <w:rPr>
          <w:rFonts w:eastAsia="Times New Roman" w:cs="Times New Roman"/>
          <w:bCs/>
          <w:color w:val="000000"/>
        </w:rPr>
        <w:t>.</w:t>
      </w:r>
    </w:p>
  </w:footnote>
  <w:footnote w:id="31">
    <w:p w14:paraId="2B790FE5" w14:textId="77777777" w:rsidR="00C63130" w:rsidRDefault="00C63130">
      <w:pPr>
        <w:pStyle w:val="FootnoteText"/>
      </w:pPr>
      <w:r>
        <w:rPr>
          <w:rStyle w:val="FootnoteReference"/>
        </w:rPr>
        <w:footnoteRef/>
      </w:r>
      <w:r>
        <w:t xml:space="preserve"> </w:t>
      </w:r>
      <w:r w:rsidRPr="00F356E6">
        <w:rPr>
          <w:rFonts w:eastAsia="Times New Roman" w:cs="Times New Roman"/>
          <w:bCs/>
          <w:i/>
          <w:color w:val="000000"/>
        </w:rPr>
        <w:t>Columbus Southern</w:t>
      </w:r>
      <w:r>
        <w:rPr>
          <w:rFonts w:eastAsia="Times New Roman" w:cs="Times New Roman"/>
          <w:bCs/>
          <w:color w:val="000000"/>
        </w:rPr>
        <w:t>,</w:t>
      </w:r>
      <w:r w:rsidRPr="00F356E6">
        <w:rPr>
          <w:rFonts w:eastAsia="Times New Roman" w:cs="Times New Roman"/>
          <w:bCs/>
          <w:color w:val="000000"/>
        </w:rPr>
        <w:t xml:space="preserve"> at ¶ 25.</w:t>
      </w:r>
    </w:p>
  </w:footnote>
  <w:footnote w:id="32">
    <w:p w14:paraId="5E63871A" w14:textId="5FC165D6" w:rsidR="00473245" w:rsidRPr="00FB14A4" w:rsidRDefault="00473245">
      <w:pPr>
        <w:pStyle w:val="FootnoteText"/>
      </w:pPr>
      <w:r w:rsidRPr="00FB14A4">
        <w:rPr>
          <w:rStyle w:val="FootnoteReference"/>
        </w:rPr>
        <w:footnoteRef/>
      </w:r>
      <w:r w:rsidRPr="00FB14A4">
        <w:t xml:space="preserve"> </w:t>
      </w:r>
      <w:r w:rsidRPr="00FB14A4">
        <w:rPr>
          <w:i/>
        </w:rPr>
        <w:t xml:space="preserve">In re Application of Columbus </w:t>
      </w:r>
      <w:r w:rsidR="00FB5638">
        <w:rPr>
          <w:i/>
        </w:rPr>
        <w:t>S</w:t>
      </w:r>
      <w:r w:rsidRPr="00FB14A4">
        <w:rPr>
          <w:i/>
        </w:rPr>
        <w:t>. Power Co.</w:t>
      </w:r>
      <w:r w:rsidRPr="00FB14A4">
        <w:t>, 128 Ohio St.3d 512, 2011-Ohio-1788, ¶</w:t>
      </w:r>
      <w:r w:rsidR="00801754" w:rsidRPr="00FB14A4">
        <w:t xml:space="preserve"> 22-35.</w:t>
      </w:r>
    </w:p>
  </w:footnote>
  <w:footnote w:id="33">
    <w:p w14:paraId="2B42D227" w14:textId="77777777" w:rsidR="00701DBF" w:rsidRPr="00FB14A4" w:rsidRDefault="00701DBF">
      <w:pPr>
        <w:pStyle w:val="FootnoteText"/>
      </w:pPr>
      <w:r w:rsidRPr="00FB14A4">
        <w:rPr>
          <w:rStyle w:val="FootnoteReference"/>
        </w:rPr>
        <w:footnoteRef/>
      </w:r>
      <w:r w:rsidRPr="00FB14A4">
        <w:t xml:space="preserve"> </w:t>
      </w:r>
      <w:r w:rsidRPr="00FB14A4">
        <w:rPr>
          <w:i/>
        </w:rPr>
        <w:t>Id.</w:t>
      </w:r>
      <w:r w:rsidRPr="00FB14A4">
        <w:t xml:space="preserve"> at ¶ 30</w:t>
      </w:r>
    </w:p>
  </w:footnote>
  <w:footnote w:id="34">
    <w:p w14:paraId="3D84F69D" w14:textId="77777777" w:rsidR="00701DBF" w:rsidRPr="00FB14A4" w:rsidRDefault="00701DBF">
      <w:pPr>
        <w:pStyle w:val="FootnoteText"/>
      </w:pPr>
      <w:r w:rsidRPr="00FB14A4">
        <w:rPr>
          <w:rStyle w:val="FootnoteReference"/>
        </w:rPr>
        <w:footnoteRef/>
      </w:r>
      <w:r w:rsidRPr="00FB14A4">
        <w:t xml:space="preserve"> </w:t>
      </w:r>
      <w:r w:rsidRPr="00FB14A4">
        <w:rPr>
          <w:i/>
        </w:rPr>
        <w:t>Id.</w:t>
      </w:r>
      <w:r w:rsidRPr="00FB14A4">
        <w:t xml:space="preserve"> at ¶ 35.</w:t>
      </w:r>
    </w:p>
  </w:footnote>
  <w:footnote w:id="35">
    <w:p w14:paraId="30F5B3B6" w14:textId="019D5FA9" w:rsidR="00A04DC6" w:rsidRPr="00FB14A4" w:rsidRDefault="00A04DC6">
      <w:pPr>
        <w:pStyle w:val="FootnoteText"/>
      </w:pPr>
      <w:r w:rsidRPr="00FB14A4">
        <w:rPr>
          <w:rStyle w:val="FootnoteReference"/>
        </w:rPr>
        <w:footnoteRef/>
      </w:r>
      <w:r w:rsidRPr="00FB14A4">
        <w:t xml:space="preserve"> </w:t>
      </w:r>
      <w:r w:rsidRPr="00FB14A4">
        <w:rPr>
          <w:i/>
        </w:rPr>
        <w:t>Id.</w:t>
      </w:r>
      <w:r w:rsidRPr="00FB14A4">
        <w:t xml:space="preserve"> at </w:t>
      </w:r>
      <w:r w:rsidR="009142D2" w:rsidRPr="00FB14A4">
        <w:t xml:space="preserve">¶ </w:t>
      </w:r>
      <w:r w:rsidRPr="00FB14A4">
        <w:t>30, 35.</w:t>
      </w:r>
    </w:p>
  </w:footnote>
  <w:footnote w:id="36">
    <w:p w14:paraId="5CFC1C51" w14:textId="77777777" w:rsidR="007C56FD" w:rsidRPr="00FB14A4" w:rsidRDefault="007C56FD" w:rsidP="007C56FD">
      <w:pPr>
        <w:pStyle w:val="FootnoteText"/>
      </w:pPr>
      <w:r w:rsidRPr="00FB14A4">
        <w:rPr>
          <w:rStyle w:val="FootnoteReference"/>
        </w:rPr>
        <w:footnoteRef/>
      </w:r>
      <w:r w:rsidRPr="00FB14A4">
        <w:t xml:space="preserve"> </w:t>
      </w:r>
      <w:r w:rsidRPr="00FB14A4">
        <w:rPr>
          <w:i/>
        </w:rPr>
        <w:t>In the Matter of the Application of Columbus Southern Power Company for Approval of an Electric Security Plan; an Amendment to its Corporate Separation Plan; and the Sale or Transfer of Certain Generating Assets</w:t>
      </w:r>
      <w:r w:rsidRPr="00FB14A4">
        <w:t xml:space="preserve">, Case Nos. 08-917-EL-SSO, </w:t>
      </w:r>
      <w:r w:rsidRPr="00FB14A4">
        <w:rPr>
          <w:i/>
        </w:rPr>
        <w:t xml:space="preserve"> et al.</w:t>
      </w:r>
      <w:r w:rsidRPr="00FB14A4">
        <w:t>, Entry at 2 (May 4, 2014)</w:t>
      </w:r>
      <w:r w:rsidR="00A04DC6" w:rsidRPr="00FB14A4">
        <w:t xml:space="preserve"> (“</w:t>
      </w:r>
      <w:r w:rsidR="00A04DC6" w:rsidRPr="00BA341E">
        <w:rPr>
          <w:i/>
        </w:rPr>
        <w:t>AEP-Ohio ESP I”)</w:t>
      </w:r>
      <w:r w:rsidRPr="00BA341E">
        <w:rPr>
          <w:i/>
        </w:rPr>
        <w:t>.</w:t>
      </w:r>
    </w:p>
  </w:footnote>
  <w:footnote w:id="37">
    <w:p w14:paraId="4ED7290A" w14:textId="196CB563" w:rsidR="00A04DC6" w:rsidRPr="00FB14A4" w:rsidRDefault="00A04DC6" w:rsidP="00A04DC6">
      <w:pPr>
        <w:pStyle w:val="FootnoteText"/>
      </w:pPr>
      <w:r w:rsidRPr="00FB14A4">
        <w:rPr>
          <w:rStyle w:val="FootnoteReference"/>
        </w:rPr>
        <w:footnoteRef/>
      </w:r>
      <w:r w:rsidRPr="00FB14A4">
        <w:t xml:space="preserve"> </w:t>
      </w:r>
      <w:r w:rsidRPr="00FB14A4">
        <w:rPr>
          <w:i/>
        </w:rPr>
        <w:t>AEP-Ohio ESP I</w:t>
      </w:r>
      <w:r w:rsidRPr="00FB14A4">
        <w:t xml:space="preserve">, Entry at </w:t>
      </w:r>
      <w:r w:rsidR="005A20CC" w:rsidRPr="00FB14A4">
        <w:t>3</w:t>
      </w:r>
      <w:r w:rsidRPr="00FB14A4">
        <w:t xml:space="preserve"> (May 25, 201</w:t>
      </w:r>
      <w:r w:rsidR="005B7551">
        <w:t>1</w:t>
      </w:r>
      <w:r w:rsidRPr="00FB14A4">
        <w:t xml:space="preserve">) </w:t>
      </w:r>
    </w:p>
  </w:footnote>
  <w:footnote w:id="38">
    <w:p w14:paraId="2F4E47C4" w14:textId="550755BF" w:rsidR="003D3DA0" w:rsidRPr="00FB14A4" w:rsidRDefault="003D3DA0">
      <w:pPr>
        <w:pStyle w:val="FootnoteText"/>
      </w:pPr>
      <w:r w:rsidRPr="00FB14A4">
        <w:rPr>
          <w:rStyle w:val="FootnoteReference"/>
        </w:rPr>
        <w:footnoteRef/>
      </w:r>
      <w:r w:rsidRPr="00FB14A4">
        <w:t xml:space="preserve"> </w:t>
      </w:r>
      <w:r w:rsidRPr="00FB14A4">
        <w:rPr>
          <w:i/>
        </w:rPr>
        <w:t>Id</w:t>
      </w:r>
      <w:r w:rsidRPr="00BA341E">
        <w:t xml:space="preserve">. </w:t>
      </w:r>
      <w:r w:rsidR="005B7551" w:rsidRPr="00BA341E">
        <w:t xml:space="preserve">at 4 </w:t>
      </w:r>
      <w:r w:rsidRPr="00FB14A4">
        <w:t>(“Upon further consideration of the issues raised by the parties to these ESP remand proceedings, we find AEP-Ohio's motion to make the currently effective tariff rates, subject to refund, to be a reasonable request until the Commission specifically orders otherwise on remand.”).</w:t>
      </w:r>
    </w:p>
  </w:footnote>
  <w:footnote w:id="39">
    <w:p w14:paraId="6923E997" w14:textId="7A7746FE" w:rsidR="005A20CC" w:rsidRPr="00FB14A4" w:rsidRDefault="005A20CC">
      <w:pPr>
        <w:pStyle w:val="FootnoteText"/>
      </w:pPr>
      <w:r w:rsidRPr="00FB14A4">
        <w:rPr>
          <w:rStyle w:val="FootnoteReference"/>
        </w:rPr>
        <w:footnoteRef/>
      </w:r>
      <w:r w:rsidRPr="00FB14A4">
        <w:t xml:space="preserve"> </w:t>
      </w:r>
      <w:r w:rsidRPr="00FB14A4">
        <w:rPr>
          <w:i/>
        </w:rPr>
        <w:t>Id.</w:t>
      </w:r>
    </w:p>
  </w:footnote>
  <w:footnote w:id="40">
    <w:p w14:paraId="2DAF9B89" w14:textId="600131D9" w:rsidR="007D0E57" w:rsidRPr="007D0E57" w:rsidRDefault="007D0E57">
      <w:pPr>
        <w:pStyle w:val="FootnoteText"/>
      </w:pPr>
      <w:r>
        <w:rPr>
          <w:rStyle w:val="FootnoteReference"/>
        </w:rPr>
        <w:footnoteRef/>
      </w:r>
      <w:r>
        <w:t xml:space="preserve"> </w:t>
      </w:r>
      <w:r>
        <w:rPr>
          <w:i/>
        </w:rPr>
        <w:t xml:space="preserve">In the Matter of the Application of Columbus Southern Power Company and Ohio Power Company for Authority to Recover Costs </w:t>
      </w:r>
      <w:r w:rsidR="00F27B20">
        <w:rPr>
          <w:i/>
        </w:rPr>
        <w:t>Associated</w:t>
      </w:r>
      <w:r>
        <w:rPr>
          <w:i/>
        </w:rPr>
        <w:t xml:space="preserve"> with the Ultimate Construction and Operation of an Integrated Gasification Combined Cycle Electric Generation Facility</w:t>
      </w:r>
      <w:r>
        <w:t>, Case No. 05</w:t>
      </w:r>
      <w:r w:rsidR="00F27B20">
        <w:t>-376-EL-UNC, Entry on Rehearing at 16</w:t>
      </w:r>
      <w:r>
        <w:t xml:space="preserve"> </w:t>
      </w:r>
      <w:r w:rsidR="00F27B20">
        <w:t>(</w:t>
      </w:r>
      <w:r>
        <w:t>June 2</w:t>
      </w:r>
      <w:r w:rsidR="00F27B20">
        <w:t>8</w:t>
      </w:r>
      <w:r>
        <w:t>, 2006</w:t>
      </w:r>
      <w:r w:rsidR="00F27B20">
        <w:t>).</w:t>
      </w:r>
    </w:p>
  </w:footnote>
  <w:footnote w:id="41">
    <w:p w14:paraId="21C53952" w14:textId="77777777" w:rsidR="00945EA7" w:rsidRPr="00FB14A4" w:rsidRDefault="00945EA7">
      <w:pPr>
        <w:pStyle w:val="FootnoteText"/>
      </w:pPr>
      <w:r w:rsidRPr="00FB14A4">
        <w:rPr>
          <w:rStyle w:val="FootnoteReference"/>
        </w:rPr>
        <w:footnoteRef/>
      </w:r>
      <w:r w:rsidRPr="00FB14A4">
        <w:t xml:space="preserve"> </w:t>
      </w:r>
      <w:r w:rsidRPr="00FB14A4">
        <w:rPr>
          <w:rFonts w:eastAsia="Times New Roman"/>
          <w:bCs/>
          <w:i/>
          <w:color w:val="000000"/>
        </w:rPr>
        <w:t>Internat'l Diamond Exchange Jewelers, Inc. v. US. Diamond and Gold Jewelers, Inc.</w:t>
      </w:r>
      <w:r w:rsidRPr="00FB14A4">
        <w:rPr>
          <w:rFonts w:eastAsia="Times New Roman"/>
          <w:bCs/>
          <w:color w:val="000000"/>
        </w:rPr>
        <w:t>, 70 Ohio App. 3d 667, 885 (1991) (addressing the relative harm affecting the parties in ordering that an injunction of the airing of an advertisement be stayed pending appeal).</w:t>
      </w:r>
    </w:p>
  </w:footnote>
  <w:footnote w:id="42">
    <w:p w14:paraId="2634D51C" w14:textId="77777777" w:rsidR="00DB01FD" w:rsidRPr="00FB14A4" w:rsidRDefault="00DB01FD">
      <w:pPr>
        <w:pStyle w:val="FootnoteText"/>
      </w:pPr>
      <w:r w:rsidRPr="00FB14A4">
        <w:rPr>
          <w:rStyle w:val="FootnoteReference"/>
        </w:rPr>
        <w:footnoteRef/>
      </w:r>
      <w:r w:rsidRPr="00FB14A4">
        <w:t xml:space="preserve"> </w:t>
      </w:r>
      <w:r w:rsidR="004B4798" w:rsidRPr="00FB14A4">
        <w:t>R.C. 4905.22 (Commission must ensure rates are reasonable).</w:t>
      </w:r>
    </w:p>
  </w:footnote>
  <w:footnote w:id="43">
    <w:p w14:paraId="53E0503D" w14:textId="029E05A6" w:rsidR="007D3E38" w:rsidRPr="00FB14A4" w:rsidRDefault="007D3E38" w:rsidP="007D3E38">
      <w:pPr>
        <w:pStyle w:val="FootnoteText"/>
      </w:pPr>
      <w:r w:rsidRPr="00FB14A4">
        <w:rPr>
          <w:rStyle w:val="FootnoteReference"/>
        </w:rPr>
        <w:footnoteRef/>
      </w:r>
      <w:r w:rsidRPr="00FB14A4">
        <w:t xml:space="preserve"> </w:t>
      </w:r>
      <w:r w:rsidR="001B1E6B">
        <w:rPr>
          <w:i/>
        </w:rPr>
        <w:t>AEP</w:t>
      </w:r>
      <w:r w:rsidR="001B1E6B">
        <w:rPr>
          <w:i/>
        </w:rPr>
        <w:noBreakHyphen/>
        <w:t>Ohio ESP I</w:t>
      </w:r>
      <w:r w:rsidR="001B1E6B" w:rsidRPr="00BA341E">
        <w:t>, Entry</w:t>
      </w:r>
      <w:r w:rsidRPr="001B1E6B">
        <w:t xml:space="preserve"> at 4</w:t>
      </w:r>
      <w:r w:rsidR="00A47E6C">
        <w:t xml:space="preserve"> (May 25,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D67CE" w14:textId="77777777" w:rsidR="00264572" w:rsidRDefault="0026457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F5392" w14:textId="77777777" w:rsidR="00A72E64" w:rsidRDefault="00A72E6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7683E" w14:textId="77777777" w:rsidR="00A72E64" w:rsidRDefault="00A72E6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591BA" w14:textId="77777777" w:rsidR="00264572" w:rsidRDefault="00264572">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5EB3C" w14:textId="77777777" w:rsidR="00264572" w:rsidRDefault="00264572">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7A7A5" w14:textId="77777777" w:rsidR="00264572" w:rsidRDefault="00264572">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65BBE" w14:textId="77777777" w:rsidR="00264572" w:rsidRDefault="00264572">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42AE3" w14:textId="77777777" w:rsidR="00264572" w:rsidRDefault="00264572">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F3457" w14:textId="77777777" w:rsidR="00264572" w:rsidRDefault="00264572">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BA87C" w14:textId="77777777" w:rsidR="00D75D57" w:rsidRDefault="00D75D57">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86548" w14:textId="77777777" w:rsidR="00D75D57" w:rsidRDefault="00D75D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B41AC" w14:textId="77777777" w:rsidR="00264572" w:rsidRDefault="00264572">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2B624" w14:textId="77777777" w:rsidR="00D75D57" w:rsidRDefault="00D75D57">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63EF5" w14:textId="77777777" w:rsidR="003A3370" w:rsidRDefault="003A3370">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5A692" w14:textId="77777777" w:rsidR="003A3370" w:rsidRDefault="003A33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3E0DA" w14:textId="77777777" w:rsidR="00264572" w:rsidRDefault="0026457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44636" w14:textId="77777777" w:rsidR="00264572" w:rsidRDefault="0026457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49E47" w14:textId="77777777" w:rsidR="00264572" w:rsidRDefault="0026457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ADD85" w14:textId="77777777" w:rsidR="003A3370" w:rsidRDefault="003A337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0E5C5" w14:textId="77777777" w:rsidR="003A3370" w:rsidRDefault="003A337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77586" w14:textId="77777777" w:rsidR="00264572" w:rsidRDefault="0026457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60092" w14:textId="77777777" w:rsidR="00264572" w:rsidRDefault="002645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9422D4"/>
    <w:multiLevelType w:val="multilevel"/>
    <w:tmpl w:val="5ADAD000"/>
    <w:name w:val="IEU Basic-PUCO-Scheme 1"/>
    <w:lvl w:ilvl="0">
      <w:start w:val="1"/>
      <w:numFmt w:val="upperRoman"/>
      <w:pStyle w:val="Heading1"/>
      <w:lvlText w:val="%1."/>
      <w:lvlJc w:val="left"/>
      <w:pPr>
        <w:tabs>
          <w:tab w:val="num" w:pos="720"/>
        </w:tabs>
        <w:ind w:left="720" w:hanging="720"/>
      </w:pPr>
      <w:rPr>
        <w:b/>
        <w:caps w:val="0"/>
        <w:vanish w:val="0"/>
        <w:color w:val="010000"/>
        <w:u w:val="none"/>
      </w:rPr>
    </w:lvl>
    <w:lvl w:ilvl="1">
      <w:start w:val="1"/>
      <w:numFmt w:val="upperLetter"/>
      <w:pStyle w:val="Heading2"/>
      <w:lvlText w:val="%2."/>
      <w:lvlJc w:val="left"/>
      <w:pPr>
        <w:tabs>
          <w:tab w:val="num" w:pos="1440"/>
        </w:tabs>
        <w:ind w:left="1440" w:hanging="720"/>
      </w:pPr>
      <w:rPr>
        <w:b/>
        <w:caps w:val="0"/>
        <w:vanish w:val="0"/>
        <w:color w:val="010000"/>
        <w:u w:val="none"/>
      </w:rPr>
    </w:lvl>
    <w:lvl w:ilvl="2">
      <w:start w:val="1"/>
      <w:numFmt w:val="decimal"/>
      <w:pStyle w:val="Heading3"/>
      <w:lvlText w:val="%3."/>
      <w:lvlJc w:val="left"/>
      <w:pPr>
        <w:tabs>
          <w:tab w:val="num" w:pos="2160"/>
        </w:tabs>
        <w:ind w:left="2160" w:hanging="720"/>
      </w:pPr>
      <w:rPr>
        <w:b/>
        <w:i w:val="0"/>
        <w:caps w:val="0"/>
        <w:vanish w:val="0"/>
        <w:color w:val="010000"/>
        <w:u w:val="none"/>
      </w:rPr>
    </w:lvl>
    <w:lvl w:ilvl="3">
      <w:start w:val="1"/>
      <w:numFmt w:val="lowerLetter"/>
      <w:pStyle w:val="Heading4"/>
      <w:lvlText w:val="%4."/>
      <w:lvlJc w:val="left"/>
      <w:pPr>
        <w:tabs>
          <w:tab w:val="num" w:pos="2880"/>
        </w:tabs>
        <w:ind w:left="2880" w:hanging="720"/>
      </w:pPr>
      <w:rPr>
        <w:b/>
        <w:i/>
        <w:caps w:val="0"/>
        <w:vanish w:val="0"/>
        <w:color w:val="010000"/>
        <w:u w:val="none"/>
      </w:rPr>
    </w:lvl>
    <w:lvl w:ilvl="4">
      <w:start w:val="1"/>
      <w:numFmt w:val="lowerRoman"/>
      <w:pStyle w:val="Heading5"/>
      <w:lvlText w:val="%5."/>
      <w:lvlJc w:val="left"/>
      <w:pPr>
        <w:tabs>
          <w:tab w:val="num" w:pos="3600"/>
        </w:tabs>
        <w:ind w:left="3600" w:hanging="720"/>
      </w:pPr>
      <w:rPr>
        <w:caps w:val="0"/>
        <w:vanish w:val="0"/>
        <w:color w:val="010000"/>
        <w:u w:val="none"/>
      </w:rPr>
    </w:lvl>
    <w:lvl w:ilvl="5">
      <w:start w:val="1"/>
      <w:numFmt w:val="lowerLetter"/>
      <w:pStyle w:val="Heading6"/>
      <w:lvlText w:val="(%6)"/>
      <w:lvlJc w:val="left"/>
      <w:pPr>
        <w:tabs>
          <w:tab w:val="num" w:pos="4320"/>
        </w:tabs>
        <w:ind w:left="4320" w:hanging="720"/>
      </w:pPr>
      <w:rPr>
        <w:caps w:val="0"/>
        <w:vanish w:val="0"/>
        <w:color w:val="010000"/>
        <w:u w:val="none"/>
      </w:rPr>
    </w:lvl>
    <w:lvl w:ilvl="6">
      <w:start w:val="1"/>
      <w:numFmt w:val="decimal"/>
      <w:pStyle w:val="Heading7"/>
      <w:lvlText w:val="(%7)"/>
      <w:lvlJc w:val="left"/>
      <w:pPr>
        <w:tabs>
          <w:tab w:val="num" w:pos="5040"/>
        </w:tabs>
        <w:ind w:left="5040" w:hanging="720"/>
      </w:pPr>
      <w:rPr>
        <w:caps w:val="0"/>
        <w:vanish w:val="0"/>
        <w:color w:val="010000"/>
        <w:u w:val="none"/>
      </w:rPr>
    </w:lvl>
    <w:lvl w:ilvl="7">
      <w:start w:val="1"/>
      <w:numFmt w:val="lowerRoman"/>
      <w:pStyle w:val="Heading8"/>
      <w:lvlText w:val="%8)"/>
      <w:lvlJc w:val="left"/>
      <w:pPr>
        <w:tabs>
          <w:tab w:val="num" w:pos="5760"/>
        </w:tabs>
        <w:ind w:left="5760" w:hanging="720"/>
      </w:pPr>
      <w:rPr>
        <w:caps w:val="0"/>
        <w:vanish w:val="0"/>
        <w:color w:val="010000"/>
        <w:u w:val="none"/>
      </w:rPr>
    </w:lvl>
    <w:lvl w:ilvl="8">
      <w:start w:val="1"/>
      <w:numFmt w:val="lowerLetter"/>
      <w:pStyle w:val="Heading9"/>
      <w:lvlText w:val="%9)"/>
      <w:lvlJc w:val="left"/>
      <w:pPr>
        <w:tabs>
          <w:tab w:val="num" w:pos="6480"/>
        </w:tabs>
        <w:ind w:left="6480" w:hanging="720"/>
      </w:pPr>
      <w:rPr>
        <w:caps w:val="0"/>
        <w:vanish w:val="0"/>
        <w:color w:val="01000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B9D"/>
    <w:rsid w:val="00012807"/>
    <w:rsid w:val="0002589E"/>
    <w:rsid w:val="00037651"/>
    <w:rsid w:val="00051DAD"/>
    <w:rsid w:val="00072466"/>
    <w:rsid w:val="000819FF"/>
    <w:rsid w:val="000A71DD"/>
    <w:rsid w:val="000B55E0"/>
    <w:rsid w:val="000B5835"/>
    <w:rsid w:val="000E0E3C"/>
    <w:rsid w:val="000E710E"/>
    <w:rsid w:val="00107101"/>
    <w:rsid w:val="00145775"/>
    <w:rsid w:val="0016369F"/>
    <w:rsid w:val="00186E1F"/>
    <w:rsid w:val="001A2E25"/>
    <w:rsid w:val="001A5EA4"/>
    <w:rsid w:val="001A6FEE"/>
    <w:rsid w:val="001B11FF"/>
    <w:rsid w:val="001B1E6B"/>
    <w:rsid w:val="001B2A39"/>
    <w:rsid w:val="001B358B"/>
    <w:rsid w:val="001C4E06"/>
    <w:rsid w:val="001D21AC"/>
    <w:rsid w:val="001F6FC0"/>
    <w:rsid w:val="001F7E7C"/>
    <w:rsid w:val="002018F2"/>
    <w:rsid w:val="00217E3F"/>
    <w:rsid w:val="00227C8F"/>
    <w:rsid w:val="00241167"/>
    <w:rsid w:val="00264572"/>
    <w:rsid w:val="00271FA0"/>
    <w:rsid w:val="0027202E"/>
    <w:rsid w:val="00275B9D"/>
    <w:rsid w:val="002817E6"/>
    <w:rsid w:val="002842E2"/>
    <w:rsid w:val="00294738"/>
    <w:rsid w:val="002953A0"/>
    <w:rsid w:val="00297C50"/>
    <w:rsid w:val="002A7314"/>
    <w:rsid w:val="002E5D06"/>
    <w:rsid w:val="002F6CFE"/>
    <w:rsid w:val="003022C1"/>
    <w:rsid w:val="00306BC2"/>
    <w:rsid w:val="00321D41"/>
    <w:rsid w:val="00326C10"/>
    <w:rsid w:val="00364C61"/>
    <w:rsid w:val="00387703"/>
    <w:rsid w:val="003A2099"/>
    <w:rsid w:val="003A2FED"/>
    <w:rsid w:val="003A3370"/>
    <w:rsid w:val="003A5339"/>
    <w:rsid w:val="003B1CD5"/>
    <w:rsid w:val="003C3653"/>
    <w:rsid w:val="003C4ED3"/>
    <w:rsid w:val="003C654B"/>
    <w:rsid w:val="003C6ED4"/>
    <w:rsid w:val="003D3DA0"/>
    <w:rsid w:val="003D3FD3"/>
    <w:rsid w:val="003D746C"/>
    <w:rsid w:val="003E0667"/>
    <w:rsid w:val="003E17CA"/>
    <w:rsid w:val="003E4F4F"/>
    <w:rsid w:val="0041284C"/>
    <w:rsid w:val="004140AA"/>
    <w:rsid w:val="004163AE"/>
    <w:rsid w:val="00441DA8"/>
    <w:rsid w:val="00450EEC"/>
    <w:rsid w:val="0045224F"/>
    <w:rsid w:val="00455CFF"/>
    <w:rsid w:val="00461BF6"/>
    <w:rsid w:val="00462379"/>
    <w:rsid w:val="00473245"/>
    <w:rsid w:val="00473912"/>
    <w:rsid w:val="00474906"/>
    <w:rsid w:val="00492042"/>
    <w:rsid w:val="004B0638"/>
    <w:rsid w:val="004B4798"/>
    <w:rsid w:val="004C53F3"/>
    <w:rsid w:val="004F0413"/>
    <w:rsid w:val="00523CF2"/>
    <w:rsid w:val="005421FF"/>
    <w:rsid w:val="00563089"/>
    <w:rsid w:val="005635CD"/>
    <w:rsid w:val="0056557D"/>
    <w:rsid w:val="0057083D"/>
    <w:rsid w:val="00593052"/>
    <w:rsid w:val="005A20CC"/>
    <w:rsid w:val="005A7E21"/>
    <w:rsid w:val="005B7551"/>
    <w:rsid w:val="005C4DE2"/>
    <w:rsid w:val="005D043C"/>
    <w:rsid w:val="005E53B1"/>
    <w:rsid w:val="006013A8"/>
    <w:rsid w:val="00607E38"/>
    <w:rsid w:val="00615F60"/>
    <w:rsid w:val="00644352"/>
    <w:rsid w:val="006446D6"/>
    <w:rsid w:val="00644AB0"/>
    <w:rsid w:val="006605CB"/>
    <w:rsid w:val="00685053"/>
    <w:rsid w:val="0069420B"/>
    <w:rsid w:val="006A5CE2"/>
    <w:rsid w:val="006A743B"/>
    <w:rsid w:val="006B45F1"/>
    <w:rsid w:val="006C48C1"/>
    <w:rsid w:val="006D3ACA"/>
    <w:rsid w:val="006D4A12"/>
    <w:rsid w:val="006D653C"/>
    <w:rsid w:val="006E34EC"/>
    <w:rsid w:val="006F65D1"/>
    <w:rsid w:val="00701DBF"/>
    <w:rsid w:val="00715459"/>
    <w:rsid w:val="00746AC1"/>
    <w:rsid w:val="00747E72"/>
    <w:rsid w:val="007519BB"/>
    <w:rsid w:val="007523CE"/>
    <w:rsid w:val="00755C2B"/>
    <w:rsid w:val="00770E7F"/>
    <w:rsid w:val="00781EEB"/>
    <w:rsid w:val="00784C44"/>
    <w:rsid w:val="00792386"/>
    <w:rsid w:val="007B617A"/>
    <w:rsid w:val="007C56FD"/>
    <w:rsid w:val="007C6625"/>
    <w:rsid w:val="007D0E57"/>
    <w:rsid w:val="007D3E38"/>
    <w:rsid w:val="007E497D"/>
    <w:rsid w:val="007E62D3"/>
    <w:rsid w:val="00801754"/>
    <w:rsid w:val="0080290F"/>
    <w:rsid w:val="00810150"/>
    <w:rsid w:val="00812D1E"/>
    <w:rsid w:val="008223BA"/>
    <w:rsid w:val="00830CC2"/>
    <w:rsid w:val="008312F9"/>
    <w:rsid w:val="008329F6"/>
    <w:rsid w:val="00841807"/>
    <w:rsid w:val="00841EA8"/>
    <w:rsid w:val="00846355"/>
    <w:rsid w:val="00861C44"/>
    <w:rsid w:val="008655D8"/>
    <w:rsid w:val="008664EA"/>
    <w:rsid w:val="00881253"/>
    <w:rsid w:val="00881FCE"/>
    <w:rsid w:val="008A69EF"/>
    <w:rsid w:val="008C2D15"/>
    <w:rsid w:val="008D2EF3"/>
    <w:rsid w:val="008E3BF4"/>
    <w:rsid w:val="008E592C"/>
    <w:rsid w:val="008E7941"/>
    <w:rsid w:val="008F73EA"/>
    <w:rsid w:val="00902500"/>
    <w:rsid w:val="009142D2"/>
    <w:rsid w:val="009200C8"/>
    <w:rsid w:val="00937020"/>
    <w:rsid w:val="00945EA7"/>
    <w:rsid w:val="00955D8C"/>
    <w:rsid w:val="00962521"/>
    <w:rsid w:val="00974D29"/>
    <w:rsid w:val="00982BBA"/>
    <w:rsid w:val="009D5015"/>
    <w:rsid w:val="00A04DC6"/>
    <w:rsid w:val="00A071E5"/>
    <w:rsid w:val="00A14B3D"/>
    <w:rsid w:val="00A26AB9"/>
    <w:rsid w:val="00A47E6C"/>
    <w:rsid w:val="00A566D1"/>
    <w:rsid w:val="00A6183C"/>
    <w:rsid w:val="00A72E64"/>
    <w:rsid w:val="00A85D80"/>
    <w:rsid w:val="00AA0FD6"/>
    <w:rsid w:val="00AC21D5"/>
    <w:rsid w:val="00AD27E1"/>
    <w:rsid w:val="00AD6D6A"/>
    <w:rsid w:val="00B22E43"/>
    <w:rsid w:val="00B24F31"/>
    <w:rsid w:val="00B97A15"/>
    <w:rsid w:val="00BA2EB4"/>
    <w:rsid w:val="00BA341E"/>
    <w:rsid w:val="00BA5C3F"/>
    <w:rsid w:val="00BB1C83"/>
    <w:rsid w:val="00BB7341"/>
    <w:rsid w:val="00BD3249"/>
    <w:rsid w:val="00BD6F6C"/>
    <w:rsid w:val="00BE00D7"/>
    <w:rsid w:val="00BE1F59"/>
    <w:rsid w:val="00C00A52"/>
    <w:rsid w:val="00C0405A"/>
    <w:rsid w:val="00C13DFC"/>
    <w:rsid w:val="00C248ED"/>
    <w:rsid w:val="00C43F52"/>
    <w:rsid w:val="00C63130"/>
    <w:rsid w:val="00C712AE"/>
    <w:rsid w:val="00C846F3"/>
    <w:rsid w:val="00C94D7D"/>
    <w:rsid w:val="00CA0127"/>
    <w:rsid w:val="00CA2B92"/>
    <w:rsid w:val="00CA76B3"/>
    <w:rsid w:val="00CC1708"/>
    <w:rsid w:val="00CC1759"/>
    <w:rsid w:val="00CD142A"/>
    <w:rsid w:val="00CE2645"/>
    <w:rsid w:val="00CE2839"/>
    <w:rsid w:val="00CE4BCA"/>
    <w:rsid w:val="00CF23BF"/>
    <w:rsid w:val="00D05598"/>
    <w:rsid w:val="00D10825"/>
    <w:rsid w:val="00D25CE8"/>
    <w:rsid w:val="00D27442"/>
    <w:rsid w:val="00D36590"/>
    <w:rsid w:val="00D3792F"/>
    <w:rsid w:val="00D42B77"/>
    <w:rsid w:val="00D56CC3"/>
    <w:rsid w:val="00D718A8"/>
    <w:rsid w:val="00D75D57"/>
    <w:rsid w:val="00D8031A"/>
    <w:rsid w:val="00D9115C"/>
    <w:rsid w:val="00D95DB8"/>
    <w:rsid w:val="00D9686E"/>
    <w:rsid w:val="00D97241"/>
    <w:rsid w:val="00DA2005"/>
    <w:rsid w:val="00DA77AB"/>
    <w:rsid w:val="00DB01FD"/>
    <w:rsid w:val="00DB5BB8"/>
    <w:rsid w:val="00DB6252"/>
    <w:rsid w:val="00DE3378"/>
    <w:rsid w:val="00E02772"/>
    <w:rsid w:val="00E259A8"/>
    <w:rsid w:val="00E27B93"/>
    <w:rsid w:val="00E32811"/>
    <w:rsid w:val="00E51EF7"/>
    <w:rsid w:val="00E61BA6"/>
    <w:rsid w:val="00E92FAA"/>
    <w:rsid w:val="00E975DF"/>
    <w:rsid w:val="00EA027E"/>
    <w:rsid w:val="00EA1765"/>
    <w:rsid w:val="00EA27DB"/>
    <w:rsid w:val="00EC1868"/>
    <w:rsid w:val="00EC7F7E"/>
    <w:rsid w:val="00ED1AAB"/>
    <w:rsid w:val="00ED6EB4"/>
    <w:rsid w:val="00F16529"/>
    <w:rsid w:val="00F22BE4"/>
    <w:rsid w:val="00F27B20"/>
    <w:rsid w:val="00F31AC0"/>
    <w:rsid w:val="00F320F8"/>
    <w:rsid w:val="00F50458"/>
    <w:rsid w:val="00F52977"/>
    <w:rsid w:val="00F565F5"/>
    <w:rsid w:val="00F63001"/>
    <w:rsid w:val="00F7352C"/>
    <w:rsid w:val="00F855CE"/>
    <w:rsid w:val="00F94C2B"/>
    <w:rsid w:val="00FB14A4"/>
    <w:rsid w:val="00FB5171"/>
    <w:rsid w:val="00FB5638"/>
    <w:rsid w:val="00FC3281"/>
    <w:rsid w:val="00FC32D7"/>
    <w:rsid w:val="00FC5DF7"/>
    <w:rsid w:val="00FD4693"/>
    <w:rsid w:val="00FE7A47"/>
    <w:rsid w:val="00FF7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6075F0"/>
  <w15:chartTrackingRefBased/>
  <w15:docId w15:val="{C43D68AF-96D0-4B3E-A870-2A035B6E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C44"/>
    <w:pPr>
      <w:spacing w:line="480" w:lineRule="auto"/>
    </w:pPr>
  </w:style>
  <w:style w:type="paragraph" w:styleId="Heading1">
    <w:name w:val="heading 1"/>
    <w:basedOn w:val="Normal"/>
    <w:next w:val="Normal"/>
    <w:link w:val="Heading1Char"/>
    <w:uiPriority w:val="9"/>
    <w:qFormat/>
    <w:rsid w:val="001F7E7C"/>
    <w:pPr>
      <w:numPr>
        <w:numId w:val="1"/>
      </w:numPr>
      <w:spacing w:before="240" w:after="360" w:line="240" w:lineRule="auto"/>
      <w:outlineLvl w:val="0"/>
    </w:pPr>
    <w:rPr>
      <w:rFonts w:eastAsiaTheme="majorEastAsia"/>
      <w:b/>
      <w:caps/>
      <w:szCs w:val="32"/>
      <w:u w:val="single"/>
    </w:rPr>
  </w:style>
  <w:style w:type="paragraph" w:styleId="Heading2">
    <w:name w:val="heading 2"/>
    <w:basedOn w:val="Normal"/>
    <w:next w:val="Normal"/>
    <w:link w:val="Heading2Char"/>
    <w:uiPriority w:val="9"/>
    <w:unhideWhenUsed/>
    <w:qFormat/>
    <w:rsid w:val="00BA5C3F"/>
    <w:pPr>
      <w:numPr>
        <w:ilvl w:val="1"/>
        <w:numId w:val="1"/>
      </w:numPr>
      <w:tabs>
        <w:tab w:val="left" w:pos="1440"/>
      </w:tabs>
      <w:spacing w:after="240" w:line="240" w:lineRule="auto"/>
      <w:outlineLvl w:val="1"/>
    </w:pPr>
    <w:rPr>
      <w:rFonts w:eastAsiaTheme="majorEastAsia"/>
      <w:b/>
      <w:szCs w:val="26"/>
    </w:rPr>
  </w:style>
  <w:style w:type="paragraph" w:styleId="Heading3">
    <w:name w:val="heading 3"/>
    <w:basedOn w:val="Normal"/>
    <w:next w:val="Normal"/>
    <w:link w:val="Heading3Char"/>
    <w:uiPriority w:val="9"/>
    <w:semiHidden/>
    <w:unhideWhenUsed/>
    <w:qFormat/>
    <w:rsid w:val="00BA5C3F"/>
    <w:pPr>
      <w:numPr>
        <w:ilvl w:val="2"/>
        <w:numId w:val="1"/>
      </w:numPr>
      <w:tabs>
        <w:tab w:val="left" w:pos="2160"/>
      </w:tabs>
      <w:spacing w:after="240" w:line="240" w:lineRule="auto"/>
      <w:outlineLvl w:val="2"/>
    </w:pPr>
    <w:rPr>
      <w:rFonts w:eastAsiaTheme="majorEastAsia"/>
      <w:b/>
    </w:rPr>
  </w:style>
  <w:style w:type="paragraph" w:styleId="Heading4">
    <w:name w:val="heading 4"/>
    <w:basedOn w:val="Normal"/>
    <w:next w:val="Normal"/>
    <w:link w:val="Heading4Char"/>
    <w:uiPriority w:val="9"/>
    <w:semiHidden/>
    <w:unhideWhenUsed/>
    <w:qFormat/>
    <w:rsid w:val="00BA5C3F"/>
    <w:pPr>
      <w:numPr>
        <w:ilvl w:val="3"/>
        <w:numId w:val="1"/>
      </w:numPr>
      <w:tabs>
        <w:tab w:val="left" w:pos="2880"/>
      </w:tabs>
      <w:spacing w:after="240" w:line="240" w:lineRule="auto"/>
      <w:outlineLvl w:val="3"/>
    </w:pPr>
    <w:rPr>
      <w:rFonts w:eastAsiaTheme="majorEastAsia"/>
      <w:b/>
      <w:i/>
      <w:iCs/>
    </w:rPr>
  </w:style>
  <w:style w:type="paragraph" w:styleId="Heading5">
    <w:name w:val="heading 5"/>
    <w:basedOn w:val="Normal"/>
    <w:next w:val="Normal"/>
    <w:link w:val="Heading5Char"/>
    <w:uiPriority w:val="9"/>
    <w:semiHidden/>
    <w:unhideWhenUsed/>
    <w:qFormat/>
    <w:rsid w:val="00BA5C3F"/>
    <w:pPr>
      <w:numPr>
        <w:ilvl w:val="4"/>
        <w:numId w:val="1"/>
      </w:numPr>
      <w:tabs>
        <w:tab w:val="left" w:pos="3600"/>
      </w:tabs>
      <w:spacing w:after="240" w:line="240" w:lineRule="auto"/>
      <w:outlineLvl w:val="4"/>
    </w:pPr>
    <w:rPr>
      <w:rFonts w:eastAsiaTheme="majorEastAsia"/>
      <w:color w:val="243F60" w:themeColor="accent1" w:themeShade="7F"/>
    </w:rPr>
  </w:style>
  <w:style w:type="paragraph" w:styleId="Heading6">
    <w:name w:val="heading 6"/>
    <w:basedOn w:val="Normal"/>
    <w:next w:val="Normal"/>
    <w:link w:val="Heading6Char"/>
    <w:uiPriority w:val="9"/>
    <w:semiHidden/>
    <w:unhideWhenUsed/>
    <w:qFormat/>
    <w:rsid w:val="00BA5C3F"/>
    <w:pPr>
      <w:numPr>
        <w:ilvl w:val="5"/>
        <w:numId w:val="1"/>
      </w:numPr>
      <w:tabs>
        <w:tab w:val="left" w:pos="4320"/>
      </w:tabs>
      <w:spacing w:after="240" w:line="240" w:lineRule="auto"/>
      <w:outlineLvl w:val="5"/>
    </w:pPr>
    <w:rPr>
      <w:rFonts w:eastAsiaTheme="majorEastAsia"/>
      <w:color w:val="243F60" w:themeColor="accent1" w:themeShade="7F"/>
    </w:rPr>
  </w:style>
  <w:style w:type="paragraph" w:styleId="Heading7">
    <w:name w:val="heading 7"/>
    <w:basedOn w:val="Normal"/>
    <w:next w:val="Normal"/>
    <w:link w:val="Heading7Char"/>
    <w:uiPriority w:val="9"/>
    <w:semiHidden/>
    <w:unhideWhenUsed/>
    <w:qFormat/>
    <w:rsid w:val="00BA5C3F"/>
    <w:pPr>
      <w:numPr>
        <w:ilvl w:val="6"/>
        <w:numId w:val="1"/>
      </w:numPr>
      <w:tabs>
        <w:tab w:val="left" w:pos="5040"/>
      </w:tabs>
      <w:spacing w:after="240" w:line="240" w:lineRule="auto"/>
      <w:outlineLvl w:val="6"/>
    </w:pPr>
    <w:rPr>
      <w:rFonts w:eastAsiaTheme="majorEastAsia"/>
      <w:iCs/>
      <w:color w:val="404040" w:themeColor="text1" w:themeTint="BF"/>
    </w:rPr>
  </w:style>
  <w:style w:type="paragraph" w:styleId="Heading8">
    <w:name w:val="heading 8"/>
    <w:basedOn w:val="Normal"/>
    <w:next w:val="Normal"/>
    <w:link w:val="Heading8Char"/>
    <w:uiPriority w:val="9"/>
    <w:semiHidden/>
    <w:unhideWhenUsed/>
    <w:qFormat/>
    <w:rsid w:val="00BA5C3F"/>
    <w:pPr>
      <w:numPr>
        <w:ilvl w:val="7"/>
        <w:numId w:val="1"/>
      </w:numPr>
      <w:tabs>
        <w:tab w:val="left" w:pos="5760"/>
      </w:tabs>
      <w:spacing w:after="240" w:line="240" w:lineRule="auto"/>
      <w:outlineLvl w:val="7"/>
    </w:pPr>
    <w:rPr>
      <w:rFonts w:eastAsiaTheme="majorEastAsia"/>
      <w:color w:val="404040" w:themeColor="text1" w:themeTint="BF"/>
      <w:szCs w:val="21"/>
    </w:rPr>
  </w:style>
  <w:style w:type="paragraph" w:styleId="Heading9">
    <w:name w:val="heading 9"/>
    <w:basedOn w:val="Normal"/>
    <w:next w:val="Normal"/>
    <w:link w:val="Heading9Char"/>
    <w:uiPriority w:val="9"/>
    <w:semiHidden/>
    <w:unhideWhenUsed/>
    <w:qFormat/>
    <w:rsid w:val="00BA5C3F"/>
    <w:pPr>
      <w:numPr>
        <w:ilvl w:val="8"/>
        <w:numId w:val="1"/>
      </w:numPr>
      <w:tabs>
        <w:tab w:val="left" w:pos="6480"/>
      </w:tabs>
      <w:spacing w:after="240" w:line="240" w:lineRule="auto"/>
      <w:outlineLvl w:val="8"/>
    </w:pPr>
    <w:rPr>
      <w:rFonts w:eastAsiaTheme="majorEastAsia"/>
      <w:iCs/>
      <w:color w:val="404040" w:themeColor="text1"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61C44"/>
    <w:pPr>
      <w:spacing w:after="120" w:line="240" w:lineRule="auto"/>
    </w:pPr>
    <w:rPr>
      <w:sz w:val="20"/>
      <w:szCs w:val="20"/>
    </w:rPr>
  </w:style>
  <w:style w:type="character" w:customStyle="1" w:styleId="FootnoteTextChar">
    <w:name w:val="Footnote Text Char"/>
    <w:basedOn w:val="DefaultParagraphFont"/>
    <w:link w:val="FootnoteText"/>
    <w:uiPriority w:val="99"/>
    <w:rsid w:val="00861C44"/>
    <w:rPr>
      <w:sz w:val="20"/>
      <w:szCs w:val="20"/>
    </w:rPr>
  </w:style>
  <w:style w:type="paragraph" w:styleId="Header">
    <w:name w:val="header"/>
    <w:basedOn w:val="Normal"/>
    <w:link w:val="HeaderChar"/>
    <w:uiPriority w:val="99"/>
    <w:unhideWhenUsed/>
    <w:rsid w:val="00275B9D"/>
    <w:pPr>
      <w:tabs>
        <w:tab w:val="center" w:pos="4680"/>
        <w:tab w:val="right" w:pos="9360"/>
      </w:tabs>
      <w:spacing w:line="240" w:lineRule="auto"/>
    </w:pPr>
  </w:style>
  <w:style w:type="character" w:customStyle="1" w:styleId="HeaderChar">
    <w:name w:val="Header Char"/>
    <w:basedOn w:val="DefaultParagraphFont"/>
    <w:link w:val="Header"/>
    <w:uiPriority w:val="99"/>
    <w:rsid w:val="00275B9D"/>
  </w:style>
  <w:style w:type="paragraph" w:styleId="Footer">
    <w:name w:val="footer"/>
    <w:basedOn w:val="Normal"/>
    <w:link w:val="FooterChar"/>
    <w:uiPriority w:val="99"/>
    <w:unhideWhenUsed/>
    <w:rsid w:val="00275B9D"/>
    <w:pPr>
      <w:tabs>
        <w:tab w:val="center" w:pos="4680"/>
        <w:tab w:val="right" w:pos="9360"/>
      </w:tabs>
      <w:spacing w:line="240" w:lineRule="auto"/>
    </w:pPr>
  </w:style>
  <w:style w:type="character" w:customStyle="1" w:styleId="FooterChar">
    <w:name w:val="Footer Char"/>
    <w:basedOn w:val="DefaultParagraphFont"/>
    <w:link w:val="Footer"/>
    <w:uiPriority w:val="99"/>
    <w:rsid w:val="00275B9D"/>
  </w:style>
  <w:style w:type="character" w:styleId="FootnoteReference">
    <w:name w:val="footnote reference"/>
    <w:basedOn w:val="DefaultParagraphFont"/>
    <w:uiPriority w:val="99"/>
    <w:semiHidden/>
    <w:unhideWhenUsed/>
    <w:rsid w:val="008A69EF"/>
    <w:rPr>
      <w:vertAlign w:val="superscript"/>
    </w:rPr>
  </w:style>
  <w:style w:type="character" w:customStyle="1" w:styleId="Heading1Char">
    <w:name w:val="Heading 1 Char"/>
    <w:basedOn w:val="DefaultParagraphFont"/>
    <w:link w:val="Heading1"/>
    <w:uiPriority w:val="9"/>
    <w:rsid w:val="001F7E7C"/>
    <w:rPr>
      <w:rFonts w:eastAsiaTheme="majorEastAsia"/>
      <w:b/>
      <w:caps/>
      <w:szCs w:val="32"/>
      <w:u w:val="single"/>
    </w:rPr>
  </w:style>
  <w:style w:type="character" w:customStyle="1" w:styleId="Heading2Char">
    <w:name w:val="Heading 2 Char"/>
    <w:basedOn w:val="DefaultParagraphFont"/>
    <w:link w:val="Heading2"/>
    <w:uiPriority w:val="9"/>
    <w:rsid w:val="00BA5C3F"/>
    <w:rPr>
      <w:rFonts w:eastAsiaTheme="majorEastAsia"/>
      <w:b/>
      <w:szCs w:val="26"/>
    </w:rPr>
  </w:style>
  <w:style w:type="character" w:customStyle="1" w:styleId="Heading3Char">
    <w:name w:val="Heading 3 Char"/>
    <w:basedOn w:val="DefaultParagraphFont"/>
    <w:link w:val="Heading3"/>
    <w:uiPriority w:val="9"/>
    <w:semiHidden/>
    <w:rsid w:val="00BA5C3F"/>
    <w:rPr>
      <w:rFonts w:eastAsiaTheme="majorEastAsia"/>
      <w:b/>
    </w:rPr>
  </w:style>
  <w:style w:type="character" w:customStyle="1" w:styleId="Heading4Char">
    <w:name w:val="Heading 4 Char"/>
    <w:basedOn w:val="DefaultParagraphFont"/>
    <w:link w:val="Heading4"/>
    <w:uiPriority w:val="9"/>
    <w:semiHidden/>
    <w:rsid w:val="00BA5C3F"/>
    <w:rPr>
      <w:rFonts w:eastAsiaTheme="majorEastAsia"/>
      <w:b/>
      <w:i/>
      <w:iCs/>
    </w:rPr>
  </w:style>
  <w:style w:type="character" w:customStyle="1" w:styleId="Heading5Char">
    <w:name w:val="Heading 5 Char"/>
    <w:basedOn w:val="DefaultParagraphFont"/>
    <w:link w:val="Heading5"/>
    <w:uiPriority w:val="9"/>
    <w:semiHidden/>
    <w:rsid w:val="00BA5C3F"/>
    <w:rPr>
      <w:rFonts w:eastAsiaTheme="majorEastAsia"/>
      <w:color w:val="243F60" w:themeColor="accent1" w:themeShade="7F"/>
    </w:rPr>
  </w:style>
  <w:style w:type="character" w:customStyle="1" w:styleId="Heading6Char">
    <w:name w:val="Heading 6 Char"/>
    <w:basedOn w:val="DefaultParagraphFont"/>
    <w:link w:val="Heading6"/>
    <w:uiPriority w:val="9"/>
    <w:semiHidden/>
    <w:rsid w:val="00BA5C3F"/>
    <w:rPr>
      <w:rFonts w:eastAsiaTheme="majorEastAsia"/>
      <w:color w:val="243F60" w:themeColor="accent1" w:themeShade="7F"/>
    </w:rPr>
  </w:style>
  <w:style w:type="character" w:customStyle="1" w:styleId="Heading7Char">
    <w:name w:val="Heading 7 Char"/>
    <w:basedOn w:val="DefaultParagraphFont"/>
    <w:link w:val="Heading7"/>
    <w:uiPriority w:val="9"/>
    <w:semiHidden/>
    <w:rsid w:val="00BA5C3F"/>
    <w:rPr>
      <w:rFonts w:eastAsiaTheme="majorEastAsia"/>
      <w:iCs/>
      <w:color w:val="404040" w:themeColor="text1" w:themeTint="BF"/>
    </w:rPr>
  </w:style>
  <w:style w:type="character" w:customStyle="1" w:styleId="Heading8Char">
    <w:name w:val="Heading 8 Char"/>
    <w:basedOn w:val="DefaultParagraphFont"/>
    <w:link w:val="Heading8"/>
    <w:uiPriority w:val="9"/>
    <w:semiHidden/>
    <w:rsid w:val="00BA5C3F"/>
    <w:rPr>
      <w:rFonts w:eastAsiaTheme="majorEastAsia"/>
      <w:color w:val="404040" w:themeColor="text1" w:themeTint="BF"/>
      <w:szCs w:val="21"/>
    </w:rPr>
  </w:style>
  <w:style w:type="character" w:customStyle="1" w:styleId="Heading9Char">
    <w:name w:val="Heading 9 Char"/>
    <w:basedOn w:val="DefaultParagraphFont"/>
    <w:link w:val="Heading9"/>
    <w:uiPriority w:val="9"/>
    <w:semiHidden/>
    <w:rsid w:val="00BA5C3F"/>
    <w:rPr>
      <w:rFonts w:eastAsiaTheme="majorEastAsia"/>
      <w:iCs/>
      <w:color w:val="404040" w:themeColor="text1" w:themeTint="BF"/>
      <w:szCs w:val="21"/>
    </w:rPr>
  </w:style>
  <w:style w:type="paragraph" w:styleId="BodyText">
    <w:name w:val="Body Text"/>
    <w:basedOn w:val="Normal"/>
    <w:link w:val="BodyTextChar"/>
    <w:uiPriority w:val="99"/>
    <w:semiHidden/>
    <w:unhideWhenUsed/>
    <w:rsid w:val="00BA5C3F"/>
    <w:pPr>
      <w:spacing w:after="120"/>
    </w:pPr>
  </w:style>
  <w:style w:type="character" w:customStyle="1" w:styleId="BodyTextChar">
    <w:name w:val="Body Text Char"/>
    <w:basedOn w:val="DefaultParagraphFont"/>
    <w:link w:val="BodyText"/>
    <w:uiPriority w:val="99"/>
    <w:semiHidden/>
    <w:rsid w:val="00BA5C3F"/>
  </w:style>
  <w:style w:type="paragraph" w:styleId="BalloonText">
    <w:name w:val="Balloon Text"/>
    <w:basedOn w:val="Normal"/>
    <w:link w:val="BalloonTextChar"/>
    <w:uiPriority w:val="99"/>
    <w:semiHidden/>
    <w:unhideWhenUsed/>
    <w:rsid w:val="00A071E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1E5"/>
    <w:rPr>
      <w:rFonts w:ascii="Segoe UI" w:hAnsi="Segoe UI" w:cs="Segoe UI"/>
      <w:sz w:val="18"/>
      <w:szCs w:val="18"/>
    </w:rPr>
  </w:style>
  <w:style w:type="paragraph" w:styleId="EndnoteText">
    <w:name w:val="endnote text"/>
    <w:basedOn w:val="Normal"/>
    <w:link w:val="EndnoteTextChar"/>
    <w:uiPriority w:val="99"/>
    <w:semiHidden/>
    <w:unhideWhenUsed/>
    <w:rsid w:val="00321D41"/>
    <w:pPr>
      <w:spacing w:line="240" w:lineRule="auto"/>
    </w:pPr>
    <w:rPr>
      <w:sz w:val="20"/>
      <w:szCs w:val="20"/>
    </w:rPr>
  </w:style>
  <w:style w:type="character" w:customStyle="1" w:styleId="EndnoteTextChar">
    <w:name w:val="Endnote Text Char"/>
    <w:basedOn w:val="DefaultParagraphFont"/>
    <w:link w:val="EndnoteText"/>
    <w:uiPriority w:val="99"/>
    <w:semiHidden/>
    <w:rsid w:val="00321D41"/>
    <w:rPr>
      <w:sz w:val="20"/>
      <w:szCs w:val="20"/>
    </w:rPr>
  </w:style>
  <w:style w:type="character" w:styleId="EndnoteReference">
    <w:name w:val="endnote reference"/>
    <w:basedOn w:val="DefaultParagraphFont"/>
    <w:uiPriority w:val="99"/>
    <w:semiHidden/>
    <w:unhideWhenUsed/>
    <w:rsid w:val="00321D41"/>
    <w:rPr>
      <w:vertAlign w:val="superscript"/>
    </w:rPr>
  </w:style>
  <w:style w:type="character" w:styleId="CommentReference">
    <w:name w:val="annotation reference"/>
    <w:basedOn w:val="DefaultParagraphFont"/>
    <w:uiPriority w:val="99"/>
    <w:semiHidden/>
    <w:unhideWhenUsed/>
    <w:rsid w:val="00902500"/>
    <w:rPr>
      <w:sz w:val="16"/>
      <w:szCs w:val="16"/>
    </w:rPr>
  </w:style>
  <w:style w:type="paragraph" w:styleId="CommentText">
    <w:name w:val="annotation text"/>
    <w:basedOn w:val="Normal"/>
    <w:link w:val="CommentTextChar"/>
    <w:uiPriority w:val="99"/>
    <w:semiHidden/>
    <w:unhideWhenUsed/>
    <w:rsid w:val="00902500"/>
    <w:pPr>
      <w:spacing w:line="240" w:lineRule="auto"/>
    </w:pPr>
    <w:rPr>
      <w:sz w:val="20"/>
      <w:szCs w:val="20"/>
    </w:rPr>
  </w:style>
  <w:style w:type="character" w:customStyle="1" w:styleId="CommentTextChar">
    <w:name w:val="Comment Text Char"/>
    <w:basedOn w:val="DefaultParagraphFont"/>
    <w:link w:val="CommentText"/>
    <w:uiPriority w:val="99"/>
    <w:semiHidden/>
    <w:rsid w:val="00902500"/>
    <w:rPr>
      <w:sz w:val="20"/>
      <w:szCs w:val="20"/>
    </w:rPr>
  </w:style>
  <w:style w:type="paragraph" w:styleId="CommentSubject">
    <w:name w:val="annotation subject"/>
    <w:basedOn w:val="CommentText"/>
    <w:next w:val="CommentText"/>
    <w:link w:val="CommentSubjectChar"/>
    <w:uiPriority w:val="99"/>
    <w:semiHidden/>
    <w:unhideWhenUsed/>
    <w:rsid w:val="00902500"/>
    <w:rPr>
      <w:b/>
      <w:bCs/>
    </w:rPr>
  </w:style>
  <w:style w:type="character" w:customStyle="1" w:styleId="CommentSubjectChar">
    <w:name w:val="Comment Subject Char"/>
    <w:basedOn w:val="CommentTextChar"/>
    <w:link w:val="CommentSubject"/>
    <w:uiPriority w:val="99"/>
    <w:semiHidden/>
    <w:rsid w:val="00902500"/>
    <w:rPr>
      <w:b/>
      <w:bCs/>
      <w:sz w:val="20"/>
      <w:szCs w:val="20"/>
    </w:rPr>
  </w:style>
  <w:style w:type="paragraph" w:styleId="BodyTextIndent">
    <w:name w:val="Body Text Indent"/>
    <w:basedOn w:val="Normal"/>
    <w:link w:val="BodyTextIndentChar"/>
    <w:uiPriority w:val="99"/>
    <w:semiHidden/>
    <w:unhideWhenUsed/>
    <w:rsid w:val="00D75D57"/>
    <w:pPr>
      <w:spacing w:after="120"/>
      <w:ind w:left="360"/>
    </w:pPr>
  </w:style>
  <w:style w:type="character" w:customStyle="1" w:styleId="BodyTextIndentChar">
    <w:name w:val="Body Text Indent Char"/>
    <w:basedOn w:val="DefaultParagraphFont"/>
    <w:link w:val="BodyTextIndent"/>
    <w:uiPriority w:val="99"/>
    <w:semiHidden/>
    <w:rsid w:val="00D75D57"/>
  </w:style>
  <w:style w:type="paragraph" w:styleId="Title">
    <w:name w:val="Title"/>
    <w:basedOn w:val="Normal"/>
    <w:link w:val="TitleChar"/>
    <w:qFormat/>
    <w:rsid w:val="00051DAD"/>
    <w:pPr>
      <w:tabs>
        <w:tab w:val="left" w:pos="720"/>
        <w:tab w:val="right" w:leader="dot" w:pos="9360"/>
      </w:tabs>
      <w:spacing w:line="240" w:lineRule="auto"/>
      <w:jc w:val="left"/>
    </w:pPr>
    <w:rPr>
      <w:rFonts w:eastAsiaTheme="majorEastAsia"/>
      <w:b/>
      <w:smallCaps/>
      <w:noProof/>
      <w:sz w:val="32"/>
    </w:rPr>
  </w:style>
  <w:style w:type="character" w:customStyle="1" w:styleId="TitleChar">
    <w:name w:val="Title Char"/>
    <w:basedOn w:val="DefaultParagraphFont"/>
    <w:link w:val="Title"/>
    <w:rsid w:val="00051DAD"/>
    <w:rPr>
      <w:rFonts w:eastAsiaTheme="majorEastAsia"/>
      <w:b/>
      <w:smallCaps/>
      <w:noProof/>
      <w:sz w:val="32"/>
    </w:rPr>
  </w:style>
  <w:style w:type="character" w:styleId="Hyperlink">
    <w:name w:val="Hyperlink"/>
    <w:basedOn w:val="DefaultParagraphFont"/>
    <w:uiPriority w:val="99"/>
    <w:unhideWhenUsed/>
    <w:rsid w:val="00D75D57"/>
    <w:rPr>
      <w:color w:val="0000FF" w:themeColor="hyperlink"/>
      <w:u w:val="single"/>
    </w:rPr>
  </w:style>
  <w:style w:type="paragraph" w:styleId="BodyText3">
    <w:name w:val="Body Text 3"/>
    <w:basedOn w:val="Normal"/>
    <w:link w:val="BodyText3Char"/>
    <w:uiPriority w:val="99"/>
    <w:semiHidden/>
    <w:unhideWhenUsed/>
    <w:rsid w:val="00615F60"/>
    <w:pPr>
      <w:spacing w:after="120"/>
    </w:pPr>
    <w:rPr>
      <w:sz w:val="16"/>
      <w:szCs w:val="16"/>
    </w:rPr>
  </w:style>
  <w:style w:type="character" w:customStyle="1" w:styleId="BodyText3Char">
    <w:name w:val="Body Text 3 Char"/>
    <w:basedOn w:val="DefaultParagraphFont"/>
    <w:link w:val="BodyText3"/>
    <w:uiPriority w:val="99"/>
    <w:semiHidden/>
    <w:rsid w:val="00615F60"/>
    <w:rPr>
      <w:sz w:val="16"/>
      <w:szCs w:val="16"/>
    </w:rPr>
  </w:style>
  <w:style w:type="paragraph" w:styleId="Revision">
    <w:name w:val="Revision"/>
    <w:hidden/>
    <w:uiPriority w:val="99"/>
    <w:semiHidden/>
    <w:rsid w:val="007B617A"/>
    <w:pPr>
      <w:jc w:val="left"/>
    </w:pPr>
  </w:style>
  <w:style w:type="paragraph" w:styleId="TOC1">
    <w:name w:val="toc 1"/>
    <w:basedOn w:val="Normal"/>
    <w:next w:val="Normal"/>
    <w:autoRedefine/>
    <w:uiPriority w:val="39"/>
    <w:unhideWhenUsed/>
    <w:rsid w:val="00051DAD"/>
    <w:pPr>
      <w:tabs>
        <w:tab w:val="left" w:pos="440"/>
        <w:tab w:val="right" w:leader="dot" w:pos="9350"/>
      </w:tabs>
      <w:spacing w:after="100" w:line="240" w:lineRule="auto"/>
      <w:jc w:val="center"/>
    </w:pPr>
    <w:rPr>
      <w:rFonts w:eastAsia="Calibri"/>
      <w:b/>
      <w:smallCaps/>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87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oter" Target="footer18.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header" Target="header19.xml"/><Relationship Id="rId48" Type="http://schemas.openxmlformats.org/officeDocument/2006/relationships/header" Target="header21.xml"/><Relationship Id="rId8" Type="http://schemas.openxmlformats.org/officeDocument/2006/relationships/header" Target="header1.xml"/><Relationship Id="rId51" Type="http://schemas.openxmlformats.org/officeDocument/2006/relationships/footer" Target="foot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C15F7-3EE7-4017-9ACE-62BB919F3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3268</Words>
  <Characters>19386</Characters>
  <Application>Microsoft Office Word</Application>
  <DocSecurity>0</DocSecurity>
  <PresentationFormat>15|.DOCX</PresentationFormat>
  <Lines>510</Lines>
  <Paragraphs>302</Paragraphs>
  <ScaleCrop>false</ScaleCrop>
  <HeadingPairs>
    <vt:vector size="2" baseType="variant">
      <vt:variant>
        <vt:lpstr>Title</vt:lpstr>
      </vt:variant>
      <vt:variant>
        <vt:i4>1</vt:i4>
      </vt:variant>
    </vt:vector>
  </HeadingPairs>
  <TitlesOfParts>
    <vt:vector size="1" baseType="lpstr">
      <vt:lpstr>IEU-Ohio Motion to Modify SSR (12-426) (C49944-2).DOCX</vt:lpstr>
    </vt:vector>
  </TitlesOfParts>
  <Company/>
  <LinksUpToDate>false</LinksUpToDate>
  <CharactersWithSpaces>22352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IEU-Ohio Motion to Modify SSR (12-426) (C49944-2).DOCX</dc:title>
  <dc:subject>C49944:2 /font=8</dc:subject>
  <dc:creator>Debbie Ryan</dc:creator>
  <cp:keywords/>
  <dc:description/>
  <cp:lastModifiedBy>Debbie Ryan</cp:lastModifiedBy>
  <cp:revision>3</cp:revision>
  <cp:lastPrinted>2016-05-17T18:54:00Z</cp:lastPrinted>
  <dcterms:created xsi:type="dcterms:W3CDTF">2016-05-17T18:53:00Z</dcterms:created>
  <dcterms:modified xsi:type="dcterms:W3CDTF">2016-05-17T18:54:00Z</dcterms:modified>
</cp:coreProperties>
</file>