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46981" w:rsidRPr="00260A3F" w:rsidP="00746981" w14:paraId="1DA20D2C" w14:textId="77777777">
      <w:pPr>
        <w:spacing w:after="0" w:line="240" w:lineRule="auto"/>
        <w:jc w:val="center"/>
        <w:rPr>
          <w:rFonts w:cs="Times New Roman"/>
          <w:b/>
          <w:szCs w:val="24"/>
        </w:rPr>
      </w:pPr>
      <w:r w:rsidRPr="00260A3F">
        <w:rPr>
          <w:rFonts w:cs="Times New Roman"/>
          <w:b/>
          <w:szCs w:val="24"/>
        </w:rPr>
        <w:t>BEFORE</w:t>
      </w:r>
    </w:p>
    <w:p w:rsidR="00746981" w:rsidRPr="00260A3F" w:rsidP="00746981" w14:paraId="6CE00701" w14:textId="77777777">
      <w:pPr>
        <w:spacing w:after="0" w:line="240" w:lineRule="auto"/>
        <w:jc w:val="center"/>
        <w:rPr>
          <w:rFonts w:cs="Times New Roman"/>
          <w:b/>
          <w:szCs w:val="24"/>
        </w:rPr>
      </w:pPr>
      <w:r w:rsidRPr="00260A3F">
        <w:rPr>
          <w:rFonts w:cs="Times New Roman"/>
          <w:b/>
          <w:szCs w:val="24"/>
        </w:rPr>
        <w:t>THE PUBLIC UTILITIES COMMISSION OF OHIO</w:t>
      </w:r>
    </w:p>
    <w:p w:rsidR="00746981" w:rsidRPr="00260A3F" w:rsidP="00746981" w14:paraId="6979B024" w14:textId="77777777">
      <w:pPr>
        <w:spacing w:after="0" w:line="240" w:lineRule="auto"/>
        <w:jc w:val="center"/>
        <w:rPr>
          <w:rFonts w:cs="Times New Roman"/>
          <w:b/>
          <w:szCs w:val="24"/>
        </w:rPr>
      </w:pPr>
    </w:p>
    <w:tbl>
      <w:tblPr>
        <w:tblW w:w="10358" w:type="dxa"/>
        <w:tblLook w:val="01E0"/>
      </w:tblPr>
      <w:tblGrid>
        <w:gridCol w:w="5238"/>
        <w:gridCol w:w="480"/>
        <w:gridCol w:w="4640"/>
      </w:tblGrid>
      <w:tr w14:paraId="52C634C5" w14:textId="77777777" w:rsidTr="00264A2B">
        <w:tblPrEx>
          <w:tblW w:w="10358" w:type="dxa"/>
          <w:tblLook w:val="01E0"/>
        </w:tblPrEx>
        <w:trPr>
          <w:trHeight w:val="807"/>
        </w:trPr>
        <w:tc>
          <w:tcPr>
            <w:tcW w:w="5238" w:type="dxa"/>
            <w:shd w:val="clear" w:color="auto" w:fill="auto"/>
          </w:tcPr>
          <w:p w:rsidR="00746981" w:rsidRPr="00260A3F" w:rsidP="00264A2B" w14:paraId="7C673BCD" w14:textId="77777777">
            <w:pPr>
              <w:widowControl w:val="0"/>
              <w:tabs>
                <w:tab w:val="left" w:pos="5670"/>
                <w:tab w:val="right" w:pos="9936"/>
              </w:tabs>
              <w:rPr>
                <w:rStyle w:val="StyleCourier12pt"/>
                <w:rFonts w:ascii="Times New Roman" w:hAnsi="Times New Roman" w:cs="Times New Roman"/>
                <w:szCs w:val="24"/>
              </w:rPr>
            </w:pPr>
            <w:r w:rsidRPr="00260A3F">
              <w:rPr>
                <w:rStyle w:val="StyleCourier12pt"/>
                <w:rFonts w:ascii="Times New Roman" w:hAnsi="Times New Roman" w:cs="Times New Roman"/>
                <w:szCs w:val="24"/>
              </w:rPr>
              <w:t xml:space="preserve">In the Matter of the Application of Ohio Power Company for an Increase in Electric Distribution Rates. </w:t>
            </w:r>
          </w:p>
          <w:p w:rsidR="00746981" w:rsidRPr="00260A3F" w:rsidP="00264A2B" w14:paraId="1F6E28CD" w14:textId="77777777">
            <w:pPr>
              <w:widowControl w:val="0"/>
              <w:tabs>
                <w:tab w:val="left" w:pos="5670"/>
                <w:tab w:val="right" w:pos="9936"/>
              </w:tabs>
              <w:rPr>
                <w:rStyle w:val="StyleCourier12pt"/>
                <w:rFonts w:ascii="Times New Roman" w:hAnsi="Times New Roman" w:cs="Times New Roman"/>
                <w:szCs w:val="24"/>
              </w:rPr>
            </w:pPr>
            <w:r w:rsidRPr="00260A3F">
              <w:rPr>
                <w:rStyle w:val="StyleCourier12pt"/>
                <w:rFonts w:ascii="Times New Roman" w:hAnsi="Times New Roman" w:cs="Times New Roman"/>
                <w:szCs w:val="24"/>
              </w:rPr>
              <w:t>In the Matter of the Application of Ohio Power Company for Tariff Approval.</w:t>
            </w:r>
          </w:p>
          <w:p w:rsidR="00746981" w:rsidRPr="00260A3F" w:rsidP="00264A2B" w14:paraId="602007BA" w14:textId="77777777">
            <w:pPr>
              <w:autoSpaceDE w:val="0"/>
              <w:autoSpaceDN w:val="0"/>
              <w:adjustRightInd w:val="0"/>
              <w:spacing w:after="0" w:line="240" w:lineRule="auto"/>
              <w:rPr>
                <w:rFonts w:cs="Times New Roman"/>
                <w:szCs w:val="24"/>
              </w:rPr>
            </w:pPr>
            <w:r w:rsidRPr="00260A3F">
              <w:rPr>
                <w:rStyle w:val="StyleCourier12pt"/>
                <w:rFonts w:ascii="Times New Roman" w:hAnsi="Times New Roman" w:cs="Times New Roman"/>
                <w:szCs w:val="24"/>
              </w:rPr>
              <w:t>In the Matter of the Application of Ohio Power Company for Approval to Change Accounting Methods.</w:t>
            </w:r>
          </w:p>
        </w:tc>
        <w:tc>
          <w:tcPr>
            <w:tcW w:w="480" w:type="dxa"/>
            <w:shd w:val="clear" w:color="auto" w:fill="auto"/>
          </w:tcPr>
          <w:p w:rsidR="00746981" w:rsidRPr="00260A3F" w:rsidP="00264A2B" w14:paraId="47D560CF" w14:textId="77777777">
            <w:pPr>
              <w:pStyle w:val="HTMLPreformatted"/>
              <w:rPr>
                <w:rFonts w:ascii="Times New Roman" w:hAnsi="Times New Roman" w:cs="Times New Roman"/>
                <w:sz w:val="24"/>
                <w:szCs w:val="24"/>
              </w:rPr>
            </w:pPr>
            <w:r w:rsidRPr="00260A3F">
              <w:rPr>
                <w:rFonts w:ascii="Times New Roman" w:hAnsi="Times New Roman" w:cs="Times New Roman"/>
                <w:sz w:val="24"/>
                <w:szCs w:val="24"/>
              </w:rPr>
              <w:t>)</w:t>
            </w:r>
          </w:p>
          <w:p w:rsidR="00746981" w:rsidRPr="00260A3F" w:rsidP="00264A2B" w14:paraId="5FEFB0CD" w14:textId="77777777">
            <w:pPr>
              <w:pStyle w:val="HTMLPreformatted"/>
              <w:rPr>
                <w:rFonts w:ascii="Times New Roman" w:hAnsi="Times New Roman" w:cs="Times New Roman"/>
                <w:sz w:val="24"/>
                <w:szCs w:val="24"/>
              </w:rPr>
            </w:pPr>
            <w:r w:rsidRPr="00260A3F">
              <w:rPr>
                <w:rFonts w:ascii="Times New Roman" w:hAnsi="Times New Roman" w:cs="Times New Roman"/>
                <w:sz w:val="24"/>
                <w:szCs w:val="24"/>
              </w:rPr>
              <w:t>)</w:t>
            </w:r>
          </w:p>
          <w:p w:rsidR="00746981" w:rsidRPr="00260A3F" w:rsidP="00264A2B" w14:paraId="095E8CE1" w14:textId="77777777">
            <w:pPr>
              <w:pStyle w:val="HTMLPreformatted"/>
              <w:rPr>
                <w:rFonts w:ascii="Times New Roman" w:hAnsi="Times New Roman" w:cs="Times New Roman"/>
                <w:sz w:val="24"/>
                <w:szCs w:val="24"/>
              </w:rPr>
            </w:pPr>
            <w:r w:rsidRPr="00260A3F">
              <w:rPr>
                <w:rFonts w:ascii="Times New Roman" w:hAnsi="Times New Roman" w:cs="Times New Roman"/>
                <w:sz w:val="24"/>
                <w:szCs w:val="24"/>
              </w:rPr>
              <w:t>)</w:t>
            </w:r>
          </w:p>
          <w:p w:rsidR="00746981" w:rsidRPr="00260A3F" w:rsidP="00264A2B" w14:paraId="0B4F5681" w14:textId="77777777">
            <w:pPr>
              <w:pStyle w:val="HTMLPreformatted"/>
              <w:rPr>
                <w:rFonts w:ascii="Times New Roman" w:hAnsi="Times New Roman" w:cs="Times New Roman"/>
                <w:sz w:val="24"/>
                <w:szCs w:val="24"/>
              </w:rPr>
            </w:pPr>
          </w:p>
          <w:p w:rsidR="00746981" w:rsidRPr="00260A3F" w:rsidP="00264A2B" w14:paraId="7DB64044" w14:textId="77777777">
            <w:pPr>
              <w:pStyle w:val="HTMLPreformatted"/>
              <w:rPr>
                <w:rFonts w:ascii="Times New Roman" w:hAnsi="Times New Roman" w:cs="Times New Roman"/>
                <w:sz w:val="24"/>
                <w:szCs w:val="24"/>
              </w:rPr>
            </w:pPr>
            <w:r w:rsidRPr="00260A3F">
              <w:rPr>
                <w:rFonts w:ascii="Times New Roman" w:hAnsi="Times New Roman" w:cs="Times New Roman"/>
                <w:sz w:val="24"/>
                <w:szCs w:val="24"/>
              </w:rPr>
              <w:t>)</w:t>
            </w:r>
          </w:p>
          <w:p w:rsidR="00746981" w:rsidRPr="00260A3F" w:rsidP="00264A2B" w14:paraId="53CC73C0" w14:textId="77777777">
            <w:pPr>
              <w:pStyle w:val="HTMLPreformatted"/>
              <w:rPr>
                <w:rFonts w:ascii="Times New Roman" w:hAnsi="Times New Roman" w:cs="Times New Roman"/>
                <w:sz w:val="24"/>
                <w:szCs w:val="24"/>
              </w:rPr>
            </w:pPr>
            <w:r w:rsidRPr="00260A3F">
              <w:rPr>
                <w:rFonts w:ascii="Times New Roman" w:hAnsi="Times New Roman" w:cs="Times New Roman"/>
                <w:sz w:val="24"/>
                <w:szCs w:val="24"/>
              </w:rPr>
              <w:t>)</w:t>
            </w:r>
          </w:p>
          <w:p w:rsidR="00746981" w:rsidRPr="00260A3F" w:rsidP="00264A2B" w14:paraId="6581811D" w14:textId="77777777">
            <w:pPr>
              <w:pStyle w:val="HTMLPreformatted"/>
              <w:rPr>
                <w:rFonts w:ascii="Times New Roman" w:hAnsi="Times New Roman" w:cs="Times New Roman"/>
                <w:sz w:val="24"/>
                <w:szCs w:val="24"/>
              </w:rPr>
            </w:pPr>
          </w:p>
          <w:p w:rsidR="00746981" w:rsidRPr="00260A3F" w:rsidP="00264A2B" w14:paraId="344312BF" w14:textId="77777777">
            <w:pPr>
              <w:pStyle w:val="HTMLPreformatted"/>
              <w:rPr>
                <w:rFonts w:ascii="Times New Roman" w:hAnsi="Times New Roman" w:cs="Times New Roman"/>
                <w:sz w:val="24"/>
                <w:szCs w:val="24"/>
              </w:rPr>
            </w:pPr>
            <w:r w:rsidRPr="00260A3F">
              <w:rPr>
                <w:rFonts w:ascii="Times New Roman" w:hAnsi="Times New Roman" w:cs="Times New Roman"/>
                <w:sz w:val="24"/>
                <w:szCs w:val="24"/>
              </w:rPr>
              <w:t>)</w:t>
            </w:r>
          </w:p>
          <w:p w:rsidR="00746981" w:rsidRPr="00260A3F" w:rsidP="00264A2B" w14:paraId="0C3301BB" w14:textId="77777777">
            <w:pPr>
              <w:pStyle w:val="HTMLPreformatted"/>
              <w:rPr>
                <w:rFonts w:ascii="Times New Roman" w:hAnsi="Times New Roman" w:cs="Times New Roman"/>
                <w:sz w:val="24"/>
                <w:szCs w:val="24"/>
              </w:rPr>
            </w:pPr>
            <w:r w:rsidRPr="00260A3F">
              <w:rPr>
                <w:rFonts w:ascii="Times New Roman" w:hAnsi="Times New Roman" w:cs="Times New Roman"/>
                <w:sz w:val="24"/>
                <w:szCs w:val="24"/>
              </w:rPr>
              <w:t>)</w:t>
            </w:r>
          </w:p>
          <w:p w:rsidR="00746981" w:rsidRPr="00260A3F" w:rsidP="00264A2B" w14:paraId="1BD61C55" w14:textId="77777777">
            <w:pPr>
              <w:pStyle w:val="HTMLPreformatted"/>
              <w:rPr>
                <w:rFonts w:ascii="Times New Roman" w:hAnsi="Times New Roman" w:cs="Times New Roman"/>
                <w:sz w:val="24"/>
                <w:szCs w:val="24"/>
              </w:rPr>
            </w:pPr>
            <w:r w:rsidRPr="00260A3F">
              <w:rPr>
                <w:rFonts w:ascii="Times New Roman" w:hAnsi="Times New Roman" w:cs="Times New Roman"/>
                <w:sz w:val="24"/>
                <w:szCs w:val="24"/>
              </w:rPr>
              <w:t>)</w:t>
            </w:r>
          </w:p>
        </w:tc>
        <w:tc>
          <w:tcPr>
            <w:tcW w:w="4640" w:type="dxa"/>
            <w:shd w:val="clear" w:color="auto" w:fill="auto"/>
          </w:tcPr>
          <w:p w:rsidR="00746981" w:rsidRPr="00260A3F" w:rsidP="00264A2B" w14:paraId="0009A19B" w14:textId="77777777">
            <w:pPr>
              <w:autoSpaceDE w:val="0"/>
              <w:autoSpaceDN w:val="0"/>
              <w:adjustRightInd w:val="0"/>
              <w:spacing w:after="0" w:line="240" w:lineRule="auto"/>
              <w:rPr>
                <w:rFonts w:cs="Times New Roman"/>
                <w:szCs w:val="24"/>
              </w:rPr>
            </w:pPr>
          </w:p>
          <w:p w:rsidR="00746981" w:rsidRPr="00260A3F" w:rsidP="00264A2B" w14:paraId="0C8957AE" w14:textId="77777777">
            <w:pPr>
              <w:autoSpaceDE w:val="0"/>
              <w:autoSpaceDN w:val="0"/>
              <w:adjustRightInd w:val="0"/>
              <w:spacing w:after="0" w:line="240" w:lineRule="auto"/>
              <w:rPr>
                <w:rFonts w:cs="Times New Roman"/>
                <w:szCs w:val="24"/>
              </w:rPr>
            </w:pPr>
            <w:r w:rsidRPr="00260A3F">
              <w:rPr>
                <w:rFonts w:cs="Times New Roman"/>
                <w:szCs w:val="24"/>
              </w:rPr>
              <w:t>Case No. 20-585-EL-AIR</w:t>
            </w:r>
          </w:p>
          <w:p w:rsidR="00746981" w:rsidRPr="00260A3F" w:rsidP="00264A2B" w14:paraId="0BF573AD" w14:textId="77777777">
            <w:pPr>
              <w:autoSpaceDE w:val="0"/>
              <w:autoSpaceDN w:val="0"/>
              <w:adjustRightInd w:val="0"/>
              <w:spacing w:after="0" w:line="240" w:lineRule="auto"/>
              <w:rPr>
                <w:rFonts w:cs="Times New Roman"/>
                <w:szCs w:val="24"/>
              </w:rPr>
            </w:pPr>
          </w:p>
          <w:p w:rsidR="00746981" w:rsidRPr="00260A3F" w:rsidP="00264A2B" w14:paraId="62635D3A" w14:textId="77777777">
            <w:pPr>
              <w:autoSpaceDE w:val="0"/>
              <w:autoSpaceDN w:val="0"/>
              <w:adjustRightInd w:val="0"/>
              <w:spacing w:after="0" w:line="240" w:lineRule="auto"/>
              <w:rPr>
                <w:rFonts w:cs="Times New Roman"/>
                <w:szCs w:val="24"/>
              </w:rPr>
            </w:pPr>
          </w:p>
          <w:p w:rsidR="00746981" w:rsidRPr="00260A3F" w:rsidP="00264A2B" w14:paraId="18FC5641" w14:textId="77777777">
            <w:pPr>
              <w:autoSpaceDE w:val="0"/>
              <w:autoSpaceDN w:val="0"/>
              <w:adjustRightInd w:val="0"/>
              <w:spacing w:after="0" w:line="240" w:lineRule="auto"/>
              <w:rPr>
                <w:rFonts w:cs="Times New Roman"/>
                <w:szCs w:val="24"/>
              </w:rPr>
            </w:pPr>
          </w:p>
          <w:p w:rsidR="00746981" w:rsidRPr="00260A3F" w:rsidP="00264A2B" w14:paraId="2385B742" w14:textId="77777777">
            <w:pPr>
              <w:autoSpaceDE w:val="0"/>
              <w:autoSpaceDN w:val="0"/>
              <w:adjustRightInd w:val="0"/>
              <w:spacing w:after="0" w:line="240" w:lineRule="auto"/>
              <w:rPr>
                <w:rFonts w:cs="Times New Roman"/>
                <w:szCs w:val="24"/>
              </w:rPr>
            </w:pPr>
            <w:r w:rsidRPr="00260A3F">
              <w:rPr>
                <w:rFonts w:cs="Times New Roman"/>
                <w:szCs w:val="24"/>
              </w:rPr>
              <w:t>Case No. 20-586-EL-ATA</w:t>
            </w:r>
          </w:p>
          <w:p w:rsidR="00746981" w:rsidRPr="00260A3F" w:rsidP="00264A2B" w14:paraId="5BD428EE" w14:textId="77777777">
            <w:pPr>
              <w:spacing w:after="0" w:line="240" w:lineRule="auto"/>
              <w:rPr>
                <w:rFonts w:cs="Times New Roman"/>
                <w:szCs w:val="24"/>
              </w:rPr>
            </w:pPr>
          </w:p>
          <w:p w:rsidR="00746981" w:rsidRPr="00260A3F" w:rsidP="00264A2B" w14:paraId="75331703" w14:textId="77777777">
            <w:pPr>
              <w:spacing w:after="0" w:line="240" w:lineRule="auto"/>
              <w:rPr>
                <w:rFonts w:cs="Times New Roman"/>
                <w:szCs w:val="24"/>
              </w:rPr>
            </w:pPr>
          </w:p>
          <w:p w:rsidR="00746981" w:rsidRPr="00260A3F" w:rsidP="00264A2B" w14:paraId="4406C527" w14:textId="77777777">
            <w:pPr>
              <w:spacing w:after="0" w:line="240" w:lineRule="auto"/>
              <w:rPr>
                <w:rFonts w:cs="Times New Roman"/>
                <w:szCs w:val="24"/>
              </w:rPr>
            </w:pPr>
            <w:r w:rsidRPr="00260A3F">
              <w:rPr>
                <w:rFonts w:cs="Times New Roman"/>
                <w:szCs w:val="24"/>
              </w:rPr>
              <w:t>Case No. 20-587-EL-AAM</w:t>
            </w:r>
          </w:p>
        </w:tc>
      </w:tr>
    </w:tbl>
    <w:p w:rsidR="00746981" w:rsidRPr="00260A3F" w:rsidP="00746981" w14:paraId="18E34DF9" w14:textId="77777777">
      <w:pPr>
        <w:keepNext/>
        <w:pBdr>
          <w:bottom w:val="single" w:sz="12" w:space="1" w:color="auto"/>
        </w:pBdr>
        <w:spacing w:after="0"/>
        <w:ind w:left="720" w:hanging="720"/>
        <w:outlineLvl w:val="0"/>
        <w:rPr>
          <w:rFonts w:cs="Times New Roman"/>
          <w:b/>
          <w:caps/>
          <w:szCs w:val="24"/>
        </w:rPr>
      </w:pPr>
    </w:p>
    <w:p w:rsidR="00746981" w:rsidRPr="00260A3F" w:rsidP="00746981" w14:paraId="63330C37" w14:textId="77777777">
      <w:pPr>
        <w:pStyle w:val="HTMLPreformatted"/>
        <w:rPr>
          <w:rFonts w:ascii="Times New Roman" w:hAnsi="Times New Roman" w:cs="Times New Roman"/>
          <w:b/>
          <w:bCs/>
          <w:i/>
          <w:sz w:val="24"/>
          <w:szCs w:val="24"/>
        </w:rPr>
      </w:pPr>
    </w:p>
    <w:p w:rsidR="00746981" w:rsidRPr="00260A3F" w:rsidP="00746981" w14:paraId="3868941D" w14:textId="77777777">
      <w:pPr>
        <w:pStyle w:val="HTMLPreformatted"/>
        <w:pBdr>
          <w:bottom w:val="single" w:sz="12" w:space="1" w:color="auto"/>
        </w:pBdr>
        <w:jc w:val="center"/>
        <w:rPr>
          <w:rFonts w:ascii="Times New Roman" w:hAnsi="Times New Roman" w:cs="Times New Roman"/>
          <w:b/>
          <w:bCs/>
          <w:sz w:val="24"/>
          <w:szCs w:val="24"/>
        </w:rPr>
      </w:pPr>
      <w:r w:rsidRPr="00260A3F">
        <w:rPr>
          <w:rFonts w:ascii="Times New Roman" w:hAnsi="Times New Roman" w:cs="Times New Roman"/>
          <w:b/>
          <w:bCs/>
          <w:sz w:val="24"/>
          <w:szCs w:val="24"/>
        </w:rPr>
        <w:t>INITIAL BRIEF</w:t>
      </w:r>
    </w:p>
    <w:p w:rsidR="00746981" w:rsidRPr="00260A3F" w:rsidP="00746981" w14:paraId="1F06F939" w14:textId="77777777">
      <w:pPr>
        <w:pStyle w:val="HTMLPreformatted"/>
        <w:pBdr>
          <w:bottom w:val="single" w:sz="12" w:space="1" w:color="auto"/>
        </w:pBdr>
        <w:jc w:val="center"/>
        <w:rPr>
          <w:rFonts w:ascii="Times New Roman" w:hAnsi="Times New Roman" w:cs="Times New Roman"/>
          <w:b/>
          <w:bCs/>
          <w:sz w:val="24"/>
          <w:szCs w:val="24"/>
        </w:rPr>
      </w:pPr>
      <w:r w:rsidRPr="00260A3F">
        <w:rPr>
          <w:rFonts w:ascii="Times New Roman" w:hAnsi="Times New Roman" w:cs="Times New Roman"/>
          <w:b/>
          <w:bCs/>
          <w:sz w:val="24"/>
          <w:szCs w:val="24"/>
        </w:rPr>
        <w:t>BY</w:t>
      </w:r>
    </w:p>
    <w:p w:rsidR="00746981" w:rsidRPr="00260A3F" w:rsidP="00746981" w14:paraId="6993CDA1" w14:textId="3A040B18">
      <w:pPr>
        <w:pStyle w:val="HTMLPreformatted"/>
        <w:pBdr>
          <w:bottom w:val="single" w:sz="12" w:space="1" w:color="auto"/>
        </w:pBdr>
        <w:jc w:val="center"/>
        <w:rPr>
          <w:rFonts w:ascii="Times New Roman" w:hAnsi="Times New Roman" w:cs="Times New Roman"/>
          <w:b/>
          <w:bCs/>
          <w:sz w:val="24"/>
          <w:szCs w:val="24"/>
        </w:rPr>
      </w:pPr>
      <w:r w:rsidRPr="00260A3F">
        <w:rPr>
          <w:rFonts w:ascii="Times New Roman" w:hAnsi="Times New Roman" w:cs="Times New Roman"/>
          <w:b/>
          <w:bCs/>
          <w:sz w:val="24"/>
          <w:szCs w:val="24"/>
        </w:rPr>
        <w:t>OFFICE OF THE OHIO CONSUMERS' COUNSEL</w:t>
      </w:r>
    </w:p>
    <w:p w:rsidR="00746981" w:rsidRPr="00260A3F" w:rsidP="00746981" w14:paraId="482A7A66" w14:textId="77777777">
      <w:pPr>
        <w:pStyle w:val="HTMLPreformatted"/>
        <w:pBdr>
          <w:bottom w:val="single" w:sz="12" w:space="1" w:color="auto"/>
        </w:pBdr>
        <w:jc w:val="center"/>
        <w:rPr>
          <w:rFonts w:ascii="Times New Roman" w:hAnsi="Times New Roman" w:cs="Times New Roman"/>
          <w:b/>
          <w:bCs/>
          <w:sz w:val="24"/>
          <w:szCs w:val="24"/>
        </w:rPr>
      </w:pPr>
    </w:p>
    <w:p w:rsidR="00746981" w:rsidRPr="00260A3F" w:rsidP="000C76D8" w14:paraId="703EF32D" w14:textId="77777777">
      <w:pPr>
        <w:spacing w:after="0" w:line="240" w:lineRule="auto"/>
        <w:jc w:val="center"/>
        <w:rPr>
          <w:rFonts w:cs="Times New Roman"/>
          <w:b/>
          <w:szCs w:val="24"/>
        </w:rPr>
      </w:pPr>
    </w:p>
    <w:p w:rsidR="00746981" w:rsidRPr="00260A3F" w:rsidP="000C76D8" w14:paraId="77D0F41A" w14:textId="77777777">
      <w:pPr>
        <w:spacing w:after="0" w:line="240" w:lineRule="auto"/>
        <w:jc w:val="center"/>
        <w:rPr>
          <w:rFonts w:cs="Times New Roman"/>
          <w:b/>
          <w:szCs w:val="24"/>
        </w:rPr>
      </w:pPr>
    </w:p>
    <w:p w:rsidR="00746981" w:rsidRPr="00260A3F" w:rsidP="000C76D8" w14:paraId="52331CD0" w14:textId="77777777">
      <w:pPr>
        <w:spacing w:after="0" w:line="240" w:lineRule="auto"/>
        <w:jc w:val="center"/>
        <w:rPr>
          <w:rFonts w:cs="Times New Roman"/>
          <w:b/>
          <w:szCs w:val="24"/>
        </w:rPr>
      </w:pPr>
    </w:p>
    <w:p w:rsidR="00746981" w:rsidRPr="00260A3F" w:rsidP="000C76D8" w14:paraId="2FBB8A87" w14:textId="77777777">
      <w:pPr>
        <w:spacing w:after="0" w:line="240" w:lineRule="auto"/>
        <w:jc w:val="center"/>
        <w:rPr>
          <w:rFonts w:cs="Times New Roman"/>
          <w:b/>
          <w:szCs w:val="24"/>
        </w:rPr>
      </w:pPr>
    </w:p>
    <w:p w:rsidR="00746981" w:rsidRPr="00260A3F" w:rsidP="00746981" w14:paraId="48BE21AD" w14:textId="77777777">
      <w:pPr>
        <w:spacing w:after="0" w:line="240" w:lineRule="auto"/>
        <w:ind w:left="3600" w:firstLine="720"/>
        <w:rPr>
          <w:rFonts w:eastAsiaTheme="minorEastAsia" w:cs="Times New Roman"/>
          <w:szCs w:val="24"/>
        </w:rPr>
      </w:pPr>
      <w:r w:rsidRPr="00260A3F">
        <w:rPr>
          <w:rFonts w:eastAsiaTheme="minorEastAsia" w:cs="Times New Roman"/>
          <w:szCs w:val="24"/>
        </w:rPr>
        <w:t>Bruce Weston (0016973)</w:t>
      </w:r>
    </w:p>
    <w:p w:rsidR="00746981" w:rsidRPr="00260A3F" w:rsidP="00746981" w14:paraId="411ED25F" w14:textId="77777777">
      <w:pPr>
        <w:spacing w:after="0" w:line="240" w:lineRule="auto"/>
        <w:ind w:firstLine="4320"/>
        <w:rPr>
          <w:rFonts w:eastAsiaTheme="minorEastAsia" w:cs="Times New Roman"/>
          <w:szCs w:val="24"/>
        </w:rPr>
      </w:pPr>
      <w:r w:rsidRPr="00260A3F">
        <w:rPr>
          <w:rFonts w:eastAsiaTheme="minorEastAsia" w:cs="Times New Roman"/>
          <w:szCs w:val="24"/>
        </w:rPr>
        <w:t>Ohio Consumers' Counsel</w:t>
      </w:r>
    </w:p>
    <w:p w:rsidR="00746981" w:rsidRPr="00260A3F" w:rsidP="00746981" w14:paraId="56796F43" w14:textId="77777777">
      <w:pPr>
        <w:tabs>
          <w:tab w:val="left" w:pos="4933"/>
        </w:tabs>
        <w:spacing w:after="0" w:line="240" w:lineRule="auto"/>
        <w:rPr>
          <w:rFonts w:cs="Times New Roman"/>
          <w:szCs w:val="24"/>
        </w:rPr>
      </w:pPr>
    </w:p>
    <w:p w:rsidR="00746981" w:rsidRPr="00260A3F" w:rsidP="00746981" w14:paraId="3525F5C8" w14:textId="77777777">
      <w:pPr>
        <w:spacing w:after="0" w:line="240" w:lineRule="auto"/>
        <w:ind w:left="4320"/>
        <w:rPr>
          <w:rFonts w:cs="Times New Roman"/>
          <w:szCs w:val="24"/>
        </w:rPr>
      </w:pPr>
      <w:r w:rsidRPr="00260A3F">
        <w:rPr>
          <w:rFonts w:cs="Times New Roman"/>
          <w:szCs w:val="24"/>
        </w:rPr>
        <w:t>Angela D. O’Brien (0097579)</w:t>
      </w:r>
    </w:p>
    <w:p w:rsidR="00746981" w:rsidRPr="00260A3F" w:rsidP="00746981" w14:paraId="0C52C5B6" w14:textId="77777777">
      <w:pPr>
        <w:spacing w:after="0" w:line="240" w:lineRule="auto"/>
        <w:ind w:left="4320"/>
        <w:rPr>
          <w:rFonts w:cs="Times New Roman"/>
          <w:szCs w:val="24"/>
        </w:rPr>
      </w:pPr>
      <w:r w:rsidRPr="00260A3F">
        <w:rPr>
          <w:rFonts w:cs="Times New Roman"/>
          <w:szCs w:val="24"/>
        </w:rPr>
        <w:t>Counsel of Record</w:t>
      </w:r>
    </w:p>
    <w:p w:rsidR="00746981" w:rsidRPr="00260A3F" w:rsidP="00746981" w14:paraId="5E77989A" w14:textId="77777777">
      <w:pPr>
        <w:tabs>
          <w:tab w:val="left" w:pos="4320"/>
        </w:tabs>
        <w:spacing w:after="0" w:line="240" w:lineRule="auto"/>
        <w:ind w:firstLine="3600"/>
        <w:rPr>
          <w:rFonts w:cs="Times New Roman"/>
          <w:szCs w:val="24"/>
        </w:rPr>
      </w:pPr>
      <w:r w:rsidRPr="00260A3F">
        <w:rPr>
          <w:rFonts w:cs="Times New Roman"/>
          <w:szCs w:val="24"/>
        </w:rPr>
        <w:tab/>
        <w:t>Christopher Healey (0086027)</w:t>
      </w:r>
    </w:p>
    <w:p w:rsidR="00746981" w:rsidRPr="00260A3F" w:rsidP="00746981" w14:paraId="2D2642B5" w14:textId="77777777">
      <w:pPr>
        <w:tabs>
          <w:tab w:val="left" w:pos="4320"/>
        </w:tabs>
        <w:spacing w:after="0" w:line="240" w:lineRule="auto"/>
        <w:ind w:firstLine="3600"/>
        <w:rPr>
          <w:rFonts w:cs="Times New Roman"/>
          <w:szCs w:val="24"/>
        </w:rPr>
      </w:pPr>
      <w:r w:rsidRPr="00260A3F">
        <w:rPr>
          <w:rFonts w:cs="Times New Roman"/>
          <w:szCs w:val="24"/>
        </w:rPr>
        <w:tab/>
        <w:t>John Finnigan (00018689)</w:t>
      </w:r>
    </w:p>
    <w:p w:rsidR="00746981" w:rsidRPr="00260A3F" w:rsidP="00746981" w14:paraId="2FD9EFC6" w14:textId="77777777">
      <w:pPr>
        <w:spacing w:after="0" w:line="240" w:lineRule="auto"/>
        <w:ind w:left="4320"/>
        <w:rPr>
          <w:rFonts w:cs="Times New Roman"/>
          <w:szCs w:val="24"/>
        </w:rPr>
      </w:pPr>
      <w:r w:rsidRPr="00260A3F">
        <w:rPr>
          <w:rFonts w:cs="Times New Roman"/>
          <w:szCs w:val="24"/>
        </w:rPr>
        <w:t>Assistant Consumers’ Counsel</w:t>
      </w:r>
    </w:p>
    <w:p w:rsidR="00746981" w:rsidRPr="00260A3F" w:rsidP="00746981" w14:paraId="56D0467C" w14:textId="77777777">
      <w:pPr>
        <w:spacing w:after="0" w:line="240" w:lineRule="auto"/>
        <w:ind w:left="4320"/>
        <w:rPr>
          <w:rFonts w:cs="Times New Roman"/>
          <w:szCs w:val="24"/>
        </w:rPr>
      </w:pPr>
    </w:p>
    <w:p w:rsidR="00746981" w:rsidRPr="00260A3F" w:rsidP="00746981" w14:paraId="0F2CEECC" w14:textId="77777777">
      <w:pPr>
        <w:spacing w:after="0" w:line="240" w:lineRule="auto"/>
        <w:ind w:left="4320"/>
        <w:rPr>
          <w:rFonts w:cs="Times New Roman"/>
          <w:b/>
          <w:szCs w:val="24"/>
        </w:rPr>
      </w:pPr>
      <w:r w:rsidRPr="00260A3F">
        <w:rPr>
          <w:rFonts w:cs="Times New Roman"/>
          <w:b/>
          <w:szCs w:val="24"/>
        </w:rPr>
        <w:t>Office of the Ohio Consumers’ Counsel</w:t>
      </w:r>
    </w:p>
    <w:p w:rsidR="00746981" w:rsidRPr="00260A3F" w:rsidP="00746981" w14:paraId="49D1C33A" w14:textId="77777777">
      <w:pPr>
        <w:spacing w:after="0" w:line="240" w:lineRule="auto"/>
        <w:ind w:left="4320"/>
        <w:rPr>
          <w:rFonts w:cs="Times New Roman"/>
          <w:szCs w:val="24"/>
        </w:rPr>
      </w:pPr>
      <w:r w:rsidRPr="00260A3F">
        <w:rPr>
          <w:rFonts w:cs="Times New Roman"/>
          <w:szCs w:val="24"/>
        </w:rPr>
        <w:t>65 East State Street, 7th Floor</w:t>
      </w:r>
    </w:p>
    <w:p w:rsidR="00746981" w:rsidRPr="00260A3F" w:rsidP="00746981" w14:paraId="0F3B6DFA" w14:textId="77777777">
      <w:pPr>
        <w:spacing w:after="0" w:line="240" w:lineRule="auto"/>
        <w:ind w:left="4320"/>
        <w:rPr>
          <w:rFonts w:cs="Times New Roman"/>
          <w:szCs w:val="24"/>
        </w:rPr>
      </w:pPr>
      <w:r w:rsidRPr="00260A3F">
        <w:rPr>
          <w:rFonts w:cs="Times New Roman"/>
          <w:szCs w:val="24"/>
        </w:rPr>
        <w:t>Columbus, Ohio 43215-4213</w:t>
      </w:r>
    </w:p>
    <w:p w:rsidR="00746981" w:rsidRPr="00260A3F" w:rsidP="00746981" w14:paraId="75F6C47E" w14:textId="77777777">
      <w:pPr>
        <w:spacing w:after="0" w:line="240" w:lineRule="auto"/>
        <w:ind w:left="4320"/>
        <w:rPr>
          <w:rFonts w:cs="Times New Roman"/>
          <w:szCs w:val="24"/>
        </w:rPr>
      </w:pPr>
      <w:r w:rsidRPr="00260A3F">
        <w:rPr>
          <w:rFonts w:cs="Times New Roman"/>
          <w:szCs w:val="24"/>
        </w:rPr>
        <w:t>Telephone: [O’Brien] (614) 466-9531</w:t>
      </w:r>
    </w:p>
    <w:p w:rsidR="00746981" w:rsidRPr="00260A3F" w:rsidP="00746981" w14:paraId="16DD0A37" w14:textId="77777777">
      <w:pPr>
        <w:spacing w:after="0" w:line="240" w:lineRule="auto"/>
        <w:ind w:left="4320"/>
        <w:rPr>
          <w:rFonts w:cs="Times New Roman"/>
          <w:szCs w:val="24"/>
        </w:rPr>
      </w:pPr>
      <w:r w:rsidRPr="00260A3F">
        <w:rPr>
          <w:rFonts w:cs="Times New Roman"/>
          <w:szCs w:val="24"/>
        </w:rPr>
        <w:t>Telephone: [Healey] (614) 466-9571</w:t>
      </w:r>
    </w:p>
    <w:p w:rsidR="00746981" w:rsidRPr="00260A3F" w:rsidP="00746981" w14:paraId="38DD9DF2" w14:textId="77777777">
      <w:pPr>
        <w:spacing w:after="0" w:line="240" w:lineRule="auto"/>
        <w:ind w:left="4320"/>
        <w:rPr>
          <w:rFonts w:cs="Times New Roman"/>
          <w:szCs w:val="24"/>
        </w:rPr>
      </w:pPr>
      <w:r w:rsidRPr="00260A3F">
        <w:rPr>
          <w:rFonts w:cs="Times New Roman"/>
          <w:szCs w:val="24"/>
        </w:rPr>
        <w:t>Telephone: [Finnigan] (614) 466-9585</w:t>
      </w:r>
    </w:p>
    <w:p w:rsidR="00746981" w:rsidRPr="00260A3F" w:rsidP="00746981" w14:paraId="29012F12" w14:textId="77777777">
      <w:pPr>
        <w:spacing w:after="0" w:line="240" w:lineRule="auto"/>
        <w:ind w:left="4320"/>
        <w:rPr>
          <w:rFonts w:cs="Times New Roman"/>
          <w:szCs w:val="24"/>
        </w:rPr>
      </w:pPr>
      <w:hyperlink r:id="rId6" w:history="1">
        <w:r w:rsidRPr="00260A3F" w:rsidR="002A4989">
          <w:rPr>
            <w:rFonts w:cs="Times New Roman"/>
            <w:color w:val="0000FF"/>
            <w:szCs w:val="24"/>
            <w:u w:val="single"/>
          </w:rPr>
          <w:t>angela.obrien@occ.ohio.gov</w:t>
        </w:r>
      </w:hyperlink>
    </w:p>
    <w:p w:rsidR="00746981" w:rsidRPr="00260A3F" w:rsidP="00746981" w14:paraId="2D779D6E" w14:textId="77777777">
      <w:pPr>
        <w:spacing w:after="0" w:line="240" w:lineRule="auto"/>
        <w:ind w:left="4320"/>
        <w:rPr>
          <w:rFonts w:cs="Times New Roman"/>
          <w:color w:val="0000FF"/>
          <w:szCs w:val="24"/>
          <w:u w:val="single"/>
        </w:rPr>
      </w:pPr>
      <w:hyperlink r:id="rId7" w:history="1">
        <w:r w:rsidRPr="00260A3F" w:rsidR="002A4989">
          <w:rPr>
            <w:rFonts w:cs="Times New Roman"/>
            <w:color w:val="0000FF"/>
            <w:szCs w:val="24"/>
            <w:u w:val="single"/>
          </w:rPr>
          <w:t>christopher.healey@occ.ohio.gov</w:t>
        </w:r>
      </w:hyperlink>
    </w:p>
    <w:p w:rsidR="00746981" w:rsidRPr="00260A3F" w:rsidP="00746981" w14:paraId="60DF6145" w14:textId="77777777">
      <w:pPr>
        <w:spacing w:after="0" w:line="240" w:lineRule="auto"/>
        <w:ind w:left="4320"/>
        <w:rPr>
          <w:rFonts w:cs="Times New Roman"/>
          <w:szCs w:val="24"/>
        </w:rPr>
      </w:pPr>
      <w:r w:rsidRPr="00260A3F">
        <w:rPr>
          <w:rFonts w:cs="Times New Roman"/>
          <w:color w:val="0000FF"/>
          <w:szCs w:val="24"/>
          <w:u w:val="single"/>
        </w:rPr>
        <w:t>john.finnigan@occ.ohio.gov</w:t>
      </w:r>
    </w:p>
    <w:p w:rsidR="00746981" w:rsidRPr="00260A3F" w:rsidP="00746981" w14:paraId="74A38BE0" w14:textId="29626DB1">
      <w:pPr>
        <w:spacing w:after="0" w:line="240" w:lineRule="auto"/>
        <w:rPr>
          <w:rFonts w:cs="Times New Roman"/>
          <w:szCs w:val="24"/>
        </w:rPr>
      </w:pPr>
      <w:r w:rsidRPr="00260A3F">
        <w:rPr>
          <w:rFonts w:cs="Times New Roman"/>
          <w:szCs w:val="24"/>
        </w:rPr>
        <w:t>June 14, 2021</w:t>
      </w:r>
      <w:r w:rsidRPr="00260A3F">
        <w:rPr>
          <w:rFonts w:cs="Times New Roman"/>
          <w:szCs w:val="24"/>
        </w:rPr>
        <w:tab/>
      </w:r>
      <w:r w:rsidRPr="00260A3F">
        <w:rPr>
          <w:rFonts w:cs="Times New Roman"/>
          <w:szCs w:val="24"/>
        </w:rPr>
        <w:tab/>
      </w:r>
      <w:r w:rsidRPr="00260A3F">
        <w:rPr>
          <w:rFonts w:cs="Times New Roman"/>
          <w:szCs w:val="24"/>
        </w:rPr>
        <w:tab/>
      </w:r>
      <w:r w:rsidRPr="00260A3F">
        <w:rPr>
          <w:rFonts w:cs="Times New Roman"/>
          <w:szCs w:val="24"/>
        </w:rPr>
        <w:tab/>
      </w:r>
      <w:r w:rsidRPr="00260A3F">
        <w:rPr>
          <w:rFonts w:cs="Times New Roman"/>
          <w:szCs w:val="24"/>
        </w:rPr>
        <w:tab/>
        <w:t>(willing to accept service by e-mail)</w:t>
      </w:r>
    </w:p>
    <w:p w:rsidR="00746981" w:rsidRPr="00260A3F" w:rsidP="000C76D8" w14:paraId="49E84834" w14:textId="77777777">
      <w:pPr>
        <w:spacing w:after="0" w:line="240" w:lineRule="auto"/>
        <w:jc w:val="center"/>
        <w:rPr>
          <w:rFonts w:cs="Times New Roman"/>
          <w:bCs/>
          <w:szCs w:val="24"/>
        </w:rPr>
      </w:pPr>
    </w:p>
    <w:p w:rsidR="00746981" w:rsidRPr="00260A3F" w:rsidP="000C76D8" w14:paraId="3C5B4CB2" w14:textId="77777777">
      <w:pPr>
        <w:spacing w:after="0" w:line="240" w:lineRule="auto"/>
        <w:jc w:val="center"/>
        <w:rPr>
          <w:rFonts w:cs="Times New Roman"/>
          <w:bCs/>
          <w:szCs w:val="24"/>
        </w:rPr>
      </w:pPr>
    </w:p>
    <w:p w:rsidR="00746981" w:rsidRPr="00260A3F" w:rsidP="000C76D8" w14:paraId="542D8BEA" w14:textId="77777777">
      <w:pPr>
        <w:spacing w:after="0" w:line="240" w:lineRule="auto"/>
        <w:jc w:val="center"/>
        <w:rPr>
          <w:rFonts w:cs="Times New Roman"/>
          <w:bCs/>
          <w:szCs w:val="24"/>
        </w:rPr>
        <w:sectPr w:rsidSect="009B419A">
          <w:footerReference w:type="default" r:id="rId8"/>
          <w:pgSz w:w="12240" w:h="15840"/>
          <w:pgMar w:top="1440" w:right="1800" w:bottom="1440" w:left="1800" w:header="720" w:footer="720" w:gutter="0"/>
          <w:pgNumType w:start="2"/>
          <w:cols w:space="720"/>
          <w:docGrid w:linePitch="360"/>
        </w:sectPr>
      </w:pPr>
    </w:p>
    <w:p w:rsidR="00746981" w:rsidRPr="00260A3F" w:rsidP="00746981" w14:paraId="0B68C5D6" w14:textId="54B11CAB">
      <w:pPr>
        <w:spacing w:after="0" w:line="240" w:lineRule="auto"/>
        <w:jc w:val="center"/>
        <w:rPr>
          <w:rFonts w:cs="Times New Roman"/>
          <w:b/>
          <w:szCs w:val="24"/>
          <w:u w:val="single"/>
        </w:rPr>
      </w:pPr>
      <w:r w:rsidRPr="00260A3F">
        <w:rPr>
          <w:rFonts w:cs="Times New Roman"/>
          <w:b/>
          <w:szCs w:val="24"/>
          <w:u w:val="single"/>
        </w:rPr>
        <w:t>TABLE OF CONTENTS</w:t>
      </w:r>
    </w:p>
    <w:p w:rsidR="00746981" w:rsidRPr="00260A3F" w:rsidP="00746981" w14:paraId="29A5B399" w14:textId="289E6D8A">
      <w:pPr>
        <w:spacing w:after="0" w:line="240" w:lineRule="auto"/>
        <w:jc w:val="center"/>
        <w:rPr>
          <w:rFonts w:cs="Times New Roman"/>
          <w:b/>
          <w:szCs w:val="24"/>
        </w:rPr>
      </w:pPr>
      <w:r w:rsidRPr="00260A3F">
        <w:rPr>
          <w:rFonts w:cs="Times New Roman"/>
          <w:b/>
          <w:szCs w:val="24"/>
        </w:rPr>
        <w:tab/>
      </w:r>
      <w:r w:rsidRPr="00260A3F">
        <w:rPr>
          <w:rFonts w:cs="Times New Roman"/>
          <w:b/>
          <w:szCs w:val="24"/>
        </w:rPr>
        <w:tab/>
      </w:r>
      <w:r w:rsidRPr="00260A3F">
        <w:rPr>
          <w:rFonts w:cs="Times New Roman"/>
          <w:b/>
          <w:szCs w:val="24"/>
        </w:rPr>
        <w:tab/>
      </w:r>
      <w:r w:rsidRPr="00260A3F">
        <w:rPr>
          <w:rFonts w:cs="Times New Roman"/>
          <w:b/>
          <w:szCs w:val="24"/>
        </w:rPr>
        <w:tab/>
      </w:r>
      <w:r w:rsidRPr="00260A3F">
        <w:rPr>
          <w:rFonts w:cs="Times New Roman"/>
          <w:b/>
          <w:szCs w:val="24"/>
        </w:rPr>
        <w:tab/>
      </w:r>
      <w:r w:rsidRPr="00260A3F">
        <w:rPr>
          <w:rFonts w:cs="Times New Roman"/>
          <w:b/>
          <w:szCs w:val="24"/>
        </w:rPr>
        <w:tab/>
      </w:r>
      <w:r w:rsidRPr="00260A3F">
        <w:rPr>
          <w:rFonts w:cs="Times New Roman"/>
          <w:b/>
          <w:szCs w:val="24"/>
        </w:rPr>
        <w:tab/>
      </w:r>
      <w:r w:rsidRPr="00260A3F">
        <w:rPr>
          <w:rFonts w:cs="Times New Roman"/>
          <w:b/>
          <w:szCs w:val="24"/>
        </w:rPr>
        <w:tab/>
      </w:r>
      <w:r w:rsidRPr="00260A3F">
        <w:rPr>
          <w:rFonts w:cs="Times New Roman"/>
          <w:b/>
          <w:szCs w:val="24"/>
        </w:rPr>
        <w:tab/>
      </w:r>
      <w:r w:rsidRPr="00260A3F">
        <w:rPr>
          <w:rFonts w:cs="Times New Roman"/>
          <w:b/>
          <w:szCs w:val="24"/>
        </w:rPr>
        <w:tab/>
      </w:r>
      <w:r w:rsidRPr="00260A3F">
        <w:rPr>
          <w:rFonts w:cs="Times New Roman"/>
          <w:b/>
          <w:szCs w:val="24"/>
        </w:rPr>
        <w:tab/>
        <w:t>PAGE</w:t>
      </w:r>
    </w:p>
    <w:p w:rsidR="00746981" w:rsidRPr="00260A3F" w:rsidP="00746981" w14:paraId="60DD0CE4" w14:textId="1B4464CA">
      <w:pPr>
        <w:spacing w:after="0" w:line="240" w:lineRule="auto"/>
        <w:jc w:val="center"/>
        <w:rPr>
          <w:rFonts w:cs="Times New Roman"/>
          <w:b/>
          <w:szCs w:val="24"/>
        </w:rPr>
      </w:pPr>
    </w:p>
    <w:p w:rsidR="006D4A7F" w14:paraId="29561440" w14:textId="2388C048">
      <w:pPr>
        <w:pStyle w:val="TOC1"/>
        <w:rPr>
          <w:rFonts w:asciiTheme="minorHAnsi" w:eastAsiaTheme="minorEastAsia" w:hAnsiTheme="minorHAnsi"/>
          <w:caps w:val="0"/>
          <w:noProof/>
          <w:sz w:val="22"/>
        </w:rPr>
      </w:pPr>
      <w:r w:rsidRPr="00260A3F">
        <w:rPr>
          <w:rFonts w:cs="Times New Roman"/>
          <w:b/>
          <w:szCs w:val="24"/>
        </w:rPr>
        <w:fldChar w:fldCharType="begin"/>
      </w:r>
      <w:r w:rsidRPr="00260A3F">
        <w:rPr>
          <w:rFonts w:cs="Times New Roman"/>
          <w:b/>
          <w:szCs w:val="24"/>
        </w:rPr>
        <w:instrText xml:space="preserve"> TOC \o "1-2" \h \z \u </w:instrText>
      </w:r>
      <w:r w:rsidRPr="00260A3F">
        <w:rPr>
          <w:rFonts w:cs="Times New Roman"/>
          <w:b/>
          <w:szCs w:val="24"/>
        </w:rPr>
        <w:fldChar w:fldCharType="separate"/>
      </w:r>
      <w:hyperlink w:anchor="_Toc74578027" w:history="1">
        <w:r w:rsidRPr="00C9664A">
          <w:rPr>
            <w:rStyle w:val="Hyperlink"/>
            <w:rFonts w:cs="Times New Roman"/>
            <w:noProof/>
          </w:rPr>
          <w:t>I.</w:t>
        </w:r>
        <w:r>
          <w:rPr>
            <w:rFonts w:asciiTheme="minorHAnsi" w:eastAsiaTheme="minorEastAsia" w:hAnsiTheme="minorHAnsi"/>
            <w:caps w:val="0"/>
            <w:noProof/>
            <w:sz w:val="22"/>
          </w:rPr>
          <w:tab/>
        </w:r>
        <w:r w:rsidRPr="00C9664A">
          <w:rPr>
            <w:rStyle w:val="Hyperlink"/>
            <w:rFonts w:cs="Times New Roman"/>
            <w:noProof/>
          </w:rPr>
          <w:t>STANDARD OF REVIEW</w:t>
        </w:r>
        <w:r>
          <w:rPr>
            <w:noProof/>
            <w:webHidden/>
          </w:rPr>
          <w:tab/>
        </w:r>
        <w:r>
          <w:rPr>
            <w:noProof/>
            <w:webHidden/>
          </w:rPr>
          <w:fldChar w:fldCharType="begin"/>
        </w:r>
        <w:r>
          <w:rPr>
            <w:noProof/>
            <w:webHidden/>
          </w:rPr>
          <w:instrText xml:space="preserve"> PAGEREF _Toc74578027 \h </w:instrText>
        </w:r>
        <w:r>
          <w:rPr>
            <w:noProof/>
            <w:webHidden/>
          </w:rPr>
          <w:fldChar w:fldCharType="separate"/>
        </w:r>
        <w:r>
          <w:rPr>
            <w:noProof/>
            <w:webHidden/>
          </w:rPr>
          <w:t>3</w:t>
        </w:r>
        <w:r>
          <w:rPr>
            <w:noProof/>
            <w:webHidden/>
          </w:rPr>
          <w:fldChar w:fldCharType="end"/>
        </w:r>
      </w:hyperlink>
    </w:p>
    <w:p w:rsidR="006D4A7F" w14:paraId="66539CCF" w14:textId="7CC4F810">
      <w:pPr>
        <w:pStyle w:val="TOC1"/>
        <w:rPr>
          <w:rFonts w:asciiTheme="minorHAnsi" w:eastAsiaTheme="minorEastAsia" w:hAnsiTheme="minorHAnsi"/>
          <w:caps w:val="0"/>
          <w:noProof/>
          <w:sz w:val="22"/>
        </w:rPr>
      </w:pPr>
      <w:hyperlink w:anchor="_Toc74578028" w:history="1">
        <w:r w:rsidRPr="00C9664A">
          <w:rPr>
            <w:rStyle w:val="Hyperlink"/>
            <w:rFonts w:cs="Times New Roman"/>
            <w:noProof/>
          </w:rPr>
          <w:t>II.</w:t>
        </w:r>
        <w:r>
          <w:rPr>
            <w:rFonts w:asciiTheme="minorHAnsi" w:eastAsiaTheme="minorEastAsia" w:hAnsiTheme="minorHAnsi"/>
            <w:caps w:val="0"/>
            <w:noProof/>
            <w:sz w:val="22"/>
          </w:rPr>
          <w:tab/>
        </w:r>
        <w:r w:rsidRPr="00C9664A">
          <w:rPr>
            <w:rStyle w:val="Hyperlink"/>
            <w:rFonts w:cs="Times New Roman"/>
            <w:noProof/>
          </w:rPr>
          <w:t>THE SETTLEMENT SATISFIES THE PUCO’S THREE-PRONG TEST AND IT SHOULD BE APPROVED WITHOUT MODIFICATION.</w:t>
        </w:r>
        <w:r>
          <w:rPr>
            <w:noProof/>
            <w:webHidden/>
          </w:rPr>
          <w:tab/>
        </w:r>
        <w:r>
          <w:rPr>
            <w:noProof/>
            <w:webHidden/>
          </w:rPr>
          <w:fldChar w:fldCharType="begin"/>
        </w:r>
        <w:r>
          <w:rPr>
            <w:noProof/>
            <w:webHidden/>
          </w:rPr>
          <w:instrText xml:space="preserve"> PAGEREF _Toc74578028 \h </w:instrText>
        </w:r>
        <w:r>
          <w:rPr>
            <w:noProof/>
            <w:webHidden/>
          </w:rPr>
          <w:fldChar w:fldCharType="separate"/>
        </w:r>
        <w:r>
          <w:rPr>
            <w:noProof/>
            <w:webHidden/>
          </w:rPr>
          <w:t>4</w:t>
        </w:r>
        <w:r>
          <w:rPr>
            <w:noProof/>
            <w:webHidden/>
          </w:rPr>
          <w:fldChar w:fldCharType="end"/>
        </w:r>
      </w:hyperlink>
    </w:p>
    <w:p w:rsidR="006D4A7F" w14:paraId="30B3AEEE" w14:textId="3FF80C36">
      <w:pPr>
        <w:pStyle w:val="TOC2"/>
        <w:tabs>
          <w:tab w:val="left" w:pos="1440"/>
        </w:tabs>
        <w:rPr>
          <w:rFonts w:asciiTheme="minorHAnsi" w:eastAsiaTheme="minorEastAsia" w:hAnsiTheme="minorHAnsi"/>
          <w:noProof/>
          <w:sz w:val="22"/>
        </w:rPr>
      </w:pPr>
      <w:hyperlink w:anchor="_Toc74578029" w:history="1">
        <w:r w:rsidRPr="00C9664A">
          <w:rPr>
            <w:rStyle w:val="Hyperlink"/>
            <w:noProof/>
          </w:rPr>
          <w:t>A.</w:t>
        </w:r>
        <w:r>
          <w:rPr>
            <w:rFonts w:asciiTheme="minorHAnsi" w:eastAsiaTheme="minorEastAsia" w:hAnsiTheme="minorHAnsi"/>
            <w:noProof/>
            <w:sz w:val="22"/>
          </w:rPr>
          <w:tab/>
        </w:r>
        <w:r w:rsidRPr="00C9664A">
          <w:rPr>
            <w:rStyle w:val="Hyperlink"/>
            <w:noProof/>
          </w:rPr>
          <w:t>The Settlement is the product of serious bargaining among capable, knowledgeable parties with diverse interests.</w:t>
        </w:r>
        <w:r>
          <w:rPr>
            <w:noProof/>
            <w:webHidden/>
          </w:rPr>
          <w:tab/>
        </w:r>
        <w:r>
          <w:rPr>
            <w:noProof/>
            <w:webHidden/>
          </w:rPr>
          <w:fldChar w:fldCharType="begin"/>
        </w:r>
        <w:r>
          <w:rPr>
            <w:noProof/>
            <w:webHidden/>
          </w:rPr>
          <w:instrText xml:space="preserve"> PAGEREF _Toc74578029 \h </w:instrText>
        </w:r>
        <w:r>
          <w:rPr>
            <w:noProof/>
            <w:webHidden/>
          </w:rPr>
          <w:fldChar w:fldCharType="separate"/>
        </w:r>
        <w:r>
          <w:rPr>
            <w:noProof/>
            <w:webHidden/>
          </w:rPr>
          <w:t>4</w:t>
        </w:r>
        <w:r>
          <w:rPr>
            <w:noProof/>
            <w:webHidden/>
          </w:rPr>
          <w:fldChar w:fldCharType="end"/>
        </w:r>
      </w:hyperlink>
    </w:p>
    <w:p w:rsidR="006D4A7F" w14:paraId="784AB25B" w14:textId="7430D68E">
      <w:pPr>
        <w:pStyle w:val="TOC2"/>
        <w:tabs>
          <w:tab w:val="left" w:pos="1440"/>
        </w:tabs>
        <w:rPr>
          <w:rFonts w:asciiTheme="minorHAnsi" w:eastAsiaTheme="minorEastAsia" w:hAnsiTheme="minorHAnsi"/>
          <w:noProof/>
          <w:sz w:val="22"/>
        </w:rPr>
      </w:pPr>
      <w:hyperlink w:anchor="_Toc74578030" w:history="1">
        <w:r w:rsidRPr="00C9664A">
          <w:rPr>
            <w:rStyle w:val="Hyperlink"/>
            <w:noProof/>
          </w:rPr>
          <w:t>B.</w:t>
        </w:r>
        <w:r>
          <w:rPr>
            <w:rFonts w:asciiTheme="minorHAnsi" w:eastAsiaTheme="minorEastAsia" w:hAnsiTheme="minorHAnsi"/>
            <w:noProof/>
            <w:sz w:val="22"/>
          </w:rPr>
          <w:tab/>
        </w:r>
        <w:r w:rsidRPr="00C9664A">
          <w:rPr>
            <w:rStyle w:val="Hyperlink"/>
            <w:noProof/>
          </w:rPr>
          <w:t>The Settlement as a package benefits consumers and the public interest.</w:t>
        </w:r>
        <w:r>
          <w:rPr>
            <w:noProof/>
            <w:webHidden/>
          </w:rPr>
          <w:tab/>
        </w:r>
        <w:r>
          <w:rPr>
            <w:noProof/>
            <w:webHidden/>
          </w:rPr>
          <w:fldChar w:fldCharType="begin"/>
        </w:r>
        <w:r>
          <w:rPr>
            <w:noProof/>
            <w:webHidden/>
          </w:rPr>
          <w:instrText xml:space="preserve"> PAGEREF _Toc74578030 \h </w:instrText>
        </w:r>
        <w:r>
          <w:rPr>
            <w:noProof/>
            <w:webHidden/>
          </w:rPr>
          <w:fldChar w:fldCharType="separate"/>
        </w:r>
        <w:r>
          <w:rPr>
            <w:noProof/>
            <w:webHidden/>
          </w:rPr>
          <w:t>6</w:t>
        </w:r>
        <w:r>
          <w:rPr>
            <w:noProof/>
            <w:webHidden/>
          </w:rPr>
          <w:fldChar w:fldCharType="end"/>
        </w:r>
      </w:hyperlink>
    </w:p>
    <w:p w:rsidR="006D4A7F" w14:paraId="64A93B5A" w14:textId="195CB390">
      <w:pPr>
        <w:pStyle w:val="TOC2"/>
        <w:tabs>
          <w:tab w:val="left" w:pos="1440"/>
        </w:tabs>
        <w:rPr>
          <w:rFonts w:asciiTheme="minorHAnsi" w:eastAsiaTheme="minorEastAsia" w:hAnsiTheme="minorHAnsi"/>
          <w:noProof/>
          <w:sz w:val="22"/>
        </w:rPr>
      </w:pPr>
      <w:hyperlink w:anchor="_Toc74578031" w:history="1">
        <w:r w:rsidRPr="00C9664A">
          <w:rPr>
            <w:rStyle w:val="Hyperlink"/>
            <w:noProof/>
          </w:rPr>
          <w:t>C.</w:t>
        </w:r>
        <w:r>
          <w:rPr>
            <w:rFonts w:asciiTheme="minorHAnsi" w:eastAsiaTheme="minorEastAsia" w:hAnsiTheme="minorHAnsi"/>
            <w:noProof/>
            <w:sz w:val="22"/>
          </w:rPr>
          <w:tab/>
        </w:r>
        <w:r w:rsidRPr="00C9664A">
          <w:rPr>
            <w:rStyle w:val="Hyperlink"/>
            <w:noProof/>
          </w:rPr>
          <w:t>The Settlement does not violate any regulatory principles or practices.</w:t>
        </w:r>
        <w:r>
          <w:rPr>
            <w:noProof/>
            <w:webHidden/>
          </w:rPr>
          <w:tab/>
        </w:r>
        <w:r>
          <w:rPr>
            <w:noProof/>
            <w:webHidden/>
          </w:rPr>
          <w:fldChar w:fldCharType="begin"/>
        </w:r>
        <w:r>
          <w:rPr>
            <w:noProof/>
            <w:webHidden/>
          </w:rPr>
          <w:instrText xml:space="preserve"> PAGEREF _Toc74578031 \h </w:instrText>
        </w:r>
        <w:r>
          <w:rPr>
            <w:noProof/>
            <w:webHidden/>
          </w:rPr>
          <w:fldChar w:fldCharType="separate"/>
        </w:r>
        <w:r>
          <w:rPr>
            <w:noProof/>
            <w:webHidden/>
          </w:rPr>
          <w:t>10</w:t>
        </w:r>
        <w:r>
          <w:rPr>
            <w:noProof/>
            <w:webHidden/>
          </w:rPr>
          <w:fldChar w:fldCharType="end"/>
        </w:r>
      </w:hyperlink>
    </w:p>
    <w:p w:rsidR="006D4A7F" w14:paraId="4B56D3EC" w14:textId="0D3D466E">
      <w:pPr>
        <w:pStyle w:val="TOC1"/>
        <w:rPr>
          <w:rFonts w:asciiTheme="minorHAnsi" w:eastAsiaTheme="minorEastAsia" w:hAnsiTheme="minorHAnsi"/>
          <w:caps w:val="0"/>
          <w:noProof/>
          <w:sz w:val="22"/>
        </w:rPr>
      </w:pPr>
      <w:hyperlink w:anchor="_Toc74578032" w:history="1">
        <w:r w:rsidRPr="00C9664A">
          <w:rPr>
            <w:rStyle w:val="Hyperlink"/>
            <w:rFonts w:cs="Times New Roman"/>
            <w:noProof/>
          </w:rPr>
          <w:t>III.</w:t>
        </w:r>
        <w:r>
          <w:rPr>
            <w:rFonts w:asciiTheme="minorHAnsi" w:eastAsiaTheme="minorEastAsia" w:hAnsiTheme="minorHAnsi"/>
            <w:caps w:val="0"/>
            <w:noProof/>
            <w:sz w:val="22"/>
          </w:rPr>
          <w:tab/>
        </w:r>
        <w:r w:rsidRPr="00C9664A">
          <w:rPr>
            <w:rStyle w:val="Hyperlink"/>
            <w:rFonts w:cs="Times New Roman"/>
            <w:noProof/>
          </w:rPr>
          <w:t>CONCLUSION</w:t>
        </w:r>
        <w:r>
          <w:rPr>
            <w:noProof/>
            <w:webHidden/>
          </w:rPr>
          <w:tab/>
        </w:r>
        <w:r>
          <w:rPr>
            <w:noProof/>
            <w:webHidden/>
          </w:rPr>
          <w:fldChar w:fldCharType="begin"/>
        </w:r>
        <w:r>
          <w:rPr>
            <w:noProof/>
            <w:webHidden/>
          </w:rPr>
          <w:instrText xml:space="preserve"> PAGEREF _Toc74578032 \h </w:instrText>
        </w:r>
        <w:r>
          <w:rPr>
            <w:noProof/>
            <w:webHidden/>
          </w:rPr>
          <w:fldChar w:fldCharType="separate"/>
        </w:r>
        <w:r>
          <w:rPr>
            <w:noProof/>
            <w:webHidden/>
          </w:rPr>
          <w:t>11</w:t>
        </w:r>
        <w:r>
          <w:rPr>
            <w:noProof/>
            <w:webHidden/>
          </w:rPr>
          <w:fldChar w:fldCharType="end"/>
        </w:r>
      </w:hyperlink>
    </w:p>
    <w:p w:rsidR="00746981" w:rsidRPr="00260A3F" w:rsidP="00746981" w14:paraId="29DB6AAF" w14:textId="5D0CD19C">
      <w:pPr>
        <w:spacing w:after="0" w:line="240" w:lineRule="auto"/>
        <w:jc w:val="center"/>
        <w:rPr>
          <w:rFonts w:cs="Times New Roman"/>
          <w:b/>
          <w:szCs w:val="24"/>
        </w:rPr>
      </w:pPr>
      <w:r w:rsidRPr="00260A3F">
        <w:rPr>
          <w:rFonts w:cs="Times New Roman"/>
          <w:b/>
          <w:szCs w:val="24"/>
        </w:rPr>
        <w:fldChar w:fldCharType="end"/>
      </w:r>
    </w:p>
    <w:p w:rsidR="00746981" w:rsidRPr="00260A3F" w:rsidP="00746981" w14:paraId="68E5D88A" w14:textId="77777777">
      <w:pPr>
        <w:spacing w:after="0" w:line="240" w:lineRule="auto"/>
        <w:rPr>
          <w:rFonts w:cs="Times New Roman"/>
          <w:bCs/>
          <w:szCs w:val="24"/>
        </w:rPr>
      </w:pPr>
    </w:p>
    <w:p w:rsidR="00746981" w:rsidRPr="00260A3F" w:rsidP="00746981" w14:paraId="16DEED49" w14:textId="77777777">
      <w:pPr>
        <w:spacing w:after="0" w:line="240" w:lineRule="auto"/>
        <w:rPr>
          <w:rFonts w:cs="Times New Roman"/>
          <w:bCs/>
          <w:szCs w:val="24"/>
        </w:rPr>
      </w:pPr>
    </w:p>
    <w:p w:rsidR="00746981" w:rsidRPr="00260A3F" w:rsidP="00746981" w14:paraId="51D6F5FD" w14:textId="77777777">
      <w:pPr>
        <w:spacing w:after="0" w:line="240" w:lineRule="auto"/>
        <w:rPr>
          <w:rFonts w:cs="Times New Roman"/>
          <w:bCs/>
          <w:szCs w:val="24"/>
        </w:rPr>
      </w:pPr>
    </w:p>
    <w:p w:rsidR="00746981" w:rsidRPr="00260A3F" w:rsidP="00746981" w14:paraId="476A1D69" w14:textId="77777777">
      <w:pPr>
        <w:spacing w:after="0" w:line="240" w:lineRule="auto"/>
        <w:rPr>
          <w:rFonts w:cs="Times New Roman"/>
          <w:bCs/>
          <w:szCs w:val="24"/>
        </w:rPr>
      </w:pPr>
    </w:p>
    <w:p w:rsidR="00746981" w:rsidRPr="00260A3F" w:rsidP="00746981" w14:paraId="3A7C4EC8" w14:textId="77777777">
      <w:pPr>
        <w:spacing w:after="0" w:line="240" w:lineRule="auto"/>
        <w:rPr>
          <w:rFonts w:cs="Times New Roman"/>
          <w:bCs/>
          <w:szCs w:val="24"/>
        </w:rPr>
        <w:sectPr w:rsidSect="00746981">
          <w:footerReference w:type="default" r:id="rId9"/>
          <w:pgSz w:w="12240" w:h="15840"/>
          <w:pgMar w:top="1440" w:right="1800" w:bottom="1440" w:left="1800" w:header="720" w:footer="720" w:gutter="0"/>
          <w:pgNumType w:fmt="lowerRoman" w:start="1"/>
          <w:cols w:space="720"/>
          <w:docGrid w:linePitch="360"/>
        </w:sectPr>
      </w:pPr>
    </w:p>
    <w:p w:rsidR="00981489" w:rsidRPr="00260A3F" w:rsidP="000C76D8" w14:paraId="74D2156E" w14:textId="388437BE">
      <w:pPr>
        <w:spacing w:after="0" w:line="240" w:lineRule="auto"/>
        <w:jc w:val="center"/>
        <w:rPr>
          <w:rFonts w:cs="Times New Roman"/>
          <w:b/>
          <w:szCs w:val="24"/>
        </w:rPr>
      </w:pPr>
      <w:r w:rsidRPr="00260A3F">
        <w:rPr>
          <w:rFonts w:cs="Times New Roman"/>
          <w:b/>
          <w:szCs w:val="24"/>
        </w:rPr>
        <w:t>BEFORE</w:t>
      </w:r>
    </w:p>
    <w:p w:rsidR="00981489" w:rsidRPr="00260A3F" w:rsidP="000C76D8" w14:paraId="3A8D11B3" w14:textId="77777777">
      <w:pPr>
        <w:spacing w:after="0" w:line="240" w:lineRule="auto"/>
        <w:jc w:val="center"/>
        <w:rPr>
          <w:rFonts w:cs="Times New Roman"/>
          <w:b/>
          <w:szCs w:val="24"/>
        </w:rPr>
      </w:pPr>
      <w:r w:rsidRPr="00260A3F">
        <w:rPr>
          <w:rFonts w:cs="Times New Roman"/>
          <w:b/>
          <w:szCs w:val="24"/>
        </w:rPr>
        <w:t>THE PUBLIC UTILITIES COMMISSION OF OHIO</w:t>
      </w:r>
    </w:p>
    <w:p w:rsidR="00981489" w:rsidRPr="00260A3F" w:rsidP="00EC50A9" w14:paraId="50ECD9DE" w14:textId="77777777">
      <w:pPr>
        <w:spacing w:after="0" w:line="240" w:lineRule="auto"/>
        <w:jc w:val="center"/>
        <w:rPr>
          <w:rFonts w:cs="Times New Roman"/>
          <w:b/>
          <w:szCs w:val="24"/>
        </w:rPr>
      </w:pPr>
    </w:p>
    <w:tbl>
      <w:tblPr>
        <w:tblW w:w="10358" w:type="dxa"/>
        <w:tblLook w:val="01E0"/>
      </w:tblPr>
      <w:tblGrid>
        <w:gridCol w:w="5238"/>
        <w:gridCol w:w="480"/>
        <w:gridCol w:w="4640"/>
      </w:tblGrid>
      <w:tr w14:paraId="421C789E" w14:textId="77777777" w:rsidTr="009B419A">
        <w:tblPrEx>
          <w:tblW w:w="10358" w:type="dxa"/>
          <w:tblLook w:val="01E0"/>
        </w:tblPrEx>
        <w:trPr>
          <w:trHeight w:val="807"/>
        </w:trPr>
        <w:tc>
          <w:tcPr>
            <w:tcW w:w="5238" w:type="dxa"/>
            <w:shd w:val="clear" w:color="auto" w:fill="auto"/>
          </w:tcPr>
          <w:p w:rsidR="00B41517" w:rsidRPr="00260A3F" w:rsidP="00B41517" w14:paraId="717579C6" w14:textId="77777777">
            <w:pPr>
              <w:widowControl w:val="0"/>
              <w:tabs>
                <w:tab w:val="left" w:pos="5670"/>
                <w:tab w:val="right" w:pos="9936"/>
              </w:tabs>
              <w:rPr>
                <w:rStyle w:val="StyleCourier12pt"/>
                <w:rFonts w:ascii="Times New Roman" w:hAnsi="Times New Roman" w:cs="Times New Roman"/>
                <w:szCs w:val="24"/>
              </w:rPr>
            </w:pPr>
            <w:r w:rsidRPr="00260A3F">
              <w:rPr>
                <w:rStyle w:val="StyleCourier12pt"/>
                <w:rFonts w:ascii="Times New Roman" w:hAnsi="Times New Roman" w:cs="Times New Roman"/>
                <w:szCs w:val="24"/>
              </w:rPr>
              <w:t xml:space="preserve">In the Matter of the Application of Ohio Power Company for an Increase in Electric Distribution Rates. </w:t>
            </w:r>
          </w:p>
          <w:p w:rsidR="00B41517" w:rsidRPr="00260A3F" w:rsidP="00B41517" w14:paraId="224752EF" w14:textId="77777777">
            <w:pPr>
              <w:widowControl w:val="0"/>
              <w:tabs>
                <w:tab w:val="left" w:pos="5670"/>
                <w:tab w:val="right" w:pos="9936"/>
              </w:tabs>
              <w:rPr>
                <w:rStyle w:val="StyleCourier12pt"/>
                <w:rFonts w:ascii="Times New Roman" w:hAnsi="Times New Roman" w:cs="Times New Roman"/>
                <w:szCs w:val="24"/>
              </w:rPr>
            </w:pPr>
            <w:r w:rsidRPr="00260A3F">
              <w:rPr>
                <w:rStyle w:val="StyleCourier12pt"/>
                <w:rFonts w:ascii="Times New Roman" w:hAnsi="Times New Roman" w:cs="Times New Roman"/>
                <w:szCs w:val="24"/>
              </w:rPr>
              <w:t>In the Matter of the Application of Ohio Power Company for Tariff Approval.</w:t>
            </w:r>
          </w:p>
          <w:p w:rsidR="00981489" w:rsidRPr="00260A3F" w:rsidP="00376E35" w14:paraId="2B84AF9B" w14:textId="5E9EFD2B">
            <w:pPr>
              <w:autoSpaceDE w:val="0"/>
              <w:autoSpaceDN w:val="0"/>
              <w:adjustRightInd w:val="0"/>
              <w:spacing w:after="0" w:line="240" w:lineRule="auto"/>
              <w:rPr>
                <w:rFonts w:cs="Times New Roman"/>
                <w:szCs w:val="24"/>
              </w:rPr>
            </w:pPr>
            <w:r w:rsidRPr="00260A3F">
              <w:rPr>
                <w:rStyle w:val="StyleCourier12pt"/>
                <w:rFonts w:ascii="Times New Roman" w:hAnsi="Times New Roman" w:cs="Times New Roman"/>
                <w:szCs w:val="24"/>
              </w:rPr>
              <w:t>In the Matter of the Application of Ohio Power Company for Approval to Change Accounting Methods.</w:t>
            </w:r>
          </w:p>
        </w:tc>
        <w:tc>
          <w:tcPr>
            <w:tcW w:w="480" w:type="dxa"/>
            <w:shd w:val="clear" w:color="auto" w:fill="auto"/>
          </w:tcPr>
          <w:p w:rsidR="00981489" w:rsidRPr="00260A3F" w:rsidP="00EC50A9" w14:paraId="1C518EE0" w14:textId="77777777">
            <w:pPr>
              <w:pStyle w:val="HTMLPreformatted"/>
              <w:rPr>
                <w:rFonts w:ascii="Times New Roman" w:hAnsi="Times New Roman" w:cs="Times New Roman"/>
                <w:sz w:val="24"/>
                <w:szCs w:val="24"/>
              </w:rPr>
            </w:pPr>
            <w:r w:rsidRPr="00260A3F">
              <w:rPr>
                <w:rFonts w:ascii="Times New Roman" w:hAnsi="Times New Roman" w:cs="Times New Roman"/>
                <w:sz w:val="24"/>
                <w:szCs w:val="24"/>
              </w:rPr>
              <w:t>)</w:t>
            </w:r>
          </w:p>
          <w:p w:rsidR="00981489" w:rsidRPr="00260A3F" w:rsidP="00EC50A9" w14:paraId="7FE2D860" w14:textId="77777777">
            <w:pPr>
              <w:pStyle w:val="HTMLPreformatted"/>
              <w:rPr>
                <w:rFonts w:ascii="Times New Roman" w:hAnsi="Times New Roman" w:cs="Times New Roman"/>
                <w:sz w:val="24"/>
                <w:szCs w:val="24"/>
              </w:rPr>
            </w:pPr>
            <w:r w:rsidRPr="00260A3F">
              <w:rPr>
                <w:rFonts w:ascii="Times New Roman" w:hAnsi="Times New Roman" w:cs="Times New Roman"/>
                <w:sz w:val="24"/>
                <w:szCs w:val="24"/>
              </w:rPr>
              <w:t>)</w:t>
            </w:r>
          </w:p>
          <w:p w:rsidR="00981489" w:rsidRPr="00260A3F" w:rsidP="00EC50A9" w14:paraId="3C93D323" w14:textId="77777777">
            <w:pPr>
              <w:pStyle w:val="HTMLPreformatted"/>
              <w:rPr>
                <w:rFonts w:ascii="Times New Roman" w:hAnsi="Times New Roman" w:cs="Times New Roman"/>
                <w:sz w:val="24"/>
                <w:szCs w:val="24"/>
              </w:rPr>
            </w:pPr>
            <w:r w:rsidRPr="00260A3F">
              <w:rPr>
                <w:rFonts w:ascii="Times New Roman" w:hAnsi="Times New Roman" w:cs="Times New Roman"/>
                <w:sz w:val="24"/>
                <w:szCs w:val="24"/>
              </w:rPr>
              <w:t>)</w:t>
            </w:r>
          </w:p>
          <w:p w:rsidR="00981489" w:rsidRPr="00260A3F" w:rsidP="00EC50A9" w14:paraId="0E17ADB9" w14:textId="41C9270B">
            <w:pPr>
              <w:pStyle w:val="HTMLPreformatted"/>
              <w:rPr>
                <w:rFonts w:ascii="Times New Roman" w:hAnsi="Times New Roman" w:cs="Times New Roman"/>
                <w:sz w:val="24"/>
                <w:szCs w:val="24"/>
              </w:rPr>
            </w:pPr>
          </w:p>
          <w:p w:rsidR="00981489" w:rsidRPr="00260A3F" w:rsidP="00EC50A9" w14:paraId="3D705B0A" w14:textId="6444CAE7">
            <w:pPr>
              <w:pStyle w:val="HTMLPreformatted"/>
              <w:rPr>
                <w:rFonts w:ascii="Times New Roman" w:hAnsi="Times New Roman" w:cs="Times New Roman"/>
                <w:sz w:val="24"/>
                <w:szCs w:val="24"/>
              </w:rPr>
            </w:pPr>
            <w:r w:rsidRPr="00260A3F">
              <w:rPr>
                <w:rFonts w:ascii="Times New Roman" w:hAnsi="Times New Roman" w:cs="Times New Roman"/>
                <w:sz w:val="24"/>
                <w:szCs w:val="24"/>
              </w:rPr>
              <w:t>)</w:t>
            </w:r>
          </w:p>
          <w:p w:rsidR="00981489" w:rsidRPr="00260A3F" w:rsidP="00EC50A9" w14:paraId="1A615764" w14:textId="77777777">
            <w:pPr>
              <w:pStyle w:val="HTMLPreformatted"/>
              <w:rPr>
                <w:rFonts w:ascii="Times New Roman" w:hAnsi="Times New Roman" w:cs="Times New Roman"/>
                <w:sz w:val="24"/>
                <w:szCs w:val="24"/>
              </w:rPr>
            </w:pPr>
            <w:r w:rsidRPr="00260A3F">
              <w:rPr>
                <w:rFonts w:ascii="Times New Roman" w:hAnsi="Times New Roman" w:cs="Times New Roman"/>
                <w:sz w:val="24"/>
                <w:szCs w:val="24"/>
              </w:rPr>
              <w:t>)</w:t>
            </w:r>
          </w:p>
          <w:p w:rsidR="00981489" w:rsidRPr="00260A3F" w:rsidP="00EC50A9" w14:paraId="2362591E" w14:textId="25457112">
            <w:pPr>
              <w:pStyle w:val="HTMLPreformatted"/>
              <w:rPr>
                <w:rFonts w:ascii="Times New Roman" w:hAnsi="Times New Roman" w:cs="Times New Roman"/>
                <w:sz w:val="24"/>
                <w:szCs w:val="24"/>
              </w:rPr>
            </w:pPr>
          </w:p>
          <w:p w:rsidR="00981489" w:rsidRPr="00260A3F" w:rsidP="00EC50A9" w14:paraId="4B765FBB" w14:textId="77777777">
            <w:pPr>
              <w:pStyle w:val="HTMLPreformatted"/>
              <w:rPr>
                <w:rFonts w:ascii="Times New Roman" w:hAnsi="Times New Roman" w:cs="Times New Roman"/>
                <w:sz w:val="24"/>
                <w:szCs w:val="24"/>
              </w:rPr>
            </w:pPr>
            <w:r w:rsidRPr="00260A3F">
              <w:rPr>
                <w:rFonts w:ascii="Times New Roman" w:hAnsi="Times New Roman" w:cs="Times New Roman"/>
                <w:sz w:val="24"/>
                <w:szCs w:val="24"/>
              </w:rPr>
              <w:t>)</w:t>
            </w:r>
          </w:p>
          <w:p w:rsidR="00A0593B" w:rsidRPr="00260A3F" w:rsidP="00A0593B" w14:paraId="3B1042CF" w14:textId="77777777">
            <w:pPr>
              <w:pStyle w:val="HTMLPreformatted"/>
              <w:rPr>
                <w:rFonts w:ascii="Times New Roman" w:hAnsi="Times New Roman" w:cs="Times New Roman"/>
                <w:sz w:val="24"/>
                <w:szCs w:val="24"/>
              </w:rPr>
            </w:pPr>
            <w:r w:rsidRPr="00260A3F">
              <w:rPr>
                <w:rFonts w:ascii="Times New Roman" w:hAnsi="Times New Roman" w:cs="Times New Roman"/>
                <w:sz w:val="24"/>
                <w:szCs w:val="24"/>
              </w:rPr>
              <w:t>)</w:t>
            </w:r>
          </w:p>
          <w:p w:rsidR="00A0593B" w:rsidRPr="00260A3F" w:rsidP="00A0593B" w14:paraId="1743785B" w14:textId="79DFD235">
            <w:pPr>
              <w:pStyle w:val="HTMLPreformatted"/>
              <w:rPr>
                <w:rFonts w:ascii="Times New Roman" w:hAnsi="Times New Roman" w:cs="Times New Roman"/>
                <w:sz w:val="24"/>
                <w:szCs w:val="24"/>
              </w:rPr>
            </w:pPr>
            <w:r w:rsidRPr="00260A3F">
              <w:rPr>
                <w:rFonts w:ascii="Times New Roman" w:hAnsi="Times New Roman" w:cs="Times New Roman"/>
                <w:sz w:val="24"/>
                <w:szCs w:val="24"/>
              </w:rPr>
              <w:t>)</w:t>
            </w:r>
          </w:p>
        </w:tc>
        <w:tc>
          <w:tcPr>
            <w:tcW w:w="4640" w:type="dxa"/>
            <w:shd w:val="clear" w:color="auto" w:fill="auto"/>
          </w:tcPr>
          <w:p w:rsidR="00981489" w:rsidRPr="00260A3F" w:rsidP="00EC50A9" w14:paraId="126CF25C" w14:textId="77777777">
            <w:pPr>
              <w:autoSpaceDE w:val="0"/>
              <w:autoSpaceDN w:val="0"/>
              <w:adjustRightInd w:val="0"/>
              <w:spacing w:after="0" w:line="240" w:lineRule="auto"/>
              <w:rPr>
                <w:rFonts w:cs="Times New Roman"/>
                <w:szCs w:val="24"/>
              </w:rPr>
            </w:pPr>
          </w:p>
          <w:p w:rsidR="00981489" w:rsidRPr="00260A3F" w:rsidP="00EC50A9" w14:paraId="789A68D8" w14:textId="022E1A17">
            <w:pPr>
              <w:autoSpaceDE w:val="0"/>
              <w:autoSpaceDN w:val="0"/>
              <w:adjustRightInd w:val="0"/>
              <w:spacing w:after="0" w:line="240" w:lineRule="auto"/>
              <w:rPr>
                <w:rFonts w:cs="Times New Roman"/>
                <w:szCs w:val="24"/>
              </w:rPr>
            </w:pPr>
            <w:r w:rsidRPr="00260A3F">
              <w:rPr>
                <w:rFonts w:cs="Times New Roman"/>
                <w:szCs w:val="24"/>
              </w:rPr>
              <w:t xml:space="preserve">Case No. </w:t>
            </w:r>
            <w:r w:rsidRPr="00260A3F" w:rsidR="00B41517">
              <w:rPr>
                <w:rFonts w:cs="Times New Roman"/>
                <w:szCs w:val="24"/>
              </w:rPr>
              <w:t>20-585</w:t>
            </w:r>
            <w:r w:rsidRPr="00260A3F">
              <w:rPr>
                <w:rFonts w:cs="Times New Roman"/>
                <w:szCs w:val="24"/>
              </w:rPr>
              <w:t>-EL-AIR</w:t>
            </w:r>
          </w:p>
          <w:p w:rsidR="00981489" w:rsidRPr="00260A3F" w:rsidP="00EC50A9" w14:paraId="56B513DD" w14:textId="77777777">
            <w:pPr>
              <w:autoSpaceDE w:val="0"/>
              <w:autoSpaceDN w:val="0"/>
              <w:adjustRightInd w:val="0"/>
              <w:spacing w:after="0" w:line="240" w:lineRule="auto"/>
              <w:rPr>
                <w:rFonts w:cs="Times New Roman"/>
                <w:szCs w:val="24"/>
              </w:rPr>
            </w:pPr>
          </w:p>
          <w:p w:rsidR="00981489" w:rsidRPr="00260A3F" w:rsidP="00EC50A9" w14:paraId="7BC7E69D" w14:textId="77777777">
            <w:pPr>
              <w:autoSpaceDE w:val="0"/>
              <w:autoSpaceDN w:val="0"/>
              <w:adjustRightInd w:val="0"/>
              <w:spacing w:after="0" w:line="240" w:lineRule="auto"/>
              <w:rPr>
                <w:rFonts w:cs="Times New Roman"/>
                <w:szCs w:val="24"/>
              </w:rPr>
            </w:pPr>
          </w:p>
          <w:p w:rsidR="00981489" w:rsidRPr="00260A3F" w:rsidP="00EC50A9" w14:paraId="3EE7135D" w14:textId="77777777">
            <w:pPr>
              <w:autoSpaceDE w:val="0"/>
              <w:autoSpaceDN w:val="0"/>
              <w:adjustRightInd w:val="0"/>
              <w:spacing w:after="0" w:line="240" w:lineRule="auto"/>
              <w:rPr>
                <w:rFonts w:cs="Times New Roman"/>
                <w:szCs w:val="24"/>
              </w:rPr>
            </w:pPr>
          </w:p>
          <w:p w:rsidR="00981489" w:rsidRPr="00260A3F" w:rsidP="00EC50A9" w14:paraId="41DEBA37" w14:textId="7D55EBD2">
            <w:pPr>
              <w:autoSpaceDE w:val="0"/>
              <w:autoSpaceDN w:val="0"/>
              <w:adjustRightInd w:val="0"/>
              <w:spacing w:after="0" w:line="240" w:lineRule="auto"/>
              <w:rPr>
                <w:rFonts w:cs="Times New Roman"/>
                <w:szCs w:val="24"/>
              </w:rPr>
            </w:pPr>
            <w:r w:rsidRPr="00260A3F">
              <w:rPr>
                <w:rFonts w:cs="Times New Roman"/>
                <w:szCs w:val="24"/>
              </w:rPr>
              <w:t xml:space="preserve">Case No. </w:t>
            </w:r>
            <w:r w:rsidRPr="00260A3F" w:rsidR="00B41517">
              <w:rPr>
                <w:rFonts w:cs="Times New Roman"/>
                <w:szCs w:val="24"/>
              </w:rPr>
              <w:t>20-586</w:t>
            </w:r>
            <w:r w:rsidRPr="00260A3F">
              <w:rPr>
                <w:rFonts w:cs="Times New Roman"/>
                <w:szCs w:val="24"/>
              </w:rPr>
              <w:t>-EL-A</w:t>
            </w:r>
            <w:r w:rsidRPr="00260A3F" w:rsidR="00B41517">
              <w:rPr>
                <w:rFonts w:cs="Times New Roman"/>
                <w:szCs w:val="24"/>
              </w:rPr>
              <w:t>TA</w:t>
            </w:r>
          </w:p>
          <w:p w:rsidR="00981489" w:rsidRPr="00260A3F" w:rsidP="00EC50A9" w14:paraId="189AAB3F" w14:textId="77777777">
            <w:pPr>
              <w:spacing w:after="0" w:line="240" w:lineRule="auto"/>
              <w:rPr>
                <w:rFonts w:cs="Times New Roman"/>
                <w:szCs w:val="24"/>
              </w:rPr>
            </w:pPr>
          </w:p>
          <w:p w:rsidR="00981489" w:rsidRPr="00260A3F" w:rsidP="00EC50A9" w14:paraId="00A84C82" w14:textId="77777777">
            <w:pPr>
              <w:spacing w:after="0" w:line="240" w:lineRule="auto"/>
              <w:rPr>
                <w:rFonts w:cs="Times New Roman"/>
                <w:szCs w:val="24"/>
              </w:rPr>
            </w:pPr>
          </w:p>
          <w:p w:rsidR="00981489" w:rsidRPr="00260A3F" w:rsidP="00376E35" w14:paraId="349E908E" w14:textId="4EDF029A">
            <w:pPr>
              <w:spacing w:after="0" w:line="240" w:lineRule="auto"/>
              <w:rPr>
                <w:rFonts w:cs="Times New Roman"/>
                <w:szCs w:val="24"/>
              </w:rPr>
            </w:pPr>
            <w:r w:rsidRPr="00260A3F">
              <w:rPr>
                <w:rFonts w:cs="Times New Roman"/>
                <w:szCs w:val="24"/>
              </w:rPr>
              <w:t xml:space="preserve">Case No. </w:t>
            </w:r>
            <w:r w:rsidRPr="00260A3F" w:rsidR="00A0593B">
              <w:rPr>
                <w:rFonts w:cs="Times New Roman"/>
                <w:szCs w:val="24"/>
              </w:rPr>
              <w:t>20</w:t>
            </w:r>
            <w:r w:rsidRPr="00260A3F">
              <w:rPr>
                <w:rFonts w:cs="Times New Roman"/>
                <w:szCs w:val="24"/>
              </w:rPr>
              <w:t>-</w:t>
            </w:r>
            <w:r w:rsidRPr="00260A3F" w:rsidR="00A0593B">
              <w:rPr>
                <w:rFonts w:cs="Times New Roman"/>
                <w:szCs w:val="24"/>
              </w:rPr>
              <w:t>587</w:t>
            </w:r>
            <w:r w:rsidRPr="00260A3F">
              <w:rPr>
                <w:rFonts w:cs="Times New Roman"/>
                <w:szCs w:val="24"/>
              </w:rPr>
              <w:t>-EL-A</w:t>
            </w:r>
            <w:r w:rsidRPr="00260A3F" w:rsidR="00A0593B">
              <w:rPr>
                <w:rFonts w:cs="Times New Roman"/>
                <w:szCs w:val="24"/>
              </w:rPr>
              <w:t>AM</w:t>
            </w:r>
          </w:p>
        </w:tc>
      </w:tr>
    </w:tbl>
    <w:p w:rsidR="00981489" w:rsidRPr="00260A3F" w:rsidP="00EC50A9" w14:paraId="594C27DA" w14:textId="77777777">
      <w:pPr>
        <w:keepNext/>
        <w:pBdr>
          <w:bottom w:val="single" w:sz="12" w:space="1" w:color="auto"/>
        </w:pBdr>
        <w:spacing w:after="0"/>
        <w:ind w:left="720" w:hanging="720"/>
        <w:outlineLvl w:val="0"/>
        <w:rPr>
          <w:rFonts w:cs="Times New Roman"/>
          <w:b/>
          <w:caps/>
          <w:szCs w:val="24"/>
        </w:rPr>
      </w:pPr>
    </w:p>
    <w:p w:rsidR="00981489" w:rsidRPr="00260A3F" w:rsidP="00EC50A9" w14:paraId="59A1C9F5" w14:textId="77777777">
      <w:pPr>
        <w:pStyle w:val="HTMLPreformatted"/>
        <w:rPr>
          <w:rFonts w:ascii="Times New Roman" w:hAnsi="Times New Roman" w:cs="Times New Roman"/>
          <w:b/>
          <w:bCs/>
          <w:i/>
          <w:sz w:val="24"/>
          <w:szCs w:val="24"/>
        </w:rPr>
      </w:pPr>
    </w:p>
    <w:p w:rsidR="009B419A" w:rsidRPr="00260A3F" w:rsidP="00EC50A9" w14:paraId="2ECDAE32" w14:textId="66F50B51">
      <w:pPr>
        <w:pStyle w:val="HTMLPreformatted"/>
        <w:pBdr>
          <w:bottom w:val="single" w:sz="12" w:space="1" w:color="auto"/>
        </w:pBdr>
        <w:jc w:val="center"/>
        <w:rPr>
          <w:rFonts w:ascii="Times New Roman" w:hAnsi="Times New Roman" w:cs="Times New Roman"/>
          <w:b/>
          <w:bCs/>
          <w:sz w:val="24"/>
          <w:szCs w:val="24"/>
        </w:rPr>
      </w:pPr>
      <w:r w:rsidRPr="00260A3F">
        <w:rPr>
          <w:rFonts w:ascii="Times New Roman" w:hAnsi="Times New Roman" w:cs="Times New Roman"/>
          <w:b/>
          <w:bCs/>
          <w:sz w:val="24"/>
          <w:szCs w:val="24"/>
        </w:rPr>
        <w:t xml:space="preserve">INITIAL </w:t>
      </w:r>
      <w:r w:rsidRPr="00260A3F" w:rsidR="009D25E5">
        <w:rPr>
          <w:rFonts w:ascii="Times New Roman" w:hAnsi="Times New Roman" w:cs="Times New Roman"/>
          <w:b/>
          <w:bCs/>
          <w:sz w:val="24"/>
          <w:szCs w:val="24"/>
        </w:rPr>
        <w:t>BRIEF</w:t>
      </w:r>
    </w:p>
    <w:p w:rsidR="009B419A" w:rsidRPr="00260A3F" w:rsidP="00EC50A9" w14:paraId="23A0871D" w14:textId="77777777">
      <w:pPr>
        <w:pStyle w:val="HTMLPreformatted"/>
        <w:pBdr>
          <w:bottom w:val="single" w:sz="12" w:space="1" w:color="auto"/>
        </w:pBdr>
        <w:jc w:val="center"/>
        <w:rPr>
          <w:rFonts w:ascii="Times New Roman" w:hAnsi="Times New Roman" w:cs="Times New Roman"/>
          <w:b/>
          <w:bCs/>
          <w:sz w:val="24"/>
          <w:szCs w:val="24"/>
        </w:rPr>
      </w:pPr>
      <w:r w:rsidRPr="00260A3F">
        <w:rPr>
          <w:rFonts w:ascii="Times New Roman" w:hAnsi="Times New Roman" w:cs="Times New Roman"/>
          <w:b/>
          <w:bCs/>
          <w:sz w:val="24"/>
          <w:szCs w:val="24"/>
        </w:rPr>
        <w:t>BY</w:t>
      </w:r>
    </w:p>
    <w:p w:rsidR="009B419A" w:rsidRPr="00260A3F" w:rsidP="00EC50A9" w14:paraId="606C19EE" w14:textId="6DE6DA5D">
      <w:pPr>
        <w:pStyle w:val="HTMLPreformatted"/>
        <w:pBdr>
          <w:bottom w:val="single" w:sz="12" w:space="1" w:color="auto"/>
        </w:pBdr>
        <w:jc w:val="center"/>
        <w:rPr>
          <w:rFonts w:ascii="Times New Roman" w:hAnsi="Times New Roman" w:cs="Times New Roman"/>
          <w:b/>
          <w:bCs/>
          <w:sz w:val="24"/>
          <w:szCs w:val="24"/>
        </w:rPr>
      </w:pPr>
      <w:r w:rsidRPr="00260A3F">
        <w:rPr>
          <w:rFonts w:ascii="Times New Roman" w:hAnsi="Times New Roman" w:cs="Times New Roman"/>
          <w:b/>
          <w:bCs/>
          <w:sz w:val="24"/>
          <w:szCs w:val="24"/>
        </w:rPr>
        <w:t>OFFICE OF THE OHIO CONSUMERS' COUNSEL</w:t>
      </w:r>
    </w:p>
    <w:p w:rsidR="009B419A" w:rsidRPr="00260A3F" w:rsidP="00EC50A9" w14:paraId="2E2BBAB8" w14:textId="77777777">
      <w:pPr>
        <w:pStyle w:val="HTMLPreformatted"/>
        <w:pBdr>
          <w:bottom w:val="single" w:sz="12" w:space="1" w:color="auto"/>
        </w:pBdr>
        <w:jc w:val="center"/>
        <w:rPr>
          <w:rFonts w:ascii="Times New Roman" w:hAnsi="Times New Roman" w:cs="Times New Roman"/>
          <w:b/>
          <w:bCs/>
          <w:sz w:val="24"/>
          <w:szCs w:val="24"/>
        </w:rPr>
      </w:pPr>
    </w:p>
    <w:p w:rsidR="003511B5" w:rsidRPr="00260A3F" w:rsidP="00EA1410" w14:paraId="26549FB9" w14:textId="2279121C">
      <w:pPr>
        <w:spacing w:before="240" w:after="0" w:line="480" w:lineRule="auto"/>
        <w:ind w:firstLine="720"/>
        <w:rPr>
          <w:rFonts w:cs="Times New Roman"/>
          <w:szCs w:val="24"/>
        </w:rPr>
      </w:pPr>
      <w:r w:rsidRPr="00260A3F">
        <w:rPr>
          <w:rFonts w:cs="Times New Roman"/>
          <w:szCs w:val="24"/>
        </w:rPr>
        <w:t>The Joint Stipulation and Recommendation (“Settlement”)</w:t>
      </w:r>
      <w:r>
        <w:rPr>
          <w:rStyle w:val="FootnoteReference"/>
          <w:rFonts w:cs="Times New Roman"/>
          <w:szCs w:val="24"/>
        </w:rPr>
        <w:footnoteReference w:id="2"/>
      </w:r>
      <w:r w:rsidRPr="00260A3F">
        <w:rPr>
          <w:rFonts w:cs="Times New Roman"/>
          <w:szCs w:val="24"/>
        </w:rPr>
        <w:t xml:space="preserve"> negotiated and signed </w:t>
      </w:r>
      <w:r w:rsidRPr="00260A3F" w:rsidR="00073D2C">
        <w:rPr>
          <w:rFonts w:cs="Times New Roman"/>
          <w:szCs w:val="24"/>
        </w:rPr>
        <w:t>by</w:t>
      </w:r>
      <w:r w:rsidRPr="00260A3F">
        <w:rPr>
          <w:rFonts w:cs="Times New Roman"/>
          <w:szCs w:val="24"/>
        </w:rPr>
        <w:t xml:space="preserve"> the Office of the Ohio Consumers’ Counsel (“OCC”)</w:t>
      </w:r>
      <w:r w:rsidRPr="00260A3F" w:rsidR="00755C7C">
        <w:rPr>
          <w:rFonts w:cs="Times New Roman"/>
          <w:szCs w:val="24"/>
        </w:rPr>
        <w:t>,</w:t>
      </w:r>
      <w:r w:rsidRPr="00260A3F" w:rsidR="00E32694">
        <w:rPr>
          <w:rFonts w:cs="Times New Roman"/>
          <w:szCs w:val="24"/>
        </w:rPr>
        <w:t xml:space="preserve"> Ohio Power Company (“AEP Ohio”),</w:t>
      </w:r>
      <w:r w:rsidRPr="00260A3F" w:rsidR="00755C7C">
        <w:rPr>
          <w:rFonts w:cs="Times New Roman"/>
          <w:szCs w:val="24"/>
        </w:rPr>
        <w:t xml:space="preserve"> Staff of t</w:t>
      </w:r>
      <w:r w:rsidRPr="00260A3F">
        <w:rPr>
          <w:rFonts w:cs="Times New Roman"/>
          <w:szCs w:val="24"/>
        </w:rPr>
        <w:t>he Public Utilities Commission of Ohio (“PUCO</w:t>
      </w:r>
      <w:r w:rsidRPr="00260A3F" w:rsidR="00D67D06">
        <w:rPr>
          <w:rFonts w:cs="Times New Roman"/>
          <w:szCs w:val="24"/>
        </w:rPr>
        <w:t xml:space="preserve"> Staff</w:t>
      </w:r>
      <w:r w:rsidRPr="00260A3F">
        <w:rPr>
          <w:rFonts w:cs="Times New Roman"/>
          <w:szCs w:val="24"/>
        </w:rPr>
        <w:t>”)</w:t>
      </w:r>
      <w:r w:rsidRPr="00260A3F" w:rsidR="00755C7C">
        <w:rPr>
          <w:rFonts w:cs="Times New Roman"/>
          <w:szCs w:val="24"/>
        </w:rPr>
        <w:t xml:space="preserve"> and many other </w:t>
      </w:r>
      <w:r w:rsidRPr="00260A3F" w:rsidR="000C77B9">
        <w:rPr>
          <w:rFonts w:cs="Times New Roman"/>
          <w:szCs w:val="24"/>
        </w:rPr>
        <w:t xml:space="preserve">diverse </w:t>
      </w:r>
      <w:r w:rsidRPr="00260A3F" w:rsidR="00755C7C">
        <w:rPr>
          <w:rFonts w:cs="Times New Roman"/>
          <w:szCs w:val="24"/>
        </w:rPr>
        <w:t xml:space="preserve">parties </w:t>
      </w:r>
      <w:r w:rsidRPr="00260A3F" w:rsidR="00F53C34">
        <w:rPr>
          <w:rFonts w:cs="Times New Roman"/>
          <w:szCs w:val="24"/>
        </w:rPr>
        <w:t>satisfies the PUCO’s three-</w:t>
      </w:r>
      <w:r w:rsidRPr="00260A3F" w:rsidR="003925DF">
        <w:rPr>
          <w:rFonts w:cs="Times New Roman"/>
          <w:szCs w:val="24"/>
        </w:rPr>
        <w:t>prong</w:t>
      </w:r>
      <w:r w:rsidRPr="00260A3F" w:rsidR="00F53C34">
        <w:rPr>
          <w:rFonts w:cs="Times New Roman"/>
          <w:szCs w:val="24"/>
        </w:rPr>
        <w:t xml:space="preserve"> test for evaluating settlements</w:t>
      </w:r>
      <w:r w:rsidRPr="00260A3F" w:rsidR="00D25580">
        <w:rPr>
          <w:rFonts w:cs="Times New Roman"/>
          <w:szCs w:val="24"/>
        </w:rPr>
        <w:t xml:space="preserve">. The PUCO should approve the Settlement </w:t>
      </w:r>
      <w:r w:rsidRPr="00260A3F" w:rsidR="00F53C34">
        <w:rPr>
          <w:rFonts w:cs="Times New Roman"/>
          <w:szCs w:val="24"/>
        </w:rPr>
        <w:t>without modification.</w:t>
      </w:r>
      <w:r w:rsidRPr="00260A3F">
        <w:rPr>
          <w:rFonts w:cs="Times New Roman"/>
          <w:szCs w:val="24"/>
        </w:rPr>
        <w:t xml:space="preserve"> </w:t>
      </w:r>
    </w:p>
    <w:p w:rsidR="00A37DD6" w:rsidRPr="00260A3F" w:rsidP="003A21A6" w14:paraId="0B4E4C1A" w14:textId="26591C8D">
      <w:pPr>
        <w:spacing w:after="0" w:line="480" w:lineRule="auto"/>
        <w:ind w:firstLine="720"/>
        <w:rPr>
          <w:rFonts w:cs="Times New Roman"/>
          <w:szCs w:val="24"/>
        </w:rPr>
      </w:pPr>
      <w:r w:rsidRPr="00260A3F">
        <w:rPr>
          <w:rFonts w:cs="Times New Roman"/>
          <w:szCs w:val="24"/>
        </w:rPr>
        <w:t xml:space="preserve">The Settlement is in the public interest. </w:t>
      </w:r>
      <w:r w:rsidRPr="00260A3F" w:rsidR="00D93D11">
        <w:rPr>
          <w:rFonts w:cs="Times New Roman"/>
          <w:szCs w:val="24"/>
        </w:rPr>
        <w:t>Under the</w:t>
      </w:r>
      <w:r w:rsidRPr="00260A3F">
        <w:rPr>
          <w:rFonts w:cs="Times New Roman"/>
          <w:szCs w:val="24"/>
        </w:rPr>
        <w:t xml:space="preserve"> Settlement</w:t>
      </w:r>
      <w:r w:rsidRPr="00260A3F" w:rsidR="00D93D11">
        <w:rPr>
          <w:rFonts w:cs="Times New Roman"/>
          <w:szCs w:val="24"/>
        </w:rPr>
        <w:t xml:space="preserve">, residential </w:t>
      </w:r>
      <w:r w:rsidRPr="00260A3F" w:rsidR="003A21A6">
        <w:rPr>
          <w:rFonts w:cs="Times New Roman"/>
          <w:szCs w:val="24"/>
        </w:rPr>
        <w:t>consumers</w:t>
      </w:r>
      <w:r w:rsidRPr="00260A3F" w:rsidR="00D93D11">
        <w:rPr>
          <w:rFonts w:cs="Times New Roman"/>
          <w:szCs w:val="24"/>
        </w:rPr>
        <w:t xml:space="preserve"> will </w:t>
      </w:r>
      <w:r w:rsidRPr="00260A3F" w:rsidR="003A21A6">
        <w:rPr>
          <w:rFonts w:cs="Times New Roman"/>
          <w:szCs w:val="24"/>
        </w:rPr>
        <w:t>receive a rate decrease</w:t>
      </w:r>
      <w:r w:rsidRPr="00260A3F" w:rsidR="00D93D11">
        <w:rPr>
          <w:rFonts w:cs="Times New Roman"/>
          <w:szCs w:val="24"/>
        </w:rPr>
        <w:t xml:space="preserve"> for electric distribution services as contrasted with AEP Ohio’s originally proposed rate increase.</w:t>
      </w:r>
      <w:r>
        <w:rPr>
          <w:rStyle w:val="FootnoteReference"/>
          <w:rFonts w:cs="Times New Roman"/>
          <w:szCs w:val="24"/>
        </w:rPr>
        <w:footnoteReference w:id="3"/>
      </w:r>
      <w:r w:rsidRPr="00260A3F" w:rsidR="00C147BE">
        <w:rPr>
          <w:rFonts w:cs="Times New Roman"/>
          <w:szCs w:val="24"/>
        </w:rPr>
        <w:t xml:space="preserve"> </w:t>
      </w:r>
    </w:p>
    <w:p w:rsidR="00F00906" w:rsidRPr="00260A3F" w:rsidP="003A21A6" w14:paraId="0142D96B" w14:textId="77777777">
      <w:pPr>
        <w:spacing w:after="0" w:line="480" w:lineRule="auto"/>
        <w:ind w:firstLine="720"/>
        <w:rPr>
          <w:rFonts w:cs="Times New Roman"/>
          <w:szCs w:val="24"/>
        </w:rPr>
        <w:sectPr w:rsidSect="00746981">
          <w:pgSz w:w="12240" w:h="15840"/>
          <w:pgMar w:top="1440" w:right="1800" w:bottom="1440" w:left="1800" w:header="720" w:footer="720" w:gutter="0"/>
          <w:pgNumType w:start="1"/>
          <w:cols w:space="720"/>
          <w:docGrid w:linePitch="360"/>
        </w:sectPr>
      </w:pPr>
      <w:r w:rsidRPr="00260A3F">
        <w:rPr>
          <w:rFonts w:cs="Times New Roman"/>
          <w:szCs w:val="24"/>
        </w:rPr>
        <w:t>The Settlement is a comprehensive resolution of all issues in AEP Ohio’s base rate case and is just and reasonable.</w:t>
      </w:r>
      <w:r>
        <w:rPr>
          <w:rStyle w:val="FootnoteReference"/>
          <w:rFonts w:cs="Times New Roman"/>
          <w:szCs w:val="24"/>
        </w:rPr>
        <w:footnoteReference w:id="4"/>
      </w:r>
      <w:r w:rsidRPr="00260A3F">
        <w:rPr>
          <w:rFonts w:cs="Times New Roman"/>
          <w:szCs w:val="24"/>
        </w:rPr>
        <w:t xml:space="preserve"> The Settlement is the product of serious bargaining </w:t>
      </w:r>
    </w:p>
    <w:p w:rsidR="00F53C34" w:rsidRPr="00260A3F" w:rsidP="00F00906" w14:paraId="24DCC617" w14:textId="63CE6D45">
      <w:pPr>
        <w:spacing w:after="0" w:line="480" w:lineRule="auto"/>
        <w:rPr>
          <w:rFonts w:cs="Times New Roman"/>
          <w:szCs w:val="24"/>
        </w:rPr>
      </w:pPr>
      <w:r w:rsidRPr="00260A3F">
        <w:rPr>
          <w:rFonts w:cs="Times New Roman"/>
          <w:szCs w:val="24"/>
        </w:rPr>
        <w:t>among capable, knowledgeable, and diverse parties.</w:t>
      </w:r>
      <w:r>
        <w:rPr>
          <w:rStyle w:val="FootnoteReference"/>
          <w:rFonts w:cs="Times New Roman"/>
          <w:szCs w:val="24"/>
        </w:rPr>
        <w:footnoteReference w:id="5"/>
      </w:r>
      <w:r w:rsidRPr="00260A3F">
        <w:rPr>
          <w:rFonts w:cs="Times New Roman"/>
          <w:szCs w:val="24"/>
        </w:rPr>
        <w:t xml:space="preserve"> The Settlement’s signatory parties include</w:t>
      </w:r>
      <w:r w:rsidRPr="00260A3F" w:rsidR="00525283">
        <w:rPr>
          <w:rFonts w:cs="Times New Roman"/>
          <w:szCs w:val="24"/>
        </w:rPr>
        <w:t>, but are not limited to,</w:t>
      </w:r>
      <w:r w:rsidRPr="00260A3F">
        <w:rPr>
          <w:rFonts w:cs="Times New Roman"/>
          <w:szCs w:val="24"/>
        </w:rPr>
        <w:t xml:space="preserve"> Ohio’s statutory advocate</w:t>
      </w:r>
      <w:r w:rsidRPr="00260A3F" w:rsidR="008E6B54">
        <w:rPr>
          <w:rFonts w:cs="Times New Roman"/>
          <w:szCs w:val="24"/>
        </w:rPr>
        <w:t xml:space="preserve"> (OCC)</w:t>
      </w:r>
      <w:r w:rsidRPr="00260A3F">
        <w:rPr>
          <w:rFonts w:cs="Times New Roman"/>
          <w:szCs w:val="24"/>
        </w:rPr>
        <w:t xml:space="preserve"> for AEP</w:t>
      </w:r>
      <w:r w:rsidRPr="00260A3F" w:rsidR="003A21A6">
        <w:rPr>
          <w:rFonts w:cs="Times New Roman"/>
          <w:szCs w:val="24"/>
        </w:rPr>
        <w:t xml:space="preserve"> </w:t>
      </w:r>
      <w:r w:rsidRPr="00260A3F">
        <w:rPr>
          <w:rFonts w:cs="Times New Roman"/>
          <w:szCs w:val="24"/>
        </w:rPr>
        <w:t>Ohio’s 1.3 million residential consumers,</w:t>
      </w:r>
      <w:r w:rsidRPr="00260A3F" w:rsidR="008E6B54">
        <w:rPr>
          <w:rFonts w:cs="Times New Roman"/>
          <w:szCs w:val="24"/>
        </w:rPr>
        <w:t xml:space="preserve"> the utility (AEP Ohio),</w:t>
      </w:r>
      <w:r w:rsidRPr="00260A3F">
        <w:rPr>
          <w:rFonts w:cs="Times New Roman"/>
          <w:szCs w:val="24"/>
        </w:rPr>
        <w:t xml:space="preserve"> the PUCO Staff, organizations representing nonresidential customers, and companies in the electric vehicle </w:t>
      </w:r>
      <w:r w:rsidRPr="00260A3F" w:rsidR="00525283">
        <w:rPr>
          <w:rFonts w:cs="Times New Roman"/>
          <w:szCs w:val="24"/>
        </w:rPr>
        <w:t xml:space="preserve">charging </w:t>
      </w:r>
      <w:r w:rsidRPr="00260A3F">
        <w:rPr>
          <w:rFonts w:cs="Times New Roman"/>
          <w:szCs w:val="24"/>
        </w:rPr>
        <w:t>and renewable energy industries.</w:t>
      </w:r>
      <w:r>
        <w:rPr>
          <w:rStyle w:val="FootnoteReference"/>
          <w:rFonts w:cs="Times New Roman"/>
          <w:szCs w:val="24"/>
        </w:rPr>
        <w:footnoteReference w:id="6"/>
      </w:r>
      <w:r w:rsidRPr="00260A3F" w:rsidR="00755C7C">
        <w:rPr>
          <w:rFonts w:cs="Times New Roman"/>
          <w:szCs w:val="24"/>
        </w:rPr>
        <w:t xml:space="preserve"> </w:t>
      </w:r>
    </w:p>
    <w:p w:rsidR="0027435C" w:rsidRPr="00260A3F" w:rsidP="00D25580" w14:paraId="44CDEA07" w14:textId="2A743671">
      <w:pPr>
        <w:spacing w:after="0" w:line="480" w:lineRule="auto"/>
        <w:ind w:firstLine="720"/>
        <w:rPr>
          <w:rFonts w:cs="Times New Roman"/>
          <w:szCs w:val="24"/>
        </w:rPr>
      </w:pPr>
      <w:r w:rsidRPr="00260A3F">
        <w:rPr>
          <w:rFonts w:cs="Times New Roman"/>
          <w:szCs w:val="24"/>
        </w:rPr>
        <w:t>The Settlement benefits consumers</w:t>
      </w:r>
      <w:r w:rsidRPr="00260A3F" w:rsidR="00A37DD6">
        <w:rPr>
          <w:rFonts w:cs="Times New Roman"/>
          <w:szCs w:val="24"/>
        </w:rPr>
        <w:t xml:space="preserve"> and the public interest.</w:t>
      </w:r>
      <w:r w:rsidRPr="00260A3F" w:rsidR="001F600A">
        <w:rPr>
          <w:rFonts w:cs="Times New Roman"/>
          <w:szCs w:val="24"/>
        </w:rPr>
        <w:t xml:space="preserve"> Among other things, the Settlement reduces </w:t>
      </w:r>
      <w:r w:rsidRPr="00260A3F" w:rsidR="00EA7D2A">
        <w:rPr>
          <w:rFonts w:cs="Times New Roman"/>
          <w:szCs w:val="24"/>
        </w:rPr>
        <w:t>the overall annual base distribution revenue customers will pay by $111 million from AEP Ohio’s initial proposal</w:t>
      </w:r>
      <w:r w:rsidRPr="00260A3F" w:rsidR="001F600A">
        <w:rPr>
          <w:rFonts w:cs="Times New Roman"/>
          <w:szCs w:val="24"/>
        </w:rPr>
        <w:t xml:space="preserve"> of $1.066 billion and reduc</w:t>
      </w:r>
      <w:r w:rsidRPr="00260A3F" w:rsidR="00FA7B1A">
        <w:rPr>
          <w:rFonts w:cs="Times New Roman"/>
          <w:szCs w:val="24"/>
        </w:rPr>
        <w:t>es</w:t>
      </w:r>
      <w:r w:rsidRPr="00260A3F" w:rsidR="001F600A">
        <w:rPr>
          <w:rFonts w:cs="Times New Roman"/>
          <w:szCs w:val="24"/>
        </w:rPr>
        <w:t xml:space="preserve"> the overall rate of return customers will pay from 7.9% to 7.28%.</w:t>
      </w:r>
      <w:r>
        <w:rPr>
          <w:rStyle w:val="FootnoteReference"/>
          <w:rFonts w:cs="Times New Roman"/>
          <w:szCs w:val="24"/>
        </w:rPr>
        <w:footnoteReference w:id="7"/>
      </w:r>
      <w:r w:rsidRPr="00260A3F" w:rsidR="00FA7B1A">
        <w:rPr>
          <w:rFonts w:cs="Times New Roman"/>
          <w:szCs w:val="24"/>
        </w:rPr>
        <w:t xml:space="preserve"> Under the Settlement, residential customers will also pay a smaller percentage</w:t>
      </w:r>
      <w:r w:rsidRPr="00260A3F" w:rsidR="008F0BD8">
        <w:rPr>
          <w:rFonts w:cs="Times New Roman"/>
          <w:szCs w:val="24"/>
        </w:rPr>
        <w:t xml:space="preserve"> of the revenue requirement </w:t>
      </w:r>
      <w:r w:rsidRPr="00260A3F" w:rsidR="00E348AE">
        <w:rPr>
          <w:rFonts w:cs="Times New Roman"/>
          <w:szCs w:val="24"/>
        </w:rPr>
        <w:t>–</w:t>
      </w:r>
      <w:r w:rsidRPr="00260A3F" w:rsidR="008F0BD8">
        <w:rPr>
          <w:rFonts w:cs="Times New Roman"/>
          <w:szCs w:val="24"/>
        </w:rPr>
        <w:t xml:space="preserve"> </w:t>
      </w:r>
      <w:r w:rsidRPr="00260A3F" w:rsidR="00E348AE">
        <w:rPr>
          <w:rFonts w:cs="Times New Roman"/>
          <w:szCs w:val="24"/>
        </w:rPr>
        <w:t xml:space="preserve">56.77% rather than AEP Ohio’s initially proposed 58.86% </w:t>
      </w:r>
      <w:r w:rsidRPr="00260A3F" w:rsidR="003A21A6">
        <w:rPr>
          <w:rFonts w:cs="Times New Roman"/>
          <w:szCs w:val="24"/>
        </w:rPr>
        <w:t>-- which</w:t>
      </w:r>
      <w:r w:rsidRPr="00260A3F" w:rsidR="00E348AE">
        <w:rPr>
          <w:rFonts w:cs="Times New Roman"/>
          <w:szCs w:val="24"/>
        </w:rPr>
        <w:t xml:space="preserve"> </w:t>
      </w:r>
      <w:r w:rsidRPr="00260A3F" w:rsidR="00F53C34">
        <w:rPr>
          <w:rFonts w:cs="Times New Roman"/>
          <w:szCs w:val="24"/>
        </w:rPr>
        <w:t>w</w:t>
      </w:r>
      <w:r w:rsidRPr="00260A3F" w:rsidR="00167F83">
        <w:rPr>
          <w:rFonts w:cs="Times New Roman"/>
          <w:szCs w:val="24"/>
        </w:rPr>
        <w:t>ill</w:t>
      </w:r>
      <w:r w:rsidRPr="00260A3F" w:rsidR="00F53C34">
        <w:rPr>
          <w:rFonts w:cs="Times New Roman"/>
          <w:szCs w:val="24"/>
        </w:rPr>
        <w:t xml:space="preserve"> save residential customers approximately $30 million per year</w:t>
      </w:r>
      <w:r w:rsidRPr="00260A3F" w:rsidR="00E348AE">
        <w:rPr>
          <w:rFonts w:cs="Times New Roman"/>
          <w:szCs w:val="24"/>
        </w:rPr>
        <w:t>.</w:t>
      </w:r>
      <w:r>
        <w:rPr>
          <w:rStyle w:val="FootnoteReference"/>
          <w:rFonts w:cs="Times New Roman"/>
          <w:szCs w:val="24"/>
        </w:rPr>
        <w:footnoteReference w:id="8"/>
      </w:r>
      <w:r w:rsidRPr="00260A3F" w:rsidR="00FA7B1A">
        <w:rPr>
          <w:rFonts w:cs="Times New Roman"/>
          <w:szCs w:val="24"/>
        </w:rPr>
        <w:t xml:space="preserve"> </w:t>
      </w:r>
    </w:p>
    <w:p w:rsidR="00F53C34" w:rsidRPr="00260A3F" w:rsidP="00AF67A8" w14:paraId="6FB8543A" w14:textId="2B14A81A">
      <w:pPr>
        <w:spacing w:after="0" w:line="480" w:lineRule="auto"/>
        <w:ind w:firstLine="720"/>
        <w:rPr>
          <w:rFonts w:cs="Times New Roman"/>
          <w:szCs w:val="24"/>
        </w:rPr>
      </w:pPr>
      <w:r w:rsidRPr="00260A3F">
        <w:rPr>
          <w:rFonts w:cs="Times New Roman"/>
          <w:szCs w:val="24"/>
        </w:rPr>
        <w:t>In addition to providing benefits to consumers, the Settlement</w:t>
      </w:r>
      <w:r w:rsidRPr="00260A3F" w:rsidR="0027435C">
        <w:rPr>
          <w:rFonts w:cs="Times New Roman"/>
          <w:szCs w:val="24"/>
        </w:rPr>
        <w:t xml:space="preserve"> is consistent with </w:t>
      </w:r>
      <w:r w:rsidRPr="00260A3F">
        <w:rPr>
          <w:rFonts w:cs="Times New Roman"/>
          <w:szCs w:val="24"/>
        </w:rPr>
        <w:t>regulatory principle</w:t>
      </w:r>
      <w:r w:rsidRPr="00260A3F" w:rsidR="0027435C">
        <w:rPr>
          <w:rFonts w:cs="Times New Roman"/>
          <w:szCs w:val="24"/>
        </w:rPr>
        <w:t>s and practices</w:t>
      </w:r>
      <w:r w:rsidRPr="00260A3F" w:rsidR="00DD4B64">
        <w:rPr>
          <w:rFonts w:cs="Times New Roman"/>
          <w:szCs w:val="24"/>
        </w:rPr>
        <w:t xml:space="preserve">. </w:t>
      </w:r>
      <w:r w:rsidRPr="00260A3F" w:rsidR="0027435C">
        <w:rPr>
          <w:rFonts w:cs="Times New Roman"/>
          <w:szCs w:val="24"/>
        </w:rPr>
        <w:t>For example, reductions to AEP Ohio’s revenue requirement and spending under the Distribution Investment Rider and Enhanced Service Reliability Rider promote the regulatory principle set forth in</w:t>
      </w:r>
      <w:r w:rsidRPr="00260A3F">
        <w:rPr>
          <w:rFonts w:cs="Times New Roman"/>
          <w:szCs w:val="24"/>
        </w:rPr>
        <w:t xml:space="preserve"> Ohio law that rates charged to consumers be just and reasonable.</w:t>
      </w:r>
      <w:r>
        <w:rPr>
          <w:rStyle w:val="FootnoteReference"/>
          <w:rFonts w:cs="Times New Roman"/>
          <w:szCs w:val="24"/>
        </w:rPr>
        <w:footnoteReference w:id="9"/>
      </w:r>
      <w:r w:rsidRPr="00260A3F" w:rsidR="001F600A">
        <w:rPr>
          <w:rFonts w:cs="Times New Roman"/>
          <w:szCs w:val="24"/>
        </w:rPr>
        <w:t xml:space="preserve"> </w:t>
      </w:r>
      <w:r w:rsidRPr="00260A3F" w:rsidR="0027435C">
        <w:rPr>
          <w:rFonts w:cs="Times New Roman"/>
          <w:szCs w:val="24"/>
        </w:rPr>
        <w:t xml:space="preserve">And as further explained below, the Settlement </w:t>
      </w:r>
      <w:r w:rsidRPr="00260A3F" w:rsidR="00AF67A8">
        <w:rPr>
          <w:rFonts w:cs="Times New Roman"/>
          <w:szCs w:val="24"/>
        </w:rPr>
        <w:t>incentivizes AEP Ohio to meet more stringent reliability standards, which will contribute to the provision of safe, reliable electric distribution service to Ohio consumers.</w:t>
      </w:r>
      <w:r>
        <w:rPr>
          <w:rStyle w:val="FootnoteReference"/>
          <w:rFonts w:cs="Times New Roman"/>
          <w:szCs w:val="24"/>
        </w:rPr>
        <w:footnoteReference w:id="10"/>
      </w:r>
      <w:r w:rsidRPr="00260A3F" w:rsidR="00AF67A8">
        <w:rPr>
          <w:rFonts w:cs="Times New Roman"/>
          <w:szCs w:val="24"/>
        </w:rPr>
        <w:t xml:space="preserve"> </w:t>
      </w:r>
      <w:r w:rsidRPr="00260A3F" w:rsidR="009D25E5">
        <w:rPr>
          <w:rFonts w:cs="Times New Roman"/>
          <w:szCs w:val="24"/>
        </w:rPr>
        <w:t xml:space="preserve"> </w:t>
      </w:r>
    </w:p>
    <w:p w:rsidR="00EA1410" w:rsidRPr="00260A3F" w:rsidP="00EC50A9" w14:paraId="02361C8B" w14:textId="3DB6E590">
      <w:pPr>
        <w:spacing w:after="0" w:line="480" w:lineRule="auto"/>
        <w:ind w:firstLine="720"/>
        <w:rPr>
          <w:rFonts w:cs="Times New Roman"/>
          <w:szCs w:val="24"/>
        </w:rPr>
      </w:pPr>
      <w:r w:rsidRPr="00260A3F">
        <w:rPr>
          <w:rFonts w:cs="Times New Roman"/>
          <w:szCs w:val="24"/>
        </w:rPr>
        <w:t xml:space="preserve">The evidence plainly demonstrates that </w:t>
      </w:r>
      <w:r w:rsidRPr="00260A3F" w:rsidR="00AF67A8">
        <w:rPr>
          <w:rFonts w:cs="Times New Roman"/>
          <w:szCs w:val="24"/>
        </w:rPr>
        <w:t xml:space="preserve">the </w:t>
      </w:r>
      <w:r w:rsidRPr="00260A3F" w:rsidR="00026627">
        <w:rPr>
          <w:rFonts w:cs="Times New Roman"/>
          <w:szCs w:val="24"/>
        </w:rPr>
        <w:t>Settlement</w:t>
      </w:r>
      <w:r w:rsidRPr="00260A3F" w:rsidR="009D25E5">
        <w:rPr>
          <w:rFonts w:cs="Times New Roman"/>
          <w:szCs w:val="24"/>
        </w:rPr>
        <w:t xml:space="preserve"> </w:t>
      </w:r>
      <w:r w:rsidRPr="00260A3F" w:rsidR="00AF67A8">
        <w:rPr>
          <w:rFonts w:cs="Times New Roman"/>
          <w:szCs w:val="24"/>
        </w:rPr>
        <w:t>as a package</w:t>
      </w:r>
      <w:r w:rsidRPr="00260A3F" w:rsidR="00A37DD6">
        <w:rPr>
          <w:rFonts w:cs="Times New Roman"/>
          <w:szCs w:val="24"/>
        </w:rPr>
        <w:t xml:space="preserve"> </w:t>
      </w:r>
      <w:r w:rsidRPr="00260A3F" w:rsidR="009D25E5">
        <w:rPr>
          <w:rFonts w:cs="Times New Roman"/>
          <w:szCs w:val="24"/>
        </w:rPr>
        <w:t>passes the PUCO’s three-prong test for</w:t>
      </w:r>
      <w:r w:rsidRPr="00260A3F" w:rsidR="00026627">
        <w:rPr>
          <w:rFonts w:cs="Times New Roman"/>
          <w:szCs w:val="24"/>
        </w:rPr>
        <w:t xml:space="preserve"> evaluating</w:t>
      </w:r>
      <w:r w:rsidRPr="00260A3F" w:rsidR="009D25E5">
        <w:rPr>
          <w:rFonts w:cs="Times New Roman"/>
          <w:szCs w:val="24"/>
        </w:rPr>
        <w:t xml:space="preserve"> settlement</w:t>
      </w:r>
      <w:r w:rsidRPr="00260A3F" w:rsidR="00AF67A8">
        <w:rPr>
          <w:rFonts w:cs="Times New Roman"/>
          <w:szCs w:val="24"/>
        </w:rPr>
        <w:t xml:space="preserve">s. </w:t>
      </w:r>
      <w:r w:rsidRPr="00260A3F" w:rsidR="00AE2105">
        <w:rPr>
          <w:rFonts w:cs="Times New Roman"/>
          <w:szCs w:val="24"/>
        </w:rPr>
        <w:t xml:space="preserve">For </w:t>
      </w:r>
      <w:r w:rsidRPr="00260A3F" w:rsidR="00645D20">
        <w:rPr>
          <w:rFonts w:cs="Times New Roman"/>
          <w:szCs w:val="24"/>
        </w:rPr>
        <w:t xml:space="preserve">AEP </w:t>
      </w:r>
      <w:r w:rsidRPr="00260A3F">
        <w:rPr>
          <w:rFonts w:cs="Times New Roman"/>
          <w:szCs w:val="24"/>
        </w:rPr>
        <w:t>Ohio</w:t>
      </w:r>
      <w:r w:rsidRPr="00260A3F" w:rsidR="00645D20">
        <w:rPr>
          <w:rFonts w:cs="Times New Roman"/>
          <w:szCs w:val="24"/>
        </w:rPr>
        <w:t>’s</w:t>
      </w:r>
      <w:r w:rsidRPr="00260A3F">
        <w:rPr>
          <w:rFonts w:cs="Times New Roman"/>
          <w:szCs w:val="24"/>
        </w:rPr>
        <w:t xml:space="preserve"> consumers, the PUCO should</w:t>
      </w:r>
      <w:r w:rsidRPr="00260A3F" w:rsidR="00026627">
        <w:rPr>
          <w:rFonts w:cs="Times New Roman"/>
          <w:szCs w:val="24"/>
        </w:rPr>
        <w:t xml:space="preserve"> approve</w:t>
      </w:r>
      <w:r w:rsidRPr="00260A3F" w:rsidR="00AF67A8">
        <w:rPr>
          <w:rFonts w:cs="Times New Roman"/>
          <w:szCs w:val="24"/>
        </w:rPr>
        <w:t xml:space="preserve"> the Settlement in its entirety</w:t>
      </w:r>
      <w:r w:rsidRPr="00260A3F" w:rsidR="009D25E5">
        <w:rPr>
          <w:rFonts w:cs="Times New Roman"/>
          <w:szCs w:val="24"/>
        </w:rPr>
        <w:t xml:space="preserve"> without modification.</w:t>
      </w:r>
    </w:p>
    <w:p w:rsidR="009B419A" w:rsidRPr="00260A3F" w:rsidP="006C1EAB" w14:paraId="01CBFD92" w14:textId="77777777">
      <w:pPr>
        <w:pStyle w:val="Heading1"/>
        <w:rPr>
          <w:rStyle w:val="Heading1Char"/>
          <w:rFonts w:ascii="Times New Roman" w:hAnsi="Times New Roman" w:cs="Times New Roman"/>
          <w:b/>
          <w:bCs/>
          <w:szCs w:val="24"/>
        </w:rPr>
      </w:pPr>
      <w:bookmarkStart w:id="0" w:name="_Toc496097470"/>
      <w:bookmarkStart w:id="1" w:name="_Toc496786155"/>
      <w:bookmarkStart w:id="2" w:name="_Toc511223215"/>
      <w:bookmarkStart w:id="3" w:name="_Toc522277278"/>
      <w:bookmarkStart w:id="4" w:name="_Toc522278748"/>
      <w:bookmarkStart w:id="5" w:name="_Toc74300284"/>
      <w:bookmarkStart w:id="6" w:name="_Toc74578027"/>
      <w:r w:rsidRPr="00260A3F">
        <w:rPr>
          <w:rFonts w:ascii="Times New Roman" w:hAnsi="Times New Roman" w:cs="Times New Roman"/>
          <w:szCs w:val="24"/>
        </w:rPr>
        <w:t>I.</w:t>
      </w:r>
      <w:r w:rsidRPr="00260A3F">
        <w:rPr>
          <w:rFonts w:ascii="Times New Roman" w:hAnsi="Times New Roman" w:cs="Times New Roman"/>
          <w:szCs w:val="24"/>
        </w:rPr>
        <w:tab/>
      </w:r>
      <w:bookmarkEnd w:id="0"/>
      <w:bookmarkEnd w:id="1"/>
      <w:bookmarkEnd w:id="2"/>
      <w:r w:rsidRPr="00260A3F">
        <w:rPr>
          <w:rStyle w:val="Heading1Char"/>
          <w:rFonts w:ascii="Times New Roman" w:hAnsi="Times New Roman" w:cs="Times New Roman"/>
          <w:b/>
          <w:bCs/>
          <w:szCs w:val="24"/>
        </w:rPr>
        <w:t>STANDARD OF REVIEW</w:t>
      </w:r>
      <w:bookmarkEnd w:id="3"/>
      <w:bookmarkEnd w:id="4"/>
      <w:bookmarkEnd w:id="5"/>
      <w:bookmarkEnd w:id="6"/>
    </w:p>
    <w:p w:rsidR="00B70392" w:rsidRPr="00260A3F" w:rsidP="00B70392" w14:paraId="09CB6CBC" w14:textId="4C8C79C1">
      <w:pPr>
        <w:autoSpaceDE w:val="0"/>
        <w:autoSpaceDN w:val="0"/>
        <w:adjustRightInd w:val="0"/>
        <w:spacing w:after="0" w:line="480" w:lineRule="auto"/>
        <w:ind w:firstLine="720"/>
        <w:rPr>
          <w:rFonts w:cs="Times New Roman"/>
          <w:szCs w:val="24"/>
        </w:rPr>
      </w:pPr>
      <w:r w:rsidRPr="00260A3F">
        <w:rPr>
          <w:rFonts w:cs="Times New Roman"/>
          <w:szCs w:val="24"/>
        </w:rPr>
        <w:t>In PUCO proceedings, the applicant bears the burden of proof.</w:t>
      </w:r>
      <w:r>
        <w:rPr>
          <w:rStyle w:val="FootnoteReference"/>
          <w:rFonts w:cs="Times New Roman"/>
          <w:szCs w:val="24"/>
        </w:rPr>
        <w:footnoteReference w:id="11"/>
      </w:r>
      <w:r w:rsidRPr="00260A3F">
        <w:rPr>
          <w:rFonts w:cs="Times New Roman"/>
          <w:szCs w:val="24"/>
        </w:rPr>
        <w:t xml:space="preserve"> In the context of a </w:t>
      </w:r>
      <w:r w:rsidRPr="00260A3F" w:rsidR="003925DF">
        <w:rPr>
          <w:rFonts w:cs="Times New Roman"/>
          <w:szCs w:val="24"/>
        </w:rPr>
        <w:t>settlement</w:t>
      </w:r>
      <w:r w:rsidRPr="00260A3F">
        <w:rPr>
          <w:rFonts w:cs="Times New Roman"/>
          <w:szCs w:val="24"/>
        </w:rPr>
        <w:t>, the signatory parties “bear the burden to support the stipulation” and must “demonstrate that the stipulation is reasonable and satisfies the</w:t>
      </w:r>
      <w:r w:rsidRPr="00260A3F" w:rsidR="005D034D">
        <w:rPr>
          <w:rFonts w:cs="Times New Roman"/>
          <w:szCs w:val="24"/>
        </w:rPr>
        <w:t xml:space="preserve"> [PUCO’s]</w:t>
      </w:r>
      <w:r w:rsidRPr="00260A3F">
        <w:rPr>
          <w:rFonts w:cs="Times New Roman"/>
          <w:szCs w:val="24"/>
        </w:rPr>
        <w:t xml:space="preserve"> three-part test.”</w:t>
      </w:r>
      <w:r>
        <w:rPr>
          <w:rStyle w:val="FootnoteReference"/>
          <w:rFonts w:cs="Times New Roman"/>
          <w:szCs w:val="24"/>
        </w:rPr>
        <w:footnoteReference w:id="12"/>
      </w:r>
      <w:r w:rsidRPr="00260A3F">
        <w:rPr>
          <w:rFonts w:cs="Times New Roman"/>
          <w:szCs w:val="24"/>
        </w:rPr>
        <w:t xml:space="preserve"> A settlement is a recommendation to the PUCO on behalf of the settling parties.</w:t>
      </w:r>
      <w:r>
        <w:rPr>
          <w:rStyle w:val="FootnoteReference"/>
          <w:rFonts w:cs="Times New Roman"/>
          <w:szCs w:val="24"/>
        </w:rPr>
        <w:footnoteReference w:id="13"/>
      </w:r>
      <w:r w:rsidRPr="00260A3F">
        <w:rPr>
          <w:rFonts w:cs="Times New Roman"/>
          <w:szCs w:val="24"/>
        </w:rPr>
        <w:t xml:space="preserve"> It is not binding on the PUCO,</w:t>
      </w:r>
      <w:r>
        <w:rPr>
          <w:rStyle w:val="FootnoteReference"/>
          <w:rFonts w:cs="Times New Roman"/>
          <w:szCs w:val="24"/>
        </w:rPr>
        <w:footnoteReference w:id="14"/>
      </w:r>
      <w:r w:rsidRPr="00260A3F">
        <w:rPr>
          <w:rFonts w:cs="Times New Roman"/>
          <w:szCs w:val="24"/>
        </w:rPr>
        <w:t xml:space="preserve"> and </w:t>
      </w:r>
      <w:r w:rsidRPr="00260A3F" w:rsidR="00252A82">
        <w:rPr>
          <w:rFonts w:cs="Times New Roman"/>
          <w:szCs w:val="24"/>
        </w:rPr>
        <w:t xml:space="preserve">ultimately, </w:t>
      </w:r>
      <w:r w:rsidRPr="00260A3F">
        <w:rPr>
          <w:rFonts w:cs="Times New Roman"/>
          <w:szCs w:val="24"/>
        </w:rPr>
        <w:t>the PUCO must “determine what is just and reasonable from the evidence presented at the hearing.”</w:t>
      </w:r>
      <w:r>
        <w:rPr>
          <w:rStyle w:val="FootnoteReference"/>
          <w:rFonts w:cs="Times New Roman"/>
          <w:szCs w:val="24"/>
        </w:rPr>
        <w:footnoteReference w:id="15"/>
      </w:r>
    </w:p>
    <w:p w:rsidR="00B70392" w:rsidRPr="00260A3F" w:rsidP="00B70392" w14:paraId="5C171F98" w14:textId="75683444">
      <w:pPr>
        <w:autoSpaceDE w:val="0"/>
        <w:autoSpaceDN w:val="0"/>
        <w:adjustRightInd w:val="0"/>
        <w:spacing w:after="0" w:line="480" w:lineRule="auto"/>
        <w:ind w:firstLine="720"/>
        <w:rPr>
          <w:rFonts w:cs="Times New Roman"/>
          <w:szCs w:val="24"/>
        </w:rPr>
      </w:pPr>
      <w:r w:rsidRPr="00260A3F">
        <w:rPr>
          <w:rFonts w:cs="Times New Roman"/>
          <w:szCs w:val="24"/>
        </w:rPr>
        <w:t xml:space="preserve">To answer </w:t>
      </w:r>
      <w:r w:rsidRPr="00260A3F" w:rsidR="009D25E5">
        <w:rPr>
          <w:rFonts w:cs="Times New Roman"/>
          <w:szCs w:val="24"/>
        </w:rPr>
        <w:t>this question, the PUCO has adopted the following three-prong test:</w:t>
      </w:r>
      <w:r>
        <w:rPr>
          <w:rFonts w:cs="Times New Roman"/>
          <w:szCs w:val="24"/>
          <w:vertAlign w:val="superscript"/>
        </w:rPr>
        <w:footnoteReference w:id="16"/>
      </w:r>
    </w:p>
    <w:p w:rsidR="00B70392" w:rsidRPr="00260A3F" w:rsidP="000C76D8" w14:paraId="7E23FCFF" w14:textId="77777777">
      <w:pPr>
        <w:numPr>
          <w:ilvl w:val="0"/>
          <w:numId w:val="13"/>
        </w:numPr>
        <w:autoSpaceDE w:val="0"/>
        <w:autoSpaceDN w:val="0"/>
        <w:adjustRightInd w:val="0"/>
        <w:spacing w:after="240" w:line="240" w:lineRule="auto"/>
        <w:ind w:left="1440" w:hanging="720"/>
        <w:rPr>
          <w:rFonts w:cs="Times New Roman"/>
          <w:szCs w:val="24"/>
        </w:rPr>
      </w:pPr>
      <w:r w:rsidRPr="00260A3F">
        <w:rPr>
          <w:rFonts w:cs="Times New Roman"/>
          <w:szCs w:val="24"/>
        </w:rPr>
        <w:t>Is the settlement a product of serious bargaining among capable, knowledgeable parties?</w:t>
      </w:r>
    </w:p>
    <w:p w:rsidR="00B70392" w:rsidRPr="00260A3F" w:rsidP="000C76D8" w14:paraId="45ADBE0B" w14:textId="77777777">
      <w:pPr>
        <w:numPr>
          <w:ilvl w:val="0"/>
          <w:numId w:val="13"/>
        </w:numPr>
        <w:autoSpaceDE w:val="0"/>
        <w:autoSpaceDN w:val="0"/>
        <w:adjustRightInd w:val="0"/>
        <w:spacing w:after="240" w:line="240" w:lineRule="auto"/>
        <w:ind w:left="1440" w:hanging="720"/>
        <w:rPr>
          <w:rFonts w:cs="Times New Roman"/>
          <w:szCs w:val="24"/>
        </w:rPr>
      </w:pPr>
      <w:r w:rsidRPr="00260A3F">
        <w:rPr>
          <w:rFonts w:cs="Times New Roman"/>
          <w:szCs w:val="24"/>
        </w:rPr>
        <w:t>Does the settlement, as a package, benefit customers and the public interest?</w:t>
      </w:r>
    </w:p>
    <w:p w:rsidR="00645D20" w:rsidRPr="00260A3F" w:rsidP="000C76D8" w14:paraId="27BC7AB1" w14:textId="2B597F89">
      <w:pPr>
        <w:numPr>
          <w:ilvl w:val="0"/>
          <w:numId w:val="13"/>
        </w:numPr>
        <w:spacing w:after="240" w:line="480" w:lineRule="auto"/>
        <w:ind w:left="1440" w:hanging="720"/>
        <w:rPr>
          <w:rFonts w:cs="Times New Roman"/>
          <w:szCs w:val="24"/>
        </w:rPr>
      </w:pPr>
      <w:r w:rsidRPr="00260A3F">
        <w:rPr>
          <w:rFonts w:cs="Times New Roman"/>
          <w:szCs w:val="24"/>
        </w:rPr>
        <w:t>Does the settlement violate any important regulatory principle or practice?</w:t>
      </w:r>
    </w:p>
    <w:p w:rsidR="00314CCD" w:rsidRPr="00260A3F" w:rsidP="00645D20" w14:paraId="53ECA98D" w14:textId="1B5C364E">
      <w:pPr>
        <w:spacing w:after="0" w:line="480" w:lineRule="auto"/>
        <w:rPr>
          <w:rFonts w:cs="Times New Roman"/>
          <w:szCs w:val="24"/>
        </w:rPr>
      </w:pPr>
      <w:r w:rsidRPr="00260A3F">
        <w:rPr>
          <w:rFonts w:cs="Times New Roman"/>
          <w:szCs w:val="24"/>
        </w:rPr>
        <w:t xml:space="preserve">In considering the first prong, the PUCO </w:t>
      </w:r>
      <w:r w:rsidRPr="00260A3F" w:rsidR="007740C9">
        <w:rPr>
          <w:rFonts w:cs="Times New Roman"/>
          <w:szCs w:val="24"/>
        </w:rPr>
        <w:t xml:space="preserve">may also </w:t>
      </w:r>
      <w:r w:rsidRPr="00260A3F">
        <w:rPr>
          <w:rFonts w:cs="Times New Roman"/>
          <w:szCs w:val="24"/>
        </w:rPr>
        <w:t>evaluate the diversity of the signatory parties, though no threshold level of diversity is mandatory for approval.</w:t>
      </w:r>
      <w:r>
        <w:rPr>
          <w:rStyle w:val="FootnoteReference"/>
          <w:rFonts w:cs="Times New Roman"/>
          <w:szCs w:val="24"/>
        </w:rPr>
        <w:footnoteReference w:id="17"/>
      </w:r>
    </w:p>
    <w:p w:rsidR="006C1EAB" w:rsidRPr="00260A3F" w:rsidP="006C1EAB" w14:paraId="3B9C1897" w14:textId="371D5BDD">
      <w:pPr>
        <w:pStyle w:val="Heading1"/>
        <w:rPr>
          <w:rFonts w:ascii="Times New Roman" w:hAnsi="Times New Roman" w:cs="Times New Roman"/>
          <w:szCs w:val="24"/>
        </w:rPr>
      </w:pPr>
      <w:bookmarkStart w:id="7" w:name="_Toc74300285"/>
      <w:bookmarkStart w:id="8" w:name="_Toc74578028"/>
      <w:r w:rsidRPr="00260A3F">
        <w:rPr>
          <w:rFonts w:ascii="Times New Roman" w:hAnsi="Times New Roman" w:cs="Times New Roman"/>
          <w:szCs w:val="24"/>
        </w:rPr>
        <w:t>II.</w:t>
      </w:r>
      <w:r w:rsidRPr="00260A3F">
        <w:rPr>
          <w:rFonts w:ascii="Times New Roman" w:hAnsi="Times New Roman" w:cs="Times New Roman"/>
          <w:szCs w:val="24"/>
        </w:rPr>
        <w:tab/>
        <w:t>THE SETTLEMENT SATISFIE</w:t>
      </w:r>
      <w:r w:rsidRPr="00260A3F" w:rsidR="007B4F88">
        <w:rPr>
          <w:rFonts w:ascii="Times New Roman" w:hAnsi="Times New Roman" w:cs="Times New Roman"/>
          <w:szCs w:val="24"/>
        </w:rPr>
        <w:t>S</w:t>
      </w:r>
      <w:r w:rsidRPr="00260A3F">
        <w:rPr>
          <w:rFonts w:ascii="Times New Roman" w:hAnsi="Times New Roman" w:cs="Times New Roman"/>
          <w:szCs w:val="24"/>
        </w:rPr>
        <w:t xml:space="preserve"> THE PUCO’S THREE-PRONG TEST AND IT SHOULD BE APPROVED WITHOUT MODIFICATION.</w:t>
      </w:r>
      <w:bookmarkEnd w:id="7"/>
      <w:bookmarkEnd w:id="8"/>
    </w:p>
    <w:p w:rsidR="006C1EAB" w:rsidRPr="00260A3F" w:rsidP="00672E11" w14:paraId="261E068D" w14:textId="39605C36">
      <w:pPr>
        <w:pStyle w:val="Heading2"/>
      </w:pPr>
      <w:bookmarkStart w:id="9" w:name="_Toc74300286"/>
      <w:bookmarkStart w:id="10" w:name="_Toc74578029"/>
      <w:r w:rsidRPr="00260A3F">
        <w:t>The Settlement is the product of serious bargaining among capable, knowledgeable parties with diverse interests.</w:t>
      </w:r>
      <w:bookmarkEnd w:id="9"/>
      <w:bookmarkEnd w:id="10"/>
    </w:p>
    <w:p w:rsidR="00247C76" w:rsidRPr="00260A3F" w:rsidP="0091059B" w14:paraId="67302A9C" w14:textId="24316CD9">
      <w:pPr>
        <w:spacing w:after="0" w:line="480" w:lineRule="auto"/>
        <w:ind w:firstLine="720"/>
        <w:rPr>
          <w:rFonts w:cs="Times New Roman"/>
          <w:szCs w:val="24"/>
        </w:rPr>
      </w:pPr>
      <w:r w:rsidRPr="00260A3F">
        <w:rPr>
          <w:rFonts w:cs="Times New Roman"/>
          <w:szCs w:val="24"/>
        </w:rPr>
        <w:t>The evidence demonstrates that</w:t>
      </w:r>
      <w:r w:rsidRPr="00260A3F" w:rsidR="009D25E5">
        <w:rPr>
          <w:rFonts w:cs="Times New Roman"/>
          <w:szCs w:val="24"/>
        </w:rPr>
        <w:t xml:space="preserve"> </w:t>
      </w:r>
      <w:r w:rsidRPr="00260A3F">
        <w:rPr>
          <w:rFonts w:cs="Times New Roman"/>
          <w:szCs w:val="24"/>
        </w:rPr>
        <w:t>the</w:t>
      </w:r>
      <w:r w:rsidRPr="00260A3F" w:rsidR="00956129">
        <w:rPr>
          <w:rFonts w:cs="Times New Roman"/>
          <w:szCs w:val="24"/>
        </w:rPr>
        <w:t xml:space="preserve"> </w:t>
      </w:r>
      <w:r w:rsidRPr="00260A3F" w:rsidR="00E545EC">
        <w:rPr>
          <w:rFonts w:cs="Times New Roman"/>
          <w:szCs w:val="24"/>
        </w:rPr>
        <w:t>S</w:t>
      </w:r>
      <w:r w:rsidRPr="00260A3F" w:rsidR="00956129">
        <w:rPr>
          <w:rFonts w:cs="Times New Roman"/>
          <w:szCs w:val="24"/>
        </w:rPr>
        <w:t>ettlement satisfies the</w:t>
      </w:r>
      <w:r w:rsidRPr="00260A3F">
        <w:rPr>
          <w:rFonts w:cs="Times New Roman"/>
          <w:szCs w:val="24"/>
        </w:rPr>
        <w:t xml:space="preserve"> </w:t>
      </w:r>
      <w:r w:rsidRPr="00260A3F" w:rsidR="009D25E5">
        <w:rPr>
          <w:rFonts w:cs="Times New Roman"/>
          <w:szCs w:val="24"/>
        </w:rPr>
        <w:t>first prong of the</w:t>
      </w:r>
      <w:r w:rsidRPr="00260A3F">
        <w:rPr>
          <w:rFonts w:cs="Times New Roman"/>
          <w:szCs w:val="24"/>
        </w:rPr>
        <w:t xml:space="preserve"> PUCO’s</w:t>
      </w:r>
      <w:r w:rsidRPr="00260A3F" w:rsidR="009D25E5">
        <w:rPr>
          <w:rFonts w:cs="Times New Roman"/>
          <w:szCs w:val="24"/>
        </w:rPr>
        <w:t xml:space="preserve"> test</w:t>
      </w:r>
      <w:r w:rsidRPr="00260A3F">
        <w:rPr>
          <w:rFonts w:cs="Times New Roman"/>
          <w:szCs w:val="24"/>
        </w:rPr>
        <w:t xml:space="preserve"> for evaluating settlement</w:t>
      </w:r>
      <w:r w:rsidRPr="00260A3F" w:rsidR="00956129">
        <w:rPr>
          <w:rFonts w:cs="Times New Roman"/>
          <w:szCs w:val="24"/>
        </w:rPr>
        <w:t>s</w:t>
      </w:r>
      <w:r w:rsidRPr="00260A3F" w:rsidR="00F4726E">
        <w:rPr>
          <w:rFonts w:cs="Times New Roman"/>
          <w:szCs w:val="24"/>
        </w:rPr>
        <w:t xml:space="preserve">, which </w:t>
      </w:r>
      <w:r w:rsidRPr="00260A3F" w:rsidR="00357F68">
        <w:rPr>
          <w:rFonts w:cs="Times New Roman"/>
          <w:szCs w:val="24"/>
        </w:rPr>
        <w:t>considers</w:t>
      </w:r>
      <w:r w:rsidRPr="00260A3F" w:rsidR="00F4726E">
        <w:rPr>
          <w:rFonts w:cs="Times New Roman"/>
          <w:szCs w:val="24"/>
        </w:rPr>
        <w:t xml:space="preserve"> whether the Settlement is the product of serious bargaining among capable, knowledgeable parties</w:t>
      </w:r>
      <w:r w:rsidRPr="00260A3F" w:rsidR="009D25E5">
        <w:rPr>
          <w:rFonts w:cs="Times New Roman"/>
          <w:szCs w:val="24"/>
        </w:rPr>
        <w:t xml:space="preserve">. </w:t>
      </w:r>
      <w:r w:rsidRPr="00260A3F">
        <w:rPr>
          <w:rFonts w:cs="Times New Roman"/>
          <w:szCs w:val="24"/>
        </w:rPr>
        <w:t xml:space="preserve">As stated above, the PUCO may also consider the diversity of interests represented by </w:t>
      </w:r>
      <w:r w:rsidRPr="00260A3F" w:rsidR="0093368A">
        <w:rPr>
          <w:rFonts w:cs="Times New Roman"/>
          <w:szCs w:val="24"/>
        </w:rPr>
        <w:t>the signatory parties.</w:t>
      </w:r>
    </w:p>
    <w:p w:rsidR="00B023DD" w:rsidRPr="00260A3F" w:rsidP="0091059B" w14:paraId="1325BD67" w14:textId="1C2BC3E6">
      <w:pPr>
        <w:spacing w:after="0" w:line="480" w:lineRule="auto"/>
        <w:ind w:firstLine="720"/>
        <w:rPr>
          <w:rFonts w:cs="Times New Roman"/>
          <w:szCs w:val="24"/>
        </w:rPr>
      </w:pPr>
      <w:r w:rsidRPr="00260A3F">
        <w:rPr>
          <w:rFonts w:cs="Times New Roman"/>
          <w:szCs w:val="24"/>
        </w:rPr>
        <w:t xml:space="preserve">OCC witness Willis testified </w:t>
      </w:r>
      <w:r w:rsidRPr="00260A3F" w:rsidR="002D1B6C">
        <w:rPr>
          <w:rFonts w:cs="Times New Roman"/>
          <w:szCs w:val="24"/>
        </w:rPr>
        <w:t>that parties spent significant time</w:t>
      </w:r>
      <w:r w:rsidRPr="00260A3F" w:rsidR="00444919">
        <w:rPr>
          <w:rFonts w:cs="Times New Roman"/>
          <w:szCs w:val="24"/>
        </w:rPr>
        <w:t xml:space="preserve"> over the course of </w:t>
      </w:r>
      <w:r w:rsidRPr="00260A3F" w:rsidR="00BF6E90">
        <w:rPr>
          <w:rFonts w:cs="Times New Roman"/>
          <w:szCs w:val="24"/>
        </w:rPr>
        <w:t>nearly</w:t>
      </w:r>
      <w:r w:rsidRPr="00260A3F" w:rsidR="00444919">
        <w:rPr>
          <w:rFonts w:cs="Times New Roman"/>
          <w:szCs w:val="24"/>
        </w:rPr>
        <w:t xml:space="preserve"> three months negotiating the </w:t>
      </w:r>
      <w:r w:rsidRPr="00260A3F" w:rsidR="00E545EC">
        <w:rPr>
          <w:rFonts w:cs="Times New Roman"/>
          <w:szCs w:val="24"/>
        </w:rPr>
        <w:t>S</w:t>
      </w:r>
      <w:r w:rsidRPr="00260A3F" w:rsidR="00444919">
        <w:rPr>
          <w:rFonts w:cs="Times New Roman"/>
          <w:szCs w:val="24"/>
        </w:rPr>
        <w:t>ettlement.</w:t>
      </w:r>
      <w:r>
        <w:rPr>
          <w:rStyle w:val="FootnoteReference"/>
          <w:rFonts w:cs="Times New Roman"/>
          <w:szCs w:val="24"/>
        </w:rPr>
        <w:footnoteReference w:id="18"/>
      </w:r>
      <w:r w:rsidRPr="00260A3F" w:rsidR="00444919">
        <w:rPr>
          <w:rFonts w:cs="Times New Roman"/>
          <w:szCs w:val="24"/>
        </w:rPr>
        <w:t xml:space="preserve"> Mr. Willis testified that</w:t>
      </w:r>
      <w:r w:rsidRPr="00260A3F" w:rsidR="009D25E5">
        <w:rPr>
          <w:rFonts w:cs="Times New Roman"/>
          <w:szCs w:val="24"/>
        </w:rPr>
        <w:t> the</w:t>
      </w:r>
      <w:r w:rsidRPr="00260A3F" w:rsidR="00F4726E">
        <w:rPr>
          <w:rFonts w:cs="Times New Roman"/>
          <w:szCs w:val="24"/>
        </w:rPr>
        <w:t xml:space="preserve"> signatory</w:t>
      </w:r>
      <w:r w:rsidRPr="00260A3F" w:rsidR="009D25E5">
        <w:rPr>
          <w:rFonts w:cs="Times New Roman"/>
          <w:szCs w:val="24"/>
        </w:rPr>
        <w:t xml:space="preserve"> parties</w:t>
      </w:r>
      <w:r w:rsidRPr="00260A3F" w:rsidR="00BF6E90">
        <w:rPr>
          <w:rFonts w:cs="Times New Roman"/>
          <w:szCs w:val="24"/>
        </w:rPr>
        <w:t xml:space="preserve"> have a history of active participation in proceedings before the PUCO and</w:t>
      </w:r>
      <w:r w:rsidRPr="00260A3F" w:rsidR="009D25E5">
        <w:rPr>
          <w:rFonts w:cs="Times New Roman"/>
          <w:szCs w:val="24"/>
        </w:rPr>
        <w:t xml:space="preserve"> were represented by experienced and competent counsel</w:t>
      </w:r>
      <w:r w:rsidRPr="00260A3F" w:rsidR="00BF6E90">
        <w:rPr>
          <w:rFonts w:cs="Times New Roman"/>
          <w:szCs w:val="24"/>
        </w:rPr>
        <w:t>.</w:t>
      </w:r>
      <w:r>
        <w:rPr>
          <w:rStyle w:val="FootnoteReference"/>
          <w:rFonts w:cs="Times New Roman"/>
          <w:szCs w:val="24"/>
        </w:rPr>
        <w:footnoteReference w:id="19"/>
      </w:r>
      <w:r w:rsidRPr="00260A3F" w:rsidR="009D25E5">
        <w:rPr>
          <w:rFonts w:cs="Times New Roman"/>
          <w:szCs w:val="24"/>
        </w:rPr>
        <w:t xml:space="preserve"> </w:t>
      </w:r>
    </w:p>
    <w:p w:rsidR="00BF6E90" w:rsidRPr="00260A3F" w:rsidP="006621F6" w14:paraId="277FC92E" w14:textId="20EDE152">
      <w:pPr>
        <w:spacing w:after="0" w:line="480" w:lineRule="auto"/>
        <w:ind w:firstLine="720"/>
        <w:rPr>
          <w:rFonts w:cs="Times New Roman"/>
          <w:szCs w:val="24"/>
        </w:rPr>
      </w:pPr>
      <w:r w:rsidRPr="00260A3F">
        <w:rPr>
          <w:rFonts w:cs="Times New Roman"/>
          <w:szCs w:val="24"/>
        </w:rPr>
        <w:t xml:space="preserve">The </w:t>
      </w:r>
      <w:r w:rsidRPr="00260A3F" w:rsidR="00B023DD">
        <w:rPr>
          <w:rFonts w:cs="Times New Roman"/>
          <w:szCs w:val="24"/>
        </w:rPr>
        <w:t>signatory parties to the Settlement</w:t>
      </w:r>
      <w:r w:rsidRPr="00260A3F">
        <w:rPr>
          <w:rFonts w:cs="Times New Roman"/>
          <w:szCs w:val="24"/>
        </w:rPr>
        <w:t xml:space="preserve"> also</w:t>
      </w:r>
      <w:r w:rsidRPr="00260A3F" w:rsidR="00B023DD">
        <w:rPr>
          <w:rFonts w:cs="Times New Roman"/>
          <w:szCs w:val="24"/>
        </w:rPr>
        <w:t xml:space="preserve"> represent</w:t>
      </w:r>
      <w:r w:rsidRPr="00260A3F">
        <w:rPr>
          <w:rFonts w:cs="Times New Roman"/>
          <w:szCs w:val="24"/>
        </w:rPr>
        <w:t xml:space="preserve"> diverse interes</w:t>
      </w:r>
      <w:r w:rsidRPr="00260A3F" w:rsidR="00BB4D52">
        <w:rPr>
          <w:rFonts w:cs="Times New Roman"/>
          <w:szCs w:val="24"/>
        </w:rPr>
        <w:t>ts</w:t>
      </w:r>
      <w:r w:rsidRPr="00260A3F" w:rsidR="00956129">
        <w:rPr>
          <w:rFonts w:cs="Times New Roman"/>
          <w:szCs w:val="24"/>
        </w:rPr>
        <w:t>. The signatory parties</w:t>
      </w:r>
      <w:r w:rsidRPr="00260A3F" w:rsidR="00645D20">
        <w:rPr>
          <w:rFonts w:cs="Times New Roman"/>
          <w:szCs w:val="24"/>
        </w:rPr>
        <w:t xml:space="preserve"> include: OCC</w:t>
      </w:r>
      <w:r w:rsidRPr="00260A3F" w:rsidR="007358BD">
        <w:rPr>
          <w:rFonts w:cs="Times New Roman"/>
          <w:szCs w:val="24"/>
        </w:rPr>
        <w:t>; AEP Ohio</w:t>
      </w:r>
      <w:r w:rsidRPr="00260A3F" w:rsidR="00645D20">
        <w:rPr>
          <w:rFonts w:cs="Times New Roman"/>
          <w:szCs w:val="24"/>
        </w:rPr>
        <w:t xml:space="preserve">; </w:t>
      </w:r>
      <w:r w:rsidRPr="00260A3F" w:rsidR="0091059B">
        <w:rPr>
          <w:rFonts w:cs="Times New Roman"/>
          <w:szCs w:val="24"/>
        </w:rPr>
        <w:t xml:space="preserve">the PUCO Staff; Ohio Energy Group; Industrial Energy Users – Ohio; Ohio Manufacturers’ Association Energy Group; the Ohio Hospital Association; </w:t>
      </w:r>
      <w:r w:rsidRPr="00260A3F" w:rsidR="0021069E">
        <w:rPr>
          <w:rFonts w:cs="Times New Roman"/>
          <w:szCs w:val="24"/>
        </w:rPr>
        <w:t>Walmart</w:t>
      </w:r>
      <w:r w:rsidRPr="00260A3F" w:rsidR="0091059B">
        <w:rPr>
          <w:rFonts w:cs="Times New Roman"/>
          <w:szCs w:val="24"/>
        </w:rPr>
        <w:t xml:space="preserve"> Stores East, L.P. and Sam’s East, Inc.;</w:t>
      </w:r>
      <w:r w:rsidRPr="00260A3F" w:rsidR="0021069E">
        <w:rPr>
          <w:rFonts w:cs="Times New Roman"/>
          <w:szCs w:val="24"/>
        </w:rPr>
        <w:t xml:space="preserve"> </w:t>
      </w:r>
      <w:r w:rsidRPr="00260A3F" w:rsidR="0091059B">
        <w:rPr>
          <w:rFonts w:cs="Times New Roman"/>
          <w:szCs w:val="24"/>
        </w:rPr>
        <w:t>The</w:t>
      </w:r>
      <w:r w:rsidRPr="00260A3F" w:rsidR="0021069E">
        <w:rPr>
          <w:rFonts w:cs="Times New Roman"/>
          <w:szCs w:val="24"/>
        </w:rPr>
        <w:t xml:space="preserve"> Kroger</w:t>
      </w:r>
      <w:r w:rsidRPr="00260A3F" w:rsidR="0091059B">
        <w:rPr>
          <w:rFonts w:cs="Times New Roman"/>
          <w:szCs w:val="24"/>
        </w:rPr>
        <w:t xml:space="preserve"> Company; One Energy; Clean Fuels Ohio; Charge Point; EVgo; and Ohio Cable Telecommunications Association</w:t>
      </w:r>
      <w:r w:rsidRPr="00260A3F" w:rsidR="00BB4D52">
        <w:rPr>
          <w:rFonts w:cs="Times New Roman"/>
          <w:szCs w:val="24"/>
        </w:rPr>
        <w:t>.</w:t>
      </w:r>
      <w:r>
        <w:rPr>
          <w:rStyle w:val="FootnoteReference"/>
          <w:rFonts w:cs="Times New Roman"/>
          <w:szCs w:val="24"/>
        </w:rPr>
        <w:footnoteReference w:id="20"/>
      </w:r>
      <w:r w:rsidRPr="00260A3F" w:rsidR="00BF3AF5">
        <w:rPr>
          <w:rFonts w:cs="Times New Roman"/>
          <w:szCs w:val="24"/>
        </w:rPr>
        <w:t xml:space="preserve"> </w:t>
      </w:r>
      <w:r w:rsidRPr="00260A3F" w:rsidR="002B5DFD">
        <w:rPr>
          <w:rFonts w:cs="Times New Roman"/>
          <w:szCs w:val="24"/>
        </w:rPr>
        <w:t>Together</w:t>
      </w:r>
      <w:r w:rsidRPr="00260A3F" w:rsidR="00E5277E">
        <w:rPr>
          <w:rFonts w:cs="Times New Roman"/>
          <w:szCs w:val="24"/>
        </w:rPr>
        <w:t>, the</w:t>
      </w:r>
      <w:r w:rsidRPr="00260A3F">
        <w:rPr>
          <w:rFonts w:cs="Times New Roman"/>
          <w:szCs w:val="24"/>
        </w:rPr>
        <w:t xml:space="preserve">se parties </w:t>
      </w:r>
      <w:r w:rsidRPr="00260A3F" w:rsidR="00E5277E">
        <w:rPr>
          <w:rFonts w:cs="Times New Roman"/>
          <w:szCs w:val="24"/>
        </w:rPr>
        <w:t>represent the</w:t>
      </w:r>
      <w:r w:rsidRPr="00260A3F">
        <w:rPr>
          <w:rFonts w:cs="Times New Roman"/>
          <w:szCs w:val="24"/>
        </w:rPr>
        <w:t xml:space="preserve"> interests of the</w:t>
      </w:r>
      <w:r w:rsidRPr="00260A3F" w:rsidR="00E5277E">
        <w:rPr>
          <w:rFonts w:cs="Times New Roman"/>
          <w:szCs w:val="24"/>
        </w:rPr>
        <w:t xml:space="preserve"> utility, AEP Ohio’s residential and nonresidential consumers, hospitals, large supermarket chains, cable telecommunications providers, and companies in the renewable energy and electric vehicle charging industries. </w:t>
      </w:r>
      <w:r w:rsidRPr="00260A3F" w:rsidR="00BF3AF5">
        <w:rPr>
          <w:rFonts w:cs="Times New Roman"/>
          <w:szCs w:val="24"/>
        </w:rPr>
        <w:t>In addition, Greenlots</w:t>
      </w:r>
      <w:r w:rsidRPr="00260A3F" w:rsidR="00B023DD">
        <w:rPr>
          <w:rFonts w:cs="Times New Roman"/>
          <w:szCs w:val="24"/>
        </w:rPr>
        <w:t>, a party to this proceeding and provider of electric vehicle charging software,</w:t>
      </w:r>
      <w:r w:rsidRPr="00260A3F" w:rsidR="00BF3AF5">
        <w:rPr>
          <w:rFonts w:cs="Times New Roman"/>
          <w:szCs w:val="24"/>
        </w:rPr>
        <w:t xml:space="preserve"> filed a letter </w:t>
      </w:r>
      <w:r w:rsidRPr="00260A3F" w:rsidR="00B023DD">
        <w:rPr>
          <w:rFonts w:cs="Times New Roman"/>
          <w:szCs w:val="24"/>
        </w:rPr>
        <w:t>with the PUCO</w:t>
      </w:r>
      <w:r w:rsidRPr="00260A3F" w:rsidR="00BF3AF5">
        <w:rPr>
          <w:rFonts w:cs="Times New Roman"/>
          <w:szCs w:val="24"/>
        </w:rPr>
        <w:t xml:space="preserve"> stating that it does not oppose the Settlement.</w:t>
      </w:r>
      <w:r>
        <w:rPr>
          <w:rStyle w:val="FootnoteReference"/>
          <w:rFonts w:cs="Times New Roman"/>
          <w:szCs w:val="24"/>
        </w:rPr>
        <w:footnoteReference w:id="21"/>
      </w:r>
    </w:p>
    <w:p w:rsidR="00394858" w:rsidRPr="00260A3F" w:rsidP="006228C8" w14:paraId="5652AF3E" w14:textId="499D3E46">
      <w:pPr>
        <w:spacing w:after="0" w:line="480" w:lineRule="auto"/>
        <w:ind w:firstLine="720"/>
        <w:rPr>
          <w:rFonts w:cs="Times New Roman"/>
          <w:szCs w:val="24"/>
        </w:rPr>
      </w:pPr>
      <w:r w:rsidRPr="00260A3F">
        <w:rPr>
          <w:rFonts w:cs="Times New Roman"/>
          <w:szCs w:val="24"/>
        </w:rPr>
        <w:t>AEP Ohio</w:t>
      </w:r>
      <w:r w:rsidRPr="00260A3F" w:rsidR="009D25E5">
        <w:rPr>
          <w:rFonts w:cs="Times New Roman"/>
          <w:szCs w:val="24"/>
        </w:rPr>
        <w:t xml:space="preserve"> witness </w:t>
      </w:r>
      <w:r w:rsidRPr="00260A3F">
        <w:rPr>
          <w:rFonts w:cs="Times New Roman"/>
          <w:szCs w:val="24"/>
        </w:rPr>
        <w:t>Moore</w:t>
      </w:r>
      <w:r w:rsidRPr="00260A3F" w:rsidR="009D25E5">
        <w:rPr>
          <w:rFonts w:cs="Times New Roman"/>
          <w:szCs w:val="24"/>
        </w:rPr>
        <w:t xml:space="preserve"> </w:t>
      </w:r>
      <w:r w:rsidRPr="00260A3F" w:rsidR="002D0A99">
        <w:rPr>
          <w:rFonts w:cs="Times New Roman"/>
          <w:szCs w:val="24"/>
        </w:rPr>
        <w:t xml:space="preserve">and PUCO Staff witness Lipthratt </w:t>
      </w:r>
      <w:r w:rsidRPr="00260A3F" w:rsidR="00956129">
        <w:rPr>
          <w:rFonts w:cs="Times New Roman"/>
          <w:szCs w:val="24"/>
        </w:rPr>
        <w:t>further</w:t>
      </w:r>
      <w:r w:rsidRPr="00260A3F" w:rsidR="009D25E5">
        <w:rPr>
          <w:rFonts w:cs="Times New Roman"/>
          <w:szCs w:val="24"/>
        </w:rPr>
        <w:t xml:space="preserve"> testified that the Settlement meets the first prong of the PUCO’s settlement test.</w:t>
      </w:r>
      <w:r>
        <w:rPr>
          <w:rStyle w:val="FootnoteReference"/>
          <w:rFonts w:cs="Times New Roman"/>
          <w:szCs w:val="24"/>
        </w:rPr>
        <w:footnoteReference w:id="22"/>
      </w:r>
      <w:r w:rsidRPr="00260A3F" w:rsidR="00A838AA">
        <w:rPr>
          <w:rFonts w:cs="Times New Roman"/>
          <w:szCs w:val="24"/>
        </w:rPr>
        <w:t xml:space="preserve"> Ms. Moore testified that there were numerous settlement negotiation meetings and that “[a]ll parties were invited to these meetings and no party was left out of the opportunity to negotiate.”</w:t>
      </w:r>
      <w:r>
        <w:rPr>
          <w:rStyle w:val="FootnoteReference"/>
          <w:rFonts w:cs="Times New Roman"/>
          <w:szCs w:val="24"/>
        </w:rPr>
        <w:footnoteReference w:id="23"/>
      </w:r>
      <w:r w:rsidRPr="00260A3F" w:rsidR="009D25E5">
        <w:rPr>
          <w:rFonts w:cs="Times New Roman"/>
          <w:szCs w:val="24"/>
        </w:rPr>
        <w:t xml:space="preserve"> </w:t>
      </w:r>
    </w:p>
    <w:p w:rsidR="00376E35" w:rsidRPr="00260A3F" w:rsidP="00376E35" w14:paraId="6B8BEF39" w14:textId="03EEC70D">
      <w:pPr>
        <w:spacing w:after="0" w:line="480" w:lineRule="auto"/>
        <w:ind w:firstLine="720"/>
        <w:rPr>
          <w:rFonts w:cs="Times New Roman"/>
          <w:szCs w:val="24"/>
        </w:rPr>
      </w:pPr>
      <w:r w:rsidRPr="00260A3F">
        <w:rPr>
          <w:rFonts w:cs="Times New Roman"/>
          <w:szCs w:val="24"/>
        </w:rPr>
        <w:t>No</w:t>
      </w:r>
      <w:r w:rsidRPr="00260A3F" w:rsidR="0021069E">
        <w:rPr>
          <w:rFonts w:cs="Times New Roman"/>
          <w:szCs w:val="24"/>
        </w:rPr>
        <w:t>tably, no</w:t>
      </w:r>
      <w:r w:rsidRPr="00260A3F" w:rsidR="0015192E">
        <w:rPr>
          <w:rFonts w:cs="Times New Roman"/>
          <w:szCs w:val="24"/>
        </w:rPr>
        <w:t xml:space="preserve"> party</w:t>
      </w:r>
      <w:r w:rsidRPr="00260A3F" w:rsidR="006621F6">
        <w:rPr>
          <w:rFonts w:cs="Times New Roman"/>
          <w:szCs w:val="24"/>
        </w:rPr>
        <w:t xml:space="preserve"> opposing the Settlement</w:t>
      </w:r>
      <w:r w:rsidRPr="00260A3F" w:rsidR="0015192E">
        <w:rPr>
          <w:rFonts w:cs="Times New Roman"/>
          <w:szCs w:val="24"/>
        </w:rPr>
        <w:t xml:space="preserve"> </w:t>
      </w:r>
      <w:r w:rsidRPr="00260A3F">
        <w:rPr>
          <w:rFonts w:cs="Times New Roman"/>
          <w:szCs w:val="24"/>
        </w:rPr>
        <w:t xml:space="preserve">presented </w:t>
      </w:r>
      <w:r w:rsidRPr="00260A3F" w:rsidR="006621F6">
        <w:rPr>
          <w:rFonts w:cs="Times New Roman"/>
          <w:szCs w:val="24"/>
        </w:rPr>
        <w:t xml:space="preserve">witness testimony </w:t>
      </w:r>
      <w:r w:rsidRPr="00260A3F">
        <w:rPr>
          <w:rFonts w:cs="Times New Roman"/>
          <w:szCs w:val="24"/>
        </w:rPr>
        <w:t>to refute</w:t>
      </w:r>
      <w:r w:rsidRPr="00260A3F" w:rsidR="009D25E5">
        <w:rPr>
          <w:rFonts w:cs="Times New Roman"/>
          <w:szCs w:val="24"/>
        </w:rPr>
        <w:t xml:space="preserve"> </w:t>
      </w:r>
      <w:r w:rsidRPr="00260A3F">
        <w:rPr>
          <w:rFonts w:cs="Times New Roman"/>
          <w:szCs w:val="24"/>
        </w:rPr>
        <w:t xml:space="preserve">the </w:t>
      </w:r>
      <w:r w:rsidRPr="00260A3F" w:rsidR="0004015D">
        <w:rPr>
          <w:rFonts w:cs="Times New Roman"/>
          <w:szCs w:val="24"/>
        </w:rPr>
        <w:t>testimony of</w:t>
      </w:r>
      <w:r w:rsidRPr="00260A3F">
        <w:rPr>
          <w:rFonts w:cs="Times New Roman"/>
          <w:szCs w:val="24"/>
        </w:rPr>
        <w:t xml:space="preserve"> OCC </w:t>
      </w:r>
      <w:r w:rsidRPr="00260A3F" w:rsidR="009D25E5">
        <w:rPr>
          <w:rFonts w:cs="Times New Roman"/>
          <w:szCs w:val="24"/>
        </w:rPr>
        <w:t>witness Willis</w:t>
      </w:r>
      <w:r w:rsidRPr="00260A3F" w:rsidR="003925DF">
        <w:rPr>
          <w:rFonts w:cs="Times New Roman"/>
          <w:szCs w:val="24"/>
        </w:rPr>
        <w:t xml:space="preserve">, </w:t>
      </w:r>
      <w:r w:rsidRPr="00260A3F" w:rsidR="0009240C">
        <w:rPr>
          <w:rFonts w:cs="Times New Roman"/>
          <w:szCs w:val="24"/>
        </w:rPr>
        <w:t>AEP Ohio witness Moore</w:t>
      </w:r>
      <w:r w:rsidRPr="00260A3F" w:rsidR="003925DF">
        <w:rPr>
          <w:rFonts w:cs="Times New Roman"/>
          <w:szCs w:val="24"/>
        </w:rPr>
        <w:t>, and PUCO Staff witness Lipthratt</w:t>
      </w:r>
      <w:r w:rsidRPr="00260A3F" w:rsidR="0009240C">
        <w:rPr>
          <w:rFonts w:cs="Times New Roman"/>
          <w:szCs w:val="24"/>
        </w:rPr>
        <w:t xml:space="preserve"> that the Settlement is the product of serious negotiations among knowledgeable, capable parties.</w:t>
      </w:r>
      <w:r w:rsidRPr="00260A3F" w:rsidR="009D25E5">
        <w:rPr>
          <w:rFonts w:cs="Times New Roman"/>
          <w:szCs w:val="24"/>
        </w:rPr>
        <w:t xml:space="preserve"> </w:t>
      </w:r>
      <w:r w:rsidRPr="00260A3F" w:rsidR="0009240C">
        <w:rPr>
          <w:rFonts w:cs="Times New Roman"/>
          <w:szCs w:val="24"/>
        </w:rPr>
        <w:t xml:space="preserve">Thus, </w:t>
      </w:r>
      <w:r w:rsidRPr="00260A3F" w:rsidR="009D25E5">
        <w:rPr>
          <w:rFonts w:cs="Times New Roman"/>
          <w:szCs w:val="24"/>
        </w:rPr>
        <w:t>the PUCO should find that the Settlement meets the first prong of the PUCO’s test.</w:t>
      </w:r>
      <w:bookmarkStart w:id="11" w:name="_Toc522278751"/>
    </w:p>
    <w:p w:rsidR="00376E35" w:rsidRPr="00260A3F" w:rsidP="00376E35" w14:paraId="7A56EAAD" w14:textId="44B692FD">
      <w:pPr>
        <w:pStyle w:val="Heading2"/>
      </w:pPr>
      <w:bookmarkStart w:id="12" w:name="_Toc74300287"/>
      <w:bookmarkStart w:id="13" w:name="_Toc74578030"/>
      <w:r w:rsidRPr="00260A3F">
        <w:t>The Settlement as a package benefits consumers and the public interest.</w:t>
      </w:r>
      <w:bookmarkEnd w:id="12"/>
      <w:bookmarkEnd w:id="13"/>
    </w:p>
    <w:p w:rsidR="00EA3CD6" w:rsidRPr="00260A3F" w:rsidP="00376E35" w14:paraId="3B6F34DD" w14:textId="14D93730">
      <w:pPr>
        <w:spacing w:after="0" w:line="480" w:lineRule="auto"/>
        <w:ind w:firstLine="720"/>
        <w:rPr>
          <w:rFonts w:cs="Times New Roman"/>
          <w:szCs w:val="24"/>
        </w:rPr>
      </w:pPr>
      <w:r w:rsidRPr="00260A3F">
        <w:rPr>
          <w:rFonts w:cs="Times New Roman"/>
          <w:szCs w:val="24"/>
        </w:rPr>
        <w:t>There is ample evidence to satisfy the second prong of the PUCO’s test for evaluating settlements, which considers whether the Settlement benefits c</w:t>
      </w:r>
      <w:r w:rsidRPr="00260A3F" w:rsidR="007B4F88">
        <w:rPr>
          <w:rFonts w:cs="Times New Roman"/>
          <w:szCs w:val="24"/>
        </w:rPr>
        <w:t>onsumers</w:t>
      </w:r>
      <w:r w:rsidRPr="00260A3F">
        <w:rPr>
          <w:rFonts w:cs="Times New Roman"/>
          <w:szCs w:val="24"/>
        </w:rPr>
        <w:t xml:space="preserve"> and the public interest. </w:t>
      </w:r>
      <w:r w:rsidRPr="00260A3F" w:rsidR="00C147BE">
        <w:rPr>
          <w:rFonts w:cs="Times New Roman"/>
          <w:szCs w:val="24"/>
        </w:rPr>
        <w:t xml:space="preserve">The evidence reflects </w:t>
      </w:r>
      <w:r w:rsidRPr="00260A3F">
        <w:rPr>
          <w:rFonts w:cs="Times New Roman"/>
          <w:szCs w:val="24"/>
        </w:rPr>
        <w:t>numerous benefits to c</w:t>
      </w:r>
      <w:r w:rsidRPr="00260A3F" w:rsidR="007B4F88">
        <w:rPr>
          <w:rFonts w:cs="Times New Roman"/>
          <w:szCs w:val="24"/>
        </w:rPr>
        <w:t>onsumers</w:t>
      </w:r>
      <w:r w:rsidRPr="00260A3F">
        <w:rPr>
          <w:rFonts w:cs="Times New Roman"/>
          <w:szCs w:val="24"/>
        </w:rPr>
        <w:t xml:space="preserve"> under the Settlement:</w:t>
      </w:r>
      <w:r w:rsidRPr="00260A3F">
        <w:rPr>
          <w:rStyle w:val="Heading2Char"/>
          <w:b w:val="0"/>
          <w:bCs w:val="0"/>
        </w:rPr>
        <w:t xml:space="preserve">  </w:t>
      </w:r>
      <w:bookmarkEnd w:id="11"/>
    </w:p>
    <w:p w:rsidR="00C147BE" w:rsidRPr="00260A3F" w:rsidP="008258CE" w14:paraId="7D3C211F" w14:textId="7146ADE4">
      <w:pPr>
        <w:pStyle w:val="ListParagraph"/>
        <w:keepLines/>
        <w:numPr>
          <w:ilvl w:val="0"/>
          <w:numId w:val="17"/>
        </w:numPr>
        <w:spacing w:after="240" w:line="480" w:lineRule="auto"/>
        <w:ind w:hanging="720"/>
        <w:contextualSpacing w:val="0"/>
        <w:rPr>
          <w:rFonts w:ascii="Times New Roman" w:hAnsi="Times New Roman" w:cs="Times New Roman"/>
          <w:sz w:val="24"/>
          <w:szCs w:val="24"/>
        </w:rPr>
      </w:pPr>
      <w:r w:rsidRPr="00260A3F">
        <w:rPr>
          <w:rFonts w:ascii="Times New Roman" w:hAnsi="Times New Roman" w:cs="Times New Roman"/>
          <w:sz w:val="24"/>
          <w:szCs w:val="24"/>
        </w:rPr>
        <w:t>Residential c</w:t>
      </w:r>
      <w:r w:rsidRPr="00260A3F" w:rsidR="007B4F88">
        <w:rPr>
          <w:rFonts w:ascii="Times New Roman" w:hAnsi="Times New Roman" w:cs="Times New Roman"/>
          <w:sz w:val="24"/>
          <w:szCs w:val="24"/>
        </w:rPr>
        <w:t>onsumers will receive a rate decrease</w:t>
      </w:r>
      <w:r w:rsidRPr="00260A3F">
        <w:rPr>
          <w:rFonts w:ascii="Times New Roman" w:hAnsi="Times New Roman" w:cs="Times New Roman"/>
          <w:sz w:val="24"/>
          <w:szCs w:val="24"/>
        </w:rPr>
        <w:t xml:space="preserve"> for electric distribution services as contrasted with AEP Ohio’s originally proposed rate increase.</w:t>
      </w:r>
      <w:r>
        <w:rPr>
          <w:rStyle w:val="FootnoteReference"/>
          <w:rFonts w:ascii="Times New Roman" w:hAnsi="Times New Roman" w:cs="Times New Roman"/>
          <w:sz w:val="24"/>
          <w:szCs w:val="24"/>
        </w:rPr>
        <w:footnoteReference w:id="24"/>
      </w:r>
    </w:p>
    <w:p w:rsidR="003925DF" w:rsidRPr="00260A3F" w:rsidP="008258CE" w14:paraId="79C69E0F" w14:textId="418A99D4">
      <w:pPr>
        <w:pStyle w:val="ListParagraph"/>
        <w:keepLines/>
        <w:numPr>
          <w:ilvl w:val="0"/>
          <w:numId w:val="17"/>
        </w:numPr>
        <w:spacing w:after="240" w:line="480" w:lineRule="auto"/>
        <w:ind w:hanging="720"/>
        <w:contextualSpacing w:val="0"/>
        <w:rPr>
          <w:rFonts w:ascii="Times New Roman" w:hAnsi="Times New Roman" w:cs="Times New Roman"/>
          <w:sz w:val="24"/>
          <w:szCs w:val="24"/>
        </w:rPr>
      </w:pPr>
      <w:r w:rsidRPr="00260A3F">
        <w:rPr>
          <w:rFonts w:ascii="Times New Roman" w:hAnsi="Times New Roman" w:cs="Times New Roman"/>
          <w:sz w:val="24"/>
          <w:szCs w:val="24"/>
        </w:rPr>
        <w:t>The overall annual base distribution revenue that customers will pay is reduced by approximately $111 million from AEP Ohio’s proposed $1.066 billion to $955 million.”</w:t>
      </w:r>
      <w:r>
        <w:rPr>
          <w:rStyle w:val="FootnoteReference"/>
          <w:rFonts w:ascii="Times New Roman" w:hAnsi="Times New Roman" w:cs="Times New Roman"/>
          <w:sz w:val="24"/>
          <w:szCs w:val="24"/>
        </w:rPr>
        <w:footnoteReference w:id="25"/>
      </w:r>
    </w:p>
    <w:p w:rsidR="00D20AE3" w:rsidRPr="00260A3F" w:rsidP="008258CE" w14:paraId="5E201F99" w14:textId="75CDE456">
      <w:pPr>
        <w:pStyle w:val="ListParagraph"/>
        <w:keepLines/>
        <w:numPr>
          <w:ilvl w:val="0"/>
          <w:numId w:val="17"/>
        </w:numPr>
        <w:spacing w:after="240" w:line="480" w:lineRule="auto"/>
        <w:ind w:hanging="720"/>
        <w:contextualSpacing w:val="0"/>
        <w:rPr>
          <w:rFonts w:ascii="Times New Roman" w:hAnsi="Times New Roman" w:cs="Times New Roman"/>
          <w:sz w:val="24"/>
          <w:szCs w:val="24"/>
        </w:rPr>
      </w:pPr>
      <w:r w:rsidRPr="00260A3F">
        <w:rPr>
          <w:rFonts w:ascii="Times New Roman" w:hAnsi="Times New Roman" w:cs="Times New Roman"/>
          <w:sz w:val="24"/>
          <w:szCs w:val="24"/>
        </w:rPr>
        <w:t>The overall rate of return that customers will pay is reduced from AEP</w:t>
      </w:r>
      <w:r w:rsidRPr="00260A3F" w:rsidR="003925DF">
        <w:rPr>
          <w:rFonts w:ascii="Times New Roman" w:hAnsi="Times New Roman" w:cs="Times New Roman"/>
          <w:sz w:val="24"/>
          <w:szCs w:val="24"/>
        </w:rPr>
        <w:t xml:space="preserve"> Ohio</w:t>
      </w:r>
      <w:r w:rsidRPr="00260A3F">
        <w:rPr>
          <w:rFonts w:ascii="Times New Roman" w:hAnsi="Times New Roman" w:cs="Times New Roman"/>
          <w:sz w:val="24"/>
          <w:szCs w:val="24"/>
        </w:rPr>
        <w:t xml:space="preserve">’s proposed 7.90% to 7.28%. </w:t>
      </w:r>
      <w:r w:rsidRPr="00260A3F" w:rsidR="009D08E1">
        <w:rPr>
          <w:rFonts w:ascii="Times New Roman" w:hAnsi="Times New Roman" w:cs="Times New Roman"/>
          <w:sz w:val="24"/>
          <w:szCs w:val="24"/>
        </w:rPr>
        <w:t>This results in a reduction to the</w:t>
      </w:r>
      <w:r w:rsidRPr="00260A3F">
        <w:rPr>
          <w:rFonts w:ascii="Times New Roman" w:hAnsi="Times New Roman" w:cs="Times New Roman"/>
          <w:sz w:val="24"/>
          <w:szCs w:val="24"/>
        </w:rPr>
        <w:t xml:space="preserve"> annual base distribution revenue </w:t>
      </w:r>
      <w:r w:rsidRPr="00260A3F" w:rsidR="009D08E1">
        <w:rPr>
          <w:rFonts w:ascii="Times New Roman" w:hAnsi="Times New Roman" w:cs="Times New Roman"/>
          <w:sz w:val="24"/>
          <w:szCs w:val="24"/>
        </w:rPr>
        <w:t xml:space="preserve">that </w:t>
      </w:r>
      <w:r w:rsidRPr="00260A3F">
        <w:rPr>
          <w:rFonts w:ascii="Times New Roman" w:hAnsi="Times New Roman" w:cs="Times New Roman"/>
          <w:sz w:val="24"/>
          <w:szCs w:val="24"/>
        </w:rPr>
        <w:t xml:space="preserve">customers will pay </w:t>
      </w:r>
      <w:r w:rsidRPr="00260A3F" w:rsidR="009D08E1">
        <w:rPr>
          <w:rFonts w:ascii="Times New Roman" w:hAnsi="Times New Roman" w:cs="Times New Roman"/>
          <w:sz w:val="24"/>
          <w:szCs w:val="24"/>
        </w:rPr>
        <w:t>of</w:t>
      </w:r>
      <w:r w:rsidRPr="00260A3F">
        <w:rPr>
          <w:rFonts w:ascii="Times New Roman" w:hAnsi="Times New Roman" w:cs="Times New Roman"/>
          <w:sz w:val="24"/>
          <w:szCs w:val="24"/>
        </w:rPr>
        <w:t xml:space="preserve"> approximately $24.4 million.</w:t>
      </w:r>
      <w:r>
        <w:rPr>
          <w:rStyle w:val="FootnoteReference"/>
          <w:rFonts w:ascii="Times New Roman" w:hAnsi="Times New Roman" w:cs="Times New Roman"/>
          <w:sz w:val="24"/>
          <w:szCs w:val="24"/>
        </w:rPr>
        <w:footnoteReference w:id="26"/>
      </w:r>
    </w:p>
    <w:p w:rsidR="006A7A58" w:rsidRPr="00260A3F" w:rsidP="008258CE" w14:paraId="36032D55" w14:textId="7CA5C2CE">
      <w:pPr>
        <w:pStyle w:val="ListParagraph"/>
        <w:keepLines/>
        <w:numPr>
          <w:ilvl w:val="0"/>
          <w:numId w:val="17"/>
        </w:numPr>
        <w:spacing w:after="240" w:line="480" w:lineRule="auto"/>
        <w:ind w:hanging="720"/>
        <w:contextualSpacing w:val="0"/>
        <w:rPr>
          <w:rFonts w:ascii="Times New Roman" w:hAnsi="Times New Roman" w:cs="Times New Roman"/>
          <w:sz w:val="24"/>
          <w:szCs w:val="24"/>
        </w:rPr>
      </w:pPr>
      <w:r w:rsidRPr="00260A3F">
        <w:rPr>
          <w:rFonts w:ascii="Times New Roman" w:hAnsi="Times New Roman" w:cs="Times New Roman"/>
          <w:sz w:val="24"/>
          <w:szCs w:val="24"/>
        </w:rPr>
        <w:t xml:space="preserve">Residential </w:t>
      </w:r>
      <w:r w:rsidRPr="00260A3F" w:rsidR="006F276E">
        <w:rPr>
          <w:rFonts w:ascii="Times New Roman" w:hAnsi="Times New Roman" w:cs="Times New Roman"/>
          <w:sz w:val="24"/>
          <w:szCs w:val="24"/>
        </w:rPr>
        <w:t>consumers</w:t>
      </w:r>
      <w:r w:rsidRPr="00260A3F">
        <w:rPr>
          <w:rFonts w:ascii="Times New Roman" w:hAnsi="Times New Roman" w:cs="Times New Roman"/>
          <w:sz w:val="24"/>
          <w:szCs w:val="24"/>
        </w:rPr>
        <w:t xml:space="preserve"> will pay 56.77% of AEP Ohio’s revenue requirement rather than </w:t>
      </w:r>
      <w:r w:rsidRPr="00260A3F" w:rsidR="009D08E1">
        <w:rPr>
          <w:rFonts w:ascii="Times New Roman" w:hAnsi="Times New Roman" w:cs="Times New Roman"/>
          <w:sz w:val="24"/>
          <w:szCs w:val="24"/>
        </w:rPr>
        <w:t xml:space="preserve">58.86% </w:t>
      </w:r>
      <w:r w:rsidRPr="00260A3F">
        <w:rPr>
          <w:rFonts w:ascii="Times New Roman" w:hAnsi="Times New Roman" w:cs="Times New Roman"/>
          <w:sz w:val="24"/>
          <w:szCs w:val="24"/>
        </w:rPr>
        <w:t xml:space="preserve">as initially proposed by AEP Ohio. As a result, </w:t>
      </w:r>
      <w:r w:rsidRPr="00260A3F" w:rsidR="009D08E1">
        <w:rPr>
          <w:rFonts w:ascii="Times New Roman" w:hAnsi="Times New Roman" w:cs="Times New Roman"/>
          <w:sz w:val="24"/>
          <w:szCs w:val="24"/>
        </w:rPr>
        <w:t>residential consumers</w:t>
      </w:r>
      <w:r w:rsidRPr="00260A3F">
        <w:rPr>
          <w:rFonts w:ascii="Times New Roman" w:hAnsi="Times New Roman" w:cs="Times New Roman"/>
          <w:sz w:val="24"/>
          <w:szCs w:val="24"/>
        </w:rPr>
        <w:t xml:space="preserve"> will save</w:t>
      </w:r>
      <w:r w:rsidRPr="00260A3F" w:rsidR="009D08E1">
        <w:rPr>
          <w:rFonts w:ascii="Times New Roman" w:hAnsi="Times New Roman" w:cs="Times New Roman"/>
          <w:sz w:val="24"/>
          <w:szCs w:val="24"/>
        </w:rPr>
        <w:t xml:space="preserve"> approximately $20 million per year in avoided base distribution charges and approximately $10 million in </w:t>
      </w:r>
      <w:r w:rsidRPr="00260A3F">
        <w:rPr>
          <w:rFonts w:ascii="Times New Roman" w:hAnsi="Times New Roman" w:cs="Times New Roman"/>
          <w:sz w:val="24"/>
          <w:szCs w:val="24"/>
        </w:rPr>
        <w:t xml:space="preserve">additional </w:t>
      </w:r>
      <w:r w:rsidRPr="00260A3F" w:rsidR="009D08E1">
        <w:rPr>
          <w:rFonts w:ascii="Times New Roman" w:hAnsi="Times New Roman" w:cs="Times New Roman"/>
          <w:sz w:val="24"/>
          <w:szCs w:val="24"/>
        </w:rPr>
        <w:t>avoided Enhanced Service Reliability Rider and Distribution Investment Rider charges per year.</w:t>
      </w:r>
      <w:r>
        <w:rPr>
          <w:rStyle w:val="FootnoteReference"/>
          <w:rFonts w:ascii="Times New Roman" w:hAnsi="Times New Roman" w:cs="Times New Roman"/>
          <w:sz w:val="24"/>
          <w:szCs w:val="24"/>
        </w:rPr>
        <w:footnoteReference w:id="27"/>
      </w:r>
    </w:p>
    <w:p w:rsidR="00D20AE3" w:rsidRPr="00260A3F" w:rsidP="006F276E" w14:paraId="055D0770" w14:textId="67835C6A">
      <w:pPr>
        <w:pStyle w:val="ListParagraph"/>
        <w:keepLines/>
        <w:numPr>
          <w:ilvl w:val="0"/>
          <w:numId w:val="17"/>
        </w:numPr>
        <w:spacing w:after="240" w:line="480" w:lineRule="auto"/>
        <w:ind w:hanging="720"/>
        <w:contextualSpacing w:val="0"/>
        <w:rPr>
          <w:rFonts w:ascii="Times New Roman" w:hAnsi="Times New Roman" w:cs="Times New Roman"/>
          <w:sz w:val="24"/>
          <w:szCs w:val="24"/>
        </w:rPr>
      </w:pPr>
      <w:r w:rsidRPr="00260A3F">
        <w:rPr>
          <w:rFonts w:ascii="Times New Roman" w:hAnsi="Times New Roman" w:cs="Times New Roman"/>
          <w:sz w:val="24"/>
          <w:szCs w:val="24"/>
        </w:rPr>
        <w:t>AEP Ohio’s spending under the Distribution Investment Rider is capped beginning 2021 through May 2024, which will control how much customers will pay for this charge. The annual spending caps can only be</w:t>
      </w:r>
      <w:r w:rsidRPr="00260A3F" w:rsidR="006F276E">
        <w:rPr>
          <w:rFonts w:ascii="Times New Roman" w:hAnsi="Times New Roman" w:cs="Times New Roman"/>
          <w:sz w:val="24"/>
          <w:szCs w:val="24"/>
        </w:rPr>
        <w:t xml:space="preserve"> </w:t>
      </w:r>
      <w:r w:rsidRPr="00260A3F" w:rsidR="00E44316">
        <w:rPr>
          <w:rFonts w:ascii="Times New Roman" w:hAnsi="Times New Roman" w:cs="Times New Roman"/>
          <w:sz w:val="24"/>
          <w:szCs w:val="24"/>
        </w:rPr>
        <w:t>increased by limited amounts if AEP Ohio meets more stringent reliability standards.</w:t>
      </w:r>
      <w:r>
        <w:rPr>
          <w:rStyle w:val="FootnoteReference"/>
          <w:rFonts w:ascii="Times New Roman" w:hAnsi="Times New Roman" w:cs="Times New Roman"/>
          <w:sz w:val="24"/>
          <w:szCs w:val="24"/>
        </w:rPr>
        <w:footnoteReference w:id="28"/>
      </w:r>
      <w:r w:rsidRPr="00260A3F" w:rsidR="00E44316">
        <w:rPr>
          <w:rFonts w:ascii="Times New Roman" w:hAnsi="Times New Roman" w:cs="Times New Roman"/>
          <w:sz w:val="24"/>
          <w:szCs w:val="24"/>
        </w:rPr>
        <w:t xml:space="preserve"> The caps are significantly lower than AEP Ohio’s initial proposal, saving customers over $100 million.</w:t>
      </w:r>
      <w:r>
        <w:rPr>
          <w:rStyle w:val="FootnoteReference"/>
          <w:rFonts w:ascii="Times New Roman" w:hAnsi="Times New Roman" w:cs="Times New Roman"/>
          <w:sz w:val="24"/>
          <w:szCs w:val="24"/>
        </w:rPr>
        <w:footnoteReference w:id="29"/>
      </w:r>
    </w:p>
    <w:p w:rsidR="00D20AE3" w:rsidRPr="00260A3F" w:rsidP="008258CE" w14:paraId="5CF2FD7F" w14:textId="410862A3">
      <w:pPr>
        <w:pStyle w:val="ListParagraph"/>
        <w:keepLines/>
        <w:numPr>
          <w:ilvl w:val="0"/>
          <w:numId w:val="17"/>
        </w:numPr>
        <w:spacing w:after="240" w:line="480" w:lineRule="auto"/>
        <w:ind w:hanging="720"/>
        <w:contextualSpacing w:val="0"/>
        <w:rPr>
          <w:rFonts w:ascii="Times New Roman" w:hAnsi="Times New Roman" w:cs="Times New Roman"/>
          <w:sz w:val="24"/>
          <w:szCs w:val="24"/>
        </w:rPr>
      </w:pPr>
      <w:r w:rsidRPr="00260A3F">
        <w:rPr>
          <w:rFonts w:ascii="Times New Roman" w:hAnsi="Times New Roman" w:cs="Times New Roman"/>
          <w:sz w:val="24"/>
          <w:szCs w:val="24"/>
        </w:rPr>
        <w:t xml:space="preserve">AEP Ohio’s Enhanced Service Reliability Rider </w:t>
      </w:r>
      <w:r w:rsidRPr="00260A3F" w:rsidR="00626C6A">
        <w:rPr>
          <w:rFonts w:ascii="Times New Roman" w:hAnsi="Times New Roman" w:cs="Times New Roman"/>
          <w:sz w:val="24"/>
          <w:szCs w:val="24"/>
        </w:rPr>
        <w:t xml:space="preserve">will be </w:t>
      </w:r>
      <w:r w:rsidRPr="00260A3F">
        <w:rPr>
          <w:rFonts w:ascii="Times New Roman" w:hAnsi="Times New Roman" w:cs="Times New Roman"/>
          <w:sz w:val="24"/>
          <w:szCs w:val="24"/>
        </w:rPr>
        <w:t xml:space="preserve">capped at $153.75 million for the period January 2021 through May 2024. </w:t>
      </w:r>
      <w:r w:rsidRPr="00260A3F" w:rsidR="00626C6A">
        <w:rPr>
          <w:rFonts w:ascii="Times New Roman" w:hAnsi="Times New Roman" w:cs="Times New Roman"/>
          <w:sz w:val="24"/>
          <w:szCs w:val="24"/>
        </w:rPr>
        <w:t xml:space="preserve">In addition, </w:t>
      </w:r>
      <w:r w:rsidRPr="00260A3F">
        <w:rPr>
          <w:rFonts w:ascii="Times New Roman" w:hAnsi="Times New Roman" w:cs="Times New Roman"/>
          <w:sz w:val="24"/>
          <w:szCs w:val="24"/>
        </w:rPr>
        <w:t>the funding cap will be set at $45 million annually (prorated for 2024)</w:t>
      </w:r>
      <w:r w:rsidRPr="00260A3F" w:rsidR="00626C6A">
        <w:rPr>
          <w:rFonts w:ascii="Times New Roman" w:hAnsi="Times New Roman" w:cs="Times New Roman"/>
          <w:sz w:val="24"/>
          <w:szCs w:val="24"/>
        </w:rPr>
        <w:t xml:space="preserve"> for planning purposes and charging consumers for the program</w:t>
      </w:r>
      <w:r w:rsidRPr="00260A3F">
        <w:rPr>
          <w:rFonts w:ascii="Times New Roman" w:hAnsi="Times New Roman" w:cs="Times New Roman"/>
          <w:sz w:val="24"/>
          <w:szCs w:val="24"/>
        </w:rPr>
        <w:t xml:space="preserve">. </w:t>
      </w:r>
      <w:r w:rsidRPr="00260A3F" w:rsidR="00626C6A">
        <w:rPr>
          <w:rFonts w:ascii="Times New Roman" w:hAnsi="Times New Roman" w:cs="Times New Roman"/>
          <w:sz w:val="24"/>
          <w:szCs w:val="24"/>
        </w:rPr>
        <w:t>AEP Ohio will defer a</w:t>
      </w:r>
      <w:r w:rsidRPr="00260A3F">
        <w:rPr>
          <w:rFonts w:ascii="Times New Roman" w:hAnsi="Times New Roman" w:cs="Times New Roman"/>
          <w:sz w:val="24"/>
          <w:szCs w:val="24"/>
        </w:rPr>
        <w:t>ny spending above the $45 million annual amount for later collection from customers</w:t>
      </w:r>
      <w:r w:rsidRPr="00260A3F" w:rsidR="00626C6A">
        <w:rPr>
          <w:rFonts w:ascii="Times New Roman" w:hAnsi="Times New Roman" w:cs="Times New Roman"/>
          <w:sz w:val="24"/>
          <w:szCs w:val="24"/>
        </w:rPr>
        <w:t xml:space="preserve"> with </w:t>
      </w:r>
      <w:r w:rsidRPr="00260A3F">
        <w:rPr>
          <w:rFonts w:ascii="Times New Roman" w:hAnsi="Times New Roman" w:cs="Times New Roman"/>
          <w:sz w:val="24"/>
          <w:szCs w:val="24"/>
        </w:rPr>
        <w:t>no financing charges.</w:t>
      </w:r>
      <w:r>
        <w:rPr>
          <w:rStyle w:val="FootnoteReference"/>
          <w:rFonts w:ascii="Times New Roman" w:hAnsi="Times New Roman" w:cs="Times New Roman"/>
          <w:sz w:val="24"/>
          <w:szCs w:val="24"/>
        </w:rPr>
        <w:footnoteReference w:id="30"/>
      </w:r>
    </w:p>
    <w:p w:rsidR="00D20AE3" w:rsidRPr="00260A3F" w:rsidP="008258CE" w14:paraId="70F3D89C" w14:textId="2776458A">
      <w:pPr>
        <w:pStyle w:val="ListParagraph"/>
        <w:keepLines/>
        <w:numPr>
          <w:ilvl w:val="0"/>
          <w:numId w:val="17"/>
        </w:numPr>
        <w:spacing w:after="240" w:line="480" w:lineRule="auto"/>
        <w:ind w:hanging="720"/>
        <w:contextualSpacing w:val="0"/>
        <w:rPr>
          <w:rFonts w:ascii="Times New Roman" w:hAnsi="Times New Roman" w:cs="Times New Roman"/>
          <w:sz w:val="24"/>
          <w:szCs w:val="24"/>
        </w:rPr>
      </w:pPr>
      <w:r w:rsidRPr="00260A3F">
        <w:rPr>
          <w:rFonts w:ascii="Times New Roman" w:hAnsi="Times New Roman" w:cs="Times New Roman"/>
          <w:sz w:val="24"/>
          <w:szCs w:val="24"/>
        </w:rPr>
        <w:t>The residential fixed Customer Charge will be set at $10 per month rather than AEP Ohio’s initial proposal of $14.00</w:t>
      </w:r>
      <w:r w:rsidRPr="00260A3F" w:rsidR="00357F68">
        <w:rPr>
          <w:rFonts w:ascii="Times New Roman" w:hAnsi="Times New Roman" w:cs="Times New Roman"/>
          <w:sz w:val="24"/>
          <w:szCs w:val="24"/>
        </w:rPr>
        <w:t xml:space="preserve"> per month</w:t>
      </w:r>
      <w:r w:rsidRPr="00260A3F">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r w:rsidRPr="00260A3F">
        <w:rPr>
          <w:rFonts w:ascii="Times New Roman" w:hAnsi="Times New Roman" w:cs="Times New Roman"/>
          <w:sz w:val="24"/>
          <w:szCs w:val="24"/>
        </w:rPr>
        <w:t xml:space="preserve"> The lower Customer Charge will enable customers to better control their monthly electric bills through reductions in usage.</w:t>
      </w:r>
      <w:r>
        <w:rPr>
          <w:rStyle w:val="FootnoteReference"/>
          <w:rFonts w:ascii="Times New Roman" w:hAnsi="Times New Roman" w:cs="Times New Roman"/>
          <w:sz w:val="24"/>
          <w:szCs w:val="24"/>
        </w:rPr>
        <w:footnoteReference w:id="32"/>
      </w:r>
    </w:p>
    <w:p w:rsidR="00D20AE3" w:rsidRPr="00260A3F" w:rsidP="00736557" w14:paraId="55C9D2F4" w14:textId="3F81D5C2">
      <w:pPr>
        <w:pStyle w:val="ListParagraph"/>
        <w:keepLines/>
        <w:numPr>
          <w:ilvl w:val="0"/>
          <w:numId w:val="17"/>
        </w:numPr>
        <w:spacing w:after="240" w:line="480" w:lineRule="auto"/>
        <w:ind w:hanging="720"/>
        <w:contextualSpacing w:val="0"/>
        <w:rPr>
          <w:rFonts w:ascii="Times New Roman" w:hAnsi="Times New Roman" w:cs="Times New Roman"/>
          <w:sz w:val="24"/>
          <w:szCs w:val="24"/>
        </w:rPr>
      </w:pPr>
      <w:r w:rsidRPr="00260A3F">
        <w:rPr>
          <w:rFonts w:ascii="Times New Roman" w:hAnsi="Times New Roman" w:cs="Times New Roman"/>
          <w:sz w:val="24"/>
          <w:szCs w:val="24"/>
        </w:rPr>
        <w:t>AEP</w:t>
      </w:r>
      <w:r w:rsidRPr="00260A3F" w:rsidR="00C7160E">
        <w:rPr>
          <w:rFonts w:ascii="Times New Roman" w:hAnsi="Times New Roman" w:cs="Times New Roman"/>
          <w:sz w:val="24"/>
          <w:szCs w:val="24"/>
        </w:rPr>
        <w:t xml:space="preserve"> Ohio</w:t>
      </w:r>
      <w:r w:rsidRPr="00260A3F">
        <w:rPr>
          <w:rFonts w:ascii="Times New Roman" w:hAnsi="Times New Roman" w:cs="Times New Roman"/>
          <w:sz w:val="24"/>
          <w:szCs w:val="24"/>
        </w:rPr>
        <w:t>’s Pilot Throughput Balancing Adjustment Rider (“PTBAR”), which is AEP Ohio’s decoupling charge, will be phased out under the Settlement.</w:t>
      </w:r>
      <w:r>
        <w:rPr>
          <w:rStyle w:val="FootnoteReference"/>
          <w:rFonts w:ascii="Times New Roman" w:hAnsi="Times New Roman" w:cs="Times New Roman"/>
          <w:sz w:val="24"/>
          <w:szCs w:val="24"/>
        </w:rPr>
        <w:footnoteReference w:id="33"/>
      </w:r>
      <w:r w:rsidRPr="00260A3F">
        <w:rPr>
          <w:rFonts w:ascii="Times New Roman" w:hAnsi="Times New Roman" w:cs="Times New Roman"/>
          <w:sz w:val="24"/>
          <w:szCs w:val="24"/>
        </w:rPr>
        <w:t xml:space="preserve"> For the past ten years, residential customers have paid around $20 million per year under the PTBAR. For 2021, charges to</w:t>
      </w:r>
      <w:r w:rsidRPr="00260A3F" w:rsidR="00736557">
        <w:rPr>
          <w:rFonts w:ascii="Times New Roman" w:hAnsi="Times New Roman" w:cs="Times New Roman"/>
          <w:sz w:val="24"/>
          <w:szCs w:val="24"/>
        </w:rPr>
        <w:t xml:space="preserve"> </w:t>
      </w:r>
      <w:r w:rsidRPr="00260A3F" w:rsidR="00A36D7B">
        <w:rPr>
          <w:rFonts w:ascii="Times New Roman" w:hAnsi="Times New Roman" w:cs="Times New Roman"/>
          <w:sz w:val="24"/>
          <w:szCs w:val="24"/>
        </w:rPr>
        <w:t>customers under the</w:t>
      </w:r>
      <w:r w:rsidRPr="00260A3F" w:rsidR="0095147B">
        <w:rPr>
          <w:rFonts w:ascii="Times New Roman" w:hAnsi="Times New Roman" w:cs="Times New Roman"/>
          <w:sz w:val="24"/>
          <w:szCs w:val="24"/>
        </w:rPr>
        <w:t xml:space="preserve"> PTBAR for the period February 2021 until the date of effective rates in this case </w:t>
      </w:r>
      <w:r w:rsidRPr="00260A3F" w:rsidR="00A36D7B">
        <w:rPr>
          <w:rFonts w:ascii="Times New Roman" w:hAnsi="Times New Roman" w:cs="Times New Roman"/>
          <w:sz w:val="24"/>
          <w:szCs w:val="24"/>
        </w:rPr>
        <w:t>will be limited</w:t>
      </w:r>
      <w:r w:rsidRPr="00260A3F" w:rsidR="0095147B">
        <w:rPr>
          <w:rFonts w:ascii="Times New Roman" w:hAnsi="Times New Roman" w:cs="Times New Roman"/>
          <w:sz w:val="24"/>
          <w:szCs w:val="24"/>
        </w:rPr>
        <w:t xml:space="preserve"> </w:t>
      </w:r>
      <w:r w:rsidRPr="00260A3F" w:rsidR="00A36D7B">
        <w:rPr>
          <w:rFonts w:ascii="Times New Roman" w:hAnsi="Times New Roman" w:cs="Times New Roman"/>
          <w:sz w:val="24"/>
          <w:szCs w:val="24"/>
        </w:rPr>
        <w:t>to</w:t>
      </w:r>
      <w:r w:rsidRPr="00260A3F" w:rsidR="0095147B">
        <w:rPr>
          <w:rFonts w:ascii="Times New Roman" w:hAnsi="Times New Roman" w:cs="Times New Roman"/>
          <w:sz w:val="24"/>
          <w:szCs w:val="24"/>
        </w:rPr>
        <w:t xml:space="preserve"> $12 million.</w:t>
      </w:r>
      <w:r>
        <w:rPr>
          <w:rStyle w:val="FootnoteReference"/>
          <w:rFonts w:ascii="Times New Roman" w:hAnsi="Times New Roman" w:cs="Times New Roman"/>
          <w:sz w:val="24"/>
          <w:szCs w:val="24"/>
        </w:rPr>
        <w:footnoteReference w:id="34"/>
      </w:r>
    </w:p>
    <w:p w:rsidR="00D20AE3" w:rsidRPr="00260A3F" w:rsidP="008258CE" w14:paraId="3AAEC544" w14:textId="5A76A7D7">
      <w:pPr>
        <w:pStyle w:val="ListParagraph"/>
        <w:keepLines/>
        <w:numPr>
          <w:ilvl w:val="0"/>
          <w:numId w:val="17"/>
        </w:numPr>
        <w:spacing w:after="240" w:line="480" w:lineRule="auto"/>
        <w:ind w:hanging="720"/>
        <w:contextualSpacing w:val="0"/>
        <w:rPr>
          <w:rFonts w:ascii="Times New Roman" w:hAnsi="Times New Roman" w:cs="Times New Roman"/>
          <w:sz w:val="24"/>
          <w:szCs w:val="24"/>
        </w:rPr>
      </w:pPr>
      <w:r w:rsidRPr="00260A3F">
        <w:rPr>
          <w:rFonts w:ascii="Times New Roman" w:hAnsi="Times New Roman" w:cs="Times New Roman"/>
          <w:sz w:val="24"/>
          <w:szCs w:val="24"/>
        </w:rPr>
        <w:t xml:space="preserve">To provide more transparency in what residential customers pay for electricity, </w:t>
      </w:r>
      <w:r w:rsidRPr="00260A3F" w:rsidR="00A36D7B">
        <w:rPr>
          <w:rFonts w:ascii="Times New Roman" w:hAnsi="Times New Roman" w:cs="Times New Roman"/>
          <w:sz w:val="24"/>
          <w:szCs w:val="24"/>
        </w:rPr>
        <w:t>AEP</w:t>
      </w:r>
      <w:r w:rsidRPr="00260A3F">
        <w:rPr>
          <w:rFonts w:ascii="Times New Roman" w:hAnsi="Times New Roman" w:cs="Times New Roman"/>
          <w:sz w:val="24"/>
          <w:szCs w:val="24"/>
        </w:rPr>
        <w:t xml:space="preserve"> Ohio</w:t>
      </w:r>
      <w:r w:rsidRPr="00260A3F" w:rsidR="00A36D7B">
        <w:rPr>
          <w:rFonts w:ascii="Times New Roman" w:hAnsi="Times New Roman" w:cs="Times New Roman"/>
          <w:sz w:val="24"/>
          <w:szCs w:val="24"/>
        </w:rPr>
        <w:t xml:space="preserve"> will perform “shadow billing” for residential customers</w:t>
      </w:r>
      <w:r w:rsidRPr="00260A3F" w:rsidR="00254BAA">
        <w:rPr>
          <w:rFonts w:ascii="Times New Roman" w:hAnsi="Times New Roman" w:cs="Times New Roman"/>
          <w:sz w:val="24"/>
          <w:szCs w:val="24"/>
        </w:rPr>
        <w:t xml:space="preserve"> and </w:t>
      </w:r>
      <w:r w:rsidRPr="00260A3F" w:rsidR="00A36D7B">
        <w:rPr>
          <w:rFonts w:ascii="Times New Roman" w:hAnsi="Times New Roman" w:cs="Times New Roman"/>
          <w:sz w:val="24"/>
          <w:szCs w:val="24"/>
        </w:rPr>
        <w:t>provide th</w:t>
      </w:r>
      <w:r w:rsidRPr="00260A3F" w:rsidR="00254BAA">
        <w:rPr>
          <w:rFonts w:ascii="Times New Roman" w:hAnsi="Times New Roman" w:cs="Times New Roman"/>
          <w:sz w:val="24"/>
          <w:szCs w:val="24"/>
        </w:rPr>
        <w:t>e information</w:t>
      </w:r>
      <w:r w:rsidRPr="00260A3F" w:rsidR="00A36D7B">
        <w:rPr>
          <w:rFonts w:ascii="Times New Roman" w:hAnsi="Times New Roman" w:cs="Times New Roman"/>
          <w:sz w:val="24"/>
          <w:szCs w:val="24"/>
        </w:rPr>
        <w:t xml:space="preserve"> to OCC </w:t>
      </w:r>
      <w:r w:rsidRPr="00260A3F" w:rsidR="00254BAA">
        <w:rPr>
          <w:rFonts w:ascii="Times New Roman" w:hAnsi="Times New Roman" w:cs="Times New Roman"/>
          <w:sz w:val="24"/>
          <w:szCs w:val="24"/>
        </w:rPr>
        <w:t>and the PUCO Staff</w:t>
      </w:r>
      <w:r w:rsidRPr="00260A3F" w:rsidR="00A36D7B">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r w:rsidRPr="00260A3F" w:rsidR="00A36D7B">
        <w:rPr>
          <w:rFonts w:ascii="Times New Roman" w:hAnsi="Times New Roman" w:cs="Times New Roman"/>
          <w:sz w:val="24"/>
          <w:szCs w:val="24"/>
        </w:rPr>
        <w:t xml:space="preserve"> Shadow billing will compare in the aggregate what customers paid for electricity to marketers with what they could have paid had they instead purchased their generation from AEP</w:t>
      </w:r>
      <w:r w:rsidRPr="00260A3F" w:rsidR="00254BAA">
        <w:rPr>
          <w:rFonts w:ascii="Times New Roman" w:hAnsi="Times New Roman" w:cs="Times New Roman"/>
          <w:sz w:val="24"/>
          <w:szCs w:val="24"/>
        </w:rPr>
        <w:t xml:space="preserve"> Ohio</w:t>
      </w:r>
      <w:r w:rsidRPr="00260A3F" w:rsidR="00A36D7B">
        <w:rPr>
          <w:rFonts w:ascii="Times New Roman" w:hAnsi="Times New Roman" w:cs="Times New Roman"/>
          <w:sz w:val="24"/>
          <w:szCs w:val="24"/>
        </w:rPr>
        <w:t>’s competitively bid standard service offer.</w:t>
      </w:r>
      <w:r>
        <w:rPr>
          <w:rStyle w:val="FootnoteReference"/>
          <w:rFonts w:ascii="Times New Roman" w:hAnsi="Times New Roman" w:cs="Times New Roman"/>
          <w:sz w:val="24"/>
          <w:szCs w:val="24"/>
        </w:rPr>
        <w:footnoteReference w:id="36"/>
      </w:r>
    </w:p>
    <w:p w:rsidR="00D20AE3" w:rsidRPr="00260A3F" w:rsidP="008258CE" w14:paraId="5DD28763" w14:textId="6ACAC1A9">
      <w:pPr>
        <w:pStyle w:val="ListParagraph"/>
        <w:keepLines/>
        <w:numPr>
          <w:ilvl w:val="0"/>
          <w:numId w:val="17"/>
        </w:numPr>
        <w:spacing w:after="240" w:line="480" w:lineRule="auto"/>
        <w:ind w:hanging="720"/>
        <w:contextualSpacing w:val="0"/>
        <w:rPr>
          <w:rFonts w:ascii="Times New Roman" w:hAnsi="Times New Roman" w:cs="Times New Roman"/>
          <w:sz w:val="24"/>
          <w:szCs w:val="24"/>
        </w:rPr>
      </w:pPr>
      <w:r w:rsidRPr="00260A3F">
        <w:rPr>
          <w:rFonts w:ascii="Times New Roman" w:hAnsi="Times New Roman" w:cs="Times New Roman"/>
          <w:sz w:val="24"/>
          <w:szCs w:val="24"/>
        </w:rPr>
        <w:t xml:space="preserve">To provide additional information to consumers, </w:t>
      </w:r>
      <w:r w:rsidRPr="00260A3F" w:rsidR="003E4FF1">
        <w:rPr>
          <w:rFonts w:ascii="Times New Roman" w:hAnsi="Times New Roman" w:cs="Times New Roman"/>
          <w:sz w:val="24"/>
          <w:szCs w:val="24"/>
        </w:rPr>
        <w:t xml:space="preserve">AEP </w:t>
      </w:r>
      <w:r w:rsidRPr="00260A3F">
        <w:rPr>
          <w:rFonts w:ascii="Times New Roman" w:hAnsi="Times New Roman" w:cs="Times New Roman"/>
          <w:sz w:val="24"/>
          <w:szCs w:val="24"/>
        </w:rPr>
        <w:t xml:space="preserve">Ohio </w:t>
      </w:r>
      <w:r w:rsidRPr="00260A3F" w:rsidR="003E4FF1">
        <w:rPr>
          <w:rFonts w:ascii="Times New Roman" w:hAnsi="Times New Roman" w:cs="Times New Roman"/>
          <w:sz w:val="24"/>
          <w:szCs w:val="24"/>
        </w:rPr>
        <w:t xml:space="preserve">will amend its application in </w:t>
      </w:r>
      <w:r w:rsidRPr="00260A3F" w:rsidR="001A1E77">
        <w:rPr>
          <w:rFonts w:ascii="Times New Roman" w:hAnsi="Times New Roman" w:cs="Times New Roman"/>
          <w:sz w:val="24"/>
          <w:szCs w:val="24"/>
        </w:rPr>
        <w:t>its bill format case (</w:t>
      </w:r>
      <w:r w:rsidRPr="00260A3F" w:rsidR="003E4FF1">
        <w:rPr>
          <w:rFonts w:ascii="Times New Roman" w:hAnsi="Times New Roman" w:cs="Times New Roman"/>
          <w:sz w:val="24"/>
          <w:szCs w:val="24"/>
        </w:rPr>
        <w:t>Case No. 20-1408-EL-UNC</w:t>
      </w:r>
      <w:r w:rsidRPr="00260A3F" w:rsidR="001A1E77">
        <w:rPr>
          <w:rFonts w:ascii="Times New Roman" w:hAnsi="Times New Roman" w:cs="Times New Roman"/>
          <w:sz w:val="24"/>
          <w:szCs w:val="24"/>
        </w:rPr>
        <w:t>)</w:t>
      </w:r>
      <w:r w:rsidRPr="00260A3F" w:rsidR="003E4FF1">
        <w:rPr>
          <w:rFonts w:ascii="Times New Roman" w:hAnsi="Times New Roman" w:cs="Times New Roman"/>
          <w:sz w:val="24"/>
          <w:szCs w:val="24"/>
        </w:rPr>
        <w:t xml:space="preserve"> to </w:t>
      </w:r>
      <w:r w:rsidRPr="00260A3F" w:rsidR="001A1E77">
        <w:rPr>
          <w:rFonts w:ascii="Times New Roman" w:hAnsi="Times New Roman" w:cs="Times New Roman"/>
          <w:sz w:val="24"/>
          <w:szCs w:val="24"/>
        </w:rPr>
        <w:t xml:space="preserve">provide information on </w:t>
      </w:r>
      <w:r w:rsidRPr="00260A3F" w:rsidR="003E4FF1">
        <w:rPr>
          <w:rFonts w:ascii="Times New Roman" w:hAnsi="Times New Roman" w:cs="Times New Roman"/>
          <w:sz w:val="24"/>
          <w:szCs w:val="24"/>
        </w:rPr>
        <w:t>residential consumers</w:t>
      </w:r>
      <w:r w:rsidRPr="00260A3F" w:rsidR="00736557">
        <w:rPr>
          <w:rFonts w:ascii="Times New Roman" w:hAnsi="Times New Roman" w:cs="Times New Roman"/>
          <w:sz w:val="24"/>
          <w:szCs w:val="24"/>
        </w:rPr>
        <w:t>’</w:t>
      </w:r>
      <w:r w:rsidRPr="00260A3F" w:rsidR="003E4FF1">
        <w:rPr>
          <w:rFonts w:ascii="Times New Roman" w:hAnsi="Times New Roman" w:cs="Times New Roman"/>
          <w:sz w:val="24"/>
          <w:szCs w:val="24"/>
        </w:rPr>
        <w:t xml:space="preserve"> bills </w:t>
      </w:r>
      <w:r w:rsidRPr="00260A3F" w:rsidR="001A1E77">
        <w:rPr>
          <w:rFonts w:ascii="Times New Roman" w:hAnsi="Times New Roman" w:cs="Times New Roman"/>
          <w:sz w:val="24"/>
          <w:szCs w:val="24"/>
        </w:rPr>
        <w:t xml:space="preserve">regarding </w:t>
      </w:r>
      <w:r w:rsidRPr="00260A3F" w:rsidR="003E4FF1">
        <w:rPr>
          <w:rFonts w:ascii="Times New Roman" w:hAnsi="Times New Roman" w:cs="Times New Roman"/>
          <w:sz w:val="24"/>
          <w:szCs w:val="24"/>
        </w:rPr>
        <w:t xml:space="preserve">potential savings or losses </w:t>
      </w:r>
      <w:r w:rsidRPr="00260A3F" w:rsidR="007358BD">
        <w:rPr>
          <w:rFonts w:ascii="Times New Roman" w:hAnsi="Times New Roman" w:cs="Times New Roman"/>
          <w:sz w:val="24"/>
          <w:szCs w:val="24"/>
        </w:rPr>
        <w:t xml:space="preserve">from electricity marketers </w:t>
      </w:r>
      <w:r w:rsidRPr="00260A3F" w:rsidR="003E4FF1">
        <w:rPr>
          <w:rFonts w:ascii="Times New Roman" w:hAnsi="Times New Roman" w:cs="Times New Roman"/>
          <w:sz w:val="24"/>
          <w:szCs w:val="24"/>
        </w:rPr>
        <w:t>compared to AEP</w:t>
      </w:r>
      <w:r w:rsidRPr="00260A3F" w:rsidR="001A1E77">
        <w:rPr>
          <w:rFonts w:ascii="Times New Roman" w:hAnsi="Times New Roman" w:cs="Times New Roman"/>
          <w:sz w:val="24"/>
          <w:szCs w:val="24"/>
        </w:rPr>
        <w:t xml:space="preserve"> Ohio</w:t>
      </w:r>
      <w:r w:rsidRPr="00260A3F" w:rsidR="003E4FF1">
        <w:rPr>
          <w:rFonts w:ascii="Times New Roman" w:hAnsi="Times New Roman" w:cs="Times New Roman"/>
          <w:sz w:val="24"/>
          <w:szCs w:val="24"/>
        </w:rPr>
        <w:t xml:space="preserve">’s </w:t>
      </w:r>
      <w:r w:rsidRPr="00260A3F" w:rsidR="00B10540">
        <w:rPr>
          <w:rFonts w:ascii="Times New Roman" w:hAnsi="Times New Roman" w:cs="Times New Roman"/>
          <w:sz w:val="24"/>
          <w:szCs w:val="24"/>
        </w:rPr>
        <w:t>standard service offer</w:t>
      </w:r>
      <w:r w:rsidRPr="00260A3F" w:rsidR="003E4FF1">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p>
    <w:p w:rsidR="00D20AE3" w:rsidRPr="00260A3F" w:rsidP="00736557" w14:paraId="70A0B7F4" w14:textId="5F1AD864">
      <w:pPr>
        <w:pStyle w:val="ListParagraph"/>
        <w:keepLines/>
        <w:numPr>
          <w:ilvl w:val="0"/>
          <w:numId w:val="17"/>
        </w:numPr>
        <w:spacing w:after="240" w:line="480" w:lineRule="auto"/>
        <w:ind w:hanging="720"/>
        <w:contextualSpacing w:val="0"/>
        <w:rPr>
          <w:rFonts w:ascii="Times New Roman" w:hAnsi="Times New Roman" w:cs="Times New Roman"/>
          <w:sz w:val="24"/>
          <w:szCs w:val="24"/>
        </w:rPr>
      </w:pPr>
      <w:r w:rsidRPr="00260A3F">
        <w:rPr>
          <w:rFonts w:ascii="Times New Roman" w:hAnsi="Times New Roman" w:cs="Times New Roman"/>
          <w:sz w:val="24"/>
          <w:szCs w:val="24"/>
        </w:rPr>
        <w:t>For residential customers, AEP Ohio will not implement its delayed payment charge sooner than 12 months after the date the Settlement is executed. Further, AEP Ohio will not bill customers for the delayed payment charge until the 22</w:t>
      </w:r>
      <w:r w:rsidRPr="00260A3F">
        <w:rPr>
          <w:rFonts w:ascii="Times New Roman" w:hAnsi="Times New Roman" w:cs="Times New Roman"/>
          <w:sz w:val="24"/>
          <w:szCs w:val="24"/>
          <w:vertAlign w:val="superscript"/>
        </w:rPr>
        <w:t>nd</w:t>
      </w:r>
      <w:r w:rsidRPr="00260A3F">
        <w:rPr>
          <w:rFonts w:ascii="Times New Roman" w:hAnsi="Times New Roman" w:cs="Times New Roman"/>
          <w:sz w:val="24"/>
          <w:szCs w:val="24"/>
        </w:rPr>
        <w:t xml:space="preserve"> day after the issuance date on a customer’s </w:t>
      </w:r>
      <w:r w:rsidRPr="00260A3F" w:rsidR="0031127C">
        <w:rPr>
          <w:rFonts w:ascii="Times New Roman" w:hAnsi="Times New Roman" w:cs="Times New Roman"/>
          <w:sz w:val="24"/>
          <w:szCs w:val="24"/>
        </w:rPr>
        <w:t>bill.</w:t>
      </w:r>
      <w:r>
        <w:rPr>
          <w:rStyle w:val="FootnoteReference"/>
          <w:rFonts w:ascii="Times New Roman" w:hAnsi="Times New Roman" w:cs="Times New Roman"/>
          <w:sz w:val="24"/>
          <w:szCs w:val="24"/>
        </w:rPr>
        <w:footnoteReference w:id="38"/>
      </w:r>
    </w:p>
    <w:p w:rsidR="00D20AE3" w:rsidRPr="00260A3F" w:rsidP="006C1EAB" w14:paraId="60BE076C" w14:textId="047DFD85">
      <w:pPr>
        <w:pStyle w:val="ListParagraph"/>
        <w:keepLines/>
        <w:numPr>
          <w:ilvl w:val="0"/>
          <w:numId w:val="17"/>
        </w:numPr>
        <w:spacing w:after="0" w:line="480" w:lineRule="auto"/>
        <w:ind w:hanging="720"/>
        <w:contextualSpacing w:val="0"/>
        <w:rPr>
          <w:rFonts w:ascii="Times New Roman" w:hAnsi="Times New Roman" w:cs="Times New Roman"/>
          <w:sz w:val="24"/>
          <w:szCs w:val="24"/>
        </w:rPr>
      </w:pPr>
      <w:r w:rsidRPr="00260A3F">
        <w:rPr>
          <w:rFonts w:ascii="Times New Roman" w:hAnsi="Times New Roman" w:cs="Times New Roman"/>
          <w:sz w:val="24"/>
          <w:szCs w:val="24"/>
        </w:rPr>
        <w:t>Customers will not be charged by AEP Ohio under the Retail Reconciliation Rider (“RRR”) and Standard Service Offer Credit Rider (“SSO CR”). This</w:t>
      </w:r>
      <w:r w:rsidRPr="00260A3F" w:rsidR="00C825CC">
        <w:rPr>
          <w:rFonts w:ascii="Times New Roman" w:hAnsi="Times New Roman" w:cs="Times New Roman"/>
          <w:sz w:val="24"/>
          <w:szCs w:val="24"/>
        </w:rPr>
        <w:t xml:space="preserve"> will</w:t>
      </w:r>
      <w:r w:rsidRPr="00260A3F">
        <w:rPr>
          <w:rFonts w:ascii="Times New Roman" w:hAnsi="Times New Roman" w:cs="Times New Roman"/>
          <w:sz w:val="24"/>
          <w:szCs w:val="24"/>
        </w:rPr>
        <w:t xml:space="preserve"> </w:t>
      </w:r>
      <w:r w:rsidRPr="00260A3F" w:rsidR="00C82E8B">
        <w:rPr>
          <w:rFonts w:ascii="Times New Roman" w:hAnsi="Times New Roman" w:cs="Times New Roman"/>
          <w:sz w:val="24"/>
          <w:szCs w:val="24"/>
        </w:rPr>
        <w:t xml:space="preserve">protect </w:t>
      </w:r>
      <w:r w:rsidRPr="00260A3F">
        <w:rPr>
          <w:rFonts w:ascii="Times New Roman" w:hAnsi="Times New Roman" w:cs="Times New Roman"/>
          <w:sz w:val="24"/>
          <w:szCs w:val="24"/>
        </w:rPr>
        <w:t>customers who receive service under AEP</w:t>
      </w:r>
      <w:r w:rsidRPr="00260A3F" w:rsidR="00C82E8B">
        <w:rPr>
          <w:rFonts w:ascii="Times New Roman" w:hAnsi="Times New Roman" w:cs="Times New Roman"/>
          <w:sz w:val="24"/>
          <w:szCs w:val="24"/>
        </w:rPr>
        <w:t xml:space="preserve"> Ohio</w:t>
      </w:r>
      <w:r w:rsidRPr="00260A3F">
        <w:rPr>
          <w:rFonts w:ascii="Times New Roman" w:hAnsi="Times New Roman" w:cs="Times New Roman"/>
          <w:sz w:val="24"/>
          <w:szCs w:val="24"/>
        </w:rPr>
        <w:t xml:space="preserve">’s competitively bid </w:t>
      </w:r>
      <w:r w:rsidRPr="00260A3F" w:rsidR="00B10540">
        <w:rPr>
          <w:rFonts w:ascii="Times New Roman" w:hAnsi="Times New Roman" w:cs="Times New Roman"/>
          <w:sz w:val="24"/>
          <w:szCs w:val="24"/>
        </w:rPr>
        <w:t>standard service offer</w:t>
      </w:r>
      <w:r w:rsidRPr="00260A3F" w:rsidR="00685470">
        <w:rPr>
          <w:rFonts w:ascii="Times New Roman" w:hAnsi="Times New Roman" w:cs="Times New Roman"/>
          <w:sz w:val="24"/>
          <w:szCs w:val="24"/>
        </w:rPr>
        <w:t xml:space="preserve"> from unnecessary increases in </w:t>
      </w:r>
      <w:r w:rsidRPr="00260A3F" w:rsidR="00C825CC">
        <w:rPr>
          <w:rFonts w:ascii="Times New Roman" w:hAnsi="Times New Roman" w:cs="Times New Roman"/>
          <w:sz w:val="24"/>
          <w:szCs w:val="24"/>
        </w:rPr>
        <w:t>charges</w:t>
      </w:r>
      <w:r w:rsidRPr="00260A3F">
        <w:rPr>
          <w:rFonts w:ascii="Times New Roman" w:hAnsi="Times New Roman" w:cs="Times New Roman"/>
          <w:sz w:val="24"/>
          <w:szCs w:val="24"/>
        </w:rPr>
        <w:t>.</w:t>
      </w:r>
      <w:r>
        <w:rPr>
          <w:rStyle w:val="FootnoteReference"/>
          <w:rFonts w:ascii="Times New Roman" w:hAnsi="Times New Roman" w:cs="Times New Roman"/>
          <w:sz w:val="24"/>
          <w:szCs w:val="24"/>
        </w:rPr>
        <w:footnoteReference w:id="39"/>
      </w:r>
      <w:r w:rsidRPr="00260A3F" w:rsidR="002C6664">
        <w:rPr>
          <w:rFonts w:ascii="Times New Roman" w:hAnsi="Times New Roman" w:cs="Times New Roman"/>
          <w:sz w:val="24"/>
          <w:szCs w:val="24"/>
        </w:rPr>
        <w:t xml:space="preserve"> The </w:t>
      </w:r>
      <w:r w:rsidRPr="00260A3F" w:rsidR="00B10540">
        <w:rPr>
          <w:rFonts w:ascii="Times New Roman" w:hAnsi="Times New Roman" w:cs="Times New Roman"/>
          <w:sz w:val="24"/>
          <w:szCs w:val="24"/>
        </w:rPr>
        <w:t>standard service offer</w:t>
      </w:r>
      <w:r w:rsidRPr="00260A3F" w:rsidR="002C6664">
        <w:rPr>
          <w:rFonts w:ascii="Times New Roman" w:hAnsi="Times New Roman" w:cs="Times New Roman"/>
          <w:sz w:val="24"/>
          <w:szCs w:val="24"/>
        </w:rPr>
        <w:t xml:space="preserve"> </w:t>
      </w:r>
      <w:r w:rsidRPr="00260A3F" w:rsidR="004A2D75">
        <w:rPr>
          <w:rFonts w:ascii="Times New Roman" w:hAnsi="Times New Roman" w:cs="Times New Roman"/>
          <w:sz w:val="24"/>
          <w:szCs w:val="24"/>
        </w:rPr>
        <w:t>is default service available to</w:t>
      </w:r>
      <w:r w:rsidRPr="00260A3F" w:rsidR="002C6664">
        <w:rPr>
          <w:rFonts w:ascii="Times New Roman" w:hAnsi="Times New Roman" w:cs="Times New Roman"/>
          <w:sz w:val="24"/>
          <w:szCs w:val="24"/>
        </w:rPr>
        <w:t xml:space="preserve"> both shopping and non-shopping customers</w:t>
      </w:r>
      <w:r>
        <w:rPr>
          <w:rStyle w:val="FootnoteReference"/>
          <w:rFonts w:ascii="Times New Roman" w:hAnsi="Times New Roman" w:cs="Times New Roman"/>
          <w:sz w:val="24"/>
          <w:szCs w:val="24"/>
        </w:rPr>
        <w:footnoteReference w:id="40"/>
      </w:r>
      <w:r w:rsidRPr="00260A3F" w:rsidR="002C6664">
        <w:rPr>
          <w:rFonts w:ascii="Times New Roman" w:hAnsi="Times New Roman" w:cs="Times New Roman"/>
          <w:sz w:val="24"/>
          <w:szCs w:val="24"/>
        </w:rPr>
        <w:t xml:space="preserve"> and proposals by marketers to increase </w:t>
      </w:r>
      <w:r w:rsidRPr="00260A3F" w:rsidR="00300B47">
        <w:rPr>
          <w:rFonts w:ascii="Times New Roman" w:hAnsi="Times New Roman" w:cs="Times New Roman"/>
          <w:sz w:val="24"/>
          <w:szCs w:val="24"/>
        </w:rPr>
        <w:t>charges</w:t>
      </w:r>
      <w:r w:rsidRPr="00260A3F" w:rsidR="002C6664">
        <w:rPr>
          <w:rFonts w:ascii="Times New Roman" w:hAnsi="Times New Roman" w:cs="Times New Roman"/>
          <w:sz w:val="24"/>
          <w:szCs w:val="24"/>
        </w:rPr>
        <w:t xml:space="preserve"> for the </w:t>
      </w:r>
      <w:r w:rsidRPr="00260A3F" w:rsidR="00D7674A">
        <w:rPr>
          <w:rFonts w:ascii="Times New Roman" w:hAnsi="Times New Roman" w:cs="Times New Roman"/>
          <w:sz w:val="24"/>
          <w:szCs w:val="24"/>
        </w:rPr>
        <w:t>standard service offer</w:t>
      </w:r>
      <w:r w:rsidRPr="00260A3F" w:rsidR="002C6664">
        <w:rPr>
          <w:rFonts w:ascii="Times New Roman" w:hAnsi="Times New Roman" w:cs="Times New Roman"/>
          <w:sz w:val="24"/>
          <w:szCs w:val="24"/>
        </w:rPr>
        <w:t xml:space="preserve"> should be rejected.</w:t>
      </w:r>
    </w:p>
    <w:p w:rsidR="00EA3CD6" w:rsidRPr="00260A3F" w:rsidP="00C825CC" w14:paraId="0FCAF447" w14:textId="05EE66DC">
      <w:pPr>
        <w:spacing w:after="0" w:line="480" w:lineRule="auto"/>
        <w:ind w:firstLine="720"/>
        <w:rPr>
          <w:rFonts w:cs="Times New Roman"/>
          <w:szCs w:val="24"/>
        </w:rPr>
      </w:pPr>
      <w:r w:rsidRPr="00260A3F">
        <w:rPr>
          <w:rFonts w:cs="Times New Roman"/>
          <w:szCs w:val="24"/>
        </w:rPr>
        <w:t>The</w:t>
      </w:r>
      <w:r w:rsidRPr="00260A3F" w:rsidR="00BD40E8">
        <w:rPr>
          <w:rFonts w:cs="Times New Roman"/>
          <w:szCs w:val="24"/>
        </w:rPr>
        <w:t>se features</w:t>
      </w:r>
      <w:r w:rsidRPr="00260A3F">
        <w:rPr>
          <w:rFonts w:cs="Times New Roman"/>
          <w:szCs w:val="24"/>
        </w:rPr>
        <w:t xml:space="preserve"> of the Settlement</w:t>
      </w:r>
      <w:r w:rsidRPr="00260A3F" w:rsidR="00BD40E8">
        <w:rPr>
          <w:rFonts w:cs="Times New Roman"/>
          <w:szCs w:val="24"/>
        </w:rPr>
        <w:t xml:space="preserve"> </w:t>
      </w:r>
      <w:r w:rsidRPr="00260A3F" w:rsidR="009D25E5">
        <w:rPr>
          <w:rFonts w:cs="Times New Roman"/>
          <w:szCs w:val="24"/>
        </w:rPr>
        <w:t>benefit c</w:t>
      </w:r>
      <w:r w:rsidRPr="00260A3F">
        <w:rPr>
          <w:rFonts w:cs="Times New Roman"/>
          <w:szCs w:val="24"/>
        </w:rPr>
        <w:t>onsumers</w:t>
      </w:r>
      <w:r w:rsidRPr="00260A3F" w:rsidR="009D25E5">
        <w:rPr>
          <w:rFonts w:cs="Times New Roman"/>
          <w:szCs w:val="24"/>
        </w:rPr>
        <w:t xml:space="preserve"> and the public interest</w:t>
      </w:r>
      <w:r w:rsidRPr="00260A3F" w:rsidR="007A5C2C">
        <w:rPr>
          <w:rFonts w:cs="Times New Roman"/>
          <w:szCs w:val="24"/>
        </w:rPr>
        <w:t>. T</w:t>
      </w:r>
      <w:r w:rsidRPr="00260A3F" w:rsidR="00BD40E8">
        <w:rPr>
          <w:rFonts w:cs="Times New Roman"/>
          <w:szCs w:val="24"/>
        </w:rPr>
        <w:t>he overwhelming</w:t>
      </w:r>
      <w:r w:rsidRPr="00260A3F" w:rsidR="007A5C2C">
        <w:rPr>
          <w:rFonts w:cs="Times New Roman"/>
          <w:szCs w:val="24"/>
        </w:rPr>
        <w:t xml:space="preserve"> evidence</w:t>
      </w:r>
      <w:r w:rsidRPr="00260A3F" w:rsidR="00BD40E8">
        <w:rPr>
          <w:rFonts w:cs="Times New Roman"/>
          <w:szCs w:val="24"/>
        </w:rPr>
        <w:t xml:space="preserve"> establishes that the Settlement</w:t>
      </w:r>
      <w:r w:rsidRPr="00260A3F" w:rsidR="007A5C2C">
        <w:rPr>
          <w:rFonts w:cs="Times New Roman"/>
          <w:szCs w:val="24"/>
        </w:rPr>
        <w:t xml:space="preserve"> as a package</w:t>
      </w:r>
      <w:r w:rsidRPr="00260A3F" w:rsidR="00BD40E8">
        <w:rPr>
          <w:rFonts w:cs="Times New Roman"/>
          <w:szCs w:val="24"/>
        </w:rPr>
        <w:t xml:space="preserve"> satisfies the second prong of the PUCO’s test</w:t>
      </w:r>
      <w:r w:rsidRPr="00260A3F">
        <w:rPr>
          <w:rFonts w:cs="Times New Roman"/>
          <w:szCs w:val="24"/>
        </w:rPr>
        <w:t>.</w:t>
      </w:r>
      <w:r w:rsidRPr="00260A3F" w:rsidR="00BD40E8">
        <w:rPr>
          <w:rFonts w:cs="Times New Roman"/>
          <w:szCs w:val="24"/>
        </w:rPr>
        <w:t xml:space="preserve"> </w:t>
      </w:r>
    </w:p>
    <w:p w:rsidR="00EA3CD6" w:rsidRPr="00260A3F" w:rsidP="00672E11" w14:paraId="780A07A1" w14:textId="4CC8D0EB">
      <w:pPr>
        <w:pStyle w:val="Heading2"/>
        <w:rPr>
          <w:rStyle w:val="Heading2Char"/>
          <w:b/>
          <w:bCs/>
        </w:rPr>
      </w:pPr>
      <w:bookmarkStart w:id="14" w:name="_Toc522278752"/>
      <w:bookmarkStart w:id="15" w:name="_Toc74300288"/>
      <w:bookmarkStart w:id="16" w:name="_Toc74578031"/>
      <w:r w:rsidRPr="00260A3F">
        <w:rPr>
          <w:rStyle w:val="Heading2Char"/>
          <w:b/>
          <w:bCs/>
        </w:rPr>
        <w:t>The Settlement does not violate any regulatory principles or practices.</w:t>
      </w:r>
      <w:bookmarkEnd w:id="14"/>
      <w:bookmarkEnd w:id="15"/>
      <w:bookmarkEnd w:id="16"/>
    </w:p>
    <w:p w:rsidR="00053C5E" w:rsidRPr="00260A3F" w:rsidP="00053C5E" w14:paraId="3F113784" w14:textId="0236CD65">
      <w:pPr>
        <w:spacing w:after="0" w:line="480" w:lineRule="auto"/>
        <w:ind w:firstLine="720"/>
        <w:rPr>
          <w:rFonts w:cs="Times New Roman"/>
          <w:szCs w:val="24"/>
        </w:rPr>
      </w:pPr>
      <w:r w:rsidRPr="00260A3F">
        <w:rPr>
          <w:rFonts w:cs="Times New Roman"/>
          <w:szCs w:val="24"/>
        </w:rPr>
        <w:t xml:space="preserve">The </w:t>
      </w:r>
      <w:r w:rsidRPr="00260A3F" w:rsidR="00312335">
        <w:rPr>
          <w:rFonts w:cs="Times New Roman"/>
          <w:szCs w:val="24"/>
        </w:rPr>
        <w:t xml:space="preserve">Settlement satisfies the </w:t>
      </w:r>
      <w:r w:rsidRPr="00260A3F">
        <w:rPr>
          <w:rFonts w:cs="Times New Roman"/>
          <w:szCs w:val="24"/>
        </w:rPr>
        <w:t>third prong of the PUCO’s test for evaluating settlement</w:t>
      </w:r>
      <w:r w:rsidRPr="00260A3F" w:rsidR="00312335">
        <w:rPr>
          <w:rFonts w:cs="Times New Roman"/>
          <w:szCs w:val="24"/>
        </w:rPr>
        <w:t>s</w:t>
      </w:r>
      <w:r w:rsidRPr="00260A3F" w:rsidR="00D20897">
        <w:rPr>
          <w:rFonts w:cs="Times New Roman"/>
          <w:szCs w:val="24"/>
        </w:rPr>
        <w:t xml:space="preserve"> because it is consistent with </w:t>
      </w:r>
      <w:r w:rsidRPr="00260A3F" w:rsidR="00D7674A">
        <w:rPr>
          <w:rFonts w:cs="Times New Roman"/>
          <w:szCs w:val="24"/>
        </w:rPr>
        <w:t xml:space="preserve">Ohio’s </w:t>
      </w:r>
      <w:r w:rsidRPr="00260A3F" w:rsidR="00D20897">
        <w:rPr>
          <w:rFonts w:cs="Times New Roman"/>
          <w:szCs w:val="24"/>
        </w:rPr>
        <w:t>regulatory principles and practices.</w:t>
      </w:r>
      <w:r>
        <w:rPr>
          <w:rStyle w:val="FootnoteReference"/>
          <w:rFonts w:cs="Times New Roman"/>
          <w:szCs w:val="24"/>
        </w:rPr>
        <w:footnoteReference w:id="41"/>
      </w:r>
      <w:r w:rsidRPr="00260A3F" w:rsidR="00D20897">
        <w:rPr>
          <w:rFonts w:cs="Times New Roman"/>
          <w:szCs w:val="24"/>
        </w:rPr>
        <w:t xml:space="preserve"> </w:t>
      </w:r>
      <w:r w:rsidRPr="00260A3F" w:rsidR="00FC7A59">
        <w:rPr>
          <w:rFonts w:cs="Times New Roman"/>
          <w:szCs w:val="24"/>
        </w:rPr>
        <w:t xml:space="preserve">For example, </w:t>
      </w:r>
      <w:r w:rsidRPr="00260A3F" w:rsidR="00D20897">
        <w:rPr>
          <w:rFonts w:cs="Times New Roman"/>
          <w:szCs w:val="24"/>
        </w:rPr>
        <w:t>R.C 4909.15 requires that rates charged to consumers be just and reasonable. As noted above, the Settlement made adjustments to</w:t>
      </w:r>
      <w:r w:rsidRPr="00260A3F" w:rsidR="003245D4">
        <w:rPr>
          <w:rFonts w:cs="Times New Roman"/>
          <w:szCs w:val="24"/>
        </w:rPr>
        <w:t xml:space="preserve"> significantly reduce</w:t>
      </w:r>
      <w:r w:rsidRPr="00260A3F" w:rsidR="00D20897">
        <w:rPr>
          <w:rFonts w:cs="Times New Roman"/>
          <w:szCs w:val="24"/>
        </w:rPr>
        <w:t xml:space="preserve"> </w:t>
      </w:r>
      <w:r w:rsidRPr="00260A3F" w:rsidR="003245D4">
        <w:rPr>
          <w:rFonts w:cs="Times New Roman"/>
          <w:szCs w:val="24"/>
        </w:rPr>
        <w:t>the</w:t>
      </w:r>
      <w:r w:rsidRPr="00260A3F" w:rsidR="00D20897">
        <w:rPr>
          <w:rFonts w:cs="Times New Roman"/>
          <w:szCs w:val="24"/>
        </w:rPr>
        <w:t xml:space="preserve"> </w:t>
      </w:r>
      <w:r w:rsidRPr="00260A3F" w:rsidR="003245D4">
        <w:rPr>
          <w:rFonts w:cs="Times New Roman"/>
          <w:szCs w:val="24"/>
        </w:rPr>
        <w:t>revenue requirement initially proposed</w:t>
      </w:r>
      <w:r w:rsidRPr="00260A3F" w:rsidR="00D20897">
        <w:rPr>
          <w:rFonts w:cs="Times New Roman"/>
          <w:szCs w:val="24"/>
        </w:rPr>
        <w:t xml:space="preserve"> in </w:t>
      </w:r>
      <w:r w:rsidRPr="00260A3F" w:rsidR="003245D4">
        <w:rPr>
          <w:rFonts w:cs="Times New Roman"/>
          <w:szCs w:val="24"/>
        </w:rPr>
        <w:t>AEP Ohio’s</w:t>
      </w:r>
      <w:r w:rsidRPr="00260A3F" w:rsidR="00C825CC">
        <w:rPr>
          <w:rFonts w:cs="Times New Roman"/>
          <w:szCs w:val="24"/>
        </w:rPr>
        <w:t xml:space="preserve"> application, which </w:t>
      </w:r>
      <w:r w:rsidRPr="00260A3F" w:rsidR="003245D4">
        <w:rPr>
          <w:rFonts w:cs="Times New Roman"/>
          <w:szCs w:val="24"/>
        </w:rPr>
        <w:t>benefits</w:t>
      </w:r>
      <w:r w:rsidRPr="00260A3F" w:rsidR="00FD4318">
        <w:rPr>
          <w:rFonts w:cs="Times New Roman"/>
          <w:szCs w:val="24"/>
        </w:rPr>
        <w:t xml:space="preserve"> </w:t>
      </w:r>
      <w:r w:rsidRPr="00260A3F" w:rsidR="003245D4">
        <w:rPr>
          <w:rFonts w:cs="Times New Roman"/>
          <w:szCs w:val="24"/>
        </w:rPr>
        <w:t xml:space="preserve">all </w:t>
      </w:r>
      <w:r w:rsidRPr="00260A3F" w:rsidR="00FD4318">
        <w:rPr>
          <w:rFonts w:cs="Times New Roman"/>
          <w:szCs w:val="24"/>
        </w:rPr>
        <w:t xml:space="preserve">consumers </w:t>
      </w:r>
      <w:r w:rsidRPr="00260A3F" w:rsidR="003245D4">
        <w:rPr>
          <w:rFonts w:cs="Times New Roman"/>
          <w:szCs w:val="24"/>
        </w:rPr>
        <w:t xml:space="preserve">who </w:t>
      </w:r>
      <w:r w:rsidRPr="00260A3F" w:rsidR="00FD4318">
        <w:rPr>
          <w:rFonts w:cs="Times New Roman"/>
          <w:szCs w:val="24"/>
        </w:rPr>
        <w:t xml:space="preserve">pay for electric distribution service. </w:t>
      </w:r>
      <w:r w:rsidRPr="00260A3F" w:rsidR="00D20897">
        <w:rPr>
          <w:rFonts w:cs="Times New Roman"/>
          <w:szCs w:val="24"/>
        </w:rPr>
        <w:t>OCC witness Willis testified that t</w:t>
      </w:r>
      <w:r w:rsidRPr="00260A3F" w:rsidR="00312335">
        <w:rPr>
          <w:rFonts w:cs="Times New Roman"/>
          <w:szCs w:val="24"/>
        </w:rPr>
        <w:t>he</w:t>
      </w:r>
      <w:r w:rsidRPr="00260A3F" w:rsidR="00C825CC">
        <w:rPr>
          <w:rFonts w:cs="Times New Roman"/>
          <w:szCs w:val="24"/>
        </w:rPr>
        <w:t>se adjustments to the</w:t>
      </w:r>
      <w:r w:rsidRPr="00260A3F" w:rsidR="00312335">
        <w:rPr>
          <w:rFonts w:cs="Times New Roman"/>
          <w:szCs w:val="24"/>
        </w:rPr>
        <w:t xml:space="preserve"> revenue requirement schedules and </w:t>
      </w:r>
      <w:r w:rsidRPr="00260A3F" w:rsidR="00C825CC">
        <w:rPr>
          <w:rFonts w:cs="Times New Roman"/>
          <w:szCs w:val="24"/>
        </w:rPr>
        <w:t>other</w:t>
      </w:r>
      <w:r w:rsidRPr="00260A3F" w:rsidR="00312335">
        <w:rPr>
          <w:rFonts w:cs="Times New Roman"/>
          <w:szCs w:val="24"/>
        </w:rPr>
        <w:t xml:space="preserve"> benefits </w:t>
      </w:r>
      <w:r w:rsidRPr="00260A3F" w:rsidR="00D20897">
        <w:rPr>
          <w:rFonts w:cs="Times New Roman"/>
          <w:szCs w:val="24"/>
        </w:rPr>
        <w:t xml:space="preserve">under the Settlement </w:t>
      </w:r>
      <w:r w:rsidRPr="00260A3F" w:rsidR="00312335">
        <w:rPr>
          <w:rFonts w:cs="Times New Roman"/>
          <w:szCs w:val="24"/>
        </w:rPr>
        <w:t>are the result of traditional rate setting polices, practices, and procedures.</w:t>
      </w:r>
      <w:r>
        <w:rPr>
          <w:rStyle w:val="FootnoteReference"/>
          <w:rFonts w:cs="Times New Roman"/>
          <w:szCs w:val="24"/>
        </w:rPr>
        <w:footnoteReference w:id="42"/>
      </w:r>
      <w:r w:rsidRPr="00260A3F" w:rsidR="00312335">
        <w:rPr>
          <w:rFonts w:cs="Times New Roman"/>
          <w:szCs w:val="24"/>
        </w:rPr>
        <w:t xml:space="preserve">  </w:t>
      </w:r>
      <w:r w:rsidRPr="00260A3F" w:rsidR="00D9288B">
        <w:rPr>
          <w:rFonts w:cs="Times New Roman"/>
          <w:szCs w:val="24"/>
        </w:rPr>
        <w:t>AEP Ohio witness Moore further testified that the Settlement does not violate regulatory principles and practices.</w:t>
      </w:r>
      <w:r>
        <w:rPr>
          <w:rStyle w:val="FootnoteReference"/>
          <w:rFonts w:cs="Times New Roman"/>
          <w:szCs w:val="24"/>
        </w:rPr>
        <w:footnoteReference w:id="43"/>
      </w:r>
      <w:r w:rsidRPr="00260A3F" w:rsidR="00D9288B">
        <w:rPr>
          <w:rFonts w:cs="Times New Roman"/>
          <w:szCs w:val="24"/>
        </w:rPr>
        <w:t xml:space="preserve"> </w:t>
      </w:r>
    </w:p>
    <w:p w:rsidR="005F2B7A" w:rsidRPr="00260A3F" w:rsidP="00053C5E" w14:paraId="4E3BAFB9" w14:textId="0A2EC391">
      <w:pPr>
        <w:spacing w:after="0" w:line="480" w:lineRule="auto"/>
        <w:ind w:firstLine="720"/>
        <w:rPr>
          <w:rFonts w:cs="Times New Roman"/>
          <w:szCs w:val="24"/>
        </w:rPr>
      </w:pPr>
      <w:r w:rsidRPr="00260A3F">
        <w:rPr>
          <w:rFonts w:cs="Times New Roman"/>
          <w:szCs w:val="24"/>
        </w:rPr>
        <w:t>In addition to reducing the revenue requirement, the Settlement protects residential consumers by delaying the implementation of the delayed payment charge to mitigate the impacts of the pandemic on consumers’ finances.</w:t>
      </w:r>
      <w:r>
        <w:rPr>
          <w:rStyle w:val="FootnoteReference"/>
          <w:rFonts w:cs="Times New Roman"/>
          <w:szCs w:val="24"/>
        </w:rPr>
        <w:footnoteReference w:id="44"/>
      </w:r>
      <w:r w:rsidRPr="00260A3F" w:rsidR="003E5EA4">
        <w:rPr>
          <w:rFonts w:cs="Times New Roman"/>
          <w:szCs w:val="24"/>
        </w:rPr>
        <w:t xml:space="preserve"> </w:t>
      </w:r>
      <w:r w:rsidRPr="00260A3F" w:rsidR="00FC7A59">
        <w:rPr>
          <w:rFonts w:cs="Times New Roman"/>
          <w:szCs w:val="24"/>
        </w:rPr>
        <w:t>T</w:t>
      </w:r>
      <w:r w:rsidRPr="00260A3F" w:rsidR="003E5EA4">
        <w:rPr>
          <w:rFonts w:cs="Times New Roman"/>
          <w:szCs w:val="24"/>
        </w:rPr>
        <w:t>he Settlement’s provisions regarding the D</w:t>
      </w:r>
      <w:r w:rsidRPr="00260A3F" w:rsidR="00AF67A8">
        <w:rPr>
          <w:rFonts w:cs="Times New Roman"/>
          <w:szCs w:val="24"/>
        </w:rPr>
        <w:t>istribution Investment Rider</w:t>
      </w:r>
      <w:r w:rsidRPr="00260A3F" w:rsidR="003E5EA4">
        <w:rPr>
          <w:rFonts w:cs="Times New Roman"/>
          <w:szCs w:val="24"/>
        </w:rPr>
        <w:t xml:space="preserve"> </w:t>
      </w:r>
      <w:r w:rsidRPr="00260A3F" w:rsidR="00FC7A59">
        <w:rPr>
          <w:rFonts w:cs="Times New Roman"/>
          <w:szCs w:val="24"/>
        </w:rPr>
        <w:t xml:space="preserve">also </w:t>
      </w:r>
      <w:r w:rsidRPr="00260A3F" w:rsidR="003E5EA4">
        <w:rPr>
          <w:rFonts w:cs="Times New Roman"/>
          <w:szCs w:val="24"/>
        </w:rPr>
        <w:t>promote service reliability by imposing additional reliability standards and reporting requirements on AEP Ohio.</w:t>
      </w:r>
      <w:r>
        <w:rPr>
          <w:rStyle w:val="FootnoteReference"/>
          <w:rFonts w:cs="Times New Roman"/>
          <w:szCs w:val="24"/>
        </w:rPr>
        <w:footnoteReference w:id="45"/>
      </w:r>
      <w:r w:rsidRPr="00260A3F" w:rsidR="003E5EA4">
        <w:rPr>
          <w:rFonts w:cs="Times New Roman"/>
          <w:szCs w:val="24"/>
        </w:rPr>
        <w:t xml:space="preserve"> </w:t>
      </w:r>
      <w:r w:rsidRPr="00260A3F" w:rsidR="009D25E5">
        <w:rPr>
          <w:rFonts w:cs="Times New Roman"/>
          <w:szCs w:val="24"/>
        </w:rPr>
        <w:t>Thus, the Settlement</w:t>
      </w:r>
      <w:r w:rsidRPr="00260A3F" w:rsidR="00D7674A">
        <w:rPr>
          <w:rFonts w:cs="Times New Roman"/>
          <w:szCs w:val="24"/>
        </w:rPr>
        <w:t xml:space="preserve"> satisf</w:t>
      </w:r>
      <w:r w:rsidRPr="00260A3F" w:rsidR="00F8690A">
        <w:rPr>
          <w:rFonts w:cs="Times New Roman"/>
          <w:szCs w:val="24"/>
        </w:rPr>
        <w:t>ies</w:t>
      </w:r>
      <w:r w:rsidRPr="00260A3F" w:rsidR="00D7674A">
        <w:rPr>
          <w:rFonts w:cs="Times New Roman"/>
          <w:szCs w:val="24"/>
        </w:rPr>
        <w:t xml:space="preserve"> the third prong of the PUCO’s test to evaluate settlements</w:t>
      </w:r>
      <w:r w:rsidRPr="00260A3F" w:rsidR="009D25E5">
        <w:rPr>
          <w:rFonts w:cs="Times New Roman"/>
          <w:szCs w:val="24"/>
        </w:rPr>
        <w:t>.</w:t>
      </w:r>
    </w:p>
    <w:p w:rsidR="009B419A" w:rsidRPr="00260A3F" w:rsidP="006C1EAB" w14:paraId="0E93362E" w14:textId="77777777">
      <w:pPr>
        <w:pStyle w:val="Heading1"/>
        <w:rPr>
          <w:rStyle w:val="Heading1Char"/>
          <w:rFonts w:ascii="Times New Roman" w:hAnsi="Times New Roman" w:cs="Times New Roman"/>
          <w:b/>
          <w:bCs/>
          <w:szCs w:val="24"/>
        </w:rPr>
      </w:pPr>
      <w:bookmarkStart w:id="17" w:name="_Toc496786176"/>
      <w:bookmarkStart w:id="18" w:name="_Toc511223240"/>
      <w:bookmarkStart w:id="19" w:name="_Toc522277280"/>
      <w:bookmarkStart w:id="20" w:name="_Toc522278753"/>
      <w:bookmarkStart w:id="21" w:name="_Toc74300289"/>
      <w:bookmarkStart w:id="22" w:name="_Toc74578032"/>
      <w:r w:rsidRPr="00260A3F">
        <w:rPr>
          <w:rFonts w:ascii="Times New Roman" w:hAnsi="Times New Roman" w:cs="Times New Roman"/>
          <w:szCs w:val="24"/>
        </w:rPr>
        <w:t>III.</w:t>
      </w:r>
      <w:r w:rsidRPr="00260A3F">
        <w:rPr>
          <w:rFonts w:ascii="Times New Roman" w:hAnsi="Times New Roman" w:cs="Times New Roman"/>
          <w:szCs w:val="24"/>
        </w:rPr>
        <w:tab/>
      </w:r>
      <w:r w:rsidRPr="00260A3F">
        <w:rPr>
          <w:rStyle w:val="Heading1Char"/>
          <w:rFonts w:ascii="Times New Roman" w:hAnsi="Times New Roman" w:cs="Times New Roman"/>
          <w:b/>
          <w:bCs/>
          <w:szCs w:val="24"/>
        </w:rPr>
        <w:t>CONCLUSION</w:t>
      </w:r>
      <w:bookmarkEnd w:id="17"/>
      <w:bookmarkEnd w:id="18"/>
      <w:bookmarkEnd w:id="19"/>
      <w:bookmarkEnd w:id="20"/>
      <w:bookmarkEnd w:id="21"/>
      <w:bookmarkEnd w:id="22"/>
    </w:p>
    <w:p w:rsidR="009B419A" w:rsidRPr="00260A3F" w:rsidP="00EC50A9" w14:paraId="40922FD1" w14:textId="3E3298F2">
      <w:pPr>
        <w:spacing w:after="0" w:line="480" w:lineRule="auto"/>
        <w:ind w:firstLine="720"/>
        <w:rPr>
          <w:rFonts w:cs="Times New Roman"/>
          <w:szCs w:val="24"/>
        </w:rPr>
      </w:pPr>
      <w:r w:rsidRPr="00260A3F">
        <w:rPr>
          <w:rFonts w:cs="Times New Roman"/>
          <w:szCs w:val="24"/>
        </w:rPr>
        <w:t>The</w:t>
      </w:r>
      <w:r w:rsidRPr="00260A3F" w:rsidR="0072541D">
        <w:rPr>
          <w:rFonts w:cs="Times New Roman"/>
          <w:szCs w:val="24"/>
        </w:rPr>
        <w:t xml:space="preserve"> Settlement satisfies the PUCO’s three</w:t>
      </w:r>
      <w:r w:rsidRPr="00260A3F" w:rsidR="003245D4">
        <w:rPr>
          <w:rFonts w:cs="Times New Roman"/>
          <w:szCs w:val="24"/>
        </w:rPr>
        <w:t>-</w:t>
      </w:r>
      <w:r w:rsidRPr="00260A3F" w:rsidR="0072541D">
        <w:rPr>
          <w:rFonts w:cs="Times New Roman"/>
          <w:szCs w:val="24"/>
        </w:rPr>
        <w:t>prong test for evaluating settlements</w:t>
      </w:r>
      <w:r w:rsidRPr="00260A3F">
        <w:rPr>
          <w:rFonts w:cs="Times New Roman"/>
          <w:szCs w:val="24"/>
        </w:rPr>
        <w:t>.</w:t>
      </w:r>
      <w:r w:rsidRPr="00260A3F" w:rsidR="0072541D">
        <w:rPr>
          <w:rFonts w:cs="Times New Roman"/>
          <w:szCs w:val="24"/>
        </w:rPr>
        <w:t xml:space="preserve"> The Settlement is the product of serious bargaining among capable, knowledgeable parties with diverse interests.</w:t>
      </w:r>
      <w:r w:rsidRPr="00260A3F">
        <w:rPr>
          <w:rFonts w:cs="Times New Roman"/>
          <w:szCs w:val="24"/>
        </w:rPr>
        <w:t xml:space="preserve"> </w:t>
      </w:r>
      <w:r w:rsidRPr="00260A3F" w:rsidR="0072541D">
        <w:rPr>
          <w:rFonts w:cs="Times New Roman"/>
          <w:szCs w:val="24"/>
        </w:rPr>
        <w:t>As a package, t</w:t>
      </w:r>
      <w:r w:rsidRPr="00260A3F">
        <w:rPr>
          <w:rFonts w:cs="Times New Roman"/>
          <w:szCs w:val="24"/>
        </w:rPr>
        <w:t xml:space="preserve">he Settlement provides significant benefits to </w:t>
      </w:r>
      <w:r w:rsidRPr="00260A3F" w:rsidR="0072541D">
        <w:rPr>
          <w:rFonts w:cs="Times New Roman"/>
          <w:szCs w:val="24"/>
        </w:rPr>
        <w:t>AEP Ohio’s</w:t>
      </w:r>
      <w:r w:rsidRPr="00260A3F">
        <w:rPr>
          <w:rFonts w:cs="Times New Roman"/>
          <w:szCs w:val="24"/>
        </w:rPr>
        <w:t xml:space="preserve"> consumers</w:t>
      </w:r>
      <w:r w:rsidRPr="00260A3F" w:rsidR="0072541D">
        <w:rPr>
          <w:rFonts w:cs="Times New Roman"/>
          <w:szCs w:val="24"/>
        </w:rPr>
        <w:t xml:space="preserve"> and does not violate regulatory principles or practices. The Settlement</w:t>
      </w:r>
      <w:r w:rsidRPr="00260A3F">
        <w:rPr>
          <w:rFonts w:cs="Times New Roman"/>
          <w:szCs w:val="24"/>
        </w:rPr>
        <w:t xml:space="preserve"> is just and reasonable</w:t>
      </w:r>
      <w:r w:rsidRPr="00260A3F" w:rsidR="0072541D">
        <w:rPr>
          <w:rFonts w:cs="Times New Roman"/>
          <w:szCs w:val="24"/>
        </w:rPr>
        <w:t xml:space="preserve"> and the PUCO should approve it without modification.</w:t>
      </w:r>
    </w:p>
    <w:p w:rsidR="000C76D8" w:rsidRPr="00260A3F" w14:paraId="0A0CE556" w14:textId="604BC73F">
      <w:pPr>
        <w:rPr>
          <w:rFonts w:cs="Times New Roman"/>
          <w:szCs w:val="24"/>
        </w:rPr>
      </w:pPr>
    </w:p>
    <w:p w:rsidR="009B419A" w:rsidRPr="00260A3F" w:rsidP="00BC1DD7" w14:paraId="2497294E" w14:textId="0A556B95">
      <w:pPr>
        <w:ind w:firstLine="4320"/>
        <w:rPr>
          <w:rFonts w:cs="Times New Roman"/>
          <w:szCs w:val="24"/>
        </w:rPr>
      </w:pPr>
      <w:r w:rsidRPr="00260A3F">
        <w:rPr>
          <w:rFonts w:cs="Times New Roman"/>
          <w:szCs w:val="24"/>
        </w:rPr>
        <w:t>Respectfully submitted,</w:t>
      </w:r>
    </w:p>
    <w:p w:rsidR="0072541D" w:rsidRPr="00260A3F" w:rsidP="0072541D" w14:paraId="639A243B" w14:textId="77777777">
      <w:pPr>
        <w:spacing w:after="0" w:line="240" w:lineRule="auto"/>
        <w:ind w:left="3600" w:firstLine="720"/>
        <w:rPr>
          <w:rFonts w:eastAsiaTheme="minorEastAsia" w:cs="Times New Roman"/>
          <w:szCs w:val="24"/>
        </w:rPr>
      </w:pPr>
      <w:r w:rsidRPr="00260A3F">
        <w:rPr>
          <w:rFonts w:eastAsiaTheme="minorEastAsia" w:cs="Times New Roman"/>
          <w:szCs w:val="24"/>
        </w:rPr>
        <w:t>Bruce Weston (0016973)</w:t>
      </w:r>
    </w:p>
    <w:p w:rsidR="0072541D" w:rsidRPr="00260A3F" w:rsidP="0072541D" w14:paraId="2B6CC772" w14:textId="77777777">
      <w:pPr>
        <w:spacing w:after="0" w:line="240" w:lineRule="auto"/>
        <w:ind w:firstLine="4320"/>
        <w:rPr>
          <w:rFonts w:eastAsiaTheme="minorEastAsia" w:cs="Times New Roman"/>
          <w:szCs w:val="24"/>
        </w:rPr>
      </w:pPr>
      <w:r w:rsidRPr="00260A3F">
        <w:rPr>
          <w:rFonts w:eastAsiaTheme="minorEastAsia" w:cs="Times New Roman"/>
          <w:szCs w:val="24"/>
        </w:rPr>
        <w:t>Ohio Consumers' Counsel</w:t>
      </w:r>
    </w:p>
    <w:p w:rsidR="0072541D" w:rsidRPr="00260A3F" w:rsidP="0072541D" w14:paraId="072C3C5B" w14:textId="77777777">
      <w:pPr>
        <w:tabs>
          <w:tab w:val="left" w:pos="4933"/>
        </w:tabs>
        <w:spacing w:after="0" w:line="240" w:lineRule="auto"/>
        <w:rPr>
          <w:rFonts w:cs="Times New Roman"/>
          <w:szCs w:val="24"/>
        </w:rPr>
      </w:pPr>
    </w:p>
    <w:p w:rsidR="0072541D" w:rsidRPr="00260A3F" w:rsidP="0072541D" w14:paraId="47141DAA" w14:textId="19EACE0C">
      <w:pPr>
        <w:spacing w:after="0" w:line="240" w:lineRule="auto"/>
        <w:ind w:left="4320"/>
        <w:rPr>
          <w:rFonts w:eastAsiaTheme="minorEastAsia" w:cs="Times New Roman"/>
          <w:szCs w:val="24"/>
        </w:rPr>
      </w:pPr>
      <w:r w:rsidRPr="00260A3F">
        <w:rPr>
          <w:rFonts w:eastAsiaTheme="minorEastAsia" w:cs="Times New Roman"/>
          <w:i/>
          <w:iCs/>
          <w:szCs w:val="24"/>
          <w:u w:val="single"/>
        </w:rPr>
        <w:t>/s/ Angela D. O’Brien</w:t>
      </w: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p>
    <w:p w:rsidR="0072541D" w:rsidRPr="00260A3F" w:rsidP="0072541D" w14:paraId="69C2DBD8" w14:textId="77777777">
      <w:pPr>
        <w:spacing w:after="0" w:line="240" w:lineRule="auto"/>
        <w:ind w:left="4320"/>
        <w:rPr>
          <w:rFonts w:cs="Times New Roman"/>
          <w:szCs w:val="24"/>
        </w:rPr>
      </w:pPr>
      <w:r w:rsidRPr="00260A3F">
        <w:rPr>
          <w:rFonts w:cs="Times New Roman"/>
          <w:szCs w:val="24"/>
        </w:rPr>
        <w:t>Angela D. O’Brien (0097579)</w:t>
      </w:r>
    </w:p>
    <w:p w:rsidR="0072541D" w:rsidRPr="00260A3F" w:rsidP="0072541D" w14:paraId="7378EC8B" w14:textId="77777777">
      <w:pPr>
        <w:spacing w:after="0" w:line="240" w:lineRule="auto"/>
        <w:ind w:left="4320"/>
        <w:rPr>
          <w:rFonts w:cs="Times New Roman"/>
          <w:szCs w:val="24"/>
        </w:rPr>
      </w:pPr>
      <w:r w:rsidRPr="00260A3F">
        <w:rPr>
          <w:rFonts w:cs="Times New Roman"/>
          <w:szCs w:val="24"/>
        </w:rPr>
        <w:t>Counsel of Record</w:t>
      </w:r>
    </w:p>
    <w:p w:rsidR="0072541D" w:rsidRPr="00260A3F" w:rsidP="0072541D" w14:paraId="0117931A" w14:textId="77777777">
      <w:pPr>
        <w:tabs>
          <w:tab w:val="left" w:pos="4320"/>
        </w:tabs>
        <w:spacing w:after="0" w:line="240" w:lineRule="auto"/>
        <w:ind w:firstLine="3600"/>
        <w:rPr>
          <w:rFonts w:cs="Times New Roman"/>
          <w:szCs w:val="24"/>
        </w:rPr>
      </w:pPr>
      <w:r w:rsidRPr="00260A3F">
        <w:rPr>
          <w:rFonts w:cs="Times New Roman"/>
          <w:szCs w:val="24"/>
        </w:rPr>
        <w:tab/>
        <w:t>Christopher Healey (0086027)</w:t>
      </w:r>
    </w:p>
    <w:p w:rsidR="0072541D" w:rsidRPr="00260A3F" w:rsidP="0072541D" w14:paraId="0072F0A4" w14:textId="77777777">
      <w:pPr>
        <w:tabs>
          <w:tab w:val="left" w:pos="4320"/>
        </w:tabs>
        <w:spacing w:after="0" w:line="240" w:lineRule="auto"/>
        <w:ind w:firstLine="3600"/>
        <w:rPr>
          <w:rFonts w:cs="Times New Roman"/>
          <w:szCs w:val="24"/>
        </w:rPr>
      </w:pPr>
      <w:r w:rsidRPr="00260A3F">
        <w:rPr>
          <w:rFonts w:cs="Times New Roman"/>
          <w:szCs w:val="24"/>
        </w:rPr>
        <w:tab/>
        <w:t>John Finnigan (00018689)</w:t>
      </w:r>
    </w:p>
    <w:p w:rsidR="0072541D" w:rsidRPr="00260A3F" w:rsidP="0072541D" w14:paraId="54866CCA" w14:textId="77777777">
      <w:pPr>
        <w:spacing w:after="0" w:line="240" w:lineRule="auto"/>
        <w:ind w:left="4320"/>
        <w:rPr>
          <w:rFonts w:cs="Times New Roman"/>
          <w:szCs w:val="24"/>
        </w:rPr>
      </w:pPr>
      <w:r w:rsidRPr="00260A3F">
        <w:rPr>
          <w:rFonts w:cs="Times New Roman"/>
          <w:szCs w:val="24"/>
        </w:rPr>
        <w:t>Assistant Consumers’ Counsel</w:t>
      </w:r>
    </w:p>
    <w:p w:rsidR="0072541D" w:rsidRPr="00260A3F" w:rsidP="0072541D" w14:paraId="440862FA" w14:textId="77777777">
      <w:pPr>
        <w:spacing w:after="0" w:line="240" w:lineRule="auto"/>
        <w:ind w:left="4320"/>
        <w:rPr>
          <w:rFonts w:cs="Times New Roman"/>
          <w:szCs w:val="24"/>
        </w:rPr>
      </w:pPr>
    </w:p>
    <w:p w:rsidR="0072541D" w:rsidRPr="00260A3F" w:rsidP="0072541D" w14:paraId="10C9D708" w14:textId="77777777">
      <w:pPr>
        <w:spacing w:after="0" w:line="240" w:lineRule="auto"/>
        <w:ind w:left="4320"/>
        <w:rPr>
          <w:rFonts w:cs="Times New Roman"/>
          <w:b/>
          <w:szCs w:val="24"/>
        </w:rPr>
      </w:pPr>
      <w:r w:rsidRPr="00260A3F">
        <w:rPr>
          <w:rFonts w:cs="Times New Roman"/>
          <w:b/>
          <w:szCs w:val="24"/>
        </w:rPr>
        <w:t>Office of the Ohio Consumers’ Counsel</w:t>
      </w:r>
    </w:p>
    <w:p w:rsidR="0072541D" w:rsidRPr="00260A3F" w:rsidP="0072541D" w14:paraId="2A4B08F4" w14:textId="77777777">
      <w:pPr>
        <w:spacing w:after="0" w:line="240" w:lineRule="auto"/>
        <w:ind w:left="4320"/>
        <w:rPr>
          <w:rFonts w:cs="Times New Roman"/>
          <w:szCs w:val="24"/>
        </w:rPr>
      </w:pPr>
      <w:r w:rsidRPr="00260A3F">
        <w:rPr>
          <w:rFonts w:cs="Times New Roman"/>
          <w:szCs w:val="24"/>
        </w:rPr>
        <w:t>65 East State Street, 7th Floor</w:t>
      </w:r>
    </w:p>
    <w:p w:rsidR="0072541D" w:rsidRPr="00260A3F" w:rsidP="0072541D" w14:paraId="1BA33137" w14:textId="77777777">
      <w:pPr>
        <w:spacing w:after="0" w:line="240" w:lineRule="auto"/>
        <w:ind w:left="4320"/>
        <w:rPr>
          <w:rFonts w:cs="Times New Roman"/>
          <w:szCs w:val="24"/>
        </w:rPr>
      </w:pPr>
      <w:r w:rsidRPr="00260A3F">
        <w:rPr>
          <w:rFonts w:cs="Times New Roman"/>
          <w:szCs w:val="24"/>
        </w:rPr>
        <w:t>Columbus, Ohio 43215-4213</w:t>
      </w:r>
    </w:p>
    <w:p w:rsidR="0072541D" w:rsidRPr="00260A3F" w:rsidP="0072541D" w14:paraId="5EA3C3C6" w14:textId="77777777">
      <w:pPr>
        <w:spacing w:after="0" w:line="240" w:lineRule="auto"/>
        <w:ind w:left="4320"/>
        <w:rPr>
          <w:rFonts w:cs="Times New Roman"/>
          <w:szCs w:val="24"/>
        </w:rPr>
      </w:pPr>
      <w:r w:rsidRPr="00260A3F">
        <w:rPr>
          <w:rFonts w:cs="Times New Roman"/>
          <w:szCs w:val="24"/>
        </w:rPr>
        <w:t>Telephone: [O’Brien] (614) 466-9531</w:t>
      </w:r>
    </w:p>
    <w:p w:rsidR="0072541D" w:rsidRPr="00260A3F" w:rsidP="0072541D" w14:paraId="4B9A76FE" w14:textId="77777777">
      <w:pPr>
        <w:spacing w:after="0" w:line="240" w:lineRule="auto"/>
        <w:ind w:left="4320"/>
        <w:rPr>
          <w:rFonts w:cs="Times New Roman"/>
          <w:szCs w:val="24"/>
        </w:rPr>
      </w:pPr>
      <w:r w:rsidRPr="00260A3F">
        <w:rPr>
          <w:rFonts w:cs="Times New Roman"/>
          <w:szCs w:val="24"/>
        </w:rPr>
        <w:t>Telephone: [Healey] (614) 466-9571</w:t>
      </w:r>
    </w:p>
    <w:p w:rsidR="0072541D" w:rsidRPr="00260A3F" w:rsidP="0072541D" w14:paraId="7FD3D5F8" w14:textId="77777777">
      <w:pPr>
        <w:spacing w:after="0" w:line="240" w:lineRule="auto"/>
        <w:ind w:left="4320"/>
        <w:rPr>
          <w:rFonts w:cs="Times New Roman"/>
          <w:szCs w:val="24"/>
        </w:rPr>
      </w:pPr>
      <w:r w:rsidRPr="00260A3F">
        <w:rPr>
          <w:rFonts w:cs="Times New Roman"/>
          <w:szCs w:val="24"/>
        </w:rPr>
        <w:t>Telephone: [Finnigan] (614) 466-9585</w:t>
      </w:r>
    </w:p>
    <w:p w:rsidR="0072541D" w:rsidRPr="00260A3F" w:rsidP="0072541D" w14:paraId="7CC49A47" w14:textId="77777777">
      <w:pPr>
        <w:spacing w:after="0" w:line="240" w:lineRule="auto"/>
        <w:ind w:left="4320"/>
        <w:rPr>
          <w:rFonts w:cs="Times New Roman"/>
          <w:szCs w:val="24"/>
        </w:rPr>
      </w:pPr>
      <w:hyperlink r:id="rId6" w:history="1">
        <w:r w:rsidRPr="00260A3F" w:rsidR="002A4989">
          <w:rPr>
            <w:rFonts w:cs="Times New Roman"/>
            <w:color w:val="0000FF"/>
            <w:szCs w:val="24"/>
            <w:u w:val="single"/>
          </w:rPr>
          <w:t>angela.obrien@occ.ohio.gov</w:t>
        </w:r>
      </w:hyperlink>
    </w:p>
    <w:p w:rsidR="0072541D" w:rsidRPr="00260A3F" w:rsidP="0072541D" w14:paraId="1D5F9A7E" w14:textId="77777777">
      <w:pPr>
        <w:spacing w:after="0" w:line="240" w:lineRule="auto"/>
        <w:ind w:left="4320"/>
        <w:rPr>
          <w:rFonts w:cs="Times New Roman"/>
          <w:color w:val="0000FF"/>
          <w:szCs w:val="24"/>
          <w:u w:val="single"/>
        </w:rPr>
      </w:pPr>
      <w:hyperlink r:id="rId7" w:history="1">
        <w:r w:rsidRPr="00260A3F" w:rsidR="002A4989">
          <w:rPr>
            <w:rFonts w:cs="Times New Roman"/>
            <w:color w:val="0000FF"/>
            <w:szCs w:val="24"/>
            <w:u w:val="single"/>
          </w:rPr>
          <w:t>christopher.healey@occ.ohio.gov</w:t>
        </w:r>
      </w:hyperlink>
    </w:p>
    <w:p w:rsidR="0072541D" w:rsidRPr="00260A3F" w:rsidP="0072541D" w14:paraId="77B6A19F" w14:textId="77777777">
      <w:pPr>
        <w:spacing w:after="0" w:line="240" w:lineRule="auto"/>
        <w:ind w:left="4320"/>
        <w:rPr>
          <w:rFonts w:cs="Times New Roman"/>
          <w:szCs w:val="24"/>
        </w:rPr>
      </w:pPr>
      <w:r w:rsidRPr="00260A3F">
        <w:rPr>
          <w:rFonts w:cs="Times New Roman"/>
          <w:color w:val="0000FF"/>
          <w:szCs w:val="24"/>
          <w:u w:val="single"/>
        </w:rPr>
        <w:t>john.finnigan@occ.ohio.gov</w:t>
      </w:r>
    </w:p>
    <w:p w:rsidR="0072541D" w:rsidRPr="00260A3F" w:rsidP="0072541D" w14:paraId="34634666" w14:textId="77777777">
      <w:pPr>
        <w:spacing w:after="0" w:line="240" w:lineRule="auto"/>
        <w:ind w:left="4320"/>
        <w:rPr>
          <w:rFonts w:cs="Times New Roman"/>
          <w:szCs w:val="24"/>
        </w:rPr>
      </w:pPr>
      <w:r w:rsidRPr="00260A3F">
        <w:rPr>
          <w:rFonts w:cs="Times New Roman"/>
          <w:szCs w:val="24"/>
        </w:rPr>
        <w:t>(willing to accept service by e-mail)</w:t>
      </w:r>
    </w:p>
    <w:p w:rsidR="0072541D" w:rsidRPr="00260A3F" w:rsidP="0072541D" w14:paraId="5F9097C9" w14:textId="77777777">
      <w:pPr>
        <w:rPr>
          <w:rFonts w:eastAsiaTheme="minorEastAsia" w:cs="Times New Roman"/>
          <w:szCs w:val="24"/>
        </w:rPr>
        <w:sectPr w:rsidSect="009B419A">
          <w:footerReference w:type="default" r:id="rId10"/>
          <w:pgSz w:w="12240" w:h="15840"/>
          <w:pgMar w:top="1440" w:right="1800" w:bottom="1440" w:left="1800" w:header="720" w:footer="720" w:gutter="0"/>
          <w:pgNumType w:start="2"/>
          <w:cols w:space="720"/>
          <w:docGrid w:linePitch="360"/>
        </w:sectPr>
      </w:pPr>
    </w:p>
    <w:p w:rsidR="009B419A" w:rsidRPr="00260A3F" w:rsidP="00EC50A9" w14:paraId="1C484111" w14:textId="77777777">
      <w:pPr>
        <w:spacing w:after="0" w:line="480" w:lineRule="auto"/>
        <w:ind w:firstLine="720"/>
        <w:jc w:val="center"/>
        <w:rPr>
          <w:rFonts w:eastAsiaTheme="minorEastAsia" w:cs="Times New Roman"/>
          <w:b/>
          <w:szCs w:val="24"/>
          <w:u w:val="single"/>
        </w:rPr>
      </w:pPr>
      <w:r w:rsidRPr="00260A3F">
        <w:rPr>
          <w:rFonts w:eastAsiaTheme="minorEastAsia" w:cs="Times New Roman"/>
          <w:b/>
          <w:szCs w:val="24"/>
          <w:u w:val="single"/>
        </w:rPr>
        <w:t>CERTIFICATE OF SERVICE</w:t>
      </w:r>
    </w:p>
    <w:p w:rsidR="009B419A" w:rsidRPr="00260A3F" w:rsidP="00EC50A9" w14:paraId="1AF4F4A2" w14:textId="244ACA9C">
      <w:pPr>
        <w:spacing w:after="0" w:line="480" w:lineRule="auto"/>
        <w:ind w:firstLine="720"/>
        <w:rPr>
          <w:rFonts w:eastAsiaTheme="minorEastAsia" w:cs="Times New Roman"/>
          <w:szCs w:val="24"/>
        </w:rPr>
      </w:pPr>
      <w:r w:rsidRPr="00260A3F">
        <w:rPr>
          <w:rFonts w:eastAsiaTheme="minorEastAsia" w:cs="Times New Roman"/>
          <w:szCs w:val="24"/>
        </w:rPr>
        <w:t xml:space="preserve">I hereby certify that a copy of this </w:t>
      </w:r>
      <w:r w:rsidRPr="00260A3F" w:rsidR="000C76D8">
        <w:rPr>
          <w:rFonts w:eastAsiaTheme="minorEastAsia" w:cs="Times New Roman"/>
          <w:szCs w:val="24"/>
        </w:rPr>
        <w:t xml:space="preserve">Initial </w:t>
      </w:r>
      <w:r w:rsidRPr="00260A3F">
        <w:rPr>
          <w:rFonts w:eastAsiaTheme="minorEastAsia" w:cs="Times New Roman"/>
          <w:szCs w:val="24"/>
        </w:rPr>
        <w:t xml:space="preserve">Brief was served on the persons stated below via electronic transmission, this </w:t>
      </w:r>
      <w:r w:rsidRPr="00260A3F" w:rsidR="0072541D">
        <w:rPr>
          <w:rFonts w:eastAsiaTheme="minorEastAsia" w:cs="Times New Roman"/>
          <w:szCs w:val="24"/>
        </w:rPr>
        <w:t>14</w:t>
      </w:r>
      <w:r w:rsidRPr="00260A3F">
        <w:rPr>
          <w:rFonts w:eastAsiaTheme="minorEastAsia" w:cs="Times New Roman"/>
          <w:szCs w:val="24"/>
        </w:rPr>
        <w:t xml:space="preserve">th day of </w:t>
      </w:r>
      <w:r w:rsidRPr="00260A3F" w:rsidR="0072541D">
        <w:rPr>
          <w:rFonts w:eastAsiaTheme="minorEastAsia" w:cs="Times New Roman"/>
          <w:szCs w:val="24"/>
        </w:rPr>
        <w:t>June</w:t>
      </w:r>
      <w:r w:rsidRPr="00260A3F">
        <w:rPr>
          <w:rFonts w:eastAsiaTheme="minorEastAsia" w:cs="Times New Roman"/>
          <w:szCs w:val="24"/>
        </w:rPr>
        <w:t xml:space="preserve"> 20</w:t>
      </w:r>
      <w:r w:rsidRPr="00260A3F" w:rsidR="0072541D">
        <w:rPr>
          <w:rFonts w:eastAsiaTheme="minorEastAsia" w:cs="Times New Roman"/>
          <w:szCs w:val="24"/>
        </w:rPr>
        <w:t>21</w:t>
      </w:r>
      <w:r w:rsidRPr="00260A3F">
        <w:rPr>
          <w:rFonts w:eastAsiaTheme="minorEastAsia" w:cs="Times New Roman"/>
          <w:szCs w:val="24"/>
        </w:rPr>
        <w:t>.</w:t>
      </w:r>
    </w:p>
    <w:p w:rsidR="009B419A" w:rsidRPr="00260A3F" w:rsidP="00EC50A9" w14:paraId="42599AF5" w14:textId="553CE97E">
      <w:pPr>
        <w:spacing w:after="0" w:line="240" w:lineRule="auto"/>
        <w:ind w:firstLine="720"/>
        <w:rPr>
          <w:rFonts w:eastAsiaTheme="minorEastAsia" w:cs="Times New Roman"/>
          <w:i/>
          <w:szCs w:val="24"/>
        </w:rPr>
      </w:pP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i/>
          <w:szCs w:val="24"/>
          <w:u w:val="single"/>
        </w:rPr>
        <w:t xml:space="preserve">/s/ </w:t>
      </w:r>
      <w:r w:rsidRPr="00260A3F" w:rsidR="0072541D">
        <w:rPr>
          <w:rFonts w:eastAsiaTheme="minorEastAsia" w:cs="Times New Roman"/>
          <w:i/>
          <w:szCs w:val="24"/>
          <w:u w:val="single"/>
        </w:rPr>
        <w:t>Angela D. O’Brien</w:t>
      </w:r>
      <w:r w:rsidRPr="00260A3F">
        <w:rPr>
          <w:rFonts w:eastAsiaTheme="minorEastAsia" w:cs="Times New Roman"/>
          <w:i/>
          <w:szCs w:val="24"/>
          <w:u w:val="single"/>
        </w:rPr>
        <w:tab/>
      </w:r>
    </w:p>
    <w:p w:rsidR="009B419A" w:rsidRPr="00260A3F" w:rsidP="00EC50A9" w14:paraId="029A7403" w14:textId="66F2475D">
      <w:pPr>
        <w:spacing w:after="0" w:line="240" w:lineRule="auto"/>
        <w:ind w:firstLine="720"/>
        <w:rPr>
          <w:rFonts w:eastAsiaTheme="minorEastAsia" w:cs="Times New Roman"/>
          <w:szCs w:val="24"/>
        </w:rPr>
      </w:pP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r w:rsidRPr="00260A3F" w:rsidR="0072541D">
        <w:rPr>
          <w:rFonts w:eastAsiaTheme="minorEastAsia" w:cs="Times New Roman"/>
          <w:szCs w:val="24"/>
        </w:rPr>
        <w:t>Angela D. O’Brien</w:t>
      </w:r>
    </w:p>
    <w:p w:rsidR="009B419A" w:rsidRPr="00260A3F" w:rsidP="00EC50A9" w14:paraId="7A6143BE" w14:textId="53144400">
      <w:pPr>
        <w:spacing w:after="0" w:line="240" w:lineRule="auto"/>
        <w:ind w:firstLine="720"/>
        <w:rPr>
          <w:rFonts w:eastAsiaTheme="minorEastAsia" w:cs="Times New Roman"/>
          <w:szCs w:val="24"/>
        </w:rPr>
      </w:pP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t>Counsel of Record</w:t>
      </w:r>
    </w:p>
    <w:p w:rsidR="002938B2" w:rsidRPr="00260A3F" w:rsidP="002938B2" w14:paraId="77A8CC59" w14:textId="77777777">
      <w:pPr>
        <w:suppressLineNumbers/>
        <w:rPr>
          <w:rFonts w:cs="Times New Roman"/>
          <w:szCs w:val="24"/>
        </w:rPr>
      </w:pPr>
    </w:p>
    <w:p w:rsidR="009B419A" w:rsidRPr="00260A3F" w:rsidP="002938B2" w14:paraId="0070DA1F" w14:textId="1FC38450">
      <w:pPr>
        <w:suppressLineNumbers/>
        <w:rPr>
          <w:rFonts w:eastAsiaTheme="minorEastAsia" w:cs="Times New Roman"/>
          <w:szCs w:val="24"/>
        </w:rPr>
      </w:pPr>
      <w:r w:rsidRPr="00260A3F">
        <w:rPr>
          <w:rFonts w:cs="Times New Roman"/>
          <w:szCs w:val="24"/>
        </w:rPr>
        <w:t>The PUCO’s e-filing system will electronically serve notice of the filing of this document on the following parties:</w:t>
      </w:r>
    </w:p>
    <w:p w:rsidR="002938B2" w:rsidRPr="00260A3F" w:rsidP="002938B2" w14:paraId="0E0F8796" w14:textId="77777777">
      <w:pPr>
        <w:pStyle w:val="CommentText"/>
        <w:jc w:val="center"/>
        <w:rPr>
          <w:b/>
          <w:u w:val="single"/>
        </w:rPr>
      </w:pPr>
      <w:r w:rsidRPr="00260A3F">
        <w:rPr>
          <w:b/>
          <w:u w:val="single"/>
        </w:rPr>
        <w:t>SERVICE LIST</w:t>
      </w:r>
    </w:p>
    <w:p w:rsidR="002938B2" w:rsidRPr="00260A3F" w:rsidP="002938B2" w14:paraId="04D135AD" w14:textId="77777777">
      <w:pPr>
        <w:pStyle w:val="CommentText"/>
        <w:jc w:val="center"/>
        <w:rPr>
          <w:bCs/>
          <w:u w:val="single"/>
        </w:rPr>
      </w:pPr>
    </w:p>
    <w:tbl>
      <w:tblPr>
        <w:tblW w:w="0" w:type="auto"/>
        <w:tblLook w:val="04A0"/>
      </w:tblPr>
      <w:tblGrid>
        <w:gridCol w:w="4172"/>
        <w:gridCol w:w="4468"/>
      </w:tblGrid>
      <w:tr w14:paraId="3D0FE7D1" w14:textId="77777777" w:rsidTr="002C2845">
        <w:tblPrEx>
          <w:tblW w:w="0" w:type="auto"/>
          <w:tblLook w:val="04A0"/>
        </w:tblPrEx>
        <w:tc>
          <w:tcPr>
            <w:tcW w:w="4476" w:type="dxa"/>
          </w:tcPr>
          <w:p w:rsidR="002938B2" w:rsidRPr="00260A3F" w:rsidP="002938B2" w14:paraId="6904D974" w14:textId="3015E05C">
            <w:pPr>
              <w:pStyle w:val="CommentText"/>
              <w:rPr>
                <w:rStyle w:val="Hyperlink"/>
              </w:rPr>
            </w:pPr>
            <w:hyperlink r:id="rId11" w:history="1">
              <w:r w:rsidRPr="00260A3F" w:rsidR="002A4989">
                <w:rPr>
                  <w:rStyle w:val="Hyperlink"/>
                </w:rPr>
                <w:t>Werner.margard@ohioAGO.gov</w:t>
              </w:r>
            </w:hyperlink>
          </w:p>
          <w:p w:rsidR="002938B2" w:rsidRPr="00260A3F" w:rsidP="002938B2" w14:paraId="7A172C66" w14:textId="1CC051FD">
            <w:pPr>
              <w:pStyle w:val="CommentText"/>
              <w:rPr>
                <w:rStyle w:val="Hyperlink"/>
              </w:rPr>
            </w:pPr>
            <w:hyperlink r:id="rId12" w:history="1">
              <w:r w:rsidRPr="00260A3F" w:rsidR="002A4989">
                <w:rPr>
                  <w:rStyle w:val="Hyperlink"/>
                </w:rPr>
                <w:t>Kyle.kern@ohioAGO.gov</w:t>
              </w:r>
            </w:hyperlink>
          </w:p>
          <w:p w:rsidR="002938B2" w:rsidRPr="00260A3F" w:rsidP="002938B2" w14:paraId="660F4F85" w14:textId="4102BCF9">
            <w:pPr>
              <w:pStyle w:val="CommentText"/>
              <w:rPr>
                <w:rStyle w:val="Hyperlink"/>
              </w:rPr>
            </w:pPr>
            <w:hyperlink r:id="rId13" w:history="1">
              <w:r w:rsidRPr="00260A3F" w:rsidR="002A4989">
                <w:rPr>
                  <w:rStyle w:val="Hyperlink"/>
                </w:rPr>
                <w:t>Thomas.shepherd@ohioAGO.gov</w:t>
              </w:r>
            </w:hyperlink>
          </w:p>
          <w:p w:rsidR="002938B2" w:rsidRPr="00260A3F" w:rsidP="002938B2" w14:paraId="746A94EE" w14:textId="77777777">
            <w:pPr>
              <w:adjustRightInd w:val="0"/>
              <w:spacing w:after="0" w:line="240" w:lineRule="auto"/>
              <w:rPr>
                <w:rFonts w:cs="Times New Roman"/>
                <w:bCs/>
                <w:color w:val="0000FF"/>
                <w:szCs w:val="24"/>
              </w:rPr>
            </w:pPr>
            <w:hyperlink r:id="rId14" w:history="1">
              <w:r w:rsidRPr="00260A3F" w:rsidR="002A4989">
                <w:rPr>
                  <w:rStyle w:val="Hyperlink"/>
                  <w:rFonts w:cs="Times New Roman"/>
                  <w:szCs w:val="24"/>
                </w:rPr>
                <w:t>mkurtz@BKLlawfirm.com</w:t>
              </w:r>
            </w:hyperlink>
          </w:p>
          <w:p w:rsidR="002938B2" w:rsidRPr="00260A3F" w:rsidP="002938B2" w14:paraId="37E052B7" w14:textId="77777777">
            <w:pPr>
              <w:adjustRightInd w:val="0"/>
              <w:spacing w:after="0" w:line="240" w:lineRule="auto"/>
              <w:rPr>
                <w:rFonts w:cs="Times New Roman"/>
                <w:bCs/>
                <w:color w:val="0000FF"/>
                <w:szCs w:val="24"/>
              </w:rPr>
            </w:pPr>
            <w:hyperlink r:id="rId15" w:history="1">
              <w:r w:rsidRPr="00260A3F" w:rsidR="002A4989">
                <w:rPr>
                  <w:rStyle w:val="Hyperlink"/>
                  <w:rFonts w:cs="Times New Roman"/>
                  <w:szCs w:val="24"/>
                </w:rPr>
                <w:t>kboehm@BKLlawfirm.com</w:t>
              </w:r>
            </w:hyperlink>
          </w:p>
          <w:p w:rsidR="002938B2" w:rsidRPr="00260A3F" w:rsidP="002938B2" w14:paraId="33D211D2" w14:textId="77777777">
            <w:pPr>
              <w:pStyle w:val="CommentText"/>
              <w:rPr>
                <w:bCs/>
                <w:color w:val="0000FF"/>
              </w:rPr>
            </w:pPr>
            <w:hyperlink r:id="rId16" w:history="1">
              <w:r w:rsidRPr="00260A3F" w:rsidR="002A4989">
                <w:rPr>
                  <w:rStyle w:val="Hyperlink"/>
                </w:rPr>
                <w:t>jkylercohn@BKLlawfirm.com</w:t>
              </w:r>
            </w:hyperlink>
          </w:p>
          <w:p w:rsidR="002938B2" w:rsidRPr="00260A3F" w:rsidP="002938B2" w14:paraId="1D0268E0" w14:textId="77777777">
            <w:pPr>
              <w:pStyle w:val="CommentText"/>
              <w:rPr>
                <w:color w:val="0000FF"/>
                <w:lang w:val="x-none" w:eastAsia="x-none"/>
              </w:rPr>
            </w:pPr>
            <w:hyperlink r:id="rId17" w:history="1">
              <w:r w:rsidRPr="00260A3F" w:rsidR="002A4989">
                <w:rPr>
                  <w:rStyle w:val="Hyperlink"/>
                  <w:lang w:val="x-none" w:eastAsia="x-none"/>
                </w:rPr>
                <w:t>bethany.allen@igs.com</w:t>
              </w:r>
            </w:hyperlink>
          </w:p>
          <w:p w:rsidR="002938B2" w:rsidRPr="00260A3F" w:rsidP="002938B2" w14:paraId="007E2D13" w14:textId="77777777">
            <w:pPr>
              <w:pStyle w:val="CommentText"/>
              <w:rPr>
                <w:color w:val="0000FF"/>
                <w:lang w:val="x-none" w:eastAsia="x-none"/>
              </w:rPr>
            </w:pPr>
            <w:hyperlink r:id="rId18" w:history="1">
              <w:r w:rsidRPr="00260A3F" w:rsidR="002A4989">
                <w:rPr>
                  <w:rStyle w:val="Hyperlink"/>
                  <w:lang w:val="x-none" w:eastAsia="x-none"/>
                </w:rPr>
                <w:t>joe.oliker@igs.com</w:t>
              </w:r>
            </w:hyperlink>
          </w:p>
          <w:p w:rsidR="002938B2" w:rsidRPr="00260A3F" w:rsidP="002938B2" w14:paraId="0393E143" w14:textId="77777777">
            <w:pPr>
              <w:pStyle w:val="CommentText"/>
              <w:rPr>
                <w:rStyle w:val="Hyperlink"/>
                <w:lang w:val="x-none" w:eastAsia="x-none"/>
              </w:rPr>
            </w:pPr>
            <w:hyperlink r:id="rId19" w:history="1">
              <w:r w:rsidRPr="00260A3F" w:rsidR="002A4989">
                <w:rPr>
                  <w:rStyle w:val="Hyperlink"/>
                  <w:lang w:val="x-none" w:eastAsia="x-none"/>
                </w:rPr>
                <w:t>michael.nugent@igs.com</w:t>
              </w:r>
            </w:hyperlink>
          </w:p>
          <w:p w:rsidR="002938B2" w:rsidRPr="00260A3F" w:rsidP="002938B2" w14:paraId="5B357306" w14:textId="77777777">
            <w:pPr>
              <w:pStyle w:val="CommentText"/>
            </w:pPr>
            <w:hyperlink r:id="rId20" w:history="1">
              <w:r w:rsidRPr="00260A3F" w:rsidR="002A4989">
                <w:rPr>
                  <w:rStyle w:val="Hyperlink"/>
                </w:rPr>
                <w:t>Evan.betterton@igs.com</w:t>
              </w:r>
            </w:hyperlink>
          </w:p>
          <w:p w:rsidR="002938B2" w:rsidRPr="00260A3F" w:rsidP="002938B2" w14:paraId="2C8A8E8C" w14:textId="77777777">
            <w:pPr>
              <w:pStyle w:val="CommentText"/>
            </w:pPr>
            <w:hyperlink r:id="rId21" w:history="1">
              <w:r w:rsidRPr="00260A3F" w:rsidR="002A4989">
                <w:rPr>
                  <w:rStyle w:val="Hyperlink"/>
                </w:rPr>
                <w:t>fdarr2019@gmail.com</w:t>
              </w:r>
            </w:hyperlink>
          </w:p>
          <w:p w:rsidR="002938B2" w:rsidRPr="00260A3F" w:rsidP="002938B2" w14:paraId="5A8B5185" w14:textId="77777777">
            <w:pPr>
              <w:pStyle w:val="CommentText"/>
              <w:rPr>
                <w:color w:val="0000FF"/>
                <w:lang w:val="x-none" w:eastAsia="x-none"/>
              </w:rPr>
            </w:pPr>
            <w:hyperlink r:id="rId22" w:history="1">
              <w:r w:rsidRPr="00260A3F" w:rsidR="002A4989">
                <w:rPr>
                  <w:rStyle w:val="Hyperlink"/>
                  <w:lang w:val="x-none" w:eastAsia="x-none"/>
                </w:rPr>
                <w:t>dparram@bricker.com</w:t>
              </w:r>
            </w:hyperlink>
          </w:p>
          <w:p w:rsidR="002938B2" w:rsidRPr="00260A3F" w:rsidP="002938B2" w14:paraId="2DC35227" w14:textId="77777777">
            <w:pPr>
              <w:pStyle w:val="CommentText"/>
              <w:rPr>
                <w:rStyle w:val="Hyperlink"/>
                <w:lang w:val="x-none" w:eastAsia="x-none"/>
              </w:rPr>
            </w:pPr>
            <w:hyperlink r:id="rId23" w:history="1">
              <w:r w:rsidRPr="00260A3F" w:rsidR="002A4989">
                <w:rPr>
                  <w:rStyle w:val="Hyperlink"/>
                  <w:lang w:val="x-none" w:eastAsia="x-none"/>
                </w:rPr>
                <w:t>rmains@bricker.com</w:t>
              </w:r>
            </w:hyperlink>
          </w:p>
          <w:p w:rsidR="002938B2" w:rsidRPr="00260A3F" w:rsidP="002938B2" w14:paraId="39337F28" w14:textId="77777777">
            <w:pPr>
              <w:pStyle w:val="CommentText"/>
              <w:rPr>
                <w:rStyle w:val="Hyperlink"/>
                <w:rFonts w:eastAsia="Calibri"/>
                <w:lang w:val="x-none" w:eastAsia="x-none"/>
              </w:rPr>
            </w:pPr>
            <w:hyperlink r:id="rId24" w:history="1">
              <w:r w:rsidRPr="00260A3F" w:rsidR="002A4989">
                <w:rPr>
                  <w:rStyle w:val="Hyperlink"/>
                  <w:rFonts w:eastAsia="Calibri"/>
                  <w:lang w:val="x-none" w:eastAsia="x-none"/>
                </w:rPr>
                <w:t>rkelter@elpc.org</w:t>
              </w:r>
            </w:hyperlink>
          </w:p>
          <w:p w:rsidR="002938B2" w:rsidRPr="00260A3F" w:rsidP="002938B2" w14:paraId="07A1E4F8" w14:textId="3AF0F639">
            <w:pPr>
              <w:adjustRightInd w:val="0"/>
              <w:spacing w:after="0" w:line="240" w:lineRule="auto"/>
              <w:rPr>
                <w:rStyle w:val="Hyperlink"/>
                <w:rFonts w:cs="Times New Roman"/>
                <w:szCs w:val="24"/>
              </w:rPr>
            </w:pPr>
            <w:hyperlink r:id="rId25" w:history="1">
              <w:r w:rsidRPr="00260A3F" w:rsidR="002A4989">
                <w:rPr>
                  <w:rStyle w:val="Hyperlink"/>
                  <w:rFonts w:cs="Times New Roman"/>
                  <w:szCs w:val="24"/>
                </w:rPr>
                <w:t>mjsettineri@vorys.com</w:t>
              </w:r>
            </w:hyperlink>
          </w:p>
          <w:p w:rsidR="007A7078" w:rsidRPr="00260A3F" w:rsidP="007A7078" w14:paraId="521B50CB" w14:textId="0126A0E5">
            <w:pPr>
              <w:autoSpaceDE w:val="0"/>
              <w:autoSpaceDN w:val="0"/>
              <w:adjustRightInd w:val="0"/>
              <w:spacing w:after="0" w:line="240" w:lineRule="auto"/>
              <w:rPr>
                <w:rFonts w:cs="Times New Roman"/>
                <w:color w:val="0000FF"/>
                <w:szCs w:val="24"/>
              </w:rPr>
            </w:pPr>
            <w:hyperlink r:id="rId26" w:history="1">
              <w:r w:rsidRPr="00260A3F" w:rsidR="002A4989">
                <w:rPr>
                  <w:rStyle w:val="Hyperlink"/>
                  <w:rFonts w:cs="Times New Roman"/>
                  <w:szCs w:val="24"/>
                </w:rPr>
                <w:t>eowoyt@vorys.com</w:t>
              </w:r>
            </w:hyperlink>
          </w:p>
          <w:p w:rsidR="007A7078" w:rsidRPr="00260A3F" w:rsidP="007A7078" w14:paraId="4922B3EF" w14:textId="3532C6FD">
            <w:pPr>
              <w:adjustRightInd w:val="0"/>
              <w:spacing w:after="0" w:line="240" w:lineRule="auto"/>
              <w:rPr>
                <w:rFonts w:cs="Times New Roman"/>
                <w:color w:val="0000FF"/>
                <w:szCs w:val="24"/>
              </w:rPr>
            </w:pPr>
            <w:hyperlink r:id="rId27" w:history="1">
              <w:r w:rsidRPr="00260A3F" w:rsidR="002A4989">
                <w:rPr>
                  <w:rStyle w:val="Hyperlink"/>
                  <w:rFonts w:cs="Times New Roman"/>
                  <w:szCs w:val="24"/>
                </w:rPr>
                <w:t>glpetrucci@vorys.com</w:t>
              </w:r>
            </w:hyperlink>
          </w:p>
          <w:p w:rsidR="007A7078" w:rsidRPr="00260A3F" w:rsidP="007A7078" w14:paraId="7808A934" w14:textId="2B377982">
            <w:pPr>
              <w:adjustRightInd w:val="0"/>
              <w:spacing w:after="0" w:line="240" w:lineRule="auto"/>
              <w:rPr>
                <w:rFonts w:cs="Times New Roman"/>
                <w:color w:val="0000FF"/>
                <w:szCs w:val="24"/>
              </w:rPr>
            </w:pPr>
            <w:hyperlink r:id="rId28" w:history="1">
              <w:r w:rsidRPr="00260A3F" w:rsidR="002A4989">
                <w:rPr>
                  <w:rStyle w:val="Hyperlink"/>
                  <w:rFonts w:cs="Times New Roman"/>
                  <w:szCs w:val="24"/>
                </w:rPr>
                <w:t>dromig@armadapower.com</w:t>
              </w:r>
            </w:hyperlink>
          </w:p>
          <w:p w:rsidR="002938B2" w:rsidRPr="00260A3F" w:rsidP="002938B2" w14:paraId="68D9C3DA" w14:textId="77777777">
            <w:pPr>
              <w:pStyle w:val="CommentText"/>
            </w:pPr>
            <w:hyperlink r:id="rId29" w:history="1">
              <w:r w:rsidRPr="00260A3F" w:rsidR="002A4989">
                <w:rPr>
                  <w:rStyle w:val="Hyperlink"/>
                </w:rPr>
                <w:t>bmckenney@mcneeslaw.com</w:t>
              </w:r>
            </w:hyperlink>
          </w:p>
          <w:p w:rsidR="002938B2" w:rsidRPr="00260A3F" w:rsidP="002938B2" w14:paraId="053B6029" w14:textId="77777777">
            <w:pPr>
              <w:adjustRightInd w:val="0"/>
              <w:spacing w:after="0" w:line="240" w:lineRule="auto"/>
              <w:rPr>
                <w:rFonts w:cs="Times New Roman"/>
                <w:color w:val="3C78D9"/>
                <w:szCs w:val="24"/>
              </w:rPr>
            </w:pPr>
            <w:hyperlink r:id="rId30" w:history="1">
              <w:r w:rsidRPr="00260A3F" w:rsidR="002A4989">
                <w:rPr>
                  <w:rStyle w:val="Hyperlink"/>
                  <w:rFonts w:cs="Times New Roman"/>
                  <w:szCs w:val="24"/>
                </w:rPr>
                <w:t>mleppla@theOEC.org</w:t>
              </w:r>
            </w:hyperlink>
          </w:p>
          <w:p w:rsidR="002938B2" w:rsidRPr="00260A3F" w:rsidP="002938B2" w14:paraId="51E4AFD4" w14:textId="77777777">
            <w:pPr>
              <w:adjustRightInd w:val="0"/>
              <w:spacing w:after="0" w:line="240" w:lineRule="auto"/>
              <w:rPr>
                <w:rFonts w:cs="Times New Roman"/>
                <w:color w:val="1155CD"/>
                <w:szCs w:val="24"/>
              </w:rPr>
            </w:pPr>
            <w:hyperlink r:id="rId31" w:history="1">
              <w:r w:rsidRPr="00260A3F" w:rsidR="002A4989">
                <w:rPr>
                  <w:rStyle w:val="Hyperlink"/>
                  <w:rFonts w:cs="Times New Roman"/>
                  <w:szCs w:val="24"/>
                </w:rPr>
                <w:t>tdougherty@theOEC.org</w:t>
              </w:r>
            </w:hyperlink>
          </w:p>
          <w:p w:rsidR="002938B2" w:rsidRPr="00260A3F" w:rsidP="002938B2" w14:paraId="4D3A34ED" w14:textId="77777777">
            <w:pPr>
              <w:pStyle w:val="CommentText"/>
              <w:rPr>
                <w:rStyle w:val="Hyperlink"/>
              </w:rPr>
            </w:pPr>
            <w:hyperlink r:id="rId32" w:history="1">
              <w:r w:rsidRPr="00260A3F" w:rsidR="002A4989">
                <w:rPr>
                  <w:rStyle w:val="Hyperlink"/>
                </w:rPr>
                <w:t>ctavenor@theOEC.org</w:t>
              </w:r>
            </w:hyperlink>
          </w:p>
          <w:p w:rsidR="002938B2" w:rsidRPr="00260A3F" w:rsidP="002938B2" w14:paraId="4D0D4AED" w14:textId="7BFAF215">
            <w:pPr>
              <w:pStyle w:val="CommentText"/>
              <w:rPr>
                <w:rStyle w:val="Hyperlink"/>
              </w:rPr>
            </w:pPr>
            <w:hyperlink r:id="rId33" w:history="1">
              <w:r w:rsidRPr="00260A3F" w:rsidR="002A4989">
                <w:rPr>
                  <w:rStyle w:val="Hyperlink"/>
                </w:rPr>
                <w:t>lmckenna@keyesfox.com</w:t>
              </w:r>
            </w:hyperlink>
          </w:p>
          <w:p w:rsidR="007A7078" w:rsidRPr="00260A3F" w:rsidP="007A7078" w14:paraId="015F62F0" w14:textId="6397E45E">
            <w:pPr>
              <w:pStyle w:val="CommentText"/>
              <w:rPr>
                <w:color w:val="0000FF"/>
              </w:rPr>
            </w:pPr>
            <w:hyperlink r:id="rId34" w:history="1">
              <w:r w:rsidRPr="00260A3F" w:rsidR="002A4989">
                <w:rPr>
                  <w:rStyle w:val="Hyperlink"/>
                </w:rPr>
                <w:t>Donadio@carpenterlipps.com</w:t>
              </w:r>
            </w:hyperlink>
          </w:p>
          <w:p w:rsidR="007A7078" w:rsidRPr="00260A3F" w:rsidP="007A7078" w14:paraId="65261779" w14:textId="43634CD5">
            <w:pPr>
              <w:pStyle w:val="CommentText"/>
              <w:rPr>
                <w:rStyle w:val="Hyperlink"/>
              </w:rPr>
            </w:pPr>
            <w:hyperlink r:id="rId35" w:history="1">
              <w:r w:rsidRPr="00260A3F" w:rsidR="002A4989">
                <w:rPr>
                  <w:rStyle w:val="Hyperlink"/>
                  <w:lang w:val="x-none" w:eastAsia="x-none"/>
                </w:rPr>
                <w:t>Bojko@carpenterlipps.com</w:t>
              </w:r>
            </w:hyperlink>
          </w:p>
          <w:p w:rsidR="002938B2" w:rsidRPr="00260A3F" w:rsidP="002938B2" w14:paraId="12005658" w14:textId="77777777">
            <w:pPr>
              <w:pStyle w:val="CommentText"/>
              <w:rPr>
                <w:bCs/>
              </w:rPr>
            </w:pPr>
          </w:p>
          <w:p w:rsidR="002938B2" w:rsidRPr="00260A3F" w:rsidP="002938B2" w14:paraId="31FD2531" w14:textId="77777777">
            <w:pPr>
              <w:pStyle w:val="CommentText"/>
              <w:rPr>
                <w:bCs/>
                <w:color w:val="0000FF"/>
              </w:rPr>
            </w:pPr>
            <w:r w:rsidRPr="00260A3F">
              <w:rPr>
                <w:bCs/>
              </w:rPr>
              <w:t>Attorney Examiners</w:t>
            </w:r>
            <w:r w:rsidRPr="00260A3F">
              <w:rPr>
                <w:bCs/>
                <w:color w:val="0000FF"/>
              </w:rPr>
              <w:t>:</w:t>
            </w:r>
          </w:p>
          <w:p w:rsidR="002938B2" w:rsidRPr="00260A3F" w:rsidP="002938B2" w14:paraId="57889D9E" w14:textId="77777777">
            <w:pPr>
              <w:pStyle w:val="CommentText"/>
              <w:rPr>
                <w:bCs/>
                <w:color w:val="0000FF"/>
              </w:rPr>
            </w:pPr>
            <w:hyperlink r:id="rId36" w:history="1">
              <w:r w:rsidRPr="00260A3F" w:rsidR="002A4989">
                <w:rPr>
                  <w:rStyle w:val="Hyperlink"/>
                </w:rPr>
                <w:t>Sarah.parrot@puco.ohio.gov</w:t>
              </w:r>
            </w:hyperlink>
          </w:p>
          <w:p w:rsidR="002938B2" w:rsidRPr="00260A3F" w:rsidP="002938B2" w14:paraId="2F13A7EB" w14:textId="77777777">
            <w:pPr>
              <w:pStyle w:val="CommentText"/>
              <w:rPr>
                <w:bCs/>
                <w:u w:val="single"/>
              </w:rPr>
            </w:pPr>
            <w:hyperlink r:id="rId37" w:history="1">
              <w:r w:rsidRPr="00260A3F" w:rsidR="002A4989">
                <w:rPr>
                  <w:rStyle w:val="Hyperlink"/>
                </w:rPr>
                <w:t>Greta.see@puco.ohio.gov</w:t>
              </w:r>
            </w:hyperlink>
          </w:p>
        </w:tc>
        <w:tc>
          <w:tcPr>
            <w:tcW w:w="4428" w:type="dxa"/>
          </w:tcPr>
          <w:p w:rsidR="002938B2" w:rsidRPr="00260A3F" w:rsidP="002938B2" w14:paraId="201D9CF8" w14:textId="77777777">
            <w:pPr>
              <w:pStyle w:val="CommentText"/>
              <w:ind w:left="798"/>
              <w:rPr>
                <w:bCs/>
                <w:u w:val="single"/>
              </w:rPr>
            </w:pPr>
            <w:hyperlink r:id="rId38" w:history="1">
              <w:r w:rsidRPr="00260A3F" w:rsidR="002A4989">
                <w:rPr>
                  <w:rStyle w:val="Hyperlink"/>
                </w:rPr>
                <w:t>stnourse@aep.com</w:t>
              </w:r>
            </w:hyperlink>
          </w:p>
          <w:p w:rsidR="002938B2" w:rsidRPr="00260A3F" w:rsidP="002938B2" w14:paraId="2B1B8B38" w14:textId="66B2BB3D">
            <w:pPr>
              <w:pStyle w:val="CommentText"/>
              <w:ind w:left="798"/>
              <w:rPr>
                <w:rStyle w:val="Hyperlink"/>
              </w:rPr>
            </w:pPr>
            <w:hyperlink r:id="rId39" w:history="1">
              <w:r w:rsidRPr="00260A3F" w:rsidR="002A4989">
                <w:rPr>
                  <w:rStyle w:val="Hyperlink"/>
                </w:rPr>
                <w:t>cmblend@aep.com</w:t>
              </w:r>
            </w:hyperlink>
          </w:p>
          <w:p w:rsidR="007A7078" w:rsidRPr="00260A3F" w:rsidP="007A7078" w14:paraId="559CD712" w14:textId="77777777">
            <w:pPr>
              <w:pStyle w:val="CommentText"/>
              <w:ind w:left="774"/>
              <w:rPr>
                <w:color w:val="0563C2"/>
              </w:rPr>
            </w:pPr>
            <w:hyperlink r:id="rId40" w:history="1">
              <w:r w:rsidRPr="00260A3F" w:rsidR="002A4989">
                <w:rPr>
                  <w:rStyle w:val="Hyperlink"/>
                  <w:rFonts w:eastAsiaTheme="majorEastAsia"/>
                </w:rPr>
                <w:t>tswolffram@aep.com</w:t>
              </w:r>
            </w:hyperlink>
          </w:p>
          <w:p w:rsidR="002938B2" w:rsidRPr="00260A3F" w:rsidP="002938B2" w14:paraId="5AB8B4DD" w14:textId="77777777">
            <w:pPr>
              <w:pStyle w:val="CommentText"/>
              <w:ind w:left="798"/>
            </w:pPr>
            <w:hyperlink r:id="rId41" w:history="1">
              <w:r w:rsidRPr="00260A3F" w:rsidR="002A4989">
                <w:rPr>
                  <w:rStyle w:val="Hyperlink"/>
                </w:rPr>
                <w:t>egallon@porterwright.com</w:t>
              </w:r>
            </w:hyperlink>
          </w:p>
          <w:p w:rsidR="002938B2" w:rsidRPr="00260A3F" w:rsidP="002938B2" w14:paraId="7AFF7419" w14:textId="77777777">
            <w:pPr>
              <w:pStyle w:val="CommentText"/>
              <w:ind w:left="798"/>
            </w:pPr>
            <w:hyperlink r:id="rId42" w:history="1">
              <w:r w:rsidRPr="00260A3F" w:rsidR="002A4989">
                <w:rPr>
                  <w:rStyle w:val="Hyperlink"/>
                </w:rPr>
                <w:t>christopher.miller@icemiller.com</w:t>
              </w:r>
            </w:hyperlink>
          </w:p>
          <w:p w:rsidR="002938B2" w:rsidRPr="00260A3F" w:rsidP="002938B2" w14:paraId="3515DFEA" w14:textId="77777777">
            <w:pPr>
              <w:pStyle w:val="CommentText"/>
              <w:ind w:left="798"/>
              <w:rPr>
                <w:lang w:val="x-none" w:eastAsia="x-none"/>
              </w:rPr>
            </w:pPr>
            <w:hyperlink r:id="rId43" w:history="1">
              <w:r w:rsidRPr="00260A3F" w:rsidR="002A4989">
                <w:rPr>
                  <w:rStyle w:val="Hyperlink"/>
                  <w:lang w:val="x-none" w:eastAsia="x-none"/>
                </w:rPr>
                <w:t>cgrundmann@spilmanlaw.com</w:t>
              </w:r>
            </w:hyperlink>
          </w:p>
          <w:p w:rsidR="002938B2" w:rsidRPr="00260A3F" w:rsidP="002938B2" w14:paraId="233BDF2A" w14:textId="77777777">
            <w:pPr>
              <w:pStyle w:val="CommentText"/>
              <w:ind w:left="798"/>
              <w:rPr>
                <w:color w:val="0000FF"/>
                <w:lang w:val="x-none" w:eastAsia="x-none"/>
              </w:rPr>
            </w:pPr>
            <w:hyperlink r:id="rId44" w:history="1">
              <w:r w:rsidRPr="00260A3F" w:rsidR="002A4989">
                <w:rPr>
                  <w:rStyle w:val="Hyperlink"/>
                  <w:lang w:val="x-none" w:eastAsia="x-none"/>
                </w:rPr>
                <w:t>dwilliamson@spilmanlaw.com</w:t>
              </w:r>
            </w:hyperlink>
          </w:p>
          <w:p w:rsidR="002938B2" w:rsidRPr="00260A3F" w:rsidP="002938B2" w14:paraId="4AED08DA" w14:textId="5D64B390">
            <w:pPr>
              <w:pStyle w:val="CommentText"/>
              <w:ind w:left="798"/>
              <w:rPr>
                <w:rStyle w:val="Hyperlink"/>
                <w:lang w:val="x-none" w:eastAsia="x-none"/>
              </w:rPr>
            </w:pPr>
            <w:hyperlink r:id="rId45" w:history="1">
              <w:r w:rsidRPr="00260A3F" w:rsidR="002A4989">
                <w:rPr>
                  <w:rStyle w:val="Hyperlink"/>
                  <w:lang w:val="x-none" w:eastAsia="x-none"/>
                </w:rPr>
                <w:t>ccox@elpc.org</w:t>
              </w:r>
            </w:hyperlink>
          </w:p>
          <w:p w:rsidR="007A7078" w:rsidRPr="00260A3F" w:rsidP="007A7078" w14:paraId="4D7EDB10" w14:textId="6BDA0840">
            <w:pPr>
              <w:pStyle w:val="CommentText"/>
              <w:ind w:left="774"/>
              <w:rPr>
                <w:color w:val="0000FF"/>
              </w:rPr>
            </w:pPr>
            <w:hyperlink r:id="rId46" w:history="1">
              <w:r w:rsidRPr="00260A3F" w:rsidR="002A4989">
                <w:rPr>
                  <w:rStyle w:val="Hyperlink"/>
                  <w:rFonts w:eastAsiaTheme="majorEastAsia"/>
                </w:rPr>
                <w:t>rlazer@elpc.org</w:t>
              </w:r>
            </w:hyperlink>
          </w:p>
          <w:p w:rsidR="002938B2" w:rsidRPr="00260A3F" w:rsidP="002938B2" w14:paraId="02796EB0" w14:textId="77777777">
            <w:pPr>
              <w:pStyle w:val="CommentText"/>
              <w:ind w:left="798"/>
              <w:rPr>
                <w:lang w:val="x-none" w:eastAsia="x-none"/>
              </w:rPr>
            </w:pPr>
            <w:hyperlink r:id="rId47" w:history="1">
              <w:r w:rsidRPr="00260A3F" w:rsidR="002A4989">
                <w:rPr>
                  <w:rStyle w:val="Hyperlink"/>
                  <w:lang w:val="x-none" w:eastAsia="x-none"/>
                </w:rPr>
                <w:t>rdove@keglerbrown.com</w:t>
              </w:r>
            </w:hyperlink>
          </w:p>
          <w:p w:rsidR="002938B2" w:rsidRPr="00260A3F" w:rsidP="002938B2" w14:paraId="0798011A" w14:textId="77777777">
            <w:pPr>
              <w:pStyle w:val="CommentText"/>
              <w:ind w:left="798"/>
              <w:rPr>
                <w:lang w:val="x-none" w:eastAsia="x-none"/>
              </w:rPr>
            </w:pPr>
            <w:hyperlink r:id="rId48" w:history="1">
              <w:r w:rsidRPr="00260A3F" w:rsidR="002A4989">
                <w:rPr>
                  <w:rStyle w:val="Hyperlink"/>
                  <w:lang w:val="x-none" w:eastAsia="x-none"/>
                </w:rPr>
                <w:t>mpritchard@mcneeslaw.com</w:t>
              </w:r>
            </w:hyperlink>
          </w:p>
          <w:p w:rsidR="002938B2" w:rsidRPr="00260A3F" w:rsidP="002938B2" w14:paraId="6D6EE789" w14:textId="77777777">
            <w:pPr>
              <w:pStyle w:val="CommentText"/>
              <w:ind w:left="798"/>
              <w:rPr>
                <w:lang w:val="x-none" w:eastAsia="x-none"/>
              </w:rPr>
            </w:pPr>
            <w:hyperlink r:id="rId49" w:history="1">
              <w:r w:rsidRPr="00260A3F" w:rsidR="002A4989">
                <w:rPr>
                  <w:rStyle w:val="Hyperlink"/>
                  <w:lang w:val="x-none" w:eastAsia="x-none"/>
                </w:rPr>
                <w:t>rglover@mcneeslaw.com</w:t>
              </w:r>
            </w:hyperlink>
          </w:p>
          <w:p w:rsidR="002938B2" w:rsidRPr="00260A3F" w:rsidP="002938B2" w14:paraId="52B5603B" w14:textId="77777777">
            <w:pPr>
              <w:pStyle w:val="CommentText"/>
              <w:ind w:left="798"/>
              <w:rPr>
                <w:color w:val="0000FF"/>
                <w:lang w:val="x-none" w:eastAsia="x-none"/>
              </w:rPr>
            </w:pPr>
            <w:hyperlink r:id="rId50" w:history="1">
              <w:r w:rsidRPr="00260A3F" w:rsidR="002A4989">
                <w:rPr>
                  <w:rStyle w:val="Hyperlink"/>
                  <w:lang w:val="x-none" w:eastAsia="x-none"/>
                </w:rPr>
                <w:t>paul@carpenterlipps.com</w:t>
              </w:r>
            </w:hyperlink>
          </w:p>
          <w:p w:rsidR="002938B2" w:rsidRPr="00260A3F" w:rsidP="002938B2" w14:paraId="13399087" w14:textId="77777777">
            <w:pPr>
              <w:pStyle w:val="CommentText"/>
              <w:ind w:left="798"/>
              <w:rPr>
                <w:color w:val="0000FF"/>
                <w:lang w:val="x-none" w:eastAsia="x-none"/>
              </w:rPr>
            </w:pPr>
            <w:hyperlink r:id="rId51" w:history="1">
              <w:r w:rsidRPr="00260A3F" w:rsidR="002A4989">
                <w:rPr>
                  <w:rStyle w:val="Hyperlink"/>
                  <w:lang w:val="x-none" w:eastAsia="x-none"/>
                </w:rPr>
                <w:t>whitt@whitt-sturtevant.com</w:t>
              </w:r>
            </w:hyperlink>
          </w:p>
          <w:p w:rsidR="002938B2" w:rsidRPr="00260A3F" w:rsidP="002938B2" w14:paraId="226A3D66" w14:textId="77777777">
            <w:pPr>
              <w:pStyle w:val="CommentText"/>
              <w:ind w:left="798"/>
              <w:rPr>
                <w:rStyle w:val="Hyperlink"/>
                <w:lang w:val="x-none" w:eastAsia="x-none"/>
              </w:rPr>
            </w:pPr>
            <w:hyperlink r:id="rId52" w:history="1">
              <w:r w:rsidRPr="00260A3F" w:rsidR="002A4989">
                <w:rPr>
                  <w:rStyle w:val="Hyperlink"/>
                  <w:lang w:val="x-none" w:eastAsia="x-none"/>
                </w:rPr>
                <w:t>fykes@whitt-sturtevant.com</w:t>
              </w:r>
            </w:hyperlink>
          </w:p>
          <w:p w:rsidR="002938B2" w:rsidRPr="00260A3F" w:rsidP="002938B2" w14:paraId="60C227ED" w14:textId="77777777">
            <w:pPr>
              <w:pStyle w:val="CommentText"/>
              <w:ind w:left="798"/>
              <w:rPr>
                <w:color w:val="0000FF"/>
                <w:lang w:val="x-none" w:eastAsia="x-none"/>
              </w:rPr>
            </w:pPr>
            <w:hyperlink r:id="rId53" w:history="1">
              <w:r w:rsidRPr="00260A3F" w:rsidR="002A4989">
                <w:rPr>
                  <w:rStyle w:val="Hyperlink"/>
                  <w:lang w:val="x-none" w:eastAsia="x-none"/>
                </w:rPr>
                <w:t>dborchers@bricker.com</w:t>
              </w:r>
            </w:hyperlink>
          </w:p>
          <w:p w:rsidR="002938B2" w:rsidRPr="00260A3F" w:rsidP="002938B2" w14:paraId="13829FF1" w14:textId="77777777">
            <w:pPr>
              <w:pStyle w:val="CommentText"/>
              <w:ind w:left="798"/>
              <w:rPr>
                <w:color w:val="0000FF"/>
                <w:lang w:val="x-none" w:eastAsia="x-none"/>
              </w:rPr>
            </w:pPr>
            <w:hyperlink r:id="rId54" w:history="1">
              <w:r w:rsidRPr="00260A3F" w:rsidR="002A4989">
                <w:rPr>
                  <w:rStyle w:val="Hyperlink"/>
                  <w:lang w:val="x-none" w:eastAsia="x-none"/>
                </w:rPr>
                <w:t>kherrnstein@bricker.com</w:t>
              </w:r>
            </w:hyperlink>
          </w:p>
          <w:p w:rsidR="002938B2" w:rsidRPr="00260A3F" w:rsidP="002938B2" w14:paraId="153EA929" w14:textId="77777777">
            <w:pPr>
              <w:adjustRightInd w:val="0"/>
              <w:spacing w:after="0" w:line="240" w:lineRule="auto"/>
              <w:ind w:left="792"/>
              <w:rPr>
                <w:rFonts w:cs="Times New Roman"/>
                <w:color w:val="0000FF"/>
                <w:szCs w:val="24"/>
              </w:rPr>
            </w:pPr>
            <w:hyperlink r:id="rId55" w:history="1">
              <w:r w:rsidRPr="00260A3F" w:rsidR="002A4989">
                <w:rPr>
                  <w:rStyle w:val="Hyperlink"/>
                  <w:rFonts w:cs="Times New Roman"/>
                  <w:szCs w:val="24"/>
                </w:rPr>
                <w:t>little@litohio.com</w:t>
              </w:r>
            </w:hyperlink>
          </w:p>
          <w:p w:rsidR="002938B2" w:rsidRPr="00260A3F" w:rsidP="002938B2" w14:paraId="1FEC3DBF" w14:textId="77777777">
            <w:pPr>
              <w:pStyle w:val="CommentText"/>
              <w:ind w:left="798"/>
              <w:rPr>
                <w:color w:val="0000FF"/>
              </w:rPr>
            </w:pPr>
            <w:hyperlink r:id="rId56" w:history="1">
              <w:r w:rsidRPr="00260A3F" w:rsidR="002A4989">
                <w:rPr>
                  <w:rStyle w:val="Hyperlink"/>
                </w:rPr>
                <w:t>hogan@litohio.com</w:t>
              </w:r>
            </w:hyperlink>
          </w:p>
          <w:p w:rsidR="002938B2" w:rsidRPr="00260A3F" w:rsidP="002938B2" w14:paraId="45099689" w14:textId="77777777">
            <w:pPr>
              <w:adjustRightInd w:val="0"/>
              <w:spacing w:after="0" w:line="240" w:lineRule="auto"/>
              <w:ind w:left="792"/>
              <w:rPr>
                <w:rFonts w:cs="Times New Roman"/>
                <w:color w:val="0000FF"/>
                <w:szCs w:val="24"/>
              </w:rPr>
            </w:pPr>
            <w:hyperlink r:id="rId57" w:history="1">
              <w:r w:rsidRPr="00260A3F" w:rsidR="002A4989">
                <w:rPr>
                  <w:rStyle w:val="Hyperlink"/>
                  <w:rFonts w:cs="Times New Roman"/>
                  <w:szCs w:val="24"/>
                </w:rPr>
                <w:t>dstinson@bricker.com</w:t>
              </w:r>
            </w:hyperlink>
          </w:p>
          <w:p w:rsidR="002938B2" w:rsidRPr="00260A3F" w:rsidP="002938B2" w14:paraId="1BE0F0EB" w14:textId="77777777">
            <w:pPr>
              <w:pStyle w:val="CommentText"/>
              <w:ind w:left="798"/>
              <w:rPr>
                <w:color w:val="0000FF"/>
              </w:rPr>
            </w:pPr>
            <w:hyperlink r:id="rId58" w:history="1">
              <w:r w:rsidRPr="00260A3F" w:rsidR="002A4989">
                <w:rPr>
                  <w:rStyle w:val="Hyperlink"/>
                </w:rPr>
                <w:t>mwarnock@bricker.com</w:t>
              </w:r>
            </w:hyperlink>
          </w:p>
          <w:p w:rsidR="002938B2" w:rsidRPr="00260A3F" w:rsidP="002938B2" w14:paraId="1F873779" w14:textId="77777777">
            <w:pPr>
              <w:pStyle w:val="CommentText"/>
              <w:ind w:left="798"/>
              <w:rPr>
                <w:color w:val="0000FF"/>
              </w:rPr>
            </w:pPr>
            <w:hyperlink r:id="rId59" w:history="1">
              <w:r w:rsidRPr="00260A3F" w:rsidR="002A4989">
                <w:rPr>
                  <w:rStyle w:val="Hyperlink"/>
                </w:rPr>
                <w:t>ktreadway@oneenergyllc.com</w:t>
              </w:r>
            </w:hyperlink>
          </w:p>
          <w:p w:rsidR="002938B2" w:rsidRPr="00260A3F" w:rsidP="002938B2" w14:paraId="2167D71B" w14:textId="2B91889A">
            <w:pPr>
              <w:pStyle w:val="CommentText"/>
              <w:ind w:left="798"/>
              <w:rPr>
                <w:rStyle w:val="Hyperlink"/>
              </w:rPr>
            </w:pPr>
            <w:hyperlink r:id="rId60" w:history="1">
              <w:r w:rsidRPr="00260A3F" w:rsidR="002A4989">
                <w:rPr>
                  <w:rStyle w:val="Hyperlink"/>
                </w:rPr>
                <w:t>mfleisher@dickinsonwright.com</w:t>
              </w:r>
            </w:hyperlink>
          </w:p>
          <w:p w:rsidR="007A7078" w:rsidRPr="00260A3F" w:rsidP="002938B2" w14:paraId="09324C32" w14:textId="2A417E9A">
            <w:pPr>
              <w:pStyle w:val="CommentText"/>
              <w:ind w:left="798"/>
              <w:rPr>
                <w:color w:val="0000FF"/>
              </w:rPr>
            </w:pPr>
            <w:hyperlink r:id="rId61" w:history="1">
              <w:r w:rsidRPr="00260A3F" w:rsidR="002A4989">
                <w:rPr>
                  <w:rStyle w:val="Hyperlink"/>
                </w:rPr>
                <w:t>mmcdonnell@dickinsonwright.com</w:t>
              </w:r>
            </w:hyperlink>
          </w:p>
          <w:p w:rsidR="007A7078" w:rsidRPr="00260A3F" w:rsidP="002938B2" w14:paraId="7C719F10" w14:textId="77777777">
            <w:pPr>
              <w:pStyle w:val="CommentText"/>
              <w:ind w:left="798"/>
              <w:rPr>
                <w:color w:val="0000FF"/>
              </w:rPr>
            </w:pPr>
          </w:p>
          <w:p w:rsidR="002938B2" w:rsidRPr="00260A3F" w:rsidP="002938B2" w14:paraId="3984F74C" w14:textId="06BC2C44">
            <w:pPr>
              <w:pStyle w:val="CommentText"/>
              <w:ind w:left="792"/>
              <w:rPr>
                <w:bCs/>
                <w:u w:val="single"/>
              </w:rPr>
            </w:pPr>
          </w:p>
        </w:tc>
      </w:tr>
    </w:tbl>
    <w:p w:rsidR="002938B2" w:rsidRPr="00260A3F" w:rsidP="002938B2" w14:paraId="263D0229" w14:textId="77777777">
      <w:pPr>
        <w:jc w:val="center"/>
        <w:rPr>
          <w:rFonts w:cs="Times New Roman"/>
          <w:b/>
          <w:szCs w:val="24"/>
        </w:rPr>
      </w:pPr>
    </w:p>
    <w:sectPr w:rsidSect="002938B2">
      <w:footerReference w:type="default" r:id="rId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52416309"/>
      <w:docPartObj>
        <w:docPartGallery w:val="Page Numbers (Bottom of Page)"/>
        <w:docPartUnique/>
      </w:docPartObj>
    </w:sdtPr>
    <w:sdtEndPr>
      <w:rPr>
        <w:noProof/>
      </w:rPr>
    </w:sdtEndPr>
    <w:sdtContent>
      <w:p w:rsidR="00746981" w14:paraId="3AD92CD1" w14:textId="34158FE1">
        <w:pPr>
          <w:pStyle w:val="Footer"/>
          <w:jc w:val="center"/>
        </w:pPr>
      </w:p>
    </w:sdtContent>
  </w:sdt>
  <w:p w:rsidR="00746981" w14:paraId="1308C0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88317168"/>
      <w:docPartObj>
        <w:docPartGallery w:val="Page Numbers (Bottom of Page)"/>
        <w:docPartUnique/>
      </w:docPartObj>
    </w:sdtPr>
    <w:sdtEndPr>
      <w:rPr>
        <w:noProof/>
      </w:rPr>
    </w:sdtEndPr>
    <w:sdtContent>
      <w:p w:rsidR="00746981" w14:paraId="04FCAE3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46981" w14:paraId="6CB342C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92631021"/>
      <w:docPartObj>
        <w:docPartGallery w:val="Page Numbers (Bottom of Page)"/>
        <w:docPartUnique/>
      </w:docPartObj>
    </w:sdtPr>
    <w:sdtEndPr>
      <w:rPr>
        <w:noProof/>
      </w:rPr>
    </w:sdtEndPr>
    <w:sdtContent>
      <w:p w:rsidR="00F00906" w14:paraId="1BDEAC1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00906" w14:paraId="487C687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71364418"/>
      <w:docPartObj>
        <w:docPartGallery w:val="Page Numbers (Bottom of Page)"/>
        <w:docPartUnique/>
      </w:docPartObj>
    </w:sdtPr>
    <w:sdtEndPr>
      <w:rPr>
        <w:noProof/>
      </w:rPr>
    </w:sdtEndPr>
    <w:sdtContent>
      <w:p w:rsidR="002938B2" w14:paraId="56B023F2" w14:textId="7C49A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C5CD0" w14:paraId="0A65C959"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4989" w:rsidP="009B419A" w14:paraId="5CE2EB18" w14:textId="77777777">
      <w:pPr>
        <w:spacing w:after="0" w:line="240" w:lineRule="auto"/>
      </w:pPr>
      <w:r>
        <w:separator/>
      </w:r>
    </w:p>
  </w:footnote>
  <w:footnote w:type="continuationSeparator" w:id="1">
    <w:p w:rsidR="002A4989" w:rsidP="009B419A" w14:paraId="2D2F7B6C" w14:textId="77777777">
      <w:pPr>
        <w:spacing w:after="0" w:line="240" w:lineRule="auto"/>
      </w:pPr>
      <w:r>
        <w:continuationSeparator/>
      </w:r>
    </w:p>
  </w:footnote>
  <w:footnote w:id="2">
    <w:p w:rsidR="00FD4318" w:rsidRPr="00521CD0" w:rsidP="00521CD0" w14:paraId="5AB0FBF4" w14:textId="642399F6">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Joint Ex. 1</w:t>
      </w:r>
      <w:r w:rsidRPr="00521CD0" w:rsidR="00D2760B">
        <w:rPr>
          <w:rFonts w:ascii="Times New Roman" w:hAnsi="Times New Roman" w:cs="Times New Roman"/>
        </w:rPr>
        <w:t xml:space="preserve"> (Settlement)</w:t>
      </w:r>
      <w:r w:rsidRPr="00521CD0">
        <w:rPr>
          <w:rFonts w:ascii="Times New Roman" w:hAnsi="Times New Roman" w:cs="Times New Roman"/>
        </w:rPr>
        <w:t>.</w:t>
      </w:r>
    </w:p>
  </w:footnote>
  <w:footnote w:id="3">
    <w:p w:rsidR="003A21A6" w:rsidRPr="00521CD0" w:rsidP="00521CD0" w14:paraId="4686B973" w14:textId="39853CE8">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AEP Ohio Ex. 4 (Roush Settlement Testimony), DMR-S2.</w:t>
      </w:r>
    </w:p>
  </w:footnote>
  <w:footnote w:id="4">
    <w:p w:rsidR="00C633DB" w:rsidRPr="00521CD0" w:rsidP="00521CD0" w14:paraId="4AEB9266" w14:textId="77777777">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Joint Ex. 1 (Settlement) at 1-2.</w:t>
      </w:r>
    </w:p>
  </w:footnote>
  <w:footnote w:id="5">
    <w:p w:rsidR="00C633DB" w:rsidRPr="00521CD0" w:rsidP="00521CD0" w14:paraId="4A5C30F1" w14:textId="77777777">
      <w:pPr>
        <w:pStyle w:val="FootnoteText"/>
        <w:spacing w:after="120"/>
        <w:rPr>
          <w:rFonts w:ascii="Times New Roman" w:hAnsi="Times New Roman" w:cs="Times New Roman"/>
          <w:i/>
          <w:iCs/>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Pr>
          <w:rFonts w:ascii="Times New Roman" w:hAnsi="Times New Roman" w:cs="Times New Roman"/>
          <w:i/>
          <w:iCs/>
        </w:rPr>
        <w:t>Id.</w:t>
      </w:r>
    </w:p>
  </w:footnote>
  <w:footnote w:id="6">
    <w:p w:rsidR="00C633DB" w:rsidRPr="00521CD0" w:rsidP="00521CD0" w14:paraId="4DCE57E1" w14:textId="77777777">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Pr>
          <w:rFonts w:ascii="Times New Roman" w:hAnsi="Times New Roman" w:cs="Times New Roman"/>
          <w:i/>
          <w:iCs/>
        </w:rPr>
        <w:t>Id.</w:t>
      </w:r>
      <w:r w:rsidRPr="00521CD0">
        <w:rPr>
          <w:rFonts w:ascii="Times New Roman" w:hAnsi="Times New Roman" w:cs="Times New Roman"/>
        </w:rPr>
        <w:t xml:space="preserve"> at 22.</w:t>
      </w:r>
    </w:p>
  </w:footnote>
  <w:footnote w:id="7">
    <w:p w:rsidR="00FD4318" w:rsidRPr="00521CD0" w:rsidP="00521CD0" w14:paraId="7488DB8F" w14:textId="0F140AC0">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Pr>
          <w:rFonts w:ascii="Times New Roman" w:hAnsi="Times New Roman" w:cs="Times New Roman"/>
          <w:i/>
          <w:iCs/>
        </w:rPr>
        <w:t xml:space="preserve">See </w:t>
      </w:r>
      <w:r w:rsidRPr="00521CD0">
        <w:rPr>
          <w:rFonts w:ascii="Times New Roman" w:hAnsi="Times New Roman" w:cs="Times New Roman"/>
        </w:rPr>
        <w:t>OCC Ex. 1 (Willis Direct) at 6.</w:t>
      </w:r>
    </w:p>
  </w:footnote>
  <w:footnote w:id="8">
    <w:p w:rsidR="00FD4318" w:rsidRPr="00521CD0" w:rsidP="00521CD0" w14:paraId="01E04959" w14:textId="2392D48E">
      <w:pPr>
        <w:pStyle w:val="FootnoteText"/>
        <w:spacing w:after="120"/>
        <w:rPr>
          <w:rFonts w:ascii="Times New Roman" w:hAnsi="Times New Roman" w:cs="Times New Roman"/>
          <w:i/>
          <w:iCs/>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Pr>
          <w:rFonts w:ascii="Times New Roman" w:hAnsi="Times New Roman" w:cs="Times New Roman"/>
          <w:i/>
          <w:iCs/>
        </w:rPr>
        <w:t>Id.</w:t>
      </w:r>
    </w:p>
  </w:footnote>
  <w:footnote w:id="9">
    <w:p w:rsidR="00A37DD6" w:rsidRPr="00521CD0" w:rsidP="00521CD0" w14:paraId="2D464303" w14:textId="56E76F03">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R.C. 4909.15.</w:t>
      </w:r>
    </w:p>
  </w:footnote>
  <w:footnote w:id="10">
    <w:p w:rsidR="00AF67A8" w:rsidRPr="00521CD0" w:rsidP="00521CD0" w14:paraId="15889F54" w14:textId="54F1AF85">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AEP Ohio Ex. 6 (Moore Direct) at 17, 19.</w:t>
      </w:r>
    </w:p>
  </w:footnote>
  <w:footnote w:id="11">
    <w:p w:rsidR="00B70392" w:rsidRPr="00521CD0" w:rsidP="00521CD0" w14:paraId="65CA7552" w14:textId="77777777">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Pr>
          <w:rFonts w:ascii="Times New Roman" w:hAnsi="Times New Roman" w:cs="Times New Roman"/>
          <w:i/>
        </w:rPr>
        <w:t>In re Application of the Ottoville Mut. Tel. Co.</w:t>
      </w:r>
      <w:r w:rsidRPr="00521CD0">
        <w:rPr>
          <w:rFonts w:ascii="Times New Roman" w:hAnsi="Times New Roman" w:cs="Times New Roman"/>
        </w:rPr>
        <w:t xml:space="preserve">, Case No. 73-356-Y, 1973 Ohio PUC LEXIS 3, at *4 (“the applicant must shoulder the burden of proof in every application proceeding before the Commission”); </w:t>
      </w:r>
      <w:r w:rsidRPr="00521CD0">
        <w:rPr>
          <w:rFonts w:ascii="Times New Roman" w:hAnsi="Times New Roman" w:cs="Times New Roman"/>
          <w:i/>
        </w:rPr>
        <w:t>In re Application of the Ohio Bell Tel. Co.</w:t>
      </w:r>
      <w:r w:rsidRPr="00521CD0">
        <w:rPr>
          <w:rFonts w:ascii="Times New Roman" w:hAnsi="Times New Roman" w:cs="Times New Roman"/>
        </w:rPr>
        <w:t>, No. 84-1435-TP-AIR, 1985 Ohio PUC LEXIS 7, at *79 (Dec. 10, 1985) (“The applicant has the burden of establishing the reasonableness of its proposals.”).</w:t>
      </w:r>
    </w:p>
  </w:footnote>
  <w:footnote w:id="12">
    <w:p w:rsidR="00B70392" w:rsidRPr="00521CD0" w:rsidP="00521CD0" w14:paraId="2303A528" w14:textId="77777777">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Pr>
          <w:rFonts w:ascii="Times New Roman" w:hAnsi="Times New Roman" w:cs="Times New Roman"/>
          <w:i/>
        </w:rPr>
        <w:t>In re Application Seeking Approval of Ohio Power Co.'s Proposal to Enter into an Affiliate Power Purchase Agmt. for Inclusion in the Power Purchase Agmt. Rider</w:t>
      </w:r>
      <w:r w:rsidRPr="00521CD0">
        <w:rPr>
          <w:rFonts w:ascii="Times New Roman" w:hAnsi="Times New Roman" w:cs="Times New Roman"/>
        </w:rPr>
        <w:t>, Case No. 14-1693-EL-SSO, Opinion &amp; Order at 18 (Mar. 31, 2016).</w:t>
      </w:r>
    </w:p>
  </w:footnote>
  <w:footnote w:id="13">
    <w:p w:rsidR="00B70392" w:rsidRPr="00521CD0" w:rsidP="00521CD0" w14:paraId="5DE3A541" w14:textId="77777777">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Pr>
          <w:rFonts w:ascii="Times New Roman" w:hAnsi="Times New Roman" w:cs="Times New Roman"/>
          <w:i/>
        </w:rPr>
        <w:t>Duff v. PUCO</w:t>
      </w:r>
      <w:r w:rsidRPr="00521CD0">
        <w:rPr>
          <w:rFonts w:ascii="Times New Roman" w:hAnsi="Times New Roman" w:cs="Times New Roman"/>
        </w:rPr>
        <w:t>, 56 Ohio St. 2d 367, 379 (1978).</w:t>
      </w:r>
    </w:p>
  </w:footnote>
  <w:footnote w:id="14">
    <w:p w:rsidR="00357F68" w:rsidRPr="00521CD0" w:rsidP="00521CD0" w14:paraId="6ED55385" w14:textId="39AA015A">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Pr>
          <w:rFonts w:ascii="Times New Roman" w:hAnsi="Times New Roman" w:cs="Times New Roman"/>
          <w:i/>
        </w:rPr>
        <w:t>Id. See also</w:t>
      </w:r>
      <w:r w:rsidRPr="00521CD0">
        <w:rPr>
          <w:rFonts w:ascii="Times New Roman" w:hAnsi="Times New Roman" w:cs="Times New Roman"/>
        </w:rPr>
        <w:t xml:space="preserve"> Ohio Adm. Code 4901-1-30(E).</w:t>
      </w:r>
    </w:p>
  </w:footnote>
  <w:footnote w:id="15">
    <w:p w:rsidR="00B70392" w:rsidRPr="00521CD0" w:rsidP="00521CD0" w14:paraId="31A66C2A" w14:textId="77777777">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Pr>
          <w:rFonts w:ascii="Times New Roman" w:hAnsi="Times New Roman" w:cs="Times New Roman"/>
          <w:i/>
        </w:rPr>
        <w:t>Duff</w:t>
      </w:r>
      <w:r w:rsidRPr="00521CD0">
        <w:rPr>
          <w:rFonts w:ascii="Times New Roman" w:hAnsi="Times New Roman" w:cs="Times New Roman"/>
        </w:rPr>
        <w:t>, 56 Ohio St. 2d at 379.</w:t>
      </w:r>
    </w:p>
  </w:footnote>
  <w:footnote w:id="16">
    <w:p w:rsidR="00B70392" w:rsidRPr="00521CD0" w:rsidP="00521CD0" w14:paraId="35DB79E7" w14:textId="77777777">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Pr>
          <w:rFonts w:ascii="Times New Roman" w:hAnsi="Times New Roman" w:cs="Times New Roman"/>
          <w:i/>
        </w:rPr>
        <w:t>Consumers' Counsel v. Pub. Util. Comm.</w:t>
      </w:r>
      <w:r w:rsidRPr="00521CD0">
        <w:rPr>
          <w:rFonts w:ascii="Times New Roman" w:hAnsi="Times New Roman" w:cs="Times New Roman"/>
        </w:rPr>
        <w:t>, 64 Ohio St. 3d 123, 126 (1992).</w:t>
      </w:r>
    </w:p>
  </w:footnote>
  <w:footnote w:id="17">
    <w:p w:rsidR="00314CCD" w:rsidRPr="00521CD0" w:rsidP="00521CD0" w14:paraId="3FE0693C" w14:textId="77777777">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Pr>
          <w:rFonts w:ascii="Times New Roman" w:hAnsi="Times New Roman" w:cs="Times New Roman"/>
          <w:i/>
        </w:rPr>
        <w:t>See In re Application of the Dayton Power &amp; Light Co. to Establish a Standard Serv. Offer</w:t>
      </w:r>
      <w:r w:rsidRPr="00521CD0">
        <w:rPr>
          <w:rFonts w:ascii="Times New Roman" w:hAnsi="Times New Roman" w:cs="Times New Roman"/>
        </w:rPr>
        <w:t xml:space="preserve">, Case No. 16-395-EL-SSO, Opinion &amp; Order ¶ 21 (Oct. 20, 2017) (“Although diversity of interests among signatory parties is not </w:t>
      </w:r>
      <w:r w:rsidRPr="00521CD0">
        <w:rPr>
          <w:rFonts w:ascii="Times New Roman" w:hAnsi="Times New Roman" w:cs="Times New Roman"/>
          <w:i/>
        </w:rPr>
        <w:t>necessary</w:t>
      </w:r>
      <w:r w:rsidRPr="00521CD0">
        <w:rPr>
          <w:rFonts w:ascii="Times New Roman" w:hAnsi="Times New Roman" w:cs="Times New Roman"/>
        </w:rPr>
        <w:t xml:space="preserve"> for any stipulation to meet the first prong, it is </w:t>
      </w:r>
      <w:r w:rsidRPr="00521CD0">
        <w:rPr>
          <w:rFonts w:ascii="Times New Roman" w:hAnsi="Times New Roman" w:cs="Times New Roman"/>
          <w:i/>
        </w:rPr>
        <w:t>helpful</w:t>
      </w:r>
      <w:r w:rsidRPr="00521CD0">
        <w:rPr>
          <w:rFonts w:ascii="Times New Roman" w:hAnsi="Times New Roman" w:cs="Times New Roman"/>
        </w:rPr>
        <w:t xml:space="preserve"> if the signatory parties do represent a variety of interests.”) (emphasis in original); </w:t>
      </w:r>
      <w:r w:rsidRPr="00521CD0">
        <w:rPr>
          <w:rFonts w:ascii="Times New Roman" w:hAnsi="Times New Roman" w:cs="Times New Roman"/>
          <w:i/>
        </w:rPr>
        <w:t>In re Application of [FirstEnergy] for Approval of [its] Energy Efficiency &amp; Peak Demand Reduction Program Portfolio Plans for 2017 through 2019</w:t>
      </w:r>
      <w:r w:rsidRPr="00521CD0">
        <w:rPr>
          <w:rFonts w:ascii="Times New Roman" w:hAnsi="Times New Roman" w:cs="Times New Roman"/>
        </w:rPr>
        <w:t xml:space="preserve">, Case No. 16-743-EL-POR, Opinion &amp; Order ¶ 61 (Nov. 21, 2017) (“While the diversity of the signatory parties may be a consideration in determining whether a settlement is a product of serious bargaining among capable, knowledgeable parties under the first prong of the Commission's test, there is no diversity requirement that the residential customers' statutory representative be a signatory party for agreements which may result in increased costs for the residential class.”); </w:t>
      </w:r>
      <w:r w:rsidRPr="00521CD0">
        <w:rPr>
          <w:rFonts w:ascii="Times New Roman" w:hAnsi="Times New Roman" w:cs="Times New Roman"/>
          <w:i/>
        </w:rPr>
        <w:t>In re Application of Ohio Power Co. to Initiate Phase 2 of its gridsmart Project</w:t>
      </w:r>
      <w:r w:rsidRPr="00521CD0">
        <w:rPr>
          <w:rFonts w:ascii="Times New Roman" w:hAnsi="Times New Roman" w:cs="Times New Roman"/>
        </w:rPr>
        <w:t>, Case No. 13-1939-EL-RDR, Opinion &amp; Order ¶ 50 (Feb. 1, 2017) (“In determining whether a settlement is the product of serious bargaining among capable, knowledgeable parties, we consider the extent of negotiations and the diversity of the negotiating parties, but there is no requirement that any particular party be a signatory to satisfy this first prong.”).</w:t>
      </w:r>
    </w:p>
  </w:footnote>
  <w:footnote w:id="18">
    <w:p w:rsidR="00444919" w:rsidRPr="00521CD0" w:rsidP="00521CD0" w14:paraId="7C1CB3AC" w14:textId="40F1D333">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OCC Ex. 1 (Willis Direct) at 5.</w:t>
      </w:r>
    </w:p>
  </w:footnote>
  <w:footnote w:id="19">
    <w:p w:rsidR="00BF6E90" w:rsidRPr="00521CD0" w:rsidP="00521CD0" w14:paraId="452B927E" w14:textId="669968ED">
      <w:pPr>
        <w:pStyle w:val="FootnoteText"/>
        <w:spacing w:after="120"/>
        <w:rPr>
          <w:rFonts w:ascii="Times New Roman" w:hAnsi="Times New Roman" w:cs="Times New Roman"/>
          <w:i/>
          <w:iCs/>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Pr>
          <w:rFonts w:ascii="Times New Roman" w:hAnsi="Times New Roman" w:cs="Times New Roman"/>
          <w:i/>
          <w:iCs/>
        </w:rPr>
        <w:t>Id.</w:t>
      </w:r>
    </w:p>
  </w:footnote>
  <w:footnote w:id="20">
    <w:p w:rsidR="00BB4D52" w:rsidRPr="00521CD0" w:rsidP="00521CD0" w14:paraId="7C00AAF4" w14:textId="5F23E981">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sidR="00BF3AF5">
        <w:rPr>
          <w:rFonts w:ascii="Times New Roman" w:hAnsi="Times New Roman" w:cs="Times New Roman"/>
        </w:rPr>
        <w:t>Joint Ex. 1 (Settlement) at 22.</w:t>
      </w:r>
    </w:p>
  </w:footnote>
  <w:footnote w:id="21">
    <w:p w:rsidR="00BF3AF5" w:rsidRPr="00521CD0" w:rsidP="00521CD0" w14:paraId="744DB93E" w14:textId="241CA788">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PUCO Staff Ex. 6 (Lipthratt Settlement Testimony) at 4.</w:t>
      </w:r>
    </w:p>
  </w:footnote>
  <w:footnote w:id="22">
    <w:p w:rsidR="001C341E" w:rsidRPr="00521CD0" w:rsidP="00521CD0" w14:paraId="55795A7A" w14:textId="510AD925">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AEP Ohio Ex. 6 (Moore Direct) at 16</w:t>
      </w:r>
      <w:r w:rsidRPr="00521CD0" w:rsidR="002D0A99">
        <w:rPr>
          <w:rFonts w:ascii="Times New Roman" w:hAnsi="Times New Roman" w:cs="Times New Roman"/>
        </w:rPr>
        <w:t xml:space="preserve">; PUCO Staff Ex. 6 (Lipthratt </w:t>
      </w:r>
      <w:r w:rsidRPr="00521CD0" w:rsidR="00E75FA0">
        <w:rPr>
          <w:rFonts w:ascii="Times New Roman" w:hAnsi="Times New Roman" w:cs="Times New Roman"/>
        </w:rPr>
        <w:t>Settlement Testimony</w:t>
      </w:r>
      <w:r w:rsidRPr="00521CD0" w:rsidR="002D0A99">
        <w:rPr>
          <w:rFonts w:ascii="Times New Roman" w:hAnsi="Times New Roman" w:cs="Times New Roman"/>
        </w:rPr>
        <w:t>) at 3</w:t>
      </w:r>
      <w:r w:rsidRPr="00521CD0">
        <w:rPr>
          <w:rFonts w:ascii="Times New Roman" w:hAnsi="Times New Roman" w:cs="Times New Roman"/>
        </w:rPr>
        <w:t>.</w:t>
      </w:r>
    </w:p>
  </w:footnote>
  <w:footnote w:id="23">
    <w:p w:rsidR="00A838AA" w:rsidRPr="00521CD0" w:rsidP="00521CD0" w14:paraId="15187475" w14:textId="0AFA00F0">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sidR="0025340E">
        <w:rPr>
          <w:rFonts w:ascii="Times New Roman" w:hAnsi="Times New Roman" w:cs="Times New Roman"/>
        </w:rPr>
        <w:t>AEP Ohio Ex. 6 (Moore Direct) at 16</w:t>
      </w:r>
      <w:r w:rsidRPr="00521CD0" w:rsidR="00E75FA0">
        <w:rPr>
          <w:rFonts w:ascii="Times New Roman" w:hAnsi="Times New Roman" w:cs="Times New Roman"/>
        </w:rPr>
        <w:t xml:space="preserve">. </w:t>
      </w:r>
      <w:r w:rsidRPr="00521CD0" w:rsidR="00E75FA0">
        <w:rPr>
          <w:rFonts w:ascii="Times New Roman" w:hAnsi="Times New Roman" w:cs="Times New Roman"/>
          <w:i/>
          <w:iCs/>
        </w:rPr>
        <w:t>See also</w:t>
      </w:r>
      <w:r w:rsidRPr="00521CD0" w:rsidR="0025340E">
        <w:rPr>
          <w:rFonts w:ascii="Times New Roman" w:hAnsi="Times New Roman" w:cs="Times New Roman"/>
        </w:rPr>
        <w:t xml:space="preserve"> PUCO Staff Ex. 6 (Lipthratt </w:t>
      </w:r>
      <w:r w:rsidRPr="00521CD0" w:rsidR="00E75FA0">
        <w:rPr>
          <w:rFonts w:ascii="Times New Roman" w:hAnsi="Times New Roman" w:cs="Times New Roman"/>
        </w:rPr>
        <w:t>Settlement Testimony</w:t>
      </w:r>
      <w:r w:rsidRPr="00521CD0" w:rsidR="0025340E">
        <w:rPr>
          <w:rFonts w:ascii="Times New Roman" w:hAnsi="Times New Roman" w:cs="Times New Roman"/>
        </w:rPr>
        <w:t>) at 3.</w:t>
      </w:r>
    </w:p>
  </w:footnote>
  <w:footnote w:id="24">
    <w:p w:rsidR="00C147BE" w:rsidRPr="00521CD0" w:rsidP="00521CD0" w14:paraId="3742C711" w14:textId="1F400D9D">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AEP Ohio Ex. 4 (Roush Settlement Testimony), DMR-S2.</w:t>
      </w:r>
    </w:p>
  </w:footnote>
  <w:footnote w:id="25">
    <w:p w:rsidR="00D81A4D" w:rsidRPr="00521CD0" w:rsidP="00521CD0" w14:paraId="676EECF0" w14:textId="7281378F">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OCC Ex. 1 (Willis Direct) at 6.</w:t>
      </w:r>
      <w:r w:rsidRPr="00521CD0" w:rsidR="009D08E1">
        <w:rPr>
          <w:rFonts w:ascii="Times New Roman" w:hAnsi="Times New Roman" w:cs="Times New Roman"/>
        </w:rPr>
        <w:t xml:space="preserve"> </w:t>
      </w:r>
      <w:r w:rsidRPr="00521CD0" w:rsidR="009D08E1">
        <w:rPr>
          <w:rFonts w:ascii="Times New Roman" w:hAnsi="Times New Roman" w:cs="Times New Roman"/>
          <w:i/>
          <w:iCs/>
        </w:rPr>
        <w:t>See also</w:t>
      </w:r>
      <w:r w:rsidRPr="00521CD0" w:rsidR="009D08E1">
        <w:rPr>
          <w:rFonts w:ascii="Times New Roman" w:hAnsi="Times New Roman" w:cs="Times New Roman"/>
        </w:rPr>
        <w:t xml:space="preserve"> PUCO Staff Ex. 6 (Lipthratt Settlement Testimony) at 5.</w:t>
      </w:r>
    </w:p>
  </w:footnote>
  <w:footnote w:id="26">
    <w:p w:rsidR="00240AD7" w:rsidRPr="00521CD0" w:rsidP="00521CD0" w14:paraId="040837F0" w14:textId="45A52536">
      <w:pPr>
        <w:pStyle w:val="FootnoteText"/>
        <w:spacing w:after="120"/>
        <w:rPr>
          <w:rFonts w:ascii="Times New Roman" w:hAnsi="Times New Roman" w:cs="Times New Roman"/>
          <w:i/>
          <w:iCs/>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sidR="00D81A4D">
        <w:rPr>
          <w:rFonts w:ascii="Times New Roman" w:hAnsi="Times New Roman" w:cs="Times New Roman"/>
          <w:i/>
          <w:iCs/>
        </w:rPr>
        <w:t>Id.</w:t>
      </w:r>
    </w:p>
  </w:footnote>
  <w:footnote w:id="27">
    <w:p w:rsidR="00240AD7" w:rsidRPr="00521CD0" w:rsidP="00521CD0" w14:paraId="4A56A9EF" w14:textId="25BB4C22">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sidR="006A7A58">
        <w:rPr>
          <w:rFonts w:ascii="Times New Roman" w:hAnsi="Times New Roman" w:cs="Times New Roman"/>
        </w:rPr>
        <w:t xml:space="preserve">OCC Ex. 1 (Willis Direct) at 6. </w:t>
      </w:r>
    </w:p>
  </w:footnote>
  <w:footnote w:id="28">
    <w:p w:rsidR="00E60FD4" w:rsidRPr="00521CD0" w:rsidP="00521CD0" w14:paraId="5FCA0A7B" w14:textId="08B5117E">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AEP Ohio Ex. 6 (Moore Direct) at 17.</w:t>
      </w:r>
    </w:p>
  </w:footnote>
  <w:footnote w:id="29">
    <w:p w:rsidR="00240AD7" w:rsidRPr="00521CD0" w:rsidP="00521CD0" w14:paraId="79C2150E" w14:textId="088E6DBB">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sidR="00E44316">
        <w:rPr>
          <w:rFonts w:ascii="Times New Roman" w:hAnsi="Times New Roman" w:cs="Times New Roman"/>
        </w:rPr>
        <w:t xml:space="preserve">OCC Ex. 1 (Willis Direct) at </w:t>
      </w:r>
      <w:r w:rsidRPr="00521CD0" w:rsidR="00626C6A">
        <w:rPr>
          <w:rFonts w:ascii="Times New Roman" w:hAnsi="Times New Roman" w:cs="Times New Roman"/>
        </w:rPr>
        <w:t>7</w:t>
      </w:r>
      <w:r w:rsidRPr="00521CD0" w:rsidR="00E60FD4">
        <w:rPr>
          <w:rFonts w:ascii="Times New Roman" w:hAnsi="Times New Roman" w:cs="Times New Roman"/>
        </w:rPr>
        <w:t>; AEP Ohio Ex. 6 (Moore Direct) at 17.</w:t>
      </w:r>
    </w:p>
  </w:footnote>
  <w:footnote w:id="30">
    <w:p w:rsidR="00240AD7" w:rsidRPr="00521CD0" w:rsidP="00521CD0" w14:paraId="25AEB51F" w14:textId="2CCFE6F5">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sidR="00626C6A">
        <w:rPr>
          <w:rFonts w:ascii="Times New Roman" w:hAnsi="Times New Roman" w:cs="Times New Roman"/>
        </w:rPr>
        <w:t>OCC Ex. 1 (Willis Direct) at 7.</w:t>
      </w:r>
    </w:p>
  </w:footnote>
  <w:footnote w:id="31">
    <w:p w:rsidR="00D040DE" w:rsidRPr="00521CD0" w:rsidP="00521CD0" w14:paraId="60393A9D" w14:textId="11F2D774">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OCC Ex. 1 (Willis Direct) at 8; PUCO Staff Ex. 6 (Lipthratt Settlement Testimony) at 5.</w:t>
      </w:r>
    </w:p>
  </w:footnote>
  <w:footnote w:id="32">
    <w:p w:rsidR="00240AD7" w:rsidRPr="00521CD0" w:rsidP="00521CD0" w14:paraId="3A6723A1" w14:textId="5E3AB1AC">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sidR="00D040DE">
        <w:rPr>
          <w:rFonts w:ascii="Times New Roman" w:hAnsi="Times New Roman" w:cs="Times New Roman"/>
        </w:rPr>
        <w:t xml:space="preserve"> OCC Ex. 1 (Willis Direct) at 8</w:t>
      </w:r>
      <w:r w:rsidRPr="00521CD0">
        <w:rPr>
          <w:rFonts w:ascii="Times New Roman" w:hAnsi="Times New Roman" w:cs="Times New Roman"/>
        </w:rPr>
        <w:t>.</w:t>
      </w:r>
    </w:p>
  </w:footnote>
  <w:footnote w:id="33">
    <w:p w:rsidR="000C76D8" w:rsidRPr="00521CD0" w:rsidP="00521CD0" w14:paraId="739A5DE5" w14:textId="77777777">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OCC Ex. 1 (Willis Direct) at 8; PUCO Staff Ex. 6 (Lipthratt Settlement Testimony) at 5.</w:t>
      </w:r>
    </w:p>
  </w:footnote>
  <w:footnote w:id="34">
    <w:p w:rsidR="00240AD7" w:rsidRPr="00521CD0" w:rsidP="00521CD0" w14:paraId="21CEA843" w14:textId="293858D7">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sidR="0024025D">
        <w:rPr>
          <w:rFonts w:ascii="Times New Roman" w:hAnsi="Times New Roman" w:cs="Times New Roman"/>
        </w:rPr>
        <w:t>OCC Ex. 1 (Willis Direct) at 8</w:t>
      </w:r>
      <w:r w:rsidRPr="00521CD0" w:rsidR="00496DD7">
        <w:rPr>
          <w:rFonts w:ascii="Times New Roman" w:hAnsi="Times New Roman" w:cs="Times New Roman"/>
        </w:rPr>
        <w:t>.</w:t>
      </w:r>
    </w:p>
  </w:footnote>
  <w:footnote w:id="35">
    <w:p w:rsidR="00A36D7B" w:rsidRPr="00521CD0" w:rsidP="00521CD0" w14:paraId="36BED88B" w14:textId="47C9FEC9">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sidR="00254BAA">
        <w:rPr>
          <w:rFonts w:ascii="Times New Roman" w:hAnsi="Times New Roman" w:cs="Times New Roman"/>
        </w:rPr>
        <w:t xml:space="preserve">Joint Ex. 1, </w:t>
      </w:r>
      <w:r w:rsidRPr="00521CD0">
        <w:rPr>
          <w:rFonts w:ascii="Times New Roman" w:hAnsi="Times New Roman" w:cs="Times New Roman"/>
        </w:rPr>
        <w:t>at 11</w:t>
      </w:r>
      <w:r w:rsidRPr="00521CD0" w:rsidR="00FF7C26">
        <w:rPr>
          <w:rFonts w:ascii="Times New Roman" w:hAnsi="Times New Roman" w:cs="Times New Roman"/>
        </w:rPr>
        <w:t>; AEP Ohio Ex. 6 (Moore Direct) at 18.</w:t>
      </w:r>
    </w:p>
  </w:footnote>
  <w:footnote w:id="36">
    <w:p w:rsidR="00F136CD" w:rsidRPr="00521CD0" w:rsidP="00521CD0" w14:paraId="4C6CBF0E" w14:textId="70875A2F">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sidR="00254BAA">
        <w:rPr>
          <w:rFonts w:ascii="Times New Roman" w:hAnsi="Times New Roman" w:cs="Times New Roman"/>
        </w:rPr>
        <w:t xml:space="preserve">OCC Ex. 1 (Willis Direct) at </w:t>
      </w:r>
      <w:r w:rsidRPr="00521CD0" w:rsidR="0031127C">
        <w:rPr>
          <w:rFonts w:ascii="Times New Roman" w:hAnsi="Times New Roman" w:cs="Times New Roman"/>
        </w:rPr>
        <w:t>8</w:t>
      </w:r>
      <w:r w:rsidRPr="00521CD0" w:rsidR="00254BAA">
        <w:rPr>
          <w:rFonts w:ascii="Times New Roman" w:hAnsi="Times New Roman" w:cs="Times New Roman"/>
        </w:rPr>
        <w:t>.</w:t>
      </w:r>
    </w:p>
  </w:footnote>
  <w:footnote w:id="37">
    <w:p w:rsidR="00F136CD" w:rsidRPr="00521CD0" w:rsidP="00521CD0" w14:paraId="02EA69B6" w14:textId="19114E38">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sidR="0031127C">
        <w:rPr>
          <w:rFonts w:ascii="Times New Roman" w:hAnsi="Times New Roman" w:cs="Times New Roman"/>
        </w:rPr>
        <w:t>OCC Ex. 1 (Willis Direct) at 9.</w:t>
      </w:r>
    </w:p>
  </w:footnote>
  <w:footnote w:id="38">
    <w:p w:rsidR="00F136CD" w:rsidRPr="00521CD0" w:rsidP="00521CD0" w14:paraId="75E614A0" w14:textId="6F242BD1">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Pr>
          <w:rFonts w:ascii="Times New Roman" w:hAnsi="Times New Roman" w:cs="Times New Roman"/>
          <w:i/>
        </w:rPr>
        <w:t>Id.</w:t>
      </w:r>
      <w:r w:rsidRPr="00521CD0">
        <w:rPr>
          <w:rFonts w:ascii="Times New Roman" w:hAnsi="Times New Roman" w:cs="Times New Roman"/>
        </w:rPr>
        <w:t xml:space="preserve"> at </w:t>
      </w:r>
      <w:r w:rsidRPr="00521CD0" w:rsidR="0031127C">
        <w:rPr>
          <w:rFonts w:ascii="Times New Roman" w:hAnsi="Times New Roman" w:cs="Times New Roman"/>
        </w:rPr>
        <w:t>9</w:t>
      </w:r>
      <w:r w:rsidRPr="00521CD0" w:rsidR="00FF7C26">
        <w:rPr>
          <w:rFonts w:ascii="Times New Roman" w:hAnsi="Times New Roman" w:cs="Times New Roman"/>
        </w:rPr>
        <w:t xml:space="preserve">; AEP Ohio Ex. 6 (Moore Direct) at </w:t>
      </w:r>
      <w:r w:rsidRPr="00521CD0" w:rsidR="001A12CF">
        <w:rPr>
          <w:rFonts w:ascii="Times New Roman" w:hAnsi="Times New Roman" w:cs="Times New Roman"/>
        </w:rPr>
        <w:t>17-18.</w:t>
      </w:r>
    </w:p>
  </w:footnote>
  <w:footnote w:id="39">
    <w:p w:rsidR="00F136CD" w:rsidRPr="00521CD0" w:rsidP="00521CD0" w14:paraId="16B23019" w14:textId="3BBC38EA">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sidR="001A12CF">
        <w:rPr>
          <w:rFonts w:ascii="Times New Roman" w:hAnsi="Times New Roman" w:cs="Times New Roman"/>
        </w:rPr>
        <w:t>OCC Ex. 1 (Willis Direct) at 9-10.</w:t>
      </w:r>
    </w:p>
  </w:footnote>
  <w:footnote w:id="40">
    <w:p w:rsidR="00714AFE" w:rsidRPr="00521CD0" w:rsidP="00521CD0" w14:paraId="677414CC" w14:textId="54CC555D">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Staff Ex. 1</w:t>
      </w:r>
      <w:r w:rsidRPr="00521CD0" w:rsidR="004A2D75">
        <w:rPr>
          <w:rFonts w:ascii="Times New Roman" w:hAnsi="Times New Roman" w:cs="Times New Roman"/>
        </w:rPr>
        <w:t xml:space="preserve"> (Staff Report) at 31.</w:t>
      </w:r>
    </w:p>
  </w:footnote>
  <w:footnote w:id="41">
    <w:p w:rsidR="00FD4318" w:rsidRPr="00521CD0" w:rsidP="00521CD0" w14:paraId="6145B1CE" w14:textId="2EF8F6CA">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sidR="00E562C3">
        <w:rPr>
          <w:rFonts w:ascii="Times New Roman" w:hAnsi="Times New Roman" w:cs="Times New Roman"/>
        </w:rPr>
        <w:t>OCC Ex. 1 (Willis Direct) at 10; AEP Ohio Ex. 6 (Moore Direct) at 19. PUCO Staff Ex. 6 (Lipthratt Settlement Testimony) at 5.</w:t>
      </w:r>
    </w:p>
  </w:footnote>
  <w:footnote w:id="42">
    <w:p w:rsidR="00D9288B" w:rsidRPr="00521CD0" w:rsidP="00521CD0" w14:paraId="7EDDECCE" w14:textId="67352C67">
      <w:pPr>
        <w:pStyle w:val="FootnoteText"/>
        <w:spacing w:after="120"/>
        <w:rPr>
          <w:rFonts w:ascii="Times New Roman" w:hAnsi="Times New Roman" w:cs="Times New Roman"/>
          <w:i/>
          <w:iCs/>
        </w:rPr>
      </w:pPr>
      <w:r w:rsidRPr="00521CD0">
        <w:rPr>
          <w:rStyle w:val="FootnoteReference"/>
          <w:rFonts w:ascii="Times New Roman" w:hAnsi="Times New Roman" w:cs="Times New Roman"/>
        </w:rPr>
        <w:footnoteRef/>
      </w:r>
      <w:r w:rsidRPr="00521CD0">
        <w:rPr>
          <w:rFonts w:ascii="Times New Roman" w:hAnsi="Times New Roman" w:cs="Times New Roman"/>
        </w:rPr>
        <w:t xml:space="preserve"> </w:t>
      </w:r>
      <w:r w:rsidRPr="00521CD0" w:rsidR="0025547C">
        <w:rPr>
          <w:rFonts w:ascii="Times New Roman" w:hAnsi="Times New Roman" w:cs="Times New Roman"/>
        </w:rPr>
        <w:t>OCC Ex. 1 (Willis Direct) at 10</w:t>
      </w:r>
      <w:r w:rsidRPr="00521CD0" w:rsidR="006C1EAB">
        <w:rPr>
          <w:rFonts w:ascii="Times New Roman" w:hAnsi="Times New Roman" w:cs="Times New Roman"/>
        </w:rPr>
        <w:t>.</w:t>
      </w:r>
    </w:p>
  </w:footnote>
  <w:footnote w:id="43">
    <w:p w:rsidR="00D9288B" w:rsidRPr="00521CD0" w:rsidP="00521CD0" w14:paraId="3BC265A2" w14:textId="44403CAD">
      <w:pPr>
        <w:pStyle w:val="FootnoteText"/>
        <w:spacing w:after="120"/>
        <w:rPr>
          <w:rFonts w:ascii="Times New Roman" w:hAnsi="Times New Roman" w:cs="Times New Roman"/>
        </w:rPr>
      </w:pPr>
      <w:r w:rsidRPr="00521CD0">
        <w:rPr>
          <w:rStyle w:val="FootnoteReference"/>
          <w:rFonts w:ascii="Times New Roman" w:hAnsi="Times New Roman" w:cs="Times New Roman"/>
        </w:rPr>
        <w:footnoteRef/>
      </w:r>
      <w:r w:rsidRPr="00521CD0">
        <w:rPr>
          <w:rFonts w:ascii="Times New Roman" w:hAnsi="Times New Roman" w:cs="Times New Roman"/>
        </w:rPr>
        <w:t xml:space="preserve"> AEP Ohio Ex. 6 (Moore Direct) at 18-19.</w:t>
      </w:r>
    </w:p>
  </w:footnote>
  <w:footnote w:id="44">
    <w:p w:rsidR="00D9288B" w:rsidRPr="00521CD0" w:rsidP="00521CD0" w14:paraId="3F98044C" w14:textId="361D9112">
      <w:pPr>
        <w:pStyle w:val="FootnoteText"/>
        <w:spacing w:after="120"/>
        <w:rPr>
          <w:rFonts w:ascii="Times New Roman" w:hAnsi="Times New Roman" w:cs="Times New Roman"/>
          <w:i/>
          <w:iCs/>
        </w:rPr>
      </w:pPr>
      <w:r w:rsidRPr="00521CD0">
        <w:rPr>
          <w:rStyle w:val="FootnoteReference"/>
          <w:rFonts w:ascii="Times New Roman" w:hAnsi="Times New Roman" w:cs="Times New Roman"/>
        </w:rPr>
        <w:footnoteRef/>
      </w:r>
      <w:r w:rsidRPr="00521CD0">
        <w:rPr>
          <w:rFonts w:ascii="Times New Roman" w:hAnsi="Times New Roman" w:cs="Times New Roman"/>
        </w:rPr>
        <w:t xml:space="preserve"> AEP Ohio Ex. 6 (Moore Direct) at 19.</w:t>
      </w:r>
    </w:p>
  </w:footnote>
  <w:footnote w:id="45">
    <w:p w:rsidR="003E5EA4" w:rsidRPr="00521CD0" w:rsidP="00521CD0" w14:paraId="67BA4F45" w14:textId="1FD6BEA6">
      <w:pPr>
        <w:pStyle w:val="FootnoteText"/>
        <w:spacing w:after="120"/>
        <w:rPr>
          <w:rFonts w:ascii="Times New Roman" w:hAnsi="Times New Roman" w:cs="Times New Roman"/>
          <w:i/>
          <w:iCs/>
        </w:rPr>
      </w:pPr>
      <w:r w:rsidRPr="00521CD0">
        <w:rPr>
          <w:rStyle w:val="FootnoteReference"/>
          <w:rFonts w:ascii="Times New Roman" w:hAnsi="Times New Roman" w:cs="Times New Roman"/>
        </w:rPr>
        <w:footnoteRef/>
      </w:r>
      <w:r w:rsidRPr="00521CD0">
        <w:rPr>
          <w:rFonts w:ascii="Times New Roman" w:hAnsi="Times New Roman" w:cs="Times New Roman"/>
        </w:rPr>
        <w:t xml:space="preserve"> AEP Ohio Ex. 6 (Moore Direct) at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434D23"/>
    <w:multiLevelType w:val="hybridMultilevel"/>
    <w:tmpl w:val="4266BC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531888"/>
    <w:multiLevelType w:val="hybridMultilevel"/>
    <w:tmpl w:val="3E64036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6852F47"/>
    <w:multiLevelType w:val="hybridMultilevel"/>
    <w:tmpl w:val="D86895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CC94FCD"/>
    <w:multiLevelType w:val="hybridMultilevel"/>
    <w:tmpl w:val="49968B80"/>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7">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
    <w:nsid w:val="341B351C"/>
    <w:multiLevelType w:val="hybridMultilevel"/>
    <w:tmpl w:val="66263F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41C49C1"/>
    <w:multiLevelType w:val="hybridMultilevel"/>
    <w:tmpl w:val="80BC26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E434FDA"/>
    <w:multiLevelType w:val="hybridMultilevel"/>
    <w:tmpl w:val="3B28E9A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F182D98"/>
    <w:multiLevelType w:val="hybridMultilevel"/>
    <w:tmpl w:val="C1DE054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40BD624C"/>
    <w:multiLevelType w:val="hybridMultilevel"/>
    <w:tmpl w:val="E87A5166"/>
    <w:lvl w:ilvl="0">
      <w:start w:val="1"/>
      <w:numFmt w:val="upperLetter"/>
      <w:pStyle w:val="Heading2"/>
      <w:lvlText w:val="%1."/>
      <w:lvlJc w:val="left"/>
      <w:pPr>
        <w:ind w:left="90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AE83163"/>
    <w:multiLevelType w:val="hybridMultilevel"/>
    <w:tmpl w:val="CC30DCD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5D5378C3"/>
    <w:multiLevelType w:val="hybridMultilevel"/>
    <w:tmpl w:val="BA3AEF5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F74287D"/>
    <w:multiLevelType w:val="hybridMultilevel"/>
    <w:tmpl w:val="1760228A"/>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7">
    <w:nsid w:val="6509486F"/>
    <w:multiLevelType w:val="hybridMultilevel"/>
    <w:tmpl w:val="CDE0B5A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EDB64E8"/>
    <w:multiLevelType w:val="hybridMultilevel"/>
    <w:tmpl w:val="DAF81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2"/>
  </w:num>
  <w:num w:numId="4">
    <w:abstractNumId w:val="5"/>
  </w:num>
  <w:num w:numId="5">
    <w:abstractNumId w:val="7"/>
  </w:num>
  <w:num w:numId="6">
    <w:abstractNumId w:val="18"/>
  </w:num>
  <w:num w:numId="7">
    <w:abstractNumId w:val="19"/>
  </w:num>
  <w:num w:numId="8">
    <w:abstractNumId w:val="4"/>
  </w:num>
  <w:num w:numId="9">
    <w:abstractNumId w:val="9"/>
  </w:num>
  <w:num w:numId="10">
    <w:abstractNumId w:val="8"/>
  </w:num>
  <w:num w:numId="11">
    <w:abstractNumId w:val="2"/>
  </w:num>
  <w:num w:numId="12">
    <w:abstractNumId w:val="11"/>
  </w:num>
  <w:num w:numId="13">
    <w:abstractNumId w:val="16"/>
  </w:num>
  <w:num w:numId="14">
    <w:abstractNumId w:val="3"/>
  </w:num>
  <w:num w:numId="15">
    <w:abstractNumId w:val="14"/>
  </w:num>
  <w:num w:numId="16">
    <w:abstractNumId w:val="17"/>
  </w:num>
  <w:num w:numId="17">
    <w:abstractNumId w:val="10"/>
  </w:num>
  <w:num w:numId="18">
    <w:abstractNumId w:val="6"/>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6A"/>
    <w:rsid w:val="00026627"/>
    <w:rsid w:val="0003720E"/>
    <w:rsid w:val="0004015D"/>
    <w:rsid w:val="00053C5E"/>
    <w:rsid w:val="00073078"/>
    <w:rsid w:val="00073D2C"/>
    <w:rsid w:val="0009240C"/>
    <w:rsid w:val="000A0F6D"/>
    <w:rsid w:val="000C76D8"/>
    <w:rsid w:val="000C77B9"/>
    <w:rsid w:val="000F61CD"/>
    <w:rsid w:val="0015192E"/>
    <w:rsid w:val="00167F83"/>
    <w:rsid w:val="001A12CF"/>
    <w:rsid w:val="001A1E77"/>
    <w:rsid w:val="001A388C"/>
    <w:rsid w:val="001B746D"/>
    <w:rsid w:val="001C341E"/>
    <w:rsid w:val="001E064B"/>
    <w:rsid w:val="001F600A"/>
    <w:rsid w:val="0021069E"/>
    <w:rsid w:val="002241D1"/>
    <w:rsid w:val="0022500B"/>
    <w:rsid w:val="0024025D"/>
    <w:rsid w:val="00240AD7"/>
    <w:rsid w:val="00243E65"/>
    <w:rsid w:val="00247C76"/>
    <w:rsid w:val="00250D6C"/>
    <w:rsid w:val="00252A82"/>
    <w:rsid w:val="0025340E"/>
    <w:rsid w:val="00254BAA"/>
    <w:rsid w:val="0025547C"/>
    <w:rsid w:val="00260A3F"/>
    <w:rsid w:val="00264A2B"/>
    <w:rsid w:val="00266B99"/>
    <w:rsid w:val="0027435C"/>
    <w:rsid w:val="002938B2"/>
    <w:rsid w:val="002A4989"/>
    <w:rsid w:val="002B4A98"/>
    <w:rsid w:val="002B5DFD"/>
    <w:rsid w:val="002C3909"/>
    <w:rsid w:val="002C6664"/>
    <w:rsid w:val="002D00A2"/>
    <w:rsid w:val="002D0A99"/>
    <w:rsid w:val="002D1B6C"/>
    <w:rsid w:val="002E4589"/>
    <w:rsid w:val="00300B47"/>
    <w:rsid w:val="003031B6"/>
    <w:rsid w:val="0031127C"/>
    <w:rsid w:val="00312335"/>
    <w:rsid w:val="00314CCD"/>
    <w:rsid w:val="0032118A"/>
    <w:rsid w:val="003245D4"/>
    <w:rsid w:val="00334ED2"/>
    <w:rsid w:val="00336AA7"/>
    <w:rsid w:val="003511B5"/>
    <w:rsid w:val="00357F68"/>
    <w:rsid w:val="00372312"/>
    <w:rsid w:val="00376E35"/>
    <w:rsid w:val="00385270"/>
    <w:rsid w:val="003925DF"/>
    <w:rsid w:val="00394858"/>
    <w:rsid w:val="003A21A6"/>
    <w:rsid w:val="003E4FF1"/>
    <w:rsid w:val="003E5EA4"/>
    <w:rsid w:val="00444919"/>
    <w:rsid w:val="0049023C"/>
    <w:rsid w:val="00495379"/>
    <w:rsid w:val="00496DD7"/>
    <w:rsid w:val="004A2D75"/>
    <w:rsid w:val="004D3D5E"/>
    <w:rsid w:val="004D70E8"/>
    <w:rsid w:val="00521CD0"/>
    <w:rsid w:val="00525283"/>
    <w:rsid w:val="0057061D"/>
    <w:rsid w:val="005A18A5"/>
    <w:rsid w:val="005B2BD7"/>
    <w:rsid w:val="005C451D"/>
    <w:rsid w:val="005C781C"/>
    <w:rsid w:val="005D034D"/>
    <w:rsid w:val="005F2B7A"/>
    <w:rsid w:val="005F6D71"/>
    <w:rsid w:val="00620EF3"/>
    <w:rsid w:val="00622321"/>
    <w:rsid w:val="006228C8"/>
    <w:rsid w:val="00626C6A"/>
    <w:rsid w:val="00645D20"/>
    <w:rsid w:val="006621F6"/>
    <w:rsid w:val="00672E11"/>
    <w:rsid w:val="00685470"/>
    <w:rsid w:val="00686331"/>
    <w:rsid w:val="006A5DCF"/>
    <w:rsid w:val="006A7A58"/>
    <w:rsid w:val="006C1EAB"/>
    <w:rsid w:val="006D4A7F"/>
    <w:rsid w:val="006F276E"/>
    <w:rsid w:val="006F58FA"/>
    <w:rsid w:val="00714AFE"/>
    <w:rsid w:val="0072541D"/>
    <w:rsid w:val="007358BD"/>
    <w:rsid w:val="00736557"/>
    <w:rsid w:val="00740A2A"/>
    <w:rsid w:val="00746981"/>
    <w:rsid w:val="00755C7C"/>
    <w:rsid w:val="007740C9"/>
    <w:rsid w:val="007A5C2C"/>
    <w:rsid w:val="007A7078"/>
    <w:rsid w:val="007B4F88"/>
    <w:rsid w:val="00822D23"/>
    <w:rsid w:val="008258CE"/>
    <w:rsid w:val="008404C6"/>
    <w:rsid w:val="0084398A"/>
    <w:rsid w:val="008660EF"/>
    <w:rsid w:val="008E6B54"/>
    <w:rsid w:val="008F0BD8"/>
    <w:rsid w:val="0091059B"/>
    <w:rsid w:val="0091114F"/>
    <w:rsid w:val="009130CA"/>
    <w:rsid w:val="00914982"/>
    <w:rsid w:val="0093368A"/>
    <w:rsid w:val="0095147B"/>
    <w:rsid w:val="00956129"/>
    <w:rsid w:val="00981489"/>
    <w:rsid w:val="009B419A"/>
    <w:rsid w:val="009B41C9"/>
    <w:rsid w:val="009C5CD0"/>
    <w:rsid w:val="009D08E1"/>
    <w:rsid w:val="009D25E5"/>
    <w:rsid w:val="009D599F"/>
    <w:rsid w:val="00A0593B"/>
    <w:rsid w:val="00A21827"/>
    <w:rsid w:val="00A36D7B"/>
    <w:rsid w:val="00A37DD6"/>
    <w:rsid w:val="00A760B8"/>
    <w:rsid w:val="00A838AA"/>
    <w:rsid w:val="00AE2105"/>
    <w:rsid w:val="00AF67A8"/>
    <w:rsid w:val="00B023DD"/>
    <w:rsid w:val="00B10540"/>
    <w:rsid w:val="00B335DC"/>
    <w:rsid w:val="00B41517"/>
    <w:rsid w:val="00B44DEF"/>
    <w:rsid w:val="00B56369"/>
    <w:rsid w:val="00B70392"/>
    <w:rsid w:val="00B76C04"/>
    <w:rsid w:val="00B83A11"/>
    <w:rsid w:val="00BB4D52"/>
    <w:rsid w:val="00BC1DD7"/>
    <w:rsid w:val="00BD40E8"/>
    <w:rsid w:val="00BD6B6A"/>
    <w:rsid w:val="00BE4DF2"/>
    <w:rsid w:val="00BF3AF5"/>
    <w:rsid w:val="00BF6E90"/>
    <w:rsid w:val="00C0066A"/>
    <w:rsid w:val="00C147BE"/>
    <w:rsid w:val="00C3552B"/>
    <w:rsid w:val="00C633DB"/>
    <w:rsid w:val="00C7160E"/>
    <w:rsid w:val="00C825CC"/>
    <w:rsid w:val="00C82E8B"/>
    <w:rsid w:val="00C85768"/>
    <w:rsid w:val="00C9664A"/>
    <w:rsid w:val="00CA7491"/>
    <w:rsid w:val="00CC0E9E"/>
    <w:rsid w:val="00CE4BF1"/>
    <w:rsid w:val="00D040DE"/>
    <w:rsid w:val="00D20897"/>
    <w:rsid w:val="00D20AE3"/>
    <w:rsid w:val="00D25580"/>
    <w:rsid w:val="00D2760B"/>
    <w:rsid w:val="00D50291"/>
    <w:rsid w:val="00D6019B"/>
    <w:rsid w:val="00D66A76"/>
    <w:rsid w:val="00D67D06"/>
    <w:rsid w:val="00D7674A"/>
    <w:rsid w:val="00D81A4D"/>
    <w:rsid w:val="00D83308"/>
    <w:rsid w:val="00D9288B"/>
    <w:rsid w:val="00D9345B"/>
    <w:rsid w:val="00D93D11"/>
    <w:rsid w:val="00DA0764"/>
    <w:rsid w:val="00DA57BE"/>
    <w:rsid w:val="00DD4B64"/>
    <w:rsid w:val="00E14A78"/>
    <w:rsid w:val="00E32694"/>
    <w:rsid w:val="00E348AE"/>
    <w:rsid w:val="00E44316"/>
    <w:rsid w:val="00E5277E"/>
    <w:rsid w:val="00E52F84"/>
    <w:rsid w:val="00E545EC"/>
    <w:rsid w:val="00E562C3"/>
    <w:rsid w:val="00E60FD4"/>
    <w:rsid w:val="00E67842"/>
    <w:rsid w:val="00E75FA0"/>
    <w:rsid w:val="00E8357E"/>
    <w:rsid w:val="00EA1410"/>
    <w:rsid w:val="00EA3CD6"/>
    <w:rsid w:val="00EA7D2A"/>
    <w:rsid w:val="00EB2D3C"/>
    <w:rsid w:val="00EC50A9"/>
    <w:rsid w:val="00F00906"/>
    <w:rsid w:val="00F02ECB"/>
    <w:rsid w:val="00F136CD"/>
    <w:rsid w:val="00F146B2"/>
    <w:rsid w:val="00F42FDF"/>
    <w:rsid w:val="00F4726E"/>
    <w:rsid w:val="00F53C34"/>
    <w:rsid w:val="00F8690A"/>
    <w:rsid w:val="00FA378C"/>
    <w:rsid w:val="00FA40FA"/>
    <w:rsid w:val="00FA7B1A"/>
    <w:rsid w:val="00FC1912"/>
    <w:rsid w:val="00FC7A59"/>
    <w:rsid w:val="00FD4318"/>
    <w:rsid w:val="00FE6F52"/>
    <w:rsid w:val="00FF1246"/>
    <w:rsid w:val="00FF7C2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0C"/>
    <w:rPr>
      <w:rFonts w:ascii="Times New Roman" w:hAnsi="Times New Roman"/>
      <w:sz w:val="24"/>
    </w:rPr>
  </w:style>
  <w:style w:type="paragraph" w:styleId="Heading1">
    <w:name w:val="heading 1"/>
    <w:basedOn w:val="Normal"/>
    <w:next w:val="Normal"/>
    <w:link w:val="Heading1Char"/>
    <w:autoRedefine/>
    <w:uiPriority w:val="9"/>
    <w:qFormat/>
    <w:rsid w:val="006C1EAB"/>
    <w:pPr>
      <w:keepNext/>
      <w:keepLines/>
      <w:spacing w:after="240" w:line="240" w:lineRule="auto"/>
      <w:ind w:left="720" w:hanging="720"/>
      <w:outlineLvl w:val="0"/>
    </w:pPr>
    <w:rPr>
      <w:rFonts w:ascii="Times New Roman Bold" w:hAnsi="Times New Roman Bold" w:eastAsiaTheme="majorEastAsia" w:cstheme="majorBidi"/>
      <w:b/>
      <w:bCs/>
      <w:szCs w:val="28"/>
    </w:rPr>
  </w:style>
  <w:style w:type="paragraph" w:styleId="Heading2">
    <w:name w:val="heading 2"/>
    <w:basedOn w:val="Normal"/>
    <w:next w:val="Normal"/>
    <w:link w:val="Heading2Char"/>
    <w:autoRedefine/>
    <w:uiPriority w:val="9"/>
    <w:unhideWhenUsed/>
    <w:qFormat/>
    <w:rsid w:val="00672E11"/>
    <w:pPr>
      <w:keepNext/>
      <w:keepLines/>
      <w:numPr>
        <w:numId w:val="20"/>
      </w:numPr>
      <w:spacing w:after="240" w:line="240" w:lineRule="auto"/>
      <w:ind w:left="1440" w:hanging="720"/>
      <w:outlineLvl w:val="1"/>
    </w:pPr>
    <w:rPr>
      <w:rFonts w:eastAsiaTheme="majorEastAsia" w:cs="Times New Roman"/>
      <w:b/>
      <w:bCs/>
      <w:szCs w:val="24"/>
    </w:rPr>
  </w:style>
  <w:style w:type="paragraph" w:styleId="Heading3">
    <w:name w:val="heading 3"/>
    <w:basedOn w:val="Normal"/>
    <w:next w:val="Normal"/>
    <w:link w:val="Heading3Char"/>
    <w:autoRedefine/>
    <w:uiPriority w:val="9"/>
    <w:unhideWhenUsed/>
    <w:qFormat/>
    <w:rsid w:val="008277B2"/>
    <w:pPr>
      <w:keepNext/>
      <w:spacing w:after="240" w:line="240" w:lineRule="auto"/>
      <w:ind w:left="2160" w:hanging="720"/>
      <w:outlineLvl w:val="2"/>
    </w:pPr>
    <w:rPr>
      <w:rFonts w:eastAsiaTheme="majorEastAsia" w:cs="Times New Roman"/>
      <w:b/>
      <w:bCs/>
      <w:szCs w:val="24"/>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77B2"/>
    <w:rPr>
      <w:rFonts w:ascii="Times New Roman" w:hAnsi="Times New Roman" w:eastAsiaTheme="majorEastAsia" w:cs="Times New Roman"/>
      <w:b/>
      <w:bCs/>
      <w:sz w:val="24"/>
      <w:szCs w:val="24"/>
    </w:rPr>
  </w:style>
  <w:style w:type="character" w:styleId="Hyperlink">
    <w:name w:val="Hyperlink"/>
    <w:basedOn w:val="DefaultParagraphFont"/>
    <w:uiPriority w:val="99"/>
    <w:unhideWhenUsed/>
    <w:rsid w:val="006F040C"/>
    <w:rPr>
      <w:color w:val="0000FF"/>
      <w:u w:val="single"/>
    </w:rPr>
  </w:style>
  <w:style w:type="paragraph" w:styleId="HTMLPreformatted">
    <w:name w:val="HTML Preformatted"/>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6F040C"/>
    <w:rPr>
      <w:rFonts w:ascii="Courier New" w:eastAsia="Courier New" w:hAnsi="Courier New" w:cs="Courier New"/>
      <w:sz w:val="20"/>
      <w:szCs w:val="2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nhideWhenUsed/>
    <w:rsid w:val="00076C62"/>
    <w:pPr>
      <w:spacing w:after="0" w:line="240" w:lineRule="auto"/>
    </w:pPr>
    <w:rPr>
      <w:rFonts w:asciiTheme="minorHAnsi" w:hAnsiTheme="minorHAnsi"/>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rsid w:val="00076C62"/>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nhideWhenUsed/>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5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6C1EAB"/>
    <w:rPr>
      <w:rFonts w:ascii="Times New Roman Bold" w:hAnsi="Times New Roman Bold" w:eastAsiaTheme="majorEastAsia" w:cstheme="majorBidi"/>
      <w:b/>
      <w:bCs/>
      <w:sz w:val="24"/>
      <w:szCs w:val="28"/>
    </w:rPr>
  </w:style>
  <w:style w:type="character" w:customStyle="1" w:styleId="Heading2Char">
    <w:name w:val="Heading 2 Char"/>
    <w:basedOn w:val="DefaultParagraphFont"/>
    <w:link w:val="Heading2"/>
    <w:uiPriority w:val="9"/>
    <w:rsid w:val="00672E11"/>
    <w:rPr>
      <w:rFonts w:ascii="Times New Roman" w:hAnsi="Times New Roman" w:eastAsiaTheme="majorEastAsia" w:cs="Times New Roman"/>
      <w:b/>
      <w:bCs/>
      <w:sz w:val="24"/>
      <w:szCs w:val="24"/>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uiPriority w:val="99"/>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uiPriority w:val="99"/>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CE4BF1"/>
    <w:pPr>
      <w:tabs>
        <w:tab w:val="decimal" w:leader="dot" w:pos="9360"/>
      </w:tabs>
      <w:spacing w:after="240" w:line="240" w:lineRule="auto"/>
      <w:ind w:left="720" w:hanging="720"/>
      <w:outlineLvl w:val="0"/>
    </w:pPr>
    <w:rPr>
      <w:caps/>
    </w:rPr>
  </w:style>
  <w:style w:type="paragraph" w:styleId="TOC2">
    <w:name w:val="toc 2"/>
    <w:basedOn w:val="Normal"/>
    <w:next w:val="Normal"/>
    <w:autoRedefine/>
    <w:uiPriority w:val="39"/>
    <w:unhideWhenUsed/>
    <w:qFormat/>
    <w:rsid w:val="00CE4BF1"/>
    <w:pPr>
      <w:tabs>
        <w:tab w:val="decimal" w:leader="dot" w:pos="9360"/>
      </w:tabs>
      <w:spacing w:after="240" w:line="240" w:lineRule="auto"/>
      <w:ind w:left="1440" w:hanging="720"/>
      <w:outlineLvl w:val="1"/>
    </w:pPr>
  </w:style>
  <w:style w:type="paragraph" w:styleId="TOC3">
    <w:name w:val="toc 3"/>
    <w:basedOn w:val="Normal"/>
    <w:next w:val="Normal"/>
    <w:autoRedefine/>
    <w:uiPriority w:val="39"/>
    <w:unhideWhenUsed/>
    <w:qFormat/>
    <w:rsid w:val="001D547A"/>
    <w:pPr>
      <w:tabs>
        <w:tab w:val="decimal" w:leader="dot" w:pos="8640"/>
      </w:tabs>
      <w:spacing w:after="240" w:line="240" w:lineRule="auto"/>
      <w:ind w:left="1440" w:hanging="720"/>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 w:type="paragraph" w:styleId="BodyTextIndent3">
    <w:name w:val="Body Text Indent 3"/>
    <w:basedOn w:val="Normal"/>
    <w:link w:val="BodyTextIndent3Char"/>
    <w:rsid w:val="00467AAD"/>
    <w:pPr>
      <w:spacing w:after="0"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467AAD"/>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EE19CA"/>
    <w:rPr>
      <w:color w:val="808080"/>
      <w:shd w:val="clear" w:color="auto" w:fill="E6E6E6"/>
    </w:rPr>
  </w:style>
  <w:style w:type="paragraph" w:styleId="NormalWeb">
    <w:name w:val="Normal (Web)"/>
    <w:basedOn w:val="Normal"/>
    <w:uiPriority w:val="99"/>
    <w:semiHidden/>
    <w:unhideWhenUsed/>
    <w:rsid w:val="00796DFB"/>
    <w:rPr>
      <w:rFonts w:cs="Times New Roman"/>
      <w:szCs w:val="24"/>
    </w:rPr>
  </w:style>
  <w:style w:type="character" w:customStyle="1" w:styleId="StyleCourier12pt">
    <w:name w:val="Style Courier 12 pt"/>
    <w:rsid w:val="002B4A98"/>
    <w:rPr>
      <w:rFonts w:ascii="Courier" w:hAnsi="Courier"/>
      <w:sz w:val="24"/>
    </w:rPr>
  </w:style>
  <w:style w:type="character" w:customStyle="1" w:styleId="UnresolvedMention2">
    <w:name w:val="Unresolved Mention2"/>
    <w:basedOn w:val="DefaultParagraphFont"/>
    <w:uiPriority w:val="99"/>
    <w:rsid w:val="00293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Werner.margard@ohioAGO.gov" TargetMode="External" /><Relationship Id="rId12" Type="http://schemas.openxmlformats.org/officeDocument/2006/relationships/hyperlink" Target="mailto:Kyle.kern@ohioAGO.gov" TargetMode="External" /><Relationship Id="rId13" Type="http://schemas.openxmlformats.org/officeDocument/2006/relationships/hyperlink" Target="mailto:Thomas.shepherd@ohioAGO.gov" TargetMode="External" /><Relationship Id="rId14" Type="http://schemas.openxmlformats.org/officeDocument/2006/relationships/hyperlink" Target="mailto:mkurtz@BKLlawfirm.com" TargetMode="External" /><Relationship Id="rId15" Type="http://schemas.openxmlformats.org/officeDocument/2006/relationships/hyperlink" Target="mailto:kboehm@BKLlawfirm.com" TargetMode="External" /><Relationship Id="rId16" Type="http://schemas.openxmlformats.org/officeDocument/2006/relationships/hyperlink" Target="mailto:jkylercohn@BKLlawfirm.com" TargetMode="External" /><Relationship Id="rId17" Type="http://schemas.openxmlformats.org/officeDocument/2006/relationships/hyperlink" Target="mailto:bethany.allen@igs.com" TargetMode="External" /><Relationship Id="rId18" Type="http://schemas.openxmlformats.org/officeDocument/2006/relationships/hyperlink" Target="mailto:joe.oliker@igs.com" TargetMode="External" /><Relationship Id="rId19" Type="http://schemas.openxmlformats.org/officeDocument/2006/relationships/hyperlink" Target="mailto:michael.nugent@igs.com" TargetMode="External" /><Relationship Id="rId2" Type="http://schemas.openxmlformats.org/officeDocument/2006/relationships/settings" Target="settings.xml" /><Relationship Id="rId20" Type="http://schemas.openxmlformats.org/officeDocument/2006/relationships/hyperlink" Target="mailto:Evan.betterton@igs.com" TargetMode="External" /><Relationship Id="rId21" Type="http://schemas.openxmlformats.org/officeDocument/2006/relationships/hyperlink" Target="mailto:fdarr2019@gmail.com" TargetMode="External" /><Relationship Id="rId22" Type="http://schemas.openxmlformats.org/officeDocument/2006/relationships/hyperlink" Target="mailto:dparram@bricker.com" TargetMode="External" /><Relationship Id="rId23" Type="http://schemas.openxmlformats.org/officeDocument/2006/relationships/hyperlink" Target="mailto:rmains@bricker.com" TargetMode="External" /><Relationship Id="rId24" Type="http://schemas.openxmlformats.org/officeDocument/2006/relationships/hyperlink" Target="mailto:rkelter@elpc.org" TargetMode="External" /><Relationship Id="rId25" Type="http://schemas.openxmlformats.org/officeDocument/2006/relationships/hyperlink" Target="mailto:mjsettineri@vorys.com" TargetMode="External" /><Relationship Id="rId26" Type="http://schemas.openxmlformats.org/officeDocument/2006/relationships/hyperlink" Target="mailto:eowoyt@vorys.com" TargetMode="External" /><Relationship Id="rId27" Type="http://schemas.openxmlformats.org/officeDocument/2006/relationships/hyperlink" Target="mailto:glpetrucci@vorys.com" TargetMode="External" /><Relationship Id="rId28" Type="http://schemas.openxmlformats.org/officeDocument/2006/relationships/hyperlink" Target="mailto:dromig@armadapower.com" TargetMode="External" /><Relationship Id="rId29" Type="http://schemas.openxmlformats.org/officeDocument/2006/relationships/hyperlink" Target="mailto:bmckenney@mcneeslaw.com" TargetMode="External" /><Relationship Id="rId3" Type="http://schemas.openxmlformats.org/officeDocument/2006/relationships/webSettings" Target="webSettings.xml" /><Relationship Id="rId30" Type="http://schemas.openxmlformats.org/officeDocument/2006/relationships/hyperlink" Target="mailto:mleppla@theOEC.org" TargetMode="External" /><Relationship Id="rId31" Type="http://schemas.openxmlformats.org/officeDocument/2006/relationships/hyperlink" Target="mailto:tdougherty@theOEC.org" TargetMode="External" /><Relationship Id="rId32" Type="http://schemas.openxmlformats.org/officeDocument/2006/relationships/hyperlink" Target="mailto:ctavenor@theOEC.org" TargetMode="External" /><Relationship Id="rId33" Type="http://schemas.openxmlformats.org/officeDocument/2006/relationships/hyperlink" Target="mailto:lmckenna@keyesfox.com" TargetMode="External" /><Relationship Id="rId34" Type="http://schemas.openxmlformats.org/officeDocument/2006/relationships/hyperlink" Target="mailto:Donadio@carpenterlipps.com" TargetMode="External" /><Relationship Id="rId35" Type="http://schemas.openxmlformats.org/officeDocument/2006/relationships/hyperlink" Target="mailto:Bojko@carpenterlipps.com" TargetMode="External" /><Relationship Id="rId36" Type="http://schemas.openxmlformats.org/officeDocument/2006/relationships/hyperlink" Target="mailto:Sarah.parrot@puco.ohio.gov" TargetMode="External" /><Relationship Id="rId37" Type="http://schemas.openxmlformats.org/officeDocument/2006/relationships/hyperlink" Target="mailto:Greta.see@puco.ohio.gov" TargetMode="External" /><Relationship Id="rId38" Type="http://schemas.openxmlformats.org/officeDocument/2006/relationships/hyperlink" Target="mailto:stnourse@aep.com" TargetMode="External" /><Relationship Id="rId39" Type="http://schemas.openxmlformats.org/officeDocument/2006/relationships/hyperlink" Target="mailto:cmblend@aep.com" TargetMode="External" /><Relationship Id="rId4" Type="http://schemas.openxmlformats.org/officeDocument/2006/relationships/fontTable" Target="fontTable.xml" /><Relationship Id="rId40" Type="http://schemas.openxmlformats.org/officeDocument/2006/relationships/hyperlink" Target="mailto:tswolffram@aep.com" TargetMode="External" /><Relationship Id="rId41" Type="http://schemas.openxmlformats.org/officeDocument/2006/relationships/hyperlink" Target="mailto:egallon@porterwright.com" TargetMode="External" /><Relationship Id="rId42" Type="http://schemas.openxmlformats.org/officeDocument/2006/relationships/hyperlink" Target="mailto:christopher.miller@icemiller.com" TargetMode="External" /><Relationship Id="rId43" Type="http://schemas.openxmlformats.org/officeDocument/2006/relationships/hyperlink" Target="mailto:cgrundmann@spilmanlaw.com" TargetMode="External" /><Relationship Id="rId44" Type="http://schemas.openxmlformats.org/officeDocument/2006/relationships/hyperlink" Target="mailto:dwilliamson@spilmanlaw.com" TargetMode="External" /><Relationship Id="rId45" Type="http://schemas.openxmlformats.org/officeDocument/2006/relationships/hyperlink" Target="mailto:ccox@elpc.org" TargetMode="External" /><Relationship Id="rId46" Type="http://schemas.openxmlformats.org/officeDocument/2006/relationships/hyperlink" Target="mailto:rlazer@elpc.org" TargetMode="External" /><Relationship Id="rId47" Type="http://schemas.openxmlformats.org/officeDocument/2006/relationships/hyperlink" Target="mailto:rdove@keglerbrown.com" TargetMode="External" /><Relationship Id="rId48" Type="http://schemas.openxmlformats.org/officeDocument/2006/relationships/hyperlink" Target="mailto:mpritchard@mcneeslaw.com" TargetMode="External" /><Relationship Id="rId49" Type="http://schemas.openxmlformats.org/officeDocument/2006/relationships/hyperlink" Target="mailto:rglover@mcneeslaw.com" TargetMode="External" /><Relationship Id="rId5" Type="http://schemas.openxmlformats.org/officeDocument/2006/relationships/customXml" Target="../customXml/item1.xml" /><Relationship Id="rId50" Type="http://schemas.openxmlformats.org/officeDocument/2006/relationships/hyperlink" Target="mailto:paul@carpenterlipps.com" TargetMode="External" /><Relationship Id="rId51" Type="http://schemas.openxmlformats.org/officeDocument/2006/relationships/hyperlink" Target="mailto:whitt@whitt-sturtevant.com" TargetMode="External" /><Relationship Id="rId52" Type="http://schemas.openxmlformats.org/officeDocument/2006/relationships/hyperlink" Target="mailto:fykes@whitt-sturtevant.com" TargetMode="External" /><Relationship Id="rId53" Type="http://schemas.openxmlformats.org/officeDocument/2006/relationships/hyperlink" Target="mailto:dborchers@bricker.com" TargetMode="External" /><Relationship Id="rId54" Type="http://schemas.openxmlformats.org/officeDocument/2006/relationships/hyperlink" Target="mailto:kherrnstein@bricker.com" TargetMode="External" /><Relationship Id="rId55" Type="http://schemas.openxmlformats.org/officeDocument/2006/relationships/hyperlink" Target="mailto:little@litohio.com" TargetMode="External" /><Relationship Id="rId56" Type="http://schemas.openxmlformats.org/officeDocument/2006/relationships/hyperlink" Target="mailto:hogan@litohio.com" TargetMode="External" /><Relationship Id="rId57" Type="http://schemas.openxmlformats.org/officeDocument/2006/relationships/hyperlink" Target="mailto:dstinson@bricker.com" TargetMode="External" /><Relationship Id="rId58" Type="http://schemas.openxmlformats.org/officeDocument/2006/relationships/hyperlink" Target="mailto:mwarnock@bricker.com" TargetMode="External" /><Relationship Id="rId59" Type="http://schemas.openxmlformats.org/officeDocument/2006/relationships/hyperlink" Target="mailto:ktreadway@oneenergyllc.com" TargetMode="External" /><Relationship Id="rId6" Type="http://schemas.openxmlformats.org/officeDocument/2006/relationships/hyperlink" Target="mailto:angela.obrien@occ.ohio.gov" TargetMode="External" /><Relationship Id="rId60" Type="http://schemas.openxmlformats.org/officeDocument/2006/relationships/hyperlink" Target="mailto:mfleisher@dickinsonwright.com" TargetMode="External" /><Relationship Id="rId61" Type="http://schemas.openxmlformats.org/officeDocument/2006/relationships/hyperlink" Target="mailto:mmcdonnell@dickinsonwright.com" TargetMode="External" /><Relationship Id="rId62" Type="http://schemas.openxmlformats.org/officeDocument/2006/relationships/footer" Target="footer4.xml" /><Relationship Id="rId63" Type="http://schemas.openxmlformats.org/officeDocument/2006/relationships/theme" Target="theme/theme1.xml" /><Relationship Id="rId64" Type="http://schemas.openxmlformats.org/officeDocument/2006/relationships/numbering" Target="numbering.xml" /><Relationship Id="rId65" Type="http://schemas.openxmlformats.org/officeDocument/2006/relationships/styles" Target="styles.xml" /><Relationship Id="rId7" Type="http://schemas.openxmlformats.org/officeDocument/2006/relationships/hyperlink" Target="mailto:christopher.healey@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5F60-4AE1-4665-B0F5-599F4E5E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AEP Rate - Intial Brief - 20-585 - Due 6.14 (djd).mrw ls__.docx  -  Read-Only.docx</vt:lpstr>
    </vt:vector>
  </TitlesOfParts>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2021-06-14T19:47:28Z</dcterms:created>
  <dcterms:modified xsi:type="dcterms:W3CDTF">2021-06-14T19:47:28Z</dcterms:modified>
</cp:coreProperties>
</file>