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435AED" w:rsidRPr="0070059A" w:rsidP="00435AED">
      <w:pPr>
        <w:spacing w:after="0" w:line="240" w:lineRule="auto"/>
        <w:jc w:val="center"/>
        <w:rPr>
          <w:rFonts w:cs="Times New Roman"/>
          <w:b/>
          <w:szCs w:val="24"/>
        </w:rPr>
      </w:pPr>
      <w:bookmarkStart w:id="0" w:name="_GoBack"/>
      <w:bookmarkEnd w:id="0"/>
      <w:r w:rsidRPr="0070059A">
        <w:rPr>
          <w:rFonts w:cs="Times New Roman"/>
          <w:b/>
          <w:szCs w:val="24"/>
        </w:rPr>
        <w:t>BEFORE</w:t>
      </w:r>
    </w:p>
    <w:p w:rsidR="00435AED" w:rsidRPr="0070059A" w:rsidP="00435AED">
      <w:pPr>
        <w:spacing w:after="0" w:line="240" w:lineRule="auto"/>
        <w:jc w:val="center"/>
        <w:rPr>
          <w:rFonts w:cs="Times New Roman"/>
          <w:b/>
          <w:szCs w:val="24"/>
        </w:rPr>
      </w:pPr>
      <w:r w:rsidRPr="0070059A">
        <w:rPr>
          <w:rFonts w:cs="Times New Roman"/>
          <w:b/>
          <w:szCs w:val="24"/>
        </w:rPr>
        <w:t>THE PUBLIC UTILITIES COMMISSION OF OHIO</w:t>
      </w:r>
    </w:p>
    <w:p w:rsidR="00435AED" w:rsidP="00435AED">
      <w:pPr>
        <w:spacing w:after="0" w:line="240" w:lineRule="auto"/>
        <w:jc w:val="center"/>
        <w:rPr>
          <w:rFonts w:cs="Times New Roman"/>
          <w:b/>
          <w:szCs w:val="24"/>
        </w:rPr>
      </w:pPr>
    </w:p>
    <w:tbl>
      <w:tblPr>
        <w:tblW w:w="10358" w:type="dxa"/>
        <w:tblInd w:w="0" w:type="dxa"/>
        <w:tblCellMar>
          <w:top w:w="0" w:type="dxa"/>
          <w:left w:w="108" w:type="dxa"/>
          <w:bottom w:w="0" w:type="dxa"/>
          <w:right w:w="108" w:type="dxa"/>
        </w:tblCellMar>
        <w:tblLook w:val="01E0"/>
      </w:tblPr>
      <w:tblGrid>
        <w:gridCol w:w="5238"/>
        <w:gridCol w:w="480"/>
        <w:gridCol w:w="4640"/>
      </w:tblGrid>
      <w:tr w:rsidTr="00435AED">
        <w:tblPrEx>
          <w:tblW w:w="10358" w:type="dxa"/>
          <w:tblInd w:w="0" w:type="dxa"/>
          <w:tblCellMar>
            <w:top w:w="0" w:type="dxa"/>
            <w:left w:w="108" w:type="dxa"/>
            <w:bottom w:w="0" w:type="dxa"/>
            <w:right w:w="108" w:type="dxa"/>
          </w:tblCellMar>
          <w:tblLook w:val="01E0"/>
        </w:tblPrEx>
        <w:trPr>
          <w:trHeight w:val="807"/>
        </w:trPr>
        <w:tc>
          <w:tcPr>
            <w:tcW w:w="5238" w:type="dxa"/>
            <w:shd w:val="clear" w:color="auto" w:fill="auto"/>
          </w:tcPr>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In the Matter of the </w:t>
            </w:r>
            <w:r w:rsidR="00F35146">
              <w:rPr>
                <w:rFonts w:ascii="Times New Roman" w:hAnsi="Times New Roman" w:eastAsiaTheme="minorHAnsi" w:cs="Times New Roman"/>
                <w:sz w:val="24"/>
                <w:szCs w:val="24"/>
                <w:lang w:val="en-US" w:eastAsia="en-US" w:bidi="ar-SA"/>
              </w:rPr>
              <w:t>Commission’s Review of its Rules for Energy Efficiency Programs Contained in Chapter 4901:1-39 of the Ohio Administrative Code</w:t>
            </w:r>
            <w:r w:rsidR="003F016E">
              <w:rPr>
                <w:rFonts w:ascii="Times New Roman" w:hAnsi="Times New Roman" w:eastAsiaTheme="minorHAnsi" w:cs="Times New Roman"/>
                <w:sz w:val="24"/>
                <w:szCs w:val="24"/>
                <w:lang w:val="en-US" w:eastAsia="en-US" w:bidi="ar-SA"/>
              </w:rPr>
              <w:t>.</w:t>
            </w: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In the Matter of the</w:t>
            </w:r>
            <w:r w:rsidR="00F35146">
              <w:rPr>
                <w:rFonts w:ascii="Times New Roman" w:hAnsi="Times New Roman" w:eastAsiaTheme="minorHAnsi" w:cs="Times New Roman"/>
                <w:sz w:val="24"/>
                <w:szCs w:val="24"/>
                <w:lang w:val="en-US" w:eastAsia="en-US" w:bidi="ar-SA"/>
              </w:rPr>
              <w:t xml:space="preserve"> Commission’s Review of its Rules for the Alternative Energy Portfolio Standard Contained in Chapter 4901:1-40 of the Ohio Administrative Code</w:t>
            </w:r>
            <w:r w:rsidRPr="0070059A">
              <w:rPr>
                <w:rFonts w:ascii="Times New Roman" w:hAnsi="Times New Roman" w:eastAsiaTheme="minorHAnsi" w:cs="Times New Roman"/>
                <w:sz w:val="24"/>
                <w:szCs w:val="24"/>
                <w:lang w:val="en-US" w:eastAsia="en-US" w:bidi="ar-SA"/>
              </w:rPr>
              <w:t>.</w:t>
            </w: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In the Matter of the </w:t>
            </w:r>
            <w:r w:rsidR="00F35146">
              <w:rPr>
                <w:rFonts w:ascii="Times New Roman" w:hAnsi="Times New Roman" w:eastAsiaTheme="minorHAnsi" w:cs="Times New Roman"/>
                <w:sz w:val="24"/>
                <w:szCs w:val="24"/>
                <w:lang w:val="en-US" w:eastAsia="en-US" w:bidi="ar-SA"/>
              </w:rPr>
              <w:t>Amendment of Ohio Administrative Code Chapter 4901:1-40, Regarding the Alternative Energy Portfolio Standard, to Implement Am. Sub. S.B. 315</w:t>
            </w:r>
            <w:r w:rsidR="003F016E">
              <w:rPr>
                <w:rFonts w:ascii="Times New Roman" w:hAnsi="Times New Roman" w:eastAsiaTheme="minorHAnsi" w:cs="Times New Roman"/>
                <w:sz w:val="24"/>
                <w:szCs w:val="24"/>
                <w:lang w:val="en-US" w:eastAsia="en-US" w:bidi="ar-SA"/>
              </w:rPr>
              <w:t>.</w:t>
            </w:r>
          </w:p>
        </w:tc>
        <w:tc>
          <w:tcPr>
            <w:tcW w:w="480" w:type="dxa"/>
            <w:shd w:val="clear" w:color="auto" w:fill="auto"/>
          </w:tcPr>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5146"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F35146"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F35146"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F35146"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tc>
        <w:tc>
          <w:tcPr>
            <w:tcW w:w="4640" w:type="dxa"/>
            <w:shd w:val="clear" w:color="auto" w:fill="auto"/>
          </w:tcPr>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Case No. </w:t>
            </w:r>
            <w:r w:rsidR="00F35146">
              <w:rPr>
                <w:rFonts w:ascii="Times New Roman" w:hAnsi="Times New Roman" w:eastAsiaTheme="minorHAnsi" w:cs="Times New Roman"/>
                <w:sz w:val="24"/>
                <w:szCs w:val="24"/>
                <w:lang w:val="en-US" w:eastAsia="en-US" w:bidi="ar-SA"/>
              </w:rPr>
              <w:t>12-2156-EL-ORD</w:t>
            </w: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F35146"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Case No. 1</w:t>
            </w:r>
            <w:r w:rsidR="00F35146">
              <w:rPr>
                <w:rFonts w:ascii="Times New Roman" w:hAnsi="Times New Roman" w:eastAsiaTheme="minorHAnsi" w:cs="Times New Roman"/>
                <w:sz w:val="24"/>
                <w:szCs w:val="24"/>
                <w:lang w:val="en-US" w:eastAsia="en-US" w:bidi="ar-SA"/>
              </w:rPr>
              <w:t>3-</w:t>
            </w:r>
            <w:r w:rsidR="00744D3F">
              <w:rPr>
                <w:rFonts w:ascii="Times New Roman" w:hAnsi="Times New Roman" w:eastAsiaTheme="minorHAnsi" w:cs="Times New Roman"/>
                <w:sz w:val="24"/>
                <w:szCs w:val="24"/>
                <w:lang w:val="en-US" w:eastAsia="en-US" w:bidi="ar-SA"/>
              </w:rPr>
              <w:t>0</w:t>
            </w:r>
            <w:r w:rsidR="00F35146">
              <w:rPr>
                <w:rFonts w:ascii="Times New Roman" w:hAnsi="Times New Roman" w:eastAsiaTheme="minorHAnsi" w:cs="Times New Roman"/>
                <w:sz w:val="24"/>
                <w:szCs w:val="24"/>
                <w:lang w:val="en-US" w:eastAsia="en-US" w:bidi="ar-SA"/>
              </w:rPr>
              <w:t>651-EL-ORD</w:t>
            </w:r>
          </w:p>
          <w:p w:rsidR="00435AED" w:rsidRPr="0070059A"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F35146"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F35146"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Case No. </w:t>
            </w:r>
            <w:r w:rsidR="00F35146">
              <w:rPr>
                <w:rFonts w:ascii="Times New Roman" w:hAnsi="Times New Roman" w:eastAsiaTheme="minorHAnsi" w:cs="Times New Roman"/>
                <w:sz w:val="24"/>
                <w:szCs w:val="24"/>
                <w:lang w:val="en-US" w:eastAsia="en-US" w:bidi="ar-SA"/>
              </w:rPr>
              <w:t>1</w:t>
            </w:r>
            <w:r w:rsidR="003F424C">
              <w:rPr>
                <w:rFonts w:ascii="Times New Roman" w:hAnsi="Times New Roman" w:eastAsiaTheme="minorHAnsi" w:cs="Times New Roman"/>
                <w:sz w:val="24"/>
                <w:szCs w:val="24"/>
                <w:lang w:val="en-US" w:eastAsia="en-US" w:bidi="ar-SA"/>
              </w:rPr>
              <w:t>3</w:t>
            </w:r>
            <w:r w:rsidR="00F35146">
              <w:rPr>
                <w:rFonts w:ascii="Times New Roman" w:hAnsi="Times New Roman" w:eastAsiaTheme="minorHAnsi" w:cs="Times New Roman"/>
                <w:sz w:val="24"/>
                <w:szCs w:val="24"/>
                <w:lang w:val="en-US" w:eastAsia="en-US" w:bidi="ar-SA"/>
              </w:rPr>
              <w:t>-</w:t>
            </w:r>
            <w:r w:rsidR="00744D3F">
              <w:rPr>
                <w:rFonts w:ascii="Times New Roman" w:hAnsi="Times New Roman" w:eastAsiaTheme="minorHAnsi" w:cs="Times New Roman"/>
                <w:sz w:val="24"/>
                <w:szCs w:val="24"/>
                <w:lang w:val="en-US" w:eastAsia="en-US" w:bidi="ar-SA"/>
              </w:rPr>
              <w:t>0</w:t>
            </w:r>
            <w:r w:rsidR="00F35146">
              <w:rPr>
                <w:rFonts w:ascii="Times New Roman" w:hAnsi="Times New Roman" w:eastAsiaTheme="minorHAnsi" w:cs="Times New Roman"/>
                <w:sz w:val="24"/>
                <w:szCs w:val="24"/>
                <w:lang w:val="en-US" w:eastAsia="en-US" w:bidi="ar-SA"/>
              </w:rPr>
              <w:t>652-EL-ORD</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482E4C" w:rsidRPr="00B70844" w:rsidP="00482E4C">
      <w:pPr>
        <w:pBdr>
          <w:bottom w:val="single" w:sz="12" w:space="1" w:color="auto"/>
        </w:pBdr>
        <w:spacing w:after="0" w:line="240" w:lineRule="auto"/>
        <w:rPr>
          <w:sz w:val="18"/>
          <w:szCs w:val="18"/>
        </w:rPr>
      </w:pPr>
    </w:p>
    <w:p w:rsidR="00435AED" w:rsidRPr="006849DE" w:rsidP="0048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cs="Times New Roman"/>
          <w:b/>
          <w:szCs w:val="24"/>
        </w:rPr>
      </w:pPr>
      <w:r w:rsidRPr="006849DE">
        <w:rPr>
          <w:rFonts w:cs="Times New Roman"/>
          <w:b/>
          <w:szCs w:val="24"/>
        </w:rPr>
        <w:t>APPLICATION FOR REHEARING</w:t>
      </w:r>
    </w:p>
    <w:p w:rsidR="00435AED" w:rsidRPr="006849DE" w:rsidP="004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BY</w:t>
      </w:r>
    </w:p>
    <w:p w:rsidR="00435AED" w:rsidRPr="006849DE" w:rsidP="004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cs="Times New Roman"/>
          <w:b/>
          <w:szCs w:val="24"/>
        </w:rPr>
        <w:t>THE OFFICE OF THE OHIO CONSUMERS</w:t>
      </w:r>
      <w:r>
        <w:rPr>
          <w:rFonts w:cs="Times New Roman"/>
          <w:b/>
          <w:szCs w:val="24"/>
        </w:rPr>
        <w:t>'</w:t>
      </w:r>
      <w:r w:rsidRPr="006849DE">
        <w:rPr>
          <w:rFonts w:cs="Times New Roman"/>
          <w:b/>
          <w:szCs w:val="24"/>
        </w:rPr>
        <w:t xml:space="preserve"> COUNSEL</w:t>
      </w:r>
    </w:p>
    <w:p w:rsidR="00435AED" w:rsidRPr="006849DE" w:rsidP="00435AE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435AED" w:rsidP="00435AED">
      <w:pPr>
        <w:spacing w:after="0" w:line="240" w:lineRule="auto"/>
        <w:jc w:val="center"/>
        <w:rPr>
          <w:b/>
        </w:rPr>
      </w:pPr>
    </w:p>
    <w:p w:rsidR="00AA2965" w:rsidP="00482E4C">
      <w:pPr>
        <w:spacing w:after="0" w:line="480" w:lineRule="auto"/>
        <w:ind w:firstLine="720"/>
        <w:sectPr w:rsidSect="00132998">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pPr>
      <w:r>
        <w:t>The Finding and Order</w:t>
      </w:r>
      <w:r>
        <w:rPr>
          <w:rStyle w:val="FootnoteReference"/>
        </w:rPr>
        <w:footnoteReference w:id="2"/>
      </w:r>
      <w:r>
        <w:t xml:space="preserve"> (“Order”) fundamentally alters the way that the Public Utilities Commission of Ohio (“PUCO”) reviews and approves electric distribution utilities’ energy efficiency and peak demand reduction portfolio plans. Some of these changes are welcome changes that benefit consumers. For example, the new rules (i) would prevent utilities from using banked energy savings to charge customers higher profits (shared savings),</w:t>
      </w:r>
      <w:r>
        <w:rPr>
          <w:rStyle w:val="FootnoteReference"/>
        </w:rPr>
        <w:footnoteReference w:id="3"/>
      </w:r>
      <w:r>
        <w:t xml:space="preserve"> (ii) require the Ohio Technical Reference Manual to be updated periodically,</w:t>
      </w:r>
      <w:r>
        <w:rPr>
          <w:rStyle w:val="FootnoteReference"/>
        </w:rPr>
        <w:footnoteReference w:id="4"/>
      </w:r>
      <w:r>
        <w:t xml:space="preserve"> which should provide more accurate counting of energy and demand savings, and (iii) require more frequent independent review of energy efficiency program</w:t>
      </w:r>
    </w:p>
    <w:p w:rsidR="00F35146" w:rsidP="00AA2965">
      <w:pPr>
        <w:spacing w:after="0" w:line="480" w:lineRule="auto"/>
      </w:pPr>
      <w:r>
        <w:t xml:space="preserve"> performance.</w:t>
      </w:r>
      <w:r>
        <w:rPr>
          <w:rStyle w:val="FootnoteReference"/>
        </w:rPr>
        <w:footnoteReference w:id="5"/>
      </w:r>
      <w:r>
        <w:t xml:space="preserve"> The Order also protects customers as it pertains to charges for renewable energy mandates by requiring utilities to demonstrate that their renewable energy charges to customers comply with the statutory 3% cost cap.</w:t>
      </w:r>
      <w:r>
        <w:rPr>
          <w:rStyle w:val="FootnoteReference"/>
        </w:rPr>
        <w:footnoteReference w:id="6"/>
      </w:r>
    </w:p>
    <w:p w:rsidR="00F35146" w:rsidP="00435AED">
      <w:pPr>
        <w:spacing w:after="0" w:line="480" w:lineRule="auto"/>
        <w:ind w:firstLine="720"/>
      </w:pPr>
      <w:r>
        <w:t>At the same time, however, the PUCO should modify the Order (and the corresponding rules) on rehearing to address certain shortcomings in consumer protection</w:t>
      </w:r>
      <w:r w:rsidR="002465ED">
        <w:t xml:space="preserve"> </w:t>
      </w:r>
      <w:r w:rsidR="00BD071E">
        <w:t>for the</w:t>
      </w:r>
      <w:r w:rsidR="00A466E7">
        <w:t xml:space="preserve"> follow</w:t>
      </w:r>
      <w:r w:rsidR="00BD071E">
        <w:t>ing reason</w:t>
      </w:r>
      <w:r w:rsidR="00A466E7">
        <w:t>s:</w:t>
      </w:r>
    </w:p>
    <w:p w:rsidR="00F24E5F" w:rsidP="00AA2965">
      <w:pPr>
        <w:pStyle w:val="ListParagraph"/>
        <w:numPr>
          <w:ilvl w:val="0"/>
          <w:numId w:val="47"/>
        </w:numPr>
        <w:spacing w:after="240" w:line="240" w:lineRule="auto"/>
        <w:ind w:right="720" w:hanging="720"/>
      </w:pPr>
      <w:r>
        <w:t xml:space="preserve">The Order is </w:t>
      </w:r>
      <w:r w:rsidR="00435AED">
        <w:t xml:space="preserve">unlawful and </w:t>
      </w:r>
      <w:r>
        <w:t>unreasonable because it eliminates the PUCO’s process of approving energy efficiency programs in advance</w:t>
      </w:r>
      <w:r w:rsidR="00435AED">
        <w:t>,</w:t>
      </w:r>
      <w:r>
        <w:t xml:space="preserve"> does not allow for meaningful stakeholder participation in energy efficiency proceedings</w:t>
      </w:r>
      <w:r w:rsidR="00435AED">
        <w:t>, and allows utilities to charge customers any amount they want, in any manner they want, without PUCO approval, in violation of R.C. 4905.22</w:t>
      </w:r>
      <w:r>
        <w:t>.</w:t>
      </w:r>
    </w:p>
    <w:p w:rsidR="00000261" w:rsidP="00000261">
      <w:pPr>
        <w:spacing w:after="0" w:line="480" w:lineRule="auto"/>
        <w:ind w:firstLine="720"/>
      </w:pPr>
      <w:r>
        <w:t>The Ohio Consumers’ Counsel (“OCC”)</w:t>
      </w:r>
      <w:r w:rsidR="007C4B50">
        <w:t xml:space="preserve"> respectfully requests that the PUCO grant this application for rehearing and modify the Order and corresponding rules consistent with OCC’s recommendations.</w:t>
      </w:r>
    </w:p>
    <w:p w:rsidR="00435AED" w:rsidRPr="00A4515D" w:rsidP="00F03D72">
      <w:pPr>
        <w:spacing w:after="0" w:line="480" w:lineRule="auto"/>
        <w:ind w:left="3600"/>
        <w:rPr>
          <w:rFonts w:eastAsia="Times New Roman" w:cs="Times New Roman"/>
          <w:szCs w:val="24"/>
        </w:rPr>
      </w:pPr>
      <w:r w:rsidRPr="00A4515D">
        <w:rPr>
          <w:rFonts w:eastAsia="Times New Roman" w:cs="Times New Roman"/>
          <w:szCs w:val="24"/>
        </w:rPr>
        <w:t>Respectfully submitted,</w:t>
      </w:r>
    </w:p>
    <w:p w:rsidR="00435AED" w:rsidRPr="0070059A" w:rsidP="00F03D72">
      <w:pPr>
        <w:spacing w:after="0" w:line="240" w:lineRule="auto"/>
        <w:ind w:left="3600"/>
        <w:rPr>
          <w:rFonts w:eastAsiaTheme="minorEastAsia" w:cs="Times New Roman"/>
          <w:szCs w:val="24"/>
        </w:rPr>
      </w:pPr>
      <w:r>
        <w:rPr>
          <w:rFonts w:eastAsiaTheme="minorEastAsia" w:cs="Times New Roman"/>
          <w:szCs w:val="24"/>
        </w:rPr>
        <w:t>Bruce Weston</w:t>
      </w:r>
      <w:r w:rsidRPr="0070059A">
        <w:rPr>
          <w:rFonts w:eastAsiaTheme="minorEastAsia" w:cs="Times New Roman"/>
          <w:szCs w:val="24"/>
        </w:rPr>
        <w:t xml:space="preserve"> (0016973)</w:t>
      </w:r>
    </w:p>
    <w:p w:rsidR="00435AED" w:rsidRPr="0070059A" w:rsidP="00F03D72">
      <w:pPr>
        <w:spacing w:after="0" w:line="240" w:lineRule="auto"/>
        <w:ind w:left="3600"/>
        <w:rPr>
          <w:rFonts w:eastAsiaTheme="minorEastAsia" w:cs="Times New Roman"/>
          <w:szCs w:val="24"/>
        </w:rPr>
      </w:pPr>
      <w:r>
        <w:rPr>
          <w:rFonts w:eastAsiaTheme="minorEastAsia" w:cs="Times New Roman"/>
          <w:szCs w:val="24"/>
        </w:rPr>
        <w:t>Ohio Consumers’ Counsel</w:t>
      </w:r>
    </w:p>
    <w:p w:rsidR="00435AED" w:rsidRPr="00AA2965" w:rsidP="00435AED">
      <w:pPr>
        <w:spacing w:after="0" w:line="240" w:lineRule="auto"/>
        <w:ind w:firstLine="4320"/>
        <w:rPr>
          <w:rFonts w:eastAsiaTheme="minorEastAsia" w:cs="Times New Roman"/>
          <w:sz w:val="12"/>
          <w:szCs w:val="12"/>
        </w:rPr>
      </w:pPr>
    </w:p>
    <w:p w:rsidR="00435AED" w:rsidRPr="0070059A" w:rsidP="00F03D72">
      <w:pPr>
        <w:spacing w:after="0" w:line="240" w:lineRule="auto"/>
        <w:ind w:left="3600"/>
        <w:rPr>
          <w:rFonts w:eastAsiaTheme="minorEastAsia" w:cs="Times New Roman"/>
          <w:szCs w:val="24"/>
        </w:rPr>
      </w:pPr>
      <w:r>
        <w:rPr>
          <w:rFonts w:eastAsiaTheme="minorEastAsia" w:cs="Times New Roman"/>
          <w:szCs w:val="24"/>
          <w:u w:val="single"/>
        </w:rPr>
        <w:t xml:space="preserve">/s/ </w:t>
      </w:r>
      <w:r>
        <w:rPr>
          <w:rFonts w:eastAsiaTheme="minorEastAsia" w:cs="Times New Roman"/>
          <w:i/>
          <w:szCs w:val="24"/>
          <w:u w:val="single"/>
        </w:rPr>
        <w:t>Christopher Healey</w:t>
      </w:r>
      <w:r>
        <w:rPr>
          <w:rFonts w:eastAsiaTheme="minorEastAsia" w:cs="Times New Roman"/>
          <w:szCs w:val="24"/>
          <w:u w:val="single"/>
        </w:rPr>
        <w:tab/>
      </w:r>
    </w:p>
    <w:p w:rsidR="00AA2965" w:rsidP="00F03D72">
      <w:pPr>
        <w:spacing w:after="0" w:line="240" w:lineRule="auto"/>
        <w:ind w:left="3600"/>
        <w:rPr>
          <w:rFonts w:eastAsiaTheme="minorEastAsia" w:cs="Times New Roman"/>
          <w:szCs w:val="24"/>
        </w:rPr>
      </w:pPr>
      <w:r w:rsidRPr="0070059A">
        <w:rPr>
          <w:rFonts w:eastAsiaTheme="minorEastAsia" w:cs="Times New Roman"/>
          <w:szCs w:val="24"/>
        </w:rPr>
        <w:t>Christopher Healey (0086027)</w:t>
      </w:r>
    </w:p>
    <w:p w:rsidR="00435AED" w:rsidRPr="0070059A" w:rsidP="00F03D72">
      <w:pPr>
        <w:spacing w:after="0" w:line="240" w:lineRule="auto"/>
        <w:ind w:left="3600"/>
        <w:rPr>
          <w:rFonts w:eastAsiaTheme="minorEastAsia" w:cs="Times New Roman"/>
          <w:szCs w:val="24"/>
        </w:rPr>
      </w:pPr>
      <w:r>
        <w:rPr>
          <w:rFonts w:eastAsiaTheme="minorEastAsia" w:cs="Times New Roman"/>
          <w:szCs w:val="24"/>
        </w:rPr>
        <w:t>Counsel of Record</w:t>
      </w:r>
    </w:p>
    <w:p w:rsidR="0043343E" w:rsidRPr="0070059A" w:rsidP="00F03D72">
      <w:pPr>
        <w:spacing w:after="0" w:line="240" w:lineRule="auto"/>
        <w:ind w:left="3600"/>
        <w:rPr>
          <w:rFonts w:eastAsiaTheme="minorEastAsia" w:cs="Times New Roman"/>
          <w:szCs w:val="24"/>
        </w:rPr>
      </w:pPr>
      <w:r w:rsidRPr="0070059A">
        <w:rPr>
          <w:rFonts w:eastAsiaTheme="minorEastAsia" w:cs="Times New Roman"/>
          <w:szCs w:val="24"/>
        </w:rPr>
        <w:t>Terry L. Etter (0067445)</w:t>
      </w:r>
    </w:p>
    <w:p w:rsidR="00435AED" w:rsidP="00F03D72">
      <w:pPr>
        <w:spacing w:after="0" w:line="240" w:lineRule="auto"/>
        <w:ind w:left="3600"/>
        <w:rPr>
          <w:rFonts w:eastAsiaTheme="minorEastAsia" w:cs="Times New Roman"/>
          <w:szCs w:val="24"/>
        </w:rPr>
      </w:pPr>
      <w:r>
        <w:rPr>
          <w:rFonts w:eastAsiaTheme="minorEastAsia" w:cs="Times New Roman"/>
          <w:szCs w:val="24"/>
        </w:rPr>
        <w:t>Assistant Consumers’ Counsel</w:t>
      </w:r>
    </w:p>
    <w:p w:rsidR="0043343E" w:rsidRPr="00AA2965" w:rsidP="00435AED">
      <w:pPr>
        <w:spacing w:after="0" w:line="240" w:lineRule="auto"/>
        <w:ind w:firstLine="4320"/>
        <w:rPr>
          <w:rFonts w:eastAsiaTheme="minorEastAsia" w:cs="Times New Roman"/>
          <w:sz w:val="12"/>
          <w:szCs w:val="12"/>
        </w:rPr>
      </w:pPr>
    </w:p>
    <w:p w:rsidR="00435AED" w:rsidRPr="0070059A" w:rsidP="00F03D72">
      <w:pPr>
        <w:spacing w:after="0" w:line="240" w:lineRule="auto"/>
        <w:ind w:left="3600"/>
        <w:rPr>
          <w:rFonts w:eastAsiaTheme="minorEastAsia" w:cs="Times New Roman"/>
          <w:b/>
          <w:szCs w:val="24"/>
        </w:rPr>
      </w:pPr>
      <w:r w:rsidRPr="0070059A">
        <w:rPr>
          <w:rFonts w:eastAsiaTheme="minorEastAsia" w:cs="Times New Roman"/>
          <w:b/>
          <w:szCs w:val="24"/>
        </w:rPr>
        <w:t>Office of the Ohio Consumers</w:t>
      </w:r>
      <w:r>
        <w:rPr>
          <w:rFonts w:eastAsiaTheme="minorEastAsia" w:cs="Times New Roman"/>
          <w:b/>
          <w:szCs w:val="24"/>
        </w:rPr>
        <w:t>’</w:t>
      </w:r>
      <w:r w:rsidRPr="0070059A">
        <w:rPr>
          <w:rFonts w:eastAsiaTheme="minorEastAsia" w:cs="Times New Roman"/>
          <w:b/>
          <w:szCs w:val="24"/>
        </w:rPr>
        <w:t xml:space="preserve"> Counsel</w:t>
      </w:r>
    </w:p>
    <w:p w:rsidR="00435AED" w:rsidRPr="0070059A" w:rsidP="00F03D72">
      <w:pPr>
        <w:spacing w:after="0" w:line="240" w:lineRule="auto"/>
        <w:ind w:left="3600"/>
        <w:rPr>
          <w:rFonts w:eastAsiaTheme="minorEastAsia" w:cs="Times New Roman"/>
          <w:szCs w:val="24"/>
        </w:rPr>
      </w:pPr>
      <w:r w:rsidRPr="0070059A">
        <w:rPr>
          <w:rFonts w:eastAsiaTheme="minorEastAsia" w:cs="Times New Roman"/>
          <w:szCs w:val="24"/>
        </w:rPr>
        <w:t>65 East State Street, 7th Floor</w:t>
      </w:r>
    </w:p>
    <w:p w:rsidR="00435AED" w:rsidRPr="0070059A" w:rsidP="00F03D72">
      <w:pPr>
        <w:spacing w:after="0" w:line="240" w:lineRule="auto"/>
        <w:ind w:left="3600"/>
        <w:rPr>
          <w:rFonts w:eastAsiaTheme="minorEastAsia" w:cs="Times New Roman"/>
          <w:szCs w:val="24"/>
        </w:rPr>
      </w:pPr>
      <w:r w:rsidRPr="0070059A">
        <w:rPr>
          <w:rFonts w:eastAsiaTheme="minorEastAsia" w:cs="Times New Roman"/>
          <w:szCs w:val="24"/>
        </w:rPr>
        <w:t>Columbus, Ohio 43215</w:t>
      </w:r>
      <w:r>
        <w:rPr>
          <w:rFonts w:eastAsiaTheme="minorEastAsia" w:cs="Times New Roman"/>
          <w:szCs w:val="24"/>
        </w:rPr>
        <w:t>-4213</w:t>
      </w:r>
    </w:p>
    <w:p w:rsidR="00435AED" w:rsidRPr="0070059A" w:rsidP="00F03D72">
      <w:pPr>
        <w:spacing w:after="0" w:line="240" w:lineRule="auto"/>
        <w:ind w:left="3600"/>
        <w:rPr>
          <w:rFonts w:eastAsiaTheme="minorEastAsia" w:cs="Times New Roman"/>
          <w:szCs w:val="24"/>
        </w:rPr>
      </w:pPr>
      <w:r w:rsidRPr="0070059A">
        <w:rPr>
          <w:rFonts w:eastAsiaTheme="minorEastAsia" w:cs="Times New Roman"/>
          <w:szCs w:val="24"/>
        </w:rPr>
        <w:t>Telephone [Healey]: 614-466-9571</w:t>
      </w:r>
    </w:p>
    <w:p w:rsidR="0043343E" w:rsidRPr="0077744E" w:rsidP="00F03D72">
      <w:pPr>
        <w:spacing w:after="0" w:line="240" w:lineRule="auto"/>
        <w:ind w:left="3600"/>
        <w:rPr>
          <w:rFonts w:eastAsiaTheme="minorEastAsia" w:cs="Times New Roman"/>
          <w:szCs w:val="24"/>
        </w:rPr>
      </w:pPr>
      <w:r w:rsidRPr="0070059A">
        <w:rPr>
          <w:rFonts w:eastAsiaTheme="minorEastAsia" w:cs="Times New Roman"/>
          <w:szCs w:val="24"/>
        </w:rPr>
        <w:t>Telephone [Etter]: 614-466</w:t>
      </w:r>
      <w:r w:rsidRPr="0077744E">
        <w:rPr>
          <w:rFonts w:eastAsiaTheme="minorEastAsia" w:cs="Times New Roman"/>
          <w:szCs w:val="24"/>
        </w:rPr>
        <w:t>-7964</w:t>
      </w:r>
    </w:p>
    <w:p w:rsidR="00435AED" w:rsidRPr="00384E27" w:rsidP="00F03D72">
      <w:pPr>
        <w:spacing w:after="0" w:line="240" w:lineRule="auto"/>
        <w:ind w:left="3600"/>
        <w:rPr>
          <w:rStyle w:val="Hyperlink"/>
          <w:rFonts w:eastAsiaTheme="minorEastAsia"/>
          <w:color w:val="auto"/>
          <w:u w:val="none"/>
        </w:rPr>
      </w:pPr>
      <w:r w:rsidRPr="00384E27">
        <w:rPr>
          <w:rFonts w:eastAsiaTheme="minorEastAsia" w:cs="Times New Roman"/>
          <w:szCs w:val="24"/>
        </w:rPr>
        <w:t xml:space="preserve">christopher.healey@occ.ohio.gov </w:t>
      </w:r>
    </w:p>
    <w:p w:rsidR="0043343E" w:rsidRPr="00384E27" w:rsidP="00F03D72">
      <w:pPr>
        <w:spacing w:after="0" w:line="240" w:lineRule="auto"/>
        <w:ind w:left="3600"/>
        <w:rPr>
          <w:rStyle w:val="Hyperlink"/>
          <w:rFonts w:eastAsiaTheme="minorEastAsia"/>
          <w:color w:val="auto"/>
          <w:u w:val="none"/>
        </w:rPr>
      </w:pPr>
      <w:r w:rsidRPr="00384E27">
        <w:rPr>
          <w:rFonts w:eastAsiaTheme="minorEastAsia" w:cs="Times New Roman"/>
          <w:szCs w:val="24"/>
        </w:rPr>
        <w:t xml:space="preserve">terry.etter@occ.ohio.gov </w:t>
      </w:r>
    </w:p>
    <w:p w:rsidR="00435AED" w:rsidRPr="0077744E" w:rsidP="00F03D72">
      <w:pPr>
        <w:spacing w:after="0" w:line="240" w:lineRule="auto"/>
        <w:ind w:left="3600"/>
        <w:rPr>
          <w:szCs w:val="24"/>
        </w:rPr>
      </w:pPr>
      <w:r w:rsidRPr="0077744E">
        <w:rPr>
          <w:rStyle w:val="Hyperlink"/>
          <w:rFonts w:eastAsiaTheme="minorEastAsia"/>
          <w:color w:val="auto"/>
          <w:u w:val="none"/>
        </w:rPr>
        <w:t>(</w:t>
      </w:r>
      <w:r w:rsidR="00AA2965">
        <w:rPr>
          <w:rStyle w:val="Hyperlink"/>
          <w:rFonts w:eastAsiaTheme="minorEastAsia"/>
          <w:color w:val="auto"/>
          <w:u w:val="none"/>
        </w:rPr>
        <w:t>will accept service via email</w:t>
      </w:r>
      <w:r w:rsidRPr="0077744E">
        <w:rPr>
          <w:rStyle w:val="Hyperlink"/>
          <w:rFonts w:eastAsiaTheme="minorEastAsia"/>
          <w:color w:val="auto"/>
          <w:u w:val="none"/>
        </w:rPr>
        <w:t>)</w:t>
      </w:r>
    </w:p>
    <w:p w:rsidR="00AA2965" w:rsidP="003F424C">
      <w:pPr>
        <w:spacing w:after="0" w:line="240" w:lineRule="auto"/>
        <w:jc w:val="center"/>
        <w:rPr>
          <w:rFonts w:cs="Times New Roman"/>
          <w:b/>
          <w:szCs w:val="24"/>
        </w:rPr>
        <w:sectPr w:rsidSect="00AA2965">
          <w:footerReference w:type="default" r:id="rId11"/>
          <w:pgSz w:w="12240" w:h="15840"/>
          <w:pgMar w:top="1440" w:right="1800" w:bottom="1440" w:left="1800" w:header="720" w:footer="720" w:gutter="0"/>
          <w:cols w:space="720"/>
          <w:docGrid w:linePitch="360"/>
        </w:sectPr>
      </w:pPr>
    </w:p>
    <w:p w:rsidR="003F424C" w:rsidRPr="0070059A" w:rsidP="003F424C">
      <w:pPr>
        <w:spacing w:after="0" w:line="240" w:lineRule="auto"/>
        <w:jc w:val="center"/>
        <w:rPr>
          <w:rFonts w:cs="Times New Roman"/>
          <w:b/>
          <w:szCs w:val="24"/>
        </w:rPr>
      </w:pPr>
      <w:r w:rsidRPr="0070059A">
        <w:rPr>
          <w:rFonts w:cs="Times New Roman"/>
          <w:b/>
          <w:szCs w:val="24"/>
        </w:rPr>
        <w:t>BEFORE</w:t>
      </w:r>
    </w:p>
    <w:p w:rsidR="003F424C" w:rsidRPr="0070059A" w:rsidP="003F424C">
      <w:pPr>
        <w:spacing w:after="0" w:line="240" w:lineRule="auto"/>
        <w:jc w:val="center"/>
        <w:rPr>
          <w:rFonts w:cs="Times New Roman"/>
          <w:b/>
          <w:szCs w:val="24"/>
        </w:rPr>
      </w:pPr>
      <w:r w:rsidRPr="0070059A">
        <w:rPr>
          <w:rFonts w:cs="Times New Roman"/>
          <w:b/>
          <w:szCs w:val="24"/>
        </w:rPr>
        <w:t>THE PUBLIC UTILITIES COMMISSION OF OHIO</w:t>
      </w:r>
    </w:p>
    <w:p w:rsidR="003F424C" w:rsidP="003F424C">
      <w:pPr>
        <w:spacing w:after="0" w:line="240" w:lineRule="auto"/>
        <w:jc w:val="center"/>
        <w:rPr>
          <w:rFonts w:cs="Times New Roman"/>
          <w:b/>
          <w:szCs w:val="24"/>
        </w:rPr>
      </w:pPr>
    </w:p>
    <w:tbl>
      <w:tblPr>
        <w:tblW w:w="10358" w:type="dxa"/>
        <w:tblInd w:w="0" w:type="dxa"/>
        <w:tblCellMar>
          <w:top w:w="0" w:type="dxa"/>
          <w:left w:w="108" w:type="dxa"/>
          <w:bottom w:w="0" w:type="dxa"/>
          <w:right w:w="108" w:type="dxa"/>
        </w:tblCellMar>
        <w:tblLook w:val="01E0"/>
      </w:tblPr>
      <w:tblGrid>
        <w:gridCol w:w="5238"/>
        <w:gridCol w:w="480"/>
        <w:gridCol w:w="4640"/>
      </w:tblGrid>
      <w:tr w:rsidTr="00435AED">
        <w:tblPrEx>
          <w:tblW w:w="10358" w:type="dxa"/>
          <w:tblInd w:w="0" w:type="dxa"/>
          <w:tblCellMar>
            <w:top w:w="0" w:type="dxa"/>
            <w:left w:w="108" w:type="dxa"/>
            <w:bottom w:w="0" w:type="dxa"/>
            <w:right w:w="108" w:type="dxa"/>
          </w:tblCellMar>
          <w:tblLook w:val="01E0"/>
        </w:tblPrEx>
        <w:trPr>
          <w:trHeight w:val="807"/>
        </w:trPr>
        <w:tc>
          <w:tcPr>
            <w:tcW w:w="5238" w:type="dxa"/>
            <w:shd w:val="clear" w:color="auto" w:fill="auto"/>
          </w:tcPr>
          <w:p w:rsidR="003F424C"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In the Matter of the </w:t>
            </w:r>
            <w:r>
              <w:rPr>
                <w:rFonts w:ascii="Times New Roman" w:hAnsi="Times New Roman" w:eastAsiaTheme="minorHAnsi" w:cs="Times New Roman"/>
                <w:sz w:val="24"/>
                <w:szCs w:val="24"/>
                <w:lang w:val="en-US" w:eastAsia="en-US" w:bidi="ar-SA"/>
              </w:rPr>
              <w:t>Commission’s Review of its Rules for Energy Efficiency Programs Contained in Chapter 4901:1-39 of the Ohio Administrative Code</w:t>
            </w:r>
            <w:r w:rsidR="003F016E">
              <w:rPr>
                <w:rFonts w:ascii="Times New Roman" w:hAnsi="Times New Roman" w:eastAsiaTheme="minorHAnsi" w:cs="Times New Roman"/>
                <w:sz w:val="24"/>
                <w:szCs w:val="24"/>
                <w:lang w:val="en-US" w:eastAsia="en-US" w:bidi="ar-SA"/>
              </w:rPr>
              <w:t>.</w:t>
            </w:r>
          </w:p>
          <w:p w:rsidR="003F424C"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3F424C"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In the Matter of the</w:t>
            </w:r>
            <w:r>
              <w:rPr>
                <w:rFonts w:ascii="Times New Roman" w:hAnsi="Times New Roman" w:eastAsiaTheme="minorHAnsi" w:cs="Times New Roman"/>
                <w:sz w:val="24"/>
                <w:szCs w:val="24"/>
                <w:lang w:val="en-US" w:eastAsia="en-US" w:bidi="ar-SA"/>
              </w:rPr>
              <w:t xml:space="preserve"> Commission’s Review of its Rules for the Alternative Energy Portfolio Standard Contained in Chapter 4901:1-40 of the Ohio Administrative Code</w:t>
            </w:r>
            <w:r w:rsidRPr="0070059A">
              <w:rPr>
                <w:rFonts w:ascii="Times New Roman" w:hAnsi="Times New Roman" w:eastAsiaTheme="minorHAnsi" w:cs="Times New Roman"/>
                <w:sz w:val="24"/>
                <w:szCs w:val="24"/>
                <w:lang w:val="en-US" w:eastAsia="en-US" w:bidi="ar-SA"/>
              </w:rPr>
              <w:t>.</w:t>
            </w:r>
          </w:p>
          <w:p w:rsidR="003F424C"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3F424C"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In the Matter of the </w:t>
            </w:r>
            <w:r>
              <w:rPr>
                <w:rFonts w:ascii="Times New Roman" w:hAnsi="Times New Roman" w:eastAsiaTheme="minorHAnsi" w:cs="Times New Roman"/>
                <w:sz w:val="24"/>
                <w:szCs w:val="24"/>
                <w:lang w:val="en-US" w:eastAsia="en-US" w:bidi="ar-SA"/>
              </w:rPr>
              <w:t>Amendment of Ohio Administrative Code Chapter 4901:1-40, Regarding the Alternative Energy Portfolio Standard, to Implement Am. Sub. S.B. 315</w:t>
            </w:r>
            <w:r w:rsidR="003F016E">
              <w:rPr>
                <w:rFonts w:ascii="Times New Roman" w:hAnsi="Times New Roman" w:eastAsiaTheme="minorHAnsi" w:cs="Times New Roman"/>
                <w:sz w:val="24"/>
                <w:szCs w:val="24"/>
                <w:lang w:val="en-US" w:eastAsia="en-US" w:bidi="ar-SA"/>
              </w:rPr>
              <w:t>.</w:t>
            </w:r>
          </w:p>
        </w:tc>
        <w:tc>
          <w:tcPr>
            <w:tcW w:w="480" w:type="dxa"/>
            <w:shd w:val="clear" w:color="auto" w:fill="auto"/>
          </w:tcPr>
          <w:p w:rsidR="003F424C"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3F424C"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3F424C"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3F424C"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3F424C"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F424C"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3F424C"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3F424C"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3F424C"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3F424C"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F424C"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3F424C"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3F424C"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3F424C"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tc>
        <w:tc>
          <w:tcPr>
            <w:tcW w:w="4640" w:type="dxa"/>
            <w:shd w:val="clear" w:color="auto" w:fill="auto"/>
          </w:tcPr>
          <w:p w:rsidR="003F424C"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3F424C"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Case No. </w:t>
            </w:r>
            <w:r>
              <w:rPr>
                <w:rFonts w:ascii="Times New Roman" w:hAnsi="Times New Roman" w:eastAsiaTheme="minorHAnsi" w:cs="Times New Roman"/>
                <w:sz w:val="24"/>
                <w:szCs w:val="24"/>
                <w:lang w:val="en-US" w:eastAsia="en-US" w:bidi="ar-SA"/>
              </w:rPr>
              <w:t>12-2156-EL-ORD</w:t>
            </w:r>
          </w:p>
          <w:p w:rsidR="003F424C"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3F424C"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3F424C"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3F424C"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3F424C"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Case No. 1</w:t>
            </w:r>
            <w:r>
              <w:rPr>
                <w:rFonts w:ascii="Times New Roman" w:hAnsi="Times New Roman" w:eastAsiaTheme="minorHAnsi" w:cs="Times New Roman"/>
                <w:sz w:val="24"/>
                <w:szCs w:val="24"/>
                <w:lang w:val="en-US" w:eastAsia="en-US" w:bidi="ar-SA"/>
              </w:rPr>
              <w:t>3-</w:t>
            </w:r>
            <w:r w:rsidR="00333B55">
              <w:rPr>
                <w:rFonts w:ascii="Times New Roman" w:hAnsi="Times New Roman" w:eastAsiaTheme="minorHAnsi" w:cs="Times New Roman"/>
                <w:sz w:val="24"/>
                <w:szCs w:val="24"/>
                <w:lang w:val="en-US" w:eastAsia="en-US" w:bidi="ar-SA"/>
              </w:rPr>
              <w:t>0</w:t>
            </w:r>
            <w:r>
              <w:rPr>
                <w:rFonts w:ascii="Times New Roman" w:hAnsi="Times New Roman" w:eastAsiaTheme="minorHAnsi" w:cs="Times New Roman"/>
                <w:sz w:val="24"/>
                <w:szCs w:val="24"/>
                <w:lang w:val="en-US" w:eastAsia="en-US" w:bidi="ar-SA"/>
              </w:rPr>
              <w:t>651-EL-ORD</w:t>
            </w:r>
          </w:p>
          <w:p w:rsidR="003F424C" w:rsidRPr="0070059A"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3F424C" w:rsidRPr="0070059A"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3F424C"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3F424C"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3F424C" w:rsidRPr="0070059A" w:rsidP="00435AED">
            <w:pPr>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Case No. </w:t>
            </w:r>
            <w:r>
              <w:rPr>
                <w:rFonts w:ascii="Times New Roman" w:hAnsi="Times New Roman" w:eastAsiaTheme="minorHAnsi" w:cs="Times New Roman"/>
                <w:sz w:val="24"/>
                <w:szCs w:val="24"/>
                <w:lang w:val="en-US" w:eastAsia="en-US" w:bidi="ar-SA"/>
              </w:rPr>
              <w:t>13-</w:t>
            </w:r>
            <w:r w:rsidR="00333B55">
              <w:rPr>
                <w:rFonts w:ascii="Times New Roman" w:hAnsi="Times New Roman" w:eastAsiaTheme="minorHAnsi" w:cs="Times New Roman"/>
                <w:sz w:val="24"/>
                <w:szCs w:val="24"/>
                <w:lang w:val="en-US" w:eastAsia="en-US" w:bidi="ar-SA"/>
              </w:rPr>
              <w:t>0</w:t>
            </w:r>
            <w:r>
              <w:rPr>
                <w:rFonts w:ascii="Times New Roman" w:hAnsi="Times New Roman" w:eastAsiaTheme="minorHAnsi" w:cs="Times New Roman"/>
                <w:sz w:val="24"/>
                <w:szCs w:val="24"/>
                <w:lang w:val="en-US" w:eastAsia="en-US" w:bidi="ar-SA"/>
              </w:rPr>
              <w:t>652-EL-ORD</w:t>
            </w:r>
          </w:p>
          <w:p w:rsidR="003F424C"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506362" w:rsidRPr="00B70844" w:rsidP="00506362">
      <w:pPr>
        <w:pBdr>
          <w:bottom w:val="single" w:sz="12" w:space="1" w:color="auto"/>
        </w:pBdr>
        <w:spacing w:after="120" w:line="240" w:lineRule="auto"/>
        <w:rPr>
          <w:sz w:val="18"/>
          <w:szCs w:val="18"/>
        </w:rPr>
      </w:pPr>
    </w:p>
    <w:p w:rsidR="00435AED" w:rsidRPr="006849DE" w:rsidP="004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Pr>
          <w:rFonts w:cs="Times New Roman"/>
          <w:b/>
          <w:szCs w:val="24"/>
        </w:rPr>
        <w:t>MEMORANDUM IN SUPPORT</w:t>
      </w:r>
    </w:p>
    <w:p w:rsidR="00435AED" w:rsidRPr="006849DE" w:rsidP="00435AE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AA2965" w:rsidP="00AA2965">
      <w:pPr>
        <w:spacing w:after="0" w:line="240" w:lineRule="auto"/>
      </w:pPr>
    </w:p>
    <w:p w:rsidR="00435AED" w:rsidRPr="00D27BBC" w:rsidP="00AA2965">
      <w:pPr>
        <w:pStyle w:val="Heading1"/>
        <w:numPr>
          <w:ilvl w:val="0"/>
          <w:numId w:val="0"/>
        </w:numPr>
        <w:ind w:left="720" w:hanging="720"/>
      </w:pPr>
      <w:r>
        <w:t>I.</w:t>
      </w:r>
      <w:r>
        <w:tab/>
        <w:t>INTRODUCTION</w:t>
      </w:r>
    </w:p>
    <w:p w:rsidR="005C4A6D" w:rsidP="00435AED">
      <w:pPr>
        <w:spacing w:after="0" w:line="480" w:lineRule="auto"/>
        <w:ind w:firstLine="720"/>
        <w:rPr>
          <w:rFonts w:eastAsia="Times New Roman" w:cs="Times New Roman"/>
          <w:szCs w:val="24"/>
        </w:rPr>
      </w:pPr>
      <w:r>
        <w:rPr>
          <w:rFonts w:eastAsia="Times New Roman" w:cs="Times New Roman"/>
          <w:szCs w:val="24"/>
        </w:rPr>
        <w:t xml:space="preserve">Ohio’s electric utility consumers </w:t>
      </w:r>
      <w:r w:rsidR="003F424C">
        <w:rPr>
          <w:rFonts w:eastAsia="Times New Roman" w:cs="Times New Roman"/>
          <w:szCs w:val="24"/>
        </w:rPr>
        <w:t>pay hundreds of millions of dollars each year to their electric distribution utilities for energy efficiency and peak demand reduction programs.</w:t>
      </w:r>
      <w:r>
        <w:rPr>
          <w:rStyle w:val="FootnoteReference"/>
          <w:rFonts w:eastAsia="Times New Roman" w:cs="Times New Roman"/>
          <w:szCs w:val="24"/>
        </w:rPr>
        <w:footnoteReference w:id="7"/>
      </w:r>
      <w:r w:rsidR="003F424C">
        <w:rPr>
          <w:rFonts w:eastAsia="Times New Roman" w:cs="Times New Roman"/>
          <w:szCs w:val="24"/>
        </w:rPr>
        <w:t xml:space="preserve"> These charges include the administrative costs of running the programs</w:t>
      </w:r>
      <w:r w:rsidR="00930756">
        <w:rPr>
          <w:rFonts w:eastAsia="Times New Roman" w:cs="Times New Roman"/>
          <w:szCs w:val="24"/>
        </w:rPr>
        <w:t>;</w:t>
      </w:r>
      <w:r w:rsidR="003F424C">
        <w:rPr>
          <w:rFonts w:eastAsia="Times New Roman" w:cs="Times New Roman"/>
          <w:szCs w:val="24"/>
        </w:rPr>
        <w:t xml:space="preserve"> program marketing costs</w:t>
      </w:r>
      <w:r w:rsidR="00930756">
        <w:rPr>
          <w:rFonts w:eastAsia="Times New Roman" w:cs="Times New Roman"/>
          <w:szCs w:val="24"/>
        </w:rPr>
        <w:t>;</w:t>
      </w:r>
      <w:r w:rsidR="003F424C">
        <w:rPr>
          <w:rFonts w:eastAsia="Times New Roman" w:cs="Times New Roman"/>
          <w:szCs w:val="24"/>
        </w:rPr>
        <w:t xml:space="preserve"> rebates to customers</w:t>
      </w:r>
      <w:r w:rsidR="00930756">
        <w:rPr>
          <w:rFonts w:eastAsia="Times New Roman" w:cs="Times New Roman"/>
          <w:szCs w:val="24"/>
        </w:rPr>
        <w:t>;</w:t>
      </w:r>
      <w:r>
        <w:rPr>
          <w:rFonts w:eastAsia="Times New Roman" w:cs="Times New Roman"/>
          <w:szCs w:val="24"/>
        </w:rPr>
        <w:t xml:space="preserve"> </w:t>
      </w:r>
      <w:r w:rsidR="003F424C">
        <w:rPr>
          <w:rFonts w:eastAsia="Times New Roman" w:cs="Times New Roman"/>
          <w:szCs w:val="24"/>
        </w:rPr>
        <w:t xml:space="preserve">and </w:t>
      </w:r>
      <w:r w:rsidR="00930756">
        <w:rPr>
          <w:rFonts w:eastAsia="Times New Roman" w:cs="Times New Roman"/>
          <w:szCs w:val="24"/>
        </w:rPr>
        <w:t>“shared savings,” which is another way of saying utility profits.</w:t>
      </w:r>
      <w:r>
        <w:rPr>
          <w:rFonts w:eastAsia="Times New Roman" w:cs="Times New Roman"/>
          <w:szCs w:val="24"/>
        </w:rPr>
        <w:t xml:space="preserve"> </w:t>
      </w:r>
    </w:p>
    <w:p w:rsidR="00AA2965" w:rsidP="00506362">
      <w:pPr>
        <w:spacing w:after="0" w:line="480" w:lineRule="auto"/>
        <w:ind w:firstLine="720"/>
        <w:rPr>
          <w:rFonts w:eastAsia="Times New Roman" w:cs="Times New Roman"/>
          <w:szCs w:val="24"/>
        </w:rPr>
        <w:sectPr w:rsidSect="00AA2965">
          <w:footerReference w:type="default" r:id="rId12"/>
          <w:pgSz w:w="12240" w:h="15840"/>
          <w:pgMar w:top="1440" w:right="1800" w:bottom="1440" w:left="1800" w:header="720" w:footer="720" w:gutter="0"/>
          <w:pgNumType w:start="1"/>
          <w:cols w:space="720"/>
          <w:docGrid w:linePitch="360"/>
        </w:sectPr>
      </w:pPr>
      <w:r>
        <w:rPr>
          <w:rFonts w:eastAsia="Times New Roman" w:cs="Times New Roman"/>
          <w:szCs w:val="24"/>
        </w:rPr>
        <w:t xml:space="preserve">R.C. 4905.22 requires all charges to customers to be just and reasonable. </w:t>
      </w:r>
      <w:r w:rsidR="0086545F">
        <w:rPr>
          <w:rFonts w:eastAsia="Times New Roman" w:cs="Times New Roman"/>
          <w:szCs w:val="24"/>
        </w:rPr>
        <w:t>As described below, the Order would allow utilities to charge customers for energy efficiency programs, including utility profits (shared savings)</w:t>
      </w:r>
      <w:r w:rsidR="002465ED">
        <w:rPr>
          <w:rFonts w:eastAsia="Times New Roman" w:cs="Times New Roman"/>
          <w:szCs w:val="24"/>
        </w:rPr>
        <w:t>,</w:t>
      </w:r>
      <w:r w:rsidR="0086545F">
        <w:rPr>
          <w:rFonts w:eastAsia="Times New Roman" w:cs="Times New Roman"/>
          <w:szCs w:val="24"/>
        </w:rPr>
        <w:t xml:space="preserve"> without any PUCO </w:t>
      </w:r>
    </w:p>
    <w:p w:rsidR="00132998" w:rsidP="00AA2965">
      <w:pPr>
        <w:spacing w:after="0" w:line="480" w:lineRule="auto"/>
        <w:rPr>
          <w:rFonts w:eastAsia="Times New Roman" w:cs="Times New Roman"/>
          <w:szCs w:val="24"/>
        </w:rPr>
      </w:pPr>
      <w:r>
        <w:rPr>
          <w:rFonts w:eastAsia="Times New Roman" w:cs="Times New Roman"/>
          <w:szCs w:val="24"/>
        </w:rPr>
        <w:t>approval for those charges. The PUCO should modify the Order and the corresponding rules to protect consumers from this unjust and unreasonable result.</w:t>
      </w:r>
    </w:p>
    <w:p w:rsidR="00587E17" w:rsidRPr="000F16BB" w:rsidP="00E44900">
      <w:pPr>
        <w:keepNext/>
        <w:keepLines/>
        <w:spacing w:before="480" w:after="240" w:line="240" w:lineRule="auto"/>
        <w:rPr>
          <w:rFonts w:eastAsia="Times New Roman" w:cs="Times New Roman"/>
          <w:b/>
          <w:szCs w:val="24"/>
        </w:rPr>
      </w:pPr>
      <w:r>
        <w:rPr>
          <w:rFonts w:eastAsia="Times New Roman" w:cs="Times New Roman"/>
          <w:b/>
          <w:szCs w:val="24"/>
        </w:rPr>
        <w:t>II.</w:t>
      </w:r>
      <w:r>
        <w:rPr>
          <w:rFonts w:eastAsia="Times New Roman" w:cs="Times New Roman"/>
          <w:b/>
          <w:szCs w:val="24"/>
        </w:rPr>
        <w:tab/>
        <w:t>STANDARD OF REVIEW</w:t>
      </w:r>
    </w:p>
    <w:p w:rsidR="00587E17" w:rsidP="00587E17">
      <w:pPr>
        <w:spacing w:after="0" w:line="480" w:lineRule="auto"/>
        <w:ind w:firstLine="720"/>
      </w:pPr>
      <w:r>
        <w:t>After an order is entered, intervenors in a PUCO proceeding have a statutory right to apply for rehearing “in respect to any matters determined in the proceeding.”</w:t>
      </w:r>
      <w:r>
        <w:rPr>
          <w:rStyle w:val="FootnoteReference"/>
        </w:rPr>
        <w:footnoteReference w:id="8"/>
      </w:r>
      <w:r>
        <w:t xml:space="preserve"> An application for rehearing must “set forth specifically the ground or grounds on which the applicant considers the order to be unreasonable or unlawful.”</w:t>
      </w:r>
      <w:r>
        <w:rPr>
          <w:rStyle w:val="FootnoteReference"/>
        </w:rPr>
        <w:footnoteReference w:id="9"/>
      </w:r>
    </w:p>
    <w:p w:rsidR="00587E17" w:rsidP="00587E17">
      <w:pPr>
        <w:spacing w:after="0" w:line="480" w:lineRule="auto"/>
        <w:ind w:firstLine="720"/>
      </w:pPr>
      <w:r>
        <w:t>In considering an application for rehearing, R.C. 4903.10 provides that the PUCO may grant and hold rehearing if there is “sufficient reason” to do so. After such rehearing, the PUCO may “abrogate or modify” the order in question if the PUCO “is of the opinion that the original order or any part thereof is in any respect unjust or unwarranted.”</w:t>
      </w:r>
      <w:r>
        <w:rPr>
          <w:rStyle w:val="FootnoteReference"/>
        </w:rPr>
        <w:footnoteReference w:id="10"/>
      </w:r>
    </w:p>
    <w:p w:rsidR="00506362" w:rsidP="00506362">
      <w:pPr>
        <w:spacing w:after="0" w:line="480" w:lineRule="auto"/>
        <w:ind w:firstLine="720"/>
        <w:rPr>
          <w:rFonts w:cs="Times New Roman"/>
          <w:szCs w:val="24"/>
        </w:rPr>
      </w:pPr>
      <w:r>
        <w:rPr>
          <w:rFonts w:cs="Times New Roman"/>
          <w:szCs w:val="24"/>
        </w:rPr>
        <w:t>The Order is unlawful, unreasonable, unjust, and unwarranted under R.C. 4903.10. The PUCO should grant OCC’s application for rehearing. It should modify the Order as OCC recommends in this application for rehearing.</w:t>
      </w:r>
    </w:p>
    <w:p w:rsidR="00E44900">
      <w:pPr>
        <w:rPr>
          <w:rFonts w:eastAsia="Times New Roman" w:cs="Times New Roman"/>
          <w:b/>
          <w:szCs w:val="24"/>
        </w:rPr>
      </w:pPr>
      <w:r>
        <w:rPr>
          <w:rFonts w:eastAsia="Times New Roman" w:cs="Times New Roman"/>
          <w:b/>
          <w:szCs w:val="24"/>
        </w:rPr>
        <w:br w:type="page"/>
      </w:r>
    </w:p>
    <w:p w:rsidR="00587E17" w:rsidRPr="00587E17" w:rsidP="00506362">
      <w:pPr>
        <w:spacing w:before="240" w:after="0" w:line="480" w:lineRule="auto"/>
        <w:rPr>
          <w:rFonts w:eastAsia="Times New Roman" w:cs="Times New Roman"/>
          <w:b/>
          <w:szCs w:val="24"/>
        </w:rPr>
      </w:pPr>
      <w:r>
        <w:rPr>
          <w:rFonts w:eastAsia="Times New Roman" w:cs="Times New Roman"/>
          <w:b/>
          <w:szCs w:val="24"/>
        </w:rPr>
        <w:t>II</w:t>
      </w:r>
      <w:r w:rsidR="00CC20C0">
        <w:rPr>
          <w:rFonts w:eastAsia="Times New Roman" w:cs="Times New Roman"/>
          <w:b/>
          <w:szCs w:val="24"/>
        </w:rPr>
        <w:t>I</w:t>
      </w:r>
      <w:r>
        <w:rPr>
          <w:rFonts w:eastAsia="Times New Roman" w:cs="Times New Roman"/>
          <w:b/>
          <w:szCs w:val="24"/>
        </w:rPr>
        <w:t>.</w:t>
      </w:r>
      <w:r>
        <w:rPr>
          <w:rFonts w:eastAsia="Times New Roman" w:cs="Times New Roman"/>
          <w:b/>
          <w:szCs w:val="24"/>
        </w:rPr>
        <w:tab/>
        <w:t>ASSIGNMENT OF ERROR</w:t>
      </w:r>
    </w:p>
    <w:p w:rsidR="00587E17" w:rsidRPr="00AF1271" w:rsidP="00AF1271">
      <w:pPr>
        <w:keepNext/>
        <w:spacing w:after="240" w:line="240" w:lineRule="auto"/>
        <w:ind w:left="720"/>
        <w:rPr>
          <w:rFonts w:eastAsia="Times New Roman" w:cs="Times New Roman"/>
          <w:b/>
          <w:szCs w:val="24"/>
        </w:rPr>
      </w:pPr>
      <w:r w:rsidRPr="00AF1271">
        <w:rPr>
          <w:b/>
          <w:u w:val="single"/>
        </w:rPr>
        <w:t>Assignment of Error:</w:t>
      </w:r>
      <w:r w:rsidR="00AF1271">
        <w:rPr>
          <w:b/>
        </w:rPr>
        <w:t xml:space="preserve"> </w:t>
      </w:r>
      <w:r w:rsidRPr="00B66598" w:rsidR="00B66598">
        <w:rPr>
          <w:b/>
        </w:rPr>
        <w:t>The Order is unlawful and unreasonable because it eliminates the PUCO’s process of approving energy efficiency programs in advance, does not allow for meaningful stakeholder participation in energy efficiency proceedings, and allows utilities to charge customers any amount they want, in any manner they want, without PUCO approval, in violation of R.C. 4905.22.</w:t>
      </w:r>
    </w:p>
    <w:p w:rsidR="003F424C" w:rsidP="00435AED">
      <w:pPr>
        <w:spacing w:after="0" w:line="480" w:lineRule="auto"/>
        <w:ind w:firstLine="720"/>
        <w:rPr>
          <w:rFonts w:eastAsia="Times New Roman" w:cs="Times New Roman"/>
          <w:szCs w:val="24"/>
        </w:rPr>
      </w:pPr>
      <w:r>
        <w:rPr>
          <w:rFonts w:eastAsia="Times New Roman" w:cs="Times New Roman"/>
          <w:szCs w:val="24"/>
        </w:rPr>
        <w:t>Under the PUCO’s current energy efficiency rules, utilities are required to file an energy efficiency portfolio application</w:t>
      </w:r>
      <w:r w:rsidR="002465ED">
        <w:rPr>
          <w:rFonts w:eastAsia="Times New Roman" w:cs="Times New Roman"/>
          <w:szCs w:val="24"/>
        </w:rPr>
        <w:t>,</w:t>
      </w:r>
      <w:r>
        <w:rPr>
          <w:rFonts w:eastAsia="Times New Roman" w:cs="Times New Roman"/>
          <w:szCs w:val="24"/>
        </w:rPr>
        <w:t xml:space="preserve"> </w:t>
      </w:r>
      <w:r w:rsidR="001E4E42">
        <w:rPr>
          <w:rFonts w:eastAsia="Times New Roman" w:cs="Times New Roman"/>
          <w:szCs w:val="24"/>
        </w:rPr>
        <w:t xml:space="preserve">including </w:t>
      </w:r>
      <w:r w:rsidR="002465ED">
        <w:rPr>
          <w:rFonts w:eastAsia="Times New Roman" w:cs="Times New Roman"/>
          <w:szCs w:val="24"/>
        </w:rPr>
        <w:t>any</w:t>
      </w:r>
      <w:r w:rsidR="001E4E42">
        <w:rPr>
          <w:rFonts w:eastAsia="Times New Roman" w:cs="Times New Roman"/>
          <w:szCs w:val="24"/>
        </w:rPr>
        <w:t xml:space="preserve"> proposal for </w:t>
      </w:r>
      <w:r w:rsidR="002465ED">
        <w:rPr>
          <w:rFonts w:eastAsia="Times New Roman" w:cs="Times New Roman"/>
          <w:szCs w:val="24"/>
        </w:rPr>
        <w:t>charges to consumers,</w:t>
      </w:r>
      <w:r w:rsidR="001E4E42">
        <w:rPr>
          <w:rFonts w:eastAsia="Times New Roman" w:cs="Times New Roman"/>
          <w:szCs w:val="24"/>
        </w:rPr>
        <w:t xml:space="preserve"> </w:t>
      </w:r>
      <w:r w:rsidR="00E865E9">
        <w:rPr>
          <w:rFonts w:eastAsia="Times New Roman" w:cs="Times New Roman"/>
          <w:szCs w:val="24"/>
        </w:rPr>
        <w:t xml:space="preserve">by April 15, </w:t>
      </w:r>
      <w:r>
        <w:rPr>
          <w:rFonts w:eastAsia="Times New Roman" w:cs="Times New Roman"/>
          <w:szCs w:val="24"/>
        </w:rPr>
        <w:t>every three years.</w:t>
      </w:r>
      <w:r>
        <w:rPr>
          <w:rStyle w:val="FootnoteReference"/>
          <w:rFonts w:eastAsia="Times New Roman" w:cs="Times New Roman"/>
          <w:szCs w:val="24"/>
        </w:rPr>
        <w:footnoteReference w:id="11"/>
      </w:r>
      <w:r>
        <w:rPr>
          <w:rFonts w:eastAsia="Times New Roman" w:cs="Times New Roman"/>
          <w:szCs w:val="24"/>
        </w:rPr>
        <w:t xml:space="preserve"> Parties have 60 days to file objections to a utility’s application, and then the matter is required to be set for hearing.</w:t>
      </w:r>
      <w:r>
        <w:rPr>
          <w:rStyle w:val="FootnoteReference"/>
          <w:rFonts w:eastAsia="Times New Roman" w:cs="Times New Roman"/>
          <w:szCs w:val="24"/>
        </w:rPr>
        <w:footnoteReference w:id="12"/>
      </w:r>
      <w:r w:rsidR="00E865E9">
        <w:rPr>
          <w:rFonts w:eastAsia="Times New Roman" w:cs="Times New Roman"/>
          <w:szCs w:val="24"/>
        </w:rPr>
        <w:t xml:space="preserve"> </w:t>
      </w:r>
      <w:r w:rsidR="002465ED">
        <w:rPr>
          <w:rFonts w:eastAsia="Times New Roman" w:cs="Times New Roman"/>
          <w:szCs w:val="24"/>
        </w:rPr>
        <w:t>When implemented properly, t</w:t>
      </w:r>
      <w:r w:rsidR="00E865E9">
        <w:rPr>
          <w:rFonts w:eastAsia="Times New Roman" w:cs="Times New Roman"/>
          <w:szCs w:val="24"/>
        </w:rPr>
        <w:t xml:space="preserve">his process works. It allows utilities to propose new programs, changes to their energy efficiency programs, and charges to consumers. It allows </w:t>
      </w:r>
      <w:r w:rsidR="00F164E9">
        <w:rPr>
          <w:rFonts w:eastAsia="Times New Roman" w:cs="Times New Roman"/>
          <w:szCs w:val="24"/>
        </w:rPr>
        <w:t xml:space="preserve">consumer </w:t>
      </w:r>
      <w:r w:rsidR="00587E17">
        <w:rPr>
          <w:rFonts w:eastAsia="Times New Roman" w:cs="Times New Roman"/>
          <w:szCs w:val="24"/>
        </w:rPr>
        <w:t xml:space="preserve">advocates and other </w:t>
      </w:r>
      <w:r w:rsidR="00E865E9">
        <w:rPr>
          <w:rFonts w:eastAsia="Times New Roman" w:cs="Times New Roman"/>
          <w:szCs w:val="24"/>
        </w:rPr>
        <w:t xml:space="preserve">stakeholders a fair opportunity to review the programs and proposed charges and to provide recommendations </w:t>
      </w:r>
      <w:r w:rsidR="00CF7497">
        <w:rPr>
          <w:rFonts w:eastAsia="Times New Roman" w:cs="Times New Roman"/>
          <w:szCs w:val="24"/>
        </w:rPr>
        <w:t>to the PUCO</w:t>
      </w:r>
      <w:r w:rsidR="00E865E9">
        <w:rPr>
          <w:rFonts w:eastAsia="Times New Roman" w:cs="Times New Roman"/>
          <w:szCs w:val="24"/>
        </w:rPr>
        <w:t>. And it allows the PUCO adequate time to review stakeholder input, hold a hearing, and approve programs to be implemented the following year.</w:t>
      </w:r>
    </w:p>
    <w:p w:rsidR="00E865E9" w:rsidP="00435AED">
      <w:pPr>
        <w:spacing w:after="0" w:line="480" w:lineRule="auto"/>
        <w:ind w:firstLine="720"/>
        <w:rPr>
          <w:rFonts w:eastAsia="Times New Roman" w:cs="Times New Roman"/>
          <w:szCs w:val="24"/>
        </w:rPr>
      </w:pPr>
      <w:r>
        <w:rPr>
          <w:rFonts w:eastAsia="Times New Roman" w:cs="Times New Roman"/>
          <w:szCs w:val="24"/>
        </w:rPr>
        <w:t>The new rules, to the detriment of customers, however: (i) </w:t>
      </w:r>
      <w:r w:rsidR="00C15F8D">
        <w:rPr>
          <w:rFonts w:eastAsia="Times New Roman" w:cs="Times New Roman"/>
          <w:szCs w:val="24"/>
        </w:rPr>
        <w:t xml:space="preserve">relieve the PUCO from issuing an order on any </w:t>
      </w:r>
      <w:r w:rsidR="00310CA2">
        <w:rPr>
          <w:rFonts w:eastAsia="Times New Roman" w:cs="Times New Roman"/>
          <w:szCs w:val="24"/>
        </w:rPr>
        <w:t>issue related to energy efficiency programs and any charge that customers pay</w:t>
      </w:r>
      <w:r w:rsidR="003F016E">
        <w:rPr>
          <w:rFonts w:eastAsia="Times New Roman" w:cs="Times New Roman"/>
          <w:szCs w:val="24"/>
        </w:rPr>
        <w:t>;</w:t>
      </w:r>
      <w:r w:rsidR="00C15F8D">
        <w:rPr>
          <w:rFonts w:eastAsia="Times New Roman" w:cs="Times New Roman"/>
          <w:szCs w:val="24"/>
        </w:rPr>
        <w:t xml:space="preserve"> (ii) </w:t>
      </w:r>
      <w:r>
        <w:rPr>
          <w:rFonts w:eastAsia="Times New Roman" w:cs="Times New Roman"/>
          <w:szCs w:val="24"/>
        </w:rPr>
        <w:t>allow the utility to</w:t>
      </w:r>
      <w:r w:rsidR="00C272D6">
        <w:rPr>
          <w:rFonts w:eastAsia="Times New Roman" w:cs="Times New Roman"/>
          <w:szCs w:val="24"/>
        </w:rPr>
        <w:t xml:space="preserve"> continue implementing programs and</w:t>
      </w:r>
      <w:r>
        <w:rPr>
          <w:rFonts w:eastAsia="Times New Roman" w:cs="Times New Roman"/>
          <w:szCs w:val="24"/>
        </w:rPr>
        <w:t xml:space="preserve"> file </w:t>
      </w:r>
      <w:r w:rsidR="00C272D6">
        <w:rPr>
          <w:rFonts w:eastAsia="Times New Roman" w:cs="Times New Roman"/>
          <w:szCs w:val="24"/>
        </w:rPr>
        <w:t>a portfolio update (as opposed to a portfolio application that requests approval of programs over a specified time period)</w:t>
      </w:r>
      <w:r>
        <w:rPr>
          <w:rFonts w:eastAsia="Times New Roman" w:cs="Times New Roman"/>
          <w:szCs w:val="24"/>
        </w:rPr>
        <w:t xml:space="preserve"> on September 1 instead of April 15</w:t>
      </w:r>
      <w:r>
        <w:rPr>
          <w:rStyle w:val="FootnoteReference"/>
          <w:rFonts w:eastAsia="Times New Roman" w:cs="Times New Roman"/>
          <w:szCs w:val="24"/>
        </w:rPr>
        <w:footnoteReference w:id="13"/>
      </w:r>
      <w:r w:rsidR="003F016E">
        <w:rPr>
          <w:rFonts w:eastAsia="Times New Roman" w:cs="Times New Roman"/>
          <w:szCs w:val="24"/>
        </w:rPr>
        <w:t>;</w:t>
      </w:r>
      <w:r>
        <w:rPr>
          <w:rFonts w:eastAsia="Times New Roman" w:cs="Times New Roman"/>
          <w:szCs w:val="24"/>
        </w:rPr>
        <w:t xml:space="preserve"> (ii</w:t>
      </w:r>
      <w:r w:rsidR="00C15F8D">
        <w:rPr>
          <w:rFonts w:eastAsia="Times New Roman" w:cs="Times New Roman"/>
          <w:szCs w:val="24"/>
        </w:rPr>
        <w:t>i</w:t>
      </w:r>
      <w:r>
        <w:rPr>
          <w:rFonts w:eastAsia="Times New Roman" w:cs="Times New Roman"/>
          <w:szCs w:val="24"/>
        </w:rPr>
        <w:t xml:space="preserve">) allow </w:t>
      </w:r>
      <w:r w:rsidR="00C301B4">
        <w:rPr>
          <w:rFonts w:eastAsia="Times New Roman" w:cs="Times New Roman"/>
          <w:szCs w:val="24"/>
        </w:rPr>
        <w:t xml:space="preserve">the utility to propose charges to customers for energy efficiency programs, including charges for lost revenues and utility profits (shared savings), and </w:t>
      </w:r>
      <w:r>
        <w:rPr>
          <w:rFonts w:eastAsia="Times New Roman" w:cs="Times New Roman"/>
          <w:szCs w:val="24"/>
        </w:rPr>
        <w:t xml:space="preserve">stakeholders </w:t>
      </w:r>
      <w:r w:rsidR="00C301B4">
        <w:rPr>
          <w:rFonts w:eastAsia="Times New Roman" w:cs="Times New Roman"/>
          <w:szCs w:val="24"/>
        </w:rPr>
        <w:t xml:space="preserve">have </w:t>
      </w:r>
      <w:r>
        <w:rPr>
          <w:rFonts w:eastAsia="Times New Roman" w:cs="Times New Roman"/>
          <w:szCs w:val="24"/>
        </w:rPr>
        <w:t xml:space="preserve">only </w:t>
      </w:r>
      <w:r w:rsidR="0053350C">
        <w:rPr>
          <w:rFonts w:eastAsia="Times New Roman" w:cs="Times New Roman"/>
          <w:szCs w:val="24"/>
        </w:rPr>
        <w:t>30</w:t>
      </w:r>
      <w:r>
        <w:rPr>
          <w:rFonts w:eastAsia="Times New Roman" w:cs="Times New Roman"/>
          <w:szCs w:val="24"/>
        </w:rPr>
        <w:t xml:space="preserve"> days to respond</w:t>
      </w:r>
      <w:r>
        <w:rPr>
          <w:rStyle w:val="FootnoteReference"/>
          <w:rFonts w:eastAsia="Times New Roman" w:cs="Times New Roman"/>
          <w:szCs w:val="24"/>
        </w:rPr>
        <w:footnoteReference w:id="14"/>
      </w:r>
      <w:r w:rsidR="003F016E">
        <w:rPr>
          <w:rFonts w:eastAsia="Times New Roman" w:cs="Times New Roman"/>
          <w:szCs w:val="24"/>
        </w:rPr>
        <w:t>;</w:t>
      </w:r>
      <w:r>
        <w:rPr>
          <w:rFonts w:eastAsia="Times New Roman" w:cs="Times New Roman"/>
          <w:szCs w:val="24"/>
        </w:rPr>
        <w:t xml:space="preserve"> and (</w:t>
      </w:r>
      <w:r w:rsidR="00C15F8D">
        <w:rPr>
          <w:rFonts w:eastAsia="Times New Roman" w:cs="Times New Roman"/>
          <w:szCs w:val="24"/>
        </w:rPr>
        <w:t>iv</w:t>
      </w:r>
      <w:r>
        <w:rPr>
          <w:rFonts w:eastAsia="Times New Roman" w:cs="Times New Roman"/>
          <w:szCs w:val="24"/>
        </w:rPr>
        <w:t>) </w:t>
      </w:r>
      <w:r w:rsidR="00C301B4">
        <w:rPr>
          <w:rFonts w:eastAsia="Times New Roman" w:cs="Times New Roman"/>
          <w:szCs w:val="24"/>
        </w:rPr>
        <w:t xml:space="preserve">the utility’s proposed charges to consumers are automatically approved, with no </w:t>
      </w:r>
      <w:r w:rsidR="00435AED">
        <w:rPr>
          <w:rFonts w:eastAsia="Times New Roman" w:cs="Times New Roman"/>
          <w:szCs w:val="24"/>
        </w:rPr>
        <w:t>require</w:t>
      </w:r>
      <w:r w:rsidR="00C301B4">
        <w:rPr>
          <w:rFonts w:eastAsia="Times New Roman" w:cs="Times New Roman"/>
          <w:szCs w:val="24"/>
        </w:rPr>
        <w:t>ment that the PUCO hold a hearing or even enter an order</w:t>
      </w:r>
      <w:r w:rsidR="00F24E5F">
        <w:rPr>
          <w:rFonts w:eastAsia="Times New Roman" w:cs="Times New Roman"/>
          <w:szCs w:val="24"/>
        </w:rPr>
        <w:t>.</w:t>
      </w:r>
      <w:r>
        <w:rPr>
          <w:rStyle w:val="FootnoteReference"/>
          <w:rFonts w:eastAsia="Times New Roman" w:cs="Times New Roman"/>
          <w:szCs w:val="24"/>
        </w:rPr>
        <w:footnoteReference w:id="15"/>
      </w:r>
      <w:r w:rsidR="00CF7497">
        <w:rPr>
          <w:rFonts w:eastAsia="Times New Roman" w:cs="Times New Roman"/>
          <w:szCs w:val="24"/>
        </w:rPr>
        <w:t xml:space="preserve"> Each of these changes is problematic</w:t>
      </w:r>
      <w:r w:rsidR="00435AED">
        <w:rPr>
          <w:rFonts w:eastAsia="Times New Roman" w:cs="Times New Roman"/>
          <w:szCs w:val="24"/>
        </w:rPr>
        <w:t xml:space="preserve"> for consumers</w:t>
      </w:r>
      <w:r w:rsidR="00CF7497">
        <w:rPr>
          <w:rFonts w:eastAsia="Times New Roman" w:cs="Times New Roman"/>
          <w:szCs w:val="24"/>
        </w:rPr>
        <w:t>.</w:t>
      </w:r>
    </w:p>
    <w:p w:rsidR="00CF7497" w:rsidP="00435AED">
      <w:pPr>
        <w:spacing w:after="0" w:line="480" w:lineRule="auto"/>
        <w:ind w:firstLine="720"/>
        <w:rPr>
          <w:rFonts w:eastAsia="Times New Roman" w:cs="Times New Roman"/>
          <w:szCs w:val="24"/>
        </w:rPr>
      </w:pPr>
      <w:r>
        <w:rPr>
          <w:rFonts w:eastAsia="Times New Roman" w:cs="Times New Roman"/>
          <w:szCs w:val="24"/>
        </w:rPr>
        <w:t xml:space="preserve">First, by allowing the utility to wait until September 1 to file its </w:t>
      </w:r>
      <w:r w:rsidR="00C301B4">
        <w:rPr>
          <w:rFonts w:eastAsia="Times New Roman" w:cs="Times New Roman"/>
          <w:szCs w:val="24"/>
        </w:rPr>
        <w:t>proposal for charges to consumers</w:t>
      </w:r>
      <w:r>
        <w:rPr>
          <w:rFonts w:eastAsia="Times New Roman" w:cs="Times New Roman"/>
          <w:szCs w:val="24"/>
        </w:rPr>
        <w:t xml:space="preserve">, there is very little time for the PUCO to take action regarding the filing. </w:t>
      </w:r>
      <w:r w:rsidR="0053350C">
        <w:rPr>
          <w:rFonts w:eastAsia="Times New Roman" w:cs="Times New Roman"/>
          <w:szCs w:val="24"/>
        </w:rPr>
        <w:t xml:space="preserve">While parties and the PUCO will undoubtedly work diligently to resolve these cases, it is unlikely that there will be enough time for </w:t>
      </w:r>
      <w:r w:rsidR="00435AED">
        <w:rPr>
          <w:rFonts w:eastAsia="Times New Roman" w:cs="Times New Roman"/>
          <w:szCs w:val="24"/>
        </w:rPr>
        <w:t xml:space="preserve">discovery, settlement negotiations, and if necessary, </w:t>
      </w:r>
      <w:r w:rsidR="0053350C">
        <w:rPr>
          <w:rFonts w:eastAsia="Times New Roman" w:cs="Times New Roman"/>
          <w:szCs w:val="24"/>
        </w:rPr>
        <w:t>a hearing</w:t>
      </w:r>
      <w:r w:rsidR="00435AED">
        <w:rPr>
          <w:rFonts w:eastAsia="Times New Roman" w:cs="Times New Roman"/>
          <w:szCs w:val="24"/>
        </w:rPr>
        <w:t xml:space="preserve"> and</w:t>
      </w:r>
      <w:r w:rsidR="0053350C">
        <w:rPr>
          <w:rFonts w:eastAsia="Times New Roman" w:cs="Times New Roman"/>
          <w:szCs w:val="24"/>
        </w:rPr>
        <w:t xml:space="preserve"> post-hearing briefing, </w:t>
      </w:r>
      <w:r w:rsidR="00435AED">
        <w:rPr>
          <w:rFonts w:eastAsia="Times New Roman" w:cs="Times New Roman"/>
          <w:szCs w:val="24"/>
        </w:rPr>
        <w:t xml:space="preserve">followed by </w:t>
      </w:r>
      <w:r w:rsidR="0053350C">
        <w:rPr>
          <w:rFonts w:eastAsia="Times New Roman" w:cs="Times New Roman"/>
          <w:szCs w:val="24"/>
        </w:rPr>
        <w:t>an opinion</w:t>
      </w:r>
      <w:r w:rsidR="00435AED">
        <w:rPr>
          <w:rFonts w:eastAsia="Times New Roman" w:cs="Times New Roman"/>
          <w:szCs w:val="24"/>
        </w:rPr>
        <w:t>. The problem is made worse by the fact that all four of Ohio’s electric distribution utilities will likely file their applications on the same day (September 1), thereby causing parties like OCC to attempt to resolve each of them simultaneously over a very short period of time</w:t>
      </w:r>
      <w:r w:rsidR="00C301B4">
        <w:rPr>
          <w:rFonts w:eastAsia="Times New Roman" w:cs="Times New Roman"/>
          <w:szCs w:val="24"/>
        </w:rPr>
        <w:t>.</w:t>
      </w:r>
    </w:p>
    <w:p w:rsidR="0053350C" w:rsidP="00435AED">
      <w:pPr>
        <w:spacing w:after="0" w:line="480" w:lineRule="auto"/>
        <w:ind w:firstLine="720"/>
        <w:rPr>
          <w:rFonts w:eastAsia="Times New Roman" w:cs="Times New Roman"/>
          <w:szCs w:val="24"/>
        </w:rPr>
      </w:pPr>
      <w:r>
        <w:rPr>
          <w:rFonts w:eastAsia="Times New Roman" w:cs="Times New Roman"/>
          <w:szCs w:val="24"/>
        </w:rPr>
        <w:t>Second, the new 30-day response period is half of the current 60-day period. The PUCO’s rules provide for a 20-day response deadline for discovery.</w:t>
      </w:r>
      <w:r>
        <w:rPr>
          <w:rStyle w:val="FootnoteReference"/>
          <w:rFonts w:eastAsia="Times New Roman" w:cs="Times New Roman"/>
          <w:szCs w:val="24"/>
        </w:rPr>
        <w:footnoteReference w:id="16"/>
      </w:r>
      <w:r>
        <w:rPr>
          <w:rFonts w:eastAsia="Times New Roman" w:cs="Times New Roman"/>
          <w:szCs w:val="24"/>
        </w:rPr>
        <w:t xml:space="preserve"> A 30-day window for comments leaves virtually no opportunity for parties to review the utility’s application (which can be quite long—FirstEnergy’s and AEP’s most recent portfolio applications were over 400 pages each</w:t>
      </w:r>
      <w:r>
        <w:rPr>
          <w:rStyle w:val="FootnoteReference"/>
          <w:rFonts w:eastAsia="Times New Roman" w:cs="Times New Roman"/>
          <w:szCs w:val="24"/>
        </w:rPr>
        <w:footnoteReference w:id="17"/>
      </w:r>
      <w:r>
        <w:rPr>
          <w:rFonts w:eastAsia="Times New Roman" w:cs="Times New Roman"/>
          <w:szCs w:val="24"/>
        </w:rPr>
        <w:t>), serve discovery, review discovery responses, and prepare comments. This unfairly restricts parties’ right to</w:t>
      </w:r>
      <w:r w:rsidR="005F57DD">
        <w:rPr>
          <w:rFonts w:eastAsia="Times New Roman" w:cs="Times New Roman"/>
          <w:szCs w:val="24"/>
        </w:rPr>
        <w:t xml:space="preserve"> meaningfully </w:t>
      </w:r>
      <w:r>
        <w:rPr>
          <w:rFonts w:eastAsia="Times New Roman" w:cs="Times New Roman"/>
          <w:szCs w:val="24"/>
        </w:rPr>
        <w:t>participate in these proceedings.</w:t>
      </w:r>
      <w:r>
        <w:rPr>
          <w:rStyle w:val="FootnoteReference"/>
          <w:rFonts w:eastAsia="Times New Roman" w:cs="Times New Roman"/>
          <w:szCs w:val="24"/>
        </w:rPr>
        <w:footnoteReference w:id="18"/>
      </w:r>
    </w:p>
    <w:p w:rsidR="0053350C" w:rsidP="00435AED">
      <w:pPr>
        <w:spacing w:after="0" w:line="480" w:lineRule="auto"/>
        <w:ind w:firstLine="720"/>
        <w:rPr>
          <w:rFonts w:eastAsia="Times New Roman" w:cs="Times New Roman"/>
          <w:szCs w:val="24"/>
        </w:rPr>
      </w:pPr>
      <w:r>
        <w:rPr>
          <w:rFonts w:eastAsia="Times New Roman" w:cs="Times New Roman"/>
          <w:szCs w:val="24"/>
        </w:rPr>
        <w:t xml:space="preserve">Third, the </w:t>
      </w:r>
      <w:r w:rsidR="00435AED">
        <w:rPr>
          <w:rFonts w:eastAsia="Times New Roman" w:cs="Times New Roman"/>
          <w:szCs w:val="24"/>
        </w:rPr>
        <w:t>Order</w:t>
      </w:r>
      <w:r>
        <w:rPr>
          <w:rFonts w:eastAsia="Times New Roman" w:cs="Times New Roman"/>
          <w:szCs w:val="24"/>
        </w:rPr>
        <w:t xml:space="preserve"> eliminate</w:t>
      </w:r>
      <w:r w:rsidR="00435AED">
        <w:rPr>
          <w:rFonts w:eastAsia="Times New Roman" w:cs="Times New Roman"/>
          <w:szCs w:val="24"/>
        </w:rPr>
        <w:t>s</w:t>
      </w:r>
      <w:r>
        <w:rPr>
          <w:rFonts w:eastAsia="Times New Roman" w:cs="Times New Roman"/>
          <w:szCs w:val="24"/>
        </w:rPr>
        <w:t xml:space="preserve"> the requirement that a hearing be held on </w:t>
      </w:r>
      <w:r w:rsidR="009E36E1">
        <w:rPr>
          <w:rFonts w:eastAsia="Times New Roman" w:cs="Times New Roman"/>
          <w:szCs w:val="24"/>
        </w:rPr>
        <w:t xml:space="preserve">any request for program approval, </w:t>
      </w:r>
      <w:r w:rsidR="00C301B4">
        <w:rPr>
          <w:rFonts w:eastAsia="Times New Roman" w:cs="Times New Roman"/>
          <w:szCs w:val="24"/>
        </w:rPr>
        <w:t>or changes in charges to consumers (increased shared savings or lost revenues, cost allocation among customer classes, higher cost caps, etc.)</w:t>
      </w:r>
      <w:r w:rsidR="009E36E1">
        <w:rPr>
          <w:rFonts w:eastAsia="Times New Roman" w:cs="Times New Roman"/>
          <w:szCs w:val="24"/>
        </w:rPr>
        <w:t xml:space="preserve">. </w:t>
      </w:r>
      <w:r>
        <w:rPr>
          <w:rFonts w:eastAsia="Times New Roman" w:cs="Times New Roman"/>
          <w:szCs w:val="24"/>
        </w:rPr>
        <w:t>Under the current rules, the PUCO holds a hearing in each energy efficiency portfolio case.</w:t>
      </w:r>
      <w:r>
        <w:rPr>
          <w:rStyle w:val="FootnoteReference"/>
          <w:rFonts w:eastAsia="Times New Roman" w:cs="Times New Roman"/>
          <w:szCs w:val="24"/>
        </w:rPr>
        <w:footnoteReference w:id="19"/>
      </w:r>
      <w:r>
        <w:rPr>
          <w:rFonts w:eastAsia="Times New Roman" w:cs="Times New Roman"/>
          <w:szCs w:val="24"/>
        </w:rPr>
        <w:t xml:space="preserve"> The new rules</w:t>
      </w:r>
      <w:r w:rsidR="00435AED">
        <w:rPr>
          <w:rFonts w:eastAsia="Times New Roman" w:cs="Times New Roman"/>
          <w:szCs w:val="24"/>
        </w:rPr>
        <w:t>, in contrast, require no hearing</w:t>
      </w:r>
      <w:r w:rsidR="00620481">
        <w:rPr>
          <w:rFonts w:eastAsia="Times New Roman" w:cs="Times New Roman"/>
          <w:szCs w:val="24"/>
        </w:rPr>
        <w:t>. A</w:t>
      </w:r>
      <w:r w:rsidR="00435AED">
        <w:rPr>
          <w:rFonts w:eastAsia="Times New Roman" w:cs="Times New Roman"/>
          <w:szCs w:val="24"/>
        </w:rPr>
        <w:t>nd in fact, the utility’s</w:t>
      </w:r>
      <w:r w:rsidR="00620481">
        <w:rPr>
          <w:rFonts w:eastAsia="Times New Roman" w:cs="Times New Roman"/>
          <w:szCs w:val="24"/>
        </w:rPr>
        <w:t xml:space="preserve"> proposed charges to consumers are </w:t>
      </w:r>
      <w:r w:rsidR="00620481">
        <w:rPr>
          <w:rFonts w:eastAsia="Times New Roman" w:cs="Times New Roman"/>
          <w:i/>
          <w:szCs w:val="24"/>
        </w:rPr>
        <w:t>automatically</w:t>
      </w:r>
      <w:r w:rsidR="00620481">
        <w:rPr>
          <w:rFonts w:eastAsia="Times New Roman" w:cs="Times New Roman"/>
          <w:szCs w:val="24"/>
        </w:rPr>
        <w:t xml:space="preserve"> </w:t>
      </w:r>
      <w:r w:rsidR="001E4E42">
        <w:rPr>
          <w:rFonts w:eastAsia="Times New Roman" w:cs="Times New Roman"/>
          <w:szCs w:val="24"/>
        </w:rPr>
        <w:t xml:space="preserve">deemed reasonable and </w:t>
      </w:r>
      <w:r w:rsidR="00620481">
        <w:rPr>
          <w:rFonts w:eastAsia="Times New Roman" w:cs="Times New Roman"/>
          <w:szCs w:val="24"/>
        </w:rPr>
        <w:t xml:space="preserve">approved if the PUCO takes no action within 30 days of parties’ comments on the proposal. This automatic approval of charges to consumers is </w:t>
      </w:r>
      <w:r w:rsidR="00AD7309">
        <w:rPr>
          <w:rFonts w:eastAsia="Times New Roman" w:cs="Times New Roman"/>
          <w:szCs w:val="24"/>
        </w:rPr>
        <w:t>unlawful.</w:t>
      </w:r>
    </w:p>
    <w:p w:rsidR="005F57DD" w:rsidRPr="00F03D72" w:rsidP="00000261">
      <w:pPr>
        <w:pStyle w:val="FootnoteText"/>
        <w:spacing w:after="0" w:line="480" w:lineRule="auto"/>
        <w:ind w:firstLine="720"/>
        <w:rPr>
          <w:sz w:val="24"/>
          <w:szCs w:val="24"/>
        </w:rPr>
      </w:pPr>
      <w:r w:rsidRPr="00F03D72">
        <w:rPr>
          <w:sz w:val="24"/>
          <w:szCs w:val="24"/>
        </w:rPr>
        <w:t xml:space="preserve">The potential for energy efficiency charges to be approved by the PUCO without the procedural protections of Ohio’s ratemaking statutes is problematic.  The Supreme Court of Ohio has previously stated its great concern over the wielding of power by administrative agencies in the absence of procedural integrity that satisfies due process requirements.  Quoting </w:t>
      </w:r>
      <w:r w:rsidRPr="00F03D72">
        <w:rPr>
          <w:i/>
          <w:sz w:val="24"/>
          <w:szCs w:val="24"/>
        </w:rPr>
        <w:t xml:space="preserve">Ohio Bell Tel. Co. v. Pub. Util. Comm. </w:t>
      </w:r>
      <w:r w:rsidR="00000261">
        <w:rPr>
          <w:i/>
          <w:sz w:val="24"/>
          <w:szCs w:val="24"/>
        </w:rPr>
        <w:t>o</w:t>
      </w:r>
      <w:r w:rsidRPr="00F03D72">
        <w:rPr>
          <w:i/>
          <w:sz w:val="24"/>
          <w:szCs w:val="24"/>
        </w:rPr>
        <w:t>f Ohio</w:t>
      </w:r>
      <w:r w:rsidRPr="00F03D72">
        <w:rPr>
          <w:sz w:val="24"/>
          <w:szCs w:val="24"/>
        </w:rPr>
        <w:t xml:space="preserve"> (1937), 301 U.S. 292, 304-305, the Ohio Supreme Court approvingly stated the great need in regulatory proceedings “‘that the inexorable safeguard * * * of a fair and open hearing be maintained in its integrity.  * * *  The right to such a hearing is one of the ‘rudiments of fair play’ * * * assured to every litigant by the Fourteenth Amendment as a minimal requirement.’”</w:t>
      </w:r>
      <w:r>
        <w:rPr>
          <w:rStyle w:val="FootnoteReference"/>
          <w:sz w:val="24"/>
          <w:szCs w:val="24"/>
        </w:rPr>
        <w:footnoteReference w:id="20"/>
      </w:r>
      <w:r w:rsidRPr="00F03D72">
        <w:rPr>
          <w:sz w:val="24"/>
          <w:szCs w:val="24"/>
        </w:rPr>
        <w:t xml:space="preserve">  Under Ohio law, whenever a public utility wishes to increase its rates, the utility must file an application with the </w:t>
      </w:r>
      <w:r w:rsidR="00000261">
        <w:rPr>
          <w:sz w:val="24"/>
          <w:szCs w:val="24"/>
        </w:rPr>
        <w:t>PUCO</w:t>
      </w:r>
      <w:r w:rsidRPr="00F03D72">
        <w:rPr>
          <w:sz w:val="24"/>
          <w:szCs w:val="24"/>
        </w:rPr>
        <w:t xml:space="preserve"> to accomplish the change and must adhere to greater notice and procedural requirements than exist under filings with the </w:t>
      </w:r>
      <w:r w:rsidR="00000261">
        <w:rPr>
          <w:sz w:val="24"/>
          <w:szCs w:val="24"/>
        </w:rPr>
        <w:t>PUCO</w:t>
      </w:r>
      <w:r w:rsidRPr="00F03D72">
        <w:rPr>
          <w:sz w:val="24"/>
          <w:szCs w:val="24"/>
        </w:rPr>
        <w:t xml:space="preserve"> that do not involve a change in rates or charges.</w:t>
      </w:r>
      <w:r>
        <w:rPr>
          <w:rStyle w:val="FootnoteReference"/>
          <w:sz w:val="24"/>
          <w:szCs w:val="24"/>
        </w:rPr>
        <w:footnoteReference w:id="21"/>
      </w:r>
      <w:r w:rsidRPr="00F03D72">
        <w:rPr>
          <w:sz w:val="24"/>
          <w:szCs w:val="24"/>
        </w:rPr>
        <w:t xml:space="preserve"> Those procedural requirements are not being adhered to by the PUCO in this case.</w:t>
      </w:r>
    </w:p>
    <w:p w:rsidR="00065D6F" w:rsidP="00AD7309">
      <w:pPr>
        <w:spacing w:after="0" w:line="480" w:lineRule="auto"/>
        <w:ind w:firstLine="720"/>
        <w:rPr>
          <w:rFonts w:eastAsia="Times New Roman" w:cs="Times New Roman"/>
          <w:szCs w:val="24"/>
        </w:rPr>
      </w:pPr>
      <w:r>
        <w:rPr>
          <w:rFonts w:eastAsia="Times New Roman" w:cs="Times New Roman"/>
          <w:szCs w:val="24"/>
        </w:rPr>
        <w:t>R.C. 4905.22 requires all charges to customers to be just and reasonable. Under the PUCO’s new rules, however, a utility could propose unjust and unreasonable rates, and those unjust and unreasonable rates would automatically go into effect and then be charged to customers</w:t>
      </w:r>
      <w:r w:rsidR="00C301B4">
        <w:rPr>
          <w:rFonts w:eastAsia="Times New Roman" w:cs="Times New Roman"/>
          <w:szCs w:val="24"/>
        </w:rPr>
        <w:t>,</w:t>
      </w:r>
      <w:r w:rsidR="00AF0404">
        <w:rPr>
          <w:rFonts w:eastAsia="Times New Roman" w:cs="Times New Roman"/>
          <w:szCs w:val="24"/>
        </w:rPr>
        <w:t xml:space="preserve"> without the PUCO making a determination that such charges are </w:t>
      </w:r>
      <w:r w:rsidR="00C301B4">
        <w:rPr>
          <w:rFonts w:eastAsia="Times New Roman" w:cs="Times New Roman"/>
          <w:szCs w:val="24"/>
        </w:rPr>
        <w:t xml:space="preserve">just and </w:t>
      </w:r>
      <w:r w:rsidR="00AF0404">
        <w:rPr>
          <w:rFonts w:eastAsia="Times New Roman" w:cs="Times New Roman"/>
          <w:szCs w:val="24"/>
        </w:rPr>
        <w:t>reasonable</w:t>
      </w:r>
      <w:r w:rsidR="00C301B4">
        <w:rPr>
          <w:rFonts w:eastAsia="Times New Roman" w:cs="Times New Roman"/>
          <w:szCs w:val="24"/>
        </w:rPr>
        <w:t>.</w:t>
      </w:r>
    </w:p>
    <w:p w:rsidR="00AD7309" w:rsidP="00AD7309">
      <w:pPr>
        <w:spacing w:after="0" w:line="480" w:lineRule="auto"/>
        <w:ind w:firstLine="720"/>
        <w:rPr>
          <w:rFonts w:eastAsia="Times New Roman" w:cs="Times New Roman"/>
          <w:szCs w:val="24"/>
        </w:rPr>
      </w:pPr>
      <w:r>
        <w:rPr>
          <w:rFonts w:eastAsia="Times New Roman" w:cs="Times New Roman"/>
          <w:szCs w:val="24"/>
        </w:rPr>
        <w:t>There are numerous ways in which a utility’s proposal could result in unjust and unreasonable rates that get automatically approved under the new rules:</w:t>
      </w:r>
    </w:p>
    <w:p w:rsidR="004859B0" w:rsidP="004859B0">
      <w:pPr>
        <w:pStyle w:val="ListParagraph"/>
        <w:numPr>
          <w:ilvl w:val="0"/>
          <w:numId w:val="44"/>
        </w:numPr>
        <w:spacing w:after="240" w:line="240" w:lineRule="auto"/>
        <w:contextualSpacing w:val="0"/>
        <w:rPr>
          <w:rFonts w:eastAsia="Times New Roman" w:cs="Times New Roman"/>
          <w:szCs w:val="24"/>
        </w:rPr>
      </w:pPr>
      <w:r>
        <w:rPr>
          <w:rFonts w:eastAsia="Times New Roman" w:cs="Times New Roman"/>
          <w:szCs w:val="24"/>
        </w:rPr>
        <w:t>Contrary to the PUCO’s stated intent to control the costs of energy efficiency programs, a utility could propose a cost cap far in excess of the current 4% cost cap</w:t>
      </w:r>
      <w:r w:rsidR="00B2383C">
        <w:rPr>
          <w:rFonts w:eastAsia="Times New Roman" w:cs="Times New Roman"/>
          <w:szCs w:val="24"/>
        </w:rPr>
        <w:t>, or no cost cap at all</w:t>
      </w:r>
      <w:r>
        <w:rPr>
          <w:rFonts w:eastAsia="Times New Roman" w:cs="Times New Roman"/>
          <w:szCs w:val="24"/>
        </w:rPr>
        <w:t>.</w:t>
      </w:r>
    </w:p>
    <w:p w:rsidR="004859B0" w:rsidP="004859B0">
      <w:pPr>
        <w:pStyle w:val="ListParagraph"/>
        <w:numPr>
          <w:ilvl w:val="0"/>
          <w:numId w:val="44"/>
        </w:numPr>
        <w:spacing w:after="240" w:line="240" w:lineRule="auto"/>
        <w:contextualSpacing w:val="0"/>
        <w:rPr>
          <w:rFonts w:eastAsia="Times New Roman" w:cs="Times New Roman"/>
          <w:szCs w:val="24"/>
        </w:rPr>
      </w:pPr>
      <w:r w:rsidRPr="004859B0">
        <w:rPr>
          <w:rFonts w:eastAsia="Times New Roman" w:cs="Times New Roman"/>
          <w:szCs w:val="24"/>
        </w:rPr>
        <w:t>A utility could propose a substantial increase in the amount of shared savings (utility profits) that customers pay.</w:t>
      </w:r>
    </w:p>
    <w:p w:rsidR="004859B0" w:rsidP="004859B0">
      <w:pPr>
        <w:pStyle w:val="ListParagraph"/>
        <w:numPr>
          <w:ilvl w:val="0"/>
          <w:numId w:val="44"/>
        </w:numPr>
        <w:spacing w:after="240" w:line="240" w:lineRule="auto"/>
        <w:contextualSpacing w:val="0"/>
        <w:rPr>
          <w:rFonts w:eastAsia="Times New Roman" w:cs="Times New Roman"/>
          <w:szCs w:val="24"/>
        </w:rPr>
      </w:pPr>
      <w:r w:rsidRPr="004859B0">
        <w:rPr>
          <w:rFonts w:eastAsia="Times New Roman" w:cs="Times New Roman"/>
          <w:szCs w:val="24"/>
        </w:rPr>
        <w:t xml:space="preserve">A utility could propose that residential </w:t>
      </w:r>
      <w:r w:rsidRPr="004859B0" w:rsidR="00952832">
        <w:rPr>
          <w:rFonts w:eastAsia="Times New Roman" w:cs="Times New Roman"/>
          <w:szCs w:val="24"/>
        </w:rPr>
        <w:t xml:space="preserve">customers </w:t>
      </w:r>
      <w:r w:rsidRPr="004859B0">
        <w:rPr>
          <w:rFonts w:eastAsia="Times New Roman" w:cs="Times New Roman"/>
          <w:szCs w:val="24"/>
        </w:rPr>
        <w:t>subsidize the costs of nonresidential programs.</w:t>
      </w:r>
    </w:p>
    <w:p w:rsidR="004859B0" w:rsidP="004859B0">
      <w:pPr>
        <w:pStyle w:val="ListParagraph"/>
        <w:numPr>
          <w:ilvl w:val="0"/>
          <w:numId w:val="44"/>
        </w:numPr>
        <w:spacing w:after="240" w:line="240" w:lineRule="auto"/>
        <w:contextualSpacing w:val="0"/>
        <w:rPr>
          <w:rFonts w:eastAsia="Times New Roman" w:cs="Times New Roman"/>
          <w:szCs w:val="24"/>
        </w:rPr>
      </w:pPr>
      <w:r w:rsidRPr="004859B0">
        <w:rPr>
          <w:rFonts w:eastAsia="Times New Roman" w:cs="Times New Roman"/>
          <w:szCs w:val="24"/>
        </w:rPr>
        <w:t>A utility could propose that customers pay for programs that are not cost-effective.</w:t>
      </w:r>
    </w:p>
    <w:p w:rsidR="004859B0" w:rsidP="004859B0">
      <w:pPr>
        <w:pStyle w:val="ListParagraph"/>
        <w:numPr>
          <w:ilvl w:val="0"/>
          <w:numId w:val="44"/>
        </w:numPr>
        <w:spacing w:after="240" w:line="240" w:lineRule="auto"/>
        <w:contextualSpacing w:val="0"/>
        <w:rPr>
          <w:rFonts w:eastAsia="Times New Roman" w:cs="Times New Roman"/>
          <w:szCs w:val="24"/>
        </w:rPr>
      </w:pPr>
      <w:r w:rsidRPr="004859B0">
        <w:rPr>
          <w:rFonts w:eastAsia="Times New Roman" w:cs="Times New Roman"/>
          <w:szCs w:val="24"/>
        </w:rPr>
        <w:t>A utility could propose that customers pay for shared savings with respect to savings that they achieve on their own, contrary to prior PUCO orders.</w:t>
      </w:r>
      <w:r>
        <w:rPr>
          <w:rStyle w:val="FootnoteReference"/>
          <w:rFonts w:eastAsia="Times New Roman" w:cs="Times New Roman"/>
          <w:szCs w:val="24"/>
        </w:rPr>
        <w:footnoteReference w:id="22"/>
      </w:r>
    </w:p>
    <w:p w:rsidR="004859B0" w:rsidP="004859B0">
      <w:pPr>
        <w:pStyle w:val="ListParagraph"/>
        <w:numPr>
          <w:ilvl w:val="0"/>
          <w:numId w:val="44"/>
        </w:numPr>
        <w:spacing w:after="240" w:line="240" w:lineRule="auto"/>
        <w:contextualSpacing w:val="0"/>
        <w:rPr>
          <w:rFonts w:eastAsia="Times New Roman" w:cs="Times New Roman"/>
          <w:szCs w:val="24"/>
        </w:rPr>
      </w:pPr>
      <w:r>
        <w:rPr>
          <w:rFonts w:eastAsia="Times New Roman" w:cs="Times New Roman"/>
          <w:szCs w:val="24"/>
        </w:rPr>
        <w:t>A utility could propose that nonresidential customers that have opted out still be required to pay for programs.</w:t>
      </w:r>
      <w:r>
        <w:rPr>
          <w:rStyle w:val="FootnoteReference"/>
          <w:rFonts w:eastAsia="Times New Roman" w:cs="Times New Roman"/>
          <w:szCs w:val="24"/>
        </w:rPr>
        <w:footnoteReference w:id="23"/>
      </w:r>
    </w:p>
    <w:p w:rsidR="004859B0" w:rsidP="004859B0">
      <w:pPr>
        <w:pStyle w:val="ListParagraph"/>
        <w:numPr>
          <w:ilvl w:val="0"/>
          <w:numId w:val="44"/>
        </w:numPr>
        <w:spacing w:after="240" w:line="240" w:lineRule="auto"/>
        <w:contextualSpacing w:val="0"/>
        <w:rPr>
          <w:rFonts w:eastAsia="Times New Roman" w:cs="Times New Roman"/>
          <w:szCs w:val="24"/>
        </w:rPr>
      </w:pPr>
      <w:r>
        <w:rPr>
          <w:rFonts w:eastAsia="Times New Roman" w:cs="Times New Roman"/>
          <w:szCs w:val="24"/>
        </w:rPr>
        <w:t>A utility could propose that customers simultaneously pay both decoupling charges and lost revenues, thus resulting in double-charges.</w:t>
      </w:r>
    </w:p>
    <w:p w:rsidR="00B2383C" w:rsidP="004859B0">
      <w:pPr>
        <w:pStyle w:val="ListParagraph"/>
        <w:numPr>
          <w:ilvl w:val="0"/>
          <w:numId w:val="44"/>
        </w:numPr>
        <w:spacing w:after="240" w:line="240" w:lineRule="auto"/>
        <w:contextualSpacing w:val="0"/>
        <w:rPr>
          <w:rFonts w:eastAsia="Times New Roman" w:cs="Times New Roman"/>
          <w:szCs w:val="24"/>
        </w:rPr>
      </w:pPr>
      <w:r>
        <w:rPr>
          <w:rFonts w:eastAsia="Times New Roman" w:cs="Times New Roman"/>
          <w:szCs w:val="24"/>
        </w:rPr>
        <w:t>A utility could propose that it be allowed to charge customers for shared savings even if it does not meet its statutory mandates.</w:t>
      </w:r>
    </w:p>
    <w:p w:rsidR="00172501" w:rsidP="004859B0">
      <w:pPr>
        <w:pStyle w:val="ListParagraph"/>
        <w:numPr>
          <w:ilvl w:val="0"/>
          <w:numId w:val="44"/>
        </w:numPr>
        <w:spacing w:after="240" w:line="240" w:lineRule="auto"/>
        <w:contextualSpacing w:val="0"/>
        <w:rPr>
          <w:rFonts w:eastAsia="Times New Roman" w:cs="Times New Roman"/>
          <w:szCs w:val="24"/>
        </w:rPr>
      </w:pPr>
      <w:r>
        <w:rPr>
          <w:rFonts w:eastAsia="Times New Roman" w:cs="Times New Roman"/>
          <w:szCs w:val="24"/>
        </w:rPr>
        <w:t>A utility could propose that nonresidential customers be allowed to participate in programs without paying the energy efficiency rider.</w:t>
      </w:r>
    </w:p>
    <w:p w:rsidR="00000261" w:rsidP="00065D6F">
      <w:pPr>
        <w:spacing w:after="0" w:line="480" w:lineRule="auto"/>
        <w:ind w:firstLine="720"/>
        <w:rPr>
          <w:rFonts w:eastAsia="Times New Roman" w:cs="Times New Roman"/>
          <w:szCs w:val="24"/>
        </w:rPr>
      </w:pPr>
      <w:r>
        <w:rPr>
          <w:rFonts w:eastAsia="Times New Roman" w:cs="Times New Roman"/>
          <w:szCs w:val="24"/>
        </w:rPr>
        <w:t xml:space="preserve">In the past, any of these unjust and unreasonable proposals would be </w:t>
      </w:r>
      <w:r w:rsidR="00D51A34">
        <w:rPr>
          <w:rFonts w:eastAsia="Times New Roman" w:cs="Times New Roman"/>
          <w:szCs w:val="24"/>
        </w:rPr>
        <w:t>subjected to objections and a hearing, and none of them could be implemented without an affirmative finding by the PUCO</w:t>
      </w:r>
      <w:r w:rsidR="004D7D39">
        <w:rPr>
          <w:rFonts w:eastAsia="Times New Roman" w:cs="Times New Roman"/>
          <w:szCs w:val="24"/>
        </w:rPr>
        <w:t xml:space="preserve">. </w:t>
      </w:r>
      <w:r w:rsidR="00DB55E7">
        <w:rPr>
          <w:rFonts w:eastAsia="Times New Roman" w:cs="Times New Roman"/>
          <w:szCs w:val="24"/>
        </w:rPr>
        <w:t>Indeed, the process of requiring a hearing and order was critical in the PUCO’s recent rulings protecting consumers with an energy efficiency cost cap. In the cases of both Duke Energy and FirstEnergy, the PUCO rejected settlements that did not include sufficient protection for consumers in the form of an annual limit on the amount that customers could be charged for energy efficiency programs.</w:t>
      </w:r>
      <w:r>
        <w:rPr>
          <w:rStyle w:val="FootnoteReference"/>
          <w:rFonts w:eastAsia="Times New Roman" w:cs="Times New Roman"/>
          <w:szCs w:val="24"/>
        </w:rPr>
        <w:footnoteReference w:id="24"/>
      </w:r>
      <w:r w:rsidR="00DB55E7">
        <w:rPr>
          <w:rFonts w:eastAsia="Times New Roman" w:cs="Times New Roman"/>
          <w:szCs w:val="24"/>
        </w:rPr>
        <w:t xml:space="preserve"> </w:t>
      </w:r>
    </w:p>
    <w:p w:rsidR="00DB55E7" w:rsidP="00065D6F">
      <w:pPr>
        <w:spacing w:after="0" w:line="480" w:lineRule="auto"/>
        <w:ind w:firstLine="720"/>
        <w:rPr>
          <w:rFonts w:eastAsia="Times New Roman" w:cs="Times New Roman"/>
          <w:szCs w:val="24"/>
        </w:rPr>
      </w:pPr>
      <w:r>
        <w:rPr>
          <w:rFonts w:eastAsia="Times New Roman" w:cs="Times New Roman"/>
          <w:szCs w:val="24"/>
        </w:rPr>
        <w:t>These rulings complied with R.C. 4905.22 because the rates charged were just and reasonable as a result of the cost cap. Under the new rules found in the Order, this never would have happened. Instead, the utilities would have proposed uncapped spending, and those charges would have automatically been deemed reasonable under the new rules. This would be a bad result for consumers—and an unlawful one, since the resulting charges to consumers would have been uncapped and thus unlawful and unreasonable under R.C. 4905.22.</w:t>
      </w:r>
    </w:p>
    <w:p w:rsidR="00F164E9" w:rsidP="00435AED">
      <w:pPr>
        <w:spacing w:after="0" w:line="480" w:lineRule="auto"/>
        <w:ind w:firstLine="720"/>
        <w:rPr>
          <w:rFonts w:eastAsia="Times New Roman" w:cs="Times New Roman"/>
          <w:szCs w:val="24"/>
        </w:rPr>
      </w:pPr>
      <w:r>
        <w:rPr>
          <w:rFonts w:eastAsia="Times New Roman" w:cs="Times New Roman"/>
          <w:szCs w:val="24"/>
        </w:rPr>
        <w:t>Under the new rules as approved in the Order, utilities have carte blanche to propose literally any type of charges to customers of any magnitude, and the mere passage of time—</w:t>
      </w:r>
      <w:r w:rsidR="00AF1271">
        <w:rPr>
          <w:rFonts w:eastAsia="Times New Roman" w:cs="Times New Roman"/>
          <w:szCs w:val="24"/>
        </w:rPr>
        <w:t xml:space="preserve">just </w:t>
      </w:r>
      <w:r>
        <w:rPr>
          <w:rFonts w:eastAsia="Times New Roman" w:cs="Times New Roman"/>
          <w:szCs w:val="24"/>
        </w:rPr>
        <w:t>60 days</w:t>
      </w:r>
      <w:r>
        <w:rPr>
          <w:rStyle w:val="FootnoteReference"/>
          <w:rFonts w:eastAsia="Times New Roman" w:cs="Times New Roman"/>
          <w:szCs w:val="24"/>
        </w:rPr>
        <w:footnoteReference w:id="25"/>
      </w:r>
      <w:r>
        <w:rPr>
          <w:rFonts w:eastAsia="Times New Roman" w:cs="Times New Roman"/>
          <w:szCs w:val="24"/>
        </w:rPr>
        <w:t>—will allow the utility to begin charging customers these new rates.</w:t>
      </w:r>
      <w:r w:rsidR="00172501">
        <w:rPr>
          <w:rFonts w:eastAsia="Times New Roman" w:cs="Times New Roman"/>
          <w:szCs w:val="24"/>
        </w:rPr>
        <w:t xml:space="preserve"> </w:t>
      </w:r>
    </w:p>
    <w:p w:rsidR="00AD7309" w:rsidP="00435AED">
      <w:pPr>
        <w:spacing w:after="0" w:line="480" w:lineRule="auto"/>
        <w:ind w:firstLine="720"/>
        <w:rPr>
          <w:rFonts w:eastAsia="Times New Roman" w:cs="Times New Roman"/>
          <w:szCs w:val="24"/>
        </w:rPr>
      </w:pPr>
      <w:r>
        <w:rPr>
          <w:rFonts w:eastAsia="Times New Roman" w:cs="Times New Roman"/>
          <w:szCs w:val="24"/>
        </w:rPr>
        <w:t>The PUCO cannot abdicate its responsibility for reviewing new rates before they go into effect. The law requires the PUCO to protect consumers from paying unjust and unreasonable rates.</w:t>
      </w:r>
      <w:r>
        <w:rPr>
          <w:rStyle w:val="FootnoteReference"/>
          <w:rFonts w:eastAsia="Times New Roman" w:cs="Times New Roman"/>
          <w:szCs w:val="24"/>
        </w:rPr>
        <w:footnoteReference w:id="26"/>
      </w:r>
      <w:r>
        <w:rPr>
          <w:rFonts w:eastAsia="Times New Roman" w:cs="Times New Roman"/>
          <w:szCs w:val="24"/>
        </w:rPr>
        <w:t xml:space="preserve"> The new rules are inconsistent with this law, and thus, the Order (and corresponding rules) should be modified on rehearing. The rules should provide that a utility’s proposed charges to consumers for energy efficiency programs cannot go into effect unless and until the PUCO has affirmatively approved them after sufficient due process is had by all interested stakeholders.</w:t>
      </w:r>
    </w:p>
    <w:p w:rsidR="00435AED" w:rsidRPr="00866CA0" w:rsidP="00435AED">
      <w:pPr>
        <w:spacing w:after="0" w:line="240" w:lineRule="auto"/>
        <w:ind w:firstLine="720"/>
        <w:rPr>
          <w:rFonts w:eastAsia="Times New Roman" w:cs="Times New Roman"/>
          <w:szCs w:val="24"/>
        </w:rPr>
      </w:pPr>
    </w:p>
    <w:p w:rsidR="00435AED" w:rsidRPr="00154266" w:rsidP="00435AED">
      <w:pPr>
        <w:keepNext/>
        <w:keepLines/>
        <w:spacing w:after="240" w:line="240" w:lineRule="auto"/>
        <w:ind w:left="720" w:hanging="720"/>
        <w:rPr>
          <w:rFonts w:eastAsia="Times New Roman" w:cs="Times New Roman"/>
          <w:b/>
          <w:szCs w:val="24"/>
        </w:rPr>
      </w:pPr>
      <w:r>
        <w:rPr>
          <w:rFonts w:eastAsia="Times New Roman" w:cs="Times New Roman"/>
          <w:b/>
          <w:szCs w:val="24"/>
        </w:rPr>
        <w:t>IV.</w:t>
      </w:r>
      <w:r>
        <w:rPr>
          <w:rFonts w:eastAsia="Times New Roman" w:cs="Times New Roman"/>
          <w:b/>
          <w:szCs w:val="24"/>
        </w:rPr>
        <w:tab/>
        <w:t>CONCLUSION</w:t>
      </w:r>
    </w:p>
    <w:p w:rsidR="00435AED" w:rsidP="00435AED">
      <w:pPr>
        <w:spacing w:after="0" w:line="480" w:lineRule="auto"/>
        <w:ind w:firstLine="720"/>
        <w:rPr>
          <w:rFonts w:eastAsia="Times New Roman" w:cs="Times New Roman"/>
          <w:szCs w:val="24"/>
        </w:rPr>
      </w:pPr>
      <w:r>
        <w:rPr>
          <w:rFonts w:eastAsia="Times New Roman" w:cs="Times New Roman"/>
          <w:szCs w:val="24"/>
        </w:rPr>
        <w:t xml:space="preserve">The </w:t>
      </w:r>
      <w:r w:rsidR="00374539">
        <w:rPr>
          <w:rFonts w:eastAsia="Times New Roman" w:cs="Times New Roman"/>
          <w:szCs w:val="24"/>
        </w:rPr>
        <w:t>PUCO should modify the Order and the corresponding rules to protect consumers from paying unjust and unreasonable rates, as proposed by OCC in this application for rehearing</w:t>
      </w:r>
      <w:r>
        <w:rPr>
          <w:rFonts w:eastAsia="Times New Roman" w:cs="Times New Roman"/>
          <w:szCs w:val="24"/>
        </w:rPr>
        <w:t>.</w:t>
      </w:r>
    </w:p>
    <w:p w:rsidR="00435AED" w:rsidP="00435AED">
      <w:pPr>
        <w:spacing w:after="0" w:line="480" w:lineRule="auto"/>
        <w:ind w:firstLine="720"/>
        <w:rPr>
          <w:rFonts w:eastAsia="Times New Roman" w:cs="Times New Roman"/>
          <w:szCs w:val="24"/>
        </w:rPr>
      </w:pPr>
    </w:p>
    <w:p w:rsidR="00482E4C" w:rsidRPr="00A4515D" w:rsidP="00482E4C">
      <w:pPr>
        <w:spacing w:after="0" w:line="480" w:lineRule="auto"/>
        <w:ind w:left="3600"/>
        <w:rPr>
          <w:rFonts w:eastAsia="Times New Roman" w:cs="Times New Roman"/>
          <w:szCs w:val="24"/>
        </w:rPr>
      </w:pPr>
      <w:r w:rsidRPr="00A4515D">
        <w:rPr>
          <w:rFonts w:eastAsia="Times New Roman" w:cs="Times New Roman"/>
          <w:szCs w:val="24"/>
        </w:rPr>
        <w:t>Respectfully submitted,</w:t>
      </w:r>
    </w:p>
    <w:p w:rsidR="00482E4C" w:rsidRPr="0070059A" w:rsidP="00482E4C">
      <w:pPr>
        <w:spacing w:after="0" w:line="240" w:lineRule="auto"/>
        <w:ind w:left="3600"/>
        <w:rPr>
          <w:rFonts w:eastAsiaTheme="minorEastAsia" w:cs="Times New Roman"/>
          <w:szCs w:val="24"/>
        </w:rPr>
      </w:pPr>
      <w:r>
        <w:rPr>
          <w:rFonts w:eastAsiaTheme="minorEastAsia" w:cs="Times New Roman"/>
          <w:szCs w:val="24"/>
        </w:rPr>
        <w:t>Bruce Weston</w:t>
      </w:r>
      <w:r w:rsidRPr="0070059A">
        <w:rPr>
          <w:rFonts w:eastAsiaTheme="minorEastAsia" w:cs="Times New Roman"/>
          <w:szCs w:val="24"/>
        </w:rPr>
        <w:t xml:space="preserve"> (0016973)</w:t>
      </w:r>
    </w:p>
    <w:p w:rsidR="00482E4C" w:rsidRPr="0070059A" w:rsidP="00482E4C">
      <w:pPr>
        <w:spacing w:after="0" w:line="240" w:lineRule="auto"/>
        <w:ind w:left="3600"/>
        <w:rPr>
          <w:rFonts w:eastAsiaTheme="minorEastAsia" w:cs="Times New Roman"/>
          <w:szCs w:val="24"/>
        </w:rPr>
      </w:pPr>
      <w:r>
        <w:rPr>
          <w:rFonts w:eastAsiaTheme="minorEastAsia" w:cs="Times New Roman"/>
          <w:szCs w:val="24"/>
        </w:rPr>
        <w:t>Ohio Consumers’ Counsel</w:t>
      </w:r>
    </w:p>
    <w:p w:rsidR="00482E4C" w:rsidP="00482E4C">
      <w:pPr>
        <w:spacing w:after="0" w:line="240" w:lineRule="auto"/>
        <w:ind w:firstLine="4320"/>
        <w:rPr>
          <w:rFonts w:eastAsiaTheme="minorEastAsia" w:cs="Times New Roman"/>
          <w:szCs w:val="24"/>
        </w:rPr>
      </w:pPr>
    </w:p>
    <w:p w:rsidR="00482E4C" w:rsidRPr="0070059A" w:rsidP="00482E4C">
      <w:pPr>
        <w:spacing w:after="0" w:line="240" w:lineRule="auto"/>
        <w:ind w:left="3600"/>
        <w:rPr>
          <w:rFonts w:eastAsiaTheme="minorEastAsia" w:cs="Times New Roman"/>
          <w:szCs w:val="24"/>
        </w:rPr>
      </w:pPr>
      <w:r>
        <w:rPr>
          <w:rFonts w:eastAsiaTheme="minorEastAsia" w:cs="Times New Roman"/>
          <w:szCs w:val="24"/>
          <w:u w:val="single"/>
        </w:rPr>
        <w:t xml:space="preserve">/s/ </w:t>
      </w:r>
      <w:r>
        <w:rPr>
          <w:rFonts w:eastAsiaTheme="minorEastAsia" w:cs="Times New Roman"/>
          <w:i/>
          <w:szCs w:val="24"/>
          <w:u w:val="single"/>
        </w:rPr>
        <w:t>Christopher Healey</w:t>
      </w:r>
      <w:r>
        <w:rPr>
          <w:rFonts w:eastAsiaTheme="minorEastAsia" w:cs="Times New Roman"/>
          <w:szCs w:val="24"/>
          <w:u w:val="single"/>
        </w:rPr>
        <w:tab/>
      </w:r>
    </w:p>
    <w:p w:rsidR="00AA2965" w:rsidP="00482E4C">
      <w:pPr>
        <w:spacing w:after="0" w:line="240" w:lineRule="auto"/>
        <w:ind w:left="3600"/>
        <w:rPr>
          <w:rFonts w:eastAsiaTheme="minorEastAsia" w:cs="Times New Roman"/>
          <w:szCs w:val="24"/>
        </w:rPr>
      </w:pPr>
      <w:r w:rsidRPr="0070059A">
        <w:rPr>
          <w:rFonts w:eastAsiaTheme="minorEastAsia" w:cs="Times New Roman"/>
          <w:szCs w:val="24"/>
        </w:rPr>
        <w:t>Christopher Healey (0086027)</w:t>
      </w:r>
    </w:p>
    <w:p w:rsidR="00482E4C" w:rsidRPr="0070059A" w:rsidP="00482E4C">
      <w:pPr>
        <w:spacing w:after="0" w:line="240" w:lineRule="auto"/>
        <w:ind w:left="3600"/>
        <w:rPr>
          <w:rFonts w:eastAsiaTheme="minorEastAsia" w:cs="Times New Roman"/>
          <w:szCs w:val="24"/>
        </w:rPr>
      </w:pPr>
      <w:r>
        <w:rPr>
          <w:rFonts w:eastAsiaTheme="minorEastAsia" w:cs="Times New Roman"/>
          <w:szCs w:val="24"/>
        </w:rPr>
        <w:t>Counsel of Record</w:t>
      </w:r>
    </w:p>
    <w:p w:rsidR="00482E4C" w:rsidRPr="0070059A" w:rsidP="00482E4C">
      <w:pPr>
        <w:spacing w:after="0" w:line="240" w:lineRule="auto"/>
        <w:ind w:left="3600"/>
        <w:rPr>
          <w:rFonts w:eastAsiaTheme="minorEastAsia" w:cs="Times New Roman"/>
          <w:szCs w:val="24"/>
        </w:rPr>
      </w:pPr>
      <w:r w:rsidRPr="0070059A">
        <w:rPr>
          <w:rFonts w:eastAsiaTheme="minorEastAsia" w:cs="Times New Roman"/>
          <w:szCs w:val="24"/>
        </w:rPr>
        <w:t>Terry L. Etter (0067445)</w:t>
      </w:r>
    </w:p>
    <w:p w:rsidR="00482E4C" w:rsidP="00482E4C">
      <w:pPr>
        <w:spacing w:after="0" w:line="240" w:lineRule="auto"/>
        <w:ind w:left="3600"/>
        <w:rPr>
          <w:rFonts w:eastAsiaTheme="minorEastAsia" w:cs="Times New Roman"/>
          <w:szCs w:val="24"/>
        </w:rPr>
      </w:pPr>
      <w:r>
        <w:rPr>
          <w:rFonts w:eastAsiaTheme="minorEastAsia" w:cs="Times New Roman"/>
          <w:szCs w:val="24"/>
        </w:rPr>
        <w:t>Assistant Consumers’ Counsel</w:t>
      </w:r>
    </w:p>
    <w:p w:rsidR="00482E4C" w:rsidRPr="0070059A" w:rsidP="00482E4C">
      <w:pPr>
        <w:spacing w:after="0" w:line="240" w:lineRule="auto"/>
        <w:ind w:firstLine="4320"/>
        <w:rPr>
          <w:rFonts w:eastAsiaTheme="minorEastAsia" w:cs="Times New Roman"/>
          <w:szCs w:val="24"/>
        </w:rPr>
      </w:pPr>
    </w:p>
    <w:p w:rsidR="00482E4C" w:rsidRPr="0070059A" w:rsidP="00482E4C">
      <w:pPr>
        <w:spacing w:after="0" w:line="240" w:lineRule="auto"/>
        <w:ind w:left="3600"/>
        <w:rPr>
          <w:rFonts w:eastAsiaTheme="minorEastAsia" w:cs="Times New Roman"/>
          <w:b/>
          <w:szCs w:val="24"/>
        </w:rPr>
      </w:pPr>
      <w:r w:rsidRPr="0070059A">
        <w:rPr>
          <w:rFonts w:eastAsiaTheme="minorEastAsia" w:cs="Times New Roman"/>
          <w:b/>
          <w:szCs w:val="24"/>
        </w:rPr>
        <w:t>Office of the Ohio Consumers</w:t>
      </w:r>
      <w:r>
        <w:rPr>
          <w:rFonts w:eastAsiaTheme="minorEastAsia" w:cs="Times New Roman"/>
          <w:b/>
          <w:szCs w:val="24"/>
        </w:rPr>
        <w:t>’</w:t>
      </w:r>
      <w:r w:rsidRPr="0070059A">
        <w:rPr>
          <w:rFonts w:eastAsiaTheme="minorEastAsia" w:cs="Times New Roman"/>
          <w:b/>
          <w:szCs w:val="24"/>
        </w:rPr>
        <w:t xml:space="preserve"> Counsel</w:t>
      </w:r>
    </w:p>
    <w:p w:rsidR="00482E4C" w:rsidRPr="0070059A" w:rsidP="00482E4C">
      <w:pPr>
        <w:spacing w:after="0" w:line="240" w:lineRule="auto"/>
        <w:ind w:left="3600"/>
        <w:rPr>
          <w:rFonts w:eastAsiaTheme="minorEastAsia" w:cs="Times New Roman"/>
          <w:szCs w:val="24"/>
        </w:rPr>
      </w:pPr>
      <w:r w:rsidRPr="0070059A">
        <w:rPr>
          <w:rFonts w:eastAsiaTheme="minorEastAsia" w:cs="Times New Roman"/>
          <w:szCs w:val="24"/>
        </w:rPr>
        <w:t>65 East State Street, 7th Floor</w:t>
      </w:r>
    </w:p>
    <w:p w:rsidR="00482E4C" w:rsidRPr="0070059A" w:rsidP="00482E4C">
      <w:pPr>
        <w:spacing w:after="0" w:line="240" w:lineRule="auto"/>
        <w:ind w:left="3600"/>
        <w:rPr>
          <w:rFonts w:eastAsiaTheme="minorEastAsia" w:cs="Times New Roman"/>
          <w:szCs w:val="24"/>
        </w:rPr>
      </w:pPr>
      <w:r w:rsidRPr="0070059A">
        <w:rPr>
          <w:rFonts w:eastAsiaTheme="minorEastAsia" w:cs="Times New Roman"/>
          <w:szCs w:val="24"/>
        </w:rPr>
        <w:t>Columbus, Ohio 43215</w:t>
      </w:r>
      <w:r>
        <w:rPr>
          <w:rFonts w:eastAsiaTheme="minorEastAsia" w:cs="Times New Roman"/>
          <w:szCs w:val="24"/>
        </w:rPr>
        <w:t>-4213</w:t>
      </w:r>
    </w:p>
    <w:p w:rsidR="00482E4C" w:rsidRPr="0070059A" w:rsidP="00482E4C">
      <w:pPr>
        <w:spacing w:after="0" w:line="240" w:lineRule="auto"/>
        <w:ind w:left="3600"/>
        <w:rPr>
          <w:rFonts w:eastAsiaTheme="minorEastAsia" w:cs="Times New Roman"/>
          <w:szCs w:val="24"/>
        </w:rPr>
      </w:pPr>
      <w:r w:rsidRPr="0070059A">
        <w:rPr>
          <w:rFonts w:eastAsiaTheme="minorEastAsia" w:cs="Times New Roman"/>
          <w:szCs w:val="24"/>
        </w:rPr>
        <w:t>Telephone [Healey]: 614-466-9571</w:t>
      </w:r>
    </w:p>
    <w:p w:rsidR="00482E4C" w:rsidRPr="0077744E" w:rsidP="00482E4C">
      <w:pPr>
        <w:spacing w:after="0" w:line="240" w:lineRule="auto"/>
        <w:ind w:left="3600"/>
        <w:rPr>
          <w:rFonts w:eastAsiaTheme="minorEastAsia" w:cs="Times New Roman"/>
          <w:szCs w:val="24"/>
        </w:rPr>
      </w:pPr>
      <w:r w:rsidRPr="0070059A">
        <w:rPr>
          <w:rFonts w:eastAsiaTheme="minorEastAsia" w:cs="Times New Roman"/>
          <w:szCs w:val="24"/>
        </w:rPr>
        <w:t>Telephone [Etter]: 614-466</w:t>
      </w:r>
      <w:r w:rsidRPr="0077744E">
        <w:rPr>
          <w:rFonts w:eastAsiaTheme="minorEastAsia" w:cs="Times New Roman"/>
          <w:szCs w:val="24"/>
        </w:rPr>
        <w:t>-7964</w:t>
      </w:r>
    </w:p>
    <w:p w:rsidR="00482E4C" w:rsidRPr="00384E27" w:rsidP="00482E4C">
      <w:pPr>
        <w:spacing w:after="0" w:line="240" w:lineRule="auto"/>
        <w:ind w:left="3600"/>
        <w:rPr>
          <w:rStyle w:val="Hyperlink"/>
          <w:rFonts w:eastAsiaTheme="minorEastAsia"/>
          <w:color w:val="auto"/>
          <w:u w:val="none"/>
        </w:rPr>
      </w:pPr>
      <w:r w:rsidRPr="00384E27">
        <w:rPr>
          <w:rFonts w:eastAsiaTheme="minorEastAsia" w:cs="Times New Roman"/>
          <w:szCs w:val="24"/>
        </w:rPr>
        <w:t xml:space="preserve">christopher.healey@occ.ohio.gov </w:t>
      </w:r>
    </w:p>
    <w:p w:rsidR="00482E4C" w:rsidRPr="00384E27" w:rsidP="00482E4C">
      <w:pPr>
        <w:spacing w:after="0" w:line="240" w:lineRule="auto"/>
        <w:ind w:left="3600"/>
        <w:rPr>
          <w:rStyle w:val="Hyperlink"/>
          <w:rFonts w:eastAsiaTheme="minorEastAsia"/>
          <w:color w:val="auto"/>
          <w:u w:val="none"/>
        </w:rPr>
      </w:pPr>
      <w:r w:rsidRPr="00384E27">
        <w:rPr>
          <w:rFonts w:eastAsiaTheme="minorEastAsia" w:cs="Times New Roman"/>
          <w:szCs w:val="24"/>
        </w:rPr>
        <w:t xml:space="preserve">terry.etter@occ.ohio.gov </w:t>
      </w:r>
    </w:p>
    <w:p w:rsidR="00435AED" w:rsidP="00482E4C">
      <w:pPr>
        <w:spacing w:after="0" w:line="240" w:lineRule="auto"/>
        <w:ind w:left="3600"/>
        <w:rPr>
          <w:szCs w:val="24"/>
        </w:rPr>
      </w:pPr>
      <w:r w:rsidRPr="0077744E">
        <w:rPr>
          <w:rStyle w:val="Hyperlink"/>
          <w:rFonts w:eastAsiaTheme="minorEastAsia"/>
          <w:color w:val="auto"/>
          <w:u w:val="none"/>
        </w:rPr>
        <w:t>(</w:t>
      </w:r>
      <w:r w:rsidR="00AA2965">
        <w:rPr>
          <w:rStyle w:val="Hyperlink"/>
          <w:rFonts w:eastAsiaTheme="minorEastAsia"/>
          <w:color w:val="auto"/>
          <w:u w:val="none"/>
        </w:rPr>
        <w:t>will accept service via email</w:t>
      </w:r>
      <w:r w:rsidRPr="0077744E">
        <w:rPr>
          <w:rStyle w:val="Hyperlink"/>
          <w:rFonts w:eastAsiaTheme="minorEastAsia"/>
          <w:color w:val="auto"/>
          <w:u w:val="none"/>
        </w:rPr>
        <w:t>)</w:t>
      </w:r>
    </w:p>
    <w:p w:rsidR="00435AED" w:rsidRPr="0069751B" w:rsidP="00435AED">
      <w:pPr>
        <w:spacing w:after="0" w:line="240" w:lineRule="auto"/>
        <w:ind w:left="4320"/>
        <w:sectPr w:rsidSect="00AA2965">
          <w:footerReference w:type="default" r:id="rId13"/>
          <w:pgSz w:w="12240" w:h="15840"/>
          <w:pgMar w:top="1440" w:right="1800" w:bottom="1440" w:left="1800" w:header="720" w:footer="720" w:gutter="0"/>
          <w:pgNumType w:start="2"/>
          <w:cols w:space="720"/>
          <w:docGrid w:linePitch="360"/>
        </w:sectPr>
      </w:pPr>
    </w:p>
    <w:p w:rsidR="00435AED" w:rsidP="00435AED">
      <w:pPr>
        <w:spacing w:after="0" w:line="240" w:lineRule="auto"/>
        <w:jc w:val="center"/>
        <w:rPr>
          <w:rFonts w:eastAsiaTheme="minorEastAsia" w:cs="Times New Roman"/>
          <w:b/>
          <w:szCs w:val="24"/>
          <w:u w:val="single"/>
        </w:rPr>
      </w:pPr>
      <w:r w:rsidRPr="006849DE">
        <w:rPr>
          <w:rFonts w:eastAsiaTheme="minorEastAsia" w:cs="Times New Roman"/>
          <w:b/>
          <w:szCs w:val="24"/>
          <w:u w:val="single"/>
        </w:rPr>
        <w:t>CERTIFICATE OF SERVICE</w:t>
      </w:r>
    </w:p>
    <w:p w:rsidR="00435AED" w:rsidRPr="006849DE" w:rsidP="00435AED">
      <w:pPr>
        <w:spacing w:after="0" w:line="240" w:lineRule="auto"/>
        <w:jc w:val="center"/>
        <w:rPr>
          <w:rFonts w:eastAsiaTheme="minorEastAsia" w:cs="Times New Roman"/>
          <w:b/>
          <w:szCs w:val="24"/>
          <w:u w:val="single"/>
        </w:rPr>
      </w:pPr>
    </w:p>
    <w:p w:rsidR="00435AED" w:rsidP="00435AED">
      <w:pPr>
        <w:spacing w:after="0" w:line="360" w:lineRule="auto"/>
        <w:ind w:firstLine="720"/>
        <w:rPr>
          <w:rFonts w:eastAsiaTheme="minorEastAsia" w:cs="Times New Roman"/>
          <w:szCs w:val="24"/>
        </w:rPr>
      </w:pPr>
      <w:r w:rsidRPr="006849DE">
        <w:rPr>
          <w:rFonts w:eastAsiaTheme="minorEastAsia" w:cs="Times New Roman"/>
          <w:szCs w:val="24"/>
        </w:rPr>
        <w:t xml:space="preserve">I hereby certify that a copy of the foregoing Application for Rehearing was served on the persons stated below via electronic transmission, this </w:t>
      </w:r>
      <w:r w:rsidR="00DB55E7">
        <w:rPr>
          <w:rFonts w:eastAsiaTheme="minorEastAsia" w:cs="Times New Roman"/>
          <w:szCs w:val="24"/>
        </w:rPr>
        <w:t>18th</w:t>
      </w:r>
      <w:r>
        <w:rPr>
          <w:rFonts w:eastAsiaTheme="minorEastAsia" w:cs="Times New Roman"/>
          <w:szCs w:val="24"/>
        </w:rPr>
        <w:t xml:space="preserve"> </w:t>
      </w:r>
      <w:r w:rsidRPr="006849DE">
        <w:rPr>
          <w:rFonts w:eastAsiaTheme="minorEastAsia" w:cs="Times New Roman"/>
          <w:szCs w:val="24"/>
        </w:rPr>
        <w:t>day of</w:t>
      </w:r>
      <w:r>
        <w:rPr>
          <w:rFonts w:eastAsiaTheme="minorEastAsia" w:cs="Times New Roman"/>
          <w:szCs w:val="24"/>
        </w:rPr>
        <w:t xml:space="preserve"> </w:t>
      </w:r>
      <w:r w:rsidR="0086545F">
        <w:rPr>
          <w:rFonts w:eastAsiaTheme="minorEastAsia" w:cs="Times New Roman"/>
          <w:szCs w:val="24"/>
        </w:rPr>
        <w:t xml:space="preserve">January </w:t>
      </w:r>
      <w:r>
        <w:rPr>
          <w:rFonts w:eastAsiaTheme="minorEastAsia" w:cs="Times New Roman"/>
          <w:szCs w:val="24"/>
        </w:rPr>
        <w:t>201</w:t>
      </w:r>
      <w:r w:rsidR="0086545F">
        <w:rPr>
          <w:rFonts w:eastAsiaTheme="minorEastAsia" w:cs="Times New Roman"/>
          <w:szCs w:val="24"/>
        </w:rPr>
        <w:t>9</w:t>
      </w:r>
      <w:r w:rsidRPr="006849DE">
        <w:rPr>
          <w:rFonts w:eastAsiaTheme="minorEastAsia" w:cs="Times New Roman"/>
          <w:szCs w:val="24"/>
        </w:rPr>
        <w:t>.</w:t>
      </w:r>
    </w:p>
    <w:p w:rsidR="00435AED" w:rsidRPr="006849DE" w:rsidP="00435AED">
      <w:pPr>
        <w:spacing w:after="0" w:line="360" w:lineRule="auto"/>
        <w:ind w:firstLine="720"/>
        <w:rPr>
          <w:rFonts w:eastAsiaTheme="minorEastAsia" w:cs="Times New Roman"/>
          <w:szCs w:val="24"/>
        </w:rPr>
      </w:pPr>
    </w:p>
    <w:p w:rsidR="00435AED" w:rsidRPr="006849DE" w:rsidP="00435AED">
      <w:pPr>
        <w:spacing w:after="0" w:line="240" w:lineRule="auto"/>
        <w:ind w:firstLine="5040"/>
        <w:rPr>
          <w:rFonts w:eastAsiaTheme="minorEastAsia" w:cs="Times New Roman"/>
          <w:szCs w:val="24"/>
        </w:rPr>
      </w:pPr>
      <w:r w:rsidRPr="006849DE">
        <w:rPr>
          <w:rFonts w:eastAsiaTheme="minorEastAsia" w:cs="Times New Roman"/>
          <w:szCs w:val="24"/>
          <w:u w:val="single"/>
        </w:rPr>
        <w:t xml:space="preserve">/s/ </w:t>
      </w:r>
      <w:r>
        <w:rPr>
          <w:rFonts w:eastAsiaTheme="minorEastAsia" w:cs="Times New Roman"/>
          <w:i/>
          <w:szCs w:val="24"/>
          <w:u w:val="single"/>
        </w:rPr>
        <w:t>Christopher Healey</w:t>
      </w:r>
      <w:r w:rsidRPr="006849DE">
        <w:rPr>
          <w:rFonts w:eastAsiaTheme="minorEastAsia" w:cs="Times New Roman"/>
          <w:szCs w:val="24"/>
        </w:rPr>
        <w:t>_______</w:t>
      </w:r>
    </w:p>
    <w:p w:rsidR="00435AED" w:rsidRPr="006849DE" w:rsidP="00435AED">
      <w:pPr>
        <w:spacing w:after="0" w:line="240" w:lineRule="auto"/>
        <w:ind w:firstLine="5040"/>
        <w:rPr>
          <w:rFonts w:eastAsiaTheme="minorEastAsia" w:cs="Times New Roman"/>
          <w:szCs w:val="24"/>
        </w:rPr>
      </w:pPr>
      <w:r>
        <w:rPr>
          <w:rFonts w:eastAsiaTheme="minorEastAsia" w:cs="Times New Roman"/>
          <w:szCs w:val="24"/>
        </w:rPr>
        <w:t>Christopher Healey</w:t>
      </w:r>
    </w:p>
    <w:p w:rsidR="00435AED" w:rsidP="00435AED">
      <w:pPr>
        <w:spacing w:after="0" w:line="240" w:lineRule="auto"/>
        <w:ind w:firstLine="5040"/>
        <w:rPr>
          <w:rFonts w:eastAsiaTheme="minorEastAsia" w:cs="Times New Roman"/>
          <w:szCs w:val="24"/>
        </w:rPr>
      </w:pPr>
      <w:r>
        <w:rPr>
          <w:rFonts w:eastAsiaTheme="minorEastAsia" w:cs="Times New Roman"/>
          <w:szCs w:val="24"/>
        </w:rPr>
        <w:t>Energy Resource Planning Counsel</w:t>
      </w:r>
    </w:p>
    <w:p w:rsidR="00435AED" w:rsidP="00435AED">
      <w:pPr>
        <w:jc w:val="center"/>
        <w:rPr>
          <w:b/>
          <w:u w:val="single"/>
        </w:rPr>
      </w:pPr>
    </w:p>
    <w:p w:rsidR="00435AED" w:rsidP="00435AED">
      <w:pPr>
        <w:tabs>
          <w:tab w:val="left" w:pos="4320"/>
        </w:tabs>
        <w:jc w:val="center"/>
        <w:rPr>
          <w:b/>
          <w:u w:val="single"/>
        </w:rPr>
      </w:pPr>
      <w:r w:rsidRPr="00384E27">
        <w:rPr>
          <w:b/>
          <w:u w:val="single"/>
        </w:rPr>
        <w:t>SERVICE LIST</w:t>
      </w:r>
    </w:p>
    <w:tbl>
      <w:tblPr>
        <w:tblW w:w="8856" w:type="dxa"/>
        <w:tblInd w:w="0" w:type="dxa"/>
        <w:tblCellMar>
          <w:top w:w="0" w:type="dxa"/>
          <w:left w:w="108" w:type="dxa"/>
          <w:bottom w:w="0" w:type="dxa"/>
          <w:right w:w="108" w:type="dxa"/>
        </w:tblCellMar>
        <w:tblLook w:val="01E0"/>
      </w:tblPr>
      <w:tblGrid>
        <w:gridCol w:w="4428"/>
        <w:gridCol w:w="4428"/>
      </w:tblGrid>
      <w:tr w:rsidTr="009E1DF6">
        <w:tblPrEx>
          <w:tblW w:w="8856" w:type="dxa"/>
          <w:tblInd w:w="0" w:type="dxa"/>
          <w:tblCellMar>
            <w:top w:w="0" w:type="dxa"/>
            <w:left w:w="108" w:type="dxa"/>
            <w:bottom w:w="0" w:type="dxa"/>
            <w:right w:w="108" w:type="dxa"/>
          </w:tblCellMar>
          <w:tblLook w:val="01E0"/>
        </w:tblPrEx>
        <w:tc>
          <w:tcPr>
            <w:tcW w:w="4428" w:type="dxa"/>
          </w:tcPr>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john.jones@ohioattorneygeneral.gov</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Elizabeth.watts@duke-energy.com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ricks@ohanet.org</w:t>
            </w:r>
            <w:r w:rsidRPr="00333B55">
              <w:rPr>
                <w:rFonts w:ascii="Times New Roman" w:hAnsi="Times New Roman" w:eastAsiaTheme="minorHAnsi" w:cstheme="minorBidi"/>
                <w:sz w:val="24"/>
                <w:szCs w:val="24"/>
                <w:lang w:val="en-US" w:eastAsia="en-US" w:bidi="ar-SA"/>
              </w:rPr>
              <w:t xml:space="preserve"> </w:t>
            </w:r>
          </w:p>
          <w:p w:rsidR="000C1DD9" w:rsidRPr="00333B55" w:rsidP="000C1DD9">
            <w:pPr>
              <w:autoSpaceDE w:val="0"/>
              <w:autoSpaceDN w:val="0"/>
              <w:adjustRightInd w:val="0"/>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mwarnock@bricker.com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dborchers@bricker.com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haydenm@firstenergycorp.com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Hyperlink"/>
                <w:rFonts w:ascii="Times New Roman" w:hAnsi="Times New Roman" w:eastAsiaTheme="minorHAnsi" w:cstheme="minorBidi"/>
                <w:color w:val="auto"/>
                <w:sz w:val="24"/>
                <w:szCs w:val="22"/>
                <w:u w:val="none"/>
                <w:lang w:val="en-US" w:eastAsia="en-US" w:bidi="ar-SA"/>
              </w:rPr>
              <w:t>callwein@keglerbrown.com</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jfinnigan@edf.org</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sidR="00A62C1D">
              <w:rPr>
                <w:rStyle w:val="DefaultParagraphFont"/>
                <w:rFonts w:ascii="Times New Roman" w:hAnsi="Times New Roman" w:eastAsiaTheme="minorHAnsi" w:cstheme="minorBidi"/>
                <w:color w:val="auto"/>
                <w:sz w:val="24"/>
                <w:szCs w:val="24"/>
                <w:u w:val="none"/>
                <w:lang w:val="en-US" w:eastAsia="en-US" w:bidi="ar-SA"/>
              </w:rPr>
              <w:t>meissnerjoseph@yahoo.com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cdunn@firstenergycorp.com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stnourse@aep.com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mkl@bbrslaw.com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susan@heatispower.org</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cuttica@uic.edu</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psharkey@environmentallawcounsel.com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Attorney Examiners:</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Hyperlink"/>
                <w:rFonts w:ascii="Times New Roman" w:hAnsi="Times New Roman" w:eastAsiaTheme="minorHAnsi" w:cstheme="minorBidi"/>
                <w:color w:val="auto"/>
                <w:sz w:val="24"/>
                <w:szCs w:val="24"/>
                <w:u w:val="none"/>
                <w:lang w:val="en-US" w:eastAsia="en-US" w:bidi="ar-SA"/>
              </w:rPr>
              <w:t>anna.sanyal@puc.state.oh.us</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p>
        </w:tc>
        <w:tc>
          <w:tcPr>
            <w:tcW w:w="4428" w:type="dxa"/>
          </w:tcPr>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scasto@firstenergycorp.com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judi.sobecki@aes.com</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tdonnell@dickinsonwright.com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cmontgomery@dickinsonwright.com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mswhite@igsenergy.com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nmcdaniel@elpc.org</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trent@theoec.org</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swilliams@nrdc.org</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drinebolt@ohiopartners.org</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nojko@carpenterlipps.com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hussy@carpenterlipps.com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mohler@carpenterlipps.com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fdarr@mwncmh.com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mpritchard@mwncmh.com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jennifer@dgardiner.com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kjoseph@napower.com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DefaultParagraphFont"/>
                <w:rFonts w:ascii="Times New Roman" w:hAnsi="Times New Roman" w:eastAsiaTheme="minorHAnsi" w:cstheme="minorBidi"/>
                <w:color w:val="auto"/>
                <w:sz w:val="24"/>
                <w:szCs w:val="24"/>
                <w:u w:val="none"/>
                <w:lang w:val="en-US" w:eastAsia="en-US" w:bidi="ar-SA"/>
              </w:rPr>
              <w:t>cgelo@napower.com</w:t>
            </w:r>
            <w:r w:rsidRPr="00333B55">
              <w:rPr>
                <w:rFonts w:ascii="Times New Roman" w:hAnsi="Times New Roman" w:eastAsiaTheme="minorHAnsi" w:cstheme="minorBidi"/>
                <w:sz w:val="24"/>
                <w:szCs w:val="24"/>
                <w:lang w:val="en-US" w:eastAsia="en-US" w:bidi="ar-SA"/>
              </w:rPr>
              <w:t xml:space="preserve">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p>
        </w:tc>
      </w:tr>
    </w:tbl>
    <w:p w:rsidR="000C1DD9" w:rsidRPr="00384E27" w:rsidP="000C1DD9">
      <w:pPr>
        <w:tabs>
          <w:tab w:val="left" w:pos="4320"/>
        </w:tabs>
        <w:rPr>
          <w:u w:val="single"/>
        </w:rPr>
      </w:pPr>
    </w:p>
    <w:sectPr w:rsidSect="00435AED">
      <w:footerReference w:type="default" r:id="rId14"/>
      <w:pgSz w:w="12240" w:h="15840"/>
      <w:pgMar w:top="1440" w:right="1800" w:bottom="1440"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6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296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6D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8004390"/>
      <w:docPartObj>
        <w:docPartGallery w:val="Page Numbers (Bottom of Page)"/>
        <w:docPartUnique/>
      </w:docPartObj>
    </w:sdtPr>
    <w:sdtEndPr>
      <w:rPr>
        <w:noProof/>
      </w:rPr>
    </w:sdtEndPr>
    <w:sdtContent>
      <w:p w:rsidR="000C06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2965">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9967990"/>
      <w:docPartObj>
        <w:docPartGallery w:val="Page Numbers (Bottom of Page)"/>
        <w:docPartUnique/>
      </w:docPartObj>
    </w:sdtPr>
    <w:sdtEndPr>
      <w:rPr>
        <w:noProof/>
      </w:rPr>
    </w:sdtEndPr>
    <w:sdtContent>
      <w:p w:rsidR="00AA296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AED" w:rsidRPr="007F24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53A5D" w:rsidP="00435AED">
      <w:pPr>
        <w:spacing w:after="0" w:line="240" w:lineRule="auto"/>
        <w:rPr>
          <w:noProof/>
        </w:rPr>
      </w:pPr>
      <w:r>
        <w:rPr>
          <w:noProof/>
        </w:rPr>
        <w:separator/>
      </w:r>
    </w:p>
  </w:footnote>
  <w:footnote w:type="continuationSeparator" w:id="1">
    <w:p w:rsidR="00353A5D" w:rsidP="00435AED">
      <w:pPr>
        <w:spacing w:after="0" w:line="240" w:lineRule="auto"/>
      </w:pPr>
      <w:r>
        <w:continuationSeparator/>
      </w:r>
    </w:p>
  </w:footnote>
  <w:footnote w:id="2">
    <w:p w:rsidR="00435AED" w:rsidP="00F35146">
      <w:pPr>
        <w:pStyle w:val="FootnoteText"/>
      </w:pPr>
      <w:r>
        <w:rPr>
          <w:rStyle w:val="FootnoteReference"/>
        </w:rPr>
        <w:footnoteRef/>
      </w:r>
      <w:r>
        <w:t xml:space="preserve"> Finding and Order (Dec. 19, 2018).</w:t>
      </w:r>
    </w:p>
  </w:footnote>
  <w:footnote w:id="3">
    <w:p w:rsidR="00435AED">
      <w:pPr>
        <w:pStyle w:val="FootnoteText"/>
      </w:pPr>
      <w:r>
        <w:rPr>
          <w:rStyle w:val="FootnoteReference"/>
        </w:rPr>
        <w:footnoteRef/>
      </w:r>
      <w:r>
        <w:t xml:space="preserve"> Order, Attachment A at 25 (Rule 4901:1-39-05(A)(1)(c)).</w:t>
      </w:r>
    </w:p>
  </w:footnote>
  <w:footnote w:id="4">
    <w:p w:rsidR="00435AED">
      <w:pPr>
        <w:pStyle w:val="FootnoteText"/>
      </w:pPr>
      <w:r>
        <w:rPr>
          <w:rStyle w:val="FootnoteReference"/>
        </w:rPr>
        <w:footnoteRef/>
      </w:r>
      <w:r>
        <w:t xml:space="preserve"> Order, Attachment A at 27 (Rule 4901:1-39-05(C)).</w:t>
      </w:r>
    </w:p>
  </w:footnote>
  <w:footnote w:id="5">
    <w:p w:rsidR="00435AED">
      <w:pPr>
        <w:pStyle w:val="FootnoteText"/>
      </w:pPr>
      <w:r>
        <w:rPr>
          <w:rStyle w:val="FootnoteReference"/>
        </w:rPr>
        <w:footnoteRef/>
      </w:r>
      <w:r>
        <w:t xml:space="preserve"> Order, Attachment A at 23-28 (Rule 4901:1-39-05(A)-(F)).</w:t>
      </w:r>
    </w:p>
  </w:footnote>
  <w:footnote w:id="6">
    <w:p w:rsidR="00435AED">
      <w:pPr>
        <w:pStyle w:val="FootnoteText"/>
      </w:pPr>
      <w:r>
        <w:rPr>
          <w:rStyle w:val="FootnoteReference"/>
        </w:rPr>
        <w:footnoteRef/>
      </w:r>
      <w:r>
        <w:t xml:space="preserve"> Order, Attachment B at 24 (Rule 4901:1-40-05(A)(e)(d)); Attachment B at 27-29 (Rule 4901:1-40-07).</w:t>
      </w:r>
    </w:p>
  </w:footnote>
  <w:footnote w:id="7">
    <w:p w:rsidR="00435AED" w:rsidRPr="003F424C">
      <w:pPr>
        <w:pStyle w:val="FootnoteText"/>
      </w:pPr>
      <w:r>
        <w:rPr>
          <w:rStyle w:val="FootnoteReference"/>
        </w:rPr>
        <w:footnoteRef/>
      </w:r>
      <w:r>
        <w:t xml:space="preserve"> </w:t>
      </w:r>
      <w:r>
        <w:rPr>
          <w:i/>
        </w:rPr>
        <w:t>See</w:t>
      </w:r>
      <w:r>
        <w:t xml:space="preserve"> Case No. 16-574-EL-POR (up to $108 million per year for AEP Ohio customers); Case No. 16-743-EL-POR (up to $111 million per year for FirstEnergy customers); Case No. 16-576-EL-POR (up to $38 million per year for Duke customers); Case No. 17-1398-EL-POR (up to $33 million per year for DP&amp;L customers).</w:t>
      </w:r>
    </w:p>
  </w:footnote>
  <w:footnote w:id="8">
    <w:p w:rsidR="00435AED" w:rsidP="00587E17">
      <w:pPr>
        <w:pStyle w:val="FootnoteText"/>
      </w:pPr>
      <w:r>
        <w:rPr>
          <w:rStyle w:val="FootnoteReference"/>
        </w:rPr>
        <w:footnoteRef/>
      </w:r>
      <w:r>
        <w:t xml:space="preserve"> R.C. 4903.10.</w:t>
      </w:r>
    </w:p>
  </w:footnote>
  <w:footnote w:id="9">
    <w:p w:rsidR="00435AED" w:rsidRPr="005B061F" w:rsidP="00587E17">
      <w:pPr>
        <w:pStyle w:val="FootnoteText"/>
      </w:pPr>
      <w:r>
        <w:rPr>
          <w:rStyle w:val="FootnoteReference"/>
        </w:rPr>
        <w:footnoteRef/>
      </w:r>
      <w:r>
        <w:t xml:space="preserve"> R.C. 4903.10(B). </w:t>
      </w:r>
      <w:r>
        <w:rPr>
          <w:i/>
        </w:rPr>
        <w:t>See also</w:t>
      </w:r>
      <w:r>
        <w:t xml:space="preserve"> Ohio Adm. Code 4901-1-35(A).</w:t>
      </w:r>
    </w:p>
  </w:footnote>
  <w:footnote w:id="10">
    <w:p w:rsidR="00435AED" w:rsidP="00587E17">
      <w:pPr>
        <w:pStyle w:val="FootnoteText"/>
      </w:pPr>
      <w:r>
        <w:rPr>
          <w:rStyle w:val="FootnoteReference"/>
        </w:rPr>
        <w:footnoteRef/>
      </w:r>
      <w:r>
        <w:t xml:space="preserve"> R.C. 4903.10(B).</w:t>
      </w:r>
    </w:p>
  </w:footnote>
  <w:footnote w:id="11">
    <w:p w:rsidR="00435AED">
      <w:pPr>
        <w:pStyle w:val="FootnoteText"/>
      </w:pPr>
      <w:r>
        <w:rPr>
          <w:rStyle w:val="FootnoteReference"/>
        </w:rPr>
        <w:footnoteRef/>
      </w:r>
      <w:r>
        <w:t xml:space="preserve"> Ohio Adm. Code 4901:1-39-04(A).</w:t>
      </w:r>
    </w:p>
  </w:footnote>
  <w:footnote w:id="12">
    <w:p w:rsidR="00435AED">
      <w:pPr>
        <w:pStyle w:val="FootnoteText"/>
      </w:pPr>
      <w:r>
        <w:rPr>
          <w:rStyle w:val="FootnoteReference"/>
        </w:rPr>
        <w:footnoteRef/>
      </w:r>
      <w:r>
        <w:t xml:space="preserve"> Ohio Adm. Code 4901:1-39-04(D)-(E).</w:t>
      </w:r>
    </w:p>
  </w:footnote>
  <w:footnote w:id="13">
    <w:p w:rsidR="00435AED">
      <w:pPr>
        <w:pStyle w:val="FootnoteText"/>
      </w:pPr>
      <w:r>
        <w:rPr>
          <w:rStyle w:val="FootnoteReference"/>
        </w:rPr>
        <w:footnoteRef/>
      </w:r>
      <w:r>
        <w:t xml:space="preserve"> Order, Attachment A at 16 (Rule 4901:1-39-04(A)).</w:t>
      </w:r>
    </w:p>
  </w:footnote>
  <w:footnote w:id="14">
    <w:p w:rsidR="00435AED">
      <w:pPr>
        <w:pStyle w:val="FootnoteText"/>
      </w:pPr>
      <w:r>
        <w:rPr>
          <w:rStyle w:val="FootnoteReference"/>
        </w:rPr>
        <w:footnoteRef/>
      </w:r>
      <w:r>
        <w:t xml:space="preserve"> Order, Attachment A at 29 (Rule 4901:1-39-06(B)).</w:t>
      </w:r>
    </w:p>
  </w:footnote>
  <w:footnote w:id="15">
    <w:p w:rsidR="00435AED">
      <w:pPr>
        <w:pStyle w:val="FootnoteText"/>
      </w:pPr>
      <w:r>
        <w:rPr>
          <w:rStyle w:val="FootnoteReference"/>
        </w:rPr>
        <w:footnoteRef/>
      </w:r>
      <w:r>
        <w:t xml:space="preserve"> Order, Attachment A at 30 (Rule 4901:1-39-06(B)).</w:t>
      </w:r>
    </w:p>
  </w:footnote>
  <w:footnote w:id="16">
    <w:p w:rsidR="00C301B4">
      <w:pPr>
        <w:pStyle w:val="FootnoteText"/>
      </w:pPr>
      <w:r>
        <w:rPr>
          <w:rStyle w:val="FootnoteReference"/>
        </w:rPr>
        <w:footnoteRef/>
      </w:r>
      <w:r>
        <w:t xml:space="preserve"> Ohio Adm. Code 4901-1-19(A), 4901-1-20(C), 4901-1-22(B).</w:t>
      </w:r>
    </w:p>
  </w:footnote>
  <w:footnote w:id="17">
    <w:p w:rsidR="00435AED">
      <w:pPr>
        <w:pStyle w:val="FootnoteText"/>
      </w:pPr>
      <w:r>
        <w:rPr>
          <w:rStyle w:val="FootnoteReference"/>
        </w:rPr>
        <w:footnoteRef/>
      </w:r>
      <w:r>
        <w:t xml:space="preserve"> Case Nos. 16-743-EL-POR, 16-574-EL-POR.</w:t>
      </w:r>
    </w:p>
  </w:footnote>
  <w:footnote w:id="18">
    <w:p w:rsidR="00E44900">
      <w:pPr>
        <w:pStyle w:val="FootnoteText"/>
      </w:pPr>
      <w:r>
        <w:rPr>
          <w:rStyle w:val="FootnoteReference"/>
        </w:rPr>
        <w:footnoteRef/>
      </w:r>
      <w:r>
        <w:t xml:space="preserve"> R.C. 4903.082.</w:t>
      </w:r>
    </w:p>
  </w:footnote>
  <w:footnote w:id="19">
    <w:p w:rsidR="00435AED" w:rsidRPr="0053350C">
      <w:pPr>
        <w:pStyle w:val="FootnoteText"/>
      </w:pPr>
      <w:r>
        <w:rPr>
          <w:rStyle w:val="FootnoteReference"/>
        </w:rPr>
        <w:footnoteRef/>
      </w:r>
      <w:r>
        <w:t xml:space="preserve"> Ohio Adm. Code 4901:1-39-04(E) (“The commission </w:t>
      </w:r>
      <w:r>
        <w:rPr>
          <w:i/>
        </w:rPr>
        <w:t>shall</w:t>
      </w:r>
      <w:r>
        <w:t xml:space="preserve"> set the matter for hearing...”) (emphasis added).</w:t>
      </w:r>
    </w:p>
  </w:footnote>
  <w:footnote w:id="20">
    <w:p w:rsidR="00000261">
      <w:pPr>
        <w:pStyle w:val="FootnoteText"/>
      </w:pPr>
      <w:r>
        <w:rPr>
          <w:rStyle w:val="FootnoteReference"/>
        </w:rPr>
        <w:footnoteRef/>
      </w:r>
      <w:r w:rsidRPr="00000261">
        <w:t xml:space="preserve"> </w:t>
      </w:r>
      <w:r w:rsidRPr="00000261">
        <w:rPr>
          <w:i/>
        </w:rPr>
        <w:t>State ex rel. Ormet Corp. v. Industrial Commission of Ohio</w:t>
      </w:r>
      <w:r w:rsidRPr="00000261">
        <w:t xml:space="preserve"> (1990), 54 Ohio St. 3d 102, 103.</w:t>
      </w:r>
      <w:r w:rsidRPr="00F03D72">
        <w:rPr>
          <w:sz w:val="24"/>
          <w:szCs w:val="24"/>
        </w:rPr>
        <w:t xml:space="preserve">  </w:t>
      </w:r>
    </w:p>
  </w:footnote>
  <w:footnote w:id="21">
    <w:p w:rsidR="00000261">
      <w:pPr>
        <w:pStyle w:val="FootnoteText"/>
      </w:pPr>
      <w:r>
        <w:rPr>
          <w:rStyle w:val="FootnoteReference"/>
        </w:rPr>
        <w:footnoteRef/>
      </w:r>
      <w:r>
        <w:t xml:space="preserve"> </w:t>
      </w:r>
      <w:r w:rsidRPr="00000261">
        <w:rPr>
          <w:i/>
        </w:rPr>
        <w:t>See, e.g.,</w:t>
      </w:r>
      <w:r w:rsidRPr="00000261">
        <w:t xml:space="preserve"> R.C. 4909.19 and R.C. 4909.43.</w:t>
      </w:r>
      <w:r w:rsidRPr="00F03D72">
        <w:rPr>
          <w:sz w:val="24"/>
          <w:szCs w:val="24"/>
        </w:rPr>
        <w:t xml:space="preserve">  </w:t>
      </w:r>
    </w:p>
  </w:footnote>
  <w:footnote w:id="22">
    <w:p w:rsidR="004859B0">
      <w:pPr>
        <w:pStyle w:val="FootnoteText"/>
      </w:pPr>
      <w:r>
        <w:rPr>
          <w:rStyle w:val="FootnoteReference"/>
        </w:rPr>
        <w:footnoteRef/>
      </w:r>
      <w:r>
        <w:t xml:space="preserve"> Case No. 14-1297-EL-SSO, Fifth Entry on Rehearing</w:t>
      </w:r>
      <w:r w:rsidR="00000261">
        <w:t>,</w:t>
      </w:r>
      <w:r>
        <w:t xml:space="preserve"> ¶324 (Oct. 12, 2016).</w:t>
      </w:r>
    </w:p>
  </w:footnote>
  <w:footnote w:id="23">
    <w:p w:rsidR="004859B0">
      <w:pPr>
        <w:pStyle w:val="FootnoteText"/>
      </w:pPr>
      <w:r>
        <w:rPr>
          <w:rStyle w:val="FootnoteReference"/>
        </w:rPr>
        <w:footnoteRef/>
      </w:r>
      <w:r>
        <w:t xml:space="preserve"> R.C. 4928.6611</w:t>
      </w:r>
      <w:r w:rsidR="00B2383C">
        <w:t>, R.C. 4928.6613.</w:t>
      </w:r>
    </w:p>
  </w:footnote>
  <w:footnote w:id="24">
    <w:p w:rsidR="00DB55E7">
      <w:pPr>
        <w:pStyle w:val="FootnoteText"/>
      </w:pPr>
      <w:r>
        <w:rPr>
          <w:rStyle w:val="FootnoteReference"/>
        </w:rPr>
        <w:footnoteRef/>
      </w:r>
      <w:r>
        <w:t xml:space="preserve"> Case No. 16-576-EL-POR; Case No. 16-743-EL-POR.</w:t>
      </w:r>
    </w:p>
  </w:footnote>
  <w:footnote w:id="25">
    <w:p w:rsidR="00AF1271" w:rsidRPr="00AF1271">
      <w:pPr>
        <w:pStyle w:val="FootnoteText"/>
      </w:pPr>
      <w:r>
        <w:rPr>
          <w:rStyle w:val="FootnoteReference"/>
        </w:rPr>
        <w:footnoteRef/>
      </w:r>
      <w:r>
        <w:t xml:space="preserve"> Parties have 30 days to file comments, and 30 days after that, the utility’s proposal is “automatically deemed to be reasonable.” </w:t>
      </w:r>
      <w:r>
        <w:rPr>
          <w:i/>
        </w:rPr>
        <w:t>See</w:t>
      </w:r>
      <w:r>
        <w:t xml:space="preserve"> Order, Attachment A at 30 (Rule 4901:1-39-06(B)).</w:t>
      </w:r>
    </w:p>
  </w:footnote>
  <w:footnote w:id="26">
    <w:p w:rsidR="00172501">
      <w:pPr>
        <w:pStyle w:val="FootnoteText"/>
      </w:pPr>
      <w:r>
        <w:rPr>
          <w:rStyle w:val="FootnoteReference"/>
        </w:rPr>
        <w:footnoteRef/>
      </w:r>
      <w:r>
        <w:t xml:space="preserve"> R.C. 4905.22.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6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6D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6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E7D47124"/>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BF5A5764"/>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AAB0A760"/>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3C06257C"/>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0152183A"/>
    <w:lvl w:ilvl="0">
      <w:start w:val="1"/>
      <w:numFmt w:val="bullet"/>
      <w:lvlText w:val=""/>
      <w:lvlJc w:val="left"/>
      <w:pPr>
        <w:tabs>
          <w:tab w:val="num" w:pos="360"/>
        </w:tabs>
        <w:ind w:left="360" w:hanging="360"/>
      </w:pPr>
      <w:rPr>
        <w:rFonts w:ascii="Symbol" w:hAnsi="Symbol" w:hint="default"/>
      </w:rPr>
    </w:lvl>
  </w:abstractNum>
  <w:abstractNum w:abstractNumId="5">
    <w:nsid w:val="00322334"/>
    <w:multiLevelType w:val="hybridMultilevel"/>
    <w:tmpl w:val="C4A6C6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15841E5"/>
    <w:multiLevelType w:val="hybridMultilevel"/>
    <w:tmpl w:val="F1D8AF18"/>
    <w:lvl w:ilvl="0">
      <w:start w:val="1"/>
      <w:numFmt w:val="upperRoman"/>
      <w:pStyle w:val="Heading1"/>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E55674"/>
    <w:multiLevelType w:val="hybridMultilevel"/>
    <w:tmpl w:val="9C4EEEA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B393111"/>
    <w:multiLevelType w:val="hybridMultilevel"/>
    <w:tmpl w:val="245885E8"/>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C0D12AF"/>
    <w:multiLevelType w:val="hybridMultilevel"/>
    <w:tmpl w:val="16729C92"/>
    <w:lvl w:ilvl="0">
      <w:start w:val="1"/>
      <w:numFmt w:val="decimal"/>
      <w:lvlText w:val="%1."/>
      <w:lvlJc w:val="left"/>
      <w:pPr>
        <w:ind w:left="778" w:hanging="360"/>
      </w:pPr>
      <w:rPr>
        <w:b/>
      </w:rPr>
    </w:lvl>
    <w:lvl w:ilvl="1" w:tentative="1">
      <w:start w:val="1"/>
      <w:numFmt w:val="lowerLetter"/>
      <w:lvlText w:val="%2."/>
      <w:lvlJc w:val="left"/>
      <w:pPr>
        <w:ind w:left="1498" w:hanging="360"/>
      </w:pPr>
    </w:lvl>
    <w:lvl w:ilvl="2" w:tentative="1">
      <w:start w:val="1"/>
      <w:numFmt w:val="lowerRoman"/>
      <w:lvlText w:val="%3."/>
      <w:lvlJc w:val="right"/>
      <w:pPr>
        <w:ind w:left="2218" w:hanging="180"/>
      </w:pPr>
    </w:lvl>
    <w:lvl w:ilvl="3" w:tentative="1">
      <w:start w:val="1"/>
      <w:numFmt w:val="decimal"/>
      <w:lvlText w:val="%4."/>
      <w:lvlJc w:val="left"/>
      <w:pPr>
        <w:ind w:left="2938" w:hanging="360"/>
      </w:pPr>
    </w:lvl>
    <w:lvl w:ilvl="4" w:tentative="1">
      <w:start w:val="1"/>
      <w:numFmt w:val="lowerLetter"/>
      <w:lvlText w:val="%5."/>
      <w:lvlJc w:val="left"/>
      <w:pPr>
        <w:ind w:left="3658" w:hanging="360"/>
      </w:pPr>
    </w:lvl>
    <w:lvl w:ilvl="5" w:tentative="1">
      <w:start w:val="1"/>
      <w:numFmt w:val="lowerRoman"/>
      <w:lvlText w:val="%6."/>
      <w:lvlJc w:val="right"/>
      <w:pPr>
        <w:ind w:left="4378" w:hanging="180"/>
      </w:pPr>
    </w:lvl>
    <w:lvl w:ilvl="6" w:tentative="1">
      <w:start w:val="1"/>
      <w:numFmt w:val="decimal"/>
      <w:lvlText w:val="%7."/>
      <w:lvlJc w:val="left"/>
      <w:pPr>
        <w:ind w:left="5098" w:hanging="360"/>
      </w:pPr>
    </w:lvl>
    <w:lvl w:ilvl="7" w:tentative="1">
      <w:start w:val="1"/>
      <w:numFmt w:val="lowerLetter"/>
      <w:lvlText w:val="%8."/>
      <w:lvlJc w:val="left"/>
      <w:pPr>
        <w:ind w:left="5818" w:hanging="360"/>
      </w:pPr>
    </w:lvl>
    <w:lvl w:ilvl="8" w:tentative="1">
      <w:start w:val="1"/>
      <w:numFmt w:val="lowerRoman"/>
      <w:lvlText w:val="%9."/>
      <w:lvlJc w:val="right"/>
      <w:pPr>
        <w:ind w:left="6538" w:hanging="180"/>
      </w:pPr>
    </w:lvl>
  </w:abstractNum>
  <w:abstractNum w:abstractNumId="10">
    <w:nsid w:val="0C45766B"/>
    <w:multiLevelType w:val="hybridMultilevel"/>
    <w:tmpl w:val="A5C03746"/>
    <w:lvl w:ilvl="0">
      <w:start w:val="1"/>
      <w:numFmt w:val="upperLetter"/>
      <w:lvlText w:val="%1."/>
      <w:lvlJc w:val="left"/>
      <w:pPr>
        <w:ind w:left="324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1">
    <w:nsid w:val="0EC67D1C"/>
    <w:multiLevelType w:val="hybridMultilevel"/>
    <w:tmpl w:val="EF505188"/>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AD25BD"/>
    <w:multiLevelType w:val="hybridMultilevel"/>
    <w:tmpl w:val="AFE0CF3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0E8414B"/>
    <w:multiLevelType w:val="hybridMultilevel"/>
    <w:tmpl w:val="33F0F474"/>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6A56791"/>
    <w:multiLevelType w:val="hybridMultilevel"/>
    <w:tmpl w:val="20E204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7A66774"/>
    <w:multiLevelType w:val="hybridMultilevel"/>
    <w:tmpl w:val="839EADB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A961368"/>
    <w:multiLevelType w:val="hybridMultilevel"/>
    <w:tmpl w:val="8EE2E24E"/>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nsid w:val="1D086487"/>
    <w:multiLevelType w:val="hybridMultilevel"/>
    <w:tmpl w:val="B8A28E2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2043176"/>
    <w:multiLevelType w:val="hybridMultilevel"/>
    <w:tmpl w:val="EF507CA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2E4477C"/>
    <w:multiLevelType w:val="hybridMultilevel"/>
    <w:tmpl w:val="52D2A1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91660CD"/>
    <w:multiLevelType w:val="hybridMultilevel"/>
    <w:tmpl w:val="CAB638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95B5242"/>
    <w:multiLevelType w:val="hybridMultilevel"/>
    <w:tmpl w:val="F0BCEF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A357A18"/>
    <w:multiLevelType w:val="hybridMultilevel"/>
    <w:tmpl w:val="9FAC28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F440CF7"/>
    <w:multiLevelType w:val="hybridMultilevel"/>
    <w:tmpl w:val="571A092A"/>
    <w:lvl w:ilvl="0">
      <w:start w:val="1"/>
      <w:numFmt w:val="decimal"/>
      <w:pStyle w:val="Heading4"/>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4">
    <w:nsid w:val="317B7CE6"/>
    <w:multiLevelType w:val="hybridMultilevel"/>
    <w:tmpl w:val="DF3CC6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55D5D6B"/>
    <w:multiLevelType w:val="hybridMultilevel"/>
    <w:tmpl w:val="348E87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3DBE7556"/>
    <w:multiLevelType w:val="hybridMultilevel"/>
    <w:tmpl w:val="56904B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3F8A44A5"/>
    <w:multiLevelType w:val="hybridMultilevel"/>
    <w:tmpl w:val="6E7625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41FB707D"/>
    <w:multiLevelType w:val="hybridMultilevel"/>
    <w:tmpl w:val="519C5DC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5260755"/>
    <w:multiLevelType w:val="hybridMultilevel"/>
    <w:tmpl w:val="6F4E7C9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743258A"/>
    <w:multiLevelType w:val="hybridMultilevel"/>
    <w:tmpl w:val="B33445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4C2F5E2B"/>
    <w:multiLevelType w:val="hybridMultilevel"/>
    <w:tmpl w:val="6568A10E"/>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4DAB6C42"/>
    <w:multiLevelType w:val="hybridMultilevel"/>
    <w:tmpl w:val="247AE7DE"/>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1502BAB"/>
    <w:multiLevelType w:val="hybridMultilevel"/>
    <w:tmpl w:val="F7260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19D3C25"/>
    <w:multiLevelType w:val="hybridMultilevel"/>
    <w:tmpl w:val="26363B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53286F4C"/>
    <w:multiLevelType w:val="hybridMultilevel"/>
    <w:tmpl w:val="F348B506"/>
    <w:lvl w:ilvl="0">
      <w:start w:val="2"/>
      <w:numFmt w:val="upp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5B014DF"/>
    <w:multiLevelType w:val="hybridMultilevel"/>
    <w:tmpl w:val="D19040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5A31614A"/>
    <w:multiLevelType w:val="hybridMultilevel"/>
    <w:tmpl w:val="6278EC9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F0518BC"/>
    <w:multiLevelType w:val="hybridMultilevel"/>
    <w:tmpl w:val="73644D5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8DA3CDD"/>
    <w:multiLevelType w:val="hybridMultilevel"/>
    <w:tmpl w:val="574460A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6FB419F2"/>
    <w:multiLevelType w:val="hybridMultilevel"/>
    <w:tmpl w:val="157EDF2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FFE2FD5"/>
    <w:multiLevelType w:val="hybridMultilevel"/>
    <w:tmpl w:val="7154FB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7E157A2"/>
    <w:multiLevelType w:val="hybridMultilevel"/>
    <w:tmpl w:val="03146A3E"/>
    <w:lvl w:ilvl="0">
      <w:start w:val="1"/>
      <w:numFmt w:val="decimal"/>
      <w:lvlText w:val="%1."/>
      <w:lvlJc w:val="left"/>
      <w:pPr>
        <w:ind w:left="778" w:hanging="360"/>
      </w:pPr>
      <w:rPr>
        <w:b/>
        <w:i w:val="0"/>
      </w:rPr>
    </w:lvl>
    <w:lvl w:ilvl="1" w:tentative="1">
      <w:start w:val="1"/>
      <w:numFmt w:val="lowerLetter"/>
      <w:lvlText w:val="%2."/>
      <w:lvlJc w:val="left"/>
      <w:pPr>
        <w:ind w:left="1498" w:hanging="360"/>
      </w:pPr>
    </w:lvl>
    <w:lvl w:ilvl="2" w:tentative="1">
      <w:start w:val="1"/>
      <w:numFmt w:val="lowerRoman"/>
      <w:lvlText w:val="%3."/>
      <w:lvlJc w:val="right"/>
      <w:pPr>
        <w:ind w:left="2218" w:hanging="180"/>
      </w:pPr>
    </w:lvl>
    <w:lvl w:ilvl="3" w:tentative="1">
      <w:start w:val="1"/>
      <w:numFmt w:val="decimal"/>
      <w:lvlText w:val="%4."/>
      <w:lvlJc w:val="left"/>
      <w:pPr>
        <w:ind w:left="2938" w:hanging="360"/>
      </w:pPr>
    </w:lvl>
    <w:lvl w:ilvl="4" w:tentative="1">
      <w:start w:val="1"/>
      <w:numFmt w:val="lowerLetter"/>
      <w:lvlText w:val="%5."/>
      <w:lvlJc w:val="left"/>
      <w:pPr>
        <w:ind w:left="3658" w:hanging="360"/>
      </w:pPr>
    </w:lvl>
    <w:lvl w:ilvl="5" w:tentative="1">
      <w:start w:val="1"/>
      <w:numFmt w:val="lowerRoman"/>
      <w:lvlText w:val="%6."/>
      <w:lvlJc w:val="right"/>
      <w:pPr>
        <w:ind w:left="4378" w:hanging="180"/>
      </w:pPr>
    </w:lvl>
    <w:lvl w:ilvl="6" w:tentative="1">
      <w:start w:val="1"/>
      <w:numFmt w:val="decimal"/>
      <w:lvlText w:val="%7."/>
      <w:lvlJc w:val="left"/>
      <w:pPr>
        <w:ind w:left="5098" w:hanging="360"/>
      </w:pPr>
    </w:lvl>
    <w:lvl w:ilvl="7" w:tentative="1">
      <w:start w:val="1"/>
      <w:numFmt w:val="lowerLetter"/>
      <w:lvlText w:val="%8."/>
      <w:lvlJc w:val="left"/>
      <w:pPr>
        <w:ind w:left="5818" w:hanging="360"/>
      </w:pPr>
    </w:lvl>
    <w:lvl w:ilvl="8" w:tentative="1">
      <w:start w:val="1"/>
      <w:numFmt w:val="lowerRoman"/>
      <w:lvlText w:val="%9."/>
      <w:lvlJc w:val="right"/>
      <w:pPr>
        <w:ind w:left="6538" w:hanging="180"/>
      </w:pPr>
    </w:lvl>
  </w:abstractNum>
  <w:abstractNum w:abstractNumId="43">
    <w:nsid w:val="79D82F71"/>
    <w:multiLevelType w:val="hybridMultilevel"/>
    <w:tmpl w:val="45FEB34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B66497B"/>
    <w:multiLevelType w:val="hybridMultilevel"/>
    <w:tmpl w:val="94343A5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43"/>
  </w:num>
  <w:num w:numId="2">
    <w:abstractNumId w:val="17"/>
  </w:num>
  <w:num w:numId="3">
    <w:abstractNumId w:val="37"/>
  </w:num>
  <w:num w:numId="4">
    <w:abstractNumId w:val="7"/>
  </w:num>
  <w:num w:numId="5">
    <w:abstractNumId w:val="29"/>
  </w:num>
  <w:num w:numId="6">
    <w:abstractNumId w:val="28"/>
  </w:num>
  <w:num w:numId="7">
    <w:abstractNumId w:val="13"/>
  </w:num>
  <w:num w:numId="8">
    <w:abstractNumId w:val="35"/>
  </w:num>
  <w:num w:numId="9">
    <w:abstractNumId w:val="19"/>
  </w:num>
  <w:num w:numId="10">
    <w:abstractNumId w:val="32"/>
  </w:num>
  <w:num w:numId="11">
    <w:abstractNumId w:val="21"/>
  </w:num>
  <w:num w:numId="12">
    <w:abstractNumId w:val="31"/>
  </w:num>
  <w:num w:numId="13">
    <w:abstractNumId w:val="24"/>
  </w:num>
  <w:num w:numId="14">
    <w:abstractNumId w:val="14"/>
  </w:num>
  <w:num w:numId="15">
    <w:abstractNumId w:val="8"/>
  </w:num>
  <w:num w:numId="16">
    <w:abstractNumId w:val="11"/>
  </w:num>
  <w:num w:numId="17">
    <w:abstractNumId w:val="33"/>
  </w:num>
  <w:num w:numId="18">
    <w:abstractNumId w:val="9"/>
  </w:num>
  <w:num w:numId="19">
    <w:abstractNumId w:val="42"/>
  </w:num>
  <w:num w:numId="20">
    <w:abstractNumId w:val="39"/>
  </w:num>
  <w:num w:numId="21">
    <w:abstractNumId w:val="5"/>
  </w:num>
  <w:num w:numId="22">
    <w:abstractNumId w:val="16"/>
  </w:num>
  <w:num w:numId="23">
    <w:abstractNumId w:val="40"/>
  </w:num>
  <w:num w:numId="24">
    <w:abstractNumId w:val="44"/>
  </w:num>
  <w:num w:numId="25">
    <w:abstractNumId w:val="15"/>
  </w:num>
  <w:num w:numId="26">
    <w:abstractNumId w:val="10"/>
  </w:num>
  <w:num w:numId="27">
    <w:abstractNumId w:val="10"/>
    <w:lvlOverride w:ilvl="0">
      <w:startOverride w:val="1"/>
    </w:lvlOverride>
  </w:num>
  <w:num w:numId="28">
    <w:abstractNumId w:val="10"/>
    <w:lvlOverride w:ilvl="0">
      <w:startOverride w:val="1"/>
    </w:lvlOverride>
  </w:num>
  <w:num w:numId="29">
    <w:abstractNumId w:val="4"/>
  </w:num>
  <w:num w:numId="30">
    <w:abstractNumId w:val="3"/>
  </w:num>
  <w:num w:numId="31">
    <w:abstractNumId w:val="2"/>
  </w:num>
  <w:num w:numId="32">
    <w:abstractNumId w:val="1"/>
  </w:num>
  <w:num w:numId="33">
    <w:abstractNumId w:val="0"/>
  </w:num>
  <w:num w:numId="34">
    <w:abstractNumId w:val="38"/>
  </w:num>
  <w:num w:numId="35">
    <w:abstractNumId w:val="18"/>
  </w:num>
  <w:num w:numId="36">
    <w:abstractNumId w:val="23"/>
  </w:num>
  <w:num w:numId="37">
    <w:abstractNumId w:val="12"/>
  </w:num>
  <w:num w:numId="38">
    <w:abstractNumId w:val="34"/>
  </w:num>
  <w:num w:numId="39">
    <w:abstractNumId w:val="27"/>
  </w:num>
  <w:num w:numId="40">
    <w:abstractNumId w:val="26"/>
  </w:num>
  <w:num w:numId="41">
    <w:abstractNumId w:val="30"/>
  </w:num>
  <w:num w:numId="42">
    <w:abstractNumId w:val="6"/>
  </w:num>
  <w:num w:numId="43">
    <w:abstractNumId w:val="41"/>
  </w:num>
  <w:num w:numId="44">
    <w:abstractNumId w:val="36"/>
  </w:num>
  <w:num w:numId="45">
    <w:abstractNumId w:val="20"/>
  </w:num>
  <w:num w:numId="46">
    <w:abstractNumId w:val="2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046"/>
    <w:rPr>
      <w:rFonts w:ascii="Times New Roman" w:hAnsi="Times New Roman"/>
      <w:sz w:val="24"/>
    </w:rPr>
  </w:style>
  <w:style w:type="paragraph" w:styleId="Heading1">
    <w:name w:val="heading 1"/>
    <w:basedOn w:val="Normal"/>
    <w:next w:val="Normal"/>
    <w:link w:val="Heading1Char"/>
    <w:autoRedefine/>
    <w:uiPriority w:val="9"/>
    <w:qFormat/>
    <w:rsid w:val="00AA2965"/>
    <w:pPr>
      <w:keepNext/>
      <w:keepLines/>
      <w:numPr>
        <w:numId w:val="42"/>
      </w:numPr>
      <w:spacing w:after="240" w:line="240" w:lineRule="auto"/>
      <w:ind w:hanging="720"/>
      <w:outlineLvl w:val="0"/>
    </w:pPr>
    <w:rPr>
      <w:rFonts w:eastAsia="Times New Roman" w:cs="Times New Roman"/>
      <w:b/>
      <w:bCs/>
      <w:caps/>
      <w:szCs w:val="24"/>
    </w:rPr>
  </w:style>
  <w:style w:type="paragraph" w:styleId="Heading2">
    <w:name w:val="heading 2"/>
    <w:basedOn w:val="Normal"/>
    <w:next w:val="Normal"/>
    <w:link w:val="Heading2Char"/>
    <w:autoRedefine/>
    <w:uiPriority w:val="9"/>
    <w:unhideWhenUsed/>
    <w:qFormat/>
    <w:rsid w:val="00AF6F40"/>
    <w:pPr>
      <w:keepNext/>
      <w:keepLines/>
      <w:spacing w:after="240" w:line="240" w:lineRule="auto"/>
      <w:outlineLvl w:val="1"/>
    </w:pPr>
    <w:rPr>
      <w:rFonts w:ascii="Times New Roman Bold" w:hAnsi="Times New Roman Bold" w:eastAsiaTheme="minorEastAsia" w:cs="Times New Roman"/>
      <w:b/>
      <w:bCs/>
      <w:szCs w:val="24"/>
    </w:rPr>
  </w:style>
  <w:style w:type="paragraph" w:styleId="Heading3">
    <w:name w:val="heading 3"/>
    <w:basedOn w:val="Normal"/>
    <w:next w:val="Normal"/>
    <w:link w:val="Heading3Char"/>
    <w:autoRedefine/>
    <w:uiPriority w:val="9"/>
    <w:unhideWhenUsed/>
    <w:qFormat/>
    <w:rsid w:val="00365CB9"/>
    <w:pPr>
      <w:keepNext/>
      <w:keepLines/>
      <w:numPr>
        <w:numId w:val="22"/>
      </w:numPr>
      <w:spacing w:after="240" w:line="240" w:lineRule="auto"/>
      <w:ind w:left="1440" w:right="144" w:hanging="720"/>
      <w:outlineLvl w:val="2"/>
    </w:pPr>
    <w:rPr>
      <w:rFonts w:eastAsiaTheme="majorEastAsia" w:cs="Times New Roman"/>
      <w:b/>
      <w:bCs/>
      <w:szCs w:val="24"/>
    </w:rPr>
  </w:style>
  <w:style w:type="paragraph" w:styleId="Heading4">
    <w:name w:val="heading 4"/>
    <w:basedOn w:val="Normal"/>
    <w:next w:val="Normal"/>
    <w:link w:val="Heading4Char"/>
    <w:autoRedefine/>
    <w:uiPriority w:val="9"/>
    <w:unhideWhenUsed/>
    <w:qFormat/>
    <w:rsid w:val="00E90D37"/>
    <w:pPr>
      <w:keepNext/>
      <w:keepLines/>
      <w:numPr>
        <w:numId w:val="36"/>
      </w:numPr>
      <w:spacing w:after="240" w:line="240" w:lineRule="auto"/>
      <w:ind w:left="2880" w:right="72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3527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6F40"/>
    <w:rPr>
      <w:rFonts w:ascii="Times New Roman Bold" w:hAnsi="Times New Roman Bold" w:eastAsiaTheme="minorEastAsia" w:cs="Times New Roman"/>
      <w:b/>
      <w:bCs/>
      <w:sz w:val="24"/>
      <w:szCs w:val="24"/>
    </w:rPr>
  </w:style>
  <w:style w:type="character" w:customStyle="1" w:styleId="Heading3Char">
    <w:name w:val="Heading 3 Char"/>
    <w:basedOn w:val="DefaultParagraphFont"/>
    <w:link w:val="Heading3"/>
    <w:uiPriority w:val="9"/>
    <w:rsid w:val="00365CB9"/>
    <w:rPr>
      <w:rFonts w:ascii="Times New Roman" w:hAnsi="Times New Roman" w:eastAsiaTheme="majorEastAsia" w:cs="Times New Roman"/>
      <w:b/>
      <w:bCs/>
      <w:sz w:val="24"/>
      <w:szCs w:val="24"/>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1"/>
    <w:basedOn w:val="DefaultParagraphFont"/>
    <w:link w:val="FootnoteText"/>
    <w:uiPriority w:val="99"/>
    <w:locked/>
    <w:rsid w:val="00CF1095"/>
    <w:rPr>
      <w:rFonts w:ascii="Times New Roman" w:eastAsia="Times New Roman" w:hAnsi="Times New Roman" w:cs="Times New Roman"/>
      <w:spacing w:val="-5"/>
      <w:sz w:val="20"/>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nhideWhenUsed/>
    <w:qFormat/>
    <w:rsid w:val="00CF1095"/>
    <w:pPr>
      <w:spacing w:after="120" w:line="240" w:lineRule="auto"/>
    </w:pPr>
    <w:rPr>
      <w:rFonts w:eastAsia="Times New Roman" w:cs="Times New Roman"/>
      <w:spacing w:val="-5"/>
      <w:sz w:val="20"/>
      <w:szCs w:val="20"/>
    </w:rPr>
  </w:style>
  <w:style w:type="character" w:customStyle="1" w:styleId="FootnoteTextChar1">
    <w:name w:val="Footnote Text Char1"/>
    <w:aliases w:val="Footnote Text Char Char,Footnote Text Char Char Char Char,Footnote Text Char Char4 Char Char Char Char,Footnote Text Char1 Char Char,Footnote Text Char4 Char Char Char Char,Footnote Text Char4 Char1 Char Char Char Char Char"/>
    <w:basedOn w:val="DefaultParagraphFont"/>
    <w:uiPriority w:val="99"/>
    <w:rsid w:val="00921526"/>
    <w:rPr>
      <w:rFonts w:ascii="Times New Roman" w:hAnsi="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unhideWhenUsed/>
    <w:qFormat/>
    <w:rsid w:val="00921526"/>
    <w:rPr>
      <w:vertAlign w:val="superscript"/>
    </w:rPr>
  </w:style>
  <w:style w:type="character" w:styleId="Hyperlink">
    <w:name w:val="Hyperlink"/>
    <w:basedOn w:val="DefaultParagraphFont"/>
    <w:unhideWhenUsed/>
    <w:rsid w:val="00921526"/>
    <w:rPr>
      <w:color w:val="0000FF"/>
      <w:u w:val="single"/>
    </w:rPr>
  </w:style>
  <w:style w:type="character" w:customStyle="1" w:styleId="Heading1Char">
    <w:name w:val="Heading 1 Char"/>
    <w:basedOn w:val="DefaultParagraphFont"/>
    <w:link w:val="Heading1"/>
    <w:uiPriority w:val="9"/>
    <w:rsid w:val="00AA2965"/>
    <w:rPr>
      <w:rFonts w:ascii="Times New Roman" w:eastAsia="Times New Roman" w:hAnsi="Times New Roman" w:cs="Times New Roman"/>
      <w:b/>
      <w:bCs/>
      <w:caps/>
      <w:sz w:val="24"/>
      <w:szCs w:val="24"/>
    </w:rPr>
  </w:style>
  <w:style w:type="table" w:styleId="TableGrid">
    <w:name w:val="Table Grid"/>
    <w:basedOn w:val="TableNormal"/>
    <w:uiPriority w:val="59"/>
    <w:rsid w:val="00E37F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C57"/>
    <w:rPr>
      <w:rFonts w:ascii="Times New Roman" w:hAnsi="Times New Roman"/>
      <w:sz w:val="24"/>
    </w:rPr>
  </w:style>
  <w:style w:type="paragraph" w:styleId="Footer">
    <w:name w:val="footer"/>
    <w:basedOn w:val="Normal"/>
    <w:link w:val="FooterChar"/>
    <w:uiPriority w:val="99"/>
    <w:unhideWhenUsed/>
    <w:rsid w:val="0049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C57"/>
    <w:rPr>
      <w:rFonts w:ascii="Times New Roman" w:hAnsi="Times New Roman"/>
      <w:sz w:val="24"/>
    </w:rPr>
  </w:style>
  <w:style w:type="paragraph" w:styleId="BalloonText">
    <w:name w:val="Balloon Text"/>
    <w:basedOn w:val="Normal"/>
    <w:link w:val="BalloonTextChar"/>
    <w:uiPriority w:val="99"/>
    <w:semiHidden/>
    <w:unhideWhenUsed/>
    <w:rsid w:val="0089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44"/>
    <w:rPr>
      <w:rFonts w:ascii="Tahoma" w:hAnsi="Tahoma" w:cs="Tahoma"/>
      <w:sz w:val="16"/>
      <w:szCs w:val="16"/>
    </w:rPr>
  </w:style>
  <w:style w:type="character" w:styleId="CommentReference">
    <w:name w:val="annotation reference"/>
    <w:basedOn w:val="DefaultParagraphFont"/>
    <w:uiPriority w:val="99"/>
    <w:semiHidden/>
    <w:unhideWhenUsed/>
    <w:rsid w:val="00F91D6B"/>
    <w:rPr>
      <w:sz w:val="16"/>
      <w:szCs w:val="16"/>
    </w:rPr>
  </w:style>
  <w:style w:type="paragraph" w:styleId="CommentText">
    <w:name w:val="annotation text"/>
    <w:basedOn w:val="Normal"/>
    <w:link w:val="CommentTextChar"/>
    <w:uiPriority w:val="99"/>
    <w:unhideWhenUsed/>
    <w:rsid w:val="00F91D6B"/>
    <w:pPr>
      <w:spacing w:line="240" w:lineRule="auto"/>
    </w:pPr>
    <w:rPr>
      <w:sz w:val="20"/>
      <w:szCs w:val="20"/>
    </w:rPr>
  </w:style>
  <w:style w:type="character" w:customStyle="1" w:styleId="CommentTextChar">
    <w:name w:val="Comment Text Char"/>
    <w:basedOn w:val="DefaultParagraphFont"/>
    <w:link w:val="CommentText"/>
    <w:uiPriority w:val="99"/>
    <w:rsid w:val="00F91D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1D6B"/>
    <w:rPr>
      <w:b/>
      <w:bCs/>
    </w:rPr>
  </w:style>
  <w:style w:type="character" w:customStyle="1" w:styleId="CommentSubjectChar">
    <w:name w:val="Comment Subject Char"/>
    <w:basedOn w:val="CommentTextChar"/>
    <w:link w:val="CommentSubject"/>
    <w:uiPriority w:val="99"/>
    <w:semiHidden/>
    <w:rsid w:val="00F91D6B"/>
    <w:rPr>
      <w:rFonts w:ascii="Times New Roman" w:hAnsi="Times New Roman"/>
      <w:b/>
      <w:bCs/>
      <w:sz w:val="20"/>
      <w:szCs w:val="20"/>
    </w:rPr>
  </w:style>
  <w:style w:type="paragraph" w:styleId="ListParagraph">
    <w:name w:val="List Paragraph"/>
    <w:basedOn w:val="Normal"/>
    <w:uiPriority w:val="34"/>
    <w:qFormat/>
    <w:rsid w:val="00F91D6B"/>
    <w:pPr>
      <w:ind w:left="720"/>
      <w:contextualSpacing/>
    </w:pPr>
  </w:style>
  <w:style w:type="paragraph" w:styleId="BodyText">
    <w:name w:val="Body Text"/>
    <w:basedOn w:val="Normal"/>
    <w:link w:val="BodyTextChar"/>
    <w:rsid w:val="00475BCD"/>
    <w:pPr>
      <w:widowControl w:val="0"/>
      <w:overflowPunct w:val="0"/>
      <w:adjustRightInd w:val="0"/>
      <w:spacing w:after="120" w:line="240" w:lineRule="auto"/>
    </w:pPr>
    <w:rPr>
      <w:rFonts w:eastAsia="Times New Roman" w:cs="Times New Roman"/>
      <w:kern w:val="28"/>
      <w:szCs w:val="24"/>
    </w:rPr>
  </w:style>
  <w:style w:type="character" w:customStyle="1" w:styleId="BodyTextChar">
    <w:name w:val="Body Text Char"/>
    <w:basedOn w:val="DefaultParagraphFont"/>
    <w:link w:val="BodyText"/>
    <w:rsid w:val="00475BCD"/>
    <w:rPr>
      <w:rFonts w:ascii="Times New Roman" w:eastAsia="Times New Roman" w:hAnsi="Times New Roman" w:cs="Times New Roman"/>
      <w:kern w:val="28"/>
      <w:sz w:val="24"/>
      <w:szCs w:val="24"/>
    </w:rPr>
  </w:style>
  <w:style w:type="character" w:customStyle="1" w:styleId="apple-converted-space">
    <w:name w:val="apple-converted-space"/>
    <w:basedOn w:val="DefaultParagraphFont"/>
    <w:rsid w:val="00AE0D6F"/>
  </w:style>
  <w:style w:type="paragraph" w:styleId="TOC1">
    <w:name w:val="toc 1"/>
    <w:basedOn w:val="Normal"/>
    <w:next w:val="Normal"/>
    <w:autoRedefine/>
    <w:uiPriority w:val="39"/>
    <w:unhideWhenUsed/>
    <w:qFormat/>
    <w:rsid w:val="00D13515"/>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E90D37"/>
    <w:pPr>
      <w:tabs>
        <w:tab w:val="decimal" w:leader="dot" w:pos="8640"/>
      </w:tabs>
      <w:spacing w:after="240" w:line="240" w:lineRule="auto"/>
      <w:outlineLvl w:val="1"/>
    </w:pPr>
    <w:rPr>
      <w:rFonts w:cs="Times New Roman"/>
      <w:bCs/>
      <w:noProof/>
    </w:rPr>
  </w:style>
  <w:style w:type="paragraph" w:styleId="TOC3">
    <w:name w:val="toc 3"/>
    <w:basedOn w:val="Normal"/>
    <w:next w:val="Normal"/>
    <w:autoRedefine/>
    <w:uiPriority w:val="39"/>
    <w:unhideWhenUsed/>
    <w:qFormat/>
    <w:rsid w:val="00365CB9"/>
    <w:pPr>
      <w:tabs>
        <w:tab w:val="left" w:pos="2160"/>
        <w:tab w:val="decimal" w:leader="dot" w:pos="8640"/>
      </w:tabs>
      <w:spacing w:after="240" w:line="240" w:lineRule="auto"/>
      <w:ind w:left="2160" w:hanging="720"/>
    </w:pPr>
  </w:style>
  <w:style w:type="character" w:customStyle="1" w:styleId="Heading4Char">
    <w:name w:val="Heading 4 Char"/>
    <w:basedOn w:val="DefaultParagraphFont"/>
    <w:link w:val="Heading4"/>
    <w:uiPriority w:val="9"/>
    <w:rsid w:val="00E90D37"/>
    <w:rPr>
      <w:rFonts w:ascii="Times New Roman Bold" w:hAnsi="Times New Roman Bold" w:eastAsiaTheme="majorEastAsia" w:cstheme="majorBidi"/>
      <w:b/>
      <w:bCs/>
      <w:iCs/>
      <w:sz w:val="24"/>
    </w:rPr>
  </w:style>
  <w:style w:type="character" w:customStyle="1" w:styleId="FootnoteTextChar3">
    <w:name w:val="Footnote Text Char3"/>
    <w:aliases w:val="Footnote Text Char Char Char,Footnote Text Char Char Char Char Char,Footnote Text Char1 Char,Footnote Text Char1 Char Char1 Char,Footnote Text Char1 Char Char1 Char Char Char Char,Footnote Text Char2 Char Char Char Char1 Char,fn Char"/>
    <w:semiHidden/>
    <w:locked/>
    <w:rsid w:val="00FF46FF"/>
    <w:rPr>
      <w:lang w:val="en-US" w:eastAsia="en-US" w:bidi="ar-SA"/>
    </w:rPr>
  </w:style>
  <w:style w:type="paragraph" w:styleId="TOC4">
    <w:name w:val="toc 4"/>
    <w:basedOn w:val="Normal"/>
    <w:next w:val="Normal"/>
    <w:autoRedefine/>
    <w:uiPriority w:val="39"/>
    <w:unhideWhenUsed/>
    <w:qFormat/>
    <w:rsid w:val="00E90D37"/>
    <w:pPr>
      <w:tabs>
        <w:tab w:val="decimal" w:leader="dot" w:pos="8640"/>
      </w:tabs>
      <w:spacing w:after="240" w:line="240" w:lineRule="auto"/>
      <w:ind w:left="2880" w:hanging="720"/>
    </w:pPr>
  </w:style>
  <w:style w:type="paragraph" w:styleId="TOC5">
    <w:name w:val="toc 5"/>
    <w:basedOn w:val="Normal"/>
    <w:next w:val="Normal"/>
    <w:autoRedefine/>
    <w:uiPriority w:val="39"/>
    <w:semiHidden/>
    <w:unhideWhenUsed/>
    <w:rsid w:val="003F5D42"/>
    <w:pPr>
      <w:tabs>
        <w:tab w:val="left" w:pos="720"/>
        <w:tab w:val="left" w:pos="1440"/>
        <w:tab w:val="left" w:pos="2160"/>
        <w:tab w:val="decimal" w:leader="dot" w:pos="8640"/>
      </w:tabs>
      <w:spacing w:after="240" w:line="240" w:lineRule="auto"/>
      <w:ind w:left="3600" w:hanging="720"/>
    </w:pPr>
  </w:style>
  <w:style w:type="character" w:customStyle="1" w:styleId="Heading5Char">
    <w:name w:val="Heading 5 Char"/>
    <w:basedOn w:val="DefaultParagraphFont"/>
    <w:link w:val="Heading5"/>
    <w:uiPriority w:val="9"/>
    <w:rsid w:val="00352742"/>
    <w:rPr>
      <w:rFonts w:asciiTheme="majorHAnsi" w:eastAsiaTheme="majorEastAsia" w:hAnsiTheme="majorHAnsi" w:cstheme="majorBidi"/>
      <w:color w:val="243F60" w:themeColor="accent1" w:themeShade="7F"/>
      <w:sz w:val="24"/>
    </w:rPr>
  </w:style>
  <w:style w:type="character" w:customStyle="1" w:styleId="sssh">
    <w:name w:val="ss_sh"/>
    <w:basedOn w:val="DefaultParagraphFont"/>
    <w:rsid w:val="004D5C08"/>
  </w:style>
  <w:style w:type="character" w:customStyle="1" w:styleId="ssrptrline">
    <w:name w:val="ss_rptrline"/>
    <w:rsid w:val="00D44B24"/>
  </w:style>
  <w:style w:type="character" w:customStyle="1" w:styleId="ssnonpaginatedrptr">
    <w:name w:val="ss_nonpaginatedrptr"/>
    <w:rsid w:val="00D44B24"/>
  </w:style>
  <w:style w:type="paragraph" w:styleId="HTMLPreformatted">
    <w:name w:val="HTML Preformatted"/>
    <w:basedOn w:val="Normal"/>
    <w:link w:val="HTMLPreformattedChar"/>
    <w:rsid w:val="00A45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A4515D"/>
    <w:rPr>
      <w:rFonts w:ascii="Courier New" w:eastAsia="Courier New" w:hAnsi="Courier New" w:cs="Courier New"/>
      <w:sz w:val="20"/>
      <w:szCs w:val="20"/>
    </w:rPr>
  </w:style>
  <w:style w:type="paragraph" w:styleId="BodyTextIndent3">
    <w:name w:val="Body Text Indent 3"/>
    <w:basedOn w:val="Normal"/>
    <w:link w:val="BodyTextIndent3Char"/>
    <w:uiPriority w:val="99"/>
    <w:semiHidden/>
    <w:unhideWhenUsed/>
    <w:rsid w:val="00A451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515D"/>
    <w:rPr>
      <w:rFonts w:ascii="Times New Roman" w:hAnsi="Times New Roman"/>
      <w:sz w:val="16"/>
      <w:szCs w:val="16"/>
    </w:rPr>
  </w:style>
  <w:style w:type="paragraph" w:styleId="Revision">
    <w:name w:val="Revision"/>
    <w:hidden/>
    <w:uiPriority w:val="99"/>
    <w:semiHidden/>
    <w:rsid w:val="009E65EE"/>
    <w:pPr>
      <w:spacing w:after="0" w:line="240" w:lineRule="auto"/>
    </w:pPr>
    <w:rPr>
      <w:rFonts w:ascii="Times New Roman" w:hAnsi="Times New Roman"/>
      <w:sz w:val="24"/>
    </w:rPr>
  </w:style>
  <w:style w:type="paragraph" w:customStyle="1" w:styleId="p1">
    <w:name w:val="p1"/>
    <w:basedOn w:val="Normal"/>
    <w:rsid w:val="00D90472"/>
    <w:pPr>
      <w:spacing w:after="0" w:line="240" w:lineRule="auto"/>
    </w:pPr>
    <w:rPr>
      <w:rFonts w:ascii="Verdana" w:hAnsi="Verdana" w:cs="Times New Roman"/>
      <w:sz w:val="19"/>
      <w:szCs w:val="19"/>
    </w:rPr>
  </w:style>
  <w:style w:type="character" w:customStyle="1" w:styleId="s1">
    <w:name w:val="s1"/>
    <w:basedOn w:val="DefaultParagraphFont"/>
    <w:rsid w:val="00D90472"/>
  </w:style>
  <w:style w:type="table" w:customStyle="1" w:styleId="TableGrid2">
    <w:name w:val="Table Grid2"/>
    <w:basedOn w:val="TableNormal"/>
    <w:next w:val="TableGrid"/>
    <w:rsid w:val="00AF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7744E"/>
    <w:rPr>
      <w:color w:val="605E5C"/>
      <w:shd w:val="clear" w:color="auto" w:fill="E1DFDD"/>
    </w:rPr>
  </w:style>
  <w:style w:type="character" w:customStyle="1" w:styleId="UnresolvedMention">
    <w:name w:val="Unresolved Mention"/>
    <w:basedOn w:val="DefaultParagraphFont"/>
    <w:uiPriority w:val="99"/>
    <w:rsid w:val="0006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12-2156-EL-ORD Application for Rehearing te.docx</vt:lpstr>
    </vt:vector>
  </TitlesOfParts>
  <Company/>
  <LinksUpToDate>false</LinksUpToDate>
  <CharactersWithSpaces>16994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2019-01-18T20:43:25Z</dcterms:created>
  <dcterms:modified xsi:type="dcterms:W3CDTF">2019-01-18T20:43:25Z</dcterms:modified>
</cp:coreProperties>
</file>