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BB" w:rsidRPr="009D6A2A" w:rsidRDefault="00EA50BB" w:rsidP="00EA50BB">
      <w:pPr>
        <w:jc w:val="center"/>
        <w:rPr>
          <w:rFonts w:ascii="Times New Roman" w:hAnsi="Times New Roman"/>
          <w:b/>
          <w:sz w:val="26"/>
          <w:szCs w:val="26"/>
        </w:rPr>
      </w:pPr>
      <w:bookmarkStart w:id="0" w:name="_Toc172348423"/>
      <w:bookmarkStart w:id="1" w:name="_Toc172349243"/>
      <w:smartTag w:uri="urn:schemas-microsoft-com:office:smarttags" w:element="place">
        <w:smartTag w:uri="urn:schemas-microsoft-com:office:smarttags" w:element="country-region">
          <w:r w:rsidRPr="009D6A2A">
            <w:rPr>
              <w:rFonts w:ascii="Times New Roman" w:hAnsi="Times New Roman"/>
              <w:b/>
              <w:sz w:val="26"/>
              <w:szCs w:val="26"/>
            </w:rPr>
            <w:t>UNITED STATES OF AMERICA</w:t>
          </w:r>
        </w:smartTag>
      </w:smartTag>
    </w:p>
    <w:p w:rsidR="00EA50BB" w:rsidRPr="009D6A2A" w:rsidRDefault="00EA50BB" w:rsidP="00EA50BB">
      <w:pPr>
        <w:jc w:val="center"/>
        <w:rPr>
          <w:rFonts w:ascii="Times New Roman" w:hAnsi="Times New Roman"/>
          <w:b/>
          <w:sz w:val="26"/>
          <w:szCs w:val="26"/>
        </w:rPr>
      </w:pPr>
    </w:p>
    <w:p w:rsidR="00EA50BB" w:rsidRPr="009D6A2A" w:rsidRDefault="00EA50BB" w:rsidP="00EA50BB">
      <w:pPr>
        <w:jc w:val="center"/>
        <w:rPr>
          <w:rFonts w:ascii="Times New Roman" w:hAnsi="Times New Roman"/>
          <w:b/>
          <w:sz w:val="26"/>
          <w:szCs w:val="26"/>
        </w:rPr>
      </w:pPr>
      <w:r w:rsidRPr="009D6A2A">
        <w:rPr>
          <w:rFonts w:ascii="Times New Roman" w:hAnsi="Times New Roman"/>
          <w:b/>
          <w:sz w:val="26"/>
          <w:szCs w:val="26"/>
        </w:rPr>
        <w:t>BEFORE THE</w:t>
      </w:r>
    </w:p>
    <w:p w:rsidR="00EA50BB" w:rsidRDefault="00EA50BB" w:rsidP="00EA50BB">
      <w:pPr>
        <w:jc w:val="center"/>
        <w:rPr>
          <w:rFonts w:ascii="Times New Roman" w:hAnsi="Times New Roman"/>
          <w:b/>
          <w:sz w:val="26"/>
          <w:szCs w:val="26"/>
        </w:rPr>
      </w:pPr>
      <w:r w:rsidRPr="009D6A2A">
        <w:rPr>
          <w:rFonts w:ascii="Times New Roman" w:hAnsi="Times New Roman"/>
          <w:b/>
          <w:sz w:val="26"/>
          <w:szCs w:val="26"/>
        </w:rPr>
        <w:t>FEDERAL ENERGY REGULATORY COMMISSION</w:t>
      </w:r>
    </w:p>
    <w:p w:rsidR="00EA50BB" w:rsidRPr="009D6A2A" w:rsidRDefault="00EA50BB" w:rsidP="00EA50BB">
      <w:pPr>
        <w:jc w:val="center"/>
        <w:rPr>
          <w:rFonts w:ascii="Times New Roman" w:hAnsi="Times New Roman"/>
          <w:sz w:val="26"/>
          <w:szCs w:val="26"/>
        </w:rPr>
      </w:pPr>
    </w:p>
    <w:p w:rsidR="00EA50BB" w:rsidRPr="009D6A2A" w:rsidRDefault="00EA50BB" w:rsidP="00EA50BB">
      <w:pPr>
        <w:rPr>
          <w:rFonts w:ascii="Times New Roman" w:hAnsi="Times New Roman"/>
          <w:sz w:val="26"/>
          <w:szCs w:val="26"/>
        </w:rPr>
      </w:pPr>
      <w:bookmarkStart w:id="2" w:name="_GoBack"/>
      <w:bookmarkEnd w:id="2"/>
    </w:p>
    <w:tbl>
      <w:tblPr>
        <w:tblW w:w="0" w:type="auto"/>
        <w:tblLook w:val="01E0" w:firstRow="1" w:lastRow="1" w:firstColumn="1" w:lastColumn="1" w:noHBand="0" w:noVBand="0"/>
      </w:tblPr>
      <w:tblGrid>
        <w:gridCol w:w="4664"/>
        <w:gridCol w:w="357"/>
        <w:gridCol w:w="4339"/>
      </w:tblGrid>
      <w:tr w:rsidR="00EA50BB" w:rsidRPr="009D6A2A" w:rsidTr="00A9090D">
        <w:tc>
          <w:tcPr>
            <w:tcW w:w="4788" w:type="dxa"/>
            <w:shd w:val="clear" w:color="auto" w:fill="auto"/>
          </w:tcPr>
          <w:p w:rsidR="00EA50BB" w:rsidRPr="00A9090D" w:rsidRDefault="00FC1D27" w:rsidP="00EA50BB">
            <w:pPr>
              <w:rPr>
                <w:rFonts w:ascii="Times New Roman" w:hAnsi="Times New Roman"/>
                <w:sz w:val="26"/>
                <w:szCs w:val="26"/>
              </w:rPr>
            </w:pPr>
            <w:r>
              <w:rPr>
                <w:rFonts w:ascii="Times New Roman" w:hAnsi="Times New Roman"/>
                <w:sz w:val="26"/>
                <w:szCs w:val="26"/>
              </w:rPr>
              <w:t>PJM Interconnection, LLC</w:t>
            </w:r>
          </w:p>
        </w:tc>
        <w:tc>
          <w:tcPr>
            <w:tcW w:w="360" w:type="dxa"/>
            <w:shd w:val="clear" w:color="auto" w:fill="auto"/>
          </w:tcPr>
          <w:p w:rsidR="00EA50BB" w:rsidRPr="00A9090D" w:rsidRDefault="00EA50BB" w:rsidP="00EA50BB">
            <w:pPr>
              <w:rPr>
                <w:rFonts w:ascii="Times New Roman" w:hAnsi="Times New Roman"/>
                <w:sz w:val="26"/>
                <w:szCs w:val="26"/>
              </w:rPr>
            </w:pPr>
            <w:r w:rsidRPr="00A9090D">
              <w:rPr>
                <w:rFonts w:ascii="Times New Roman" w:hAnsi="Times New Roman"/>
                <w:sz w:val="26"/>
                <w:szCs w:val="26"/>
              </w:rPr>
              <w:t>:</w:t>
            </w:r>
          </w:p>
          <w:p w:rsidR="00EA50BB" w:rsidRPr="00A9090D" w:rsidRDefault="00EA50BB" w:rsidP="00EA50BB">
            <w:pPr>
              <w:rPr>
                <w:rFonts w:ascii="Times New Roman" w:hAnsi="Times New Roman"/>
                <w:sz w:val="26"/>
                <w:szCs w:val="26"/>
              </w:rPr>
            </w:pPr>
            <w:r w:rsidRPr="00A9090D">
              <w:rPr>
                <w:rFonts w:ascii="Times New Roman" w:hAnsi="Times New Roman"/>
                <w:sz w:val="26"/>
                <w:szCs w:val="26"/>
              </w:rPr>
              <w:t>:</w:t>
            </w:r>
          </w:p>
          <w:p w:rsidR="00D84779" w:rsidRPr="00A9090D" w:rsidRDefault="00D84779" w:rsidP="00EA50BB">
            <w:pPr>
              <w:rPr>
                <w:rFonts w:ascii="Times New Roman" w:hAnsi="Times New Roman"/>
                <w:sz w:val="26"/>
                <w:szCs w:val="26"/>
              </w:rPr>
            </w:pPr>
            <w:r w:rsidRPr="00A9090D">
              <w:rPr>
                <w:rFonts w:ascii="Times New Roman" w:hAnsi="Times New Roman"/>
                <w:sz w:val="26"/>
                <w:szCs w:val="26"/>
              </w:rPr>
              <w:t>:</w:t>
            </w:r>
          </w:p>
        </w:tc>
        <w:tc>
          <w:tcPr>
            <w:tcW w:w="4428" w:type="dxa"/>
            <w:shd w:val="clear" w:color="auto" w:fill="auto"/>
          </w:tcPr>
          <w:p w:rsidR="00EA50BB" w:rsidRPr="00A9090D" w:rsidRDefault="00CB0D2A" w:rsidP="00FC1D27">
            <w:pPr>
              <w:ind w:left="1332" w:hanging="1332"/>
              <w:rPr>
                <w:rFonts w:ascii="Times New Roman" w:hAnsi="Times New Roman"/>
                <w:sz w:val="26"/>
                <w:szCs w:val="26"/>
              </w:rPr>
            </w:pPr>
            <w:r w:rsidRPr="00A9090D">
              <w:rPr>
                <w:rFonts w:ascii="Times New Roman" w:hAnsi="Times New Roman"/>
                <w:sz w:val="26"/>
                <w:szCs w:val="26"/>
              </w:rPr>
              <w:t>Docket No</w:t>
            </w:r>
            <w:r w:rsidR="00EA50BB" w:rsidRPr="00A9090D">
              <w:rPr>
                <w:rFonts w:ascii="Times New Roman" w:hAnsi="Times New Roman"/>
                <w:sz w:val="26"/>
                <w:szCs w:val="26"/>
              </w:rPr>
              <w:t>.</w:t>
            </w:r>
            <w:r w:rsidR="00EA50BB" w:rsidRPr="00A9090D">
              <w:rPr>
                <w:rFonts w:ascii="Times New Roman" w:hAnsi="Times New Roman"/>
                <w:sz w:val="26"/>
                <w:szCs w:val="26"/>
              </w:rPr>
              <w:tab/>
            </w:r>
            <w:r w:rsidR="00FC1D27">
              <w:rPr>
                <w:rFonts w:ascii="Times New Roman" w:hAnsi="Times New Roman"/>
                <w:sz w:val="26"/>
                <w:szCs w:val="26"/>
              </w:rPr>
              <w:t>ER16-76-000</w:t>
            </w:r>
          </w:p>
        </w:tc>
      </w:tr>
    </w:tbl>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sidRPr="00FC1D27">
        <w:rPr>
          <w:rFonts w:ascii="Times New Roman" w:hAnsi="Times New Roman"/>
          <w:b/>
          <w:color w:val="000000"/>
          <w:sz w:val="32"/>
          <w:szCs w:val="32"/>
        </w:rPr>
        <w:t>COMMENTS</w:t>
      </w:r>
      <w:r>
        <w:rPr>
          <w:rFonts w:ascii="Times New Roman" w:hAnsi="Times New Roman"/>
          <w:b/>
          <w:color w:val="000000"/>
          <w:sz w:val="26"/>
          <w:szCs w:val="26"/>
        </w:rPr>
        <w:br/>
        <w:t>SUBMITTED ON BEHALF OF</w:t>
      </w:r>
    </w:p>
    <w:p w:rsidR="00EA50BB" w:rsidRPr="009D6A2A" w:rsidRDefault="00EA50BB" w:rsidP="00EA50BB">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Pr>
          <w:rFonts w:ascii="Times New Roman" w:hAnsi="Times New Roman"/>
          <w:b/>
          <w:color w:val="000000"/>
          <w:sz w:val="26"/>
          <w:szCs w:val="26"/>
        </w:rPr>
        <w:t xml:space="preserve">THE PUBLIC UTILITIES COMMISSION OF </w:t>
      </w:r>
      <w:smartTag w:uri="urn:schemas-microsoft-com:office:smarttags" w:element="place">
        <w:smartTag w:uri="urn:schemas-microsoft-com:office:smarttags" w:element="State">
          <w:r>
            <w:rPr>
              <w:rFonts w:ascii="Times New Roman" w:hAnsi="Times New Roman"/>
              <w:b/>
              <w:color w:val="000000"/>
              <w:sz w:val="26"/>
              <w:szCs w:val="26"/>
            </w:rPr>
            <w:t>OHIO</w:t>
          </w:r>
        </w:smartTag>
      </w:smartTag>
    </w:p>
    <w:p w:rsidR="00EA50BB" w:rsidRDefault="00EA50BB" w:rsidP="00F62477">
      <w:pPr>
        <w:jc w:val="center"/>
        <w:rPr>
          <w:rFonts w:ascii="Times New Roman" w:hAnsi="Times New Roman"/>
          <w:b/>
          <w:sz w:val="26"/>
          <w:szCs w:val="26"/>
        </w:rPr>
      </w:pPr>
    </w:p>
    <w:p w:rsidR="00EA50BB" w:rsidRDefault="00EA50BB" w:rsidP="00F62477">
      <w:pPr>
        <w:jc w:val="center"/>
        <w:rPr>
          <w:rFonts w:ascii="Times New Roman" w:hAnsi="Times New Roman"/>
          <w:b/>
          <w:sz w:val="26"/>
          <w:szCs w:val="26"/>
        </w:rPr>
      </w:pPr>
    </w:p>
    <w:p w:rsidR="00EA50BB" w:rsidRDefault="00EA50BB" w:rsidP="00F62477">
      <w:pPr>
        <w:jc w:val="cente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FC1D27" w:rsidP="00A46BED">
      <w:pPr>
        <w:jc w:val="center"/>
        <w:rPr>
          <w:rFonts w:ascii="Times New Roman" w:hAnsi="Times New Roman"/>
          <w:b/>
          <w:sz w:val="26"/>
          <w:szCs w:val="26"/>
        </w:rPr>
      </w:pPr>
      <w:r>
        <w:rPr>
          <w:rFonts w:ascii="Times New Roman" w:hAnsi="Times New Roman"/>
          <w:b/>
          <w:sz w:val="26"/>
          <w:szCs w:val="26"/>
        </w:rPr>
        <w:t>November 4, 2015</w:t>
      </w:r>
    </w:p>
    <w:p w:rsidR="00EA50BB" w:rsidRDefault="00EA50BB" w:rsidP="00EA50BB">
      <w:pPr>
        <w:rPr>
          <w:rFonts w:ascii="Times New Roman" w:hAnsi="Times New Roman"/>
          <w:b/>
          <w:sz w:val="26"/>
          <w:szCs w:val="26"/>
        </w:rPr>
      </w:pPr>
    </w:p>
    <w:p w:rsidR="00EA50BB" w:rsidRDefault="00EA50BB" w:rsidP="00EA50BB">
      <w:pPr>
        <w:jc w:val="center"/>
        <w:rPr>
          <w:rFonts w:ascii="Times New Roman" w:hAnsi="Times New Roman"/>
          <w:b/>
          <w:sz w:val="26"/>
          <w:szCs w:val="26"/>
        </w:rPr>
        <w:sectPr w:rsidR="00EA50BB" w:rsidSect="00A46BED">
          <w:headerReference w:type="default" r:id="rId8"/>
          <w:footerReference w:type="even" r:id="rId9"/>
          <w:footerReference w:type="default" r:id="rId10"/>
          <w:pgSz w:w="12240" w:h="15840" w:code="1"/>
          <w:pgMar w:top="1440" w:right="1440" w:bottom="1440" w:left="1440" w:header="720" w:footer="720" w:gutter="0"/>
          <w:pgNumType w:start="1"/>
          <w:cols w:space="720"/>
          <w:titlePg/>
          <w:docGrid w:linePitch="272"/>
        </w:sectPr>
      </w:pPr>
    </w:p>
    <w:p w:rsidR="00F62477" w:rsidRPr="00153A5E" w:rsidRDefault="00F62477" w:rsidP="00153A5E">
      <w:pPr>
        <w:jc w:val="center"/>
        <w:rPr>
          <w:rFonts w:ascii="Times New Roman" w:hAnsi="Times New Roman"/>
          <w:b/>
          <w:sz w:val="28"/>
          <w:szCs w:val="28"/>
        </w:rPr>
      </w:pPr>
      <w:smartTag w:uri="urn:schemas-microsoft-com:office:smarttags" w:element="place">
        <w:smartTag w:uri="urn:schemas-microsoft-com:office:smarttags" w:element="country-region">
          <w:r w:rsidRPr="00153A5E">
            <w:rPr>
              <w:rFonts w:ascii="Times New Roman" w:hAnsi="Times New Roman"/>
              <w:b/>
              <w:sz w:val="28"/>
              <w:szCs w:val="28"/>
            </w:rPr>
            <w:lastRenderedPageBreak/>
            <w:t>UNITED STATES OF AMERICA</w:t>
          </w:r>
        </w:smartTag>
      </w:smartTag>
      <w:bookmarkEnd w:id="0"/>
      <w:bookmarkEnd w:id="1"/>
    </w:p>
    <w:p w:rsidR="00F62477" w:rsidRPr="00153A5E" w:rsidRDefault="00F62477" w:rsidP="00F62477">
      <w:pPr>
        <w:jc w:val="center"/>
        <w:rPr>
          <w:rFonts w:ascii="Times New Roman" w:hAnsi="Times New Roman"/>
          <w:b/>
          <w:sz w:val="28"/>
          <w:szCs w:val="28"/>
        </w:rPr>
      </w:pPr>
      <w:r w:rsidRPr="00153A5E">
        <w:rPr>
          <w:rFonts w:ascii="Times New Roman" w:hAnsi="Times New Roman"/>
          <w:b/>
          <w:sz w:val="28"/>
          <w:szCs w:val="28"/>
        </w:rPr>
        <w:t>BEFORE THE</w:t>
      </w:r>
    </w:p>
    <w:p w:rsidR="00F62477" w:rsidRDefault="00F62477" w:rsidP="00F62477">
      <w:pPr>
        <w:jc w:val="center"/>
        <w:rPr>
          <w:rFonts w:ascii="Times New Roman" w:hAnsi="Times New Roman"/>
          <w:b/>
          <w:sz w:val="28"/>
          <w:szCs w:val="28"/>
        </w:rPr>
      </w:pPr>
      <w:bookmarkStart w:id="3" w:name="_Toc172348424"/>
      <w:bookmarkStart w:id="4" w:name="_Toc172349244"/>
      <w:r w:rsidRPr="00153A5E">
        <w:rPr>
          <w:rFonts w:ascii="Times New Roman" w:hAnsi="Times New Roman"/>
          <w:b/>
          <w:sz w:val="28"/>
          <w:szCs w:val="28"/>
        </w:rPr>
        <w:t>FEDERAL ENERGY REGULATORY COMMISSION</w:t>
      </w:r>
      <w:bookmarkEnd w:id="3"/>
      <w:bookmarkEnd w:id="4"/>
    </w:p>
    <w:p w:rsidR="004A0D88" w:rsidRPr="00153A5E" w:rsidRDefault="004A0D88" w:rsidP="00F62477">
      <w:pPr>
        <w:jc w:val="center"/>
        <w:rPr>
          <w:rFonts w:ascii="Times New Roman" w:hAnsi="Times New Roman"/>
          <w:sz w:val="28"/>
          <w:szCs w:val="28"/>
        </w:rPr>
      </w:pPr>
    </w:p>
    <w:tbl>
      <w:tblPr>
        <w:tblW w:w="0" w:type="auto"/>
        <w:tblLook w:val="01E0" w:firstRow="1" w:lastRow="1" w:firstColumn="1" w:lastColumn="1" w:noHBand="0" w:noVBand="0"/>
      </w:tblPr>
      <w:tblGrid>
        <w:gridCol w:w="4664"/>
        <w:gridCol w:w="357"/>
        <w:gridCol w:w="4339"/>
      </w:tblGrid>
      <w:tr w:rsidR="00FC1D27" w:rsidRPr="009D6A2A" w:rsidTr="004B4689">
        <w:tc>
          <w:tcPr>
            <w:tcW w:w="4788" w:type="dxa"/>
            <w:shd w:val="clear" w:color="auto" w:fill="auto"/>
          </w:tcPr>
          <w:p w:rsidR="00FC1D27" w:rsidRPr="00A9090D" w:rsidRDefault="00FC1D27" w:rsidP="004B4689">
            <w:pPr>
              <w:rPr>
                <w:rFonts w:ascii="Times New Roman" w:hAnsi="Times New Roman"/>
                <w:sz w:val="26"/>
                <w:szCs w:val="26"/>
              </w:rPr>
            </w:pPr>
            <w:r>
              <w:rPr>
                <w:rFonts w:ascii="Times New Roman" w:hAnsi="Times New Roman"/>
                <w:sz w:val="26"/>
                <w:szCs w:val="26"/>
              </w:rPr>
              <w:t>PJM Interconnection, LLC</w:t>
            </w:r>
          </w:p>
        </w:tc>
        <w:tc>
          <w:tcPr>
            <w:tcW w:w="360" w:type="dxa"/>
            <w:shd w:val="clear" w:color="auto" w:fill="auto"/>
          </w:tcPr>
          <w:p w:rsidR="00FC1D27" w:rsidRPr="00A9090D" w:rsidRDefault="00FC1D27" w:rsidP="004B4689">
            <w:pPr>
              <w:rPr>
                <w:rFonts w:ascii="Times New Roman" w:hAnsi="Times New Roman"/>
                <w:sz w:val="26"/>
                <w:szCs w:val="26"/>
              </w:rPr>
            </w:pPr>
            <w:r w:rsidRPr="00A9090D">
              <w:rPr>
                <w:rFonts w:ascii="Times New Roman" w:hAnsi="Times New Roman"/>
                <w:sz w:val="26"/>
                <w:szCs w:val="26"/>
              </w:rPr>
              <w:t>:</w:t>
            </w:r>
          </w:p>
          <w:p w:rsidR="00FC1D27" w:rsidRPr="00A9090D" w:rsidRDefault="00FC1D27" w:rsidP="004B4689">
            <w:pPr>
              <w:rPr>
                <w:rFonts w:ascii="Times New Roman" w:hAnsi="Times New Roman"/>
                <w:sz w:val="26"/>
                <w:szCs w:val="26"/>
              </w:rPr>
            </w:pPr>
            <w:r w:rsidRPr="00A9090D">
              <w:rPr>
                <w:rFonts w:ascii="Times New Roman" w:hAnsi="Times New Roman"/>
                <w:sz w:val="26"/>
                <w:szCs w:val="26"/>
              </w:rPr>
              <w:t>:</w:t>
            </w:r>
          </w:p>
          <w:p w:rsidR="00FC1D27" w:rsidRPr="00A9090D" w:rsidRDefault="00FC1D27" w:rsidP="004B4689">
            <w:pPr>
              <w:rPr>
                <w:rFonts w:ascii="Times New Roman" w:hAnsi="Times New Roman"/>
                <w:sz w:val="26"/>
                <w:szCs w:val="26"/>
              </w:rPr>
            </w:pPr>
            <w:r w:rsidRPr="00A9090D">
              <w:rPr>
                <w:rFonts w:ascii="Times New Roman" w:hAnsi="Times New Roman"/>
                <w:sz w:val="26"/>
                <w:szCs w:val="26"/>
              </w:rPr>
              <w:t>:</w:t>
            </w:r>
          </w:p>
        </w:tc>
        <w:tc>
          <w:tcPr>
            <w:tcW w:w="4428" w:type="dxa"/>
            <w:shd w:val="clear" w:color="auto" w:fill="auto"/>
          </w:tcPr>
          <w:p w:rsidR="00FC1D27" w:rsidRPr="00A9090D" w:rsidRDefault="00FC1D27" w:rsidP="004B4689">
            <w:pPr>
              <w:ind w:left="1332" w:hanging="1332"/>
              <w:rPr>
                <w:rFonts w:ascii="Times New Roman" w:hAnsi="Times New Roman"/>
                <w:sz w:val="26"/>
                <w:szCs w:val="26"/>
              </w:rPr>
            </w:pPr>
            <w:r w:rsidRPr="00A9090D">
              <w:rPr>
                <w:rFonts w:ascii="Times New Roman" w:hAnsi="Times New Roman"/>
                <w:sz w:val="26"/>
                <w:szCs w:val="26"/>
              </w:rPr>
              <w:t>Docket No.</w:t>
            </w:r>
            <w:r w:rsidRPr="00A9090D">
              <w:rPr>
                <w:rFonts w:ascii="Times New Roman" w:hAnsi="Times New Roman"/>
                <w:sz w:val="26"/>
                <w:szCs w:val="26"/>
              </w:rPr>
              <w:tab/>
            </w:r>
            <w:r>
              <w:rPr>
                <w:rFonts w:ascii="Times New Roman" w:hAnsi="Times New Roman"/>
                <w:sz w:val="26"/>
                <w:szCs w:val="26"/>
              </w:rPr>
              <w:t>ER16-76-000</w:t>
            </w:r>
          </w:p>
        </w:tc>
      </w:tr>
    </w:tbl>
    <w:p w:rsidR="00F62477" w:rsidRPr="009D6A2A" w:rsidRDefault="00F62477" w:rsidP="00F62477">
      <w:pPr>
        <w:rPr>
          <w:rFonts w:ascii="Times New Roman" w:hAnsi="Times New Roman"/>
          <w:sz w:val="26"/>
          <w:szCs w:val="26"/>
        </w:rPr>
      </w:pPr>
    </w:p>
    <w:p w:rsidR="00F62477" w:rsidRPr="009D6A2A" w:rsidRDefault="00F62477" w:rsidP="00F62477">
      <w:pPr>
        <w:autoSpaceDE w:val="0"/>
        <w:autoSpaceDN w:val="0"/>
        <w:adjustRightInd w:val="0"/>
        <w:jc w:val="center"/>
        <w:rPr>
          <w:rFonts w:ascii="Times New Roman" w:hAnsi="Times New Roman"/>
          <w:color w:val="000000"/>
          <w:sz w:val="26"/>
          <w:szCs w:val="26"/>
        </w:rPr>
      </w:pPr>
    </w:p>
    <w:p w:rsidR="009D6A2A" w:rsidRPr="009D6A2A" w:rsidRDefault="00F62477" w:rsidP="00F62477">
      <w:pPr>
        <w:pBdr>
          <w:top w:val="single" w:sz="4" w:space="11" w:color="auto"/>
          <w:bottom w:val="single" w:sz="4" w:space="13" w:color="auto"/>
        </w:pBdr>
        <w:autoSpaceDE w:val="0"/>
        <w:autoSpaceDN w:val="0"/>
        <w:adjustRightInd w:val="0"/>
        <w:jc w:val="center"/>
        <w:rPr>
          <w:rFonts w:ascii="Times New Roman" w:hAnsi="Times New Roman"/>
          <w:b/>
          <w:color w:val="000000"/>
          <w:sz w:val="32"/>
          <w:szCs w:val="32"/>
        </w:rPr>
      </w:pPr>
      <w:r w:rsidRPr="009D6A2A">
        <w:rPr>
          <w:rFonts w:ascii="Times New Roman" w:hAnsi="Times New Roman"/>
          <w:b/>
          <w:color w:val="000000"/>
          <w:sz w:val="32"/>
          <w:szCs w:val="32"/>
        </w:rPr>
        <w:t>COMMENTS</w:t>
      </w:r>
    </w:p>
    <w:p w:rsidR="009D6A2A" w:rsidRPr="009D6A2A" w:rsidRDefault="009D6A2A" w:rsidP="00F62477">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sidRPr="009D6A2A">
        <w:rPr>
          <w:rFonts w:ascii="Times New Roman" w:hAnsi="Times New Roman"/>
          <w:b/>
          <w:color w:val="000000"/>
          <w:sz w:val="26"/>
          <w:szCs w:val="26"/>
        </w:rPr>
        <w:t xml:space="preserve">SUBMITTED ON BEHALF </w:t>
      </w:r>
      <w:r w:rsidR="00F62477" w:rsidRPr="009D6A2A">
        <w:rPr>
          <w:rFonts w:ascii="Times New Roman" w:hAnsi="Times New Roman"/>
          <w:b/>
          <w:color w:val="000000"/>
          <w:sz w:val="26"/>
          <w:szCs w:val="26"/>
        </w:rPr>
        <w:t>OF</w:t>
      </w:r>
    </w:p>
    <w:p w:rsidR="00FC1D27" w:rsidRPr="009D6A2A" w:rsidRDefault="00F62477" w:rsidP="00F62477">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sidRPr="009D6A2A">
        <w:rPr>
          <w:rFonts w:ascii="Times New Roman" w:hAnsi="Times New Roman"/>
          <w:b/>
          <w:color w:val="000000"/>
          <w:sz w:val="26"/>
          <w:szCs w:val="26"/>
        </w:rPr>
        <w:t xml:space="preserve">THE PUBLIC UTILITIES COMMISSION OF OHIO </w:t>
      </w:r>
    </w:p>
    <w:p w:rsidR="00FC1D27" w:rsidRDefault="00FC1D27" w:rsidP="00FC1D27">
      <w:pPr>
        <w:pStyle w:val="Textstyle"/>
      </w:pPr>
      <w:bookmarkStart w:id="5" w:name="_Toc177529824"/>
    </w:p>
    <w:p w:rsidR="00673C78" w:rsidRDefault="00FC1D27" w:rsidP="00673C78">
      <w:pPr>
        <w:pStyle w:val="Textstyle"/>
        <w:rPr>
          <w:lang w:bidi="en-US"/>
        </w:rPr>
      </w:pPr>
      <w:r>
        <w:tab/>
      </w:r>
      <w:r w:rsidR="00673C78" w:rsidRPr="005A01B6">
        <w:t>The Public Utilities Commission of Ohio (PUCO), pursuant to Section 205 of the Federal Power Act, respectfully submits the following Comments to the Federal Energy Regulatory Commission (Commission) in response to PJM Interconnection, LLC’s (PJM) October 14, 2015 proposed revisions to PJM’s Open Access Transmission Tariff (Tariff) Attachment K- Appendix and the identical provisions of Schedule 1 of the Amended and Restated Operating Agreement (Operating Agreement).  PJM</w:t>
      </w:r>
      <w:r w:rsidR="00673C78">
        <w:t xml:space="preserve"> proposes modification to </w:t>
      </w:r>
      <w:r w:rsidR="00673C78" w:rsidRPr="005A01B6">
        <w:t xml:space="preserve">offer cap and price formation provisions in advance of the </w:t>
      </w:r>
      <w:r w:rsidR="00673C78">
        <w:t xml:space="preserve">upcoming winter season. </w:t>
      </w:r>
    </w:p>
    <w:p w:rsidR="00FC1D27" w:rsidRDefault="00673C78" w:rsidP="00673C78">
      <w:pPr>
        <w:pStyle w:val="Textstyle"/>
      </w:pPr>
      <w:r>
        <w:rPr>
          <w:szCs w:val="26"/>
        </w:rPr>
        <w:t>The Commission should adopt PJM’s proposal.  The proposed Tariff revisions represent</w:t>
      </w:r>
      <w:r w:rsidRPr="005A01B6">
        <w:rPr>
          <w:szCs w:val="26"/>
        </w:rPr>
        <w:t xml:space="preserve"> an appropriate balance between reliability and price</w:t>
      </w:r>
      <w:r>
        <w:rPr>
          <w:szCs w:val="26"/>
        </w:rPr>
        <w:t>.</w:t>
      </w:r>
      <w:r w:rsidRPr="005A01B6">
        <w:rPr>
          <w:szCs w:val="26"/>
        </w:rPr>
        <w:t xml:space="preserve">  </w:t>
      </w:r>
      <w:r>
        <w:rPr>
          <w:szCs w:val="26"/>
        </w:rPr>
        <w:t>PJM’s proposal provides certainty to generators that their units will not operate at a loss during weather events when fuel supplies may be scarce.  As a result, system reliability will be increased during critical operating periods. The PUCO recommends that the Commission approve PJM’s filing.</w:t>
      </w:r>
    </w:p>
    <w:p w:rsidR="00F62477" w:rsidRDefault="00F62477" w:rsidP="0072107A">
      <w:pPr>
        <w:pStyle w:val="Heading1"/>
        <w:numPr>
          <w:ilvl w:val="0"/>
          <w:numId w:val="9"/>
        </w:numPr>
        <w:rPr>
          <w:snapToGrid w:val="0"/>
        </w:rPr>
      </w:pPr>
      <w:r w:rsidRPr="009D6A2A">
        <w:rPr>
          <w:snapToGrid w:val="0"/>
        </w:rPr>
        <w:lastRenderedPageBreak/>
        <w:t>BACKGROUND</w:t>
      </w:r>
      <w:bookmarkEnd w:id="5"/>
    </w:p>
    <w:p w:rsidR="00673C78" w:rsidRPr="005A01B6" w:rsidRDefault="00673C78" w:rsidP="00673C78">
      <w:pPr>
        <w:pStyle w:val="Textstyle"/>
      </w:pPr>
      <w:bookmarkStart w:id="6" w:name="_Toc177529825"/>
      <w:r>
        <w:tab/>
      </w:r>
      <w:r w:rsidRPr="005A01B6">
        <w:t xml:space="preserve">In accordance with </w:t>
      </w:r>
      <w:r>
        <w:t>PJM’s</w:t>
      </w:r>
      <w:r w:rsidRPr="005A01B6">
        <w:t xml:space="preserve"> </w:t>
      </w:r>
      <w:r>
        <w:t>T</w:t>
      </w:r>
      <w:r w:rsidRPr="005A01B6">
        <w:t xml:space="preserve">ariff </w:t>
      </w:r>
      <w:r>
        <w:t>requirements</w:t>
      </w:r>
      <w:r w:rsidRPr="005A01B6">
        <w:t xml:space="preserve">, market sellers of generation resources submit two types of energy offers: </w:t>
      </w:r>
      <w:r>
        <w:t>market-</w:t>
      </w:r>
      <w:r w:rsidRPr="005A01B6">
        <w:t xml:space="preserve">based offers and cost-based offers. </w:t>
      </w:r>
      <w:r>
        <w:t xml:space="preserve"> </w:t>
      </w:r>
      <w:r w:rsidRPr="005A01B6">
        <w:t xml:space="preserve">Both types of offers are subject to an offer cap of $1,000/MWh.  Market sellers are not permitted to submit offers in excess of the </w:t>
      </w:r>
      <w:r>
        <w:t xml:space="preserve">offer </w:t>
      </w:r>
      <w:r w:rsidRPr="005A01B6">
        <w:t xml:space="preserve">cap.  </w:t>
      </w:r>
      <w:r>
        <w:t xml:space="preserve">While </w:t>
      </w:r>
      <w:r w:rsidRPr="005A01B6">
        <w:t xml:space="preserve">PJM states that historically, cost-based offers </w:t>
      </w:r>
      <w:r>
        <w:t>did</w:t>
      </w:r>
      <w:r w:rsidRPr="005A01B6">
        <w:t xml:space="preserve"> not approach the cap</w:t>
      </w:r>
      <w:r>
        <w:t>,</w:t>
      </w:r>
      <w:r>
        <w:rPr>
          <w:rStyle w:val="FootnoteReference"/>
          <w:bCs/>
          <w:kern w:val="32"/>
          <w:szCs w:val="26"/>
          <w:lang w:eastAsia="x-none"/>
        </w:rPr>
        <w:footnoteReference w:id="1"/>
      </w:r>
      <w:r w:rsidRPr="005A01B6">
        <w:t xml:space="preserve"> the events of the polar vortex in January of 2014 caused market sellers to incur natural gas costs that </w:t>
      </w:r>
      <w:r>
        <w:t xml:space="preserve">raised </w:t>
      </w:r>
      <w:r w:rsidRPr="005A01B6">
        <w:t xml:space="preserve">generation marginal costs </w:t>
      </w:r>
      <w:r>
        <w:t>above the</w:t>
      </w:r>
      <w:r w:rsidRPr="005A01B6">
        <w:t xml:space="preserve"> $1,000/MWh</w:t>
      </w:r>
      <w:r>
        <w:t xml:space="preserve"> threshold</w:t>
      </w:r>
      <w:r w:rsidRPr="005A01B6">
        <w:t>.</w:t>
      </w:r>
      <w:r>
        <w:t xml:space="preserve"> </w:t>
      </w:r>
      <w:r w:rsidRPr="005A01B6">
        <w:t xml:space="preserve"> Market sellers of capacity resources were </w:t>
      </w:r>
      <w:r>
        <w:t>forced</w:t>
      </w:r>
      <w:r w:rsidRPr="005A01B6">
        <w:t xml:space="preserve"> to sell energy into the day</w:t>
      </w:r>
      <w:r>
        <w:t>-</w:t>
      </w:r>
      <w:r w:rsidRPr="005A01B6">
        <w:t>ahead market at prices that did not reflect their</w:t>
      </w:r>
      <w:r>
        <w:t xml:space="preserve"> true</w:t>
      </w:r>
      <w:r w:rsidRPr="005A01B6">
        <w:t xml:space="preserve"> marginal costs of operation in the real-time energy market</w:t>
      </w:r>
      <w:r>
        <w:t xml:space="preserve">, </w:t>
      </w:r>
      <w:r w:rsidRPr="005A01B6">
        <w:t>contrary to the basic princip</w:t>
      </w:r>
      <w:r>
        <w:t>les</w:t>
      </w:r>
      <w:r w:rsidRPr="005A01B6">
        <w:t xml:space="preserve"> of PJM’s energy market design.</w:t>
      </w:r>
      <w:r>
        <w:rPr>
          <w:rStyle w:val="FootnoteReference"/>
          <w:bCs/>
          <w:kern w:val="32"/>
          <w:szCs w:val="26"/>
          <w:lang w:eastAsia="x-none"/>
        </w:rPr>
        <w:footnoteReference w:id="2"/>
      </w:r>
    </w:p>
    <w:p w:rsidR="00673C78" w:rsidRPr="005A01B6" w:rsidRDefault="00673C78" w:rsidP="00673C78">
      <w:pPr>
        <w:pStyle w:val="Textstyle"/>
      </w:pPr>
      <w:r w:rsidRPr="005A01B6">
        <w:tab/>
      </w:r>
      <w:r>
        <w:t>Accordingly, PJM recommends the following Tariff changes</w:t>
      </w:r>
      <w:r w:rsidRPr="005A01B6">
        <w:t>:</w:t>
      </w:r>
    </w:p>
    <w:p w:rsidR="00673C78" w:rsidRPr="005A01B6" w:rsidRDefault="00673C78" w:rsidP="00673C78">
      <w:pPr>
        <w:pStyle w:val="ListParagraph"/>
        <w:widowControl/>
        <w:numPr>
          <w:ilvl w:val="0"/>
          <w:numId w:val="10"/>
        </w:numPr>
        <w:spacing w:line="480" w:lineRule="auto"/>
        <w:ind w:left="1440" w:hanging="720"/>
        <w:rPr>
          <w:rFonts w:ascii="Times New Roman" w:eastAsia="Times New Roman" w:hAnsi="Times New Roman"/>
          <w:bCs/>
          <w:kern w:val="32"/>
          <w:sz w:val="26"/>
          <w:szCs w:val="26"/>
          <w:lang w:eastAsia="x-none"/>
        </w:rPr>
      </w:pPr>
      <w:r w:rsidRPr="005A01B6">
        <w:rPr>
          <w:rFonts w:ascii="Times New Roman" w:eastAsia="Times New Roman" w:hAnsi="Times New Roman"/>
          <w:bCs/>
          <w:kern w:val="32"/>
          <w:sz w:val="26"/>
          <w:szCs w:val="26"/>
          <w:lang w:eastAsia="x-none"/>
        </w:rPr>
        <w:t>Market sellers of generation resources may submit cost-based offers for energy consistent with PJM’s cost development and applicable fuel cost policy.  Those offers will be allowed to set the Locational Marginal Price (LMP) up to, but not above, $2,000/MWh.</w:t>
      </w:r>
      <w:r>
        <w:rPr>
          <w:rStyle w:val="FootnoteReference"/>
          <w:rFonts w:ascii="Times New Roman" w:eastAsia="Times New Roman" w:hAnsi="Times New Roman"/>
          <w:bCs/>
          <w:kern w:val="32"/>
          <w:sz w:val="26"/>
          <w:szCs w:val="26"/>
          <w:lang w:eastAsia="x-none"/>
        </w:rPr>
        <w:footnoteReference w:id="3"/>
      </w:r>
    </w:p>
    <w:p w:rsidR="00673C78" w:rsidRPr="005A01B6" w:rsidRDefault="00673C78" w:rsidP="00673C78">
      <w:pPr>
        <w:pStyle w:val="ListParagraph"/>
        <w:widowControl/>
        <w:numPr>
          <w:ilvl w:val="0"/>
          <w:numId w:val="10"/>
        </w:numPr>
        <w:spacing w:line="480" w:lineRule="auto"/>
        <w:ind w:left="1440" w:hanging="720"/>
        <w:rPr>
          <w:rFonts w:ascii="Times New Roman" w:eastAsia="Times New Roman" w:hAnsi="Times New Roman"/>
          <w:b/>
          <w:bCs/>
          <w:kern w:val="32"/>
          <w:sz w:val="26"/>
          <w:szCs w:val="26"/>
          <w:lang w:eastAsia="x-none"/>
        </w:rPr>
      </w:pPr>
      <w:r w:rsidRPr="005A01B6">
        <w:rPr>
          <w:rFonts w:ascii="Times New Roman" w:eastAsia="Times New Roman" w:hAnsi="Times New Roman"/>
          <w:bCs/>
          <w:kern w:val="32"/>
          <w:sz w:val="26"/>
          <w:szCs w:val="26"/>
          <w:lang w:eastAsia="x-none"/>
        </w:rPr>
        <w:t>Market-based offers above $1,000/MWh but less than $2,000/MWh can be less than or equal to the market seller’s cost</w:t>
      </w:r>
      <w:r>
        <w:rPr>
          <w:rFonts w:ascii="Times New Roman" w:eastAsia="Times New Roman" w:hAnsi="Times New Roman"/>
          <w:bCs/>
          <w:kern w:val="32"/>
          <w:sz w:val="26"/>
          <w:szCs w:val="26"/>
          <w:lang w:eastAsia="x-none"/>
        </w:rPr>
        <w:t>-</w:t>
      </w:r>
      <w:r w:rsidRPr="005A01B6">
        <w:rPr>
          <w:rFonts w:ascii="Times New Roman" w:eastAsia="Times New Roman" w:hAnsi="Times New Roman"/>
          <w:bCs/>
          <w:kern w:val="32"/>
          <w:sz w:val="26"/>
          <w:szCs w:val="26"/>
          <w:lang w:eastAsia="x-none"/>
        </w:rPr>
        <w:t xml:space="preserve">based offer in this price range.  </w:t>
      </w:r>
      <w:r w:rsidRPr="005A01B6">
        <w:rPr>
          <w:rFonts w:ascii="Times New Roman" w:eastAsia="Times New Roman" w:hAnsi="Times New Roman"/>
          <w:bCs/>
          <w:kern w:val="32"/>
          <w:sz w:val="26"/>
          <w:szCs w:val="26"/>
          <w:lang w:eastAsia="x-none"/>
        </w:rPr>
        <w:lastRenderedPageBreak/>
        <w:t>If the market seller’s cost-based offer rises above $2,000/MWh, the market-based offer remains capped at $2,000/MWh.</w:t>
      </w:r>
      <w:r>
        <w:rPr>
          <w:rFonts w:ascii="Times New Roman" w:eastAsia="Times New Roman" w:hAnsi="Times New Roman"/>
          <w:bCs/>
          <w:kern w:val="32"/>
          <w:sz w:val="26"/>
          <w:szCs w:val="26"/>
          <w:lang w:eastAsia="x-none"/>
        </w:rPr>
        <w:t xml:space="preserve"> </w:t>
      </w:r>
      <w:r w:rsidRPr="005A01B6">
        <w:rPr>
          <w:rFonts w:ascii="Times New Roman" w:eastAsia="Times New Roman" w:hAnsi="Times New Roman"/>
          <w:bCs/>
          <w:kern w:val="32"/>
          <w:sz w:val="26"/>
          <w:szCs w:val="26"/>
          <w:lang w:eastAsia="x-none"/>
        </w:rPr>
        <w:t xml:space="preserve"> Market-based offers will be allowed to set LMP up to, but not above, $2,000/MWh.</w:t>
      </w:r>
      <w:r>
        <w:rPr>
          <w:rStyle w:val="FootnoteReference"/>
          <w:rFonts w:ascii="Times New Roman" w:eastAsia="Times New Roman" w:hAnsi="Times New Roman"/>
          <w:bCs/>
          <w:kern w:val="32"/>
          <w:sz w:val="26"/>
          <w:szCs w:val="26"/>
          <w:lang w:eastAsia="x-none"/>
        </w:rPr>
        <w:footnoteReference w:id="4"/>
      </w:r>
    </w:p>
    <w:p w:rsidR="00673C78" w:rsidRPr="005A01B6" w:rsidRDefault="00673C78" w:rsidP="00673C78">
      <w:pPr>
        <w:pStyle w:val="ListParagraph"/>
        <w:widowControl/>
        <w:numPr>
          <w:ilvl w:val="0"/>
          <w:numId w:val="10"/>
        </w:numPr>
        <w:spacing w:line="480" w:lineRule="auto"/>
        <w:ind w:left="1440" w:hanging="720"/>
        <w:rPr>
          <w:rFonts w:ascii="Times New Roman" w:hAnsi="Times New Roman"/>
          <w:sz w:val="26"/>
          <w:szCs w:val="26"/>
        </w:rPr>
      </w:pPr>
      <w:r w:rsidRPr="005A01B6">
        <w:rPr>
          <w:rFonts w:ascii="Times New Roman" w:eastAsia="Times New Roman" w:hAnsi="Times New Roman"/>
          <w:bCs/>
          <w:kern w:val="32"/>
          <w:sz w:val="26"/>
          <w:szCs w:val="26"/>
          <w:lang w:eastAsia="x-none"/>
        </w:rPr>
        <w:t xml:space="preserve">Market sellers with demonstrated </w:t>
      </w:r>
      <w:r>
        <w:rPr>
          <w:rFonts w:ascii="Times New Roman" w:eastAsia="Times New Roman" w:hAnsi="Times New Roman"/>
          <w:bCs/>
          <w:kern w:val="32"/>
          <w:sz w:val="26"/>
          <w:szCs w:val="26"/>
          <w:lang w:eastAsia="x-none"/>
        </w:rPr>
        <w:t>cost-based offers above $2,000/MWh will</w:t>
      </w:r>
      <w:r w:rsidRPr="005A01B6">
        <w:rPr>
          <w:rFonts w:ascii="Times New Roman" w:eastAsia="Times New Roman" w:hAnsi="Times New Roman"/>
          <w:bCs/>
          <w:kern w:val="32"/>
          <w:sz w:val="26"/>
          <w:szCs w:val="26"/>
          <w:lang w:eastAsia="x-none"/>
        </w:rPr>
        <w:t xml:space="preserve"> recover those costs through make-whole payments</w:t>
      </w:r>
      <w:r>
        <w:rPr>
          <w:rFonts w:ascii="Times New Roman" w:eastAsia="Times New Roman" w:hAnsi="Times New Roman"/>
          <w:bCs/>
          <w:kern w:val="32"/>
          <w:sz w:val="26"/>
          <w:szCs w:val="26"/>
          <w:lang w:eastAsia="x-none"/>
        </w:rPr>
        <w:t>,</w:t>
      </w:r>
      <w:r w:rsidRPr="005A01B6">
        <w:rPr>
          <w:rFonts w:ascii="Times New Roman" w:eastAsia="Times New Roman" w:hAnsi="Times New Roman"/>
          <w:bCs/>
          <w:kern w:val="32"/>
          <w:sz w:val="26"/>
          <w:szCs w:val="26"/>
          <w:lang w:eastAsia="x-none"/>
        </w:rPr>
        <w:t xml:space="preserve"> subject to review </w:t>
      </w:r>
      <w:r>
        <w:rPr>
          <w:rFonts w:ascii="Times New Roman" w:eastAsia="Times New Roman" w:hAnsi="Times New Roman"/>
          <w:bCs/>
          <w:kern w:val="32"/>
          <w:sz w:val="26"/>
          <w:szCs w:val="26"/>
          <w:lang w:eastAsia="x-none"/>
        </w:rPr>
        <w:t>by</w:t>
      </w:r>
      <w:r w:rsidRPr="005A01B6">
        <w:rPr>
          <w:rFonts w:ascii="Times New Roman" w:eastAsia="Times New Roman" w:hAnsi="Times New Roman"/>
          <w:bCs/>
          <w:kern w:val="32"/>
          <w:sz w:val="26"/>
          <w:szCs w:val="26"/>
          <w:lang w:eastAsia="x-none"/>
        </w:rPr>
        <w:t xml:space="preserve"> PJM and its Independent Market Monitor (IMM)</w:t>
      </w:r>
      <w:r w:rsidRPr="005A01B6">
        <w:rPr>
          <w:rFonts w:ascii="Times New Roman" w:hAnsi="Times New Roman"/>
          <w:sz w:val="26"/>
          <w:szCs w:val="26"/>
        </w:rPr>
        <w:t xml:space="preserve">. </w:t>
      </w:r>
      <w:r>
        <w:rPr>
          <w:rStyle w:val="FootnoteReference"/>
          <w:rFonts w:ascii="Times New Roman" w:hAnsi="Times New Roman"/>
          <w:sz w:val="26"/>
          <w:szCs w:val="26"/>
        </w:rPr>
        <w:footnoteReference w:id="5"/>
      </w:r>
    </w:p>
    <w:p w:rsidR="00F62477" w:rsidRDefault="00F62477" w:rsidP="0072107A">
      <w:pPr>
        <w:pStyle w:val="Heading1"/>
      </w:pPr>
      <w:r w:rsidRPr="009D6A2A">
        <w:t>COMMENTS</w:t>
      </w:r>
      <w:bookmarkEnd w:id="6"/>
    </w:p>
    <w:p w:rsidR="00FC1D27" w:rsidRDefault="00FC1D27" w:rsidP="00FC1D27">
      <w:pPr>
        <w:pStyle w:val="Textstyle"/>
      </w:pPr>
      <w:bookmarkStart w:id="7" w:name="_Toc177529835"/>
      <w:r>
        <w:tab/>
      </w:r>
      <w:r w:rsidR="00673C78">
        <w:rPr>
          <w:szCs w:val="26"/>
        </w:rPr>
        <w:t>The Commission should approve PJM’s recommended Tariff revisions.</w:t>
      </w:r>
      <w:r w:rsidR="00673C78" w:rsidRPr="005A01B6">
        <w:rPr>
          <w:szCs w:val="26"/>
        </w:rPr>
        <w:t xml:space="preserve">  </w:t>
      </w:r>
      <w:r w:rsidR="00673C78">
        <w:rPr>
          <w:szCs w:val="26"/>
        </w:rPr>
        <w:t>PJM’s proposal provides certainty to generation units during extreme weather events when fuel supplies may be scarce and ensures reliability during periods of peak demand</w:t>
      </w:r>
      <w:r w:rsidR="00673C78" w:rsidRPr="005A01B6">
        <w:rPr>
          <w:szCs w:val="26"/>
        </w:rPr>
        <w:t>.</w:t>
      </w:r>
      <w:r w:rsidR="00673C78" w:rsidRPr="00304000">
        <w:rPr>
          <w:szCs w:val="26"/>
        </w:rPr>
        <w:t xml:space="preserve"> </w:t>
      </w:r>
      <w:r w:rsidR="00673C78">
        <w:rPr>
          <w:szCs w:val="26"/>
        </w:rPr>
        <w:t xml:space="preserve"> </w:t>
      </w:r>
      <w:r w:rsidR="00673C78">
        <w:rPr>
          <w:szCs w:val="26"/>
        </w:rPr>
        <w:t>While PJM’s proposal takes a necessary step forward, it is imperative that both the IMM and PJM continue to</w:t>
      </w:r>
      <w:r w:rsidR="00673C78" w:rsidRPr="005A01B6">
        <w:rPr>
          <w:szCs w:val="26"/>
        </w:rPr>
        <w:t xml:space="preserve"> review out-of-market </w:t>
      </w:r>
      <w:r w:rsidR="00673C78">
        <w:rPr>
          <w:szCs w:val="26"/>
        </w:rPr>
        <w:t xml:space="preserve">cost-based </w:t>
      </w:r>
      <w:r w:rsidR="00673C78" w:rsidRPr="005A01B6">
        <w:rPr>
          <w:szCs w:val="26"/>
        </w:rPr>
        <w:t xml:space="preserve">offers. </w:t>
      </w:r>
      <w:r w:rsidRPr="005A01B6">
        <w:t xml:space="preserve">  </w:t>
      </w:r>
    </w:p>
    <w:p w:rsidR="00FC1D27" w:rsidRPr="005A01B6" w:rsidRDefault="00FC1D27" w:rsidP="00FC1D27">
      <w:pPr>
        <w:pStyle w:val="Heading2"/>
      </w:pPr>
      <w:r>
        <w:t>A.</w:t>
      </w:r>
      <w:r>
        <w:tab/>
        <w:t xml:space="preserve">PJM’s </w:t>
      </w:r>
      <w:r w:rsidR="00673C78">
        <w:t>proposal reasonably balances cost and reliability objectives.</w:t>
      </w:r>
    </w:p>
    <w:p w:rsidR="00673C78" w:rsidRDefault="00673C78" w:rsidP="00673C78">
      <w:pPr>
        <w:pStyle w:val="Textstyle"/>
      </w:pPr>
      <w:r w:rsidRPr="005A01B6">
        <w:tab/>
      </w:r>
      <w:r>
        <w:t>Prohibiting generation units from recovering their legitimate marginal costs of production is inconsistent with transparent energy market design protocol.  Although gen</w:t>
      </w:r>
      <w:r>
        <w:softHyphen/>
      </w:r>
      <w:r>
        <w:t>eration units should be able to recover legitimate marginal costs, it is important that the cost impacts to end-use load customers be taken into account when modifying energy-</w:t>
      </w:r>
      <w:r>
        <w:lastRenderedPageBreak/>
        <w:t xml:space="preserve">market offer caps.  </w:t>
      </w:r>
    </w:p>
    <w:p w:rsidR="00FC1D27" w:rsidRDefault="00673C78" w:rsidP="00673C78">
      <w:pPr>
        <w:pStyle w:val="Textstyle"/>
      </w:pPr>
      <w:r>
        <w:rPr>
          <w:szCs w:val="26"/>
        </w:rPr>
        <w:t xml:space="preserve">PJM’s proposal balances both of these objectives. </w:t>
      </w:r>
      <w:r>
        <w:rPr>
          <w:szCs w:val="26"/>
        </w:rPr>
        <w:t xml:space="preserve"> </w:t>
      </w:r>
      <w:r>
        <w:rPr>
          <w:szCs w:val="26"/>
        </w:rPr>
        <w:t>Generation units will not be placed in situations where they may have to operate at a loss, while still protecting consumers from unlimited and unjustified price increases.</w:t>
      </w:r>
      <w:r>
        <w:rPr>
          <w:szCs w:val="26"/>
        </w:rPr>
        <w:t xml:space="preserve"> </w:t>
      </w:r>
      <w:r>
        <w:rPr>
          <w:szCs w:val="26"/>
        </w:rPr>
        <w:t xml:space="preserve"> PJM proposes to increase transparency with regard to price by reporting any offers in excess of $1,000 to the Commission at the end of each winter season. </w:t>
      </w:r>
      <w:r>
        <w:rPr>
          <w:szCs w:val="26"/>
        </w:rPr>
        <w:t xml:space="preserve"> </w:t>
      </w:r>
      <w:r>
        <w:rPr>
          <w:szCs w:val="26"/>
        </w:rPr>
        <w:t xml:space="preserve">The PUCO recommends that PJM report any offers in excess of $1,000/MWh bi-annually during the calendar year because extreme weather is not just limited to a winter event. </w:t>
      </w:r>
      <w:r>
        <w:rPr>
          <w:szCs w:val="26"/>
        </w:rPr>
        <w:t xml:space="preserve"> </w:t>
      </w:r>
      <w:r>
        <w:rPr>
          <w:szCs w:val="26"/>
        </w:rPr>
        <w:t>PJM should file a report with the Commission after the winter season and after the summer season.</w:t>
      </w:r>
    </w:p>
    <w:p w:rsidR="00FC1D27" w:rsidRPr="004F5B43" w:rsidRDefault="00FC1D27" w:rsidP="00FC1D27">
      <w:pPr>
        <w:pStyle w:val="Heading2"/>
      </w:pPr>
      <w:r w:rsidRPr="00254B90">
        <w:t>B.</w:t>
      </w:r>
      <w:r>
        <w:t xml:space="preserve">  </w:t>
      </w:r>
      <w:r>
        <w:tab/>
      </w:r>
      <w:r w:rsidRPr="004F5B43">
        <w:t xml:space="preserve">Proposal </w:t>
      </w:r>
      <w:r>
        <w:t>Increases Reliability</w:t>
      </w:r>
      <w:r w:rsidRPr="004F5B43">
        <w:t xml:space="preserve"> </w:t>
      </w:r>
    </w:p>
    <w:p w:rsidR="00FC1D27" w:rsidRDefault="00FC1D27" w:rsidP="00FC1D27">
      <w:pPr>
        <w:pStyle w:val="Textstyle"/>
      </w:pPr>
      <w:r>
        <w:t xml:space="preserve">  </w:t>
      </w:r>
      <w:r w:rsidR="00673C78">
        <w:tab/>
      </w:r>
      <w:r w:rsidR="00673C78">
        <w:rPr>
          <w:szCs w:val="26"/>
        </w:rPr>
        <w:t>A more flexible energy market offer cap will allow sellers of generation to recover their legitimate costs.  Recovery of legitimate costs is necessary in order to meet reliabil</w:t>
      </w:r>
      <w:r w:rsidR="00673C78">
        <w:rPr>
          <w:szCs w:val="26"/>
        </w:rPr>
        <w:softHyphen/>
      </w:r>
      <w:r w:rsidR="00673C78">
        <w:rPr>
          <w:szCs w:val="26"/>
        </w:rPr>
        <w:t xml:space="preserve">ity objectives, particularly during times of peak demand. </w:t>
      </w:r>
      <w:r w:rsidR="00673C78">
        <w:rPr>
          <w:szCs w:val="26"/>
        </w:rPr>
        <w:t xml:space="preserve"> </w:t>
      </w:r>
      <w:r w:rsidR="00673C78">
        <w:rPr>
          <w:szCs w:val="26"/>
        </w:rPr>
        <w:t>Placing generation units in a scenario where they must choose between showing up and operating at a loss creates a precarious reliability position.</w:t>
      </w:r>
      <w:r w:rsidR="00673C78">
        <w:rPr>
          <w:szCs w:val="26"/>
        </w:rPr>
        <w:t xml:space="preserve"> </w:t>
      </w:r>
      <w:r w:rsidR="00673C78">
        <w:rPr>
          <w:szCs w:val="26"/>
        </w:rPr>
        <w:t xml:space="preserve"> PJM’s proposal will allow generating units to offer to run with the knowledge that their costs will be recovered pursuant to PJM’s proposed Tariff. </w:t>
      </w:r>
      <w:r w:rsidR="00673C78">
        <w:rPr>
          <w:szCs w:val="26"/>
        </w:rPr>
        <w:t xml:space="preserve"> </w:t>
      </w:r>
      <w:r w:rsidR="00673C78">
        <w:rPr>
          <w:szCs w:val="26"/>
        </w:rPr>
        <w:t xml:space="preserve">The availability of more generation units will result in increased power supply available to serve load during times of peak demand or system stress. </w:t>
      </w:r>
      <w:r w:rsidR="00673C78">
        <w:rPr>
          <w:szCs w:val="26"/>
        </w:rPr>
        <w:t xml:space="preserve"> </w:t>
      </w:r>
      <w:r w:rsidR="00673C78">
        <w:rPr>
          <w:szCs w:val="26"/>
        </w:rPr>
        <w:t xml:space="preserve">Ultimately, consumers are better served by a strengthened power grid during critical periods. </w:t>
      </w:r>
      <w:r>
        <w:t xml:space="preserve">   </w:t>
      </w:r>
    </w:p>
    <w:p w:rsidR="009B300D" w:rsidRDefault="009B300D" w:rsidP="00FC1D27">
      <w:pPr>
        <w:pStyle w:val="Heading2"/>
      </w:pPr>
      <w:r>
        <w:br w:type="page"/>
      </w:r>
    </w:p>
    <w:p w:rsidR="00FC1D27" w:rsidRPr="00E146FD" w:rsidRDefault="00FC1D27" w:rsidP="00FC1D27">
      <w:pPr>
        <w:pStyle w:val="Heading2"/>
      </w:pPr>
      <w:r>
        <w:lastRenderedPageBreak/>
        <w:t>C.</w:t>
      </w:r>
      <w:r>
        <w:tab/>
      </w:r>
      <w:r w:rsidRPr="00E146FD">
        <w:t>Proposal Reduces Uplift</w:t>
      </w:r>
    </w:p>
    <w:p w:rsidR="00673C78" w:rsidRPr="005A01B6" w:rsidRDefault="00673C78" w:rsidP="00673C78">
      <w:pPr>
        <w:pStyle w:val="Textstyle"/>
      </w:pPr>
      <w:r>
        <w:tab/>
      </w:r>
      <w:r>
        <w:t>PJM’s</w:t>
      </w:r>
      <w:r w:rsidRPr="005A01B6">
        <w:t xml:space="preserve"> proposal takes an important step forward in reducing the amount of</w:t>
      </w:r>
      <w:r>
        <w:t xml:space="preserve"> make-whole or</w:t>
      </w:r>
      <w:r w:rsidRPr="005A01B6">
        <w:t xml:space="preserve"> uplift</w:t>
      </w:r>
      <w:r>
        <w:t xml:space="preserve"> payments to generating units.  Uplift will be reduced by allowing genera</w:t>
      </w:r>
      <w:r>
        <w:softHyphen/>
      </w:r>
      <w:r>
        <w:t>tion units</w:t>
      </w:r>
      <w:r w:rsidRPr="005A01B6">
        <w:t xml:space="preserve"> to receive compensation through LMP charges </w:t>
      </w:r>
      <w:r>
        <w:t>reflecting actual market condi</w:t>
      </w:r>
      <w:r>
        <w:softHyphen/>
      </w:r>
      <w:r>
        <w:t>tions up to the proposed $2,000/MWh cap.  Only cost-based offers that exceed the pro</w:t>
      </w:r>
      <w:r>
        <w:softHyphen/>
      </w:r>
      <w:r>
        <w:t xml:space="preserve">posed cap would be eligible for uplift.  </w:t>
      </w:r>
    </w:p>
    <w:p w:rsidR="00FC1D27" w:rsidRDefault="00673C78" w:rsidP="00673C78">
      <w:pPr>
        <w:pStyle w:val="Textstyle"/>
      </w:pPr>
      <w:r>
        <w:rPr>
          <w:szCs w:val="26"/>
        </w:rPr>
        <w:tab/>
      </w:r>
      <w:r>
        <w:rPr>
          <w:szCs w:val="26"/>
        </w:rPr>
        <w:t>Ensuring actual</w:t>
      </w:r>
      <w:r w:rsidRPr="005A01B6">
        <w:rPr>
          <w:szCs w:val="26"/>
        </w:rPr>
        <w:t xml:space="preserve"> </w:t>
      </w:r>
      <w:r>
        <w:rPr>
          <w:szCs w:val="26"/>
        </w:rPr>
        <w:t xml:space="preserve">cost recovery by generation units is </w:t>
      </w:r>
      <w:r w:rsidRPr="005A01B6">
        <w:rPr>
          <w:szCs w:val="26"/>
        </w:rPr>
        <w:t>consistent with PJM’s cost development guidelines and the IMM’s fuel cost policy</w:t>
      </w:r>
      <w:r>
        <w:rPr>
          <w:szCs w:val="26"/>
        </w:rPr>
        <w:t>.</w:t>
      </w:r>
      <w:r>
        <w:rPr>
          <w:rStyle w:val="FootnoteReference"/>
          <w:szCs w:val="26"/>
        </w:rPr>
        <w:footnoteReference w:id="6"/>
      </w:r>
      <w:r w:rsidRPr="005A01B6">
        <w:rPr>
          <w:szCs w:val="26"/>
        </w:rPr>
        <w:t xml:space="preserve"> </w:t>
      </w:r>
      <w:r>
        <w:rPr>
          <w:szCs w:val="26"/>
        </w:rPr>
        <w:t xml:space="preserve"> </w:t>
      </w:r>
      <w:r>
        <w:rPr>
          <w:szCs w:val="26"/>
        </w:rPr>
        <w:t>While PJM’s proposal takes a necessary step forward, it is crucial that both the Independent Market Monitor and PJM continue to</w:t>
      </w:r>
      <w:r w:rsidRPr="005A01B6">
        <w:rPr>
          <w:szCs w:val="26"/>
        </w:rPr>
        <w:t xml:space="preserve"> review out-of-market offers</w:t>
      </w:r>
      <w:r>
        <w:rPr>
          <w:szCs w:val="26"/>
        </w:rPr>
        <w:t xml:space="preserve"> to limit energy uplift charges.</w:t>
      </w:r>
      <w:r w:rsidRPr="005A01B6">
        <w:rPr>
          <w:szCs w:val="26"/>
        </w:rPr>
        <w:t xml:space="preserve"> </w:t>
      </w:r>
      <w:r w:rsidR="00FC1D27">
        <w:t xml:space="preserve">  </w:t>
      </w:r>
    </w:p>
    <w:p w:rsidR="00F62477" w:rsidRPr="009D6A2A" w:rsidRDefault="00F62477" w:rsidP="0072107A">
      <w:pPr>
        <w:pStyle w:val="Heading1"/>
      </w:pPr>
      <w:r w:rsidRPr="009D6A2A">
        <w:t>CONCLUSION</w:t>
      </w:r>
      <w:bookmarkEnd w:id="7"/>
      <w:r w:rsidRPr="009D6A2A">
        <w:t xml:space="preserve"> </w:t>
      </w:r>
    </w:p>
    <w:p w:rsidR="00FC1D27" w:rsidRPr="0018564F" w:rsidRDefault="00F62477" w:rsidP="00FC1D27">
      <w:pPr>
        <w:pStyle w:val="Textstyle"/>
      </w:pPr>
      <w:r w:rsidRPr="00153A5E">
        <w:tab/>
      </w:r>
      <w:r w:rsidR="00673C78" w:rsidRPr="00406397">
        <w:rPr>
          <w:bCs/>
          <w:kern w:val="32"/>
          <w:szCs w:val="26"/>
          <w:lang w:eastAsia="x-none"/>
        </w:rPr>
        <w:t>The Commission should</w:t>
      </w:r>
      <w:r w:rsidR="00673C78">
        <w:rPr>
          <w:bCs/>
          <w:kern w:val="32"/>
          <w:szCs w:val="26"/>
          <w:lang w:eastAsia="x-none"/>
        </w:rPr>
        <w:t xml:space="preserve"> approve PJM’s proposal.  </w:t>
      </w:r>
      <w:r w:rsidR="00673C78" w:rsidRPr="0018564F">
        <w:rPr>
          <w:szCs w:val="26"/>
        </w:rPr>
        <w:t>The</w:t>
      </w:r>
      <w:r w:rsidR="00673C78">
        <w:rPr>
          <w:szCs w:val="26"/>
        </w:rPr>
        <w:t xml:space="preserve"> PUCO appreciates the efforts of PJM and its stakeholders to reach a consensus position on energy market offer caps prior to the upcoming winter season.  PJM’s recommended Tariff revisions appropriately balance PJM’s need for reliability while recognizing end-use customer con</w:t>
      </w:r>
      <w:r w:rsidR="00673C78">
        <w:rPr>
          <w:szCs w:val="26"/>
        </w:rPr>
        <w:softHyphen/>
      </w:r>
      <w:r w:rsidR="00673C78">
        <w:rPr>
          <w:szCs w:val="26"/>
        </w:rPr>
        <w:t xml:space="preserve">cerns associated with energy price spikes during periods of extreme weather.  Further, PJM’s proposal sends transparent price signals while limiting uplift to the extent possible. </w:t>
      </w:r>
      <w:r w:rsidR="00673C78">
        <w:rPr>
          <w:szCs w:val="26"/>
        </w:rPr>
        <w:t xml:space="preserve"> </w:t>
      </w:r>
      <w:r w:rsidR="00673C78">
        <w:rPr>
          <w:szCs w:val="26"/>
        </w:rPr>
        <w:t xml:space="preserve">Finally, the PUCO recommends that PJM report any offers in excess of $1,000/MWh bi-annually during the calendar year after the winter and summer seasons. </w:t>
      </w:r>
      <w:r w:rsidR="00673C78">
        <w:rPr>
          <w:szCs w:val="26"/>
        </w:rPr>
        <w:t xml:space="preserve"> </w:t>
      </w:r>
      <w:r w:rsidR="00673C78">
        <w:rPr>
          <w:szCs w:val="26"/>
        </w:rPr>
        <w:t xml:space="preserve">The PUCO looks </w:t>
      </w:r>
      <w:r w:rsidR="00673C78">
        <w:rPr>
          <w:szCs w:val="26"/>
        </w:rPr>
        <w:lastRenderedPageBreak/>
        <w:t>forward to providing comments on these matters as the Commission continues its review of price formation in energy markets.</w:t>
      </w:r>
      <w:r w:rsidR="00FC1D27">
        <w:t xml:space="preserve"> </w:t>
      </w:r>
    </w:p>
    <w:p w:rsidR="00F62477" w:rsidRPr="009D6A2A" w:rsidRDefault="00F62477" w:rsidP="00F62477">
      <w:pPr>
        <w:tabs>
          <w:tab w:val="left" w:pos="9360"/>
        </w:tabs>
        <w:ind w:left="4760"/>
        <w:rPr>
          <w:rFonts w:ascii="Times New Roman" w:hAnsi="Times New Roman"/>
          <w:snapToGrid w:val="0"/>
          <w:sz w:val="26"/>
          <w:szCs w:val="26"/>
        </w:rPr>
      </w:pPr>
      <w:r w:rsidRPr="009D6A2A">
        <w:rPr>
          <w:rFonts w:ascii="Times New Roman" w:hAnsi="Times New Roman"/>
          <w:snapToGrid w:val="0"/>
          <w:sz w:val="26"/>
          <w:szCs w:val="26"/>
        </w:rPr>
        <w:t>Respectfully submitted,</w:t>
      </w:r>
    </w:p>
    <w:p w:rsidR="00A46BED" w:rsidRDefault="00A46BED" w:rsidP="00F62477">
      <w:pPr>
        <w:tabs>
          <w:tab w:val="left" w:pos="9360"/>
        </w:tabs>
        <w:ind w:left="4760"/>
        <w:rPr>
          <w:rFonts w:ascii="French Script MT" w:hAnsi="French Script MT"/>
          <w:sz w:val="32"/>
          <w:szCs w:val="32"/>
          <w:u w:val="single"/>
        </w:rPr>
      </w:pPr>
    </w:p>
    <w:p w:rsidR="00F62477" w:rsidRPr="00B6570D" w:rsidRDefault="00B6570D" w:rsidP="00F62477">
      <w:pPr>
        <w:tabs>
          <w:tab w:val="left" w:pos="9360"/>
        </w:tabs>
        <w:ind w:left="4760"/>
        <w:rPr>
          <w:rFonts w:ascii="Brush Script MT" w:hAnsi="Brush Script MT"/>
          <w:i/>
          <w:sz w:val="40"/>
          <w:szCs w:val="40"/>
          <w:u w:val="single"/>
        </w:rPr>
      </w:pPr>
      <w:r w:rsidRPr="00B6570D">
        <w:rPr>
          <w:rFonts w:ascii="Brush Script MT" w:hAnsi="Brush Script MT"/>
          <w:i/>
          <w:sz w:val="40"/>
          <w:szCs w:val="40"/>
          <w:u w:val="single"/>
        </w:rPr>
        <w:t>/s</w:t>
      </w:r>
      <w:r w:rsidR="00A46BED" w:rsidRPr="00B6570D">
        <w:rPr>
          <w:rFonts w:ascii="Brush Script MT" w:hAnsi="Brush Script MT"/>
          <w:i/>
          <w:sz w:val="40"/>
          <w:szCs w:val="40"/>
          <w:u w:val="single"/>
        </w:rPr>
        <w:t>/ Thomas W. McNamee</w:t>
      </w:r>
      <w:r w:rsidR="00B8172D" w:rsidRPr="00B6570D">
        <w:rPr>
          <w:rFonts w:ascii="Brush Script MT" w:hAnsi="Brush Script MT"/>
          <w:i/>
          <w:sz w:val="40"/>
          <w:szCs w:val="40"/>
          <w:u w:val="single"/>
        </w:rPr>
        <w:tab/>
      </w:r>
    </w:p>
    <w:p w:rsidR="00A46BED" w:rsidRPr="00A46BED" w:rsidRDefault="00F62477" w:rsidP="00F62477">
      <w:pPr>
        <w:tabs>
          <w:tab w:val="left" w:pos="4760"/>
        </w:tabs>
        <w:rPr>
          <w:rFonts w:ascii="Times New Roman" w:hAnsi="Times New Roman"/>
          <w:b/>
          <w:sz w:val="26"/>
          <w:szCs w:val="26"/>
        </w:rPr>
      </w:pPr>
      <w:r w:rsidRPr="009D6A2A">
        <w:rPr>
          <w:rFonts w:ascii="Times New Roman" w:hAnsi="Times New Roman"/>
          <w:sz w:val="26"/>
          <w:szCs w:val="26"/>
        </w:rPr>
        <w:tab/>
      </w:r>
      <w:r w:rsidR="00A46BED">
        <w:rPr>
          <w:rFonts w:ascii="Times New Roman" w:hAnsi="Times New Roman"/>
          <w:b/>
          <w:sz w:val="26"/>
          <w:szCs w:val="26"/>
        </w:rPr>
        <w:t>Thomas W. McNamee</w:t>
      </w:r>
    </w:p>
    <w:p w:rsidR="00F62477" w:rsidRPr="009D6A2A"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r>
      <w:smartTag w:uri="urn:schemas-microsoft-com:office:smarttags" w:element="Street">
        <w:smartTag w:uri="urn:schemas-microsoft-com:office:smarttags" w:element="address">
          <w:r w:rsidRPr="009D6A2A">
            <w:rPr>
              <w:rFonts w:ascii="Times New Roman" w:hAnsi="Times New Roman"/>
              <w:sz w:val="26"/>
              <w:szCs w:val="26"/>
            </w:rPr>
            <w:t>180 East Broad Street</w:t>
          </w:r>
        </w:smartTag>
      </w:smartTag>
    </w:p>
    <w:p w:rsidR="00F62477" w:rsidRPr="009D6A2A"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r>
      <w:smartTag w:uri="urn:schemas-microsoft-com:office:smarttags" w:element="place">
        <w:smartTag w:uri="urn:schemas-microsoft-com:office:smarttags" w:element="City">
          <w:r w:rsidRPr="009D6A2A">
            <w:rPr>
              <w:rFonts w:ascii="Times New Roman" w:hAnsi="Times New Roman"/>
              <w:sz w:val="26"/>
              <w:szCs w:val="26"/>
            </w:rPr>
            <w:t>Columbus</w:t>
          </w:r>
        </w:smartTag>
        <w:r w:rsidRPr="009D6A2A">
          <w:rPr>
            <w:rFonts w:ascii="Times New Roman" w:hAnsi="Times New Roman"/>
            <w:sz w:val="26"/>
            <w:szCs w:val="26"/>
          </w:rPr>
          <w:t xml:space="preserve">, </w:t>
        </w:r>
        <w:smartTag w:uri="urn:schemas-microsoft-com:office:smarttags" w:element="State">
          <w:r w:rsidRPr="009D6A2A">
            <w:rPr>
              <w:rFonts w:ascii="Times New Roman" w:hAnsi="Times New Roman"/>
              <w:sz w:val="26"/>
              <w:szCs w:val="26"/>
            </w:rPr>
            <w:t>OH</w:t>
          </w:r>
        </w:smartTag>
        <w:r w:rsidRPr="009D6A2A">
          <w:rPr>
            <w:rFonts w:ascii="Times New Roman" w:hAnsi="Times New Roman"/>
            <w:sz w:val="26"/>
            <w:szCs w:val="26"/>
          </w:rPr>
          <w:t xml:space="preserve">  </w:t>
        </w:r>
        <w:smartTag w:uri="urn:schemas-microsoft-com:office:smarttags" w:element="PostalCode">
          <w:r w:rsidRPr="009D6A2A">
            <w:rPr>
              <w:rFonts w:ascii="Times New Roman" w:hAnsi="Times New Roman"/>
              <w:sz w:val="26"/>
              <w:szCs w:val="26"/>
            </w:rPr>
            <w:t>43215-3793</w:t>
          </w:r>
        </w:smartTag>
      </w:smartTag>
    </w:p>
    <w:p w:rsidR="00F62477" w:rsidRPr="009D6A2A"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r>
      <w:r w:rsidR="00A46BED">
        <w:rPr>
          <w:rFonts w:ascii="Times New Roman" w:hAnsi="Times New Roman"/>
          <w:sz w:val="26"/>
          <w:szCs w:val="26"/>
        </w:rPr>
        <w:t>614.</w:t>
      </w:r>
      <w:r w:rsidRPr="009D6A2A">
        <w:rPr>
          <w:rFonts w:ascii="Times New Roman" w:hAnsi="Times New Roman"/>
          <w:sz w:val="26"/>
          <w:szCs w:val="26"/>
        </w:rPr>
        <w:t>466</w:t>
      </w:r>
      <w:r w:rsidR="00A46BED">
        <w:rPr>
          <w:rFonts w:ascii="Times New Roman" w:hAnsi="Times New Roman"/>
          <w:sz w:val="26"/>
          <w:szCs w:val="26"/>
        </w:rPr>
        <w:t>.</w:t>
      </w:r>
      <w:r w:rsidRPr="009D6A2A">
        <w:rPr>
          <w:rFonts w:ascii="Times New Roman" w:hAnsi="Times New Roman"/>
          <w:sz w:val="26"/>
          <w:szCs w:val="26"/>
        </w:rPr>
        <w:t>4396</w:t>
      </w:r>
      <w:r w:rsidR="00FC1D27">
        <w:rPr>
          <w:rFonts w:ascii="Times New Roman" w:hAnsi="Times New Roman"/>
          <w:sz w:val="26"/>
          <w:szCs w:val="26"/>
        </w:rPr>
        <w:t xml:space="preserve"> (telephone)</w:t>
      </w:r>
    </w:p>
    <w:p w:rsidR="00F62477"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t>614</w:t>
      </w:r>
      <w:r w:rsidR="00A46BED">
        <w:rPr>
          <w:rFonts w:ascii="Times New Roman" w:hAnsi="Times New Roman"/>
          <w:sz w:val="26"/>
          <w:szCs w:val="26"/>
        </w:rPr>
        <w:t>.</w:t>
      </w:r>
      <w:r w:rsidRPr="009D6A2A">
        <w:rPr>
          <w:rFonts w:ascii="Times New Roman" w:hAnsi="Times New Roman"/>
          <w:sz w:val="26"/>
          <w:szCs w:val="26"/>
        </w:rPr>
        <w:t>64</w:t>
      </w:r>
      <w:r w:rsidR="00A46BED">
        <w:rPr>
          <w:rFonts w:ascii="Times New Roman" w:hAnsi="Times New Roman"/>
          <w:sz w:val="26"/>
          <w:szCs w:val="26"/>
        </w:rPr>
        <w:t>.</w:t>
      </w:r>
      <w:r w:rsidRPr="009D6A2A">
        <w:rPr>
          <w:rFonts w:ascii="Times New Roman" w:hAnsi="Times New Roman"/>
          <w:sz w:val="26"/>
          <w:szCs w:val="26"/>
        </w:rPr>
        <w:t>8768</w:t>
      </w:r>
      <w:r w:rsidR="00FC1D27">
        <w:rPr>
          <w:rFonts w:ascii="Times New Roman" w:hAnsi="Times New Roman"/>
          <w:sz w:val="26"/>
          <w:szCs w:val="26"/>
        </w:rPr>
        <w:t xml:space="preserve"> (fax)</w:t>
      </w:r>
    </w:p>
    <w:p w:rsidR="00FC1D27" w:rsidRDefault="00FC1D27" w:rsidP="00F62477">
      <w:pPr>
        <w:tabs>
          <w:tab w:val="left" w:pos="4760"/>
        </w:tabs>
        <w:rPr>
          <w:rFonts w:ascii="Times New Roman" w:hAnsi="Times New Roman"/>
          <w:sz w:val="26"/>
          <w:szCs w:val="26"/>
        </w:rPr>
      </w:pPr>
      <w:r>
        <w:rPr>
          <w:rFonts w:ascii="Times New Roman" w:hAnsi="Times New Roman"/>
          <w:sz w:val="26"/>
          <w:szCs w:val="26"/>
        </w:rPr>
        <w:tab/>
      </w:r>
      <w:hyperlink r:id="rId11" w:history="1">
        <w:r w:rsidRPr="001D66A3">
          <w:rPr>
            <w:rStyle w:val="Hyperlink"/>
            <w:rFonts w:ascii="Times New Roman" w:hAnsi="Times New Roman"/>
            <w:sz w:val="26"/>
            <w:szCs w:val="26"/>
          </w:rPr>
          <w:t>thomas.mcnamee@puc.state.oh.us</w:t>
        </w:r>
      </w:hyperlink>
    </w:p>
    <w:p w:rsidR="00FC1D27" w:rsidRDefault="00FC1D27" w:rsidP="00F62477">
      <w:pPr>
        <w:tabs>
          <w:tab w:val="left" w:pos="4760"/>
        </w:tabs>
        <w:rPr>
          <w:rFonts w:ascii="Times New Roman" w:hAnsi="Times New Roman"/>
          <w:sz w:val="26"/>
          <w:szCs w:val="26"/>
        </w:rPr>
      </w:pPr>
    </w:p>
    <w:p w:rsidR="00F62477" w:rsidRPr="009D6A2A" w:rsidRDefault="00F62477" w:rsidP="00F62477">
      <w:pPr>
        <w:tabs>
          <w:tab w:val="left" w:pos="4760"/>
        </w:tabs>
        <w:ind w:left="4760"/>
        <w:rPr>
          <w:rFonts w:ascii="Times New Roman" w:hAnsi="Times New Roman"/>
          <w:b/>
          <w:sz w:val="26"/>
          <w:szCs w:val="26"/>
        </w:rPr>
      </w:pPr>
      <w:r w:rsidRPr="009D6A2A">
        <w:rPr>
          <w:rFonts w:ascii="Times New Roman" w:hAnsi="Times New Roman"/>
          <w:b/>
          <w:sz w:val="26"/>
          <w:szCs w:val="26"/>
        </w:rPr>
        <w:t xml:space="preserve">Attorney for the </w:t>
      </w:r>
    </w:p>
    <w:p w:rsidR="00303765" w:rsidRDefault="00F62477" w:rsidP="00303765">
      <w:pPr>
        <w:tabs>
          <w:tab w:val="left" w:pos="4760"/>
        </w:tabs>
        <w:ind w:left="4760"/>
        <w:rPr>
          <w:rFonts w:ascii="Times New Roman" w:hAnsi="Times New Roman"/>
          <w:b/>
          <w:sz w:val="26"/>
          <w:szCs w:val="26"/>
        </w:rPr>
      </w:pPr>
      <w:r w:rsidRPr="009D6A2A">
        <w:rPr>
          <w:rFonts w:ascii="Times New Roman" w:hAnsi="Times New Roman"/>
          <w:b/>
          <w:sz w:val="26"/>
          <w:szCs w:val="26"/>
        </w:rPr>
        <w:t xml:space="preserve">Public Utilities Commission of </w:t>
      </w:r>
      <w:smartTag w:uri="urn:schemas-microsoft-com:office:smarttags" w:element="place">
        <w:smartTag w:uri="urn:schemas-microsoft-com:office:smarttags" w:element="State">
          <w:r w:rsidRPr="009D6A2A">
            <w:rPr>
              <w:rFonts w:ascii="Times New Roman" w:hAnsi="Times New Roman"/>
              <w:b/>
              <w:sz w:val="26"/>
              <w:szCs w:val="26"/>
            </w:rPr>
            <w:t>Ohio</w:t>
          </w:r>
        </w:smartTag>
      </w:smartTag>
    </w:p>
    <w:p w:rsidR="00A46BED" w:rsidRDefault="00A46BED" w:rsidP="00303765">
      <w:pPr>
        <w:tabs>
          <w:tab w:val="left" w:pos="4760"/>
        </w:tabs>
        <w:ind w:left="4760"/>
        <w:rPr>
          <w:rFonts w:ascii="Times New Roman" w:hAnsi="Times New Roman"/>
          <w:b/>
          <w:sz w:val="26"/>
          <w:szCs w:val="26"/>
        </w:rPr>
      </w:pPr>
    </w:p>
    <w:p w:rsidR="00A46BED" w:rsidRDefault="00A46BED" w:rsidP="00303765">
      <w:pPr>
        <w:tabs>
          <w:tab w:val="left" w:pos="4760"/>
        </w:tabs>
        <w:ind w:left="4760"/>
        <w:rPr>
          <w:rFonts w:ascii="Times New Roman" w:hAnsi="Times New Roman"/>
          <w:snapToGrid w:val="0"/>
          <w:sz w:val="26"/>
          <w:szCs w:val="26"/>
        </w:rPr>
      </w:pPr>
    </w:p>
    <w:p w:rsidR="00303765" w:rsidRPr="00CA640D" w:rsidRDefault="00303765" w:rsidP="0072107A">
      <w:pPr>
        <w:pStyle w:val="Heading1"/>
      </w:pPr>
      <w:bookmarkStart w:id="8" w:name="_Toc177529836"/>
      <w:r w:rsidRPr="00CA640D">
        <w:t>CERTIFICATE OF SERVICE</w:t>
      </w:r>
      <w:bookmarkEnd w:id="8"/>
    </w:p>
    <w:p w:rsidR="00303765" w:rsidRPr="00CA640D" w:rsidRDefault="00303765" w:rsidP="00A46BED">
      <w:pPr>
        <w:pStyle w:val="Textstyle"/>
      </w:pPr>
      <w:r w:rsidRPr="00CA640D">
        <w:tab/>
        <w:t xml:space="preserve">I hereby certify that the foregoing </w:t>
      </w:r>
      <w:r>
        <w:t>has</w:t>
      </w:r>
      <w:r w:rsidRPr="00CA640D">
        <w:t xml:space="preserve"> been served in accordance with 18 C.F.R. </w:t>
      </w:r>
      <w:r>
        <w:t xml:space="preserve">Section </w:t>
      </w:r>
      <w:r w:rsidRPr="00CA640D">
        <w:t>385.2010 upon each person designated on the official service list compiled by the Secretary in this proceeding.</w:t>
      </w:r>
    </w:p>
    <w:p w:rsidR="00B6570D" w:rsidRPr="00B6570D" w:rsidRDefault="00B6570D" w:rsidP="00B6570D">
      <w:pPr>
        <w:tabs>
          <w:tab w:val="left" w:pos="9360"/>
        </w:tabs>
        <w:ind w:left="4760"/>
        <w:rPr>
          <w:rFonts w:ascii="Brush Script MT" w:hAnsi="Brush Script MT"/>
          <w:i/>
          <w:sz w:val="40"/>
          <w:szCs w:val="40"/>
          <w:u w:val="single"/>
        </w:rPr>
      </w:pPr>
      <w:r w:rsidRPr="00B6570D">
        <w:rPr>
          <w:rFonts w:ascii="Brush Script MT" w:hAnsi="Brush Script MT"/>
          <w:i/>
          <w:sz w:val="40"/>
          <w:szCs w:val="40"/>
          <w:u w:val="single"/>
        </w:rPr>
        <w:t>/s/ Thomas W. McNamee</w:t>
      </w:r>
      <w:r w:rsidRPr="00B6570D">
        <w:rPr>
          <w:rFonts w:ascii="Brush Script MT" w:hAnsi="Brush Script MT"/>
          <w:i/>
          <w:sz w:val="40"/>
          <w:szCs w:val="40"/>
          <w:u w:val="single"/>
        </w:rPr>
        <w:tab/>
      </w:r>
    </w:p>
    <w:p w:rsidR="00A46BED" w:rsidRPr="00A46BED" w:rsidRDefault="00A46BED" w:rsidP="00303765">
      <w:pPr>
        <w:tabs>
          <w:tab w:val="left" w:pos="9360"/>
        </w:tabs>
        <w:ind w:left="4760"/>
        <w:rPr>
          <w:b/>
          <w:sz w:val="26"/>
          <w:szCs w:val="26"/>
        </w:rPr>
      </w:pPr>
      <w:r>
        <w:rPr>
          <w:b/>
          <w:sz w:val="26"/>
          <w:szCs w:val="26"/>
        </w:rPr>
        <w:t>Thomas W. McNamee</w:t>
      </w:r>
    </w:p>
    <w:p w:rsidR="00303765" w:rsidRPr="00CA640D" w:rsidRDefault="00303765" w:rsidP="00303765">
      <w:pPr>
        <w:tabs>
          <w:tab w:val="left" w:pos="9360"/>
        </w:tabs>
        <w:ind w:left="4760"/>
        <w:rPr>
          <w:sz w:val="26"/>
          <w:szCs w:val="26"/>
        </w:rPr>
      </w:pPr>
    </w:p>
    <w:p w:rsidR="00076ACA" w:rsidRPr="009D6A2A" w:rsidRDefault="00A46BED" w:rsidP="00A46BED">
      <w:pPr>
        <w:pStyle w:val="Textstyle"/>
        <w:rPr>
          <w:szCs w:val="26"/>
        </w:rPr>
      </w:pPr>
      <w:r w:rsidRPr="00256146">
        <w:t>Dated at Columbus, Ohio this</w:t>
      </w:r>
      <w:r w:rsidR="00FC1D27">
        <w:t xml:space="preserve"> November 4, 2015</w:t>
      </w:r>
      <w:r w:rsidRPr="00256146">
        <w:t>.</w:t>
      </w:r>
    </w:p>
    <w:sectPr w:rsidR="00076ACA" w:rsidRPr="009D6A2A" w:rsidSect="000B4113">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D27" w:rsidRDefault="00FC1D27">
      <w:r>
        <w:separator/>
      </w:r>
    </w:p>
  </w:endnote>
  <w:endnote w:type="continuationSeparator" w:id="0">
    <w:p w:rsidR="00FC1D27" w:rsidRDefault="00FC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nch Script MT">
    <w:altName w:val="Arabic Typesetting"/>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Default="00482F21" w:rsidP="000B41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2F21" w:rsidRDefault="00482F21" w:rsidP="000B41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Default="00482F21" w:rsidP="000B4113">
    <w:pPr>
      <w:pStyle w:val="Footer"/>
      <w:ind w:right="360"/>
      <w:jc w:val="center"/>
    </w:pPr>
  </w:p>
  <w:p w:rsidR="00482F21" w:rsidRDefault="00482F21">
    <w:pPr>
      <w:pStyle w:val="Footer"/>
      <w:jc w:val="center"/>
    </w:pPr>
  </w:p>
  <w:p w:rsidR="00482F21" w:rsidRPr="00355D5C" w:rsidRDefault="00482F21" w:rsidP="000B4113">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Pr="0072107A" w:rsidRDefault="0072107A" w:rsidP="0072107A">
    <w:pPr>
      <w:pStyle w:val="Footer"/>
      <w:jc w:val="center"/>
      <w:rPr>
        <w:rFonts w:ascii="Times New Roman" w:hAnsi="Times New Roman"/>
        <w:sz w:val="24"/>
        <w:szCs w:val="24"/>
      </w:rPr>
    </w:pPr>
    <w:r w:rsidRPr="0072107A">
      <w:rPr>
        <w:rFonts w:ascii="Times New Roman" w:hAnsi="Times New Roman"/>
        <w:sz w:val="24"/>
        <w:szCs w:val="24"/>
      </w:rPr>
      <w:fldChar w:fldCharType="begin"/>
    </w:r>
    <w:r w:rsidRPr="0072107A">
      <w:rPr>
        <w:rFonts w:ascii="Times New Roman" w:hAnsi="Times New Roman"/>
        <w:sz w:val="24"/>
        <w:szCs w:val="24"/>
      </w:rPr>
      <w:instrText xml:space="preserve"> PAGE   \* MERGEFORMAT </w:instrText>
    </w:r>
    <w:r w:rsidRPr="0072107A">
      <w:rPr>
        <w:rFonts w:ascii="Times New Roman" w:hAnsi="Times New Roman"/>
        <w:sz w:val="24"/>
        <w:szCs w:val="24"/>
      </w:rPr>
      <w:fldChar w:fldCharType="separate"/>
    </w:r>
    <w:r w:rsidR="005F0614">
      <w:rPr>
        <w:rFonts w:ascii="Times New Roman" w:hAnsi="Times New Roman"/>
        <w:noProof/>
        <w:sz w:val="24"/>
        <w:szCs w:val="24"/>
      </w:rPr>
      <w:t>6</w:t>
    </w:r>
    <w:r w:rsidRPr="0072107A">
      <w:rPr>
        <w:rFonts w:ascii="Times New Roman" w:hAnsi="Times New Roman"/>
        <w:noProof/>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Default="00482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D27" w:rsidRDefault="00FC1D27">
      <w:r>
        <w:separator/>
      </w:r>
    </w:p>
  </w:footnote>
  <w:footnote w:type="continuationSeparator" w:id="0">
    <w:p w:rsidR="00FC1D27" w:rsidRDefault="00FC1D27">
      <w:r>
        <w:continuationSeparator/>
      </w:r>
    </w:p>
  </w:footnote>
  <w:footnote w:id="1">
    <w:p w:rsidR="00673C78" w:rsidRDefault="00673C78" w:rsidP="00673C78">
      <w:pPr>
        <w:pStyle w:val="FootnoteText"/>
      </w:pPr>
      <w:r>
        <w:rPr>
          <w:rStyle w:val="FootnoteReference"/>
        </w:rPr>
        <w:footnoteRef/>
      </w:r>
      <w:r>
        <w:t xml:space="preserve"> </w:t>
      </w:r>
      <w:r>
        <w:tab/>
      </w:r>
      <w:r>
        <w:tab/>
      </w:r>
      <w:r>
        <w:t xml:space="preserve">PJM Interconnection, </w:t>
      </w:r>
      <w:r>
        <w:t>LLC</w:t>
      </w:r>
      <w:r>
        <w:t xml:space="preserve">, Docket No. ER16-76-000, Filing to Increase Energy Offer Cap </w:t>
      </w:r>
      <w:r>
        <w:t>(</w:t>
      </w:r>
      <w:r>
        <w:t>Transmittal Letter at 3-4</w:t>
      </w:r>
      <w:r>
        <w:t xml:space="preserve">) </w:t>
      </w:r>
      <w:r>
        <w:t>(Oct</w:t>
      </w:r>
      <w:r>
        <w:t>.</w:t>
      </w:r>
      <w:r>
        <w:t xml:space="preserve"> 14, 2015).</w:t>
      </w:r>
    </w:p>
  </w:footnote>
  <w:footnote w:id="2">
    <w:p w:rsidR="00673C78" w:rsidRDefault="00673C78" w:rsidP="00673C78">
      <w:pPr>
        <w:pStyle w:val="FootnoteText"/>
      </w:pPr>
      <w:r>
        <w:rPr>
          <w:rStyle w:val="FootnoteReference"/>
        </w:rPr>
        <w:footnoteRef/>
      </w:r>
      <w:r>
        <w:t xml:space="preserve"> </w:t>
      </w:r>
      <w:r>
        <w:tab/>
      </w:r>
      <w:r>
        <w:tab/>
      </w:r>
      <w:r w:rsidRPr="00951FAA">
        <w:rPr>
          <w:i/>
        </w:rPr>
        <w:t>Id.</w:t>
      </w:r>
    </w:p>
  </w:footnote>
  <w:footnote w:id="3">
    <w:p w:rsidR="00673C78" w:rsidRDefault="00673C78" w:rsidP="00673C78">
      <w:pPr>
        <w:pStyle w:val="FootnoteText"/>
      </w:pPr>
      <w:r w:rsidRPr="00BD19E2">
        <w:rPr>
          <w:rStyle w:val="FootnoteReference"/>
          <w:i/>
        </w:rPr>
        <w:footnoteRef/>
      </w:r>
      <w:r w:rsidRPr="00BD19E2">
        <w:rPr>
          <w:i/>
        </w:rPr>
        <w:t xml:space="preserve"> </w:t>
      </w:r>
      <w:r>
        <w:rPr>
          <w:i/>
        </w:rPr>
        <w:tab/>
      </w:r>
      <w:r>
        <w:rPr>
          <w:i/>
        </w:rPr>
        <w:tab/>
      </w:r>
      <w:r w:rsidRPr="00BD19E2">
        <w:rPr>
          <w:i/>
        </w:rPr>
        <w:t>Id.</w:t>
      </w:r>
      <w:r>
        <w:t xml:space="preserve"> at 6.</w:t>
      </w:r>
    </w:p>
  </w:footnote>
  <w:footnote w:id="4">
    <w:p w:rsidR="00673C78" w:rsidRDefault="00673C78" w:rsidP="00673C78">
      <w:pPr>
        <w:pStyle w:val="FootnoteText"/>
      </w:pPr>
      <w:r>
        <w:rPr>
          <w:rStyle w:val="FootnoteReference"/>
        </w:rPr>
        <w:footnoteRef/>
      </w:r>
      <w:r>
        <w:t xml:space="preserve"> </w:t>
      </w:r>
      <w:r>
        <w:tab/>
      </w:r>
      <w:r>
        <w:tab/>
      </w:r>
      <w:r w:rsidR="009B300D">
        <w:t>PJM Interconnection, LLC, Docket No. ER16-76-000, Filing to Increase Energy Offer Cap (</w:t>
      </w:r>
      <w:r w:rsidR="009B300D">
        <w:t>Transmittal Letter at 6</w:t>
      </w:r>
      <w:r w:rsidR="009B300D">
        <w:t>) (Oct. 14, 2015).</w:t>
      </w:r>
    </w:p>
  </w:footnote>
  <w:footnote w:id="5">
    <w:p w:rsidR="00673C78" w:rsidRDefault="00673C78" w:rsidP="00673C78">
      <w:pPr>
        <w:pStyle w:val="FootnoteText"/>
      </w:pPr>
      <w:r>
        <w:rPr>
          <w:rStyle w:val="FootnoteReference"/>
        </w:rPr>
        <w:footnoteRef/>
      </w:r>
      <w:r>
        <w:t xml:space="preserve"> </w:t>
      </w:r>
      <w:r>
        <w:tab/>
      </w:r>
      <w:r>
        <w:tab/>
      </w:r>
      <w:r w:rsidRPr="00673C78">
        <w:rPr>
          <w:i/>
        </w:rPr>
        <w:t>Id</w:t>
      </w:r>
      <w:r>
        <w:t>.</w:t>
      </w:r>
    </w:p>
  </w:footnote>
  <w:footnote w:id="6">
    <w:p w:rsidR="00673C78" w:rsidRDefault="00673C78" w:rsidP="00673C78">
      <w:pPr>
        <w:pStyle w:val="FootnoteText"/>
      </w:pPr>
      <w:r>
        <w:rPr>
          <w:rStyle w:val="FootnoteReference"/>
        </w:rPr>
        <w:footnoteRef/>
      </w:r>
      <w:r>
        <w:t xml:space="preserve"> </w:t>
      </w:r>
      <w:r>
        <w:tab/>
      </w:r>
      <w:r>
        <w:tab/>
      </w:r>
      <w:r>
        <w:t xml:space="preserve">On September 24, 2015 the IMM issued fuel cost guidelines to provide guidance to generators when developing fuel cost policies.  See: </w:t>
      </w:r>
      <w:hyperlink r:id="rId1" w:history="1">
        <w:r w:rsidRPr="0071424A">
          <w:rPr>
            <w:rStyle w:val="Hyperlink"/>
          </w:rPr>
          <w:t>http://www.monitoringanalytics.com/reports/Market_Messages/ Messages/IMM_Fuel_Cost_Policy_Guidelines_20150924.pdf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Pr="00F62477" w:rsidRDefault="00482F21">
    <w:pPr>
      <w:pStyle w:val="Header"/>
      <w:rPr>
        <w:b/>
        <w:sz w:val="22"/>
        <w:szCs w:val="22"/>
      </w:rPr>
    </w:pPr>
    <w:r>
      <w:tab/>
    </w:r>
    <w:r>
      <w:tab/>
    </w:r>
    <w:smartTag w:uri="urn:schemas-microsoft-com:office:smarttags" w:element="place">
      <w:smartTag w:uri="urn:schemas-microsoft-com:office:smarttags" w:element="State">
        <w:r w:rsidRPr="00F62477">
          <w:rPr>
            <w:b/>
            <w:sz w:val="22"/>
            <w:szCs w:val="22"/>
          </w:rPr>
          <w:t>Ohio</w:t>
        </w:r>
      </w:smartTag>
    </w:smartTag>
    <w:r w:rsidRPr="00F62477">
      <w:rPr>
        <w:b/>
        <w:sz w:val="22"/>
        <w:szCs w:val="22"/>
      </w:rPr>
      <w:t xml:space="preserve"> Commission Comments</w:t>
    </w:r>
    <w:r w:rsidRPr="00F62477">
      <w:rPr>
        <w:b/>
        <w:sz w:val="22"/>
        <w:szCs w:val="22"/>
      </w:rPr>
      <w:tab/>
    </w:r>
  </w:p>
  <w:p w:rsidR="00482F21" w:rsidRPr="00F62477" w:rsidRDefault="00482F21">
    <w:pPr>
      <w:pStyle w:val="Header"/>
      <w:rPr>
        <w:b/>
        <w:sz w:val="22"/>
        <w:szCs w:val="22"/>
      </w:rPr>
    </w:pPr>
    <w:r w:rsidRPr="00F62477">
      <w:rPr>
        <w:b/>
        <w:sz w:val="22"/>
        <w:szCs w:val="22"/>
      </w:rPr>
      <w:tab/>
    </w:r>
    <w:r w:rsidRPr="00F62477">
      <w:rPr>
        <w:b/>
        <w:sz w:val="22"/>
        <w:szCs w:val="22"/>
      </w:rPr>
      <w:tab/>
    </w:r>
    <w:r>
      <w:rPr>
        <w:b/>
        <w:sz w:val="22"/>
        <w:szCs w:val="22"/>
      </w:rPr>
      <w:t>EC-08-78-000</w:t>
    </w:r>
  </w:p>
  <w:p w:rsidR="00482F21" w:rsidRPr="00F62477" w:rsidRDefault="00482F21">
    <w:pPr>
      <w:pStyle w:val="Header"/>
      <w:rPr>
        <w:b/>
        <w:sz w:val="22"/>
        <w:szCs w:val="22"/>
      </w:rPr>
    </w:pPr>
    <w:r w:rsidRPr="00F62477">
      <w:rPr>
        <w:b/>
        <w:sz w:val="22"/>
        <w:szCs w:val="22"/>
      </w:rPr>
      <w:tab/>
    </w:r>
    <w:r w:rsidRPr="00F62477">
      <w:rPr>
        <w:b/>
        <w:sz w:val="22"/>
        <w:szCs w:val="22"/>
      </w:rPr>
      <w:tab/>
      <w:t xml:space="preserve">Page </w:t>
    </w:r>
    <w:r w:rsidRPr="00F62477">
      <w:rPr>
        <w:b/>
        <w:sz w:val="22"/>
        <w:szCs w:val="22"/>
      </w:rPr>
      <w:fldChar w:fldCharType="begin"/>
    </w:r>
    <w:r w:rsidRPr="00F62477">
      <w:rPr>
        <w:b/>
        <w:sz w:val="22"/>
        <w:szCs w:val="22"/>
      </w:rPr>
      <w:instrText xml:space="preserve"> PAGE </w:instrText>
    </w:r>
    <w:r w:rsidRPr="00F62477">
      <w:rPr>
        <w:b/>
        <w:sz w:val="22"/>
        <w:szCs w:val="22"/>
      </w:rPr>
      <w:fldChar w:fldCharType="separate"/>
    </w:r>
    <w:r>
      <w:rPr>
        <w:b/>
        <w:noProof/>
        <w:sz w:val="22"/>
        <w:szCs w:val="22"/>
      </w:rPr>
      <w:t>2</w:t>
    </w:r>
    <w:r w:rsidRPr="00F62477">
      <w:rPr>
        <w:b/>
        <w:sz w:val="22"/>
        <w:szCs w:val="22"/>
      </w:rPr>
      <w:fldChar w:fldCharType="end"/>
    </w:r>
    <w:r w:rsidRPr="00F62477">
      <w:rPr>
        <w:b/>
        <w:sz w:val="22"/>
        <w:szCs w:val="22"/>
      </w:rPr>
      <w:t xml:space="preserve"> of </w:t>
    </w:r>
    <w:r w:rsidRPr="00F62477">
      <w:rPr>
        <w:b/>
        <w:sz w:val="22"/>
        <w:szCs w:val="22"/>
      </w:rPr>
      <w:fldChar w:fldCharType="begin"/>
    </w:r>
    <w:r w:rsidRPr="00F62477">
      <w:rPr>
        <w:b/>
        <w:sz w:val="22"/>
        <w:szCs w:val="22"/>
      </w:rPr>
      <w:instrText xml:space="preserve"> NUMPAGES </w:instrText>
    </w:r>
    <w:r w:rsidRPr="00F62477">
      <w:rPr>
        <w:b/>
        <w:sz w:val="22"/>
        <w:szCs w:val="22"/>
      </w:rPr>
      <w:fldChar w:fldCharType="separate"/>
    </w:r>
    <w:r w:rsidR="005F0614">
      <w:rPr>
        <w:b/>
        <w:noProof/>
        <w:sz w:val="22"/>
        <w:szCs w:val="22"/>
      </w:rPr>
      <w:t>7</w:t>
    </w:r>
    <w:r w:rsidRPr="00F62477">
      <w:rPr>
        <w:b/>
        <w:sz w:val="22"/>
        <w:szCs w:val="22"/>
      </w:rPr>
      <w:fldChar w:fldCharType="end"/>
    </w:r>
  </w:p>
  <w:p w:rsidR="00482F21" w:rsidRPr="00F62477" w:rsidRDefault="00482F21">
    <w:pPr>
      <w:pStyle w:val="Header"/>
      <w:rPr>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Pr="0072107A" w:rsidRDefault="00482F21" w:rsidP="00721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Pr="00B8172D" w:rsidRDefault="00482F21" w:rsidP="00B8172D">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183F"/>
    <w:multiLevelType w:val="hybridMultilevel"/>
    <w:tmpl w:val="7F902052"/>
    <w:lvl w:ilvl="0" w:tplc="2D8C9D5C">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3870BE"/>
    <w:multiLevelType w:val="hybridMultilevel"/>
    <w:tmpl w:val="14F66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407085"/>
    <w:multiLevelType w:val="hybridMultilevel"/>
    <w:tmpl w:val="2E9ED9E8"/>
    <w:lvl w:ilvl="0" w:tplc="9542919A">
      <w:start w:val="2"/>
      <w:numFmt w:val="upp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9B302C1"/>
    <w:multiLevelType w:val="hybridMultilevel"/>
    <w:tmpl w:val="08F01AC2"/>
    <w:lvl w:ilvl="0" w:tplc="8794D0B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D50988"/>
    <w:multiLevelType w:val="hybridMultilevel"/>
    <w:tmpl w:val="96F24AD6"/>
    <w:lvl w:ilvl="0" w:tplc="49CA3116">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5C1942"/>
    <w:multiLevelType w:val="hybridMultilevel"/>
    <w:tmpl w:val="52BA1B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7E72F0"/>
    <w:multiLevelType w:val="hybridMultilevel"/>
    <w:tmpl w:val="6CF4293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5582D"/>
    <w:multiLevelType w:val="hybridMultilevel"/>
    <w:tmpl w:val="F47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F3E96"/>
    <w:multiLevelType w:val="hybridMultilevel"/>
    <w:tmpl w:val="71228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484218"/>
    <w:multiLevelType w:val="hybridMultilevel"/>
    <w:tmpl w:val="86E8FE76"/>
    <w:lvl w:ilvl="0" w:tplc="C2302A02">
      <w:start w:val="2"/>
      <w:numFmt w:val="upperRoman"/>
      <w:pStyle w:val="Heading1"/>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C504802">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0E2432"/>
    <w:multiLevelType w:val="hybridMultilevel"/>
    <w:tmpl w:val="97E48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E4DD3"/>
    <w:multiLevelType w:val="hybridMultilevel"/>
    <w:tmpl w:val="DFBE2616"/>
    <w:lvl w:ilvl="0" w:tplc="04090001">
      <w:start w:val="1"/>
      <w:numFmt w:val="decimal"/>
      <w:pStyle w:val="FERCparanumber"/>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7"/>
  </w:num>
  <w:num w:numId="4">
    <w:abstractNumId w:val="10"/>
  </w:num>
  <w:num w:numId="5">
    <w:abstractNumId w:val="3"/>
  </w:num>
  <w:num w:numId="6">
    <w:abstractNumId w:val="1"/>
  </w:num>
  <w:num w:numId="7">
    <w:abstractNumId w:val="8"/>
  </w:num>
  <w:num w:numId="8">
    <w:abstractNumId w:val="9"/>
  </w:num>
  <w:num w:numId="9">
    <w:abstractNumId w:val="4"/>
  </w:num>
  <w:num w:numId="10">
    <w:abstractNumId w:val="0"/>
  </w:num>
  <w:num w:numId="11">
    <w:abstractNumId w:val="5"/>
  </w:num>
  <w:num w:numId="12">
    <w:abstractNumId w:val="6"/>
  </w:num>
  <w:num w:numId="13">
    <w:abstractNumId w:val="9"/>
  </w:num>
  <w:num w:numId="14">
    <w:abstractNumId w:val="9"/>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27"/>
    <w:rsid w:val="00007F01"/>
    <w:rsid w:val="00037832"/>
    <w:rsid w:val="00076ACA"/>
    <w:rsid w:val="000A72C9"/>
    <w:rsid w:val="000B4113"/>
    <w:rsid w:val="000B5989"/>
    <w:rsid w:val="000E2660"/>
    <w:rsid w:val="00106378"/>
    <w:rsid w:val="00135CA2"/>
    <w:rsid w:val="00153A5E"/>
    <w:rsid w:val="001609DB"/>
    <w:rsid w:val="001A5A19"/>
    <w:rsid w:val="001E059C"/>
    <w:rsid w:val="00201F9F"/>
    <w:rsid w:val="00205025"/>
    <w:rsid w:val="002647A3"/>
    <w:rsid w:val="002971FD"/>
    <w:rsid w:val="002D7EAA"/>
    <w:rsid w:val="00303765"/>
    <w:rsid w:val="00324D1D"/>
    <w:rsid w:val="00363FB6"/>
    <w:rsid w:val="00380EF0"/>
    <w:rsid w:val="003843E7"/>
    <w:rsid w:val="003B2C56"/>
    <w:rsid w:val="00432DD5"/>
    <w:rsid w:val="00441A74"/>
    <w:rsid w:val="00482F21"/>
    <w:rsid w:val="004A0D88"/>
    <w:rsid w:val="004F1EC4"/>
    <w:rsid w:val="005D4586"/>
    <w:rsid w:val="005F0614"/>
    <w:rsid w:val="00607F81"/>
    <w:rsid w:val="0064115F"/>
    <w:rsid w:val="006427A6"/>
    <w:rsid w:val="00651528"/>
    <w:rsid w:val="00673C78"/>
    <w:rsid w:val="006F10FC"/>
    <w:rsid w:val="0072107A"/>
    <w:rsid w:val="00836EAF"/>
    <w:rsid w:val="00873DD9"/>
    <w:rsid w:val="008743B9"/>
    <w:rsid w:val="008D6A39"/>
    <w:rsid w:val="009029E5"/>
    <w:rsid w:val="009130DB"/>
    <w:rsid w:val="00991A55"/>
    <w:rsid w:val="009B300D"/>
    <w:rsid w:val="009D6A2A"/>
    <w:rsid w:val="00A3393C"/>
    <w:rsid w:val="00A37C37"/>
    <w:rsid w:val="00A46BED"/>
    <w:rsid w:val="00A71758"/>
    <w:rsid w:val="00A90564"/>
    <w:rsid w:val="00A9090D"/>
    <w:rsid w:val="00AA0C58"/>
    <w:rsid w:val="00AA7769"/>
    <w:rsid w:val="00B6570D"/>
    <w:rsid w:val="00B806F5"/>
    <w:rsid w:val="00B8172D"/>
    <w:rsid w:val="00BB7D9D"/>
    <w:rsid w:val="00BE403D"/>
    <w:rsid w:val="00BE67A0"/>
    <w:rsid w:val="00C03FC9"/>
    <w:rsid w:val="00C7337D"/>
    <w:rsid w:val="00CB0D2A"/>
    <w:rsid w:val="00CB0DBF"/>
    <w:rsid w:val="00D829C6"/>
    <w:rsid w:val="00D84779"/>
    <w:rsid w:val="00D87E6C"/>
    <w:rsid w:val="00DA3AC2"/>
    <w:rsid w:val="00DB34F6"/>
    <w:rsid w:val="00DC5262"/>
    <w:rsid w:val="00DD1FFB"/>
    <w:rsid w:val="00E427EA"/>
    <w:rsid w:val="00EA50BB"/>
    <w:rsid w:val="00EB038E"/>
    <w:rsid w:val="00EE79CC"/>
    <w:rsid w:val="00F32501"/>
    <w:rsid w:val="00F62477"/>
    <w:rsid w:val="00FC1D27"/>
    <w:rsid w:val="00FC2A24"/>
    <w:rsid w:val="00FC57A1"/>
    <w:rsid w:val="00FD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31C73BC-5A94-4F68-BE72-AA13B271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77"/>
    <w:pPr>
      <w:widowControl w:val="0"/>
    </w:pPr>
    <w:rPr>
      <w:rFonts w:ascii="Times New (W1)" w:hAnsi="Times New (W1)"/>
    </w:rPr>
  </w:style>
  <w:style w:type="paragraph" w:styleId="Heading1">
    <w:name w:val="heading 1"/>
    <w:basedOn w:val="Normal"/>
    <w:next w:val="Normal"/>
    <w:link w:val="Heading1Char"/>
    <w:autoRedefine/>
    <w:qFormat/>
    <w:rsid w:val="0072107A"/>
    <w:pPr>
      <w:keepNext/>
      <w:numPr>
        <w:numId w:val="8"/>
      </w:numPr>
      <w:tabs>
        <w:tab w:val="clear" w:pos="1080"/>
      </w:tabs>
      <w:spacing w:before="360" w:after="240"/>
      <w:ind w:left="720"/>
      <w:outlineLvl w:val="0"/>
    </w:pPr>
    <w:rPr>
      <w:rFonts w:ascii="Times New Roman" w:hAnsi="Times New Roman"/>
      <w:b/>
      <w:bCs/>
      <w:kern w:val="32"/>
      <w:sz w:val="28"/>
      <w:szCs w:val="32"/>
    </w:rPr>
  </w:style>
  <w:style w:type="paragraph" w:styleId="Heading2">
    <w:name w:val="heading 2"/>
    <w:basedOn w:val="Normal"/>
    <w:next w:val="Normal"/>
    <w:link w:val="Heading2Char"/>
    <w:autoRedefine/>
    <w:qFormat/>
    <w:rsid w:val="009D6A2A"/>
    <w:pPr>
      <w:keepNext/>
      <w:spacing w:before="360" w:after="240"/>
      <w:ind w:left="1440" w:hanging="720"/>
      <w:outlineLvl w:val="1"/>
    </w:pPr>
    <w:rPr>
      <w:rFonts w:ascii="Times New Roman" w:hAnsi="Times New Roman"/>
      <w:b/>
      <w:bCs/>
      <w:iCs/>
      <w:color w:val="000000"/>
      <w:sz w:val="28"/>
      <w:szCs w:val="28"/>
    </w:rPr>
  </w:style>
  <w:style w:type="paragraph" w:styleId="Heading3">
    <w:name w:val="heading 3"/>
    <w:basedOn w:val="Normal"/>
    <w:next w:val="Normal"/>
    <w:autoRedefine/>
    <w:qFormat/>
    <w:rsid w:val="00C7337D"/>
    <w:pPr>
      <w:keepNext/>
      <w:spacing w:before="360" w:after="240"/>
      <w:ind w:left="2160" w:hanging="720"/>
      <w:outlineLvl w:val="2"/>
    </w:pPr>
    <w:rPr>
      <w:rFonts w:ascii="Times New Roman" w:hAnsi="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
    <w:basedOn w:val="Normal"/>
    <w:link w:val="FootnoteTextChar"/>
    <w:autoRedefine/>
    <w:uiPriority w:val="99"/>
    <w:rsid w:val="009D6A2A"/>
    <w:pPr>
      <w:spacing w:before="240" w:after="240"/>
      <w:ind w:left="720" w:hanging="720"/>
    </w:pPr>
    <w:rPr>
      <w:rFonts w:ascii="Times New Roman" w:hAnsi="Times New Roman"/>
    </w:rPr>
  </w:style>
  <w:style w:type="character" w:styleId="FootnoteReference">
    <w:name w:val="footnote reference"/>
    <w:aliases w:val="o"/>
    <w:uiPriority w:val="99"/>
    <w:rsid w:val="00F62477"/>
    <w:rPr>
      <w:vertAlign w:val="superscript"/>
    </w:rPr>
  </w:style>
  <w:style w:type="paragraph" w:styleId="Footer">
    <w:name w:val="footer"/>
    <w:basedOn w:val="Normal"/>
    <w:link w:val="FooterChar"/>
    <w:uiPriority w:val="99"/>
    <w:rsid w:val="00F62477"/>
    <w:pPr>
      <w:tabs>
        <w:tab w:val="center" w:pos="4320"/>
        <w:tab w:val="right" w:pos="8640"/>
      </w:tabs>
    </w:pPr>
  </w:style>
  <w:style w:type="character" w:styleId="PageNumber">
    <w:name w:val="page number"/>
    <w:basedOn w:val="DefaultParagraphFont"/>
    <w:rsid w:val="00F62477"/>
  </w:style>
  <w:style w:type="paragraph" w:styleId="Header">
    <w:name w:val="header"/>
    <w:basedOn w:val="Normal"/>
    <w:link w:val="HeaderChar"/>
    <w:unhideWhenUsed/>
    <w:rsid w:val="00F62477"/>
    <w:pPr>
      <w:tabs>
        <w:tab w:val="center" w:pos="4680"/>
        <w:tab w:val="right" w:pos="9360"/>
      </w:tabs>
    </w:pPr>
  </w:style>
  <w:style w:type="character" w:customStyle="1" w:styleId="HeaderChar">
    <w:name w:val="Header Char"/>
    <w:link w:val="Header"/>
    <w:rsid w:val="00F62477"/>
    <w:rPr>
      <w:rFonts w:ascii="Times New (W1)" w:hAnsi="Times New (W1)"/>
      <w:lang w:val="en-US" w:eastAsia="en-US" w:bidi="ar-SA"/>
    </w:rPr>
  </w:style>
  <w:style w:type="paragraph" w:styleId="ListParagraph">
    <w:name w:val="List Paragraph"/>
    <w:basedOn w:val="Normal"/>
    <w:uiPriority w:val="34"/>
    <w:qFormat/>
    <w:rsid w:val="00F62477"/>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Footnote Text1 Char Char,Footnote Text Char Ch Char,Footnote Text Char1 Char,Footnote Text1 Char1 Char,Footnote Text Char Ch1 Char,Footnote Text Char2 Char Char,Footnote Text Char Char1 Char Char,ft Char1,fn Char,ft Char Char"/>
    <w:link w:val="FootnoteText"/>
    <w:uiPriority w:val="99"/>
    <w:semiHidden/>
    <w:rsid w:val="009D6A2A"/>
    <w:rPr>
      <w:lang w:val="en-US" w:eastAsia="en-US" w:bidi="ar-SA"/>
    </w:rPr>
  </w:style>
  <w:style w:type="paragraph" w:customStyle="1" w:styleId="FERCparanumber">
    <w:name w:val="FERC paranumber"/>
    <w:basedOn w:val="Normal"/>
    <w:rsid w:val="00F62477"/>
    <w:pPr>
      <w:numPr>
        <w:numId w:val="1"/>
      </w:numPr>
      <w:autoSpaceDE w:val="0"/>
      <w:autoSpaceDN w:val="0"/>
      <w:adjustRightInd w:val="0"/>
      <w:spacing w:after="240"/>
    </w:pPr>
    <w:rPr>
      <w:sz w:val="26"/>
      <w:szCs w:val="26"/>
    </w:rPr>
  </w:style>
  <w:style w:type="character" w:customStyle="1" w:styleId="FooterChar">
    <w:name w:val="Footer Char"/>
    <w:link w:val="Footer"/>
    <w:uiPriority w:val="99"/>
    <w:rsid w:val="00F62477"/>
    <w:rPr>
      <w:rFonts w:ascii="Times New (W1)" w:hAnsi="Times New (W1)"/>
      <w:lang w:val="en-US" w:eastAsia="en-US" w:bidi="ar-SA"/>
    </w:rPr>
  </w:style>
  <w:style w:type="character" w:customStyle="1" w:styleId="Heading1Char">
    <w:name w:val="Heading 1 Char"/>
    <w:link w:val="Heading1"/>
    <w:rsid w:val="0072107A"/>
    <w:rPr>
      <w:b/>
      <w:bCs/>
      <w:kern w:val="32"/>
      <w:sz w:val="28"/>
      <w:szCs w:val="32"/>
    </w:rPr>
  </w:style>
  <w:style w:type="character" w:customStyle="1" w:styleId="Heading2Char">
    <w:name w:val="Heading 2 Char"/>
    <w:link w:val="Heading2"/>
    <w:rsid w:val="009D6A2A"/>
    <w:rPr>
      <w:b/>
      <w:bCs/>
      <w:iCs/>
      <w:color w:val="000000"/>
      <w:sz w:val="28"/>
      <w:szCs w:val="28"/>
      <w:lang w:val="en-US" w:eastAsia="en-US" w:bidi="ar-SA"/>
    </w:rPr>
  </w:style>
  <w:style w:type="table" w:styleId="TableGrid">
    <w:name w:val="Table Grid"/>
    <w:basedOn w:val="TableNormal"/>
    <w:rsid w:val="009D6A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Normal"/>
    <w:link w:val="TextstyleChar"/>
    <w:autoRedefine/>
    <w:rsid w:val="00A46BED"/>
    <w:pPr>
      <w:spacing w:line="480" w:lineRule="auto"/>
    </w:pPr>
    <w:rPr>
      <w:rFonts w:ascii="Times New Roman" w:hAnsi="Times New Roman"/>
      <w:snapToGrid w:val="0"/>
      <w:sz w:val="26"/>
      <w:szCs w:val="28"/>
    </w:rPr>
  </w:style>
  <w:style w:type="character" w:customStyle="1" w:styleId="TextstyleChar">
    <w:name w:val="Text style Char"/>
    <w:link w:val="Textstyle"/>
    <w:rsid w:val="00A46BED"/>
    <w:rPr>
      <w:snapToGrid w:val="0"/>
      <w:sz w:val="26"/>
      <w:szCs w:val="28"/>
      <w:lang w:val="en-US" w:eastAsia="en-US" w:bidi="ar-SA"/>
    </w:rPr>
  </w:style>
  <w:style w:type="paragraph" w:customStyle="1" w:styleId="Headinjg2">
    <w:name w:val="Headinjg 2"/>
    <w:basedOn w:val="Heading1"/>
    <w:rsid w:val="00303765"/>
  </w:style>
  <w:style w:type="character" w:styleId="Hyperlink">
    <w:name w:val="Hyperlink"/>
    <w:uiPriority w:val="99"/>
    <w:rsid w:val="00303765"/>
    <w:rPr>
      <w:color w:val="0000FF"/>
      <w:u w:val="single"/>
    </w:rPr>
  </w:style>
  <w:style w:type="paragraph" w:styleId="TOC1">
    <w:name w:val="toc 1"/>
    <w:basedOn w:val="Normal"/>
    <w:next w:val="Normal"/>
    <w:autoRedefine/>
    <w:semiHidden/>
    <w:rsid w:val="00EA50BB"/>
    <w:pPr>
      <w:tabs>
        <w:tab w:val="left" w:pos="720"/>
        <w:tab w:val="right" w:leader="dot" w:pos="9350"/>
      </w:tabs>
      <w:spacing w:before="240" w:after="240"/>
      <w:ind w:left="720" w:right="1440" w:hanging="720"/>
    </w:pPr>
    <w:rPr>
      <w:rFonts w:ascii="Times New Roman" w:hAnsi="Times New Roman"/>
      <w:sz w:val="26"/>
    </w:rPr>
  </w:style>
  <w:style w:type="paragraph" w:styleId="TOC2">
    <w:name w:val="toc 2"/>
    <w:basedOn w:val="Normal"/>
    <w:next w:val="Normal"/>
    <w:autoRedefine/>
    <w:semiHidden/>
    <w:rsid w:val="00EA50BB"/>
    <w:pPr>
      <w:tabs>
        <w:tab w:val="right" w:leader="dot" w:pos="9360"/>
      </w:tabs>
      <w:spacing w:before="240" w:after="240"/>
      <w:ind w:left="1440" w:right="1440" w:hanging="720"/>
    </w:pPr>
    <w:rPr>
      <w:rFonts w:ascii="Times New Roman" w:hAnsi="Times New Roman"/>
      <w:sz w:val="26"/>
    </w:rPr>
  </w:style>
  <w:style w:type="paragraph" w:styleId="TOC3">
    <w:name w:val="toc 3"/>
    <w:basedOn w:val="Normal"/>
    <w:next w:val="Normal"/>
    <w:autoRedefine/>
    <w:semiHidden/>
    <w:rsid w:val="00EA50BB"/>
    <w:pPr>
      <w:tabs>
        <w:tab w:val="left" w:pos="960"/>
        <w:tab w:val="right" w:leader="dot" w:pos="9350"/>
      </w:tabs>
      <w:spacing w:before="240" w:after="240"/>
      <w:ind w:left="2160" w:right="1440" w:hanging="720"/>
    </w:pPr>
    <w:rPr>
      <w:rFonts w:ascii="Times New Roman" w:hAnsi="Times New Roman"/>
      <w:sz w:val="26"/>
    </w:rPr>
  </w:style>
  <w:style w:type="paragraph" w:styleId="BalloonText">
    <w:name w:val="Balloon Text"/>
    <w:basedOn w:val="Normal"/>
    <w:semiHidden/>
    <w:rsid w:val="002971FD"/>
    <w:rPr>
      <w:rFonts w:ascii="Tahoma" w:hAnsi="Tahoma" w:cs="Tahoma"/>
      <w:sz w:val="16"/>
      <w:szCs w:val="16"/>
    </w:rPr>
  </w:style>
  <w:style w:type="paragraph" w:customStyle="1" w:styleId="block">
    <w:name w:val="block"/>
    <w:basedOn w:val="Normal"/>
    <w:rsid w:val="00A46BED"/>
    <w:pPr>
      <w:ind w:left="720"/>
    </w:pPr>
    <w:rPr>
      <w:sz w:val="28"/>
      <w:szCs w:val="28"/>
    </w:rPr>
  </w:style>
  <w:style w:type="paragraph" w:customStyle="1" w:styleId="blockquote">
    <w:name w:val="block quote"/>
    <w:basedOn w:val="block"/>
    <w:autoRedefine/>
    <w:rsid w:val="00A46BED"/>
    <w:pPr>
      <w:spacing w:after="240"/>
      <w:ind w:left="1440" w:right="1440"/>
    </w:pPr>
    <w:rPr>
      <w:rFonts w:ascii="Times New Roman" w:hAnsi="Times New Roman"/>
      <w:sz w:val="26"/>
    </w:rPr>
  </w:style>
  <w:style w:type="paragraph" w:styleId="CommentText">
    <w:name w:val="annotation text"/>
    <w:basedOn w:val="Normal"/>
    <w:link w:val="CommentTextChar"/>
    <w:semiHidden/>
    <w:unhideWhenUsed/>
    <w:rsid w:val="00673C78"/>
  </w:style>
  <w:style w:type="character" w:customStyle="1" w:styleId="CommentTextChar">
    <w:name w:val="Comment Text Char"/>
    <w:basedOn w:val="DefaultParagraphFont"/>
    <w:link w:val="CommentText"/>
    <w:semiHidden/>
    <w:rsid w:val="00673C78"/>
    <w:rPr>
      <w:rFonts w:ascii="Times New (W1)" w:hAnsi="Times New (W1)"/>
    </w:rPr>
  </w:style>
  <w:style w:type="paragraph" w:styleId="CommentSubject">
    <w:name w:val="annotation subject"/>
    <w:basedOn w:val="CommentText"/>
    <w:next w:val="CommentText"/>
    <w:link w:val="CommentSubjectChar"/>
    <w:uiPriority w:val="99"/>
    <w:semiHidden/>
    <w:unhideWhenUsed/>
    <w:rsid w:val="00673C78"/>
    <w:pPr>
      <w:widowControl/>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73C78"/>
    <w:rPr>
      <w:rFonts w:asciiTheme="minorHAnsi" w:eastAsiaTheme="minorHAnsi" w:hAnsiTheme="minorHAnsi" w:cstheme="minorBidi"/>
      <w:b/>
      <w:bCs/>
    </w:rPr>
  </w:style>
  <w:style w:type="paragraph" w:customStyle="1" w:styleId="NormtealTimesNewRoman">
    <w:name w:val="Normteal + Times New Roman"/>
    <w:aliases w:val="13 pt,Kern at 16 pt"/>
    <w:basedOn w:val="Normal"/>
    <w:rsid w:val="00673C78"/>
    <w:pPr>
      <w:tabs>
        <w:tab w:val="left" w:pos="720"/>
        <w:tab w:val="left" w:pos="1440"/>
        <w:tab w:val="left" w:pos="2880"/>
        <w:tab w:val="left" w:pos="4320"/>
        <w:tab w:val="left" w:pos="5040"/>
        <w:tab w:val="left" w:pos="5760"/>
        <w:tab w:val="left" w:pos="6480"/>
        <w:tab w:val="left" w:pos="7200"/>
      </w:tabs>
      <w:spacing w:line="480" w:lineRule="auto"/>
      <w:jc w:val="both"/>
    </w:pPr>
    <w:rPr>
      <w:rFonts w:ascii="Times New Roman" w:hAnsi="Times New Roman"/>
      <w:bCs/>
      <w:kern w:val="32"/>
      <w:sz w:val="26"/>
      <w:szCs w:val="2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51190">
      <w:bodyDiv w:val="1"/>
      <w:marLeft w:val="0"/>
      <w:marRight w:val="0"/>
      <w:marTop w:val="0"/>
      <w:marBottom w:val="0"/>
      <w:divBdr>
        <w:top w:val="none" w:sz="0" w:space="0" w:color="auto"/>
        <w:left w:val="none" w:sz="0" w:space="0" w:color="auto"/>
        <w:bottom w:val="none" w:sz="0" w:space="0" w:color="auto"/>
        <w:right w:val="none" w:sz="0" w:space="0" w:color="auto"/>
      </w:divBdr>
      <w:divsChild>
        <w:div w:id="1204906783">
          <w:marLeft w:val="0"/>
          <w:marRight w:val="0"/>
          <w:marTop w:val="0"/>
          <w:marBottom w:val="0"/>
          <w:divBdr>
            <w:top w:val="none" w:sz="0" w:space="0" w:color="auto"/>
            <w:left w:val="none" w:sz="0" w:space="0" w:color="auto"/>
            <w:bottom w:val="none" w:sz="0" w:space="0" w:color="auto"/>
            <w:right w:val="none" w:sz="0" w:space="0" w:color="auto"/>
          </w:divBdr>
          <w:divsChild>
            <w:div w:id="1334527470">
              <w:marLeft w:val="0"/>
              <w:marRight w:val="0"/>
              <w:marTop w:val="0"/>
              <w:marBottom w:val="0"/>
              <w:divBdr>
                <w:top w:val="none" w:sz="0" w:space="0" w:color="auto"/>
                <w:left w:val="none" w:sz="0" w:space="0" w:color="auto"/>
                <w:bottom w:val="none" w:sz="0" w:space="0" w:color="auto"/>
                <w:right w:val="none" w:sz="0" w:space="0" w:color="auto"/>
              </w:divBdr>
            </w:div>
            <w:div w:id="1868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4715">
      <w:bodyDiv w:val="1"/>
      <w:marLeft w:val="0"/>
      <w:marRight w:val="0"/>
      <w:marTop w:val="0"/>
      <w:marBottom w:val="0"/>
      <w:divBdr>
        <w:top w:val="none" w:sz="0" w:space="0" w:color="auto"/>
        <w:left w:val="none" w:sz="0" w:space="0" w:color="auto"/>
        <w:bottom w:val="none" w:sz="0" w:space="0" w:color="auto"/>
        <w:right w:val="none" w:sz="0" w:space="0" w:color="auto"/>
      </w:divBdr>
      <w:divsChild>
        <w:div w:id="1585138805">
          <w:marLeft w:val="0"/>
          <w:marRight w:val="0"/>
          <w:marTop w:val="0"/>
          <w:marBottom w:val="0"/>
          <w:divBdr>
            <w:top w:val="none" w:sz="0" w:space="0" w:color="auto"/>
            <w:left w:val="none" w:sz="0" w:space="0" w:color="auto"/>
            <w:bottom w:val="none" w:sz="0" w:space="0" w:color="auto"/>
            <w:right w:val="none" w:sz="0" w:space="0" w:color="auto"/>
          </w:divBdr>
          <w:divsChild>
            <w:div w:id="10270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8088">
      <w:bodyDiv w:val="1"/>
      <w:marLeft w:val="0"/>
      <w:marRight w:val="0"/>
      <w:marTop w:val="0"/>
      <w:marBottom w:val="0"/>
      <w:divBdr>
        <w:top w:val="none" w:sz="0" w:space="0" w:color="auto"/>
        <w:left w:val="none" w:sz="0" w:space="0" w:color="auto"/>
        <w:bottom w:val="none" w:sz="0" w:space="0" w:color="auto"/>
        <w:right w:val="none" w:sz="0" w:space="0" w:color="auto"/>
      </w:divBdr>
    </w:div>
    <w:div w:id="2062366772">
      <w:bodyDiv w:val="1"/>
      <w:marLeft w:val="0"/>
      <w:marRight w:val="0"/>
      <w:marTop w:val="0"/>
      <w:marBottom w:val="0"/>
      <w:divBdr>
        <w:top w:val="none" w:sz="0" w:space="0" w:color="auto"/>
        <w:left w:val="none" w:sz="0" w:space="0" w:color="auto"/>
        <w:bottom w:val="none" w:sz="0" w:space="0" w:color="auto"/>
        <w:right w:val="none" w:sz="0" w:space="0" w:color="auto"/>
      </w:divBdr>
      <w:divsChild>
        <w:div w:id="1217358598">
          <w:marLeft w:val="0"/>
          <w:marRight w:val="0"/>
          <w:marTop w:val="0"/>
          <w:marBottom w:val="0"/>
          <w:divBdr>
            <w:top w:val="none" w:sz="0" w:space="0" w:color="auto"/>
            <w:left w:val="none" w:sz="0" w:space="0" w:color="auto"/>
            <w:bottom w:val="none" w:sz="0" w:space="0" w:color="auto"/>
            <w:right w:val="none" w:sz="0" w:space="0" w:color="auto"/>
          </w:divBdr>
          <w:divsChild>
            <w:div w:id="8983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mcnamee@puc.state.oh.us"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monitoringanalytics.com/reports/Market_Messages/%20Messages/IMM_Fuel_Cost_Policy_Guidelines_2015092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FERC%20Pleading%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ACD10-DA69-4888-946F-437B34C6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FERC Pleading 2011.dotx</Template>
  <TotalTime>23</TotalTime>
  <Pages>7</Pages>
  <Words>1122</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UNITED STATES OF AMERICA</vt:lpstr>
    </vt:vector>
  </TitlesOfParts>
  <Company>Public Utilities Commission of Ohio</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Keeton, Kim</dc:creator>
  <cp:lastModifiedBy>Keeton, Kim</cp:lastModifiedBy>
  <cp:revision>4</cp:revision>
  <cp:lastPrinted>2015-11-04T16:39:00Z</cp:lastPrinted>
  <dcterms:created xsi:type="dcterms:W3CDTF">2015-11-04T13:13:00Z</dcterms:created>
  <dcterms:modified xsi:type="dcterms:W3CDTF">2015-11-04T16:39:00Z</dcterms:modified>
</cp:coreProperties>
</file>