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B9393A" w:rsidRPr="00C1527E" w:rsidP="006148D5" w14:paraId="5B58BDB9" w14:textId="77777777">
      <w:pPr>
        <w:pStyle w:val="HTMLPreformatted"/>
        <w:tabs>
          <w:tab w:val="clear" w:pos="916"/>
          <w:tab w:val="clear" w:pos="1832"/>
          <w:tab w:val="clear" w:pos="2748"/>
          <w:tab w:val="clear" w:pos="3664"/>
        </w:tabs>
        <w:jc w:val="center"/>
        <w:rPr>
          <w:rFonts w:ascii="Times New Roman" w:hAnsi="Times New Roman" w:cs="Times New Roman"/>
          <w:b/>
          <w:bCs/>
          <w:sz w:val="24"/>
          <w:szCs w:val="24"/>
        </w:rPr>
      </w:pPr>
      <w:r w:rsidRPr="00C1527E">
        <w:rPr>
          <w:rFonts w:ascii="Times New Roman" w:hAnsi="Times New Roman" w:cs="Times New Roman"/>
          <w:b/>
          <w:bCs/>
          <w:sz w:val="24"/>
          <w:szCs w:val="24"/>
        </w:rPr>
        <w:t>BEFORE</w:t>
      </w:r>
    </w:p>
    <w:p w:rsidR="00B9393A" w:rsidRPr="00C1527E" w:rsidP="00B9393A" w14:paraId="76734436" w14:textId="34E2913B">
      <w:pPr>
        <w:pStyle w:val="HTMLPreformatted"/>
        <w:jc w:val="center"/>
        <w:rPr>
          <w:rFonts w:ascii="Times New Roman" w:hAnsi="Times New Roman" w:cs="Times New Roman"/>
          <w:b/>
          <w:bCs/>
          <w:sz w:val="24"/>
          <w:szCs w:val="24"/>
        </w:rPr>
      </w:pPr>
      <w:r w:rsidRPr="00C1527E">
        <w:rPr>
          <w:rFonts w:ascii="Times New Roman" w:hAnsi="Times New Roman" w:cs="Times New Roman"/>
          <w:b/>
          <w:bCs/>
          <w:sz w:val="24"/>
          <w:szCs w:val="24"/>
        </w:rPr>
        <w:t>THE PUBLIC UTILITIES COMMISSION OF OHIO</w:t>
      </w:r>
    </w:p>
    <w:p w:rsidR="00040CC8" w:rsidRPr="00C1527E" w:rsidP="00B9393A" w14:paraId="72EA508F" w14:textId="77777777">
      <w:pPr>
        <w:pStyle w:val="HTMLPreformatted"/>
        <w:jc w:val="center"/>
        <w:rPr>
          <w:rFonts w:ascii="Times New Roman" w:hAnsi="Times New Roman" w:cs="Times New Roman"/>
          <w:b/>
          <w:bCs/>
          <w:sz w:val="24"/>
          <w:szCs w:val="24"/>
        </w:rPr>
      </w:pPr>
    </w:p>
    <w:tbl>
      <w:tblPr>
        <w:tblW w:w="8730" w:type="dxa"/>
        <w:tblLook w:val="01E0"/>
      </w:tblPr>
      <w:tblGrid>
        <w:gridCol w:w="4230"/>
        <w:gridCol w:w="450"/>
        <w:gridCol w:w="4050"/>
      </w:tblGrid>
      <w:tr w14:paraId="68572B23" w14:textId="77777777" w:rsidTr="001C152E">
        <w:tblPrEx>
          <w:tblW w:w="8730" w:type="dxa"/>
          <w:tblLook w:val="01E0"/>
        </w:tblPrEx>
        <w:trPr>
          <w:trHeight w:val="1143"/>
        </w:trPr>
        <w:tc>
          <w:tcPr>
            <w:tcW w:w="4230" w:type="dxa"/>
            <w:shd w:val="clear" w:color="auto" w:fill="auto"/>
          </w:tcPr>
          <w:p w:rsidR="00040CC8" w:rsidRPr="00C1527E" w:rsidP="001C152E" w14:paraId="48895009" w14:textId="292969E3">
            <w:pPr>
              <w:autoSpaceDE w:val="0"/>
              <w:autoSpaceDN w:val="0"/>
              <w:adjustRightInd w:val="0"/>
            </w:pPr>
            <w:r w:rsidRPr="00C1527E">
              <w:rPr>
                <w:rFonts w:eastAsiaTheme="minorHAnsi"/>
              </w:rPr>
              <w:t xml:space="preserve">In the Matter of the Procurement of Standard Generation for Customers of </w:t>
            </w:r>
            <w:r w:rsidRPr="00C1527E" w:rsidR="00C1527E">
              <w:rPr>
                <w:rFonts w:eastAsiaTheme="minorHAnsi"/>
              </w:rPr>
              <w:t>t</w:t>
            </w:r>
            <w:r w:rsidRPr="00C1527E">
              <w:rPr>
                <w:rFonts w:eastAsiaTheme="minorHAnsi"/>
              </w:rPr>
              <w:t xml:space="preserve">he Dayton Power and Light Company </w:t>
            </w:r>
          </w:p>
        </w:tc>
        <w:tc>
          <w:tcPr>
            <w:tcW w:w="450" w:type="dxa"/>
            <w:shd w:val="clear" w:color="auto" w:fill="auto"/>
          </w:tcPr>
          <w:p w:rsidR="00040CC8" w:rsidRPr="00C1527E" w:rsidP="001C152E" w14:paraId="56D04D5F" w14:textId="77777777">
            <w:pPr>
              <w:pStyle w:val="HTMLPreformatted"/>
              <w:rPr>
                <w:rFonts w:ascii="Times New Roman" w:hAnsi="Times New Roman" w:cs="Times New Roman"/>
                <w:sz w:val="24"/>
                <w:szCs w:val="24"/>
              </w:rPr>
            </w:pPr>
            <w:r w:rsidRPr="00C1527E">
              <w:rPr>
                <w:rFonts w:ascii="Times New Roman" w:eastAsia="Courier New" w:hAnsi="Times New Roman" w:cs="Times New Roman"/>
                <w:sz w:val="24"/>
                <w:szCs w:val="24"/>
              </w:rPr>
              <w:t>)</w:t>
            </w:r>
          </w:p>
          <w:p w:rsidR="00040CC8" w:rsidRPr="00C1527E" w:rsidP="001C152E" w14:paraId="10352921" w14:textId="77777777">
            <w:pPr>
              <w:pStyle w:val="HTMLPreformatted"/>
              <w:rPr>
                <w:rFonts w:ascii="Times New Roman" w:hAnsi="Times New Roman" w:cs="Times New Roman"/>
                <w:sz w:val="24"/>
                <w:szCs w:val="24"/>
              </w:rPr>
            </w:pPr>
            <w:r w:rsidRPr="00C1527E">
              <w:rPr>
                <w:rFonts w:ascii="Times New Roman" w:eastAsia="Courier New" w:hAnsi="Times New Roman" w:cs="Times New Roman"/>
                <w:sz w:val="24"/>
                <w:szCs w:val="24"/>
              </w:rPr>
              <w:t>)</w:t>
            </w:r>
          </w:p>
          <w:p w:rsidR="00040CC8" w:rsidRPr="00C1527E" w:rsidP="001C152E" w14:paraId="627794E1" w14:textId="77777777">
            <w:pPr>
              <w:pStyle w:val="HTMLPreformatted"/>
              <w:rPr>
                <w:rFonts w:ascii="Times New Roman" w:hAnsi="Times New Roman" w:cs="Times New Roman"/>
                <w:sz w:val="24"/>
                <w:szCs w:val="24"/>
              </w:rPr>
            </w:pPr>
            <w:r w:rsidRPr="00C1527E">
              <w:rPr>
                <w:rFonts w:ascii="Times New Roman" w:eastAsia="Courier New" w:hAnsi="Times New Roman" w:cs="Times New Roman"/>
                <w:sz w:val="24"/>
                <w:szCs w:val="24"/>
              </w:rPr>
              <w:t>)</w:t>
            </w:r>
          </w:p>
        </w:tc>
        <w:tc>
          <w:tcPr>
            <w:tcW w:w="4050" w:type="dxa"/>
            <w:shd w:val="clear" w:color="auto" w:fill="auto"/>
          </w:tcPr>
          <w:p w:rsidR="00040CC8" w:rsidRPr="00C1527E" w:rsidP="001C152E" w14:paraId="209756EE" w14:textId="77777777">
            <w:pPr>
              <w:pStyle w:val="HTMLPreformatted"/>
              <w:rPr>
                <w:rFonts w:ascii="Times New Roman" w:hAnsi="Times New Roman" w:cs="Times New Roman"/>
                <w:sz w:val="24"/>
                <w:szCs w:val="24"/>
              </w:rPr>
            </w:pPr>
          </w:p>
          <w:p w:rsidR="00040CC8" w:rsidRPr="00C1527E" w:rsidP="001C152E" w14:paraId="68EE9E1C" w14:textId="77777777">
            <w:pPr>
              <w:pStyle w:val="HTMLPreformatted"/>
              <w:rPr>
                <w:rFonts w:ascii="Times New Roman" w:eastAsia="Courier New" w:hAnsi="Times New Roman" w:cs="Times New Roman"/>
                <w:sz w:val="24"/>
                <w:szCs w:val="24"/>
              </w:rPr>
            </w:pPr>
            <w:r w:rsidRPr="00C1527E">
              <w:rPr>
                <w:rFonts w:ascii="Times New Roman" w:eastAsia="Courier New" w:hAnsi="Times New Roman" w:cs="Times New Roman"/>
                <w:sz w:val="24"/>
                <w:szCs w:val="24"/>
              </w:rPr>
              <w:t>Case No. 17-957-EL-UNC</w:t>
            </w:r>
          </w:p>
          <w:p w:rsidR="00040CC8" w:rsidRPr="00C1527E" w:rsidP="001C152E" w14:paraId="2534741C" w14:textId="77777777">
            <w:pPr>
              <w:pStyle w:val="HTMLPreformatted"/>
              <w:rPr>
                <w:rFonts w:ascii="Times New Roman" w:hAnsi="Times New Roman" w:cs="Times New Roman"/>
                <w:sz w:val="24"/>
                <w:szCs w:val="24"/>
              </w:rPr>
            </w:pPr>
          </w:p>
        </w:tc>
      </w:tr>
    </w:tbl>
    <w:p w:rsidR="00B9393A" w:rsidRPr="00C1527E" w:rsidP="00B9393A" w14:paraId="35D90339" w14:textId="77777777">
      <w:pPr>
        <w:pStyle w:val="HTMLPreformatted"/>
        <w:pBdr>
          <w:top w:val="single" w:sz="12" w:space="1" w:color="auto"/>
        </w:pBdr>
        <w:rPr>
          <w:rFonts w:ascii="Times New Roman" w:hAnsi="Times New Roman" w:cs="Times New Roman"/>
          <w:sz w:val="24"/>
          <w:szCs w:val="24"/>
        </w:rPr>
      </w:pPr>
    </w:p>
    <w:p w:rsidR="00040CC8" w:rsidRPr="00C1527E" w:rsidP="00040CC8" w14:paraId="01E3331C" w14:textId="23D42928">
      <w:pPr>
        <w:jc w:val="center"/>
        <w:rPr>
          <w:b/>
          <w:bCs/>
          <w:caps/>
        </w:rPr>
      </w:pPr>
      <w:r w:rsidRPr="00C1527E">
        <w:rPr>
          <w:b/>
          <w:bCs/>
          <w:caps/>
        </w:rPr>
        <w:t xml:space="preserve">Objections </w:t>
      </w:r>
      <w:r w:rsidRPr="00C1527E" w:rsidR="002F3224">
        <w:rPr>
          <w:b/>
          <w:bCs/>
        </w:rPr>
        <w:t xml:space="preserve">FOR PROTECTING AT-RISK OHIO CONSUMERS FROM </w:t>
      </w:r>
      <w:r w:rsidRPr="00C1527E" w:rsidR="00B1751F">
        <w:rPr>
          <w:b/>
          <w:bCs/>
        </w:rPr>
        <w:t>DP&amp;L’S</w:t>
      </w:r>
      <w:r w:rsidRPr="00C1527E" w:rsidR="002F3224">
        <w:rPr>
          <w:b/>
          <w:bCs/>
        </w:rPr>
        <w:t xml:space="preserve"> APPLICATION</w:t>
      </w:r>
      <w:r w:rsidRPr="00C1527E" w:rsidR="002F3224">
        <w:rPr>
          <w:b/>
          <w:bCs/>
          <w:caps/>
        </w:rPr>
        <w:t xml:space="preserve"> </w:t>
      </w:r>
    </w:p>
    <w:p w:rsidR="00040CC8" w:rsidRPr="00C1527E" w:rsidP="00040CC8" w14:paraId="042C6E60" w14:textId="77777777">
      <w:pPr>
        <w:jc w:val="center"/>
        <w:rPr>
          <w:b/>
          <w:bCs/>
          <w:caps/>
        </w:rPr>
      </w:pPr>
      <w:r w:rsidRPr="00C1527E">
        <w:rPr>
          <w:b/>
          <w:bCs/>
          <w:caps/>
        </w:rPr>
        <w:t>BY</w:t>
      </w:r>
    </w:p>
    <w:p w:rsidR="00040CC8" w:rsidRPr="00C1527E" w:rsidP="00040CC8" w14:paraId="37930B01" w14:textId="77777777">
      <w:pPr>
        <w:jc w:val="center"/>
        <w:rPr>
          <w:b/>
          <w:bCs/>
          <w:caps/>
        </w:rPr>
      </w:pPr>
      <w:r w:rsidRPr="00C1527E">
        <w:rPr>
          <w:b/>
          <w:bCs/>
          <w:caps/>
        </w:rPr>
        <w:t>OFFICE OF THE OHIO CONSUMERS’ COUNSEL</w:t>
      </w:r>
    </w:p>
    <w:p w:rsidR="00B9393A" w:rsidRPr="00C1527E" w:rsidP="00B9393A" w14:paraId="2210F51E" w14:textId="4343AA42">
      <w:pPr>
        <w:pBdr>
          <w:bottom w:val="single" w:sz="12" w:space="1" w:color="auto"/>
        </w:pBdr>
        <w:tabs>
          <w:tab w:val="left" w:pos="4320"/>
        </w:tabs>
      </w:pPr>
    </w:p>
    <w:p w:rsidR="00901251" w:rsidRPr="00C1527E" w14:paraId="35011D97" w14:textId="11942AD4"/>
    <w:p w:rsidR="00A2438C" w:rsidRPr="00C1527E" w:rsidP="005725D0" w14:paraId="2264F14F" w14:textId="1BEFC271">
      <w:pPr>
        <w:pStyle w:val="Heading1"/>
      </w:pPr>
      <w:r w:rsidRPr="00C1527E">
        <w:t>INTRODUCTION</w:t>
      </w:r>
    </w:p>
    <w:p w:rsidR="00501BF4" w:rsidRPr="00C1527E" w:rsidP="006E73E7" w14:paraId="21D94D15" w14:textId="2BE11C57">
      <w:pPr>
        <w:spacing w:line="480" w:lineRule="auto"/>
        <w:ind w:firstLine="720"/>
      </w:pPr>
      <w:r w:rsidRPr="00C1527E">
        <w:t>The Office of the Ohio Consumers’ Counsel (“OCC”) raises concerns about the state’s unlawfully high electricity charges for the low-income PIPP</w:t>
      </w:r>
      <w:r>
        <w:rPr>
          <w:rStyle w:val="FootnoteReference"/>
        </w:rPr>
        <w:footnoteReference w:id="2"/>
      </w:r>
      <w:r w:rsidRPr="00C1527E">
        <w:t xml:space="preserve"> consumers of </w:t>
      </w:r>
      <w:r w:rsidRPr="00C1527E" w:rsidR="00CF6221">
        <w:t>Dayton Power and Light Company (“DP&amp;L”)</w:t>
      </w:r>
      <w:r w:rsidRPr="00C1527E">
        <w:t xml:space="preserve">. After some background, we will explain why action is needed in this auction. </w:t>
      </w:r>
    </w:p>
    <w:p w:rsidR="00CF6221" w:rsidRPr="00C1527E" w:rsidP="00CF6221" w14:paraId="1DF2FCD0" w14:textId="77777777">
      <w:pPr>
        <w:spacing w:line="480" w:lineRule="auto"/>
        <w:ind w:firstLine="720"/>
      </w:pPr>
      <w:r w:rsidRPr="00C1527E">
        <w:t>DP&amp;L has filed an application seeking authority to modify its competitive bid process for obtaining generation to supply standard service offer consumers. Specifically, DP&amp;L asks for authority to hold auctions in November 2022 and March 2023 (rather than one auction in Spring 2023) to procure generation to supply standard service offer consumers for the 2023/2024 delivery year.</w:t>
      </w:r>
      <w:r>
        <w:rPr>
          <w:rStyle w:val="FootnoteReference"/>
        </w:rPr>
        <w:footnoteReference w:id="3"/>
      </w:r>
      <w:r w:rsidRPr="00C1527E">
        <w:t xml:space="preserve"> Further, DP&amp;L requests authorization to procure a 12-month supply of 35 tranches at the November auction, and both a 12-month supply of 25 tranches and a 24-month supply of 40 tranches at the March auction.</w:t>
      </w:r>
      <w:r>
        <w:rPr>
          <w:rStyle w:val="FootnoteReference"/>
        </w:rPr>
        <w:footnoteReference w:id="4"/>
      </w:r>
    </w:p>
    <w:p w:rsidR="0031744D" w:rsidRPr="00C1527E" w:rsidP="00501BF4" w14:paraId="250A693C" w14:textId="7CE93A3E">
      <w:pPr>
        <w:spacing w:line="480" w:lineRule="auto"/>
        <w:ind w:firstLine="720"/>
      </w:pPr>
      <w:r w:rsidRPr="00C1527E">
        <w:t xml:space="preserve">R.C. 4928.02(L) requires the Ohio Department of Development (“ODOD”) and the Public Utilities Commission of Ohio (“PUCO”) to protect at-risk Ohioans. They have not done so when it comes to procuring generation for low-income electric PIPP consumers. Electricity prices for PIPP consumers have been determined by bids from energy marketers in PIPP-specific auctions. </w:t>
      </w:r>
    </w:p>
    <w:p w:rsidR="00501BF4" w:rsidRPr="00C1527E" w:rsidP="00501BF4" w14:paraId="51B19EE6" w14:textId="32B6662B">
      <w:pPr>
        <w:spacing w:line="480" w:lineRule="auto"/>
        <w:ind w:firstLine="720"/>
      </w:pPr>
      <w:r w:rsidRPr="00C1527E">
        <w:t>Per R.C. 4928.542, the electric generation prices charged to electric PIPP consumers cannot exceed their electric utility’s standard service offer prices.</w:t>
      </w:r>
      <w:r w:rsidRPr="00C1527E" w:rsidR="0031744D">
        <w:t xml:space="preserve"> But </w:t>
      </w:r>
      <w:r w:rsidRPr="00C1527E" w:rsidR="00CF6221">
        <w:t>DP&amp;L’s</w:t>
      </w:r>
      <w:r w:rsidRPr="00C1527E" w:rsidR="0031744D">
        <w:t xml:space="preserve"> low-income PIPP consumers are being charged in excess of </w:t>
      </w:r>
      <w:r w:rsidRPr="00C1527E" w:rsidR="00CF6221">
        <w:t>DP&amp;L’s</w:t>
      </w:r>
      <w:r w:rsidRPr="00C1527E" w:rsidR="0031744D">
        <w:t xml:space="preserve"> standard offer.</w:t>
      </w:r>
      <w:r w:rsidRPr="00C1527E">
        <w:t xml:space="preserve"> </w:t>
      </w:r>
    </w:p>
    <w:p w:rsidR="00501BF4" w:rsidRPr="00C1527E" w:rsidP="00501BF4" w14:paraId="48A741C4" w14:textId="5BAFF3E6">
      <w:pPr>
        <w:spacing w:line="480" w:lineRule="auto"/>
        <w:ind w:firstLine="720"/>
      </w:pPr>
      <w:r w:rsidRPr="00C1527E">
        <w:t>DP&amp;L’s</w:t>
      </w:r>
      <w:r w:rsidRPr="00C1527E" w:rsidR="00040CC8">
        <w:t xml:space="preserve"> low-income PIPP consumers are vulnerable to poverty, food and housing insecurity, inflation, and a resurging pandemic. They are at-risk. But </w:t>
      </w:r>
      <w:r w:rsidRPr="00C1527E" w:rsidR="00BE534A">
        <w:t>DP&amp;L’s</w:t>
      </w:r>
      <w:r w:rsidRPr="00C1527E" w:rsidR="00040CC8">
        <w:t xml:space="preserve"> electric PIPP consumers are being</w:t>
      </w:r>
      <w:r w:rsidRPr="00C1527E" w:rsidR="00CB17E9">
        <w:t xml:space="preserve"> billed an estimated </w:t>
      </w:r>
      <w:r w:rsidRPr="00C1527E" w:rsidR="00040CC8">
        <w:rPr>
          <w:b/>
          <w:bCs/>
          <w:i/>
          <w:iCs/>
        </w:rPr>
        <w:t>$</w:t>
      </w:r>
      <w:r w:rsidRPr="00C1527E" w:rsidR="00CF479C">
        <w:rPr>
          <w:b/>
          <w:bCs/>
          <w:i/>
          <w:iCs/>
        </w:rPr>
        <w:t>584</w:t>
      </w:r>
      <w:r w:rsidRPr="00C1527E" w:rsidR="00040CC8">
        <w:t xml:space="preserve"> more a year (June 1, 2022 to May 31, 2023) in excess of what consumers are being billed on </w:t>
      </w:r>
      <w:r w:rsidRPr="00C1527E" w:rsidR="00CF479C">
        <w:t>DP&amp;L’s</w:t>
      </w:r>
      <w:r w:rsidRPr="00C1527E" w:rsidR="00040CC8">
        <w:t xml:space="preserve"> standard service offer.</w:t>
      </w:r>
      <w:r>
        <w:rPr>
          <w:rStyle w:val="FootnoteReference"/>
        </w:rPr>
        <w:footnoteReference w:id="5"/>
      </w:r>
      <w:r w:rsidRPr="00C1527E" w:rsidR="00040CC8">
        <w:t xml:space="preserve"> That is in violation of R.C. 4928.542.</w:t>
      </w:r>
      <w:r w:rsidRPr="00C1527E" w:rsidR="002D647F">
        <w:t xml:space="preserve"> </w:t>
      </w:r>
      <w:r w:rsidRPr="00C1527E" w:rsidR="0031744D">
        <w:t>It’s also nonsensical and unconscionable for these people (PIPP consumers) who lack money.</w:t>
      </w:r>
    </w:p>
    <w:p w:rsidR="00501BF4" w:rsidRPr="00C1527E" w:rsidP="00CB3495" w14:paraId="5392C7BB" w14:textId="429716B8">
      <w:pPr>
        <w:spacing w:line="480" w:lineRule="auto"/>
        <w:ind w:firstLine="720"/>
      </w:pPr>
      <w:r w:rsidRPr="00C1527E">
        <w:t>Eligibility for PIPP benefits had been limited to households with incomes below 150% of the federal poverty guidelines.</w:t>
      </w:r>
      <w:r>
        <w:rPr>
          <w:rStyle w:val="FootnoteReference"/>
        </w:rPr>
        <w:footnoteReference w:id="6"/>
      </w:r>
      <w:r w:rsidRPr="00C1527E">
        <w:t xml:space="preserve"> But, on July 27, 2022, Governor DeWine expanded PIPP eligibility to include households up to 175% of the poverty guidelines, in Executive Order 2022-12D. We appreciate the Governor’s good intentions</w:t>
      </w:r>
      <w:r w:rsidRPr="00C1527E" w:rsidR="00CB3495">
        <w:t xml:space="preserve"> for Ohioans</w:t>
      </w:r>
      <w:r w:rsidRPr="00C1527E">
        <w:t xml:space="preserve">. But those good intentions have been compromised by the results of the PIPP electricity auctions. There, the results of bidding by energy marketers exceeds the applicable utility’s standard offer price. It is unlawful to charge PIPP consumers in excess of the utility standard offers, per R.C. 4828.542. So, unfortunately, expanding </w:t>
      </w:r>
      <w:r w:rsidRPr="00C1527E" w:rsidR="00CB3495">
        <w:t xml:space="preserve">people’s </w:t>
      </w:r>
      <w:r w:rsidRPr="00C1527E">
        <w:t>eligibility</w:t>
      </w:r>
      <w:r w:rsidRPr="00C1527E" w:rsidR="00CB3495">
        <w:t xml:space="preserve"> for PIPP</w:t>
      </w:r>
      <w:r w:rsidRPr="00C1527E">
        <w:t xml:space="preserve"> to 175% of federal poverty guidelines exposes more at-risk consumers to higher charges.</w:t>
      </w:r>
    </w:p>
    <w:p w:rsidR="00501BF4" w:rsidRPr="00C1527E" w:rsidP="00501BF4" w14:paraId="41052E5F" w14:textId="5B17BA16">
      <w:pPr>
        <w:spacing w:line="480" w:lineRule="auto"/>
        <w:ind w:firstLine="720"/>
      </w:pPr>
      <w:r w:rsidRPr="00C1527E">
        <w:t>In addition, there are strict requirements for payments to be made in-full and on-time for PIPP consumers to avoid accumulating arrearages (i.e., debt).</w:t>
      </w:r>
      <w:r>
        <w:rPr>
          <w:rStyle w:val="FootnoteReference"/>
        </w:rPr>
        <w:footnoteReference w:id="7"/>
      </w:r>
      <w:r w:rsidRPr="00C1527E">
        <w:t xml:space="preserve"> If their arrearages become due, it is difficult to imagine where people who lack money will find the money to pay off such </w:t>
      </w:r>
      <w:r w:rsidRPr="00C1527E" w:rsidR="007E66D7">
        <w:t>increases</w:t>
      </w:r>
      <w:r w:rsidRPr="00C1527E">
        <w:t xml:space="preserve"> to their utility debt. </w:t>
      </w:r>
    </w:p>
    <w:p w:rsidR="00501BF4" w:rsidRPr="00C1527E" w:rsidP="00501BF4" w14:paraId="3181CB24" w14:textId="55BAE37C">
      <w:pPr>
        <w:spacing w:line="480" w:lineRule="auto"/>
        <w:ind w:firstLine="720"/>
      </w:pPr>
      <w:r w:rsidRPr="00C1527E">
        <w:t xml:space="preserve">The PUCO must do its part to stop this injustice. Accordingly, OCC objects to </w:t>
      </w:r>
      <w:r w:rsidRPr="00C1527E" w:rsidR="00CF479C">
        <w:t>DP&amp;L’s</w:t>
      </w:r>
      <w:r w:rsidRPr="00C1527E">
        <w:t xml:space="preserve"> application. The standard-offer auction is one of the places where the PUCO (and utilities) should work to end the energy injustice described above. One solution could be including PIPP consumers in the standard-offer auction instead of the PIPP-specific auction.</w:t>
      </w:r>
    </w:p>
    <w:p w:rsidR="00546AD2" w:rsidRPr="00C1527E" w:rsidP="00546AD2" w14:paraId="65875684" w14:textId="77777777"/>
    <w:p w:rsidR="00871FE6" w:rsidRPr="00C1527E" w:rsidP="0077790E" w14:paraId="33757671" w14:textId="28A4E916">
      <w:pPr>
        <w:pStyle w:val="Heading1"/>
      </w:pPr>
      <w:r w:rsidRPr="00C1527E">
        <w:t>OBJECTION</w:t>
      </w:r>
      <w:r w:rsidRPr="00C1527E" w:rsidR="00B13DFE">
        <w:t xml:space="preserve"> AND RECOMMENDATIONS</w:t>
      </w:r>
    </w:p>
    <w:p w:rsidR="00C059CE" w:rsidRPr="00C1527E" w:rsidP="00D4293C" w14:paraId="1131D47E" w14:textId="2C2E47A8">
      <w:pPr>
        <w:pStyle w:val="Heading2"/>
      </w:pPr>
      <w:r w:rsidRPr="00C1527E">
        <w:t xml:space="preserve">The ODOD/PUCO PIPP program is violating R.C. 4828.02(L) and 4928.542 for protecting at-risk PIPP consumers of </w:t>
      </w:r>
      <w:r w:rsidRPr="00C1527E" w:rsidR="00CF479C">
        <w:t>DP&amp;L</w:t>
      </w:r>
      <w:r w:rsidRPr="00C1527E">
        <w:t xml:space="preserve"> by charging them prices for electricity in excess of </w:t>
      </w:r>
      <w:r w:rsidRPr="00C1527E" w:rsidR="00CF479C">
        <w:t>DP&amp;L’s</w:t>
      </w:r>
      <w:r w:rsidRPr="00C1527E">
        <w:t xml:space="preserve"> standard offer. This case affords an opportunity for avoiding a future repetition of this plight for </w:t>
      </w:r>
      <w:r w:rsidRPr="00C1527E" w:rsidR="00CF479C">
        <w:t>DP&amp;L’s</w:t>
      </w:r>
      <w:r w:rsidRPr="00C1527E">
        <w:t xml:space="preserve"> PIPP consumers by including PIPP consumers in the standard-offer auction. There is also a solution needed for the </w:t>
      </w:r>
      <w:r w:rsidRPr="00C1527E">
        <w:rPr>
          <w:i/>
          <w:iCs/>
        </w:rPr>
        <w:t>present</w:t>
      </w:r>
      <w:r w:rsidRPr="00C1527E">
        <w:t xml:space="preserve"> plight of </w:t>
      </w:r>
      <w:r w:rsidRPr="00C1527E" w:rsidR="00CF479C">
        <w:t>DP&amp;L’s</w:t>
      </w:r>
      <w:r w:rsidRPr="00C1527E">
        <w:t xml:space="preserve"> PIPP consumers where, for the year ending May 31, 2023, they are being </w:t>
      </w:r>
      <w:r w:rsidRPr="00C1527E" w:rsidR="00033F6A">
        <w:t>billed</w:t>
      </w:r>
      <w:r w:rsidRPr="00C1527E">
        <w:t xml:space="preserve"> an estimated $</w:t>
      </w:r>
      <w:r w:rsidRPr="00C1527E" w:rsidR="00CF479C">
        <w:t>584</w:t>
      </w:r>
      <w:r w:rsidRPr="00C1527E">
        <w:t xml:space="preserve"> more than </w:t>
      </w:r>
      <w:r w:rsidRPr="00C1527E" w:rsidR="00BE534A">
        <w:t>DP&amp;L’s</w:t>
      </w:r>
      <w:r w:rsidRPr="00C1527E">
        <w:t xml:space="preserve"> standard offer.</w:t>
      </w:r>
    </w:p>
    <w:p w:rsidR="00C059CE" w:rsidRPr="00C1527E" w:rsidP="00C059CE" w14:paraId="5FB77E25" w14:textId="3569D2B1">
      <w:pPr>
        <w:spacing w:line="480" w:lineRule="auto"/>
        <w:ind w:firstLine="720"/>
      </w:pPr>
      <w:r w:rsidRPr="00C1527E">
        <w:t xml:space="preserve">The Universal Service Fund (“USF”), in R.C. </w:t>
      </w:r>
      <w:r w:rsidRPr="00C1527E" w:rsidR="00844481">
        <w:t xml:space="preserve">4928.51 </w:t>
      </w:r>
      <w:r w:rsidRPr="00C1527E" w:rsidR="00844481">
        <w:rPr>
          <w:i/>
          <w:iCs/>
        </w:rPr>
        <w:t>et seq</w:t>
      </w:r>
      <w:r w:rsidRPr="00C1527E" w:rsidR="00844481">
        <w:t>.,</w:t>
      </w:r>
      <w:r w:rsidRPr="00C1527E">
        <w:t xml:space="preserve"> is the state funding mechanism for electric bill payment assistance through PIPP. The program is administered by ODOD, with a role for the PUCO. ODOD requested that the PUCO design, manage, and supervise the competitive procurement process for PIPP</w:t>
      </w:r>
      <w:r w:rsidRPr="00C1527E" w:rsidR="00033F6A">
        <w:t xml:space="preserve"> consumers</w:t>
      </w:r>
      <w:r w:rsidRPr="00C1527E">
        <w:t>.</w:t>
      </w:r>
      <w:r>
        <w:rPr>
          <w:rStyle w:val="FootnoteReference"/>
        </w:rPr>
        <w:footnoteReference w:id="8"/>
      </w:r>
    </w:p>
    <w:p w:rsidR="00C059CE" w:rsidRPr="00C1527E" w:rsidP="00C059CE" w14:paraId="1D6F30D4" w14:textId="306F0055">
      <w:pPr>
        <w:spacing w:line="480" w:lineRule="auto"/>
        <w:ind w:firstLine="720"/>
      </w:pPr>
      <w:r w:rsidRPr="00C1527E">
        <w:t>By law, PIPP consumers are not permitted to shop for their generation supply. Rather, they must rely on the ODOD (and the PUCO) to make sure that they are provided lawful, nondiscriminatory and reasonably priced retail electric service through the PIPP-specific auctions with energy marketers.</w:t>
      </w:r>
      <w:r>
        <w:rPr>
          <w:rStyle w:val="FootnoteReference"/>
        </w:rPr>
        <w:footnoteReference w:id="9"/>
      </w:r>
      <w:r w:rsidRPr="00C1527E" w:rsidR="002D647F">
        <w:t xml:space="preserve"> </w:t>
      </w:r>
    </w:p>
    <w:p w:rsidR="00C059CE" w:rsidRPr="00C1527E" w:rsidP="00C059CE" w14:paraId="4DB0F142" w14:textId="2BD1C754">
      <w:pPr>
        <w:spacing w:line="480" w:lineRule="auto"/>
        <w:ind w:firstLine="720"/>
      </w:pPr>
      <w:r w:rsidRPr="00C1527E">
        <w:t xml:space="preserve">As stated, </w:t>
      </w:r>
      <w:r w:rsidRPr="00C1527E" w:rsidR="00CF479C">
        <w:t>DP&amp;L’s</w:t>
      </w:r>
      <w:r w:rsidRPr="00C1527E" w:rsidR="00A60E01">
        <w:t xml:space="preserve"> PIPP consumers are paying </w:t>
      </w:r>
      <w:r w:rsidRPr="00C1527E" w:rsidR="00A60E01">
        <w:rPr>
          <w:i/>
          <w:iCs/>
        </w:rPr>
        <w:t xml:space="preserve">more </w:t>
      </w:r>
      <w:r w:rsidRPr="00C1527E" w:rsidR="00A60E01">
        <w:t xml:space="preserve">than consumers being served under the standard service offer -- </w:t>
      </w:r>
      <w:r w:rsidRPr="00C1527E" w:rsidR="00CF479C">
        <w:t>$0.1577/kWh versus $0.1091/kWh</w:t>
      </w:r>
      <w:r w:rsidRPr="00C1527E" w:rsidR="00B160B6">
        <w:t xml:space="preserve"> during the summer months</w:t>
      </w:r>
      <w:r w:rsidRPr="00C1527E" w:rsidR="00CF479C">
        <w:t>.</w:t>
      </w:r>
      <w:r>
        <w:rPr>
          <w:rStyle w:val="FootnoteReference"/>
        </w:rPr>
        <w:footnoteReference w:id="10"/>
      </w:r>
      <w:r w:rsidRPr="00C1527E" w:rsidR="00F76F49">
        <w:t xml:space="preserve"> </w:t>
      </w:r>
      <w:r w:rsidRPr="00C1527E" w:rsidR="00A60E01">
        <w:t xml:space="preserve">This means PIPP consumers are </w:t>
      </w:r>
      <w:r w:rsidRPr="00C1527E" w:rsidR="00F57068">
        <w:t>charged</w:t>
      </w:r>
      <w:r w:rsidRPr="00C1527E" w:rsidR="00A60E01">
        <w:t xml:space="preserve"> </w:t>
      </w:r>
      <w:r w:rsidRPr="00C1527E" w:rsidR="00CF479C">
        <w:t xml:space="preserve">$0.0486/kWh </w:t>
      </w:r>
      <w:r w:rsidRPr="00C1527E" w:rsidR="00A60E01">
        <w:rPr>
          <w:i/>
          <w:iCs/>
        </w:rPr>
        <w:t>more</w:t>
      </w:r>
      <w:r w:rsidRPr="00C1527E" w:rsidR="00A60E01">
        <w:t xml:space="preserve"> for their generation than standard service offer consumers. For a PIPP consumer using an average of 1,100 kWh per month, that equals an estimated excess charge of </w:t>
      </w:r>
      <w:r w:rsidRPr="00C1527E" w:rsidR="00A60E01">
        <w:rPr>
          <w:b/>
          <w:bCs/>
          <w:i/>
          <w:iCs/>
        </w:rPr>
        <w:t>$</w:t>
      </w:r>
      <w:r w:rsidRPr="00C1527E" w:rsidR="00CF479C">
        <w:rPr>
          <w:b/>
          <w:bCs/>
          <w:i/>
          <w:iCs/>
        </w:rPr>
        <w:t>584</w:t>
      </w:r>
      <w:r w:rsidRPr="00C1527E" w:rsidR="00A60E01">
        <w:t xml:space="preserve"> per year above </w:t>
      </w:r>
      <w:r w:rsidRPr="00C1527E" w:rsidR="00CF479C">
        <w:t>DP&amp;L’s</w:t>
      </w:r>
      <w:r w:rsidRPr="00C1527E" w:rsidR="00A60E01">
        <w:t xml:space="preserve"> standard offer. That is nonsensical and unconscionable for these Ohioans lacking money – and unlawful.</w:t>
      </w:r>
    </w:p>
    <w:p w:rsidR="00C059CE" w:rsidRPr="00C1527E" w:rsidP="00C059CE" w14:paraId="18244C51" w14:textId="2C411265">
      <w:pPr>
        <w:spacing w:line="480" w:lineRule="auto"/>
        <w:rPr>
          <w:iCs/>
        </w:rPr>
      </w:pPr>
      <w:r w:rsidRPr="00C1527E">
        <w:tab/>
      </w:r>
      <w:r w:rsidRPr="00C1527E">
        <w:rPr>
          <w:iCs/>
        </w:rPr>
        <w:t xml:space="preserve">Per R.C. 4928.542(B), a winning bid shall </w:t>
      </w:r>
      <w:r w:rsidRPr="00C1527E">
        <w:rPr>
          <w:b/>
          <w:bCs/>
          <w:i/>
        </w:rPr>
        <w:t>reduce</w:t>
      </w:r>
      <w:r w:rsidRPr="00C1527E">
        <w:rPr>
          <w:iCs/>
        </w:rPr>
        <w:t xml:space="preserve"> the cost of the PIPP program relative to the otherwise applicable standard service offer rate established under R.C. 4928.141, 4928.142 and 4928.143. And a winning bid shall result in the </w:t>
      </w:r>
      <w:r w:rsidRPr="00C1527E">
        <w:rPr>
          <w:b/>
          <w:bCs/>
          <w:i/>
        </w:rPr>
        <w:t>best value</w:t>
      </w:r>
      <w:r w:rsidRPr="00C1527E">
        <w:rPr>
          <w:iCs/>
        </w:rPr>
        <w:t xml:space="preserve"> for persons paying the universal service rider, under R.C. 4928.5</w:t>
      </w:r>
      <w:r w:rsidRPr="00C1527E" w:rsidR="00F57068">
        <w:rPr>
          <w:iCs/>
        </w:rPr>
        <w:t>4</w:t>
      </w:r>
      <w:r w:rsidRPr="00C1527E">
        <w:rPr>
          <w:iCs/>
        </w:rPr>
        <w:t>2.</w:t>
      </w:r>
      <w:r>
        <w:rPr>
          <w:rStyle w:val="FootnoteReference"/>
          <w:iCs/>
        </w:rPr>
        <w:footnoteReference w:id="11"/>
      </w:r>
      <w:r w:rsidRPr="00C1527E" w:rsidR="002D647F">
        <w:rPr>
          <w:iCs/>
        </w:rPr>
        <w:t xml:space="preserve"> </w:t>
      </w:r>
    </w:p>
    <w:p w:rsidR="00C059CE" w:rsidRPr="00C1527E" w:rsidP="00C059CE" w14:paraId="43908303" w14:textId="7F33C0AA">
      <w:pPr>
        <w:spacing w:line="480" w:lineRule="auto"/>
        <w:ind w:firstLine="720"/>
      </w:pPr>
      <w:r w:rsidRPr="00C1527E">
        <w:rPr>
          <w:iCs/>
        </w:rPr>
        <w:t xml:space="preserve">Unfortunately for PIPP consumers, ODOD and the PUCO are failing to require compliance with the law. </w:t>
      </w:r>
      <w:r w:rsidRPr="00C1527E">
        <w:t>This independent PIPP auction has yielded mixed results</w:t>
      </w:r>
      <w:r w:rsidRPr="00C1527E" w:rsidR="0009211F">
        <w:t xml:space="preserve"> (sometimes benefiting PIPP consumers as required by law)</w:t>
      </w:r>
      <w:r w:rsidRPr="00C1527E">
        <w:t xml:space="preserve"> over the years. But the last two auctions have resulted in significant overcharges to </w:t>
      </w:r>
      <w:r w:rsidRPr="00C1527E" w:rsidR="00CF479C">
        <w:t>DP&amp;L</w:t>
      </w:r>
      <w:r w:rsidRPr="00C1527E">
        <w:t xml:space="preserve"> PIPP consumers.</w:t>
      </w:r>
      <w:r>
        <w:rPr>
          <w:rStyle w:val="FootnoteReference"/>
        </w:rPr>
        <w:footnoteReference w:id="12"/>
      </w:r>
      <w:r w:rsidRPr="00C1527E">
        <w:t xml:space="preserve"> At-risk, low-income PIPP consumers cannot lawfully be billed higher generation rates on a per kWh basis than non-PIPP consumers served under the </w:t>
      </w:r>
      <w:r w:rsidRPr="00C1527E" w:rsidR="00BE534A">
        <w:t>DP&amp;L</w:t>
      </w:r>
      <w:r w:rsidRPr="00C1527E">
        <w:t xml:space="preserve"> standard service offer, </w:t>
      </w:r>
      <w:r w:rsidRPr="00C1527E" w:rsidR="00DB1BCC">
        <w:t>per</w:t>
      </w:r>
      <w:r w:rsidRPr="00C1527E">
        <w:t xml:space="preserve"> R.C. 4928.542.</w:t>
      </w:r>
      <w:r w:rsidRPr="00C1527E" w:rsidR="002D647F">
        <w:t xml:space="preserve"> </w:t>
      </w:r>
    </w:p>
    <w:p w:rsidR="00C059CE" w:rsidRPr="00C1527E" w:rsidP="00C059CE" w14:paraId="19FEDDCA" w14:textId="3551D08E">
      <w:pPr>
        <w:spacing w:line="480" w:lineRule="auto"/>
        <w:ind w:firstLine="720"/>
      </w:pPr>
      <w:r w:rsidRPr="00C1527E">
        <w:t>The PUCO has routinely approved these unfair PIPP generation rates over the past two years, saying only: “Accordingly, the Commission will not reject the results of the competitive RFP auction.”</w:t>
      </w:r>
      <w:r>
        <w:rPr>
          <w:rStyle w:val="FootnoteReference"/>
        </w:rPr>
        <w:footnoteReference w:id="13"/>
      </w:r>
      <w:r w:rsidRPr="00C1527E">
        <w:t xml:space="preserve"> </w:t>
      </w:r>
      <w:r w:rsidRPr="00C1527E" w:rsidR="00BE534A">
        <w:t>DP&amp;L’s</w:t>
      </w:r>
      <w:r w:rsidRPr="00C1527E">
        <w:t xml:space="preserve"> application does </w:t>
      </w:r>
      <w:r w:rsidRPr="00C1527E" w:rsidR="001B5AEE">
        <w:t>not</w:t>
      </w:r>
      <w:r w:rsidRPr="00C1527E">
        <w:t xml:space="preserve"> improve the plight of PIPP consumers,</w:t>
      </w:r>
      <w:r w:rsidRPr="00C1527E" w:rsidR="001B5AEE">
        <w:t xml:space="preserve"> present or future,</w:t>
      </w:r>
      <w:r w:rsidRPr="00C1527E">
        <w:t xml:space="preserve"> but it should. </w:t>
      </w:r>
      <w:r w:rsidRPr="00C1527E" w:rsidR="00BE534A">
        <w:t>DP&amp;L</w:t>
      </w:r>
      <w:r w:rsidRPr="00C1527E">
        <w:t xml:space="preserve"> should protect its low-income PIPP consumers. And the PUCO should take action to give PIPP consumers the protection of the law for their electric generation rates. </w:t>
      </w:r>
    </w:p>
    <w:p w:rsidR="00C059CE" w:rsidRPr="00C1527E" w:rsidP="00C059CE" w14:paraId="618F3DBC" w14:textId="7FF57C91">
      <w:pPr>
        <w:spacing w:line="480" w:lineRule="auto"/>
        <w:ind w:firstLine="720"/>
      </w:pPr>
      <w:r w:rsidRPr="00C1527E">
        <w:t xml:space="preserve">That could be done in this case by </w:t>
      </w:r>
      <w:r w:rsidRPr="00C1527E" w:rsidR="00033F6A">
        <w:t xml:space="preserve">combining </w:t>
      </w:r>
      <w:r w:rsidRPr="00C1527E">
        <w:t>PIPP consumers</w:t>
      </w:r>
      <w:r w:rsidRPr="00C1527E" w:rsidR="00033F6A">
        <w:t>’ service</w:t>
      </w:r>
      <w:r w:rsidRPr="00C1527E">
        <w:t xml:space="preserve"> </w:t>
      </w:r>
      <w:r w:rsidRPr="00C1527E" w:rsidR="001B5AEE">
        <w:t xml:space="preserve">into </w:t>
      </w:r>
      <w:r w:rsidRPr="00C1527E">
        <w:t>the standard-offer auctions. This approach is permissible under ODOD</w:t>
      </w:r>
      <w:r w:rsidRPr="00C1527E" w:rsidR="001B5AEE">
        <w:t>’s</w:t>
      </w:r>
      <w:r w:rsidRPr="00C1527E">
        <w:t xml:space="preserve"> electric aggregation rules -- O.A.C. 122:5-3-06. The rule states that the ODOD Director </w:t>
      </w:r>
      <w:r w:rsidRPr="00C1527E">
        <w:rPr>
          <w:i/>
          <w:iCs/>
        </w:rPr>
        <w:t>may</w:t>
      </w:r>
      <w:r w:rsidRPr="00C1527E">
        <w:t xml:space="preserve"> aggregate PIPP consumers for competitive auctions </w:t>
      </w:r>
      <w:r w:rsidRPr="00C1527E">
        <w:rPr>
          <w:i/>
          <w:iCs/>
        </w:rPr>
        <w:t>if “</w:t>
      </w:r>
      <w:r w:rsidRPr="00C1527E">
        <w:t xml:space="preserve">substantial savings for the PIPP plus program can be realized . . .” </w:t>
      </w:r>
    </w:p>
    <w:p w:rsidR="00C059CE" w:rsidRPr="00C1527E" w:rsidP="00C059CE" w14:paraId="4F404DB5" w14:textId="321C81D9">
      <w:pPr>
        <w:spacing w:line="480" w:lineRule="auto"/>
        <w:ind w:firstLine="720"/>
      </w:pPr>
      <w:r w:rsidRPr="00C1527E">
        <w:t xml:space="preserve">As our estimates show, savings have </w:t>
      </w:r>
      <w:r w:rsidRPr="00C1527E">
        <w:rPr>
          <w:i/>
          <w:iCs/>
        </w:rPr>
        <w:t>not</w:t>
      </w:r>
      <w:r w:rsidRPr="00C1527E">
        <w:t xml:space="preserve"> been realized in the past two stand-alone PIPP auctions for </w:t>
      </w:r>
      <w:r w:rsidRPr="00C1527E" w:rsidR="00BE534A">
        <w:t>DP&amp;L</w:t>
      </w:r>
      <w:r w:rsidRPr="00C1527E">
        <w:t xml:space="preserve">. This harms PIPP consumers. It also harms non-PIPP consumers who pay for the universal service fund rider to fund the PIPP program. </w:t>
      </w:r>
      <w:r w:rsidRPr="00C1527E" w:rsidR="001B5AEE">
        <w:t>Thus, a solution for the future would be for g</w:t>
      </w:r>
      <w:r w:rsidRPr="00C1527E">
        <w:t xml:space="preserve">eneration for PIPP consumers </w:t>
      </w:r>
      <w:r w:rsidRPr="00C1527E" w:rsidR="001B5AEE">
        <w:t xml:space="preserve">to </w:t>
      </w:r>
      <w:r w:rsidRPr="00C1527E">
        <w:t>be procured in the same auction as the standard service offer.</w:t>
      </w:r>
      <w:r w:rsidRPr="00C1527E" w:rsidR="002D647F">
        <w:t xml:space="preserve"> </w:t>
      </w:r>
    </w:p>
    <w:p w:rsidR="00C059CE" w:rsidRPr="00C1527E" w:rsidP="00C059CE" w14:paraId="70F1EE9E" w14:textId="0BE34ADF">
      <w:pPr>
        <w:spacing w:line="480" w:lineRule="auto"/>
        <w:ind w:firstLine="720"/>
      </w:pPr>
      <w:r w:rsidRPr="00C1527E">
        <w:t xml:space="preserve">But fixing the problem going forward is just part of what is needed for </w:t>
      </w:r>
      <w:r w:rsidRPr="00C1527E" w:rsidR="00BE534A">
        <w:t>DP&amp;L’s</w:t>
      </w:r>
      <w:r w:rsidRPr="00C1527E">
        <w:t xml:space="preserve"> PIPP consumers. They need help now. They are presently being charged higher electricity prices in violation of law, R.C. 4928.542. Their current plight also needs a</w:t>
      </w:r>
      <w:r w:rsidRPr="00C1527E" w:rsidR="00C822E1">
        <w:t xml:space="preserve"> solution from</w:t>
      </w:r>
      <w:r w:rsidRPr="00C1527E">
        <w:t xml:space="preserve"> ODOD</w:t>
      </w:r>
      <w:r w:rsidRPr="00C1527E" w:rsidR="00C822E1">
        <w:t xml:space="preserve">, the </w:t>
      </w:r>
      <w:r w:rsidRPr="00C1527E">
        <w:t>PUCO</w:t>
      </w:r>
      <w:r w:rsidRPr="00C1527E" w:rsidR="00C822E1">
        <w:t xml:space="preserve"> and </w:t>
      </w:r>
      <w:r w:rsidRPr="00C1527E" w:rsidR="00BE534A">
        <w:t>DP&amp;L</w:t>
      </w:r>
      <w:r w:rsidRPr="00C1527E">
        <w:t>.</w:t>
      </w:r>
      <w:r w:rsidRPr="00C1527E" w:rsidR="002D647F">
        <w:t xml:space="preserve"> </w:t>
      </w:r>
    </w:p>
    <w:p w:rsidR="00521488" w:rsidRPr="00C1527E" w:rsidP="00DC5485" w14:paraId="6BC8EEDF" w14:textId="36477D74"/>
    <w:p w:rsidR="00917C1A" w:rsidRPr="00C1527E" w:rsidP="008E1331" w14:paraId="1A8D70AC" w14:textId="53570A84">
      <w:pPr>
        <w:pStyle w:val="Heading1"/>
      </w:pPr>
      <w:r w:rsidRPr="00C1527E">
        <w:t>CONCLUSION</w:t>
      </w:r>
    </w:p>
    <w:p w:rsidR="00261BB9" w:rsidRPr="00C1527E" w:rsidP="00261BB9" w14:paraId="4B548505" w14:textId="4E7F0558">
      <w:pPr>
        <w:spacing w:line="480" w:lineRule="auto"/>
        <w:ind w:firstLine="720"/>
      </w:pPr>
      <w:r w:rsidRPr="00C1527E">
        <w:t xml:space="preserve">The General Assembly has required ODOD and the PUCO to protect at-risk consumers, under R.C. 4928.02(L). PIPP consumers are at-risk consumers. The PUCO </w:t>
      </w:r>
      <w:r w:rsidRPr="00C1527E" w:rsidR="006668A8">
        <w:t xml:space="preserve">has the opportunity to </w:t>
      </w:r>
      <w:r w:rsidRPr="00C1527E">
        <w:t xml:space="preserve">protect them in this case. The electricity for PIPP consumers can be procured as part of the same auction as the standard service offer. That would comply with R.C. 4928.542 and with O.A.C. 122:5-3-06. </w:t>
      </w:r>
    </w:p>
    <w:p w:rsidR="004579EB" w:rsidRPr="00C1527E" w:rsidP="00FF3C32" w14:paraId="40718B89" w14:textId="6A0782AF">
      <w:pPr>
        <w:spacing w:line="480" w:lineRule="auto"/>
        <w:ind w:firstLine="720"/>
      </w:pPr>
      <w:r w:rsidRPr="00C1527E">
        <w:t xml:space="preserve">But fixing the problem going forward is just part of what is needed for </w:t>
      </w:r>
      <w:r w:rsidRPr="00C1527E" w:rsidR="00BE534A">
        <w:t>DP&amp;L’s</w:t>
      </w:r>
      <w:r w:rsidRPr="00C1527E">
        <w:t xml:space="preserve"> PIPP consumers. They need help now. Based on our estimates, they are presently being charged higher electricity prices in violation of law, R.C. 4928.542. Their current plight also needs a solution.</w:t>
      </w:r>
      <w:r w:rsidRPr="00C1527E" w:rsidR="002D647F">
        <w:t xml:space="preserve"> </w:t>
      </w:r>
    </w:p>
    <w:p w:rsidR="006100BB" w:rsidRPr="00C1527E" w14:paraId="321A89CD" w14:textId="77777777">
      <w:pPr>
        <w:spacing w:after="160" w:line="259" w:lineRule="auto"/>
      </w:pPr>
      <w:r w:rsidRPr="00C1527E">
        <w:br w:type="page"/>
      </w:r>
    </w:p>
    <w:p w:rsidR="004C3F84" w:rsidRPr="00C1527E" w:rsidP="00D27783" w14:paraId="66EF3D23" w14:textId="3894735D">
      <w:pPr>
        <w:pStyle w:val="Footer"/>
        <w:tabs>
          <w:tab w:val="left" w:pos="4320"/>
          <w:tab w:val="clear" w:pos="8640"/>
        </w:tabs>
        <w:ind w:left="4320"/>
        <w:rPr>
          <w:sz w:val="24"/>
          <w:szCs w:val="24"/>
        </w:rPr>
      </w:pPr>
      <w:r w:rsidRPr="00C1527E">
        <w:rPr>
          <w:sz w:val="24"/>
          <w:szCs w:val="24"/>
        </w:rPr>
        <w:t>Respectfully submitted</w:t>
      </w:r>
    </w:p>
    <w:p w:rsidR="004C3F84" w:rsidRPr="00C1527E" w:rsidP="00D27783" w14:paraId="03095258" w14:textId="77777777">
      <w:pPr>
        <w:pStyle w:val="Footer"/>
        <w:tabs>
          <w:tab w:val="left" w:pos="4320"/>
          <w:tab w:val="clear" w:pos="8640"/>
        </w:tabs>
        <w:ind w:left="4320"/>
        <w:rPr>
          <w:sz w:val="24"/>
          <w:szCs w:val="24"/>
        </w:rPr>
      </w:pPr>
    </w:p>
    <w:p w:rsidR="004C3F84" w:rsidRPr="00C1527E" w:rsidP="00D27783" w14:paraId="17A8994B" w14:textId="77777777">
      <w:pPr>
        <w:pStyle w:val="Footer"/>
        <w:tabs>
          <w:tab w:val="left" w:pos="4320"/>
          <w:tab w:val="clear" w:pos="8640"/>
        </w:tabs>
        <w:ind w:left="4320"/>
        <w:rPr>
          <w:sz w:val="24"/>
          <w:szCs w:val="24"/>
        </w:rPr>
      </w:pPr>
      <w:r w:rsidRPr="00C1527E">
        <w:rPr>
          <w:sz w:val="24"/>
          <w:szCs w:val="24"/>
        </w:rPr>
        <w:t>Bruce Weston (0016973)</w:t>
      </w:r>
    </w:p>
    <w:p w:rsidR="004C3F84" w:rsidRPr="00C1527E" w:rsidP="00D27783" w14:paraId="3A0D82E1" w14:textId="77777777">
      <w:pPr>
        <w:tabs>
          <w:tab w:val="left" w:pos="4320"/>
        </w:tabs>
        <w:ind w:left="4320"/>
      </w:pPr>
      <w:r w:rsidRPr="00C1527E">
        <w:t>Ohio Consumers’ Counsel</w:t>
      </w:r>
    </w:p>
    <w:p w:rsidR="004C3F84" w:rsidRPr="00C1527E" w:rsidP="00D27783" w14:paraId="3362B7CC" w14:textId="77777777">
      <w:pPr>
        <w:tabs>
          <w:tab w:val="left" w:pos="4320"/>
        </w:tabs>
        <w:ind w:left="4320"/>
      </w:pPr>
    </w:p>
    <w:p w:rsidR="004C3F84" w:rsidRPr="00C1527E" w:rsidP="00D27783" w14:paraId="6D31E094" w14:textId="49E359FE">
      <w:pPr>
        <w:tabs>
          <w:tab w:val="left" w:pos="4320"/>
        </w:tabs>
        <w:ind w:left="4320"/>
        <w:rPr>
          <w:i/>
          <w:iCs/>
          <w:u w:val="single"/>
        </w:rPr>
      </w:pPr>
      <w:r w:rsidRPr="00C1527E">
        <w:rPr>
          <w:i/>
          <w:iCs/>
          <w:u w:val="single"/>
        </w:rPr>
        <w:t xml:space="preserve">/s/ </w:t>
      </w:r>
      <w:r w:rsidRPr="00C1527E" w:rsidR="00521488">
        <w:rPr>
          <w:i/>
          <w:iCs/>
          <w:u w:val="single"/>
        </w:rPr>
        <w:t>William J. Michael</w:t>
      </w:r>
      <w:r w:rsidRPr="00C1527E">
        <w:rPr>
          <w:i/>
          <w:iCs/>
          <w:u w:val="single"/>
        </w:rPr>
        <w:tab/>
      </w:r>
      <w:r w:rsidRPr="00C1527E">
        <w:rPr>
          <w:i/>
          <w:iCs/>
          <w:u w:val="single"/>
        </w:rPr>
        <w:tab/>
      </w:r>
    </w:p>
    <w:p w:rsidR="004C3F84" w:rsidRPr="00C1527E" w:rsidP="00D27783" w14:paraId="2D8174F1" w14:textId="312320D3">
      <w:pPr>
        <w:tabs>
          <w:tab w:val="left" w:pos="4320"/>
        </w:tabs>
      </w:pPr>
      <w:r w:rsidRPr="00C1527E">
        <w:tab/>
      </w:r>
      <w:r w:rsidRPr="00C1527E" w:rsidR="00D27783">
        <w:t>William J. Michael (0070921)</w:t>
      </w:r>
    </w:p>
    <w:p w:rsidR="004C3F84" w:rsidRPr="00C1527E" w:rsidP="00D27783" w14:paraId="1A89D4FC" w14:textId="35768814">
      <w:pPr>
        <w:tabs>
          <w:tab w:val="left" w:pos="4320"/>
        </w:tabs>
      </w:pPr>
      <w:r w:rsidRPr="00C1527E">
        <w:tab/>
        <w:t>Counsel of Record</w:t>
      </w:r>
    </w:p>
    <w:p w:rsidR="004C3F84" w:rsidRPr="00C1527E" w:rsidP="00D27783" w14:paraId="34BC879D" w14:textId="1F4F35B8">
      <w:pPr>
        <w:tabs>
          <w:tab w:val="left" w:pos="4320"/>
        </w:tabs>
        <w:ind w:left="4320"/>
      </w:pPr>
      <w:r w:rsidRPr="00C1527E">
        <w:t>Assistant Consumers’ Counsel</w:t>
      </w:r>
    </w:p>
    <w:p w:rsidR="00D27783" w:rsidRPr="00C1527E" w:rsidP="00D27783" w14:paraId="3CCC8E23" w14:textId="77777777">
      <w:pPr>
        <w:tabs>
          <w:tab w:val="left" w:pos="4320"/>
        </w:tabs>
        <w:ind w:left="4320"/>
      </w:pPr>
    </w:p>
    <w:p w:rsidR="004C3F84" w:rsidRPr="00C1527E" w:rsidP="00D27783" w14:paraId="3FAB5120" w14:textId="77777777">
      <w:pPr>
        <w:ind w:left="4320"/>
        <w:rPr>
          <w:b/>
        </w:rPr>
      </w:pPr>
      <w:r w:rsidRPr="00C1527E">
        <w:rPr>
          <w:b/>
        </w:rPr>
        <w:t>Office of the Ohio Consumers’ Counsel</w:t>
      </w:r>
    </w:p>
    <w:p w:rsidR="004C3F84" w:rsidRPr="00C1527E" w:rsidP="00D27783" w14:paraId="2A541038" w14:textId="2907EF3D">
      <w:pPr>
        <w:ind w:left="4320"/>
      </w:pPr>
      <w:r w:rsidRPr="00C1527E">
        <w:t xml:space="preserve">65 East State Street, </w:t>
      </w:r>
      <w:r w:rsidRPr="00C1527E" w:rsidR="00E351D8">
        <w:t>Suite 700</w:t>
      </w:r>
    </w:p>
    <w:p w:rsidR="004C3F84" w:rsidRPr="00C1527E" w:rsidP="00D27783" w14:paraId="75FEF4C7" w14:textId="77777777">
      <w:pPr>
        <w:ind w:left="4320"/>
        <w:rPr>
          <w:b/>
        </w:rPr>
      </w:pPr>
      <w:r w:rsidRPr="00C1527E">
        <w:t>Columbus, Ohio 43215</w:t>
      </w:r>
    </w:p>
    <w:p w:rsidR="004C3F84" w:rsidRPr="00C1527E" w:rsidP="00D27783" w14:paraId="416229EB" w14:textId="77777777">
      <w:pPr>
        <w:autoSpaceDE w:val="0"/>
        <w:autoSpaceDN w:val="0"/>
        <w:adjustRightInd w:val="0"/>
        <w:ind w:left="4320"/>
      </w:pPr>
      <w:r w:rsidRPr="00C1527E">
        <w:t>Telephone [Michael]: (614) 466-1291</w:t>
      </w:r>
    </w:p>
    <w:p w:rsidR="004C3F84" w:rsidRPr="00C1527E" w:rsidP="00D27783" w14:paraId="00ED03E0" w14:textId="40FA4B6A">
      <w:pPr>
        <w:autoSpaceDE w:val="0"/>
        <w:autoSpaceDN w:val="0"/>
        <w:adjustRightInd w:val="0"/>
        <w:ind w:left="4320"/>
        <w:rPr>
          <w:rStyle w:val="Hyperlink"/>
        </w:rPr>
      </w:pPr>
      <w:hyperlink r:id="rId6" w:history="1">
        <w:r w:rsidRPr="00C1527E" w:rsidR="000F5F6D">
          <w:rPr>
            <w:rStyle w:val="Hyperlink"/>
          </w:rPr>
          <w:t>william.michael@occ.ohio.gov</w:t>
        </w:r>
      </w:hyperlink>
      <w:r w:rsidRPr="00C1527E" w:rsidR="00FA134B">
        <w:t xml:space="preserve"> </w:t>
      </w:r>
    </w:p>
    <w:p w:rsidR="004C3F84" w:rsidRPr="00C1527E" w:rsidP="00D27783" w14:paraId="36BC0A98" w14:textId="5008E82A">
      <w:pPr>
        <w:ind w:firstLine="720"/>
      </w:pPr>
      <w:r w:rsidRPr="00C1527E">
        <w:tab/>
      </w:r>
      <w:r w:rsidRPr="00C1527E">
        <w:tab/>
      </w:r>
      <w:r w:rsidRPr="00C1527E">
        <w:tab/>
      </w:r>
      <w:r w:rsidRPr="00C1527E">
        <w:tab/>
      </w:r>
      <w:r w:rsidRPr="00C1527E">
        <w:tab/>
        <w:t>(willing to accept service by e-mail)</w:t>
      </w:r>
    </w:p>
    <w:p w:rsidR="004C3F84" w:rsidRPr="00C1527E" w14:paraId="00BF654F" w14:textId="499E3734">
      <w:pPr>
        <w:spacing w:after="160" w:line="259" w:lineRule="auto"/>
      </w:pPr>
      <w:r w:rsidRPr="00C1527E">
        <w:br w:type="page"/>
      </w:r>
    </w:p>
    <w:p w:rsidR="004C3F84" w:rsidRPr="00C1527E" w:rsidP="004C3F84" w14:paraId="27C05B77" w14:textId="77777777">
      <w:pPr>
        <w:jc w:val="center"/>
        <w:rPr>
          <w:b/>
          <w:bCs/>
          <w:u w:val="single"/>
        </w:rPr>
      </w:pPr>
      <w:r w:rsidRPr="00C1527E">
        <w:rPr>
          <w:b/>
          <w:bCs/>
          <w:u w:val="single"/>
        </w:rPr>
        <w:t>CERTIFICATE OF SERVICE</w:t>
      </w:r>
    </w:p>
    <w:p w:rsidR="004C3F84" w:rsidRPr="00C1527E" w:rsidP="004C3F84" w14:paraId="213A6C27" w14:textId="55004D05">
      <w:pPr>
        <w:spacing w:line="480" w:lineRule="atLeast"/>
      </w:pPr>
      <w:r w:rsidRPr="00C1527E">
        <w:tab/>
        <w:t>I hereby certify that a copy of these Objections w</w:t>
      </w:r>
      <w:r w:rsidRPr="00C1527E" w:rsidR="00976C9D">
        <w:t>as</w:t>
      </w:r>
      <w:r w:rsidRPr="00C1527E">
        <w:t xml:space="preserve"> served on the persons stated below via electronic transmission, this </w:t>
      </w:r>
      <w:r w:rsidR="00C1527E">
        <w:t>12</w:t>
      </w:r>
      <w:r w:rsidRPr="00C1527E" w:rsidR="00C1527E">
        <w:rPr>
          <w:vertAlign w:val="superscript"/>
        </w:rPr>
        <w:t>th</w:t>
      </w:r>
      <w:r w:rsidR="00C1527E">
        <w:t xml:space="preserve"> </w:t>
      </w:r>
      <w:r w:rsidRPr="00C1527E">
        <w:t xml:space="preserve">day of </w:t>
      </w:r>
      <w:r w:rsidR="00C1527E">
        <w:t>September</w:t>
      </w:r>
      <w:r w:rsidRPr="00C1527E">
        <w:t xml:space="preserve"> 2022.</w:t>
      </w:r>
    </w:p>
    <w:p w:rsidR="00976C9D" w:rsidRPr="00C1527E" w:rsidP="00976C9D" w14:paraId="6C436E8D" w14:textId="77777777"/>
    <w:p w:rsidR="004C3F84" w:rsidRPr="00C1527E" w:rsidP="004C3F84" w14:paraId="5953DEA5" w14:textId="3897DA82">
      <w:pPr>
        <w:tabs>
          <w:tab w:val="left" w:pos="4320"/>
        </w:tabs>
      </w:pPr>
      <w:r w:rsidRPr="00C1527E">
        <w:tab/>
      </w:r>
      <w:r w:rsidRPr="00C1527E">
        <w:rPr>
          <w:i/>
          <w:u w:val="single"/>
        </w:rPr>
        <w:t>/s/ William J. Michael</w:t>
      </w:r>
      <w:r w:rsidRPr="00C1527E">
        <w:rPr>
          <w:i/>
          <w:u w:val="single"/>
        </w:rPr>
        <w:tab/>
      </w:r>
      <w:r w:rsidRPr="00C1527E">
        <w:rPr>
          <w:i/>
          <w:u w:val="single"/>
        </w:rPr>
        <w:tab/>
      </w:r>
    </w:p>
    <w:p w:rsidR="004C3F84" w:rsidRPr="00C1527E" w:rsidP="004C3F84" w14:paraId="01914EEA" w14:textId="4DF2B58D">
      <w:pPr>
        <w:tabs>
          <w:tab w:val="left" w:pos="4320"/>
        </w:tabs>
      </w:pPr>
      <w:r w:rsidRPr="00C1527E">
        <w:tab/>
        <w:t>William J. Michael</w:t>
      </w:r>
    </w:p>
    <w:p w:rsidR="004C3F84" w:rsidRPr="00C1527E" w:rsidP="004C3F84" w14:paraId="3E8D1ADC" w14:textId="77777777">
      <w:pPr>
        <w:tabs>
          <w:tab w:val="left" w:pos="4320"/>
        </w:tabs>
      </w:pPr>
      <w:r w:rsidRPr="00C1527E">
        <w:tab/>
        <w:t>Assistant Consumers’ Counsel</w:t>
      </w:r>
    </w:p>
    <w:p w:rsidR="004C3F84" w:rsidRPr="00C1527E" w:rsidP="004C3F84" w14:paraId="464C3813" w14:textId="77777777">
      <w:pPr>
        <w:pStyle w:val="CommentSubject"/>
        <w:rPr>
          <w:sz w:val="24"/>
          <w:szCs w:val="24"/>
        </w:rPr>
      </w:pPr>
    </w:p>
    <w:p w:rsidR="004C3F84" w:rsidRPr="00C1527E" w:rsidP="004C3F84" w14:paraId="75100126" w14:textId="77777777">
      <w:r w:rsidRPr="00C1527E">
        <w:t>The PUCO’s e-filing system will electronically serve notice of the filing of this document on the following parties:</w:t>
      </w:r>
    </w:p>
    <w:p w:rsidR="004C3F84" w:rsidRPr="00C1527E" w:rsidP="00E80648" w14:paraId="2DE85033" w14:textId="77777777">
      <w:pPr>
        <w:pStyle w:val="CommentText"/>
        <w:rPr>
          <w:b/>
          <w:sz w:val="24"/>
          <w:szCs w:val="24"/>
          <w:u w:val="single"/>
        </w:rPr>
      </w:pPr>
    </w:p>
    <w:p w:rsidR="004C3F84" w:rsidRPr="00C1527E" w:rsidP="004C3F84" w14:paraId="4459871A" w14:textId="77777777">
      <w:pPr>
        <w:pStyle w:val="CommentText"/>
        <w:jc w:val="center"/>
        <w:rPr>
          <w:b/>
          <w:sz w:val="24"/>
          <w:szCs w:val="24"/>
          <w:u w:val="single"/>
        </w:rPr>
      </w:pPr>
      <w:r w:rsidRPr="00C1527E">
        <w:rPr>
          <w:b/>
          <w:sz w:val="24"/>
          <w:szCs w:val="24"/>
          <w:u w:val="single"/>
        </w:rPr>
        <w:t>SERVICE LIST</w:t>
      </w:r>
    </w:p>
    <w:p w:rsidR="004C3F84" w:rsidRPr="00C1527E" w:rsidP="004C3F84" w14:paraId="39A0C15E" w14:textId="77777777">
      <w:pPr>
        <w:pStyle w:val="CommentText"/>
        <w:jc w:val="center"/>
        <w:rPr>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10F10131" w14:textId="77777777" w:rsidTr="001C152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040CC8" w:rsidRPr="00C1527E" w:rsidP="001C152E" w14:paraId="5DA5C385" w14:textId="77777777">
            <w:hyperlink r:id="rId7" w:history="1">
              <w:r w:rsidRPr="00C1527E">
                <w:rPr>
                  <w:rStyle w:val="Hyperlink"/>
                </w:rPr>
                <w:t>thomas.lindgren@ohioAGO.gov</w:t>
              </w:r>
            </w:hyperlink>
          </w:p>
          <w:p w:rsidR="00040CC8" w:rsidRPr="00C1527E" w:rsidP="001C152E" w14:paraId="3B4A9B56" w14:textId="77777777">
            <w:pPr>
              <w:pStyle w:val="CommentText"/>
              <w:rPr>
                <w:bCs/>
                <w:color w:val="0000FF"/>
                <w:sz w:val="24"/>
                <w:szCs w:val="24"/>
                <w:u w:val="single"/>
              </w:rPr>
            </w:pPr>
            <w:hyperlink r:id="rId8" w:history="1">
              <w:r w:rsidRPr="00C1527E">
                <w:rPr>
                  <w:rStyle w:val="Hyperlink"/>
                  <w:bCs/>
                  <w:sz w:val="24"/>
                  <w:szCs w:val="24"/>
                </w:rPr>
                <w:t>whitt@whitt-sturtevant.com</w:t>
              </w:r>
            </w:hyperlink>
          </w:p>
          <w:p w:rsidR="00040CC8" w:rsidRPr="00C1527E" w:rsidP="001C152E" w14:paraId="38360543" w14:textId="77777777">
            <w:pPr>
              <w:pStyle w:val="CommentText"/>
              <w:rPr>
                <w:bCs/>
                <w:sz w:val="24"/>
                <w:szCs w:val="24"/>
              </w:rPr>
            </w:pPr>
            <w:hyperlink r:id="rId9" w:history="1">
              <w:r w:rsidRPr="00C1527E">
                <w:rPr>
                  <w:rStyle w:val="Hyperlink"/>
                  <w:bCs/>
                  <w:sz w:val="24"/>
                  <w:szCs w:val="24"/>
                </w:rPr>
                <w:t>glpetrucci@vorys.com</w:t>
              </w:r>
            </w:hyperlink>
          </w:p>
          <w:p w:rsidR="00040CC8" w:rsidRPr="00C1527E" w:rsidP="001C152E" w14:paraId="0B74BF13" w14:textId="77777777">
            <w:pPr>
              <w:pStyle w:val="CommentText"/>
              <w:rPr>
                <w:bCs/>
                <w:sz w:val="24"/>
                <w:szCs w:val="24"/>
              </w:rPr>
            </w:pPr>
            <w:hyperlink r:id="rId10" w:history="1">
              <w:r w:rsidRPr="00C1527E">
                <w:rPr>
                  <w:rStyle w:val="Hyperlink"/>
                  <w:bCs/>
                  <w:sz w:val="24"/>
                  <w:szCs w:val="24"/>
                </w:rPr>
                <w:t>christopher.hollon@aes.com</w:t>
              </w:r>
            </w:hyperlink>
          </w:p>
          <w:p w:rsidR="00040CC8" w:rsidRPr="00C1527E" w:rsidP="001C152E" w14:paraId="18D2E651" w14:textId="77777777">
            <w:pPr>
              <w:pStyle w:val="CommentText"/>
              <w:rPr>
                <w:rStyle w:val="Hyperlink"/>
                <w:bCs/>
                <w:sz w:val="24"/>
                <w:szCs w:val="24"/>
              </w:rPr>
            </w:pPr>
            <w:hyperlink r:id="rId11" w:history="1">
              <w:r w:rsidRPr="00C1527E">
                <w:rPr>
                  <w:rStyle w:val="Hyperlink"/>
                  <w:bCs/>
                  <w:sz w:val="24"/>
                  <w:szCs w:val="24"/>
                </w:rPr>
                <w:t>mpritchard@mcneeslaw.com</w:t>
              </w:r>
            </w:hyperlink>
          </w:p>
          <w:p w:rsidR="00040CC8" w:rsidRPr="00C1527E" w:rsidP="001C152E" w14:paraId="6DDA5D8E" w14:textId="77777777">
            <w:pPr>
              <w:pStyle w:val="CommentText"/>
              <w:rPr>
                <w:bCs/>
                <w:sz w:val="24"/>
                <w:szCs w:val="24"/>
                <w:u w:val="single"/>
              </w:rPr>
            </w:pPr>
          </w:p>
          <w:p w:rsidR="00040CC8" w:rsidRPr="00C1527E" w:rsidP="001C152E" w14:paraId="6D441043" w14:textId="77777777">
            <w:pPr>
              <w:pStyle w:val="CommentText"/>
              <w:rPr>
                <w:bCs/>
                <w:sz w:val="24"/>
                <w:szCs w:val="24"/>
              </w:rPr>
            </w:pPr>
            <w:r w:rsidRPr="00C1527E">
              <w:rPr>
                <w:bCs/>
                <w:sz w:val="24"/>
                <w:szCs w:val="24"/>
              </w:rPr>
              <w:t>Attorney Examiners:</w:t>
            </w:r>
          </w:p>
          <w:p w:rsidR="00040CC8" w:rsidRPr="00C1527E" w:rsidP="001C152E" w14:paraId="6730C7F5" w14:textId="77777777">
            <w:pPr>
              <w:rPr>
                <w:rFonts w:eastAsiaTheme="minorHAnsi"/>
                <w:color w:val="0000FF"/>
                <w:u w:val="single"/>
              </w:rPr>
            </w:pPr>
            <w:hyperlink r:id="rId12" w:history="1">
              <w:r w:rsidRPr="00C1527E">
                <w:rPr>
                  <w:rStyle w:val="Hyperlink"/>
                </w:rPr>
                <w:t>m</w:t>
              </w:r>
              <w:r w:rsidRPr="00C1527E">
                <w:rPr>
                  <w:rStyle w:val="Hyperlink"/>
                  <w:rFonts w:eastAsiaTheme="minorHAnsi"/>
                </w:rPr>
                <w:t>atthew.sandor@puco.ohio.gov</w:t>
              </w:r>
            </w:hyperlink>
          </w:p>
          <w:p w:rsidR="00040CC8" w:rsidRPr="00C1527E" w:rsidP="001C152E" w14:paraId="5573F851" w14:textId="77777777">
            <w:hyperlink r:id="rId13" w:history="1">
              <w:r w:rsidRPr="00C1527E">
                <w:rPr>
                  <w:rStyle w:val="Hyperlink"/>
                </w:rPr>
                <w:t>patricia.schabo@puco.ohio.gov</w:t>
              </w:r>
            </w:hyperlink>
          </w:p>
          <w:p w:rsidR="00040CC8" w:rsidRPr="00C1527E" w:rsidP="001C152E" w14:paraId="5D0A0DFF" w14:textId="77777777">
            <w:pPr>
              <w:rPr>
                <w:rFonts w:eastAsiaTheme="minorHAnsi"/>
                <w:bCs/>
              </w:rPr>
            </w:pPr>
            <w:r w:rsidRPr="00C1527E">
              <w:rPr>
                <w:rFonts w:eastAsiaTheme="minorHAnsi"/>
                <w:bCs/>
                <w:color w:val="0000FF"/>
                <w:u w:val="single"/>
              </w:rPr>
              <w:t>michael.williams@puco.ohio.gov</w:t>
            </w:r>
          </w:p>
          <w:p w:rsidR="00040CC8" w:rsidRPr="00C1527E" w:rsidP="001C152E" w14:paraId="65C7CFEB" w14:textId="77777777">
            <w:pPr>
              <w:pStyle w:val="CommentText"/>
              <w:rPr>
                <w:bCs/>
                <w:sz w:val="24"/>
                <w:szCs w:val="24"/>
                <w:u w:val="single"/>
              </w:rPr>
            </w:pPr>
          </w:p>
          <w:p w:rsidR="00040CC8" w:rsidRPr="00C1527E" w:rsidP="001C152E" w14:paraId="3D8053DF" w14:textId="77777777">
            <w:pPr>
              <w:pStyle w:val="CommentText"/>
              <w:rPr>
                <w:bCs/>
                <w:sz w:val="24"/>
                <w:szCs w:val="24"/>
                <w:u w:val="single"/>
              </w:rPr>
            </w:pPr>
          </w:p>
          <w:p w:rsidR="00040CC8" w:rsidRPr="00C1527E" w:rsidP="001C152E" w14:paraId="7F1E6242" w14:textId="77777777">
            <w:pPr>
              <w:pStyle w:val="CommentText"/>
              <w:rPr>
                <w:bCs/>
                <w:sz w:val="24"/>
                <w:szCs w:val="24"/>
                <w:u w:val="single"/>
              </w:rPr>
            </w:pPr>
          </w:p>
          <w:p w:rsidR="00040CC8" w:rsidRPr="00C1527E" w:rsidP="001C152E" w14:paraId="4BAC6C6C" w14:textId="77777777">
            <w:pPr>
              <w:pStyle w:val="CommentText"/>
              <w:rPr>
                <w:bCs/>
                <w:sz w:val="24"/>
                <w:szCs w:val="24"/>
                <w:u w:val="single"/>
              </w:rPr>
            </w:pPr>
          </w:p>
        </w:tc>
        <w:tc>
          <w:tcPr>
            <w:tcW w:w="4315" w:type="dxa"/>
          </w:tcPr>
          <w:p w:rsidR="00040CC8" w:rsidRPr="00C1527E" w:rsidP="001C152E" w14:paraId="30C83B2F" w14:textId="77777777">
            <w:hyperlink r:id="rId14" w:history="1">
              <w:r w:rsidRPr="00C1527E">
                <w:rPr>
                  <w:rStyle w:val="Hyperlink"/>
                </w:rPr>
                <w:t>rocco.dascenzo@duke-energy.com</w:t>
              </w:r>
            </w:hyperlink>
          </w:p>
          <w:p w:rsidR="00040CC8" w:rsidRPr="00C1527E" w:rsidP="001C152E" w14:paraId="0C934CA6" w14:textId="77777777">
            <w:hyperlink r:id="rId15" w:history="1">
              <w:r w:rsidRPr="00C1527E">
                <w:rPr>
                  <w:rStyle w:val="Hyperlink"/>
                </w:rPr>
                <w:t>jeanne.kingery@duke-energy.com</w:t>
              </w:r>
            </w:hyperlink>
          </w:p>
          <w:p w:rsidR="00040CC8" w:rsidRPr="00C1527E" w:rsidP="001C152E" w14:paraId="09F0363A" w14:textId="77777777">
            <w:hyperlink r:id="rId16" w:history="1">
              <w:r w:rsidRPr="00C1527E">
                <w:rPr>
                  <w:rStyle w:val="Hyperlink"/>
                </w:rPr>
                <w:t>larisa.vaysman@duke-energy.com</w:t>
              </w:r>
            </w:hyperlink>
          </w:p>
          <w:p w:rsidR="00040CC8" w:rsidRPr="00C1527E" w:rsidP="001C152E" w14:paraId="5F5D1234" w14:textId="77777777">
            <w:hyperlink r:id="rId17" w:history="1">
              <w:r w:rsidRPr="00C1527E">
                <w:rPr>
                  <w:rStyle w:val="Hyperlink"/>
                </w:rPr>
                <w:t>joe.oliker@igs.com</w:t>
              </w:r>
            </w:hyperlink>
          </w:p>
          <w:p w:rsidR="00040CC8" w:rsidRPr="00C1527E" w:rsidP="001C152E" w14:paraId="10904B81" w14:textId="77777777">
            <w:hyperlink r:id="rId18" w:history="1">
              <w:r w:rsidRPr="00C1527E">
                <w:rPr>
                  <w:rStyle w:val="Hyperlink"/>
                </w:rPr>
                <w:t>michael.nugent@igs.com</w:t>
              </w:r>
            </w:hyperlink>
          </w:p>
          <w:p w:rsidR="00040CC8" w:rsidRPr="00C1527E" w:rsidP="001C152E" w14:paraId="0AAD5BF3" w14:textId="77777777">
            <w:pPr>
              <w:rPr>
                <w:rStyle w:val="Hyperlink"/>
              </w:rPr>
            </w:pPr>
            <w:r w:rsidRPr="00C1527E">
              <w:rPr>
                <w:rStyle w:val="Hyperlink"/>
              </w:rPr>
              <w:t>bethany.allen@igs.com</w:t>
            </w:r>
          </w:p>
          <w:p w:rsidR="00040CC8" w:rsidRPr="00C1527E" w:rsidP="001C152E" w14:paraId="37AD22B7" w14:textId="77777777">
            <w:pPr>
              <w:rPr>
                <w:rStyle w:val="Hyperlink"/>
              </w:rPr>
            </w:pPr>
            <w:hyperlink r:id="rId19" w:history="1">
              <w:r w:rsidRPr="00C1527E">
                <w:rPr>
                  <w:rStyle w:val="Hyperlink"/>
                </w:rPr>
                <w:t>talexander@beneschlaw.com</w:t>
              </w:r>
            </w:hyperlink>
          </w:p>
          <w:p w:rsidR="00040CC8" w:rsidRPr="00C1527E" w:rsidP="001C152E" w14:paraId="08198B1E" w14:textId="77777777">
            <w:pPr>
              <w:rPr>
                <w:rStyle w:val="Hyperlink"/>
              </w:rPr>
            </w:pPr>
            <w:hyperlink r:id="rId20" w:history="1">
              <w:r w:rsidRPr="00C1527E">
                <w:rPr>
                  <w:rStyle w:val="Hyperlink"/>
                </w:rPr>
                <w:t>slesser@beneschlaw.com</w:t>
              </w:r>
            </w:hyperlink>
          </w:p>
          <w:p w:rsidR="00040CC8" w:rsidRPr="00C1527E" w:rsidP="001C152E" w14:paraId="56FAC00F" w14:textId="77777777">
            <w:pPr>
              <w:rPr>
                <w:rStyle w:val="Hyperlink"/>
              </w:rPr>
            </w:pPr>
            <w:hyperlink r:id="rId21" w:history="1">
              <w:r w:rsidRPr="00C1527E">
                <w:rPr>
                  <w:rStyle w:val="Hyperlink"/>
                </w:rPr>
                <w:t>mkeaney@beneschlaw.com</w:t>
              </w:r>
            </w:hyperlink>
          </w:p>
          <w:p w:rsidR="00040CC8" w:rsidRPr="00C1527E" w:rsidP="001C152E" w14:paraId="6CA6E832" w14:textId="77777777">
            <w:pPr>
              <w:rPr>
                <w:rStyle w:val="Hyperlink"/>
              </w:rPr>
            </w:pPr>
            <w:r w:rsidRPr="00C1527E">
              <w:rPr>
                <w:rStyle w:val="Hyperlink"/>
              </w:rPr>
              <w:t>khehmeyer@beneschlaw.com</w:t>
            </w:r>
          </w:p>
          <w:p w:rsidR="00040CC8" w:rsidRPr="00C1527E" w:rsidP="001C152E" w14:paraId="5A26C3D1" w14:textId="77777777">
            <w:pPr>
              <w:rPr>
                <w:rStyle w:val="Hyperlink"/>
              </w:rPr>
            </w:pPr>
            <w:hyperlink r:id="rId22" w:history="1">
              <w:r w:rsidRPr="00C1527E">
                <w:rPr>
                  <w:rStyle w:val="Hyperlink"/>
                </w:rPr>
                <w:t>rendris@firstenergycorp.com</w:t>
              </w:r>
            </w:hyperlink>
          </w:p>
          <w:p w:rsidR="00040CC8" w:rsidRPr="00C1527E" w:rsidP="001C152E" w14:paraId="1C331A4B" w14:textId="77777777">
            <w:pPr>
              <w:autoSpaceDE w:val="0"/>
              <w:autoSpaceDN w:val="0"/>
              <w:adjustRightInd w:val="0"/>
              <w:rPr>
                <w:color w:val="0000FF"/>
              </w:rPr>
            </w:pPr>
            <w:hyperlink r:id="rId23" w:history="1">
              <w:r w:rsidRPr="00C1527E">
                <w:rPr>
                  <w:rStyle w:val="Hyperlink"/>
                </w:rPr>
                <w:t>mkurtz@BKLlawfirm.com</w:t>
              </w:r>
            </w:hyperlink>
          </w:p>
          <w:p w:rsidR="00040CC8" w:rsidRPr="00C1527E" w:rsidP="001C152E" w14:paraId="6F848244" w14:textId="77777777">
            <w:pPr>
              <w:autoSpaceDE w:val="0"/>
              <w:autoSpaceDN w:val="0"/>
              <w:adjustRightInd w:val="0"/>
              <w:rPr>
                <w:color w:val="0000FF"/>
              </w:rPr>
            </w:pPr>
            <w:hyperlink r:id="rId24" w:history="1">
              <w:r w:rsidRPr="00C1527E">
                <w:rPr>
                  <w:rStyle w:val="Hyperlink"/>
                </w:rPr>
                <w:t>kboehm@BKLlawfirm.com</w:t>
              </w:r>
            </w:hyperlink>
          </w:p>
          <w:p w:rsidR="00040CC8" w:rsidRPr="00C1527E" w:rsidP="001C152E" w14:paraId="49864E6F" w14:textId="77777777">
            <w:pPr>
              <w:rPr>
                <w:color w:val="0000FF"/>
              </w:rPr>
            </w:pPr>
            <w:hyperlink r:id="rId25" w:history="1">
              <w:r w:rsidRPr="00C1527E">
                <w:rPr>
                  <w:rStyle w:val="Hyperlink"/>
                </w:rPr>
                <w:t>jkylercohn@BKLlawfirm.com</w:t>
              </w:r>
            </w:hyperlink>
          </w:p>
          <w:p w:rsidR="00040CC8" w:rsidRPr="00C1527E" w:rsidP="001C152E" w14:paraId="407BC92C" w14:textId="77777777">
            <w:pPr>
              <w:rPr>
                <w:color w:val="0000FF"/>
              </w:rPr>
            </w:pPr>
            <w:hyperlink r:id="rId26" w:history="1">
              <w:r w:rsidRPr="00C1527E">
                <w:rPr>
                  <w:rStyle w:val="Hyperlink"/>
                </w:rPr>
                <w:t>stnourse@aep.com</w:t>
              </w:r>
            </w:hyperlink>
          </w:p>
          <w:p w:rsidR="00040CC8" w:rsidRPr="00C1527E" w:rsidP="001C152E" w14:paraId="67E17672" w14:textId="77777777">
            <w:pPr>
              <w:rPr>
                <w:color w:val="0563C2"/>
              </w:rPr>
            </w:pPr>
          </w:p>
          <w:p w:rsidR="00040CC8" w:rsidRPr="00C1527E" w:rsidP="001C152E" w14:paraId="4F89EEF8" w14:textId="77777777">
            <w:pPr>
              <w:pStyle w:val="CommentText"/>
              <w:rPr>
                <w:bCs/>
                <w:sz w:val="24"/>
                <w:szCs w:val="24"/>
              </w:rPr>
            </w:pPr>
          </w:p>
          <w:p w:rsidR="00040CC8" w:rsidRPr="00C1527E" w:rsidP="001C152E" w14:paraId="79A18E16" w14:textId="77777777">
            <w:pPr>
              <w:pStyle w:val="CommentText"/>
              <w:rPr>
                <w:bCs/>
                <w:sz w:val="24"/>
                <w:szCs w:val="24"/>
              </w:rPr>
            </w:pPr>
          </w:p>
          <w:p w:rsidR="00040CC8" w:rsidRPr="00C1527E" w:rsidP="001C152E" w14:paraId="45D4D4B5" w14:textId="77777777">
            <w:pPr>
              <w:pStyle w:val="CommentText"/>
              <w:rPr>
                <w:bCs/>
                <w:color w:val="0000FF"/>
                <w:sz w:val="24"/>
                <w:szCs w:val="24"/>
                <w:u w:val="single"/>
              </w:rPr>
            </w:pPr>
          </w:p>
        </w:tc>
      </w:tr>
    </w:tbl>
    <w:p w:rsidR="004C3F84" w:rsidRPr="00C1527E" w:rsidP="004C3F84" w14:paraId="40B59006" w14:textId="77777777">
      <w:pPr>
        <w:pStyle w:val="CommentText"/>
        <w:jc w:val="center"/>
        <w:rPr>
          <w:b/>
          <w:sz w:val="24"/>
          <w:szCs w:val="24"/>
          <w:u w:val="single"/>
        </w:rPr>
      </w:pPr>
    </w:p>
    <w:p w:rsidR="004C3F84" w:rsidRPr="00C1527E" w:rsidP="004C3F84" w14:paraId="1062FF8A" w14:textId="77777777">
      <w:pPr>
        <w:pStyle w:val="CommentText"/>
        <w:jc w:val="center"/>
        <w:rPr>
          <w:b/>
          <w:sz w:val="24"/>
          <w:szCs w:val="24"/>
          <w:u w:val="single"/>
        </w:rPr>
      </w:pPr>
    </w:p>
    <w:p w:rsidR="004C3F84" w:rsidRPr="00C1527E" w:rsidP="004C3F84" w14:paraId="40F1FDF1" w14:textId="77777777"/>
    <w:p w:rsidR="004C3F84" w:rsidRPr="00C1527E" w:rsidP="004C3F84" w14:paraId="1EA7D1DB" w14:textId="77777777"/>
    <w:p w:rsidR="004C3F84" w:rsidRPr="00C1527E" w:rsidP="004C3F84" w14:paraId="272A8717" w14:textId="77777777"/>
    <w:p w:rsidR="004C3F84" w:rsidRPr="00C1527E" w:rsidP="004C3F84" w14:paraId="55B8A5E0" w14:textId="77777777">
      <w:pPr>
        <w:spacing w:line="480" w:lineRule="auto"/>
        <w:ind w:firstLine="720"/>
      </w:pPr>
    </w:p>
    <w:sectPr w:rsidSect="00413E45">
      <w:footerReference w:type="default" r:id="rId27"/>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3135841"/>
      <w:docPartObj>
        <w:docPartGallery w:val="Page Numbers (Bottom of Page)"/>
        <w:docPartUnique/>
      </w:docPartObj>
    </w:sdtPr>
    <w:sdtEndPr>
      <w:rPr>
        <w:noProof/>
        <w:sz w:val="24"/>
        <w:szCs w:val="24"/>
      </w:rPr>
    </w:sdtEndPr>
    <w:sdtContent>
      <w:p w:rsidR="00521488" w:rsidRPr="00521488" w14:paraId="1813CF5F" w14:textId="56FBEBA8">
        <w:pPr>
          <w:pStyle w:val="Footer"/>
          <w:jc w:val="center"/>
          <w:rPr>
            <w:sz w:val="24"/>
            <w:szCs w:val="24"/>
          </w:rPr>
        </w:pPr>
        <w:r w:rsidRPr="00521488">
          <w:rPr>
            <w:sz w:val="24"/>
            <w:szCs w:val="24"/>
          </w:rPr>
          <w:fldChar w:fldCharType="begin"/>
        </w:r>
        <w:r w:rsidRPr="00521488">
          <w:rPr>
            <w:sz w:val="24"/>
            <w:szCs w:val="24"/>
          </w:rPr>
          <w:instrText xml:space="preserve"> PAGE   \* MERGEFORMAT </w:instrText>
        </w:r>
        <w:r w:rsidRPr="00521488">
          <w:rPr>
            <w:sz w:val="24"/>
            <w:szCs w:val="24"/>
          </w:rPr>
          <w:fldChar w:fldCharType="separate"/>
        </w:r>
        <w:r w:rsidRPr="00521488">
          <w:rPr>
            <w:noProof/>
            <w:sz w:val="24"/>
            <w:szCs w:val="24"/>
          </w:rPr>
          <w:t>2</w:t>
        </w:r>
        <w:r w:rsidRPr="00521488">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E1F4D" w:rsidP="00D52F81" w14:paraId="024B2BB7" w14:textId="77777777">
      <w:r>
        <w:separator/>
      </w:r>
    </w:p>
  </w:footnote>
  <w:footnote w:type="continuationSeparator" w:id="1">
    <w:p w:rsidR="008E1F4D" w:rsidP="00D52F81" w14:paraId="4E47ECFF" w14:textId="77777777">
      <w:r>
        <w:continuationSeparator/>
      </w:r>
    </w:p>
  </w:footnote>
  <w:footnote w:id="2">
    <w:p w:rsidR="00501BF4" w:rsidP="002D647F" w14:paraId="3711BC4D" w14:textId="77777777">
      <w:pPr>
        <w:pStyle w:val="FootnoteText"/>
        <w:spacing w:after="120"/>
      </w:pPr>
      <w:r>
        <w:rPr>
          <w:rStyle w:val="FootnoteReference"/>
        </w:rPr>
        <w:footnoteRef/>
      </w:r>
      <w:r>
        <w:t xml:space="preserve"> PIPP is the Percentage of Income Payment Plan program that ODOD (and the PUCO) administer for low-income electric consumers under state law. The natural gas PIPP program that the PUCO administers for low-income Ohioans is not the subject of this filing.</w:t>
      </w:r>
    </w:p>
  </w:footnote>
  <w:footnote w:id="3">
    <w:p w:rsidR="00CF6221" w:rsidP="00CF6221" w14:paraId="6B4D94E3" w14:textId="77777777">
      <w:pPr>
        <w:pStyle w:val="FootnoteText"/>
        <w:spacing w:after="120"/>
      </w:pPr>
      <w:r>
        <w:rPr>
          <w:rStyle w:val="FootnoteReference"/>
        </w:rPr>
        <w:footnoteRef/>
      </w:r>
      <w:r>
        <w:t xml:space="preserve"> Application at 1-2.</w:t>
      </w:r>
    </w:p>
  </w:footnote>
  <w:footnote w:id="4">
    <w:p w:rsidR="00CF6221" w:rsidRPr="00A52654" w:rsidP="00CF6221" w14:paraId="1A55AA8C" w14:textId="77777777">
      <w:pPr>
        <w:pStyle w:val="FootnoteText"/>
        <w:spacing w:after="120"/>
        <w:rPr>
          <w:i/>
          <w:iCs/>
        </w:rPr>
      </w:pPr>
      <w:r>
        <w:rPr>
          <w:rStyle w:val="FootnoteReference"/>
        </w:rPr>
        <w:footnoteRef/>
      </w:r>
      <w:r>
        <w:t xml:space="preserve"> </w:t>
      </w:r>
      <w:r>
        <w:rPr>
          <w:i/>
          <w:iCs/>
        </w:rPr>
        <w:t>Id.</w:t>
      </w:r>
    </w:p>
  </w:footnote>
  <w:footnote w:id="5">
    <w:p w:rsidR="00501BF4" w:rsidP="002D647F" w14:paraId="184E78FF" w14:textId="27DF564F">
      <w:pPr>
        <w:pStyle w:val="FootnoteText"/>
        <w:spacing w:after="120"/>
      </w:pPr>
      <w:r>
        <w:rPr>
          <w:rStyle w:val="FootnoteReference"/>
        </w:rPr>
        <w:footnoteRef/>
      </w:r>
      <w:r>
        <w:t xml:space="preserve"> PIPP electricity charges for other electric utilities’ consumers also exceed the applicable utility standard offer prices. Those </w:t>
      </w:r>
      <w:r w:rsidR="00A95BE9">
        <w:t xml:space="preserve">excess </w:t>
      </w:r>
      <w:r>
        <w:t>charges</w:t>
      </w:r>
      <w:r w:rsidR="00CB3495">
        <w:t xml:space="preserve"> (based on estimates and projections)</w:t>
      </w:r>
      <w:r>
        <w:t xml:space="preserve"> for the year ending May 31, 2023, are as follows: </w:t>
      </w:r>
      <w:r w:rsidRPr="00CB17E9" w:rsidR="000559BF">
        <w:t>AEP ($1</w:t>
      </w:r>
      <w:r w:rsidR="00A95BE9">
        <w:t>,</w:t>
      </w:r>
      <w:r w:rsidR="00164B2B">
        <w:t>154</w:t>
      </w:r>
      <w:r w:rsidRPr="00CB17E9" w:rsidR="000559BF">
        <w:t xml:space="preserve">); </w:t>
      </w:r>
      <w:r w:rsidR="00CF479C">
        <w:t>Duke</w:t>
      </w:r>
      <w:r w:rsidRPr="00CB17E9" w:rsidR="000559BF">
        <w:t xml:space="preserve"> ($</w:t>
      </w:r>
      <w:r w:rsidR="00CF479C">
        <w:t>1289</w:t>
      </w:r>
      <w:r w:rsidRPr="00CB17E9" w:rsidR="000559BF">
        <w:t xml:space="preserve">); </w:t>
      </w:r>
      <w:r w:rsidRPr="00CB17E9" w:rsidR="00B77455">
        <w:t>CEI ($324); Toledo Edison ($32</w:t>
      </w:r>
      <w:r w:rsidRPr="00CB17E9" w:rsidR="007E66D7">
        <w:t>1</w:t>
      </w:r>
      <w:r w:rsidRPr="00CB17E9" w:rsidR="00B77455">
        <w:t xml:space="preserve">); Ohio </w:t>
      </w:r>
      <w:r w:rsidRPr="00F62C50" w:rsidR="00B77455">
        <w:t>Edison ($329).</w:t>
      </w:r>
      <w:r w:rsidR="002D647F">
        <w:t xml:space="preserve"> </w:t>
      </w:r>
      <w:r w:rsidRPr="00F62C50" w:rsidR="00B77455">
        <w:t>These estimates are based on</w:t>
      </w:r>
      <w:r w:rsidR="00A95BE9">
        <w:t xml:space="preserve"> usage of</w:t>
      </w:r>
      <w:r w:rsidRPr="00F62C50" w:rsidR="00B77455">
        <w:t xml:space="preserve"> 1,100 kWh</w:t>
      </w:r>
      <w:r w:rsidR="00A95BE9">
        <w:t xml:space="preserve"> per month</w:t>
      </w:r>
      <w:r w:rsidRPr="00F62C50" w:rsidR="00B77455">
        <w:t xml:space="preserve"> and incorporate summer/winter rate</w:t>
      </w:r>
      <w:r w:rsidRPr="00F62C50" w:rsidR="007E66D7">
        <w:t xml:space="preserve"> differential</w:t>
      </w:r>
      <w:r w:rsidRPr="00F62C50" w:rsidR="00B77455">
        <w:t>s.</w:t>
      </w:r>
    </w:p>
  </w:footnote>
  <w:footnote w:id="6">
    <w:p w:rsidR="00501BF4" w:rsidRPr="00521488" w:rsidP="002D647F" w14:paraId="15849991" w14:textId="77777777">
      <w:pPr>
        <w:pStyle w:val="FootnoteText"/>
        <w:spacing w:after="120"/>
        <w:rPr>
          <w:i/>
          <w:iCs/>
        </w:rPr>
      </w:pPr>
      <w:r w:rsidRPr="00521488">
        <w:rPr>
          <w:rStyle w:val="FootnoteReference"/>
        </w:rPr>
        <w:footnoteRef/>
      </w:r>
      <w:r w:rsidRPr="00521488">
        <w:t xml:space="preserve"> </w:t>
      </w:r>
      <w:r w:rsidRPr="00521488">
        <w:rPr>
          <w:i/>
          <w:iCs/>
        </w:rPr>
        <w:t xml:space="preserve">See </w:t>
      </w:r>
      <w:r w:rsidRPr="00521488">
        <w:t xml:space="preserve">O.A.C. </w:t>
      </w:r>
      <w:r w:rsidRPr="00521488">
        <w:rPr>
          <w:rStyle w:val="cf01"/>
          <w:rFonts w:ascii="Times New Roman" w:hAnsi="Times New Roman" w:cs="Times New Roman"/>
          <w:sz w:val="20"/>
          <w:szCs w:val="20"/>
        </w:rPr>
        <w:t>122:5-3-02(B)</w:t>
      </w:r>
      <w:r>
        <w:rPr>
          <w:rStyle w:val="cf01"/>
          <w:rFonts w:ascii="Times New Roman" w:hAnsi="Times New Roman" w:cs="Times New Roman"/>
          <w:sz w:val="20"/>
          <w:szCs w:val="20"/>
        </w:rPr>
        <w:t>.</w:t>
      </w:r>
    </w:p>
  </w:footnote>
  <w:footnote w:id="7">
    <w:p w:rsidR="00501BF4" w:rsidRPr="00521488" w:rsidP="002D647F" w14:paraId="1B041BBB" w14:textId="77777777">
      <w:pPr>
        <w:pStyle w:val="FootnoteText"/>
        <w:spacing w:after="120"/>
      </w:pPr>
      <w:r w:rsidRPr="00521488">
        <w:rPr>
          <w:rStyle w:val="FootnoteReference"/>
        </w:rPr>
        <w:footnoteRef/>
      </w:r>
      <w:r w:rsidRPr="00521488">
        <w:t xml:space="preserve"> O.A.C 122:5-3-04</w:t>
      </w:r>
      <w:r>
        <w:t>.</w:t>
      </w:r>
    </w:p>
  </w:footnote>
  <w:footnote w:id="8">
    <w:p w:rsidR="00844481" w:rsidP="002D647F" w14:paraId="7A4F7B52" w14:textId="769E2EE4">
      <w:pPr>
        <w:pStyle w:val="FootnoteText"/>
        <w:spacing w:after="120"/>
      </w:pPr>
      <w:r>
        <w:rPr>
          <w:rStyle w:val="FootnoteReference"/>
        </w:rPr>
        <w:footnoteRef/>
      </w:r>
      <w:r>
        <w:t xml:space="preserve"> </w:t>
      </w:r>
      <w:r w:rsidRPr="00521488">
        <w:rPr>
          <w:i/>
          <w:iCs/>
        </w:rPr>
        <w:t>In the Matter of the Application of the Ohio Department of Development for an Order Approving Adjustments to the Universal Service Fund Riders of Jurisdictional Ohio Electric Distribution Utilities</w:t>
      </w:r>
      <w:r w:rsidR="001B4AD6">
        <w:t>,</w:t>
      </w:r>
      <w:r w:rsidRPr="00521488">
        <w:t xml:space="preserve"> Case No. 22-556-EL-USF, Notice of Intent to File an Application for Adjustments to Universal Service Fund Riders (May 27, 2022) at 10.</w:t>
      </w:r>
    </w:p>
  </w:footnote>
  <w:footnote w:id="9">
    <w:p w:rsidR="00C059CE" w:rsidRPr="00521488" w:rsidP="002D647F" w14:paraId="3CCE3873" w14:textId="17E7DAD3">
      <w:pPr>
        <w:pStyle w:val="FootnoteText"/>
        <w:spacing w:after="120"/>
      </w:pPr>
      <w:r w:rsidRPr="00521488">
        <w:rPr>
          <w:rStyle w:val="FootnoteReference"/>
        </w:rPr>
        <w:footnoteRef/>
      </w:r>
      <w:r w:rsidRPr="00521488">
        <w:t xml:space="preserve"> </w:t>
      </w:r>
      <w:r w:rsidRPr="00521488">
        <w:rPr>
          <w:i/>
          <w:iCs/>
        </w:rPr>
        <w:t>See</w:t>
      </w:r>
      <w:r w:rsidRPr="00521488">
        <w:t xml:space="preserve"> </w:t>
      </w:r>
      <w:r>
        <w:t xml:space="preserve">R.C. 4928.02(A); </w:t>
      </w:r>
      <w:r w:rsidRPr="00521488">
        <w:t>R.C. 4928.</w:t>
      </w:r>
      <w:r>
        <w:t>542</w:t>
      </w:r>
      <w:r w:rsidR="00F57068">
        <w:t>.</w:t>
      </w:r>
    </w:p>
  </w:footnote>
  <w:footnote w:id="10">
    <w:p w:rsidR="00CF479C" w:rsidRPr="00521488" w:rsidP="00CF479C" w14:paraId="35CAD69B" w14:textId="0E7ADCCE">
      <w:pPr>
        <w:pStyle w:val="FootnoteText"/>
        <w:spacing w:after="120"/>
      </w:pPr>
      <w:r w:rsidRPr="00521488">
        <w:rPr>
          <w:rStyle w:val="FootnoteReference"/>
        </w:rPr>
        <w:footnoteRef/>
      </w:r>
      <w:r w:rsidRPr="00521488">
        <w:t xml:space="preserve"> The Dayton Power and Light Company d/b/a AES Ohio Twenty-Third Revised Tariff Sheet No. G10 Effective June 1, 2022</w:t>
      </w:r>
      <w:r>
        <w:t>.</w:t>
      </w:r>
    </w:p>
  </w:footnote>
  <w:footnote w:id="11">
    <w:p w:rsidR="00C059CE" w:rsidP="002D647F" w14:paraId="2466530B" w14:textId="490DF22E">
      <w:pPr>
        <w:pStyle w:val="FootnoteText"/>
        <w:spacing w:after="120"/>
      </w:pPr>
      <w:r>
        <w:rPr>
          <w:rStyle w:val="FootnoteReference"/>
        </w:rPr>
        <w:footnoteRef/>
      </w:r>
      <w:r>
        <w:t xml:space="preserve"> </w:t>
      </w:r>
      <w:r>
        <w:rPr>
          <w:iCs/>
        </w:rPr>
        <w:t>Also, a</w:t>
      </w:r>
      <w:r w:rsidRPr="00ED5F51">
        <w:rPr>
          <w:iCs/>
        </w:rPr>
        <w:t xml:space="preserve"> winning bid must be designed to provide a reliable electricity supplier to PIPP customers</w:t>
      </w:r>
      <w:r>
        <w:rPr>
          <w:iCs/>
        </w:rPr>
        <w:t xml:space="preserve">, per R.C. </w:t>
      </w:r>
      <w:r w:rsidR="00F57068">
        <w:rPr>
          <w:iCs/>
        </w:rPr>
        <w:t>4928.542</w:t>
      </w:r>
      <w:r w:rsidRPr="00ED5F51">
        <w:rPr>
          <w:iCs/>
        </w:rPr>
        <w:t>.</w:t>
      </w:r>
    </w:p>
  </w:footnote>
  <w:footnote w:id="12">
    <w:p w:rsidR="00C059CE" w:rsidRPr="00521488" w:rsidP="002D647F" w14:paraId="048C8C77" w14:textId="6A2539D2">
      <w:pPr>
        <w:pStyle w:val="FootnoteText"/>
        <w:spacing w:after="120"/>
      </w:pPr>
      <w:r w:rsidRPr="00521488">
        <w:rPr>
          <w:rStyle w:val="FootnoteReference"/>
        </w:rPr>
        <w:footnoteRef/>
      </w:r>
      <w:r w:rsidRPr="00521488">
        <w:t xml:space="preserve"> </w:t>
      </w:r>
      <w:r w:rsidRPr="00521488">
        <w:rPr>
          <w:i/>
          <w:iCs/>
        </w:rPr>
        <w:t xml:space="preserve">In the </w:t>
      </w:r>
      <w:r w:rsidR="003C2638">
        <w:rPr>
          <w:i/>
          <w:iCs/>
        </w:rPr>
        <w:t>M</w:t>
      </w:r>
      <w:r w:rsidRPr="00521488">
        <w:rPr>
          <w:i/>
          <w:iCs/>
        </w:rPr>
        <w:t>atter of the Procurement of Percentage of Income Payment Plan Customers of Dayton Power and Light Company</w:t>
      </w:r>
      <w:r w:rsidRPr="00521488">
        <w:t>, Case No. 17-1163-EL-UNC</w:t>
      </w:r>
      <w:r w:rsidR="00316A0E">
        <w:t>,</w:t>
      </w:r>
      <w:r w:rsidRPr="00521488">
        <w:t xml:space="preserve"> Notification of CBP Auction Results filed on May 25, 2022 and May 26, 2021.</w:t>
      </w:r>
      <w:r w:rsidR="002D647F">
        <w:t xml:space="preserve"> </w:t>
      </w:r>
    </w:p>
  </w:footnote>
  <w:footnote w:id="13">
    <w:p w:rsidR="00C059CE" w:rsidRPr="00521488" w:rsidP="002D647F" w14:paraId="1EF55EF0" w14:textId="77777777">
      <w:pPr>
        <w:pStyle w:val="FootnoteText"/>
        <w:spacing w:after="120"/>
      </w:pPr>
      <w:r w:rsidRPr="00521488">
        <w:rPr>
          <w:rStyle w:val="FootnoteReference"/>
        </w:rPr>
        <w:footnoteRef/>
      </w:r>
      <w:r w:rsidRPr="00521488">
        <w:t xml:space="preserve"> </w:t>
      </w:r>
      <w:r w:rsidRPr="00521488">
        <w:rPr>
          <w:i/>
          <w:iCs/>
        </w:rPr>
        <w:t>Id</w:t>
      </w:r>
      <w:r w:rsidRPr="00521488">
        <w:t>., Finding and Order (May 5, 2021) at 3; Finding and Order (May 18, 2022) at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B46794"/>
    <w:multiLevelType w:val="hybridMultilevel"/>
    <w:tmpl w:val="9D4E5274"/>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B932DD2"/>
    <w:multiLevelType w:val="hybridMultilevel"/>
    <w:tmpl w:val="4B0C6D8A"/>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3A"/>
    <w:rsid w:val="00007569"/>
    <w:rsid w:val="00014572"/>
    <w:rsid w:val="00033F6A"/>
    <w:rsid w:val="00040CC8"/>
    <w:rsid w:val="00040FD6"/>
    <w:rsid w:val="0005163E"/>
    <w:rsid w:val="000559BF"/>
    <w:rsid w:val="00062D43"/>
    <w:rsid w:val="000824B4"/>
    <w:rsid w:val="0008656C"/>
    <w:rsid w:val="0009211F"/>
    <w:rsid w:val="00093939"/>
    <w:rsid w:val="000A2FFD"/>
    <w:rsid w:val="000A39C8"/>
    <w:rsid w:val="000C5470"/>
    <w:rsid w:val="000F0B49"/>
    <w:rsid w:val="000F5F6D"/>
    <w:rsid w:val="00101367"/>
    <w:rsid w:val="001352D6"/>
    <w:rsid w:val="00164B2B"/>
    <w:rsid w:val="001800DC"/>
    <w:rsid w:val="001815C5"/>
    <w:rsid w:val="00193FAD"/>
    <w:rsid w:val="001A1415"/>
    <w:rsid w:val="001A3A24"/>
    <w:rsid w:val="001A41B0"/>
    <w:rsid w:val="001B4AD6"/>
    <w:rsid w:val="001B5AEE"/>
    <w:rsid w:val="001C152E"/>
    <w:rsid w:val="001C3AAA"/>
    <w:rsid w:val="001D2199"/>
    <w:rsid w:val="001F6924"/>
    <w:rsid w:val="002270EE"/>
    <w:rsid w:val="002359B3"/>
    <w:rsid w:val="00244AD7"/>
    <w:rsid w:val="00246194"/>
    <w:rsid w:val="00255AC4"/>
    <w:rsid w:val="00261BB9"/>
    <w:rsid w:val="002662B0"/>
    <w:rsid w:val="00271806"/>
    <w:rsid w:val="00275E1A"/>
    <w:rsid w:val="002906F1"/>
    <w:rsid w:val="002914BB"/>
    <w:rsid w:val="00291773"/>
    <w:rsid w:val="002B2578"/>
    <w:rsid w:val="002C0332"/>
    <w:rsid w:val="002D3E56"/>
    <w:rsid w:val="002D57BF"/>
    <w:rsid w:val="002D647F"/>
    <w:rsid w:val="002D7EA5"/>
    <w:rsid w:val="002E123C"/>
    <w:rsid w:val="002E6AE6"/>
    <w:rsid w:val="002F16B9"/>
    <w:rsid w:val="002F1F9C"/>
    <w:rsid w:val="002F3224"/>
    <w:rsid w:val="00312448"/>
    <w:rsid w:val="00316A0E"/>
    <w:rsid w:val="0031744D"/>
    <w:rsid w:val="00360708"/>
    <w:rsid w:val="0036647D"/>
    <w:rsid w:val="00383381"/>
    <w:rsid w:val="00392F6E"/>
    <w:rsid w:val="003A2F7E"/>
    <w:rsid w:val="003B025D"/>
    <w:rsid w:val="003B0A48"/>
    <w:rsid w:val="003B6509"/>
    <w:rsid w:val="003C2638"/>
    <w:rsid w:val="003C420B"/>
    <w:rsid w:val="004058C0"/>
    <w:rsid w:val="00413E45"/>
    <w:rsid w:val="00414445"/>
    <w:rsid w:val="00420BB6"/>
    <w:rsid w:val="0042247E"/>
    <w:rsid w:val="004236D3"/>
    <w:rsid w:val="004249D3"/>
    <w:rsid w:val="004579EB"/>
    <w:rsid w:val="0047303B"/>
    <w:rsid w:val="00475CF0"/>
    <w:rsid w:val="00481631"/>
    <w:rsid w:val="00487D6E"/>
    <w:rsid w:val="0049187E"/>
    <w:rsid w:val="004931D6"/>
    <w:rsid w:val="00496231"/>
    <w:rsid w:val="004B037D"/>
    <w:rsid w:val="004C3F84"/>
    <w:rsid w:val="004D2B86"/>
    <w:rsid w:val="004D3A40"/>
    <w:rsid w:val="00501BF4"/>
    <w:rsid w:val="00513641"/>
    <w:rsid w:val="00521488"/>
    <w:rsid w:val="0053223D"/>
    <w:rsid w:val="00546AD2"/>
    <w:rsid w:val="00547C2A"/>
    <w:rsid w:val="00556CFB"/>
    <w:rsid w:val="005579C6"/>
    <w:rsid w:val="00567D8B"/>
    <w:rsid w:val="005725D0"/>
    <w:rsid w:val="00574DBE"/>
    <w:rsid w:val="00575763"/>
    <w:rsid w:val="0058587F"/>
    <w:rsid w:val="00590028"/>
    <w:rsid w:val="005F7B4A"/>
    <w:rsid w:val="006100BB"/>
    <w:rsid w:val="0061487C"/>
    <w:rsid w:val="006148D5"/>
    <w:rsid w:val="006262CC"/>
    <w:rsid w:val="00627CE2"/>
    <w:rsid w:val="00646DFC"/>
    <w:rsid w:val="006532A2"/>
    <w:rsid w:val="006668A8"/>
    <w:rsid w:val="006725F6"/>
    <w:rsid w:val="00673F9B"/>
    <w:rsid w:val="006A6541"/>
    <w:rsid w:val="006B483D"/>
    <w:rsid w:val="006B59CA"/>
    <w:rsid w:val="006C2F4E"/>
    <w:rsid w:val="006C791F"/>
    <w:rsid w:val="006C7DAB"/>
    <w:rsid w:val="006E19A2"/>
    <w:rsid w:val="006E2D13"/>
    <w:rsid w:val="006E73E7"/>
    <w:rsid w:val="00704083"/>
    <w:rsid w:val="0071565E"/>
    <w:rsid w:val="0073273C"/>
    <w:rsid w:val="0074076B"/>
    <w:rsid w:val="00744DAF"/>
    <w:rsid w:val="007636E0"/>
    <w:rsid w:val="0076481A"/>
    <w:rsid w:val="00765F63"/>
    <w:rsid w:val="0077031E"/>
    <w:rsid w:val="0077685C"/>
    <w:rsid w:val="0077790E"/>
    <w:rsid w:val="00777ECF"/>
    <w:rsid w:val="007A63A1"/>
    <w:rsid w:val="007E66D7"/>
    <w:rsid w:val="008369BB"/>
    <w:rsid w:val="00844481"/>
    <w:rsid w:val="00855385"/>
    <w:rsid w:val="00864E4B"/>
    <w:rsid w:val="00871FE6"/>
    <w:rsid w:val="0087517E"/>
    <w:rsid w:val="00890215"/>
    <w:rsid w:val="00897F93"/>
    <w:rsid w:val="008A30B6"/>
    <w:rsid w:val="008B2CA5"/>
    <w:rsid w:val="008B5EC7"/>
    <w:rsid w:val="008C0663"/>
    <w:rsid w:val="008C50E5"/>
    <w:rsid w:val="008E1180"/>
    <w:rsid w:val="008E1331"/>
    <w:rsid w:val="008E1F4D"/>
    <w:rsid w:val="008F1335"/>
    <w:rsid w:val="008F6241"/>
    <w:rsid w:val="00901251"/>
    <w:rsid w:val="00912226"/>
    <w:rsid w:val="009125B6"/>
    <w:rsid w:val="00917C1A"/>
    <w:rsid w:val="0092321E"/>
    <w:rsid w:val="00930534"/>
    <w:rsid w:val="00931C2D"/>
    <w:rsid w:val="00937ECB"/>
    <w:rsid w:val="00942709"/>
    <w:rsid w:val="00944CBC"/>
    <w:rsid w:val="00952956"/>
    <w:rsid w:val="00976C9D"/>
    <w:rsid w:val="0099154C"/>
    <w:rsid w:val="00995DF0"/>
    <w:rsid w:val="009A0D97"/>
    <w:rsid w:val="009A4A7B"/>
    <w:rsid w:val="009B647D"/>
    <w:rsid w:val="009D4323"/>
    <w:rsid w:val="00A129C5"/>
    <w:rsid w:val="00A13684"/>
    <w:rsid w:val="00A17AA3"/>
    <w:rsid w:val="00A2359E"/>
    <w:rsid w:val="00A2438C"/>
    <w:rsid w:val="00A30953"/>
    <w:rsid w:val="00A52654"/>
    <w:rsid w:val="00A60E01"/>
    <w:rsid w:val="00A725E8"/>
    <w:rsid w:val="00A93C95"/>
    <w:rsid w:val="00A95BE9"/>
    <w:rsid w:val="00AA1E4A"/>
    <w:rsid w:val="00AE5CD1"/>
    <w:rsid w:val="00AF3DE4"/>
    <w:rsid w:val="00B01554"/>
    <w:rsid w:val="00B13DFE"/>
    <w:rsid w:val="00B16082"/>
    <w:rsid w:val="00B160B6"/>
    <w:rsid w:val="00B1751F"/>
    <w:rsid w:val="00B71DBD"/>
    <w:rsid w:val="00B76E6B"/>
    <w:rsid w:val="00B77455"/>
    <w:rsid w:val="00B83745"/>
    <w:rsid w:val="00B870D6"/>
    <w:rsid w:val="00B90E1E"/>
    <w:rsid w:val="00B9393A"/>
    <w:rsid w:val="00BB5F61"/>
    <w:rsid w:val="00BC081A"/>
    <w:rsid w:val="00BC3B1D"/>
    <w:rsid w:val="00BC6EB7"/>
    <w:rsid w:val="00BE1088"/>
    <w:rsid w:val="00BE534A"/>
    <w:rsid w:val="00BF460B"/>
    <w:rsid w:val="00C059CE"/>
    <w:rsid w:val="00C1527E"/>
    <w:rsid w:val="00C551FD"/>
    <w:rsid w:val="00C768E5"/>
    <w:rsid w:val="00C77845"/>
    <w:rsid w:val="00C80066"/>
    <w:rsid w:val="00C822E1"/>
    <w:rsid w:val="00C866D2"/>
    <w:rsid w:val="00CA2856"/>
    <w:rsid w:val="00CB17E9"/>
    <w:rsid w:val="00CB3495"/>
    <w:rsid w:val="00CC19F6"/>
    <w:rsid w:val="00CC41BA"/>
    <w:rsid w:val="00CC61B6"/>
    <w:rsid w:val="00CD7E2A"/>
    <w:rsid w:val="00CE6D96"/>
    <w:rsid w:val="00CF2A60"/>
    <w:rsid w:val="00CF479C"/>
    <w:rsid w:val="00CF6221"/>
    <w:rsid w:val="00D03C5E"/>
    <w:rsid w:val="00D14703"/>
    <w:rsid w:val="00D258B4"/>
    <w:rsid w:val="00D27783"/>
    <w:rsid w:val="00D336B3"/>
    <w:rsid w:val="00D4293C"/>
    <w:rsid w:val="00D44FDD"/>
    <w:rsid w:val="00D52F81"/>
    <w:rsid w:val="00D712B7"/>
    <w:rsid w:val="00D936A4"/>
    <w:rsid w:val="00D939E3"/>
    <w:rsid w:val="00DA3143"/>
    <w:rsid w:val="00DA4127"/>
    <w:rsid w:val="00DB1BCC"/>
    <w:rsid w:val="00DC5485"/>
    <w:rsid w:val="00DF2EE7"/>
    <w:rsid w:val="00E16BE1"/>
    <w:rsid w:val="00E21FBC"/>
    <w:rsid w:val="00E351D8"/>
    <w:rsid w:val="00E379B4"/>
    <w:rsid w:val="00E45124"/>
    <w:rsid w:val="00E60E5D"/>
    <w:rsid w:val="00E80648"/>
    <w:rsid w:val="00E81EDD"/>
    <w:rsid w:val="00E82789"/>
    <w:rsid w:val="00ED5F51"/>
    <w:rsid w:val="00EE06E0"/>
    <w:rsid w:val="00EF3625"/>
    <w:rsid w:val="00EF47F5"/>
    <w:rsid w:val="00F07580"/>
    <w:rsid w:val="00F20875"/>
    <w:rsid w:val="00F3460E"/>
    <w:rsid w:val="00F416A8"/>
    <w:rsid w:val="00F53A7C"/>
    <w:rsid w:val="00F563E8"/>
    <w:rsid w:val="00F57068"/>
    <w:rsid w:val="00F6216A"/>
    <w:rsid w:val="00F62C50"/>
    <w:rsid w:val="00F643EF"/>
    <w:rsid w:val="00F72766"/>
    <w:rsid w:val="00F75A83"/>
    <w:rsid w:val="00F76F49"/>
    <w:rsid w:val="00F92E1C"/>
    <w:rsid w:val="00F95F64"/>
    <w:rsid w:val="00FA134B"/>
    <w:rsid w:val="00FA6F59"/>
    <w:rsid w:val="00FC500A"/>
    <w:rsid w:val="00FE51DC"/>
    <w:rsid w:val="00FE6849"/>
    <w:rsid w:val="00FF1324"/>
    <w:rsid w:val="00FF3C32"/>
    <w:rsid w:val="00FF4A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CC"/>
    <w:pPr>
      <w:spacing w:after="0" w:line="240" w:lineRule="auto"/>
    </w:pPr>
    <w:rPr>
      <w:rFonts w:ascii="Times New Roman" w:eastAsia="Times New Roman" w:hAnsi="Times New Roman" w:cs="Times New Roman"/>
      <w:sz w:val="24"/>
      <w:szCs w:val="24"/>
    </w:rPr>
  </w:style>
  <w:style w:type="paragraph" w:styleId="Heading1">
    <w:name w:val="heading 1"/>
    <w:basedOn w:val="ListParagraph"/>
    <w:next w:val="Normal"/>
    <w:link w:val="Heading1Char"/>
    <w:uiPriority w:val="9"/>
    <w:qFormat/>
    <w:rsid w:val="005725D0"/>
    <w:pPr>
      <w:numPr>
        <w:numId w:val="1"/>
      </w:numPr>
      <w:spacing w:after="240"/>
      <w:ind w:left="720"/>
      <w:outlineLvl w:val="0"/>
    </w:pPr>
    <w:rPr>
      <w:b/>
      <w:bCs/>
    </w:rPr>
  </w:style>
  <w:style w:type="paragraph" w:styleId="Heading2">
    <w:name w:val="heading 2"/>
    <w:basedOn w:val="ListParagraph"/>
    <w:next w:val="Normal"/>
    <w:link w:val="Heading2Char"/>
    <w:uiPriority w:val="9"/>
    <w:unhideWhenUsed/>
    <w:qFormat/>
    <w:rsid w:val="00E60E5D"/>
    <w:pPr>
      <w:numPr>
        <w:numId w:val="2"/>
      </w:numPr>
      <w:spacing w:after="240"/>
      <w:ind w:left="1440"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aliases w:val=" Char,Char"/>
    <w:basedOn w:val="Normal"/>
    <w:link w:val="HTMLPreformattedChar"/>
    <w:rsid w:val="00B9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B9393A"/>
    <w:rPr>
      <w:rFonts w:ascii="Courier New" w:eastAsia="Times New Roman" w:hAnsi="Courier New" w:cs="Courier New"/>
      <w:sz w:val="20"/>
      <w:szCs w:val="20"/>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unhideWhenUsed/>
    <w:rsid w:val="00D52F81"/>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rsid w:val="00D52F81"/>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D52F81"/>
    <w:rPr>
      <w:vertAlign w:val="superscript"/>
    </w:rPr>
  </w:style>
  <w:style w:type="character" w:styleId="Hyperlink">
    <w:name w:val="Hyperlink"/>
    <w:uiPriority w:val="99"/>
    <w:rsid w:val="004B037D"/>
    <w:rPr>
      <w:color w:val="0000FF"/>
      <w:u w:val="single"/>
    </w:rPr>
  </w:style>
  <w:style w:type="table" w:styleId="TableGrid">
    <w:name w:val="Table Grid"/>
    <w:basedOn w:val="TableNormal"/>
    <w:uiPriority w:val="59"/>
    <w:rsid w:val="00D939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939E3"/>
    <w:rPr>
      <w:sz w:val="16"/>
      <w:szCs w:val="16"/>
    </w:rPr>
  </w:style>
  <w:style w:type="paragraph" w:styleId="CommentText">
    <w:name w:val="annotation text"/>
    <w:basedOn w:val="Normal"/>
    <w:link w:val="CommentTextChar"/>
    <w:rsid w:val="00D939E3"/>
    <w:rPr>
      <w:sz w:val="20"/>
      <w:szCs w:val="20"/>
    </w:rPr>
  </w:style>
  <w:style w:type="character" w:customStyle="1" w:styleId="CommentTextChar">
    <w:name w:val="Comment Text Char"/>
    <w:basedOn w:val="DefaultParagraphFont"/>
    <w:link w:val="CommentText"/>
    <w:rsid w:val="00D939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5AC4"/>
    <w:rPr>
      <w:b/>
      <w:bCs/>
    </w:rPr>
  </w:style>
  <w:style w:type="character" w:customStyle="1" w:styleId="CommentSubjectChar">
    <w:name w:val="Comment Subject Char"/>
    <w:basedOn w:val="CommentTextChar"/>
    <w:link w:val="CommentSubject"/>
    <w:semiHidden/>
    <w:rsid w:val="00255AC4"/>
    <w:rPr>
      <w:rFonts w:ascii="Times New Roman" w:eastAsia="Times New Roman" w:hAnsi="Times New Roman" w:cs="Times New Roman"/>
      <w:b/>
      <w:bCs/>
      <w:sz w:val="20"/>
      <w:szCs w:val="20"/>
    </w:rPr>
  </w:style>
  <w:style w:type="paragraph" w:styleId="ListParagraph">
    <w:name w:val="List Paragraph"/>
    <w:basedOn w:val="Normal"/>
    <w:uiPriority w:val="34"/>
    <w:qFormat/>
    <w:rsid w:val="00A2438C"/>
    <w:pPr>
      <w:ind w:left="720"/>
      <w:contextualSpacing/>
    </w:pPr>
  </w:style>
  <w:style w:type="paragraph" w:styleId="Revision">
    <w:name w:val="Revision"/>
    <w:hidden/>
    <w:uiPriority w:val="99"/>
    <w:semiHidden/>
    <w:rsid w:val="00513641"/>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F2A60"/>
    <w:rPr>
      <w:color w:val="605E5C"/>
      <w:shd w:val="clear" w:color="auto" w:fill="E1DFDD"/>
    </w:rPr>
  </w:style>
  <w:style w:type="character" w:customStyle="1" w:styleId="cf01">
    <w:name w:val="cf01"/>
    <w:basedOn w:val="DefaultParagraphFont"/>
    <w:rsid w:val="00B16082"/>
    <w:rPr>
      <w:rFonts w:ascii="Segoe UI" w:hAnsi="Segoe UI" w:cs="Segoe UI" w:hint="default"/>
      <w:sz w:val="18"/>
      <w:szCs w:val="18"/>
    </w:rPr>
  </w:style>
  <w:style w:type="paragraph" w:styleId="Footer">
    <w:name w:val="footer"/>
    <w:basedOn w:val="Normal"/>
    <w:link w:val="FooterChar"/>
    <w:uiPriority w:val="99"/>
    <w:rsid w:val="004C3F84"/>
    <w:pPr>
      <w:tabs>
        <w:tab w:val="center" w:pos="4320"/>
        <w:tab w:val="right" w:pos="8640"/>
      </w:tabs>
    </w:pPr>
    <w:rPr>
      <w:sz w:val="20"/>
      <w:szCs w:val="20"/>
    </w:rPr>
  </w:style>
  <w:style w:type="character" w:customStyle="1" w:styleId="FooterChar">
    <w:name w:val="Footer Char"/>
    <w:basedOn w:val="DefaultParagraphFont"/>
    <w:link w:val="Footer"/>
    <w:uiPriority w:val="99"/>
    <w:rsid w:val="004C3F8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21488"/>
    <w:pPr>
      <w:tabs>
        <w:tab w:val="center" w:pos="4680"/>
        <w:tab w:val="right" w:pos="9360"/>
      </w:tabs>
    </w:pPr>
  </w:style>
  <w:style w:type="character" w:customStyle="1" w:styleId="HeaderChar">
    <w:name w:val="Header Char"/>
    <w:basedOn w:val="DefaultParagraphFont"/>
    <w:link w:val="Header"/>
    <w:uiPriority w:val="99"/>
    <w:rsid w:val="0052148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25D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60E5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2321E"/>
    <w:pPr>
      <w:spacing w:before="100" w:beforeAutospacing="1" w:after="100" w:afterAutospacing="1"/>
    </w:pPr>
  </w:style>
  <w:style w:type="paragraph" w:styleId="BalloonText">
    <w:name w:val="Balloon Text"/>
    <w:basedOn w:val="Normal"/>
    <w:link w:val="BalloonTextChar"/>
    <w:uiPriority w:val="99"/>
    <w:semiHidden/>
    <w:unhideWhenUsed/>
    <w:rsid w:val="001C3AAA"/>
    <w:rPr>
      <w:sz w:val="18"/>
      <w:szCs w:val="18"/>
    </w:rPr>
  </w:style>
  <w:style w:type="character" w:customStyle="1" w:styleId="BalloonTextChar">
    <w:name w:val="Balloon Text Char"/>
    <w:basedOn w:val="DefaultParagraphFont"/>
    <w:link w:val="BalloonText"/>
    <w:uiPriority w:val="99"/>
    <w:semiHidden/>
    <w:rsid w:val="001C3AA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hristopher.hollon@aes.com" TargetMode="External" /><Relationship Id="rId11" Type="http://schemas.openxmlformats.org/officeDocument/2006/relationships/hyperlink" Target="mailto:mpritchard@mcneeslaw.com" TargetMode="External" /><Relationship Id="rId12" Type="http://schemas.openxmlformats.org/officeDocument/2006/relationships/hyperlink" Target="mailto:matthew.sandor@puco.ohio.gov" TargetMode="External" /><Relationship Id="rId13" Type="http://schemas.openxmlformats.org/officeDocument/2006/relationships/hyperlink" Target="mailto:patricia.schabo@puco.ohio.gov" TargetMode="External" /><Relationship Id="rId14" Type="http://schemas.openxmlformats.org/officeDocument/2006/relationships/hyperlink" Target="mailto:rocco.dascenzo@duke-energy.com" TargetMode="External" /><Relationship Id="rId15" Type="http://schemas.openxmlformats.org/officeDocument/2006/relationships/hyperlink" Target="mailto:jeanne.kingery@duke-energy.com" TargetMode="External" /><Relationship Id="rId16" Type="http://schemas.openxmlformats.org/officeDocument/2006/relationships/hyperlink" Target="mailto:larisa.vaysman@duke-energy.com" TargetMode="External" /><Relationship Id="rId17" Type="http://schemas.openxmlformats.org/officeDocument/2006/relationships/hyperlink" Target="mailto:joe.oliker@igs.com" TargetMode="External" /><Relationship Id="rId18" Type="http://schemas.openxmlformats.org/officeDocument/2006/relationships/hyperlink" Target="mailto:michael.nugent@igs.com" TargetMode="External" /><Relationship Id="rId19" Type="http://schemas.openxmlformats.org/officeDocument/2006/relationships/hyperlink" Target="mailto:talexander@beneschlaw.com" TargetMode="External" /><Relationship Id="rId2" Type="http://schemas.openxmlformats.org/officeDocument/2006/relationships/settings" Target="settings.xml" /><Relationship Id="rId20" Type="http://schemas.openxmlformats.org/officeDocument/2006/relationships/hyperlink" Target="mailto:slesser@beneschlaw.com" TargetMode="External" /><Relationship Id="rId21" Type="http://schemas.openxmlformats.org/officeDocument/2006/relationships/hyperlink" Target="mailto:mkeaney@beneschlaw.com" TargetMode="External" /><Relationship Id="rId22" Type="http://schemas.openxmlformats.org/officeDocument/2006/relationships/hyperlink" Target="mailto:rendris@firstenergycorp.com" TargetMode="External" /><Relationship Id="rId23" Type="http://schemas.openxmlformats.org/officeDocument/2006/relationships/hyperlink" Target="mailto:mkurtz@BKLlawfirm.com" TargetMode="External" /><Relationship Id="rId24" Type="http://schemas.openxmlformats.org/officeDocument/2006/relationships/hyperlink" Target="mailto:kboehm@BKLlawfirm.com" TargetMode="External" /><Relationship Id="rId25" Type="http://schemas.openxmlformats.org/officeDocument/2006/relationships/hyperlink" Target="mailto:jkylercohn@BKLlawfirm.com" TargetMode="External" /><Relationship Id="rId26" Type="http://schemas.openxmlformats.org/officeDocument/2006/relationships/hyperlink" Target="mailto:stnourse@aep.com" TargetMode="Externa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webSettings" Target="webSettings.xml" /><Relationship Id="rId30"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thomas.lindgren@ohioAGO.gov" TargetMode="External" /><Relationship Id="rId8" Type="http://schemas.openxmlformats.org/officeDocument/2006/relationships/hyperlink" Target="mailto:whitt@whitt-sturtevant.com" TargetMode="External" /><Relationship Id="rId9" Type="http://schemas.openxmlformats.org/officeDocument/2006/relationships/hyperlink" Target="mailto:glpetrucci@vory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B2673-B066-450E-AD3D-D38C912C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2022-09-12T14:31:51Z</dcterms:created>
  <dcterms:modified xsi:type="dcterms:W3CDTF">2022-09-12T14:31:51Z</dcterms:modified>
</cp:coreProperties>
</file>