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09" w:rsidRPr="003C1309" w:rsidRDefault="003C1309" w:rsidP="003C1309">
      <w:pPr>
        <w:jc w:val="center"/>
        <w:rPr>
          <w:rFonts w:ascii="Arial" w:hAnsi="Arial" w:cs="Arial"/>
          <w:b/>
          <w:smallCaps/>
          <w:sz w:val="28"/>
        </w:rPr>
      </w:pPr>
      <w:bookmarkStart w:id="0" w:name="_GoBack"/>
      <w:bookmarkEnd w:id="0"/>
      <w:r w:rsidRPr="003C1309">
        <w:rPr>
          <w:rFonts w:ascii="Arial" w:hAnsi="Arial" w:cs="Arial"/>
          <w:b/>
          <w:smallCaps/>
          <w:sz w:val="28"/>
        </w:rPr>
        <w:t>Before</w:t>
      </w:r>
    </w:p>
    <w:p w:rsidR="003C1309" w:rsidRPr="003C1309" w:rsidRDefault="003C1309" w:rsidP="003C1309">
      <w:pPr>
        <w:jc w:val="center"/>
        <w:rPr>
          <w:rFonts w:ascii="Arial" w:hAnsi="Arial" w:cs="Arial"/>
          <w:b/>
          <w:smallCaps/>
          <w:sz w:val="28"/>
        </w:rPr>
      </w:pPr>
      <w:r w:rsidRPr="003C1309">
        <w:rPr>
          <w:rFonts w:ascii="Arial" w:hAnsi="Arial" w:cs="Arial"/>
          <w:b/>
          <w:smallCaps/>
          <w:sz w:val="28"/>
        </w:rPr>
        <w:t>The Public Utilities Commission of Ohio</w:t>
      </w:r>
    </w:p>
    <w:p w:rsidR="003C1309" w:rsidRDefault="003C1309" w:rsidP="003C1309">
      <w:pPr>
        <w:jc w:val="both"/>
        <w:rPr>
          <w:rFonts w:ascii="Arial" w:hAnsi="Arial" w:cs="Arial"/>
        </w:rPr>
      </w:pPr>
    </w:p>
    <w:p w:rsidR="00D01AB8" w:rsidRPr="003C1309" w:rsidRDefault="00D01AB8" w:rsidP="003C1309">
      <w:pPr>
        <w:jc w:val="both"/>
        <w:rPr>
          <w:rFonts w:ascii="Arial" w:hAnsi="Arial" w:cs="Arial"/>
        </w:rPr>
      </w:pPr>
    </w:p>
    <w:p w:rsidR="003C1309" w:rsidRPr="003C1309" w:rsidRDefault="003C1309" w:rsidP="009D6BBE">
      <w:pPr>
        <w:tabs>
          <w:tab w:val="left" w:pos="4320"/>
          <w:tab w:val="left" w:pos="5040"/>
        </w:tabs>
        <w:jc w:val="both"/>
        <w:rPr>
          <w:rFonts w:ascii="Arial" w:hAnsi="Arial" w:cs="Arial"/>
        </w:rPr>
      </w:pPr>
      <w:r w:rsidRPr="003C1309">
        <w:rPr>
          <w:rFonts w:ascii="Arial" w:hAnsi="Arial" w:cs="Arial"/>
        </w:rPr>
        <w:t>In th</w:t>
      </w:r>
      <w:r w:rsidR="009D6BBE">
        <w:rPr>
          <w:rFonts w:ascii="Arial" w:hAnsi="Arial" w:cs="Arial"/>
        </w:rPr>
        <w:t>e Matter of the Fuel Adjustment</w:t>
      </w:r>
      <w:r w:rsidR="009D6BBE">
        <w:rPr>
          <w:rFonts w:ascii="Arial" w:hAnsi="Arial" w:cs="Arial"/>
        </w:rPr>
        <w:tab/>
      </w:r>
      <w:r w:rsidRPr="003C1309">
        <w:rPr>
          <w:rFonts w:ascii="Arial" w:hAnsi="Arial" w:cs="Arial"/>
        </w:rPr>
        <w:t>)</w:t>
      </w:r>
      <w:r w:rsidRPr="003C1309">
        <w:rPr>
          <w:rFonts w:ascii="Arial" w:hAnsi="Arial" w:cs="Arial"/>
        </w:rPr>
        <w:tab/>
        <w:t>Case No. 10-268-EL-FAC</w:t>
      </w:r>
    </w:p>
    <w:p w:rsidR="003C1309" w:rsidRPr="003C1309" w:rsidRDefault="003C1309" w:rsidP="009D6BBE">
      <w:pPr>
        <w:tabs>
          <w:tab w:val="left" w:pos="4320"/>
          <w:tab w:val="left" w:pos="5040"/>
        </w:tabs>
        <w:jc w:val="both"/>
        <w:rPr>
          <w:rFonts w:ascii="Arial" w:hAnsi="Arial" w:cs="Arial"/>
        </w:rPr>
      </w:pPr>
      <w:r w:rsidRPr="003C1309">
        <w:rPr>
          <w:rFonts w:ascii="Arial" w:hAnsi="Arial" w:cs="Arial"/>
        </w:rPr>
        <w:t>Clauses for Columbus Southern Power</w:t>
      </w:r>
      <w:r w:rsidRPr="003C1309">
        <w:rPr>
          <w:rFonts w:ascii="Arial" w:hAnsi="Arial" w:cs="Arial"/>
        </w:rPr>
        <w:tab/>
        <w:t>)</w:t>
      </w:r>
      <w:r w:rsidRPr="003C1309">
        <w:rPr>
          <w:rFonts w:ascii="Arial" w:hAnsi="Arial" w:cs="Arial"/>
        </w:rPr>
        <w:tab/>
        <w:t>Case No. 10-269-EL-FAC</w:t>
      </w:r>
    </w:p>
    <w:p w:rsidR="00D01AB8" w:rsidRDefault="003C1309" w:rsidP="009D6BBE">
      <w:pPr>
        <w:tabs>
          <w:tab w:val="left" w:pos="4320"/>
          <w:tab w:val="left" w:pos="5040"/>
        </w:tabs>
        <w:jc w:val="both"/>
        <w:rPr>
          <w:rFonts w:ascii="Arial" w:hAnsi="Arial" w:cs="Arial"/>
        </w:rPr>
      </w:pPr>
      <w:r w:rsidRPr="003C1309">
        <w:rPr>
          <w:rFonts w:ascii="Arial" w:hAnsi="Arial" w:cs="Arial"/>
        </w:rPr>
        <w:t>Company and Ohio Power Company</w:t>
      </w:r>
      <w:r w:rsidR="00D01AB8">
        <w:rPr>
          <w:rFonts w:ascii="Arial" w:hAnsi="Arial" w:cs="Arial"/>
        </w:rPr>
        <w:t xml:space="preserve"> </w:t>
      </w:r>
      <w:r w:rsidR="00D01AB8">
        <w:rPr>
          <w:rFonts w:ascii="Arial" w:hAnsi="Arial" w:cs="Arial"/>
        </w:rPr>
        <w:tab/>
        <w:t>)</w:t>
      </w:r>
    </w:p>
    <w:p w:rsidR="003C1309" w:rsidRPr="003C1309" w:rsidRDefault="00D01AB8" w:rsidP="009D6BBE">
      <w:pPr>
        <w:tabs>
          <w:tab w:val="left" w:pos="4320"/>
          <w:tab w:val="left" w:pos="5040"/>
        </w:tabs>
        <w:jc w:val="both"/>
        <w:rPr>
          <w:rFonts w:ascii="Arial" w:hAnsi="Arial" w:cs="Arial"/>
        </w:rPr>
      </w:pPr>
      <w:r>
        <w:rPr>
          <w:rFonts w:ascii="Arial" w:hAnsi="Arial" w:cs="Arial"/>
        </w:rPr>
        <w:t>and Related Matters for 2010.</w:t>
      </w:r>
      <w:r w:rsidR="003C1309" w:rsidRPr="003C1309">
        <w:rPr>
          <w:rFonts w:ascii="Arial" w:hAnsi="Arial" w:cs="Arial"/>
        </w:rPr>
        <w:tab/>
        <w:t>)</w:t>
      </w:r>
    </w:p>
    <w:p w:rsidR="002148C0" w:rsidRDefault="003C1309" w:rsidP="00D01AB8">
      <w:pPr>
        <w:tabs>
          <w:tab w:val="left" w:pos="4320"/>
          <w:tab w:val="left" w:pos="5040"/>
        </w:tabs>
        <w:jc w:val="both"/>
        <w:rPr>
          <w:rFonts w:ascii="Arial" w:hAnsi="Arial" w:cs="Arial"/>
        </w:rPr>
      </w:pPr>
      <w:r w:rsidRPr="003C1309">
        <w:rPr>
          <w:rFonts w:ascii="Arial" w:hAnsi="Arial" w:cs="Arial"/>
        </w:rPr>
        <w:tab/>
      </w:r>
      <w:r w:rsidR="00D01AB8">
        <w:rPr>
          <w:rFonts w:ascii="Arial" w:hAnsi="Arial" w:cs="Arial"/>
        </w:rPr>
        <w:t>)</w:t>
      </w:r>
    </w:p>
    <w:p w:rsidR="00D01AB8" w:rsidRDefault="00D01AB8" w:rsidP="00D01AB8">
      <w:pPr>
        <w:tabs>
          <w:tab w:val="left" w:pos="4320"/>
          <w:tab w:val="left" w:pos="5040"/>
        </w:tabs>
        <w:jc w:val="both"/>
        <w:rPr>
          <w:rFonts w:ascii="Arial" w:hAnsi="Arial" w:cs="Arial"/>
        </w:rPr>
      </w:pPr>
      <w:r>
        <w:rPr>
          <w:rFonts w:ascii="Arial" w:hAnsi="Arial" w:cs="Arial"/>
        </w:rPr>
        <w:t>In the Matter of the Fuel Adjustment</w:t>
      </w:r>
      <w:r>
        <w:rPr>
          <w:rFonts w:ascii="Arial" w:hAnsi="Arial" w:cs="Arial"/>
        </w:rPr>
        <w:tab/>
        <w:t>)</w:t>
      </w:r>
    </w:p>
    <w:p w:rsidR="002148C0" w:rsidRDefault="00D01AB8" w:rsidP="009D6BBE">
      <w:pPr>
        <w:tabs>
          <w:tab w:val="left" w:pos="4320"/>
          <w:tab w:val="left" w:pos="5040"/>
        </w:tabs>
        <w:jc w:val="both"/>
        <w:rPr>
          <w:rFonts w:ascii="Arial" w:hAnsi="Arial" w:cs="Arial"/>
        </w:rPr>
      </w:pPr>
      <w:r>
        <w:rPr>
          <w:rFonts w:ascii="Arial" w:hAnsi="Arial" w:cs="Arial"/>
        </w:rPr>
        <w:t>Clauses for Columbus Southern Power</w:t>
      </w:r>
      <w:r>
        <w:rPr>
          <w:rFonts w:ascii="Arial" w:hAnsi="Arial" w:cs="Arial"/>
        </w:rPr>
        <w:tab/>
        <w:t>)</w:t>
      </w:r>
      <w:r w:rsidR="002148C0">
        <w:rPr>
          <w:rFonts w:ascii="Arial" w:hAnsi="Arial" w:cs="Arial"/>
        </w:rPr>
        <w:tab/>
        <w:t>Case No. 11-281-EL-FAC</w:t>
      </w:r>
    </w:p>
    <w:p w:rsidR="00D01AB8" w:rsidRDefault="00D01AB8" w:rsidP="009D6BBE">
      <w:pPr>
        <w:tabs>
          <w:tab w:val="left" w:pos="4320"/>
          <w:tab w:val="left" w:pos="5040"/>
        </w:tabs>
        <w:jc w:val="both"/>
        <w:rPr>
          <w:rFonts w:ascii="Arial" w:hAnsi="Arial" w:cs="Arial"/>
        </w:rPr>
      </w:pPr>
      <w:r>
        <w:rPr>
          <w:rFonts w:ascii="Arial" w:hAnsi="Arial" w:cs="Arial"/>
        </w:rPr>
        <w:t>Company and Ohio Power Company</w:t>
      </w:r>
      <w:r>
        <w:rPr>
          <w:rFonts w:ascii="Arial" w:hAnsi="Arial" w:cs="Arial"/>
        </w:rPr>
        <w:tab/>
        <w:t>)</w:t>
      </w:r>
    </w:p>
    <w:p w:rsidR="00D01AB8" w:rsidRPr="003C1309" w:rsidRDefault="00D01AB8" w:rsidP="009D6BBE">
      <w:pPr>
        <w:tabs>
          <w:tab w:val="left" w:pos="4320"/>
          <w:tab w:val="left" w:pos="5040"/>
        </w:tabs>
        <w:jc w:val="both"/>
        <w:rPr>
          <w:rFonts w:ascii="Arial" w:hAnsi="Arial" w:cs="Arial"/>
        </w:rPr>
      </w:pPr>
      <w:r>
        <w:rPr>
          <w:rFonts w:ascii="Arial" w:hAnsi="Arial" w:cs="Arial"/>
        </w:rPr>
        <w:t>and Related Matters.</w:t>
      </w:r>
      <w:r>
        <w:rPr>
          <w:rFonts w:ascii="Arial" w:hAnsi="Arial" w:cs="Arial"/>
        </w:rPr>
        <w:tab/>
        <w:t>)</w:t>
      </w:r>
    </w:p>
    <w:p w:rsidR="003C1309" w:rsidRPr="003C1309" w:rsidRDefault="003C1309" w:rsidP="003C1309">
      <w:pPr>
        <w:tabs>
          <w:tab w:val="left" w:pos="5040"/>
        </w:tabs>
        <w:jc w:val="both"/>
        <w:rPr>
          <w:rFonts w:ascii="Arial" w:hAnsi="Arial" w:cs="Arial"/>
        </w:rPr>
      </w:pPr>
    </w:p>
    <w:p w:rsidR="007F0AA7" w:rsidRPr="00AA6A20" w:rsidRDefault="007F0AA7">
      <w:pPr>
        <w:jc w:val="both"/>
        <w:rPr>
          <w:rFonts w:ascii="Arial" w:hAnsi="Arial" w:cs="Arial"/>
        </w:rPr>
      </w:pPr>
    </w:p>
    <w:p w:rsidR="007F0AA7" w:rsidRPr="00AA6A20" w:rsidRDefault="007F0AA7">
      <w:pPr>
        <w:pBdr>
          <w:top w:val="single" w:sz="12" w:space="1" w:color="auto"/>
        </w:pBdr>
        <w:tabs>
          <w:tab w:val="left" w:pos="7320"/>
        </w:tabs>
        <w:jc w:val="both"/>
        <w:rPr>
          <w:rFonts w:ascii="Arial" w:hAnsi="Arial" w:cs="Arial"/>
        </w:rPr>
      </w:pPr>
    </w:p>
    <w:p w:rsidR="007F0AA7" w:rsidRPr="00AA6A20" w:rsidRDefault="007F0AA7">
      <w:pPr>
        <w:jc w:val="center"/>
        <w:outlineLvl w:val="0"/>
        <w:rPr>
          <w:rFonts w:ascii="Arial" w:hAnsi="Arial" w:cs="Arial"/>
          <w:b/>
        </w:rPr>
      </w:pPr>
      <w:r w:rsidRPr="00AA6A20">
        <w:rPr>
          <w:rFonts w:ascii="Arial" w:hAnsi="Arial" w:cs="Arial"/>
          <w:b/>
        </w:rPr>
        <w:t xml:space="preserve">DIRECT TESTIMONY OF JOSEPH G. BOWSER </w:t>
      </w:r>
    </w:p>
    <w:p w:rsidR="007F0AA7" w:rsidRDefault="007F0AA7">
      <w:pPr>
        <w:jc w:val="center"/>
        <w:outlineLvl w:val="0"/>
        <w:rPr>
          <w:rFonts w:ascii="Arial" w:hAnsi="Arial" w:cs="Arial"/>
          <w:b/>
        </w:rPr>
      </w:pPr>
      <w:r w:rsidRPr="00AA6A20">
        <w:rPr>
          <w:rFonts w:ascii="Arial" w:hAnsi="Arial" w:cs="Arial"/>
          <w:b/>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pPr>
        <w:pStyle w:val="Title"/>
        <w:jc w:val="left"/>
        <w:rPr>
          <w:rFonts w:cs="Arial"/>
          <w:szCs w:val="24"/>
        </w:rPr>
      </w:pPr>
    </w:p>
    <w:p w:rsidR="007922B3" w:rsidRPr="00AA6A20" w:rsidRDefault="007922B3">
      <w:pPr>
        <w:pStyle w:val="Title"/>
        <w:jc w:val="left"/>
        <w:rPr>
          <w:rFonts w:cs="Arial"/>
          <w:szCs w:val="24"/>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pPr>
        <w:tabs>
          <w:tab w:val="left" w:pos="-1440"/>
          <w:tab w:val="left" w:pos="-720"/>
          <w:tab w:val="left" w:pos="4680"/>
          <w:tab w:val="left" w:pos="5040"/>
        </w:tabs>
        <w:ind w:firstLine="4446"/>
        <w:jc w:val="both"/>
        <w:rPr>
          <w:rFonts w:ascii="Arial" w:hAnsi="Arial" w:cs="Arial"/>
        </w:rPr>
      </w:pPr>
    </w:p>
    <w:p w:rsidR="003C1309" w:rsidRDefault="003C1309" w:rsidP="00F61F40">
      <w:pPr>
        <w:tabs>
          <w:tab w:val="left" w:pos="-1440"/>
          <w:tab w:val="left" w:pos="-720"/>
          <w:tab w:val="left" w:pos="4680"/>
          <w:tab w:val="left" w:pos="5040"/>
        </w:tabs>
        <w:jc w:val="both"/>
        <w:rPr>
          <w:rFonts w:ascii="Arial" w:hAnsi="Arial" w:cs="Arial"/>
        </w:rPr>
      </w:pP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 xml:space="preserve">Samuel C. Randazzo, </w:t>
      </w:r>
      <w:r w:rsidR="00F61F40">
        <w:rPr>
          <w:rFonts w:ascii="Arial" w:hAnsi="Arial" w:cs="Arial"/>
        </w:rPr>
        <w:t>(Counsel of Record</w:t>
      </w:r>
      <w:r w:rsidR="00DF3048">
        <w:rPr>
          <w:rFonts w:ascii="Arial" w:hAnsi="Arial" w:cs="Arial"/>
        </w:rPr>
        <w:t>)</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Frank P. Darr</w:t>
      </w:r>
    </w:p>
    <w:p w:rsidR="007F0AA7" w:rsidRDefault="00A45953">
      <w:pPr>
        <w:tabs>
          <w:tab w:val="left" w:pos="-1440"/>
          <w:tab w:val="left" w:pos="-720"/>
          <w:tab w:val="left" w:pos="4680"/>
          <w:tab w:val="left" w:pos="5040"/>
        </w:tabs>
        <w:ind w:firstLine="4446"/>
        <w:jc w:val="both"/>
        <w:rPr>
          <w:rFonts w:ascii="Arial" w:hAnsi="Arial" w:cs="Arial"/>
        </w:rPr>
      </w:pPr>
      <w:r>
        <w:rPr>
          <w:rFonts w:ascii="Arial" w:hAnsi="Arial" w:cs="Arial"/>
        </w:rPr>
        <w:t>Joseph E</w:t>
      </w:r>
      <w:r w:rsidR="007F0AA7" w:rsidRPr="00AA6A20">
        <w:rPr>
          <w:rFonts w:ascii="Arial" w:hAnsi="Arial" w:cs="Arial"/>
        </w:rPr>
        <w:t>. Oliker</w:t>
      </w:r>
    </w:p>
    <w:p w:rsidR="003C1309" w:rsidRPr="00AA6A20" w:rsidRDefault="003C1309">
      <w:pPr>
        <w:tabs>
          <w:tab w:val="left" w:pos="-1440"/>
          <w:tab w:val="left" w:pos="-720"/>
          <w:tab w:val="left" w:pos="4680"/>
          <w:tab w:val="left" w:pos="5040"/>
        </w:tabs>
        <w:ind w:firstLine="4446"/>
        <w:jc w:val="both"/>
        <w:rPr>
          <w:rFonts w:ascii="Arial" w:hAnsi="Arial" w:cs="Arial"/>
        </w:rPr>
      </w:pPr>
      <w:r>
        <w:rPr>
          <w:rFonts w:ascii="Arial" w:hAnsi="Arial" w:cs="Arial"/>
        </w:rPr>
        <w:t>Matthew R. Pritchard</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smallCaps/>
        </w:rPr>
        <w:t>McNees Wallace &amp; Nurick LLC</w:t>
      </w:r>
      <w:r w:rsidRPr="00AA6A20">
        <w:rPr>
          <w:rFonts w:ascii="Arial" w:hAnsi="Arial" w:cs="Arial"/>
          <w:smallCaps/>
        </w:rPr>
        <w:tab/>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21 East State Street, 17</w:t>
      </w:r>
      <w:r w:rsidRPr="00AA6A20">
        <w:rPr>
          <w:rFonts w:ascii="Arial" w:hAnsi="Arial" w:cs="Arial"/>
          <w:vertAlign w:val="superscript"/>
        </w:rPr>
        <w:t>th</w:t>
      </w:r>
      <w:r w:rsidRPr="00AA6A20">
        <w:rPr>
          <w:rFonts w:ascii="Arial" w:hAnsi="Arial" w:cs="Arial"/>
        </w:rPr>
        <w:t xml:space="preserve"> Floor</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Columbus, OH  43215-4228</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Telephone:  (614) 469-8000</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Telecopier:  (614) 469-4653</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sam@mwncmh.com</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fdarr@mwncmh.com</w:t>
      </w:r>
    </w:p>
    <w:p w:rsidR="007F0AA7"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joliker@mwncmh.com</w:t>
      </w:r>
    </w:p>
    <w:p w:rsidR="003C1309" w:rsidRPr="00AA6A20" w:rsidRDefault="003C6EA7">
      <w:pPr>
        <w:tabs>
          <w:tab w:val="left" w:pos="-1440"/>
          <w:tab w:val="left" w:pos="-720"/>
          <w:tab w:val="left" w:pos="4680"/>
          <w:tab w:val="left" w:pos="5040"/>
        </w:tabs>
        <w:ind w:firstLine="4446"/>
        <w:jc w:val="both"/>
        <w:rPr>
          <w:rFonts w:ascii="Arial" w:hAnsi="Arial" w:cs="Arial"/>
        </w:rPr>
      </w:pPr>
      <w:r>
        <w:rPr>
          <w:rFonts w:ascii="Arial" w:hAnsi="Arial" w:cs="Arial"/>
        </w:rPr>
        <w:t>mpritchard</w:t>
      </w:r>
      <w:r w:rsidR="003C1309">
        <w:rPr>
          <w:rFonts w:ascii="Arial" w:hAnsi="Arial" w:cs="Arial"/>
        </w:rPr>
        <w:t>@mwncmh.com</w:t>
      </w:r>
    </w:p>
    <w:p w:rsidR="007F0AA7" w:rsidRPr="00AA6A20" w:rsidRDefault="007F0AA7">
      <w:pPr>
        <w:tabs>
          <w:tab w:val="left" w:pos="-1440"/>
          <w:tab w:val="left" w:pos="-720"/>
          <w:tab w:val="left" w:pos="4680"/>
          <w:tab w:val="left" w:pos="5040"/>
        </w:tabs>
        <w:ind w:firstLine="4446"/>
        <w:jc w:val="both"/>
        <w:rPr>
          <w:rFonts w:ascii="Arial" w:hAnsi="Arial" w:cs="Arial"/>
        </w:rPr>
      </w:pPr>
    </w:p>
    <w:p w:rsidR="00854831" w:rsidRPr="00AA6A20" w:rsidRDefault="00BA1A59">
      <w:pPr>
        <w:tabs>
          <w:tab w:val="left" w:pos="-1440"/>
          <w:tab w:val="left" w:pos="-720"/>
          <w:tab w:val="left" w:pos="4500"/>
          <w:tab w:val="left" w:pos="5040"/>
        </w:tabs>
        <w:ind w:left="4446" w:hanging="4446"/>
        <w:jc w:val="both"/>
        <w:rPr>
          <w:rFonts w:ascii="Arial" w:hAnsi="Arial" w:cs="Arial"/>
          <w:b/>
          <w:bCs/>
        </w:rPr>
      </w:pPr>
      <w:r>
        <w:rPr>
          <w:rFonts w:ascii="Arial" w:hAnsi="Arial" w:cs="Arial"/>
          <w:b/>
          <w:bCs/>
        </w:rPr>
        <w:t>November 8</w:t>
      </w:r>
      <w:r w:rsidR="007F0AA7" w:rsidRPr="00AA6A20">
        <w:rPr>
          <w:rFonts w:ascii="Arial" w:hAnsi="Arial" w:cs="Arial"/>
          <w:b/>
          <w:bCs/>
        </w:rPr>
        <w:t>, 2013</w:t>
      </w:r>
      <w:r w:rsidR="007F0AA7" w:rsidRPr="00AA6A20">
        <w:rPr>
          <w:rFonts w:ascii="Arial" w:hAnsi="Arial" w:cs="Arial"/>
          <w:b/>
          <w:bCs/>
        </w:rPr>
        <w:tab/>
        <w:t>Attorneys for Industrial Energy Users-Ohio</w:t>
      </w:r>
    </w:p>
    <w:p w:rsidR="00854831" w:rsidRPr="00AA6A20" w:rsidRDefault="00854831">
      <w:pPr>
        <w:tabs>
          <w:tab w:val="left" w:pos="-1440"/>
          <w:tab w:val="left" w:pos="-720"/>
          <w:tab w:val="left" w:pos="4500"/>
          <w:tab w:val="left" w:pos="5040"/>
        </w:tabs>
        <w:ind w:left="4446" w:hanging="4446"/>
        <w:jc w:val="both"/>
        <w:rPr>
          <w:rFonts w:ascii="Arial" w:hAnsi="Arial" w:cs="Arial"/>
          <w:b/>
          <w:bCs/>
        </w:rPr>
        <w:sectPr w:rsidR="00854831" w:rsidRPr="00AA6A20">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440" w:left="1440" w:header="720" w:footer="720" w:gutter="0"/>
          <w:cols w:space="720"/>
          <w:titlePg/>
          <w:docGrid w:linePitch="360"/>
        </w:sectPr>
      </w:pPr>
    </w:p>
    <w:p w:rsidR="009D6BBE" w:rsidRPr="003C1309" w:rsidRDefault="009D6BBE" w:rsidP="009D6BBE">
      <w:pPr>
        <w:jc w:val="center"/>
        <w:rPr>
          <w:rFonts w:ascii="Arial" w:hAnsi="Arial" w:cs="Arial"/>
          <w:b/>
          <w:smallCaps/>
          <w:sz w:val="28"/>
        </w:rPr>
      </w:pPr>
      <w:r w:rsidRPr="003C1309">
        <w:rPr>
          <w:rFonts w:ascii="Arial" w:hAnsi="Arial" w:cs="Arial"/>
          <w:b/>
          <w:smallCaps/>
          <w:sz w:val="28"/>
        </w:rPr>
        <w:lastRenderedPageBreak/>
        <w:t>Before</w:t>
      </w:r>
    </w:p>
    <w:p w:rsidR="009D6BBE" w:rsidRPr="003C1309" w:rsidRDefault="009D6BBE" w:rsidP="009D6BBE">
      <w:pPr>
        <w:jc w:val="center"/>
        <w:rPr>
          <w:rFonts w:ascii="Arial" w:hAnsi="Arial" w:cs="Arial"/>
          <w:b/>
          <w:smallCaps/>
          <w:sz w:val="28"/>
        </w:rPr>
      </w:pPr>
      <w:r w:rsidRPr="003C1309">
        <w:rPr>
          <w:rFonts w:ascii="Arial" w:hAnsi="Arial" w:cs="Arial"/>
          <w:b/>
          <w:smallCaps/>
          <w:sz w:val="28"/>
        </w:rPr>
        <w:t>The Public Utilities Commission of Ohio</w:t>
      </w:r>
    </w:p>
    <w:p w:rsidR="009D6BBE" w:rsidRDefault="009D6BBE" w:rsidP="009D6BBE">
      <w:pPr>
        <w:jc w:val="both"/>
        <w:rPr>
          <w:rFonts w:ascii="Arial" w:hAnsi="Arial" w:cs="Arial"/>
        </w:rPr>
      </w:pPr>
    </w:p>
    <w:p w:rsidR="00D01AB8" w:rsidRPr="003C1309" w:rsidRDefault="00D01AB8" w:rsidP="009D6BBE">
      <w:pPr>
        <w:jc w:val="both"/>
        <w:rPr>
          <w:rFonts w:ascii="Arial" w:hAnsi="Arial" w:cs="Arial"/>
        </w:rPr>
      </w:pPr>
    </w:p>
    <w:p w:rsidR="00D01AB8" w:rsidRPr="003C1309" w:rsidRDefault="00D01AB8" w:rsidP="00D01AB8">
      <w:pPr>
        <w:tabs>
          <w:tab w:val="left" w:pos="4320"/>
          <w:tab w:val="left" w:pos="5040"/>
        </w:tabs>
        <w:jc w:val="both"/>
        <w:rPr>
          <w:rFonts w:ascii="Arial" w:hAnsi="Arial" w:cs="Arial"/>
        </w:rPr>
      </w:pPr>
      <w:r w:rsidRPr="003C1309">
        <w:rPr>
          <w:rFonts w:ascii="Arial" w:hAnsi="Arial" w:cs="Arial"/>
        </w:rPr>
        <w:t>In th</w:t>
      </w:r>
      <w:r>
        <w:rPr>
          <w:rFonts w:ascii="Arial" w:hAnsi="Arial" w:cs="Arial"/>
        </w:rPr>
        <w:t>e Matter of the Fuel Adjustment</w:t>
      </w:r>
      <w:r>
        <w:rPr>
          <w:rFonts w:ascii="Arial" w:hAnsi="Arial" w:cs="Arial"/>
        </w:rPr>
        <w:tab/>
      </w:r>
      <w:r w:rsidRPr="003C1309">
        <w:rPr>
          <w:rFonts w:ascii="Arial" w:hAnsi="Arial" w:cs="Arial"/>
        </w:rPr>
        <w:t>)</w:t>
      </w:r>
      <w:r w:rsidRPr="003C1309">
        <w:rPr>
          <w:rFonts w:ascii="Arial" w:hAnsi="Arial" w:cs="Arial"/>
        </w:rPr>
        <w:tab/>
        <w:t>Case No. 10-268-EL-FAC</w:t>
      </w:r>
    </w:p>
    <w:p w:rsidR="00D01AB8" w:rsidRPr="003C1309" w:rsidRDefault="00D01AB8" w:rsidP="00D01AB8">
      <w:pPr>
        <w:tabs>
          <w:tab w:val="left" w:pos="4320"/>
          <w:tab w:val="left" w:pos="5040"/>
        </w:tabs>
        <w:jc w:val="both"/>
        <w:rPr>
          <w:rFonts w:ascii="Arial" w:hAnsi="Arial" w:cs="Arial"/>
        </w:rPr>
      </w:pPr>
      <w:r w:rsidRPr="003C1309">
        <w:rPr>
          <w:rFonts w:ascii="Arial" w:hAnsi="Arial" w:cs="Arial"/>
        </w:rPr>
        <w:t>Clauses for Columbus Southern Power</w:t>
      </w:r>
      <w:r w:rsidRPr="003C1309">
        <w:rPr>
          <w:rFonts w:ascii="Arial" w:hAnsi="Arial" w:cs="Arial"/>
        </w:rPr>
        <w:tab/>
        <w:t>)</w:t>
      </w:r>
      <w:r w:rsidRPr="003C1309">
        <w:rPr>
          <w:rFonts w:ascii="Arial" w:hAnsi="Arial" w:cs="Arial"/>
        </w:rPr>
        <w:tab/>
        <w:t>Case No. 10-269-EL-FAC</w:t>
      </w:r>
    </w:p>
    <w:p w:rsidR="00D01AB8" w:rsidRDefault="00D01AB8" w:rsidP="00D01AB8">
      <w:pPr>
        <w:tabs>
          <w:tab w:val="left" w:pos="4320"/>
          <w:tab w:val="left" w:pos="5040"/>
        </w:tabs>
        <w:jc w:val="both"/>
        <w:rPr>
          <w:rFonts w:ascii="Arial" w:hAnsi="Arial" w:cs="Arial"/>
        </w:rPr>
      </w:pPr>
      <w:r w:rsidRPr="003C1309">
        <w:rPr>
          <w:rFonts w:ascii="Arial" w:hAnsi="Arial" w:cs="Arial"/>
        </w:rPr>
        <w:t>Company and Ohio Power Company</w:t>
      </w:r>
      <w:r>
        <w:rPr>
          <w:rFonts w:ascii="Arial" w:hAnsi="Arial" w:cs="Arial"/>
        </w:rPr>
        <w:t xml:space="preserve"> </w:t>
      </w:r>
      <w:r>
        <w:rPr>
          <w:rFonts w:ascii="Arial" w:hAnsi="Arial" w:cs="Arial"/>
        </w:rPr>
        <w:tab/>
        <w:t>)</w:t>
      </w:r>
    </w:p>
    <w:p w:rsidR="00D01AB8" w:rsidRPr="003C1309" w:rsidRDefault="00D01AB8" w:rsidP="00D01AB8">
      <w:pPr>
        <w:tabs>
          <w:tab w:val="left" w:pos="4320"/>
          <w:tab w:val="left" w:pos="5040"/>
        </w:tabs>
        <w:jc w:val="both"/>
        <w:rPr>
          <w:rFonts w:ascii="Arial" w:hAnsi="Arial" w:cs="Arial"/>
        </w:rPr>
      </w:pPr>
      <w:r>
        <w:rPr>
          <w:rFonts w:ascii="Arial" w:hAnsi="Arial" w:cs="Arial"/>
        </w:rPr>
        <w:t>and Related Matters for 2010.</w:t>
      </w:r>
      <w:r w:rsidRPr="003C1309">
        <w:rPr>
          <w:rFonts w:ascii="Arial" w:hAnsi="Arial" w:cs="Arial"/>
        </w:rPr>
        <w:tab/>
        <w:t>)</w:t>
      </w:r>
    </w:p>
    <w:p w:rsidR="00D01AB8" w:rsidRDefault="00D01AB8" w:rsidP="00D01AB8">
      <w:pPr>
        <w:tabs>
          <w:tab w:val="left" w:pos="4320"/>
          <w:tab w:val="left" w:pos="5040"/>
        </w:tabs>
        <w:jc w:val="both"/>
        <w:rPr>
          <w:rFonts w:ascii="Arial" w:hAnsi="Arial" w:cs="Arial"/>
        </w:rPr>
      </w:pPr>
      <w:r w:rsidRPr="003C1309">
        <w:rPr>
          <w:rFonts w:ascii="Arial" w:hAnsi="Arial" w:cs="Arial"/>
        </w:rPr>
        <w:tab/>
      </w:r>
      <w:r>
        <w:rPr>
          <w:rFonts w:ascii="Arial" w:hAnsi="Arial" w:cs="Arial"/>
        </w:rPr>
        <w:t>)</w:t>
      </w:r>
    </w:p>
    <w:p w:rsidR="00D01AB8" w:rsidRDefault="00D01AB8" w:rsidP="00D01AB8">
      <w:pPr>
        <w:tabs>
          <w:tab w:val="left" w:pos="4320"/>
          <w:tab w:val="left" w:pos="5040"/>
        </w:tabs>
        <w:jc w:val="both"/>
        <w:rPr>
          <w:rFonts w:ascii="Arial" w:hAnsi="Arial" w:cs="Arial"/>
        </w:rPr>
      </w:pPr>
      <w:r>
        <w:rPr>
          <w:rFonts w:ascii="Arial" w:hAnsi="Arial" w:cs="Arial"/>
        </w:rPr>
        <w:t>In the Matter of the Fuel Adjustment</w:t>
      </w:r>
      <w:r>
        <w:rPr>
          <w:rFonts w:ascii="Arial" w:hAnsi="Arial" w:cs="Arial"/>
        </w:rPr>
        <w:tab/>
        <w:t>)</w:t>
      </w:r>
    </w:p>
    <w:p w:rsidR="00D01AB8" w:rsidRDefault="00D01AB8" w:rsidP="00D01AB8">
      <w:pPr>
        <w:tabs>
          <w:tab w:val="left" w:pos="4320"/>
          <w:tab w:val="left" w:pos="5040"/>
        </w:tabs>
        <w:jc w:val="both"/>
        <w:rPr>
          <w:rFonts w:ascii="Arial" w:hAnsi="Arial" w:cs="Arial"/>
        </w:rPr>
      </w:pPr>
      <w:r>
        <w:rPr>
          <w:rFonts w:ascii="Arial" w:hAnsi="Arial" w:cs="Arial"/>
        </w:rPr>
        <w:t>Clauses for Columbus Southern Power</w:t>
      </w:r>
      <w:r>
        <w:rPr>
          <w:rFonts w:ascii="Arial" w:hAnsi="Arial" w:cs="Arial"/>
        </w:rPr>
        <w:tab/>
        <w:t>)</w:t>
      </w:r>
      <w:r>
        <w:rPr>
          <w:rFonts w:ascii="Arial" w:hAnsi="Arial" w:cs="Arial"/>
        </w:rPr>
        <w:tab/>
        <w:t>Case No. 11-281-EL-FAC</w:t>
      </w:r>
    </w:p>
    <w:p w:rsidR="00D01AB8" w:rsidRDefault="00D01AB8" w:rsidP="00D01AB8">
      <w:pPr>
        <w:tabs>
          <w:tab w:val="left" w:pos="4320"/>
          <w:tab w:val="left" w:pos="5040"/>
        </w:tabs>
        <w:jc w:val="both"/>
        <w:rPr>
          <w:rFonts w:ascii="Arial" w:hAnsi="Arial" w:cs="Arial"/>
        </w:rPr>
      </w:pPr>
      <w:r>
        <w:rPr>
          <w:rFonts w:ascii="Arial" w:hAnsi="Arial" w:cs="Arial"/>
        </w:rPr>
        <w:t>Company and Ohio Power Company</w:t>
      </w:r>
      <w:r>
        <w:rPr>
          <w:rFonts w:ascii="Arial" w:hAnsi="Arial" w:cs="Arial"/>
        </w:rPr>
        <w:tab/>
        <w:t>)</w:t>
      </w:r>
    </w:p>
    <w:p w:rsidR="00D01AB8" w:rsidRPr="003C1309" w:rsidRDefault="00D01AB8" w:rsidP="00D01AB8">
      <w:pPr>
        <w:tabs>
          <w:tab w:val="left" w:pos="4320"/>
          <w:tab w:val="left" w:pos="5040"/>
        </w:tabs>
        <w:jc w:val="both"/>
        <w:rPr>
          <w:rFonts w:ascii="Arial" w:hAnsi="Arial" w:cs="Arial"/>
        </w:rPr>
      </w:pPr>
      <w:r>
        <w:rPr>
          <w:rFonts w:ascii="Arial" w:hAnsi="Arial" w:cs="Arial"/>
        </w:rPr>
        <w:t>and Related Matters.</w:t>
      </w:r>
      <w:r>
        <w:rPr>
          <w:rFonts w:ascii="Arial" w:hAnsi="Arial" w:cs="Arial"/>
        </w:rPr>
        <w:tab/>
        <w:t>)</w:t>
      </w:r>
    </w:p>
    <w:p w:rsidR="009D6BBE" w:rsidRPr="003C1309" w:rsidRDefault="009D6BBE" w:rsidP="009D6BBE">
      <w:pPr>
        <w:tabs>
          <w:tab w:val="left" w:pos="5040"/>
        </w:tabs>
        <w:jc w:val="both"/>
        <w:rPr>
          <w:rFonts w:ascii="Arial" w:hAnsi="Arial" w:cs="Arial"/>
        </w:rPr>
      </w:pPr>
    </w:p>
    <w:p w:rsidR="007F0AA7" w:rsidRPr="00AA6A20" w:rsidRDefault="007F0AA7">
      <w:pPr>
        <w:jc w:val="both"/>
        <w:rPr>
          <w:rFonts w:ascii="Arial" w:hAnsi="Arial" w:cs="Arial"/>
        </w:rPr>
      </w:pPr>
    </w:p>
    <w:p w:rsidR="007F0AA7" w:rsidRPr="00AA6A20" w:rsidRDefault="007F0AA7">
      <w:pPr>
        <w:pBdr>
          <w:top w:val="single" w:sz="12" w:space="1" w:color="auto"/>
        </w:pBdr>
        <w:tabs>
          <w:tab w:val="left" w:pos="7320"/>
        </w:tabs>
        <w:jc w:val="both"/>
        <w:rPr>
          <w:rFonts w:ascii="Arial" w:hAnsi="Arial" w:cs="Arial"/>
        </w:rPr>
      </w:pPr>
    </w:p>
    <w:p w:rsidR="007F0AA7" w:rsidRPr="00AA6A20" w:rsidRDefault="007F0AA7">
      <w:pPr>
        <w:jc w:val="center"/>
        <w:outlineLvl w:val="0"/>
        <w:rPr>
          <w:rFonts w:ascii="Arial" w:hAnsi="Arial" w:cs="Arial"/>
          <w:b/>
        </w:rPr>
      </w:pPr>
      <w:r w:rsidRPr="00AA6A20">
        <w:rPr>
          <w:rFonts w:ascii="Arial" w:hAnsi="Arial" w:cs="Arial"/>
          <w:b/>
        </w:rPr>
        <w:t xml:space="preserve">DIRECT TESTIMONY OF JOSEPH G. BOWSER </w:t>
      </w:r>
    </w:p>
    <w:p w:rsidR="007F0AA7" w:rsidRPr="00AA6A20" w:rsidRDefault="007F0AA7">
      <w:pPr>
        <w:jc w:val="center"/>
        <w:outlineLvl w:val="0"/>
        <w:rPr>
          <w:rFonts w:ascii="Arial" w:hAnsi="Arial" w:cs="Arial"/>
        </w:rPr>
      </w:pPr>
      <w:r w:rsidRPr="00AA6A20">
        <w:rPr>
          <w:rFonts w:ascii="Arial" w:hAnsi="Arial" w:cs="Arial"/>
          <w:b/>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rsidP="007922B3">
      <w:pPr>
        <w:jc w:val="center"/>
        <w:rPr>
          <w:rFonts w:ascii="Arial" w:hAnsi="Arial" w:cs="Arial"/>
        </w:rPr>
      </w:pPr>
      <w:r w:rsidRPr="00AA6A20">
        <w:rPr>
          <w:rFonts w:ascii="Arial" w:hAnsi="Arial" w:cs="Arial"/>
        </w:rPr>
        <w:t xml:space="preserve"> </w:t>
      </w:r>
    </w:p>
    <w:p w:rsidR="007F0AA7" w:rsidRPr="00AA6A20" w:rsidRDefault="007F0AA7">
      <w:pPr>
        <w:jc w:val="center"/>
        <w:rPr>
          <w:rFonts w:ascii="Arial" w:hAnsi="Arial" w:cs="Arial"/>
          <w:b/>
        </w:rPr>
      </w:pPr>
      <w:r w:rsidRPr="00AA6A20">
        <w:rPr>
          <w:rFonts w:ascii="Arial" w:hAnsi="Arial" w:cs="Arial"/>
          <w:b/>
        </w:rPr>
        <w:t>INDEX</w:t>
      </w:r>
    </w:p>
    <w:p w:rsidR="007F0AA7" w:rsidRPr="00AA6A20" w:rsidRDefault="007F0AA7" w:rsidP="007922B3">
      <w:pPr>
        <w:tabs>
          <w:tab w:val="right" w:pos="9360"/>
        </w:tabs>
        <w:rPr>
          <w:rFonts w:ascii="Arial" w:hAnsi="Arial" w:cs="Arial"/>
          <w:b/>
          <w:u w:val="single"/>
        </w:rPr>
      </w:pPr>
      <w:r w:rsidRPr="00AA6A20">
        <w:rPr>
          <w:rFonts w:ascii="Arial" w:hAnsi="Arial" w:cs="Arial"/>
        </w:rPr>
        <w:tab/>
      </w:r>
      <w:r w:rsidRPr="00AA6A20">
        <w:rPr>
          <w:rFonts w:ascii="Arial" w:hAnsi="Arial" w:cs="Arial"/>
          <w:b/>
          <w:u w:val="single"/>
        </w:rPr>
        <w:t>Page No.</w:t>
      </w:r>
    </w:p>
    <w:p w:rsidR="007F0AA7" w:rsidRPr="00AA6A20" w:rsidRDefault="007F0AA7" w:rsidP="007922B3">
      <w:pPr>
        <w:rPr>
          <w:rFonts w:ascii="Arial" w:hAnsi="Arial" w:cs="Arial"/>
          <w:u w:val="single"/>
        </w:rPr>
      </w:pPr>
    </w:p>
    <w:p w:rsidR="007F0AA7" w:rsidRPr="00AA6A20" w:rsidRDefault="007F0AA7" w:rsidP="00F61F40">
      <w:pPr>
        <w:tabs>
          <w:tab w:val="right" w:leader="dot" w:pos="9360"/>
        </w:tabs>
        <w:spacing w:after="240"/>
        <w:ind w:left="720" w:right="720" w:hanging="720"/>
        <w:jc w:val="both"/>
        <w:rPr>
          <w:rFonts w:ascii="Arial" w:hAnsi="Arial" w:cs="Arial"/>
        </w:rPr>
      </w:pPr>
      <w:r w:rsidRPr="00AA6A20">
        <w:rPr>
          <w:rFonts w:ascii="Arial" w:hAnsi="Arial" w:cs="Arial"/>
        </w:rPr>
        <w:t>I.</w:t>
      </w:r>
      <w:r w:rsidRPr="00AA6A20">
        <w:rPr>
          <w:rFonts w:ascii="Arial" w:hAnsi="Arial" w:cs="Arial"/>
        </w:rPr>
        <w:tab/>
      </w:r>
      <w:r w:rsidRPr="00AA6A20">
        <w:rPr>
          <w:rFonts w:ascii="Arial" w:hAnsi="Arial" w:cs="Arial"/>
          <w:caps/>
        </w:rPr>
        <w:t>Introduction</w:t>
      </w:r>
      <w:r w:rsidRPr="00AA6A20">
        <w:rPr>
          <w:rFonts w:ascii="Arial" w:hAnsi="Arial" w:cs="Arial"/>
        </w:rPr>
        <w:tab/>
        <w:t>1</w:t>
      </w:r>
    </w:p>
    <w:p w:rsidR="007F0AA7" w:rsidRDefault="007F0AA7" w:rsidP="00F61F40">
      <w:pPr>
        <w:tabs>
          <w:tab w:val="right" w:leader="dot" w:pos="9360"/>
        </w:tabs>
        <w:spacing w:after="240"/>
        <w:ind w:left="720" w:right="720" w:hanging="720"/>
        <w:jc w:val="both"/>
        <w:rPr>
          <w:rFonts w:ascii="Arial" w:hAnsi="Arial" w:cs="Arial"/>
        </w:rPr>
      </w:pPr>
      <w:r w:rsidRPr="00AA6A20">
        <w:rPr>
          <w:rFonts w:ascii="Arial" w:hAnsi="Arial" w:cs="Arial"/>
        </w:rPr>
        <w:t>II.</w:t>
      </w:r>
      <w:r w:rsidRPr="00AA6A20">
        <w:rPr>
          <w:rFonts w:ascii="Arial" w:hAnsi="Arial" w:cs="Arial"/>
        </w:rPr>
        <w:tab/>
      </w:r>
      <w:r w:rsidR="00F61F40">
        <w:rPr>
          <w:rFonts w:ascii="Arial" w:hAnsi="Arial" w:cs="Arial"/>
        </w:rPr>
        <w:t>CARRYING CHARGES ON THE DEFERRED BALANCES</w:t>
      </w:r>
      <w:r w:rsidRPr="00AA6A20">
        <w:rPr>
          <w:rFonts w:ascii="Arial" w:hAnsi="Arial" w:cs="Arial"/>
        </w:rPr>
        <w:tab/>
      </w:r>
      <w:r w:rsidR="00C62A3C">
        <w:rPr>
          <w:rFonts w:ascii="Arial" w:hAnsi="Arial" w:cs="Arial"/>
        </w:rPr>
        <w:t>4</w:t>
      </w:r>
    </w:p>
    <w:p w:rsidR="00F61F40" w:rsidRDefault="00F61F40" w:rsidP="00F61F40">
      <w:pPr>
        <w:tabs>
          <w:tab w:val="right" w:leader="dot" w:pos="9360"/>
        </w:tabs>
        <w:spacing w:after="240"/>
        <w:ind w:left="720" w:right="720" w:hanging="720"/>
        <w:jc w:val="both"/>
        <w:rPr>
          <w:rFonts w:ascii="Arial" w:hAnsi="Arial" w:cs="Arial"/>
        </w:rPr>
      </w:pPr>
      <w:r>
        <w:rPr>
          <w:rFonts w:ascii="Arial" w:hAnsi="Arial" w:cs="Arial"/>
        </w:rPr>
        <w:t>III.</w:t>
      </w:r>
      <w:r>
        <w:rPr>
          <w:rFonts w:ascii="Arial" w:hAnsi="Arial" w:cs="Arial"/>
        </w:rPr>
        <w:tab/>
        <w:t xml:space="preserve">THE RFP CALLED FOR IN </w:t>
      </w:r>
      <w:r w:rsidR="00AE48FF" w:rsidRPr="00DF3048">
        <w:rPr>
          <w:rFonts w:ascii="Arial" w:hAnsi="Arial" w:cs="Arial"/>
          <w:caps/>
        </w:rPr>
        <w:t xml:space="preserve">the </w:t>
      </w:r>
      <w:r w:rsidR="00AE48FF" w:rsidRPr="00DF3048">
        <w:rPr>
          <w:rFonts w:ascii="Arial" w:hAnsi="Arial" w:cs="Arial"/>
          <w:i/>
          <w:caps/>
        </w:rPr>
        <w:t>2009 FAC Case</w:t>
      </w:r>
      <w:r>
        <w:rPr>
          <w:rFonts w:ascii="Arial" w:hAnsi="Arial" w:cs="Arial"/>
        </w:rPr>
        <w:t xml:space="preserve">, </w:t>
      </w:r>
      <w:r w:rsidRPr="00F61F40">
        <w:rPr>
          <w:rFonts w:ascii="Arial" w:hAnsi="Arial" w:cs="Arial"/>
        </w:rPr>
        <w:t>THE</w:t>
      </w:r>
      <w:r w:rsidRPr="00F61F40">
        <w:rPr>
          <w:rFonts w:ascii="Arial" w:hAnsi="Arial" w:cs="Arial"/>
          <w:i/>
        </w:rPr>
        <w:t xml:space="preserve"> 2009 FAC CASE</w:t>
      </w:r>
      <w:r>
        <w:rPr>
          <w:rFonts w:ascii="Arial" w:hAnsi="Arial" w:cs="Arial"/>
        </w:rPr>
        <w:t xml:space="preserve"> CREDIT, AND THE 2008 CONTRACT SUPPORT AGREEMENT</w:t>
      </w:r>
      <w:r>
        <w:rPr>
          <w:rFonts w:ascii="Arial" w:hAnsi="Arial" w:cs="Arial"/>
        </w:rPr>
        <w:tab/>
        <w:t>11</w:t>
      </w:r>
    </w:p>
    <w:p w:rsidR="00F61F40" w:rsidRDefault="00F61F40" w:rsidP="00F61F40">
      <w:pPr>
        <w:tabs>
          <w:tab w:val="right" w:leader="dot" w:pos="9360"/>
        </w:tabs>
        <w:spacing w:after="240"/>
        <w:ind w:left="720" w:right="720" w:hanging="720"/>
        <w:jc w:val="both"/>
        <w:rPr>
          <w:rFonts w:ascii="Arial" w:hAnsi="Arial" w:cs="Arial"/>
        </w:rPr>
      </w:pPr>
      <w:r>
        <w:rPr>
          <w:rFonts w:ascii="Arial" w:hAnsi="Arial" w:cs="Arial"/>
        </w:rPr>
        <w:t>IV.</w:t>
      </w:r>
      <w:r>
        <w:rPr>
          <w:rFonts w:ascii="Arial" w:hAnsi="Arial" w:cs="Arial"/>
        </w:rPr>
        <w:tab/>
        <w:t>CON</w:t>
      </w:r>
      <w:r w:rsidR="003C6EA7">
        <w:rPr>
          <w:rFonts w:ascii="Arial" w:hAnsi="Arial" w:cs="Arial"/>
        </w:rPr>
        <w:t>C</w:t>
      </w:r>
      <w:r>
        <w:rPr>
          <w:rFonts w:ascii="Arial" w:hAnsi="Arial" w:cs="Arial"/>
        </w:rPr>
        <w:t>LUSION</w:t>
      </w:r>
      <w:r>
        <w:rPr>
          <w:rFonts w:ascii="Arial" w:hAnsi="Arial" w:cs="Arial"/>
        </w:rPr>
        <w:tab/>
      </w:r>
      <w:r w:rsidR="00DF3048">
        <w:rPr>
          <w:rFonts w:ascii="Arial" w:hAnsi="Arial" w:cs="Arial"/>
        </w:rPr>
        <w:t>1</w:t>
      </w:r>
      <w:r w:rsidR="004E3041">
        <w:rPr>
          <w:rFonts w:ascii="Arial" w:hAnsi="Arial" w:cs="Arial"/>
        </w:rPr>
        <w:t>5</w:t>
      </w:r>
    </w:p>
    <w:p w:rsidR="00F61F40" w:rsidRDefault="00F61F40" w:rsidP="00F61F40">
      <w:pPr>
        <w:tabs>
          <w:tab w:val="right" w:leader="dot" w:pos="9360"/>
        </w:tabs>
        <w:spacing w:after="240"/>
        <w:ind w:left="720" w:right="720" w:hanging="720"/>
        <w:jc w:val="both"/>
        <w:rPr>
          <w:rFonts w:ascii="Arial" w:hAnsi="Arial" w:cs="Arial"/>
        </w:rPr>
      </w:pPr>
      <w:r>
        <w:rPr>
          <w:rFonts w:ascii="Arial" w:hAnsi="Arial" w:cs="Arial"/>
        </w:rPr>
        <w:t>CERTIFICATE OF SERVICE</w:t>
      </w:r>
    </w:p>
    <w:p w:rsidR="00F61F40" w:rsidRDefault="00F61F40" w:rsidP="00F61F40">
      <w:pPr>
        <w:tabs>
          <w:tab w:val="right" w:leader="dot" w:pos="9360"/>
        </w:tabs>
        <w:spacing w:after="240"/>
        <w:ind w:left="720" w:right="720" w:hanging="720"/>
        <w:jc w:val="both"/>
        <w:rPr>
          <w:rFonts w:ascii="Arial" w:hAnsi="Arial" w:cs="Arial"/>
        </w:rPr>
      </w:pPr>
      <w:r>
        <w:rPr>
          <w:rFonts w:ascii="Arial" w:hAnsi="Arial" w:cs="Arial"/>
        </w:rPr>
        <w:t>EXHIBIT JGB-1</w:t>
      </w:r>
    </w:p>
    <w:p w:rsidR="00E22A4C" w:rsidRDefault="00E22A4C" w:rsidP="00F61F40">
      <w:pPr>
        <w:tabs>
          <w:tab w:val="right" w:leader="dot" w:pos="9360"/>
        </w:tabs>
        <w:spacing w:after="240"/>
        <w:ind w:left="720" w:right="720" w:hanging="720"/>
        <w:jc w:val="both"/>
        <w:rPr>
          <w:rFonts w:ascii="Arial" w:hAnsi="Arial" w:cs="Arial"/>
        </w:rPr>
      </w:pPr>
      <w:r>
        <w:rPr>
          <w:rFonts w:ascii="Arial" w:hAnsi="Arial" w:cs="Arial"/>
        </w:rPr>
        <w:t>EXHIBIT JGB-2</w:t>
      </w:r>
    </w:p>
    <w:p w:rsidR="00F61F40" w:rsidRDefault="00F61F40" w:rsidP="008C7494">
      <w:pPr>
        <w:tabs>
          <w:tab w:val="right" w:leader="dot" w:pos="9360"/>
        </w:tabs>
        <w:spacing w:line="360" w:lineRule="auto"/>
        <w:ind w:left="720" w:right="720" w:hanging="720"/>
        <w:rPr>
          <w:rFonts w:ascii="Arial" w:hAnsi="Arial" w:cs="Arial"/>
        </w:rPr>
      </w:pPr>
    </w:p>
    <w:p w:rsidR="007922B3" w:rsidRPr="00AA6A20" w:rsidRDefault="007922B3" w:rsidP="002D2F90">
      <w:pPr>
        <w:tabs>
          <w:tab w:val="right" w:leader="dot" w:pos="9360"/>
        </w:tabs>
        <w:ind w:left="720" w:hanging="720"/>
        <w:jc w:val="center"/>
        <w:rPr>
          <w:rFonts w:ascii="Arial" w:hAnsi="Arial" w:cs="Arial"/>
          <w:b/>
          <w:smallCaps/>
        </w:rPr>
        <w:sectPr w:rsidR="007922B3" w:rsidRPr="00AA6A20" w:rsidSect="007922B3">
          <w:headerReference w:type="default" r:id="rId15"/>
          <w:footerReference w:type="default" r:id="rId16"/>
          <w:headerReference w:type="first" r:id="rId17"/>
          <w:footerReference w:type="first" r:id="rId18"/>
          <w:pgSz w:w="12240" w:h="15840" w:code="1"/>
          <w:pgMar w:top="1296" w:right="1440" w:bottom="1296" w:left="1440" w:header="720" w:footer="720" w:gutter="0"/>
          <w:pgNumType w:start="1"/>
          <w:cols w:space="720"/>
          <w:titlePg/>
          <w:docGrid w:linePitch="360"/>
        </w:sectPr>
      </w:pPr>
    </w:p>
    <w:p w:rsidR="009D6BBE" w:rsidRPr="003C1309" w:rsidRDefault="009D6BBE" w:rsidP="009D6BBE">
      <w:pPr>
        <w:jc w:val="center"/>
        <w:rPr>
          <w:rFonts w:ascii="Arial" w:hAnsi="Arial" w:cs="Arial"/>
          <w:b/>
          <w:smallCaps/>
          <w:sz w:val="28"/>
        </w:rPr>
      </w:pPr>
      <w:r w:rsidRPr="003C1309">
        <w:rPr>
          <w:rFonts w:ascii="Arial" w:hAnsi="Arial" w:cs="Arial"/>
          <w:b/>
          <w:smallCaps/>
          <w:sz w:val="28"/>
        </w:rPr>
        <w:lastRenderedPageBreak/>
        <w:t>Before</w:t>
      </w:r>
    </w:p>
    <w:p w:rsidR="009D6BBE" w:rsidRPr="003C1309" w:rsidRDefault="009D6BBE" w:rsidP="009D6BBE">
      <w:pPr>
        <w:jc w:val="center"/>
        <w:rPr>
          <w:rFonts w:ascii="Arial" w:hAnsi="Arial" w:cs="Arial"/>
          <w:b/>
          <w:smallCaps/>
          <w:sz w:val="28"/>
        </w:rPr>
      </w:pPr>
      <w:r w:rsidRPr="003C1309">
        <w:rPr>
          <w:rFonts w:ascii="Arial" w:hAnsi="Arial" w:cs="Arial"/>
          <w:b/>
          <w:smallCaps/>
          <w:sz w:val="28"/>
        </w:rPr>
        <w:t>The Public Utilities Commission of Ohio</w:t>
      </w:r>
    </w:p>
    <w:p w:rsidR="009D6BBE" w:rsidRDefault="009D6BBE" w:rsidP="009D6BBE">
      <w:pPr>
        <w:jc w:val="both"/>
        <w:rPr>
          <w:rFonts w:ascii="Arial" w:hAnsi="Arial" w:cs="Arial"/>
        </w:rPr>
      </w:pPr>
    </w:p>
    <w:p w:rsidR="00D01AB8" w:rsidRPr="003C1309" w:rsidRDefault="00D01AB8" w:rsidP="009D6BBE">
      <w:pPr>
        <w:jc w:val="both"/>
        <w:rPr>
          <w:rFonts w:ascii="Arial" w:hAnsi="Arial" w:cs="Arial"/>
        </w:rPr>
      </w:pPr>
    </w:p>
    <w:p w:rsidR="00D01AB8" w:rsidRPr="003C1309" w:rsidRDefault="00D01AB8" w:rsidP="00D01AB8">
      <w:pPr>
        <w:tabs>
          <w:tab w:val="left" w:pos="4320"/>
          <w:tab w:val="left" w:pos="5040"/>
        </w:tabs>
        <w:jc w:val="both"/>
        <w:rPr>
          <w:rFonts w:ascii="Arial" w:hAnsi="Arial" w:cs="Arial"/>
        </w:rPr>
      </w:pPr>
      <w:r w:rsidRPr="003C1309">
        <w:rPr>
          <w:rFonts w:ascii="Arial" w:hAnsi="Arial" w:cs="Arial"/>
        </w:rPr>
        <w:t>In th</w:t>
      </w:r>
      <w:r>
        <w:rPr>
          <w:rFonts w:ascii="Arial" w:hAnsi="Arial" w:cs="Arial"/>
        </w:rPr>
        <w:t>e Matter of the Fuel Adjustment</w:t>
      </w:r>
      <w:r>
        <w:rPr>
          <w:rFonts w:ascii="Arial" w:hAnsi="Arial" w:cs="Arial"/>
        </w:rPr>
        <w:tab/>
      </w:r>
      <w:r w:rsidRPr="003C1309">
        <w:rPr>
          <w:rFonts w:ascii="Arial" w:hAnsi="Arial" w:cs="Arial"/>
        </w:rPr>
        <w:t>)</w:t>
      </w:r>
      <w:r w:rsidRPr="003C1309">
        <w:rPr>
          <w:rFonts w:ascii="Arial" w:hAnsi="Arial" w:cs="Arial"/>
        </w:rPr>
        <w:tab/>
        <w:t>Case No. 10-268-EL-FAC</w:t>
      </w:r>
    </w:p>
    <w:p w:rsidR="00D01AB8" w:rsidRPr="003C1309" w:rsidRDefault="00D01AB8" w:rsidP="00D01AB8">
      <w:pPr>
        <w:tabs>
          <w:tab w:val="left" w:pos="4320"/>
          <w:tab w:val="left" w:pos="5040"/>
        </w:tabs>
        <w:jc w:val="both"/>
        <w:rPr>
          <w:rFonts w:ascii="Arial" w:hAnsi="Arial" w:cs="Arial"/>
        </w:rPr>
      </w:pPr>
      <w:r w:rsidRPr="003C1309">
        <w:rPr>
          <w:rFonts w:ascii="Arial" w:hAnsi="Arial" w:cs="Arial"/>
        </w:rPr>
        <w:t>Clauses for Columbus Southern Power</w:t>
      </w:r>
      <w:r w:rsidRPr="003C1309">
        <w:rPr>
          <w:rFonts w:ascii="Arial" w:hAnsi="Arial" w:cs="Arial"/>
        </w:rPr>
        <w:tab/>
        <w:t>)</w:t>
      </w:r>
      <w:r w:rsidRPr="003C1309">
        <w:rPr>
          <w:rFonts w:ascii="Arial" w:hAnsi="Arial" w:cs="Arial"/>
        </w:rPr>
        <w:tab/>
        <w:t>Case No. 10-269-EL-FAC</w:t>
      </w:r>
    </w:p>
    <w:p w:rsidR="00D01AB8" w:rsidRDefault="00D01AB8" w:rsidP="00D01AB8">
      <w:pPr>
        <w:tabs>
          <w:tab w:val="left" w:pos="4320"/>
          <w:tab w:val="left" w:pos="5040"/>
        </w:tabs>
        <w:jc w:val="both"/>
        <w:rPr>
          <w:rFonts w:ascii="Arial" w:hAnsi="Arial" w:cs="Arial"/>
        </w:rPr>
      </w:pPr>
      <w:r w:rsidRPr="003C1309">
        <w:rPr>
          <w:rFonts w:ascii="Arial" w:hAnsi="Arial" w:cs="Arial"/>
        </w:rPr>
        <w:t>Company and Ohio Power Company</w:t>
      </w:r>
      <w:r>
        <w:rPr>
          <w:rFonts w:ascii="Arial" w:hAnsi="Arial" w:cs="Arial"/>
        </w:rPr>
        <w:t xml:space="preserve"> </w:t>
      </w:r>
      <w:r>
        <w:rPr>
          <w:rFonts w:ascii="Arial" w:hAnsi="Arial" w:cs="Arial"/>
        </w:rPr>
        <w:tab/>
        <w:t>)</w:t>
      </w:r>
    </w:p>
    <w:p w:rsidR="00D01AB8" w:rsidRPr="003C1309" w:rsidRDefault="00D01AB8" w:rsidP="00D01AB8">
      <w:pPr>
        <w:tabs>
          <w:tab w:val="left" w:pos="4320"/>
          <w:tab w:val="left" w:pos="5040"/>
        </w:tabs>
        <w:jc w:val="both"/>
        <w:rPr>
          <w:rFonts w:ascii="Arial" w:hAnsi="Arial" w:cs="Arial"/>
        </w:rPr>
      </w:pPr>
      <w:r>
        <w:rPr>
          <w:rFonts w:ascii="Arial" w:hAnsi="Arial" w:cs="Arial"/>
        </w:rPr>
        <w:t>and Related Matters for 2010.</w:t>
      </w:r>
      <w:r w:rsidRPr="003C1309">
        <w:rPr>
          <w:rFonts w:ascii="Arial" w:hAnsi="Arial" w:cs="Arial"/>
        </w:rPr>
        <w:tab/>
        <w:t>)</w:t>
      </w:r>
    </w:p>
    <w:p w:rsidR="00D01AB8" w:rsidRDefault="00D01AB8" w:rsidP="00D01AB8">
      <w:pPr>
        <w:tabs>
          <w:tab w:val="left" w:pos="4320"/>
          <w:tab w:val="left" w:pos="5040"/>
        </w:tabs>
        <w:jc w:val="both"/>
        <w:rPr>
          <w:rFonts w:ascii="Arial" w:hAnsi="Arial" w:cs="Arial"/>
        </w:rPr>
      </w:pPr>
      <w:r w:rsidRPr="003C1309">
        <w:rPr>
          <w:rFonts w:ascii="Arial" w:hAnsi="Arial" w:cs="Arial"/>
        </w:rPr>
        <w:tab/>
      </w:r>
      <w:r>
        <w:rPr>
          <w:rFonts w:ascii="Arial" w:hAnsi="Arial" w:cs="Arial"/>
        </w:rPr>
        <w:t>)</w:t>
      </w:r>
    </w:p>
    <w:p w:rsidR="00D01AB8" w:rsidRDefault="00D01AB8" w:rsidP="00D01AB8">
      <w:pPr>
        <w:tabs>
          <w:tab w:val="left" w:pos="4320"/>
          <w:tab w:val="left" w:pos="5040"/>
        </w:tabs>
        <w:jc w:val="both"/>
        <w:rPr>
          <w:rFonts w:ascii="Arial" w:hAnsi="Arial" w:cs="Arial"/>
        </w:rPr>
      </w:pPr>
      <w:r>
        <w:rPr>
          <w:rFonts w:ascii="Arial" w:hAnsi="Arial" w:cs="Arial"/>
        </w:rPr>
        <w:t>In the Matter of the Fuel Adjustment</w:t>
      </w:r>
      <w:r>
        <w:rPr>
          <w:rFonts w:ascii="Arial" w:hAnsi="Arial" w:cs="Arial"/>
        </w:rPr>
        <w:tab/>
        <w:t>)</w:t>
      </w:r>
    </w:p>
    <w:p w:rsidR="00D01AB8" w:rsidRDefault="00D01AB8" w:rsidP="00D01AB8">
      <w:pPr>
        <w:tabs>
          <w:tab w:val="left" w:pos="4320"/>
          <w:tab w:val="left" w:pos="5040"/>
        </w:tabs>
        <w:jc w:val="both"/>
        <w:rPr>
          <w:rFonts w:ascii="Arial" w:hAnsi="Arial" w:cs="Arial"/>
        </w:rPr>
      </w:pPr>
      <w:r>
        <w:rPr>
          <w:rFonts w:ascii="Arial" w:hAnsi="Arial" w:cs="Arial"/>
        </w:rPr>
        <w:t>Clauses for Columbus Southern Power</w:t>
      </w:r>
      <w:r>
        <w:rPr>
          <w:rFonts w:ascii="Arial" w:hAnsi="Arial" w:cs="Arial"/>
        </w:rPr>
        <w:tab/>
        <w:t>)</w:t>
      </w:r>
      <w:r>
        <w:rPr>
          <w:rFonts w:ascii="Arial" w:hAnsi="Arial" w:cs="Arial"/>
        </w:rPr>
        <w:tab/>
        <w:t>Case No. 11-281-EL-FAC</w:t>
      </w:r>
    </w:p>
    <w:p w:rsidR="00D01AB8" w:rsidRDefault="00D01AB8" w:rsidP="00D01AB8">
      <w:pPr>
        <w:tabs>
          <w:tab w:val="left" w:pos="4320"/>
          <w:tab w:val="left" w:pos="5040"/>
        </w:tabs>
        <w:jc w:val="both"/>
        <w:rPr>
          <w:rFonts w:ascii="Arial" w:hAnsi="Arial" w:cs="Arial"/>
        </w:rPr>
      </w:pPr>
      <w:r>
        <w:rPr>
          <w:rFonts w:ascii="Arial" w:hAnsi="Arial" w:cs="Arial"/>
        </w:rPr>
        <w:t>Company and Ohio Power Company</w:t>
      </w:r>
      <w:r>
        <w:rPr>
          <w:rFonts w:ascii="Arial" w:hAnsi="Arial" w:cs="Arial"/>
        </w:rPr>
        <w:tab/>
        <w:t>)</w:t>
      </w:r>
    </w:p>
    <w:p w:rsidR="00D01AB8" w:rsidRPr="003C1309" w:rsidRDefault="00D01AB8" w:rsidP="00D01AB8">
      <w:pPr>
        <w:tabs>
          <w:tab w:val="left" w:pos="4320"/>
          <w:tab w:val="left" w:pos="5040"/>
        </w:tabs>
        <w:jc w:val="both"/>
        <w:rPr>
          <w:rFonts w:ascii="Arial" w:hAnsi="Arial" w:cs="Arial"/>
        </w:rPr>
      </w:pPr>
      <w:r>
        <w:rPr>
          <w:rFonts w:ascii="Arial" w:hAnsi="Arial" w:cs="Arial"/>
        </w:rPr>
        <w:t>and Related Matters.</w:t>
      </w:r>
      <w:r>
        <w:rPr>
          <w:rFonts w:ascii="Arial" w:hAnsi="Arial" w:cs="Arial"/>
        </w:rPr>
        <w:tab/>
        <w:t>)</w:t>
      </w:r>
    </w:p>
    <w:p w:rsidR="009D6BBE" w:rsidRPr="003C1309" w:rsidRDefault="009D6BBE" w:rsidP="009D6BBE">
      <w:pPr>
        <w:tabs>
          <w:tab w:val="left" w:pos="5040"/>
        </w:tabs>
        <w:jc w:val="both"/>
        <w:rPr>
          <w:rFonts w:ascii="Arial" w:hAnsi="Arial" w:cs="Arial"/>
        </w:rPr>
      </w:pPr>
    </w:p>
    <w:p w:rsidR="007F0AA7" w:rsidRPr="00AA6A20" w:rsidRDefault="007F0AA7">
      <w:pPr>
        <w:jc w:val="both"/>
        <w:rPr>
          <w:rFonts w:ascii="Arial" w:hAnsi="Arial" w:cs="Arial"/>
        </w:rPr>
      </w:pPr>
    </w:p>
    <w:p w:rsidR="007F0AA7" w:rsidRPr="00AA6A20" w:rsidRDefault="007F0AA7">
      <w:pPr>
        <w:pBdr>
          <w:top w:val="single" w:sz="12" w:space="1" w:color="auto"/>
        </w:pBdr>
        <w:tabs>
          <w:tab w:val="left" w:pos="7320"/>
        </w:tabs>
        <w:jc w:val="both"/>
        <w:rPr>
          <w:rFonts w:ascii="Arial" w:hAnsi="Arial" w:cs="Arial"/>
        </w:rPr>
      </w:pPr>
    </w:p>
    <w:p w:rsidR="007F0AA7" w:rsidRPr="00AA6A20" w:rsidRDefault="007F0AA7">
      <w:pPr>
        <w:jc w:val="center"/>
        <w:outlineLvl w:val="0"/>
        <w:rPr>
          <w:rFonts w:ascii="Arial" w:hAnsi="Arial" w:cs="Arial"/>
          <w:b/>
        </w:rPr>
      </w:pPr>
      <w:r w:rsidRPr="00AA6A20">
        <w:rPr>
          <w:rFonts w:ascii="Arial" w:hAnsi="Arial" w:cs="Arial"/>
          <w:b/>
        </w:rPr>
        <w:t xml:space="preserve">DIRECT TESTIMONY OF JOSEPH G. BOWSER </w:t>
      </w:r>
    </w:p>
    <w:p w:rsidR="007F0AA7" w:rsidRPr="00AA6A20" w:rsidRDefault="007F0AA7">
      <w:pPr>
        <w:jc w:val="center"/>
        <w:outlineLvl w:val="0"/>
        <w:rPr>
          <w:rFonts w:ascii="Arial" w:hAnsi="Arial" w:cs="Arial"/>
        </w:rPr>
      </w:pPr>
      <w:r w:rsidRPr="00AA6A20">
        <w:rPr>
          <w:rFonts w:ascii="Arial" w:hAnsi="Arial" w:cs="Arial"/>
          <w:b/>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pPr>
        <w:jc w:val="center"/>
        <w:rPr>
          <w:rFonts w:ascii="Arial" w:hAnsi="Arial" w:cs="Arial"/>
        </w:rPr>
      </w:pPr>
      <w:r w:rsidRPr="00AA6A20">
        <w:rPr>
          <w:rFonts w:ascii="Arial" w:hAnsi="Arial" w:cs="Arial"/>
        </w:rPr>
        <w:t xml:space="preserve"> </w:t>
      </w:r>
    </w:p>
    <w:p w:rsidR="00854831" w:rsidRPr="00AA6A20" w:rsidRDefault="00854831">
      <w:pPr>
        <w:jc w:val="center"/>
        <w:rPr>
          <w:rFonts w:ascii="Arial" w:hAnsi="Arial" w:cs="Arial"/>
        </w:rPr>
      </w:pPr>
    </w:p>
    <w:p w:rsidR="007F0AA7" w:rsidRPr="00AA6A20" w:rsidRDefault="007F0AA7">
      <w:pPr>
        <w:numPr>
          <w:ilvl w:val="0"/>
          <w:numId w:val="3"/>
        </w:numPr>
        <w:spacing w:line="480" w:lineRule="auto"/>
        <w:ind w:left="720"/>
        <w:jc w:val="both"/>
        <w:rPr>
          <w:rStyle w:val="LineNumber"/>
          <w:rFonts w:cs="Arial"/>
          <w:b/>
          <w:smallCaps/>
          <w:sz w:val="24"/>
        </w:rPr>
        <w:sectPr w:rsidR="007F0AA7" w:rsidRPr="00AA6A20" w:rsidSect="007922B3">
          <w:headerReference w:type="default" r:id="rId19"/>
          <w:footerReference w:type="default" r:id="rId20"/>
          <w:headerReference w:type="first" r:id="rId21"/>
          <w:footerReference w:type="first" r:id="rId22"/>
          <w:pgSz w:w="12240" w:h="15840" w:code="1"/>
          <w:pgMar w:top="1296" w:right="1440" w:bottom="1296" w:left="1440" w:header="720" w:footer="720" w:gutter="0"/>
          <w:pgNumType w:start="1"/>
          <w:cols w:space="720"/>
          <w:titlePg/>
          <w:docGrid w:linePitch="360"/>
        </w:sectPr>
      </w:pPr>
    </w:p>
    <w:p w:rsidR="007F0AA7" w:rsidRPr="00B31775" w:rsidRDefault="007F0AA7" w:rsidP="00B31775">
      <w:pPr>
        <w:pStyle w:val="Heading1"/>
        <w:rPr>
          <w:rStyle w:val="LineNumber"/>
          <w:sz w:val="24"/>
        </w:rPr>
      </w:pPr>
      <w:r w:rsidRPr="00B31775">
        <w:rPr>
          <w:rStyle w:val="LineNumber"/>
          <w:sz w:val="24"/>
        </w:rPr>
        <w:lastRenderedPageBreak/>
        <w:t>Introduction</w:t>
      </w:r>
    </w:p>
    <w:p w:rsidR="00C81640" w:rsidRPr="00AA6A20" w:rsidRDefault="007F0AA7" w:rsidP="00543C01">
      <w:pPr>
        <w:spacing w:before="240" w:line="480" w:lineRule="auto"/>
        <w:jc w:val="both"/>
        <w:rPr>
          <w:rStyle w:val="LineNumber"/>
          <w:rFonts w:cs="Arial"/>
          <w:sz w:val="24"/>
        </w:rPr>
      </w:pPr>
      <w:r w:rsidRPr="00AA6A20">
        <w:rPr>
          <w:rStyle w:val="LineNumber"/>
          <w:rFonts w:cs="Arial"/>
          <w:b/>
          <w:sz w:val="24"/>
        </w:rPr>
        <w:t>Q1.</w:t>
      </w:r>
      <w:r w:rsidRPr="00AA6A20">
        <w:rPr>
          <w:rStyle w:val="LineNumber"/>
          <w:rFonts w:cs="Arial"/>
          <w:b/>
          <w:sz w:val="24"/>
        </w:rPr>
        <w:tab/>
        <w:t>Please state your name and business address</w:t>
      </w:r>
      <w:r w:rsidRPr="00AA6A20">
        <w:rPr>
          <w:rStyle w:val="LineNumber"/>
          <w:rFonts w:cs="Arial"/>
          <w:sz w:val="24"/>
        </w:rPr>
        <w:t>.</w:t>
      </w:r>
    </w:p>
    <w:p w:rsidR="007F0AA7" w:rsidRPr="00AA6A20" w:rsidRDefault="007F0AA7" w:rsidP="004D052B">
      <w:pPr>
        <w:spacing w:after="240" w:line="480" w:lineRule="auto"/>
        <w:ind w:left="720" w:hanging="720"/>
        <w:jc w:val="both"/>
        <w:rPr>
          <w:rStyle w:val="LineNumber"/>
          <w:rFonts w:cs="Arial"/>
          <w:sz w:val="24"/>
        </w:rPr>
      </w:pPr>
      <w:r w:rsidRPr="00AA6A20">
        <w:rPr>
          <w:rStyle w:val="LineNumber"/>
          <w:rFonts w:cs="Arial"/>
          <w:sz w:val="24"/>
        </w:rPr>
        <w:t>A1.</w:t>
      </w:r>
      <w:r w:rsidRPr="00AA6A20">
        <w:rPr>
          <w:rStyle w:val="LineNumber"/>
          <w:rFonts w:cs="Arial"/>
          <w:sz w:val="24"/>
        </w:rPr>
        <w:tab/>
        <w:t>My name is Joseph G. Bowser, 21 East State Street, 17</w:t>
      </w:r>
      <w:r w:rsidRPr="00AA6A20">
        <w:rPr>
          <w:rStyle w:val="LineNumber"/>
          <w:rFonts w:cs="Arial"/>
          <w:sz w:val="24"/>
          <w:vertAlign w:val="superscript"/>
        </w:rPr>
        <w:t>th</w:t>
      </w:r>
      <w:r w:rsidRPr="00AA6A20">
        <w:rPr>
          <w:rStyle w:val="LineNumber"/>
          <w:rFonts w:cs="Arial"/>
          <w:sz w:val="24"/>
        </w:rPr>
        <w:t xml:space="preserve"> Floor, Columbus, Ohio 43215.</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Q2.</w:t>
      </w:r>
      <w:r w:rsidRPr="00AA6A20">
        <w:rPr>
          <w:rStyle w:val="LineNumber"/>
          <w:rFonts w:cs="Arial"/>
          <w:b/>
          <w:sz w:val="24"/>
        </w:rPr>
        <w:tab/>
        <w:t>By whom are you employed and in what position?</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A2.</w:t>
      </w:r>
      <w:r w:rsidRPr="00AA6A20">
        <w:rPr>
          <w:rStyle w:val="LineNumber"/>
          <w:rFonts w:cs="Arial"/>
          <w:sz w:val="24"/>
        </w:rPr>
        <w:tab/>
        <w:t>I am a Technical Specialist for McNees Wallace &amp; Nurick LLC (“McNees”), providing testimony on behalf of the Industrial Energy Users-Ohio (“IEU</w:t>
      </w:r>
      <w:r w:rsidR="00854831" w:rsidRPr="00AA6A20">
        <w:rPr>
          <w:rStyle w:val="LineNumber"/>
          <w:rFonts w:cs="Arial"/>
          <w:sz w:val="24"/>
        </w:rPr>
        <w:t>-</w:t>
      </w:r>
      <w:r w:rsidRPr="00AA6A20">
        <w:rPr>
          <w:rStyle w:val="LineNumber"/>
          <w:rFonts w:cs="Arial"/>
          <w:sz w:val="24"/>
        </w:rPr>
        <w:t xml:space="preserve">Ohio”).  </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t>Q3.</w:t>
      </w:r>
      <w:r w:rsidRPr="00AA6A20">
        <w:rPr>
          <w:rStyle w:val="LineNumber"/>
          <w:rFonts w:cs="Arial"/>
          <w:b/>
          <w:sz w:val="24"/>
        </w:rPr>
        <w:tab/>
        <w:t>Please describe your educational background.</w:t>
      </w:r>
    </w:p>
    <w:p w:rsidR="007F0AA7" w:rsidRPr="00AA6A20" w:rsidRDefault="007F0AA7" w:rsidP="0025364D">
      <w:pPr>
        <w:tabs>
          <w:tab w:val="left" w:pos="720"/>
        </w:tabs>
        <w:spacing w:after="240" w:line="480" w:lineRule="auto"/>
        <w:ind w:left="720" w:hanging="720"/>
        <w:jc w:val="both"/>
        <w:rPr>
          <w:rStyle w:val="LineNumber"/>
          <w:rFonts w:cs="Arial"/>
          <w:sz w:val="24"/>
        </w:rPr>
      </w:pPr>
      <w:r w:rsidRPr="00AA6A20">
        <w:rPr>
          <w:rStyle w:val="LineNumber"/>
          <w:rFonts w:cs="Arial"/>
          <w:sz w:val="24"/>
        </w:rPr>
        <w:t>A3.</w:t>
      </w:r>
      <w:r w:rsidRPr="00AA6A20">
        <w:rPr>
          <w:rStyle w:val="LineNumber"/>
          <w:rFonts w:cs="Arial"/>
          <w:sz w:val="24"/>
        </w:rPr>
        <w:tab/>
        <w:t xml:space="preserve">In 1976, I graduated from </w:t>
      </w:r>
      <w:r w:rsidRPr="00AA6A20">
        <w:rPr>
          <w:rFonts w:ascii="Arial" w:hAnsi="Arial" w:cs="Arial"/>
        </w:rPr>
        <w:t>Clarion State College</w:t>
      </w:r>
      <w:r w:rsidRPr="00AA6A20">
        <w:rPr>
          <w:rStyle w:val="LineNumber"/>
          <w:rFonts w:cs="Arial"/>
          <w:sz w:val="24"/>
        </w:rPr>
        <w:t xml:space="preserve"> with a Bachelor of Science degree in Accounting.  In 1988, I graduated from </w:t>
      </w:r>
      <w:r w:rsidRPr="00AA6A20">
        <w:rPr>
          <w:rFonts w:ascii="Arial" w:hAnsi="Arial" w:cs="Arial"/>
        </w:rPr>
        <w:t>Rensselaer Polytechnic Institute</w:t>
      </w:r>
      <w:r w:rsidRPr="00AA6A20">
        <w:rPr>
          <w:rStyle w:val="LineNumber"/>
          <w:rFonts w:cs="Arial"/>
          <w:sz w:val="24"/>
        </w:rPr>
        <w:t xml:space="preserve"> with a </w:t>
      </w:r>
      <w:r w:rsidRPr="00AA6A20">
        <w:rPr>
          <w:rFonts w:ascii="Arial" w:hAnsi="Arial" w:cs="Arial"/>
        </w:rPr>
        <w:t>Master of Science degree in Finance.</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lastRenderedPageBreak/>
        <w:t>Q4.</w:t>
      </w:r>
      <w:r w:rsidRPr="00AA6A20">
        <w:rPr>
          <w:rStyle w:val="LineNumber"/>
          <w:rFonts w:cs="Arial"/>
          <w:b/>
          <w:sz w:val="24"/>
        </w:rPr>
        <w:tab/>
        <w:t>Please describe your professional experience.</w:t>
      </w:r>
    </w:p>
    <w:p w:rsidR="007F0AA7" w:rsidRPr="00AA6A20" w:rsidRDefault="007F0AA7" w:rsidP="00657E31">
      <w:pPr>
        <w:spacing w:after="240" w:line="480" w:lineRule="auto"/>
        <w:ind w:left="720" w:hanging="720"/>
        <w:jc w:val="both"/>
        <w:rPr>
          <w:rStyle w:val="LineNumber"/>
          <w:rFonts w:cs="Arial"/>
          <w:sz w:val="24"/>
        </w:rPr>
      </w:pPr>
      <w:r w:rsidRPr="00AA6A20">
        <w:rPr>
          <w:rStyle w:val="LineNumber"/>
          <w:rFonts w:cs="Arial"/>
          <w:sz w:val="24"/>
        </w:rPr>
        <w:t>A4.</w:t>
      </w:r>
      <w:r w:rsidRPr="00AA6A20">
        <w:rPr>
          <w:rStyle w:val="LineNumber"/>
          <w:rFonts w:cs="Arial"/>
          <w:sz w:val="24"/>
        </w:rPr>
        <w:tab/>
        <w:t>I have been e</w:t>
      </w:r>
      <w:r w:rsidR="00440DDB">
        <w:rPr>
          <w:rStyle w:val="LineNumber"/>
          <w:rFonts w:cs="Arial"/>
          <w:sz w:val="24"/>
        </w:rPr>
        <w:t>mployed by McNees since 2005,</w:t>
      </w:r>
      <w:r w:rsidRPr="00AA6A20">
        <w:rPr>
          <w:rStyle w:val="LineNumber"/>
          <w:rFonts w:cs="Arial"/>
          <w:sz w:val="24"/>
        </w:rPr>
        <w:t xml:space="preserve"> where I focus </w:t>
      </w:r>
      <w:r w:rsidRPr="00AA6A20">
        <w:rPr>
          <w:rFonts w:ascii="Arial" w:hAnsi="Arial" w:cs="Arial"/>
        </w:rPr>
        <w:t>on assisting IEU-Ohio members address issues that affect the price and availability of utility services</w:t>
      </w:r>
      <w:r w:rsidRPr="00AA6A20">
        <w:rPr>
          <w:rStyle w:val="LineNumber"/>
          <w:rFonts w:cs="Arial"/>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3C1DE5">
        <w:rPr>
          <w:rStyle w:val="LineNumber"/>
          <w:rFonts w:cs="Arial"/>
          <w:sz w:val="24"/>
        </w:rPr>
        <w:t>,</w:t>
      </w:r>
      <w:r w:rsidRPr="00AA6A20">
        <w:rPr>
          <w:rStyle w:val="LineNumber"/>
          <w:rFonts w:cs="Arial"/>
          <w:sz w:val="24"/>
        </w:rPr>
        <w:t xml:space="preserve"> LLC (“PJM”) as part of the Reliability Pricing Model (“RPM”).  Prior to joining McNees, I </w:t>
      </w:r>
      <w:r w:rsidRPr="00AA6A20">
        <w:rPr>
          <w:rFonts w:ascii="Arial" w:hAnsi="Arial" w:cs="Arial"/>
        </w:rPr>
        <w:t>worked with the Office of the Ohio Consumers’ Counsel (“OCC”) as Director of Analytical Services.  There I managed the analysis of financial, accounting, and ratemaking issues associated with utility regulatory filings.  I also spent ten years at Northeast Utilities, where I held positions in the Regulatory Planning and Accounting Departments, provided litigation support in regulatory hearings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Q5.</w:t>
      </w:r>
      <w:r w:rsidRPr="00AA6A20">
        <w:rPr>
          <w:rStyle w:val="LineNumber"/>
          <w:rFonts w:cs="Arial"/>
          <w:b/>
          <w:sz w:val="24"/>
        </w:rPr>
        <w:tab/>
        <w:t>Have you previously submitted expert testimony before the Public Utilities Commission of Ohio (“Commission” or “PUCO”)?</w:t>
      </w:r>
    </w:p>
    <w:p w:rsidR="007F0AA7" w:rsidRPr="00AA6A20" w:rsidRDefault="007F0AA7" w:rsidP="00657E31">
      <w:pPr>
        <w:spacing w:after="240" w:line="480" w:lineRule="auto"/>
        <w:ind w:left="720" w:hanging="720"/>
        <w:jc w:val="both"/>
        <w:rPr>
          <w:rStyle w:val="LineNumber"/>
          <w:rFonts w:cs="Arial"/>
          <w:sz w:val="24"/>
        </w:rPr>
      </w:pPr>
      <w:r w:rsidRPr="00AA6A20">
        <w:rPr>
          <w:rStyle w:val="LineNumber"/>
          <w:rFonts w:cs="Arial"/>
          <w:sz w:val="24"/>
        </w:rPr>
        <w:t>A5.</w:t>
      </w:r>
      <w:r w:rsidRPr="00AA6A20">
        <w:rPr>
          <w:rStyle w:val="LineNumber"/>
          <w:rFonts w:cs="Arial"/>
          <w:sz w:val="24"/>
        </w:rPr>
        <w:tab/>
        <w:t>Yes</w:t>
      </w:r>
      <w:r w:rsidR="008C7494">
        <w:rPr>
          <w:rStyle w:val="LineNumber"/>
          <w:rFonts w:cs="Arial"/>
          <w:sz w:val="24"/>
        </w:rPr>
        <w:t xml:space="preserve">. </w:t>
      </w:r>
      <w:r w:rsidR="008C7494" w:rsidRPr="00AA6A20">
        <w:rPr>
          <w:rStyle w:val="LineNumber"/>
          <w:rFonts w:cs="Arial"/>
          <w:sz w:val="24"/>
        </w:rPr>
        <w:t xml:space="preserve"> </w:t>
      </w:r>
      <w:r w:rsidR="008C7494">
        <w:rPr>
          <w:rStyle w:val="LineNumber"/>
          <w:rFonts w:cs="Arial"/>
          <w:sz w:val="24"/>
        </w:rPr>
        <w:t>S</w:t>
      </w:r>
      <w:r w:rsidR="008C7494" w:rsidRPr="00AA6A20">
        <w:rPr>
          <w:rStyle w:val="LineNumber"/>
          <w:rFonts w:cs="Arial"/>
          <w:sz w:val="24"/>
        </w:rPr>
        <w:t xml:space="preserve">ince </w:t>
      </w:r>
      <w:r w:rsidRPr="00AA6A20">
        <w:rPr>
          <w:rStyle w:val="LineNumber"/>
          <w:rFonts w:cs="Arial"/>
          <w:sz w:val="24"/>
        </w:rPr>
        <w:t xml:space="preserve">1996, I have submitted testimony as an expert on numerous regulatory accounting issues and how those issues should be resolved for purposes of establishing rates and charges of public utilities.  A listing of cases in which I have submitted expert testimony is attached as Exhibit JGB-1. </w:t>
      </w:r>
    </w:p>
    <w:p w:rsidR="007F0AA7" w:rsidRPr="00AA6A20" w:rsidRDefault="00A95219" w:rsidP="00657E31">
      <w:pPr>
        <w:tabs>
          <w:tab w:val="left" w:pos="720"/>
          <w:tab w:val="left" w:pos="1440"/>
        </w:tabs>
        <w:spacing w:line="480" w:lineRule="auto"/>
        <w:jc w:val="both"/>
        <w:rPr>
          <w:rStyle w:val="LineNumber"/>
          <w:rFonts w:cs="Arial"/>
          <w:sz w:val="24"/>
        </w:rPr>
      </w:pPr>
      <w:r>
        <w:rPr>
          <w:rStyle w:val="LineNumber"/>
          <w:rFonts w:cs="Arial"/>
          <w:b/>
          <w:sz w:val="24"/>
        </w:rPr>
        <w:lastRenderedPageBreak/>
        <w:t>Q6</w:t>
      </w:r>
      <w:r w:rsidR="007F0AA7" w:rsidRPr="00AA6A20">
        <w:rPr>
          <w:rStyle w:val="LineNumber"/>
          <w:rFonts w:cs="Arial"/>
          <w:b/>
          <w:sz w:val="24"/>
        </w:rPr>
        <w:t>.</w:t>
      </w:r>
      <w:r w:rsidR="007F0AA7" w:rsidRPr="00AA6A20">
        <w:rPr>
          <w:rStyle w:val="LineNumber"/>
          <w:rFonts w:cs="Arial"/>
          <w:b/>
          <w:sz w:val="24"/>
        </w:rPr>
        <w:tab/>
        <w:t>What did you review for purposes of preparing your testimony?</w:t>
      </w:r>
    </w:p>
    <w:p w:rsidR="007F0AA7" w:rsidRPr="00AA6A20" w:rsidRDefault="00A95219" w:rsidP="00B53736">
      <w:pPr>
        <w:tabs>
          <w:tab w:val="left" w:pos="720"/>
        </w:tabs>
        <w:spacing w:after="120" w:line="480" w:lineRule="auto"/>
        <w:ind w:left="720" w:hanging="720"/>
        <w:jc w:val="both"/>
        <w:rPr>
          <w:rStyle w:val="LineNumber"/>
          <w:rFonts w:cs="Arial"/>
          <w:b/>
          <w:caps/>
          <w:sz w:val="24"/>
          <w:u w:val="single"/>
        </w:rPr>
      </w:pPr>
      <w:r>
        <w:rPr>
          <w:rStyle w:val="LineNumber"/>
          <w:rFonts w:cs="Arial"/>
          <w:sz w:val="24"/>
        </w:rPr>
        <w:t>A6</w:t>
      </w:r>
      <w:r w:rsidR="007F0AA7" w:rsidRPr="00AA6A20">
        <w:rPr>
          <w:rStyle w:val="LineNumber"/>
          <w:rFonts w:cs="Arial"/>
          <w:sz w:val="24"/>
        </w:rPr>
        <w:t>.</w:t>
      </w:r>
      <w:r w:rsidR="007F0AA7" w:rsidRPr="00AA6A20">
        <w:rPr>
          <w:rStyle w:val="LineNumber"/>
          <w:rFonts w:cs="Arial"/>
          <w:sz w:val="24"/>
        </w:rPr>
        <w:tab/>
        <w:t xml:space="preserve">I reviewed the </w:t>
      </w:r>
      <w:r w:rsidR="009950C6">
        <w:rPr>
          <w:rStyle w:val="LineNumber"/>
          <w:rFonts w:cs="Arial"/>
          <w:sz w:val="24"/>
        </w:rPr>
        <w:t xml:space="preserve">2009, </w:t>
      </w:r>
      <w:r w:rsidR="007453F9">
        <w:rPr>
          <w:rStyle w:val="LineNumber"/>
          <w:rFonts w:cs="Arial"/>
          <w:sz w:val="24"/>
        </w:rPr>
        <w:t xml:space="preserve">2010 and 2011 </w:t>
      </w:r>
      <w:r w:rsidR="00701A11">
        <w:rPr>
          <w:rStyle w:val="LineNumber"/>
          <w:rFonts w:cs="Arial"/>
          <w:sz w:val="24"/>
        </w:rPr>
        <w:t xml:space="preserve">Reports of the Management/Performance and Financial Audits of the </w:t>
      </w:r>
      <w:r w:rsidR="00CF497D">
        <w:rPr>
          <w:rStyle w:val="LineNumber"/>
          <w:rFonts w:cs="Arial"/>
          <w:sz w:val="24"/>
        </w:rPr>
        <w:t>fuel adjustment clauses (“</w:t>
      </w:r>
      <w:r w:rsidR="00701A11">
        <w:rPr>
          <w:rStyle w:val="LineNumber"/>
          <w:rFonts w:cs="Arial"/>
          <w:sz w:val="24"/>
        </w:rPr>
        <w:t>FAC</w:t>
      </w:r>
      <w:r w:rsidR="00CF497D">
        <w:rPr>
          <w:rStyle w:val="LineNumber"/>
          <w:rFonts w:cs="Arial"/>
          <w:sz w:val="24"/>
        </w:rPr>
        <w:t>”)</w:t>
      </w:r>
      <w:r w:rsidR="00701A11">
        <w:rPr>
          <w:rStyle w:val="LineNumber"/>
          <w:rFonts w:cs="Arial"/>
          <w:sz w:val="24"/>
        </w:rPr>
        <w:t xml:space="preserve"> of Columbus Southern Power Company </w:t>
      </w:r>
      <w:r w:rsidR="003C1DE5">
        <w:rPr>
          <w:rStyle w:val="LineNumber"/>
          <w:rFonts w:cs="Arial"/>
          <w:sz w:val="24"/>
        </w:rPr>
        <w:t xml:space="preserve">(“CSP”) </w:t>
      </w:r>
      <w:r w:rsidR="00701A11">
        <w:rPr>
          <w:rStyle w:val="LineNumber"/>
          <w:rFonts w:cs="Arial"/>
          <w:sz w:val="24"/>
        </w:rPr>
        <w:t>and Ohio Power Company</w:t>
      </w:r>
      <w:r w:rsidR="00CF497D">
        <w:rPr>
          <w:rStyle w:val="LineNumber"/>
          <w:rFonts w:cs="Arial"/>
          <w:sz w:val="24"/>
        </w:rPr>
        <w:t xml:space="preserve"> </w:t>
      </w:r>
      <w:r w:rsidR="003C1DE5">
        <w:rPr>
          <w:rStyle w:val="LineNumber"/>
          <w:rFonts w:cs="Arial"/>
          <w:sz w:val="24"/>
        </w:rPr>
        <w:t xml:space="preserve">(“OP”) </w:t>
      </w:r>
      <w:r w:rsidR="00CF497D">
        <w:rPr>
          <w:rStyle w:val="LineNumber"/>
          <w:rFonts w:cs="Arial"/>
          <w:sz w:val="24"/>
        </w:rPr>
        <w:t>(collectively “AEP-Ohio” or the “Company”)</w:t>
      </w:r>
      <w:r w:rsidR="00701A11">
        <w:rPr>
          <w:rStyle w:val="LineNumber"/>
          <w:rFonts w:cs="Arial"/>
          <w:sz w:val="24"/>
        </w:rPr>
        <w:t>, which were conducted by Energy Ventures Analysis and</w:t>
      </w:r>
      <w:r w:rsidR="00E5370D">
        <w:rPr>
          <w:rStyle w:val="LineNumber"/>
          <w:rFonts w:cs="Arial"/>
          <w:sz w:val="24"/>
        </w:rPr>
        <w:t xml:space="preserve"> its subcontractor</w:t>
      </w:r>
      <w:r w:rsidR="00701A11">
        <w:rPr>
          <w:rStyle w:val="LineNumber"/>
          <w:rFonts w:cs="Arial"/>
          <w:sz w:val="24"/>
        </w:rPr>
        <w:t xml:space="preserve"> Larkin &amp; Associates PLLC</w:t>
      </w:r>
      <w:r w:rsidR="00A45819">
        <w:rPr>
          <w:rStyle w:val="LineNumber"/>
          <w:rFonts w:cs="Arial"/>
          <w:sz w:val="24"/>
        </w:rPr>
        <w:t xml:space="preserve"> (“the auditors”)</w:t>
      </w:r>
      <w:r w:rsidR="007453F9">
        <w:rPr>
          <w:rStyle w:val="LineNumber"/>
          <w:rFonts w:cs="Arial"/>
          <w:sz w:val="24"/>
        </w:rPr>
        <w:t xml:space="preserve">, </w:t>
      </w:r>
      <w:r w:rsidR="00AA19DD">
        <w:rPr>
          <w:rStyle w:val="LineNumber"/>
          <w:rFonts w:cs="Arial"/>
          <w:sz w:val="24"/>
        </w:rPr>
        <w:t xml:space="preserve">and </w:t>
      </w:r>
      <w:r w:rsidR="0054169E">
        <w:rPr>
          <w:rStyle w:val="LineNumber"/>
          <w:rFonts w:cs="Arial"/>
          <w:sz w:val="24"/>
        </w:rPr>
        <w:t xml:space="preserve">orders and </w:t>
      </w:r>
      <w:r w:rsidR="007F0AA7" w:rsidRPr="00AA6A20">
        <w:rPr>
          <w:rStyle w:val="LineNumber"/>
          <w:rFonts w:cs="Arial"/>
          <w:sz w:val="24"/>
        </w:rPr>
        <w:t xml:space="preserve">entries </w:t>
      </w:r>
      <w:r w:rsidR="001A148A" w:rsidRPr="00AA6A20">
        <w:rPr>
          <w:rStyle w:val="LineNumber"/>
          <w:rFonts w:cs="Arial"/>
          <w:sz w:val="24"/>
        </w:rPr>
        <w:t xml:space="preserve">issued by the Commission </w:t>
      </w:r>
      <w:r w:rsidR="0021148F">
        <w:rPr>
          <w:rStyle w:val="LineNumber"/>
          <w:rFonts w:cs="Arial"/>
          <w:sz w:val="24"/>
        </w:rPr>
        <w:t>in this</w:t>
      </w:r>
      <w:r w:rsidR="007F0AA7" w:rsidRPr="00AA6A20">
        <w:rPr>
          <w:rStyle w:val="LineNumber"/>
          <w:rFonts w:cs="Arial"/>
          <w:sz w:val="24"/>
        </w:rPr>
        <w:t xml:space="preserve"> proceedin</w:t>
      </w:r>
      <w:r w:rsidR="0021148F">
        <w:rPr>
          <w:rStyle w:val="LineNumber"/>
          <w:rFonts w:cs="Arial"/>
          <w:sz w:val="24"/>
        </w:rPr>
        <w:t>g</w:t>
      </w:r>
      <w:r w:rsidR="00AA19DD">
        <w:rPr>
          <w:rStyle w:val="LineNumber"/>
          <w:rFonts w:cs="Arial"/>
          <w:sz w:val="24"/>
        </w:rPr>
        <w:t xml:space="preserve"> </w:t>
      </w:r>
      <w:r w:rsidR="00BB5B95">
        <w:rPr>
          <w:rStyle w:val="LineNumber"/>
          <w:rFonts w:cs="Arial"/>
          <w:sz w:val="24"/>
        </w:rPr>
        <w:t xml:space="preserve">and </w:t>
      </w:r>
      <w:r w:rsidR="003425EE">
        <w:rPr>
          <w:rStyle w:val="LineNumber"/>
          <w:rFonts w:cs="Arial"/>
          <w:sz w:val="24"/>
        </w:rPr>
        <w:t xml:space="preserve">in </w:t>
      </w:r>
      <w:r w:rsidR="00CF497D">
        <w:rPr>
          <w:rStyle w:val="LineNumber"/>
          <w:rFonts w:cs="Arial"/>
          <w:sz w:val="24"/>
        </w:rPr>
        <w:t xml:space="preserve">Case Nos. </w:t>
      </w:r>
      <w:r w:rsidR="003425EE">
        <w:rPr>
          <w:rStyle w:val="LineNumber"/>
          <w:rFonts w:cs="Arial"/>
          <w:sz w:val="24"/>
        </w:rPr>
        <w:t>11-492</w:t>
      </w:r>
      <w:r w:rsidR="00ED325C">
        <w:rPr>
          <w:rStyle w:val="LineNumber"/>
          <w:rFonts w:cs="Arial"/>
          <w:sz w:val="24"/>
        </w:rPr>
        <w:t>0</w:t>
      </w:r>
      <w:r w:rsidR="003425EE">
        <w:rPr>
          <w:rStyle w:val="LineNumber"/>
          <w:rFonts w:cs="Arial"/>
          <w:sz w:val="24"/>
        </w:rPr>
        <w:t>-EL-RDR</w:t>
      </w:r>
      <w:r w:rsidR="00B53736">
        <w:rPr>
          <w:rStyle w:val="LineNumber"/>
          <w:rFonts w:cs="Arial"/>
          <w:sz w:val="24"/>
        </w:rPr>
        <w:t>,</w:t>
      </w:r>
      <w:r w:rsidR="00ED325C">
        <w:rPr>
          <w:rStyle w:val="LineNumber"/>
          <w:rFonts w:cs="Arial"/>
          <w:sz w:val="24"/>
        </w:rPr>
        <w:t xml:space="preserve"> </w:t>
      </w:r>
      <w:r w:rsidR="00ED325C" w:rsidRPr="00CF497D">
        <w:rPr>
          <w:rStyle w:val="LineNumber"/>
          <w:rFonts w:cs="Arial"/>
          <w:i/>
          <w:sz w:val="24"/>
        </w:rPr>
        <w:t>et al</w:t>
      </w:r>
      <w:r w:rsidR="00CF497D">
        <w:rPr>
          <w:rStyle w:val="LineNumber"/>
          <w:rFonts w:cs="Arial"/>
          <w:i/>
          <w:sz w:val="24"/>
        </w:rPr>
        <w:t>.</w:t>
      </w:r>
      <w:r w:rsidR="00ED325C">
        <w:rPr>
          <w:rStyle w:val="LineNumber"/>
          <w:rFonts w:cs="Arial"/>
          <w:sz w:val="24"/>
        </w:rPr>
        <w:t>,</w:t>
      </w:r>
      <w:r w:rsidR="003C1DE5">
        <w:rPr>
          <w:rStyle w:val="FootnoteReference"/>
          <w:rFonts w:ascii="Arial" w:hAnsi="Arial" w:cs="Arial"/>
        </w:rPr>
        <w:footnoteReference w:id="1"/>
      </w:r>
      <w:r w:rsidR="003425EE">
        <w:rPr>
          <w:rStyle w:val="LineNumber"/>
          <w:rFonts w:cs="Arial"/>
          <w:sz w:val="24"/>
        </w:rPr>
        <w:t xml:space="preserve"> 08-917-EL-SSO</w:t>
      </w:r>
      <w:r w:rsidR="00B53736">
        <w:rPr>
          <w:rStyle w:val="LineNumber"/>
          <w:rFonts w:cs="Arial"/>
          <w:sz w:val="24"/>
        </w:rPr>
        <w:t>,</w:t>
      </w:r>
      <w:r w:rsidR="00ED325C">
        <w:rPr>
          <w:rStyle w:val="LineNumber"/>
          <w:rFonts w:cs="Arial"/>
          <w:sz w:val="24"/>
        </w:rPr>
        <w:t xml:space="preserve"> </w:t>
      </w:r>
      <w:r w:rsidR="00ED325C" w:rsidRPr="00CF497D">
        <w:rPr>
          <w:rStyle w:val="LineNumber"/>
          <w:rFonts w:cs="Arial"/>
          <w:i/>
          <w:sz w:val="24"/>
        </w:rPr>
        <w:t>et al</w:t>
      </w:r>
      <w:r w:rsidR="00CF497D">
        <w:rPr>
          <w:rStyle w:val="LineNumber"/>
          <w:rFonts w:cs="Arial"/>
          <w:sz w:val="24"/>
        </w:rPr>
        <w:t>.</w:t>
      </w:r>
      <w:r w:rsidR="003425EE">
        <w:rPr>
          <w:rStyle w:val="LineNumber"/>
          <w:rFonts w:cs="Arial"/>
          <w:sz w:val="24"/>
        </w:rPr>
        <w:t>,</w:t>
      </w:r>
      <w:r w:rsidR="003C1DE5">
        <w:rPr>
          <w:rStyle w:val="FootnoteReference"/>
          <w:rFonts w:ascii="Arial" w:hAnsi="Arial" w:cs="Arial"/>
        </w:rPr>
        <w:footnoteReference w:id="2"/>
      </w:r>
      <w:r w:rsidR="003425EE">
        <w:rPr>
          <w:rStyle w:val="LineNumber"/>
          <w:rFonts w:cs="Arial"/>
          <w:sz w:val="24"/>
        </w:rPr>
        <w:t xml:space="preserve"> and 09-872-EL-FAC</w:t>
      </w:r>
      <w:r w:rsidR="00B53736">
        <w:rPr>
          <w:rStyle w:val="LineNumber"/>
          <w:rFonts w:cs="Arial"/>
          <w:sz w:val="24"/>
        </w:rPr>
        <w:t>,</w:t>
      </w:r>
      <w:r w:rsidR="00ED325C">
        <w:rPr>
          <w:rStyle w:val="LineNumber"/>
          <w:rFonts w:cs="Arial"/>
          <w:sz w:val="24"/>
        </w:rPr>
        <w:t xml:space="preserve"> </w:t>
      </w:r>
      <w:r w:rsidR="00ED325C" w:rsidRPr="00CF497D">
        <w:rPr>
          <w:rStyle w:val="LineNumber"/>
          <w:rFonts w:cs="Arial"/>
          <w:i/>
          <w:sz w:val="24"/>
        </w:rPr>
        <w:t>et al</w:t>
      </w:r>
      <w:r w:rsidR="003425EE">
        <w:rPr>
          <w:rStyle w:val="LineNumber"/>
          <w:rFonts w:cs="Arial"/>
          <w:sz w:val="24"/>
        </w:rPr>
        <w:t>.</w:t>
      </w:r>
      <w:r w:rsidR="003C1DE5">
        <w:rPr>
          <w:rStyle w:val="FootnoteReference"/>
          <w:rFonts w:ascii="Arial" w:hAnsi="Arial" w:cs="Arial"/>
        </w:rPr>
        <w:footnoteReference w:id="3"/>
      </w:r>
    </w:p>
    <w:p w:rsidR="007F0AA7" w:rsidRPr="00AA6A20" w:rsidRDefault="007F0AA7" w:rsidP="00BD0916">
      <w:pPr>
        <w:tabs>
          <w:tab w:val="left" w:pos="720"/>
          <w:tab w:val="left" w:pos="1440"/>
        </w:tabs>
        <w:spacing w:after="240" w:line="480" w:lineRule="auto"/>
        <w:ind w:left="720"/>
        <w:jc w:val="both"/>
        <w:rPr>
          <w:rStyle w:val="LineNumber"/>
          <w:rFonts w:cs="Arial"/>
          <w:sz w:val="24"/>
        </w:rPr>
      </w:pPr>
      <w:r w:rsidRPr="00AA6A20">
        <w:rPr>
          <w:rStyle w:val="LineNumber"/>
          <w:rFonts w:cs="Arial"/>
          <w:sz w:val="24"/>
        </w:rPr>
        <w:t>My recommendations also reflect the knowledge I have accumulated throughout my career.</w:t>
      </w:r>
    </w:p>
    <w:p w:rsidR="007F0AA7" w:rsidRPr="00AA6A20" w:rsidRDefault="00A95219" w:rsidP="0025364D">
      <w:pPr>
        <w:tabs>
          <w:tab w:val="left" w:pos="720"/>
          <w:tab w:val="left" w:pos="1440"/>
        </w:tabs>
        <w:spacing w:line="480" w:lineRule="auto"/>
        <w:jc w:val="both"/>
        <w:rPr>
          <w:rStyle w:val="LineNumber"/>
          <w:rFonts w:cs="Arial"/>
          <w:b/>
          <w:sz w:val="24"/>
        </w:rPr>
      </w:pPr>
      <w:r>
        <w:rPr>
          <w:rStyle w:val="LineNumber"/>
          <w:rFonts w:cs="Arial"/>
          <w:b/>
          <w:sz w:val="24"/>
        </w:rPr>
        <w:t>Q7</w:t>
      </w:r>
      <w:r w:rsidR="007F0AA7" w:rsidRPr="00AA6A20">
        <w:rPr>
          <w:rStyle w:val="LineNumber"/>
          <w:rFonts w:cs="Arial"/>
          <w:b/>
          <w:sz w:val="24"/>
        </w:rPr>
        <w:t>.</w:t>
      </w:r>
      <w:r w:rsidR="007F0AA7" w:rsidRPr="00AA6A20">
        <w:rPr>
          <w:rStyle w:val="LineNumber"/>
          <w:rFonts w:cs="Arial"/>
          <w:b/>
          <w:sz w:val="24"/>
        </w:rPr>
        <w:tab/>
      </w:r>
      <w:r w:rsidR="0054169E">
        <w:rPr>
          <w:rStyle w:val="LineNumber"/>
          <w:rFonts w:cs="Arial"/>
          <w:b/>
          <w:sz w:val="24"/>
        </w:rPr>
        <w:t>Will</w:t>
      </w:r>
      <w:r w:rsidR="0054169E" w:rsidRPr="00AA6A20">
        <w:rPr>
          <w:rStyle w:val="LineNumber"/>
          <w:rFonts w:cs="Arial"/>
          <w:b/>
          <w:sz w:val="24"/>
        </w:rPr>
        <w:t xml:space="preserve"> </w:t>
      </w:r>
      <w:r>
        <w:rPr>
          <w:rStyle w:val="LineNumber"/>
          <w:rFonts w:cs="Arial"/>
          <w:b/>
          <w:sz w:val="24"/>
        </w:rPr>
        <w:t>you summarize</w:t>
      </w:r>
      <w:r w:rsidR="007F0AA7" w:rsidRPr="00AA6A20">
        <w:rPr>
          <w:rStyle w:val="LineNumber"/>
          <w:rFonts w:cs="Arial"/>
          <w:b/>
          <w:sz w:val="24"/>
        </w:rPr>
        <w:t xml:space="preserve"> your recommendations?</w:t>
      </w:r>
    </w:p>
    <w:p w:rsidR="00427000" w:rsidRPr="00AA6A20" w:rsidRDefault="00A95219">
      <w:pPr>
        <w:tabs>
          <w:tab w:val="left" w:pos="720"/>
          <w:tab w:val="left" w:pos="1440"/>
        </w:tabs>
        <w:spacing w:line="480" w:lineRule="auto"/>
        <w:ind w:left="720" w:hanging="720"/>
        <w:jc w:val="both"/>
        <w:rPr>
          <w:rStyle w:val="LineNumber"/>
          <w:rFonts w:cs="Arial"/>
          <w:sz w:val="24"/>
        </w:rPr>
      </w:pPr>
      <w:r>
        <w:rPr>
          <w:rStyle w:val="LineNumber"/>
          <w:rFonts w:cs="Arial"/>
          <w:sz w:val="24"/>
        </w:rPr>
        <w:t>A7</w:t>
      </w:r>
      <w:r w:rsidR="007F0AA7" w:rsidRPr="00AA6A20">
        <w:rPr>
          <w:rStyle w:val="LineNumber"/>
          <w:rFonts w:cs="Arial"/>
          <w:sz w:val="24"/>
        </w:rPr>
        <w:t>.</w:t>
      </w:r>
      <w:r w:rsidR="007F0AA7" w:rsidRPr="00AA6A20">
        <w:rPr>
          <w:rStyle w:val="LineNumber"/>
          <w:rFonts w:cs="Arial"/>
          <w:sz w:val="24"/>
        </w:rPr>
        <w:tab/>
        <w:t xml:space="preserve">Yes.  </w:t>
      </w:r>
      <w:r w:rsidR="00427000" w:rsidRPr="00AA6A20">
        <w:rPr>
          <w:rStyle w:val="LineNumber"/>
          <w:rFonts w:cs="Arial"/>
          <w:sz w:val="24"/>
        </w:rPr>
        <w:t>M</w:t>
      </w:r>
      <w:r w:rsidR="007F0AA7" w:rsidRPr="00AA6A20">
        <w:rPr>
          <w:rStyle w:val="LineNumber"/>
          <w:rFonts w:cs="Arial"/>
          <w:sz w:val="24"/>
        </w:rPr>
        <w:t>y recommen</w:t>
      </w:r>
      <w:r w:rsidR="00427000" w:rsidRPr="00AA6A20">
        <w:rPr>
          <w:rStyle w:val="LineNumber"/>
          <w:rFonts w:cs="Arial"/>
          <w:sz w:val="24"/>
        </w:rPr>
        <w:t>dations are summarized as follows:</w:t>
      </w:r>
    </w:p>
    <w:p w:rsidR="00ED64A2" w:rsidRPr="00ED64A2" w:rsidRDefault="00FD0ED5" w:rsidP="00657E31">
      <w:pPr>
        <w:pStyle w:val="ListParagraph"/>
        <w:numPr>
          <w:ilvl w:val="0"/>
          <w:numId w:val="14"/>
        </w:numPr>
        <w:tabs>
          <w:tab w:val="left" w:pos="720"/>
        </w:tabs>
        <w:spacing w:after="200" w:line="480" w:lineRule="auto"/>
        <w:ind w:left="1440" w:hanging="720"/>
        <w:jc w:val="both"/>
        <w:rPr>
          <w:rStyle w:val="LineNumber"/>
          <w:rFonts w:cs="Arial"/>
          <w:sz w:val="24"/>
        </w:rPr>
      </w:pPr>
      <w:r>
        <w:rPr>
          <w:rStyle w:val="LineNumber"/>
          <w:rFonts w:cs="Arial"/>
          <w:sz w:val="24"/>
        </w:rPr>
        <w:t xml:space="preserve">Beginning in 2010, </w:t>
      </w:r>
      <w:r w:rsidR="00ED325C">
        <w:rPr>
          <w:rStyle w:val="LineNumber"/>
          <w:rFonts w:cs="Arial"/>
          <w:sz w:val="24"/>
        </w:rPr>
        <w:t xml:space="preserve">the carrying charges that have accrued on the amounts deferred in AEP-Ohio’s </w:t>
      </w:r>
      <w:r w:rsidR="00CF497D">
        <w:rPr>
          <w:rStyle w:val="LineNumber"/>
          <w:rFonts w:cs="Arial"/>
          <w:sz w:val="24"/>
        </w:rPr>
        <w:t>electric security plan (“</w:t>
      </w:r>
      <w:r w:rsidR="00ED325C">
        <w:rPr>
          <w:rStyle w:val="LineNumber"/>
          <w:rFonts w:cs="Arial"/>
          <w:sz w:val="24"/>
        </w:rPr>
        <w:t>ESP</w:t>
      </w:r>
      <w:r w:rsidR="00CF497D">
        <w:rPr>
          <w:rStyle w:val="LineNumber"/>
          <w:rFonts w:cs="Arial"/>
          <w:sz w:val="24"/>
        </w:rPr>
        <w:t>”)</w:t>
      </w:r>
      <w:r w:rsidR="00ED325C">
        <w:rPr>
          <w:rStyle w:val="LineNumber"/>
          <w:rFonts w:cs="Arial"/>
          <w:sz w:val="24"/>
        </w:rPr>
        <w:t xml:space="preserve"> cas</w:t>
      </w:r>
      <w:r w:rsidR="00EC59FF">
        <w:rPr>
          <w:rStyle w:val="LineNumber"/>
          <w:rFonts w:cs="Arial"/>
          <w:sz w:val="24"/>
        </w:rPr>
        <w:t>e have been overstated and therefore should be reduced</w:t>
      </w:r>
      <w:r w:rsidR="00ED325C">
        <w:rPr>
          <w:rStyle w:val="LineNumber"/>
          <w:rFonts w:cs="Arial"/>
          <w:sz w:val="24"/>
        </w:rPr>
        <w:t>.  Carrying charges should be calculated on deferred balances</w:t>
      </w:r>
      <w:r w:rsidR="001D2E11">
        <w:rPr>
          <w:rStyle w:val="LineNumber"/>
          <w:rFonts w:cs="Arial"/>
          <w:sz w:val="24"/>
        </w:rPr>
        <w:t xml:space="preserve"> that have been</w:t>
      </w:r>
      <w:r w:rsidR="00ED325C">
        <w:rPr>
          <w:rStyle w:val="LineNumber"/>
          <w:rFonts w:cs="Arial"/>
          <w:sz w:val="24"/>
        </w:rPr>
        <w:t xml:space="preserve"> </w:t>
      </w:r>
      <w:r w:rsidR="001D2E11">
        <w:rPr>
          <w:rStyle w:val="LineNumber"/>
          <w:rFonts w:cs="Arial"/>
          <w:sz w:val="24"/>
        </w:rPr>
        <w:t>reduced for the effects of</w:t>
      </w:r>
      <w:r w:rsidR="00ED325C">
        <w:rPr>
          <w:rStyle w:val="LineNumber"/>
          <w:rFonts w:cs="Arial"/>
          <w:sz w:val="24"/>
        </w:rPr>
        <w:t xml:space="preserve"> accumulated def</w:t>
      </w:r>
      <w:r w:rsidR="00B53736">
        <w:rPr>
          <w:rStyle w:val="LineNumber"/>
          <w:rFonts w:cs="Arial"/>
          <w:sz w:val="24"/>
        </w:rPr>
        <w:t xml:space="preserve">erred income taxes (“ADIT”).  </w:t>
      </w:r>
      <w:r w:rsidR="00F8035B">
        <w:rPr>
          <w:rStyle w:val="LineNumber"/>
          <w:rFonts w:cs="Arial"/>
          <w:sz w:val="24"/>
        </w:rPr>
        <w:t xml:space="preserve">I recommend </w:t>
      </w:r>
      <w:r w:rsidR="001B789D">
        <w:rPr>
          <w:rStyle w:val="LineNumber"/>
          <w:rFonts w:cs="Arial"/>
          <w:sz w:val="24"/>
        </w:rPr>
        <w:t xml:space="preserve">that the Commission direct the Company to reduce </w:t>
      </w:r>
      <w:r w:rsidR="00F8035B">
        <w:rPr>
          <w:rStyle w:val="LineNumber"/>
          <w:rFonts w:cs="Arial"/>
          <w:sz w:val="24"/>
        </w:rPr>
        <w:t>the deferred balance</w:t>
      </w:r>
      <w:r w:rsidR="00B53736">
        <w:rPr>
          <w:rStyle w:val="LineNumber"/>
          <w:rFonts w:cs="Arial"/>
          <w:sz w:val="24"/>
        </w:rPr>
        <w:t xml:space="preserve"> that is </w:t>
      </w:r>
      <w:r w:rsidR="00B53736">
        <w:rPr>
          <w:rStyle w:val="LineNumber"/>
          <w:rFonts w:cs="Arial"/>
          <w:sz w:val="24"/>
        </w:rPr>
        <w:lastRenderedPageBreak/>
        <w:t>eligible for collection through the Phase-in Recovery Rider (“PIRR”</w:t>
      </w:r>
      <w:r w:rsidR="003C1DE5">
        <w:rPr>
          <w:rStyle w:val="LineNumber"/>
          <w:rFonts w:cs="Arial"/>
          <w:sz w:val="24"/>
        </w:rPr>
        <w:t xml:space="preserve"> or “Rider PIRR”</w:t>
      </w:r>
      <w:r w:rsidR="00B53736">
        <w:rPr>
          <w:rStyle w:val="LineNumber"/>
          <w:rFonts w:cs="Arial"/>
          <w:sz w:val="24"/>
        </w:rPr>
        <w:t>)</w:t>
      </w:r>
      <w:r w:rsidR="00F8035B">
        <w:rPr>
          <w:rStyle w:val="LineNumber"/>
          <w:rFonts w:cs="Arial"/>
          <w:sz w:val="24"/>
        </w:rPr>
        <w:t xml:space="preserve"> by </w:t>
      </w:r>
      <w:r w:rsidR="00A73E5A">
        <w:rPr>
          <w:rStyle w:val="LineNumber"/>
          <w:rFonts w:cs="Arial"/>
          <w:sz w:val="24"/>
        </w:rPr>
        <w:t xml:space="preserve">approximately </w:t>
      </w:r>
      <w:r w:rsidR="00F8035B" w:rsidRPr="007537A5">
        <w:rPr>
          <w:rStyle w:val="LineNumber"/>
          <w:rFonts w:cs="Arial"/>
          <w:sz w:val="24"/>
        </w:rPr>
        <w:t>$</w:t>
      </w:r>
      <w:r w:rsidR="00977FE4" w:rsidRPr="007537A5">
        <w:rPr>
          <w:rStyle w:val="LineNumber"/>
          <w:rFonts w:cs="Arial"/>
          <w:sz w:val="24"/>
        </w:rPr>
        <w:t>3</w:t>
      </w:r>
      <w:r w:rsidR="008B6023" w:rsidRPr="007537A5">
        <w:rPr>
          <w:rStyle w:val="LineNumber"/>
          <w:rFonts w:cs="Arial"/>
          <w:sz w:val="24"/>
        </w:rPr>
        <w:t>8</w:t>
      </w:r>
      <w:r w:rsidR="00F8035B">
        <w:rPr>
          <w:rStyle w:val="LineNumber"/>
          <w:rFonts w:cs="Arial"/>
          <w:sz w:val="24"/>
        </w:rPr>
        <w:t xml:space="preserve"> million to reflect reduced carrying charges from January 2010 through December 2011, the period of the audits in this proceeding</w:t>
      </w:r>
      <w:r w:rsidR="00DA350D">
        <w:rPr>
          <w:rStyle w:val="LineNumber"/>
          <w:rFonts w:cs="Arial"/>
          <w:sz w:val="24"/>
        </w:rPr>
        <w:t>, and to adjust Rider PIRR accordingly</w:t>
      </w:r>
      <w:r w:rsidR="00CF497D">
        <w:rPr>
          <w:rStyle w:val="LineNumber"/>
          <w:rFonts w:cs="Arial"/>
          <w:sz w:val="24"/>
        </w:rPr>
        <w:t>.</w:t>
      </w:r>
    </w:p>
    <w:p w:rsidR="00B8791F" w:rsidRDefault="001A02E2" w:rsidP="00657E31">
      <w:pPr>
        <w:pStyle w:val="ListParagraph"/>
        <w:numPr>
          <w:ilvl w:val="0"/>
          <w:numId w:val="14"/>
        </w:numPr>
        <w:tabs>
          <w:tab w:val="left" w:pos="720"/>
        </w:tabs>
        <w:spacing w:after="200" w:line="480" w:lineRule="auto"/>
        <w:ind w:left="1440" w:hanging="720"/>
        <w:jc w:val="both"/>
        <w:rPr>
          <w:rStyle w:val="LineNumber"/>
          <w:rFonts w:cs="Arial"/>
          <w:sz w:val="24"/>
        </w:rPr>
      </w:pPr>
      <w:r>
        <w:rPr>
          <w:rStyle w:val="LineNumber"/>
          <w:rFonts w:cs="Arial"/>
          <w:sz w:val="24"/>
        </w:rPr>
        <w:t>The Commission should</w:t>
      </w:r>
      <w:r w:rsidR="00ED64A2" w:rsidRPr="00ED64A2">
        <w:rPr>
          <w:rStyle w:val="LineNumber"/>
          <w:rFonts w:cs="Arial"/>
          <w:sz w:val="24"/>
        </w:rPr>
        <w:t xml:space="preserve"> issue the </w:t>
      </w:r>
      <w:r w:rsidR="00CF497D">
        <w:rPr>
          <w:rStyle w:val="LineNumber"/>
          <w:rFonts w:cs="Arial"/>
          <w:sz w:val="24"/>
        </w:rPr>
        <w:t>request for proposal (“</w:t>
      </w:r>
      <w:r w:rsidR="00ED64A2" w:rsidRPr="00ED64A2">
        <w:rPr>
          <w:rStyle w:val="LineNumber"/>
          <w:rFonts w:cs="Arial"/>
          <w:sz w:val="24"/>
        </w:rPr>
        <w:t>RFP</w:t>
      </w:r>
      <w:r w:rsidR="00CF497D">
        <w:rPr>
          <w:rStyle w:val="LineNumber"/>
          <w:rFonts w:cs="Arial"/>
          <w:sz w:val="24"/>
        </w:rPr>
        <w:t>”)</w:t>
      </w:r>
      <w:r w:rsidR="00ED64A2" w:rsidRPr="00ED64A2">
        <w:rPr>
          <w:rStyle w:val="LineNumber"/>
          <w:rFonts w:cs="Arial"/>
          <w:sz w:val="24"/>
        </w:rPr>
        <w:t xml:space="preserve"> called for in </w:t>
      </w:r>
      <w:r w:rsidR="003C1DE5">
        <w:rPr>
          <w:rStyle w:val="LineNumber"/>
          <w:rFonts w:cs="Arial"/>
          <w:sz w:val="24"/>
        </w:rPr>
        <w:t xml:space="preserve">the </w:t>
      </w:r>
      <w:r w:rsidR="003C1DE5" w:rsidRPr="00EC59FF">
        <w:rPr>
          <w:rStyle w:val="LineNumber"/>
          <w:rFonts w:cs="Arial"/>
          <w:i/>
          <w:sz w:val="24"/>
        </w:rPr>
        <w:t>2009 FAC Case</w:t>
      </w:r>
      <w:r w:rsidR="00ED64A2" w:rsidRPr="00ED64A2">
        <w:rPr>
          <w:rStyle w:val="LineNumber"/>
          <w:rFonts w:cs="Arial"/>
          <w:sz w:val="24"/>
        </w:rPr>
        <w:t xml:space="preserve"> with respect to the value of the coal reserve, as that determination could further affect the </w:t>
      </w:r>
      <w:r w:rsidR="003C1DE5">
        <w:rPr>
          <w:rStyle w:val="LineNumber"/>
          <w:rFonts w:cs="Arial"/>
          <w:sz w:val="24"/>
        </w:rPr>
        <w:t>OP</w:t>
      </w:r>
      <w:r w:rsidR="00E6462D">
        <w:rPr>
          <w:rStyle w:val="LineNumber"/>
          <w:rFonts w:cs="Arial"/>
          <w:sz w:val="24"/>
        </w:rPr>
        <w:t xml:space="preserve"> </w:t>
      </w:r>
      <w:r w:rsidR="00EC59FF">
        <w:rPr>
          <w:rStyle w:val="LineNumber"/>
          <w:rFonts w:cs="Arial"/>
          <w:sz w:val="24"/>
        </w:rPr>
        <w:t>deferred balance</w:t>
      </w:r>
      <w:r w:rsidR="00ED64A2" w:rsidRPr="00ED64A2">
        <w:rPr>
          <w:rStyle w:val="LineNumber"/>
          <w:rFonts w:cs="Arial"/>
          <w:sz w:val="24"/>
        </w:rPr>
        <w:t>.</w:t>
      </w:r>
    </w:p>
    <w:p w:rsidR="00B515AF" w:rsidRPr="00472B75" w:rsidRDefault="001A02E2" w:rsidP="003C665B">
      <w:pPr>
        <w:pStyle w:val="ListParagraph"/>
        <w:numPr>
          <w:ilvl w:val="0"/>
          <w:numId w:val="14"/>
        </w:numPr>
        <w:tabs>
          <w:tab w:val="left" w:pos="1440"/>
        </w:tabs>
        <w:spacing w:after="240" w:line="480" w:lineRule="auto"/>
        <w:ind w:left="1440" w:hanging="720"/>
        <w:jc w:val="both"/>
        <w:rPr>
          <w:rStyle w:val="LineNumber"/>
          <w:rFonts w:cs="Arial"/>
          <w:b/>
          <w:caps/>
          <w:sz w:val="24"/>
          <w:u w:val="single"/>
        </w:rPr>
      </w:pPr>
      <w:r>
        <w:rPr>
          <w:rStyle w:val="LineNumber"/>
          <w:rFonts w:cs="Arial"/>
          <w:sz w:val="24"/>
        </w:rPr>
        <w:t xml:space="preserve">With regard to </w:t>
      </w:r>
      <w:r w:rsidR="0070422E" w:rsidRPr="00472B75">
        <w:rPr>
          <w:rStyle w:val="LineNumber"/>
          <w:rFonts w:cs="Arial"/>
          <w:sz w:val="24"/>
        </w:rPr>
        <w:t xml:space="preserve">the future benefits associated with </w:t>
      </w:r>
      <w:r w:rsidR="0070422E">
        <w:rPr>
          <w:rStyle w:val="LineNumber"/>
          <w:rFonts w:cs="Arial"/>
          <w:sz w:val="24"/>
        </w:rPr>
        <w:t>a coal mining</w:t>
      </w:r>
      <w:r w:rsidR="0070422E" w:rsidRPr="00472B75">
        <w:rPr>
          <w:rStyle w:val="LineNumber"/>
          <w:rFonts w:cs="Arial"/>
          <w:sz w:val="24"/>
        </w:rPr>
        <w:t xml:space="preserve"> </w:t>
      </w:r>
      <w:r w:rsidR="0070422E">
        <w:rPr>
          <w:rStyle w:val="LineNumber"/>
          <w:rFonts w:cs="Arial"/>
          <w:sz w:val="24"/>
        </w:rPr>
        <w:t>c</w:t>
      </w:r>
      <w:r w:rsidR="0070422E" w:rsidRPr="00472B75">
        <w:rPr>
          <w:rStyle w:val="LineNumber"/>
          <w:rFonts w:cs="Arial"/>
          <w:sz w:val="24"/>
        </w:rPr>
        <w:t>ontract arrangement</w:t>
      </w:r>
      <w:r w:rsidR="0070422E">
        <w:rPr>
          <w:rStyle w:val="LineNumber"/>
          <w:rFonts w:cs="Arial"/>
          <w:sz w:val="24"/>
        </w:rPr>
        <w:t xml:space="preserve"> (“2008 Contract Support Agreement”</w:t>
      </w:r>
      <w:r w:rsidR="00A73E5A">
        <w:rPr>
          <w:rStyle w:val="LineNumber"/>
          <w:rFonts w:cs="Arial"/>
          <w:sz w:val="24"/>
        </w:rPr>
        <w:t>, or “Agreement”</w:t>
      </w:r>
      <w:r w:rsidR="0070422E">
        <w:rPr>
          <w:rStyle w:val="LineNumber"/>
          <w:rFonts w:cs="Arial"/>
          <w:sz w:val="24"/>
        </w:rPr>
        <w:t>), which were in exchange for the Company agreeing to pay higher coal costs in 2009</w:t>
      </w:r>
      <w:r>
        <w:rPr>
          <w:rStyle w:val="LineNumber"/>
          <w:rFonts w:cs="Arial"/>
          <w:sz w:val="24"/>
        </w:rPr>
        <w:t>,</w:t>
      </w:r>
      <w:r w:rsidR="0024243F">
        <w:rPr>
          <w:rStyle w:val="LineNumber"/>
          <w:rFonts w:cs="Arial"/>
          <w:sz w:val="24"/>
        </w:rPr>
        <w:t xml:space="preserve"> </w:t>
      </w:r>
      <w:r w:rsidR="007B7475" w:rsidRPr="004D052B">
        <w:rPr>
          <w:rStyle w:val="LineNumber"/>
          <w:rFonts w:cs="Arial"/>
          <w:sz w:val="24"/>
        </w:rPr>
        <w:t xml:space="preserve">I </w:t>
      </w:r>
      <w:r w:rsidR="0070422E">
        <w:rPr>
          <w:rStyle w:val="LineNumber"/>
          <w:rFonts w:cs="Arial"/>
          <w:sz w:val="24"/>
        </w:rPr>
        <w:t xml:space="preserve">recommend that the Commission require the Company to </w:t>
      </w:r>
      <w:r w:rsidR="0070422E">
        <w:rPr>
          <w:rFonts w:ascii="Arial" w:hAnsi="Arial" w:cs="Arial"/>
        </w:rPr>
        <w:t xml:space="preserve">record a regulatory liability for the estimated value of the future customer benefits that will accrue from 2013 through 2018, and to amortize the regulatory liability over the period that the benefits are realized. </w:t>
      </w:r>
      <w:r w:rsidR="004C4D7F">
        <w:rPr>
          <w:rFonts w:ascii="Arial" w:hAnsi="Arial" w:cs="Arial"/>
        </w:rPr>
        <w:t xml:space="preserve"> </w:t>
      </w:r>
      <w:r w:rsidR="0070422E">
        <w:rPr>
          <w:rFonts w:ascii="Arial" w:hAnsi="Arial" w:cs="Arial"/>
        </w:rPr>
        <w:t xml:space="preserve">Alternatively, I </w:t>
      </w:r>
      <w:r w:rsidR="0070422E">
        <w:rPr>
          <w:rStyle w:val="LineNumber"/>
          <w:rFonts w:cs="Arial"/>
          <w:sz w:val="24"/>
        </w:rPr>
        <w:t>recommend</w:t>
      </w:r>
      <w:r w:rsidR="007B7475" w:rsidRPr="004D052B">
        <w:rPr>
          <w:rStyle w:val="LineNumber"/>
          <w:rFonts w:cs="Arial"/>
          <w:sz w:val="24"/>
        </w:rPr>
        <w:t xml:space="preserve"> </w:t>
      </w:r>
      <w:r w:rsidR="00CF497D">
        <w:rPr>
          <w:rStyle w:val="LineNumber"/>
          <w:rFonts w:cs="Arial"/>
          <w:sz w:val="24"/>
        </w:rPr>
        <w:t xml:space="preserve">that </w:t>
      </w:r>
      <w:r w:rsidR="007B7475" w:rsidRPr="004D052B">
        <w:rPr>
          <w:rStyle w:val="LineNumber"/>
          <w:rFonts w:cs="Arial"/>
          <w:sz w:val="24"/>
        </w:rPr>
        <w:t xml:space="preserve">the Commission </w:t>
      </w:r>
      <w:r w:rsidR="00713657">
        <w:rPr>
          <w:rStyle w:val="LineNumber"/>
          <w:rFonts w:cs="Arial"/>
          <w:sz w:val="24"/>
        </w:rPr>
        <w:t>address in the next FAC audit proceeding</w:t>
      </w:r>
      <w:r w:rsidR="0070422E">
        <w:rPr>
          <w:rStyle w:val="LineNumber"/>
          <w:rFonts w:cs="Arial"/>
          <w:sz w:val="24"/>
        </w:rPr>
        <w:t xml:space="preserve"> </w:t>
      </w:r>
      <w:r w:rsidR="0070422E">
        <w:rPr>
          <w:rFonts w:ascii="Arial" w:hAnsi="Arial" w:cs="Arial"/>
        </w:rPr>
        <w:t xml:space="preserve">the </w:t>
      </w:r>
      <w:r w:rsidR="00A73E5A">
        <w:rPr>
          <w:rFonts w:ascii="Arial" w:hAnsi="Arial" w:cs="Arial"/>
        </w:rPr>
        <w:t xml:space="preserve">establishment </w:t>
      </w:r>
      <w:r w:rsidR="0070422E">
        <w:rPr>
          <w:rFonts w:ascii="Arial" w:hAnsi="Arial" w:cs="Arial"/>
        </w:rPr>
        <w:t xml:space="preserve">of a mechanism </w:t>
      </w:r>
      <w:r w:rsidR="0070422E" w:rsidRPr="001774A8">
        <w:rPr>
          <w:rFonts w:ascii="Arial" w:hAnsi="Arial" w:cs="Arial"/>
        </w:rPr>
        <w:t xml:space="preserve">to assure that customers receive all of the benefits from the </w:t>
      </w:r>
      <w:r w:rsidR="0070422E">
        <w:rPr>
          <w:rFonts w:ascii="Arial" w:hAnsi="Arial" w:cs="Arial"/>
        </w:rPr>
        <w:t>Agreement</w:t>
      </w:r>
      <w:r w:rsidR="00F61F40">
        <w:rPr>
          <w:rFonts w:ascii="Arial" w:hAnsi="Arial" w:cs="Arial"/>
        </w:rPr>
        <w:t>.</w:t>
      </w:r>
      <w:r w:rsidR="0070422E" w:rsidRPr="004D052B" w:rsidDel="00713657">
        <w:rPr>
          <w:rStyle w:val="LineNumber"/>
          <w:rFonts w:cs="Arial"/>
          <w:sz w:val="24"/>
        </w:rPr>
        <w:t xml:space="preserve"> </w:t>
      </w:r>
      <w:r w:rsidR="009950C6" w:rsidRPr="004D052B">
        <w:rPr>
          <w:rStyle w:val="LineNumber"/>
          <w:rFonts w:cs="Arial"/>
          <w:sz w:val="24"/>
        </w:rPr>
        <w:t xml:space="preserve"> </w:t>
      </w:r>
    </w:p>
    <w:p w:rsidR="00701A11" w:rsidRPr="00701A11" w:rsidRDefault="0054169E" w:rsidP="00B31775">
      <w:pPr>
        <w:pStyle w:val="Heading1"/>
      </w:pPr>
      <w:r>
        <w:t>CARRYING CHARGES ON THE DEFERRED BALANCE</w:t>
      </w:r>
      <w:r w:rsidR="00A95219">
        <w:t>S</w:t>
      </w:r>
    </w:p>
    <w:p w:rsidR="007F0AA7" w:rsidRPr="00AA6A20" w:rsidRDefault="00A95219" w:rsidP="003C665B">
      <w:pPr>
        <w:spacing w:before="240" w:line="480" w:lineRule="auto"/>
        <w:ind w:left="720" w:hanging="720"/>
        <w:jc w:val="both"/>
        <w:rPr>
          <w:rStyle w:val="LineNumber"/>
          <w:rFonts w:cs="Arial"/>
          <w:b/>
          <w:caps/>
          <w:sz w:val="24"/>
          <w:u w:val="single"/>
        </w:rPr>
      </w:pPr>
      <w:r>
        <w:rPr>
          <w:rStyle w:val="LineNumber"/>
          <w:rFonts w:cs="Arial"/>
          <w:b/>
          <w:sz w:val="24"/>
        </w:rPr>
        <w:t>Q8</w:t>
      </w:r>
      <w:r w:rsidR="00434251">
        <w:rPr>
          <w:rStyle w:val="LineNumber"/>
          <w:rFonts w:cs="Arial"/>
          <w:b/>
          <w:sz w:val="24"/>
        </w:rPr>
        <w:t>.</w:t>
      </w:r>
      <w:r w:rsidR="00434251">
        <w:rPr>
          <w:rStyle w:val="LineNumber"/>
          <w:rFonts w:cs="Arial"/>
          <w:b/>
          <w:sz w:val="24"/>
        </w:rPr>
        <w:tab/>
        <w:t xml:space="preserve">Please </w:t>
      </w:r>
      <w:r w:rsidR="00CC1DD8">
        <w:rPr>
          <w:rStyle w:val="LineNumber"/>
          <w:rFonts w:cs="Arial"/>
          <w:b/>
          <w:sz w:val="24"/>
        </w:rPr>
        <w:t>describe how</w:t>
      </w:r>
      <w:r w:rsidR="00604457">
        <w:rPr>
          <w:rStyle w:val="LineNumber"/>
          <w:rFonts w:cs="Arial"/>
          <w:b/>
          <w:sz w:val="24"/>
        </w:rPr>
        <w:t xml:space="preserve"> the defer</w:t>
      </w:r>
      <w:r w:rsidR="008B6023">
        <w:rPr>
          <w:rStyle w:val="LineNumber"/>
          <w:rFonts w:cs="Arial"/>
          <w:b/>
          <w:sz w:val="24"/>
        </w:rPr>
        <w:t>red balances</w:t>
      </w:r>
      <w:r w:rsidR="00604457">
        <w:rPr>
          <w:rStyle w:val="LineNumber"/>
          <w:rFonts w:cs="Arial"/>
          <w:b/>
          <w:sz w:val="24"/>
        </w:rPr>
        <w:t xml:space="preserve"> that are the subject of these proceedings </w:t>
      </w:r>
      <w:r w:rsidR="002F77C7">
        <w:rPr>
          <w:rStyle w:val="LineNumber"/>
          <w:rFonts w:cs="Arial"/>
          <w:b/>
          <w:sz w:val="24"/>
        </w:rPr>
        <w:t>ca</w:t>
      </w:r>
      <w:r w:rsidR="00604457">
        <w:rPr>
          <w:rStyle w:val="LineNumber"/>
          <w:rFonts w:cs="Arial"/>
          <w:b/>
          <w:sz w:val="24"/>
        </w:rPr>
        <w:t>me about</w:t>
      </w:r>
      <w:r w:rsidR="00CD5F92">
        <w:rPr>
          <w:rStyle w:val="LineNumber"/>
          <w:rFonts w:cs="Arial"/>
          <w:b/>
          <w:sz w:val="24"/>
        </w:rPr>
        <w:t>.</w:t>
      </w:r>
    </w:p>
    <w:p w:rsidR="0057574A" w:rsidRDefault="00A95219" w:rsidP="003C665B">
      <w:pPr>
        <w:spacing w:after="120" w:line="480" w:lineRule="auto"/>
        <w:ind w:left="720" w:hanging="720"/>
        <w:jc w:val="both"/>
        <w:rPr>
          <w:rFonts w:ascii="Arial" w:eastAsiaTheme="minorHAnsi" w:hAnsi="Arial" w:cs="Arial"/>
        </w:rPr>
      </w:pPr>
      <w:r>
        <w:rPr>
          <w:rStyle w:val="LineNumber"/>
          <w:rFonts w:cs="Arial"/>
          <w:sz w:val="24"/>
        </w:rPr>
        <w:t>A8</w:t>
      </w:r>
      <w:r w:rsidR="007F0AA7" w:rsidRPr="00AA6A20">
        <w:rPr>
          <w:rStyle w:val="LineNumber"/>
          <w:rFonts w:cs="Arial"/>
          <w:sz w:val="24"/>
        </w:rPr>
        <w:t>.</w:t>
      </w:r>
      <w:r w:rsidR="007F0AA7" w:rsidRPr="00AA6A20">
        <w:rPr>
          <w:rStyle w:val="LineNumber"/>
          <w:rFonts w:cs="Arial"/>
          <w:sz w:val="24"/>
        </w:rPr>
        <w:tab/>
      </w:r>
      <w:r w:rsidR="00CC1DD8">
        <w:rPr>
          <w:rFonts w:ascii="Arial" w:eastAsiaTheme="minorHAnsi" w:hAnsi="Arial" w:cs="Arial"/>
        </w:rPr>
        <w:t>In AEP-Ohio’s first</w:t>
      </w:r>
      <w:r w:rsidR="00CC1DD8" w:rsidRPr="008C1B24">
        <w:rPr>
          <w:rFonts w:ascii="Arial" w:eastAsiaTheme="minorHAnsi" w:hAnsi="Arial" w:cs="Arial"/>
        </w:rPr>
        <w:t xml:space="preserve"> ESP case</w:t>
      </w:r>
      <w:r w:rsidR="003C1DE5">
        <w:rPr>
          <w:rFonts w:ascii="Arial" w:eastAsiaTheme="minorHAnsi" w:hAnsi="Arial" w:cs="Arial"/>
        </w:rPr>
        <w:t>,</w:t>
      </w:r>
      <w:r w:rsidR="00E464E2">
        <w:rPr>
          <w:rFonts w:ascii="Arial" w:eastAsiaTheme="minorHAnsi" w:hAnsi="Arial" w:cs="Arial"/>
        </w:rPr>
        <w:t xml:space="preserve"> </w:t>
      </w:r>
      <w:r w:rsidR="003C1DE5">
        <w:rPr>
          <w:rFonts w:ascii="Arial" w:eastAsiaTheme="minorHAnsi" w:hAnsi="Arial" w:cs="Arial"/>
        </w:rPr>
        <w:t xml:space="preserve">the </w:t>
      </w:r>
      <w:r w:rsidR="003C1DE5" w:rsidRPr="00EC59FF">
        <w:rPr>
          <w:rFonts w:ascii="Arial" w:eastAsiaTheme="minorHAnsi" w:hAnsi="Arial" w:cs="Arial"/>
          <w:i/>
        </w:rPr>
        <w:t>ESP I Case</w:t>
      </w:r>
      <w:r w:rsidR="003C1DE5">
        <w:rPr>
          <w:rFonts w:ascii="Arial" w:eastAsiaTheme="minorHAnsi" w:hAnsi="Arial" w:cs="Arial"/>
        </w:rPr>
        <w:t>,</w:t>
      </w:r>
      <w:r w:rsidR="00CC1DD8">
        <w:rPr>
          <w:rFonts w:ascii="Arial" w:eastAsiaTheme="minorHAnsi" w:hAnsi="Arial" w:cs="Arial"/>
        </w:rPr>
        <w:t xml:space="preserve"> </w:t>
      </w:r>
      <w:r w:rsidR="00CC1DD8" w:rsidRPr="008C1B24">
        <w:rPr>
          <w:rFonts w:ascii="Arial" w:eastAsiaTheme="minorHAnsi" w:hAnsi="Arial" w:cs="Arial"/>
        </w:rPr>
        <w:t xml:space="preserve">the </w:t>
      </w:r>
      <w:r w:rsidR="00CC1DD8">
        <w:rPr>
          <w:rFonts w:ascii="Arial" w:eastAsiaTheme="minorHAnsi" w:hAnsi="Arial" w:cs="Arial"/>
        </w:rPr>
        <w:t>C</w:t>
      </w:r>
      <w:r w:rsidR="00CC1DD8" w:rsidRPr="008C1B24">
        <w:rPr>
          <w:rFonts w:ascii="Arial" w:eastAsiaTheme="minorHAnsi" w:hAnsi="Arial" w:cs="Arial"/>
        </w:rPr>
        <w:t>ommission authorized AEP</w:t>
      </w:r>
      <w:r w:rsidR="00CC1DD8">
        <w:rPr>
          <w:rFonts w:ascii="Arial" w:eastAsiaTheme="minorHAnsi" w:hAnsi="Arial" w:cs="Arial"/>
        </w:rPr>
        <w:t>-Ohio</w:t>
      </w:r>
      <w:r w:rsidR="00CC1DD8" w:rsidRPr="008C1B24">
        <w:rPr>
          <w:rFonts w:ascii="Arial" w:eastAsiaTheme="minorHAnsi" w:hAnsi="Arial" w:cs="Arial"/>
        </w:rPr>
        <w:t xml:space="preserve"> to increase</w:t>
      </w:r>
      <w:r w:rsidR="0057591A">
        <w:rPr>
          <w:rFonts w:ascii="Arial" w:eastAsiaTheme="minorHAnsi" w:hAnsi="Arial" w:cs="Arial"/>
        </w:rPr>
        <w:t xml:space="preserve"> ra</w:t>
      </w:r>
      <w:r w:rsidR="00434251">
        <w:rPr>
          <w:rFonts w:ascii="Arial" w:eastAsiaTheme="minorHAnsi" w:hAnsi="Arial" w:cs="Arial"/>
        </w:rPr>
        <w:t xml:space="preserve">tes by a total dollar amount </w:t>
      </w:r>
      <w:r w:rsidR="009E460F">
        <w:rPr>
          <w:rFonts w:ascii="Arial" w:eastAsiaTheme="minorHAnsi" w:hAnsi="Arial" w:cs="Arial"/>
        </w:rPr>
        <w:t xml:space="preserve">subject to </w:t>
      </w:r>
      <w:r w:rsidR="0057591A">
        <w:rPr>
          <w:rFonts w:ascii="Arial" w:eastAsiaTheme="minorHAnsi" w:hAnsi="Arial" w:cs="Arial"/>
        </w:rPr>
        <w:t>a rate cap</w:t>
      </w:r>
      <w:r w:rsidR="009E460F">
        <w:rPr>
          <w:rFonts w:ascii="Arial" w:eastAsiaTheme="minorHAnsi" w:hAnsi="Arial" w:cs="Arial"/>
        </w:rPr>
        <w:t xml:space="preserve"> that limited the amount of the increase AEP-Ohio could collect during the </w:t>
      </w:r>
      <w:r w:rsidR="00FD0ED5">
        <w:rPr>
          <w:rFonts w:ascii="Arial" w:eastAsiaTheme="minorHAnsi" w:hAnsi="Arial" w:cs="Arial"/>
        </w:rPr>
        <w:t xml:space="preserve">term of the </w:t>
      </w:r>
      <w:r w:rsidR="009E460F">
        <w:rPr>
          <w:rFonts w:ascii="Arial" w:eastAsiaTheme="minorHAnsi" w:hAnsi="Arial" w:cs="Arial"/>
        </w:rPr>
        <w:t>ESP</w:t>
      </w:r>
      <w:r w:rsidR="00FD0ED5">
        <w:rPr>
          <w:rFonts w:ascii="Arial" w:eastAsiaTheme="minorHAnsi" w:hAnsi="Arial" w:cs="Arial"/>
        </w:rPr>
        <w:t xml:space="preserve"> </w:t>
      </w:r>
      <w:r w:rsidR="00FD0ED5">
        <w:rPr>
          <w:rFonts w:ascii="Arial" w:eastAsiaTheme="minorHAnsi" w:hAnsi="Arial" w:cs="Arial"/>
        </w:rPr>
        <w:lastRenderedPageBreak/>
        <w:t>from 2009 through 2011</w:t>
      </w:r>
      <w:r w:rsidR="0057591A">
        <w:rPr>
          <w:rFonts w:ascii="Arial" w:eastAsiaTheme="minorHAnsi" w:hAnsi="Arial" w:cs="Arial"/>
        </w:rPr>
        <w:t>.</w:t>
      </w:r>
      <w:r w:rsidR="00CC1DD8">
        <w:rPr>
          <w:rFonts w:ascii="Arial" w:eastAsiaTheme="minorHAnsi" w:hAnsi="Arial" w:cs="Arial"/>
        </w:rPr>
        <w:t xml:space="preserve"> </w:t>
      </w:r>
      <w:r w:rsidR="00840E4A">
        <w:rPr>
          <w:rFonts w:ascii="Arial" w:eastAsiaTheme="minorHAnsi" w:hAnsi="Arial" w:cs="Arial"/>
        </w:rPr>
        <w:t xml:space="preserve"> </w:t>
      </w:r>
      <w:r w:rsidR="00CC1DD8" w:rsidRPr="00434251">
        <w:rPr>
          <w:rFonts w:ascii="Arial" w:eastAsiaTheme="minorHAnsi" w:hAnsi="Arial" w:cs="Arial"/>
        </w:rPr>
        <w:t xml:space="preserve">The </w:t>
      </w:r>
      <w:r w:rsidR="00FD0ED5">
        <w:rPr>
          <w:rFonts w:ascii="Arial" w:eastAsiaTheme="minorHAnsi" w:hAnsi="Arial" w:cs="Arial"/>
        </w:rPr>
        <w:t>amount</w:t>
      </w:r>
      <w:r w:rsidR="00CC1DD8" w:rsidRPr="00434251">
        <w:rPr>
          <w:rFonts w:ascii="Arial" w:eastAsiaTheme="minorHAnsi" w:hAnsi="Arial" w:cs="Arial"/>
        </w:rPr>
        <w:t xml:space="preserve"> </w:t>
      </w:r>
      <w:r w:rsidR="00840E4A" w:rsidRPr="00434251">
        <w:rPr>
          <w:rFonts w:ascii="Arial" w:eastAsiaTheme="minorHAnsi" w:hAnsi="Arial" w:cs="Arial"/>
        </w:rPr>
        <w:t xml:space="preserve">of the total increase </w:t>
      </w:r>
      <w:r w:rsidR="00CC1DD8" w:rsidRPr="00434251">
        <w:rPr>
          <w:rFonts w:ascii="Arial" w:eastAsiaTheme="minorHAnsi" w:hAnsi="Arial" w:cs="Arial"/>
        </w:rPr>
        <w:t xml:space="preserve">subject to future collection depended on the level of revenue collected by AEP-Ohio during the term of the ESP relative to </w:t>
      </w:r>
      <w:r w:rsidR="00621A3D">
        <w:rPr>
          <w:rFonts w:ascii="Arial" w:eastAsiaTheme="minorHAnsi" w:hAnsi="Arial" w:cs="Arial"/>
        </w:rPr>
        <w:t>the amount the Commission could</w:t>
      </w:r>
      <w:r w:rsidR="00CC1DD8" w:rsidRPr="00434251">
        <w:rPr>
          <w:rFonts w:ascii="Arial" w:eastAsiaTheme="minorHAnsi" w:hAnsi="Arial" w:cs="Arial"/>
        </w:rPr>
        <w:t xml:space="preserve"> authorize AEP-Ohio to collect and the appropriateness of AEP-Ohio’s accounting regarding the deferr</w:t>
      </w:r>
      <w:r w:rsidR="008B6023">
        <w:rPr>
          <w:rFonts w:ascii="Arial" w:eastAsiaTheme="minorHAnsi" w:hAnsi="Arial" w:cs="Arial"/>
        </w:rPr>
        <w:t>ed balance</w:t>
      </w:r>
      <w:r w:rsidR="00EC59FF">
        <w:rPr>
          <w:rFonts w:ascii="Arial" w:eastAsiaTheme="minorHAnsi" w:hAnsi="Arial" w:cs="Arial"/>
        </w:rPr>
        <w:t>s</w:t>
      </w:r>
      <w:r w:rsidR="00CC1DD8" w:rsidRPr="00434251">
        <w:rPr>
          <w:rFonts w:ascii="Arial" w:eastAsiaTheme="minorHAnsi" w:hAnsi="Arial" w:cs="Arial"/>
        </w:rPr>
        <w:t xml:space="preserve">. </w:t>
      </w:r>
      <w:r w:rsidR="00845CB9">
        <w:rPr>
          <w:rFonts w:ascii="Arial" w:eastAsiaTheme="minorHAnsi" w:hAnsi="Arial" w:cs="Arial"/>
        </w:rPr>
        <w:t xml:space="preserve"> </w:t>
      </w:r>
      <w:r w:rsidR="00FD0ED5">
        <w:rPr>
          <w:rFonts w:ascii="Arial" w:eastAsiaTheme="minorHAnsi" w:hAnsi="Arial" w:cs="Arial"/>
        </w:rPr>
        <w:t xml:space="preserve">In addition, </w:t>
      </w:r>
      <w:r w:rsidR="002F04CC">
        <w:rPr>
          <w:rFonts w:ascii="Arial" w:eastAsiaTheme="minorHAnsi" w:hAnsi="Arial" w:cs="Arial"/>
        </w:rPr>
        <w:t xml:space="preserve">the total increase was subject to a variety of future adjustments to determine the total amount of revenue that could be recovered.  </w:t>
      </w:r>
      <w:r w:rsidR="00CC1DD8" w:rsidRPr="00434251">
        <w:rPr>
          <w:rFonts w:ascii="Arial" w:eastAsiaTheme="minorHAnsi" w:hAnsi="Arial" w:cs="Arial"/>
        </w:rPr>
        <w:t>The Commission held that it would determine the amount of the deferr</w:t>
      </w:r>
      <w:r w:rsidR="008B6023">
        <w:rPr>
          <w:rFonts w:ascii="Arial" w:eastAsiaTheme="minorHAnsi" w:hAnsi="Arial" w:cs="Arial"/>
        </w:rPr>
        <w:t>ed balance</w:t>
      </w:r>
      <w:r w:rsidR="00EC59FF">
        <w:rPr>
          <w:rFonts w:ascii="Arial" w:eastAsiaTheme="minorHAnsi" w:hAnsi="Arial" w:cs="Arial"/>
        </w:rPr>
        <w:t>s</w:t>
      </w:r>
      <w:r w:rsidR="00CC1DD8" w:rsidRPr="00434251">
        <w:rPr>
          <w:rFonts w:ascii="Arial" w:eastAsiaTheme="minorHAnsi" w:hAnsi="Arial" w:cs="Arial"/>
        </w:rPr>
        <w:t xml:space="preserve"> eligible for recovery at the conclusion of the ESP.</w:t>
      </w:r>
      <w:r w:rsidR="00840E4A">
        <w:rPr>
          <w:rFonts w:ascii="Arial" w:eastAsiaTheme="minorHAnsi" w:hAnsi="Arial" w:cs="Arial"/>
        </w:rPr>
        <w:t xml:space="preserve">  </w:t>
      </w:r>
    </w:p>
    <w:p w:rsidR="00A73E5A" w:rsidRDefault="002F04CC" w:rsidP="007F401D">
      <w:pPr>
        <w:spacing w:after="120" w:line="480" w:lineRule="auto"/>
        <w:ind w:left="720"/>
        <w:jc w:val="both"/>
        <w:rPr>
          <w:rFonts w:ascii="Arial" w:eastAsia="Calibri" w:hAnsi="Arial" w:cs="Arial"/>
        </w:rPr>
      </w:pPr>
      <w:r>
        <w:rPr>
          <w:rFonts w:ascii="Arial" w:eastAsiaTheme="minorHAnsi" w:hAnsi="Arial" w:cs="Arial"/>
        </w:rPr>
        <w:t>AEP-Ohio filed an application in</w:t>
      </w:r>
      <w:r w:rsidR="001A4C3C" w:rsidRPr="008C1B24">
        <w:rPr>
          <w:rFonts w:ascii="Arial" w:eastAsiaTheme="minorHAnsi" w:hAnsi="Arial" w:cs="Arial"/>
        </w:rPr>
        <w:t xml:space="preserve"> a separate proceeding</w:t>
      </w:r>
      <w:r w:rsidR="003C1DE5">
        <w:rPr>
          <w:rFonts w:ascii="Arial" w:eastAsiaTheme="minorHAnsi" w:hAnsi="Arial" w:cs="Arial"/>
        </w:rPr>
        <w:t>,</w:t>
      </w:r>
      <w:r w:rsidR="001A4C3C" w:rsidRPr="008C1B24">
        <w:rPr>
          <w:rFonts w:ascii="Arial" w:eastAsiaTheme="minorHAnsi" w:hAnsi="Arial" w:cs="Arial"/>
        </w:rPr>
        <w:t xml:space="preserve"> </w:t>
      </w:r>
      <w:r w:rsidR="003C1DE5">
        <w:rPr>
          <w:rFonts w:ascii="Arial" w:eastAsia="Calibri" w:hAnsi="Arial" w:cs="Arial"/>
        </w:rPr>
        <w:t xml:space="preserve">the </w:t>
      </w:r>
      <w:r w:rsidR="003C1DE5" w:rsidRPr="00EC59FF">
        <w:rPr>
          <w:rFonts w:ascii="Arial" w:eastAsia="Calibri" w:hAnsi="Arial" w:cs="Arial"/>
          <w:i/>
        </w:rPr>
        <w:t xml:space="preserve">PIRR </w:t>
      </w:r>
      <w:r w:rsidR="003C1DE5" w:rsidRPr="003C1DE5">
        <w:rPr>
          <w:rFonts w:ascii="Arial" w:eastAsia="Calibri" w:hAnsi="Arial" w:cs="Arial"/>
          <w:i/>
        </w:rPr>
        <w:t>Case</w:t>
      </w:r>
      <w:r w:rsidR="003C1DE5">
        <w:rPr>
          <w:rFonts w:ascii="Arial" w:eastAsiaTheme="minorHAnsi" w:hAnsi="Arial" w:cs="Arial"/>
        </w:rPr>
        <w:t>, which</w:t>
      </w:r>
      <w:r w:rsidR="002727CA">
        <w:rPr>
          <w:rFonts w:ascii="Arial" w:eastAsiaTheme="minorHAnsi" w:hAnsi="Arial" w:cs="Arial"/>
        </w:rPr>
        <w:t xml:space="preserve"> sought authorization to begin </w:t>
      </w:r>
      <w:r w:rsidR="001A4C3C">
        <w:rPr>
          <w:rFonts w:ascii="Arial" w:eastAsiaTheme="minorHAnsi" w:hAnsi="Arial" w:cs="Arial"/>
        </w:rPr>
        <w:t>amortization of the deferr</w:t>
      </w:r>
      <w:r w:rsidR="008B6023">
        <w:rPr>
          <w:rFonts w:ascii="Arial" w:eastAsiaTheme="minorHAnsi" w:hAnsi="Arial" w:cs="Arial"/>
        </w:rPr>
        <w:t>ed balance</w:t>
      </w:r>
      <w:r w:rsidR="00EC59FF">
        <w:rPr>
          <w:rFonts w:ascii="Arial" w:eastAsiaTheme="minorHAnsi" w:hAnsi="Arial" w:cs="Arial"/>
        </w:rPr>
        <w:t>s</w:t>
      </w:r>
      <w:r w:rsidR="0081720C">
        <w:rPr>
          <w:rFonts w:ascii="Arial" w:eastAsiaTheme="minorHAnsi" w:hAnsi="Arial" w:cs="Arial"/>
        </w:rPr>
        <w:t>.</w:t>
      </w:r>
      <w:r w:rsidR="001A4C3C">
        <w:rPr>
          <w:rFonts w:ascii="Arial" w:eastAsiaTheme="minorHAnsi" w:hAnsi="Arial" w:cs="Arial"/>
        </w:rPr>
        <w:t xml:space="preserve">  </w:t>
      </w:r>
    </w:p>
    <w:p w:rsidR="00966FA5" w:rsidRDefault="002766AE">
      <w:pPr>
        <w:spacing w:after="240" w:line="480" w:lineRule="auto"/>
        <w:ind w:left="720"/>
        <w:jc w:val="both"/>
        <w:rPr>
          <w:rFonts w:ascii="Arial" w:eastAsiaTheme="minorHAnsi" w:hAnsi="Arial" w:cs="Arial"/>
        </w:rPr>
      </w:pPr>
      <w:r>
        <w:rPr>
          <w:rFonts w:ascii="Arial" w:eastAsiaTheme="minorHAnsi" w:hAnsi="Arial" w:cs="Arial"/>
        </w:rPr>
        <w:t xml:space="preserve">AEP-Ohio’s accrual of carrying charges on deferred amounts </w:t>
      </w:r>
      <w:r w:rsidR="001D2E11">
        <w:rPr>
          <w:rFonts w:ascii="Arial" w:eastAsiaTheme="minorHAnsi" w:hAnsi="Arial" w:cs="Arial"/>
        </w:rPr>
        <w:t>not adjusted to account for</w:t>
      </w:r>
      <w:r>
        <w:rPr>
          <w:rFonts w:ascii="Arial" w:eastAsiaTheme="minorHAnsi" w:hAnsi="Arial" w:cs="Arial"/>
        </w:rPr>
        <w:t xml:space="preserve"> ADIT has been </w:t>
      </w:r>
      <w:r w:rsidR="001D2E11">
        <w:rPr>
          <w:rFonts w:ascii="Arial" w:eastAsiaTheme="minorHAnsi" w:hAnsi="Arial" w:cs="Arial"/>
        </w:rPr>
        <w:t>disputed</w:t>
      </w:r>
      <w:r>
        <w:rPr>
          <w:rFonts w:ascii="Arial" w:eastAsiaTheme="minorHAnsi" w:hAnsi="Arial" w:cs="Arial"/>
        </w:rPr>
        <w:t xml:space="preserve"> in different </w:t>
      </w:r>
      <w:r w:rsidR="00845CB9">
        <w:rPr>
          <w:rFonts w:ascii="Arial" w:eastAsiaTheme="minorHAnsi" w:hAnsi="Arial" w:cs="Arial"/>
        </w:rPr>
        <w:t xml:space="preserve">Commission </w:t>
      </w:r>
      <w:r>
        <w:rPr>
          <w:rFonts w:ascii="Arial" w:eastAsiaTheme="minorHAnsi" w:hAnsi="Arial" w:cs="Arial"/>
        </w:rPr>
        <w:t>proceedings and is currently on appeal to the Ohio Supreme Court.</w:t>
      </w:r>
      <w:r w:rsidR="002702F7">
        <w:rPr>
          <w:rFonts w:ascii="Arial" w:eastAsiaTheme="minorHAnsi" w:hAnsi="Arial" w:cs="Arial"/>
        </w:rPr>
        <w:t xml:space="preserve"> </w:t>
      </w:r>
      <w:r w:rsidR="002702F7" w:rsidRPr="008C1B24">
        <w:rPr>
          <w:rFonts w:ascii="Arial" w:eastAsiaTheme="minorHAnsi" w:hAnsi="Arial" w:cs="Arial"/>
        </w:rPr>
        <w:t xml:space="preserve"> </w:t>
      </w:r>
      <w:r w:rsidR="002702F7">
        <w:rPr>
          <w:rFonts w:ascii="Arial" w:eastAsiaTheme="minorHAnsi" w:hAnsi="Arial" w:cs="Arial"/>
        </w:rPr>
        <w:t xml:space="preserve">As </w:t>
      </w:r>
      <w:r w:rsidR="000765D9">
        <w:rPr>
          <w:rFonts w:ascii="Arial" w:eastAsiaTheme="minorHAnsi" w:hAnsi="Arial" w:cs="Arial"/>
        </w:rPr>
        <w:t xml:space="preserve">is </w:t>
      </w:r>
      <w:r w:rsidR="002702F7">
        <w:rPr>
          <w:rFonts w:ascii="Arial" w:eastAsiaTheme="minorHAnsi" w:hAnsi="Arial" w:cs="Arial"/>
        </w:rPr>
        <w:t>evident from comments</w:t>
      </w:r>
      <w:r w:rsidR="00845CB9">
        <w:rPr>
          <w:rFonts w:ascii="Arial" w:eastAsiaTheme="minorHAnsi" w:hAnsi="Arial" w:cs="Arial"/>
        </w:rPr>
        <w:t xml:space="preserve"> filed</w:t>
      </w:r>
      <w:r>
        <w:rPr>
          <w:rFonts w:ascii="Arial" w:eastAsiaTheme="minorHAnsi" w:hAnsi="Arial" w:cs="Arial"/>
        </w:rPr>
        <w:t xml:space="preserve"> in the </w:t>
      </w:r>
      <w:r w:rsidRPr="00EC59FF">
        <w:rPr>
          <w:rFonts w:ascii="Arial" w:eastAsiaTheme="minorHAnsi" w:hAnsi="Arial" w:cs="Arial"/>
          <w:i/>
        </w:rPr>
        <w:t xml:space="preserve">PIRR </w:t>
      </w:r>
      <w:r w:rsidR="003C1DE5" w:rsidRPr="00EC59FF">
        <w:rPr>
          <w:rFonts w:ascii="Arial" w:eastAsiaTheme="minorHAnsi" w:hAnsi="Arial" w:cs="Arial"/>
          <w:i/>
        </w:rPr>
        <w:t>Case</w:t>
      </w:r>
      <w:r w:rsidR="002702F7">
        <w:rPr>
          <w:rFonts w:ascii="Arial" w:eastAsiaTheme="minorHAnsi" w:hAnsi="Arial" w:cs="Arial"/>
        </w:rPr>
        <w:t xml:space="preserve">, </w:t>
      </w:r>
      <w:r w:rsidR="002702F7" w:rsidRPr="008C1B24">
        <w:rPr>
          <w:rFonts w:ascii="Arial" w:eastAsiaTheme="minorHAnsi" w:hAnsi="Arial" w:cs="Arial"/>
        </w:rPr>
        <w:t>testimo</w:t>
      </w:r>
      <w:r w:rsidR="002702F7">
        <w:rPr>
          <w:rFonts w:ascii="Arial" w:eastAsiaTheme="minorHAnsi" w:hAnsi="Arial" w:cs="Arial"/>
        </w:rPr>
        <w:t xml:space="preserve">ny of </w:t>
      </w:r>
      <w:r w:rsidR="00845CB9">
        <w:rPr>
          <w:rFonts w:ascii="Arial" w:eastAsiaTheme="minorHAnsi" w:hAnsi="Arial" w:cs="Arial"/>
        </w:rPr>
        <w:t xml:space="preserve">Commission </w:t>
      </w:r>
      <w:r w:rsidR="002702F7">
        <w:rPr>
          <w:rFonts w:ascii="Arial" w:eastAsiaTheme="minorHAnsi" w:hAnsi="Arial" w:cs="Arial"/>
        </w:rPr>
        <w:t>Staff witnesses,</w:t>
      </w:r>
      <w:r w:rsidR="002702F7">
        <w:rPr>
          <w:rStyle w:val="FootnoteReference"/>
          <w:rFonts w:ascii="Arial" w:eastAsiaTheme="minorHAnsi" w:hAnsi="Arial" w:cs="Arial"/>
        </w:rPr>
        <w:footnoteReference w:id="4"/>
      </w:r>
      <w:r w:rsidR="002702F7">
        <w:rPr>
          <w:rFonts w:ascii="Arial" w:eastAsiaTheme="minorHAnsi" w:hAnsi="Arial" w:cs="Arial"/>
        </w:rPr>
        <w:t xml:space="preserve"> </w:t>
      </w:r>
      <w:r w:rsidR="005404EB">
        <w:rPr>
          <w:rFonts w:ascii="Arial" w:eastAsiaTheme="minorHAnsi" w:hAnsi="Arial" w:cs="Arial"/>
        </w:rPr>
        <w:t xml:space="preserve">the current </w:t>
      </w:r>
      <w:r w:rsidR="002702F7">
        <w:rPr>
          <w:rFonts w:ascii="Arial" w:eastAsiaTheme="minorHAnsi" w:hAnsi="Arial" w:cs="Arial"/>
        </w:rPr>
        <w:t>fuel</w:t>
      </w:r>
      <w:r w:rsidR="002702F7" w:rsidRPr="008C1B24">
        <w:rPr>
          <w:rFonts w:ascii="Arial" w:eastAsiaTheme="minorHAnsi" w:hAnsi="Arial" w:cs="Arial"/>
        </w:rPr>
        <w:t xml:space="preserve"> audit reports,</w:t>
      </w:r>
      <w:r w:rsidR="00751789">
        <w:rPr>
          <w:rFonts w:ascii="Arial" w:eastAsiaTheme="minorHAnsi" w:hAnsi="Arial" w:cs="Arial"/>
        </w:rPr>
        <w:t xml:space="preserve"> </w:t>
      </w:r>
      <w:r w:rsidR="002702F7" w:rsidRPr="008C1B24">
        <w:rPr>
          <w:rFonts w:ascii="Arial" w:eastAsiaTheme="minorHAnsi" w:hAnsi="Arial" w:cs="Arial"/>
        </w:rPr>
        <w:t>the Commission’s</w:t>
      </w:r>
      <w:r w:rsidR="002702F7">
        <w:rPr>
          <w:rStyle w:val="FootnoteReference"/>
          <w:rFonts w:ascii="Arial" w:eastAsiaTheme="minorHAnsi" w:hAnsi="Arial" w:cs="Arial"/>
        </w:rPr>
        <w:footnoteReference w:id="5"/>
      </w:r>
      <w:r w:rsidR="002702F7">
        <w:rPr>
          <w:rFonts w:ascii="Arial" w:eastAsiaTheme="minorHAnsi" w:hAnsi="Arial" w:cs="Arial"/>
        </w:rPr>
        <w:t xml:space="preserve"> and Supreme Court of Ohio’s</w:t>
      </w:r>
      <w:r w:rsidR="002702F7">
        <w:rPr>
          <w:rStyle w:val="FootnoteReference"/>
          <w:rFonts w:ascii="Arial" w:eastAsiaTheme="minorHAnsi" w:hAnsi="Arial" w:cs="Arial"/>
        </w:rPr>
        <w:footnoteReference w:id="6"/>
      </w:r>
      <w:r w:rsidR="002702F7">
        <w:rPr>
          <w:rFonts w:ascii="Arial" w:eastAsiaTheme="minorHAnsi" w:hAnsi="Arial" w:cs="Arial"/>
        </w:rPr>
        <w:t xml:space="preserve"> past precedent</w:t>
      </w:r>
      <w:r w:rsidR="002702F7" w:rsidRPr="008C1B24">
        <w:rPr>
          <w:rFonts w:ascii="Arial" w:eastAsiaTheme="minorHAnsi" w:hAnsi="Arial" w:cs="Arial"/>
        </w:rPr>
        <w:t xml:space="preserve"> and practice</w:t>
      </w:r>
      <w:r w:rsidR="00CA79CC">
        <w:rPr>
          <w:rFonts w:ascii="Arial" w:eastAsiaTheme="minorHAnsi" w:hAnsi="Arial" w:cs="Arial"/>
        </w:rPr>
        <w:t>,</w:t>
      </w:r>
      <w:r w:rsidR="002702F7" w:rsidRPr="008C1B24">
        <w:rPr>
          <w:rFonts w:ascii="Arial" w:eastAsiaTheme="minorHAnsi" w:hAnsi="Arial" w:cs="Arial"/>
        </w:rPr>
        <w:t xml:space="preserve"> </w:t>
      </w:r>
      <w:r w:rsidR="00CA79CC">
        <w:rPr>
          <w:rFonts w:ascii="Arial" w:eastAsiaTheme="minorHAnsi" w:hAnsi="Arial" w:cs="Arial"/>
        </w:rPr>
        <w:t>testimony of</w:t>
      </w:r>
      <w:r w:rsidR="00B53736">
        <w:rPr>
          <w:rFonts w:ascii="Arial" w:eastAsiaTheme="minorHAnsi" w:hAnsi="Arial" w:cs="Arial"/>
        </w:rPr>
        <w:t xml:space="preserve"> </w:t>
      </w:r>
      <w:r w:rsidR="00EC59FF">
        <w:rPr>
          <w:rFonts w:ascii="Arial" w:eastAsiaTheme="minorHAnsi" w:hAnsi="Arial" w:cs="Arial"/>
        </w:rPr>
        <w:t>AEP-Ohio’s</w:t>
      </w:r>
      <w:r w:rsidR="00CA79CC">
        <w:rPr>
          <w:rFonts w:ascii="Arial" w:eastAsiaTheme="minorHAnsi" w:hAnsi="Arial" w:cs="Arial"/>
        </w:rPr>
        <w:t xml:space="preserve"> affiliated companies in other </w:t>
      </w:r>
      <w:r w:rsidR="00CA79CC">
        <w:rPr>
          <w:rFonts w:ascii="Arial" w:eastAsiaTheme="minorHAnsi" w:hAnsi="Arial" w:cs="Arial"/>
        </w:rPr>
        <w:lastRenderedPageBreak/>
        <w:t>jurisdictions</w:t>
      </w:r>
      <w:r w:rsidR="002702F7" w:rsidRPr="008C1B24">
        <w:rPr>
          <w:rFonts w:ascii="Arial" w:eastAsiaTheme="minorHAnsi" w:hAnsi="Arial" w:cs="Arial"/>
        </w:rPr>
        <w:t>,</w:t>
      </w:r>
      <w:r w:rsidR="002702F7">
        <w:rPr>
          <w:rStyle w:val="FootnoteReference"/>
          <w:rFonts w:ascii="Arial" w:eastAsiaTheme="minorHAnsi" w:hAnsi="Arial" w:cs="Arial"/>
        </w:rPr>
        <w:footnoteReference w:id="7"/>
      </w:r>
      <w:r w:rsidR="001D2E11">
        <w:rPr>
          <w:rFonts w:ascii="Arial" w:eastAsiaTheme="minorHAnsi" w:hAnsi="Arial" w:cs="Arial"/>
        </w:rPr>
        <w:t xml:space="preserve"> and</w:t>
      </w:r>
      <w:r w:rsidR="00387D35">
        <w:rPr>
          <w:rFonts w:ascii="Arial" w:eastAsiaTheme="minorHAnsi" w:hAnsi="Arial" w:cs="Arial"/>
        </w:rPr>
        <w:t xml:space="preserve"> sound regulatory</w:t>
      </w:r>
      <w:r w:rsidR="002702F7" w:rsidRPr="008C1B24">
        <w:rPr>
          <w:rFonts w:ascii="Arial" w:eastAsiaTheme="minorHAnsi" w:hAnsi="Arial" w:cs="Arial"/>
        </w:rPr>
        <w:t xml:space="preserve"> principles require the recognition of tax benefits avai</w:t>
      </w:r>
      <w:r w:rsidR="002702F7">
        <w:rPr>
          <w:rFonts w:ascii="Arial" w:eastAsiaTheme="minorHAnsi" w:hAnsi="Arial" w:cs="Arial"/>
        </w:rPr>
        <w:t>lable to the utility</w:t>
      </w:r>
      <w:r w:rsidR="002702F7" w:rsidRPr="008C1B24">
        <w:rPr>
          <w:rFonts w:ascii="Arial" w:eastAsiaTheme="minorHAnsi" w:hAnsi="Arial" w:cs="Arial"/>
        </w:rPr>
        <w:t xml:space="preserve"> in determining </w:t>
      </w:r>
      <w:r w:rsidR="002702F7">
        <w:rPr>
          <w:rFonts w:ascii="Arial" w:eastAsiaTheme="minorHAnsi" w:hAnsi="Arial" w:cs="Arial"/>
        </w:rPr>
        <w:t>carrying charges</w:t>
      </w:r>
      <w:r w:rsidR="0081720C">
        <w:rPr>
          <w:rFonts w:ascii="Arial" w:eastAsiaTheme="minorHAnsi" w:hAnsi="Arial" w:cs="Arial"/>
        </w:rPr>
        <w:t>.</w:t>
      </w:r>
      <w:r w:rsidR="002702F7" w:rsidRPr="008C1B24">
        <w:rPr>
          <w:rFonts w:ascii="Arial" w:eastAsiaTheme="minorHAnsi" w:hAnsi="Arial" w:cs="Arial"/>
        </w:rPr>
        <w:t xml:space="preserve"> </w:t>
      </w:r>
      <w:r w:rsidR="002702F7">
        <w:rPr>
          <w:rFonts w:ascii="Arial" w:eastAsiaTheme="minorHAnsi" w:hAnsi="Arial" w:cs="Arial"/>
        </w:rPr>
        <w:t xml:space="preserve"> </w:t>
      </w:r>
      <w:r w:rsidR="002702F7" w:rsidRPr="008C1B24">
        <w:rPr>
          <w:rFonts w:ascii="Arial" w:eastAsiaTheme="minorHAnsi" w:hAnsi="Arial" w:cs="Arial"/>
        </w:rPr>
        <w:t>One of those tax benefits is refl</w:t>
      </w:r>
      <w:r w:rsidR="002702F7">
        <w:rPr>
          <w:rFonts w:ascii="Arial" w:eastAsiaTheme="minorHAnsi" w:hAnsi="Arial" w:cs="Arial"/>
        </w:rPr>
        <w:t>ected in ADI</w:t>
      </w:r>
      <w:r w:rsidR="002702F7" w:rsidRPr="008C1B24">
        <w:rPr>
          <w:rFonts w:ascii="Arial" w:eastAsiaTheme="minorHAnsi" w:hAnsi="Arial" w:cs="Arial"/>
        </w:rPr>
        <w:t>T.</w:t>
      </w:r>
      <w:r w:rsidR="00300C9B">
        <w:rPr>
          <w:rFonts w:ascii="Arial" w:eastAsiaTheme="minorHAnsi" w:hAnsi="Arial" w:cs="Arial"/>
        </w:rPr>
        <w:t xml:space="preserve">  On August 1, 2012</w:t>
      </w:r>
      <w:r w:rsidR="00277BE3">
        <w:rPr>
          <w:rFonts w:ascii="Arial" w:eastAsiaTheme="minorHAnsi" w:hAnsi="Arial" w:cs="Arial"/>
        </w:rPr>
        <w:t>,</w:t>
      </w:r>
      <w:r w:rsidR="00300C9B" w:rsidRPr="008C1B24">
        <w:rPr>
          <w:rFonts w:ascii="Arial" w:eastAsiaTheme="minorHAnsi" w:hAnsi="Arial" w:cs="Arial"/>
        </w:rPr>
        <w:t xml:space="preserve"> </w:t>
      </w:r>
      <w:r w:rsidR="00277BE3">
        <w:rPr>
          <w:rFonts w:ascii="Arial" w:eastAsiaTheme="minorHAnsi" w:hAnsi="Arial" w:cs="Arial"/>
        </w:rPr>
        <w:t xml:space="preserve">in the </w:t>
      </w:r>
      <w:r w:rsidR="00277BE3" w:rsidRPr="00EC59FF">
        <w:rPr>
          <w:rFonts w:ascii="Arial" w:eastAsiaTheme="minorHAnsi" w:hAnsi="Arial" w:cs="Arial"/>
          <w:i/>
        </w:rPr>
        <w:t xml:space="preserve">PIRR </w:t>
      </w:r>
      <w:r w:rsidR="003C1DE5" w:rsidRPr="00EC59FF">
        <w:rPr>
          <w:rFonts w:ascii="Arial" w:eastAsiaTheme="minorHAnsi" w:hAnsi="Arial" w:cs="Arial"/>
          <w:i/>
        </w:rPr>
        <w:t>Case</w:t>
      </w:r>
      <w:r w:rsidR="00277BE3">
        <w:rPr>
          <w:rFonts w:ascii="Arial" w:eastAsiaTheme="minorHAnsi" w:hAnsi="Arial" w:cs="Arial"/>
        </w:rPr>
        <w:t xml:space="preserve">, </w:t>
      </w:r>
      <w:r w:rsidR="00300C9B" w:rsidRPr="008C1B24">
        <w:rPr>
          <w:rFonts w:ascii="Arial" w:eastAsiaTheme="minorHAnsi" w:hAnsi="Arial" w:cs="Arial"/>
        </w:rPr>
        <w:t>the Commission authorized AEP</w:t>
      </w:r>
      <w:r w:rsidR="00300C9B">
        <w:rPr>
          <w:rFonts w:ascii="Arial" w:eastAsiaTheme="minorHAnsi" w:hAnsi="Arial" w:cs="Arial"/>
        </w:rPr>
        <w:t>-Ohio</w:t>
      </w:r>
      <w:r w:rsidR="00300C9B" w:rsidRPr="008C1B24">
        <w:rPr>
          <w:rFonts w:ascii="Arial" w:eastAsiaTheme="minorHAnsi" w:hAnsi="Arial" w:cs="Arial"/>
        </w:rPr>
        <w:t xml:space="preserve"> to increase electric rates to permit AEP</w:t>
      </w:r>
      <w:r w:rsidR="00300C9B">
        <w:rPr>
          <w:rFonts w:ascii="Arial" w:eastAsiaTheme="minorHAnsi" w:hAnsi="Arial" w:cs="Arial"/>
        </w:rPr>
        <w:t>-Ohio</w:t>
      </w:r>
      <w:r w:rsidR="00300C9B" w:rsidRPr="008C1B24">
        <w:rPr>
          <w:rFonts w:ascii="Arial" w:eastAsiaTheme="minorHAnsi" w:hAnsi="Arial" w:cs="Arial"/>
        </w:rPr>
        <w:t xml:space="preserve"> to commen</w:t>
      </w:r>
      <w:r w:rsidR="00300C9B">
        <w:rPr>
          <w:rFonts w:ascii="Arial" w:eastAsiaTheme="minorHAnsi" w:hAnsi="Arial" w:cs="Arial"/>
        </w:rPr>
        <w:t>ce amo</w:t>
      </w:r>
      <w:r w:rsidR="006A625D">
        <w:rPr>
          <w:rFonts w:ascii="Arial" w:eastAsiaTheme="minorHAnsi" w:hAnsi="Arial" w:cs="Arial"/>
        </w:rPr>
        <w:t>rtization of what amounted to</w:t>
      </w:r>
      <w:r w:rsidR="00300C9B">
        <w:rPr>
          <w:rFonts w:ascii="Arial" w:eastAsiaTheme="minorHAnsi" w:hAnsi="Arial" w:cs="Arial"/>
        </w:rPr>
        <w:t xml:space="preserve"> overstated</w:t>
      </w:r>
      <w:r w:rsidR="00300C9B" w:rsidRPr="008C1B24">
        <w:rPr>
          <w:rFonts w:ascii="Arial" w:eastAsiaTheme="minorHAnsi" w:hAnsi="Arial" w:cs="Arial"/>
        </w:rPr>
        <w:t xml:space="preserve"> deferr</w:t>
      </w:r>
      <w:r w:rsidR="008B6023">
        <w:rPr>
          <w:rFonts w:ascii="Arial" w:eastAsiaTheme="minorHAnsi" w:hAnsi="Arial" w:cs="Arial"/>
        </w:rPr>
        <w:t>ed</w:t>
      </w:r>
      <w:r w:rsidR="00300C9B" w:rsidRPr="008C1B24">
        <w:rPr>
          <w:rFonts w:ascii="Arial" w:eastAsiaTheme="minorHAnsi" w:hAnsi="Arial" w:cs="Arial"/>
        </w:rPr>
        <w:t xml:space="preserve"> balance</w:t>
      </w:r>
      <w:r w:rsidR="006A625D">
        <w:rPr>
          <w:rFonts w:ascii="Arial" w:eastAsiaTheme="minorHAnsi" w:hAnsi="Arial" w:cs="Arial"/>
        </w:rPr>
        <w:t>s</w:t>
      </w:r>
      <w:r w:rsidR="00387D35">
        <w:rPr>
          <w:rFonts w:ascii="Arial" w:eastAsiaTheme="minorHAnsi" w:hAnsi="Arial" w:cs="Arial"/>
        </w:rPr>
        <w:t xml:space="preserve"> because of the lack of an ADIT adjustment</w:t>
      </w:r>
      <w:r w:rsidR="001134C0">
        <w:rPr>
          <w:rFonts w:ascii="Arial" w:eastAsiaTheme="minorHAnsi" w:hAnsi="Arial" w:cs="Arial"/>
        </w:rPr>
        <w:t>.</w:t>
      </w:r>
      <w:r w:rsidR="00387D35">
        <w:rPr>
          <w:rFonts w:ascii="Arial" w:eastAsiaTheme="minorHAnsi" w:hAnsi="Arial" w:cs="Arial"/>
        </w:rPr>
        <w:t xml:space="preserve">  In my opinion, t</w:t>
      </w:r>
      <w:r w:rsidR="00387D35" w:rsidRPr="008C1B24">
        <w:rPr>
          <w:rFonts w:ascii="Arial" w:eastAsiaTheme="minorHAnsi" w:hAnsi="Arial" w:cs="Arial"/>
        </w:rPr>
        <w:t>he Commission’s decision to permit AEP</w:t>
      </w:r>
      <w:r w:rsidR="00387D35">
        <w:rPr>
          <w:rFonts w:ascii="Arial" w:eastAsiaTheme="minorHAnsi" w:hAnsi="Arial" w:cs="Arial"/>
        </w:rPr>
        <w:t>-Ohio</w:t>
      </w:r>
      <w:r w:rsidR="00387D35" w:rsidRPr="008C1B24">
        <w:rPr>
          <w:rFonts w:ascii="Arial" w:eastAsiaTheme="minorHAnsi" w:hAnsi="Arial" w:cs="Arial"/>
        </w:rPr>
        <w:t xml:space="preserve"> to commence amortization of the overstate</w:t>
      </w:r>
      <w:r w:rsidR="004B1B6E">
        <w:rPr>
          <w:rFonts w:ascii="Arial" w:eastAsiaTheme="minorHAnsi" w:hAnsi="Arial" w:cs="Arial"/>
        </w:rPr>
        <w:t>d phase-in deferr</w:t>
      </w:r>
      <w:r w:rsidR="008B6023">
        <w:rPr>
          <w:rFonts w:ascii="Arial" w:eastAsiaTheme="minorHAnsi" w:hAnsi="Arial" w:cs="Arial"/>
        </w:rPr>
        <w:t>ed</w:t>
      </w:r>
      <w:r w:rsidR="004B1B6E">
        <w:rPr>
          <w:rFonts w:ascii="Arial" w:eastAsiaTheme="minorHAnsi" w:hAnsi="Arial" w:cs="Arial"/>
        </w:rPr>
        <w:t xml:space="preserve"> balance</w:t>
      </w:r>
      <w:r w:rsidR="006A625D">
        <w:rPr>
          <w:rFonts w:ascii="Arial" w:eastAsiaTheme="minorHAnsi" w:hAnsi="Arial" w:cs="Arial"/>
        </w:rPr>
        <w:t>s</w:t>
      </w:r>
      <w:r w:rsidR="004B1B6E">
        <w:rPr>
          <w:rFonts w:ascii="Arial" w:eastAsiaTheme="minorHAnsi" w:hAnsi="Arial" w:cs="Arial"/>
        </w:rPr>
        <w:t xml:space="preserve"> </w:t>
      </w:r>
      <w:r w:rsidR="00387D35" w:rsidRPr="008C1B24">
        <w:rPr>
          <w:rFonts w:ascii="Arial" w:eastAsiaTheme="minorHAnsi" w:hAnsi="Arial" w:cs="Arial"/>
        </w:rPr>
        <w:t>without adhering t</w:t>
      </w:r>
      <w:r w:rsidR="00387D35">
        <w:rPr>
          <w:rFonts w:ascii="Arial" w:eastAsiaTheme="minorHAnsi" w:hAnsi="Arial" w:cs="Arial"/>
        </w:rPr>
        <w:t xml:space="preserve">o sound regulatory </w:t>
      </w:r>
      <w:r w:rsidR="00387D35" w:rsidRPr="008C1B24">
        <w:rPr>
          <w:rFonts w:ascii="Arial" w:eastAsiaTheme="minorHAnsi" w:hAnsi="Arial" w:cs="Arial"/>
        </w:rPr>
        <w:t>pri</w:t>
      </w:r>
      <w:r w:rsidR="00331F1F">
        <w:rPr>
          <w:rFonts w:ascii="Arial" w:eastAsiaTheme="minorHAnsi" w:hAnsi="Arial" w:cs="Arial"/>
        </w:rPr>
        <w:t>nciples that, among other things</w:t>
      </w:r>
      <w:r w:rsidR="003C1DE5">
        <w:rPr>
          <w:rFonts w:ascii="Arial" w:eastAsiaTheme="minorHAnsi" w:hAnsi="Arial" w:cs="Arial"/>
        </w:rPr>
        <w:t>,</w:t>
      </w:r>
      <w:r w:rsidR="00387D35" w:rsidRPr="008C1B24">
        <w:rPr>
          <w:rFonts w:ascii="Arial" w:eastAsiaTheme="minorHAnsi" w:hAnsi="Arial" w:cs="Arial"/>
        </w:rPr>
        <w:t xml:space="preserve"> require an offset to the deferred balance</w:t>
      </w:r>
      <w:r w:rsidR="006A625D">
        <w:rPr>
          <w:rFonts w:ascii="Arial" w:eastAsiaTheme="minorHAnsi" w:hAnsi="Arial" w:cs="Arial"/>
        </w:rPr>
        <w:t>s</w:t>
      </w:r>
      <w:r w:rsidR="00387D35" w:rsidRPr="008C1B24">
        <w:rPr>
          <w:rFonts w:ascii="Arial" w:eastAsiaTheme="minorHAnsi" w:hAnsi="Arial" w:cs="Arial"/>
        </w:rPr>
        <w:t xml:space="preserve"> to recognize ADIT is </w:t>
      </w:r>
      <w:r w:rsidR="00387D35">
        <w:rPr>
          <w:rFonts w:ascii="Arial" w:eastAsiaTheme="minorHAnsi" w:hAnsi="Arial" w:cs="Arial"/>
        </w:rPr>
        <w:t>inappropriate</w:t>
      </w:r>
      <w:r w:rsidR="006A625D">
        <w:rPr>
          <w:rFonts w:ascii="Arial" w:eastAsiaTheme="minorHAnsi" w:hAnsi="Arial" w:cs="Arial"/>
        </w:rPr>
        <w:t>—</w:t>
      </w:r>
      <w:r w:rsidR="000B39B9">
        <w:rPr>
          <w:rFonts w:ascii="Arial" w:eastAsiaTheme="minorHAnsi" w:hAnsi="Arial" w:cs="Arial"/>
        </w:rPr>
        <w:t xml:space="preserve">it </w:t>
      </w:r>
      <w:r w:rsidR="0057591A">
        <w:rPr>
          <w:rFonts w:ascii="Arial" w:eastAsiaTheme="minorHAnsi" w:hAnsi="Arial" w:cs="Arial"/>
        </w:rPr>
        <w:t>provides a carry</w:t>
      </w:r>
      <w:r w:rsidR="006A625D">
        <w:rPr>
          <w:rFonts w:ascii="Arial" w:eastAsiaTheme="minorHAnsi" w:hAnsi="Arial" w:cs="Arial"/>
        </w:rPr>
        <w:t>ing charge windfall to AEP-Ohio</w:t>
      </w:r>
      <w:r w:rsidR="0057591A">
        <w:rPr>
          <w:rFonts w:ascii="Arial" w:eastAsiaTheme="minorHAnsi" w:hAnsi="Arial" w:cs="Arial"/>
        </w:rPr>
        <w:t xml:space="preserve"> at customers’ expense.</w:t>
      </w:r>
    </w:p>
    <w:p w:rsidR="00966FA5" w:rsidRPr="00966FA5" w:rsidRDefault="00741E92" w:rsidP="00BD0916">
      <w:pPr>
        <w:spacing w:line="480" w:lineRule="auto"/>
        <w:ind w:left="720" w:hanging="720"/>
        <w:jc w:val="both"/>
        <w:rPr>
          <w:rFonts w:ascii="Arial" w:eastAsiaTheme="minorHAnsi" w:hAnsi="Arial" w:cs="Arial"/>
          <w:b/>
        </w:rPr>
      </w:pPr>
      <w:r>
        <w:rPr>
          <w:rFonts w:ascii="Arial" w:eastAsiaTheme="minorHAnsi" w:hAnsi="Arial" w:cs="Arial"/>
          <w:b/>
        </w:rPr>
        <w:t>Q</w:t>
      </w:r>
      <w:r w:rsidR="001062F0">
        <w:rPr>
          <w:rFonts w:ascii="Arial" w:eastAsiaTheme="minorHAnsi" w:hAnsi="Arial" w:cs="Arial"/>
          <w:b/>
        </w:rPr>
        <w:t>9</w:t>
      </w:r>
      <w:r w:rsidR="00966FA5" w:rsidRPr="00966FA5">
        <w:rPr>
          <w:rFonts w:ascii="Arial" w:eastAsiaTheme="minorHAnsi" w:hAnsi="Arial" w:cs="Arial"/>
          <w:b/>
        </w:rPr>
        <w:t>.</w:t>
      </w:r>
      <w:r w:rsidR="00966FA5" w:rsidRPr="00966FA5">
        <w:rPr>
          <w:rFonts w:ascii="Arial" w:eastAsiaTheme="minorHAnsi" w:hAnsi="Arial" w:cs="Arial"/>
          <w:b/>
        </w:rPr>
        <w:tab/>
      </w:r>
      <w:r w:rsidR="00945373">
        <w:rPr>
          <w:rFonts w:ascii="Arial" w:eastAsiaTheme="minorHAnsi" w:hAnsi="Arial" w:cs="Arial"/>
          <w:b/>
        </w:rPr>
        <w:t>Explain further w</w:t>
      </w:r>
      <w:r w:rsidR="00DD3903">
        <w:rPr>
          <w:rFonts w:ascii="Arial" w:eastAsiaTheme="minorHAnsi" w:hAnsi="Arial" w:cs="Arial"/>
          <w:b/>
        </w:rPr>
        <w:t xml:space="preserve">hy you believe that </w:t>
      </w:r>
      <w:r w:rsidR="00157EF6">
        <w:rPr>
          <w:rFonts w:ascii="Arial" w:eastAsiaTheme="minorHAnsi" w:hAnsi="Arial" w:cs="Arial"/>
          <w:b/>
        </w:rPr>
        <w:t xml:space="preserve">ADIT </w:t>
      </w:r>
      <w:r w:rsidR="00945373">
        <w:rPr>
          <w:rFonts w:ascii="Arial" w:eastAsiaTheme="minorHAnsi" w:hAnsi="Arial" w:cs="Arial"/>
          <w:b/>
        </w:rPr>
        <w:t>must be recognized</w:t>
      </w:r>
      <w:r w:rsidR="00157EF6">
        <w:rPr>
          <w:rFonts w:ascii="Arial" w:eastAsiaTheme="minorHAnsi" w:hAnsi="Arial" w:cs="Arial"/>
          <w:b/>
        </w:rPr>
        <w:t xml:space="preserve"> in the determination of the carrying charge</w:t>
      </w:r>
      <w:r w:rsidR="00945373">
        <w:rPr>
          <w:rFonts w:ascii="Arial" w:eastAsiaTheme="minorHAnsi" w:hAnsi="Arial" w:cs="Arial"/>
          <w:b/>
        </w:rPr>
        <w:t>s</w:t>
      </w:r>
      <w:r w:rsidR="003C1DE5">
        <w:rPr>
          <w:rFonts w:ascii="Arial" w:eastAsiaTheme="minorHAnsi" w:hAnsi="Arial" w:cs="Arial"/>
          <w:b/>
        </w:rPr>
        <w:t>.</w:t>
      </w:r>
    </w:p>
    <w:p w:rsidR="0057591A" w:rsidRPr="00562BE3" w:rsidRDefault="00741E92" w:rsidP="00DD3903">
      <w:pPr>
        <w:spacing w:after="120" w:line="480" w:lineRule="auto"/>
        <w:ind w:left="720" w:hanging="720"/>
        <w:jc w:val="both"/>
        <w:rPr>
          <w:rFonts w:ascii="Arial" w:hAnsi="Arial" w:cs="Arial"/>
        </w:rPr>
      </w:pPr>
      <w:r>
        <w:rPr>
          <w:rFonts w:ascii="Arial" w:hAnsi="Arial" w:cs="Arial"/>
        </w:rPr>
        <w:t>A</w:t>
      </w:r>
      <w:r w:rsidR="001062F0">
        <w:rPr>
          <w:rFonts w:ascii="Arial" w:hAnsi="Arial" w:cs="Arial"/>
        </w:rPr>
        <w:t>9</w:t>
      </w:r>
      <w:r w:rsidR="00966FA5">
        <w:rPr>
          <w:rFonts w:ascii="Arial" w:hAnsi="Arial" w:cs="Arial"/>
        </w:rPr>
        <w:t>.</w:t>
      </w:r>
      <w:r w:rsidR="00966FA5">
        <w:rPr>
          <w:rFonts w:ascii="Arial" w:hAnsi="Arial" w:cs="Arial"/>
        </w:rPr>
        <w:tab/>
      </w:r>
      <w:r w:rsidR="006A697C">
        <w:rPr>
          <w:rFonts w:ascii="Arial" w:hAnsi="Arial" w:cs="Arial"/>
        </w:rPr>
        <w:t>I</w:t>
      </w:r>
      <w:r w:rsidR="0057591A" w:rsidRPr="0032433C">
        <w:rPr>
          <w:rFonts w:ascii="Arial" w:hAnsi="Arial" w:cs="Arial"/>
        </w:rPr>
        <w:t xml:space="preserve">n accordance with </w:t>
      </w:r>
      <w:r w:rsidR="003C1DE5" w:rsidRPr="0032433C">
        <w:rPr>
          <w:rFonts w:ascii="Arial" w:hAnsi="Arial" w:cs="Arial"/>
        </w:rPr>
        <w:t>generally</w:t>
      </w:r>
      <w:r w:rsidR="006A625D">
        <w:rPr>
          <w:rFonts w:ascii="Arial" w:hAnsi="Arial" w:cs="Arial"/>
        </w:rPr>
        <w:t xml:space="preserve"> </w:t>
      </w:r>
      <w:r w:rsidR="0057591A" w:rsidRPr="0032433C">
        <w:rPr>
          <w:rFonts w:ascii="Arial" w:hAnsi="Arial" w:cs="Arial"/>
        </w:rPr>
        <w:t xml:space="preserve">accepted accounting principles, there is a </w:t>
      </w:r>
      <w:r w:rsidR="000501D4">
        <w:rPr>
          <w:rFonts w:ascii="Arial" w:hAnsi="Arial" w:cs="Arial"/>
        </w:rPr>
        <w:t>“</w:t>
      </w:r>
      <w:r w:rsidR="0057591A" w:rsidRPr="0032433C">
        <w:rPr>
          <w:rFonts w:ascii="Arial" w:hAnsi="Arial" w:cs="Arial"/>
        </w:rPr>
        <w:t>book</w:t>
      </w:r>
      <w:r w:rsidR="000501D4">
        <w:rPr>
          <w:rFonts w:ascii="Arial" w:hAnsi="Arial" w:cs="Arial"/>
        </w:rPr>
        <w:t>”</w:t>
      </w:r>
      <w:r w:rsidR="00EB1480">
        <w:rPr>
          <w:rFonts w:ascii="Arial" w:hAnsi="Arial" w:cs="Arial"/>
        </w:rPr>
        <w:t xml:space="preserve"> (accounting)</w:t>
      </w:r>
      <w:r w:rsidR="0057591A" w:rsidRPr="0032433C">
        <w:rPr>
          <w:rFonts w:ascii="Arial" w:hAnsi="Arial" w:cs="Arial"/>
        </w:rPr>
        <w:t xml:space="preserve"> </w:t>
      </w:r>
      <w:r w:rsidR="00EB1480">
        <w:rPr>
          <w:rFonts w:ascii="Arial" w:hAnsi="Arial" w:cs="Arial"/>
        </w:rPr>
        <w:t>vs.</w:t>
      </w:r>
      <w:r w:rsidR="0057591A" w:rsidRPr="0032433C">
        <w:rPr>
          <w:rFonts w:ascii="Arial" w:hAnsi="Arial" w:cs="Arial"/>
        </w:rPr>
        <w:t xml:space="preserve"> </w:t>
      </w:r>
      <w:r w:rsidR="000501D4">
        <w:rPr>
          <w:rFonts w:ascii="Arial" w:hAnsi="Arial" w:cs="Arial"/>
        </w:rPr>
        <w:t>“</w:t>
      </w:r>
      <w:r w:rsidR="0057591A" w:rsidRPr="0032433C">
        <w:rPr>
          <w:rFonts w:ascii="Arial" w:hAnsi="Arial" w:cs="Arial"/>
        </w:rPr>
        <w:t>tax</w:t>
      </w:r>
      <w:r w:rsidR="000501D4">
        <w:rPr>
          <w:rFonts w:ascii="Arial" w:hAnsi="Arial" w:cs="Arial"/>
        </w:rPr>
        <w:t>”</w:t>
      </w:r>
      <w:r w:rsidR="0057591A" w:rsidRPr="0032433C">
        <w:rPr>
          <w:rFonts w:ascii="Arial" w:hAnsi="Arial" w:cs="Arial"/>
        </w:rPr>
        <w:t xml:space="preserve"> </w:t>
      </w:r>
      <w:r w:rsidR="00EB1480">
        <w:rPr>
          <w:rFonts w:ascii="Arial" w:hAnsi="Arial" w:cs="Arial"/>
        </w:rPr>
        <w:t xml:space="preserve">(federal income tax return) </w:t>
      </w:r>
      <w:r w:rsidR="0057591A" w:rsidRPr="0032433C">
        <w:rPr>
          <w:rFonts w:ascii="Arial" w:hAnsi="Arial" w:cs="Arial"/>
        </w:rPr>
        <w:t>timing difference that r</w:t>
      </w:r>
      <w:r w:rsidR="00692FAF">
        <w:rPr>
          <w:rFonts w:ascii="Arial" w:hAnsi="Arial" w:cs="Arial"/>
        </w:rPr>
        <w:t xml:space="preserve">esults </w:t>
      </w:r>
      <w:r w:rsidR="000501D4">
        <w:rPr>
          <w:rFonts w:ascii="Arial" w:hAnsi="Arial" w:cs="Arial"/>
        </w:rPr>
        <w:t>when items impact the books by a different amount than they impact the tax return.</w:t>
      </w:r>
      <w:r w:rsidR="0057591A" w:rsidRPr="0032433C">
        <w:rPr>
          <w:rFonts w:ascii="Arial" w:hAnsi="Arial" w:cs="Arial"/>
        </w:rPr>
        <w:t xml:space="preserve"> </w:t>
      </w:r>
      <w:r w:rsidR="00692FAF">
        <w:rPr>
          <w:rFonts w:ascii="Arial" w:hAnsi="Arial" w:cs="Arial"/>
        </w:rPr>
        <w:t xml:space="preserve"> </w:t>
      </w:r>
      <w:r w:rsidR="000501D4">
        <w:rPr>
          <w:rFonts w:ascii="Arial" w:hAnsi="Arial" w:cs="Arial"/>
        </w:rPr>
        <w:t>When such a</w:t>
      </w:r>
      <w:r w:rsidR="0057591A" w:rsidRPr="0032433C">
        <w:rPr>
          <w:rFonts w:ascii="Arial" w:hAnsi="Arial" w:cs="Arial"/>
        </w:rPr>
        <w:t xml:space="preserve"> book </w:t>
      </w:r>
      <w:r w:rsidR="000501D4">
        <w:rPr>
          <w:rFonts w:ascii="Arial" w:hAnsi="Arial" w:cs="Arial"/>
        </w:rPr>
        <w:t>vs.</w:t>
      </w:r>
      <w:r w:rsidR="0057591A" w:rsidRPr="0032433C">
        <w:rPr>
          <w:rFonts w:ascii="Arial" w:hAnsi="Arial" w:cs="Arial"/>
        </w:rPr>
        <w:t xml:space="preserve"> tax accounting difference results in </w:t>
      </w:r>
      <w:r w:rsidR="000501D4">
        <w:rPr>
          <w:rFonts w:ascii="Arial" w:hAnsi="Arial" w:cs="Arial"/>
        </w:rPr>
        <w:t xml:space="preserve">the tax return impact being greater than the book impact, then </w:t>
      </w:r>
      <w:r w:rsidR="0057591A" w:rsidRPr="0032433C">
        <w:rPr>
          <w:rFonts w:ascii="Arial" w:hAnsi="Arial" w:cs="Arial"/>
        </w:rPr>
        <w:t xml:space="preserve">ADIT </w:t>
      </w:r>
      <w:r w:rsidR="000501D4">
        <w:rPr>
          <w:rFonts w:ascii="Arial" w:hAnsi="Arial" w:cs="Arial"/>
        </w:rPr>
        <w:t>is</w:t>
      </w:r>
      <w:r w:rsidR="0057591A" w:rsidRPr="0032433C">
        <w:rPr>
          <w:rFonts w:ascii="Arial" w:hAnsi="Arial" w:cs="Arial"/>
        </w:rPr>
        <w:t xml:space="preserve"> recorded on the liabi</w:t>
      </w:r>
      <w:r w:rsidR="00692FAF">
        <w:rPr>
          <w:rFonts w:ascii="Arial" w:hAnsi="Arial" w:cs="Arial"/>
        </w:rPr>
        <w:t>lity side of the balance sheet.</w:t>
      </w:r>
      <w:r w:rsidR="0057591A" w:rsidRPr="0032433C">
        <w:rPr>
          <w:rFonts w:ascii="Arial" w:hAnsi="Arial" w:cs="Arial"/>
        </w:rPr>
        <w:t xml:space="preserve"> </w:t>
      </w:r>
      <w:r w:rsidR="00692FAF">
        <w:rPr>
          <w:rFonts w:ascii="Arial" w:hAnsi="Arial" w:cs="Arial"/>
        </w:rPr>
        <w:t xml:space="preserve"> </w:t>
      </w:r>
      <w:r w:rsidR="0057591A" w:rsidRPr="0032433C">
        <w:rPr>
          <w:rFonts w:ascii="Arial" w:hAnsi="Arial" w:cs="Arial"/>
        </w:rPr>
        <w:t>Likewise, in traditional cost of service ratemaking for electric plant investment</w:t>
      </w:r>
      <w:r w:rsidR="003C1DE5">
        <w:rPr>
          <w:rFonts w:ascii="Arial" w:hAnsi="Arial" w:cs="Arial"/>
        </w:rPr>
        <w:t>,</w:t>
      </w:r>
      <w:r w:rsidR="0057591A" w:rsidRPr="0032433C">
        <w:rPr>
          <w:rFonts w:ascii="Arial" w:hAnsi="Arial" w:cs="Arial"/>
        </w:rPr>
        <w:t xml:space="preserve"> there may be book to timing differences created by </w:t>
      </w:r>
      <w:r w:rsidR="0057591A" w:rsidRPr="0032433C">
        <w:rPr>
          <w:rFonts w:ascii="Arial" w:hAnsi="Arial" w:cs="Arial"/>
        </w:rPr>
        <w:lastRenderedPageBreak/>
        <w:t>differences in book and tax depr</w:t>
      </w:r>
      <w:r w:rsidR="00692FAF">
        <w:rPr>
          <w:rFonts w:ascii="Arial" w:hAnsi="Arial" w:cs="Arial"/>
        </w:rPr>
        <w:t xml:space="preserve">eciation, which result in ADIT. </w:t>
      </w:r>
      <w:r w:rsidR="0057591A" w:rsidRPr="0032433C">
        <w:rPr>
          <w:rFonts w:ascii="Arial" w:hAnsi="Arial" w:cs="Arial"/>
        </w:rPr>
        <w:t xml:space="preserve"> </w:t>
      </w:r>
      <w:r w:rsidR="00574AF2">
        <w:rPr>
          <w:rFonts w:ascii="Arial" w:hAnsi="Arial" w:cs="Arial"/>
        </w:rPr>
        <w:t xml:space="preserve">To account for these timing differences, </w:t>
      </w:r>
      <w:r w:rsidR="0057591A" w:rsidRPr="0032433C">
        <w:rPr>
          <w:rFonts w:ascii="Arial" w:hAnsi="Arial" w:cs="Arial"/>
        </w:rPr>
        <w:t xml:space="preserve">ADIT must be recognized in determining the amounts that are </w:t>
      </w:r>
      <w:r w:rsidR="00EB1480">
        <w:rPr>
          <w:rFonts w:ascii="Arial" w:hAnsi="Arial" w:cs="Arial"/>
        </w:rPr>
        <w:t xml:space="preserve">properly </w:t>
      </w:r>
      <w:r w:rsidR="0057591A" w:rsidRPr="0032433C">
        <w:rPr>
          <w:rFonts w:ascii="Arial" w:hAnsi="Arial" w:cs="Arial"/>
        </w:rPr>
        <w:t xml:space="preserve">eligible to be recovered from customers.  </w:t>
      </w:r>
    </w:p>
    <w:p w:rsidR="002766AE" w:rsidRDefault="001134C0" w:rsidP="007F401D">
      <w:pPr>
        <w:spacing w:after="240" w:line="480" w:lineRule="auto"/>
        <w:ind w:left="720"/>
        <w:jc w:val="both"/>
        <w:rPr>
          <w:rFonts w:ascii="Arial" w:hAnsi="Arial" w:cs="Arial"/>
        </w:rPr>
      </w:pPr>
      <w:r>
        <w:rPr>
          <w:rFonts w:ascii="Arial" w:hAnsi="Arial" w:cs="Arial"/>
        </w:rPr>
        <w:t xml:space="preserve">Requiring utilities to reflect the benefit of </w:t>
      </w:r>
      <w:r w:rsidR="00F956F3">
        <w:rPr>
          <w:rFonts w:ascii="Arial" w:hAnsi="Arial" w:cs="Arial"/>
        </w:rPr>
        <w:t>ADIT</w:t>
      </w:r>
      <w:r>
        <w:rPr>
          <w:rFonts w:ascii="Arial" w:hAnsi="Arial" w:cs="Arial"/>
        </w:rPr>
        <w:t xml:space="preserve"> as a reduction to rates</w:t>
      </w:r>
      <w:r w:rsidR="006A3884">
        <w:rPr>
          <w:rFonts w:ascii="Arial" w:hAnsi="Arial" w:cs="Arial"/>
        </w:rPr>
        <w:t xml:space="preserve"> </w:t>
      </w:r>
      <w:r w:rsidR="00741A64">
        <w:rPr>
          <w:rFonts w:ascii="Arial" w:hAnsi="Arial" w:cs="Arial"/>
        </w:rPr>
        <w:t>is not a new concept</w:t>
      </w:r>
      <w:r w:rsidR="00F956F3">
        <w:rPr>
          <w:rFonts w:ascii="Arial" w:hAnsi="Arial" w:cs="Arial"/>
        </w:rPr>
        <w:t xml:space="preserve">.  It is a long held regulatory practice that ADIT is a source of </w:t>
      </w:r>
      <w:r w:rsidR="003C1DE5">
        <w:rPr>
          <w:rFonts w:ascii="Arial" w:hAnsi="Arial" w:cs="Arial"/>
        </w:rPr>
        <w:t>cost-</w:t>
      </w:r>
      <w:r w:rsidR="00F956F3">
        <w:rPr>
          <w:rFonts w:ascii="Arial" w:hAnsi="Arial" w:cs="Arial"/>
        </w:rPr>
        <w:t xml:space="preserve">free capital to utility companies, as illustrated by the fact that in the </w:t>
      </w:r>
      <w:r w:rsidR="00C064C2">
        <w:rPr>
          <w:rFonts w:ascii="Arial" w:hAnsi="Arial" w:cs="Arial"/>
        </w:rPr>
        <w:t xml:space="preserve">regulatory </w:t>
      </w:r>
      <w:r w:rsidR="00F956F3">
        <w:rPr>
          <w:rFonts w:ascii="Arial" w:hAnsi="Arial" w:cs="Arial"/>
        </w:rPr>
        <w:t xml:space="preserve">determination of rate base, ADIT is a credit amount that reduces </w:t>
      </w:r>
      <w:r w:rsidR="00C064C2">
        <w:rPr>
          <w:rFonts w:ascii="Arial" w:hAnsi="Arial" w:cs="Arial"/>
        </w:rPr>
        <w:t xml:space="preserve">the rate base upon which an </w:t>
      </w:r>
      <w:r w:rsidR="00DD3903">
        <w:rPr>
          <w:rFonts w:ascii="Arial" w:hAnsi="Arial" w:cs="Arial"/>
        </w:rPr>
        <w:t>electric distribution utility (“</w:t>
      </w:r>
      <w:r w:rsidR="00C064C2">
        <w:rPr>
          <w:rFonts w:ascii="Arial" w:hAnsi="Arial" w:cs="Arial"/>
        </w:rPr>
        <w:t>EDU</w:t>
      </w:r>
      <w:r w:rsidR="00DD3903">
        <w:rPr>
          <w:rFonts w:ascii="Arial" w:hAnsi="Arial" w:cs="Arial"/>
        </w:rPr>
        <w:t>”)</w:t>
      </w:r>
      <w:r w:rsidR="00C064C2">
        <w:rPr>
          <w:rFonts w:ascii="Arial" w:hAnsi="Arial" w:cs="Arial"/>
        </w:rPr>
        <w:t xml:space="preserve"> is authorized to earn a return.  At its simplest level, a revenue requirement consist</w:t>
      </w:r>
      <w:r w:rsidR="00633CBC">
        <w:rPr>
          <w:rFonts w:ascii="Arial" w:hAnsi="Arial" w:cs="Arial"/>
        </w:rPr>
        <w:t>s</w:t>
      </w:r>
      <w:r w:rsidR="00C064C2">
        <w:rPr>
          <w:rFonts w:ascii="Arial" w:hAnsi="Arial" w:cs="Arial"/>
        </w:rPr>
        <w:t xml:space="preserve"> of two components: a rate base times a rate of return, plus operating expenses.</w:t>
      </w:r>
      <w:r w:rsidR="00F956F3">
        <w:rPr>
          <w:rFonts w:ascii="Arial" w:hAnsi="Arial" w:cs="Arial"/>
        </w:rPr>
        <w:t xml:space="preserve">  </w:t>
      </w:r>
      <w:r w:rsidR="00DD3903">
        <w:rPr>
          <w:rFonts w:ascii="Arial" w:hAnsi="Arial" w:cs="Arial"/>
        </w:rPr>
        <w:t>A r</w:t>
      </w:r>
      <w:r w:rsidR="00843788">
        <w:rPr>
          <w:rFonts w:ascii="Arial" w:hAnsi="Arial" w:cs="Arial"/>
        </w:rPr>
        <w:t>ate base’s largest component is net plan</w:t>
      </w:r>
      <w:r w:rsidR="00BE3A1C">
        <w:rPr>
          <w:rFonts w:ascii="Arial" w:hAnsi="Arial" w:cs="Arial"/>
        </w:rPr>
        <w:t>t investment and the theory is</w:t>
      </w:r>
      <w:r w:rsidR="00843788">
        <w:rPr>
          <w:rFonts w:ascii="Arial" w:hAnsi="Arial" w:cs="Arial"/>
        </w:rPr>
        <w:t xml:space="preserve"> that the EDU should be able to earn a return on that rate base because it</w:t>
      </w:r>
      <w:r w:rsidR="005C47F0">
        <w:rPr>
          <w:rFonts w:ascii="Arial" w:hAnsi="Arial" w:cs="Arial"/>
        </w:rPr>
        <w:t>s</w:t>
      </w:r>
      <w:r w:rsidR="00843788">
        <w:rPr>
          <w:rFonts w:ascii="Arial" w:hAnsi="Arial" w:cs="Arial"/>
        </w:rPr>
        <w:t xml:space="preserve"> invest</w:t>
      </w:r>
      <w:r w:rsidR="005C47F0">
        <w:rPr>
          <w:rFonts w:ascii="Arial" w:hAnsi="Arial" w:cs="Arial"/>
        </w:rPr>
        <w:t>ors</w:t>
      </w:r>
      <w:r w:rsidR="00843788">
        <w:rPr>
          <w:rFonts w:ascii="Arial" w:hAnsi="Arial" w:cs="Arial"/>
        </w:rPr>
        <w:t xml:space="preserve"> </w:t>
      </w:r>
      <w:r w:rsidR="005C47F0">
        <w:rPr>
          <w:rFonts w:ascii="Arial" w:hAnsi="Arial" w:cs="Arial"/>
        </w:rPr>
        <w:t xml:space="preserve">invested </w:t>
      </w:r>
      <w:r w:rsidR="00843788">
        <w:rPr>
          <w:rFonts w:ascii="Arial" w:hAnsi="Arial" w:cs="Arial"/>
        </w:rPr>
        <w:t xml:space="preserve">in the plant to serve </w:t>
      </w:r>
      <w:r w:rsidR="005C47F0">
        <w:rPr>
          <w:rFonts w:ascii="Arial" w:hAnsi="Arial" w:cs="Arial"/>
        </w:rPr>
        <w:t xml:space="preserve">the EDU’s </w:t>
      </w:r>
      <w:r w:rsidR="00843788">
        <w:rPr>
          <w:rFonts w:ascii="Arial" w:hAnsi="Arial" w:cs="Arial"/>
        </w:rPr>
        <w:t xml:space="preserve">customers. </w:t>
      </w:r>
      <w:r w:rsidR="00DD3903">
        <w:rPr>
          <w:rFonts w:ascii="Arial" w:hAnsi="Arial" w:cs="Arial"/>
        </w:rPr>
        <w:t xml:space="preserve"> </w:t>
      </w:r>
      <w:r w:rsidR="00633CBC">
        <w:rPr>
          <w:rFonts w:ascii="Arial" w:hAnsi="Arial" w:cs="Arial"/>
        </w:rPr>
        <w:t xml:space="preserve">However, </w:t>
      </w:r>
      <w:r w:rsidR="00843788">
        <w:rPr>
          <w:rFonts w:ascii="Arial" w:hAnsi="Arial" w:cs="Arial"/>
        </w:rPr>
        <w:t xml:space="preserve">if there is associated ADIT, which represents </w:t>
      </w:r>
      <w:r w:rsidR="008C4BA5">
        <w:rPr>
          <w:rFonts w:ascii="Arial" w:hAnsi="Arial" w:cs="Arial"/>
        </w:rPr>
        <w:t xml:space="preserve">capital that the EDU’s investors did not provide, then the ADIT is used to reduce </w:t>
      </w:r>
      <w:r w:rsidR="00DD3903">
        <w:rPr>
          <w:rFonts w:ascii="Arial" w:hAnsi="Arial" w:cs="Arial"/>
        </w:rPr>
        <w:t xml:space="preserve">the </w:t>
      </w:r>
      <w:r w:rsidR="008C4BA5">
        <w:rPr>
          <w:rFonts w:ascii="Arial" w:hAnsi="Arial" w:cs="Arial"/>
        </w:rPr>
        <w:t>rate base</w:t>
      </w:r>
      <w:r w:rsidR="00BE3A1C">
        <w:rPr>
          <w:rFonts w:ascii="Arial" w:hAnsi="Arial" w:cs="Arial"/>
        </w:rPr>
        <w:t xml:space="preserve"> so that the EDU </w:t>
      </w:r>
      <w:r w:rsidR="00AE4CD7">
        <w:rPr>
          <w:rFonts w:ascii="Arial" w:hAnsi="Arial" w:cs="Arial"/>
        </w:rPr>
        <w:t>is</w:t>
      </w:r>
      <w:r w:rsidR="00DD3903">
        <w:rPr>
          <w:rFonts w:ascii="Arial" w:hAnsi="Arial" w:cs="Arial"/>
        </w:rPr>
        <w:t xml:space="preserve"> not</w:t>
      </w:r>
      <w:r w:rsidR="00BE3A1C">
        <w:rPr>
          <w:rFonts w:ascii="Arial" w:hAnsi="Arial" w:cs="Arial"/>
        </w:rPr>
        <w:t xml:space="preserve"> overcompensated</w:t>
      </w:r>
      <w:r w:rsidR="008C4BA5">
        <w:rPr>
          <w:rFonts w:ascii="Arial" w:hAnsi="Arial" w:cs="Arial"/>
        </w:rPr>
        <w:t xml:space="preserve">. </w:t>
      </w:r>
    </w:p>
    <w:p w:rsidR="002766AE" w:rsidRDefault="00DD3903" w:rsidP="00B53736">
      <w:pPr>
        <w:spacing w:line="480" w:lineRule="auto"/>
        <w:ind w:left="720" w:hanging="720"/>
        <w:jc w:val="both"/>
        <w:rPr>
          <w:rFonts w:ascii="Arial" w:hAnsi="Arial" w:cs="Arial"/>
        </w:rPr>
      </w:pPr>
      <w:r>
        <w:rPr>
          <w:rFonts w:ascii="Arial" w:hAnsi="Arial" w:cs="Arial"/>
          <w:b/>
        </w:rPr>
        <w:t>Q1</w:t>
      </w:r>
      <w:r w:rsidR="007F401D">
        <w:rPr>
          <w:rFonts w:ascii="Arial" w:hAnsi="Arial" w:cs="Arial"/>
          <w:b/>
        </w:rPr>
        <w:t>0</w:t>
      </w:r>
      <w:r>
        <w:rPr>
          <w:rFonts w:ascii="Arial" w:hAnsi="Arial" w:cs="Arial"/>
          <w:b/>
        </w:rPr>
        <w:t>.</w:t>
      </w:r>
      <w:r>
        <w:rPr>
          <w:rFonts w:ascii="Arial" w:hAnsi="Arial" w:cs="Arial"/>
          <w:b/>
        </w:rPr>
        <w:tab/>
        <w:t>Can</w:t>
      </w:r>
      <w:r w:rsidR="002766AE" w:rsidRPr="003C665B">
        <w:rPr>
          <w:rFonts w:ascii="Arial" w:hAnsi="Arial" w:cs="Arial"/>
          <w:b/>
        </w:rPr>
        <w:t xml:space="preserve"> you illustrate the mechanics of ADIT and explain why it is a source of cost-free capital?</w:t>
      </w:r>
      <w:r w:rsidR="00F956F3">
        <w:rPr>
          <w:rFonts w:ascii="Arial" w:hAnsi="Arial" w:cs="Arial"/>
        </w:rPr>
        <w:t xml:space="preserve">  </w:t>
      </w:r>
    </w:p>
    <w:p w:rsidR="0057591A" w:rsidRDefault="002766AE" w:rsidP="00DF3048">
      <w:pPr>
        <w:spacing w:after="240" w:line="480" w:lineRule="auto"/>
        <w:ind w:left="720" w:hanging="720"/>
        <w:jc w:val="both"/>
        <w:rPr>
          <w:rFonts w:ascii="Arial" w:hAnsi="Arial" w:cs="Arial"/>
        </w:rPr>
      </w:pPr>
      <w:r w:rsidRPr="002766AE">
        <w:rPr>
          <w:rFonts w:ascii="Arial" w:hAnsi="Arial" w:cs="Arial"/>
        </w:rPr>
        <w:t>A1</w:t>
      </w:r>
      <w:r w:rsidR="007F401D">
        <w:rPr>
          <w:rFonts w:ascii="Arial" w:hAnsi="Arial" w:cs="Arial"/>
        </w:rPr>
        <w:t>0</w:t>
      </w:r>
      <w:r w:rsidRPr="003C665B">
        <w:rPr>
          <w:rFonts w:ascii="Arial" w:hAnsi="Arial" w:cs="Arial"/>
        </w:rPr>
        <w:t>.</w:t>
      </w:r>
      <w:r w:rsidRPr="002766AE">
        <w:rPr>
          <w:rFonts w:ascii="Arial" w:hAnsi="Arial" w:cs="Arial"/>
        </w:rPr>
        <w:tab/>
      </w:r>
      <w:r w:rsidR="0057591A">
        <w:rPr>
          <w:rFonts w:ascii="Arial" w:hAnsi="Arial" w:cs="Arial"/>
        </w:rPr>
        <w:t>To illustrate the mechanics of ADIT</w:t>
      </w:r>
      <w:r w:rsidR="00275DED">
        <w:rPr>
          <w:rFonts w:ascii="Arial" w:hAnsi="Arial" w:cs="Arial"/>
        </w:rPr>
        <w:t xml:space="preserve"> under the </w:t>
      </w:r>
      <w:r w:rsidR="00275DED" w:rsidRPr="006A625D">
        <w:rPr>
          <w:rFonts w:ascii="Arial" w:hAnsi="Arial" w:cs="Arial"/>
          <w:i/>
        </w:rPr>
        <w:t xml:space="preserve">ESP I </w:t>
      </w:r>
      <w:r w:rsidR="003C1DE5" w:rsidRPr="006A625D">
        <w:rPr>
          <w:rFonts w:ascii="Arial" w:hAnsi="Arial" w:cs="Arial"/>
          <w:i/>
        </w:rPr>
        <w:t>Case</w:t>
      </w:r>
      <w:r w:rsidR="003C1DE5">
        <w:rPr>
          <w:rFonts w:ascii="Arial" w:hAnsi="Arial" w:cs="Arial"/>
        </w:rPr>
        <w:t xml:space="preserve"> </w:t>
      </w:r>
      <w:r w:rsidR="00275DED">
        <w:rPr>
          <w:rFonts w:ascii="Arial" w:hAnsi="Arial" w:cs="Arial"/>
        </w:rPr>
        <w:t>rate cap discussed earlier,</w:t>
      </w:r>
      <w:r w:rsidR="00F956F3">
        <w:rPr>
          <w:rFonts w:ascii="Arial" w:hAnsi="Arial" w:cs="Arial"/>
        </w:rPr>
        <w:t xml:space="preserve"> </w:t>
      </w:r>
      <w:r w:rsidR="0057591A">
        <w:rPr>
          <w:rFonts w:ascii="Arial" w:hAnsi="Arial" w:cs="Arial"/>
        </w:rPr>
        <w:t xml:space="preserve">if AEP-Ohio’s </w:t>
      </w:r>
      <w:r w:rsidR="00275DED">
        <w:rPr>
          <w:rFonts w:ascii="Arial" w:hAnsi="Arial" w:cs="Arial"/>
        </w:rPr>
        <w:t xml:space="preserve">total </w:t>
      </w:r>
      <w:r w:rsidR="0057591A">
        <w:rPr>
          <w:rFonts w:ascii="Arial" w:hAnsi="Arial" w:cs="Arial"/>
        </w:rPr>
        <w:t>expense</w:t>
      </w:r>
      <w:r w:rsidR="001134C0">
        <w:rPr>
          <w:rFonts w:ascii="Arial" w:hAnsi="Arial" w:cs="Arial"/>
        </w:rPr>
        <w:t>s were $200 but the rate cap limited recovery to</w:t>
      </w:r>
      <w:r w:rsidR="0057591A">
        <w:rPr>
          <w:rFonts w:ascii="Arial" w:hAnsi="Arial" w:cs="Arial"/>
        </w:rPr>
        <w:t xml:space="preserve"> $100</w:t>
      </w:r>
      <w:r w:rsidR="001134C0">
        <w:rPr>
          <w:rFonts w:ascii="Arial" w:hAnsi="Arial" w:cs="Arial"/>
        </w:rPr>
        <w:t xml:space="preserve"> of expenses</w:t>
      </w:r>
      <w:r w:rsidR="0057591A">
        <w:rPr>
          <w:rFonts w:ascii="Arial" w:hAnsi="Arial" w:cs="Arial"/>
        </w:rPr>
        <w:t xml:space="preserve">, AEP-Ohio would book $100 for </w:t>
      </w:r>
      <w:r w:rsidR="000B52CF">
        <w:rPr>
          <w:rFonts w:ascii="Arial" w:hAnsi="Arial" w:cs="Arial"/>
        </w:rPr>
        <w:t>accounting purposes (book accounting)</w:t>
      </w:r>
      <w:r w:rsidR="0057591A">
        <w:rPr>
          <w:rFonts w:ascii="Arial" w:hAnsi="Arial" w:cs="Arial"/>
        </w:rPr>
        <w:t xml:space="preserve">, and defer the remaining $100.  Yet, AEP-Ohio would be able </w:t>
      </w:r>
      <w:r w:rsidR="000B52CF">
        <w:rPr>
          <w:rFonts w:ascii="Arial" w:hAnsi="Arial" w:cs="Arial"/>
        </w:rPr>
        <w:t>to deduct $200 for tax purposes (</w:t>
      </w:r>
      <w:r w:rsidR="000B52CF" w:rsidRPr="00DD3903">
        <w:rPr>
          <w:rFonts w:ascii="Arial" w:hAnsi="Arial" w:cs="Arial"/>
          <w:i/>
        </w:rPr>
        <w:t>i.e.</w:t>
      </w:r>
      <w:r w:rsidR="003C1DE5">
        <w:rPr>
          <w:rFonts w:ascii="Arial" w:hAnsi="Arial" w:cs="Arial"/>
          <w:i/>
        </w:rPr>
        <w:t>,</w:t>
      </w:r>
      <w:r w:rsidR="000B52CF" w:rsidRPr="00DD3903">
        <w:rPr>
          <w:rFonts w:ascii="Arial" w:hAnsi="Arial" w:cs="Arial"/>
          <w:i/>
        </w:rPr>
        <w:t xml:space="preserve"> </w:t>
      </w:r>
      <w:r w:rsidR="000B52CF">
        <w:rPr>
          <w:rFonts w:ascii="Arial" w:hAnsi="Arial" w:cs="Arial"/>
        </w:rPr>
        <w:t>on its federal income tax return).</w:t>
      </w:r>
      <w:r w:rsidR="0057591A">
        <w:rPr>
          <w:rFonts w:ascii="Arial" w:hAnsi="Arial" w:cs="Arial"/>
        </w:rPr>
        <w:t xml:space="preserve">  Because AEP-Ohio can benefit from an immediate deduction </w:t>
      </w:r>
      <w:r w:rsidR="000B52CF">
        <w:rPr>
          <w:rFonts w:ascii="Arial" w:hAnsi="Arial" w:cs="Arial"/>
        </w:rPr>
        <w:t xml:space="preserve">on its tax return </w:t>
      </w:r>
      <w:r w:rsidR="0057591A">
        <w:rPr>
          <w:rFonts w:ascii="Arial" w:hAnsi="Arial" w:cs="Arial"/>
        </w:rPr>
        <w:t xml:space="preserve">without </w:t>
      </w:r>
      <w:r w:rsidR="0057591A">
        <w:rPr>
          <w:rFonts w:ascii="Arial" w:hAnsi="Arial" w:cs="Arial"/>
        </w:rPr>
        <w:lastRenderedPageBreak/>
        <w:t xml:space="preserve">concurrently recognizing the total amount of expense on its books, there is an ADIT benefit equal to the $100 difference between the “book” and the “tax” expense, multiplied by the tax rate.  Assuming a 35 percent tax rate, AEP-Ohio would reduce its federal income tax liability by $35.  Because AEP-Ohio received $35 through the tax benefit, AEP-Ohio is </w:t>
      </w:r>
      <w:r w:rsidR="00EB1480">
        <w:rPr>
          <w:rFonts w:ascii="Arial" w:hAnsi="Arial" w:cs="Arial"/>
        </w:rPr>
        <w:t xml:space="preserve">essentially </w:t>
      </w:r>
      <w:r w:rsidR="0057591A">
        <w:rPr>
          <w:rFonts w:ascii="Arial" w:hAnsi="Arial" w:cs="Arial"/>
        </w:rPr>
        <w:t>able to finance $100 of the deferral with only $65 of either debt, equity, or a combination of both.</w:t>
      </w:r>
      <w:r w:rsidR="00295FC3">
        <w:rPr>
          <w:rFonts w:ascii="Arial" w:hAnsi="Arial" w:cs="Arial"/>
        </w:rPr>
        <w:t xml:space="preserve">  </w:t>
      </w:r>
    </w:p>
    <w:p w:rsidR="002766AE" w:rsidRDefault="002766AE" w:rsidP="00B53736">
      <w:pPr>
        <w:spacing w:line="480" w:lineRule="auto"/>
        <w:ind w:left="720" w:hanging="720"/>
        <w:jc w:val="both"/>
        <w:rPr>
          <w:rFonts w:ascii="Arial" w:hAnsi="Arial" w:cs="Arial"/>
        </w:rPr>
      </w:pPr>
      <w:r w:rsidRPr="003C665B">
        <w:rPr>
          <w:rFonts w:ascii="Arial" w:hAnsi="Arial" w:cs="Arial"/>
          <w:b/>
        </w:rPr>
        <w:t>Q1</w:t>
      </w:r>
      <w:r w:rsidR="007F401D">
        <w:rPr>
          <w:rFonts w:ascii="Arial" w:hAnsi="Arial" w:cs="Arial"/>
          <w:b/>
        </w:rPr>
        <w:t>1</w:t>
      </w:r>
      <w:r w:rsidRPr="003C665B">
        <w:rPr>
          <w:rFonts w:ascii="Arial" w:hAnsi="Arial" w:cs="Arial"/>
          <w:b/>
        </w:rPr>
        <w:t>.</w:t>
      </w:r>
      <w:r w:rsidRPr="003C665B">
        <w:rPr>
          <w:rFonts w:ascii="Arial" w:hAnsi="Arial" w:cs="Arial"/>
          <w:b/>
        </w:rPr>
        <w:tab/>
      </w:r>
      <w:r w:rsidRPr="00B53736">
        <w:rPr>
          <w:rFonts w:ascii="Arial" w:hAnsi="Arial" w:cs="Arial"/>
          <w:b/>
        </w:rPr>
        <w:t>Why shouldn’t AEP-Ohio be allowed to accrue carrying charges on the entire deferred balance</w:t>
      </w:r>
      <w:r w:rsidR="001D2E11">
        <w:rPr>
          <w:rFonts w:ascii="Arial" w:hAnsi="Arial" w:cs="Arial"/>
          <w:b/>
        </w:rPr>
        <w:t>s</w:t>
      </w:r>
      <w:r w:rsidRPr="00B53736">
        <w:rPr>
          <w:rFonts w:ascii="Arial" w:hAnsi="Arial" w:cs="Arial"/>
          <w:b/>
        </w:rPr>
        <w:t>?</w:t>
      </w:r>
    </w:p>
    <w:p w:rsidR="0067641B" w:rsidRDefault="002766AE" w:rsidP="00DD3903">
      <w:pPr>
        <w:spacing w:after="240" w:line="480" w:lineRule="auto"/>
        <w:ind w:left="720" w:hanging="720"/>
        <w:jc w:val="both"/>
        <w:rPr>
          <w:rFonts w:ascii="Arial" w:hAnsi="Arial" w:cs="Arial"/>
        </w:rPr>
      </w:pPr>
      <w:r w:rsidRPr="003C665B">
        <w:rPr>
          <w:rFonts w:ascii="Arial" w:hAnsi="Arial" w:cs="Arial"/>
        </w:rPr>
        <w:t>A1</w:t>
      </w:r>
      <w:r w:rsidR="007F401D">
        <w:rPr>
          <w:rFonts w:ascii="Arial" w:hAnsi="Arial" w:cs="Arial"/>
        </w:rPr>
        <w:t>1</w:t>
      </w:r>
      <w:r w:rsidRPr="003C665B">
        <w:rPr>
          <w:rFonts w:ascii="Arial" w:hAnsi="Arial" w:cs="Arial"/>
        </w:rPr>
        <w:t>.</w:t>
      </w:r>
      <w:r w:rsidRPr="002766AE">
        <w:rPr>
          <w:rFonts w:ascii="Arial" w:hAnsi="Arial" w:cs="Arial"/>
        </w:rPr>
        <w:tab/>
      </w:r>
      <w:r w:rsidR="0057591A">
        <w:rPr>
          <w:rFonts w:ascii="Arial" w:hAnsi="Arial" w:cs="Arial"/>
        </w:rPr>
        <w:t>Carrying charges are intended to compensate the u</w:t>
      </w:r>
      <w:r w:rsidR="00EB1480">
        <w:rPr>
          <w:rFonts w:ascii="Arial" w:hAnsi="Arial" w:cs="Arial"/>
        </w:rPr>
        <w:t>tility for the cost of carrying the deferr</w:t>
      </w:r>
      <w:r w:rsidR="008B6023">
        <w:rPr>
          <w:rFonts w:ascii="Arial" w:hAnsi="Arial" w:cs="Arial"/>
        </w:rPr>
        <w:t>ed balances</w:t>
      </w:r>
      <w:r w:rsidR="00EB1480">
        <w:rPr>
          <w:rFonts w:ascii="Arial" w:hAnsi="Arial" w:cs="Arial"/>
        </w:rPr>
        <w:t xml:space="preserve"> until they are collected from customers</w:t>
      </w:r>
      <w:r w:rsidR="0057591A">
        <w:rPr>
          <w:rFonts w:ascii="Arial" w:hAnsi="Arial" w:cs="Arial"/>
        </w:rPr>
        <w:t xml:space="preserve">.  Because ADIT provides </w:t>
      </w:r>
      <w:r w:rsidR="003C1DE5">
        <w:rPr>
          <w:rFonts w:ascii="Arial" w:hAnsi="Arial" w:cs="Arial"/>
        </w:rPr>
        <w:t>cost-</w:t>
      </w:r>
      <w:r w:rsidR="0057591A">
        <w:rPr>
          <w:rFonts w:ascii="Arial" w:hAnsi="Arial" w:cs="Arial"/>
        </w:rPr>
        <w:t>free capital that AEP-Ohio need not finance through debt or equity, in the exampl</w:t>
      </w:r>
      <w:r w:rsidR="00EB1480">
        <w:rPr>
          <w:rFonts w:ascii="Arial" w:hAnsi="Arial" w:cs="Arial"/>
        </w:rPr>
        <w:t>e above, it would only be proper</w:t>
      </w:r>
      <w:r w:rsidR="0057591A">
        <w:rPr>
          <w:rFonts w:ascii="Arial" w:hAnsi="Arial" w:cs="Arial"/>
        </w:rPr>
        <w:t xml:space="preserve"> to authorize AEP-Ohio to calculate carrying charg</w:t>
      </w:r>
      <w:r w:rsidR="007F401D">
        <w:rPr>
          <w:rFonts w:ascii="Arial" w:hAnsi="Arial" w:cs="Arial"/>
        </w:rPr>
        <w:t xml:space="preserve">es on a </w:t>
      </w:r>
      <w:r w:rsidR="00EB1480">
        <w:rPr>
          <w:rFonts w:ascii="Arial" w:hAnsi="Arial" w:cs="Arial"/>
        </w:rPr>
        <w:t>balance of $65</w:t>
      </w:r>
      <w:r w:rsidR="00467C6D">
        <w:rPr>
          <w:rFonts w:ascii="Arial" w:hAnsi="Arial" w:cs="Arial"/>
        </w:rPr>
        <w:t xml:space="preserve"> ($100 deferr</w:t>
      </w:r>
      <w:r w:rsidR="008B6023">
        <w:rPr>
          <w:rFonts w:ascii="Arial" w:hAnsi="Arial" w:cs="Arial"/>
        </w:rPr>
        <w:t>ed balance</w:t>
      </w:r>
      <w:r w:rsidR="00467C6D">
        <w:rPr>
          <w:rFonts w:ascii="Arial" w:hAnsi="Arial" w:cs="Arial"/>
        </w:rPr>
        <w:t xml:space="preserve"> minus the $35 ADIT)</w:t>
      </w:r>
      <w:r w:rsidR="00EB1480">
        <w:rPr>
          <w:rFonts w:ascii="Arial" w:hAnsi="Arial" w:cs="Arial"/>
        </w:rPr>
        <w:t>, as</w:t>
      </w:r>
      <w:r w:rsidR="0057591A">
        <w:rPr>
          <w:rFonts w:ascii="Arial" w:hAnsi="Arial" w:cs="Arial"/>
        </w:rPr>
        <w:t xml:space="preserve"> the remainder was financed by ADIT.</w:t>
      </w:r>
      <w:r w:rsidR="00467C6D">
        <w:rPr>
          <w:rFonts w:ascii="Arial" w:hAnsi="Arial" w:cs="Arial"/>
        </w:rPr>
        <w:t xml:space="preserve">  </w:t>
      </w:r>
      <w:r w:rsidR="0057591A">
        <w:rPr>
          <w:rFonts w:ascii="Arial" w:hAnsi="Arial" w:cs="Arial"/>
        </w:rPr>
        <w:t xml:space="preserve">To authorize AEP-Ohio to calculate carrying charges without an adjustment for ADIT would allow AEP-Ohio </w:t>
      </w:r>
      <w:r w:rsidR="001D2E11">
        <w:rPr>
          <w:rFonts w:ascii="Arial" w:hAnsi="Arial" w:cs="Arial"/>
        </w:rPr>
        <w:t>to accrue carrying charges on</w:t>
      </w:r>
      <w:r w:rsidR="0057591A">
        <w:rPr>
          <w:rFonts w:ascii="Arial" w:hAnsi="Arial" w:cs="Arial"/>
        </w:rPr>
        <w:t xml:space="preserve"> overstated balance</w:t>
      </w:r>
      <w:r w:rsidR="001D2E11">
        <w:rPr>
          <w:rFonts w:ascii="Arial" w:hAnsi="Arial" w:cs="Arial"/>
        </w:rPr>
        <w:t>s</w:t>
      </w:r>
      <w:r w:rsidR="0057591A">
        <w:rPr>
          <w:rFonts w:ascii="Arial" w:hAnsi="Arial" w:cs="Arial"/>
        </w:rPr>
        <w:t xml:space="preserve"> and require customers to overcompensate AEP-Ohio for capital that was not financed.</w:t>
      </w:r>
    </w:p>
    <w:p w:rsidR="0057591A" w:rsidRPr="007B7475" w:rsidRDefault="00741E92" w:rsidP="003C665B">
      <w:pPr>
        <w:spacing w:line="480" w:lineRule="auto"/>
        <w:ind w:left="720" w:hanging="720"/>
        <w:jc w:val="both"/>
        <w:rPr>
          <w:rFonts w:ascii="Arial" w:hAnsi="Arial" w:cs="Arial"/>
          <w:b/>
        </w:rPr>
      </w:pPr>
      <w:r>
        <w:rPr>
          <w:rFonts w:ascii="Arial" w:hAnsi="Arial" w:cs="Arial"/>
          <w:b/>
        </w:rPr>
        <w:t>Q1</w:t>
      </w:r>
      <w:r w:rsidR="007F401D">
        <w:rPr>
          <w:rFonts w:ascii="Arial" w:hAnsi="Arial" w:cs="Arial"/>
          <w:b/>
        </w:rPr>
        <w:t>2</w:t>
      </w:r>
      <w:r>
        <w:rPr>
          <w:rFonts w:ascii="Arial" w:hAnsi="Arial" w:cs="Arial"/>
          <w:b/>
        </w:rPr>
        <w:t>.</w:t>
      </w:r>
      <w:r>
        <w:rPr>
          <w:rFonts w:ascii="Arial" w:hAnsi="Arial" w:cs="Arial"/>
          <w:b/>
        </w:rPr>
        <w:tab/>
      </w:r>
      <w:r w:rsidR="0067641B" w:rsidRPr="007B7475">
        <w:rPr>
          <w:rFonts w:ascii="Arial" w:hAnsi="Arial" w:cs="Arial"/>
          <w:b/>
        </w:rPr>
        <w:t xml:space="preserve">Has the Commission recognized </w:t>
      </w:r>
      <w:r w:rsidR="0067641B">
        <w:rPr>
          <w:rFonts w:ascii="Arial" w:hAnsi="Arial" w:cs="Arial"/>
          <w:b/>
        </w:rPr>
        <w:t xml:space="preserve">that </w:t>
      </w:r>
      <w:r w:rsidR="0067641B" w:rsidRPr="007B7475">
        <w:rPr>
          <w:rFonts w:ascii="Arial" w:hAnsi="Arial" w:cs="Arial"/>
          <w:b/>
        </w:rPr>
        <w:t xml:space="preserve">this regulatory </w:t>
      </w:r>
      <w:r w:rsidR="0067641B">
        <w:rPr>
          <w:rFonts w:ascii="Arial" w:hAnsi="Arial" w:cs="Arial"/>
          <w:b/>
        </w:rPr>
        <w:t xml:space="preserve">treatment </w:t>
      </w:r>
      <w:r w:rsidR="0067641B" w:rsidRPr="007B7475">
        <w:rPr>
          <w:rFonts w:ascii="Arial" w:hAnsi="Arial" w:cs="Arial"/>
          <w:b/>
        </w:rPr>
        <w:t>is proper and appropriate?</w:t>
      </w:r>
    </w:p>
    <w:p w:rsidR="0057591A" w:rsidRDefault="00AC2AB0" w:rsidP="003C665B">
      <w:pPr>
        <w:spacing w:line="480" w:lineRule="auto"/>
        <w:ind w:left="720" w:hanging="720"/>
        <w:jc w:val="both"/>
        <w:rPr>
          <w:rFonts w:ascii="Arial" w:hAnsi="Arial" w:cs="Arial"/>
        </w:rPr>
      </w:pPr>
      <w:r>
        <w:rPr>
          <w:rFonts w:ascii="Arial" w:hAnsi="Arial" w:cs="Arial"/>
        </w:rPr>
        <w:t>A1</w:t>
      </w:r>
      <w:r w:rsidR="007F401D">
        <w:rPr>
          <w:rFonts w:ascii="Arial" w:hAnsi="Arial" w:cs="Arial"/>
        </w:rPr>
        <w:t>2</w:t>
      </w:r>
      <w:r>
        <w:rPr>
          <w:rFonts w:ascii="Arial" w:hAnsi="Arial" w:cs="Arial"/>
        </w:rPr>
        <w:t>.</w:t>
      </w:r>
      <w:r>
        <w:rPr>
          <w:rFonts w:ascii="Arial" w:hAnsi="Arial" w:cs="Arial"/>
        </w:rPr>
        <w:tab/>
      </w:r>
      <w:r w:rsidR="0067641B">
        <w:rPr>
          <w:rFonts w:ascii="Arial" w:hAnsi="Arial" w:cs="Arial"/>
        </w:rPr>
        <w:t xml:space="preserve">The Commission has recognized that this </w:t>
      </w:r>
      <w:r w:rsidR="00741E92">
        <w:rPr>
          <w:rFonts w:ascii="Arial" w:hAnsi="Arial" w:cs="Arial"/>
        </w:rPr>
        <w:t xml:space="preserve">is </w:t>
      </w:r>
      <w:r w:rsidR="003C1DE5">
        <w:rPr>
          <w:rFonts w:ascii="Arial" w:hAnsi="Arial" w:cs="Arial"/>
        </w:rPr>
        <w:t xml:space="preserve">the </w:t>
      </w:r>
      <w:r w:rsidR="0067641B">
        <w:rPr>
          <w:rFonts w:ascii="Arial" w:hAnsi="Arial" w:cs="Arial"/>
        </w:rPr>
        <w:t>proper and appropriate regulatory treatment i</w:t>
      </w:r>
      <w:r w:rsidR="007F401D">
        <w:rPr>
          <w:rFonts w:ascii="Arial" w:hAnsi="Arial" w:cs="Arial"/>
        </w:rPr>
        <w:t>n</w:t>
      </w:r>
      <w:r w:rsidR="0067641B">
        <w:rPr>
          <w:rFonts w:ascii="Arial" w:hAnsi="Arial" w:cs="Arial"/>
        </w:rPr>
        <w:t xml:space="preserve"> numerous cases.  </w:t>
      </w:r>
      <w:r w:rsidR="00157EF6">
        <w:rPr>
          <w:rFonts w:ascii="Arial" w:hAnsi="Arial" w:cs="Arial"/>
        </w:rPr>
        <w:t>The</w:t>
      </w:r>
      <w:r w:rsidR="0057591A">
        <w:rPr>
          <w:rFonts w:ascii="Arial" w:hAnsi="Arial" w:cs="Arial"/>
        </w:rPr>
        <w:t xml:space="preserve"> Commission recognized </w:t>
      </w:r>
      <w:r w:rsidR="00EB1480">
        <w:rPr>
          <w:rFonts w:ascii="Arial" w:hAnsi="Arial" w:cs="Arial"/>
        </w:rPr>
        <w:t xml:space="preserve">just </w:t>
      </w:r>
      <w:r w:rsidR="0057591A">
        <w:rPr>
          <w:rFonts w:ascii="Arial" w:hAnsi="Arial" w:cs="Arial"/>
        </w:rPr>
        <w:t>a week aft</w:t>
      </w:r>
      <w:r w:rsidR="00741E92">
        <w:rPr>
          <w:rFonts w:ascii="Arial" w:hAnsi="Arial" w:cs="Arial"/>
        </w:rPr>
        <w:t xml:space="preserve">er the Finding and Order in the </w:t>
      </w:r>
      <w:r w:rsidR="00741E92" w:rsidRPr="00C14654">
        <w:rPr>
          <w:rFonts w:ascii="Arial" w:hAnsi="Arial" w:cs="Arial"/>
          <w:i/>
        </w:rPr>
        <w:t>PIRR</w:t>
      </w:r>
      <w:r w:rsidR="0057591A" w:rsidRPr="00C14654">
        <w:rPr>
          <w:rFonts w:ascii="Arial" w:hAnsi="Arial" w:cs="Arial"/>
          <w:i/>
        </w:rPr>
        <w:t xml:space="preserve"> </w:t>
      </w:r>
      <w:r w:rsidR="00C14654" w:rsidRPr="00C14654">
        <w:rPr>
          <w:rFonts w:ascii="Arial" w:hAnsi="Arial" w:cs="Arial"/>
          <w:i/>
        </w:rPr>
        <w:t>Case</w:t>
      </w:r>
      <w:r w:rsidR="00C14654">
        <w:rPr>
          <w:rFonts w:ascii="Arial" w:hAnsi="Arial" w:cs="Arial"/>
        </w:rPr>
        <w:t xml:space="preserve"> </w:t>
      </w:r>
      <w:r w:rsidR="00A73E5A">
        <w:rPr>
          <w:rFonts w:ascii="Arial" w:hAnsi="Arial" w:cs="Arial"/>
        </w:rPr>
        <w:t xml:space="preserve">that </w:t>
      </w:r>
      <w:r w:rsidR="0057591A">
        <w:rPr>
          <w:rFonts w:ascii="Arial" w:hAnsi="Arial" w:cs="Arial"/>
        </w:rPr>
        <w:t>the benefit of ADIT must be reflected in rates</w:t>
      </w:r>
      <w:r w:rsidR="00467C6D">
        <w:rPr>
          <w:rFonts w:ascii="Arial" w:hAnsi="Arial" w:cs="Arial"/>
        </w:rPr>
        <w:t xml:space="preserve">.  In the </w:t>
      </w:r>
      <w:r w:rsidR="00467C6D" w:rsidRPr="006A625D">
        <w:rPr>
          <w:rFonts w:ascii="Arial" w:hAnsi="Arial" w:cs="Arial"/>
          <w:i/>
        </w:rPr>
        <w:t xml:space="preserve">ESP II </w:t>
      </w:r>
      <w:r w:rsidR="003C1DE5" w:rsidRPr="006A625D">
        <w:rPr>
          <w:rFonts w:ascii="Arial" w:hAnsi="Arial" w:cs="Arial"/>
          <w:i/>
        </w:rPr>
        <w:t>Case</w:t>
      </w:r>
      <w:r w:rsidR="00467C6D">
        <w:rPr>
          <w:rFonts w:ascii="Arial" w:hAnsi="Arial" w:cs="Arial"/>
        </w:rPr>
        <w:t xml:space="preserve">, the Commission authorized the </w:t>
      </w:r>
      <w:r w:rsidR="00467C6D">
        <w:rPr>
          <w:rFonts w:ascii="Arial" w:hAnsi="Arial" w:cs="Arial"/>
        </w:rPr>
        <w:lastRenderedPageBreak/>
        <w:t>Distribution Investment Rider (</w:t>
      </w:r>
      <w:r w:rsidR="007F401D">
        <w:rPr>
          <w:rFonts w:ascii="Arial" w:hAnsi="Arial" w:cs="Arial"/>
        </w:rPr>
        <w:t>“</w:t>
      </w:r>
      <w:r w:rsidR="00467C6D">
        <w:rPr>
          <w:rFonts w:ascii="Arial" w:hAnsi="Arial" w:cs="Arial"/>
        </w:rPr>
        <w:t>Rider DIR</w:t>
      </w:r>
      <w:r w:rsidR="007F401D">
        <w:rPr>
          <w:rFonts w:ascii="Arial" w:hAnsi="Arial" w:cs="Arial"/>
        </w:rPr>
        <w:t>”</w:t>
      </w:r>
      <w:r w:rsidR="00467C6D">
        <w:rPr>
          <w:rFonts w:ascii="Arial" w:hAnsi="Arial" w:cs="Arial"/>
        </w:rPr>
        <w:t>) for recovery of investments relat</w:t>
      </w:r>
      <w:r w:rsidR="002075D0">
        <w:rPr>
          <w:rFonts w:ascii="Arial" w:hAnsi="Arial" w:cs="Arial"/>
        </w:rPr>
        <w:t>ed to distribution plant.  One</w:t>
      </w:r>
      <w:r w:rsidR="00467C6D">
        <w:rPr>
          <w:rFonts w:ascii="Arial" w:hAnsi="Arial" w:cs="Arial"/>
        </w:rPr>
        <w:t xml:space="preserve"> of the issues</w:t>
      </w:r>
      <w:r w:rsidR="002075D0">
        <w:rPr>
          <w:rFonts w:ascii="Arial" w:hAnsi="Arial" w:cs="Arial"/>
        </w:rPr>
        <w:t xml:space="preserve"> concerning the setting of the rider</w:t>
      </w:r>
      <w:r w:rsidR="0057591A">
        <w:rPr>
          <w:rFonts w:ascii="Arial" w:hAnsi="Arial" w:cs="Arial"/>
        </w:rPr>
        <w:t xml:space="preserve"> </w:t>
      </w:r>
      <w:r w:rsidR="000501D4">
        <w:rPr>
          <w:rFonts w:ascii="Arial" w:hAnsi="Arial" w:cs="Arial"/>
        </w:rPr>
        <w:t xml:space="preserve">rates </w:t>
      </w:r>
      <w:r w:rsidR="00467C6D">
        <w:rPr>
          <w:rFonts w:ascii="Arial" w:hAnsi="Arial" w:cs="Arial"/>
        </w:rPr>
        <w:t xml:space="preserve">was the determination of the proper balance for calculating the carrying charges.  Over AEP-Ohio’s objection, the Commission </w:t>
      </w:r>
      <w:r w:rsidR="0057591A">
        <w:rPr>
          <w:rFonts w:ascii="Arial" w:hAnsi="Arial" w:cs="Arial"/>
        </w:rPr>
        <w:t>stat</w:t>
      </w:r>
      <w:r w:rsidR="00467C6D">
        <w:rPr>
          <w:rFonts w:ascii="Arial" w:hAnsi="Arial" w:cs="Arial"/>
        </w:rPr>
        <w:t>ed</w:t>
      </w:r>
      <w:r w:rsidR="0057591A">
        <w:rPr>
          <w:rFonts w:ascii="Arial" w:hAnsi="Arial" w:cs="Arial"/>
        </w:rPr>
        <w:t>:</w:t>
      </w:r>
    </w:p>
    <w:p w:rsidR="00674EA0" w:rsidRDefault="0057591A" w:rsidP="00DF3048">
      <w:pPr>
        <w:spacing w:after="240"/>
        <w:ind w:left="1440" w:right="720"/>
        <w:jc w:val="both"/>
        <w:rPr>
          <w:rFonts w:ascii="Arial" w:hAnsi="Arial" w:cs="Arial"/>
        </w:rPr>
      </w:pPr>
      <w:r w:rsidRPr="009E7869">
        <w:rPr>
          <w:rFonts w:ascii="Arial" w:hAnsi="Arial" w:cs="Arial"/>
        </w:rPr>
        <w:t xml:space="preserve">We agree with Staff and Kroger that the DIR mechanism be revised to account for ADIT. </w:t>
      </w:r>
      <w:r w:rsidR="003C1DE5">
        <w:rPr>
          <w:rFonts w:ascii="Arial" w:hAnsi="Arial" w:cs="Arial"/>
        </w:rPr>
        <w:t xml:space="preserve"> </w:t>
      </w:r>
      <w:r w:rsidRPr="009E7869">
        <w:rPr>
          <w:rFonts w:ascii="Arial" w:hAnsi="Arial" w:cs="Arial"/>
        </w:rPr>
        <w:t xml:space="preserve">The Commission finds that it is not appropriate to establish the DIR rate mechanism in a manner which provides the Company with the benefit of ratepayer supplied funds. Any benefit resulting from ADIT should be reflected in the DIR revenue requirement. Therefore, the Commission directs AEP-Ohio to adjust its </w:t>
      </w:r>
      <w:r>
        <w:rPr>
          <w:rFonts w:ascii="Arial" w:hAnsi="Arial" w:cs="Arial"/>
        </w:rPr>
        <w:t>DIR to reflect the ADIT offset</w:t>
      </w:r>
      <w:r w:rsidR="003C1DE5">
        <w:rPr>
          <w:rFonts w:ascii="Arial" w:hAnsi="Arial" w:cs="Arial"/>
        </w:rPr>
        <w:t>.</w:t>
      </w:r>
      <w:r w:rsidR="003C1DE5">
        <w:rPr>
          <w:rStyle w:val="FootnoteReference"/>
          <w:rFonts w:ascii="Arial" w:hAnsi="Arial" w:cs="Arial"/>
        </w:rPr>
        <w:footnoteReference w:id="8"/>
      </w:r>
      <w:r w:rsidR="000C545B">
        <w:rPr>
          <w:rFonts w:ascii="Arial" w:hAnsi="Arial" w:cs="Arial"/>
        </w:rPr>
        <w:t xml:space="preserve"> </w:t>
      </w:r>
    </w:p>
    <w:p w:rsidR="00F61F40" w:rsidRDefault="00F61F40" w:rsidP="00F61F40">
      <w:pPr>
        <w:ind w:left="1440" w:right="720"/>
        <w:jc w:val="both"/>
        <w:rPr>
          <w:rFonts w:ascii="Arial" w:hAnsi="Arial" w:cs="Arial"/>
        </w:rPr>
      </w:pPr>
    </w:p>
    <w:p w:rsidR="005075F6" w:rsidRDefault="00EF681B" w:rsidP="00543C01">
      <w:pPr>
        <w:spacing w:line="480" w:lineRule="auto"/>
        <w:ind w:left="720" w:hanging="720"/>
        <w:jc w:val="both"/>
        <w:rPr>
          <w:rFonts w:ascii="Arial" w:hAnsi="Arial" w:cs="Arial"/>
          <w:b/>
        </w:rPr>
      </w:pPr>
      <w:r>
        <w:rPr>
          <w:rFonts w:ascii="Arial" w:hAnsi="Arial" w:cs="Arial"/>
          <w:b/>
        </w:rPr>
        <w:t>Q1</w:t>
      </w:r>
      <w:r w:rsidR="007F401D">
        <w:rPr>
          <w:rFonts w:ascii="Arial" w:hAnsi="Arial" w:cs="Arial"/>
          <w:b/>
        </w:rPr>
        <w:t>3</w:t>
      </w:r>
      <w:r>
        <w:rPr>
          <w:rFonts w:ascii="Arial" w:hAnsi="Arial" w:cs="Arial"/>
          <w:b/>
        </w:rPr>
        <w:t>.</w:t>
      </w:r>
      <w:r>
        <w:rPr>
          <w:rFonts w:ascii="Arial" w:hAnsi="Arial" w:cs="Arial"/>
          <w:b/>
        </w:rPr>
        <w:tab/>
        <w:t xml:space="preserve">What is the magnitude of </w:t>
      </w:r>
      <w:r w:rsidR="005075F6">
        <w:rPr>
          <w:rFonts w:ascii="Arial" w:hAnsi="Arial" w:cs="Arial"/>
          <w:b/>
        </w:rPr>
        <w:t>the ADIT balance</w:t>
      </w:r>
      <w:r w:rsidR="00094167">
        <w:rPr>
          <w:rFonts w:ascii="Arial" w:hAnsi="Arial" w:cs="Arial"/>
          <w:b/>
        </w:rPr>
        <w:t xml:space="preserve"> attributed to the PIRR and the total PIRR deferral</w:t>
      </w:r>
      <w:r w:rsidR="005075F6">
        <w:rPr>
          <w:rFonts w:ascii="Arial" w:hAnsi="Arial" w:cs="Arial"/>
          <w:b/>
        </w:rPr>
        <w:t>?</w:t>
      </w:r>
    </w:p>
    <w:p w:rsidR="005075F6" w:rsidRDefault="005075F6" w:rsidP="0091525E">
      <w:pPr>
        <w:spacing w:after="240" w:line="480" w:lineRule="auto"/>
        <w:ind w:left="720" w:hanging="720"/>
        <w:jc w:val="both"/>
        <w:rPr>
          <w:rFonts w:ascii="Arial" w:hAnsi="Arial" w:cs="Arial"/>
        </w:rPr>
      </w:pPr>
      <w:r w:rsidRPr="005075F6">
        <w:rPr>
          <w:rFonts w:ascii="Arial" w:hAnsi="Arial" w:cs="Arial"/>
        </w:rPr>
        <w:t>A1</w:t>
      </w:r>
      <w:r w:rsidR="007F401D">
        <w:rPr>
          <w:rFonts w:ascii="Arial" w:hAnsi="Arial" w:cs="Arial"/>
        </w:rPr>
        <w:t>3</w:t>
      </w:r>
      <w:r w:rsidRPr="005075F6">
        <w:rPr>
          <w:rFonts w:ascii="Arial" w:hAnsi="Arial" w:cs="Arial"/>
        </w:rPr>
        <w:t>.</w:t>
      </w:r>
      <w:r w:rsidRPr="005075F6">
        <w:rPr>
          <w:rFonts w:ascii="Arial" w:hAnsi="Arial" w:cs="Arial"/>
        </w:rPr>
        <w:tab/>
      </w:r>
      <w:r w:rsidR="000501D4">
        <w:rPr>
          <w:rFonts w:ascii="Arial" w:hAnsi="Arial" w:cs="Arial"/>
        </w:rPr>
        <w:t>Using publicly available information a</w:t>
      </w:r>
      <w:r>
        <w:rPr>
          <w:rFonts w:ascii="Arial" w:hAnsi="Arial" w:cs="Arial"/>
        </w:rPr>
        <w:t xml:space="preserve">s of December 31, 2012, the ADIT balance reported on </w:t>
      </w:r>
      <w:r w:rsidR="003C1DE5">
        <w:rPr>
          <w:rFonts w:ascii="Arial" w:hAnsi="Arial" w:cs="Arial"/>
        </w:rPr>
        <w:t>OP</w:t>
      </w:r>
      <w:r>
        <w:rPr>
          <w:rFonts w:ascii="Arial" w:hAnsi="Arial" w:cs="Arial"/>
        </w:rPr>
        <w:t xml:space="preserve">’s FERC Form 1 </w:t>
      </w:r>
      <w:r w:rsidR="00094167">
        <w:rPr>
          <w:rFonts w:ascii="Arial" w:hAnsi="Arial" w:cs="Arial"/>
        </w:rPr>
        <w:t xml:space="preserve">for the PIRR </w:t>
      </w:r>
      <w:r>
        <w:rPr>
          <w:rFonts w:ascii="Arial" w:hAnsi="Arial" w:cs="Arial"/>
        </w:rPr>
        <w:t xml:space="preserve">was approximately </w:t>
      </w:r>
      <w:r w:rsidRPr="00E04B02">
        <w:rPr>
          <w:rFonts w:ascii="Arial" w:hAnsi="Arial" w:cs="Arial"/>
        </w:rPr>
        <w:t>$175.8 million.</w:t>
      </w:r>
      <w:r>
        <w:rPr>
          <w:rFonts w:ascii="Arial" w:hAnsi="Arial" w:cs="Arial"/>
        </w:rPr>
        <w:t xml:space="preserve">  In its PIRR compliance tariff filing dated August 8, 2012 in </w:t>
      </w:r>
      <w:r w:rsidR="003C1DE5">
        <w:rPr>
          <w:rFonts w:ascii="Arial" w:hAnsi="Arial" w:cs="Arial"/>
        </w:rPr>
        <w:t xml:space="preserve">the </w:t>
      </w:r>
      <w:r w:rsidR="003C1DE5" w:rsidRPr="006A625D">
        <w:rPr>
          <w:rFonts w:ascii="Arial" w:hAnsi="Arial" w:cs="Arial"/>
          <w:i/>
        </w:rPr>
        <w:t>PIRR Case</w:t>
      </w:r>
      <w:r>
        <w:rPr>
          <w:rFonts w:ascii="Arial" w:hAnsi="Arial" w:cs="Arial"/>
        </w:rPr>
        <w:t>, AEP-Ohio estimated that the deferr</w:t>
      </w:r>
      <w:r w:rsidR="008B6023">
        <w:rPr>
          <w:rFonts w:ascii="Arial" w:hAnsi="Arial" w:cs="Arial"/>
        </w:rPr>
        <w:t>ed</w:t>
      </w:r>
      <w:r>
        <w:rPr>
          <w:rFonts w:ascii="Arial" w:hAnsi="Arial" w:cs="Arial"/>
        </w:rPr>
        <w:t xml:space="preserve"> balance</w:t>
      </w:r>
      <w:r w:rsidR="006A625D">
        <w:rPr>
          <w:rFonts w:ascii="Arial" w:hAnsi="Arial" w:cs="Arial"/>
        </w:rPr>
        <w:t>s</w:t>
      </w:r>
      <w:r>
        <w:rPr>
          <w:rFonts w:ascii="Arial" w:hAnsi="Arial" w:cs="Arial"/>
        </w:rPr>
        <w:t xml:space="preserve"> to be recov</w:t>
      </w:r>
      <w:r w:rsidR="006A625D">
        <w:rPr>
          <w:rFonts w:ascii="Arial" w:hAnsi="Arial" w:cs="Arial"/>
        </w:rPr>
        <w:t>ered as of September 1, 2012 were</w:t>
      </w:r>
      <w:r>
        <w:rPr>
          <w:rFonts w:ascii="Arial" w:hAnsi="Arial" w:cs="Arial"/>
        </w:rPr>
        <w:t xml:space="preserve"> approximately </w:t>
      </w:r>
      <w:r w:rsidRPr="00E04B02">
        <w:rPr>
          <w:rFonts w:ascii="Arial" w:hAnsi="Arial" w:cs="Arial"/>
        </w:rPr>
        <w:t>$600 million</w:t>
      </w:r>
      <w:r>
        <w:rPr>
          <w:rFonts w:ascii="Arial" w:hAnsi="Arial" w:cs="Arial"/>
        </w:rPr>
        <w:t xml:space="preserve">.  </w:t>
      </w:r>
      <w:r w:rsidR="00094167">
        <w:rPr>
          <w:rFonts w:ascii="Arial" w:hAnsi="Arial" w:cs="Arial"/>
        </w:rPr>
        <w:t>Therefore, the impact of removing the ADIT balance from the carrying charge calculation would be a very substantial reduction to the carrying charges that customers will be required to pay.</w:t>
      </w:r>
    </w:p>
    <w:p w:rsidR="00094167" w:rsidRDefault="00094167">
      <w:pPr>
        <w:spacing w:line="480" w:lineRule="auto"/>
        <w:ind w:left="720" w:hanging="720"/>
        <w:jc w:val="both"/>
        <w:rPr>
          <w:rFonts w:ascii="Arial" w:hAnsi="Arial" w:cs="Arial"/>
          <w:b/>
        </w:rPr>
      </w:pPr>
      <w:r w:rsidRPr="003C665B">
        <w:rPr>
          <w:rFonts w:ascii="Arial" w:hAnsi="Arial" w:cs="Arial"/>
          <w:b/>
        </w:rPr>
        <w:t>Q1</w:t>
      </w:r>
      <w:r w:rsidR="0091525E">
        <w:rPr>
          <w:rFonts w:ascii="Arial" w:hAnsi="Arial" w:cs="Arial"/>
          <w:b/>
        </w:rPr>
        <w:t>4</w:t>
      </w:r>
      <w:r w:rsidRPr="003C665B">
        <w:rPr>
          <w:rFonts w:ascii="Arial" w:hAnsi="Arial" w:cs="Arial"/>
          <w:b/>
        </w:rPr>
        <w:t>.</w:t>
      </w:r>
      <w:r w:rsidRPr="003C665B">
        <w:rPr>
          <w:rFonts w:ascii="Arial" w:hAnsi="Arial" w:cs="Arial"/>
          <w:b/>
        </w:rPr>
        <w:tab/>
      </w:r>
      <w:r>
        <w:rPr>
          <w:rFonts w:ascii="Arial" w:hAnsi="Arial" w:cs="Arial"/>
          <w:b/>
        </w:rPr>
        <w:t xml:space="preserve">Please quantify the adjustment </w:t>
      </w:r>
      <w:r w:rsidR="0091525E">
        <w:rPr>
          <w:rFonts w:ascii="Arial" w:hAnsi="Arial" w:cs="Arial"/>
          <w:b/>
        </w:rPr>
        <w:t xml:space="preserve">that </w:t>
      </w:r>
      <w:r>
        <w:rPr>
          <w:rFonts w:ascii="Arial" w:hAnsi="Arial" w:cs="Arial"/>
          <w:b/>
        </w:rPr>
        <w:t>you are recommending be made to the carrying charges.</w:t>
      </w:r>
    </w:p>
    <w:p w:rsidR="00094167" w:rsidRPr="00094167" w:rsidRDefault="00094167" w:rsidP="003C665B">
      <w:pPr>
        <w:spacing w:after="240" w:line="480" w:lineRule="auto"/>
        <w:ind w:left="720" w:hanging="720"/>
        <w:jc w:val="both"/>
        <w:rPr>
          <w:rFonts w:ascii="Arial" w:hAnsi="Arial" w:cs="Arial"/>
        </w:rPr>
      </w:pPr>
      <w:r w:rsidRPr="003C665B">
        <w:rPr>
          <w:rFonts w:ascii="Arial" w:hAnsi="Arial" w:cs="Arial"/>
        </w:rPr>
        <w:t>A1</w:t>
      </w:r>
      <w:r w:rsidR="0091525E">
        <w:rPr>
          <w:rFonts w:ascii="Arial" w:hAnsi="Arial" w:cs="Arial"/>
        </w:rPr>
        <w:t>4</w:t>
      </w:r>
      <w:r w:rsidRPr="003C665B">
        <w:rPr>
          <w:rFonts w:ascii="Arial" w:hAnsi="Arial" w:cs="Arial"/>
        </w:rPr>
        <w:t>.</w:t>
      </w:r>
      <w:r w:rsidRPr="003C665B">
        <w:rPr>
          <w:rFonts w:ascii="Arial" w:hAnsi="Arial" w:cs="Arial"/>
        </w:rPr>
        <w:tab/>
      </w:r>
      <w:r>
        <w:rPr>
          <w:rFonts w:ascii="Arial" w:hAnsi="Arial" w:cs="Arial"/>
        </w:rPr>
        <w:t xml:space="preserve">The carrying charge calculation made by the Company </w:t>
      </w:r>
      <w:r w:rsidR="00317DC1">
        <w:rPr>
          <w:rFonts w:ascii="Arial" w:hAnsi="Arial" w:cs="Arial"/>
        </w:rPr>
        <w:t>is to take the deferr</w:t>
      </w:r>
      <w:r w:rsidR="008B6023">
        <w:rPr>
          <w:rFonts w:ascii="Arial" w:hAnsi="Arial" w:cs="Arial"/>
        </w:rPr>
        <w:t>ed</w:t>
      </w:r>
      <w:r w:rsidR="00317DC1">
        <w:rPr>
          <w:rFonts w:ascii="Arial" w:hAnsi="Arial" w:cs="Arial"/>
        </w:rPr>
        <w:t xml:space="preserve"> balance</w:t>
      </w:r>
      <w:r w:rsidR="006A625D">
        <w:rPr>
          <w:rFonts w:ascii="Arial" w:hAnsi="Arial" w:cs="Arial"/>
        </w:rPr>
        <w:t>s</w:t>
      </w:r>
      <w:r w:rsidR="00317DC1">
        <w:rPr>
          <w:rFonts w:ascii="Arial" w:hAnsi="Arial" w:cs="Arial"/>
        </w:rPr>
        <w:t xml:space="preserve"> times the carrying charge rate.  The resulting carrying charges are then added to the deferr</w:t>
      </w:r>
      <w:r w:rsidR="008B6023">
        <w:rPr>
          <w:rFonts w:ascii="Arial" w:hAnsi="Arial" w:cs="Arial"/>
        </w:rPr>
        <w:t>ed</w:t>
      </w:r>
      <w:r w:rsidR="00317DC1">
        <w:rPr>
          <w:rFonts w:ascii="Arial" w:hAnsi="Arial" w:cs="Arial"/>
        </w:rPr>
        <w:t xml:space="preserve"> balance</w:t>
      </w:r>
      <w:r w:rsidR="006A625D">
        <w:rPr>
          <w:rFonts w:ascii="Arial" w:hAnsi="Arial" w:cs="Arial"/>
        </w:rPr>
        <w:t>s, and the</w:t>
      </w:r>
      <w:r w:rsidR="00317DC1">
        <w:rPr>
          <w:rFonts w:ascii="Arial" w:hAnsi="Arial" w:cs="Arial"/>
        </w:rPr>
        <w:t xml:space="preserve"> total deferr</w:t>
      </w:r>
      <w:r w:rsidR="008B6023">
        <w:rPr>
          <w:rFonts w:ascii="Arial" w:hAnsi="Arial" w:cs="Arial"/>
        </w:rPr>
        <w:t>ed</w:t>
      </w:r>
      <w:r w:rsidR="00317DC1">
        <w:rPr>
          <w:rFonts w:ascii="Arial" w:hAnsi="Arial" w:cs="Arial"/>
        </w:rPr>
        <w:t xml:space="preserve"> balance</w:t>
      </w:r>
      <w:r w:rsidR="006A625D">
        <w:rPr>
          <w:rFonts w:ascii="Arial" w:hAnsi="Arial" w:cs="Arial"/>
        </w:rPr>
        <w:t>s are</w:t>
      </w:r>
      <w:r w:rsidR="00317DC1">
        <w:rPr>
          <w:rFonts w:ascii="Arial" w:hAnsi="Arial" w:cs="Arial"/>
        </w:rPr>
        <w:t xml:space="preserve"> included in </w:t>
      </w:r>
      <w:r w:rsidR="00317DC1">
        <w:rPr>
          <w:rFonts w:ascii="Arial" w:hAnsi="Arial" w:cs="Arial"/>
        </w:rPr>
        <w:lastRenderedPageBreak/>
        <w:t xml:space="preserve">the PIRR.  Prior to the amortization of the PIRR balance, which commenced in September 2012, carrying charges were accrued at the Company’s weighted average cost of capital (“WACC”), and commencing with the amortization, carrying charges were accrued at the Company’s cost of </w:t>
      </w:r>
      <w:r w:rsidR="003C1DE5">
        <w:rPr>
          <w:rFonts w:ascii="Arial" w:hAnsi="Arial" w:cs="Arial"/>
        </w:rPr>
        <w:t>long-</w:t>
      </w:r>
      <w:r w:rsidR="00317DC1">
        <w:rPr>
          <w:rFonts w:ascii="Arial" w:hAnsi="Arial" w:cs="Arial"/>
        </w:rPr>
        <w:t xml:space="preserve">term debt.  I </w:t>
      </w:r>
      <w:r w:rsidR="00DB25EA">
        <w:rPr>
          <w:rFonts w:ascii="Arial" w:hAnsi="Arial" w:cs="Arial"/>
        </w:rPr>
        <w:t xml:space="preserve">have calculated </w:t>
      </w:r>
      <w:r w:rsidR="00317DC1">
        <w:rPr>
          <w:rFonts w:ascii="Arial" w:hAnsi="Arial" w:cs="Arial"/>
        </w:rPr>
        <w:t xml:space="preserve">the estimated carrying charge reduction that would result from calculating the carrying charges </w:t>
      </w:r>
      <w:r w:rsidR="00012E06">
        <w:rPr>
          <w:rFonts w:ascii="Arial" w:hAnsi="Arial" w:cs="Arial"/>
        </w:rPr>
        <w:t>on the deferred balance reduced by</w:t>
      </w:r>
      <w:r w:rsidR="00317DC1">
        <w:rPr>
          <w:rFonts w:ascii="Arial" w:hAnsi="Arial" w:cs="Arial"/>
        </w:rPr>
        <w:t xml:space="preserve"> ADIT from January 2010 through December 2011, the period covered by the FAC audits.  My calculation shows that carrying charges would be reduced by an estimated </w:t>
      </w:r>
      <w:r w:rsidR="00317DC1" w:rsidRPr="007537A5">
        <w:rPr>
          <w:rFonts w:ascii="Arial" w:hAnsi="Arial" w:cs="Arial"/>
        </w:rPr>
        <w:t>$</w:t>
      </w:r>
      <w:r w:rsidR="00A73E5A" w:rsidRPr="007537A5">
        <w:rPr>
          <w:rFonts w:ascii="Arial" w:hAnsi="Arial" w:cs="Arial"/>
        </w:rPr>
        <w:t>3</w:t>
      </w:r>
      <w:r w:rsidR="008B6023" w:rsidRPr="007537A5">
        <w:rPr>
          <w:rFonts w:ascii="Arial" w:hAnsi="Arial" w:cs="Arial"/>
        </w:rPr>
        <w:t>8</w:t>
      </w:r>
      <w:r w:rsidR="00317DC1">
        <w:rPr>
          <w:rFonts w:ascii="Arial" w:hAnsi="Arial" w:cs="Arial"/>
        </w:rPr>
        <w:t xml:space="preserve"> million</w:t>
      </w:r>
      <w:r w:rsidR="00A73E5A">
        <w:rPr>
          <w:rFonts w:ascii="Arial" w:hAnsi="Arial" w:cs="Arial"/>
        </w:rPr>
        <w:t xml:space="preserve">, and </w:t>
      </w:r>
      <w:r w:rsidR="000501D4">
        <w:rPr>
          <w:rFonts w:ascii="Arial" w:hAnsi="Arial" w:cs="Arial"/>
        </w:rPr>
        <w:t xml:space="preserve">I recommend that </w:t>
      </w:r>
      <w:r w:rsidR="00A73E5A">
        <w:rPr>
          <w:rFonts w:ascii="Arial" w:hAnsi="Arial" w:cs="Arial"/>
        </w:rPr>
        <w:t>this reduction should be reflected in Rider PIRR rates</w:t>
      </w:r>
      <w:r w:rsidR="00F57866">
        <w:rPr>
          <w:rFonts w:ascii="Arial" w:hAnsi="Arial" w:cs="Arial"/>
        </w:rPr>
        <w:t>.</w:t>
      </w:r>
      <w:r w:rsidR="00317DC1">
        <w:rPr>
          <w:rFonts w:ascii="Arial" w:hAnsi="Arial" w:cs="Arial"/>
        </w:rPr>
        <w:t xml:space="preserve">  </w:t>
      </w:r>
    </w:p>
    <w:p w:rsidR="007F0AA7" w:rsidRPr="00AA6A20" w:rsidRDefault="007F0AA7" w:rsidP="00A45819">
      <w:pPr>
        <w:autoSpaceDE w:val="0"/>
        <w:autoSpaceDN w:val="0"/>
        <w:adjustRightInd w:val="0"/>
        <w:spacing w:line="480" w:lineRule="auto"/>
        <w:ind w:left="720" w:hanging="720"/>
        <w:jc w:val="both"/>
        <w:rPr>
          <w:rFonts w:ascii="Arial" w:hAnsi="Arial" w:cs="Arial"/>
          <w:b/>
        </w:rPr>
      </w:pPr>
      <w:r w:rsidRPr="00AA6A20">
        <w:rPr>
          <w:rFonts w:ascii="Arial" w:hAnsi="Arial" w:cs="Arial"/>
          <w:b/>
        </w:rPr>
        <w:t>Q</w:t>
      </w:r>
      <w:r w:rsidR="00AC2AB0">
        <w:rPr>
          <w:rFonts w:ascii="Arial" w:hAnsi="Arial" w:cs="Arial"/>
          <w:b/>
        </w:rPr>
        <w:t>1</w:t>
      </w:r>
      <w:r w:rsidR="0091525E">
        <w:rPr>
          <w:rFonts w:ascii="Arial" w:hAnsi="Arial" w:cs="Arial"/>
          <w:b/>
        </w:rPr>
        <w:t>5</w:t>
      </w:r>
      <w:r w:rsidR="0078423F">
        <w:rPr>
          <w:rFonts w:ascii="Arial" w:hAnsi="Arial" w:cs="Arial"/>
          <w:b/>
        </w:rPr>
        <w:t>.</w:t>
      </w:r>
      <w:r w:rsidR="0078423F">
        <w:rPr>
          <w:rFonts w:ascii="Arial" w:hAnsi="Arial" w:cs="Arial"/>
          <w:b/>
        </w:rPr>
        <w:tab/>
      </w:r>
      <w:r w:rsidR="00157EF6">
        <w:rPr>
          <w:rFonts w:ascii="Arial" w:hAnsi="Arial" w:cs="Arial"/>
          <w:b/>
        </w:rPr>
        <w:t xml:space="preserve">Did </w:t>
      </w:r>
      <w:r w:rsidR="00CA2571">
        <w:rPr>
          <w:rFonts w:ascii="Arial" w:hAnsi="Arial" w:cs="Arial"/>
          <w:b/>
        </w:rPr>
        <w:t>the</w:t>
      </w:r>
      <w:r w:rsidR="00A45819">
        <w:rPr>
          <w:rFonts w:ascii="Arial" w:hAnsi="Arial" w:cs="Arial"/>
          <w:b/>
        </w:rPr>
        <w:t xml:space="preserve"> </w:t>
      </w:r>
      <w:r w:rsidR="00CF452B">
        <w:rPr>
          <w:rFonts w:ascii="Arial" w:hAnsi="Arial" w:cs="Arial"/>
          <w:b/>
        </w:rPr>
        <w:t xml:space="preserve">FAC </w:t>
      </w:r>
      <w:r w:rsidR="00A45819">
        <w:rPr>
          <w:rFonts w:ascii="Arial" w:hAnsi="Arial" w:cs="Arial"/>
          <w:b/>
        </w:rPr>
        <w:t xml:space="preserve">auditors </w:t>
      </w:r>
      <w:r w:rsidR="00423368">
        <w:rPr>
          <w:rFonts w:ascii="Arial" w:hAnsi="Arial" w:cs="Arial"/>
          <w:b/>
        </w:rPr>
        <w:t>address</w:t>
      </w:r>
      <w:r w:rsidR="00A45819">
        <w:rPr>
          <w:rFonts w:ascii="Arial" w:hAnsi="Arial" w:cs="Arial"/>
          <w:b/>
        </w:rPr>
        <w:t xml:space="preserve"> the calculation of carrying charges on the deferred balances in their reports</w:t>
      </w:r>
      <w:r w:rsidR="00CF452B">
        <w:rPr>
          <w:rFonts w:ascii="Arial" w:hAnsi="Arial" w:cs="Arial"/>
          <w:b/>
        </w:rPr>
        <w:t xml:space="preserve"> in the current proceeding</w:t>
      </w:r>
      <w:r w:rsidR="008A21C5">
        <w:rPr>
          <w:rFonts w:ascii="Arial" w:hAnsi="Arial" w:cs="Arial"/>
          <w:b/>
        </w:rPr>
        <w:t>s</w:t>
      </w:r>
      <w:r w:rsidR="00157EF6">
        <w:rPr>
          <w:rFonts w:ascii="Arial" w:hAnsi="Arial" w:cs="Arial"/>
          <w:b/>
        </w:rPr>
        <w:t>?</w:t>
      </w:r>
      <w:r w:rsidR="009003C9">
        <w:rPr>
          <w:rFonts w:ascii="Arial" w:hAnsi="Arial" w:cs="Arial"/>
          <w:b/>
        </w:rPr>
        <w:t xml:space="preserve">  </w:t>
      </w:r>
    </w:p>
    <w:p w:rsidR="00C82CA2" w:rsidRDefault="007F0AA7">
      <w:pPr>
        <w:autoSpaceDE w:val="0"/>
        <w:autoSpaceDN w:val="0"/>
        <w:adjustRightInd w:val="0"/>
        <w:spacing w:after="240" w:line="480" w:lineRule="auto"/>
        <w:ind w:left="720" w:hanging="720"/>
        <w:jc w:val="both"/>
        <w:rPr>
          <w:rStyle w:val="LineNumber"/>
          <w:rFonts w:cs="Arial"/>
          <w:sz w:val="24"/>
        </w:rPr>
      </w:pPr>
      <w:r w:rsidRPr="00AA6A20">
        <w:rPr>
          <w:rFonts w:ascii="Arial" w:hAnsi="Arial" w:cs="Arial"/>
        </w:rPr>
        <w:t>A1</w:t>
      </w:r>
      <w:r w:rsidR="0091525E">
        <w:rPr>
          <w:rFonts w:ascii="Arial" w:hAnsi="Arial" w:cs="Arial"/>
        </w:rPr>
        <w:t>5</w:t>
      </w:r>
      <w:r w:rsidR="00A45819">
        <w:rPr>
          <w:rFonts w:ascii="Arial" w:hAnsi="Arial" w:cs="Arial"/>
        </w:rPr>
        <w:t>.</w:t>
      </w:r>
      <w:r w:rsidR="00A45819">
        <w:rPr>
          <w:rFonts w:ascii="Arial" w:hAnsi="Arial" w:cs="Arial"/>
        </w:rPr>
        <w:tab/>
      </w:r>
      <w:r w:rsidR="00915A91">
        <w:rPr>
          <w:rFonts w:ascii="Arial" w:hAnsi="Arial" w:cs="Arial"/>
        </w:rPr>
        <w:t xml:space="preserve">Yes. </w:t>
      </w:r>
      <w:r w:rsidR="003C1DE5">
        <w:rPr>
          <w:rFonts w:ascii="Arial" w:hAnsi="Arial" w:cs="Arial"/>
        </w:rPr>
        <w:t xml:space="preserve"> </w:t>
      </w:r>
      <w:r w:rsidR="00915A91">
        <w:rPr>
          <w:rFonts w:ascii="Arial" w:hAnsi="Arial" w:cs="Arial"/>
        </w:rPr>
        <w:t>The FAC auditors addressed carrying charges i</w:t>
      </w:r>
      <w:r w:rsidR="00A45819">
        <w:rPr>
          <w:rFonts w:ascii="Arial" w:hAnsi="Arial" w:cs="Arial"/>
        </w:rPr>
        <w:t xml:space="preserve">n both the 2010 audit report </w:t>
      </w:r>
      <w:r w:rsidR="00163A83" w:rsidRPr="009003C9">
        <w:rPr>
          <w:rFonts w:ascii="Arial" w:hAnsi="Arial" w:cs="Arial"/>
        </w:rPr>
        <w:t>in Case No</w:t>
      </w:r>
      <w:r w:rsidR="001D2E11">
        <w:rPr>
          <w:rFonts w:ascii="Arial" w:hAnsi="Arial" w:cs="Arial"/>
        </w:rPr>
        <w:t>s</w:t>
      </w:r>
      <w:r w:rsidR="00163A83" w:rsidRPr="009003C9">
        <w:rPr>
          <w:rFonts w:ascii="Arial" w:hAnsi="Arial" w:cs="Arial"/>
        </w:rPr>
        <w:t>. 10-268</w:t>
      </w:r>
      <w:r w:rsidR="009003C9" w:rsidRPr="009003C9">
        <w:rPr>
          <w:rFonts w:ascii="Arial" w:hAnsi="Arial" w:cs="Arial"/>
        </w:rPr>
        <w:t>-EL-FAC</w:t>
      </w:r>
      <w:r w:rsidR="003C1DE5">
        <w:rPr>
          <w:rFonts w:ascii="Arial" w:hAnsi="Arial" w:cs="Arial"/>
        </w:rPr>
        <w:t xml:space="preserve">, </w:t>
      </w:r>
      <w:r w:rsidR="003C1DE5" w:rsidRPr="00A920DC">
        <w:rPr>
          <w:rFonts w:ascii="Arial" w:hAnsi="Arial" w:cs="Arial"/>
          <w:i/>
        </w:rPr>
        <w:t>et al</w:t>
      </w:r>
      <w:r w:rsidR="003C1DE5">
        <w:rPr>
          <w:rFonts w:ascii="Arial" w:hAnsi="Arial" w:cs="Arial"/>
        </w:rPr>
        <w:t>.,</w:t>
      </w:r>
      <w:r w:rsidR="00163A83" w:rsidRPr="009003C9">
        <w:rPr>
          <w:rFonts w:ascii="Arial" w:hAnsi="Arial" w:cs="Arial"/>
        </w:rPr>
        <w:t xml:space="preserve"> </w:t>
      </w:r>
      <w:r w:rsidR="00A45819" w:rsidRPr="009003C9">
        <w:rPr>
          <w:rFonts w:ascii="Arial" w:hAnsi="Arial" w:cs="Arial"/>
        </w:rPr>
        <w:t>and the 2011 audit</w:t>
      </w:r>
      <w:r w:rsidR="009003C9">
        <w:rPr>
          <w:rFonts w:ascii="Arial" w:hAnsi="Arial" w:cs="Arial"/>
        </w:rPr>
        <w:t xml:space="preserve"> report in Case No. 11-</w:t>
      </w:r>
      <w:r w:rsidR="00915A91">
        <w:rPr>
          <w:rFonts w:ascii="Arial" w:hAnsi="Arial" w:cs="Arial"/>
        </w:rPr>
        <w:t>281-</w:t>
      </w:r>
      <w:r w:rsidR="009003C9">
        <w:rPr>
          <w:rFonts w:ascii="Arial" w:hAnsi="Arial" w:cs="Arial"/>
        </w:rPr>
        <w:t>EL-FAC</w:t>
      </w:r>
      <w:r w:rsidR="00B53736">
        <w:rPr>
          <w:rFonts w:ascii="Arial" w:hAnsi="Arial" w:cs="Arial"/>
        </w:rPr>
        <w:t>.</w:t>
      </w:r>
      <w:r w:rsidR="00D37E45">
        <w:rPr>
          <w:rFonts w:ascii="Arial" w:hAnsi="Arial" w:cs="Arial"/>
        </w:rPr>
        <w:t xml:space="preserve"> </w:t>
      </w:r>
      <w:r w:rsidRPr="00AA6A20">
        <w:rPr>
          <w:rFonts w:ascii="Arial" w:hAnsi="Arial" w:cs="Arial"/>
        </w:rPr>
        <w:t xml:space="preserve"> </w:t>
      </w:r>
      <w:r w:rsidR="00C82CA2">
        <w:rPr>
          <w:rStyle w:val="LineNumber"/>
          <w:rFonts w:cs="Arial"/>
          <w:sz w:val="24"/>
        </w:rPr>
        <w:t>In their financial audit recommendations</w:t>
      </w:r>
      <w:r w:rsidR="00CF452B">
        <w:rPr>
          <w:rStyle w:val="LineNumber"/>
          <w:rFonts w:cs="Arial"/>
          <w:sz w:val="24"/>
        </w:rPr>
        <w:t xml:space="preserve"> in the 2011 report</w:t>
      </w:r>
      <w:r w:rsidR="00C82CA2">
        <w:rPr>
          <w:rStyle w:val="LineNumber"/>
          <w:rFonts w:cs="Arial"/>
          <w:sz w:val="24"/>
        </w:rPr>
        <w:t xml:space="preserve">, the auditors </w:t>
      </w:r>
      <w:r w:rsidR="00094167">
        <w:rPr>
          <w:rStyle w:val="LineNumber"/>
          <w:rFonts w:cs="Arial"/>
          <w:sz w:val="24"/>
        </w:rPr>
        <w:t>recommended</w:t>
      </w:r>
      <w:r w:rsidR="00C82CA2">
        <w:rPr>
          <w:rStyle w:val="LineNumber"/>
          <w:rFonts w:cs="Arial"/>
          <w:sz w:val="24"/>
        </w:rPr>
        <w:t xml:space="preserve"> that AEP-Ohio and the other parties to the case</w:t>
      </w:r>
      <w:r w:rsidR="007B1B1A">
        <w:rPr>
          <w:rStyle w:val="LineNumber"/>
          <w:rFonts w:cs="Arial"/>
          <w:sz w:val="24"/>
        </w:rPr>
        <w:t xml:space="preserve"> </w:t>
      </w:r>
      <w:r w:rsidR="00B44D52">
        <w:rPr>
          <w:rStyle w:val="LineNumber"/>
          <w:rFonts w:cs="Arial"/>
          <w:sz w:val="24"/>
        </w:rPr>
        <w:t>examine whether the carrying charge rate</w:t>
      </w:r>
      <w:r w:rsidR="00915A91">
        <w:rPr>
          <w:rStyle w:val="LineNumber"/>
          <w:rFonts w:cs="Arial"/>
          <w:sz w:val="24"/>
        </w:rPr>
        <w:t xml:space="preserve"> should be applied to what</w:t>
      </w:r>
      <w:r w:rsidR="007B1B1A">
        <w:rPr>
          <w:rStyle w:val="LineNumber"/>
          <w:rFonts w:cs="Arial"/>
          <w:sz w:val="24"/>
        </w:rPr>
        <w:t xml:space="preserve"> investors are actually financing </w:t>
      </w:r>
      <w:r w:rsidR="00B44D52">
        <w:rPr>
          <w:rStyle w:val="LineNumber"/>
          <w:rFonts w:cs="Arial"/>
          <w:sz w:val="24"/>
        </w:rPr>
        <w:t xml:space="preserve">of the </w:t>
      </w:r>
      <w:r w:rsidR="001B5618">
        <w:rPr>
          <w:rStyle w:val="LineNumber"/>
          <w:rFonts w:cs="Arial"/>
          <w:sz w:val="24"/>
        </w:rPr>
        <w:t>deferred</w:t>
      </w:r>
      <w:r w:rsidR="00B44D52">
        <w:rPr>
          <w:rStyle w:val="LineNumber"/>
          <w:rFonts w:cs="Arial"/>
          <w:sz w:val="24"/>
        </w:rPr>
        <w:t xml:space="preserve"> </w:t>
      </w:r>
      <w:r w:rsidR="007B1B1A">
        <w:rPr>
          <w:rStyle w:val="LineNumber"/>
          <w:rFonts w:cs="Arial"/>
          <w:sz w:val="24"/>
        </w:rPr>
        <w:t xml:space="preserve">balances, which </w:t>
      </w:r>
      <w:r w:rsidR="000501D4">
        <w:rPr>
          <w:rStyle w:val="LineNumber"/>
          <w:rFonts w:cs="Arial"/>
          <w:sz w:val="24"/>
        </w:rPr>
        <w:t>are</w:t>
      </w:r>
      <w:r w:rsidR="00B44D52">
        <w:rPr>
          <w:rStyle w:val="LineNumber"/>
          <w:rFonts w:cs="Arial"/>
          <w:sz w:val="24"/>
        </w:rPr>
        <w:t xml:space="preserve"> the deferred </w:t>
      </w:r>
      <w:r w:rsidR="007B1B1A">
        <w:rPr>
          <w:rStyle w:val="LineNumber"/>
          <w:rFonts w:cs="Arial"/>
          <w:sz w:val="24"/>
        </w:rPr>
        <w:t>amo</w:t>
      </w:r>
      <w:r w:rsidR="008663C8">
        <w:rPr>
          <w:rStyle w:val="LineNumber"/>
          <w:rFonts w:cs="Arial"/>
          <w:sz w:val="24"/>
        </w:rPr>
        <w:t>unts recorded in Account 182</w:t>
      </w:r>
      <w:r w:rsidR="00F61F40">
        <w:rPr>
          <w:rStyle w:val="LineNumber"/>
          <w:rFonts w:cs="Arial"/>
          <w:sz w:val="24"/>
        </w:rPr>
        <w:t xml:space="preserve"> - </w:t>
      </w:r>
      <w:r w:rsidR="008663C8">
        <w:rPr>
          <w:rStyle w:val="LineNumber"/>
          <w:rFonts w:cs="Arial"/>
          <w:sz w:val="24"/>
        </w:rPr>
        <w:t>Other Regulatory Assets,</w:t>
      </w:r>
      <w:r w:rsidR="007B1B1A">
        <w:rPr>
          <w:rStyle w:val="LineNumber"/>
          <w:rFonts w:cs="Arial"/>
          <w:sz w:val="24"/>
        </w:rPr>
        <w:t xml:space="preserve"> less the directly related credit</w:t>
      </w:r>
      <w:r w:rsidR="003C1DE5">
        <w:rPr>
          <w:rStyle w:val="LineNumber"/>
          <w:rFonts w:cs="Arial"/>
          <w:sz w:val="24"/>
        </w:rPr>
        <w:t xml:space="preserve"> </w:t>
      </w:r>
      <w:r w:rsidR="007B1B1A">
        <w:rPr>
          <w:rStyle w:val="LineNumber"/>
          <w:rFonts w:cs="Arial"/>
          <w:sz w:val="24"/>
        </w:rPr>
        <w:t xml:space="preserve">balance </w:t>
      </w:r>
      <w:r w:rsidR="007B2D89">
        <w:rPr>
          <w:rStyle w:val="LineNumber"/>
          <w:rFonts w:cs="Arial"/>
          <w:sz w:val="24"/>
        </w:rPr>
        <w:t>recorded in Account 283</w:t>
      </w:r>
      <w:r w:rsidR="00F61F40">
        <w:rPr>
          <w:rStyle w:val="LineNumber"/>
          <w:rFonts w:cs="Arial"/>
          <w:sz w:val="24"/>
        </w:rPr>
        <w:t xml:space="preserve"> - </w:t>
      </w:r>
      <w:r w:rsidR="003C1DE5">
        <w:rPr>
          <w:rStyle w:val="LineNumber"/>
          <w:rFonts w:cs="Arial"/>
          <w:sz w:val="24"/>
        </w:rPr>
        <w:t>ADIT-Other</w:t>
      </w:r>
      <w:r w:rsidR="007B2D89">
        <w:rPr>
          <w:rStyle w:val="LineNumber"/>
          <w:rFonts w:cs="Arial"/>
          <w:sz w:val="24"/>
        </w:rPr>
        <w:t xml:space="preserve">.  The </w:t>
      </w:r>
      <w:r w:rsidR="00671C1A">
        <w:rPr>
          <w:rStyle w:val="LineNumber"/>
          <w:rFonts w:cs="Arial"/>
          <w:sz w:val="24"/>
        </w:rPr>
        <w:t xml:space="preserve">auditors further recommended that the </w:t>
      </w:r>
      <w:r w:rsidR="007B2D89">
        <w:rPr>
          <w:rStyle w:val="LineNumber"/>
          <w:rFonts w:cs="Arial"/>
          <w:sz w:val="24"/>
        </w:rPr>
        <w:t>Company address the income tax savings it was/is recording rel</w:t>
      </w:r>
      <w:r w:rsidR="00B44D52">
        <w:rPr>
          <w:rStyle w:val="LineNumber"/>
          <w:rFonts w:cs="Arial"/>
          <w:sz w:val="24"/>
        </w:rPr>
        <w:t xml:space="preserve">ated to the </w:t>
      </w:r>
      <w:r w:rsidR="001B5618">
        <w:rPr>
          <w:rStyle w:val="LineNumber"/>
          <w:rFonts w:cs="Arial"/>
          <w:sz w:val="24"/>
        </w:rPr>
        <w:t>deferred</w:t>
      </w:r>
      <w:r w:rsidR="00B44D52">
        <w:rPr>
          <w:rStyle w:val="LineNumber"/>
          <w:rFonts w:cs="Arial"/>
          <w:sz w:val="24"/>
        </w:rPr>
        <w:t xml:space="preserve"> </w:t>
      </w:r>
      <w:r w:rsidR="007B2D89">
        <w:rPr>
          <w:rStyle w:val="LineNumber"/>
          <w:rFonts w:cs="Arial"/>
          <w:sz w:val="24"/>
        </w:rPr>
        <w:t xml:space="preserve">balances, and how those </w:t>
      </w:r>
      <w:r w:rsidR="001E3193">
        <w:rPr>
          <w:rStyle w:val="LineNumber"/>
          <w:rFonts w:cs="Arial"/>
          <w:sz w:val="24"/>
        </w:rPr>
        <w:t xml:space="preserve">savings </w:t>
      </w:r>
      <w:r w:rsidR="007B2D89">
        <w:rPr>
          <w:rStyle w:val="LineNumber"/>
          <w:rFonts w:cs="Arial"/>
          <w:sz w:val="24"/>
        </w:rPr>
        <w:t>provide non-investor supplied capital that is financing</w:t>
      </w:r>
      <w:r w:rsidR="00B44D52">
        <w:rPr>
          <w:rStyle w:val="LineNumber"/>
          <w:rFonts w:cs="Arial"/>
          <w:sz w:val="24"/>
        </w:rPr>
        <w:t xml:space="preserve"> a portion of the deferr</w:t>
      </w:r>
      <w:r w:rsidR="008B6023">
        <w:rPr>
          <w:rStyle w:val="LineNumber"/>
          <w:rFonts w:cs="Arial"/>
          <w:sz w:val="24"/>
        </w:rPr>
        <w:t>ed</w:t>
      </w:r>
      <w:r w:rsidR="00B44D52">
        <w:rPr>
          <w:rStyle w:val="LineNumber"/>
          <w:rFonts w:cs="Arial"/>
          <w:sz w:val="24"/>
        </w:rPr>
        <w:t xml:space="preserve"> </w:t>
      </w:r>
      <w:r w:rsidR="007B2D89">
        <w:rPr>
          <w:rStyle w:val="LineNumber"/>
          <w:rFonts w:cs="Arial"/>
          <w:sz w:val="24"/>
        </w:rPr>
        <w:t>balances that have been recorded in Ac</w:t>
      </w:r>
      <w:r w:rsidR="001B5618">
        <w:rPr>
          <w:rStyle w:val="LineNumber"/>
          <w:rFonts w:cs="Arial"/>
          <w:sz w:val="24"/>
        </w:rPr>
        <w:t>co</w:t>
      </w:r>
      <w:r w:rsidR="008663C8">
        <w:rPr>
          <w:rStyle w:val="LineNumber"/>
          <w:rFonts w:cs="Arial"/>
          <w:sz w:val="24"/>
        </w:rPr>
        <w:t>unt 182</w:t>
      </w:r>
      <w:r w:rsidR="00F61F40">
        <w:rPr>
          <w:rStyle w:val="LineNumber"/>
          <w:rFonts w:cs="Arial"/>
          <w:sz w:val="24"/>
        </w:rPr>
        <w:t xml:space="preserve"> – Other Regulatory Assets</w:t>
      </w:r>
      <w:r w:rsidR="007B2D89">
        <w:rPr>
          <w:rStyle w:val="LineNumber"/>
          <w:rFonts w:cs="Arial"/>
          <w:sz w:val="24"/>
        </w:rPr>
        <w:t xml:space="preserve">.  The </w:t>
      </w:r>
      <w:r w:rsidR="00671C1A">
        <w:rPr>
          <w:rStyle w:val="LineNumber"/>
          <w:rFonts w:cs="Arial"/>
          <w:sz w:val="24"/>
        </w:rPr>
        <w:t xml:space="preserve">auditors also recommended that </w:t>
      </w:r>
      <w:r w:rsidR="00671C1A">
        <w:rPr>
          <w:rStyle w:val="LineNumber"/>
          <w:rFonts w:cs="Arial"/>
          <w:sz w:val="24"/>
        </w:rPr>
        <w:lastRenderedPageBreak/>
        <w:t xml:space="preserve">the </w:t>
      </w:r>
      <w:r w:rsidR="007B2D89">
        <w:rPr>
          <w:rStyle w:val="LineNumber"/>
          <w:rFonts w:cs="Arial"/>
          <w:sz w:val="24"/>
        </w:rPr>
        <w:t>Company specifically address the related credit</w:t>
      </w:r>
      <w:r w:rsidR="003C1DE5">
        <w:rPr>
          <w:rStyle w:val="LineNumber"/>
          <w:rFonts w:cs="Arial"/>
          <w:sz w:val="24"/>
        </w:rPr>
        <w:t xml:space="preserve"> </w:t>
      </w:r>
      <w:r w:rsidR="007B2D89">
        <w:rPr>
          <w:rStyle w:val="LineNumber"/>
          <w:rFonts w:cs="Arial"/>
          <w:sz w:val="24"/>
        </w:rPr>
        <w:t>balance ADIT that is recorded in Account 283</w:t>
      </w:r>
      <w:r w:rsidR="003C1DE5">
        <w:rPr>
          <w:rStyle w:val="LineNumber"/>
          <w:rFonts w:cs="Arial"/>
          <w:sz w:val="24"/>
        </w:rPr>
        <w:t xml:space="preserve"> - </w:t>
      </w:r>
      <w:r w:rsidR="007B2D89">
        <w:rPr>
          <w:rStyle w:val="LineNumber"/>
          <w:rFonts w:cs="Arial"/>
          <w:sz w:val="24"/>
        </w:rPr>
        <w:t xml:space="preserve">ADIT-Other, for the tax savings-based financing </w:t>
      </w:r>
      <w:r w:rsidR="001E3193">
        <w:rPr>
          <w:rStyle w:val="LineNumber"/>
          <w:rFonts w:cs="Arial"/>
          <w:sz w:val="24"/>
        </w:rPr>
        <w:t>that is</w:t>
      </w:r>
      <w:r w:rsidR="007B2D89">
        <w:rPr>
          <w:rStyle w:val="LineNumber"/>
          <w:rFonts w:cs="Arial"/>
          <w:sz w:val="24"/>
        </w:rPr>
        <w:t xml:space="preserve"> rel</w:t>
      </w:r>
      <w:r w:rsidR="00B44D52">
        <w:rPr>
          <w:rStyle w:val="LineNumber"/>
          <w:rFonts w:cs="Arial"/>
          <w:sz w:val="24"/>
        </w:rPr>
        <w:t xml:space="preserve">ated to the deferred </w:t>
      </w:r>
      <w:r w:rsidR="007B2D89">
        <w:rPr>
          <w:rStyle w:val="LineNumber"/>
          <w:rFonts w:cs="Arial"/>
          <w:sz w:val="24"/>
        </w:rPr>
        <w:t>balances.</w:t>
      </w:r>
      <w:r w:rsidR="003C1DE5">
        <w:rPr>
          <w:rStyle w:val="FootnoteReference"/>
          <w:rFonts w:ascii="Arial" w:hAnsi="Arial" w:cs="Arial"/>
        </w:rPr>
        <w:footnoteReference w:id="9"/>
      </w:r>
      <w:r w:rsidR="007B2D89">
        <w:rPr>
          <w:rStyle w:val="LineNumber"/>
          <w:rFonts w:cs="Arial"/>
          <w:sz w:val="24"/>
        </w:rPr>
        <w:t xml:space="preserve"> </w:t>
      </w:r>
    </w:p>
    <w:p w:rsidR="00EA5392" w:rsidRPr="00C83F7F" w:rsidRDefault="00EA5392" w:rsidP="00B31775">
      <w:pPr>
        <w:pStyle w:val="Heading1"/>
      </w:pPr>
      <w:r w:rsidRPr="00C83F7F">
        <w:rPr>
          <w:rStyle w:val="LineNumber"/>
          <w:sz w:val="24"/>
        </w:rPr>
        <w:t xml:space="preserve">THE RFP CALLED FOR IN </w:t>
      </w:r>
      <w:r w:rsidR="00AE48FF">
        <w:rPr>
          <w:rStyle w:val="LineNumber"/>
          <w:sz w:val="24"/>
        </w:rPr>
        <w:t xml:space="preserve">the </w:t>
      </w:r>
      <w:r w:rsidR="00AE48FF" w:rsidRPr="00DF3048">
        <w:rPr>
          <w:rStyle w:val="LineNumber"/>
          <w:i/>
          <w:sz w:val="24"/>
        </w:rPr>
        <w:t>2009 fac case</w:t>
      </w:r>
      <w:r w:rsidR="005C3356">
        <w:rPr>
          <w:rStyle w:val="LineNumber"/>
          <w:sz w:val="24"/>
        </w:rPr>
        <w:t xml:space="preserve">, the </w:t>
      </w:r>
      <w:r w:rsidR="005C3356" w:rsidRPr="006313E3">
        <w:rPr>
          <w:rStyle w:val="LineNumber"/>
          <w:i/>
          <w:sz w:val="24"/>
        </w:rPr>
        <w:t>2009 FAC Case</w:t>
      </w:r>
      <w:r w:rsidR="005C3356">
        <w:rPr>
          <w:rStyle w:val="LineNumber"/>
          <w:sz w:val="24"/>
        </w:rPr>
        <w:t xml:space="preserve"> credit, and</w:t>
      </w:r>
      <w:r w:rsidR="00952537">
        <w:rPr>
          <w:rStyle w:val="LineNumber"/>
          <w:sz w:val="24"/>
        </w:rPr>
        <w:t xml:space="preserve"> THE </w:t>
      </w:r>
      <w:r w:rsidR="00B8350A">
        <w:rPr>
          <w:rStyle w:val="LineNumber"/>
          <w:sz w:val="24"/>
        </w:rPr>
        <w:t xml:space="preserve">2008 Contract Support Agreement </w:t>
      </w:r>
    </w:p>
    <w:p w:rsidR="0054169E" w:rsidRDefault="00CD3DB9" w:rsidP="003C665B">
      <w:pPr>
        <w:tabs>
          <w:tab w:val="left" w:pos="720"/>
        </w:tabs>
        <w:spacing w:before="240" w:line="480" w:lineRule="auto"/>
        <w:ind w:left="720" w:hanging="720"/>
        <w:jc w:val="both"/>
        <w:rPr>
          <w:rFonts w:ascii="Arial" w:hAnsi="Arial" w:cs="Arial"/>
        </w:rPr>
      </w:pPr>
      <w:r w:rsidRPr="00CD3DB9">
        <w:rPr>
          <w:rFonts w:ascii="Arial" w:hAnsi="Arial" w:cs="Arial"/>
          <w:b/>
        </w:rPr>
        <w:t>Q1</w:t>
      </w:r>
      <w:r w:rsidR="0091525E">
        <w:rPr>
          <w:rFonts w:ascii="Arial" w:hAnsi="Arial" w:cs="Arial"/>
          <w:b/>
        </w:rPr>
        <w:t>6</w:t>
      </w:r>
      <w:r w:rsidRPr="00CD3DB9">
        <w:rPr>
          <w:rFonts w:ascii="Arial" w:hAnsi="Arial" w:cs="Arial"/>
          <w:b/>
        </w:rPr>
        <w:t>.</w:t>
      </w:r>
      <w:r w:rsidR="0054169E">
        <w:rPr>
          <w:rFonts w:ascii="Arial" w:hAnsi="Arial" w:cs="Arial"/>
        </w:rPr>
        <w:tab/>
      </w:r>
      <w:r w:rsidR="00C83F7F">
        <w:rPr>
          <w:rFonts w:ascii="Arial" w:hAnsi="Arial" w:cs="Arial"/>
          <w:b/>
        </w:rPr>
        <w:t>What r</w:t>
      </w:r>
      <w:r w:rsidR="0054169E" w:rsidRPr="00F02AF8">
        <w:rPr>
          <w:rFonts w:ascii="Arial" w:hAnsi="Arial" w:cs="Arial"/>
          <w:b/>
        </w:rPr>
        <w:t>ecommendation do you have</w:t>
      </w:r>
      <w:r w:rsidR="00952537">
        <w:rPr>
          <w:rFonts w:ascii="Arial" w:hAnsi="Arial" w:cs="Arial"/>
          <w:b/>
        </w:rPr>
        <w:t xml:space="preserve"> with respect to the RFP called for in </w:t>
      </w:r>
      <w:r w:rsidR="00AE48FF">
        <w:rPr>
          <w:rFonts w:ascii="Arial" w:hAnsi="Arial" w:cs="Arial"/>
          <w:b/>
        </w:rPr>
        <w:t xml:space="preserve">the </w:t>
      </w:r>
      <w:r w:rsidR="00AE48FF" w:rsidRPr="00DF3048">
        <w:rPr>
          <w:rFonts w:ascii="Arial" w:hAnsi="Arial" w:cs="Arial"/>
          <w:b/>
          <w:i/>
        </w:rPr>
        <w:t>2009 FAC Case</w:t>
      </w:r>
      <w:r w:rsidR="0054169E" w:rsidRPr="00F02AF8">
        <w:rPr>
          <w:rFonts w:ascii="Arial" w:hAnsi="Arial" w:cs="Arial"/>
          <w:b/>
        </w:rPr>
        <w:t>?</w:t>
      </w:r>
    </w:p>
    <w:p w:rsidR="0054169E" w:rsidRDefault="00CD3DB9" w:rsidP="003C665B">
      <w:pPr>
        <w:spacing w:after="240" w:line="480" w:lineRule="auto"/>
        <w:ind w:left="720" w:hanging="720"/>
        <w:jc w:val="both"/>
        <w:rPr>
          <w:rFonts w:ascii="Arial" w:hAnsi="Arial" w:cs="Arial"/>
        </w:rPr>
      </w:pPr>
      <w:r>
        <w:rPr>
          <w:rFonts w:ascii="Arial" w:hAnsi="Arial" w:cs="Arial"/>
        </w:rPr>
        <w:t>A1</w:t>
      </w:r>
      <w:r w:rsidR="0091525E">
        <w:rPr>
          <w:rFonts w:ascii="Arial" w:hAnsi="Arial" w:cs="Arial"/>
        </w:rPr>
        <w:t>6</w:t>
      </w:r>
      <w:r>
        <w:rPr>
          <w:rFonts w:ascii="Arial" w:hAnsi="Arial" w:cs="Arial"/>
        </w:rPr>
        <w:t>.</w:t>
      </w:r>
      <w:r w:rsidR="0054169E" w:rsidRPr="0054169E">
        <w:rPr>
          <w:rFonts w:ascii="Arial" w:hAnsi="Arial" w:cs="Arial"/>
        </w:rPr>
        <w:tab/>
      </w:r>
      <w:r w:rsidR="00945373">
        <w:rPr>
          <w:rFonts w:ascii="Arial" w:hAnsi="Arial" w:cs="Arial"/>
        </w:rPr>
        <w:t>In t</w:t>
      </w:r>
      <w:r w:rsidR="0054169E" w:rsidRPr="0054169E">
        <w:rPr>
          <w:rFonts w:ascii="Arial" w:hAnsi="Arial" w:cs="Arial"/>
        </w:rPr>
        <w:t xml:space="preserve">he </w:t>
      </w:r>
      <w:r w:rsidR="0054169E" w:rsidRPr="00A920DC">
        <w:rPr>
          <w:rFonts w:ascii="Arial" w:hAnsi="Arial" w:cs="Arial"/>
          <w:i/>
        </w:rPr>
        <w:t xml:space="preserve">2009 FAC </w:t>
      </w:r>
      <w:r w:rsidR="00122294" w:rsidRPr="00A920DC">
        <w:rPr>
          <w:rFonts w:ascii="Arial" w:hAnsi="Arial" w:cs="Arial"/>
          <w:i/>
        </w:rPr>
        <w:t>Case</w:t>
      </w:r>
      <w:r w:rsidR="00122294">
        <w:rPr>
          <w:rFonts w:ascii="Arial" w:hAnsi="Arial" w:cs="Arial"/>
        </w:rPr>
        <w:t>,</w:t>
      </w:r>
      <w:r w:rsidR="00122294" w:rsidRPr="0054169E">
        <w:rPr>
          <w:rFonts w:ascii="Arial" w:hAnsi="Arial" w:cs="Arial"/>
        </w:rPr>
        <w:t xml:space="preserve"> </w:t>
      </w:r>
      <w:r w:rsidR="00945373">
        <w:rPr>
          <w:rFonts w:ascii="Arial" w:hAnsi="Arial" w:cs="Arial"/>
        </w:rPr>
        <w:t>an issue wa</w:t>
      </w:r>
      <w:r w:rsidR="002E1D02">
        <w:rPr>
          <w:rFonts w:ascii="Arial" w:hAnsi="Arial" w:cs="Arial"/>
        </w:rPr>
        <w:t xml:space="preserve">s raised that I </w:t>
      </w:r>
      <w:r w:rsidR="001E3193">
        <w:rPr>
          <w:rFonts w:ascii="Arial" w:hAnsi="Arial" w:cs="Arial"/>
        </w:rPr>
        <w:t>recommend</w:t>
      </w:r>
      <w:r w:rsidR="00945373">
        <w:rPr>
          <w:rFonts w:ascii="Arial" w:hAnsi="Arial" w:cs="Arial"/>
        </w:rPr>
        <w:t xml:space="preserve"> be addressed by </w:t>
      </w:r>
      <w:r w:rsidR="0054169E" w:rsidRPr="0054169E">
        <w:rPr>
          <w:rFonts w:ascii="Arial" w:hAnsi="Arial" w:cs="Arial"/>
        </w:rPr>
        <w:t xml:space="preserve">the Commission.  In that case, the Commission found at page 12 of its January 23, 2012 Opinion and Order and again at page 3 of its April 11, 2012 Entry on Rehearing that an RFP was to be issued by subsequent entry for the purpose of selecting and hiring an auditor to examine the value of the West Virginia coal reserve (“coal reserve”).  </w:t>
      </w:r>
      <w:r w:rsidR="00B33D4E">
        <w:rPr>
          <w:rFonts w:ascii="Arial" w:hAnsi="Arial" w:cs="Arial"/>
        </w:rPr>
        <w:t>At</w:t>
      </w:r>
      <w:r w:rsidR="0054169E" w:rsidRPr="0054169E">
        <w:rPr>
          <w:rFonts w:ascii="Arial" w:hAnsi="Arial" w:cs="Arial"/>
        </w:rPr>
        <w:t xml:space="preserve"> the present time, there has not been an entry issued for the RFP in that case.  Depending on the findings under that future RFP with respect to the value of the coal reserve, there could be an additional reduction that would be appropriate to make to the deferred balances </w:t>
      </w:r>
      <w:r w:rsidR="00BE685F">
        <w:rPr>
          <w:rFonts w:ascii="Arial" w:hAnsi="Arial" w:cs="Arial"/>
        </w:rPr>
        <w:t xml:space="preserve">in addition </w:t>
      </w:r>
      <w:r w:rsidR="00424528">
        <w:rPr>
          <w:rFonts w:ascii="Arial" w:hAnsi="Arial" w:cs="Arial"/>
        </w:rPr>
        <w:t xml:space="preserve">to the </w:t>
      </w:r>
      <w:r w:rsidR="0054169E" w:rsidRPr="0054169E">
        <w:rPr>
          <w:rFonts w:ascii="Arial" w:hAnsi="Arial" w:cs="Arial"/>
        </w:rPr>
        <w:t xml:space="preserve">credit that the Commission already ordered in the </w:t>
      </w:r>
      <w:r w:rsidR="001D2E11">
        <w:rPr>
          <w:rFonts w:ascii="Arial" w:hAnsi="Arial" w:cs="Arial"/>
          <w:i/>
        </w:rPr>
        <w:t>2009 FAC C</w:t>
      </w:r>
      <w:r w:rsidR="0054169E" w:rsidRPr="001D2E11">
        <w:rPr>
          <w:rFonts w:ascii="Arial" w:hAnsi="Arial" w:cs="Arial"/>
          <w:i/>
        </w:rPr>
        <w:t>ase</w:t>
      </w:r>
      <w:r w:rsidR="0054169E" w:rsidRPr="0054169E">
        <w:rPr>
          <w:rFonts w:ascii="Arial" w:hAnsi="Arial" w:cs="Arial"/>
        </w:rPr>
        <w:t xml:space="preserve">.  Such an adjustment would </w:t>
      </w:r>
      <w:r w:rsidR="00B33D4E">
        <w:rPr>
          <w:rFonts w:ascii="Arial" w:hAnsi="Arial" w:cs="Arial"/>
        </w:rPr>
        <w:t xml:space="preserve">further </w:t>
      </w:r>
      <w:r w:rsidR="0054169E" w:rsidRPr="0054169E">
        <w:rPr>
          <w:rFonts w:ascii="Arial" w:hAnsi="Arial" w:cs="Arial"/>
        </w:rPr>
        <w:t>reduce the total deferr</w:t>
      </w:r>
      <w:r w:rsidR="008B6023">
        <w:rPr>
          <w:rFonts w:ascii="Arial" w:hAnsi="Arial" w:cs="Arial"/>
        </w:rPr>
        <w:t>ed</w:t>
      </w:r>
      <w:r w:rsidR="0054169E" w:rsidRPr="0054169E">
        <w:rPr>
          <w:rFonts w:ascii="Arial" w:hAnsi="Arial" w:cs="Arial"/>
        </w:rPr>
        <w:t xml:space="preserve"> balance</w:t>
      </w:r>
      <w:r w:rsidR="00A920DC">
        <w:rPr>
          <w:rFonts w:ascii="Arial" w:hAnsi="Arial" w:cs="Arial"/>
        </w:rPr>
        <w:t>s</w:t>
      </w:r>
      <w:r w:rsidR="0054169E" w:rsidRPr="0054169E">
        <w:rPr>
          <w:rFonts w:ascii="Arial" w:hAnsi="Arial" w:cs="Arial"/>
        </w:rPr>
        <w:t xml:space="preserve"> to ultimately be recovered, as well as result in reduced carrying charge</w:t>
      </w:r>
      <w:r w:rsidR="00A73E5A">
        <w:rPr>
          <w:rFonts w:ascii="Arial" w:hAnsi="Arial" w:cs="Arial"/>
        </w:rPr>
        <w:t>s, and reduced Rider PIRR rates</w:t>
      </w:r>
      <w:r w:rsidR="0054169E" w:rsidRPr="0054169E">
        <w:rPr>
          <w:rFonts w:ascii="Arial" w:hAnsi="Arial" w:cs="Arial"/>
        </w:rPr>
        <w:t>.</w:t>
      </w:r>
    </w:p>
    <w:p w:rsidR="005C3356" w:rsidRDefault="00952537" w:rsidP="003C665B">
      <w:pPr>
        <w:spacing w:line="480" w:lineRule="auto"/>
        <w:ind w:left="720" w:hanging="720"/>
        <w:jc w:val="both"/>
        <w:rPr>
          <w:rFonts w:ascii="Arial" w:hAnsi="Arial" w:cs="Arial"/>
          <w:b/>
        </w:rPr>
      </w:pPr>
      <w:r w:rsidRPr="003C665B">
        <w:rPr>
          <w:rFonts w:ascii="Arial" w:hAnsi="Arial" w:cs="Arial"/>
          <w:b/>
        </w:rPr>
        <w:lastRenderedPageBreak/>
        <w:t>Q1</w:t>
      </w:r>
      <w:r w:rsidR="0091525E">
        <w:rPr>
          <w:rFonts w:ascii="Arial" w:hAnsi="Arial" w:cs="Arial"/>
          <w:b/>
        </w:rPr>
        <w:t>7</w:t>
      </w:r>
      <w:r w:rsidRPr="003C665B">
        <w:rPr>
          <w:rFonts w:ascii="Arial" w:hAnsi="Arial" w:cs="Arial"/>
          <w:b/>
        </w:rPr>
        <w:t>.</w:t>
      </w:r>
      <w:r w:rsidR="005C3356">
        <w:rPr>
          <w:rFonts w:ascii="Arial" w:hAnsi="Arial" w:cs="Arial"/>
          <w:b/>
        </w:rPr>
        <w:t xml:space="preserve"> </w:t>
      </w:r>
      <w:r w:rsidRPr="003C665B">
        <w:rPr>
          <w:rFonts w:ascii="Arial" w:hAnsi="Arial" w:cs="Arial"/>
          <w:b/>
        </w:rPr>
        <w:tab/>
      </w:r>
      <w:r w:rsidR="005C3356">
        <w:rPr>
          <w:rFonts w:ascii="Arial" w:hAnsi="Arial" w:cs="Arial"/>
          <w:b/>
        </w:rPr>
        <w:t xml:space="preserve">What recommendation do you have with respect to the credit the Commission previously directed AEP-Ohio to make in the </w:t>
      </w:r>
      <w:r w:rsidR="005C3356">
        <w:rPr>
          <w:rFonts w:ascii="Arial" w:hAnsi="Arial" w:cs="Arial"/>
          <w:b/>
          <w:i/>
        </w:rPr>
        <w:t>2009 FAC Case</w:t>
      </w:r>
      <w:r w:rsidR="005C3356">
        <w:rPr>
          <w:rFonts w:ascii="Arial" w:hAnsi="Arial" w:cs="Arial"/>
          <w:b/>
        </w:rPr>
        <w:t>?</w:t>
      </w:r>
    </w:p>
    <w:p w:rsidR="005C3356" w:rsidRPr="001D2E11" w:rsidRDefault="00694F6E" w:rsidP="00DF3048">
      <w:pPr>
        <w:spacing w:after="240" w:line="480" w:lineRule="auto"/>
        <w:ind w:left="720" w:hanging="720"/>
        <w:jc w:val="both"/>
        <w:rPr>
          <w:rFonts w:ascii="Arial" w:hAnsi="Arial" w:cs="Arial"/>
        </w:rPr>
      </w:pPr>
      <w:r w:rsidRPr="006313E3">
        <w:rPr>
          <w:rFonts w:ascii="Arial" w:hAnsi="Arial" w:cs="Arial"/>
        </w:rPr>
        <w:t>A17.</w:t>
      </w:r>
      <w:r w:rsidR="005C3356" w:rsidRPr="006313E3">
        <w:rPr>
          <w:rFonts w:ascii="Arial" w:hAnsi="Arial" w:cs="Arial"/>
        </w:rPr>
        <w:tab/>
        <w:t xml:space="preserve">On January 23, 2012 the Commission issued an Opinion and Order in the </w:t>
      </w:r>
      <w:r w:rsidR="005C3356" w:rsidRPr="006313E3">
        <w:rPr>
          <w:rFonts w:ascii="Arial" w:hAnsi="Arial" w:cs="Arial"/>
          <w:i/>
        </w:rPr>
        <w:t>2009 FAC Case</w:t>
      </w:r>
      <w:r w:rsidR="005C3356" w:rsidRPr="006313E3">
        <w:rPr>
          <w:rFonts w:ascii="Arial" w:hAnsi="Arial" w:cs="Arial"/>
        </w:rPr>
        <w:t xml:space="preserve"> directing AEP-Ohio to credit against OP’s deferred balance the portion of the $30 million 2008 lump sum payment not already credited to OP ratepayers as well as the $41 million value that AEP-Ohio booked </w:t>
      </w:r>
      <w:r w:rsidR="006313E3">
        <w:rPr>
          <w:rFonts w:ascii="Arial" w:hAnsi="Arial" w:cs="Arial"/>
        </w:rPr>
        <w:t xml:space="preserve">for </w:t>
      </w:r>
      <w:r w:rsidR="005C3356" w:rsidRPr="006313E3">
        <w:rPr>
          <w:rFonts w:ascii="Arial" w:hAnsi="Arial" w:cs="Arial"/>
        </w:rPr>
        <w:t>the coal reserve.  On April 11, 2012, the Commission issued an Entry on Rehearing clarifying that OP’s deferred balance “need only</w:t>
      </w:r>
      <w:r w:rsidR="005C3356">
        <w:rPr>
          <w:rFonts w:ascii="Arial" w:hAnsi="Arial" w:cs="Arial"/>
        </w:rPr>
        <w:t xml:space="preserve"> </w:t>
      </w:r>
      <w:r w:rsidR="005C3356" w:rsidRPr="006313E3">
        <w:rPr>
          <w:rFonts w:ascii="Arial" w:hAnsi="Arial" w:cs="Arial"/>
        </w:rPr>
        <w:t>be credited for the share of the settlement agreement allocable to Ohio's retail jurisdictional customers.”</w:t>
      </w:r>
      <w:r>
        <w:rPr>
          <w:rStyle w:val="FootnoteReference"/>
          <w:rFonts w:ascii="Arial" w:hAnsi="Arial" w:cs="Arial"/>
        </w:rPr>
        <w:footnoteReference w:id="10"/>
      </w:r>
      <w:r w:rsidRPr="00694F6E">
        <w:rPr>
          <w:rFonts w:ascii="Arial" w:hAnsi="Arial" w:cs="Arial"/>
        </w:rPr>
        <w:t xml:space="preserve"> </w:t>
      </w:r>
      <w:r w:rsidR="004E3041">
        <w:rPr>
          <w:rFonts w:ascii="Arial" w:hAnsi="Arial" w:cs="Arial"/>
        </w:rPr>
        <w:t xml:space="preserve"> </w:t>
      </w:r>
      <w:r>
        <w:rPr>
          <w:rFonts w:ascii="Arial" w:hAnsi="Arial" w:cs="Arial"/>
        </w:rPr>
        <w:t>IEU-Ohio has appealed the Commission’s allocation of the credit to the Ohio Supreme Court.</w:t>
      </w:r>
      <w:r w:rsidRPr="00694F6E">
        <w:rPr>
          <w:rFonts w:ascii="Arial" w:hAnsi="Arial" w:cs="Arial"/>
        </w:rPr>
        <w:t xml:space="preserve"> </w:t>
      </w:r>
      <w:r>
        <w:rPr>
          <w:rFonts w:ascii="Arial" w:hAnsi="Arial" w:cs="Arial"/>
        </w:rPr>
        <w:t xml:space="preserve"> Regardless of the outcome of that appeal, t</w:t>
      </w:r>
      <w:r w:rsidR="005C3356" w:rsidRPr="006313E3">
        <w:rPr>
          <w:rFonts w:ascii="Arial" w:hAnsi="Arial" w:cs="Arial"/>
        </w:rPr>
        <w:t>he auditor has recommended that “AEP Ohio’s crediting of those clarified amounts against OPCO’s FAC under-recovery should be reviewed in the next audit.”</w:t>
      </w:r>
      <w:r>
        <w:rPr>
          <w:rStyle w:val="FootnoteReference"/>
          <w:rFonts w:ascii="Arial" w:hAnsi="Arial" w:cs="Arial"/>
        </w:rPr>
        <w:footnoteReference w:id="11"/>
      </w:r>
      <w:r w:rsidR="005C3356" w:rsidRPr="006313E3">
        <w:rPr>
          <w:rFonts w:ascii="Arial" w:hAnsi="Arial" w:cs="Arial"/>
        </w:rPr>
        <w:t xml:space="preserve">  IEU-Ohio supports the auditor</w:t>
      </w:r>
      <w:r>
        <w:rPr>
          <w:rFonts w:ascii="Arial" w:hAnsi="Arial" w:cs="Arial"/>
        </w:rPr>
        <w:t>’</w:t>
      </w:r>
      <w:r w:rsidR="005C3356" w:rsidRPr="006313E3">
        <w:rPr>
          <w:rFonts w:ascii="Arial" w:hAnsi="Arial" w:cs="Arial"/>
        </w:rPr>
        <w:t>s recommendation that the next auditor determine whether AEP-Ohio appropriately allocated the Commission-ordered credit to the FAC.</w:t>
      </w:r>
      <w:r>
        <w:rPr>
          <w:rFonts w:ascii="Arial" w:hAnsi="Arial" w:cs="Arial"/>
        </w:rPr>
        <w:t xml:space="preserve">  </w:t>
      </w:r>
      <w:r w:rsidR="005C3356" w:rsidRPr="006313E3">
        <w:rPr>
          <w:rFonts w:ascii="Arial" w:hAnsi="Arial" w:cs="Arial"/>
        </w:rPr>
        <w:t xml:space="preserve"> </w:t>
      </w:r>
    </w:p>
    <w:p w:rsidR="00674EA0" w:rsidRPr="003C665B" w:rsidRDefault="005C3356" w:rsidP="003C665B">
      <w:pPr>
        <w:spacing w:line="480" w:lineRule="auto"/>
        <w:ind w:left="720" w:hanging="720"/>
        <w:jc w:val="both"/>
        <w:rPr>
          <w:rFonts w:ascii="Arial" w:hAnsi="Arial" w:cs="Arial"/>
          <w:b/>
        </w:rPr>
      </w:pPr>
      <w:r>
        <w:rPr>
          <w:rFonts w:ascii="Arial" w:hAnsi="Arial" w:cs="Arial"/>
          <w:b/>
        </w:rPr>
        <w:t>Q18.</w:t>
      </w:r>
      <w:r w:rsidR="00F61F40">
        <w:rPr>
          <w:rFonts w:ascii="Arial" w:hAnsi="Arial" w:cs="Arial"/>
          <w:b/>
        </w:rPr>
        <w:tab/>
      </w:r>
      <w:r w:rsidR="00952537" w:rsidRPr="003C665B">
        <w:rPr>
          <w:rFonts w:ascii="Arial" w:hAnsi="Arial" w:cs="Arial"/>
          <w:b/>
        </w:rPr>
        <w:t xml:space="preserve">Please summarize the </w:t>
      </w:r>
      <w:r w:rsidR="00B8350A">
        <w:rPr>
          <w:rFonts w:ascii="Arial" w:hAnsi="Arial" w:cs="Arial"/>
          <w:b/>
        </w:rPr>
        <w:t>2008 Contract Support Agreement</w:t>
      </w:r>
      <w:r w:rsidR="00674EA0">
        <w:rPr>
          <w:rFonts w:ascii="Arial" w:hAnsi="Arial" w:cs="Arial"/>
          <w:b/>
        </w:rPr>
        <w:t xml:space="preserve"> </w:t>
      </w:r>
      <w:r w:rsidR="00A73E5A">
        <w:rPr>
          <w:rFonts w:ascii="Arial" w:hAnsi="Arial" w:cs="Arial"/>
          <w:b/>
        </w:rPr>
        <w:t>(“Agreement”</w:t>
      </w:r>
      <w:r w:rsidR="00C21E9E">
        <w:rPr>
          <w:rFonts w:ascii="Arial" w:hAnsi="Arial" w:cs="Arial"/>
          <w:b/>
        </w:rPr>
        <w:t>)</w:t>
      </w:r>
      <w:r w:rsidR="00952537" w:rsidRPr="003C665B">
        <w:rPr>
          <w:rFonts w:ascii="Arial" w:hAnsi="Arial" w:cs="Arial"/>
          <w:b/>
        </w:rPr>
        <w:t>.</w:t>
      </w:r>
    </w:p>
    <w:p w:rsidR="00584852" w:rsidRPr="003C665B" w:rsidRDefault="004C4466" w:rsidP="003C665B">
      <w:pPr>
        <w:spacing w:after="120" w:line="480" w:lineRule="auto"/>
        <w:ind w:left="720" w:hanging="720"/>
        <w:jc w:val="both"/>
        <w:rPr>
          <w:rFonts w:ascii="Arial" w:hAnsi="Arial" w:cs="Arial"/>
        </w:rPr>
      </w:pPr>
      <w:r w:rsidRPr="003C665B">
        <w:rPr>
          <w:rFonts w:ascii="Arial" w:hAnsi="Arial" w:cs="Arial"/>
        </w:rPr>
        <w:t>A1</w:t>
      </w:r>
      <w:r w:rsidR="005C3356">
        <w:rPr>
          <w:rFonts w:ascii="Arial" w:hAnsi="Arial" w:cs="Arial"/>
        </w:rPr>
        <w:t>8</w:t>
      </w:r>
      <w:r w:rsidRPr="003C665B">
        <w:rPr>
          <w:rFonts w:ascii="Arial" w:hAnsi="Arial" w:cs="Arial"/>
        </w:rPr>
        <w:t>.</w:t>
      </w:r>
      <w:r w:rsidRPr="003C665B">
        <w:rPr>
          <w:rFonts w:ascii="Arial" w:hAnsi="Arial" w:cs="Arial"/>
        </w:rPr>
        <w:tab/>
      </w:r>
      <w:r w:rsidR="008A33AD">
        <w:rPr>
          <w:rFonts w:ascii="Arial" w:hAnsi="Arial" w:cs="Arial"/>
        </w:rPr>
        <w:t xml:space="preserve">First, my reference to this item as the 2008 Contract Support Agreement is to match the terminology used by the Commission in </w:t>
      </w:r>
      <w:r w:rsidR="00122294">
        <w:rPr>
          <w:rFonts w:ascii="Arial" w:hAnsi="Arial" w:cs="Arial"/>
        </w:rPr>
        <w:t xml:space="preserve">the </w:t>
      </w:r>
      <w:r w:rsidR="00122294" w:rsidRPr="00A920DC">
        <w:rPr>
          <w:rFonts w:ascii="Arial" w:hAnsi="Arial" w:cs="Arial"/>
          <w:i/>
        </w:rPr>
        <w:t>2009 FAC Case</w:t>
      </w:r>
      <w:r w:rsidR="00122294">
        <w:rPr>
          <w:rFonts w:ascii="Arial" w:hAnsi="Arial" w:cs="Arial"/>
          <w:i/>
        </w:rPr>
        <w:t>.</w:t>
      </w:r>
      <w:r w:rsidR="00122294" w:rsidRPr="00E64BBB">
        <w:rPr>
          <w:rStyle w:val="FootnoteReference"/>
          <w:rFonts w:ascii="Arial" w:hAnsi="Arial" w:cs="Arial"/>
        </w:rPr>
        <w:footnoteReference w:id="12"/>
      </w:r>
      <w:r w:rsidR="008A33AD" w:rsidRPr="00E64BBB">
        <w:rPr>
          <w:rFonts w:ascii="Arial" w:hAnsi="Arial" w:cs="Arial"/>
        </w:rPr>
        <w:t xml:space="preserve"> </w:t>
      </w:r>
      <w:r w:rsidR="00791E1C">
        <w:rPr>
          <w:rFonts w:ascii="Arial" w:hAnsi="Arial" w:cs="Arial"/>
        </w:rPr>
        <w:t xml:space="preserve"> </w:t>
      </w:r>
      <w:r w:rsidR="008A33AD">
        <w:rPr>
          <w:rFonts w:ascii="Arial" w:hAnsi="Arial" w:cs="Arial"/>
        </w:rPr>
        <w:t>Under th</w:t>
      </w:r>
      <w:r w:rsidR="008424B5">
        <w:rPr>
          <w:rFonts w:ascii="Arial" w:hAnsi="Arial" w:cs="Arial"/>
        </w:rPr>
        <w:t>e</w:t>
      </w:r>
      <w:r w:rsidR="008A33AD">
        <w:rPr>
          <w:rFonts w:ascii="Arial" w:hAnsi="Arial" w:cs="Arial"/>
        </w:rPr>
        <w:t xml:space="preserve"> </w:t>
      </w:r>
      <w:r w:rsidR="008424B5">
        <w:rPr>
          <w:rFonts w:ascii="Arial" w:hAnsi="Arial" w:cs="Arial"/>
        </w:rPr>
        <w:t>A</w:t>
      </w:r>
      <w:r w:rsidR="008A33AD">
        <w:rPr>
          <w:rFonts w:ascii="Arial" w:hAnsi="Arial" w:cs="Arial"/>
        </w:rPr>
        <w:t xml:space="preserve">greement, </w:t>
      </w:r>
      <w:r w:rsidR="00791E1C">
        <w:rPr>
          <w:rFonts w:ascii="Arial" w:hAnsi="Arial" w:cs="Arial"/>
        </w:rPr>
        <w:t>C</w:t>
      </w:r>
      <w:r w:rsidR="008A33AD">
        <w:rPr>
          <w:rFonts w:ascii="Arial" w:hAnsi="Arial" w:cs="Arial"/>
        </w:rPr>
        <w:t xml:space="preserve">SP agreed to increase the base price for a certain tonnage of </w:t>
      </w:r>
      <w:r w:rsidR="008A33AD">
        <w:rPr>
          <w:rFonts w:ascii="Arial" w:hAnsi="Arial" w:cs="Arial"/>
        </w:rPr>
        <w:lastRenderedPageBreak/>
        <w:t xml:space="preserve">coal during 2009 with the option to acquire coal at a discount off the market price per ton for two three-year extensions of the </w:t>
      </w:r>
      <w:r w:rsidR="00791E1C">
        <w:rPr>
          <w:rFonts w:ascii="Arial" w:hAnsi="Arial" w:cs="Arial"/>
        </w:rPr>
        <w:t>A</w:t>
      </w:r>
      <w:r w:rsidR="008A33AD">
        <w:rPr>
          <w:rFonts w:ascii="Arial" w:hAnsi="Arial" w:cs="Arial"/>
        </w:rPr>
        <w:t>greement beginning in 2013.</w:t>
      </w:r>
    </w:p>
    <w:p w:rsidR="00853B2E" w:rsidRPr="003C665B" w:rsidRDefault="007C4CA0" w:rsidP="00791E1C">
      <w:pPr>
        <w:spacing w:after="240" w:line="480" w:lineRule="auto"/>
        <w:ind w:left="720"/>
        <w:jc w:val="both"/>
        <w:rPr>
          <w:rFonts w:ascii="Arial" w:hAnsi="Arial" w:cs="Arial"/>
        </w:rPr>
      </w:pPr>
      <w:r w:rsidRPr="003C665B">
        <w:rPr>
          <w:rFonts w:ascii="Arial" w:hAnsi="Arial" w:cs="Arial"/>
        </w:rPr>
        <w:t xml:space="preserve">At a high level, the </w:t>
      </w:r>
      <w:r w:rsidR="008A33AD">
        <w:rPr>
          <w:rFonts w:ascii="Arial" w:hAnsi="Arial" w:cs="Arial"/>
        </w:rPr>
        <w:t>Agreement</w:t>
      </w:r>
      <w:r w:rsidRPr="003C665B">
        <w:rPr>
          <w:rFonts w:ascii="Arial" w:hAnsi="Arial" w:cs="Arial"/>
        </w:rPr>
        <w:t xml:space="preserve"> </w:t>
      </w:r>
      <w:r w:rsidR="00B12EE2" w:rsidRPr="003C665B">
        <w:rPr>
          <w:rFonts w:ascii="Arial" w:hAnsi="Arial" w:cs="Arial"/>
        </w:rPr>
        <w:t>created a mismatch for the recognition of the costs and benefits</w:t>
      </w:r>
      <w:r w:rsidR="008424B5">
        <w:rPr>
          <w:rFonts w:ascii="Arial" w:hAnsi="Arial" w:cs="Arial"/>
        </w:rPr>
        <w:t>.</w:t>
      </w:r>
      <w:r w:rsidR="00B12EE2" w:rsidRPr="003C665B">
        <w:rPr>
          <w:rFonts w:ascii="Arial" w:hAnsi="Arial" w:cs="Arial"/>
        </w:rPr>
        <w:t xml:space="preserve">  The costs were passed on to </w:t>
      </w:r>
      <w:r w:rsidR="00791E1C">
        <w:rPr>
          <w:rFonts w:ascii="Arial" w:hAnsi="Arial" w:cs="Arial"/>
        </w:rPr>
        <w:t xml:space="preserve">customers in the </w:t>
      </w:r>
      <w:r w:rsidR="00791E1C" w:rsidRPr="00A920DC">
        <w:rPr>
          <w:rFonts w:ascii="Arial" w:hAnsi="Arial" w:cs="Arial"/>
          <w:i/>
        </w:rPr>
        <w:t>2009 FAC</w:t>
      </w:r>
      <w:r w:rsidR="00122294" w:rsidRPr="00A920DC">
        <w:rPr>
          <w:rFonts w:ascii="Arial" w:hAnsi="Arial" w:cs="Arial"/>
          <w:i/>
        </w:rPr>
        <w:t xml:space="preserve"> Case</w:t>
      </w:r>
      <w:r w:rsidR="00791E1C">
        <w:rPr>
          <w:rFonts w:ascii="Arial" w:hAnsi="Arial" w:cs="Arial"/>
        </w:rPr>
        <w:t xml:space="preserve">, but </w:t>
      </w:r>
      <w:r w:rsidR="00853B2E" w:rsidRPr="003C665B">
        <w:rPr>
          <w:rFonts w:ascii="Arial" w:hAnsi="Arial" w:cs="Arial"/>
        </w:rPr>
        <w:t xml:space="preserve">some of the </w:t>
      </w:r>
      <w:r w:rsidR="00B12EE2" w:rsidRPr="003C665B">
        <w:rPr>
          <w:rFonts w:ascii="Arial" w:hAnsi="Arial" w:cs="Arial"/>
        </w:rPr>
        <w:t xml:space="preserve">benefits were not to be realized until </w:t>
      </w:r>
      <w:r w:rsidR="008A33AD">
        <w:rPr>
          <w:rFonts w:ascii="Arial" w:hAnsi="Arial" w:cs="Arial"/>
        </w:rPr>
        <w:t>2013 and after</w:t>
      </w:r>
      <w:r w:rsidR="002075D0">
        <w:rPr>
          <w:rFonts w:ascii="Arial" w:hAnsi="Arial" w:cs="Arial"/>
        </w:rPr>
        <w:t>.</w:t>
      </w:r>
      <w:r w:rsidR="00853B2E" w:rsidRPr="003C665B">
        <w:rPr>
          <w:rFonts w:ascii="Arial" w:hAnsi="Arial" w:cs="Arial"/>
        </w:rPr>
        <w:t xml:space="preserve">  </w:t>
      </w:r>
    </w:p>
    <w:p w:rsidR="005A7B35" w:rsidRDefault="00791E1C" w:rsidP="00791E1C">
      <w:pPr>
        <w:spacing w:line="480" w:lineRule="auto"/>
        <w:ind w:left="720" w:hanging="720"/>
        <w:jc w:val="both"/>
        <w:rPr>
          <w:rFonts w:ascii="Arial" w:hAnsi="Arial" w:cs="Arial"/>
          <w:b/>
        </w:rPr>
      </w:pPr>
      <w:r>
        <w:rPr>
          <w:rFonts w:ascii="Arial" w:hAnsi="Arial" w:cs="Arial"/>
          <w:b/>
        </w:rPr>
        <w:t>Q1</w:t>
      </w:r>
      <w:r w:rsidR="005C3356">
        <w:rPr>
          <w:rFonts w:ascii="Arial" w:hAnsi="Arial" w:cs="Arial"/>
          <w:b/>
        </w:rPr>
        <w:t>9</w:t>
      </w:r>
      <w:r w:rsidR="005A7B35">
        <w:rPr>
          <w:rFonts w:ascii="Arial" w:hAnsi="Arial" w:cs="Arial"/>
          <w:b/>
        </w:rPr>
        <w:t>.</w:t>
      </w:r>
      <w:r w:rsidR="005A7B35">
        <w:rPr>
          <w:rFonts w:ascii="Arial" w:hAnsi="Arial" w:cs="Arial"/>
          <w:b/>
        </w:rPr>
        <w:tab/>
        <w:t xml:space="preserve">Has IEU-Ohio previously raised any issues with respect to </w:t>
      </w:r>
      <w:r w:rsidR="008A33AD">
        <w:rPr>
          <w:rFonts w:ascii="Arial" w:hAnsi="Arial" w:cs="Arial"/>
          <w:b/>
        </w:rPr>
        <w:t>the Agreement</w:t>
      </w:r>
      <w:r w:rsidR="005A7B35">
        <w:rPr>
          <w:rFonts w:ascii="Arial" w:hAnsi="Arial" w:cs="Arial"/>
          <w:b/>
        </w:rPr>
        <w:t>?</w:t>
      </w:r>
    </w:p>
    <w:p w:rsidR="005A7B35" w:rsidRPr="003C665B" w:rsidRDefault="00791E1C" w:rsidP="003C665B">
      <w:pPr>
        <w:spacing w:line="480" w:lineRule="auto"/>
        <w:ind w:left="720" w:hanging="720"/>
        <w:jc w:val="both"/>
        <w:rPr>
          <w:rFonts w:ascii="Arial" w:hAnsi="Arial" w:cs="Arial"/>
        </w:rPr>
      </w:pPr>
      <w:r>
        <w:rPr>
          <w:rFonts w:ascii="Arial" w:hAnsi="Arial" w:cs="Arial"/>
        </w:rPr>
        <w:t>A1</w:t>
      </w:r>
      <w:r w:rsidR="005C3356">
        <w:rPr>
          <w:rFonts w:ascii="Arial" w:hAnsi="Arial" w:cs="Arial"/>
        </w:rPr>
        <w:t>9</w:t>
      </w:r>
      <w:r w:rsidR="005A7B35" w:rsidRPr="003C665B">
        <w:rPr>
          <w:rFonts w:ascii="Arial" w:hAnsi="Arial" w:cs="Arial"/>
        </w:rPr>
        <w:t>.</w:t>
      </w:r>
      <w:r w:rsidR="005A7B35" w:rsidRPr="003C665B">
        <w:rPr>
          <w:rFonts w:ascii="Arial" w:hAnsi="Arial" w:cs="Arial"/>
        </w:rPr>
        <w:tab/>
        <w:t xml:space="preserve">Yes.  </w:t>
      </w:r>
      <w:r w:rsidR="008A33AD">
        <w:rPr>
          <w:rFonts w:ascii="Arial" w:hAnsi="Arial" w:cs="Arial"/>
        </w:rPr>
        <w:t>IEU-Ohio argued that customers incurred higher costs for coal in 2009 but had no assurance that they will receive any of the future benefits, unless CSP refunded the increased price per ton that the Company agreed to pay for coal during 2009 and accounted for the total increase as a deferred expense.  The deferred expense would then be amortized if and when CSP exercised the options for the respective three-year extensions</w:t>
      </w:r>
      <w:r>
        <w:rPr>
          <w:rFonts w:ascii="Arial" w:hAnsi="Arial" w:cs="Arial"/>
        </w:rPr>
        <w:t xml:space="preserve"> of the</w:t>
      </w:r>
      <w:r w:rsidR="00064A39">
        <w:rPr>
          <w:rFonts w:ascii="Arial" w:hAnsi="Arial" w:cs="Arial"/>
        </w:rPr>
        <w:t xml:space="preserve"> Agreement beginning in 2013.</w:t>
      </w:r>
    </w:p>
    <w:p w:rsidR="00AD3A4B" w:rsidRPr="00AD3A4B" w:rsidRDefault="00791E1C" w:rsidP="008C7494">
      <w:pPr>
        <w:spacing w:before="240" w:line="480" w:lineRule="auto"/>
        <w:ind w:left="720" w:hanging="720"/>
        <w:jc w:val="both"/>
        <w:rPr>
          <w:rFonts w:ascii="Arial" w:hAnsi="Arial" w:cs="Arial"/>
          <w:b/>
        </w:rPr>
      </w:pPr>
      <w:r>
        <w:rPr>
          <w:rFonts w:ascii="Arial" w:hAnsi="Arial" w:cs="Arial"/>
          <w:b/>
        </w:rPr>
        <w:t>Q</w:t>
      </w:r>
      <w:r w:rsidR="005C3356">
        <w:rPr>
          <w:rFonts w:ascii="Arial" w:hAnsi="Arial" w:cs="Arial"/>
          <w:b/>
        </w:rPr>
        <w:t>20</w:t>
      </w:r>
      <w:r w:rsidR="00AD3A4B" w:rsidRPr="00AD3A4B">
        <w:rPr>
          <w:rFonts w:ascii="Arial" w:hAnsi="Arial" w:cs="Arial"/>
          <w:b/>
        </w:rPr>
        <w:t>.</w:t>
      </w:r>
      <w:r w:rsidR="00AD3A4B" w:rsidRPr="00AD3A4B">
        <w:rPr>
          <w:rFonts w:ascii="Arial" w:hAnsi="Arial" w:cs="Arial"/>
          <w:b/>
        </w:rPr>
        <w:tab/>
        <w:t>What did the Commission conclude on this issue?</w:t>
      </w:r>
    </w:p>
    <w:p w:rsidR="00AD3A4B" w:rsidRPr="003C665B" w:rsidRDefault="00791E1C" w:rsidP="003C665B">
      <w:pPr>
        <w:spacing w:line="480" w:lineRule="auto"/>
        <w:ind w:left="720" w:hanging="720"/>
        <w:jc w:val="both"/>
        <w:rPr>
          <w:rFonts w:ascii="Arial" w:hAnsi="Arial" w:cs="Arial"/>
        </w:rPr>
      </w:pPr>
      <w:r>
        <w:rPr>
          <w:rFonts w:ascii="Arial" w:hAnsi="Arial" w:cs="Arial"/>
        </w:rPr>
        <w:t>A</w:t>
      </w:r>
      <w:r w:rsidR="005C3356">
        <w:rPr>
          <w:rFonts w:ascii="Arial" w:hAnsi="Arial" w:cs="Arial"/>
        </w:rPr>
        <w:t>20</w:t>
      </w:r>
      <w:r w:rsidR="00AD3A4B" w:rsidRPr="003C665B">
        <w:rPr>
          <w:rFonts w:ascii="Arial" w:hAnsi="Arial" w:cs="Arial"/>
        </w:rPr>
        <w:t>.</w:t>
      </w:r>
      <w:r w:rsidR="00AD3A4B" w:rsidRPr="003C665B">
        <w:rPr>
          <w:rFonts w:ascii="Arial" w:hAnsi="Arial" w:cs="Arial"/>
        </w:rPr>
        <w:tab/>
        <w:t>In</w:t>
      </w:r>
      <w:r w:rsidR="00122294">
        <w:rPr>
          <w:rFonts w:ascii="Arial" w:hAnsi="Arial" w:cs="Arial"/>
        </w:rPr>
        <w:t xml:space="preserve"> the </w:t>
      </w:r>
      <w:r w:rsidR="00122294" w:rsidRPr="00A920DC">
        <w:rPr>
          <w:rFonts w:ascii="Arial" w:hAnsi="Arial" w:cs="Arial"/>
          <w:i/>
        </w:rPr>
        <w:t>2009 FAC Case</w:t>
      </w:r>
      <w:r w:rsidR="00AD3A4B" w:rsidRPr="003C665B">
        <w:rPr>
          <w:rFonts w:ascii="Arial" w:hAnsi="Arial" w:cs="Arial"/>
        </w:rPr>
        <w:t>, the Commission determined that “any effect these agreements may have had on AEP-Ohio’s fuel costs, if any, would appear to apply in time periods outside of the current audit.  Therefore, while those agreements may be examined in a future audit, those agreements will not be examined as part of the current audit.”</w:t>
      </w:r>
      <w:r w:rsidR="00122294">
        <w:rPr>
          <w:rStyle w:val="FootnoteReference"/>
          <w:rFonts w:ascii="Arial" w:hAnsi="Arial" w:cs="Arial"/>
        </w:rPr>
        <w:footnoteReference w:id="13"/>
      </w:r>
      <w:r w:rsidR="00AD3A4B" w:rsidRPr="003C665B">
        <w:rPr>
          <w:rFonts w:ascii="Arial" w:hAnsi="Arial" w:cs="Arial"/>
        </w:rPr>
        <w:t xml:space="preserve">  </w:t>
      </w:r>
    </w:p>
    <w:p w:rsidR="005A7B35" w:rsidRDefault="00791E1C" w:rsidP="008C7494">
      <w:pPr>
        <w:spacing w:before="240" w:line="480" w:lineRule="auto"/>
        <w:ind w:left="720" w:hanging="720"/>
        <w:jc w:val="both"/>
        <w:rPr>
          <w:rFonts w:ascii="Arial" w:hAnsi="Arial" w:cs="Arial"/>
          <w:b/>
        </w:rPr>
      </w:pPr>
      <w:r>
        <w:rPr>
          <w:rFonts w:ascii="Arial" w:hAnsi="Arial" w:cs="Arial"/>
          <w:b/>
        </w:rPr>
        <w:t>Q2</w:t>
      </w:r>
      <w:r w:rsidR="005C3356">
        <w:rPr>
          <w:rFonts w:ascii="Arial" w:hAnsi="Arial" w:cs="Arial"/>
          <w:b/>
        </w:rPr>
        <w:t>1</w:t>
      </w:r>
      <w:r w:rsidR="005A7B35">
        <w:rPr>
          <w:rFonts w:ascii="Arial" w:hAnsi="Arial" w:cs="Arial"/>
          <w:b/>
        </w:rPr>
        <w:t>.</w:t>
      </w:r>
      <w:r w:rsidR="005A7B35">
        <w:rPr>
          <w:rFonts w:ascii="Arial" w:hAnsi="Arial" w:cs="Arial"/>
          <w:b/>
        </w:rPr>
        <w:tab/>
        <w:t xml:space="preserve">What is your recommendation </w:t>
      </w:r>
      <w:r w:rsidR="00B12EE2">
        <w:rPr>
          <w:rFonts w:ascii="Arial" w:hAnsi="Arial" w:cs="Arial"/>
          <w:b/>
        </w:rPr>
        <w:t xml:space="preserve">with respect to </w:t>
      </w:r>
      <w:r>
        <w:rPr>
          <w:rFonts w:ascii="Arial" w:hAnsi="Arial" w:cs="Arial"/>
          <w:b/>
        </w:rPr>
        <w:t xml:space="preserve">the </w:t>
      </w:r>
      <w:r w:rsidR="008A33AD">
        <w:rPr>
          <w:rFonts w:ascii="Arial" w:hAnsi="Arial" w:cs="Arial"/>
          <w:b/>
        </w:rPr>
        <w:t>Agreement</w:t>
      </w:r>
      <w:r w:rsidR="005A7B35">
        <w:rPr>
          <w:rFonts w:ascii="Arial" w:hAnsi="Arial" w:cs="Arial"/>
          <w:b/>
        </w:rPr>
        <w:t>?</w:t>
      </w:r>
    </w:p>
    <w:p w:rsidR="00CE6238" w:rsidRPr="003C665B" w:rsidRDefault="00791E1C" w:rsidP="003C665B">
      <w:pPr>
        <w:spacing w:after="120" w:line="480" w:lineRule="auto"/>
        <w:ind w:left="720" w:hanging="720"/>
        <w:jc w:val="both"/>
        <w:rPr>
          <w:rFonts w:ascii="Arial" w:hAnsi="Arial" w:cs="Arial"/>
        </w:rPr>
      </w:pPr>
      <w:r>
        <w:rPr>
          <w:rFonts w:ascii="Arial" w:hAnsi="Arial" w:cs="Arial"/>
        </w:rPr>
        <w:t>A2</w:t>
      </w:r>
      <w:r w:rsidR="005C3356">
        <w:rPr>
          <w:rFonts w:ascii="Arial" w:hAnsi="Arial" w:cs="Arial"/>
        </w:rPr>
        <w:t>1</w:t>
      </w:r>
      <w:r w:rsidR="005A7B35" w:rsidRPr="003C665B">
        <w:rPr>
          <w:rFonts w:ascii="Arial" w:hAnsi="Arial" w:cs="Arial"/>
        </w:rPr>
        <w:t>.</w:t>
      </w:r>
      <w:r w:rsidR="005A7B35" w:rsidRPr="003C665B">
        <w:rPr>
          <w:rFonts w:ascii="Arial" w:hAnsi="Arial" w:cs="Arial"/>
        </w:rPr>
        <w:tab/>
      </w:r>
      <w:r w:rsidR="00EA517C" w:rsidRPr="003C665B">
        <w:rPr>
          <w:rFonts w:ascii="Arial" w:hAnsi="Arial" w:cs="Arial"/>
        </w:rPr>
        <w:t xml:space="preserve">The </w:t>
      </w:r>
      <w:r w:rsidR="00DF41F3" w:rsidRPr="003C665B">
        <w:rPr>
          <w:rFonts w:ascii="Arial" w:hAnsi="Arial" w:cs="Arial"/>
        </w:rPr>
        <w:t>mismatch between the costs and benefits</w:t>
      </w:r>
      <w:r w:rsidR="00EA517C" w:rsidRPr="003C665B">
        <w:rPr>
          <w:rFonts w:ascii="Arial" w:hAnsi="Arial" w:cs="Arial"/>
        </w:rPr>
        <w:t xml:space="preserve"> of the </w:t>
      </w:r>
      <w:r w:rsidR="00064A39" w:rsidRPr="003C665B">
        <w:rPr>
          <w:rFonts w:ascii="Arial" w:hAnsi="Arial" w:cs="Arial"/>
        </w:rPr>
        <w:t>Agreement</w:t>
      </w:r>
      <w:r w:rsidR="00064A39" w:rsidRPr="00064A39">
        <w:rPr>
          <w:rFonts w:ascii="Arial" w:hAnsi="Arial" w:cs="Arial"/>
        </w:rPr>
        <w:t xml:space="preserve"> </w:t>
      </w:r>
      <w:r w:rsidR="00EA517C" w:rsidRPr="003C665B">
        <w:rPr>
          <w:rFonts w:ascii="Arial" w:hAnsi="Arial" w:cs="Arial"/>
        </w:rPr>
        <w:t>still exist</w:t>
      </w:r>
      <w:r w:rsidR="00064A39">
        <w:rPr>
          <w:rFonts w:ascii="Arial" w:hAnsi="Arial" w:cs="Arial"/>
        </w:rPr>
        <w:t>s</w:t>
      </w:r>
      <w:r w:rsidR="002075D0">
        <w:rPr>
          <w:rFonts w:ascii="Arial" w:hAnsi="Arial" w:cs="Arial"/>
        </w:rPr>
        <w:t>.  By i</w:t>
      </w:r>
      <w:r w:rsidR="00EA517C" w:rsidRPr="003C665B">
        <w:rPr>
          <w:rFonts w:ascii="Arial" w:hAnsi="Arial" w:cs="Arial"/>
        </w:rPr>
        <w:t xml:space="preserve">ts </w:t>
      </w:r>
      <w:r w:rsidR="008424B5">
        <w:rPr>
          <w:rFonts w:ascii="Arial" w:hAnsi="Arial" w:cs="Arial"/>
        </w:rPr>
        <w:t xml:space="preserve">January 23, 2012 </w:t>
      </w:r>
      <w:r w:rsidR="00122294">
        <w:rPr>
          <w:rFonts w:ascii="Arial" w:hAnsi="Arial" w:cs="Arial"/>
        </w:rPr>
        <w:t>Opinion</w:t>
      </w:r>
      <w:r w:rsidR="00EA517C" w:rsidRPr="003C665B">
        <w:rPr>
          <w:rFonts w:ascii="Arial" w:hAnsi="Arial" w:cs="Arial"/>
        </w:rPr>
        <w:t xml:space="preserve">, the Commission ruled that the </w:t>
      </w:r>
      <w:r w:rsidR="00064A39">
        <w:rPr>
          <w:rFonts w:ascii="Arial" w:hAnsi="Arial" w:cs="Arial"/>
        </w:rPr>
        <w:t xml:space="preserve">Agreement </w:t>
      </w:r>
      <w:r w:rsidR="00EA517C" w:rsidRPr="003C665B">
        <w:rPr>
          <w:rFonts w:ascii="Arial" w:hAnsi="Arial" w:cs="Arial"/>
        </w:rPr>
        <w:t xml:space="preserve">would </w:t>
      </w:r>
      <w:r w:rsidR="00EA517C" w:rsidRPr="003C665B">
        <w:rPr>
          <w:rFonts w:ascii="Arial" w:hAnsi="Arial" w:cs="Arial"/>
        </w:rPr>
        <w:lastRenderedPageBreak/>
        <w:t xml:space="preserve">not be examined in the </w:t>
      </w:r>
      <w:r w:rsidR="00122294" w:rsidRPr="00A920DC">
        <w:rPr>
          <w:rFonts w:ascii="Arial" w:hAnsi="Arial" w:cs="Arial"/>
          <w:i/>
        </w:rPr>
        <w:t>2009 FAC Case</w:t>
      </w:r>
      <w:r w:rsidR="00EA517C" w:rsidRPr="003C665B">
        <w:rPr>
          <w:rFonts w:ascii="Arial" w:hAnsi="Arial" w:cs="Arial"/>
        </w:rPr>
        <w:t xml:space="preserve"> audit, but instead </w:t>
      </w:r>
      <w:r w:rsidR="00EA517C" w:rsidRPr="003C665B">
        <w:rPr>
          <w:rFonts w:ascii="Arial" w:hAnsi="Arial" w:cs="Arial"/>
          <w:u w:val="single"/>
        </w:rPr>
        <w:t>may</w:t>
      </w:r>
      <w:r w:rsidR="00EA517C" w:rsidRPr="003C665B">
        <w:rPr>
          <w:rFonts w:ascii="Arial" w:hAnsi="Arial" w:cs="Arial"/>
        </w:rPr>
        <w:t xml:space="preserve"> be examined in a future audit.</w:t>
      </w:r>
      <w:r w:rsidR="00122294">
        <w:rPr>
          <w:rStyle w:val="FootnoteReference"/>
          <w:rFonts w:ascii="Arial" w:hAnsi="Arial" w:cs="Arial"/>
        </w:rPr>
        <w:footnoteReference w:id="14"/>
      </w:r>
      <w:r w:rsidR="00EA517C" w:rsidRPr="003C665B">
        <w:rPr>
          <w:rFonts w:ascii="Arial" w:hAnsi="Arial" w:cs="Arial"/>
        </w:rPr>
        <w:t xml:space="preserve">  </w:t>
      </w:r>
      <w:r w:rsidR="00AD3A4B" w:rsidRPr="003C665B">
        <w:rPr>
          <w:rFonts w:ascii="Arial" w:hAnsi="Arial" w:cs="Arial"/>
        </w:rPr>
        <w:t>Inasmuch as</w:t>
      </w:r>
      <w:r w:rsidR="00DF41F3" w:rsidRPr="003C665B">
        <w:rPr>
          <w:rFonts w:ascii="Arial" w:hAnsi="Arial" w:cs="Arial"/>
        </w:rPr>
        <w:t xml:space="preserve"> </w:t>
      </w:r>
      <w:r w:rsidR="00AD3A4B" w:rsidRPr="003C665B">
        <w:rPr>
          <w:rFonts w:ascii="Arial" w:hAnsi="Arial" w:cs="Arial"/>
        </w:rPr>
        <w:t xml:space="preserve">the </w:t>
      </w:r>
      <w:r w:rsidR="00064A39">
        <w:rPr>
          <w:rFonts w:ascii="Arial" w:hAnsi="Arial" w:cs="Arial"/>
        </w:rPr>
        <w:t>Agreement’s</w:t>
      </w:r>
      <w:r w:rsidR="00674EA0">
        <w:rPr>
          <w:rFonts w:ascii="Arial" w:hAnsi="Arial" w:cs="Arial"/>
        </w:rPr>
        <w:t xml:space="preserve"> </w:t>
      </w:r>
      <w:r w:rsidR="00AD3A4B" w:rsidRPr="003C665B">
        <w:rPr>
          <w:rFonts w:ascii="Arial" w:hAnsi="Arial" w:cs="Arial"/>
        </w:rPr>
        <w:t xml:space="preserve">benefits would </w:t>
      </w:r>
      <w:r w:rsidR="00566B85" w:rsidRPr="003C665B">
        <w:rPr>
          <w:rFonts w:ascii="Arial" w:hAnsi="Arial" w:cs="Arial"/>
        </w:rPr>
        <w:t xml:space="preserve">be realized </w:t>
      </w:r>
      <w:r w:rsidR="00AD3A4B" w:rsidRPr="003C665B">
        <w:rPr>
          <w:rFonts w:ascii="Arial" w:hAnsi="Arial" w:cs="Arial"/>
        </w:rPr>
        <w:t xml:space="preserve">during the 2013-2018 timeframe of the </w:t>
      </w:r>
      <w:r>
        <w:rPr>
          <w:rFonts w:ascii="Arial" w:hAnsi="Arial" w:cs="Arial"/>
        </w:rPr>
        <w:t>two</w:t>
      </w:r>
      <w:r w:rsidR="00AD3A4B" w:rsidRPr="003C665B">
        <w:rPr>
          <w:rFonts w:ascii="Arial" w:hAnsi="Arial" w:cs="Arial"/>
        </w:rPr>
        <w:t xml:space="preserve"> three-year contract extensions, and </w:t>
      </w:r>
      <w:r w:rsidR="009C7814" w:rsidRPr="003C665B">
        <w:rPr>
          <w:rFonts w:ascii="Arial" w:hAnsi="Arial" w:cs="Arial"/>
        </w:rPr>
        <w:t xml:space="preserve">because the FAC </w:t>
      </w:r>
      <w:r w:rsidR="00EA517C" w:rsidRPr="003C665B">
        <w:rPr>
          <w:rFonts w:ascii="Arial" w:hAnsi="Arial" w:cs="Arial"/>
        </w:rPr>
        <w:t>is now expected to terminate during 2015, at least the portion of the benefits that would accrue once the FAC terminates could be lost to customers forever.  I believe this would be an unreasonable outcome as customers paid for the associated costs in 2009, but may never get back any benefits</w:t>
      </w:r>
      <w:r w:rsidR="00CE6238" w:rsidRPr="003C665B">
        <w:rPr>
          <w:rFonts w:ascii="Arial" w:hAnsi="Arial" w:cs="Arial"/>
        </w:rPr>
        <w:t xml:space="preserve">; instead the benefits would </w:t>
      </w:r>
      <w:r>
        <w:rPr>
          <w:rFonts w:ascii="Arial" w:hAnsi="Arial" w:cs="Arial"/>
        </w:rPr>
        <w:t>improperly flow</w:t>
      </w:r>
      <w:r w:rsidR="00CE6238" w:rsidRPr="003C665B">
        <w:rPr>
          <w:rFonts w:ascii="Arial" w:hAnsi="Arial" w:cs="Arial"/>
        </w:rPr>
        <w:t xml:space="preserve"> to the Company</w:t>
      </w:r>
      <w:r w:rsidR="00EA517C" w:rsidRPr="003C665B">
        <w:rPr>
          <w:rFonts w:ascii="Arial" w:hAnsi="Arial" w:cs="Arial"/>
        </w:rPr>
        <w:t xml:space="preserve">. </w:t>
      </w:r>
      <w:r w:rsidR="00CE6238" w:rsidRPr="003C665B">
        <w:rPr>
          <w:rFonts w:ascii="Arial" w:hAnsi="Arial" w:cs="Arial"/>
        </w:rPr>
        <w:t xml:space="preserve"> </w:t>
      </w:r>
    </w:p>
    <w:p w:rsidR="005A7B35" w:rsidRDefault="00CE6238" w:rsidP="003C665B">
      <w:pPr>
        <w:spacing w:after="240" w:line="480" w:lineRule="auto"/>
        <w:ind w:left="720"/>
        <w:jc w:val="both"/>
        <w:rPr>
          <w:rFonts w:ascii="Arial" w:hAnsi="Arial" w:cs="Arial"/>
        </w:rPr>
      </w:pPr>
      <w:r w:rsidRPr="003C665B">
        <w:rPr>
          <w:rFonts w:ascii="Arial" w:hAnsi="Arial" w:cs="Arial"/>
        </w:rPr>
        <w:t xml:space="preserve">Therefore, I recommend that </w:t>
      </w:r>
      <w:r w:rsidR="00493B10" w:rsidRPr="003C665B">
        <w:rPr>
          <w:rFonts w:ascii="Arial" w:hAnsi="Arial" w:cs="Arial"/>
        </w:rPr>
        <w:t xml:space="preserve">the Commission </w:t>
      </w:r>
      <w:r w:rsidR="008D4219">
        <w:rPr>
          <w:rFonts w:ascii="Arial" w:hAnsi="Arial" w:cs="Arial"/>
        </w:rPr>
        <w:t xml:space="preserve">require the Company to record a regulatory liability for the estimated value of the future customer benefits that will accrue from 2013 through 2018 and to amortize the regulatory liability over the period that the benefits are realized.  </w:t>
      </w:r>
      <w:r w:rsidR="008424B5">
        <w:rPr>
          <w:rFonts w:ascii="Arial" w:hAnsi="Arial" w:cs="Arial"/>
        </w:rPr>
        <w:t>The amortization would first be made as reductions to the FAC rates as long as the FAC is in existence, then as reductions to another cost or a regulatory asset</w:t>
      </w:r>
      <w:r w:rsidR="001E3193">
        <w:rPr>
          <w:rFonts w:ascii="Arial" w:hAnsi="Arial" w:cs="Arial"/>
        </w:rPr>
        <w:t xml:space="preserve"> that the Commission deems appropriate</w:t>
      </w:r>
      <w:r w:rsidR="007E692B">
        <w:rPr>
          <w:rFonts w:ascii="Arial" w:hAnsi="Arial" w:cs="Arial"/>
        </w:rPr>
        <w:t>.</w:t>
      </w:r>
      <w:r w:rsidR="008424B5">
        <w:rPr>
          <w:rFonts w:ascii="Arial" w:hAnsi="Arial" w:cs="Arial"/>
        </w:rPr>
        <w:t xml:space="preserve">  If the Commission does not adopt my recommendation then, alternatively, </w:t>
      </w:r>
      <w:r w:rsidR="008D4219">
        <w:rPr>
          <w:rFonts w:ascii="Arial" w:hAnsi="Arial" w:cs="Arial"/>
        </w:rPr>
        <w:t xml:space="preserve">I recommend that the Commission </w:t>
      </w:r>
      <w:r w:rsidR="009950C6" w:rsidRPr="003C665B">
        <w:rPr>
          <w:rFonts w:ascii="Arial" w:hAnsi="Arial" w:cs="Arial"/>
        </w:rPr>
        <w:t>revisit this issue</w:t>
      </w:r>
      <w:r w:rsidR="00F8035B">
        <w:rPr>
          <w:rFonts w:ascii="Arial" w:hAnsi="Arial" w:cs="Arial"/>
        </w:rPr>
        <w:t xml:space="preserve">, </w:t>
      </w:r>
      <w:r w:rsidR="00536443">
        <w:rPr>
          <w:rFonts w:ascii="Arial" w:hAnsi="Arial" w:cs="Arial"/>
        </w:rPr>
        <w:t xml:space="preserve">in </w:t>
      </w:r>
      <w:r w:rsidR="00F8035B">
        <w:rPr>
          <w:rFonts w:ascii="Arial" w:hAnsi="Arial" w:cs="Arial"/>
        </w:rPr>
        <w:t xml:space="preserve">the next FAC </w:t>
      </w:r>
      <w:r w:rsidR="00536443">
        <w:rPr>
          <w:rFonts w:ascii="Arial" w:hAnsi="Arial" w:cs="Arial"/>
        </w:rPr>
        <w:t xml:space="preserve">audit </w:t>
      </w:r>
      <w:r w:rsidR="00F8035B">
        <w:rPr>
          <w:rFonts w:ascii="Arial" w:hAnsi="Arial" w:cs="Arial"/>
        </w:rPr>
        <w:t>proceeding</w:t>
      </w:r>
      <w:r w:rsidR="00713657">
        <w:rPr>
          <w:rFonts w:ascii="Arial" w:hAnsi="Arial" w:cs="Arial"/>
        </w:rPr>
        <w:t xml:space="preserve"> (the RFP which was issued by Commission Entry dated October 23, 2013 in Case No. 12-3133-EL-FAC</w:t>
      </w:r>
      <w:r w:rsidR="00791E1C">
        <w:rPr>
          <w:rFonts w:ascii="Arial" w:hAnsi="Arial" w:cs="Arial"/>
        </w:rPr>
        <w:t>,</w:t>
      </w:r>
      <w:r w:rsidR="00713657">
        <w:rPr>
          <w:rFonts w:ascii="Arial" w:hAnsi="Arial" w:cs="Arial"/>
        </w:rPr>
        <w:t xml:space="preserve"> </w:t>
      </w:r>
      <w:r w:rsidR="00713657" w:rsidRPr="00791E1C">
        <w:rPr>
          <w:rFonts w:ascii="Arial" w:hAnsi="Arial" w:cs="Arial"/>
          <w:i/>
        </w:rPr>
        <w:t>et al</w:t>
      </w:r>
      <w:r w:rsidR="00791E1C">
        <w:rPr>
          <w:rFonts w:ascii="Arial" w:hAnsi="Arial" w:cs="Arial"/>
        </w:rPr>
        <w:t>.</w:t>
      </w:r>
      <w:r w:rsidR="00713657">
        <w:rPr>
          <w:rFonts w:ascii="Arial" w:hAnsi="Arial" w:cs="Arial"/>
        </w:rPr>
        <w:t>)</w:t>
      </w:r>
      <w:r w:rsidR="00F8035B">
        <w:rPr>
          <w:rFonts w:ascii="Arial" w:hAnsi="Arial" w:cs="Arial"/>
        </w:rPr>
        <w:t>,</w:t>
      </w:r>
      <w:r w:rsidR="00791E1C">
        <w:rPr>
          <w:rFonts w:ascii="Arial" w:hAnsi="Arial" w:cs="Arial"/>
        </w:rPr>
        <w:t xml:space="preserve"> </w:t>
      </w:r>
      <w:r w:rsidR="008D4219">
        <w:rPr>
          <w:rFonts w:ascii="Arial" w:hAnsi="Arial" w:cs="Arial"/>
        </w:rPr>
        <w:t xml:space="preserve">for the purpose of putting in place a mechanism </w:t>
      </w:r>
      <w:r w:rsidR="008D4219" w:rsidRPr="001774A8">
        <w:rPr>
          <w:rFonts w:ascii="Arial" w:hAnsi="Arial" w:cs="Arial"/>
        </w:rPr>
        <w:t xml:space="preserve">to assure that </w:t>
      </w:r>
      <w:r w:rsidR="009950C6" w:rsidRPr="003C665B">
        <w:rPr>
          <w:rFonts w:ascii="Arial" w:hAnsi="Arial" w:cs="Arial"/>
        </w:rPr>
        <w:t xml:space="preserve">customers receive all of the benefits from the </w:t>
      </w:r>
      <w:r w:rsidR="00064A39">
        <w:rPr>
          <w:rFonts w:ascii="Arial" w:hAnsi="Arial" w:cs="Arial"/>
        </w:rPr>
        <w:t xml:space="preserve">Agreement </w:t>
      </w:r>
      <w:r w:rsidR="009950C6" w:rsidRPr="003C665B">
        <w:rPr>
          <w:rFonts w:ascii="Arial" w:hAnsi="Arial" w:cs="Arial"/>
        </w:rPr>
        <w:t xml:space="preserve">including </w:t>
      </w:r>
      <w:r w:rsidR="00713657">
        <w:rPr>
          <w:rFonts w:ascii="Arial" w:hAnsi="Arial" w:cs="Arial"/>
        </w:rPr>
        <w:t>any</w:t>
      </w:r>
      <w:r w:rsidR="009D5E8F">
        <w:rPr>
          <w:rFonts w:ascii="Arial" w:hAnsi="Arial" w:cs="Arial"/>
        </w:rPr>
        <w:t xml:space="preserve"> benefits </w:t>
      </w:r>
      <w:r w:rsidR="00E512F9">
        <w:rPr>
          <w:rFonts w:ascii="Arial" w:hAnsi="Arial" w:cs="Arial"/>
        </w:rPr>
        <w:t xml:space="preserve">that would apply </w:t>
      </w:r>
      <w:r w:rsidR="009D5E8F">
        <w:rPr>
          <w:rFonts w:ascii="Arial" w:hAnsi="Arial" w:cs="Arial"/>
        </w:rPr>
        <w:t>for the</w:t>
      </w:r>
      <w:r w:rsidR="009950C6" w:rsidRPr="003C665B">
        <w:rPr>
          <w:rFonts w:ascii="Arial" w:hAnsi="Arial" w:cs="Arial"/>
        </w:rPr>
        <w:t xml:space="preserve"> period after the </w:t>
      </w:r>
      <w:r w:rsidR="00713657">
        <w:rPr>
          <w:rFonts w:ascii="Arial" w:hAnsi="Arial" w:cs="Arial"/>
        </w:rPr>
        <w:t xml:space="preserve">Company’s </w:t>
      </w:r>
      <w:r w:rsidR="009950C6" w:rsidRPr="003C665B">
        <w:rPr>
          <w:rFonts w:ascii="Arial" w:hAnsi="Arial" w:cs="Arial"/>
        </w:rPr>
        <w:t>FAC terminates.</w:t>
      </w:r>
    </w:p>
    <w:p w:rsidR="004E3041" w:rsidRDefault="004E3041" w:rsidP="003C665B">
      <w:pPr>
        <w:spacing w:after="240" w:line="480" w:lineRule="auto"/>
        <w:ind w:left="720"/>
        <w:jc w:val="both"/>
        <w:rPr>
          <w:rFonts w:ascii="Arial" w:hAnsi="Arial" w:cs="Arial"/>
        </w:rPr>
      </w:pPr>
    </w:p>
    <w:p w:rsidR="00F61F40" w:rsidRPr="00DF3048" w:rsidRDefault="00F61F40" w:rsidP="00DF3048">
      <w:pPr>
        <w:spacing w:after="240" w:line="480" w:lineRule="auto"/>
        <w:jc w:val="both"/>
        <w:rPr>
          <w:rFonts w:ascii="Arial" w:hAnsi="Arial" w:cs="Arial"/>
          <w:b/>
        </w:rPr>
      </w:pPr>
      <w:r w:rsidRPr="00DF3048">
        <w:rPr>
          <w:rFonts w:ascii="Arial" w:hAnsi="Arial" w:cs="Arial"/>
          <w:b/>
        </w:rPr>
        <w:lastRenderedPageBreak/>
        <w:t>IV.</w:t>
      </w:r>
      <w:r w:rsidRPr="00DF3048">
        <w:rPr>
          <w:rFonts w:ascii="Arial" w:hAnsi="Arial" w:cs="Arial"/>
          <w:b/>
        </w:rPr>
        <w:tab/>
      </w:r>
      <w:r w:rsidRPr="00B31775">
        <w:rPr>
          <w:rFonts w:ascii="Arial" w:hAnsi="Arial" w:cs="Arial"/>
          <w:b/>
        </w:rPr>
        <w:t>CONCLUSION</w:t>
      </w:r>
    </w:p>
    <w:p w:rsidR="007F0AA7" w:rsidRPr="00AA6A20" w:rsidRDefault="00CD3DB9" w:rsidP="0025364D">
      <w:pPr>
        <w:tabs>
          <w:tab w:val="left" w:pos="720"/>
        </w:tabs>
        <w:spacing w:line="480" w:lineRule="auto"/>
        <w:jc w:val="both"/>
        <w:rPr>
          <w:rStyle w:val="LineNumber"/>
          <w:rFonts w:cs="Arial"/>
          <w:b/>
          <w:sz w:val="24"/>
        </w:rPr>
      </w:pPr>
      <w:r>
        <w:rPr>
          <w:rStyle w:val="LineNumber"/>
          <w:rFonts w:cs="Arial"/>
          <w:b/>
          <w:sz w:val="24"/>
        </w:rPr>
        <w:t>Q</w:t>
      </w:r>
      <w:r w:rsidR="002A45A0">
        <w:rPr>
          <w:rStyle w:val="LineNumber"/>
          <w:rFonts w:cs="Arial"/>
          <w:b/>
          <w:sz w:val="24"/>
        </w:rPr>
        <w:t>2</w:t>
      </w:r>
      <w:r w:rsidR="005C3356">
        <w:rPr>
          <w:rStyle w:val="LineNumber"/>
          <w:rFonts w:cs="Arial"/>
          <w:b/>
          <w:sz w:val="24"/>
        </w:rPr>
        <w:t>2</w:t>
      </w:r>
      <w:r w:rsidR="007F0AA7" w:rsidRPr="00AA6A20">
        <w:rPr>
          <w:rStyle w:val="LineNumber"/>
          <w:rFonts w:cs="Arial"/>
          <w:b/>
          <w:sz w:val="24"/>
        </w:rPr>
        <w:t>.</w:t>
      </w:r>
      <w:r w:rsidR="000B23C9">
        <w:rPr>
          <w:rStyle w:val="LineNumber"/>
          <w:rFonts w:cs="Arial"/>
          <w:b/>
          <w:sz w:val="24"/>
        </w:rPr>
        <w:tab/>
      </w:r>
      <w:r w:rsidR="007F0AA7" w:rsidRPr="00AA6A20">
        <w:rPr>
          <w:rStyle w:val="LineNumber"/>
          <w:rFonts w:cs="Arial"/>
          <w:b/>
          <w:sz w:val="24"/>
        </w:rPr>
        <w:t>Does this conclude your prepared direct testimony?</w:t>
      </w:r>
    </w:p>
    <w:p w:rsidR="007F0AA7" w:rsidRPr="00AA6A20" w:rsidRDefault="00CD3DB9">
      <w:pPr>
        <w:tabs>
          <w:tab w:val="left" w:pos="720"/>
          <w:tab w:val="left" w:pos="810"/>
        </w:tabs>
        <w:spacing w:line="480" w:lineRule="auto"/>
        <w:ind w:left="720" w:hanging="720"/>
        <w:jc w:val="both"/>
        <w:rPr>
          <w:rStyle w:val="LineNumber"/>
          <w:rFonts w:cs="Arial"/>
          <w:sz w:val="24"/>
        </w:rPr>
      </w:pPr>
      <w:r>
        <w:rPr>
          <w:rStyle w:val="LineNumber"/>
          <w:rFonts w:cs="Arial"/>
          <w:sz w:val="24"/>
        </w:rPr>
        <w:t>A</w:t>
      </w:r>
      <w:r w:rsidR="00791E1C">
        <w:rPr>
          <w:rStyle w:val="LineNumber"/>
          <w:rFonts w:cs="Arial"/>
          <w:sz w:val="24"/>
        </w:rPr>
        <w:t>2</w:t>
      </w:r>
      <w:r w:rsidR="005C3356">
        <w:rPr>
          <w:rStyle w:val="LineNumber"/>
          <w:rFonts w:cs="Arial"/>
          <w:sz w:val="24"/>
        </w:rPr>
        <w:t>2</w:t>
      </w:r>
      <w:r w:rsidR="007F0AA7" w:rsidRPr="00AA6A20">
        <w:rPr>
          <w:rStyle w:val="LineNumber"/>
          <w:rFonts w:cs="Arial"/>
          <w:sz w:val="24"/>
        </w:rPr>
        <w:t>.</w:t>
      </w:r>
      <w:r w:rsidR="007F0AA7" w:rsidRPr="00AA6A20">
        <w:rPr>
          <w:rStyle w:val="LineNumber"/>
          <w:rFonts w:cs="Arial"/>
          <w:sz w:val="24"/>
        </w:rPr>
        <w:tab/>
        <w:t>Yes.  However, I reserve the right to update this testimony for any outstanding discovery responses or additional information that is submitted by other parties in this case.</w:t>
      </w:r>
    </w:p>
    <w:p w:rsidR="007F0AA7" w:rsidRPr="00AA6A20" w:rsidRDefault="007F0AA7">
      <w:pPr>
        <w:tabs>
          <w:tab w:val="left" w:pos="720"/>
          <w:tab w:val="left" w:pos="810"/>
        </w:tabs>
        <w:spacing w:line="480" w:lineRule="auto"/>
        <w:ind w:left="720" w:hanging="720"/>
        <w:jc w:val="both"/>
        <w:rPr>
          <w:rStyle w:val="LineNumber"/>
          <w:rFonts w:cs="Arial"/>
          <w:sz w:val="24"/>
        </w:rPr>
        <w:sectPr w:rsidR="007F0AA7" w:rsidRPr="00AA6A20">
          <w:headerReference w:type="default" r:id="rId23"/>
          <w:footerReference w:type="default" r:id="rId24"/>
          <w:headerReference w:type="first" r:id="rId25"/>
          <w:footerReference w:type="first" r:id="rId26"/>
          <w:type w:val="continuous"/>
          <w:pgSz w:w="12240" w:h="15840" w:code="1"/>
          <w:pgMar w:top="1296" w:right="1440" w:bottom="1296" w:left="1440" w:header="720" w:footer="720" w:gutter="0"/>
          <w:lnNumType w:countBy="1"/>
          <w:pgNumType w:start="1"/>
          <w:cols w:space="720"/>
          <w:titlePg/>
          <w:docGrid w:linePitch="360"/>
        </w:sectPr>
      </w:pPr>
    </w:p>
    <w:p w:rsidR="00CC2F99" w:rsidRPr="003C665B" w:rsidRDefault="00CC2F99" w:rsidP="00CC2F99">
      <w:pPr>
        <w:keepNext/>
        <w:jc w:val="center"/>
        <w:outlineLvl w:val="3"/>
        <w:rPr>
          <w:rFonts w:ascii="Arial" w:hAnsi="Arial" w:cs="Arial"/>
          <w:b/>
          <w:sz w:val="28"/>
          <w:szCs w:val="28"/>
          <w:u w:val="single"/>
        </w:rPr>
      </w:pPr>
      <w:r w:rsidRPr="003C665B">
        <w:rPr>
          <w:rFonts w:ascii="Arial" w:hAnsi="Arial" w:cs="Arial"/>
          <w:b/>
          <w:smallCaps/>
          <w:sz w:val="28"/>
          <w:szCs w:val="28"/>
          <w:u w:val="single"/>
        </w:rPr>
        <w:lastRenderedPageBreak/>
        <w:t>Certificate of Service</w:t>
      </w:r>
    </w:p>
    <w:p w:rsidR="00CC2F99" w:rsidRPr="00CC2F99" w:rsidRDefault="00CC2F99" w:rsidP="00CC2F99">
      <w:pPr>
        <w:jc w:val="both"/>
        <w:rPr>
          <w:rFonts w:ascii="Arial" w:hAnsi="Arial"/>
        </w:rPr>
      </w:pPr>
    </w:p>
    <w:p w:rsidR="00CC2F99" w:rsidRPr="00CC2F99" w:rsidRDefault="00CC2F99" w:rsidP="00CC2F99">
      <w:pPr>
        <w:spacing w:line="480" w:lineRule="auto"/>
        <w:ind w:firstLine="720"/>
        <w:jc w:val="both"/>
        <w:rPr>
          <w:rFonts w:ascii="Arial" w:hAnsi="Arial" w:cs="Arial"/>
          <w:b/>
          <w:smallCaps/>
        </w:rPr>
      </w:pPr>
      <w:r w:rsidRPr="00CC2F99">
        <w:rPr>
          <w:rFonts w:ascii="Arial" w:hAnsi="Arial" w:cs="Arial"/>
        </w:rPr>
        <w:t xml:space="preserve">I hereby certify that a copy of the foregoing </w:t>
      </w:r>
      <w:r w:rsidR="00AE48FF">
        <w:rPr>
          <w:rFonts w:ascii="Arial" w:hAnsi="Arial" w:cs="Arial"/>
          <w:i/>
          <w:iCs/>
        </w:rPr>
        <w:t>Direct Testimony of Joseph G. Bowser on Behalf of In</w:t>
      </w:r>
      <w:r w:rsidR="00DF3048">
        <w:rPr>
          <w:rFonts w:ascii="Arial" w:hAnsi="Arial" w:cs="Arial"/>
          <w:i/>
          <w:iCs/>
        </w:rPr>
        <w:t>d</w:t>
      </w:r>
      <w:r w:rsidR="00AE48FF">
        <w:rPr>
          <w:rFonts w:ascii="Arial" w:hAnsi="Arial" w:cs="Arial"/>
          <w:i/>
          <w:iCs/>
        </w:rPr>
        <w:t>ustrial Energy Users-Ohio</w:t>
      </w:r>
      <w:r w:rsidR="00AE48FF" w:rsidRPr="00CC2F99">
        <w:rPr>
          <w:rFonts w:ascii="Arial" w:hAnsi="Arial" w:cs="Arial"/>
          <w:i/>
          <w:iCs/>
        </w:rPr>
        <w:t xml:space="preserve"> </w:t>
      </w:r>
      <w:r w:rsidRPr="00CC2F99">
        <w:rPr>
          <w:rFonts w:ascii="Arial" w:hAnsi="Arial" w:cs="Arial"/>
        </w:rPr>
        <w:t xml:space="preserve">was served upon the following parties of record this </w:t>
      </w:r>
      <w:r w:rsidR="00AE48FF">
        <w:rPr>
          <w:rFonts w:ascii="Arial" w:hAnsi="Arial" w:cs="Arial"/>
        </w:rPr>
        <w:t>8th</w:t>
      </w:r>
      <w:r w:rsidR="00AE48FF" w:rsidRPr="00CC2F99">
        <w:rPr>
          <w:rFonts w:ascii="Arial" w:hAnsi="Arial" w:cs="Arial"/>
        </w:rPr>
        <w:t xml:space="preserve"> </w:t>
      </w:r>
      <w:r w:rsidRPr="00CC2F99">
        <w:rPr>
          <w:rFonts w:ascii="Arial" w:hAnsi="Arial" w:cs="Arial"/>
        </w:rPr>
        <w:t xml:space="preserve">day of </w:t>
      </w:r>
      <w:r w:rsidR="00AE48FF">
        <w:rPr>
          <w:rFonts w:ascii="Arial" w:hAnsi="Arial" w:cs="Arial"/>
        </w:rPr>
        <w:t>November</w:t>
      </w:r>
      <w:r w:rsidR="00AE48FF" w:rsidRPr="00CC2F99">
        <w:rPr>
          <w:rFonts w:ascii="Arial" w:hAnsi="Arial" w:cs="Arial"/>
        </w:rPr>
        <w:t xml:space="preserve"> </w:t>
      </w:r>
      <w:r w:rsidRPr="00CC2F99">
        <w:rPr>
          <w:rFonts w:ascii="Arial" w:hAnsi="Arial" w:cs="Arial"/>
        </w:rPr>
        <w:t xml:space="preserve">2013, </w:t>
      </w:r>
      <w:r w:rsidRPr="00CC2F99">
        <w:rPr>
          <w:rFonts w:ascii="Arial" w:hAnsi="Arial" w:cs="Arial"/>
          <w:i/>
        </w:rPr>
        <w:t>via</w:t>
      </w:r>
      <w:r w:rsidRPr="00CC2F99">
        <w:rPr>
          <w:rFonts w:ascii="Arial" w:hAnsi="Arial" w:cs="Arial"/>
        </w:rPr>
        <w:t xml:space="preserve"> electronic transmission, hand-delivery or first class U.S. mail, postage prepaid.</w:t>
      </w:r>
    </w:p>
    <w:p w:rsidR="00CC2F99" w:rsidRPr="00CC2F99" w:rsidRDefault="00CC2F99" w:rsidP="00CC2F99">
      <w:pPr>
        <w:tabs>
          <w:tab w:val="left" w:pos="-1440"/>
          <w:tab w:val="left" w:pos="-720"/>
          <w:tab w:val="left" w:pos="5040"/>
          <w:tab w:val="center" w:pos="7200"/>
        </w:tabs>
        <w:jc w:val="both"/>
        <w:rPr>
          <w:rFonts w:ascii="Arial" w:hAnsi="Arial" w:cs="Arial"/>
        </w:rPr>
      </w:pPr>
    </w:p>
    <w:p w:rsidR="00CC2F99" w:rsidRPr="00CC2F99" w:rsidRDefault="00690A88" w:rsidP="00CC2F99">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Joseph E. Oliker</w:t>
      </w:r>
      <w:r w:rsidR="00CC2F99" w:rsidRPr="00CC2F99">
        <w:rPr>
          <w:rFonts w:ascii="Arial" w:hAnsi="Arial" w:cs="Arial"/>
          <w:u w:val="single"/>
        </w:rPr>
        <w:tab/>
      </w:r>
      <w:r w:rsidR="00CC2F99" w:rsidRPr="00CC2F99">
        <w:rPr>
          <w:rFonts w:ascii="Arial" w:hAnsi="Arial" w:cs="Arial"/>
          <w:u w:val="single"/>
        </w:rPr>
        <w:tab/>
      </w:r>
    </w:p>
    <w:p w:rsidR="00CC2F99" w:rsidRPr="00CC2F99" w:rsidRDefault="00CC2F99" w:rsidP="00CC2F99">
      <w:pPr>
        <w:tabs>
          <w:tab w:val="left" w:pos="-1440"/>
          <w:tab w:val="left" w:pos="-720"/>
          <w:tab w:val="left" w:pos="5040"/>
          <w:tab w:val="center" w:pos="7200"/>
        </w:tabs>
        <w:ind w:firstLine="5040"/>
        <w:jc w:val="both"/>
        <w:rPr>
          <w:rFonts w:ascii="Arial" w:hAnsi="Arial" w:cs="Arial"/>
        </w:rPr>
      </w:pPr>
      <w:r w:rsidRPr="00CC2F99">
        <w:rPr>
          <w:rFonts w:ascii="Arial" w:hAnsi="Arial" w:cs="Arial"/>
        </w:rPr>
        <w:tab/>
      </w:r>
      <w:r w:rsidR="00033725">
        <w:rPr>
          <w:rFonts w:ascii="Arial" w:hAnsi="Arial" w:cs="Arial"/>
        </w:rPr>
        <w:t xml:space="preserve">Joseph </w:t>
      </w:r>
      <w:r w:rsidR="00A45953">
        <w:rPr>
          <w:rFonts w:ascii="Arial" w:hAnsi="Arial" w:cs="Arial"/>
        </w:rPr>
        <w:t>E</w:t>
      </w:r>
      <w:r w:rsidR="00033725">
        <w:rPr>
          <w:rFonts w:ascii="Arial" w:hAnsi="Arial" w:cs="Arial"/>
        </w:rPr>
        <w:t>. Oliker</w:t>
      </w:r>
    </w:p>
    <w:p w:rsidR="00CC2F99" w:rsidRPr="00CC2F99" w:rsidRDefault="00CC2F99" w:rsidP="00CC2F99">
      <w:pPr>
        <w:tabs>
          <w:tab w:val="left" w:pos="2160"/>
          <w:tab w:val="left" w:pos="2280"/>
        </w:tabs>
        <w:jc w:val="both"/>
        <w:rPr>
          <w:rFonts w:ascii="Arial" w:hAnsi="Arial" w:cs="Arial"/>
        </w:rPr>
      </w:pPr>
    </w:p>
    <w:p w:rsidR="00CC2F99" w:rsidRPr="00CC2F99" w:rsidRDefault="00CC2F99" w:rsidP="00CC2F99">
      <w:pPr>
        <w:tabs>
          <w:tab w:val="left" w:pos="2160"/>
          <w:tab w:val="left" w:pos="2280"/>
        </w:tabs>
        <w:jc w:val="both"/>
        <w:rPr>
          <w:rFonts w:ascii="Arial" w:hAnsi="Arial" w:cs="Arial"/>
          <w:sz w:val="20"/>
          <w:szCs w:val="20"/>
        </w:rPr>
        <w:sectPr w:rsidR="00CC2F99" w:rsidRPr="00CC2F99" w:rsidSect="00FD0ED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41" w:left="1440" w:header="720" w:footer="720" w:gutter="0"/>
          <w:pgNumType w:start="1"/>
          <w:cols w:space="720"/>
          <w:titlePg/>
          <w:docGrid w:linePitch="326"/>
        </w:sectPr>
      </w:pP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lastRenderedPageBreak/>
        <w:t>Steven T. Nourse</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Yazen Alami</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American Electric Power Service Corporation</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1 Riverside Plaza, 29</w:t>
      </w:r>
      <w:r w:rsidRPr="00F500EE">
        <w:rPr>
          <w:rFonts w:ascii="Arial" w:hAnsi="Arial" w:cs="Arial"/>
          <w:color w:val="000000" w:themeColor="text1"/>
          <w:sz w:val="22"/>
          <w:szCs w:val="22"/>
          <w:vertAlign w:val="superscript"/>
        </w:rPr>
        <w:t>th</w:t>
      </w:r>
      <w:r w:rsidRPr="00F500EE">
        <w:rPr>
          <w:rFonts w:ascii="Arial" w:hAnsi="Arial" w:cs="Arial"/>
          <w:color w:val="000000" w:themeColor="text1"/>
          <w:sz w:val="22"/>
          <w:szCs w:val="22"/>
        </w:rPr>
        <w:t xml:space="preserve"> Floor</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Columbus, OH  43215</w:t>
      </w:r>
    </w:p>
    <w:p w:rsidR="00CC2F99" w:rsidRPr="00F500EE" w:rsidRDefault="00B479B3" w:rsidP="00CC2F99">
      <w:pPr>
        <w:tabs>
          <w:tab w:val="left" w:pos="2160"/>
          <w:tab w:val="left" w:pos="2280"/>
        </w:tabs>
        <w:rPr>
          <w:rFonts w:ascii="Arial" w:hAnsi="Arial" w:cs="Arial"/>
          <w:color w:val="000000" w:themeColor="text1"/>
          <w:sz w:val="22"/>
          <w:szCs w:val="22"/>
        </w:rPr>
      </w:pPr>
      <w:hyperlink r:id="rId33" w:history="1">
        <w:r w:rsidR="00CC2F99" w:rsidRPr="00F500EE">
          <w:rPr>
            <w:rFonts w:ascii="Arial" w:hAnsi="Arial" w:cs="Arial"/>
            <w:color w:val="000000" w:themeColor="text1"/>
            <w:sz w:val="22"/>
            <w:szCs w:val="22"/>
          </w:rPr>
          <w:t>stnourse@aep.com</w:t>
        </w:r>
      </w:hyperlink>
    </w:p>
    <w:p w:rsidR="00CC2F99" w:rsidRPr="00F500EE" w:rsidRDefault="00CC2F99" w:rsidP="00CC2F99">
      <w:pPr>
        <w:tabs>
          <w:tab w:val="left" w:pos="2160"/>
          <w:tab w:val="left" w:pos="2280"/>
        </w:tabs>
        <w:rPr>
          <w:rFonts w:ascii="Arial" w:hAnsi="Arial" w:cs="Arial"/>
          <w:color w:val="000000" w:themeColor="text1"/>
          <w:sz w:val="22"/>
          <w:szCs w:val="22"/>
        </w:rPr>
      </w:pPr>
      <w:r w:rsidRPr="003C665B">
        <w:rPr>
          <w:rFonts w:ascii="Arial" w:hAnsi="Arial" w:cs="Arial"/>
          <w:sz w:val="22"/>
          <w:szCs w:val="22"/>
        </w:rPr>
        <w:t>yalami@aep.com</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tabs>
          <w:tab w:val="left" w:pos="2160"/>
          <w:tab w:val="left" w:pos="2280"/>
        </w:tabs>
        <w:rPr>
          <w:rFonts w:ascii="Arial" w:hAnsi="Arial" w:cs="Arial"/>
          <w:b/>
          <w:smallCaps/>
          <w:color w:val="000000" w:themeColor="text1"/>
          <w:sz w:val="22"/>
          <w:szCs w:val="22"/>
        </w:rPr>
      </w:pPr>
      <w:r w:rsidRPr="00F500EE">
        <w:rPr>
          <w:rFonts w:ascii="Arial" w:hAnsi="Arial" w:cs="Arial"/>
          <w:b/>
          <w:smallCaps/>
          <w:color w:val="000000" w:themeColor="text1"/>
          <w:sz w:val="22"/>
          <w:szCs w:val="22"/>
        </w:rPr>
        <w:t>Counsel for Columbus Southern Power Company and Ohio Power Company</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Terry Etter</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Assistant Consumers’ Counsel</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Office of the Ohio Consumers’ Counsel</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10 West Broad Street, Suite 1800</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Columbus, OH  43215-3485</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etter@occ.state.oh.us</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tabs>
          <w:tab w:val="left" w:pos="2160"/>
          <w:tab w:val="left" w:pos="2280"/>
        </w:tabs>
        <w:rPr>
          <w:rFonts w:ascii="Arial" w:hAnsi="Arial" w:cs="Arial"/>
          <w:b/>
          <w:smallCaps/>
          <w:color w:val="000000" w:themeColor="text1"/>
          <w:sz w:val="22"/>
          <w:szCs w:val="22"/>
        </w:rPr>
      </w:pPr>
      <w:r w:rsidRPr="00F500EE">
        <w:rPr>
          <w:rFonts w:ascii="Arial" w:hAnsi="Arial" w:cs="Arial"/>
          <w:b/>
          <w:smallCaps/>
          <w:color w:val="000000" w:themeColor="text1"/>
          <w:sz w:val="22"/>
          <w:szCs w:val="22"/>
        </w:rPr>
        <w:t>Counsel for Office of the Ohio Consumers’ Counsel</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Rocco D’Ascenzo</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Associate General Counsel</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Amy B. Spiller</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State Regulatory General Counsel</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Jeanne W. Kingery</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Associate General Counsel</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139 E. Fourth Street, 1303-Main</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Cincinnati, OH  45202</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Rocco.d’ascenzo@duke-energy.com</w:t>
      </w:r>
    </w:p>
    <w:p w:rsidR="00CC2F99" w:rsidRPr="00F500EE" w:rsidRDefault="00B479B3" w:rsidP="00CC2F99">
      <w:pPr>
        <w:tabs>
          <w:tab w:val="left" w:pos="2160"/>
          <w:tab w:val="left" w:pos="2280"/>
        </w:tabs>
        <w:rPr>
          <w:rFonts w:ascii="Arial" w:hAnsi="Arial" w:cs="Arial"/>
          <w:color w:val="000000" w:themeColor="text1"/>
          <w:sz w:val="22"/>
          <w:szCs w:val="22"/>
        </w:rPr>
      </w:pPr>
      <w:hyperlink r:id="rId34" w:history="1">
        <w:r w:rsidR="00CC2F99" w:rsidRPr="00F500EE">
          <w:rPr>
            <w:rFonts w:ascii="Arial" w:hAnsi="Arial" w:cs="Arial"/>
            <w:color w:val="000000" w:themeColor="text1"/>
            <w:sz w:val="22"/>
            <w:szCs w:val="22"/>
          </w:rPr>
          <w:t>Amy.Spiller@duke-energy.com</w:t>
        </w:r>
      </w:hyperlink>
    </w:p>
    <w:p w:rsidR="00CC2F99" w:rsidRPr="00F500EE" w:rsidRDefault="00CC2F99" w:rsidP="00CC2F99">
      <w:pPr>
        <w:tabs>
          <w:tab w:val="left" w:pos="2160"/>
          <w:tab w:val="left" w:pos="2280"/>
        </w:tabs>
        <w:rPr>
          <w:rFonts w:ascii="Arial" w:hAnsi="Arial" w:cs="Arial"/>
          <w:sz w:val="22"/>
          <w:szCs w:val="22"/>
        </w:rPr>
      </w:pPr>
      <w:r w:rsidRPr="00F500EE">
        <w:rPr>
          <w:rFonts w:ascii="Arial" w:hAnsi="Arial" w:cs="Arial"/>
          <w:sz w:val="22"/>
          <w:szCs w:val="22"/>
        </w:rPr>
        <w:t>Jeanne.kingery@duke-energy.com</w:t>
      </w:r>
    </w:p>
    <w:p w:rsidR="00CC2F99" w:rsidRPr="00F500EE" w:rsidRDefault="00CC2F99" w:rsidP="00CC2F99">
      <w:pPr>
        <w:tabs>
          <w:tab w:val="left" w:pos="2160"/>
          <w:tab w:val="left" w:pos="2280"/>
        </w:tabs>
        <w:rPr>
          <w:rFonts w:ascii="Arial" w:hAnsi="Arial" w:cs="Arial"/>
          <w:sz w:val="22"/>
          <w:szCs w:val="22"/>
        </w:rPr>
      </w:pPr>
    </w:p>
    <w:p w:rsidR="00CC2F99" w:rsidRPr="00F500EE" w:rsidRDefault="00CC2F99" w:rsidP="00CC2F99">
      <w:pPr>
        <w:tabs>
          <w:tab w:val="left" w:pos="2160"/>
          <w:tab w:val="left" w:pos="2280"/>
        </w:tabs>
        <w:rPr>
          <w:rFonts w:ascii="Arial" w:hAnsi="Arial" w:cs="Arial"/>
          <w:b/>
          <w:smallCaps/>
          <w:color w:val="000000" w:themeColor="text1"/>
          <w:sz w:val="22"/>
          <w:szCs w:val="22"/>
        </w:rPr>
      </w:pPr>
      <w:r w:rsidRPr="00F500EE">
        <w:rPr>
          <w:rFonts w:ascii="Arial" w:hAnsi="Arial" w:cs="Arial"/>
          <w:b/>
          <w:smallCaps/>
          <w:color w:val="000000" w:themeColor="text1"/>
          <w:sz w:val="22"/>
          <w:szCs w:val="22"/>
        </w:rPr>
        <w:t>Counsel for Duke Energy Ohio, Inc.</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hAnsi="Arial" w:cs="Arial"/>
          <w:color w:val="000000" w:themeColor="text1"/>
          <w:sz w:val="22"/>
          <w:szCs w:val="22"/>
        </w:rPr>
        <w:br w:type="column"/>
      </w:r>
      <w:r w:rsidRPr="00F500EE">
        <w:rPr>
          <w:rFonts w:ascii="Arial" w:eastAsiaTheme="minorHAnsi" w:hAnsi="Arial" w:cs="Arial"/>
          <w:sz w:val="22"/>
          <w:szCs w:val="22"/>
        </w:rPr>
        <w:lastRenderedPageBreak/>
        <w:t xml:space="preserve">John J. Kulewicz </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 xml:space="preserve">M. Howard Petricoff </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 xml:space="preserve">Stephen M. Howard </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Vorys, Sater, Seymour and Pease LLP</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52 East Gay Street</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P.O. Box 1008</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Columbus, Ohio 43216-1008</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jjkulewicz@vorys.com</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mhpetricoff@vorys.com</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smhoward@vorys.com</w:t>
      </w:r>
    </w:p>
    <w:p w:rsidR="00CC2F99" w:rsidRPr="00F500EE" w:rsidRDefault="00CC2F99" w:rsidP="00CC2F99">
      <w:pPr>
        <w:autoSpaceDE w:val="0"/>
        <w:autoSpaceDN w:val="0"/>
        <w:adjustRightInd w:val="0"/>
        <w:rPr>
          <w:rFonts w:ascii="Arial" w:eastAsiaTheme="minorHAnsi" w:hAnsi="Arial" w:cs="Arial"/>
          <w:sz w:val="22"/>
          <w:szCs w:val="22"/>
        </w:rPr>
      </w:pPr>
    </w:p>
    <w:p w:rsidR="00CC2F99" w:rsidRPr="003C665B" w:rsidRDefault="00CC2F99" w:rsidP="00CC2F99">
      <w:pPr>
        <w:autoSpaceDE w:val="0"/>
        <w:autoSpaceDN w:val="0"/>
        <w:adjustRightInd w:val="0"/>
        <w:rPr>
          <w:rFonts w:ascii="Arial" w:eastAsiaTheme="minorHAnsi" w:hAnsi="Arial" w:cs="Arial"/>
          <w:b/>
          <w:smallCaps/>
          <w:sz w:val="22"/>
          <w:szCs w:val="22"/>
        </w:rPr>
      </w:pPr>
      <w:r w:rsidRPr="003C665B">
        <w:rPr>
          <w:rFonts w:ascii="Arial" w:eastAsiaTheme="minorHAnsi" w:hAnsi="Arial" w:cs="Arial"/>
          <w:b/>
          <w:smallCaps/>
          <w:sz w:val="22"/>
          <w:szCs w:val="22"/>
        </w:rPr>
        <w:t>Counsel for Buckingham Coal Company</w:t>
      </w:r>
    </w:p>
    <w:p w:rsidR="00CC2F99" w:rsidRPr="00F500EE" w:rsidRDefault="00CC2F99" w:rsidP="00CC2F99">
      <w:pPr>
        <w:autoSpaceDE w:val="0"/>
        <w:autoSpaceDN w:val="0"/>
        <w:adjustRightInd w:val="0"/>
        <w:rPr>
          <w:rFonts w:ascii="Arial" w:eastAsiaTheme="minorHAnsi" w:hAnsi="Arial" w:cs="Arial"/>
          <w:sz w:val="22"/>
          <w:szCs w:val="22"/>
        </w:rPr>
      </w:pP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Philip B. Sineneng</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Thompson Hine LLP</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41 S. High Street, Suite 1700</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Columbus, OH  43215</w:t>
      </w:r>
    </w:p>
    <w:p w:rsidR="00CC2F99" w:rsidRPr="00F500EE" w:rsidRDefault="00CC2F99" w:rsidP="00CC2F99">
      <w:pPr>
        <w:autoSpaceDE w:val="0"/>
        <w:autoSpaceDN w:val="0"/>
        <w:adjustRightInd w:val="0"/>
        <w:rPr>
          <w:rFonts w:ascii="Arial" w:eastAsiaTheme="minorHAnsi" w:hAnsi="Arial" w:cs="Arial"/>
          <w:sz w:val="22"/>
          <w:szCs w:val="22"/>
        </w:rPr>
      </w:pPr>
      <w:r w:rsidRPr="00F500EE">
        <w:rPr>
          <w:rFonts w:ascii="Arial" w:eastAsiaTheme="minorHAnsi" w:hAnsi="Arial" w:cs="Arial"/>
          <w:sz w:val="22"/>
          <w:szCs w:val="22"/>
        </w:rPr>
        <w:t>Philip.Sineneng@ThompsonHine.com</w:t>
      </w:r>
    </w:p>
    <w:p w:rsidR="00CC2F99" w:rsidRPr="00F500EE" w:rsidRDefault="00CC2F99" w:rsidP="00CC2F99">
      <w:pPr>
        <w:autoSpaceDE w:val="0"/>
        <w:autoSpaceDN w:val="0"/>
        <w:adjustRightInd w:val="0"/>
        <w:rPr>
          <w:rFonts w:ascii="Arial" w:eastAsiaTheme="minorHAnsi" w:hAnsi="Arial" w:cs="Arial"/>
          <w:sz w:val="22"/>
          <w:szCs w:val="22"/>
        </w:rPr>
      </w:pPr>
    </w:p>
    <w:p w:rsidR="00CC2F99" w:rsidRPr="003C665B" w:rsidRDefault="00CC2F99" w:rsidP="00CC2F99">
      <w:pPr>
        <w:autoSpaceDE w:val="0"/>
        <w:autoSpaceDN w:val="0"/>
        <w:adjustRightInd w:val="0"/>
        <w:rPr>
          <w:rFonts w:ascii="Arial" w:eastAsiaTheme="minorHAnsi" w:hAnsi="Arial" w:cs="Arial"/>
          <w:b/>
          <w:smallCaps/>
          <w:sz w:val="22"/>
          <w:szCs w:val="22"/>
        </w:rPr>
      </w:pPr>
      <w:r w:rsidRPr="003C665B">
        <w:rPr>
          <w:rFonts w:ascii="Arial" w:eastAsiaTheme="minorHAnsi" w:hAnsi="Arial" w:cs="Arial"/>
          <w:b/>
          <w:smallCaps/>
          <w:sz w:val="22"/>
          <w:szCs w:val="22"/>
        </w:rPr>
        <w:t>Counsel for Duke Energy Commercial Asset Management, Inc.</w:t>
      </w:r>
    </w:p>
    <w:p w:rsidR="00CC2F99" w:rsidRPr="00F500EE" w:rsidRDefault="00CC2F99" w:rsidP="00CC2F99">
      <w:pPr>
        <w:autoSpaceDE w:val="0"/>
        <w:autoSpaceDN w:val="0"/>
        <w:adjustRightInd w:val="0"/>
        <w:rPr>
          <w:rFonts w:ascii="Arial" w:eastAsiaTheme="minorHAnsi" w:hAnsi="Arial" w:cs="Arial"/>
          <w:sz w:val="22"/>
          <w:szCs w:val="22"/>
        </w:rPr>
      </w:pP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Thomas McNamee</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Steven Beeler</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Assistant Attorneys General</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Public Utilities Section</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180 E. Broad Street, 6</w:t>
      </w:r>
      <w:r w:rsidRPr="00F500EE">
        <w:rPr>
          <w:rFonts w:ascii="Arial" w:hAnsi="Arial" w:cs="Arial"/>
          <w:color w:val="000000" w:themeColor="text1"/>
          <w:sz w:val="22"/>
          <w:szCs w:val="22"/>
          <w:vertAlign w:val="superscript"/>
        </w:rPr>
        <w:t>th</w:t>
      </w:r>
      <w:r w:rsidRPr="00F500EE">
        <w:rPr>
          <w:rFonts w:ascii="Arial" w:hAnsi="Arial" w:cs="Arial"/>
          <w:color w:val="000000" w:themeColor="text1"/>
          <w:sz w:val="22"/>
          <w:szCs w:val="22"/>
        </w:rPr>
        <w:t xml:space="preserve"> Floor</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Columbus, OH  43215-3793</w:t>
      </w:r>
    </w:p>
    <w:p w:rsidR="00CC2F99" w:rsidRPr="003C665B" w:rsidRDefault="00CC2F99" w:rsidP="00CC2F99">
      <w:pPr>
        <w:tabs>
          <w:tab w:val="left" w:pos="2160"/>
          <w:tab w:val="left" w:pos="2280"/>
        </w:tabs>
        <w:rPr>
          <w:rFonts w:ascii="Arial" w:hAnsi="Arial" w:cs="Arial"/>
          <w:sz w:val="22"/>
          <w:szCs w:val="22"/>
        </w:rPr>
      </w:pPr>
      <w:r w:rsidRPr="003C665B">
        <w:rPr>
          <w:rFonts w:ascii="Arial" w:hAnsi="Arial" w:cs="Arial"/>
          <w:sz w:val="22"/>
          <w:szCs w:val="22"/>
        </w:rPr>
        <w:t>thomas.mcnamee@puc.state.oh.us</w:t>
      </w:r>
    </w:p>
    <w:p w:rsidR="00CC2F99" w:rsidRPr="003C665B" w:rsidRDefault="00CC2F99" w:rsidP="00CC2F99">
      <w:pPr>
        <w:tabs>
          <w:tab w:val="left" w:pos="2160"/>
          <w:tab w:val="left" w:pos="2280"/>
        </w:tabs>
        <w:rPr>
          <w:rFonts w:ascii="Arial" w:hAnsi="Arial" w:cs="Arial"/>
          <w:sz w:val="22"/>
          <w:szCs w:val="22"/>
        </w:rPr>
      </w:pPr>
      <w:r w:rsidRPr="003C665B">
        <w:rPr>
          <w:rFonts w:ascii="Arial" w:hAnsi="Arial" w:cs="Arial"/>
          <w:sz w:val="22"/>
          <w:szCs w:val="22"/>
        </w:rPr>
        <w:t>steven.beeler@puc.state.oh.us</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tabs>
          <w:tab w:val="left" w:pos="2160"/>
          <w:tab w:val="left" w:pos="2280"/>
        </w:tabs>
        <w:rPr>
          <w:rFonts w:ascii="Arial" w:hAnsi="Arial" w:cs="Arial"/>
          <w:b/>
          <w:smallCaps/>
          <w:color w:val="000000" w:themeColor="text1"/>
          <w:sz w:val="22"/>
          <w:szCs w:val="22"/>
        </w:rPr>
      </w:pPr>
      <w:r w:rsidRPr="00F500EE">
        <w:rPr>
          <w:rFonts w:ascii="Arial" w:hAnsi="Arial" w:cs="Arial"/>
          <w:b/>
          <w:smallCaps/>
          <w:color w:val="000000" w:themeColor="text1"/>
          <w:sz w:val="22"/>
          <w:szCs w:val="22"/>
        </w:rPr>
        <w:t>Counsel for the Staff of the Public Utilities Commission of Ohio</w:t>
      </w:r>
    </w:p>
    <w:p w:rsidR="00CC2F99" w:rsidRPr="00F500EE" w:rsidRDefault="00CC2F99" w:rsidP="00CC2F99">
      <w:pPr>
        <w:tabs>
          <w:tab w:val="left" w:pos="2160"/>
          <w:tab w:val="left" w:pos="2280"/>
        </w:tabs>
        <w:rPr>
          <w:rFonts w:ascii="Arial" w:hAnsi="Arial" w:cs="Arial"/>
          <w:color w:val="000000" w:themeColor="text1"/>
          <w:sz w:val="22"/>
          <w:szCs w:val="22"/>
        </w:rPr>
      </w:pP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br w:type="column"/>
      </w:r>
      <w:r w:rsidRPr="00F500EE">
        <w:rPr>
          <w:rFonts w:ascii="Arial" w:hAnsi="Arial" w:cs="Arial"/>
          <w:color w:val="000000" w:themeColor="text1"/>
          <w:sz w:val="22"/>
          <w:szCs w:val="22"/>
        </w:rPr>
        <w:lastRenderedPageBreak/>
        <w:t>Sarah Parrot</w:t>
      </w:r>
    </w:p>
    <w:p w:rsidR="00CC2F99" w:rsidRPr="00F500EE" w:rsidRDefault="00CC2F99" w:rsidP="00CC2F99">
      <w:pPr>
        <w:autoSpaceDE w:val="0"/>
        <w:autoSpaceDN w:val="0"/>
        <w:adjustRightInd w:val="0"/>
        <w:rPr>
          <w:rFonts w:ascii="Arial" w:hAnsi="Arial" w:cs="Arial"/>
          <w:color w:val="000000" w:themeColor="text1"/>
          <w:sz w:val="22"/>
          <w:szCs w:val="22"/>
        </w:rPr>
      </w:pPr>
      <w:r w:rsidRPr="00F500EE">
        <w:rPr>
          <w:rFonts w:ascii="Arial" w:hAnsi="Arial" w:cs="Arial"/>
          <w:color w:val="000000" w:themeColor="text1"/>
          <w:sz w:val="22"/>
          <w:szCs w:val="22"/>
        </w:rPr>
        <w:t>Greta See</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Attorney Examiners</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Public Utilities Commission of Ohio</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180 E. Broad Street</w:t>
      </w:r>
    </w:p>
    <w:p w:rsidR="00CC2F99" w:rsidRPr="00F500EE" w:rsidRDefault="00CC2F99" w:rsidP="00CC2F99">
      <w:pPr>
        <w:tabs>
          <w:tab w:val="left" w:pos="2160"/>
          <w:tab w:val="left" w:pos="2280"/>
        </w:tabs>
        <w:rPr>
          <w:rFonts w:ascii="Arial" w:hAnsi="Arial" w:cs="Arial"/>
          <w:color w:val="000000" w:themeColor="text1"/>
          <w:sz w:val="22"/>
          <w:szCs w:val="22"/>
        </w:rPr>
      </w:pPr>
      <w:r w:rsidRPr="00F500EE">
        <w:rPr>
          <w:rFonts w:ascii="Arial" w:hAnsi="Arial" w:cs="Arial"/>
          <w:color w:val="000000" w:themeColor="text1"/>
          <w:sz w:val="22"/>
          <w:szCs w:val="22"/>
        </w:rPr>
        <w:t>Columbus, OH  43215-3793</w:t>
      </w:r>
    </w:p>
    <w:p w:rsidR="00CC2F99" w:rsidRPr="003C665B" w:rsidRDefault="00CC2F99" w:rsidP="00CC2F99">
      <w:pPr>
        <w:tabs>
          <w:tab w:val="left" w:pos="2160"/>
          <w:tab w:val="left" w:pos="2280"/>
        </w:tabs>
        <w:rPr>
          <w:rFonts w:ascii="Arial" w:hAnsi="Arial" w:cs="Arial"/>
          <w:sz w:val="22"/>
          <w:szCs w:val="22"/>
        </w:rPr>
      </w:pPr>
      <w:r w:rsidRPr="003C665B">
        <w:rPr>
          <w:rFonts w:ascii="Arial" w:hAnsi="Arial" w:cs="Arial"/>
          <w:sz w:val="22"/>
          <w:szCs w:val="22"/>
        </w:rPr>
        <w:t>sarah.parrot@puc.state.oh.us</w:t>
      </w:r>
    </w:p>
    <w:p w:rsidR="00CC2F99" w:rsidRPr="003C665B" w:rsidRDefault="00CC2F99" w:rsidP="00CC2F99">
      <w:pPr>
        <w:tabs>
          <w:tab w:val="left" w:pos="2160"/>
          <w:tab w:val="left" w:pos="2280"/>
        </w:tabs>
        <w:rPr>
          <w:rFonts w:ascii="Arial" w:hAnsi="Arial" w:cs="Arial"/>
          <w:sz w:val="22"/>
          <w:szCs w:val="22"/>
        </w:rPr>
      </w:pPr>
      <w:r w:rsidRPr="003C665B">
        <w:rPr>
          <w:rFonts w:ascii="Arial" w:hAnsi="Arial" w:cs="Arial"/>
          <w:sz w:val="22"/>
          <w:szCs w:val="22"/>
        </w:rPr>
        <w:t>Greta.See@puc.state.oh.us</w:t>
      </w:r>
    </w:p>
    <w:p w:rsidR="00CC2F99" w:rsidRPr="003C665B" w:rsidRDefault="00CC2F99" w:rsidP="00CC2F99">
      <w:pPr>
        <w:tabs>
          <w:tab w:val="left" w:pos="2160"/>
          <w:tab w:val="left" w:pos="2280"/>
        </w:tabs>
        <w:rPr>
          <w:rFonts w:ascii="Arial" w:hAnsi="Arial" w:cs="Arial"/>
          <w:sz w:val="22"/>
          <w:szCs w:val="22"/>
        </w:rPr>
      </w:pPr>
    </w:p>
    <w:p w:rsidR="00CC2F99" w:rsidRPr="00F500EE" w:rsidRDefault="00CC2F99" w:rsidP="00CC2F99">
      <w:pPr>
        <w:tabs>
          <w:tab w:val="left" w:pos="2160"/>
          <w:tab w:val="left" w:pos="2280"/>
        </w:tabs>
        <w:rPr>
          <w:rFonts w:ascii="Arial" w:hAnsi="Arial" w:cs="Arial"/>
          <w:b/>
          <w:smallCaps/>
          <w:color w:val="000000" w:themeColor="text1"/>
          <w:sz w:val="22"/>
          <w:szCs w:val="22"/>
        </w:rPr>
      </w:pPr>
      <w:r w:rsidRPr="00F500EE">
        <w:rPr>
          <w:rFonts w:ascii="Arial" w:hAnsi="Arial" w:cs="Arial"/>
          <w:b/>
          <w:smallCaps/>
          <w:color w:val="000000" w:themeColor="text1"/>
          <w:sz w:val="22"/>
          <w:szCs w:val="22"/>
        </w:rPr>
        <w:t>Attorney Examiners</w:t>
      </w:r>
    </w:p>
    <w:p w:rsidR="00033725" w:rsidRDefault="00033725" w:rsidP="00CC2F99">
      <w:pPr>
        <w:rPr>
          <w:rFonts w:ascii="Arial" w:hAnsi="Arial" w:cs="Arial"/>
          <w:color w:val="000000" w:themeColor="text1"/>
          <w:sz w:val="22"/>
          <w:szCs w:val="22"/>
        </w:rPr>
        <w:sectPr w:rsidR="00033725" w:rsidSect="00FD0ED5">
          <w:type w:val="continuous"/>
          <w:pgSz w:w="12240" w:h="15840" w:code="1"/>
          <w:pgMar w:top="1440" w:right="1440" w:bottom="1141" w:left="1440" w:header="720" w:footer="720" w:gutter="0"/>
          <w:pgNumType w:start="1"/>
          <w:cols w:num="2" w:space="720"/>
          <w:titlePg/>
          <w:docGrid w:linePitch="326"/>
        </w:sectPr>
      </w:pPr>
    </w:p>
    <w:p w:rsidR="00033725" w:rsidRPr="00033725" w:rsidRDefault="00033725" w:rsidP="00033725">
      <w:pPr>
        <w:tabs>
          <w:tab w:val="left" w:pos="720"/>
          <w:tab w:val="left" w:pos="810"/>
        </w:tabs>
        <w:ind w:left="720" w:hanging="720"/>
        <w:jc w:val="right"/>
        <w:rPr>
          <w:rFonts w:ascii="Arial" w:hAnsi="Arial"/>
          <w:b/>
          <w:smallCaps/>
          <w:sz w:val="26"/>
        </w:rPr>
      </w:pPr>
      <w:r w:rsidRPr="00033725">
        <w:rPr>
          <w:rFonts w:ascii="Arial" w:hAnsi="Arial"/>
          <w:b/>
          <w:smallCaps/>
          <w:sz w:val="26"/>
        </w:rPr>
        <w:lastRenderedPageBreak/>
        <w:t>EXHIBIT JGB-1</w:t>
      </w:r>
    </w:p>
    <w:p w:rsidR="00033725" w:rsidRPr="00033725" w:rsidRDefault="00033725" w:rsidP="00033725">
      <w:pPr>
        <w:tabs>
          <w:tab w:val="left" w:pos="720"/>
          <w:tab w:val="left" w:pos="810"/>
        </w:tabs>
        <w:ind w:left="720" w:hanging="720"/>
        <w:jc w:val="right"/>
        <w:rPr>
          <w:rFonts w:ascii="Arial" w:hAnsi="Arial"/>
          <w:b/>
          <w:smallCaps/>
          <w:sz w:val="26"/>
        </w:rPr>
      </w:pPr>
      <w:r w:rsidRPr="00033725">
        <w:rPr>
          <w:rFonts w:ascii="Arial" w:hAnsi="Arial"/>
          <w:b/>
          <w:smallCaps/>
          <w:sz w:val="26"/>
        </w:rPr>
        <w:t>Page 1 of 2</w:t>
      </w:r>
    </w:p>
    <w:p w:rsidR="00033725" w:rsidRPr="00033725" w:rsidRDefault="00033725" w:rsidP="00033725">
      <w:pPr>
        <w:tabs>
          <w:tab w:val="left" w:pos="720"/>
          <w:tab w:val="left" w:pos="810"/>
        </w:tabs>
        <w:ind w:left="720" w:hanging="720"/>
        <w:jc w:val="right"/>
        <w:rPr>
          <w:rFonts w:ascii="Arial" w:hAnsi="Arial"/>
          <w:b/>
          <w:smallCaps/>
          <w:sz w:val="26"/>
        </w:rPr>
      </w:pPr>
    </w:p>
    <w:p w:rsidR="00033725" w:rsidRPr="00033725" w:rsidRDefault="00033725" w:rsidP="00033725">
      <w:pPr>
        <w:tabs>
          <w:tab w:val="left" w:pos="720"/>
          <w:tab w:val="left" w:pos="810"/>
        </w:tabs>
        <w:ind w:left="720" w:hanging="720"/>
        <w:jc w:val="center"/>
        <w:rPr>
          <w:rFonts w:ascii="Arial" w:hAnsi="Arial"/>
          <w:b/>
          <w:smallCaps/>
          <w:sz w:val="26"/>
          <w:szCs w:val="28"/>
          <w:u w:val="single"/>
        </w:rPr>
      </w:pPr>
      <w:r w:rsidRPr="00033725">
        <w:rPr>
          <w:rFonts w:ascii="Arial" w:hAnsi="Arial"/>
          <w:b/>
          <w:smallCaps/>
          <w:sz w:val="26"/>
          <w:szCs w:val="28"/>
          <w:u w:val="single"/>
        </w:rPr>
        <w:t>Cases in Which Joseph G. Bowser Has Submitted Testimony</w:t>
      </w:r>
    </w:p>
    <w:p w:rsidR="00033725" w:rsidRPr="00033725" w:rsidRDefault="00033725" w:rsidP="00033725">
      <w:pPr>
        <w:tabs>
          <w:tab w:val="left" w:pos="720"/>
          <w:tab w:val="left" w:pos="810"/>
        </w:tabs>
        <w:ind w:left="720" w:hanging="720"/>
        <w:jc w:val="center"/>
        <w:rPr>
          <w:rFonts w:ascii="Arial" w:hAnsi="Arial"/>
          <w:sz w:val="28"/>
          <w:szCs w:val="28"/>
        </w:rPr>
      </w:pPr>
    </w:p>
    <w:p w:rsidR="00033725" w:rsidRPr="00033725" w:rsidRDefault="00033725" w:rsidP="00033725">
      <w:pPr>
        <w:spacing w:after="180"/>
        <w:jc w:val="both"/>
        <w:rPr>
          <w:rFonts w:ascii="Arial" w:hAnsi="Arial" w:cs="Arial"/>
          <w:color w:val="000000"/>
        </w:rPr>
      </w:pPr>
      <w:r w:rsidRPr="00033725">
        <w:rPr>
          <w:rFonts w:ascii="Arial" w:hAnsi="Arial" w:cs="Arial"/>
          <w:i/>
          <w:color w:val="000000"/>
        </w:rPr>
        <w:t>In the Matter of the Application of The East Ohio Gas Company for Authority to Implement Two New Transportation Services, for Approval of a New Pooling Agreement, and for Approval of a Revised Transportation Migration Rider</w:t>
      </w:r>
      <w:r w:rsidRPr="00033725">
        <w:rPr>
          <w:rFonts w:ascii="Arial" w:hAnsi="Arial" w:cs="Arial"/>
          <w:color w:val="000000"/>
        </w:rPr>
        <w:t>, Case No. 96</w:t>
      </w:r>
      <w:r w:rsidRPr="00033725">
        <w:rPr>
          <w:rFonts w:ascii="Arial" w:hAnsi="Arial" w:cs="Arial"/>
          <w:color w:val="000000"/>
        </w:rPr>
        <w:noBreakHyphen/>
        <w:t>1019</w:t>
      </w:r>
      <w:r w:rsidRPr="00033725">
        <w:rPr>
          <w:rFonts w:ascii="Arial" w:hAnsi="Arial" w:cs="Arial"/>
          <w:color w:val="000000"/>
        </w:rPr>
        <w:noBreakHyphen/>
        <w:t>GA</w:t>
      </w:r>
      <w:r w:rsidRPr="00033725">
        <w:rPr>
          <w:rFonts w:ascii="Arial" w:hAnsi="Arial" w:cs="Arial"/>
          <w:color w:val="000000"/>
        </w:rPr>
        <w:noBreakHyphen/>
        <w:t xml:space="preserve">ATA </w:t>
      </w:r>
    </w:p>
    <w:p w:rsidR="00033725" w:rsidRPr="00033725" w:rsidRDefault="00033725" w:rsidP="00033725">
      <w:pPr>
        <w:spacing w:after="180"/>
        <w:jc w:val="both"/>
        <w:rPr>
          <w:rFonts w:ascii="Arial" w:hAnsi="Arial" w:cs="Arial"/>
          <w:color w:val="000000"/>
        </w:rPr>
      </w:pPr>
      <w:r w:rsidRPr="00033725">
        <w:rPr>
          <w:rFonts w:ascii="Arial" w:hAnsi="Arial" w:cs="Arial"/>
          <w:i/>
          <w:color w:val="000000"/>
        </w:rPr>
        <w:t>In the Matter of the Applications of Columbus Southern Power Company and Ohio Power Company for Approval of Their Electric Transition Plans and for Receipt of Transition Revenues</w:t>
      </w:r>
      <w:r w:rsidRPr="00033725">
        <w:rPr>
          <w:rFonts w:ascii="Arial" w:hAnsi="Arial" w:cs="Arial"/>
          <w:color w:val="000000"/>
        </w:rPr>
        <w:t>, Case Nos. 99</w:t>
      </w:r>
      <w:r w:rsidRPr="00033725">
        <w:rPr>
          <w:rFonts w:ascii="Arial" w:hAnsi="Arial" w:cs="Arial"/>
          <w:color w:val="000000"/>
        </w:rPr>
        <w:noBreakHyphen/>
        <w:t>1729</w:t>
      </w:r>
      <w:r w:rsidRPr="00033725">
        <w:rPr>
          <w:rFonts w:ascii="Arial" w:hAnsi="Arial" w:cs="Arial"/>
          <w:color w:val="000000"/>
        </w:rPr>
        <w:noBreakHyphen/>
        <w:t>EL</w:t>
      </w:r>
      <w:r w:rsidRPr="00033725">
        <w:rPr>
          <w:rFonts w:ascii="Arial" w:hAnsi="Arial" w:cs="Arial"/>
          <w:color w:val="000000"/>
        </w:rPr>
        <w:noBreakHyphen/>
        <w:t xml:space="preserve">ETP, </w:t>
      </w:r>
      <w:r w:rsidRPr="00033725">
        <w:rPr>
          <w:rFonts w:ascii="Arial" w:hAnsi="Arial" w:cs="Arial"/>
          <w:i/>
          <w:color w:val="000000"/>
        </w:rPr>
        <w:t>et al</w:t>
      </w:r>
      <w:r w:rsidRPr="00033725">
        <w:rPr>
          <w:rFonts w:ascii="Arial" w:hAnsi="Arial" w:cs="Arial"/>
          <w:color w:val="000000"/>
        </w:rPr>
        <w:t xml:space="preserve">. </w:t>
      </w:r>
    </w:p>
    <w:p w:rsidR="00033725" w:rsidRPr="00033725" w:rsidRDefault="00033725" w:rsidP="00033725">
      <w:pPr>
        <w:spacing w:after="180"/>
        <w:jc w:val="both"/>
        <w:rPr>
          <w:rFonts w:ascii="Arial" w:hAnsi="Arial"/>
        </w:rPr>
      </w:pPr>
      <w:r w:rsidRPr="00033725">
        <w:rPr>
          <w:rFonts w:ascii="Arial" w:hAnsi="Arial" w:cs="Arial"/>
          <w:i/>
          <w:color w:val="000000"/>
        </w:rPr>
        <w:t>In the Matter of the Commission's Investigation Into the Policies and Procedures of Ohio Power Company, Columbus Southern Power Company, The Cleveland Electric Illuminating Company, Ohio Edison Company, The Toledo Edison Company and Monongahela Power Company Regarding the Installation of New Line Extensions</w:t>
      </w:r>
      <w:r w:rsidRPr="00033725">
        <w:rPr>
          <w:rFonts w:ascii="Arial" w:hAnsi="Arial" w:cs="Arial"/>
          <w:color w:val="000000"/>
        </w:rPr>
        <w:t>, Case Nos. 01</w:t>
      </w:r>
      <w:r w:rsidRPr="00033725">
        <w:rPr>
          <w:rFonts w:ascii="Arial" w:hAnsi="Arial" w:cs="Arial"/>
          <w:color w:val="000000"/>
        </w:rPr>
        <w:noBreakHyphen/>
        <w:t>2708</w:t>
      </w:r>
      <w:r w:rsidRPr="00033725">
        <w:rPr>
          <w:rFonts w:ascii="Arial" w:hAnsi="Arial" w:cs="Arial"/>
          <w:color w:val="000000"/>
        </w:rPr>
        <w:noBreakHyphen/>
        <w:t>EL</w:t>
      </w:r>
      <w:r w:rsidRPr="00033725">
        <w:rPr>
          <w:rFonts w:ascii="Arial" w:hAnsi="Arial" w:cs="Arial"/>
          <w:color w:val="000000"/>
        </w:rPr>
        <w:noBreakHyphen/>
        <w:t>COI,</w:t>
      </w:r>
      <w:r w:rsidRPr="00033725">
        <w:rPr>
          <w:rFonts w:ascii="Arial" w:hAnsi="Arial"/>
        </w:rPr>
        <w:t xml:space="preserve"> </w:t>
      </w:r>
      <w:r w:rsidRPr="00033725">
        <w:rPr>
          <w:rFonts w:ascii="Arial" w:hAnsi="Arial"/>
          <w:i/>
        </w:rPr>
        <w:t>et al</w:t>
      </w:r>
      <w:r w:rsidRPr="00033725">
        <w:rPr>
          <w:rFonts w:ascii="Arial" w:hAnsi="Arial"/>
        </w:rPr>
        <w:t xml:space="preserve">. </w:t>
      </w:r>
    </w:p>
    <w:p w:rsidR="00033725" w:rsidRPr="00033725" w:rsidRDefault="00033725" w:rsidP="00033725">
      <w:pPr>
        <w:spacing w:after="180"/>
        <w:jc w:val="both"/>
        <w:rPr>
          <w:rFonts w:ascii="Arial" w:hAnsi="Arial"/>
        </w:rPr>
      </w:pPr>
      <w:r w:rsidRPr="00033725">
        <w:rPr>
          <w:rFonts w:ascii="Arial" w:hAnsi="Arial"/>
          <w:i/>
        </w:rPr>
        <w:t>In the Matter of the Application of Columbus Southern Power Company to Adjust its Power Acquisition Rider Pursuant to Its Post-Market Development Period Rate Stabilization Plan</w:t>
      </w:r>
      <w:r w:rsidRPr="00033725">
        <w:rPr>
          <w:rFonts w:ascii="Arial" w:hAnsi="Arial"/>
        </w:rPr>
        <w:t>, Case No. 07</w:t>
      </w:r>
      <w:r w:rsidRPr="00033725">
        <w:rPr>
          <w:rFonts w:ascii="Arial" w:hAnsi="Arial"/>
        </w:rPr>
        <w:noBreakHyphen/>
        <w:t>333</w:t>
      </w:r>
      <w:r w:rsidRPr="00033725">
        <w:rPr>
          <w:rFonts w:ascii="Arial" w:hAnsi="Arial"/>
        </w:rPr>
        <w:noBreakHyphen/>
        <w:t>EL</w:t>
      </w:r>
      <w:r w:rsidRPr="00033725">
        <w:rPr>
          <w:rFonts w:ascii="Arial" w:hAnsi="Arial"/>
        </w:rPr>
        <w:noBreakHyphen/>
        <w:t xml:space="preserve">UNC </w:t>
      </w:r>
    </w:p>
    <w:p w:rsidR="00033725" w:rsidRPr="00033725" w:rsidRDefault="00033725" w:rsidP="00033725">
      <w:pPr>
        <w:spacing w:after="180"/>
        <w:jc w:val="both"/>
        <w:rPr>
          <w:rFonts w:ascii="Arial" w:hAnsi="Arial"/>
        </w:rPr>
      </w:pPr>
      <w:r w:rsidRPr="00033725">
        <w:rPr>
          <w:rFonts w:ascii="Arial" w:hAnsi="Arial"/>
          <w:i/>
        </w:rPr>
        <w:t>In the Matter of the Application of Ohio Edison Company, The Cleveland Electric Illuminating Company and The Toledo Edison Company for Authority to Increase Rates for Distribution Service, Modify Certain Accounting Practices and for Tariff Approvals</w:t>
      </w:r>
      <w:r w:rsidRPr="00033725">
        <w:rPr>
          <w:rFonts w:ascii="Arial" w:hAnsi="Arial"/>
        </w:rPr>
        <w:t>, Case Nos. 07</w:t>
      </w:r>
      <w:r w:rsidRPr="00033725">
        <w:rPr>
          <w:rFonts w:ascii="Arial" w:hAnsi="Arial"/>
        </w:rPr>
        <w:noBreakHyphen/>
        <w:t>551</w:t>
      </w:r>
      <w:r w:rsidRPr="00033725">
        <w:rPr>
          <w:rFonts w:ascii="Arial" w:hAnsi="Arial"/>
        </w:rPr>
        <w:noBreakHyphen/>
        <w:t>EL</w:t>
      </w:r>
      <w:r w:rsidRPr="00033725">
        <w:rPr>
          <w:rFonts w:ascii="Arial" w:hAnsi="Arial"/>
        </w:rPr>
        <w:noBreakHyphen/>
        <w:t xml:space="preserve">AIR, </w:t>
      </w:r>
      <w:r w:rsidRPr="00033725">
        <w:rPr>
          <w:rFonts w:ascii="Arial" w:hAnsi="Arial"/>
          <w:i/>
        </w:rPr>
        <w:t>et al</w:t>
      </w:r>
      <w:r w:rsidRPr="00033725">
        <w:rPr>
          <w:rFonts w:ascii="Arial" w:hAnsi="Arial"/>
        </w:rPr>
        <w:t xml:space="preserve">. </w:t>
      </w:r>
    </w:p>
    <w:p w:rsidR="00033725" w:rsidRPr="00033725" w:rsidRDefault="00033725" w:rsidP="00033725">
      <w:pPr>
        <w:spacing w:after="180"/>
        <w:jc w:val="both"/>
        <w:rPr>
          <w:rFonts w:ascii="Arial" w:hAnsi="Arial"/>
          <w:i/>
        </w:rPr>
      </w:pPr>
      <w:r w:rsidRPr="00033725">
        <w:rPr>
          <w:rFonts w:ascii="Arial" w:hAnsi="Arial"/>
          <w:i/>
        </w:rPr>
        <w:t>In the Matter of the Application of Columbus Southern Power Company for Approval of its Electric Security Plan; an Amendment to its Corporate Separation Plan, and the Sale or Transfer of Certain Generating Assets</w:t>
      </w:r>
      <w:r w:rsidRPr="00033725">
        <w:rPr>
          <w:rFonts w:ascii="Arial" w:hAnsi="Arial"/>
        </w:rPr>
        <w:t xml:space="preserve">, Case Nos. 08-917-EL-SSO, </w:t>
      </w:r>
      <w:r w:rsidRPr="00033725">
        <w:rPr>
          <w:rFonts w:ascii="Arial" w:hAnsi="Arial"/>
          <w:i/>
        </w:rPr>
        <w:t xml:space="preserve">et al., </w:t>
      </w:r>
      <w:r w:rsidRPr="00033725">
        <w:rPr>
          <w:rFonts w:ascii="Arial" w:hAnsi="Arial"/>
        </w:rPr>
        <w:t xml:space="preserve">including the remand phase of this proceeding </w:t>
      </w:r>
    </w:p>
    <w:p w:rsidR="00033725" w:rsidRPr="00033725" w:rsidRDefault="00033725" w:rsidP="00033725">
      <w:pPr>
        <w:spacing w:after="180"/>
        <w:jc w:val="both"/>
        <w:rPr>
          <w:rFonts w:ascii="Arial" w:hAnsi="Arial"/>
        </w:rPr>
      </w:pPr>
      <w:r w:rsidRPr="00033725">
        <w:rPr>
          <w:rFonts w:ascii="Arial" w:hAnsi="Arial"/>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Pr="00033725">
        <w:rPr>
          <w:rFonts w:ascii="Arial" w:hAnsi="Arial"/>
        </w:rPr>
        <w:t>, Case No. 08</w:t>
      </w:r>
      <w:r w:rsidRPr="00033725">
        <w:rPr>
          <w:rFonts w:ascii="Arial" w:hAnsi="Arial"/>
        </w:rPr>
        <w:noBreakHyphen/>
        <w:t>935</w:t>
      </w:r>
      <w:r w:rsidRPr="00033725">
        <w:rPr>
          <w:rFonts w:ascii="Arial" w:hAnsi="Arial"/>
        </w:rPr>
        <w:noBreakHyphen/>
        <w:t>EL</w:t>
      </w:r>
      <w:r w:rsidRPr="00033725">
        <w:rPr>
          <w:rFonts w:ascii="Arial" w:hAnsi="Arial"/>
        </w:rPr>
        <w:noBreakHyphen/>
        <w:t xml:space="preserve">SSO </w:t>
      </w:r>
    </w:p>
    <w:p w:rsidR="00033725" w:rsidRPr="00033725" w:rsidRDefault="00033725" w:rsidP="00033725">
      <w:pPr>
        <w:spacing w:after="180"/>
        <w:jc w:val="both"/>
        <w:rPr>
          <w:rFonts w:ascii="Arial" w:hAnsi="Arial"/>
          <w:i/>
        </w:rPr>
      </w:pPr>
      <w:r w:rsidRPr="00033725">
        <w:rPr>
          <w:rFonts w:ascii="Arial" w:hAnsi="Arial"/>
          <w:i/>
        </w:rPr>
        <w:t xml:space="preserve">In the Matter of the Application of The Dayton Power and Light Company for Approval of Its Electric Security Plan, </w:t>
      </w:r>
      <w:r w:rsidRPr="00033725">
        <w:rPr>
          <w:rFonts w:ascii="Arial" w:hAnsi="Arial"/>
        </w:rPr>
        <w:t>Case Nos. 08-1094-EL-SSO</w:t>
      </w:r>
      <w:r w:rsidRPr="00033725">
        <w:rPr>
          <w:rFonts w:ascii="Arial" w:hAnsi="Arial"/>
          <w:i/>
        </w:rPr>
        <w:t xml:space="preserve">, et al. </w:t>
      </w:r>
    </w:p>
    <w:p w:rsidR="00033725" w:rsidRPr="00033725" w:rsidRDefault="00033725" w:rsidP="00033725">
      <w:pPr>
        <w:spacing w:after="180"/>
        <w:jc w:val="both"/>
        <w:rPr>
          <w:rFonts w:ascii="Arial" w:hAnsi="Arial"/>
        </w:rPr>
      </w:pPr>
      <w:r w:rsidRPr="00033725">
        <w:rPr>
          <w:rFonts w:ascii="Arial" w:hAnsi="Arial"/>
          <w:i/>
        </w:rPr>
        <w:t>In the Matter of the Commission Review of the Capacity Charges of Ohio Power Company and Columbus Southern Power Company</w:t>
      </w:r>
      <w:r w:rsidRPr="00033725">
        <w:rPr>
          <w:rFonts w:ascii="Arial" w:hAnsi="Arial"/>
        </w:rPr>
        <w:t xml:space="preserve">, Case No. 10-2929-EL-UNC </w:t>
      </w:r>
    </w:p>
    <w:p w:rsidR="00033725" w:rsidRPr="00033725" w:rsidRDefault="00033725" w:rsidP="00033725">
      <w:pPr>
        <w:spacing w:after="180"/>
        <w:jc w:val="both"/>
        <w:rPr>
          <w:rFonts w:ascii="Arial" w:hAnsi="Arial"/>
        </w:rPr>
      </w:pPr>
    </w:p>
    <w:p w:rsidR="00033725" w:rsidRPr="00033725" w:rsidRDefault="00033725" w:rsidP="00033725">
      <w:pPr>
        <w:spacing w:after="180"/>
        <w:jc w:val="both"/>
        <w:rPr>
          <w:rFonts w:ascii="Arial" w:hAnsi="Arial"/>
        </w:rPr>
      </w:pPr>
    </w:p>
    <w:p w:rsidR="00033725" w:rsidRPr="00033725" w:rsidRDefault="00033725" w:rsidP="00033725">
      <w:pPr>
        <w:spacing w:after="180"/>
        <w:jc w:val="both"/>
        <w:rPr>
          <w:rFonts w:ascii="Arial" w:hAnsi="Arial"/>
          <w:i/>
        </w:rPr>
      </w:pPr>
    </w:p>
    <w:p w:rsidR="00033725" w:rsidRPr="00033725" w:rsidRDefault="00033725" w:rsidP="00033725">
      <w:pPr>
        <w:jc w:val="right"/>
        <w:rPr>
          <w:rFonts w:ascii="Arial" w:hAnsi="Arial"/>
          <w:b/>
          <w:sz w:val="26"/>
          <w:szCs w:val="26"/>
        </w:rPr>
      </w:pPr>
      <w:r w:rsidRPr="00033725">
        <w:rPr>
          <w:rFonts w:ascii="Arial" w:hAnsi="Arial"/>
          <w:b/>
          <w:sz w:val="26"/>
          <w:szCs w:val="26"/>
        </w:rPr>
        <w:t>Exhibit JGB-1</w:t>
      </w:r>
    </w:p>
    <w:p w:rsidR="00033725" w:rsidRPr="00033725" w:rsidRDefault="00033725" w:rsidP="00033725">
      <w:pPr>
        <w:jc w:val="right"/>
        <w:rPr>
          <w:rFonts w:ascii="Arial" w:hAnsi="Arial"/>
          <w:b/>
          <w:smallCaps/>
          <w:sz w:val="26"/>
          <w:szCs w:val="26"/>
        </w:rPr>
      </w:pPr>
      <w:r w:rsidRPr="00033725">
        <w:rPr>
          <w:rFonts w:ascii="Arial" w:hAnsi="Arial"/>
          <w:b/>
          <w:smallCaps/>
          <w:sz w:val="26"/>
          <w:szCs w:val="26"/>
        </w:rPr>
        <w:t>Page 2 of 2</w:t>
      </w:r>
    </w:p>
    <w:p w:rsidR="00033725" w:rsidRPr="00033725" w:rsidRDefault="00033725" w:rsidP="00033725">
      <w:pPr>
        <w:jc w:val="right"/>
        <w:rPr>
          <w:rFonts w:ascii="Arial" w:hAnsi="Arial"/>
          <w:b/>
          <w:smallCaps/>
          <w:sz w:val="26"/>
          <w:szCs w:val="26"/>
        </w:rPr>
      </w:pPr>
    </w:p>
    <w:p w:rsidR="00033725" w:rsidRPr="00033725" w:rsidRDefault="00033725" w:rsidP="00033725">
      <w:pPr>
        <w:spacing w:after="180"/>
        <w:jc w:val="both"/>
        <w:rPr>
          <w:rFonts w:ascii="Arial" w:eastAsia="Calibri" w:hAnsi="Arial" w:cs="Arial"/>
          <w:i/>
        </w:rPr>
      </w:pPr>
      <w:r w:rsidRPr="00033725">
        <w:rPr>
          <w:rFonts w:ascii="Arial" w:hAnsi="Arial"/>
          <w:i/>
        </w:rPr>
        <w:t xml:space="preserve">In the Matter of the Application of </w:t>
      </w:r>
      <w:r w:rsidRPr="00033725">
        <w:rPr>
          <w:rFonts w:ascii="Arial" w:eastAsia="Calibri" w:hAnsi="Arial" w:cs="Arial"/>
          <w:i/>
        </w:rPr>
        <w:t>Columbus</w:t>
      </w:r>
      <w:r w:rsidRPr="00033725">
        <w:rPr>
          <w:rFonts w:ascii="Arial" w:eastAsia="Calibri" w:hAnsi="Arial" w:cs="Arial"/>
        </w:rPr>
        <w:t xml:space="preserve"> </w:t>
      </w:r>
      <w:r w:rsidRPr="00033725">
        <w:rPr>
          <w:rFonts w:ascii="Arial" w:eastAsia="Calibri" w:hAnsi="Arial" w:cs="Arial"/>
          <w:i/>
        </w:rPr>
        <w:t>Southern Power Company and</w:t>
      </w:r>
      <w:r w:rsidRPr="00033725">
        <w:rPr>
          <w:rFonts w:ascii="Arial" w:hAnsi="Arial"/>
          <w:i/>
        </w:rPr>
        <w:t xml:space="preserve"> </w:t>
      </w:r>
      <w:r w:rsidRPr="00033725">
        <w:rPr>
          <w:rFonts w:ascii="Arial" w:eastAsia="Calibri" w:hAnsi="Arial" w:cs="Arial"/>
          <w:i/>
        </w:rPr>
        <w:t>Ohio Power Company for Authority to</w:t>
      </w:r>
      <w:r w:rsidRPr="00033725">
        <w:rPr>
          <w:rFonts w:ascii="Arial" w:hAnsi="Arial"/>
          <w:i/>
        </w:rPr>
        <w:t xml:space="preserve"> </w:t>
      </w:r>
      <w:r w:rsidRPr="00033725">
        <w:rPr>
          <w:rFonts w:ascii="Arial" w:eastAsia="Calibri" w:hAnsi="Arial" w:cs="Arial"/>
          <w:i/>
        </w:rPr>
        <w:t>Establish a Standard Service Offer</w:t>
      </w:r>
      <w:r w:rsidRPr="00033725">
        <w:rPr>
          <w:rFonts w:ascii="Arial" w:hAnsi="Arial"/>
          <w:i/>
        </w:rPr>
        <w:t xml:space="preserve"> </w:t>
      </w:r>
      <w:r w:rsidRPr="00033725">
        <w:rPr>
          <w:rFonts w:ascii="Arial" w:eastAsia="Calibri" w:hAnsi="Arial" w:cs="Arial"/>
          <w:i/>
        </w:rPr>
        <w:t>Pursuant to §4928.143, Ohio Rev. Code, in the Form of an Electric Security Plan</w:t>
      </w:r>
      <w:r w:rsidRPr="00033725">
        <w:rPr>
          <w:rFonts w:ascii="Arial" w:eastAsia="Calibri" w:hAnsi="Arial" w:cs="Arial"/>
        </w:rPr>
        <w:t xml:space="preserve">, Case Nos. 11-346-EL-SSO, </w:t>
      </w:r>
      <w:r w:rsidRPr="00033725">
        <w:rPr>
          <w:rFonts w:ascii="Arial" w:eastAsia="Calibri" w:hAnsi="Arial" w:cs="Arial"/>
          <w:i/>
        </w:rPr>
        <w:t>et al.</w:t>
      </w:r>
    </w:p>
    <w:p w:rsidR="00033725" w:rsidRPr="00033725" w:rsidRDefault="00033725" w:rsidP="00033725">
      <w:pPr>
        <w:rPr>
          <w:rFonts w:ascii="Arial" w:hAnsi="Arial"/>
        </w:rPr>
      </w:pPr>
      <w:r w:rsidRPr="00033725">
        <w:rPr>
          <w:rFonts w:ascii="Arial" w:hAnsi="Arial"/>
          <w:i/>
        </w:rPr>
        <w:t>In the Matter of the Application of Akron Thermal, Limited Partnership for an Emergency Increase in its Rates And Charges for Steam and Hot Water Service</w:t>
      </w:r>
      <w:r w:rsidRPr="00033725">
        <w:rPr>
          <w:rFonts w:ascii="Arial" w:hAnsi="Arial"/>
        </w:rPr>
        <w:t xml:space="preserve">, Case Nos. 09-453-HT-AEM, </w:t>
      </w:r>
      <w:r w:rsidRPr="00033725">
        <w:rPr>
          <w:rFonts w:ascii="Arial" w:hAnsi="Arial"/>
          <w:i/>
        </w:rPr>
        <w:t>et al.</w:t>
      </w:r>
      <w:r w:rsidRPr="00033725">
        <w:rPr>
          <w:rFonts w:ascii="Arial" w:hAnsi="Arial"/>
        </w:rPr>
        <w:tab/>
      </w:r>
    </w:p>
    <w:p w:rsidR="00033725" w:rsidRPr="00033725" w:rsidRDefault="00033725" w:rsidP="00033725">
      <w:pPr>
        <w:rPr>
          <w:rFonts w:ascii="Arial" w:hAnsi="Arial"/>
        </w:rPr>
      </w:pPr>
    </w:p>
    <w:p w:rsidR="00033725" w:rsidRPr="00033725" w:rsidRDefault="00033725" w:rsidP="00033725">
      <w:pPr>
        <w:rPr>
          <w:rFonts w:ascii="Arial" w:hAnsi="Arial"/>
        </w:rPr>
      </w:pPr>
      <w:r w:rsidRPr="00033725">
        <w:rPr>
          <w:rFonts w:ascii="Arial" w:hAnsi="Arial"/>
          <w:i/>
        </w:rPr>
        <w:t>In the Matter of the Application of The Dayton Power and Light Company to Establish a Standard Service Offer in the Form of an Electric Security Plan</w:t>
      </w:r>
      <w:r w:rsidRPr="00033725">
        <w:rPr>
          <w:rFonts w:ascii="Arial" w:hAnsi="Arial"/>
        </w:rPr>
        <w:t xml:space="preserve">, Case Nos. 12-426-EL-SSO, </w:t>
      </w:r>
      <w:r w:rsidRPr="00033725">
        <w:rPr>
          <w:rFonts w:ascii="Arial" w:hAnsi="Arial"/>
          <w:i/>
        </w:rPr>
        <w:t>et al</w:t>
      </w:r>
      <w:r w:rsidRPr="00033725">
        <w:rPr>
          <w:rFonts w:ascii="Arial" w:hAnsi="Arial"/>
        </w:rPr>
        <w:t>.</w:t>
      </w:r>
    </w:p>
    <w:p w:rsidR="00CC2F99" w:rsidRPr="00F500EE" w:rsidRDefault="00CC2F99" w:rsidP="00CC2F99">
      <w:pPr>
        <w:rPr>
          <w:rFonts w:ascii="Arial" w:hAnsi="Arial" w:cs="Arial"/>
          <w:color w:val="000000" w:themeColor="text1"/>
          <w:sz w:val="22"/>
          <w:szCs w:val="22"/>
        </w:rPr>
      </w:pPr>
    </w:p>
    <w:p w:rsidR="007F0AA7" w:rsidRPr="003C665B" w:rsidRDefault="007F0AA7" w:rsidP="00CC2F99">
      <w:pPr>
        <w:tabs>
          <w:tab w:val="left" w:pos="2160"/>
          <w:tab w:val="left" w:pos="2280"/>
        </w:tabs>
        <w:jc w:val="center"/>
        <w:rPr>
          <w:rFonts w:ascii="Arial" w:eastAsia="Arial" w:hAnsi="Arial" w:cs="Arial"/>
          <w:sz w:val="22"/>
          <w:szCs w:val="22"/>
        </w:rPr>
      </w:pPr>
    </w:p>
    <w:sectPr w:rsidR="007F0AA7" w:rsidRPr="003C665B" w:rsidSect="00033725">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FE" w:rsidRDefault="002A4CFE">
      <w:pPr>
        <w:rPr>
          <w:rFonts w:ascii="Arial" w:hAnsi="Arial"/>
          <w:sz w:val="22"/>
        </w:rPr>
      </w:pPr>
      <w:r>
        <w:separator/>
      </w:r>
    </w:p>
  </w:endnote>
  <w:endnote w:type="continuationSeparator" w:id="0">
    <w:p w:rsidR="002A4CFE" w:rsidRDefault="002A4CFE">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54" w:rsidRDefault="00C1465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F16EE5" w:rsidRDefault="00B479B3">
    <w:pPr>
      <w:pStyle w:val="Footer"/>
    </w:pPr>
    <w:r w:rsidRPr="00B479B3">
      <w:rPr>
        <w:noProof/>
        <w:sz w:val="16"/>
      </w:rPr>
      <w:t>{C41776:7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D828CE" w:rsidRDefault="00B479B3">
    <w:pPr>
      <w:pStyle w:val="Footer"/>
      <w:rPr>
        <w:rFonts w:ascii="Arial" w:hAnsi="Arial" w:cs="Arial"/>
      </w:rPr>
    </w:pPr>
    <w:r w:rsidRPr="00B479B3">
      <w:rPr>
        <w:rFonts w:ascii="Arial" w:hAnsi="Arial" w:cs="Arial"/>
        <w:noProof/>
        <w:sz w:val="16"/>
      </w:rPr>
      <w:t>{C41776:7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CF67D5" w:rsidRDefault="00B479B3" w:rsidP="00780C56">
    <w:pPr>
      <w:pStyle w:val="Footer"/>
      <w:rPr>
        <w:rFonts w:ascii="Arial" w:hAnsi="Arial" w:cs="Arial"/>
      </w:rPr>
    </w:pPr>
    <w:r w:rsidRPr="00B479B3">
      <w:rPr>
        <w:rFonts w:ascii="Arial" w:hAnsi="Arial" w:cs="Arial"/>
        <w:noProof/>
        <w:sz w:val="16"/>
      </w:rPr>
      <w:t>{C41776:7 }</w:t>
    </w:r>
    <w:r w:rsidR="002A4CFE">
      <w:rPr>
        <w:rFonts w:ascii="Arial" w:hAnsi="Arial" w:cs="Arial"/>
        <w:noProof/>
        <w:sz w:val="16"/>
        <w:lang w:val="en-US"/>
      </w:rPr>
      <w:tab/>
    </w:r>
  </w:p>
  <w:p w:rsidR="002A4CFE" w:rsidRPr="00EA6E0E" w:rsidRDefault="002A4CFE">
    <w:pPr>
      <w:pStyle w:val="Footer"/>
      <w:tabs>
        <w:tab w:val="clear" w:pos="4320"/>
        <w:tab w:val="center" w:pos="468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AA6A20" w:rsidRDefault="00B479B3" w:rsidP="00AA6A20">
    <w:pPr>
      <w:pStyle w:val="Footer"/>
      <w:rPr>
        <w:rFonts w:ascii="Arial" w:hAnsi="Arial" w:cs="Arial"/>
        <w:lang w:val="en-US"/>
      </w:rPr>
    </w:pPr>
    <w:r w:rsidRPr="00B479B3">
      <w:rPr>
        <w:rFonts w:ascii="Arial" w:hAnsi="Arial" w:cs="Arial"/>
        <w:noProof/>
        <w:sz w:val="16"/>
      </w:rPr>
      <w:t>{C41776:7 }</w:t>
    </w:r>
    <w:r w:rsidR="002A4CFE">
      <w:rPr>
        <w:rFonts w:ascii="Arial" w:hAnsi="Arial" w:cs="Arial"/>
        <w:noProof/>
        <w:sz w:val="16"/>
        <w:lang w:val="en-US"/>
      </w:rPr>
      <w:tab/>
    </w:r>
  </w:p>
  <w:p w:rsidR="002A4CFE" w:rsidRPr="00CF67D5" w:rsidRDefault="002A4C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CF67D5" w:rsidRDefault="00B479B3" w:rsidP="00780C56">
    <w:pPr>
      <w:pStyle w:val="Footer"/>
      <w:rPr>
        <w:rFonts w:ascii="Arial" w:hAnsi="Arial" w:cs="Arial"/>
      </w:rPr>
    </w:pPr>
    <w:r w:rsidRPr="00B479B3">
      <w:rPr>
        <w:rFonts w:ascii="Arial" w:hAnsi="Arial" w:cs="Arial"/>
        <w:noProof/>
        <w:sz w:val="16"/>
      </w:rPr>
      <w:t>{C41776:7 }</w:t>
    </w:r>
    <w:r w:rsidR="002A4CFE">
      <w:rPr>
        <w:rFonts w:ascii="Arial" w:hAnsi="Arial" w:cs="Arial"/>
        <w:noProof/>
        <w:sz w:val="16"/>
        <w:lang w:val="en-US"/>
      </w:rPr>
      <w:tab/>
    </w:r>
  </w:p>
  <w:p w:rsidR="002A4CFE" w:rsidRPr="00EA6E0E" w:rsidRDefault="002A4CFE">
    <w:pPr>
      <w:pStyle w:val="Footer"/>
      <w:tabs>
        <w:tab w:val="clear" w:pos="4320"/>
        <w:tab w:val="center" w:pos="4680"/>
      </w:tabs>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0A6F06" w:rsidRDefault="00B479B3" w:rsidP="000A6F06">
    <w:pPr>
      <w:pStyle w:val="Footer"/>
      <w:rPr>
        <w:rFonts w:ascii="Arial" w:hAnsi="Arial" w:cs="Arial"/>
        <w:lang w:val="en-US"/>
      </w:rPr>
    </w:pPr>
    <w:r w:rsidRPr="00B479B3">
      <w:rPr>
        <w:rFonts w:ascii="Arial" w:hAnsi="Arial" w:cs="Arial"/>
        <w:noProof/>
        <w:sz w:val="16"/>
      </w:rPr>
      <w:t>{C41776:7 }</w:t>
    </w:r>
    <w:r w:rsidR="002A4CFE">
      <w:rPr>
        <w:rFonts w:ascii="Arial" w:hAnsi="Arial" w:cs="Arial"/>
        <w:noProof/>
        <w:sz w:val="16"/>
        <w:lang w:val="en-US"/>
      </w:rPr>
      <w:tab/>
    </w:r>
  </w:p>
  <w:p w:rsidR="002A4CFE" w:rsidRPr="00CF67D5" w:rsidRDefault="002A4C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CF67D5" w:rsidRDefault="00B479B3" w:rsidP="00780C56">
    <w:pPr>
      <w:pStyle w:val="Footer"/>
      <w:rPr>
        <w:rFonts w:ascii="Arial" w:hAnsi="Arial" w:cs="Arial"/>
      </w:rPr>
    </w:pPr>
    <w:r w:rsidRPr="00B479B3">
      <w:rPr>
        <w:rFonts w:ascii="Arial" w:hAnsi="Arial" w:cs="Arial"/>
        <w:noProof/>
        <w:sz w:val="16"/>
      </w:rPr>
      <w:t>{C41776:7 }</w:t>
    </w:r>
    <w:r w:rsidR="002A4CFE">
      <w:rPr>
        <w:rFonts w:ascii="Arial" w:hAnsi="Arial" w:cs="Arial"/>
        <w:noProof/>
        <w:sz w:val="16"/>
        <w:lang w:val="en-US"/>
      </w:rPr>
      <w:tab/>
    </w:r>
  </w:p>
  <w:p w:rsidR="002A4CFE" w:rsidRPr="00EA6E0E" w:rsidRDefault="002A4CFE">
    <w:pPr>
      <w:pStyle w:val="Footer"/>
      <w:tabs>
        <w:tab w:val="clear" w:pos="4320"/>
        <w:tab w:val="center" w:pos="4680"/>
      </w:tabs>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0A6F06" w:rsidRDefault="00B479B3" w:rsidP="000A6F06">
    <w:pPr>
      <w:pStyle w:val="Footer"/>
      <w:rPr>
        <w:rFonts w:ascii="Arial" w:hAnsi="Arial" w:cs="Arial"/>
        <w:lang w:val="en-US"/>
      </w:rPr>
    </w:pPr>
    <w:r w:rsidRPr="00B479B3">
      <w:rPr>
        <w:rFonts w:ascii="Arial" w:hAnsi="Arial" w:cs="Arial"/>
        <w:noProof/>
        <w:sz w:val="16"/>
      </w:rPr>
      <w:t>{C41776:7 }</w:t>
    </w:r>
    <w:r w:rsidR="002A4CFE">
      <w:rPr>
        <w:rFonts w:ascii="Arial" w:hAnsi="Arial" w:cs="Arial"/>
        <w:noProof/>
        <w:sz w:val="16"/>
        <w:lang w:val="en-US"/>
      </w:rPr>
      <w:tab/>
    </w:r>
  </w:p>
  <w:p w:rsidR="002A4CFE" w:rsidRPr="00CF67D5" w:rsidRDefault="002A4C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CF67D5" w:rsidRDefault="00B479B3" w:rsidP="00C14654">
    <w:pPr>
      <w:pStyle w:val="Footer"/>
      <w:tabs>
        <w:tab w:val="clear" w:pos="4320"/>
        <w:tab w:val="center" w:pos="4680"/>
      </w:tabs>
      <w:rPr>
        <w:rFonts w:ascii="Arial" w:hAnsi="Arial" w:cs="Arial"/>
      </w:rPr>
    </w:pPr>
    <w:r w:rsidRPr="00B479B3">
      <w:rPr>
        <w:rFonts w:ascii="Arial" w:hAnsi="Arial" w:cs="Arial"/>
        <w:noProof/>
        <w:sz w:val="16"/>
      </w:rPr>
      <w:t>{C41776:7 }</w:t>
    </w:r>
    <w:r w:rsidR="002A4CFE">
      <w:rPr>
        <w:rFonts w:ascii="Arial" w:hAnsi="Arial" w:cs="Arial"/>
        <w:noProof/>
        <w:sz w:val="16"/>
        <w:lang w:val="en-US"/>
      </w:rPr>
      <w:tab/>
    </w:r>
    <w:r w:rsidR="002A4CFE" w:rsidRPr="00CF67D5">
      <w:rPr>
        <w:rFonts w:ascii="Arial" w:hAnsi="Arial" w:cs="Arial"/>
      </w:rPr>
      <w:fldChar w:fldCharType="begin"/>
    </w:r>
    <w:r w:rsidR="002A4CFE" w:rsidRPr="00CF67D5">
      <w:rPr>
        <w:rFonts w:ascii="Arial" w:hAnsi="Arial" w:cs="Arial"/>
      </w:rPr>
      <w:instrText xml:space="preserve"> PAGE   \* MERGEFORMAT </w:instrText>
    </w:r>
    <w:r w:rsidR="002A4CFE" w:rsidRPr="00CF67D5">
      <w:rPr>
        <w:rFonts w:ascii="Arial" w:hAnsi="Arial" w:cs="Arial"/>
      </w:rPr>
      <w:fldChar w:fldCharType="separate"/>
    </w:r>
    <w:r>
      <w:rPr>
        <w:rFonts w:ascii="Arial" w:hAnsi="Arial" w:cs="Arial"/>
        <w:noProof/>
      </w:rPr>
      <w:t>15</w:t>
    </w:r>
    <w:r w:rsidR="002A4CFE" w:rsidRPr="00CF67D5">
      <w:rPr>
        <w:rFonts w:ascii="Arial" w:hAnsi="Arial" w:cs="Arial"/>
        <w:noProof/>
      </w:rPr>
      <w:fldChar w:fldCharType="end"/>
    </w:r>
  </w:p>
  <w:p w:rsidR="002A4CFE" w:rsidRPr="00CF67D5" w:rsidRDefault="002A4CFE">
    <w:pPr>
      <w:pStyle w:val="Footer"/>
      <w:tabs>
        <w:tab w:val="clear" w:pos="4320"/>
        <w:tab w:val="center" w:pos="4680"/>
      </w:tabs>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Pr="00CF67D5" w:rsidRDefault="00B479B3">
    <w:pPr>
      <w:pStyle w:val="Footer"/>
      <w:jc w:val="center"/>
      <w:rPr>
        <w:rFonts w:ascii="Arial" w:hAnsi="Arial" w:cs="Arial"/>
      </w:rPr>
    </w:pPr>
    <w:r w:rsidRPr="00B479B3">
      <w:rPr>
        <w:rFonts w:ascii="Arial" w:hAnsi="Arial" w:cs="Arial"/>
        <w:noProof/>
        <w:sz w:val="16"/>
      </w:rPr>
      <w:t>{C41776:7 }</w:t>
    </w:r>
  </w:p>
  <w:p w:rsidR="002A4CFE" w:rsidRPr="00CF67D5" w:rsidRDefault="002A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FE" w:rsidRDefault="002A4CFE">
      <w:pPr>
        <w:rPr>
          <w:rFonts w:ascii="Arial" w:hAnsi="Arial"/>
          <w:noProof/>
          <w:sz w:val="22"/>
        </w:rPr>
      </w:pPr>
      <w:r>
        <w:rPr>
          <w:noProof/>
        </w:rPr>
        <w:separator/>
      </w:r>
    </w:p>
  </w:footnote>
  <w:footnote w:type="continuationSeparator" w:id="0">
    <w:p w:rsidR="002A4CFE" w:rsidRDefault="002A4CFE">
      <w:pPr>
        <w:rPr>
          <w:rFonts w:ascii="Arial" w:hAnsi="Arial"/>
          <w:sz w:val="22"/>
        </w:rPr>
      </w:pPr>
      <w:r>
        <w:continuationSeparator/>
      </w:r>
    </w:p>
  </w:footnote>
  <w:footnote w:id="1">
    <w:p w:rsidR="002A4CFE" w:rsidRPr="00A920DC" w:rsidRDefault="002A4CFE" w:rsidP="00DF3048">
      <w:pPr>
        <w:autoSpaceDE w:val="0"/>
        <w:autoSpaceDN w:val="0"/>
        <w:adjustRightInd w:val="0"/>
        <w:spacing w:after="120"/>
        <w:jc w:val="both"/>
        <w:rPr>
          <w:rFonts w:ascii="Arial" w:hAnsi="Arial" w:cs="Arial"/>
        </w:rPr>
      </w:pPr>
      <w:r w:rsidRPr="00A920DC">
        <w:rPr>
          <w:rStyle w:val="FootnoteReference"/>
          <w:rFonts w:ascii="Arial" w:hAnsi="Arial" w:cs="Arial"/>
          <w:sz w:val="20"/>
          <w:szCs w:val="20"/>
        </w:rPr>
        <w:footnoteRef/>
      </w:r>
      <w:r w:rsidRPr="00A920DC">
        <w:rPr>
          <w:rFonts w:ascii="Arial" w:hAnsi="Arial" w:cs="Arial"/>
          <w:sz w:val="20"/>
          <w:szCs w:val="20"/>
        </w:rPr>
        <w:t xml:space="preserve"> </w:t>
      </w:r>
      <w:r w:rsidRPr="00A920DC">
        <w:rPr>
          <w:rFonts w:ascii="Arial" w:hAnsi="Arial" w:cs="Arial"/>
          <w:i/>
          <w:sz w:val="20"/>
          <w:szCs w:val="20"/>
        </w:rPr>
        <w:t>In the Matter of the Application of Columbus Southern Power Company for Approval of a Mechanism to Recover Deferred Fuel Costs Ordered Under Section 4928.144, Ohio Revised Code</w:t>
      </w:r>
      <w:r w:rsidRPr="00A920DC">
        <w:rPr>
          <w:rFonts w:ascii="Arial" w:hAnsi="Arial" w:cs="Arial"/>
          <w:sz w:val="20"/>
          <w:szCs w:val="20"/>
        </w:rPr>
        <w:t xml:space="preserve">, </w:t>
      </w:r>
      <w:r w:rsidR="00E64BBB">
        <w:rPr>
          <w:rFonts w:ascii="Arial" w:hAnsi="Arial" w:cs="Arial"/>
          <w:sz w:val="20"/>
          <w:szCs w:val="20"/>
        </w:rPr>
        <w:t>Case No</w:t>
      </w:r>
      <w:r w:rsidR="00424528">
        <w:rPr>
          <w:rFonts w:ascii="Arial" w:hAnsi="Arial" w:cs="Arial"/>
          <w:sz w:val="20"/>
          <w:szCs w:val="20"/>
        </w:rPr>
        <w:t>s</w:t>
      </w:r>
      <w:r w:rsidR="00E64BBB">
        <w:rPr>
          <w:rFonts w:ascii="Arial" w:hAnsi="Arial" w:cs="Arial"/>
          <w:sz w:val="20"/>
          <w:szCs w:val="20"/>
        </w:rPr>
        <w:t xml:space="preserve">. 11-4920-EL-RDR, </w:t>
      </w:r>
      <w:r w:rsidR="00E64BBB" w:rsidRPr="00E64BBB">
        <w:rPr>
          <w:rFonts w:ascii="Arial" w:hAnsi="Arial" w:cs="Arial"/>
          <w:i/>
          <w:sz w:val="20"/>
          <w:szCs w:val="20"/>
        </w:rPr>
        <w:t>et al.</w:t>
      </w:r>
      <w:r w:rsidRPr="00A920DC">
        <w:rPr>
          <w:rFonts w:ascii="Arial" w:hAnsi="Arial" w:cs="Arial"/>
          <w:sz w:val="20"/>
          <w:szCs w:val="20"/>
        </w:rPr>
        <w:t xml:space="preserve"> (the “</w:t>
      </w:r>
      <w:r w:rsidRPr="00A920DC">
        <w:rPr>
          <w:rFonts w:ascii="Arial" w:hAnsi="Arial" w:cs="Arial"/>
          <w:i/>
          <w:sz w:val="20"/>
          <w:szCs w:val="20"/>
        </w:rPr>
        <w:t>PIRR Case</w:t>
      </w:r>
      <w:r w:rsidRPr="00A920DC">
        <w:rPr>
          <w:rFonts w:ascii="Arial" w:hAnsi="Arial" w:cs="Arial"/>
          <w:sz w:val="20"/>
          <w:szCs w:val="20"/>
        </w:rPr>
        <w:t>”).</w:t>
      </w:r>
      <w:r w:rsidRPr="00A920DC">
        <w:rPr>
          <w:rFonts w:ascii="Arial" w:hAnsi="Arial" w:cs="Arial"/>
        </w:rPr>
        <w:t xml:space="preserve"> </w:t>
      </w:r>
    </w:p>
  </w:footnote>
  <w:footnote w:id="2">
    <w:p w:rsidR="002A4CFE" w:rsidRPr="00A920DC" w:rsidRDefault="002A4CFE" w:rsidP="00DF3048">
      <w:pPr>
        <w:pStyle w:val="FootnoteText"/>
        <w:spacing w:after="120"/>
        <w:jc w:val="both"/>
        <w:rPr>
          <w:rFonts w:ascii="Arial" w:hAnsi="Arial" w:cs="Arial"/>
        </w:rPr>
      </w:pPr>
      <w:r w:rsidRPr="00A920DC">
        <w:rPr>
          <w:rStyle w:val="FootnoteReference"/>
          <w:rFonts w:ascii="Arial" w:hAnsi="Arial" w:cs="Arial"/>
        </w:rPr>
        <w:footnoteRef/>
      </w:r>
      <w:r w:rsidRPr="00A920DC">
        <w:rPr>
          <w:rFonts w:ascii="Arial" w:hAnsi="Arial" w:cs="Arial"/>
        </w:rPr>
        <w:t xml:space="preserve"> </w:t>
      </w:r>
      <w:r w:rsidRPr="00A920DC">
        <w:rPr>
          <w:rFonts w:ascii="Arial" w:hAnsi="Arial" w:cs="Arial"/>
          <w:i/>
        </w:rPr>
        <w:t>In the Matter of the Application of Columbus Southern Power Company for Approval of an Electric Security Plan; an Amendment to its Corporate Separation Plan; and the Sale or Transfer of Certain Generating Assets</w:t>
      </w:r>
      <w:r w:rsidRPr="00A920DC">
        <w:rPr>
          <w:rFonts w:ascii="Arial" w:hAnsi="Arial" w:cs="Arial"/>
        </w:rPr>
        <w:t xml:space="preserve">, Case Nos. 08-917-EL-SSO, </w:t>
      </w:r>
      <w:r w:rsidRPr="00A920DC">
        <w:rPr>
          <w:rFonts w:ascii="Arial" w:hAnsi="Arial" w:cs="Arial"/>
          <w:i/>
        </w:rPr>
        <w:t>et al</w:t>
      </w:r>
      <w:r w:rsidR="00E64BBB">
        <w:rPr>
          <w:rFonts w:ascii="Arial" w:hAnsi="Arial" w:cs="Arial"/>
        </w:rPr>
        <w:t>.</w:t>
      </w:r>
      <w:r w:rsidRPr="00A920DC">
        <w:rPr>
          <w:rFonts w:ascii="Arial" w:hAnsi="Arial" w:cs="Arial"/>
        </w:rPr>
        <w:t xml:space="preserve"> (the “</w:t>
      </w:r>
      <w:r w:rsidRPr="00A920DC">
        <w:rPr>
          <w:rFonts w:ascii="Arial" w:hAnsi="Arial" w:cs="Arial"/>
          <w:i/>
        </w:rPr>
        <w:t>ESP I Case</w:t>
      </w:r>
      <w:r w:rsidRPr="00A920DC">
        <w:rPr>
          <w:rFonts w:ascii="Arial" w:hAnsi="Arial" w:cs="Arial"/>
        </w:rPr>
        <w:t>”).</w:t>
      </w:r>
    </w:p>
  </w:footnote>
  <w:footnote w:id="3">
    <w:p w:rsidR="002A4CFE" w:rsidRPr="00A920DC" w:rsidRDefault="002A4CFE" w:rsidP="00DF3048">
      <w:pPr>
        <w:pStyle w:val="FootnoteText"/>
        <w:spacing w:after="120"/>
        <w:jc w:val="both"/>
        <w:rPr>
          <w:rFonts w:ascii="Arial" w:hAnsi="Arial" w:cs="Arial"/>
        </w:rPr>
      </w:pPr>
      <w:r w:rsidRPr="00A920DC">
        <w:rPr>
          <w:rStyle w:val="FootnoteReference"/>
          <w:rFonts w:ascii="Arial" w:hAnsi="Arial" w:cs="Arial"/>
        </w:rPr>
        <w:footnoteRef/>
      </w:r>
      <w:r w:rsidRPr="00A920DC">
        <w:rPr>
          <w:rFonts w:ascii="Arial" w:hAnsi="Arial" w:cs="Arial"/>
        </w:rPr>
        <w:t xml:space="preserve"> </w:t>
      </w:r>
      <w:r w:rsidRPr="00A920DC">
        <w:rPr>
          <w:rFonts w:ascii="Arial" w:hAnsi="Arial" w:cs="Arial"/>
          <w:i/>
        </w:rPr>
        <w:t>In the Matter of the Fuel Adjustment Clauses for Columbus Southern Power Company and Ohio Power Company</w:t>
      </w:r>
      <w:r w:rsidRPr="00A920DC">
        <w:rPr>
          <w:rFonts w:ascii="Arial" w:hAnsi="Arial" w:cs="Arial"/>
        </w:rPr>
        <w:t xml:space="preserve">, Case Nos. 09-872-EL-FAC, </w:t>
      </w:r>
      <w:r w:rsidRPr="00A920DC">
        <w:rPr>
          <w:rFonts w:ascii="Arial" w:hAnsi="Arial" w:cs="Arial"/>
          <w:i/>
        </w:rPr>
        <w:t>et al</w:t>
      </w:r>
      <w:r w:rsidR="00E64BBB">
        <w:rPr>
          <w:rFonts w:ascii="Arial" w:hAnsi="Arial" w:cs="Arial"/>
        </w:rPr>
        <w:t>.</w:t>
      </w:r>
      <w:r w:rsidRPr="00A920DC">
        <w:rPr>
          <w:rFonts w:ascii="Arial" w:hAnsi="Arial" w:cs="Arial"/>
        </w:rPr>
        <w:t xml:space="preserve"> (the “</w:t>
      </w:r>
      <w:r w:rsidRPr="00A920DC">
        <w:rPr>
          <w:rFonts w:ascii="Arial" w:hAnsi="Arial" w:cs="Arial"/>
          <w:i/>
        </w:rPr>
        <w:t>2009 FAC Case</w:t>
      </w:r>
      <w:r w:rsidRPr="00A920DC">
        <w:rPr>
          <w:rFonts w:ascii="Arial" w:hAnsi="Arial" w:cs="Arial"/>
        </w:rPr>
        <w:t>”).</w:t>
      </w:r>
    </w:p>
  </w:footnote>
  <w:footnote w:id="4">
    <w:p w:rsidR="002A4CFE" w:rsidRPr="00620E3A" w:rsidRDefault="002A4CFE" w:rsidP="003C665B">
      <w:pPr>
        <w:pStyle w:val="FootnoteText"/>
        <w:spacing w:after="120"/>
        <w:jc w:val="both"/>
        <w:rPr>
          <w:rFonts w:ascii="Arial" w:hAnsi="Arial" w:cs="Arial"/>
        </w:rPr>
      </w:pPr>
      <w:r w:rsidRPr="00620E3A">
        <w:rPr>
          <w:rStyle w:val="FootnoteReference"/>
          <w:rFonts w:ascii="Arial" w:hAnsi="Arial" w:cs="Arial"/>
        </w:rPr>
        <w:footnoteRef/>
      </w:r>
      <w:r w:rsidRPr="00620E3A">
        <w:rPr>
          <w:rFonts w:ascii="Arial" w:hAnsi="Arial" w:cs="Arial"/>
        </w:rPr>
        <w:t xml:space="preserve"> </w:t>
      </w:r>
      <w:r w:rsidRPr="003C1DE5">
        <w:rPr>
          <w:rFonts w:ascii="Arial" w:hAnsi="Arial" w:cs="Arial"/>
          <w:i/>
        </w:rPr>
        <w:t>In the Matter of the Application of Columbus Southern Power Company and Ohio Power Company for Authority to Establish a Standard Service Offer Pursuant to Section 4928.143, Revised Code, in the Form of an Electric Security Plan</w:t>
      </w:r>
      <w:r w:rsidRPr="003C1DE5">
        <w:rPr>
          <w:rFonts w:ascii="Arial" w:hAnsi="Arial" w:cs="Arial"/>
        </w:rPr>
        <w:t xml:space="preserve">, Case Nos. 11-346-EL-SSO, </w:t>
      </w:r>
      <w:r w:rsidRPr="00DF3048">
        <w:rPr>
          <w:rFonts w:ascii="Arial" w:hAnsi="Arial" w:cs="Arial"/>
          <w:i/>
        </w:rPr>
        <w:t>et al</w:t>
      </w:r>
      <w:r w:rsidRPr="003C1DE5">
        <w:rPr>
          <w:rFonts w:ascii="Arial" w:hAnsi="Arial" w:cs="Arial"/>
        </w:rPr>
        <w:t>.,</w:t>
      </w:r>
      <w:r>
        <w:rPr>
          <w:rFonts w:ascii="Arial" w:hAnsi="Arial" w:cs="Arial"/>
          <w:i/>
        </w:rPr>
        <w:t xml:space="preserve"> </w:t>
      </w:r>
      <w:r w:rsidRPr="00620E3A">
        <w:rPr>
          <w:rFonts w:ascii="Arial" w:hAnsi="Arial" w:cs="Arial"/>
        </w:rPr>
        <w:t xml:space="preserve">Staff Ex. 109 at 8 </w:t>
      </w:r>
      <w:r w:rsidRPr="003C1DE5">
        <w:rPr>
          <w:rFonts w:ascii="Arial" w:hAnsi="Arial" w:cs="Arial"/>
        </w:rPr>
        <w:t>(the “</w:t>
      </w:r>
      <w:r w:rsidRPr="003C1DE5">
        <w:rPr>
          <w:rFonts w:ascii="Arial" w:hAnsi="Arial" w:cs="Arial"/>
          <w:i/>
        </w:rPr>
        <w:t>ESP II Case</w:t>
      </w:r>
      <w:r w:rsidRPr="003C1DE5">
        <w:rPr>
          <w:rFonts w:ascii="Arial" w:hAnsi="Arial" w:cs="Arial"/>
        </w:rPr>
        <w:t>”)</w:t>
      </w:r>
      <w:r w:rsidRPr="0024243F">
        <w:rPr>
          <w:rFonts w:ascii="Arial" w:hAnsi="Arial" w:cs="Arial"/>
          <w:i/>
        </w:rPr>
        <w:t xml:space="preserve"> </w:t>
      </w:r>
      <w:r w:rsidRPr="00620E3A">
        <w:rPr>
          <w:rFonts w:ascii="Arial" w:hAnsi="Arial" w:cs="Arial"/>
        </w:rPr>
        <w:t>(stating, “The other critically important issues regarding PIRR mechanics should move forward on their own merits in Case Nos. 11-4920-EL-RDR</w:t>
      </w:r>
      <w:r>
        <w:rPr>
          <w:rFonts w:ascii="Arial" w:hAnsi="Arial" w:cs="Arial"/>
        </w:rPr>
        <w:t xml:space="preserve"> and</w:t>
      </w:r>
      <w:r w:rsidRPr="00620E3A">
        <w:rPr>
          <w:rFonts w:ascii="Arial" w:hAnsi="Arial" w:cs="Arial"/>
        </w:rPr>
        <w:t xml:space="preserve"> 11-4921-EL-RDR.  Items of note filed in Staff Comments on April 2, 2012 include the following . . .  [t]he ending fuel deferral balance at the end of December 2011 should be reduced for Accumulated Deferred Income Taxes (ADIT) in the calculation of carrying costs for Rider PIRR.”) (</w:t>
      </w:r>
      <w:r w:rsidR="00FE2314">
        <w:rPr>
          <w:rFonts w:ascii="Arial" w:hAnsi="Arial" w:cs="Arial"/>
        </w:rPr>
        <w:t xml:space="preserve">found at </w:t>
      </w:r>
      <w:r w:rsidR="00FE2314" w:rsidRPr="00FE2314">
        <w:rPr>
          <w:rFonts w:ascii="Arial" w:hAnsi="Arial" w:cs="Arial"/>
        </w:rPr>
        <w:t>http://dis.puc.state.oh.us/TiffToPDf/A1001001A12E09B72620C21781.pdf</w:t>
      </w:r>
      <w:r w:rsidRPr="00620E3A">
        <w:rPr>
          <w:rFonts w:ascii="Arial" w:hAnsi="Arial" w:cs="Arial"/>
        </w:rPr>
        <w:t>).</w:t>
      </w:r>
    </w:p>
  </w:footnote>
  <w:footnote w:id="5">
    <w:p w:rsidR="002A4CFE" w:rsidRPr="00620E3A" w:rsidRDefault="002A4CFE" w:rsidP="003C665B">
      <w:pPr>
        <w:pStyle w:val="FootnoteText"/>
        <w:spacing w:after="120"/>
        <w:jc w:val="both"/>
        <w:rPr>
          <w:rFonts w:ascii="Arial" w:hAnsi="Arial" w:cs="Arial"/>
        </w:rPr>
      </w:pPr>
      <w:r w:rsidRPr="00620E3A">
        <w:rPr>
          <w:rStyle w:val="FootnoteReference"/>
          <w:rFonts w:ascii="Arial" w:hAnsi="Arial" w:cs="Arial"/>
        </w:rPr>
        <w:footnoteRef/>
      </w:r>
      <w:r w:rsidRPr="00620E3A">
        <w:rPr>
          <w:rFonts w:ascii="Arial" w:hAnsi="Arial" w:cs="Arial"/>
        </w:rPr>
        <w:t xml:space="preserve"> </w:t>
      </w:r>
      <w:r w:rsidRPr="00620E3A">
        <w:rPr>
          <w:rFonts w:ascii="Arial" w:hAnsi="Arial" w:cs="Arial"/>
          <w:i/>
        </w:rPr>
        <w:t>ESP II</w:t>
      </w:r>
      <w:r>
        <w:rPr>
          <w:rFonts w:ascii="Arial" w:hAnsi="Arial" w:cs="Arial"/>
          <w:i/>
        </w:rPr>
        <w:t xml:space="preserve"> Case</w:t>
      </w:r>
      <w:r w:rsidRPr="00620E3A">
        <w:rPr>
          <w:rFonts w:ascii="Arial" w:hAnsi="Arial" w:cs="Arial"/>
        </w:rPr>
        <w:t>, Opinion and Order at 47</w:t>
      </w:r>
      <w:r>
        <w:rPr>
          <w:rFonts w:ascii="Arial" w:hAnsi="Arial" w:cs="Arial"/>
        </w:rPr>
        <w:t xml:space="preserve"> (Aug. 8, 2012)</w:t>
      </w:r>
      <w:r w:rsidRPr="00620E3A">
        <w:rPr>
          <w:rFonts w:ascii="Arial" w:hAnsi="Arial" w:cs="Arial"/>
        </w:rPr>
        <w:t>.</w:t>
      </w:r>
    </w:p>
  </w:footnote>
  <w:footnote w:id="6">
    <w:p w:rsidR="002A4CFE" w:rsidRPr="00620E3A" w:rsidRDefault="002A4CFE" w:rsidP="003C665B">
      <w:pPr>
        <w:pStyle w:val="FootnoteText"/>
        <w:spacing w:after="120"/>
        <w:jc w:val="both"/>
        <w:rPr>
          <w:rFonts w:ascii="Arial" w:hAnsi="Arial" w:cs="Arial"/>
        </w:rPr>
      </w:pPr>
      <w:r w:rsidRPr="00620E3A">
        <w:rPr>
          <w:rStyle w:val="FootnoteReference"/>
          <w:rFonts w:ascii="Arial" w:hAnsi="Arial" w:cs="Arial"/>
        </w:rPr>
        <w:footnoteRef/>
      </w:r>
      <w:r w:rsidRPr="00620E3A">
        <w:rPr>
          <w:rFonts w:ascii="Arial" w:hAnsi="Arial" w:cs="Arial"/>
        </w:rPr>
        <w:t xml:space="preserve"> </w:t>
      </w:r>
      <w:r w:rsidRPr="00620E3A">
        <w:rPr>
          <w:rFonts w:ascii="Arial" w:hAnsi="Arial" w:cs="Arial"/>
          <w:i/>
          <w:iCs/>
        </w:rPr>
        <w:t>Cincinnati v. Public Utilities Comm.</w:t>
      </w:r>
      <w:r w:rsidRPr="00620E3A">
        <w:rPr>
          <w:rFonts w:ascii="Arial" w:hAnsi="Arial" w:cs="Arial"/>
        </w:rPr>
        <w:t xml:space="preserve">, 161 Ohio St. 395, 405-06 (1954); </w:t>
      </w:r>
      <w:r w:rsidRPr="00620E3A">
        <w:rPr>
          <w:rFonts w:ascii="Arial" w:hAnsi="Arial" w:cs="Arial"/>
          <w:i/>
        </w:rPr>
        <w:t>Ohio Bell Telephone Co. v. Public Utilities Comm.</w:t>
      </w:r>
      <w:r w:rsidRPr="00620E3A">
        <w:rPr>
          <w:rFonts w:ascii="Arial" w:hAnsi="Arial" w:cs="Arial"/>
        </w:rPr>
        <w:t xml:space="preserve">, 68 Ohio St. 2d 193, 194 (1981); </w:t>
      </w:r>
      <w:r w:rsidRPr="00620E3A">
        <w:rPr>
          <w:rFonts w:ascii="Arial" w:hAnsi="Arial" w:cs="Arial"/>
          <w:i/>
        </w:rPr>
        <w:t>Cleveland Electric Illuminating Company v. Public Utilities Comm.</w:t>
      </w:r>
      <w:r w:rsidRPr="00620E3A">
        <w:rPr>
          <w:rFonts w:ascii="Arial" w:hAnsi="Arial" w:cs="Arial"/>
        </w:rPr>
        <w:t>, 1</w:t>
      </w:r>
      <w:r w:rsidR="00E64BBB">
        <w:rPr>
          <w:rFonts w:ascii="Arial" w:hAnsi="Arial" w:cs="Arial"/>
        </w:rPr>
        <w:t>2 Ohio St. 2d 320, 323 (1984) (d</w:t>
      </w:r>
      <w:r w:rsidRPr="00620E3A">
        <w:rPr>
          <w:rFonts w:ascii="Arial" w:hAnsi="Arial" w:cs="Arial"/>
        </w:rPr>
        <w:t>etermining that the Commission’s order is consistent with the principle that tax benefits must be flow</w:t>
      </w:r>
      <w:r>
        <w:rPr>
          <w:rFonts w:ascii="Arial" w:hAnsi="Arial" w:cs="Arial"/>
        </w:rPr>
        <w:t>ed</w:t>
      </w:r>
      <w:r w:rsidRPr="00620E3A">
        <w:rPr>
          <w:rFonts w:ascii="Arial" w:hAnsi="Arial" w:cs="Arial"/>
        </w:rPr>
        <w:t>-through to customers).</w:t>
      </w:r>
    </w:p>
  </w:footnote>
  <w:footnote w:id="7">
    <w:p w:rsidR="00BF1443" w:rsidRDefault="002A4CFE" w:rsidP="00BF1443">
      <w:pPr>
        <w:pStyle w:val="FootnoteText"/>
        <w:jc w:val="both"/>
        <w:rPr>
          <w:rFonts w:ascii="Arial" w:hAnsi="Arial" w:cs="Arial"/>
        </w:rPr>
      </w:pPr>
      <w:r w:rsidRPr="00620E3A">
        <w:rPr>
          <w:rStyle w:val="FootnoteReference"/>
          <w:rFonts w:ascii="Arial" w:hAnsi="Arial" w:cs="Arial"/>
        </w:rPr>
        <w:footnoteRef/>
      </w:r>
      <w:r w:rsidR="00CA79CC">
        <w:rPr>
          <w:rFonts w:ascii="Arial" w:hAnsi="Arial" w:cs="Arial"/>
        </w:rPr>
        <w:t xml:space="preserve"> Thomas Mitchell, Managing Director of Regulatory Accounting Services of American Electric Power Service Corporation, </w:t>
      </w:r>
      <w:r w:rsidRPr="00620E3A">
        <w:rPr>
          <w:rFonts w:ascii="Arial" w:hAnsi="Arial" w:cs="Arial"/>
        </w:rPr>
        <w:t>has testified in</w:t>
      </w:r>
      <w:r w:rsidR="00F57866">
        <w:rPr>
          <w:rFonts w:ascii="Arial" w:hAnsi="Arial" w:cs="Arial"/>
        </w:rPr>
        <w:t xml:space="preserve"> a state</w:t>
      </w:r>
      <w:r w:rsidRPr="00620E3A">
        <w:rPr>
          <w:rFonts w:ascii="Arial" w:hAnsi="Arial" w:cs="Arial"/>
        </w:rPr>
        <w:t xml:space="preserve"> that utilize</w:t>
      </w:r>
      <w:r w:rsidR="00E64BBB">
        <w:rPr>
          <w:rFonts w:ascii="Arial" w:hAnsi="Arial" w:cs="Arial"/>
        </w:rPr>
        <w:t>s</w:t>
      </w:r>
      <w:r w:rsidRPr="00620E3A">
        <w:rPr>
          <w:rFonts w:ascii="Arial" w:hAnsi="Arial" w:cs="Arial"/>
        </w:rPr>
        <w:t xml:space="preserve"> traditional cost of service ratemaking that it would be appropriate to calculate carrying charges on a deferred balance adjusted for ADIT.</w:t>
      </w:r>
      <w:r w:rsidR="00CA79CC">
        <w:rPr>
          <w:rFonts w:ascii="Arial" w:hAnsi="Arial" w:cs="Arial"/>
        </w:rPr>
        <w:t xml:space="preserve">  Rebuttal Testimony of Thomas E. Mitchell on Behalf of Appalachian Power Company and Wheeling Power Company Before the Public Service Commission of West Virginia in Case No. 09-0177-E-GI</w:t>
      </w:r>
      <w:r w:rsidR="003D0B6D">
        <w:rPr>
          <w:rFonts w:ascii="Arial" w:hAnsi="Arial" w:cs="Arial"/>
        </w:rPr>
        <w:t xml:space="preserve"> at 6-8</w:t>
      </w:r>
      <w:r w:rsidRPr="00620E3A">
        <w:rPr>
          <w:rFonts w:ascii="Arial" w:hAnsi="Arial" w:cs="Arial"/>
        </w:rPr>
        <w:t xml:space="preserve"> </w:t>
      </w:r>
      <w:r w:rsidR="004E3041">
        <w:rPr>
          <w:rFonts w:ascii="Arial" w:hAnsi="Arial" w:cs="Arial"/>
        </w:rPr>
        <w:t>(Jun. 5, 2009)</w:t>
      </w:r>
      <w:r w:rsidRPr="00620E3A">
        <w:rPr>
          <w:rFonts w:ascii="Arial" w:hAnsi="Arial" w:cs="Arial"/>
        </w:rPr>
        <w:t xml:space="preserve"> </w:t>
      </w:r>
      <w:r w:rsidR="003D0B6D">
        <w:rPr>
          <w:rFonts w:ascii="Arial" w:hAnsi="Arial" w:cs="Arial"/>
        </w:rPr>
        <w:t>(found at</w:t>
      </w:r>
      <w:r w:rsidR="00BF1443">
        <w:rPr>
          <w:rFonts w:ascii="Arial" w:hAnsi="Arial" w:cs="Arial"/>
        </w:rPr>
        <w:t>:</w:t>
      </w:r>
    </w:p>
    <w:p w:rsidR="002A4CFE" w:rsidRPr="00620E3A" w:rsidRDefault="00B479B3" w:rsidP="003C665B">
      <w:pPr>
        <w:pStyle w:val="FootnoteText"/>
        <w:spacing w:after="120"/>
        <w:jc w:val="both"/>
        <w:rPr>
          <w:rFonts w:ascii="Arial" w:hAnsi="Arial" w:cs="Arial"/>
        </w:rPr>
      </w:pPr>
      <w:hyperlink r:id="rId1" w:history="1">
        <w:r w:rsidR="003D0B6D" w:rsidRPr="003D0B6D">
          <w:rPr>
            <w:rStyle w:val="Hyperlink"/>
            <w:rFonts w:ascii="Arial" w:hAnsi="Arial" w:cs="Arial"/>
            <w:color w:val="auto"/>
            <w:u w:val="none"/>
          </w:rPr>
          <w:t>http://www.psc.state.wv.us/scripts/WebDocket/ViewDocument.cfm?CaseActivityID=269707</w:t>
        </w:r>
      </w:hyperlink>
      <w:r w:rsidR="003D0B6D">
        <w:rPr>
          <w:rFonts w:ascii="Arial" w:hAnsi="Arial" w:cs="Arial"/>
        </w:rPr>
        <w:t>) (Attached as Exhibit JGB-2)</w:t>
      </w:r>
      <w:r w:rsidR="002A4CFE" w:rsidRPr="00620E3A">
        <w:rPr>
          <w:rFonts w:ascii="Arial" w:hAnsi="Arial" w:cs="Arial"/>
        </w:rPr>
        <w:t>.</w:t>
      </w:r>
    </w:p>
  </w:footnote>
  <w:footnote w:id="8">
    <w:p w:rsidR="002A4CFE" w:rsidRDefault="002A4CFE" w:rsidP="00DF3048">
      <w:pPr>
        <w:pStyle w:val="FootnoteText"/>
        <w:jc w:val="both"/>
      </w:pPr>
      <w:r>
        <w:rPr>
          <w:rStyle w:val="FootnoteReference"/>
        </w:rPr>
        <w:footnoteRef/>
      </w:r>
      <w:r>
        <w:t xml:space="preserve"> </w:t>
      </w:r>
      <w:r w:rsidRPr="00A920DC">
        <w:rPr>
          <w:rFonts w:ascii="Arial" w:hAnsi="Arial" w:cs="Arial"/>
          <w:i/>
        </w:rPr>
        <w:t>ESP II Case</w:t>
      </w:r>
      <w:r w:rsidRPr="00A920DC">
        <w:rPr>
          <w:rFonts w:ascii="Arial" w:hAnsi="Arial" w:cs="Arial"/>
        </w:rPr>
        <w:t>, Opinion and Order at 47 (Aug. 8, 2012).</w:t>
      </w:r>
    </w:p>
  </w:footnote>
  <w:footnote w:id="9">
    <w:p w:rsidR="002A4CFE" w:rsidRDefault="002A4CFE" w:rsidP="00DF3048">
      <w:pPr>
        <w:pStyle w:val="FootnoteText"/>
        <w:jc w:val="both"/>
      </w:pPr>
      <w:r>
        <w:rPr>
          <w:rStyle w:val="FootnoteReference"/>
        </w:rPr>
        <w:footnoteRef/>
      </w:r>
      <w:r>
        <w:t xml:space="preserve"> </w:t>
      </w:r>
      <w:r w:rsidRPr="00A920DC">
        <w:rPr>
          <w:rFonts w:ascii="Arial" w:hAnsi="Arial" w:cs="Arial"/>
          <w:i/>
        </w:rPr>
        <w:t>In the Matter of the Application the Fuel Adjustment Clauses for Columbus Southern Power Company and Ohio Power Company and Related Matters</w:t>
      </w:r>
      <w:r w:rsidRPr="00A920DC">
        <w:rPr>
          <w:rFonts w:ascii="Arial" w:hAnsi="Arial" w:cs="Arial"/>
        </w:rPr>
        <w:t>, Case No. 11-281-EL-FAC, Report of the Management/Performance and Financial Audits of the FAC of the Columbus Southern Power Company and the Ohio Power Company, Financial Audit Recommendations 5 and 6 at 1-</w:t>
      </w:r>
      <w:r w:rsidR="000501D4">
        <w:rPr>
          <w:rFonts w:ascii="Arial" w:hAnsi="Arial" w:cs="Arial"/>
        </w:rPr>
        <w:t>9</w:t>
      </w:r>
      <w:r w:rsidRPr="00A920DC">
        <w:rPr>
          <w:rFonts w:ascii="Arial" w:hAnsi="Arial" w:cs="Arial"/>
        </w:rPr>
        <w:t xml:space="preserve"> and 1-</w:t>
      </w:r>
      <w:r w:rsidR="000501D4">
        <w:rPr>
          <w:rFonts w:ascii="Arial" w:hAnsi="Arial" w:cs="Arial"/>
        </w:rPr>
        <w:t>10</w:t>
      </w:r>
      <w:r w:rsidRPr="00A920DC">
        <w:rPr>
          <w:rFonts w:ascii="Arial" w:hAnsi="Arial" w:cs="Arial"/>
        </w:rPr>
        <w:t xml:space="preserve"> (May 24, 2012</w:t>
      </w:r>
      <w:r w:rsidR="000501D4">
        <w:rPr>
          <w:rFonts w:ascii="Arial" w:hAnsi="Arial" w:cs="Arial"/>
        </w:rPr>
        <w:t>)</w:t>
      </w:r>
      <w:r w:rsidR="009B3F4D">
        <w:rPr>
          <w:rFonts w:ascii="Arial" w:hAnsi="Arial" w:cs="Arial"/>
        </w:rPr>
        <w:t>;</w:t>
      </w:r>
      <w:r w:rsidR="009B3F4D" w:rsidRPr="009B3F4D">
        <w:rPr>
          <w:rFonts w:ascii="Arial" w:hAnsi="Arial" w:cs="Arial"/>
          <w:i/>
        </w:rPr>
        <w:t xml:space="preserve"> </w:t>
      </w:r>
      <w:r w:rsidR="009B3F4D" w:rsidRPr="00A920DC">
        <w:rPr>
          <w:rFonts w:ascii="Arial" w:hAnsi="Arial" w:cs="Arial"/>
          <w:i/>
        </w:rPr>
        <w:t>In the Matter of the Application the Fuel Adjustment Clauses for Columbus Southern Power Company and Ohio Power Company and Related Matters</w:t>
      </w:r>
      <w:r w:rsidR="009B3F4D">
        <w:rPr>
          <w:rFonts w:ascii="Arial" w:hAnsi="Arial" w:cs="Arial"/>
        </w:rPr>
        <w:t>, Case No. 10-268</w:t>
      </w:r>
      <w:r w:rsidR="009B3F4D" w:rsidRPr="00A920DC">
        <w:rPr>
          <w:rFonts w:ascii="Arial" w:hAnsi="Arial" w:cs="Arial"/>
        </w:rPr>
        <w:t>-EL-FAC, Report of the Management/Performance and Financial Audits of the FAC of the Columbus Southern Power Company and the Ohio Power Company, Financi</w:t>
      </w:r>
      <w:r w:rsidR="00E64BBB">
        <w:rPr>
          <w:rFonts w:ascii="Arial" w:hAnsi="Arial" w:cs="Arial"/>
        </w:rPr>
        <w:t xml:space="preserve">al Audit Recommendations 21 and </w:t>
      </w:r>
      <w:r w:rsidR="009B3F4D">
        <w:rPr>
          <w:rFonts w:ascii="Arial" w:hAnsi="Arial" w:cs="Arial"/>
        </w:rPr>
        <w:t>22 at 1-10</w:t>
      </w:r>
      <w:r w:rsidR="009B3F4D" w:rsidRPr="00A920DC">
        <w:rPr>
          <w:rFonts w:ascii="Arial" w:hAnsi="Arial" w:cs="Arial"/>
        </w:rPr>
        <w:t xml:space="preserve"> </w:t>
      </w:r>
      <w:r w:rsidR="009B3F4D">
        <w:rPr>
          <w:rFonts w:ascii="Arial" w:hAnsi="Arial" w:cs="Arial"/>
        </w:rPr>
        <w:t>(May 26, 2011)</w:t>
      </w:r>
      <w:r w:rsidRPr="00A920DC">
        <w:rPr>
          <w:rFonts w:ascii="Arial" w:hAnsi="Arial" w:cs="Arial"/>
        </w:rPr>
        <w:t>.</w:t>
      </w:r>
      <w:r w:rsidRPr="003C1DE5">
        <w:t xml:space="preserve"> </w:t>
      </w:r>
    </w:p>
  </w:footnote>
  <w:footnote w:id="10">
    <w:p w:rsidR="00694F6E" w:rsidRPr="00DF3048" w:rsidRDefault="00694F6E" w:rsidP="00DF3048">
      <w:pPr>
        <w:pStyle w:val="FootnoteText"/>
        <w:spacing w:after="120"/>
        <w:jc w:val="both"/>
        <w:rPr>
          <w:rFonts w:ascii="Arial" w:hAnsi="Arial" w:cs="Arial"/>
        </w:rPr>
      </w:pPr>
      <w:r w:rsidRPr="00DF3048">
        <w:rPr>
          <w:rStyle w:val="FootnoteReference"/>
          <w:rFonts w:ascii="Arial" w:hAnsi="Arial" w:cs="Arial"/>
        </w:rPr>
        <w:footnoteRef/>
      </w:r>
      <w:r w:rsidRPr="00DF3048">
        <w:rPr>
          <w:rFonts w:ascii="Arial" w:hAnsi="Arial" w:cs="Arial"/>
        </w:rPr>
        <w:t xml:space="preserve"> </w:t>
      </w:r>
      <w:r w:rsidRPr="00DF3048">
        <w:rPr>
          <w:rFonts w:ascii="Arial" w:hAnsi="Arial" w:cs="Arial"/>
          <w:i/>
        </w:rPr>
        <w:t>2009 FAC Case</w:t>
      </w:r>
      <w:r w:rsidRPr="00DF3048">
        <w:rPr>
          <w:rFonts w:ascii="Arial" w:hAnsi="Arial" w:cs="Arial"/>
        </w:rPr>
        <w:t>, Entry on Rehearing at 6 (Apr. 11, 2012).</w:t>
      </w:r>
      <w:r w:rsidR="00DF3048" w:rsidRPr="00DF3048">
        <w:rPr>
          <w:rFonts w:ascii="Arial" w:hAnsi="Arial" w:cs="Arial"/>
        </w:rPr>
        <w:t xml:space="preserve"> </w:t>
      </w:r>
    </w:p>
  </w:footnote>
  <w:footnote w:id="11">
    <w:p w:rsidR="00694F6E" w:rsidRPr="00DF3048" w:rsidRDefault="00694F6E" w:rsidP="00DF3048">
      <w:pPr>
        <w:pStyle w:val="FootnoteText"/>
        <w:spacing w:after="120"/>
        <w:jc w:val="both"/>
        <w:rPr>
          <w:rFonts w:ascii="Arial" w:hAnsi="Arial" w:cs="Arial"/>
        </w:rPr>
      </w:pPr>
      <w:r w:rsidRPr="00DF3048">
        <w:rPr>
          <w:rStyle w:val="FootnoteReference"/>
          <w:rFonts w:ascii="Arial" w:hAnsi="Arial" w:cs="Arial"/>
        </w:rPr>
        <w:footnoteRef/>
      </w:r>
      <w:r w:rsidRPr="00DF3048">
        <w:rPr>
          <w:rFonts w:ascii="Arial" w:hAnsi="Arial" w:cs="Arial"/>
        </w:rPr>
        <w:t xml:space="preserve"> </w:t>
      </w:r>
      <w:r w:rsidRPr="00DF3048">
        <w:rPr>
          <w:rFonts w:ascii="Arial" w:hAnsi="Arial" w:cs="Arial"/>
          <w:i/>
        </w:rPr>
        <w:t>In the Matter of the Application the Fuel Adjustment Clauses for Columbus Southern Power Company and Ohio Power Company and Related Matters</w:t>
      </w:r>
      <w:r w:rsidRPr="00DF3048">
        <w:rPr>
          <w:rFonts w:ascii="Arial" w:hAnsi="Arial" w:cs="Arial"/>
        </w:rPr>
        <w:t xml:space="preserve">, Case No. 11-281-EL-FAC, Report of the Management/Performance and Financial Audits of the FAC of the Columbus Southern Power Company and the Ohio Power Company, Financial Audit Recommendation 7 </w:t>
      </w:r>
      <w:r w:rsidR="006313E3" w:rsidRPr="00DF3048">
        <w:rPr>
          <w:rFonts w:ascii="Arial" w:hAnsi="Arial" w:cs="Arial"/>
        </w:rPr>
        <w:t xml:space="preserve">at 1-10 </w:t>
      </w:r>
      <w:r w:rsidRPr="00DF3048">
        <w:rPr>
          <w:rFonts w:ascii="Arial" w:hAnsi="Arial" w:cs="Arial"/>
        </w:rPr>
        <w:t>(May 24, 2012).</w:t>
      </w:r>
    </w:p>
  </w:footnote>
  <w:footnote w:id="12">
    <w:p w:rsidR="002A4CFE" w:rsidRPr="00DF3048" w:rsidRDefault="002A4CFE" w:rsidP="00DF3048">
      <w:pPr>
        <w:pStyle w:val="FootnoteText"/>
        <w:spacing w:after="120"/>
        <w:jc w:val="both"/>
        <w:rPr>
          <w:rFonts w:ascii="Arial" w:hAnsi="Arial" w:cs="Arial"/>
        </w:rPr>
      </w:pPr>
      <w:r w:rsidRPr="00DF3048">
        <w:rPr>
          <w:rStyle w:val="FootnoteReference"/>
          <w:rFonts w:ascii="Arial" w:hAnsi="Arial" w:cs="Arial"/>
        </w:rPr>
        <w:footnoteRef/>
      </w:r>
      <w:r w:rsidRPr="00DF3048">
        <w:rPr>
          <w:rFonts w:ascii="Arial" w:hAnsi="Arial" w:cs="Arial"/>
        </w:rPr>
        <w:t xml:space="preserve"> </w:t>
      </w:r>
      <w:r w:rsidRPr="00DF3048">
        <w:rPr>
          <w:rFonts w:ascii="Arial" w:hAnsi="Arial" w:cs="Arial"/>
          <w:i/>
        </w:rPr>
        <w:t>2009 FAC Case</w:t>
      </w:r>
      <w:r w:rsidRPr="00DF3048">
        <w:rPr>
          <w:rFonts w:ascii="Arial" w:hAnsi="Arial" w:cs="Arial"/>
        </w:rPr>
        <w:t>, Opinion and Order at 9 (Jan. 23, 2012).</w:t>
      </w:r>
    </w:p>
  </w:footnote>
  <w:footnote w:id="13">
    <w:p w:rsidR="002A4CFE" w:rsidRPr="00A920DC" w:rsidRDefault="002A4CFE" w:rsidP="00DF3048">
      <w:pPr>
        <w:pStyle w:val="FootnoteText"/>
        <w:jc w:val="both"/>
        <w:rPr>
          <w:rFonts w:ascii="Arial" w:hAnsi="Arial" w:cs="Arial"/>
        </w:rPr>
      </w:pPr>
      <w:r w:rsidRPr="00A920DC">
        <w:rPr>
          <w:rStyle w:val="FootnoteReference"/>
          <w:rFonts w:ascii="Arial" w:hAnsi="Arial" w:cs="Arial"/>
        </w:rPr>
        <w:footnoteRef/>
      </w:r>
      <w:r w:rsidRPr="00A920DC">
        <w:rPr>
          <w:rFonts w:ascii="Arial" w:hAnsi="Arial" w:cs="Arial"/>
        </w:rPr>
        <w:t xml:space="preserve"> </w:t>
      </w:r>
      <w:r w:rsidRPr="00A920DC">
        <w:rPr>
          <w:rFonts w:ascii="Arial" w:hAnsi="Arial" w:cs="Arial"/>
          <w:i/>
        </w:rPr>
        <w:t>Id.</w:t>
      </w:r>
      <w:r w:rsidRPr="00A920DC">
        <w:rPr>
          <w:rFonts w:ascii="Arial" w:hAnsi="Arial" w:cs="Arial"/>
        </w:rPr>
        <w:t xml:space="preserve"> at 14.</w:t>
      </w:r>
    </w:p>
  </w:footnote>
  <w:footnote w:id="14">
    <w:p w:rsidR="002A4CFE" w:rsidRPr="00A920DC" w:rsidRDefault="002A4CFE" w:rsidP="00DF3048">
      <w:pPr>
        <w:pStyle w:val="FootnoteText"/>
        <w:jc w:val="both"/>
        <w:rPr>
          <w:rFonts w:ascii="Arial" w:hAnsi="Arial" w:cs="Arial"/>
        </w:rPr>
      </w:pPr>
      <w:r w:rsidRPr="00A920DC">
        <w:rPr>
          <w:rStyle w:val="FootnoteReference"/>
          <w:rFonts w:ascii="Arial" w:hAnsi="Arial" w:cs="Arial"/>
        </w:rPr>
        <w:footnoteRef/>
      </w:r>
      <w:r w:rsidRPr="00A920DC">
        <w:rPr>
          <w:rFonts w:ascii="Arial" w:hAnsi="Arial" w:cs="Arial"/>
        </w:rPr>
        <w:t xml:space="preserve"> </w:t>
      </w:r>
      <w:r w:rsidRPr="00A920DC">
        <w:rPr>
          <w:rFonts w:ascii="Arial" w:hAnsi="Arial" w:cs="Arial"/>
          <w:i/>
        </w:rPr>
        <w:t>Id</w:t>
      </w:r>
      <w:r w:rsidRPr="00A920D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54" w:rsidRDefault="00C146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54" w:rsidRDefault="00C14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54" w:rsidRDefault="00C146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FE" w:rsidRDefault="002A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3379B"/>
    <w:multiLevelType w:val="hybridMultilevel"/>
    <w:tmpl w:val="D3BEBC74"/>
    <w:lvl w:ilvl="0" w:tplc="A64AF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7BA2"/>
    <w:multiLevelType w:val="hybridMultilevel"/>
    <w:tmpl w:val="1D9C53F4"/>
    <w:name w:val="(Unnamed Numbering Scheme)"/>
    <w:lvl w:ilvl="0" w:tplc="4CFA72F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84A3F"/>
    <w:multiLevelType w:val="hybridMultilevel"/>
    <w:tmpl w:val="7AF8F7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46D32"/>
    <w:multiLevelType w:val="hybridMultilevel"/>
    <w:tmpl w:val="35E27FBC"/>
    <w:lvl w:ilvl="0" w:tplc="BECC2E58">
      <w:start w:val="1"/>
      <w:numFmt w:val="decimal"/>
      <w:lvlText w:val="%1)"/>
      <w:lvlJc w:val="left"/>
      <w:pPr>
        <w:ind w:left="13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7CEC4F13"/>
    <w:multiLevelType w:val="hybridMultilevel"/>
    <w:tmpl w:val="12A6E426"/>
    <w:lvl w:ilvl="0" w:tplc="3C4E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6"/>
  </w:num>
  <w:num w:numId="4">
    <w:abstractNumId w:val="11"/>
  </w:num>
  <w:num w:numId="5">
    <w:abstractNumId w:val="14"/>
  </w:num>
  <w:num w:numId="6">
    <w:abstractNumId w:val="2"/>
  </w:num>
  <w:num w:numId="7">
    <w:abstractNumId w:val="4"/>
  </w:num>
  <w:num w:numId="8">
    <w:abstractNumId w:val="0"/>
  </w:num>
  <w:num w:numId="9">
    <w:abstractNumId w:val="12"/>
  </w:num>
  <w:num w:numId="10">
    <w:abstractNumId w:val="1"/>
  </w:num>
  <w:num w:numId="11">
    <w:abstractNumId w:val="5"/>
  </w:num>
  <w:num w:numId="12">
    <w:abstractNumId w:val="3"/>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D"/>
    <w:rsid w:val="00005A9C"/>
    <w:rsid w:val="00012025"/>
    <w:rsid w:val="00012E06"/>
    <w:rsid w:val="00015347"/>
    <w:rsid w:val="000201A9"/>
    <w:rsid w:val="00030ED2"/>
    <w:rsid w:val="00031E94"/>
    <w:rsid w:val="00033725"/>
    <w:rsid w:val="00036D95"/>
    <w:rsid w:val="000400FE"/>
    <w:rsid w:val="00041674"/>
    <w:rsid w:val="00042CBA"/>
    <w:rsid w:val="000501D4"/>
    <w:rsid w:val="00054F98"/>
    <w:rsid w:val="0005502A"/>
    <w:rsid w:val="000567B1"/>
    <w:rsid w:val="00056889"/>
    <w:rsid w:val="00056922"/>
    <w:rsid w:val="00061CF7"/>
    <w:rsid w:val="00062F67"/>
    <w:rsid w:val="00064A39"/>
    <w:rsid w:val="000765D9"/>
    <w:rsid w:val="00077C25"/>
    <w:rsid w:val="00084681"/>
    <w:rsid w:val="0008678F"/>
    <w:rsid w:val="000868A2"/>
    <w:rsid w:val="0009165D"/>
    <w:rsid w:val="00093C82"/>
    <w:rsid w:val="00094167"/>
    <w:rsid w:val="00095E7C"/>
    <w:rsid w:val="00097680"/>
    <w:rsid w:val="000A3C78"/>
    <w:rsid w:val="000A4194"/>
    <w:rsid w:val="000A4F7B"/>
    <w:rsid w:val="000A6F06"/>
    <w:rsid w:val="000B23C9"/>
    <w:rsid w:val="000B259C"/>
    <w:rsid w:val="000B3461"/>
    <w:rsid w:val="000B39B9"/>
    <w:rsid w:val="000B4325"/>
    <w:rsid w:val="000B52CF"/>
    <w:rsid w:val="000B7DEB"/>
    <w:rsid w:val="000C31EC"/>
    <w:rsid w:val="000C3620"/>
    <w:rsid w:val="000C545B"/>
    <w:rsid w:val="000C6622"/>
    <w:rsid w:val="000D1015"/>
    <w:rsid w:val="000D194C"/>
    <w:rsid w:val="000D3879"/>
    <w:rsid w:val="000D3986"/>
    <w:rsid w:val="000D39DA"/>
    <w:rsid w:val="000D74E6"/>
    <w:rsid w:val="000D781D"/>
    <w:rsid w:val="000E68B6"/>
    <w:rsid w:val="00103C48"/>
    <w:rsid w:val="001062F0"/>
    <w:rsid w:val="0010739E"/>
    <w:rsid w:val="00111B83"/>
    <w:rsid w:val="001134C0"/>
    <w:rsid w:val="00113A8F"/>
    <w:rsid w:val="001147FA"/>
    <w:rsid w:val="001164F5"/>
    <w:rsid w:val="001211A9"/>
    <w:rsid w:val="00122294"/>
    <w:rsid w:val="001224CF"/>
    <w:rsid w:val="00124EB1"/>
    <w:rsid w:val="00130422"/>
    <w:rsid w:val="00131649"/>
    <w:rsid w:val="0013226C"/>
    <w:rsid w:val="00133B98"/>
    <w:rsid w:val="00135AB8"/>
    <w:rsid w:val="001446D6"/>
    <w:rsid w:val="001465F3"/>
    <w:rsid w:val="00146A97"/>
    <w:rsid w:val="0014720F"/>
    <w:rsid w:val="00151583"/>
    <w:rsid w:val="00151716"/>
    <w:rsid w:val="00151DA7"/>
    <w:rsid w:val="00152EA7"/>
    <w:rsid w:val="00157EF6"/>
    <w:rsid w:val="00162E07"/>
    <w:rsid w:val="00163A83"/>
    <w:rsid w:val="001654FE"/>
    <w:rsid w:val="001679BE"/>
    <w:rsid w:val="001711F6"/>
    <w:rsid w:val="001712C2"/>
    <w:rsid w:val="00173239"/>
    <w:rsid w:val="00183450"/>
    <w:rsid w:val="001837E2"/>
    <w:rsid w:val="001A02E2"/>
    <w:rsid w:val="001A0FC6"/>
    <w:rsid w:val="001A148A"/>
    <w:rsid w:val="001A4C3C"/>
    <w:rsid w:val="001A6FA1"/>
    <w:rsid w:val="001B2062"/>
    <w:rsid w:val="001B5618"/>
    <w:rsid w:val="001B6DD3"/>
    <w:rsid w:val="001B789D"/>
    <w:rsid w:val="001C2E4D"/>
    <w:rsid w:val="001C3B6A"/>
    <w:rsid w:val="001C5D97"/>
    <w:rsid w:val="001C6419"/>
    <w:rsid w:val="001D0BE7"/>
    <w:rsid w:val="001D18E4"/>
    <w:rsid w:val="001D2E11"/>
    <w:rsid w:val="001D35E6"/>
    <w:rsid w:val="001D3C87"/>
    <w:rsid w:val="001E3193"/>
    <w:rsid w:val="001E64A5"/>
    <w:rsid w:val="001E7B6F"/>
    <w:rsid w:val="001F62EF"/>
    <w:rsid w:val="002015A4"/>
    <w:rsid w:val="002072BF"/>
    <w:rsid w:val="002075D0"/>
    <w:rsid w:val="002100E4"/>
    <w:rsid w:val="0021019C"/>
    <w:rsid w:val="0021148F"/>
    <w:rsid w:val="00212D31"/>
    <w:rsid w:val="002148C0"/>
    <w:rsid w:val="00232A3D"/>
    <w:rsid w:val="00235A46"/>
    <w:rsid w:val="0024186B"/>
    <w:rsid w:val="0024243F"/>
    <w:rsid w:val="00242A17"/>
    <w:rsid w:val="00243ADB"/>
    <w:rsid w:val="00246F9B"/>
    <w:rsid w:val="00250BFE"/>
    <w:rsid w:val="0025364D"/>
    <w:rsid w:val="0025658F"/>
    <w:rsid w:val="0026324D"/>
    <w:rsid w:val="002702F7"/>
    <w:rsid w:val="00270D9F"/>
    <w:rsid w:val="0027226E"/>
    <w:rsid w:val="002727CA"/>
    <w:rsid w:val="002735E0"/>
    <w:rsid w:val="00275DED"/>
    <w:rsid w:val="002766AE"/>
    <w:rsid w:val="00277A52"/>
    <w:rsid w:val="00277BE3"/>
    <w:rsid w:val="00281919"/>
    <w:rsid w:val="002821CF"/>
    <w:rsid w:val="00291C06"/>
    <w:rsid w:val="00291F2C"/>
    <w:rsid w:val="00295FC3"/>
    <w:rsid w:val="002A22C6"/>
    <w:rsid w:val="002A45A0"/>
    <w:rsid w:val="002A4CFE"/>
    <w:rsid w:val="002A61A5"/>
    <w:rsid w:val="002A6722"/>
    <w:rsid w:val="002B0E76"/>
    <w:rsid w:val="002B2D75"/>
    <w:rsid w:val="002B2F33"/>
    <w:rsid w:val="002B5669"/>
    <w:rsid w:val="002C3E20"/>
    <w:rsid w:val="002C3E92"/>
    <w:rsid w:val="002C592E"/>
    <w:rsid w:val="002D2F90"/>
    <w:rsid w:val="002E1D02"/>
    <w:rsid w:val="002F04CC"/>
    <w:rsid w:val="002F3DA0"/>
    <w:rsid w:val="002F655E"/>
    <w:rsid w:val="002F77C7"/>
    <w:rsid w:val="00300C9B"/>
    <w:rsid w:val="00302BFF"/>
    <w:rsid w:val="0030589E"/>
    <w:rsid w:val="0031127A"/>
    <w:rsid w:val="003132F8"/>
    <w:rsid w:val="0031409E"/>
    <w:rsid w:val="0031458B"/>
    <w:rsid w:val="00317DC1"/>
    <w:rsid w:val="0032101C"/>
    <w:rsid w:val="00327EF8"/>
    <w:rsid w:val="00331F1F"/>
    <w:rsid w:val="00341B83"/>
    <w:rsid w:val="003425EE"/>
    <w:rsid w:val="003468A4"/>
    <w:rsid w:val="00351485"/>
    <w:rsid w:val="00354B7F"/>
    <w:rsid w:val="00355F3F"/>
    <w:rsid w:val="00362A03"/>
    <w:rsid w:val="00365750"/>
    <w:rsid w:val="00387D35"/>
    <w:rsid w:val="00392E46"/>
    <w:rsid w:val="003A45E0"/>
    <w:rsid w:val="003A718A"/>
    <w:rsid w:val="003B0A8B"/>
    <w:rsid w:val="003B1B7D"/>
    <w:rsid w:val="003B79DC"/>
    <w:rsid w:val="003C1309"/>
    <w:rsid w:val="003C191A"/>
    <w:rsid w:val="003C1DE5"/>
    <w:rsid w:val="003C665B"/>
    <w:rsid w:val="003C6EA7"/>
    <w:rsid w:val="003D0B6D"/>
    <w:rsid w:val="003D1B4C"/>
    <w:rsid w:val="003D4121"/>
    <w:rsid w:val="003D4F74"/>
    <w:rsid w:val="003D680A"/>
    <w:rsid w:val="003E21A5"/>
    <w:rsid w:val="003E3C39"/>
    <w:rsid w:val="003F0228"/>
    <w:rsid w:val="003F075B"/>
    <w:rsid w:val="003F22AC"/>
    <w:rsid w:val="003F342A"/>
    <w:rsid w:val="003F7094"/>
    <w:rsid w:val="004003AC"/>
    <w:rsid w:val="00403DFC"/>
    <w:rsid w:val="00404741"/>
    <w:rsid w:val="00407D86"/>
    <w:rsid w:val="004104E6"/>
    <w:rsid w:val="00416B6E"/>
    <w:rsid w:val="0042018B"/>
    <w:rsid w:val="00420A02"/>
    <w:rsid w:val="00423368"/>
    <w:rsid w:val="00424528"/>
    <w:rsid w:val="004246E5"/>
    <w:rsid w:val="004257E2"/>
    <w:rsid w:val="00427000"/>
    <w:rsid w:val="00431A76"/>
    <w:rsid w:val="00431F98"/>
    <w:rsid w:val="00434251"/>
    <w:rsid w:val="00435DC8"/>
    <w:rsid w:val="00440DDB"/>
    <w:rsid w:val="004434D6"/>
    <w:rsid w:val="00465D33"/>
    <w:rsid w:val="00466572"/>
    <w:rsid w:val="00466834"/>
    <w:rsid w:val="00467C6D"/>
    <w:rsid w:val="00471677"/>
    <w:rsid w:val="004727AF"/>
    <w:rsid w:val="00472B75"/>
    <w:rsid w:val="00472E4D"/>
    <w:rsid w:val="00473BA9"/>
    <w:rsid w:val="00480CF6"/>
    <w:rsid w:val="00480EED"/>
    <w:rsid w:val="004833D5"/>
    <w:rsid w:val="00491853"/>
    <w:rsid w:val="00493B10"/>
    <w:rsid w:val="004965AB"/>
    <w:rsid w:val="00496C5B"/>
    <w:rsid w:val="00497EC9"/>
    <w:rsid w:val="004A1FE1"/>
    <w:rsid w:val="004A646E"/>
    <w:rsid w:val="004A6763"/>
    <w:rsid w:val="004B064E"/>
    <w:rsid w:val="004B1B6E"/>
    <w:rsid w:val="004C1995"/>
    <w:rsid w:val="004C4466"/>
    <w:rsid w:val="004C4B57"/>
    <w:rsid w:val="004C4D7F"/>
    <w:rsid w:val="004C6409"/>
    <w:rsid w:val="004C66C2"/>
    <w:rsid w:val="004C6C6B"/>
    <w:rsid w:val="004D052B"/>
    <w:rsid w:val="004E3041"/>
    <w:rsid w:val="004F50EB"/>
    <w:rsid w:val="00501AD3"/>
    <w:rsid w:val="005075F6"/>
    <w:rsid w:val="00510FAC"/>
    <w:rsid w:val="00512FCE"/>
    <w:rsid w:val="0051611F"/>
    <w:rsid w:val="00521445"/>
    <w:rsid w:val="00523525"/>
    <w:rsid w:val="005302DF"/>
    <w:rsid w:val="00536443"/>
    <w:rsid w:val="00537BAE"/>
    <w:rsid w:val="005404EB"/>
    <w:rsid w:val="0054169E"/>
    <w:rsid w:val="00541C39"/>
    <w:rsid w:val="00543C01"/>
    <w:rsid w:val="00544A72"/>
    <w:rsid w:val="005504B5"/>
    <w:rsid w:val="0055239F"/>
    <w:rsid w:val="00556D28"/>
    <w:rsid w:val="00556E5C"/>
    <w:rsid w:val="00560A3A"/>
    <w:rsid w:val="00562BE3"/>
    <w:rsid w:val="00566B85"/>
    <w:rsid w:val="00574616"/>
    <w:rsid w:val="00574AF2"/>
    <w:rsid w:val="0057574A"/>
    <w:rsid w:val="0057591A"/>
    <w:rsid w:val="00575ABF"/>
    <w:rsid w:val="005772F4"/>
    <w:rsid w:val="00584852"/>
    <w:rsid w:val="00587008"/>
    <w:rsid w:val="005917E3"/>
    <w:rsid w:val="005936F4"/>
    <w:rsid w:val="005948C0"/>
    <w:rsid w:val="00595076"/>
    <w:rsid w:val="00595B4A"/>
    <w:rsid w:val="005A1759"/>
    <w:rsid w:val="005A1EC3"/>
    <w:rsid w:val="005A30E4"/>
    <w:rsid w:val="005A59C9"/>
    <w:rsid w:val="005A78CB"/>
    <w:rsid w:val="005A7B35"/>
    <w:rsid w:val="005B2009"/>
    <w:rsid w:val="005B6D9E"/>
    <w:rsid w:val="005C3356"/>
    <w:rsid w:val="005C47F0"/>
    <w:rsid w:val="005D0C09"/>
    <w:rsid w:val="005E1ADE"/>
    <w:rsid w:val="005E5749"/>
    <w:rsid w:val="005E6AF3"/>
    <w:rsid w:val="005F5D6C"/>
    <w:rsid w:val="005F6C95"/>
    <w:rsid w:val="00601CAC"/>
    <w:rsid w:val="006025C0"/>
    <w:rsid w:val="00604224"/>
    <w:rsid w:val="00604457"/>
    <w:rsid w:val="006106A6"/>
    <w:rsid w:val="00612530"/>
    <w:rsid w:val="00612CED"/>
    <w:rsid w:val="00614D4E"/>
    <w:rsid w:val="00620E3A"/>
    <w:rsid w:val="00621236"/>
    <w:rsid w:val="0062131F"/>
    <w:rsid w:val="00621A3D"/>
    <w:rsid w:val="00621CAE"/>
    <w:rsid w:val="0062657B"/>
    <w:rsid w:val="006313E3"/>
    <w:rsid w:val="00632659"/>
    <w:rsid w:val="00633CBC"/>
    <w:rsid w:val="0064617D"/>
    <w:rsid w:val="0065259D"/>
    <w:rsid w:val="00653343"/>
    <w:rsid w:val="00657E31"/>
    <w:rsid w:val="00660944"/>
    <w:rsid w:val="00670B0D"/>
    <w:rsid w:val="00671C1A"/>
    <w:rsid w:val="006730FD"/>
    <w:rsid w:val="00674EA0"/>
    <w:rsid w:val="0067641B"/>
    <w:rsid w:val="00685765"/>
    <w:rsid w:val="00690A88"/>
    <w:rsid w:val="00692F6E"/>
    <w:rsid w:val="00692FAF"/>
    <w:rsid w:val="00694F6E"/>
    <w:rsid w:val="00697B77"/>
    <w:rsid w:val="006A3143"/>
    <w:rsid w:val="006A3884"/>
    <w:rsid w:val="006A625D"/>
    <w:rsid w:val="006A697C"/>
    <w:rsid w:val="006B020E"/>
    <w:rsid w:val="006B4CA3"/>
    <w:rsid w:val="006C074D"/>
    <w:rsid w:val="006C11DF"/>
    <w:rsid w:val="006C1711"/>
    <w:rsid w:val="006C4BE3"/>
    <w:rsid w:val="006D48FB"/>
    <w:rsid w:val="006E389F"/>
    <w:rsid w:val="006E3E19"/>
    <w:rsid w:val="006F08E9"/>
    <w:rsid w:val="006F1147"/>
    <w:rsid w:val="006F2B7A"/>
    <w:rsid w:val="006F6057"/>
    <w:rsid w:val="00701A11"/>
    <w:rsid w:val="00701C10"/>
    <w:rsid w:val="0070422E"/>
    <w:rsid w:val="00704591"/>
    <w:rsid w:val="007053E2"/>
    <w:rsid w:val="00710E5A"/>
    <w:rsid w:val="007133A7"/>
    <w:rsid w:val="00713657"/>
    <w:rsid w:val="0072302F"/>
    <w:rsid w:val="007244EA"/>
    <w:rsid w:val="00727EFE"/>
    <w:rsid w:val="0073487E"/>
    <w:rsid w:val="00735696"/>
    <w:rsid w:val="00741A64"/>
    <w:rsid w:val="00741E92"/>
    <w:rsid w:val="007424DF"/>
    <w:rsid w:val="00743B1D"/>
    <w:rsid w:val="007453F9"/>
    <w:rsid w:val="00751789"/>
    <w:rsid w:val="00752127"/>
    <w:rsid w:val="007537A5"/>
    <w:rsid w:val="0076175A"/>
    <w:rsid w:val="00761D17"/>
    <w:rsid w:val="00763676"/>
    <w:rsid w:val="00766049"/>
    <w:rsid w:val="00776E01"/>
    <w:rsid w:val="00780C56"/>
    <w:rsid w:val="00781830"/>
    <w:rsid w:val="0078423F"/>
    <w:rsid w:val="00784348"/>
    <w:rsid w:val="00790788"/>
    <w:rsid w:val="00791E1C"/>
    <w:rsid w:val="007922B3"/>
    <w:rsid w:val="00792C1B"/>
    <w:rsid w:val="007A07D1"/>
    <w:rsid w:val="007A114F"/>
    <w:rsid w:val="007B1B1A"/>
    <w:rsid w:val="007B2D89"/>
    <w:rsid w:val="007B2F18"/>
    <w:rsid w:val="007B5304"/>
    <w:rsid w:val="007B7475"/>
    <w:rsid w:val="007C1127"/>
    <w:rsid w:val="007C1D41"/>
    <w:rsid w:val="007C1EA0"/>
    <w:rsid w:val="007C4CA0"/>
    <w:rsid w:val="007D232C"/>
    <w:rsid w:val="007D5831"/>
    <w:rsid w:val="007D77BD"/>
    <w:rsid w:val="007E692B"/>
    <w:rsid w:val="007F0AA7"/>
    <w:rsid w:val="007F35FC"/>
    <w:rsid w:val="007F401D"/>
    <w:rsid w:val="00810554"/>
    <w:rsid w:val="008124BC"/>
    <w:rsid w:val="00813C93"/>
    <w:rsid w:val="00814693"/>
    <w:rsid w:val="0081720C"/>
    <w:rsid w:val="0082140A"/>
    <w:rsid w:val="00826350"/>
    <w:rsid w:val="0083170B"/>
    <w:rsid w:val="00835ACC"/>
    <w:rsid w:val="008368D7"/>
    <w:rsid w:val="008405E7"/>
    <w:rsid w:val="00840E4A"/>
    <w:rsid w:val="008424B5"/>
    <w:rsid w:val="00843788"/>
    <w:rsid w:val="0084501B"/>
    <w:rsid w:val="00845CB9"/>
    <w:rsid w:val="00850B24"/>
    <w:rsid w:val="00851CC9"/>
    <w:rsid w:val="00853B2E"/>
    <w:rsid w:val="00854831"/>
    <w:rsid w:val="00855D04"/>
    <w:rsid w:val="00860246"/>
    <w:rsid w:val="008663C8"/>
    <w:rsid w:val="008742AE"/>
    <w:rsid w:val="00875174"/>
    <w:rsid w:val="00876E8C"/>
    <w:rsid w:val="00877C69"/>
    <w:rsid w:val="00880E6D"/>
    <w:rsid w:val="00880ECB"/>
    <w:rsid w:val="008922E2"/>
    <w:rsid w:val="0089325F"/>
    <w:rsid w:val="00897970"/>
    <w:rsid w:val="008A21C5"/>
    <w:rsid w:val="008A2518"/>
    <w:rsid w:val="008A33AD"/>
    <w:rsid w:val="008A4711"/>
    <w:rsid w:val="008B3429"/>
    <w:rsid w:val="008B345A"/>
    <w:rsid w:val="008B6023"/>
    <w:rsid w:val="008C1570"/>
    <w:rsid w:val="008C2247"/>
    <w:rsid w:val="008C4260"/>
    <w:rsid w:val="008C4BA5"/>
    <w:rsid w:val="008C6DE1"/>
    <w:rsid w:val="008C7400"/>
    <w:rsid w:val="008C7494"/>
    <w:rsid w:val="008D0AD9"/>
    <w:rsid w:val="008D4219"/>
    <w:rsid w:val="008D5A79"/>
    <w:rsid w:val="008E33C3"/>
    <w:rsid w:val="008F1BA1"/>
    <w:rsid w:val="008F2C85"/>
    <w:rsid w:val="008F2FB5"/>
    <w:rsid w:val="008F5938"/>
    <w:rsid w:val="009003C9"/>
    <w:rsid w:val="00900B9A"/>
    <w:rsid w:val="00902CCC"/>
    <w:rsid w:val="00904A29"/>
    <w:rsid w:val="00907DC3"/>
    <w:rsid w:val="00913B0E"/>
    <w:rsid w:val="0091525E"/>
    <w:rsid w:val="00915A91"/>
    <w:rsid w:val="00922AD0"/>
    <w:rsid w:val="00922D2C"/>
    <w:rsid w:val="0092394E"/>
    <w:rsid w:val="00931605"/>
    <w:rsid w:val="00936A04"/>
    <w:rsid w:val="00945373"/>
    <w:rsid w:val="00952537"/>
    <w:rsid w:val="009570A2"/>
    <w:rsid w:val="009578CD"/>
    <w:rsid w:val="00962AB5"/>
    <w:rsid w:val="00965EC5"/>
    <w:rsid w:val="00966FA5"/>
    <w:rsid w:val="0096736C"/>
    <w:rsid w:val="00971B97"/>
    <w:rsid w:val="00973F1C"/>
    <w:rsid w:val="00974834"/>
    <w:rsid w:val="00974944"/>
    <w:rsid w:val="00977FE4"/>
    <w:rsid w:val="00981F68"/>
    <w:rsid w:val="009900CF"/>
    <w:rsid w:val="00990E56"/>
    <w:rsid w:val="009910B3"/>
    <w:rsid w:val="009941E7"/>
    <w:rsid w:val="009950C6"/>
    <w:rsid w:val="009A02CE"/>
    <w:rsid w:val="009A4C1B"/>
    <w:rsid w:val="009B3F0C"/>
    <w:rsid w:val="009B3F4D"/>
    <w:rsid w:val="009B6B64"/>
    <w:rsid w:val="009C66A9"/>
    <w:rsid w:val="009C7814"/>
    <w:rsid w:val="009D5B94"/>
    <w:rsid w:val="009D5E8F"/>
    <w:rsid w:val="009D6955"/>
    <w:rsid w:val="009D6BBE"/>
    <w:rsid w:val="009D6F97"/>
    <w:rsid w:val="009E160C"/>
    <w:rsid w:val="009E3074"/>
    <w:rsid w:val="009E37EC"/>
    <w:rsid w:val="009E460F"/>
    <w:rsid w:val="009F0131"/>
    <w:rsid w:val="009F2727"/>
    <w:rsid w:val="009F27A6"/>
    <w:rsid w:val="00A05455"/>
    <w:rsid w:val="00A05FE5"/>
    <w:rsid w:val="00A115CB"/>
    <w:rsid w:val="00A11EB9"/>
    <w:rsid w:val="00A14E89"/>
    <w:rsid w:val="00A20651"/>
    <w:rsid w:val="00A209B1"/>
    <w:rsid w:val="00A23ACA"/>
    <w:rsid w:val="00A279B5"/>
    <w:rsid w:val="00A32AD3"/>
    <w:rsid w:val="00A36A5A"/>
    <w:rsid w:val="00A37CC1"/>
    <w:rsid w:val="00A40AA7"/>
    <w:rsid w:val="00A43F5A"/>
    <w:rsid w:val="00A440A6"/>
    <w:rsid w:val="00A45819"/>
    <w:rsid w:val="00A45953"/>
    <w:rsid w:val="00A513AC"/>
    <w:rsid w:val="00A52F0B"/>
    <w:rsid w:val="00A62B90"/>
    <w:rsid w:val="00A71B10"/>
    <w:rsid w:val="00A73D81"/>
    <w:rsid w:val="00A73E5A"/>
    <w:rsid w:val="00A845AD"/>
    <w:rsid w:val="00A85756"/>
    <w:rsid w:val="00A87301"/>
    <w:rsid w:val="00A9096A"/>
    <w:rsid w:val="00A920DC"/>
    <w:rsid w:val="00A93503"/>
    <w:rsid w:val="00A93DE9"/>
    <w:rsid w:val="00A95219"/>
    <w:rsid w:val="00A96931"/>
    <w:rsid w:val="00A975D0"/>
    <w:rsid w:val="00AA19DD"/>
    <w:rsid w:val="00AA1BA1"/>
    <w:rsid w:val="00AA3E96"/>
    <w:rsid w:val="00AA6A20"/>
    <w:rsid w:val="00AB1DF1"/>
    <w:rsid w:val="00AB4471"/>
    <w:rsid w:val="00AB5812"/>
    <w:rsid w:val="00AC2AB0"/>
    <w:rsid w:val="00AD138F"/>
    <w:rsid w:val="00AD3A4B"/>
    <w:rsid w:val="00AE48FF"/>
    <w:rsid w:val="00AE4CD7"/>
    <w:rsid w:val="00AE5C2C"/>
    <w:rsid w:val="00AE6F79"/>
    <w:rsid w:val="00AE71A5"/>
    <w:rsid w:val="00B00E3E"/>
    <w:rsid w:val="00B04826"/>
    <w:rsid w:val="00B05609"/>
    <w:rsid w:val="00B05F3A"/>
    <w:rsid w:val="00B067A6"/>
    <w:rsid w:val="00B07019"/>
    <w:rsid w:val="00B12EE2"/>
    <w:rsid w:val="00B15C9A"/>
    <w:rsid w:val="00B1617F"/>
    <w:rsid w:val="00B25177"/>
    <w:rsid w:val="00B270E0"/>
    <w:rsid w:val="00B3044D"/>
    <w:rsid w:val="00B31775"/>
    <w:rsid w:val="00B33D4E"/>
    <w:rsid w:val="00B33DFD"/>
    <w:rsid w:val="00B348E1"/>
    <w:rsid w:val="00B432CC"/>
    <w:rsid w:val="00B44D52"/>
    <w:rsid w:val="00B479B3"/>
    <w:rsid w:val="00B515AF"/>
    <w:rsid w:val="00B53736"/>
    <w:rsid w:val="00B563FF"/>
    <w:rsid w:val="00B67D1F"/>
    <w:rsid w:val="00B73283"/>
    <w:rsid w:val="00B741B2"/>
    <w:rsid w:val="00B76897"/>
    <w:rsid w:val="00B80B8D"/>
    <w:rsid w:val="00B8350A"/>
    <w:rsid w:val="00B856F1"/>
    <w:rsid w:val="00B8791F"/>
    <w:rsid w:val="00B92358"/>
    <w:rsid w:val="00BA0AF0"/>
    <w:rsid w:val="00BA16BD"/>
    <w:rsid w:val="00BA1A59"/>
    <w:rsid w:val="00BA43B1"/>
    <w:rsid w:val="00BA4490"/>
    <w:rsid w:val="00BA508D"/>
    <w:rsid w:val="00BB5B95"/>
    <w:rsid w:val="00BB7E12"/>
    <w:rsid w:val="00BB7FA3"/>
    <w:rsid w:val="00BD0916"/>
    <w:rsid w:val="00BD0BE8"/>
    <w:rsid w:val="00BD1E1A"/>
    <w:rsid w:val="00BD1F60"/>
    <w:rsid w:val="00BD3F89"/>
    <w:rsid w:val="00BE29BE"/>
    <w:rsid w:val="00BE2F41"/>
    <w:rsid w:val="00BE3A1C"/>
    <w:rsid w:val="00BE3D38"/>
    <w:rsid w:val="00BE466C"/>
    <w:rsid w:val="00BE685F"/>
    <w:rsid w:val="00BF1443"/>
    <w:rsid w:val="00BF1850"/>
    <w:rsid w:val="00C0597D"/>
    <w:rsid w:val="00C064C2"/>
    <w:rsid w:val="00C11CF8"/>
    <w:rsid w:val="00C14654"/>
    <w:rsid w:val="00C17017"/>
    <w:rsid w:val="00C17CE8"/>
    <w:rsid w:val="00C21E9E"/>
    <w:rsid w:val="00C26AAE"/>
    <w:rsid w:val="00C27A72"/>
    <w:rsid w:val="00C27F5D"/>
    <w:rsid w:val="00C3289B"/>
    <w:rsid w:val="00C378AA"/>
    <w:rsid w:val="00C433A2"/>
    <w:rsid w:val="00C43BB1"/>
    <w:rsid w:val="00C449DA"/>
    <w:rsid w:val="00C450FF"/>
    <w:rsid w:val="00C453F2"/>
    <w:rsid w:val="00C50FCC"/>
    <w:rsid w:val="00C54673"/>
    <w:rsid w:val="00C62414"/>
    <w:rsid w:val="00C62A3C"/>
    <w:rsid w:val="00C678AA"/>
    <w:rsid w:val="00C73194"/>
    <w:rsid w:val="00C81640"/>
    <w:rsid w:val="00C82CA2"/>
    <w:rsid w:val="00C83C69"/>
    <w:rsid w:val="00C83F7F"/>
    <w:rsid w:val="00C90172"/>
    <w:rsid w:val="00C931ED"/>
    <w:rsid w:val="00C94BD2"/>
    <w:rsid w:val="00CA2571"/>
    <w:rsid w:val="00CA3C5C"/>
    <w:rsid w:val="00CA6129"/>
    <w:rsid w:val="00CA79CC"/>
    <w:rsid w:val="00CB0474"/>
    <w:rsid w:val="00CC0DD2"/>
    <w:rsid w:val="00CC1DD8"/>
    <w:rsid w:val="00CC2F99"/>
    <w:rsid w:val="00CD3DB9"/>
    <w:rsid w:val="00CD5F92"/>
    <w:rsid w:val="00CE24D9"/>
    <w:rsid w:val="00CE6238"/>
    <w:rsid w:val="00CE79F2"/>
    <w:rsid w:val="00CF34B0"/>
    <w:rsid w:val="00CF37AB"/>
    <w:rsid w:val="00CF452B"/>
    <w:rsid w:val="00CF465D"/>
    <w:rsid w:val="00CF497D"/>
    <w:rsid w:val="00CF5AD7"/>
    <w:rsid w:val="00CF67D5"/>
    <w:rsid w:val="00D0044F"/>
    <w:rsid w:val="00D00492"/>
    <w:rsid w:val="00D01AB8"/>
    <w:rsid w:val="00D0270C"/>
    <w:rsid w:val="00D07928"/>
    <w:rsid w:val="00D116B5"/>
    <w:rsid w:val="00D11753"/>
    <w:rsid w:val="00D160CD"/>
    <w:rsid w:val="00D2253F"/>
    <w:rsid w:val="00D36D32"/>
    <w:rsid w:val="00D37E45"/>
    <w:rsid w:val="00D43833"/>
    <w:rsid w:val="00D474AA"/>
    <w:rsid w:val="00D51798"/>
    <w:rsid w:val="00D52FFF"/>
    <w:rsid w:val="00D56746"/>
    <w:rsid w:val="00D57BC8"/>
    <w:rsid w:val="00D7449F"/>
    <w:rsid w:val="00D80E40"/>
    <w:rsid w:val="00D84132"/>
    <w:rsid w:val="00D85AD4"/>
    <w:rsid w:val="00D902A1"/>
    <w:rsid w:val="00D97561"/>
    <w:rsid w:val="00DA350D"/>
    <w:rsid w:val="00DA4281"/>
    <w:rsid w:val="00DA4AA6"/>
    <w:rsid w:val="00DA6AEF"/>
    <w:rsid w:val="00DA72D7"/>
    <w:rsid w:val="00DB25EA"/>
    <w:rsid w:val="00DB2E73"/>
    <w:rsid w:val="00DB44B8"/>
    <w:rsid w:val="00DB7331"/>
    <w:rsid w:val="00DC299B"/>
    <w:rsid w:val="00DC44D7"/>
    <w:rsid w:val="00DD0873"/>
    <w:rsid w:val="00DD099F"/>
    <w:rsid w:val="00DD0BA4"/>
    <w:rsid w:val="00DD1D39"/>
    <w:rsid w:val="00DD3903"/>
    <w:rsid w:val="00DE35C9"/>
    <w:rsid w:val="00DE4D49"/>
    <w:rsid w:val="00DE6B3D"/>
    <w:rsid w:val="00DF2793"/>
    <w:rsid w:val="00DF3048"/>
    <w:rsid w:val="00DF41F3"/>
    <w:rsid w:val="00E01CB0"/>
    <w:rsid w:val="00E0313F"/>
    <w:rsid w:val="00E04B02"/>
    <w:rsid w:val="00E10244"/>
    <w:rsid w:val="00E10EFE"/>
    <w:rsid w:val="00E160F8"/>
    <w:rsid w:val="00E22A4C"/>
    <w:rsid w:val="00E266FD"/>
    <w:rsid w:val="00E26E36"/>
    <w:rsid w:val="00E31E23"/>
    <w:rsid w:val="00E329E1"/>
    <w:rsid w:val="00E41B65"/>
    <w:rsid w:val="00E43E5A"/>
    <w:rsid w:val="00E464E2"/>
    <w:rsid w:val="00E46E2A"/>
    <w:rsid w:val="00E46E71"/>
    <w:rsid w:val="00E50446"/>
    <w:rsid w:val="00E512F9"/>
    <w:rsid w:val="00E5370D"/>
    <w:rsid w:val="00E60C1E"/>
    <w:rsid w:val="00E61BD3"/>
    <w:rsid w:val="00E6351A"/>
    <w:rsid w:val="00E6462D"/>
    <w:rsid w:val="00E64BBB"/>
    <w:rsid w:val="00E67D2A"/>
    <w:rsid w:val="00E71185"/>
    <w:rsid w:val="00E80FF6"/>
    <w:rsid w:val="00E91824"/>
    <w:rsid w:val="00E9580F"/>
    <w:rsid w:val="00E974DA"/>
    <w:rsid w:val="00EA0CCC"/>
    <w:rsid w:val="00EA11E0"/>
    <w:rsid w:val="00EA517C"/>
    <w:rsid w:val="00EA5392"/>
    <w:rsid w:val="00EA641E"/>
    <w:rsid w:val="00EA6E0E"/>
    <w:rsid w:val="00EB0C9E"/>
    <w:rsid w:val="00EB1480"/>
    <w:rsid w:val="00EB239A"/>
    <w:rsid w:val="00EB331F"/>
    <w:rsid w:val="00EB5C7F"/>
    <w:rsid w:val="00EC30A1"/>
    <w:rsid w:val="00EC59FF"/>
    <w:rsid w:val="00ED325C"/>
    <w:rsid w:val="00ED5C97"/>
    <w:rsid w:val="00ED64A2"/>
    <w:rsid w:val="00ED68F6"/>
    <w:rsid w:val="00EE0F39"/>
    <w:rsid w:val="00EE5FBE"/>
    <w:rsid w:val="00EE6DC0"/>
    <w:rsid w:val="00EF600C"/>
    <w:rsid w:val="00EF681B"/>
    <w:rsid w:val="00F02AF8"/>
    <w:rsid w:val="00F03273"/>
    <w:rsid w:val="00F05F10"/>
    <w:rsid w:val="00F0657A"/>
    <w:rsid w:val="00F07D9F"/>
    <w:rsid w:val="00F20D45"/>
    <w:rsid w:val="00F21C9B"/>
    <w:rsid w:val="00F320FD"/>
    <w:rsid w:val="00F332EC"/>
    <w:rsid w:val="00F41483"/>
    <w:rsid w:val="00F500EE"/>
    <w:rsid w:val="00F528F7"/>
    <w:rsid w:val="00F539C5"/>
    <w:rsid w:val="00F57866"/>
    <w:rsid w:val="00F57881"/>
    <w:rsid w:val="00F61A21"/>
    <w:rsid w:val="00F61F40"/>
    <w:rsid w:val="00F628C1"/>
    <w:rsid w:val="00F8035B"/>
    <w:rsid w:val="00F8190F"/>
    <w:rsid w:val="00F951B0"/>
    <w:rsid w:val="00F956F3"/>
    <w:rsid w:val="00F9685E"/>
    <w:rsid w:val="00FA199B"/>
    <w:rsid w:val="00FA2385"/>
    <w:rsid w:val="00FA4C7A"/>
    <w:rsid w:val="00FA68B9"/>
    <w:rsid w:val="00FB3C42"/>
    <w:rsid w:val="00FB7622"/>
    <w:rsid w:val="00FC00B4"/>
    <w:rsid w:val="00FC30A8"/>
    <w:rsid w:val="00FC31E2"/>
    <w:rsid w:val="00FC3D74"/>
    <w:rsid w:val="00FC5EEB"/>
    <w:rsid w:val="00FC61A5"/>
    <w:rsid w:val="00FD0367"/>
    <w:rsid w:val="00FD0ED5"/>
    <w:rsid w:val="00FE13EA"/>
    <w:rsid w:val="00FE2314"/>
    <w:rsid w:val="00FE2917"/>
    <w:rsid w:val="00FE2DF7"/>
    <w:rsid w:val="00FE7675"/>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B31775"/>
    <w:pPr>
      <w:numPr>
        <w:numId w:val="3"/>
      </w:numPr>
      <w:spacing w:after="480"/>
      <w:ind w:left="720"/>
      <w:jc w:val="both"/>
      <w:outlineLvl w:val="0"/>
    </w:pPr>
    <w:rPr>
      <w:rFonts w:ascii="Arial" w:hAnsi="Arial" w:cs="Arial"/>
      <w:b/>
      <w:cap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3C13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style>
  <w:style w:type="character" w:styleId="FootnoteReference">
    <w:name w:val="footnote reference"/>
    <w:aliases w:val="Style 42,o,fr,(NECG) Footnote Reference,Style 17,Style 20,Style 13,Style 12,o1,fr1,o2,fr2,o3,fr3,Style 15,Style 8,Style 9,Style 18,Style 7,Style 19,Style 28"/>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character" w:customStyle="1" w:styleId="Heading4Char">
    <w:name w:val="Heading 4 Char"/>
    <w:basedOn w:val="DefaultParagraphFont"/>
    <w:link w:val="Heading4"/>
    <w:semiHidden/>
    <w:rsid w:val="003C130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72"/>
    <w:qFormat/>
    <w:rsid w:val="00701A11"/>
    <w:pPr>
      <w:ind w:left="720"/>
      <w:contextualSpacing/>
    </w:pPr>
  </w:style>
  <w:style w:type="paragraph" w:styleId="Revision">
    <w:name w:val="Revision"/>
    <w:hidden/>
    <w:uiPriority w:val="71"/>
    <w:rsid w:val="009152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B31775"/>
    <w:pPr>
      <w:numPr>
        <w:numId w:val="3"/>
      </w:numPr>
      <w:spacing w:after="480"/>
      <w:ind w:left="720"/>
      <w:jc w:val="both"/>
      <w:outlineLvl w:val="0"/>
    </w:pPr>
    <w:rPr>
      <w:rFonts w:ascii="Arial" w:hAnsi="Arial" w:cs="Arial"/>
      <w:b/>
      <w:caps/>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3C13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style>
  <w:style w:type="character" w:styleId="FootnoteReference">
    <w:name w:val="footnote reference"/>
    <w:aliases w:val="Style 42,o,fr,(NECG) Footnote Reference,Style 17,Style 20,Style 13,Style 12,o1,fr1,o2,fr2,o3,fr3,Style 15,Style 8,Style 9,Style 18,Style 7,Style 19,Style 28"/>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character" w:customStyle="1" w:styleId="Heading4Char">
    <w:name w:val="Heading 4 Char"/>
    <w:basedOn w:val="DefaultParagraphFont"/>
    <w:link w:val="Heading4"/>
    <w:semiHidden/>
    <w:rsid w:val="003C130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72"/>
    <w:qFormat/>
    <w:rsid w:val="00701A11"/>
    <w:pPr>
      <w:ind w:left="720"/>
      <w:contextualSpacing/>
    </w:pPr>
  </w:style>
  <w:style w:type="paragraph" w:styleId="Revision">
    <w:name w:val="Revision"/>
    <w:hidden/>
    <w:uiPriority w:val="71"/>
    <w:rsid w:val="009152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Amy.Spiller@duke-energy.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mailto:stnourse@aep.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wv.us/scripts/WebDocket/ViewDocument.cfm?CaseActivityID=26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D3E6-652B-41FC-A6B8-8BBDF51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4372</Words>
  <Characters>23295</Characters>
  <Application>Microsoft Office Word</Application>
  <DocSecurity>0</DocSecurity>
  <PresentationFormat/>
  <Lines>544</Lines>
  <Paragraphs>203</Paragraphs>
  <ScaleCrop>false</ScaleCrop>
  <HeadingPairs>
    <vt:vector size="2" baseType="variant">
      <vt:variant>
        <vt:lpstr>Title</vt:lpstr>
      </vt:variant>
      <vt:variant>
        <vt:i4>1</vt:i4>
      </vt:variant>
    </vt:vector>
  </HeadingPairs>
  <TitlesOfParts>
    <vt:vector size="1" baseType="lpstr">
      <vt:lpstr>Confidential Version of JGB AEP FAC Testimony (C41776-7).DOCX</vt:lpstr>
    </vt:vector>
  </TitlesOfParts>
  <Manager/>
  <Company/>
  <LinksUpToDate>false</LinksUpToDate>
  <CharactersWithSpaces>27595</CharactersWithSpaces>
  <SharedDoc>false</SharedDoc>
  <HyperlinkBase>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Testimony of JGB AEP FAC Testimony (C41776-7).DOCX</dc:title>
  <dc:subject>C41776:7 /font=8</dc:subject>
  <dc:creator/>
  <cp:keywords>
				</cp:keywords>
  <dc:description/>
  <cp:lastModifiedBy/>
  <cp:revision>1</cp:revision>
  <cp:lastPrinted>2011-09-27T17:25:00Z</cp:lastPrinted>
  <dcterms:created xsi:type="dcterms:W3CDTF">2013-10-09T15:51:00Z</dcterms:created>
  <dcterms:modified xsi:type="dcterms:W3CDTF">2013-11-08T21:09:00Z</dcterms:modified>
  <cp:category>
				</cp:category>
  <cp:contentStatus>
				</cp:contentStatus>
</cp:coreProperties>
</file>