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rsidP="007628B3">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A044B5" w:rsidRPr="00A044B5"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2018 Long-Term Forecast Report on behalf of Ohio Power Company and Related Matters.</w:t>
            </w: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18-501-EL-FOR</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TMLPreformatted"/>
        <w:rPr>
          <w:rFonts w:ascii="Times New Roman" w:hAnsi="Times New Roman"/>
          <w:sz w:val="24"/>
        </w:rPr>
      </w:pPr>
      <w:r>
        <w:rPr>
          <w:rFonts w:ascii="Times New Roman" w:hAnsi="Times New Roman"/>
          <w:sz w:val="24"/>
        </w:rPr>
        <w:tab/>
      </w:r>
    </w:p>
    <w:p w:rsidR="00A044B5">
      <w:pPr>
        <w:pStyle w:val="HTMLPreformatted"/>
        <w:pBdr>
          <w:top w:val="single" w:sz="12" w:space="1" w:color="auto"/>
        </w:pBdr>
        <w:rPr>
          <w:rFonts w:ascii="Times New Roman" w:hAnsi="Times New Roman"/>
          <w:sz w:val="24"/>
        </w:rPr>
      </w:pPr>
    </w:p>
    <w:p w:rsidR="009956C6" w:rsidP="009956C6">
      <w:pPr>
        <w:jc w:val="center"/>
        <w:rPr>
          <w:b/>
          <w:bCs/>
        </w:rPr>
      </w:pPr>
      <w:r>
        <w:rPr>
          <w:b/>
          <w:bCs/>
        </w:rPr>
        <w:t xml:space="preserve">REPLY TO OHIO POWER COMPANY’S MEMORANDUM CONTRA </w:t>
      </w:r>
    </w:p>
    <w:p w:rsidR="00C62E58" w:rsidP="009956C6">
      <w:pPr>
        <w:jc w:val="center"/>
        <w:rPr>
          <w:b/>
          <w:bCs/>
        </w:rPr>
      </w:pPr>
      <w:r>
        <w:rPr>
          <w:b/>
          <w:bCs/>
        </w:rPr>
        <w:t>AND THE NATURAL RESOURCE</w:t>
      </w:r>
      <w:r w:rsidR="00F94D07">
        <w:rPr>
          <w:b/>
          <w:bCs/>
        </w:rPr>
        <w:t>S</w:t>
      </w:r>
      <w:r>
        <w:rPr>
          <w:b/>
          <w:bCs/>
        </w:rPr>
        <w:t xml:space="preserve"> DEFENSE COUN</w:t>
      </w:r>
      <w:r w:rsidR="00F94D07">
        <w:rPr>
          <w:b/>
          <w:bCs/>
        </w:rPr>
        <w:t>CIL</w:t>
      </w:r>
      <w:r>
        <w:rPr>
          <w:b/>
          <w:bCs/>
        </w:rPr>
        <w:t>’S LIMITED MEMORANDUM CONTRA</w:t>
      </w:r>
    </w:p>
    <w:p w:rsidR="009956C6" w:rsidP="009956C6">
      <w:pPr>
        <w:jc w:val="center"/>
        <w:rPr>
          <w:b/>
          <w:bCs/>
        </w:rPr>
      </w:pPr>
      <w:r>
        <w:rPr>
          <w:b/>
          <w:bCs/>
        </w:rPr>
        <w:t xml:space="preserve">THE STAFF OF THE PUBLIC UTILITIES COMMISSION MOTION </w:t>
      </w:r>
    </w:p>
    <w:p w:rsidR="00903BB1" w:rsidP="009956C6">
      <w:pPr>
        <w:jc w:val="center"/>
        <w:rPr>
          <w:b/>
          <w:bCs/>
        </w:rPr>
      </w:pPr>
      <w:r>
        <w:rPr>
          <w:b/>
          <w:bCs/>
        </w:rPr>
        <w:t>FOR A HEARING</w:t>
      </w:r>
    </w:p>
    <w:p w:rsidR="00A044B5" w:rsidP="009956C6">
      <w:pPr>
        <w:jc w:val="center"/>
        <w:rPr>
          <w:b/>
          <w:bCs/>
        </w:rPr>
      </w:pPr>
      <w:r>
        <w:rPr>
          <w:b/>
          <w:bCs/>
        </w:rPr>
        <w:t>BY</w:t>
      </w:r>
    </w:p>
    <w:p w:rsidR="00A044B5" w:rsidP="009956C6">
      <w:pPr>
        <w:jc w:val="center"/>
        <w:rPr>
          <w:b/>
          <w:bCs/>
        </w:rPr>
      </w:pPr>
      <w:r>
        <w:rPr>
          <w:b/>
          <w:bCs/>
        </w:rPr>
        <w:t>THE OFFICE OF THE OHIO CONSUMERS’ COUNSEL</w:t>
      </w:r>
    </w:p>
    <w:p w:rsidR="00A044B5" w:rsidRPr="00BA0460" w:rsidP="00BA0460">
      <w:pPr>
        <w:pBdr>
          <w:bottom w:val="single" w:sz="12" w:space="1" w:color="auto"/>
        </w:pBdr>
        <w:tabs>
          <w:tab w:val="left" w:pos="4320"/>
        </w:tabs>
      </w:pPr>
    </w:p>
    <w:p w:rsidR="00847FDE" w:rsidP="001E370E">
      <w:pPr>
        <w:keepNext/>
        <w:keepLines/>
        <w:spacing w:before="240" w:after="240"/>
      </w:pPr>
      <w:r>
        <w:rPr>
          <w:b/>
        </w:rPr>
        <w:t>I.</w:t>
      </w:r>
      <w:r>
        <w:rPr>
          <w:b/>
        </w:rPr>
        <w:tab/>
        <w:t>INTRODUCTION</w:t>
      </w:r>
    </w:p>
    <w:p w:rsidR="00344C52" w:rsidP="00847FDE">
      <w:pPr>
        <w:spacing w:line="480" w:lineRule="auto"/>
        <w:ind w:firstLine="720"/>
      </w:pPr>
      <w:r>
        <w:t xml:space="preserve">Ohio Power Company (“AEP”) is taking the first step toward government approval of consumer subsidies for 900 monopoly megawatts of renewable energy power plants despite the General Assembly’s deregulation of power plants in Ohio. </w:t>
      </w:r>
      <w:r>
        <w:t xml:space="preserve">The PUCO Staff recognized the importance of this proceeding and filed a motion to allow </w:t>
      </w:r>
      <w:r w:rsidR="005400FA">
        <w:t xml:space="preserve">parties </w:t>
      </w:r>
      <w:r>
        <w:t xml:space="preserve">more time to </w:t>
      </w:r>
      <w:r w:rsidR="005400FA">
        <w:t>pursue</w:t>
      </w:r>
      <w:r>
        <w:t xml:space="preserve"> the</w:t>
      </w:r>
      <w:r w:rsidR="005400FA">
        <w:t xml:space="preserve"> numerous issues raised in AEP’s filings.</w:t>
      </w:r>
      <w:r>
        <w:rPr>
          <w:rStyle w:val="FootnoteReference"/>
        </w:rPr>
        <w:footnoteReference w:id="3"/>
      </w:r>
      <w:r>
        <w:t xml:space="preserve"> </w:t>
      </w:r>
      <w:r w:rsidR="00E463B7">
        <w:t>OCC generally supports the PUCO Staff’s approach but has also proposed a definitive procedural schedule.</w:t>
      </w:r>
      <w:r>
        <w:rPr>
          <w:rStyle w:val="FootnoteReference"/>
        </w:rPr>
        <w:footnoteReference w:id="4"/>
      </w:r>
      <w:r w:rsidR="00941546">
        <w:t xml:space="preserve">  </w:t>
      </w:r>
      <w:r>
        <w:t>AEP and</w:t>
      </w:r>
      <w:r w:rsidR="00F94D07">
        <w:t xml:space="preserve"> Natural Resources Defense Council (“NRDC”)</w:t>
      </w:r>
      <w:r>
        <w:t xml:space="preserve"> oppose the PUCO Staff proposal.</w:t>
      </w:r>
      <w:r>
        <w:rPr>
          <w:rStyle w:val="FootnoteReference"/>
        </w:rPr>
        <w:footnoteReference w:id="5"/>
      </w:r>
    </w:p>
    <w:p w:rsidR="00737B98" w:rsidP="00CC36DA">
      <w:pPr>
        <w:spacing w:line="480" w:lineRule="auto"/>
        <w:ind w:firstLine="720"/>
      </w:pPr>
      <w:r>
        <w:t>Though AEP and NRDC both admit that this case (and</w:t>
      </w:r>
      <w:r w:rsidRPr="003F43B7">
        <w:t xml:space="preserve"> </w:t>
      </w:r>
      <w:r>
        <w:t>Case Nos. 18-1392-EL-RDR and 18-1393-EL-ATA) presents novel and complex issues,</w:t>
      </w:r>
      <w:r>
        <w:rPr>
          <w:rStyle w:val="FootnoteReference"/>
        </w:rPr>
        <w:footnoteReference w:id="6"/>
      </w:r>
      <w:r>
        <w:t xml:space="preserve"> each still advocate for a </w:t>
      </w:r>
      <w:r>
        <w:t>very quick procedural schedule</w:t>
      </w:r>
      <w:r w:rsidR="00466F43">
        <w:t>, opposing S</w:t>
      </w:r>
      <w:r>
        <w:t>taff’s proposed</w:t>
      </w:r>
      <w:r w:rsidR="00466F43">
        <w:t xml:space="preserve"> schedule.</w:t>
      </w:r>
      <w:r>
        <w:t xml:space="preserve">  But they do so without considering upcoming, important regulatory developments from the Federal Energy Regulatory Commission (“FERC”)</w:t>
      </w:r>
      <w:r w:rsidR="00196DA5">
        <w:t xml:space="preserve"> that the PUCO should consider here</w:t>
      </w:r>
      <w:r>
        <w:t xml:space="preserve">.  They also do so on the </w:t>
      </w:r>
      <w:r w:rsidR="001F5748">
        <w:t>questionable</w:t>
      </w:r>
      <w:r>
        <w:t xml:space="preserve"> assertion that available tax credits will evaporate</w:t>
      </w:r>
      <w:r w:rsidR="00DD5DD6">
        <w:t xml:space="preserve"> within a short period of time</w:t>
      </w:r>
      <w:r>
        <w:t>.</w:t>
      </w:r>
    </w:p>
    <w:p w:rsidR="009956C6" w:rsidP="009956C6">
      <w:pPr>
        <w:ind w:firstLine="720"/>
      </w:pPr>
    </w:p>
    <w:p w:rsidR="00D0512C" w:rsidP="00A046DB">
      <w:pPr>
        <w:spacing w:line="480" w:lineRule="auto"/>
        <w:rPr>
          <w:b/>
        </w:rPr>
      </w:pPr>
      <w:r w:rsidRPr="0027098A">
        <w:rPr>
          <w:b/>
        </w:rPr>
        <w:t>II.</w:t>
      </w:r>
      <w:r>
        <w:rPr>
          <w:b/>
        </w:rPr>
        <w:tab/>
        <w:t>RECOMMENDATIONS</w:t>
      </w:r>
    </w:p>
    <w:p w:rsidR="00A45472" w:rsidP="00A45472">
      <w:pPr>
        <w:spacing w:line="480" w:lineRule="auto"/>
        <w:ind w:firstLine="720"/>
      </w:pPr>
      <w:r>
        <w:t>The PUCO should reject both AEP’s and NRDC’s proposed schedules in favor of the alternative schedule OCC proposed in its Memorandum Contra.</w:t>
      </w:r>
      <w:r>
        <w:rPr>
          <w:rStyle w:val="FootnoteReference"/>
        </w:rPr>
        <w:footnoteReference w:id="7"/>
      </w:r>
      <w:r>
        <w:t xml:space="preserve">  OCC’s proposed schedule</w:t>
      </w:r>
      <w:r w:rsidR="00344C52">
        <w:t xml:space="preserve"> is consistent with the PUCO Staff’s proposed schedule</w:t>
      </w:r>
      <w:r w:rsidR="00466F43">
        <w:t xml:space="preserve"> in that it </w:t>
      </w:r>
      <w:r>
        <w:t>allows parties time to develop a complete record in this complicated and relatively novel case</w:t>
      </w:r>
      <w:r w:rsidR="00466F43">
        <w:t xml:space="preserve">.  </w:t>
      </w:r>
    </w:p>
    <w:p w:rsidR="0007664F" w:rsidRPr="00941546" w:rsidP="00941546">
      <w:pPr>
        <w:pStyle w:val="ListParagraph"/>
        <w:numPr>
          <w:ilvl w:val="0"/>
          <w:numId w:val="9"/>
        </w:numPr>
        <w:ind w:right="720"/>
        <w:rPr>
          <w:b/>
        </w:rPr>
      </w:pPr>
      <w:r w:rsidRPr="00941546">
        <w:rPr>
          <w:b/>
        </w:rPr>
        <w:t xml:space="preserve">The PUCO should </w:t>
      </w:r>
      <w:r w:rsidRPr="00941546" w:rsidR="00E463B7">
        <w:rPr>
          <w:b/>
        </w:rPr>
        <w:t>not go forward until FERC rules on power plant subsidies</w:t>
      </w:r>
      <w:r w:rsidR="009956C6">
        <w:rPr>
          <w:b/>
        </w:rPr>
        <w:t>.</w:t>
      </w:r>
      <w:r w:rsidRPr="00941546" w:rsidR="00E463B7">
        <w:rPr>
          <w:b/>
        </w:rPr>
        <w:t xml:space="preserve"> </w:t>
      </w:r>
    </w:p>
    <w:p w:rsidR="00941546" w:rsidRPr="00941546" w:rsidP="00941546">
      <w:pPr>
        <w:pStyle w:val="ListParagraph"/>
        <w:ind w:left="1440" w:right="720"/>
        <w:rPr>
          <w:b/>
        </w:rPr>
      </w:pPr>
    </w:p>
    <w:p w:rsidR="00AB0EC6" w:rsidP="00AB0EC6">
      <w:pPr>
        <w:spacing w:line="480" w:lineRule="auto"/>
        <w:ind w:firstLine="720"/>
      </w:pPr>
      <w:bookmarkStart w:id="1" w:name="_Hlk526841464"/>
      <w:r>
        <w:t>AEP proposes that the PUCO hear this case in November.</w:t>
      </w:r>
      <w:r>
        <w:rPr>
          <w:rStyle w:val="FootnoteReference"/>
        </w:rPr>
        <w:footnoteReference w:id="8"/>
      </w:r>
      <w:r>
        <w:t xml:space="preserve">  NRDC proposes that the case </w:t>
      </w:r>
      <w:r>
        <w:t xml:space="preserve">be heard </w:t>
      </w:r>
      <w:r>
        <w:t>in January</w:t>
      </w:r>
      <w:r>
        <w:t>.</w:t>
      </w:r>
      <w:r>
        <w:rPr>
          <w:rStyle w:val="FootnoteReference"/>
        </w:rPr>
        <w:footnoteReference w:id="9"/>
      </w:r>
      <w:r>
        <w:t xml:space="preserve">  Both of these proposals, however,</w:t>
      </w:r>
      <w:r>
        <w:t xml:space="preserve"> would deprive the PUCO of the ability to consider </w:t>
      </w:r>
      <w:r>
        <w:t>important changes that FERC is considering that coul</w:t>
      </w:r>
      <w:r>
        <w:t>d have a material impact on costs that consumers will pay</w:t>
      </w:r>
      <w:r>
        <w:t xml:space="preserve"> for renewable power</w:t>
      </w:r>
      <w:r>
        <w:t>.</w:t>
      </w:r>
      <w:r>
        <w:t xml:space="preserve"> </w:t>
      </w:r>
    </w:p>
    <w:p w:rsidR="008126B2" w:rsidP="007C2DA3">
      <w:pPr>
        <w:spacing w:line="480" w:lineRule="auto"/>
        <w:ind w:firstLine="720"/>
      </w:pPr>
      <w:r>
        <w:t xml:space="preserve"> </w:t>
      </w:r>
      <w:r w:rsidR="007A0C5C">
        <w:t xml:space="preserve">FERC is considering proposals to limit subsidized power plants (including to limit subsidized renewable generation) from distorting the wholesale electricity market </w:t>
      </w:r>
      <w:r w:rsidR="007A0C5C">
        <w:t>and increasing the charges consumers pay for electricity.</w:t>
      </w:r>
      <w:bookmarkEnd w:id="1"/>
      <w:r w:rsidR="007A0C5C">
        <w:t xml:space="preserve"> PJM has asked FERC to issue a final order in the case by </w:t>
      </w:r>
      <w:r w:rsidRPr="00C440A4" w:rsidR="007A0C5C">
        <w:t>March 15, 2019.</w:t>
      </w:r>
      <w:r>
        <w:rPr>
          <w:rStyle w:val="FootnoteReference"/>
        </w:rPr>
        <w:footnoteReference w:id="10"/>
      </w:r>
      <w:r w:rsidR="007A0C5C">
        <w:t xml:space="preserve"> </w:t>
      </w:r>
      <w:bookmarkStart w:id="2" w:name="_Hlk526501101"/>
    </w:p>
    <w:p w:rsidR="00344C52" w:rsidP="004717B1">
      <w:pPr>
        <w:spacing w:line="480" w:lineRule="auto"/>
        <w:ind w:firstLine="720"/>
      </w:pPr>
      <w:r>
        <w:t>FERC’s decision could materially impact the revenue that AEP would ultimately derive from the PJM market</w:t>
      </w:r>
      <w:r w:rsidR="005400FA">
        <w:t>.</w:t>
      </w:r>
      <w:r>
        <w:t xml:space="preserve"> Under AEP’s proposal, the </w:t>
      </w:r>
      <w:r w:rsidR="005400FA">
        <w:t xml:space="preserve">renewable </w:t>
      </w:r>
      <w:r>
        <w:t xml:space="preserve">revenues would be netted against the cost to operate the renewable energy power plants. It is the netting of the costs and revenues from the renewable power plants that would determine whether AEP’s consumers receive a credit or a charge under AEP’s proposed renewable generation rider. According to AEP, the cost of the renewable power to customers is a crucial element in determining whether it is reasonable for the </w:t>
      </w:r>
      <w:r w:rsidR="00DD5DD6">
        <w:t xml:space="preserve">renewable power plants to be built and for AEP </w:t>
      </w:r>
      <w:r>
        <w:t xml:space="preserve">to charge </w:t>
      </w:r>
      <w:r w:rsidR="00DD5DD6">
        <w:t xml:space="preserve">its </w:t>
      </w:r>
      <w:r>
        <w:t xml:space="preserve">customers to subsidize renewable power.  </w:t>
      </w:r>
    </w:p>
    <w:p w:rsidR="00CE69FF" w:rsidP="004717B1">
      <w:pPr>
        <w:spacing w:line="480" w:lineRule="auto"/>
        <w:ind w:firstLine="720"/>
      </w:pPr>
      <w:r>
        <w:t xml:space="preserve">To properly evaluate the cost to consumers for the proposed renewable power plants, the PUCO will need to consider FERC’s ruling, which will affect revenues received under the PJM wholesale market. As the PUCO Staff recommends, the PUCO should schedule a hearing within ninety days of September 19, 2018, but that hearing should be called and continued. The hearing should be continued until after FERC’s ruling. The PUCO should order that within 30 days after FERC’s ruling, AEP should file updates to its application and testimony to account for FERC’s decision. An evidentiary hearing should be set no sooner than 90 days after AEP files its updates. </w:t>
      </w:r>
      <w:bookmarkEnd w:id="2"/>
      <w:r>
        <w:t xml:space="preserve">This measured approach is necessary in this case to protect consumers from paying unjust and unreasonable rates for monopoly, instead of market, megawatts.  </w:t>
      </w:r>
    </w:p>
    <w:p w:rsidR="006350FD" w:rsidP="00742BBA">
      <w:pPr>
        <w:spacing w:line="480" w:lineRule="auto"/>
        <w:ind w:firstLine="720"/>
      </w:pPr>
      <w:r>
        <w:t xml:space="preserve">If FERC adopts PJM’s recommended timing, the FERC order would be issued around March 15, 2019. AEP’s updated filings in this case would be due around April 14, 2019. And the hearing would begin no sooner than July 13, 2019. This approach would give parties more opportunity to develop a factual </w:t>
      </w:r>
      <w:r w:rsidR="001B7FAB">
        <w:t xml:space="preserve">and complete </w:t>
      </w:r>
      <w:r>
        <w:t xml:space="preserve">record on which the PUCO can base its decision. </w:t>
      </w:r>
    </w:p>
    <w:p w:rsidR="00837D3A" w:rsidP="003D12BE">
      <w:pPr>
        <w:ind w:left="1440" w:right="720" w:hanging="720"/>
        <w:rPr>
          <w:b/>
        </w:rPr>
      </w:pPr>
      <w:r>
        <w:rPr>
          <w:b/>
        </w:rPr>
        <w:t>B.</w:t>
      </w:r>
      <w:r>
        <w:rPr>
          <w:b/>
        </w:rPr>
        <w:tab/>
      </w:r>
      <w:r w:rsidR="00E463B7">
        <w:rPr>
          <w:b/>
        </w:rPr>
        <w:t xml:space="preserve">The PUCO should not pursue an </w:t>
      </w:r>
      <w:r>
        <w:rPr>
          <w:b/>
        </w:rPr>
        <w:t xml:space="preserve">expedited </w:t>
      </w:r>
      <w:r w:rsidR="003D12BE">
        <w:rPr>
          <w:b/>
        </w:rPr>
        <w:t>hearing schedule</w:t>
      </w:r>
      <w:r w:rsidR="00E463B7">
        <w:rPr>
          <w:b/>
        </w:rPr>
        <w:t xml:space="preserve"> for fear of losing tax credits. </w:t>
      </w:r>
    </w:p>
    <w:p w:rsidR="003D12BE" w:rsidP="003D12BE">
      <w:pPr>
        <w:ind w:left="1440" w:right="720" w:hanging="720"/>
        <w:rPr>
          <w:b/>
        </w:rPr>
      </w:pPr>
    </w:p>
    <w:p w:rsidR="003D12BE" w:rsidP="006D3F21">
      <w:pPr>
        <w:spacing w:line="480" w:lineRule="auto"/>
      </w:pPr>
      <w:r>
        <w:rPr>
          <w:b/>
        </w:rPr>
        <w:tab/>
      </w:r>
      <w:r>
        <w:t xml:space="preserve">Both AEP and NRDC oppose </w:t>
      </w:r>
      <w:r w:rsidR="007D0152">
        <w:t xml:space="preserve">the </w:t>
      </w:r>
      <w:r>
        <w:t xml:space="preserve">PUCO Staff </w:t>
      </w:r>
      <w:r w:rsidR="007D0152">
        <w:t>Motion</w:t>
      </w:r>
      <w:r>
        <w:t xml:space="preserve"> based on the availability of tax credits for renewable energy production.  AEP asserts that </w:t>
      </w:r>
      <w:r w:rsidR="007D0152">
        <w:t>the Motion</w:t>
      </w:r>
      <w:r>
        <w:t xml:space="preserve"> should be rejected because there is an “urgent need – based on the impending expiration of federal tax credits – to proceed with deliberate speed here.”</w:t>
      </w:r>
      <w:r>
        <w:rPr>
          <w:rStyle w:val="FootnoteReference"/>
        </w:rPr>
        <w:footnoteReference w:id="11"/>
      </w:r>
      <w:r>
        <w:t xml:space="preserve">  NRDC says that “a portion of the value of the projects predicated on this need filing provide is derived from the tax credits available.”</w:t>
      </w:r>
      <w:r>
        <w:rPr>
          <w:rStyle w:val="FootnoteReference"/>
        </w:rPr>
        <w:footnoteReference w:id="12"/>
      </w:r>
      <w:r>
        <w:t xml:space="preserve">  </w:t>
      </w:r>
    </w:p>
    <w:p w:rsidR="003D12BE" w:rsidP="003D12BE">
      <w:pPr>
        <w:spacing w:line="480" w:lineRule="auto"/>
        <w:ind w:firstLine="720"/>
      </w:pPr>
      <w:r>
        <w:t xml:space="preserve">But </w:t>
      </w:r>
      <w:r w:rsidR="00837D3A">
        <w:t xml:space="preserve">AEP’s own testimony confirms that the availability of </w:t>
      </w:r>
      <w:r w:rsidR="001B7FAB">
        <w:t xml:space="preserve">a limited and uncertain amount of </w:t>
      </w:r>
      <w:r w:rsidR="00837D3A">
        <w:t>tax credits should not drive the schedule under which this important, complex case is decided.</w:t>
      </w:r>
      <w:r>
        <w:t xml:space="preserve"> </w:t>
      </w:r>
      <w:r w:rsidR="00837D3A">
        <w:t>AEP Witness Allen explains that the production tax credit is available for every kilowatt-hour of energy “</w:t>
      </w:r>
      <w:r w:rsidR="00837D3A">
        <w:rPr>
          <w:i/>
        </w:rPr>
        <w:t>that is produced by a wind generator</w:t>
      </w:r>
      <w:r w:rsidR="00837D3A">
        <w:t>[.]”</w:t>
      </w:r>
      <w:r>
        <w:rPr>
          <w:rStyle w:val="FootnoteReference"/>
        </w:rPr>
        <w:footnoteReference w:id="13"/>
      </w:r>
      <w:r w:rsidR="00BC3D48">
        <w:t xml:space="preserve">  The investment tax credit is available “on the basis of qualified energy property placed in service during the tax year.”</w:t>
      </w:r>
      <w:r>
        <w:rPr>
          <w:rStyle w:val="FootnoteReference"/>
        </w:rPr>
        <w:footnoteReference w:id="14"/>
      </w:r>
      <w:r w:rsidR="00BC3D48">
        <w:t xml:space="preserve">  AEP itself qualifies for </w:t>
      </w:r>
      <w:r w:rsidR="000714F1">
        <w:t>n</w:t>
      </w:r>
      <w:r w:rsidR="00BC3D48">
        <w:t>either tax credit, according to its own testimony,</w:t>
      </w:r>
      <w:r w:rsidR="000714F1">
        <w:t xml:space="preserve"> as AEP will neither own nor operate the renewable generation facilities.</w:t>
      </w:r>
      <w:r>
        <w:rPr>
          <w:rStyle w:val="FootnoteReference"/>
        </w:rPr>
        <w:footnoteReference w:id="15"/>
      </w:r>
      <w:r w:rsidR="000714F1">
        <w:t xml:space="preserve">  It has simply entered into a contract to buy the facilities’ output.</w:t>
      </w:r>
      <w:r>
        <w:rPr>
          <w:rStyle w:val="FootnoteReference"/>
        </w:rPr>
        <w:footnoteReference w:id="16"/>
      </w:r>
      <w:r w:rsidR="000714F1">
        <w:t xml:space="preserve">  </w:t>
      </w:r>
      <w:r>
        <w:t xml:space="preserve">Without evidence </w:t>
      </w:r>
      <w:r w:rsidR="00344C52">
        <w:t>showing how c</w:t>
      </w:r>
      <w:r>
        <w:t xml:space="preserve">onsumers </w:t>
      </w:r>
      <w:r w:rsidR="00A45472">
        <w:t xml:space="preserve">will </w:t>
      </w:r>
      <w:r w:rsidR="00344C52">
        <w:t xml:space="preserve">directly </w:t>
      </w:r>
      <w:r>
        <w:t xml:space="preserve">benefits </w:t>
      </w:r>
      <w:r w:rsidR="00344C52">
        <w:t xml:space="preserve">from </w:t>
      </w:r>
      <w:r>
        <w:t>the tax credits</w:t>
      </w:r>
      <w:r w:rsidR="00344C52">
        <w:t xml:space="preserve">, it makes little sense to expedite matters solely on account of the </w:t>
      </w:r>
      <w:r w:rsidR="005400FA">
        <w:t xml:space="preserve">obtaining </w:t>
      </w:r>
      <w:r w:rsidR="00344C52">
        <w:t xml:space="preserve">tax credits.  </w:t>
      </w:r>
    </w:p>
    <w:p w:rsidR="007D0152" w:rsidP="006D3F21">
      <w:pPr>
        <w:spacing w:line="480" w:lineRule="auto"/>
      </w:pPr>
      <w:r>
        <w:tab/>
        <w:t>Further, any tax benefits associated with the proposed renewable energy projects would be equally available, according to AEP’s own testimony, were this case decided under a procedural schedule fair to all stakeholders rather than AEP’s and NRDC’s expedited schedule.  According to AEP Witness Allen, the tax credits are available for projects once construction begins.</w:t>
      </w:r>
      <w:r>
        <w:rPr>
          <w:rStyle w:val="FootnoteReference"/>
        </w:rPr>
        <w:footnoteReference w:id="17"/>
      </w:r>
      <w:r>
        <w:t xml:space="preserve">  Realistically, there is no chance that the PUCO could hear this case, issue a decision, and construction begin in 2018 – even under AEP’s and NRDC’s proposed schedules.  </w:t>
      </w:r>
      <w:r w:rsidR="006D3F21">
        <w:t xml:space="preserve">So considering what tax credits would be available for projects on which construction were to begin in 2018 is useless.  </w:t>
      </w:r>
    </w:p>
    <w:p w:rsidR="00837D3A" w:rsidRPr="00837D3A" w:rsidP="007D0152">
      <w:pPr>
        <w:spacing w:line="480" w:lineRule="auto"/>
        <w:ind w:firstLine="720"/>
      </w:pPr>
      <w:r>
        <w:t>But there are still tax credits available for renewable projects on which construction begins in 2019</w:t>
      </w:r>
      <w:r w:rsidR="007523E2">
        <w:t xml:space="preserve"> or late</w:t>
      </w:r>
      <w:r w:rsidR="00592F60">
        <w:t>r</w:t>
      </w:r>
      <w:r>
        <w:t>.</w:t>
      </w:r>
      <w:r>
        <w:rPr>
          <w:rStyle w:val="FootnoteReference"/>
        </w:rPr>
        <w:footnoteReference w:id="18"/>
      </w:r>
      <w:r>
        <w:t xml:space="preserve">  Thus, according to AEP’s own testimony, there is absolutely no benefit from shoe-horning this important, complex case into 2018 based on the availability of tax credits – construction on the projects will not realistically begin in 2018, and tax credits are available for projects on which construction begins in 2019.  </w:t>
      </w:r>
      <w:r w:rsidR="000714F1">
        <w:t xml:space="preserve"> </w:t>
      </w:r>
      <w:r w:rsidR="00BC3D48">
        <w:t xml:space="preserve"> </w:t>
      </w:r>
    </w:p>
    <w:p w:rsidR="00486C99" w:rsidRPr="00736FF6" w:rsidP="00FA696E">
      <w:pPr>
        <w:keepNext/>
        <w:keepLines/>
        <w:spacing w:after="240"/>
        <w:ind w:left="1440" w:right="720" w:hanging="720"/>
        <w:rPr>
          <w:b/>
        </w:rPr>
      </w:pPr>
      <w:r>
        <w:rPr>
          <w:b/>
        </w:rPr>
        <w:t>C</w:t>
      </w:r>
      <w:r w:rsidR="007A0C5C">
        <w:rPr>
          <w:b/>
        </w:rPr>
        <w:t>.</w:t>
      </w:r>
      <w:r w:rsidR="007A0C5C">
        <w:rPr>
          <w:b/>
        </w:rPr>
        <w:tab/>
        <w:t xml:space="preserve">The magnitude of </w:t>
      </w:r>
      <w:r w:rsidR="00E463B7">
        <w:rPr>
          <w:b/>
        </w:rPr>
        <w:t xml:space="preserve">power plant subsidies </w:t>
      </w:r>
      <w:r w:rsidR="007A0C5C">
        <w:rPr>
          <w:b/>
        </w:rPr>
        <w:t>consumers</w:t>
      </w:r>
      <w:r w:rsidR="00E463B7">
        <w:rPr>
          <w:b/>
        </w:rPr>
        <w:t xml:space="preserve"> are being asked to pay demands a</w:t>
      </w:r>
      <w:r w:rsidR="007A0C5C">
        <w:rPr>
          <w:b/>
        </w:rPr>
        <w:t xml:space="preserve"> deliberative approach to this case</w:t>
      </w:r>
      <w:r w:rsidR="007D0152">
        <w:rPr>
          <w:b/>
        </w:rPr>
        <w:t xml:space="preserve"> as recommended by Staff</w:t>
      </w:r>
      <w:r w:rsidR="00E463B7">
        <w:rPr>
          <w:b/>
        </w:rPr>
        <w:t xml:space="preserve"> and OCC</w:t>
      </w:r>
      <w:r w:rsidR="007A0C5C">
        <w:rPr>
          <w:b/>
        </w:rPr>
        <w:t xml:space="preserve">. </w:t>
      </w:r>
    </w:p>
    <w:p w:rsidR="00844130" w:rsidP="00742BBA">
      <w:pPr>
        <w:spacing w:line="480" w:lineRule="auto"/>
        <w:ind w:firstLine="720"/>
      </w:pPr>
      <w:r>
        <w:t xml:space="preserve">If the PUCO does not await FERC’s ruling, it should </w:t>
      </w:r>
      <w:r w:rsidR="00A45472">
        <w:t xml:space="preserve">nonetheless </w:t>
      </w:r>
      <w:r>
        <w:t>reject the proce</w:t>
      </w:r>
      <w:r w:rsidR="00344C52">
        <w:t xml:space="preserve">dural schedules </w:t>
      </w:r>
      <w:r>
        <w:t>requested by AEP</w:t>
      </w:r>
      <w:r w:rsidR="0014236E">
        <w:t xml:space="preserve"> and NRDC</w:t>
      </w:r>
      <w:r>
        <w:t>. In that instance, the PUCO should call and continue the hearing as recommended by the PUCO Staff.</w:t>
      </w:r>
      <w:r>
        <w:rPr>
          <w:rStyle w:val="FootnoteReference"/>
        </w:rPr>
        <w:footnoteReference w:id="19"/>
      </w:r>
      <w:r>
        <w:t xml:space="preserve"> And then early in 2019, after time for review and initial discovery, the PUCO should invite proposals from the parties for a case schedule and fair process. Adoption of a fair process</w:t>
      </w:r>
      <w:r>
        <w:rPr>
          <w:b/>
        </w:rPr>
        <w:t>—</w:t>
      </w:r>
      <w:r>
        <w:t>in this case involving hundreds of millions of dollars of power plant subsidies to be paid by 1.5 million captive monopoly customers</w:t>
      </w:r>
      <w:r>
        <w:rPr>
          <w:b/>
        </w:rPr>
        <w:t>—</w:t>
      </w:r>
      <w:r>
        <w:t xml:space="preserve">is </w:t>
      </w:r>
      <w:r w:rsidR="00466F43">
        <w:t xml:space="preserve">essential for </w:t>
      </w:r>
      <w:r>
        <w:t xml:space="preserve">the millions of Ohioans who </w:t>
      </w:r>
      <w:r w:rsidR="00466F43">
        <w:t>depend on market megawatts, not monopoly megawatts, to bring about</w:t>
      </w:r>
      <w:r>
        <w:t xml:space="preserve"> lower prices and higher innovation. </w:t>
      </w:r>
    </w:p>
    <w:p w:rsidR="00D0512C" w:rsidP="00D0512C">
      <w:pPr>
        <w:spacing w:line="480" w:lineRule="auto"/>
        <w:ind w:firstLine="720"/>
      </w:pPr>
      <w:r>
        <w:t>The current case, which could involve hundreds of millions of dollars of power plant subsidies to be paid by 1.5 million captive monopoly customers over the next twenty years, cannot reasonably be expected to be resolved in a mere 90 days, as AEP proposes.</w:t>
      </w:r>
      <w:r w:rsidRPr="00953570">
        <w:t xml:space="preserve"> </w:t>
      </w:r>
      <w:r w:rsidR="00344C52">
        <w:t>Nor is it possible to resolve these issue</w:t>
      </w:r>
      <w:r w:rsidR="005400FA">
        <w:t>s</w:t>
      </w:r>
      <w:r w:rsidR="00344C52">
        <w:t xml:space="preserve"> under the slightly better schedule proposed by NRDC.</w:t>
      </w:r>
      <w:r w:rsidR="00466F43">
        <w:t xml:space="preserve"> </w:t>
      </w:r>
      <w:r>
        <w:t xml:space="preserve">AEP’s </w:t>
      </w:r>
      <w:r w:rsidR="0014236E">
        <w:t xml:space="preserve">and NRDC’s </w:t>
      </w:r>
      <w:r>
        <w:t>proposed expedited hearing process in an important case like this would be an unfair process for consumers.</w:t>
      </w:r>
    </w:p>
    <w:p w:rsidR="00FA696E" w:rsidP="00FA696E">
      <w:pPr>
        <w:ind w:firstLine="720"/>
        <w:rPr>
          <w:i/>
        </w:rPr>
      </w:pPr>
    </w:p>
    <w:p w:rsidR="00C10F0B" w:rsidRPr="00356FCF" w:rsidP="00C10F0B">
      <w:pPr>
        <w:spacing w:line="480" w:lineRule="auto"/>
        <w:rPr>
          <w:b/>
        </w:rPr>
      </w:pPr>
      <w:r>
        <w:rPr>
          <w:b/>
        </w:rPr>
        <w:t>III.</w:t>
      </w:r>
      <w:r>
        <w:rPr>
          <w:b/>
        </w:rPr>
        <w:tab/>
        <w:t>CONCLUSION</w:t>
      </w:r>
    </w:p>
    <w:p w:rsidR="00844130" w:rsidRPr="00844130" w:rsidP="00C10F0B">
      <w:pPr>
        <w:spacing w:line="480" w:lineRule="auto"/>
        <w:ind w:firstLine="720"/>
        <w:rPr>
          <w:szCs w:val="24"/>
        </w:rPr>
      </w:pPr>
      <w:r>
        <w:t xml:space="preserve">The PUCO should reject AEP’s </w:t>
      </w:r>
      <w:r w:rsidR="0014236E">
        <w:t xml:space="preserve">and NRDC’s </w:t>
      </w:r>
      <w:r>
        <w:t>request</w:t>
      </w:r>
      <w:r w:rsidR="0014236E">
        <w:t>s</w:t>
      </w:r>
      <w:r>
        <w:t xml:space="preserve"> for </w:t>
      </w:r>
      <w:r w:rsidR="005400FA">
        <w:t xml:space="preserve">a procedural schedule </w:t>
      </w:r>
      <w:r>
        <w:t xml:space="preserve">that would not allow parties a reasonable opportunity to develop a factual record and make recommendations to the PUCO. The PUCO should find, as the PUCO Staff suggests, that AEP’s proposal warrants a deliberative process involving research, discovery, and due process for all parties. </w:t>
      </w:r>
      <w:r w:rsidR="00982465">
        <w:t xml:space="preserve">OCC’s proposed schedule does just that.  </w:t>
      </w:r>
      <w:r>
        <w:t>Ohio consumers deserve a fair process</w:t>
      </w:r>
      <w:r w:rsidR="00982465">
        <w:t xml:space="preserve">.  That fair process must allow for </w:t>
      </w:r>
      <w:r>
        <w:t>meaningful participation by all parties and the development of a complete record of all relevant facts and opinions</w:t>
      </w:r>
      <w:r w:rsidR="00982465">
        <w:t>.</w:t>
      </w:r>
      <w:r w:rsidR="003D12BE">
        <w:t xml:space="preserve"> </w:t>
      </w:r>
      <w:r w:rsidR="005400FA">
        <w:t xml:space="preserve">Accordingly, the PUCO should adopt the procedural schedule urged by OCC, consistent with its own Staff’s proposal.  </w:t>
      </w:r>
    </w:p>
    <w:p w:rsidR="003F3C28" w:rsidP="00A046DB">
      <w:pPr>
        <w:ind w:left="3600" w:firstLine="720"/>
        <w:rPr>
          <w:szCs w:val="24"/>
        </w:rPr>
      </w:pPr>
      <w:r>
        <w:rPr>
          <w:szCs w:val="24"/>
        </w:rPr>
        <w:t>Respectfully submitted,</w:t>
      </w:r>
    </w:p>
    <w:p w:rsidR="003F3C28" w:rsidP="003F3C28">
      <w:pPr>
        <w:pStyle w:val="Footer"/>
        <w:tabs>
          <w:tab w:val="left" w:pos="4320"/>
          <w:tab w:val="clear" w:pos="8640"/>
        </w:tabs>
        <w:spacing w:before="240"/>
        <w:rPr>
          <w:sz w:val="24"/>
          <w:szCs w:val="24"/>
        </w:rPr>
      </w:pPr>
      <w:r>
        <w:rPr>
          <w:sz w:val="24"/>
          <w:szCs w:val="24"/>
        </w:rPr>
        <w:tab/>
        <w:t>Bruce Weston (0016973)</w:t>
      </w:r>
    </w:p>
    <w:p w:rsidR="003F3C28" w:rsidP="003F3C28">
      <w:pPr>
        <w:tabs>
          <w:tab w:val="left" w:pos="4320"/>
        </w:tabs>
        <w:rPr>
          <w:szCs w:val="24"/>
        </w:rPr>
      </w:pPr>
      <w:r>
        <w:rPr>
          <w:szCs w:val="24"/>
        </w:rPr>
        <w:tab/>
        <w:t>Ohio Consumers’ Counsel</w:t>
      </w:r>
    </w:p>
    <w:p w:rsidR="003F3C28" w:rsidP="003F3C28">
      <w:pPr>
        <w:tabs>
          <w:tab w:val="left" w:pos="4320"/>
        </w:tabs>
        <w:rPr>
          <w:szCs w:val="24"/>
        </w:rPr>
      </w:pPr>
      <w:r>
        <w:rPr>
          <w:szCs w:val="24"/>
        </w:rPr>
        <w:tab/>
      </w:r>
    </w:p>
    <w:p w:rsidR="003F3C28" w:rsidP="003F3C28">
      <w:pPr>
        <w:tabs>
          <w:tab w:val="left" w:pos="4320"/>
        </w:tabs>
        <w:rPr>
          <w:szCs w:val="24"/>
        </w:rPr>
      </w:pPr>
      <w:r>
        <w:rPr>
          <w:szCs w:val="24"/>
        </w:rPr>
        <w:tab/>
      </w:r>
      <w:r>
        <w:rPr>
          <w:i/>
          <w:szCs w:val="24"/>
          <w:u w:val="single"/>
        </w:rPr>
        <w:t>/s Maureen R. Willis</w:t>
      </w:r>
      <w:r>
        <w:rPr>
          <w:i/>
          <w:szCs w:val="24"/>
          <w:u w:val="single"/>
        </w:rPr>
        <w:tab/>
      </w:r>
      <w:r>
        <w:rPr>
          <w:i/>
          <w:szCs w:val="24"/>
          <w:u w:val="single"/>
        </w:rPr>
        <w:tab/>
      </w:r>
      <w:r>
        <w:rPr>
          <w:i/>
          <w:szCs w:val="24"/>
          <w:u w:val="single"/>
        </w:rPr>
        <w:tab/>
      </w:r>
      <w:r>
        <w:rPr>
          <w:i/>
          <w:szCs w:val="24"/>
          <w:u w:val="single"/>
        </w:rPr>
        <w:tab/>
      </w:r>
      <w:r>
        <w:rPr>
          <w:szCs w:val="24"/>
        </w:rPr>
        <w:t xml:space="preserve"> </w:t>
      </w:r>
    </w:p>
    <w:p w:rsidR="003F3C28" w:rsidP="003F3C28">
      <w:pPr>
        <w:tabs>
          <w:tab w:val="left" w:pos="4320"/>
        </w:tabs>
        <w:rPr>
          <w:szCs w:val="24"/>
        </w:rPr>
      </w:pPr>
      <w:r>
        <w:rPr>
          <w:szCs w:val="24"/>
        </w:rPr>
        <w:tab/>
        <w:t xml:space="preserve">Maureen R. Willis, Counsel of Record </w:t>
      </w:r>
    </w:p>
    <w:p w:rsidR="003F3C28" w:rsidP="003F3C28">
      <w:pPr>
        <w:tabs>
          <w:tab w:val="left" w:pos="4320"/>
        </w:tabs>
        <w:rPr>
          <w:szCs w:val="24"/>
        </w:rPr>
      </w:pPr>
      <w:r>
        <w:rPr>
          <w:szCs w:val="24"/>
        </w:rPr>
        <w:tab/>
        <w:t>Senior Counsel (0020847)</w:t>
      </w:r>
    </w:p>
    <w:p w:rsidR="003F3C28" w:rsidP="003F3C28">
      <w:pPr>
        <w:tabs>
          <w:tab w:val="left" w:pos="4320"/>
        </w:tabs>
        <w:rPr>
          <w:szCs w:val="24"/>
        </w:rPr>
      </w:pPr>
      <w:r>
        <w:rPr>
          <w:szCs w:val="24"/>
        </w:rPr>
        <w:tab/>
        <w:t>William J. Michael (0070921)</w:t>
      </w:r>
    </w:p>
    <w:p w:rsidR="003F3C28" w:rsidP="003F3C28">
      <w:pPr>
        <w:tabs>
          <w:tab w:val="left" w:pos="4320"/>
        </w:tabs>
        <w:rPr>
          <w:szCs w:val="24"/>
        </w:rPr>
      </w:pPr>
      <w:r>
        <w:rPr>
          <w:szCs w:val="24"/>
        </w:rPr>
        <w:tab/>
        <w:t>Christopher Healey (0086027)</w:t>
      </w:r>
      <w:r>
        <w:rPr>
          <w:szCs w:val="24"/>
        </w:rPr>
        <w:tab/>
      </w:r>
    </w:p>
    <w:p w:rsidR="003F3C28" w:rsidP="003F3C28">
      <w:pPr>
        <w:tabs>
          <w:tab w:val="left" w:pos="4320"/>
        </w:tabs>
        <w:rPr>
          <w:szCs w:val="24"/>
        </w:rPr>
      </w:pPr>
      <w:r>
        <w:rPr>
          <w:szCs w:val="24"/>
        </w:rPr>
        <w:tab/>
        <w:t>Assistant Consumers’ Counsel</w:t>
      </w:r>
    </w:p>
    <w:p w:rsidR="003F3C28" w:rsidP="003F3C28">
      <w:pPr>
        <w:ind w:left="4320"/>
        <w:rPr>
          <w:b/>
        </w:rPr>
      </w:pPr>
    </w:p>
    <w:p w:rsidR="003F3C28" w:rsidRPr="00256ADD" w:rsidP="003F3C28">
      <w:pPr>
        <w:ind w:left="4320"/>
        <w:rPr>
          <w:b/>
        </w:rPr>
      </w:pPr>
      <w:r w:rsidRPr="00256ADD">
        <w:rPr>
          <w:b/>
        </w:rPr>
        <w:t>Office of the Ohio Consumers’ Counsel</w:t>
      </w:r>
    </w:p>
    <w:p w:rsidR="003F3C28" w:rsidRPr="00256ADD" w:rsidP="003F3C28">
      <w:pPr>
        <w:ind w:left="4320"/>
      </w:pPr>
      <w:r w:rsidRPr="00256ADD">
        <w:t>65 East State Street, 7</w:t>
      </w:r>
      <w:r>
        <w:t>th</w:t>
      </w:r>
      <w:r w:rsidRPr="00256ADD">
        <w:t xml:space="preserve"> Floor</w:t>
      </w:r>
    </w:p>
    <w:p w:rsidR="003F3C28" w:rsidRPr="00256ADD" w:rsidP="003F3C28">
      <w:pPr>
        <w:ind w:left="4320"/>
      </w:pPr>
      <w:r w:rsidRPr="00256ADD">
        <w:t>Columbus, Ohio 43215</w:t>
      </w:r>
    </w:p>
    <w:p w:rsidR="003F3C28" w:rsidP="003F3C28">
      <w:pPr>
        <w:autoSpaceDE w:val="0"/>
        <w:autoSpaceDN w:val="0"/>
        <w:adjustRightInd w:val="0"/>
        <w:ind w:left="3600" w:firstLine="720"/>
        <w:rPr>
          <w:szCs w:val="24"/>
        </w:rPr>
      </w:pPr>
      <w:r>
        <w:rPr>
          <w:szCs w:val="24"/>
        </w:rPr>
        <w:t>Telephone [Willis]: (614) 466-9567</w:t>
      </w:r>
    </w:p>
    <w:p w:rsidR="003F3C28" w:rsidP="003F3C28">
      <w:pPr>
        <w:autoSpaceDE w:val="0"/>
        <w:autoSpaceDN w:val="0"/>
        <w:adjustRightInd w:val="0"/>
        <w:ind w:left="3600" w:firstLine="720"/>
        <w:rPr>
          <w:szCs w:val="24"/>
        </w:rPr>
      </w:pPr>
      <w:r>
        <w:rPr>
          <w:szCs w:val="24"/>
        </w:rPr>
        <w:t>Telephone [Michael]: (614) 466-1291</w:t>
      </w:r>
    </w:p>
    <w:p w:rsidR="003F3C28" w:rsidP="003F3C28">
      <w:pPr>
        <w:autoSpaceDE w:val="0"/>
        <w:autoSpaceDN w:val="0"/>
        <w:adjustRightInd w:val="0"/>
        <w:ind w:left="3600" w:firstLine="720"/>
        <w:rPr>
          <w:szCs w:val="24"/>
        </w:rPr>
      </w:pPr>
      <w:r>
        <w:rPr>
          <w:szCs w:val="24"/>
        </w:rPr>
        <w:t>Telephone [Healey]: (614) 466-9571</w:t>
      </w:r>
    </w:p>
    <w:p w:rsidR="003F3C28" w:rsidP="003F3C28">
      <w:pPr>
        <w:autoSpaceDE w:val="0"/>
        <w:autoSpaceDN w:val="0"/>
        <w:adjustRightInd w:val="0"/>
        <w:ind w:left="3600" w:firstLine="720"/>
        <w:rPr>
          <w:szCs w:val="24"/>
        </w:rPr>
      </w:pPr>
      <w:r w:rsidRPr="008B3748">
        <w:rPr>
          <w:szCs w:val="24"/>
        </w:rPr>
        <w:t>Maureen.willis@occ.ohio.gov</w:t>
      </w:r>
    </w:p>
    <w:p w:rsidR="003F3C28" w:rsidP="003F3C28">
      <w:pPr>
        <w:autoSpaceDE w:val="0"/>
        <w:autoSpaceDN w:val="0"/>
        <w:adjustRightInd w:val="0"/>
        <w:ind w:left="3600" w:firstLine="720"/>
        <w:rPr>
          <w:szCs w:val="24"/>
        </w:rPr>
      </w:pPr>
      <w:r w:rsidRPr="003F3221">
        <w:rPr>
          <w:szCs w:val="24"/>
        </w:rPr>
        <w:t>William.michael@occ.ohio.gov</w:t>
      </w:r>
    </w:p>
    <w:p w:rsidR="003F3C28" w:rsidP="003F3C28">
      <w:pPr>
        <w:autoSpaceDE w:val="0"/>
        <w:autoSpaceDN w:val="0"/>
        <w:adjustRightInd w:val="0"/>
        <w:ind w:left="3600" w:firstLine="720"/>
      </w:pPr>
      <w:r w:rsidRPr="003F3221">
        <w:rPr>
          <w:szCs w:val="24"/>
        </w:rPr>
        <w:t>Christopher.healey@occ.ohio.gov</w:t>
      </w:r>
    </w:p>
    <w:p w:rsidR="00B329F1" w:rsidP="003F3C28">
      <w:pPr>
        <w:autoSpaceDE w:val="0"/>
        <w:autoSpaceDN w:val="0"/>
        <w:adjustRightInd w:val="0"/>
        <w:ind w:left="3600" w:firstLine="720"/>
        <w:rPr>
          <w:szCs w:val="24"/>
        </w:rPr>
      </w:pPr>
      <w:r>
        <w:rPr>
          <w:szCs w:val="24"/>
        </w:rPr>
        <w:t>(Willing to accept service by e-mail)</w:t>
      </w:r>
    </w:p>
    <w:p w:rsidR="00B329F1" w:rsidRPr="00F155BE" w:rsidP="007628B3">
      <w:pPr>
        <w:rPr>
          <w:szCs w:val="24"/>
        </w:rPr>
      </w:pPr>
    </w:p>
    <w:p w:rsidR="00A044B5" w:rsidP="00B329F1">
      <w:pPr>
        <w:pStyle w:val="BodyTextIndent3"/>
        <w:widowControl w:val="0"/>
        <w:spacing w:line="480" w:lineRule="auto"/>
        <w:ind w:right="-24"/>
        <w:jc w:val="center"/>
        <w:rPr>
          <w:b/>
          <w:bCs/>
          <w:u w:val="single"/>
        </w:rPr>
      </w:pPr>
      <w:r>
        <w:rPr>
          <w:szCs w:val="24"/>
        </w:rPr>
        <w:br w:type="page"/>
      </w:r>
      <w:r>
        <w:rPr>
          <w:b/>
          <w:bCs/>
          <w:u w:val="single"/>
        </w:rPr>
        <w:t>CERTIFICATE OF SERVICE</w:t>
      </w:r>
    </w:p>
    <w:p w:rsidR="00A044B5">
      <w:pPr>
        <w:spacing w:line="480" w:lineRule="atLeast"/>
      </w:pPr>
      <w:r>
        <w:tab/>
        <w:t xml:space="preserve">I hereby certify that a copy of this </w:t>
      </w:r>
      <w:r w:rsidR="009956C6">
        <w:t>Reply</w:t>
      </w:r>
      <w:r>
        <w:t xml:space="preserve"> was served on the persons stated below </w:t>
      </w:r>
      <w:r w:rsidRPr="00CE69FF">
        <w:t>via</w:t>
      </w:r>
      <w:r>
        <w:t xml:space="preserve"> electronic transmission, this </w:t>
      </w:r>
      <w:r w:rsidR="00A046DB">
        <w:t>1</w:t>
      </w:r>
      <w:r w:rsidR="009956C6">
        <w:t>6</w:t>
      </w:r>
      <w:r>
        <w:t>th day of October 2018.</w:t>
      </w:r>
    </w:p>
    <w:p w:rsidR="00A044B5">
      <w:pPr>
        <w:spacing w:line="480" w:lineRule="atLeast"/>
      </w:pPr>
    </w:p>
    <w:p w:rsidR="00A044B5">
      <w:pPr>
        <w:tabs>
          <w:tab w:val="left" w:pos="4320"/>
        </w:tabs>
      </w:pPr>
      <w:r>
        <w:tab/>
      </w:r>
      <w:r>
        <w:rPr>
          <w:i/>
          <w:u w:val="single"/>
        </w:rPr>
        <w:t>/s/ Maureen R. Willis</w:t>
      </w:r>
      <w:r>
        <w:t>____________</w:t>
      </w:r>
    </w:p>
    <w:p w:rsidR="00A044B5">
      <w:pPr>
        <w:tabs>
          <w:tab w:val="left" w:pos="4320"/>
        </w:tabs>
      </w:pPr>
      <w:r>
        <w:tab/>
        <w:t>Maureen R. Willis</w:t>
      </w:r>
    </w:p>
    <w:p w:rsidR="00A044B5">
      <w:pPr>
        <w:tabs>
          <w:tab w:val="left" w:pos="4320"/>
        </w:tabs>
      </w:pPr>
      <w:r>
        <w:tab/>
        <w:t>Counsel of Record</w:t>
      </w:r>
    </w:p>
    <w:p w:rsidR="00A044B5">
      <w:pPr>
        <w:pStyle w:val="CommentSubject"/>
      </w:pPr>
    </w:p>
    <w:p w:rsidR="00A044B5">
      <w:pPr>
        <w:pStyle w:val="CommentText"/>
      </w:pPr>
    </w:p>
    <w:p w:rsidR="00FA696E" w:rsidRPr="000673AF" w:rsidP="00FA696E">
      <w:pPr>
        <w:pStyle w:val="CommentText"/>
        <w:jc w:val="center"/>
        <w:rPr>
          <w:b/>
          <w:u w:val="single"/>
        </w:rPr>
      </w:pPr>
      <w:r w:rsidRPr="000673AF">
        <w:rPr>
          <w:b/>
          <w:u w:val="single"/>
        </w:rPr>
        <w:t>SERVICE LIST</w:t>
      </w:r>
    </w:p>
    <w:p w:rsidR="00FA696E" w:rsidRPr="000673AF" w:rsidP="00FA696E">
      <w:pPr>
        <w:pStyle w:val="CommentText"/>
        <w:jc w:val="center"/>
        <w:rPr>
          <w:b/>
          <w:u w:val="single"/>
        </w:rPr>
      </w:pPr>
    </w:p>
    <w:p w:rsidR="00FA696E" w:rsidRPr="000673AF" w:rsidP="00FA696E">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742"/>
        <w:gridCol w:w="3898"/>
      </w:tblGrid>
      <w:tr w:rsidTr="00A1286B">
        <w:tblPrEx>
          <w:tblW w:w="0" w:type="auto"/>
          <w:tblInd w:w="0" w:type="dxa"/>
          <w:tblCellMar>
            <w:top w:w="0" w:type="dxa"/>
            <w:left w:w="108" w:type="dxa"/>
            <w:bottom w:w="0" w:type="dxa"/>
            <w:right w:w="108" w:type="dxa"/>
          </w:tblCellMar>
          <w:tblLook w:val="04A0"/>
        </w:tblPrEx>
        <w:tc>
          <w:tcPr>
            <w:tcW w:w="4788" w:type="dxa"/>
          </w:tcPr>
          <w:p w:rsidR="00FA696E" w:rsidRPr="000673AF" w:rsidP="00A1286B">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"mailto:Thomas.mcnamee@ohioattorneygeneral.gov" </w:instrText>
            </w:r>
            <w:r>
              <w:fldChar w:fldCharType="separate"/>
            </w:r>
            <w:r w:rsidRPr="000673AF" w:rsidR="007A0C5C">
              <w:rPr>
                <w:rStyle w:val="Hyperlink"/>
                <w:bCs/>
                <w:color w:val="0000FF"/>
                <w:sz w:val="24"/>
                <w:u w:val="single"/>
                <w:lang w:val="en-US" w:eastAsia="en-US" w:bidi="ar-SA"/>
              </w:rPr>
              <w:t>Thomas.mcnamee@ohioattorneygeneral.gov</w:t>
            </w:r>
            <w:r>
              <w:fldChar w:fldCharType="end"/>
            </w:r>
          </w:p>
          <w:p w:rsidR="00FA696E" w:rsidRPr="000673AF" w:rsidP="00A1286B">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"mailto:kboehm@BKLlawfirm.com" </w:instrText>
            </w:r>
            <w:r>
              <w:fldChar w:fldCharType="separate"/>
            </w:r>
            <w:r w:rsidRPr="000673AF" w:rsidR="007A0C5C">
              <w:rPr>
                <w:rStyle w:val="Hyperlink"/>
                <w:bCs/>
                <w:color w:val="0000FF"/>
                <w:sz w:val="24"/>
                <w:u w:val="single"/>
                <w:lang w:val="en-US" w:eastAsia="en-US" w:bidi="ar-SA"/>
              </w:rPr>
              <w:t>kboehm@BKLlawfirm.com</w:t>
            </w:r>
            <w:r>
              <w:fldChar w:fldCharType="end"/>
            </w:r>
          </w:p>
          <w:p w:rsidR="00FA696E" w:rsidRPr="000673AF" w:rsidP="00A1286B">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"mailto:jkylercohn@BKLlawfirm.com" </w:instrText>
            </w:r>
            <w:r>
              <w:fldChar w:fldCharType="separate"/>
            </w:r>
            <w:r w:rsidRPr="000673AF" w:rsidR="007A0C5C">
              <w:rPr>
                <w:rStyle w:val="Hyperlink"/>
                <w:bCs/>
                <w:color w:val="0000FF"/>
                <w:sz w:val="24"/>
                <w:u w:val="single"/>
                <w:lang w:val="en-US" w:eastAsia="en-US" w:bidi="ar-SA"/>
              </w:rPr>
              <w:t>jkylercohn@BKLlawfirm.com</w:t>
            </w:r>
            <w:r>
              <w:fldChar w:fldCharType="end"/>
            </w:r>
          </w:p>
          <w:p w:rsidR="00FA696E" w:rsidRPr="000673AF" w:rsidP="00A1286B">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"mailto:mpritchard@mwncmh.com" </w:instrText>
            </w:r>
            <w:r>
              <w:fldChar w:fldCharType="separate"/>
            </w:r>
            <w:r w:rsidRPr="000673AF" w:rsidR="007A0C5C">
              <w:rPr>
                <w:rStyle w:val="Hyperlink"/>
                <w:color w:val="0000FF"/>
                <w:sz w:val="24"/>
                <w:szCs w:val="24"/>
                <w:u w:val="single"/>
                <w:lang w:val="en-US" w:eastAsia="en-US" w:bidi="ar-SA"/>
              </w:rPr>
              <w:t>mpritchard@mwncmh.com</w:t>
            </w:r>
            <w:r>
              <w:fldChar w:fldCharType="end"/>
            </w:r>
          </w:p>
          <w:p w:rsidR="00FA696E" w:rsidRPr="000673AF" w:rsidP="00A1286B">
            <w:pPr>
              <w:autoSpaceDE w:val="0"/>
              <w:autoSpaceDN w:val="0"/>
              <w:adjustRightInd w:val="0"/>
              <w:rPr>
                <w:rStyle w:val="Hyperlink"/>
                <w:color w:val="0000FF"/>
                <w:sz w:val="24"/>
                <w:szCs w:val="24"/>
                <w:u w:val="single"/>
                <w:lang w:val="en-US" w:eastAsia="en-US" w:bidi="ar-SA"/>
              </w:rPr>
            </w:pPr>
            <w:r>
              <w:fldChar w:fldCharType="begin"/>
            </w:r>
            <w:r>
              <w:rPr>
                <w:sz w:val="24"/>
                <w:lang w:val="en-US" w:eastAsia="en-US" w:bidi="ar-SA"/>
              </w:rPr>
              <w:instrText xml:space="preserve"> HYPERLINK "mailto:fdarr@mwncmh.com" </w:instrText>
            </w:r>
            <w:r>
              <w:fldChar w:fldCharType="separate"/>
            </w:r>
            <w:r w:rsidRPr="000673AF" w:rsidR="007A0C5C">
              <w:rPr>
                <w:rStyle w:val="Hyperlink"/>
                <w:color w:val="0000FF"/>
                <w:sz w:val="24"/>
                <w:szCs w:val="24"/>
                <w:u w:val="single"/>
                <w:lang w:val="en-US" w:eastAsia="en-US" w:bidi="ar-SA"/>
              </w:rPr>
              <w:t>fdarr@mwncmh.com</w:t>
            </w:r>
            <w:r>
              <w:fldChar w:fldCharType="end"/>
            </w:r>
          </w:p>
          <w:p w:rsidR="00FA696E" w:rsidRPr="000673AF" w:rsidP="00A1286B">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"mailto:paul@carpenterlipps.com" </w:instrText>
            </w:r>
            <w:r>
              <w:fldChar w:fldCharType="separate"/>
            </w:r>
            <w:r w:rsidRPr="000673AF" w:rsidR="007A0C5C">
              <w:rPr>
                <w:rStyle w:val="Hyperlink"/>
                <w:rFonts w:eastAsiaTheme="minorHAnsi"/>
                <w:color w:val="0000FF"/>
                <w:sz w:val="24"/>
                <w:szCs w:val="24"/>
                <w:u w:val="single"/>
                <w:lang w:val="en-US" w:eastAsia="en-US" w:bidi="ar-SA"/>
              </w:rPr>
              <w:t>paul@carpenterlipps.com</w:t>
            </w:r>
            <w:r>
              <w:fldChar w:fldCharType="end"/>
            </w:r>
          </w:p>
          <w:p w:rsidR="00FA696E" w:rsidRPr="000673AF" w:rsidP="00A1286B">
            <w:pPr>
              <w:autoSpaceDE w:val="0"/>
              <w:autoSpaceDN w:val="0"/>
              <w:adjustRightInd w:val="0"/>
              <w:rPr>
                <w:rStyle w:val="DefaultParagraphFont"/>
                <w:rFonts w:eastAsiaTheme="minorHAnsi"/>
                <w:color w:val="0000FF"/>
                <w:sz w:val="24"/>
                <w:szCs w:val="24"/>
                <w:lang w:val="en-US" w:eastAsia="en-US" w:bidi="ar-SA"/>
              </w:rPr>
            </w:pPr>
            <w:r w:rsidRPr="000673AF">
              <w:rPr>
                <w:rFonts w:eastAsiaTheme="minorHAnsi"/>
                <w:color w:val="0000FF"/>
                <w:sz w:val="24"/>
                <w:szCs w:val="24"/>
                <w:lang w:val="en-US" w:eastAsia="en-US" w:bidi="ar-SA"/>
              </w:rPr>
              <w:t>Bojko@carpenterlipps.com</w:t>
            </w:r>
          </w:p>
          <w:p w:rsidR="00FA696E" w:rsidP="00A1286B">
            <w:pPr>
              <w:autoSpaceDE w:val="0"/>
              <w:autoSpaceDN w:val="0"/>
              <w:adjustRightInd w:val="0"/>
              <w:rPr>
                <w:rStyle w:val="DefaultParagraphFont"/>
                <w:rFonts w:eastAsiaTheme="minorHAnsi"/>
                <w:color w:val="0000FF"/>
                <w:sz w:val="24"/>
                <w:szCs w:val="24"/>
                <w:lang w:val="en-US" w:eastAsia="en-US" w:bidi="ar-SA"/>
              </w:rPr>
            </w:pPr>
            <w:r>
              <w:fldChar w:fldCharType="begin"/>
            </w:r>
            <w:r>
              <w:rPr>
                <w:sz w:val="24"/>
                <w:lang w:val="en-US" w:eastAsia="en-US" w:bidi="ar-SA"/>
              </w:rPr>
              <w:instrText xml:space="preserve"> HYPERLINK "mailto:Dressel@carpenterlipps.com" </w:instrText>
            </w:r>
            <w:r>
              <w:fldChar w:fldCharType="separate"/>
            </w:r>
            <w:r w:rsidRPr="002C528F" w:rsidR="007A0C5C">
              <w:rPr>
                <w:rStyle w:val="Hyperlink"/>
                <w:rFonts w:eastAsiaTheme="minorHAnsi"/>
                <w:color w:val="0000FF"/>
                <w:sz w:val="24"/>
                <w:szCs w:val="24"/>
                <w:u w:val="single"/>
                <w:lang w:val="en-US" w:eastAsia="en-US" w:bidi="ar-SA"/>
              </w:rPr>
              <w:t>Dressel@carpenterlipps.com</w:t>
            </w:r>
            <w:r>
              <w:fldChar w:fldCharType="end"/>
            </w:r>
          </w:p>
          <w:p w:rsidR="00FA696E" w:rsidP="00A1286B">
            <w:pPr>
              <w:autoSpaceDE w:val="0"/>
              <w:autoSpaceDN w:val="0"/>
              <w:adjustRightInd w:val="0"/>
              <w:rPr>
                <w:rStyle w:val="DefaultParagraphFont"/>
                <w:rFonts w:eastAsiaTheme="minorHAnsi"/>
                <w:color w:val="3C79D9"/>
                <w:sz w:val="24"/>
                <w:szCs w:val="24"/>
                <w:lang w:val="en-US" w:eastAsia="en-US" w:bidi="ar-SA"/>
              </w:rPr>
            </w:pPr>
            <w:r>
              <w:fldChar w:fldCharType="begin"/>
            </w:r>
            <w:r>
              <w:rPr>
                <w:sz w:val="24"/>
                <w:lang w:val="en-US" w:eastAsia="en-US" w:bidi="ar-SA"/>
              </w:rPr>
              <w:instrText xml:space="preserve"> HYPERLINK "mailto:mleppla@theOEC.org" </w:instrText>
            </w:r>
            <w:r>
              <w:fldChar w:fldCharType="separate"/>
            </w:r>
            <w:r w:rsidRPr="002C528F" w:rsidR="007A0C5C">
              <w:rPr>
                <w:rStyle w:val="Hyperlink"/>
                <w:rFonts w:eastAsiaTheme="minorHAnsi"/>
                <w:color w:val="0000FF"/>
                <w:sz w:val="24"/>
                <w:szCs w:val="24"/>
                <w:u w:val="single"/>
                <w:lang w:val="en-US" w:eastAsia="en-US" w:bidi="ar-SA"/>
              </w:rPr>
              <w:t>mleppla@theOEC.org</w:t>
            </w:r>
            <w:r>
              <w:fldChar w:fldCharType="end"/>
            </w:r>
          </w:p>
          <w:p w:rsidR="00FA696E" w:rsidRPr="000673AF" w:rsidP="00A1286B">
            <w:pPr>
              <w:autoSpaceDE w:val="0"/>
              <w:autoSpaceDN w:val="0"/>
              <w:adjustRightInd w:val="0"/>
              <w:rPr>
                <w:rStyle w:val="DefaultParagraphFont"/>
                <w:rFonts w:eastAsiaTheme="minorHAnsi"/>
                <w:sz w:val="24"/>
                <w:szCs w:val="24"/>
                <w:lang w:val="en-US" w:eastAsia="en-US" w:bidi="ar-SA"/>
              </w:rPr>
            </w:pPr>
          </w:p>
          <w:p w:rsidR="00FA696E" w:rsidRPr="000673AF" w:rsidP="00A1286B">
            <w:pPr>
              <w:autoSpaceDE w:val="0"/>
              <w:autoSpaceDN w:val="0"/>
              <w:adjustRightInd w:val="0"/>
              <w:rPr>
                <w:rStyle w:val="DefaultParagraphFont"/>
                <w:sz w:val="24"/>
                <w:szCs w:val="24"/>
                <w:lang w:val="en-US" w:eastAsia="en-US" w:bidi="ar-SA"/>
              </w:rPr>
            </w:pPr>
          </w:p>
          <w:p w:rsidR="00FA696E" w:rsidRPr="000673AF" w:rsidP="00A1286B">
            <w:pPr>
              <w:pStyle w:val="BodyText"/>
              <w:jc w:val="both"/>
              <w:rPr>
                <w:rStyle w:val="DefaultParagraphFont"/>
                <w:bCs/>
                <w:sz w:val="24"/>
                <w:lang w:val="en-US" w:eastAsia="en-US" w:bidi="ar-SA"/>
              </w:rPr>
            </w:pPr>
          </w:p>
          <w:p w:rsidR="00FA696E" w:rsidRPr="000673AF" w:rsidP="00A1286B">
            <w:pPr>
              <w:pStyle w:val="BodyText"/>
              <w:jc w:val="both"/>
              <w:rPr>
                <w:rStyle w:val="DefaultParagraphFont"/>
                <w:bCs/>
                <w:sz w:val="24"/>
                <w:lang w:val="en-US" w:eastAsia="en-US" w:bidi="ar-SA"/>
              </w:rPr>
            </w:pPr>
          </w:p>
          <w:p w:rsidR="00FA696E" w:rsidRPr="000673AF" w:rsidP="00A1286B">
            <w:pPr>
              <w:pStyle w:val="BodyText"/>
              <w:jc w:val="both"/>
              <w:rPr>
                <w:rStyle w:val="DefaultParagraphFont"/>
                <w:bCs/>
                <w:sz w:val="24"/>
                <w:lang w:val="en-US" w:eastAsia="en-US" w:bidi="ar-SA"/>
              </w:rPr>
            </w:pPr>
            <w:r w:rsidRPr="000673AF">
              <w:rPr>
                <w:bCs/>
                <w:sz w:val="24"/>
                <w:lang w:val="en-US" w:eastAsia="en-US" w:bidi="ar-SA"/>
              </w:rPr>
              <w:t>Attorney Examiners</w:t>
            </w:r>
          </w:p>
          <w:p w:rsidR="00FA696E" w:rsidRPr="000673AF" w:rsidP="00A1286B">
            <w:pPr>
              <w:pStyle w:val="BodyText"/>
              <w:jc w:val="both"/>
              <w:rPr>
                <w:rStyle w:val="DefaultParagraphFont"/>
                <w:bCs/>
                <w:sz w:val="24"/>
                <w:lang w:val="en-US" w:eastAsia="en-US" w:bidi="ar-SA"/>
              </w:rPr>
            </w:pPr>
          </w:p>
          <w:p w:rsidR="00FA696E" w:rsidRPr="000673AF" w:rsidP="00A1286B">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"mailto:Sarah.parrot@puc.oh.us.gov" </w:instrText>
            </w:r>
            <w:r>
              <w:fldChar w:fldCharType="separate"/>
            </w:r>
            <w:r w:rsidRPr="000673AF" w:rsidR="007A0C5C">
              <w:rPr>
                <w:rStyle w:val="Hyperlink"/>
                <w:bCs/>
                <w:color w:val="0000FF"/>
                <w:sz w:val="24"/>
                <w:u w:val="single"/>
                <w:lang w:val="en-US" w:eastAsia="en-US" w:bidi="ar-SA"/>
              </w:rPr>
              <w:t>Sarah.parrot@puc.oh.us.gov</w:t>
            </w:r>
            <w:r>
              <w:fldChar w:fldCharType="end"/>
            </w:r>
          </w:p>
          <w:p w:rsidR="00FA696E" w:rsidRPr="000673AF" w:rsidP="00A1286B">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"mailto:Greta.see@puc.oh.us.gov" </w:instrText>
            </w:r>
            <w:r>
              <w:fldChar w:fldCharType="separate"/>
            </w:r>
            <w:r w:rsidRPr="00663E05" w:rsidR="007A0C5C">
              <w:rPr>
                <w:rStyle w:val="Hyperlink"/>
                <w:bCs/>
                <w:color w:val="0000FF"/>
                <w:sz w:val="24"/>
                <w:u w:val="single"/>
                <w:lang w:val="en-US" w:eastAsia="en-US" w:bidi="ar-SA"/>
              </w:rPr>
              <w:t>Greta.see@puc.oh.us.gov</w:t>
            </w:r>
            <w:r>
              <w:fldChar w:fldCharType="end"/>
            </w:r>
          </w:p>
          <w:p w:rsidR="00FA696E" w:rsidRPr="000673AF" w:rsidP="00A1286B">
            <w:pPr>
              <w:pStyle w:val="BodyText"/>
              <w:jc w:val="both"/>
              <w:rPr>
                <w:rStyle w:val="DefaultParagraphFont"/>
                <w:bCs/>
                <w:sz w:val="24"/>
                <w:lang w:val="en-US" w:eastAsia="en-US" w:bidi="ar-SA"/>
              </w:rPr>
            </w:pPr>
          </w:p>
        </w:tc>
        <w:tc>
          <w:tcPr>
            <w:tcW w:w="4068" w:type="dxa"/>
          </w:tcPr>
          <w:p w:rsidR="00FA696E" w:rsidRPr="000673AF" w:rsidP="00A1286B">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"mailto:stnourse@aep.com" </w:instrText>
            </w:r>
            <w:r>
              <w:fldChar w:fldCharType="separate"/>
            </w:r>
            <w:r w:rsidRPr="000673AF" w:rsidR="007A0C5C">
              <w:rPr>
                <w:rStyle w:val="Hyperlink"/>
                <w:bCs/>
                <w:color w:val="0000FF"/>
                <w:sz w:val="24"/>
                <w:u w:val="single"/>
                <w:lang w:val="en-US" w:eastAsia="en-US" w:bidi="ar-SA"/>
              </w:rPr>
              <w:t>stnourse@aep.com</w:t>
            </w:r>
            <w:r>
              <w:fldChar w:fldCharType="end"/>
            </w:r>
          </w:p>
          <w:p w:rsidR="00FA696E" w:rsidRPr="000673AF" w:rsidP="00A1286B">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"mailto:cmblend@aep.com" </w:instrText>
            </w:r>
            <w:r>
              <w:fldChar w:fldCharType="separate"/>
            </w:r>
            <w:r w:rsidRPr="000673AF" w:rsidR="007A0C5C">
              <w:rPr>
                <w:rStyle w:val="Hyperlink"/>
                <w:bCs/>
                <w:color w:val="0000FF"/>
                <w:sz w:val="24"/>
                <w:u w:val="single"/>
                <w:lang w:val="en-US" w:eastAsia="en-US" w:bidi="ar-SA"/>
              </w:rPr>
              <w:t>cmblend@aep.com</w:t>
            </w:r>
            <w:r>
              <w:fldChar w:fldCharType="end"/>
            </w:r>
          </w:p>
          <w:p w:rsidR="00FA696E" w:rsidRPr="000673AF" w:rsidP="00A1286B">
            <w:pPr>
              <w:pStyle w:val="BodyText"/>
              <w:jc w:val="both"/>
              <w:rPr>
                <w:rStyle w:val="DefaultParagraphFont"/>
                <w:sz w:val="24"/>
                <w:szCs w:val="24"/>
                <w:lang w:val="en-US" w:eastAsia="en-US" w:bidi="ar-SA"/>
              </w:rPr>
            </w:pPr>
            <w:r>
              <w:fldChar w:fldCharType="begin"/>
            </w:r>
            <w:r>
              <w:rPr>
                <w:sz w:val="24"/>
                <w:lang w:val="en-US" w:eastAsia="en-US" w:bidi="ar-SA"/>
              </w:rPr>
              <w:instrText xml:space="preserve"> HYPERLINK "mailto:tony.mendoza@sierraclub.org" </w:instrText>
            </w:r>
            <w:r>
              <w:fldChar w:fldCharType="separate"/>
            </w:r>
            <w:r w:rsidRPr="000673AF" w:rsidR="007A0C5C">
              <w:rPr>
                <w:rStyle w:val="Hyperlink"/>
                <w:color w:val="0000FF"/>
                <w:sz w:val="24"/>
                <w:szCs w:val="24"/>
                <w:u w:val="single"/>
                <w:lang w:val="en-US" w:eastAsia="en-US" w:bidi="ar-SA"/>
              </w:rPr>
              <w:t>tony.mendoza@sierraclub.org</w:t>
            </w:r>
            <w:r>
              <w:fldChar w:fldCharType="end"/>
            </w:r>
          </w:p>
          <w:p w:rsidR="00FA696E" w:rsidRPr="000673AF" w:rsidP="00A1286B">
            <w:pPr>
              <w:pStyle w:val="BodyText"/>
              <w:jc w:val="both"/>
              <w:rPr>
                <w:rStyle w:val="DefaultParagraphFont"/>
                <w:sz w:val="24"/>
                <w:szCs w:val="24"/>
                <w:lang w:val="en-US" w:eastAsia="en-US" w:bidi="ar-SA"/>
              </w:rPr>
            </w:pPr>
            <w:r>
              <w:fldChar w:fldCharType="begin"/>
            </w:r>
            <w:r>
              <w:rPr>
                <w:sz w:val="24"/>
                <w:lang w:val="en-US" w:eastAsia="en-US" w:bidi="ar-SA"/>
              </w:rPr>
              <w:instrText xml:space="preserve"> HYPERLINK "mailto:rsahli@columbus.rr.com" </w:instrText>
            </w:r>
            <w:r>
              <w:fldChar w:fldCharType="separate"/>
            </w:r>
            <w:r w:rsidRPr="000673AF" w:rsidR="007A0C5C">
              <w:rPr>
                <w:rStyle w:val="Hyperlink"/>
                <w:color w:val="0000FF"/>
                <w:sz w:val="24"/>
                <w:szCs w:val="24"/>
                <w:u w:val="single"/>
                <w:lang w:val="en-US" w:eastAsia="en-US" w:bidi="ar-SA"/>
              </w:rPr>
              <w:t>rsahli@columbus.rr.com</w:t>
            </w:r>
            <w:r>
              <w:fldChar w:fldCharType="end"/>
            </w:r>
          </w:p>
          <w:p w:rsidR="00FA696E" w:rsidRPr="000673AF" w:rsidP="00A1286B">
            <w:pPr>
              <w:pStyle w:val="BodyText"/>
              <w:jc w:val="both"/>
              <w:rPr>
                <w:rStyle w:val="Hyperlink"/>
                <w:color w:val="0000FF"/>
                <w:sz w:val="24"/>
                <w:szCs w:val="24"/>
                <w:u w:val="single"/>
                <w:lang w:val="en-US" w:eastAsia="en-US" w:bidi="ar-SA"/>
              </w:rPr>
            </w:pPr>
            <w:r>
              <w:fldChar w:fldCharType="begin"/>
            </w:r>
            <w:r>
              <w:rPr>
                <w:sz w:val="24"/>
                <w:lang w:val="en-US" w:eastAsia="en-US" w:bidi="ar-SA"/>
              </w:rPr>
              <w:instrText xml:space="preserve"> HYPERLINK "mailto:cmooney@ohiopartners.org" </w:instrText>
            </w:r>
            <w:r>
              <w:fldChar w:fldCharType="separate"/>
            </w:r>
            <w:r w:rsidRPr="000673AF" w:rsidR="007A0C5C">
              <w:rPr>
                <w:rStyle w:val="Hyperlink"/>
                <w:color w:val="0000FF"/>
                <w:sz w:val="24"/>
                <w:szCs w:val="24"/>
                <w:u w:val="single"/>
                <w:lang w:val="en-US" w:eastAsia="en-US" w:bidi="ar-SA"/>
              </w:rPr>
              <w:t>cmooney@ohiopartners.org</w:t>
            </w:r>
            <w:r>
              <w:fldChar w:fldCharType="end"/>
            </w:r>
          </w:p>
          <w:p w:rsidR="00FA696E" w:rsidRPr="000673AF" w:rsidP="00A1286B">
            <w:pPr>
              <w:pStyle w:val="BodyText"/>
              <w:jc w:val="both"/>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"mailto:mnugent@igsenergy.com" </w:instrText>
            </w:r>
            <w:r>
              <w:fldChar w:fldCharType="separate"/>
            </w:r>
            <w:r w:rsidRPr="000673AF" w:rsidR="007A0C5C">
              <w:rPr>
                <w:rStyle w:val="Hyperlink"/>
                <w:rFonts w:eastAsiaTheme="minorHAnsi"/>
                <w:color w:val="0000FF"/>
                <w:sz w:val="24"/>
                <w:szCs w:val="24"/>
                <w:u w:val="single"/>
                <w:lang w:val="en-US" w:eastAsia="en-US" w:bidi="ar-SA"/>
              </w:rPr>
              <w:t>mnugent@igsenergy.com</w:t>
            </w:r>
            <w:r>
              <w:fldChar w:fldCharType="end"/>
            </w:r>
          </w:p>
          <w:p w:rsidR="00FA696E" w:rsidP="00A1286B">
            <w:pPr>
              <w:pStyle w:val="BodyText"/>
              <w:jc w:val="both"/>
              <w:rPr>
                <w:rStyle w:val="Hyperlink"/>
                <w:rFonts w:eastAsiaTheme="minorHAnsi"/>
                <w:color w:val="0000FF"/>
                <w:sz w:val="24"/>
                <w:szCs w:val="24"/>
                <w:u w:val="single"/>
                <w:lang w:val="en-US" w:eastAsia="en-US" w:bidi="ar-SA"/>
              </w:rPr>
            </w:pPr>
            <w:r>
              <w:fldChar w:fldCharType="begin"/>
            </w:r>
            <w:r>
              <w:rPr>
                <w:sz w:val="24"/>
                <w:lang w:val="en-US" w:eastAsia="en-US" w:bidi="ar-SA"/>
              </w:rPr>
              <w:instrText xml:space="preserve"> HYPERLINK "mailto:joliker@igsenergy.com" </w:instrText>
            </w:r>
            <w:r>
              <w:fldChar w:fldCharType="separate"/>
            </w:r>
            <w:r w:rsidRPr="000B27D0" w:rsidR="007A0C5C">
              <w:rPr>
                <w:rStyle w:val="Hyperlink"/>
                <w:rFonts w:eastAsiaTheme="minorHAnsi"/>
                <w:color w:val="0000FF"/>
                <w:sz w:val="24"/>
                <w:szCs w:val="24"/>
                <w:u w:val="single"/>
                <w:lang w:val="en-US" w:eastAsia="en-US" w:bidi="ar-SA"/>
              </w:rPr>
              <w:t>joliker@igsenergy.com</w:t>
            </w:r>
            <w:r>
              <w:fldChar w:fldCharType="end"/>
            </w:r>
          </w:p>
          <w:p w:rsidR="00FA696E" w:rsidP="00A1286B">
            <w:pPr>
              <w:pStyle w:val="BodyText"/>
              <w:jc w:val="both"/>
              <w:rPr>
                <w:rStyle w:val="Hyperlink"/>
                <w:rFonts w:eastAsiaTheme="minorHAnsi"/>
                <w:color w:val="0000FF"/>
                <w:sz w:val="24"/>
                <w:szCs w:val="24"/>
                <w:u w:val="single"/>
                <w:lang w:val="en-US" w:eastAsia="en-US" w:bidi="ar-SA"/>
              </w:rPr>
            </w:pPr>
            <w:r>
              <w:fldChar w:fldCharType="begin"/>
            </w:r>
            <w:r>
              <w:rPr>
                <w:sz w:val="24"/>
                <w:lang w:val="en-US" w:eastAsia="en-US" w:bidi="ar-SA"/>
              </w:rPr>
              <w:instrText xml:space="preserve"> HYPERLINK "mailto:rdove@attorneydove.com" </w:instrText>
            </w:r>
            <w:r>
              <w:fldChar w:fldCharType="separate"/>
            </w:r>
            <w:r w:rsidRPr="002C528F" w:rsidR="007A0C5C">
              <w:rPr>
                <w:rStyle w:val="Hyperlink"/>
                <w:rFonts w:eastAsiaTheme="minorHAnsi"/>
                <w:color w:val="0000FF"/>
                <w:sz w:val="24"/>
                <w:szCs w:val="24"/>
                <w:u w:val="single"/>
                <w:lang w:val="en-US" w:eastAsia="en-US" w:bidi="ar-SA"/>
              </w:rPr>
              <w:t>rdove@attorneydove.com</w:t>
            </w:r>
            <w:r>
              <w:fldChar w:fldCharType="end"/>
            </w:r>
          </w:p>
          <w:p w:rsidR="00FA696E" w:rsidP="00A1286B">
            <w:pPr>
              <w:autoSpaceDE w:val="0"/>
              <w:autoSpaceDN w:val="0"/>
              <w:adjustRightInd w:val="0"/>
              <w:rPr>
                <w:rStyle w:val="DefaultParagraphFont"/>
                <w:rFonts w:ascii="TimesNewRomanPSMT" w:hAnsi="TimesNewRomanPSMT" w:eastAsiaTheme="minorHAnsi" w:cs="TimesNewRomanPSMT"/>
                <w:sz w:val="24"/>
                <w:szCs w:val="24"/>
                <w:lang w:val="en-US" w:eastAsia="en-US" w:bidi="ar-SA"/>
              </w:rPr>
            </w:pPr>
            <w:r>
              <w:fldChar w:fldCharType="begin"/>
            </w:r>
            <w:r>
              <w:rPr>
                <w:sz w:val="24"/>
                <w:lang w:val="en-US" w:eastAsia="en-US" w:bidi="ar-SA"/>
              </w:rPr>
              <w:instrText xml:space="preserve"> HYPERLINK "mailto:whitt@whitt-sturtevant.com" </w:instrText>
            </w:r>
            <w:r>
              <w:fldChar w:fldCharType="separate"/>
            </w:r>
            <w:r w:rsidRPr="00E726E1" w:rsidR="007A0C5C">
              <w:rPr>
                <w:rStyle w:val="Hyperlink"/>
                <w:rFonts w:ascii="TimesNewRomanPSMT" w:hAnsi="TimesNewRomanPSMT" w:eastAsiaTheme="minorHAnsi" w:cs="TimesNewRomanPSMT"/>
                <w:color w:val="0000FF"/>
                <w:sz w:val="24"/>
                <w:szCs w:val="24"/>
                <w:u w:val="single"/>
                <w:lang w:val="en-US" w:eastAsia="en-US" w:bidi="ar-SA"/>
              </w:rPr>
              <w:t>whitt@whitt-sturtevant.com</w:t>
            </w:r>
            <w:r>
              <w:fldChar w:fldCharType="end"/>
            </w:r>
          </w:p>
          <w:p w:rsidR="00FA696E" w:rsidP="00A1286B">
            <w:pPr>
              <w:pStyle w:val="BodyText"/>
              <w:jc w:val="both"/>
              <w:rPr>
                <w:rStyle w:val="DefaultParagraphFont"/>
                <w:rFonts w:ascii="TimesNewRomanPSMT" w:hAnsi="TimesNewRomanPSMT" w:eastAsiaTheme="minorHAnsi" w:cs="TimesNewRomanPSMT"/>
                <w:sz w:val="24"/>
                <w:szCs w:val="24"/>
                <w:lang w:val="en-US" w:eastAsia="en-US" w:bidi="ar-SA"/>
              </w:rPr>
            </w:pPr>
            <w:r>
              <w:fldChar w:fldCharType="begin"/>
            </w:r>
            <w:r>
              <w:rPr>
                <w:sz w:val="24"/>
                <w:lang w:val="en-US" w:eastAsia="en-US" w:bidi="ar-SA"/>
              </w:rPr>
              <w:instrText xml:space="preserve"> HYPERLINK "mailto:glover@whitt-sturtevant.com" </w:instrText>
            </w:r>
            <w:r>
              <w:fldChar w:fldCharType="separate"/>
            </w:r>
            <w:r w:rsidRPr="00E726E1" w:rsidR="007A0C5C">
              <w:rPr>
                <w:rStyle w:val="Hyperlink"/>
                <w:rFonts w:ascii="TimesNewRomanPSMT" w:hAnsi="TimesNewRomanPSMT" w:eastAsiaTheme="minorHAnsi" w:cs="TimesNewRomanPSMT"/>
                <w:color w:val="0000FF"/>
                <w:sz w:val="24"/>
                <w:szCs w:val="24"/>
                <w:u w:val="single"/>
                <w:lang w:val="en-US" w:eastAsia="en-US" w:bidi="ar-SA"/>
              </w:rPr>
              <w:t>glover@whitt-sturtevant.com</w:t>
            </w:r>
            <w:r>
              <w:fldChar w:fldCharType="end"/>
            </w:r>
          </w:p>
          <w:p w:rsidR="00FA696E" w:rsidP="00A1286B">
            <w:pPr>
              <w:pStyle w:val="BodyText"/>
              <w:jc w:val="both"/>
              <w:rPr>
                <w:rStyle w:val="DefaultParagraphFont"/>
                <w:rFonts w:eastAsiaTheme="minorHAnsi"/>
                <w:sz w:val="24"/>
                <w:szCs w:val="24"/>
                <w:lang w:val="en-US" w:eastAsia="en-US" w:bidi="ar-SA"/>
              </w:rPr>
            </w:pPr>
          </w:p>
          <w:p w:rsidR="00FA696E" w:rsidP="00A1286B">
            <w:pPr>
              <w:pStyle w:val="BodyText"/>
              <w:jc w:val="both"/>
              <w:rPr>
                <w:rStyle w:val="DefaultParagraphFont"/>
                <w:rFonts w:eastAsiaTheme="minorHAnsi"/>
                <w:sz w:val="24"/>
                <w:szCs w:val="24"/>
                <w:lang w:val="en-US" w:eastAsia="en-US" w:bidi="ar-SA"/>
              </w:rPr>
            </w:pPr>
          </w:p>
          <w:p w:rsidR="00FA696E" w:rsidRPr="000673AF" w:rsidP="00A1286B">
            <w:pPr>
              <w:pStyle w:val="BodyText"/>
              <w:jc w:val="both"/>
              <w:rPr>
                <w:rStyle w:val="DefaultParagraphFont"/>
                <w:color w:val="0000FF"/>
                <w:sz w:val="24"/>
                <w:szCs w:val="24"/>
                <w:lang w:val="en-US" w:eastAsia="en-US" w:bidi="ar-SA"/>
              </w:rPr>
            </w:pPr>
          </w:p>
          <w:p w:rsidR="00FA696E" w:rsidRPr="000673AF" w:rsidP="00A1286B">
            <w:pPr>
              <w:autoSpaceDE w:val="0"/>
              <w:autoSpaceDN w:val="0"/>
              <w:adjustRightInd w:val="0"/>
              <w:rPr>
                <w:rStyle w:val="DefaultParagraphFont"/>
                <w:sz w:val="24"/>
                <w:szCs w:val="24"/>
                <w:lang w:val="en-US" w:eastAsia="en-US" w:bidi="ar-SA"/>
              </w:rPr>
            </w:pPr>
          </w:p>
          <w:p w:rsidR="00FA696E" w:rsidRPr="000673AF" w:rsidP="00A1286B">
            <w:pPr>
              <w:pStyle w:val="BodyText"/>
              <w:jc w:val="both"/>
              <w:rPr>
                <w:rStyle w:val="DefaultParagraphFont"/>
                <w:sz w:val="24"/>
                <w:szCs w:val="24"/>
                <w:lang w:val="en-US" w:eastAsia="en-US" w:bidi="ar-SA"/>
              </w:rPr>
            </w:pPr>
          </w:p>
          <w:p w:rsidR="00FA696E" w:rsidRPr="000673AF" w:rsidP="00A1286B">
            <w:pPr>
              <w:pStyle w:val="BodyText"/>
              <w:jc w:val="both"/>
              <w:rPr>
                <w:rStyle w:val="DefaultParagraphFont"/>
                <w:bCs/>
                <w:sz w:val="24"/>
                <w:lang w:val="en-US" w:eastAsia="en-US" w:bidi="ar-SA"/>
              </w:rPr>
            </w:pPr>
          </w:p>
        </w:tc>
      </w:tr>
    </w:tbl>
    <w:p w:rsidR="007F7883">
      <w:pPr>
        <w:pStyle w:val="CommentText"/>
        <w:jc w:val="center"/>
        <w:rPr>
          <w:b/>
          <w:u w:val="single"/>
        </w:rPr>
      </w:pPr>
    </w:p>
    <w:tbl>
      <w:tblPr>
        <w:tblW w:w="0" w:type="auto"/>
        <w:tblInd w:w="0" w:type="dxa"/>
        <w:tblCellMar>
          <w:top w:w="0" w:type="dxa"/>
          <w:left w:w="108" w:type="dxa"/>
          <w:bottom w:w="0" w:type="dxa"/>
          <w:right w:w="108" w:type="dxa"/>
        </w:tblCellMar>
        <w:tblLook w:val="01E0"/>
      </w:tblPr>
      <w:tblGrid>
        <w:gridCol w:w="4320"/>
        <w:gridCol w:w="4320"/>
      </w:tblGrid>
      <w:tr w:rsidTr="00CE69FF">
        <w:tblPrEx>
          <w:tblW w:w="0" w:type="auto"/>
          <w:tblInd w:w="0" w:type="dxa"/>
          <w:tblCellMar>
            <w:top w:w="0" w:type="dxa"/>
            <w:left w:w="108" w:type="dxa"/>
            <w:bottom w:w="0" w:type="dxa"/>
            <w:right w:w="108" w:type="dxa"/>
          </w:tblCellMar>
          <w:tblLook w:val="01E0"/>
        </w:tblPrEx>
        <w:tc>
          <w:tcPr>
            <w:tcW w:w="4320" w:type="dxa"/>
            <w:shd w:val="clear" w:color="auto" w:fill="auto"/>
          </w:tcPr>
          <w:p w:rsidR="00A044B5" w:rsidRPr="00A044B5" w:rsidP="00CE69FF">
            <w:pPr>
              <w:rPr>
                <w:rStyle w:val="DefaultParagraphFont"/>
                <w:sz w:val="24"/>
                <w:szCs w:val="24"/>
                <w:lang w:val="en-US" w:eastAsia="en-US" w:bidi="ar-SA"/>
              </w:rPr>
            </w:pPr>
          </w:p>
        </w:tc>
        <w:tc>
          <w:tcPr>
            <w:tcW w:w="4320" w:type="dxa"/>
            <w:shd w:val="clear" w:color="auto" w:fill="auto"/>
          </w:tcPr>
          <w:p w:rsidR="00A044B5" w:rsidRPr="00A044B5">
            <w:pPr>
              <w:rPr>
                <w:rStyle w:val="DefaultParagraphFont"/>
                <w:bCs/>
                <w:sz w:val="24"/>
                <w:lang w:val="en-US" w:eastAsia="en-US" w:bidi="ar-SA"/>
              </w:rPr>
            </w:pPr>
          </w:p>
        </w:tc>
      </w:tr>
    </w:tbl>
    <w:p w:rsidR="00A044B5">
      <w:pPr>
        <w:pStyle w:val="BodyText"/>
        <w:rPr>
          <w:b/>
          <w:bCs/>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sz w:val="24"/>
        <w:szCs w:val="24"/>
      </w:rPr>
      <w:t>7</w:t>
    </w:r>
    <w:r>
      <w:rPr>
        <w:rStyle w:val="PageNumber"/>
        <w:sz w:val="24"/>
        <w:szCs w:val="24"/>
      </w:rPr>
      <w:fldChar w:fldCharType="end"/>
    </w:r>
  </w:p>
  <w:p w:rsidR="00A044B5">
    <w:pPr>
      <w:pStyle w:val="Footer"/>
      <w:framePr w:wrap="around" w:vAnchor="text" w:hAnchor="margin" w:xAlign="center" w:y="1"/>
      <w:rPr>
        <w:rStyle w:val="PageNumber"/>
      </w:rPr>
    </w:pPr>
  </w:p>
  <w:p w:rsidR="00A04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E6165">
      <w:r>
        <w:separator/>
      </w:r>
    </w:p>
  </w:footnote>
  <w:footnote w:type="continuationSeparator" w:id="1">
    <w:p w:rsidR="00CE6165">
      <w:r>
        <w:continuationSeparator/>
      </w:r>
    </w:p>
  </w:footnote>
  <w:footnote w:type="continuationNotice" w:id="2">
    <w:p w:rsidR="00CE6165"/>
  </w:footnote>
  <w:footnote w:id="3">
    <w:p w:rsidR="00E463B7" w:rsidP="00F94D07">
      <w:pPr>
        <w:pStyle w:val="FootnoteText"/>
        <w:spacing w:after="120"/>
      </w:pPr>
      <w:r>
        <w:rPr>
          <w:rStyle w:val="FootnoteReference"/>
        </w:rPr>
        <w:footnoteRef/>
      </w:r>
      <w:r>
        <w:t xml:space="preserve"> PUCO Staff Motion for Hearing (Sept. 21, 2018).  </w:t>
      </w:r>
    </w:p>
  </w:footnote>
  <w:footnote w:id="4">
    <w:p w:rsidR="00E463B7" w:rsidP="00F94D07">
      <w:pPr>
        <w:pStyle w:val="FootnoteText"/>
        <w:spacing w:after="120"/>
      </w:pPr>
      <w:r>
        <w:rPr>
          <w:rStyle w:val="FootnoteReference"/>
        </w:rPr>
        <w:footnoteRef/>
      </w:r>
      <w:r>
        <w:t xml:space="preserve"> OCC Opposition to AEP’s Pro</w:t>
      </w:r>
      <w:r w:rsidR="004E3BB4">
        <w:t>posed Schedule and Memorandum in Response to the PUCO Staff’s Motion for a Hearing (Oct. 9, 2018)</w:t>
      </w:r>
      <w:r w:rsidR="009956C6">
        <w:t>.</w:t>
      </w:r>
      <w:r>
        <w:t xml:space="preserve"> </w:t>
      </w:r>
    </w:p>
  </w:footnote>
  <w:footnote w:id="5">
    <w:p w:rsidR="00466F43" w:rsidP="00F94D07">
      <w:pPr>
        <w:pStyle w:val="FootnoteText"/>
        <w:spacing w:after="120"/>
      </w:pPr>
      <w:r>
        <w:rPr>
          <w:rStyle w:val="FootnoteReference"/>
        </w:rPr>
        <w:footnoteRef/>
      </w:r>
      <w:r>
        <w:t xml:space="preserve"> </w:t>
      </w:r>
      <w:r>
        <w:rPr>
          <w:i/>
        </w:rPr>
        <w:t xml:space="preserve">See </w:t>
      </w:r>
      <w:r>
        <w:t>AEP’s Memorandum Contra at 2 (Oct. 9, 2018); NRDC’s Limited Memorandum Contra at 2 (Oct. 9, 2018)</w:t>
      </w:r>
      <w:r w:rsidR="009956C6">
        <w:t>.</w:t>
      </w:r>
    </w:p>
  </w:footnote>
  <w:footnote w:id="6">
    <w:p w:rsidR="003F43B7" w:rsidRPr="003F43B7" w:rsidP="00F94D07">
      <w:pPr>
        <w:pStyle w:val="FootnoteText"/>
        <w:spacing w:after="120"/>
      </w:pPr>
      <w:r>
        <w:rPr>
          <w:rStyle w:val="FootnoteReference"/>
        </w:rPr>
        <w:footnoteRef/>
      </w:r>
      <w:r>
        <w:t xml:space="preserve"> </w:t>
      </w:r>
      <w:r w:rsidRPr="00466F43" w:rsidR="00466F43">
        <w:rPr>
          <w:i/>
        </w:rPr>
        <w:t>Id.</w:t>
      </w:r>
      <w:r w:rsidR="00466F43">
        <w:t xml:space="preserve"> </w:t>
      </w:r>
    </w:p>
  </w:footnote>
  <w:footnote w:id="7">
    <w:p w:rsidR="00982465" w:rsidP="00F94D07">
      <w:pPr>
        <w:pStyle w:val="FootnoteText"/>
        <w:spacing w:after="120"/>
      </w:pPr>
      <w:r>
        <w:rPr>
          <w:rStyle w:val="FootnoteReference"/>
        </w:rPr>
        <w:footnoteRef/>
      </w:r>
      <w:r>
        <w:t xml:space="preserve"> OCC Memorandum Contra</w:t>
      </w:r>
      <w:r w:rsidR="009956C6">
        <w:t>.</w:t>
      </w:r>
      <w:r>
        <w:t xml:space="preserve"> </w:t>
      </w:r>
    </w:p>
  </w:footnote>
  <w:footnote w:id="8">
    <w:p w:rsidR="00466F43" w:rsidP="00F94D07">
      <w:pPr>
        <w:pStyle w:val="FootnoteText"/>
        <w:spacing w:after="120"/>
      </w:pPr>
      <w:r>
        <w:rPr>
          <w:rStyle w:val="FootnoteReference"/>
        </w:rPr>
        <w:footnoteRef/>
      </w:r>
      <w:r>
        <w:t xml:space="preserve"> Motion of Ohio Power Company to Consolidate Proceedings and Request for Expedited Ruling (Sept. 27, 2018).</w:t>
      </w:r>
    </w:p>
  </w:footnote>
  <w:footnote w:id="9">
    <w:p w:rsidR="00466F43" w:rsidRPr="003F43B7" w:rsidP="00F94D07">
      <w:pPr>
        <w:pStyle w:val="FootnoteText"/>
        <w:spacing w:after="120"/>
      </w:pPr>
      <w:r>
        <w:rPr>
          <w:rStyle w:val="FootnoteReference"/>
        </w:rPr>
        <w:footnoteRef/>
      </w:r>
      <w:r>
        <w:t xml:space="preserve"> NRDC’s Limited Memorandum Contra at 2 (Oct. 9, 2018)</w:t>
      </w:r>
      <w:r w:rsidR="009956C6">
        <w:t>.</w:t>
      </w:r>
    </w:p>
    <w:p w:rsidR="00466F43" w:rsidP="00F94D07">
      <w:pPr>
        <w:pStyle w:val="FootnoteText"/>
        <w:spacing w:after="120"/>
      </w:pPr>
    </w:p>
  </w:footnote>
  <w:footnote w:id="10">
    <w:p w:rsidR="002E5620" w:rsidRPr="00711E16" w:rsidP="00F94D07">
      <w:pPr>
        <w:pStyle w:val="FootnoteText"/>
        <w:spacing w:after="120"/>
        <w:rPr>
          <w:i/>
        </w:rPr>
      </w:pPr>
      <w:r>
        <w:rPr>
          <w:rStyle w:val="FootnoteReference"/>
        </w:rPr>
        <w:footnoteRef/>
      </w:r>
      <w:r>
        <w:t xml:space="preserve"> FERC Docket No. EL18-178-000, EL16-49-00, EL18-1314-000, Answer of PJM Interconnection, L.L.C. at 3 (Aug. 9, 2018).</w:t>
      </w:r>
    </w:p>
  </w:footnote>
  <w:footnote w:id="11">
    <w:p w:rsidR="00837D3A" w:rsidP="00F94D07">
      <w:pPr>
        <w:pStyle w:val="FootnoteText"/>
        <w:spacing w:after="120"/>
      </w:pPr>
      <w:r>
        <w:rPr>
          <w:rStyle w:val="FootnoteReference"/>
        </w:rPr>
        <w:footnoteRef/>
      </w:r>
      <w:r>
        <w:t xml:space="preserve"> AEP’s Memorandum Contra at 2.</w:t>
      </w:r>
    </w:p>
  </w:footnote>
  <w:footnote w:id="12">
    <w:p w:rsidR="00837D3A" w:rsidP="00F94D07">
      <w:pPr>
        <w:pStyle w:val="FootnoteText"/>
        <w:spacing w:after="120"/>
      </w:pPr>
      <w:r>
        <w:rPr>
          <w:rStyle w:val="FootnoteReference"/>
        </w:rPr>
        <w:footnoteRef/>
      </w:r>
      <w:r>
        <w:t xml:space="preserve"> NRDC’s Limited Memorandum Contra at 3.</w:t>
      </w:r>
    </w:p>
  </w:footnote>
  <w:footnote w:id="13">
    <w:p w:rsidR="00837D3A" w:rsidRPr="00BC3D48" w:rsidP="00F94D07">
      <w:pPr>
        <w:pStyle w:val="FootnoteText"/>
        <w:spacing w:after="120"/>
      </w:pPr>
      <w:r>
        <w:rPr>
          <w:rStyle w:val="FootnoteReference"/>
        </w:rPr>
        <w:footnoteRef/>
      </w:r>
      <w:r>
        <w:t xml:space="preserve"> </w:t>
      </w:r>
      <w:r>
        <w:rPr>
          <w:i/>
        </w:rPr>
        <w:t xml:space="preserve">See </w:t>
      </w:r>
      <w:r w:rsidR="00BC3D48">
        <w:t>Direct Testimony of William A. Allen (September 19, 2019) at 14:6-9</w:t>
      </w:r>
      <w:r w:rsidR="00941546">
        <w:t xml:space="preserve"> (italics added)</w:t>
      </w:r>
      <w:r w:rsidR="00BC3D48">
        <w:t>.</w:t>
      </w:r>
    </w:p>
  </w:footnote>
  <w:footnote w:id="14">
    <w:p w:rsidR="00BC3D48" w:rsidRPr="00BC3D48" w:rsidP="00F94D07">
      <w:pPr>
        <w:pStyle w:val="FootnoteText"/>
        <w:spacing w:after="120"/>
      </w:pPr>
      <w:r>
        <w:rPr>
          <w:rStyle w:val="FootnoteReference"/>
        </w:rPr>
        <w:footnoteRef/>
      </w:r>
      <w:r>
        <w:t xml:space="preserve"> </w:t>
      </w:r>
      <w:r>
        <w:rPr>
          <w:i/>
        </w:rPr>
        <w:t xml:space="preserve">See id. </w:t>
      </w:r>
      <w:r>
        <w:t>at 14.</w:t>
      </w:r>
    </w:p>
  </w:footnote>
  <w:footnote w:id="15">
    <w:p w:rsidR="000714F1" w:rsidRPr="000714F1" w:rsidP="00F94D07">
      <w:pPr>
        <w:pStyle w:val="FootnoteText"/>
        <w:spacing w:after="120"/>
      </w:pPr>
      <w:r>
        <w:rPr>
          <w:rStyle w:val="FootnoteReference"/>
        </w:rPr>
        <w:footnoteRef/>
      </w:r>
      <w:r>
        <w:t xml:space="preserve"> </w:t>
      </w:r>
      <w:r>
        <w:rPr>
          <w:i/>
        </w:rPr>
        <w:t xml:space="preserve">See </w:t>
      </w:r>
      <w:r>
        <w:t xml:space="preserve">Case No. 18-1392-EL-RDR, Application (September 27, 2018) at para. 2. </w:t>
      </w:r>
    </w:p>
  </w:footnote>
  <w:footnote w:id="16">
    <w:p w:rsidR="000714F1" w:rsidRPr="000714F1" w:rsidP="00F94D07">
      <w:pPr>
        <w:pStyle w:val="FootnoteText"/>
        <w:spacing w:after="120"/>
      </w:pPr>
      <w:r>
        <w:rPr>
          <w:rStyle w:val="FootnoteReference"/>
        </w:rPr>
        <w:footnoteRef/>
      </w:r>
      <w:r>
        <w:t xml:space="preserve"> </w:t>
      </w:r>
      <w:r>
        <w:rPr>
          <w:i/>
        </w:rPr>
        <w:t>See id.</w:t>
      </w:r>
    </w:p>
  </w:footnote>
  <w:footnote w:id="17">
    <w:p w:rsidR="000714F1" w:rsidRPr="000714F1" w:rsidP="00F94D07">
      <w:pPr>
        <w:pStyle w:val="FootnoteText"/>
        <w:spacing w:after="120"/>
      </w:pPr>
      <w:r>
        <w:rPr>
          <w:rStyle w:val="FootnoteReference"/>
        </w:rPr>
        <w:footnoteRef/>
      </w:r>
      <w:r>
        <w:t xml:space="preserve"> </w:t>
      </w:r>
      <w:r>
        <w:rPr>
          <w:i/>
        </w:rPr>
        <w:t xml:space="preserve">See </w:t>
      </w:r>
      <w:r>
        <w:t>Allen Testimony at 14-15.</w:t>
      </w:r>
    </w:p>
  </w:footnote>
  <w:footnote w:id="18">
    <w:p w:rsidR="006D3F21" w:rsidRPr="006D3F21" w:rsidP="00F94D07">
      <w:pPr>
        <w:pStyle w:val="FootnoteText"/>
        <w:spacing w:after="120"/>
        <w:rPr>
          <w:i/>
        </w:rPr>
      </w:pPr>
      <w:r>
        <w:rPr>
          <w:rStyle w:val="FootnoteReference"/>
        </w:rPr>
        <w:footnoteRef/>
      </w:r>
      <w:r>
        <w:t xml:space="preserve"> </w:t>
      </w:r>
      <w:r>
        <w:rPr>
          <w:i/>
        </w:rPr>
        <w:t xml:space="preserve">See id. </w:t>
      </w:r>
    </w:p>
  </w:footnote>
  <w:footnote w:id="19">
    <w:p w:rsidR="00871D0B" w:rsidP="00F94D07">
      <w:pPr>
        <w:pStyle w:val="FootnoteText"/>
        <w:spacing w:after="120"/>
      </w:pPr>
      <w:r>
        <w:rPr>
          <w:rStyle w:val="FootnoteReference"/>
        </w:rPr>
        <w:footnoteRef/>
      </w:r>
      <w:r>
        <w:t xml:space="preserve"> Motion at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0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AE3744A"/>
    <w:multiLevelType w:val="hybridMultilevel"/>
    <w:tmpl w:val="2AA687A0"/>
    <w:lvl w:ilvl="0">
      <w:start w:val="1"/>
      <w:numFmt w:val="upperLetter"/>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5B3845E7"/>
    <w:multiLevelType w:val="hybridMultilevel"/>
    <w:tmpl w:val="EF2AB3B6"/>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7628294F"/>
    <w:multiLevelType w:val="hybridMultilevel"/>
    <w:tmpl w:val="710A2AB2"/>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6"/>
  </w:num>
  <w:num w:numId="4">
    <w:abstractNumId w:val="5"/>
  </w:num>
  <w:num w:numId="5">
    <w:abstractNumId w:val="0"/>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83"/>
    <w:rPr>
      <w:sz w:val="24"/>
    </w:rPr>
  </w:style>
  <w:style w:type="paragraph" w:styleId="Heading1">
    <w:name w:val="heading 1"/>
    <w:basedOn w:val="Normal"/>
    <w:next w:val="Normal"/>
    <w:autoRedefine/>
    <w:qFormat/>
    <w:rsid w:val="007F7883"/>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256ADD"/>
    <w:pPr>
      <w:keepNext/>
      <w:numPr>
        <w:numId w:val="8"/>
      </w:numPr>
      <w:spacing w:after="240"/>
      <w:ind w:left="1440" w:right="720" w:hanging="720"/>
      <w:outlineLvl w:val="1"/>
    </w:pPr>
    <w:rPr>
      <w:rFonts w:ascii="Times New Roman Bold" w:hAnsi="Times New Roman Bold"/>
      <w:b/>
    </w:rPr>
  </w:style>
  <w:style w:type="paragraph" w:styleId="Heading3">
    <w:name w:val="heading 3"/>
    <w:basedOn w:val="Normal"/>
    <w:next w:val="Normal"/>
    <w:autoRedefine/>
    <w:qFormat/>
    <w:rsid w:val="00256ADD"/>
    <w:pPr>
      <w:keepNext/>
      <w:spacing w:after="240"/>
      <w:ind w:left="2160" w:right="720" w:hanging="720"/>
      <w:outlineLvl w:val="2"/>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uiPriority w:val="99"/>
    <w:rPr>
      <w:sz w:val="20"/>
    </w:rPr>
  </w:style>
  <w:style w:type="character" w:styleId="FootnoteReference">
    <w:name w:val="footnote reference"/>
    <w:uiPriority w:val="99"/>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
    <w:name w:val="Footnote Text Char"/>
    <w:link w:val="FootnoteText"/>
    <w:uiPriority w:val="99"/>
    <w:rsid w:val="007628B3"/>
  </w:style>
  <w:style w:type="character" w:customStyle="1" w:styleId="UnresolvedMention1">
    <w:name w:val="Unresolved Mention1"/>
    <w:uiPriority w:val="99"/>
    <w:semiHidden/>
    <w:unhideWhenUsed/>
    <w:rsid w:val="007628B3"/>
    <w:rPr>
      <w:color w:val="605E5C"/>
      <w:shd w:val="clear" w:color="auto" w:fill="E1DFDD"/>
    </w:rPr>
  </w:style>
  <w:style w:type="character" w:customStyle="1" w:styleId="FooterChar">
    <w:name w:val="Footer Char"/>
    <w:basedOn w:val="DefaultParagraphFont"/>
    <w:link w:val="Footer"/>
    <w:rsid w:val="003F3C28"/>
  </w:style>
  <w:style w:type="character" w:customStyle="1" w:styleId="BodyTextChar">
    <w:name w:val="Body Text Char"/>
    <w:link w:val="BodyText"/>
    <w:rsid w:val="007F7883"/>
    <w:rPr>
      <w:sz w:val="24"/>
    </w:rPr>
  </w:style>
  <w:style w:type="character" w:customStyle="1" w:styleId="BodyTextIndentChar">
    <w:name w:val="Body Text Indent Char"/>
    <w:link w:val="BodyTextIndent"/>
    <w:rsid w:val="007F7883"/>
    <w:rPr>
      <w:sz w:val="24"/>
    </w:rPr>
  </w:style>
  <w:style w:type="character" w:customStyle="1" w:styleId="BodyTextIndent3Char">
    <w:name w:val="Body Text Indent 3 Char"/>
    <w:basedOn w:val="DefaultParagraphFont"/>
    <w:link w:val="BodyTextIndent3"/>
    <w:rsid w:val="003F3C28"/>
    <w:rPr>
      <w:sz w:val="24"/>
    </w:rPr>
  </w:style>
  <w:style w:type="paragraph" w:styleId="Revision">
    <w:name w:val="Revision"/>
    <w:hidden/>
    <w:uiPriority w:val="99"/>
    <w:semiHidden/>
    <w:rsid w:val="00180174"/>
    <w:rPr>
      <w:sz w:val="24"/>
    </w:rPr>
  </w:style>
  <w:style w:type="character" w:customStyle="1" w:styleId="CommentTextChar">
    <w:name w:val="Comment Text Char"/>
    <w:basedOn w:val="DefaultParagraphFont"/>
    <w:link w:val="CommentText"/>
    <w:semiHidden/>
    <w:rsid w:val="00FA696E"/>
    <w:rPr>
      <w:sz w:val="24"/>
      <w:szCs w:val="24"/>
    </w:rPr>
  </w:style>
  <w:style w:type="paragraph" w:styleId="ListParagraph">
    <w:name w:val="List Paragraph"/>
    <w:basedOn w:val="Normal"/>
    <w:uiPriority w:val="34"/>
    <w:qFormat/>
    <w:rsid w:val="00941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AEP Reply.docx</vt:lpstr>
    </vt:vector>
  </TitlesOfParts>
  <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2018-10-16T20:52:19Z</dcterms:created>
  <dcterms:modified xsi:type="dcterms:W3CDTF">2018-10-16T20:52:19Z</dcterms:modified>
</cp:coreProperties>
</file>