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91A3" w14:textId="77777777" w:rsidR="00EB5D0F" w:rsidRPr="006548D3" w:rsidRDefault="003130F9" w:rsidP="00EB341E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8D3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14:paraId="1F01085D" w14:textId="77777777" w:rsidR="00EB5D0F" w:rsidRPr="006548D3" w:rsidRDefault="003130F9" w:rsidP="00EB341E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6548D3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14:paraId="05AA8BB7" w14:textId="77777777" w:rsidR="00EB5D0F" w:rsidRPr="006548D3" w:rsidRDefault="00EB5D0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092" w:type="dxa"/>
        <w:tblLook w:val="01E0" w:firstRow="1" w:lastRow="1" w:firstColumn="1" w:lastColumn="1" w:noHBand="0" w:noVBand="0"/>
      </w:tblPr>
      <w:tblGrid>
        <w:gridCol w:w="4332"/>
        <w:gridCol w:w="360"/>
        <w:gridCol w:w="4400"/>
      </w:tblGrid>
      <w:tr w:rsidR="00E55944" w14:paraId="04A27867" w14:textId="77777777">
        <w:trPr>
          <w:trHeight w:val="807"/>
        </w:trPr>
        <w:tc>
          <w:tcPr>
            <w:tcW w:w="4332" w:type="dxa"/>
            <w:shd w:val="clear" w:color="auto" w:fill="auto"/>
          </w:tcPr>
          <w:p w14:paraId="7ABE9A3C" w14:textId="0A96FDFD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In the Matter of the Application of The East Ohio Gas Company d/b/a Dominion Energy Ohio for Approval to Increase Natural Gas Rates</w:t>
            </w:r>
            <w:r w:rsidR="00654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2FD6D2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12D34" w14:textId="1D71E770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Application of The East Ohio Gas Company d/b/a </w:t>
            </w: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Dominion Energy Ohio for Approval of Alternative R</w:t>
            </w:r>
            <w:r w:rsidR="006548D3"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 xml:space="preserve"> Plan.</w:t>
            </w:r>
          </w:p>
          <w:p w14:paraId="583FE18E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CF13C" w14:textId="77777777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In the Matter of the Application of The East Ohio Gas Company d/b/a Dominion Energy Ohio for Approval to Change Accounting Methods.</w:t>
            </w:r>
          </w:p>
          <w:p w14:paraId="5C7F4CCF" w14:textId="77777777" w:rsidR="0053053C" w:rsidRPr="006548D3" w:rsidRDefault="0053053C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C5E9F" w14:textId="35C87F98" w:rsidR="0053053C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Application of The East Ohio Gas Company d/b/a Dominion Energy Ohio for Approval of Tariff Revisions. </w:t>
            </w:r>
          </w:p>
          <w:p w14:paraId="28D6EA4E" w14:textId="77777777" w:rsidR="00B37A2D" w:rsidRPr="006548D3" w:rsidRDefault="00B37A2D" w:rsidP="00F5730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7E7856E" w14:textId="77777777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F6B7A8" w14:textId="77777777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F09B0B" w14:textId="77777777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F78EE3A" w14:textId="77777777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582361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200E8" w14:textId="77777777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F96E65" w14:textId="77777777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0CCF50" w14:textId="77777777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7A19DD" w14:textId="77777777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3EF90B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4F8F6" w14:textId="77777777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2FA04D" w14:textId="77777777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2586E3" w14:textId="77777777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B46EEF" w14:textId="77777777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1090B5" w14:textId="77777777" w:rsidR="0053053C" w:rsidRPr="006548D3" w:rsidRDefault="0053053C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C26F9" w14:textId="77777777" w:rsidR="0053053C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C019A5" w14:textId="77777777" w:rsidR="0053053C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5A473BB" w14:textId="77777777" w:rsidR="0053053C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33DF50" w14:textId="67D3B4C5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0AF7F2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14:paraId="13D6FC32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5D89D" w14:textId="77777777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Case No. 23-894-GA-AIR</w:t>
            </w:r>
          </w:p>
          <w:p w14:paraId="44A3DFB1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96F47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D8CD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FFA6E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70C26" w14:textId="77777777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Case No. 23-895-GA-ALT</w:t>
            </w:r>
          </w:p>
          <w:p w14:paraId="40EA04DE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98440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36FA8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F42CA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23985" w14:textId="77777777" w:rsidR="00B37A2D" w:rsidRPr="006548D3" w:rsidRDefault="003130F9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Case No. 23-896-GA-AAM</w:t>
            </w:r>
          </w:p>
          <w:p w14:paraId="659559CA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2763F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F1CE3" w14:textId="77777777" w:rsidR="0053053C" w:rsidRPr="006548D3" w:rsidRDefault="0053053C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1F6F4" w14:textId="77777777" w:rsidR="006548D3" w:rsidRDefault="006548D3" w:rsidP="0053053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40DAE" w14:textId="6EF277FC" w:rsidR="0053053C" w:rsidRPr="006548D3" w:rsidRDefault="003130F9" w:rsidP="0053053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Case No. 23-897-GA-ATA</w:t>
            </w:r>
          </w:p>
          <w:p w14:paraId="752D7E2F" w14:textId="77777777" w:rsidR="0053053C" w:rsidRPr="006548D3" w:rsidRDefault="0053053C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ED732" w14:textId="77777777" w:rsidR="0053053C" w:rsidRPr="006548D3" w:rsidRDefault="0053053C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1B5CC" w14:textId="77777777" w:rsidR="00EB5D0F" w:rsidRPr="006548D3" w:rsidRDefault="00EB5D0F">
      <w:pPr>
        <w:pStyle w:val="HTMLPreformatted"/>
        <w:pBdr>
          <w:top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ED83DA8" w14:textId="56CD17B9" w:rsidR="00933A90" w:rsidRPr="006548D3" w:rsidRDefault="003130F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MEMO</w:t>
      </w:r>
      <w:r w:rsidR="000E7F57">
        <w:rPr>
          <w:b/>
          <w:bCs/>
          <w:szCs w:val="24"/>
        </w:rPr>
        <w:t>RANDUM</w:t>
      </w:r>
      <w:r>
        <w:rPr>
          <w:b/>
          <w:bCs/>
          <w:szCs w:val="24"/>
        </w:rPr>
        <w:t xml:space="preserve"> CONTRA ENBRIDGE’S MOTION TO STRIKE</w:t>
      </w:r>
    </w:p>
    <w:p w14:paraId="08C23B1D" w14:textId="77777777" w:rsidR="00933A90" w:rsidRPr="006548D3" w:rsidRDefault="003130F9">
      <w:pPr>
        <w:jc w:val="center"/>
        <w:rPr>
          <w:b/>
          <w:bCs/>
          <w:szCs w:val="24"/>
        </w:rPr>
      </w:pPr>
      <w:r w:rsidRPr="006548D3">
        <w:rPr>
          <w:b/>
          <w:bCs/>
          <w:szCs w:val="24"/>
        </w:rPr>
        <w:t xml:space="preserve">BY </w:t>
      </w:r>
    </w:p>
    <w:p w14:paraId="1E627C49" w14:textId="77777777" w:rsidR="00EB5D0F" w:rsidRPr="006548D3" w:rsidRDefault="003130F9">
      <w:pPr>
        <w:jc w:val="center"/>
        <w:rPr>
          <w:b/>
          <w:bCs/>
          <w:szCs w:val="24"/>
        </w:rPr>
      </w:pPr>
      <w:r w:rsidRPr="006548D3">
        <w:rPr>
          <w:b/>
          <w:bCs/>
          <w:szCs w:val="24"/>
        </w:rPr>
        <w:t>OFFICE OF THE OHIO CONSUMERS’ COUNSEL</w:t>
      </w:r>
    </w:p>
    <w:p w14:paraId="4346D190" w14:textId="77777777" w:rsidR="00EB5D0F" w:rsidRPr="006548D3" w:rsidRDefault="00EB5D0F">
      <w:pPr>
        <w:pBdr>
          <w:bottom w:val="single" w:sz="12" w:space="1" w:color="auto"/>
        </w:pBdr>
        <w:tabs>
          <w:tab w:val="left" w:pos="4320"/>
        </w:tabs>
        <w:rPr>
          <w:szCs w:val="24"/>
        </w:rPr>
      </w:pPr>
    </w:p>
    <w:p w14:paraId="67C789CA" w14:textId="77777777" w:rsidR="00EB341E" w:rsidRDefault="00EB341E" w:rsidP="00511911">
      <w:pPr>
        <w:autoSpaceDE w:val="0"/>
        <w:autoSpaceDN w:val="0"/>
        <w:adjustRightInd w:val="0"/>
        <w:ind w:firstLine="720"/>
        <w:rPr>
          <w:szCs w:val="24"/>
        </w:rPr>
      </w:pPr>
    </w:p>
    <w:p w14:paraId="4B11026F" w14:textId="14E8CCA2" w:rsidR="00626C8B" w:rsidRDefault="003130F9" w:rsidP="00775A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INTRODUCTION</w:t>
      </w:r>
    </w:p>
    <w:p w14:paraId="46D8695F" w14:textId="77777777" w:rsidR="00A12959" w:rsidRDefault="003130F9" w:rsidP="00A12959">
      <w:pPr>
        <w:spacing w:line="480" w:lineRule="auto"/>
        <w:ind w:firstLine="720"/>
      </w:pPr>
      <w:r>
        <w:t>Not long after</w:t>
      </w:r>
      <w:r w:rsidR="000E7F57">
        <w:t xml:space="preserve"> </w:t>
      </w:r>
      <w:r>
        <w:t xml:space="preserve">filing a notice of intent </w:t>
      </w:r>
      <w:r w:rsidR="009F7BB0">
        <w:t xml:space="preserve">to </w:t>
      </w:r>
      <w:r w:rsidR="000E7F57">
        <w:t xml:space="preserve">file its first rate case in </w:t>
      </w:r>
      <w:r w:rsidR="000E7F57" w:rsidRPr="00525077">
        <w:rPr>
          <w:i/>
          <w:iCs/>
        </w:rPr>
        <w:t>over 15 years</w:t>
      </w:r>
      <w:r w:rsidR="000E7F57">
        <w:t xml:space="preserve">, </w:t>
      </w:r>
      <w:r>
        <w:t xml:space="preserve">natural gas utility </w:t>
      </w:r>
      <w:r w:rsidR="000E7F57">
        <w:t xml:space="preserve">Dominion </w:t>
      </w:r>
      <w:r>
        <w:t>informed</w:t>
      </w:r>
      <w:r w:rsidR="000E7F57">
        <w:t xml:space="preserve"> the PUCO </w:t>
      </w:r>
      <w:r>
        <w:t xml:space="preserve">of its planned </w:t>
      </w:r>
      <w:r>
        <w:t>acquisition</w:t>
      </w:r>
      <w:r w:rsidR="000E7F57">
        <w:t xml:space="preserve"> by Canadian energy giant </w:t>
      </w:r>
      <w:r>
        <w:t>Enbridge.</w:t>
      </w:r>
      <w:r>
        <w:rPr>
          <w:rStyle w:val="FootnoteReference"/>
        </w:rPr>
        <w:footnoteReference w:id="1"/>
      </w:r>
      <w:r>
        <w:t xml:space="preserve"> </w:t>
      </w:r>
      <w:r w:rsidR="009F7BB0">
        <w:t xml:space="preserve">To protect consumers, </w:t>
      </w:r>
      <w:r>
        <w:t xml:space="preserve">OCC argued that the PUCO should </w:t>
      </w:r>
      <w:r w:rsidR="00B33515">
        <w:t>investigate</w:t>
      </w:r>
      <w:r>
        <w:t xml:space="preserve"> the acquisition’s impact </w:t>
      </w:r>
      <w:r w:rsidR="00B33515">
        <w:t>on</w:t>
      </w:r>
      <w:r w:rsidR="009F7BB0">
        <w:t xml:space="preserve"> rates for natural gas service.</w:t>
      </w:r>
      <w:r>
        <w:rPr>
          <w:rStyle w:val="FootnoteReference"/>
        </w:rPr>
        <w:footnoteReference w:id="2"/>
      </w:r>
      <w:r>
        <w:t xml:space="preserve"> </w:t>
      </w:r>
      <w:r w:rsidR="00B33515">
        <w:t>But t</w:t>
      </w:r>
      <w:r w:rsidR="00F577C5">
        <w:t xml:space="preserve">he </w:t>
      </w:r>
      <w:r>
        <w:t xml:space="preserve">PUCO </w:t>
      </w:r>
      <w:r>
        <w:lastRenderedPageBreak/>
        <w:t>denied OCC’s request</w:t>
      </w:r>
      <w:r w:rsidR="00F577C5">
        <w:t>.</w:t>
      </w:r>
      <w:r>
        <w:rPr>
          <w:rStyle w:val="FootnoteReference"/>
        </w:rPr>
        <w:footnoteReference w:id="3"/>
      </w:r>
      <w:r w:rsidR="00F577C5">
        <w:t xml:space="preserve"> </w:t>
      </w:r>
      <w:r w:rsidR="009F7BB0">
        <w:t>According to the PUCO,</w:t>
      </w:r>
      <w:r>
        <w:t xml:space="preserve"> the impact of </w:t>
      </w:r>
      <w:r w:rsidR="009F7BB0">
        <w:t>the</w:t>
      </w:r>
      <w:r>
        <w:t xml:space="preserve"> </w:t>
      </w:r>
      <w:r w:rsidR="009F7BB0">
        <w:t xml:space="preserve">Enbridge </w:t>
      </w:r>
      <w:r>
        <w:t>acquisition on consumers was “</w:t>
      </w:r>
      <w:r w:rsidRPr="00525077">
        <w:t>inherent to and better suited to investigation and litigation during [Dominion’s] next base rate proceeding</w:t>
      </w:r>
      <w:r w:rsidRPr="00B33515">
        <w:t>.</w:t>
      </w:r>
      <w:r w:rsidRPr="00525077">
        <w:t>”</w:t>
      </w:r>
      <w:r>
        <w:rPr>
          <w:rStyle w:val="FootnoteReference"/>
        </w:rPr>
        <w:footnoteReference w:id="4"/>
      </w:r>
      <w:r>
        <w:t xml:space="preserve"> </w:t>
      </w:r>
    </w:p>
    <w:p w14:paraId="505B3CA7" w14:textId="7C904C9F" w:rsidR="008678C8" w:rsidRDefault="003130F9" w:rsidP="00A12959">
      <w:pPr>
        <w:spacing w:line="480" w:lineRule="auto"/>
        <w:ind w:firstLine="720"/>
      </w:pPr>
      <w:r>
        <w:t>We are now</w:t>
      </w:r>
      <w:r w:rsidR="00F577C5">
        <w:t xml:space="preserve"> in the </w:t>
      </w:r>
      <w:r>
        <w:t xml:space="preserve">base </w:t>
      </w:r>
      <w:r w:rsidR="00F577C5">
        <w:t>rate case,</w:t>
      </w:r>
      <w:r>
        <w:t xml:space="preserve"> and</w:t>
      </w:r>
      <w:r w:rsidR="00F577C5">
        <w:t xml:space="preserve"> Enbridge</w:t>
      </w:r>
      <w:r w:rsidR="009F7BB0">
        <w:t xml:space="preserve"> doesn’t want </w:t>
      </w:r>
      <w:r>
        <w:t>the</w:t>
      </w:r>
      <w:r w:rsidR="009F7BB0">
        <w:t xml:space="preserve"> investigation to happen.</w:t>
      </w:r>
      <w:r w:rsidR="00F577C5">
        <w:t xml:space="preserve"> </w:t>
      </w:r>
      <w:r w:rsidR="009F7BB0">
        <w:t xml:space="preserve">Enbridge </w:t>
      </w:r>
      <w:r>
        <w:t xml:space="preserve">has </w:t>
      </w:r>
      <w:r w:rsidR="00F577C5">
        <w:t xml:space="preserve">moved to strike OCC’s objection to the Staff Report’s failure to address the acquisition’s impact on Ohioans. Enbridge’s motion to strike </w:t>
      </w:r>
      <w:r>
        <w:t xml:space="preserve">is baseless and </w:t>
      </w:r>
      <w:r w:rsidR="00F577C5">
        <w:t>should be denied.</w:t>
      </w:r>
      <w:r w:rsidR="00572EAE">
        <w:t xml:space="preserve"> </w:t>
      </w:r>
    </w:p>
    <w:p w14:paraId="20B700A7" w14:textId="77777777" w:rsidR="00626C8B" w:rsidRPr="00D314AE" w:rsidRDefault="00626C8B" w:rsidP="00D314AE">
      <w:pPr>
        <w:rPr>
          <w:b/>
          <w:bCs/>
        </w:rPr>
      </w:pPr>
    </w:p>
    <w:p w14:paraId="6845E1B2" w14:textId="645279A1" w:rsidR="00775ACE" w:rsidRPr="00241750" w:rsidRDefault="003130F9" w:rsidP="00775A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ARGUMENT</w:t>
      </w:r>
    </w:p>
    <w:p w14:paraId="1975C72D" w14:textId="0805C227" w:rsidR="00CD1FE2" w:rsidRDefault="003130F9" w:rsidP="00A12959">
      <w:pPr>
        <w:spacing w:line="480" w:lineRule="auto"/>
        <w:ind w:firstLine="720"/>
      </w:pPr>
      <w:r>
        <w:t xml:space="preserve">Enbridge moves to strike </w:t>
      </w:r>
      <w:r w:rsidR="00775ACE" w:rsidRPr="00C14483">
        <w:t>OCC</w:t>
      </w:r>
      <w:r w:rsidR="00775ACE">
        <w:t>’</w:t>
      </w:r>
      <w:r w:rsidR="00775ACE" w:rsidRPr="00C14483">
        <w:t xml:space="preserve">s Objection No. 17 </w:t>
      </w:r>
      <w:r>
        <w:t xml:space="preserve">to the Staff Report. </w:t>
      </w:r>
      <w:r>
        <w:t>Enbridge’s motion should be denied.</w:t>
      </w:r>
      <w:r w:rsidR="00A12959">
        <w:t xml:space="preserve"> </w:t>
      </w:r>
      <w:r w:rsidR="00023FDA">
        <w:t>OCC’s</w:t>
      </w:r>
      <w:r>
        <w:t xml:space="preserve"> objection </w:t>
      </w:r>
      <w:r w:rsidR="00775ACE" w:rsidRPr="00C14483">
        <w:t>addresses a crucial issue in</w:t>
      </w:r>
      <w:r w:rsidR="00023FDA">
        <w:t xml:space="preserve"> this case</w:t>
      </w:r>
      <w:r w:rsidR="00AF4003">
        <w:t xml:space="preserve"> —</w:t>
      </w:r>
      <w:r w:rsidR="00775ACE" w:rsidRPr="00C14483">
        <w:t xml:space="preserve"> determining whether consumers will be charged</w:t>
      </w:r>
      <w:r w:rsidR="00AF4003">
        <w:t xml:space="preserve"> just and</w:t>
      </w:r>
      <w:r w:rsidR="00775ACE" w:rsidRPr="00C14483">
        <w:t xml:space="preserve"> reasonable rates, which is central to these proceedings under R.C. 4909.15. Enbridge</w:t>
      </w:r>
      <w:r w:rsidR="00775ACE">
        <w:t>’</w:t>
      </w:r>
      <w:r w:rsidR="00775ACE" w:rsidRPr="00C14483">
        <w:t xml:space="preserve">s proposal to </w:t>
      </w:r>
      <w:r w:rsidR="00F0388B">
        <w:t>impose a</w:t>
      </w:r>
      <w:r w:rsidR="00775ACE" w:rsidRPr="00C14483">
        <w:t xml:space="preserve"> 30% increase in natural gas distribution rates</w:t>
      </w:r>
      <w:r w:rsidR="00F01627">
        <w:t xml:space="preserve"> for its 1.2 million consumers </w:t>
      </w:r>
      <w:r w:rsidR="00AC7718">
        <w:t>is not just</w:t>
      </w:r>
      <w:r w:rsidR="00A26671">
        <w:t xml:space="preserve">; nor is it reasonable. </w:t>
      </w:r>
      <w:r w:rsidR="008359EF">
        <w:t xml:space="preserve">If approved, it will </w:t>
      </w:r>
      <w:r w:rsidR="005E6462">
        <w:t>severely</w:t>
      </w:r>
      <w:r w:rsidR="00572EAE">
        <w:t xml:space="preserve"> </w:t>
      </w:r>
      <w:r w:rsidR="00775ACE" w:rsidRPr="00C14483">
        <w:t xml:space="preserve">impact consumers, many of whom are already struggling with high energy burdens due to inflation and limited incomes. </w:t>
      </w:r>
    </w:p>
    <w:p w14:paraId="5BF04766" w14:textId="6A1F7BCC" w:rsidR="00775ACE" w:rsidRDefault="003130F9" w:rsidP="00E108C5">
      <w:pPr>
        <w:spacing w:line="480" w:lineRule="auto"/>
        <w:ind w:firstLine="720"/>
      </w:pPr>
      <w:r w:rsidRPr="00C14483">
        <w:t>The Staff Report</w:t>
      </w:r>
      <w:r w:rsidR="00A57F33">
        <w:t xml:space="preserve"> is a step in the right direction.</w:t>
      </w:r>
      <w:r w:rsidR="00572EAE">
        <w:t xml:space="preserve"> </w:t>
      </w:r>
      <w:r w:rsidR="00C02FFB">
        <w:t>It</w:t>
      </w:r>
      <w:r w:rsidR="00572EAE">
        <w:t xml:space="preserve"> </w:t>
      </w:r>
      <w:r w:rsidRPr="00C14483">
        <w:t>recommends a</w:t>
      </w:r>
      <w:r w:rsidR="00C02FFB">
        <w:t xml:space="preserve"> decrease</w:t>
      </w:r>
      <w:r w:rsidR="00A12959">
        <w:t>,</w:t>
      </w:r>
      <w:r w:rsidR="00C02FFB">
        <w:t xml:space="preserve"> not an increase in the rates for </w:t>
      </w:r>
      <w:r w:rsidR="00382ABB">
        <w:t>Enbridge’s consumers.</w:t>
      </w:r>
      <w:r w:rsidR="00572EAE">
        <w:t xml:space="preserve"> </w:t>
      </w:r>
      <w:r w:rsidR="00382ABB">
        <w:t xml:space="preserve">But the </w:t>
      </w:r>
      <w:r w:rsidR="00E51A79">
        <w:t xml:space="preserve">Staff Report </w:t>
      </w:r>
      <w:r w:rsidRPr="00C14483">
        <w:t xml:space="preserve">fails to </w:t>
      </w:r>
      <w:r w:rsidR="00E51A79">
        <w:t xml:space="preserve">address </w:t>
      </w:r>
      <w:r w:rsidRPr="00C14483">
        <w:t>the impact of Enbridge</w:t>
      </w:r>
      <w:r>
        <w:t>’</w:t>
      </w:r>
      <w:r w:rsidRPr="00C14483">
        <w:t>s recent acquisition of Dominion</w:t>
      </w:r>
      <w:r w:rsidR="002E2EFF">
        <w:t xml:space="preserve"> on consumers and on the rates to be s</w:t>
      </w:r>
      <w:r w:rsidR="00201129">
        <w:t xml:space="preserve">et </w:t>
      </w:r>
      <w:r w:rsidR="00264BD6">
        <w:t>in this</w:t>
      </w:r>
      <w:r w:rsidR="002E2EFF">
        <w:t xml:space="preserve"> case.</w:t>
      </w:r>
      <w:r w:rsidR="00572EAE">
        <w:t xml:space="preserve"> </w:t>
      </w:r>
      <w:r w:rsidR="000A4958">
        <w:t xml:space="preserve">The </w:t>
      </w:r>
      <w:r w:rsidR="00201129">
        <w:t xml:space="preserve">Staff fails consumers by </w:t>
      </w:r>
      <w:r w:rsidR="00DF4E85">
        <w:t xml:space="preserve">not recommending that Enbridge’s consumers </w:t>
      </w:r>
      <w:r w:rsidR="003D74F0">
        <w:t>should be protect</w:t>
      </w:r>
      <w:r w:rsidR="00264BD6">
        <w:t>ed</w:t>
      </w:r>
      <w:r w:rsidR="003D74F0">
        <w:t xml:space="preserve"> from paying for </w:t>
      </w:r>
      <w:r w:rsidR="00446652">
        <w:t>costs from the acquisition.</w:t>
      </w:r>
      <w:r w:rsidR="00572EAE">
        <w:t xml:space="preserve"> </w:t>
      </w:r>
      <w:r w:rsidR="00446652">
        <w:t xml:space="preserve">And the </w:t>
      </w:r>
      <w:r w:rsidR="00264BD6">
        <w:lastRenderedPageBreak/>
        <w:t xml:space="preserve">PUCO </w:t>
      </w:r>
      <w:r w:rsidR="00446652">
        <w:t xml:space="preserve">Staff fails consumers by not recommending that Ohio consumers </w:t>
      </w:r>
      <w:r w:rsidR="0022080E">
        <w:t xml:space="preserve">get the same benefits from the transactions that Enbridge promised </w:t>
      </w:r>
      <w:r w:rsidR="002F1C4D">
        <w:t>other state regulators.</w:t>
      </w:r>
    </w:p>
    <w:p w14:paraId="1B4B888E" w14:textId="6D19A1A1" w:rsidR="00CB17B5" w:rsidRDefault="003130F9" w:rsidP="00775ACE">
      <w:pPr>
        <w:spacing w:line="480" w:lineRule="auto"/>
        <w:ind w:firstLine="720"/>
      </w:pPr>
      <w:r w:rsidRPr="00C14483">
        <w:t>As the PUCO acknowledged, the acquisition</w:t>
      </w:r>
      <w:r>
        <w:t>’</w:t>
      </w:r>
      <w:r w:rsidRPr="00C14483">
        <w:t xml:space="preserve">s effects should be examined within the </w:t>
      </w:r>
      <w:r w:rsidR="00B51716">
        <w:t>“</w:t>
      </w:r>
      <w:r w:rsidR="00525077">
        <w:t>next”</w:t>
      </w:r>
      <w:r w:rsidR="00525077" w:rsidRPr="00C14483">
        <w:t xml:space="preserve"> rate</w:t>
      </w:r>
      <w:r w:rsidRPr="00C14483">
        <w:t xml:space="preserve"> case</w:t>
      </w:r>
      <w:r w:rsidR="00CE0ED0">
        <w:t>.</w:t>
      </w:r>
      <w:r w:rsidR="00572EAE">
        <w:t xml:space="preserve"> </w:t>
      </w:r>
      <w:r w:rsidR="00CE0ED0">
        <w:t>That next case is no</w:t>
      </w:r>
      <w:r w:rsidR="00B51716">
        <w:t>w, not years from now when Enbridge decides</w:t>
      </w:r>
      <w:r w:rsidR="00233546">
        <w:t xml:space="preserve"> to file a rate case.</w:t>
      </w:r>
      <w:r w:rsidR="00572EAE">
        <w:t xml:space="preserve"> </w:t>
      </w:r>
      <w:r w:rsidR="00233546">
        <w:t xml:space="preserve">Given history, that next application could </w:t>
      </w:r>
      <w:r w:rsidR="007F4FEF">
        <w:t>be</w:t>
      </w:r>
      <w:r>
        <w:t xml:space="preserve"> 15 </w:t>
      </w:r>
      <w:r w:rsidR="007F4FEF">
        <w:t>years away.</w:t>
      </w:r>
      <w:r w:rsidR="00572EAE">
        <w:t xml:space="preserve"> </w:t>
      </w:r>
    </w:p>
    <w:p w14:paraId="45A7D794" w14:textId="34EDA5B7" w:rsidR="00171D84" w:rsidRDefault="003130F9" w:rsidP="009C6E1B">
      <w:pPr>
        <w:spacing w:line="480" w:lineRule="auto"/>
        <w:rPr>
          <w:b/>
          <w:bCs/>
        </w:rPr>
      </w:pPr>
      <w:r>
        <w:t xml:space="preserve"> </w:t>
      </w:r>
      <w:r w:rsidRPr="00C14483">
        <w:t>OCC</w:t>
      </w:r>
      <w:r>
        <w:t>’</w:t>
      </w:r>
      <w:r w:rsidRPr="00C14483">
        <w:t>s objections are relevant and essential to ensuring that</w:t>
      </w:r>
      <w:r w:rsidR="00DE1C3D">
        <w:t xml:space="preserve"> rates to </w:t>
      </w:r>
      <w:r w:rsidRPr="00C14483">
        <w:t xml:space="preserve">consumers </w:t>
      </w:r>
      <w:r w:rsidR="00AA4728">
        <w:t>are just and reasonable.</w:t>
      </w:r>
      <w:r>
        <w:t xml:space="preserve"> </w:t>
      </w:r>
      <w:r w:rsidR="00AA4728">
        <w:t>That means taking into consideration the effects of the ac</w:t>
      </w:r>
      <w:r w:rsidR="009300F0">
        <w:t>quisition on Enbridge</w:t>
      </w:r>
      <w:r w:rsidR="009918A1">
        <w:t>’s consumers.</w:t>
      </w:r>
      <w:r w:rsidR="00525077">
        <w:t xml:space="preserve"> </w:t>
      </w:r>
      <w:r w:rsidRPr="00C14483">
        <w:t>The motion to strike should be denied</w:t>
      </w:r>
      <w:r w:rsidR="00A12959">
        <w:rPr>
          <w:b/>
          <w:bCs/>
        </w:rPr>
        <w:t>.</w:t>
      </w:r>
    </w:p>
    <w:p w14:paraId="6B73CCD5" w14:textId="2D9E220A" w:rsidR="00CA03FB" w:rsidRDefault="003130F9" w:rsidP="00CA03FB">
      <w:pPr>
        <w:pStyle w:val="ListParagraph"/>
        <w:numPr>
          <w:ilvl w:val="0"/>
          <w:numId w:val="9"/>
        </w:numPr>
        <w:ind w:left="1440" w:hanging="720"/>
        <w:rPr>
          <w:rFonts w:ascii="Times New Roman" w:hAnsi="Times New Roman" w:cs="Times New Roman"/>
          <w:b/>
          <w:bCs/>
        </w:rPr>
      </w:pPr>
      <w:r w:rsidRPr="00775ACE">
        <w:rPr>
          <w:rFonts w:ascii="Times New Roman" w:hAnsi="Times New Roman" w:cs="Times New Roman"/>
          <w:b/>
          <w:bCs/>
        </w:rPr>
        <w:t>OCC’s Objection 17 Falls Within the Scope of the Proceedings</w:t>
      </w:r>
      <w:r w:rsidR="008E02E5">
        <w:rPr>
          <w:rFonts w:ascii="Times New Roman" w:hAnsi="Times New Roman" w:cs="Times New Roman"/>
          <w:b/>
          <w:bCs/>
        </w:rPr>
        <w:t>.</w:t>
      </w:r>
    </w:p>
    <w:p w14:paraId="087FB68C" w14:textId="1BFB3A18" w:rsidR="00CA03FB" w:rsidRPr="009C6E1B" w:rsidRDefault="003130F9" w:rsidP="009C6E1B">
      <w:pPr>
        <w:spacing w:line="480" w:lineRule="auto"/>
        <w:ind w:firstLine="720"/>
      </w:pPr>
      <w:r w:rsidRPr="00525077">
        <w:t xml:space="preserve">Enbridge argues that the effects of the acquisition fall outside of </w:t>
      </w:r>
      <w:r>
        <w:t xml:space="preserve">the scope of </w:t>
      </w:r>
      <w:r w:rsidRPr="00525077">
        <w:t>these rate case proceedings</w:t>
      </w:r>
      <w:r w:rsidR="00A12959">
        <w:t xml:space="preserve">. Enbridge </w:t>
      </w:r>
      <w:r>
        <w:t>misinterpret</w:t>
      </w:r>
      <w:r w:rsidR="00A12959">
        <w:t>s</w:t>
      </w:r>
      <w:r>
        <w:t xml:space="preserve"> the PUCO’s acquisition order and misappli</w:t>
      </w:r>
      <w:r w:rsidR="00A12959">
        <w:t>es</w:t>
      </w:r>
      <w:r>
        <w:t xml:space="preserve"> the PUCO’s test year approval.</w:t>
      </w:r>
      <w:r>
        <w:rPr>
          <w:rStyle w:val="FootnoteReference"/>
        </w:rPr>
        <w:footnoteReference w:id="5"/>
      </w:r>
      <w:r w:rsidR="00CB3BBB">
        <w:t xml:space="preserve"> </w:t>
      </w:r>
      <w:r w:rsidR="00A12959">
        <w:t>T</w:t>
      </w:r>
      <w:r>
        <w:t>he PUCO’s acquisition order d</w:t>
      </w:r>
      <w:r w:rsidR="00352146">
        <w:t>id not</w:t>
      </w:r>
      <w:r>
        <w:t xml:space="preserve"> consider the </w:t>
      </w:r>
      <w:r w:rsidR="00352146">
        <w:t>acquisition’s</w:t>
      </w:r>
      <w:r>
        <w:t xml:space="preserve"> effects on rates </w:t>
      </w:r>
      <w:r w:rsidR="00352146">
        <w:t xml:space="preserve">before granting </w:t>
      </w:r>
      <w:r>
        <w:t>approval of the acquisition</w:t>
      </w:r>
      <w:r w:rsidR="00A12959">
        <w:t>.</w:t>
      </w:r>
      <w:r>
        <w:t xml:space="preserve"> </w:t>
      </w:r>
      <w:r w:rsidR="00A12959">
        <w:t xml:space="preserve">However, </w:t>
      </w:r>
      <w:r w:rsidR="00352146">
        <w:t>the order</w:t>
      </w:r>
      <w:r>
        <w:t xml:space="preserve"> confirms that the effects of the acquisition should be considered in </w:t>
      </w:r>
      <w:r w:rsidR="00A12959">
        <w:t>Enbridge’s base</w:t>
      </w:r>
      <w:r>
        <w:t xml:space="preserve"> rate case.</w:t>
      </w:r>
      <w:r>
        <w:rPr>
          <w:rStyle w:val="FootnoteReference"/>
        </w:rPr>
        <w:footnoteReference w:id="6"/>
      </w:r>
    </w:p>
    <w:p w14:paraId="42FA89AA" w14:textId="0DC26136" w:rsidR="00CA03FB" w:rsidRDefault="003130F9" w:rsidP="00775ACE">
      <w:pPr>
        <w:spacing w:line="480" w:lineRule="auto"/>
        <w:ind w:firstLine="720"/>
      </w:pPr>
      <w:r>
        <w:t>Enbridge argues that</w:t>
      </w:r>
      <w:r w:rsidR="00BE61A2">
        <w:t xml:space="preserve"> the PUCO should consider </w:t>
      </w:r>
      <w:r>
        <w:t>the effects of the acquisitio</w:t>
      </w:r>
      <w:r w:rsidR="00DE0C32">
        <w:t xml:space="preserve">n </w:t>
      </w:r>
      <w:r w:rsidR="00BE61A2">
        <w:t>in the next</w:t>
      </w:r>
      <w:r w:rsidR="008E02E5">
        <w:t xml:space="preserve"> (</w:t>
      </w:r>
      <w:r w:rsidR="008E02E5">
        <w:rPr>
          <w:i/>
          <w:iCs/>
        </w:rPr>
        <w:t xml:space="preserve">i.e. </w:t>
      </w:r>
      <w:r w:rsidR="008E02E5">
        <w:t>future)</w:t>
      </w:r>
      <w:r w:rsidR="00BE61A2">
        <w:t xml:space="preserve"> </w:t>
      </w:r>
      <w:r>
        <w:t>rate case.</w:t>
      </w:r>
      <w:r>
        <w:rPr>
          <w:rStyle w:val="FootnoteReference"/>
        </w:rPr>
        <w:footnoteReference w:id="7"/>
      </w:r>
      <w:r>
        <w:t xml:space="preserve"> Enbridge is </w:t>
      </w:r>
      <w:r w:rsidR="00BE61A2">
        <w:t>wrong</w:t>
      </w:r>
      <w:r>
        <w:t>.</w:t>
      </w:r>
      <w:r w:rsidR="00572EAE">
        <w:t xml:space="preserve"> </w:t>
      </w:r>
      <w:r w:rsidR="00BE61A2">
        <w:t>T</w:t>
      </w:r>
      <w:r w:rsidR="00DE0C32">
        <w:t>he PUCO</w:t>
      </w:r>
      <w:r w:rsidR="00BE61A2">
        <w:t>’s</w:t>
      </w:r>
      <w:r w:rsidR="00DE0C32">
        <w:t xml:space="preserve"> duty to determine reasonable rates</w:t>
      </w:r>
      <w:r w:rsidR="00BE61A2">
        <w:t xml:space="preserve"> for consumers necessitates a consideration of the acquisition’s effect on rates now – in the current rate case</w:t>
      </w:r>
      <w:r w:rsidR="00942980">
        <w:t>.</w:t>
      </w:r>
      <w:r w:rsidR="00DE0C32">
        <w:t xml:space="preserve"> </w:t>
      </w:r>
    </w:p>
    <w:p w14:paraId="322F65BB" w14:textId="3B54E5A4" w:rsidR="00775ACE" w:rsidRPr="00C14483" w:rsidRDefault="003130F9" w:rsidP="00775ACE">
      <w:pPr>
        <w:spacing w:line="480" w:lineRule="auto"/>
        <w:ind w:firstLine="720"/>
      </w:pPr>
      <w:r>
        <w:lastRenderedPageBreak/>
        <w:t>Enbridge’</w:t>
      </w:r>
      <w:r w:rsidRPr="00C14483">
        <w:t>s motion to strike should be denied because OCC</w:t>
      </w:r>
      <w:r>
        <w:t>’</w:t>
      </w:r>
      <w:r w:rsidRPr="00C14483">
        <w:t>s objections are squarely within the scope of these proceedings. The purpose of a rate case, under R.C. 4909.15, is to establish just and reasonable rates. To achieve that goal, the PUCO must consider all factors that impact a utility</w:t>
      </w:r>
      <w:r>
        <w:t>’</w:t>
      </w:r>
      <w:r w:rsidRPr="00C14483">
        <w:t>s costs, revenues, and overall financial condition. OCC</w:t>
      </w:r>
      <w:r>
        <w:t>’</w:t>
      </w:r>
      <w:r w:rsidRPr="00C14483">
        <w:t>s Objection No. 17 highlights that the Staff Report failed to address Enbridge</w:t>
      </w:r>
      <w:r>
        <w:t>’</w:t>
      </w:r>
      <w:r w:rsidRPr="00C14483">
        <w:t>s acquisition of Dominion, which could significantly impact consumer rates.</w:t>
      </w:r>
    </w:p>
    <w:p w14:paraId="5F5E91D2" w14:textId="2686A53F" w:rsidR="00775ACE" w:rsidRPr="00C14483" w:rsidRDefault="003130F9" w:rsidP="00775ACE">
      <w:pPr>
        <w:spacing w:line="480" w:lineRule="auto"/>
        <w:ind w:firstLine="720"/>
      </w:pPr>
      <w:r>
        <w:t xml:space="preserve">Dominion strategically filed its rate case just prior to </w:t>
      </w:r>
      <w:r w:rsidR="00521D11">
        <w:t xml:space="preserve">Enbridge’s </w:t>
      </w:r>
      <w:r w:rsidR="00521D11" w:rsidRPr="00C14483">
        <w:t>acquisition of Dominion</w:t>
      </w:r>
      <w:r>
        <w:t xml:space="preserve">. The acquisition </w:t>
      </w:r>
      <w:r w:rsidR="00521D11" w:rsidRPr="00C14483">
        <w:t>has direct implications for the rates to be charged</w:t>
      </w:r>
      <w:r>
        <w:t xml:space="preserve"> to consumers</w:t>
      </w:r>
      <w:r w:rsidR="00521D11" w:rsidRPr="00C14483">
        <w:t xml:space="preserve">. As noted in </w:t>
      </w:r>
      <w:r w:rsidR="008E02E5">
        <w:t xml:space="preserve">OCC </w:t>
      </w:r>
      <w:r w:rsidR="00521D11" w:rsidRPr="00C14483">
        <w:t>Objection No. 17:</w:t>
      </w:r>
    </w:p>
    <w:p w14:paraId="718A30CD" w14:textId="4866FC73" w:rsidR="00775ACE" w:rsidRPr="00C14483" w:rsidRDefault="003130F9" w:rsidP="00414754">
      <w:pPr>
        <w:ind w:left="720"/>
      </w:pPr>
      <w:r w:rsidRPr="009A3636">
        <w:t>The Staff Report erred and harms consumers through its failure to recommend consumer protections in the rate case due to Enbridge’s acquisition of Dominion. When a utility acquisition occurs, consumers should be provided benefits that result from the transaction and be protected from paying for additional costs to complete the transaction.</w:t>
      </w:r>
      <w:r>
        <w:rPr>
          <w:rStyle w:val="FootnoteReference"/>
        </w:rPr>
        <w:footnoteReference w:id="8"/>
      </w:r>
    </w:p>
    <w:p w14:paraId="55A096AC" w14:textId="21A03F0D" w:rsidR="00757239" w:rsidRDefault="00757239"/>
    <w:p w14:paraId="7288137C" w14:textId="29546069" w:rsidR="000C529A" w:rsidRPr="00626C8B" w:rsidRDefault="003130F9" w:rsidP="00B73C8D">
      <w:pPr>
        <w:spacing w:line="480" w:lineRule="auto"/>
        <w:ind w:firstLine="720"/>
      </w:pPr>
      <w:r>
        <w:t>Since</w:t>
      </w:r>
      <w:r w:rsidR="00BE61A2">
        <w:t xml:space="preserve"> Dominion notified the PUCO that it was being acquired by Enbridge</w:t>
      </w:r>
      <w:r>
        <w:t xml:space="preserve">, OCC has </w:t>
      </w:r>
      <w:r w:rsidR="00BE61A2">
        <w:t xml:space="preserve">advocated for </w:t>
      </w:r>
      <w:r>
        <w:t xml:space="preserve">a full review </w:t>
      </w:r>
      <w:r w:rsidR="00BE61A2">
        <w:t xml:space="preserve">by the PUCO </w:t>
      </w:r>
      <w:r>
        <w:t xml:space="preserve">of </w:t>
      </w:r>
      <w:r w:rsidR="00BE61A2">
        <w:t xml:space="preserve">the </w:t>
      </w:r>
      <w:r>
        <w:t>acquisition.</w:t>
      </w:r>
      <w:r>
        <w:rPr>
          <w:rStyle w:val="FootnoteReference"/>
        </w:rPr>
        <w:footnoteReference w:id="9"/>
      </w:r>
      <w:r w:rsidR="00165A57">
        <w:t xml:space="preserve"> </w:t>
      </w:r>
      <w:r w:rsidR="00392CDD">
        <w:t xml:space="preserve">Enbridge’s </w:t>
      </w:r>
      <w:r>
        <w:t>acquisition</w:t>
      </w:r>
      <w:r w:rsidR="00392CDD">
        <w:t xml:space="preserve"> of Dominion</w:t>
      </w:r>
      <w:r>
        <w:t xml:space="preserve"> </w:t>
      </w:r>
      <w:r w:rsidR="00BE61A2">
        <w:t xml:space="preserve">in Ohio </w:t>
      </w:r>
      <w:r w:rsidR="00CD0757">
        <w:t xml:space="preserve">was </w:t>
      </w:r>
      <w:r>
        <w:t xml:space="preserve">part of </w:t>
      </w:r>
      <w:r w:rsidR="00BE61A2">
        <w:t>a</w:t>
      </w:r>
      <w:r>
        <w:t xml:space="preserve"> larger $14 billion multi-state purchase by Enbridge</w:t>
      </w:r>
      <w:r w:rsidR="008F589A">
        <w:t>.</w:t>
      </w:r>
      <w:r>
        <w:rPr>
          <w:rStyle w:val="FootnoteReference"/>
        </w:rPr>
        <w:footnoteReference w:id="10"/>
      </w:r>
      <w:r w:rsidR="009C6E1B">
        <w:t xml:space="preserve"> </w:t>
      </w:r>
      <w:r w:rsidR="00BE61A2">
        <w:lastRenderedPageBreak/>
        <w:t>Neverth</w:t>
      </w:r>
      <w:r w:rsidR="00392CDD">
        <w:t>e</w:t>
      </w:r>
      <w:r w:rsidR="00BE61A2">
        <w:t>less</w:t>
      </w:r>
      <w:r w:rsidR="00CD0757">
        <w:t xml:space="preserve">, </w:t>
      </w:r>
      <w:r>
        <w:t xml:space="preserve">the PUCO declined </w:t>
      </w:r>
      <w:r w:rsidR="000D0964">
        <w:t xml:space="preserve">OCC’s </w:t>
      </w:r>
      <w:r w:rsidR="009C6E1B">
        <w:t>request for</w:t>
      </w:r>
      <w:r w:rsidR="000D0964">
        <w:t xml:space="preserve"> an </w:t>
      </w:r>
      <w:r>
        <w:t>investigation.</w:t>
      </w:r>
      <w:r>
        <w:rPr>
          <w:rStyle w:val="FootnoteReference"/>
        </w:rPr>
        <w:footnoteReference w:id="11"/>
      </w:r>
      <w:r w:rsidR="000D0964">
        <w:t xml:space="preserve"> The PUCO stated</w:t>
      </w:r>
      <w:r w:rsidR="00315EAD">
        <w:t>:</w:t>
      </w:r>
    </w:p>
    <w:p w14:paraId="7153F1A9" w14:textId="511ADBF1" w:rsidR="00775ACE" w:rsidRPr="008E02E5" w:rsidRDefault="003130F9" w:rsidP="00775ACE">
      <w:pPr>
        <w:ind w:left="720"/>
      </w:pPr>
      <w:bookmarkStart w:id="1" w:name="_Hlk174615379"/>
      <w:r w:rsidRPr="009A3636">
        <w:t xml:space="preserve">Whether the Transaction will result in efficiencies of operations or economies of scale that will influence customer rates, whether cross-subsidization occurs that precludes recovery of certain costs, and what form liquidity support for EOG’s future capital expenditures program embodies – among others – </w:t>
      </w:r>
      <w:r w:rsidRPr="009A3636">
        <w:rPr>
          <w:b/>
          <w:bCs/>
          <w:i/>
          <w:iCs/>
        </w:rPr>
        <w:t>are inherent to and better suited to investigation and litigation during EOG’s next base rate proceeding</w:t>
      </w:r>
      <w:r w:rsidRPr="009A3636">
        <w:t>.</w:t>
      </w:r>
      <w:r>
        <w:rPr>
          <w:rStyle w:val="FootnoteReference"/>
        </w:rPr>
        <w:footnoteReference w:id="12"/>
      </w:r>
    </w:p>
    <w:bookmarkEnd w:id="1"/>
    <w:p w14:paraId="3C6ACCBE" w14:textId="77777777" w:rsidR="00775ACE" w:rsidRPr="008E02E5" w:rsidRDefault="00775ACE" w:rsidP="00775ACE"/>
    <w:p w14:paraId="6D5FFBB7" w14:textId="66D83531" w:rsidR="008606A0" w:rsidRDefault="003130F9" w:rsidP="009C6E1B">
      <w:pPr>
        <w:spacing w:line="480" w:lineRule="auto"/>
        <w:ind w:firstLine="720"/>
      </w:pPr>
      <w:r>
        <w:t xml:space="preserve">We are now </w:t>
      </w:r>
      <w:r w:rsidR="00392CDD">
        <w:t xml:space="preserve">in Enbridge’s “next base rate proceeding.” </w:t>
      </w:r>
      <w:r>
        <w:t xml:space="preserve">This is the case </w:t>
      </w:r>
      <w:r w:rsidR="00460BEC">
        <w:t>to address th</w:t>
      </w:r>
      <w:r w:rsidR="00392CDD">
        <w:t>e</w:t>
      </w:r>
      <w:r w:rsidR="00460BEC">
        <w:t xml:space="preserve"> </w:t>
      </w:r>
      <w:r w:rsidR="00392CDD">
        <w:t xml:space="preserve">acquisition </w:t>
      </w:r>
      <w:r w:rsidR="00460BEC">
        <w:t>issues</w:t>
      </w:r>
      <w:r w:rsidR="00392CDD">
        <w:t xml:space="preserve"> affecting consumers</w:t>
      </w:r>
      <w:r w:rsidR="000C529A">
        <w:t>. The Staff Report</w:t>
      </w:r>
      <w:r w:rsidR="005B792E">
        <w:t xml:space="preserve">, however, </w:t>
      </w:r>
      <w:r w:rsidR="000C529A">
        <w:t xml:space="preserve">is silent on </w:t>
      </w:r>
      <w:r w:rsidR="00746594">
        <w:t xml:space="preserve">the </w:t>
      </w:r>
      <w:r w:rsidR="000C529A">
        <w:t xml:space="preserve">acquisition matter as if it never happened. It’s the elephant in the room that the PUCO Staff does </w:t>
      </w:r>
      <w:r w:rsidR="009C6E1B">
        <w:t>not address</w:t>
      </w:r>
      <w:r w:rsidR="000408BC">
        <w:t>.</w:t>
      </w:r>
      <w:r w:rsidR="00572EAE">
        <w:t xml:space="preserve"> </w:t>
      </w:r>
      <w:r w:rsidR="000408BC">
        <w:t>OCC</w:t>
      </w:r>
      <w:r w:rsidR="000C529A">
        <w:t xml:space="preserve"> filed its Objection 17 to </w:t>
      </w:r>
      <w:r w:rsidR="000408BC">
        <w:t xml:space="preserve">pursue this issue </w:t>
      </w:r>
      <w:r w:rsidR="000C529A">
        <w:t>for Ohio consumers</w:t>
      </w:r>
      <w:r w:rsidR="00F142B1">
        <w:t>.</w:t>
      </w:r>
      <w:r>
        <w:rPr>
          <w:rStyle w:val="FootnoteReference"/>
        </w:rPr>
        <w:footnoteReference w:id="13"/>
      </w:r>
      <w:r w:rsidR="000C529A">
        <w:t xml:space="preserve"> Without an investigation into the effect of the acquisition, reasonable rates </w:t>
      </w:r>
      <w:r w:rsidR="00392CDD">
        <w:t>for consumers will not</w:t>
      </w:r>
      <w:r w:rsidR="000C529A">
        <w:t xml:space="preserve"> be established</w:t>
      </w:r>
      <w:r w:rsidR="00DE0C32">
        <w:t>.</w:t>
      </w:r>
      <w:r>
        <w:t xml:space="preserve"> Enbridge’s </w:t>
      </w:r>
      <w:r w:rsidR="002C00A1">
        <w:t xml:space="preserve">erroneous </w:t>
      </w:r>
      <w:r>
        <w:t xml:space="preserve">interpretation of the </w:t>
      </w:r>
      <w:r w:rsidR="00264BD6">
        <w:t>PUCO</w:t>
      </w:r>
      <w:r>
        <w:t>’s acquisition case</w:t>
      </w:r>
      <w:r w:rsidR="002C00A1">
        <w:t xml:space="preserve"> order</w:t>
      </w:r>
      <w:r>
        <w:t xml:space="preserve"> </w:t>
      </w:r>
      <w:r w:rsidR="009C6E1B">
        <w:t>precluding consideration</w:t>
      </w:r>
      <w:r>
        <w:t xml:space="preserve"> of the</w:t>
      </w:r>
      <w:r w:rsidR="002C00A1">
        <w:t xml:space="preserve"> impacts of the</w:t>
      </w:r>
      <w:r>
        <w:t xml:space="preserve"> acquisition </w:t>
      </w:r>
      <w:r w:rsidR="002C00A1">
        <w:t>on rates</w:t>
      </w:r>
      <w:r>
        <w:t xml:space="preserve"> is contrary to the PUCO’s statutory duty to set </w:t>
      </w:r>
      <w:r w:rsidR="002C00A1">
        <w:t xml:space="preserve">just and </w:t>
      </w:r>
      <w:r>
        <w:t>reasonable rates. Consumers should not have to wait for another 15+ years to have the effects of the acquisition considered in rates.</w:t>
      </w:r>
      <w:r w:rsidR="00572EAE">
        <w:t xml:space="preserve"> </w:t>
      </w:r>
    </w:p>
    <w:p w14:paraId="2E151A49" w14:textId="6C32F23C" w:rsidR="00352146" w:rsidRDefault="003130F9" w:rsidP="00352146">
      <w:pPr>
        <w:spacing w:line="480" w:lineRule="auto"/>
        <w:ind w:firstLine="720"/>
      </w:pPr>
      <w:r>
        <w:t>Enbridge</w:t>
      </w:r>
      <w:r w:rsidRPr="00C14483">
        <w:t xml:space="preserve"> also erroneously argues that the PUCO</w:t>
      </w:r>
      <w:r>
        <w:t>’</w:t>
      </w:r>
      <w:r w:rsidRPr="00C14483">
        <w:t xml:space="preserve">s </w:t>
      </w:r>
      <w:r w:rsidR="001D4755">
        <w:t xml:space="preserve">order approving the test period in </w:t>
      </w:r>
      <w:r w:rsidR="002C00A1">
        <w:t>this</w:t>
      </w:r>
      <w:r w:rsidR="001D4755">
        <w:t xml:space="preserve"> rate case</w:t>
      </w:r>
      <w:r>
        <w:t xml:space="preserve"> </w:t>
      </w:r>
      <w:r w:rsidRPr="00C14483">
        <w:t>preclude</w:t>
      </w:r>
      <w:r w:rsidR="002C00A1">
        <w:t>s</w:t>
      </w:r>
      <w:r w:rsidRPr="00C14483">
        <w:t xml:space="preserve"> consideration of OCC</w:t>
      </w:r>
      <w:r>
        <w:t>’</w:t>
      </w:r>
      <w:r w:rsidRPr="00C14483">
        <w:t xml:space="preserve">s </w:t>
      </w:r>
      <w:r w:rsidR="002C00A1">
        <w:t>O</w:t>
      </w:r>
      <w:r w:rsidRPr="00C14483">
        <w:t>bjection</w:t>
      </w:r>
      <w:r w:rsidR="002C00A1">
        <w:t xml:space="preserve"> No. 17</w:t>
      </w:r>
      <w:r w:rsidRPr="00C14483">
        <w:t xml:space="preserve">. </w:t>
      </w:r>
      <w:r>
        <w:t xml:space="preserve">Specifically, Enbridge argues that the PUCO precluded consideration of the acquisition in this rate </w:t>
      </w:r>
      <w:r>
        <w:lastRenderedPageBreak/>
        <w:t>case when it approved the test period</w:t>
      </w:r>
      <w:r w:rsidR="007A5F37">
        <w:t>,</w:t>
      </w:r>
      <w:r>
        <w:rPr>
          <w:rStyle w:val="FootnoteReference"/>
        </w:rPr>
        <w:footnoteReference w:id="14"/>
      </w:r>
      <w:r>
        <w:t xml:space="preserve"> which concluded </w:t>
      </w:r>
      <w:r w:rsidR="007A5F37">
        <w:t xml:space="preserve">before </w:t>
      </w:r>
      <w:r>
        <w:t>the acquisition</w:t>
      </w:r>
      <w:r w:rsidR="007A5F37">
        <w:t xml:space="preserve"> closed</w:t>
      </w:r>
      <w:r w:rsidR="0003315D">
        <w:t xml:space="preserve">. </w:t>
      </w:r>
      <w:r w:rsidR="0003315D" w:rsidRPr="0003315D">
        <w:t>Enbridge also argues that the PUCO</w:t>
      </w:r>
      <w:r w:rsidR="002C00A1">
        <w:t xml:space="preserve">’s reference in the acquisition order </w:t>
      </w:r>
      <w:r w:rsidR="009C6E1B">
        <w:t xml:space="preserve">to </w:t>
      </w:r>
      <w:r w:rsidR="009C6E1B" w:rsidRPr="0003315D">
        <w:t>the</w:t>
      </w:r>
      <w:r w:rsidR="002C00A1">
        <w:t xml:space="preserve"> </w:t>
      </w:r>
      <w:r w:rsidR="0003315D">
        <w:t>“</w:t>
      </w:r>
      <w:r w:rsidR="0003315D" w:rsidRPr="0003315D">
        <w:t>next rate case,</w:t>
      </w:r>
      <w:r w:rsidR="0003315D">
        <w:t>”</w:t>
      </w:r>
      <w:r w:rsidR="0003315D" w:rsidRPr="0003315D">
        <w:t xml:space="preserve"> must refer to </w:t>
      </w:r>
      <w:r w:rsidR="002C00A1">
        <w:t xml:space="preserve">whatever </w:t>
      </w:r>
      <w:r w:rsidR="0003315D" w:rsidRPr="0003315D">
        <w:t>rate case</w:t>
      </w:r>
      <w:r w:rsidR="002C00A1">
        <w:t xml:space="preserve"> Enbridge will file in the future</w:t>
      </w:r>
      <w:r w:rsidR="0003315D" w:rsidRPr="0003315D">
        <w:t>.</w:t>
      </w:r>
      <w:r>
        <w:rPr>
          <w:rStyle w:val="FootnoteReference"/>
        </w:rPr>
        <w:footnoteReference w:id="15"/>
      </w:r>
      <w:r w:rsidR="00165A57">
        <w:t xml:space="preserve"> </w:t>
      </w:r>
      <w:r w:rsidR="0003315D">
        <w:t>Enbridge is mistaken on all counts</w:t>
      </w:r>
      <w:r>
        <w:t>.</w:t>
      </w:r>
    </w:p>
    <w:p w14:paraId="7A9E27E6" w14:textId="52938EC0" w:rsidR="00352146" w:rsidRDefault="003130F9" w:rsidP="00352146">
      <w:pPr>
        <w:spacing w:line="480" w:lineRule="auto"/>
        <w:ind w:firstLine="720"/>
      </w:pPr>
      <w:r>
        <w:t xml:space="preserve"> </w:t>
      </w:r>
      <w:r w:rsidR="001A533E">
        <w:t>T</w:t>
      </w:r>
      <w:r w:rsidRPr="00C14483">
        <w:t>he PUCO</w:t>
      </w:r>
      <w:r>
        <w:t>’</w:t>
      </w:r>
      <w:r w:rsidRPr="00C14483">
        <w:t>s approval of the test period</w:t>
      </w:r>
      <w:r w:rsidR="002C00A1">
        <w:t xml:space="preserve"> in this case</w:t>
      </w:r>
      <w:r w:rsidRPr="00C14483">
        <w:t xml:space="preserve"> </w:t>
      </w:r>
      <w:r w:rsidR="002C00A1">
        <w:t>should</w:t>
      </w:r>
      <w:r w:rsidR="000D0964">
        <w:t xml:space="preserve"> not </w:t>
      </w:r>
      <w:r w:rsidRPr="00C14483">
        <w:t>foreclos</w:t>
      </w:r>
      <w:r w:rsidR="000D0964">
        <w:t>e</w:t>
      </w:r>
      <w:r w:rsidRPr="00C14483">
        <w:t xml:space="preserve"> a review of the acquisition</w:t>
      </w:r>
      <w:r>
        <w:t>’</w:t>
      </w:r>
      <w:r w:rsidRPr="00C14483">
        <w:t>s impact</w:t>
      </w:r>
      <w:r w:rsidR="000D0964">
        <w:t xml:space="preserve"> on consumers</w:t>
      </w:r>
      <w:r w:rsidR="00392CDD">
        <w:t xml:space="preserve"> </w:t>
      </w:r>
      <w:r w:rsidR="007A5F37">
        <w:t xml:space="preserve">now, </w:t>
      </w:r>
      <w:r w:rsidR="00392CDD">
        <w:t xml:space="preserve">in </w:t>
      </w:r>
      <w:r w:rsidR="002C00A1">
        <w:t>this</w:t>
      </w:r>
      <w:r w:rsidR="00392CDD">
        <w:t xml:space="preserve"> rate case</w:t>
      </w:r>
      <w:r w:rsidRPr="00C14483">
        <w:t xml:space="preserve">. </w:t>
      </w:r>
      <w:r w:rsidR="000D0964">
        <w:t>Whe</w:t>
      </w:r>
      <w:r w:rsidR="00392CDD">
        <w:t>n</w:t>
      </w:r>
      <w:r w:rsidR="000D0964">
        <w:t xml:space="preserve"> the PUCO approved the </w:t>
      </w:r>
      <w:r w:rsidRPr="00C14483">
        <w:t xml:space="preserve">test period, </w:t>
      </w:r>
      <w:r w:rsidR="000D0964">
        <w:t xml:space="preserve">the Joint Notice of Acquisition had not yet been filed. </w:t>
      </w:r>
      <w:r w:rsidRPr="00C14483">
        <w:t xml:space="preserve">The Joint Notice of Acquisition was filed on October 20, 2023, two days </w:t>
      </w:r>
      <w:r w:rsidRPr="009A3636">
        <w:rPr>
          <w:i/>
          <w:iCs/>
        </w:rPr>
        <w:t>after</w:t>
      </w:r>
      <w:r w:rsidRPr="00C14483">
        <w:t xml:space="preserve"> the test period was approved</w:t>
      </w:r>
      <w:r w:rsidR="00392CDD">
        <w:t xml:space="preserve"> by the PUCO</w:t>
      </w:r>
      <w:r w:rsidRPr="00C14483">
        <w:t xml:space="preserve">. </w:t>
      </w:r>
      <w:r w:rsidRPr="006C5F00">
        <w:t>As such, the PUCO’s approval of the test period is just that and only tha</w:t>
      </w:r>
      <w:r>
        <w:t>t.</w:t>
      </w:r>
      <w:r w:rsidR="00572EAE">
        <w:t xml:space="preserve"> </w:t>
      </w:r>
      <w:r>
        <w:t>O</w:t>
      </w:r>
      <w:r w:rsidRPr="00C14483">
        <w:t>CC</w:t>
      </w:r>
      <w:r>
        <w:t>’</w:t>
      </w:r>
      <w:r w:rsidRPr="00C14483">
        <w:t>s objection is</w:t>
      </w:r>
      <w:r w:rsidR="007A5F37">
        <w:t xml:space="preserve"> still</w:t>
      </w:r>
      <w:r w:rsidRPr="00C14483">
        <w:t xml:space="preserve"> valid and should be considered in these proceedings.</w:t>
      </w:r>
      <w:r>
        <w:t xml:space="preserve"> </w:t>
      </w:r>
      <w:r w:rsidR="002C00A1">
        <w:t xml:space="preserve">Consumers should not be </w:t>
      </w:r>
      <w:r w:rsidR="001A533E">
        <w:t xml:space="preserve">disadvantaged </w:t>
      </w:r>
      <w:r w:rsidR="007A5F37">
        <w:t>because</w:t>
      </w:r>
      <w:r w:rsidR="001A533E">
        <w:t xml:space="preserve"> of Enbridge’s gamesmanship.</w:t>
      </w:r>
    </w:p>
    <w:p w14:paraId="2528C827" w14:textId="54B92902" w:rsidR="00B73C8D" w:rsidRDefault="003130F9" w:rsidP="00352146">
      <w:pPr>
        <w:spacing w:line="480" w:lineRule="auto"/>
        <w:ind w:firstLine="720"/>
      </w:pPr>
      <w:r w:rsidRPr="00C14483">
        <w:t>OCC</w:t>
      </w:r>
      <w:r>
        <w:t>’</w:t>
      </w:r>
      <w:r w:rsidRPr="00C14483">
        <w:t>s objection clearly falls within the scope of these proceedings</w:t>
      </w:r>
      <w:r>
        <w:t>, as is confirmed in the PUCO’s acquisition order</w:t>
      </w:r>
      <w:r w:rsidRPr="00C14483">
        <w:t>.</w:t>
      </w:r>
      <w:r w:rsidR="007A5F37">
        <w:t xml:space="preserve"> Enbridge’s</w:t>
      </w:r>
      <w:r w:rsidR="0054183F">
        <w:t xml:space="preserve"> argument to the contrary should be rejected.</w:t>
      </w:r>
    </w:p>
    <w:p w14:paraId="15D8FCB9" w14:textId="2FCED413" w:rsidR="00775ACE" w:rsidRPr="00525077" w:rsidRDefault="003130F9" w:rsidP="0057519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525077">
        <w:rPr>
          <w:rFonts w:ascii="Times New Roman" w:hAnsi="Times New Roman" w:cs="Times New Roman"/>
          <w:b/>
          <w:bCs/>
        </w:rPr>
        <w:t>OCC’s Objection is Stated with Specificity</w:t>
      </w:r>
      <w:r w:rsidR="0054183F">
        <w:rPr>
          <w:rFonts w:ascii="Times New Roman" w:hAnsi="Times New Roman" w:cs="Times New Roman"/>
          <w:b/>
          <w:bCs/>
        </w:rPr>
        <w:t>.</w:t>
      </w:r>
    </w:p>
    <w:p w14:paraId="4063F4A3" w14:textId="01D848C6" w:rsidR="00775ACE" w:rsidRPr="00C14483" w:rsidRDefault="003130F9" w:rsidP="00775ACE">
      <w:pPr>
        <w:spacing w:line="480" w:lineRule="auto"/>
        <w:ind w:firstLine="720"/>
      </w:pPr>
      <w:r>
        <w:t>Enbridge’</w:t>
      </w:r>
      <w:r w:rsidRPr="00C14483">
        <w:t>s argument that OCC</w:t>
      </w:r>
      <w:r>
        <w:t>’</w:t>
      </w:r>
      <w:r w:rsidRPr="00C14483">
        <w:t>s objection lacks specificity is misplaced.</w:t>
      </w:r>
      <w:r w:rsidR="002854D9">
        <w:t xml:space="preserve"> OCC’s objection provides Enbridge and the parties with sufficient notice of the issues to be contested.</w:t>
      </w:r>
      <w:r>
        <w:rPr>
          <w:rStyle w:val="FootnoteReference"/>
        </w:rPr>
        <w:footnoteReference w:id="16"/>
      </w:r>
      <w:r w:rsidRPr="00C14483">
        <w:t xml:space="preserve"> OCC is not required to provide an exhaustive analysis of how the acquisition will affect rates</w:t>
      </w:r>
      <w:r w:rsidR="00757239">
        <w:t xml:space="preserve"> - </w:t>
      </w:r>
      <w:r w:rsidRPr="00C14483">
        <w:t xml:space="preserve">that responsibility lies with the utility and PUCO Staff. </w:t>
      </w:r>
      <w:r w:rsidR="001A533E">
        <w:t xml:space="preserve">How could OCC possibly </w:t>
      </w:r>
      <w:r w:rsidR="0054183F">
        <w:t>undertake that task</w:t>
      </w:r>
      <w:r w:rsidR="001A533E">
        <w:t>, when there has been no investigation of</w:t>
      </w:r>
      <w:r w:rsidR="0054183F">
        <w:t xml:space="preserve"> the</w:t>
      </w:r>
      <w:r w:rsidR="001A533E">
        <w:t xml:space="preserve"> acquisition </w:t>
      </w:r>
      <w:r w:rsidR="001A533E">
        <w:lastRenderedPageBreak/>
        <w:t xml:space="preserve">in the first place? </w:t>
      </w:r>
      <w:r w:rsidRPr="00C14483">
        <w:t>OCC</w:t>
      </w:r>
      <w:r>
        <w:t>’</w:t>
      </w:r>
      <w:r w:rsidRPr="00C14483">
        <w:t xml:space="preserve">s objection </w:t>
      </w:r>
      <w:r w:rsidR="001A533E">
        <w:t xml:space="preserve">puts parties on notice </w:t>
      </w:r>
      <w:r w:rsidRPr="00C14483">
        <w:t xml:space="preserve">that the Staff Report erred by failing to analyze the </w:t>
      </w:r>
      <w:r w:rsidR="008816C4" w:rsidRPr="00C14483">
        <w:t>impact</w:t>
      </w:r>
      <w:r w:rsidRPr="00C14483">
        <w:t xml:space="preserve"> of the acquisition</w:t>
      </w:r>
      <w:r w:rsidR="0054183F">
        <w:t xml:space="preserve"> on consumers</w:t>
      </w:r>
      <w:r w:rsidRPr="00C14483">
        <w:t>. As OCC stated in Objection No. 17:</w:t>
      </w:r>
    </w:p>
    <w:p w14:paraId="55ACEA3B" w14:textId="77777777" w:rsidR="00775ACE" w:rsidRDefault="003130F9" w:rsidP="00775ACE">
      <w:pPr>
        <w:ind w:left="720"/>
        <w:rPr>
          <w:i/>
          <w:iCs/>
        </w:rPr>
      </w:pPr>
      <w:r>
        <w:rPr>
          <w:i/>
          <w:iCs/>
        </w:rPr>
        <w:t>“</w:t>
      </w:r>
      <w:r w:rsidRPr="00C14483">
        <w:rPr>
          <w:i/>
          <w:iCs/>
        </w:rPr>
        <w:t>The Staff Report should have included an analysis of all acquisition savings that will flow to Enbridge as a result of the merger.</w:t>
      </w:r>
      <w:r>
        <w:rPr>
          <w:i/>
          <w:iCs/>
        </w:rPr>
        <w:t>”</w:t>
      </w:r>
    </w:p>
    <w:p w14:paraId="137111B1" w14:textId="77777777" w:rsidR="00DC180F" w:rsidRPr="00C14483" w:rsidRDefault="00DC180F" w:rsidP="00775ACE">
      <w:pPr>
        <w:ind w:left="720"/>
      </w:pPr>
    </w:p>
    <w:p w14:paraId="49EA671D" w14:textId="1B489791" w:rsidR="001A533E" w:rsidRDefault="003130F9" w:rsidP="009C6E1B">
      <w:pPr>
        <w:spacing w:line="480" w:lineRule="auto"/>
      </w:pPr>
      <w:r>
        <w:t xml:space="preserve">Without such review, there will be </w:t>
      </w:r>
      <w:proofErr w:type="gramStart"/>
      <w:r>
        <w:t>no</w:t>
      </w:r>
      <w:proofErr w:type="gramEnd"/>
      <w:r>
        <w:t xml:space="preserve"> just and reasonable rates for consumers</w:t>
      </w:r>
      <w:r w:rsidR="00B304D4">
        <w:t xml:space="preserve"> resulting from this rate case</w:t>
      </w:r>
      <w:r>
        <w:t>.</w:t>
      </w:r>
    </w:p>
    <w:p w14:paraId="36A30016" w14:textId="4E523C54" w:rsidR="00B304D4" w:rsidRDefault="003130F9" w:rsidP="00E108C5">
      <w:pPr>
        <w:spacing w:line="480" w:lineRule="auto"/>
        <w:ind w:firstLine="720"/>
      </w:pPr>
      <w:r w:rsidRPr="00C14483">
        <w:t xml:space="preserve">OCC cannot reasonably be expected to offer a critique of </w:t>
      </w:r>
      <w:r w:rsidR="0054183F">
        <w:t>an analysis the PUCO Staff failed to do,</w:t>
      </w:r>
      <w:r>
        <w:t xml:space="preserve"> </w:t>
      </w:r>
      <w:r w:rsidR="0054183F">
        <w:rPr>
          <w:i/>
          <w:iCs/>
        </w:rPr>
        <w:t xml:space="preserve">i.e. </w:t>
      </w:r>
      <w:r>
        <w:t>the impact of the acquisition</w:t>
      </w:r>
      <w:r w:rsidR="0054183F">
        <w:t xml:space="preserve"> on consumer rates</w:t>
      </w:r>
      <w:r w:rsidRPr="00C14483">
        <w:t>.</w:t>
      </w:r>
      <w:r w:rsidR="002854D9">
        <w:t xml:space="preserve"> Indeed, the PUCO </w:t>
      </w:r>
      <w:r w:rsidR="002854D9" w:rsidRPr="00525077">
        <w:rPr>
          <w:i/>
          <w:iCs/>
        </w:rPr>
        <w:t>denied</w:t>
      </w:r>
      <w:r w:rsidR="002854D9">
        <w:t xml:space="preserve"> OCC the opportunity to analyze these issues in Case No. 23-972-GA-UNC, finding that acquisition savings and costs are an issue for the rate case.</w:t>
      </w:r>
      <w:r w:rsidR="00572EAE">
        <w:t xml:space="preserve"> </w:t>
      </w:r>
      <w:r w:rsidRPr="00C14483">
        <w:t>OCC</w:t>
      </w:r>
      <w:r>
        <w:t>’</w:t>
      </w:r>
      <w:r w:rsidRPr="00C14483">
        <w:t xml:space="preserve">s objection </w:t>
      </w:r>
      <w:r>
        <w:t xml:space="preserve">properly </w:t>
      </w:r>
      <w:r w:rsidRPr="00C14483">
        <w:t xml:space="preserve">identifies the </w:t>
      </w:r>
      <w:r w:rsidR="0054183F">
        <w:t xml:space="preserve">PUCO Staff’s failure </w:t>
      </w:r>
      <w:r w:rsidR="0054183F" w:rsidRPr="00C14483">
        <w:t xml:space="preserve">to account for acquisition-related savings and costs </w:t>
      </w:r>
      <w:r w:rsidRPr="00C14483">
        <w:t xml:space="preserve"> and not</w:t>
      </w:r>
      <w:r w:rsidR="00CB3BBB">
        <w:t>es</w:t>
      </w:r>
      <w:r w:rsidRPr="00C14483">
        <w:t xml:space="preserve"> th</w:t>
      </w:r>
      <w:r>
        <w:t>e</w:t>
      </w:r>
      <w:r w:rsidRPr="00C14483">
        <w:t xml:space="preserve"> </w:t>
      </w:r>
      <w:r>
        <w:t xml:space="preserve">harm to </w:t>
      </w:r>
      <w:r w:rsidRPr="00C14483">
        <w:t>consumers.</w:t>
      </w:r>
      <w:r w:rsidR="002854D9">
        <w:t xml:space="preserve"> </w:t>
      </w:r>
    </w:p>
    <w:p w14:paraId="62560CBC" w14:textId="6A54C02A" w:rsidR="00D314AE" w:rsidRPr="00C14483" w:rsidRDefault="003130F9" w:rsidP="00E108C5">
      <w:pPr>
        <w:spacing w:line="480" w:lineRule="auto"/>
        <w:ind w:firstLine="720"/>
      </w:pPr>
      <w:r w:rsidRPr="008465AE">
        <w:t>The purpose of objections is to place the applicant, the Staff, and other parties on notice as to the issues that will be litigated.</w:t>
      </w:r>
      <w:r>
        <w:rPr>
          <w:vertAlign w:val="superscript"/>
        </w:rPr>
        <w:footnoteReference w:id="17"/>
      </w:r>
      <w:r w:rsidRPr="008465AE">
        <w:t xml:space="preserve"> </w:t>
      </w:r>
      <w:r>
        <w:t xml:space="preserve">OCC has provided </w:t>
      </w:r>
      <w:r w:rsidR="002854D9">
        <w:t xml:space="preserve">sufficient notice for </w:t>
      </w:r>
      <w:r w:rsidR="00A7269A">
        <w:t>Enbridge and the parties</w:t>
      </w:r>
      <w:r w:rsidR="00521D11" w:rsidRPr="00C14483">
        <w:t xml:space="preserve">. </w:t>
      </w:r>
      <w:r w:rsidR="00304638">
        <w:t xml:space="preserve">Ohio </w:t>
      </w:r>
      <w:proofErr w:type="spellStart"/>
      <w:r w:rsidR="00304638">
        <w:t>Adm.Code</w:t>
      </w:r>
      <w:proofErr w:type="spellEnd"/>
      <w:r w:rsidR="00304638" w:rsidRPr="00304638">
        <w:t xml:space="preserve"> 4901-1-28</w:t>
      </w:r>
      <w:r w:rsidR="00304638">
        <w:t xml:space="preserve"> </w:t>
      </w:r>
      <w:r w:rsidR="00304638" w:rsidRPr="00304638">
        <w:t xml:space="preserve">clarifies that the </w:t>
      </w:r>
      <w:r w:rsidR="00B304D4">
        <w:t>“</w:t>
      </w:r>
      <w:r w:rsidR="00304638" w:rsidRPr="00304638">
        <w:t>objections may relate to th</w:t>
      </w:r>
      <w:r w:rsidR="00304638">
        <w:t xml:space="preserve">e * * * </w:t>
      </w:r>
      <w:r w:rsidR="00304638" w:rsidRPr="00525077">
        <w:rPr>
          <w:i/>
          <w:iCs/>
        </w:rPr>
        <w:t xml:space="preserve">failure of the report to address one more </w:t>
      </w:r>
      <w:r w:rsidR="00304638" w:rsidRPr="00525077">
        <w:rPr>
          <w:i/>
          <w:iCs/>
          <w:u w:val="single"/>
        </w:rPr>
        <w:t>specific</w:t>
      </w:r>
      <w:r w:rsidR="00304638" w:rsidRPr="00525077">
        <w:rPr>
          <w:i/>
          <w:iCs/>
        </w:rPr>
        <w:t xml:space="preserve"> items</w:t>
      </w:r>
      <w:r w:rsidR="00304638" w:rsidRPr="00304638">
        <w:t>.</w:t>
      </w:r>
      <w:r w:rsidR="00B304D4">
        <w:t>”</w:t>
      </w:r>
      <w:r w:rsidR="00304638" w:rsidRPr="00304638">
        <w:t xml:space="preserve"> </w:t>
      </w:r>
      <w:r w:rsidR="005A1845" w:rsidRPr="005A1845">
        <w:t>These objections are required only to show a “sufficient nexus” between issues not addressed in the application and those that are expressly put in issue.</w:t>
      </w:r>
      <w:r>
        <w:rPr>
          <w:vertAlign w:val="superscript"/>
        </w:rPr>
        <w:footnoteReference w:id="18"/>
      </w:r>
      <w:r w:rsidR="005A1845" w:rsidRPr="005A1845">
        <w:t xml:space="preserve"> </w:t>
      </w:r>
      <w:r w:rsidR="00304638">
        <w:t>Objection 17 meets and surpasse</w:t>
      </w:r>
      <w:r w:rsidR="005A1845">
        <w:t>s</w:t>
      </w:r>
      <w:r w:rsidR="00304638">
        <w:t xml:space="preserve"> the rule’s </w:t>
      </w:r>
      <w:r w:rsidR="00521D11" w:rsidRPr="00C14483">
        <w:t>requisite standard of specificity.</w:t>
      </w:r>
      <w:r w:rsidR="00572EAE">
        <w:t xml:space="preserve"> </w:t>
      </w:r>
      <w:r w:rsidR="0089087F">
        <w:t>O</w:t>
      </w:r>
      <w:r w:rsidR="00B304D4">
        <w:t>CC</w:t>
      </w:r>
      <w:r w:rsidR="0089087F">
        <w:t>’s objection should stand.</w:t>
      </w:r>
    </w:p>
    <w:p w14:paraId="2B28DAD9" w14:textId="3B1A5A56" w:rsidR="00757239" w:rsidRDefault="003130F9">
      <w:r>
        <w:br w:type="page"/>
      </w:r>
    </w:p>
    <w:p w14:paraId="602EF8FE" w14:textId="77777777" w:rsidR="00775ACE" w:rsidRPr="00241750" w:rsidRDefault="003130F9" w:rsidP="00775A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CONCLUSION</w:t>
      </w:r>
    </w:p>
    <w:p w14:paraId="08D25EDF" w14:textId="39720418" w:rsidR="00430062" w:rsidRDefault="003130F9" w:rsidP="00775ACE">
      <w:pPr>
        <w:spacing w:line="480" w:lineRule="auto"/>
        <w:ind w:firstLine="720"/>
      </w:pPr>
      <w:r w:rsidRPr="00C14483">
        <w:t>OCC</w:t>
      </w:r>
      <w:r>
        <w:t>’</w:t>
      </w:r>
      <w:r w:rsidRPr="00C14483">
        <w:t xml:space="preserve">s </w:t>
      </w:r>
      <w:r w:rsidR="00A7269A">
        <w:t>Objection No. 17 is proper.</w:t>
      </w:r>
      <w:r w:rsidR="00572EAE">
        <w:t xml:space="preserve"> </w:t>
      </w:r>
      <w:r w:rsidR="00A7269A">
        <w:t>It is</w:t>
      </w:r>
      <w:r w:rsidRPr="00C14483">
        <w:t xml:space="preserve"> within the scope of these proceedings</w:t>
      </w:r>
      <w:r w:rsidR="00BD0B5B">
        <w:t>.</w:t>
      </w:r>
      <w:r w:rsidR="00572EAE">
        <w:t xml:space="preserve"> </w:t>
      </w:r>
      <w:r w:rsidR="00BD0B5B">
        <w:t xml:space="preserve">It is </w:t>
      </w:r>
      <w:r w:rsidRPr="00C14483">
        <w:t>stated with sufficient specificity</w:t>
      </w:r>
      <w:r w:rsidR="00B304D4">
        <w:t>. Enbridge’s motion to strike should be denied</w:t>
      </w:r>
      <w:r w:rsidRPr="00C14483">
        <w:t xml:space="preserve">. </w:t>
      </w:r>
    </w:p>
    <w:p w14:paraId="05131AEB" w14:textId="6613DB64" w:rsidR="008B17BD" w:rsidRDefault="003130F9" w:rsidP="00775ACE">
      <w:pPr>
        <w:spacing w:line="480" w:lineRule="auto"/>
        <w:ind w:firstLine="720"/>
      </w:pPr>
      <w:r>
        <w:t xml:space="preserve">The PUCO </w:t>
      </w:r>
      <w:r w:rsidR="00ED0968">
        <w:t xml:space="preserve">must </w:t>
      </w:r>
      <w:r>
        <w:t>set just and reasonable rates</w:t>
      </w:r>
      <w:r w:rsidR="00ED0968">
        <w:t xml:space="preserve"> for Enbridge’s 1</w:t>
      </w:r>
      <w:r w:rsidR="00430062">
        <w:t>.2 million consumers.</w:t>
      </w:r>
      <w:r w:rsidR="00775ACE" w:rsidRPr="00C14483">
        <w:t xml:space="preserve"> OCC</w:t>
      </w:r>
      <w:r w:rsidR="00775ACE">
        <w:t>’</w:t>
      </w:r>
      <w:r w:rsidR="00F56F61">
        <w:t xml:space="preserve">s objection is directly tied to </w:t>
      </w:r>
      <w:r w:rsidR="00966285">
        <w:t>establishing just and reasonable rates</w:t>
      </w:r>
      <w:r w:rsidR="005A5D4B">
        <w:t xml:space="preserve"> for those consumers.</w:t>
      </w:r>
      <w:r w:rsidR="00572EAE">
        <w:t xml:space="preserve"> </w:t>
      </w:r>
      <w:r w:rsidR="005A5D4B">
        <w:t xml:space="preserve">Just and reasonable rates for Enbridge </w:t>
      </w:r>
      <w:r w:rsidR="00121C4C">
        <w:t xml:space="preserve">consumers </w:t>
      </w:r>
      <w:r w:rsidR="00277483">
        <w:t>should take into consideration the</w:t>
      </w:r>
      <w:r w:rsidR="00121C4C">
        <w:t xml:space="preserve"> effects of the </w:t>
      </w:r>
      <w:r w:rsidR="00277483">
        <w:t>acquisition</w:t>
      </w:r>
      <w:r w:rsidR="00121C4C">
        <w:t>.</w:t>
      </w:r>
      <w:r w:rsidR="00572EAE">
        <w:t xml:space="preserve"> </w:t>
      </w:r>
      <w:r w:rsidR="00121C4C">
        <w:t>It’s just that simple.</w:t>
      </w:r>
      <w:r w:rsidR="00572EAE">
        <w:t xml:space="preserve"> </w:t>
      </w:r>
      <w:r w:rsidR="00356AB7">
        <w:t>Enbridge’s motion to strike inq</w:t>
      </w:r>
      <w:r w:rsidR="0009421E">
        <w:t>uiry into this matter should be denied.</w:t>
      </w:r>
      <w:r w:rsidR="00277483">
        <w:t xml:space="preserve"> </w:t>
      </w:r>
    </w:p>
    <w:p w14:paraId="51781282" w14:textId="7E82A107" w:rsidR="008B17BD" w:rsidRDefault="008B17BD"/>
    <w:p w14:paraId="28C73E6C" w14:textId="3394C02C" w:rsidR="007066D2" w:rsidRPr="006548D3" w:rsidRDefault="003130F9" w:rsidP="007066D2">
      <w:pPr>
        <w:pStyle w:val="BodyTextIndent3"/>
        <w:widowControl w:val="0"/>
        <w:spacing w:line="480" w:lineRule="auto"/>
        <w:ind w:left="3600"/>
        <w:rPr>
          <w:szCs w:val="24"/>
        </w:rPr>
      </w:pPr>
      <w:r w:rsidRPr="006548D3">
        <w:rPr>
          <w:szCs w:val="24"/>
        </w:rPr>
        <w:t>Respectfully submitted,</w:t>
      </w:r>
    </w:p>
    <w:p w14:paraId="7EB27C30" w14:textId="77777777" w:rsidR="007066D2" w:rsidRPr="006548D3" w:rsidRDefault="003130F9" w:rsidP="007066D2">
      <w:pPr>
        <w:tabs>
          <w:tab w:val="left" w:pos="8730"/>
        </w:tabs>
        <w:ind w:left="4320"/>
        <w:rPr>
          <w:szCs w:val="24"/>
        </w:rPr>
      </w:pPr>
      <w:r w:rsidRPr="006548D3">
        <w:rPr>
          <w:szCs w:val="24"/>
        </w:rPr>
        <w:t xml:space="preserve">Maureen R. Willis (0020847) </w:t>
      </w:r>
    </w:p>
    <w:p w14:paraId="5AF02065" w14:textId="64ED2DF4" w:rsidR="00763855" w:rsidRPr="006548D3" w:rsidRDefault="003130F9" w:rsidP="007066D2">
      <w:pPr>
        <w:tabs>
          <w:tab w:val="left" w:pos="8730"/>
        </w:tabs>
        <w:ind w:left="4320"/>
        <w:rPr>
          <w:szCs w:val="24"/>
        </w:rPr>
      </w:pPr>
      <w:r w:rsidRPr="006548D3">
        <w:rPr>
          <w:szCs w:val="24"/>
        </w:rPr>
        <w:t>Ohio Consumers’ Counsel</w:t>
      </w:r>
    </w:p>
    <w:p w14:paraId="3484AD7F" w14:textId="7A08DE87" w:rsidR="007066D2" w:rsidRPr="006548D3" w:rsidRDefault="007066D2" w:rsidP="00511911">
      <w:pPr>
        <w:tabs>
          <w:tab w:val="left" w:pos="8730"/>
        </w:tabs>
        <w:ind w:left="4320"/>
        <w:rPr>
          <w:szCs w:val="24"/>
        </w:rPr>
      </w:pPr>
    </w:p>
    <w:p w14:paraId="6100AB9D" w14:textId="414DC8AB" w:rsidR="007066D2" w:rsidRPr="006548D3" w:rsidRDefault="003130F9" w:rsidP="007066D2">
      <w:pPr>
        <w:autoSpaceDE w:val="0"/>
        <w:autoSpaceDN w:val="0"/>
        <w:adjustRightInd w:val="0"/>
        <w:ind w:left="3600" w:firstLine="720"/>
        <w:rPr>
          <w:i/>
          <w:iCs/>
          <w:szCs w:val="24"/>
          <w:u w:val="single"/>
        </w:rPr>
      </w:pPr>
      <w:r w:rsidRPr="006548D3">
        <w:rPr>
          <w:i/>
          <w:iCs/>
          <w:szCs w:val="24"/>
          <w:u w:val="single"/>
        </w:rPr>
        <w:t>/s/ Robert Eubank</w:t>
      </w:r>
      <w:r w:rsidR="00763855">
        <w:rPr>
          <w:i/>
          <w:iCs/>
          <w:szCs w:val="24"/>
          <w:u w:val="single"/>
        </w:rPr>
        <w:t>s</w:t>
      </w:r>
    </w:p>
    <w:p w14:paraId="71C49500" w14:textId="77777777" w:rsidR="007066D2" w:rsidRPr="006548D3" w:rsidRDefault="003130F9" w:rsidP="007066D2">
      <w:pPr>
        <w:autoSpaceDE w:val="0"/>
        <w:autoSpaceDN w:val="0"/>
        <w:adjustRightInd w:val="0"/>
        <w:ind w:left="3600" w:firstLine="720"/>
        <w:rPr>
          <w:i/>
          <w:iCs/>
          <w:szCs w:val="24"/>
          <w:u w:val="single"/>
        </w:rPr>
      </w:pPr>
      <w:r w:rsidRPr="006548D3">
        <w:rPr>
          <w:szCs w:val="24"/>
        </w:rPr>
        <w:t>Robert Eubanks (0073386)</w:t>
      </w:r>
    </w:p>
    <w:p w14:paraId="1D952194" w14:textId="77777777" w:rsidR="007066D2" w:rsidRPr="006548D3" w:rsidRDefault="003130F9" w:rsidP="007066D2">
      <w:pPr>
        <w:tabs>
          <w:tab w:val="left" w:pos="4320"/>
        </w:tabs>
        <w:ind w:right="-180"/>
        <w:rPr>
          <w:szCs w:val="24"/>
        </w:rPr>
      </w:pPr>
      <w:r w:rsidRPr="006548D3">
        <w:rPr>
          <w:szCs w:val="24"/>
        </w:rPr>
        <w:tab/>
        <w:t>Counsel of Record</w:t>
      </w:r>
    </w:p>
    <w:p w14:paraId="7D35F8EA" w14:textId="77777777" w:rsidR="007066D2" w:rsidRPr="006548D3" w:rsidRDefault="003130F9" w:rsidP="007066D2">
      <w:pPr>
        <w:tabs>
          <w:tab w:val="left" w:pos="4320"/>
        </w:tabs>
        <w:ind w:left="4320" w:right="-180"/>
        <w:rPr>
          <w:szCs w:val="24"/>
        </w:rPr>
      </w:pPr>
      <w:r w:rsidRPr="006548D3">
        <w:rPr>
          <w:szCs w:val="24"/>
        </w:rPr>
        <w:t>Donald J. Kral (0042091)</w:t>
      </w:r>
    </w:p>
    <w:p w14:paraId="4A6112C7" w14:textId="77777777" w:rsidR="007066D2" w:rsidRPr="006548D3" w:rsidRDefault="003130F9" w:rsidP="007066D2">
      <w:pPr>
        <w:tabs>
          <w:tab w:val="left" w:pos="4320"/>
        </w:tabs>
        <w:ind w:left="4320" w:right="-180"/>
        <w:rPr>
          <w:szCs w:val="24"/>
        </w:rPr>
      </w:pPr>
      <w:r w:rsidRPr="006548D3">
        <w:rPr>
          <w:szCs w:val="24"/>
        </w:rPr>
        <w:t>Thomas J. Brodbeck (0093920)</w:t>
      </w:r>
    </w:p>
    <w:p w14:paraId="599C07A2" w14:textId="51478133" w:rsidR="001D578C" w:rsidRPr="006548D3" w:rsidRDefault="003130F9" w:rsidP="007066D2">
      <w:pPr>
        <w:tabs>
          <w:tab w:val="left" w:pos="4320"/>
        </w:tabs>
        <w:ind w:left="4320" w:right="-180"/>
        <w:rPr>
          <w:szCs w:val="24"/>
        </w:rPr>
      </w:pPr>
      <w:r>
        <w:rPr>
          <w:szCs w:val="24"/>
        </w:rPr>
        <w:t>John Finnigan (</w:t>
      </w:r>
      <w:r w:rsidR="002743AC">
        <w:rPr>
          <w:szCs w:val="24"/>
        </w:rPr>
        <w:t>0018689)</w:t>
      </w:r>
    </w:p>
    <w:p w14:paraId="5861E780" w14:textId="77777777" w:rsidR="007066D2" w:rsidRPr="006548D3" w:rsidRDefault="003130F9" w:rsidP="007066D2">
      <w:pPr>
        <w:tabs>
          <w:tab w:val="left" w:pos="4320"/>
        </w:tabs>
        <w:ind w:left="4320" w:right="-180"/>
        <w:rPr>
          <w:szCs w:val="24"/>
        </w:rPr>
      </w:pPr>
      <w:r w:rsidRPr="006548D3">
        <w:rPr>
          <w:szCs w:val="24"/>
        </w:rPr>
        <w:t xml:space="preserve">Assistant Consumers’ Counsel </w:t>
      </w:r>
    </w:p>
    <w:p w14:paraId="3EFB0206" w14:textId="77777777" w:rsidR="007066D2" w:rsidRPr="006548D3" w:rsidRDefault="007066D2" w:rsidP="007066D2">
      <w:pPr>
        <w:ind w:left="3600" w:firstLine="720"/>
        <w:rPr>
          <w:b/>
          <w:bCs/>
          <w:szCs w:val="24"/>
        </w:rPr>
      </w:pPr>
    </w:p>
    <w:p w14:paraId="3E8988EE" w14:textId="77777777" w:rsidR="007066D2" w:rsidRPr="006548D3" w:rsidRDefault="003130F9" w:rsidP="007066D2">
      <w:pPr>
        <w:ind w:left="3600" w:firstLine="720"/>
        <w:rPr>
          <w:b/>
          <w:bCs/>
          <w:szCs w:val="24"/>
        </w:rPr>
      </w:pPr>
      <w:r w:rsidRPr="006548D3">
        <w:rPr>
          <w:b/>
          <w:bCs/>
          <w:szCs w:val="24"/>
        </w:rPr>
        <w:t xml:space="preserve">Office of the Ohio </w:t>
      </w:r>
      <w:r w:rsidRPr="006548D3">
        <w:rPr>
          <w:b/>
          <w:bCs/>
          <w:szCs w:val="24"/>
        </w:rPr>
        <w:t>Consumers’ Counsel</w:t>
      </w:r>
    </w:p>
    <w:p w14:paraId="3D56E9C1" w14:textId="77777777" w:rsidR="007066D2" w:rsidRPr="006548D3" w:rsidRDefault="003130F9" w:rsidP="007066D2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6548D3">
        <w:rPr>
          <w:rFonts w:ascii="Times New Roman" w:hAnsi="Times New Roman"/>
          <w:sz w:val="24"/>
          <w:szCs w:val="24"/>
        </w:rPr>
        <w:t>65 East State Street, Suite 700</w:t>
      </w:r>
    </w:p>
    <w:p w14:paraId="4A525C0B" w14:textId="77777777" w:rsidR="007066D2" w:rsidRPr="006548D3" w:rsidRDefault="003130F9" w:rsidP="007066D2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6548D3">
        <w:rPr>
          <w:rFonts w:ascii="Times New Roman" w:hAnsi="Times New Roman"/>
          <w:sz w:val="24"/>
          <w:szCs w:val="24"/>
        </w:rPr>
        <w:t>Columbus, Ohio 43215</w:t>
      </w:r>
    </w:p>
    <w:p w14:paraId="54A1DE0C" w14:textId="77777777" w:rsidR="007066D2" w:rsidRPr="006548D3" w:rsidRDefault="003130F9" w:rsidP="007066D2">
      <w:pPr>
        <w:suppressLineNumbers/>
        <w:ind w:left="4320"/>
        <w:rPr>
          <w:szCs w:val="24"/>
        </w:rPr>
      </w:pPr>
      <w:r w:rsidRPr="006548D3">
        <w:rPr>
          <w:szCs w:val="24"/>
        </w:rPr>
        <w:t>Telephone: [Eubanks] (614) 466-1292</w:t>
      </w:r>
    </w:p>
    <w:p w14:paraId="60D05A35" w14:textId="77777777" w:rsidR="002E0ECD" w:rsidRPr="006548D3" w:rsidRDefault="003130F9" w:rsidP="002E0ECD">
      <w:pPr>
        <w:suppressLineNumbers/>
        <w:ind w:left="4320"/>
        <w:rPr>
          <w:szCs w:val="24"/>
        </w:rPr>
      </w:pPr>
      <w:r w:rsidRPr="006548D3">
        <w:rPr>
          <w:szCs w:val="24"/>
        </w:rPr>
        <w:t>Telephone: [Kral] (614) 466-9571</w:t>
      </w:r>
    </w:p>
    <w:p w14:paraId="34219A04" w14:textId="77777777" w:rsidR="007066D2" w:rsidRPr="006548D3" w:rsidRDefault="003130F9" w:rsidP="007066D2">
      <w:pPr>
        <w:suppressLineNumbers/>
        <w:ind w:left="4320"/>
        <w:rPr>
          <w:szCs w:val="24"/>
        </w:rPr>
      </w:pPr>
      <w:r w:rsidRPr="006548D3">
        <w:rPr>
          <w:szCs w:val="24"/>
        </w:rPr>
        <w:t>Telephone: [Brodbeck] (614) 466-9565</w:t>
      </w:r>
    </w:p>
    <w:p w14:paraId="22CFE112" w14:textId="27952C4F" w:rsidR="001D578C" w:rsidRPr="006548D3" w:rsidRDefault="003130F9" w:rsidP="007066D2">
      <w:pPr>
        <w:suppressLineNumbers/>
        <w:ind w:left="4320"/>
        <w:rPr>
          <w:szCs w:val="24"/>
        </w:rPr>
      </w:pPr>
      <w:r>
        <w:rPr>
          <w:szCs w:val="24"/>
        </w:rPr>
        <w:t>Telephone: [Finnigan] (614) 477-</w:t>
      </w:r>
      <w:r w:rsidR="002743AC">
        <w:rPr>
          <w:szCs w:val="24"/>
        </w:rPr>
        <w:t>9585</w:t>
      </w:r>
    </w:p>
    <w:p w14:paraId="108E2684" w14:textId="77777777" w:rsidR="007066D2" w:rsidRPr="006548D3" w:rsidRDefault="003130F9" w:rsidP="007066D2">
      <w:pPr>
        <w:suppressLineNumbers/>
        <w:ind w:left="4320"/>
        <w:rPr>
          <w:rStyle w:val="Hyperlink"/>
          <w:rFonts w:eastAsia="Courier New"/>
          <w:szCs w:val="24"/>
        </w:rPr>
      </w:pPr>
      <w:r w:rsidRPr="006548D3">
        <w:rPr>
          <w:rStyle w:val="Hyperlink"/>
          <w:rFonts w:eastAsia="Courier New"/>
          <w:szCs w:val="24"/>
        </w:rPr>
        <w:t>Robert.eubanks@occ.ohio.gov</w:t>
      </w:r>
    </w:p>
    <w:p w14:paraId="38685B56" w14:textId="77777777" w:rsidR="007066D2" w:rsidRPr="006548D3" w:rsidRDefault="003130F9" w:rsidP="007066D2">
      <w:pPr>
        <w:suppressLineNumbers/>
        <w:ind w:left="4320"/>
        <w:rPr>
          <w:rStyle w:val="Hyperlink"/>
          <w:rFonts w:eastAsia="Courier New"/>
          <w:szCs w:val="24"/>
        </w:rPr>
      </w:pPr>
      <w:hyperlink r:id="rId8" w:history="1">
        <w:r w:rsidR="007E6CFF" w:rsidRPr="006548D3">
          <w:rPr>
            <w:rStyle w:val="Hyperlink"/>
            <w:rFonts w:eastAsia="Courier New"/>
            <w:szCs w:val="24"/>
          </w:rPr>
          <w:t>donald.kral@occ.ohio.gov</w:t>
        </w:r>
      </w:hyperlink>
    </w:p>
    <w:p w14:paraId="1684D3BA" w14:textId="77777777" w:rsidR="007066D2" w:rsidRPr="006548D3" w:rsidRDefault="003130F9" w:rsidP="007066D2">
      <w:pPr>
        <w:suppressLineNumbers/>
        <w:ind w:left="4320"/>
        <w:rPr>
          <w:rStyle w:val="Hyperlink"/>
          <w:rFonts w:eastAsia="Courier New"/>
          <w:szCs w:val="24"/>
        </w:rPr>
      </w:pPr>
      <w:hyperlink r:id="rId9" w:history="1">
        <w:r w:rsidR="007E6CFF" w:rsidRPr="006548D3">
          <w:rPr>
            <w:rStyle w:val="Hyperlink"/>
            <w:rFonts w:eastAsia="Courier New"/>
            <w:szCs w:val="24"/>
          </w:rPr>
          <w:t>thomas.brodbeck@occ.ohio.gov</w:t>
        </w:r>
      </w:hyperlink>
    </w:p>
    <w:p w14:paraId="69E3569E" w14:textId="3FF0FA9A" w:rsidR="001D578C" w:rsidRPr="006548D3" w:rsidRDefault="003130F9" w:rsidP="007066D2">
      <w:pPr>
        <w:suppressLineNumbers/>
        <w:ind w:left="4320"/>
        <w:rPr>
          <w:rStyle w:val="Hyperlink"/>
          <w:rFonts w:eastAsia="Courier New"/>
          <w:szCs w:val="24"/>
        </w:rPr>
      </w:pPr>
      <w:r>
        <w:rPr>
          <w:rStyle w:val="Hyperlink"/>
          <w:rFonts w:eastAsia="Courier New"/>
          <w:szCs w:val="24"/>
        </w:rPr>
        <w:t>John.finnigan@occ.ohio.gov</w:t>
      </w:r>
    </w:p>
    <w:p w14:paraId="2B7D7B36" w14:textId="77777777" w:rsidR="007066D2" w:rsidRPr="006548D3" w:rsidRDefault="003130F9" w:rsidP="007066D2">
      <w:pPr>
        <w:ind w:firstLine="4320"/>
        <w:rPr>
          <w:szCs w:val="24"/>
        </w:rPr>
      </w:pPr>
      <w:r w:rsidRPr="006548D3">
        <w:rPr>
          <w:szCs w:val="24"/>
        </w:rPr>
        <w:t>(willing to accept service by e-mail)</w:t>
      </w:r>
    </w:p>
    <w:p w14:paraId="07EC94B3" w14:textId="77777777" w:rsidR="0053053C" w:rsidRPr="006548D3" w:rsidRDefault="003130F9" w:rsidP="007066D2">
      <w:pPr>
        <w:ind w:left="2880" w:firstLine="720"/>
        <w:rPr>
          <w:szCs w:val="24"/>
        </w:rPr>
      </w:pPr>
      <w:r w:rsidRPr="006548D3">
        <w:rPr>
          <w:szCs w:val="24"/>
        </w:rPr>
        <w:br w:type="page"/>
      </w:r>
    </w:p>
    <w:p w14:paraId="1A1139FC" w14:textId="77777777" w:rsidR="0053053C" w:rsidRPr="006548D3" w:rsidRDefault="003130F9" w:rsidP="0053053C">
      <w:pPr>
        <w:tabs>
          <w:tab w:val="left" w:pos="4320"/>
          <w:tab w:val="right" w:pos="8640"/>
        </w:tabs>
        <w:jc w:val="center"/>
        <w:rPr>
          <w:szCs w:val="24"/>
        </w:rPr>
      </w:pPr>
      <w:r w:rsidRPr="006548D3">
        <w:rPr>
          <w:b/>
          <w:szCs w:val="24"/>
          <w:u w:val="single"/>
        </w:rPr>
        <w:lastRenderedPageBreak/>
        <w:t>CERTIFICATE OF SERVICE</w:t>
      </w:r>
    </w:p>
    <w:p w14:paraId="21EA350E" w14:textId="77777777" w:rsidR="0053053C" w:rsidRPr="006548D3" w:rsidRDefault="0053053C" w:rsidP="0053053C">
      <w:pPr>
        <w:autoSpaceDE w:val="0"/>
        <w:autoSpaceDN w:val="0"/>
        <w:adjustRightInd w:val="0"/>
        <w:ind w:firstLine="4320"/>
        <w:jc w:val="center"/>
        <w:rPr>
          <w:szCs w:val="24"/>
          <w:u w:val="single"/>
        </w:rPr>
      </w:pPr>
    </w:p>
    <w:p w14:paraId="31021445" w14:textId="05E13DE0" w:rsidR="0053053C" w:rsidRPr="006548D3" w:rsidRDefault="003130F9" w:rsidP="0053053C">
      <w:pPr>
        <w:keepNext/>
        <w:spacing w:line="480" w:lineRule="auto"/>
        <w:ind w:firstLine="720"/>
        <w:outlineLvl w:val="2"/>
        <w:rPr>
          <w:bCs/>
          <w:szCs w:val="24"/>
        </w:rPr>
      </w:pPr>
      <w:r w:rsidRPr="006548D3">
        <w:rPr>
          <w:bCs/>
          <w:szCs w:val="24"/>
        </w:rPr>
        <w:t xml:space="preserve">I hereby certify that a copy of the foregoing </w:t>
      </w:r>
      <w:r w:rsidR="005A3500">
        <w:rPr>
          <w:bCs/>
          <w:szCs w:val="24"/>
        </w:rPr>
        <w:t>Memo Contra Enbridge’s Motion to Strike</w:t>
      </w:r>
      <w:r w:rsidRPr="006548D3">
        <w:rPr>
          <w:bCs/>
          <w:szCs w:val="24"/>
        </w:rPr>
        <w:t xml:space="preserve"> was served via electronic transmission upon the parties this </w:t>
      </w:r>
      <w:r w:rsidR="00757239">
        <w:rPr>
          <w:bCs/>
          <w:szCs w:val="24"/>
        </w:rPr>
        <w:t>19</w:t>
      </w:r>
      <w:r w:rsidR="00757239" w:rsidRPr="00757239">
        <w:rPr>
          <w:bCs/>
          <w:szCs w:val="24"/>
          <w:vertAlign w:val="superscript"/>
        </w:rPr>
        <w:t>th</w:t>
      </w:r>
      <w:r w:rsidR="00757239">
        <w:rPr>
          <w:bCs/>
          <w:szCs w:val="24"/>
        </w:rPr>
        <w:t xml:space="preserve"> </w:t>
      </w:r>
      <w:r w:rsidR="00F356A5">
        <w:rPr>
          <w:bCs/>
          <w:szCs w:val="24"/>
        </w:rPr>
        <w:t>of August 2024.</w:t>
      </w:r>
    </w:p>
    <w:p w14:paraId="37D06369" w14:textId="44188137" w:rsidR="0053053C" w:rsidRPr="006548D3" w:rsidRDefault="003130F9" w:rsidP="0053053C">
      <w:pPr>
        <w:ind w:left="4320"/>
        <w:rPr>
          <w:szCs w:val="24"/>
        </w:rPr>
      </w:pPr>
      <w:r w:rsidRPr="006548D3">
        <w:rPr>
          <w:i/>
          <w:szCs w:val="24"/>
          <w:u w:val="single"/>
        </w:rPr>
        <w:t xml:space="preserve">/s/ </w:t>
      </w:r>
      <w:r w:rsidR="00AE2F14" w:rsidRPr="006548D3">
        <w:rPr>
          <w:i/>
          <w:szCs w:val="24"/>
          <w:u w:val="single"/>
        </w:rPr>
        <w:t>Robert Eubanks</w:t>
      </w:r>
    </w:p>
    <w:p w14:paraId="50828826" w14:textId="77777777" w:rsidR="0053053C" w:rsidRPr="006548D3" w:rsidRDefault="003130F9" w:rsidP="0053053C">
      <w:pPr>
        <w:tabs>
          <w:tab w:val="left" w:pos="4320"/>
        </w:tabs>
        <w:rPr>
          <w:szCs w:val="24"/>
        </w:rPr>
      </w:pPr>
      <w:r w:rsidRPr="006548D3">
        <w:rPr>
          <w:szCs w:val="24"/>
        </w:rPr>
        <w:tab/>
      </w:r>
      <w:r w:rsidR="00AE2F14" w:rsidRPr="006548D3">
        <w:rPr>
          <w:szCs w:val="24"/>
        </w:rPr>
        <w:t>Robert Eubanks</w:t>
      </w:r>
    </w:p>
    <w:p w14:paraId="3AAE0999" w14:textId="77777777" w:rsidR="0053053C" w:rsidRPr="006548D3" w:rsidRDefault="003130F9" w:rsidP="0053053C">
      <w:pPr>
        <w:tabs>
          <w:tab w:val="left" w:pos="4320"/>
        </w:tabs>
        <w:rPr>
          <w:szCs w:val="24"/>
        </w:rPr>
      </w:pPr>
      <w:r w:rsidRPr="006548D3">
        <w:rPr>
          <w:szCs w:val="24"/>
        </w:rPr>
        <w:tab/>
      </w:r>
      <w:r w:rsidRPr="006548D3">
        <w:rPr>
          <w:szCs w:val="24"/>
        </w:rPr>
        <w:t>Assistant Consumers’ Counsel</w:t>
      </w:r>
    </w:p>
    <w:p w14:paraId="41B30CB9" w14:textId="77777777" w:rsidR="0053053C" w:rsidRPr="006548D3" w:rsidRDefault="0053053C" w:rsidP="0053053C">
      <w:pPr>
        <w:tabs>
          <w:tab w:val="left" w:pos="4320"/>
        </w:tabs>
        <w:rPr>
          <w:szCs w:val="24"/>
        </w:rPr>
      </w:pPr>
    </w:p>
    <w:p w14:paraId="0CFBDC64" w14:textId="77777777" w:rsidR="0053053C" w:rsidRPr="006548D3" w:rsidRDefault="003130F9" w:rsidP="0053053C">
      <w:pPr>
        <w:rPr>
          <w:szCs w:val="24"/>
        </w:rPr>
      </w:pPr>
      <w:r w:rsidRPr="006548D3">
        <w:rPr>
          <w:szCs w:val="24"/>
        </w:rPr>
        <w:t>The PUCO’s e-filing system will electronically serve notice of the filing of this document on the following parties:</w:t>
      </w:r>
    </w:p>
    <w:p w14:paraId="4B844458" w14:textId="77777777" w:rsidR="00EF2A00" w:rsidRPr="006548D3" w:rsidRDefault="00EF2A00" w:rsidP="00EF2A00">
      <w:pPr>
        <w:pStyle w:val="CommentText"/>
      </w:pPr>
    </w:p>
    <w:p w14:paraId="2C3ED09E" w14:textId="77777777" w:rsidR="00EF2A00" w:rsidRPr="006548D3" w:rsidRDefault="003130F9" w:rsidP="00EF2A00">
      <w:pPr>
        <w:pStyle w:val="CommentText"/>
        <w:jc w:val="center"/>
        <w:rPr>
          <w:b/>
          <w:u w:val="single"/>
        </w:rPr>
      </w:pPr>
      <w:r w:rsidRPr="006548D3">
        <w:rPr>
          <w:b/>
          <w:u w:val="single"/>
        </w:rPr>
        <w:t>SERVICE LIST</w:t>
      </w:r>
    </w:p>
    <w:p w14:paraId="00D5FF6A" w14:textId="77777777" w:rsidR="00EF2A00" w:rsidRPr="006548D3" w:rsidRDefault="00EF2A00" w:rsidP="00EF2A00">
      <w:pPr>
        <w:pStyle w:val="CommentText"/>
        <w:jc w:val="center"/>
        <w:rPr>
          <w:b/>
          <w:u w:val="single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500"/>
        <w:gridCol w:w="4860"/>
      </w:tblGrid>
      <w:tr w:rsidR="00E55944" w14:paraId="14E0A3D7" w14:textId="77777777">
        <w:tc>
          <w:tcPr>
            <w:tcW w:w="4500" w:type="dxa"/>
            <w:shd w:val="clear" w:color="auto" w:fill="auto"/>
          </w:tcPr>
          <w:p w14:paraId="2713F8B5" w14:textId="77777777" w:rsidR="007F7D09" w:rsidRPr="006D21CC" w:rsidRDefault="003130F9" w:rsidP="007F7D09">
            <w:pPr>
              <w:pStyle w:val="BodyText"/>
            </w:pPr>
            <w:hyperlink r:id="rId10" w:history="1">
              <w:r w:rsidR="00521D11" w:rsidRPr="006D21CC">
                <w:rPr>
                  <w:rStyle w:val="Hyperlink"/>
                  <w:rFonts w:eastAsiaTheme="majorEastAsia"/>
                </w:rPr>
                <w:t>ashley.wnek@ohioAGO.gov</w:t>
              </w:r>
            </w:hyperlink>
          </w:p>
          <w:p w14:paraId="4438F26C" w14:textId="77777777" w:rsidR="007F7D09" w:rsidRPr="006D21CC" w:rsidRDefault="003130F9" w:rsidP="007F7D09">
            <w:pPr>
              <w:pStyle w:val="BodyText"/>
              <w:rPr>
                <w:rStyle w:val="Hyperlink"/>
                <w:rFonts w:eastAsiaTheme="majorEastAsia"/>
              </w:rPr>
            </w:pPr>
            <w:hyperlink r:id="rId11" w:history="1">
              <w:r w:rsidR="00521D11" w:rsidRPr="006D21CC">
                <w:rPr>
                  <w:rStyle w:val="Hyperlink"/>
                  <w:rFonts w:eastAsiaTheme="majorEastAsia"/>
                </w:rPr>
                <w:t>amy.botschnerobrien@ohioAGO.gov</w:t>
              </w:r>
            </w:hyperlink>
          </w:p>
          <w:p w14:paraId="57B8FBB0" w14:textId="77777777" w:rsidR="007F7D09" w:rsidRPr="006D21CC" w:rsidRDefault="003130F9" w:rsidP="007F7D09">
            <w:pPr>
              <w:pStyle w:val="BodyText"/>
              <w:rPr>
                <w:rStyle w:val="Hyperlink"/>
                <w:rFonts w:eastAsiaTheme="majorEastAsia"/>
              </w:rPr>
            </w:pPr>
            <w:hyperlink r:id="rId12" w:history="1">
              <w:r w:rsidR="00521D11" w:rsidRPr="006D21CC">
                <w:rPr>
                  <w:rStyle w:val="Hyperlink"/>
                  <w:rFonts w:eastAsiaTheme="majorEastAsia"/>
                </w:rPr>
                <w:t>david.lipthratt@puco.ohio.gov</w:t>
              </w:r>
            </w:hyperlink>
          </w:p>
          <w:p w14:paraId="6E9C82B3" w14:textId="77777777" w:rsidR="007F7D09" w:rsidRPr="006D21CC" w:rsidRDefault="003130F9" w:rsidP="007F7D09">
            <w:pPr>
              <w:pStyle w:val="BodyText"/>
            </w:pPr>
            <w:r w:rsidRPr="006D21CC">
              <w:rPr>
                <w:rStyle w:val="Hyperlink"/>
                <w:rFonts w:eastAsiaTheme="majorEastAsia"/>
              </w:rPr>
              <w:t>christopher.healey@puco.ohio.gov</w:t>
            </w:r>
          </w:p>
          <w:p w14:paraId="054EFF39" w14:textId="77777777" w:rsidR="007F7D09" w:rsidRPr="006D21CC" w:rsidRDefault="003130F9" w:rsidP="007F7D09">
            <w:pPr>
              <w:pStyle w:val="BodyText"/>
            </w:pPr>
            <w:hyperlink r:id="rId13" w:history="1">
              <w:r w:rsidR="00521D11" w:rsidRPr="006D21CC">
                <w:rPr>
                  <w:rStyle w:val="Hyperlink"/>
                  <w:rFonts w:eastAsiaTheme="majorEastAsia"/>
                </w:rPr>
                <w:t>TGallagher@fgplaborlaw.com</w:t>
              </w:r>
            </w:hyperlink>
          </w:p>
          <w:p w14:paraId="42A1DA4A" w14:textId="77777777" w:rsidR="007F7D09" w:rsidRPr="006D21CC" w:rsidRDefault="003130F9" w:rsidP="007F7D09">
            <w:pPr>
              <w:pStyle w:val="BodyText"/>
            </w:pPr>
            <w:hyperlink r:id="rId14" w:history="1">
              <w:r w:rsidR="00521D11" w:rsidRPr="006D21CC">
                <w:rPr>
                  <w:rStyle w:val="Hyperlink"/>
                  <w:rFonts w:eastAsiaTheme="majorEastAsia"/>
                </w:rPr>
                <w:t>mkurtz@BKLlawfirm.com</w:t>
              </w:r>
            </w:hyperlink>
          </w:p>
          <w:p w14:paraId="564025A5" w14:textId="77777777" w:rsidR="007F7D09" w:rsidRPr="006D21CC" w:rsidRDefault="003130F9" w:rsidP="007F7D09">
            <w:pPr>
              <w:pStyle w:val="BodyText"/>
            </w:pPr>
            <w:hyperlink r:id="rId15" w:history="1">
              <w:r w:rsidR="00521D11" w:rsidRPr="006D21CC">
                <w:rPr>
                  <w:rStyle w:val="Hyperlink"/>
                  <w:rFonts w:eastAsiaTheme="majorEastAsia"/>
                </w:rPr>
                <w:t>kboehm@BKLlawfirm.com</w:t>
              </w:r>
            </w:hyperlink>
          </w:p>
          <w:p w14:paraId="75F0FFD5" w14:textId="77777777" w:rsidR="007F7D09" w:rsidRPr="006D21CC" w:rsidRDefault="003130F9" w:rsidP="007F7D09">
            <w:pPr>
              <w:pStyle w:val="BodyText"/>
            </w:pPr>
            <w:hyperlink r:id="rId16" w:history="1">
              <w:r w:rsidR="00521D11" w:rsidRPr="006D21CC">
                <w:rPr>
                  <w:rStyle w:val="Hyperlink"/>
                  <w:rFonts w:eastAsiaTheme="majorEastAsia"/>
                </w:rPr>
                <w:t>jkylercohn@BKLlawfirm.com</w:t>
              </w:r>
            </w:hyperlink>
          </w:p>
          <w:p w14:paraId="0AB841FC" w14:textId="77777777" w:rsidR="007F7D09" w:rsidRDefault="007F7D09">
            <w:pPr>
              <w:pStyle w:val="BodyText"/>
              <w:rPr>
                <w:szCs w:val="24"/>
              </w:rPr>
            </w:pPr>
          </w:p>
          <w:p w14:paraId="288A1513" w14:textId="480F36DB" w:rsidR="00557727" w:rsidRDefault="003130F9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Attorney Examiners:</w:t>
            </w:r>
          </w:p>
          <w:p w14:paraId="176B7D36" w14:textId="296B4F7C" w:rsidR="00557727" w:rsidRDefault="003130F9">
            <w:pPr>
              <w:pStyle w:val="BodyText"/>
              <w:rPr>
                <w:szCs w:val="24"/>
              </w:rPr>
            </w:pPr>
            <w:hyperlink r:id="rId17" w:history="1">
              <w:r w:rsidR="007E6CFF" w:rsidRPr="00703D93">
                <w:rPr>
                  <w:rStyle w:val="Hyperlink"/>
                  <w:szCs w:val="24"/>
                </w:rPr>
                <w:t>greg.price@puco.ohio.gov</w:t>
              </w:r>
            </w:hyperlink>
          </w:p>
          <w:p w14:paraId="5050EF94" w14:textId="56B3651D" w:rsidR="00557727" w:rsidRDefault="003130F9">
            <w:pPr>
              <w:pStyle w:val="BodyText"/>
              <w:rPr>
                <w:szCs w:val="24"/>
              </w:rPr>
            </w:pPr>
            <w:hyperlink r:id="rId18" w:history="1">
              <w:r w:rsidR="007E6CFF" w:rsidRPr="00703D93">
                <w:rPr>
                  <w:rStyle w:val="Hyperlink"/>
                  <w:szCs w:val="24"/>
                </w:rPr>
                <w:t>clint.white@puco.ohio.gov</w:t>
              </w:r>
            </w:hyperlink>
          </w:p>
          <w:p w14:paraId="652B61A8" w14:textId="77777777" w:rsidR="00557727" w:rsidRPr="006548D3" w:rsidRDefault="00557727">
            <w:pPr>
              <w:pStyle w:val="BodyText"/>
              <w:rPr>
                <w:szCs w:val="24"/>
              </w:rPr>
            </w:pPr>
          </w:p>
          <w:p w14:paraId="38C94340" w14:textId="77777777" w:rsidR="00EF2A00" w:rsidRPr="006548D3" w:rsidRDefault="00EF2A00">
            <w:pPr>
              <w:pStyle w:val="BodyText"/>
              <w:rPr>
                <w:szCs w:val="24"/>
              </w:rPr>
            </w:pPr>
          </w:p>
          <w:p w14:paraId="1C25ADF1" w14:textId="77777777" w:rsidR="00EF2A00" w:rsidRPr="006548D3" w:rsidRDefault="00EF2A00">
            <w:pPr>
              <w:pStyle w:val="BodyText"/>
              <w:rPr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6EA75CA6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</w:pPr>
            <w:hyperlink r:id="rId19" w:history="1">
              <w:r w:rsidR="00521D11" w:rsidRPr="006D21CC">
                <w:rPr>
                  <w:rStyle w:val="Hyperlink"/>
                  <w:rFonts w:eastAsiaTheme="majorEastAsia"/>
                </w:rPr>
                <w:t>kennedy@whitt-sturtevant.com</w:t>
              </w:r>
            </w:hyperlink>
          </w:p>
          <w:p w14:paraId="259A2E63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  <w:rPr>
                <w:rStyle w:val="Hyperlink"/>
                <w:rFonts w:eastAsiaTheme="majorEastAsia"/>
              </w:rPr>
            </w:pPr>
            <w:hyperlink r:id="rId20" w:history="1">
              <w:r w:rsidR="00521D11" w:rsidRPr="006D21CC">
                <w:rPr>
                  <w:rStyle w:val="Hyperlink"/>
                  <w:rFonts w:eastAsiaTheme="majorEastAsia"/>
                </w:rPr>
                <w:t>Andrew.j.campbell@dominionenergy.com</w:t>
              </w:r>
            </w:hyperlink>
          </w:p>
          <w:p w14:paraId="26F25CF7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  <w:rPr>
                <w:rStyle w:val="Hyperlink"/>
                <w:rFonts w:eastAsiaTheme="majorEastAsia"/>
              </w:rPr>
            </w:pPr>
            <w:hyperlink r:id="rId21" w:history="1">
              <w:r w:rsidR="00521D11" w:rsidRPr="006D21CC">
                <w:rPr>
                  <w:rStyle w:val="Hyperlink"/>
                  <w:rFonts w:eastAsiaTheme="majorEastAsia"/>
                </w:rPr>
                <w:t>demonte@whitt-sturtevant.com</w:t>
              </w:r>
            </w:hyperlink>
          </w:p>
          <w:p w14:paraId="3AE530C5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  <w:rPr>
                <w:rStyle w:val="Hyperlink"/>
                <w:rFonts w:eastAsiaTheme="majorEastAsia"/>
              </w:rPr>
            </w:pPr>
            <w:r w:rsidRPr="006D21CC">
              <w:rPr>
                <w:rStyle w:val="Hyperlink"/>
                <w:rFonts w:eastAsiaTheme="majorEastAsia"/>
              </w:rPr>
              <w:t>sturtevant@whitt-sturtevant.com</w:t>
            </w:r>
          </w:p>
          <w:p w14:paraId="058CC286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  <w:rPr>
                <w:rStyle w:val="Hyperlink"/>
                <w:rFonts w:eastAsiaTheme="majorEastAsia"/>
              </w:rPr>
            </w:pPr>
            <w:hyperlink r:id="rId22" w:history="1">
              <w:r w:rsidR="00521D11" w:rsidRPr="006D21CC">
                <w:rPr>
                  <w:rStyle w:val="Hyperlink"/>
                  <w:rFonts w:eastAsiaTheme="majorEastAsia"/>
                </w:rPr>
                <w:t>mbarbara@calfee.com</w:t>
              </w:r>
            </w:hyperlink>
          </w:p>
          <w:p w14:paraId="040F30B3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  <w:rPr>
                <w:rStyle w:val="Hyperlink"/>
                <w:rFonts w:eastAsiaTheme="majorEastAsia"/>
              </w:rPr>
            </w:pPr>
            <w:r w:rsidRPr="006D21CC">
              <w:rPr>
                <w:rStyle w:val="Hyperlink"/>
                <w:rFonts w:eastAsiaTheme="majorEastAsia"/>
              </w:rPr>
              <w:t>jlang@calfee.com</w:t>
            </w:r>
          </w:p>
          <w:p w14:paraId="55CC0856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  <w:rPr>
                <w:rStyle w:val="Hyperlink"/>
                <w:rFonts w:eastAsiaTheme="majorEastAsia"/>
              </w:rPr>
            </w:pPr>
            <w:hyperlink r:id="rId23" w:history="1">
              <w:r w:rsidR="00521D11" w:rsidRPr="006D21CC">
                <w:rPr>
                  <w:rStyle w:val="Hyperlink"/>
                  <w:rFonts w:eastAsiaTheme="majorEastAsia"/>
                </w:rPr>
                <w:t>dproano@bakerlaw.com</w:t>
              </w:r>
            </w:hyperlink>
          </w:p>
          <w:p w14:paraId="0F68A5C2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  <w:rPr>
                <w:rStyle w:val="Hyperlink"/>
                <w:rFonts w:eastAsiaTheme="majorEastAsia"/>
              </w:rPr>
            </w:pPr>
            <w:hyperlink r:id="rId24" w:history="1">
              <w:r w:rsidR="00521D11" w:rsidRPr="006D21CC">
                <w:rPr>
                  <w:rStyle w:val="Hyperlink"/>
                  <w:rFonts w:eastAsiaTheme="majorEastAsia"/>
                </w:rPr>
                <w:t>pwillison@bakerlaw.com</w:t>
              </w:r>
            </w:hyperlink>
          </w:p>
          <w:p w14:paraId="3CABC723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  <w:rPr>
                <w:rStyle w:val="Hyperlink"/>
                <w:rFonts w:eastAsiaTheme="majorEastAsia"/>
              </w:rPr>
            </w:pPr>
            <w:hyperlink r:id="rId25" w:history="1">
              <w:r w:rsidR="00521D11" w:rsidRPr="006D21CC">
                <w:rPr>
                  <w:rStyle w:val="Hyperlink"/>
                  <w:rFonts w:eastAsiaTheme="majorEastAsia"/>
                </w:rPr>
                <w:t>whitt@whitt-sturtevant.com</w:t>
              </w:r>
            </w:hyperlink>
          </w:p>
          <w:p w14:paraId="25036461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  <w:rPr>
                <w:rStyle w:val="Hyperlink"/>
                <w:rFonts w:eastAsiaTheme="majorEastAsia"/>
              </w:rPr>
            </w:pPr>
            <w:hyperlink r:id="rId26" w:history="1">
              <w:r w:rsidR="00521D11" w:rsidRPr="006D21CC">
                <w:rPr>
                  <w:rStyle w:val="Hyperlink"/>
                  <w:rFonts w:eastAsiaTheme="majorEastAsia"/>
                </w:rPr>
                <w:t>michael.nugent@igs.com</w:t>
              </w:r>
            </w:hyperlink>
          </w:p>
          <w:p w14:paraId="0E2EAED7" w14:textId="77777777" w:rsidR="007F7D09" w:rsidRDefault="003130F9" w:rsidP="007F7D09">
            <w:pPr>
              <w:autoSpaceDE w:val="0"/>
              <w:autoSpaceDN w:val="0"/>
              <w:adjustRightInd w:val="0"/>
              <w:ind w:left="-110"/>
              <w:rPr>
                <w:rStyle w:val="Hyperlink"/>
                <w:rFonts w:eastAsiaTheme="majorEastAsia"/>
              </w:rPr>
            </w:pPr>
            <w:hyperlink r:id="rId27" w:history="1">
              <w:r w:rsidR="00521D11" w:rsidRPr="006D21CC">
                <w:rPr>
                  <w:rStyle w:val="Hyperlink"/>
                  <w:rFonts w:eastAsiaTheme="majorEastAsia"/>
                </w:rPr>
                <w:t>stacie.cathcart@igs.com</w:t>
              </w:r>
            </w:hyperlink>
          </w:p>
          <w:p w14:paraId="2FF61A2A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  <w:rPr>
                <w:rStyle w:val="Hyperlink"/>
                <w:rFonts w:eastAsiaTheme="majorEastAsia"/>
              </w:rPr>
            </w:pPr>
            <w:r>
              <w:rPr>
                <w:rStyle w:val="Hyperlink"/>
                <w:rFonts w:eastAsiaTheme="majorEastAsia"/>
              </w:rPr>
              <w:t>natalia.messenger@igs.com</w:t>
            </w:r>
          </w:p>
          <w:p w14:paraId="0F568F9B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  <w:rPr>
                <w:rStyle w:val="Hyperlink"/>
                <w:rFonts w:eastAsiaTheme="majorEastAsia"/>
              </w:rPr>
            </w:pPr>
            <w:hyperlink r:id="rId28" w:history="1">
              <w:r w:rsidR="00521D11" w:rsidRPr="006D21CC">
                <w:rPr>
                  <w:rStyle w:val="Hyperlink"/>
                  <w:rFonts w:eastAsiaTheme="majorEastAsia"/>
                </w:rPr>
                <w:t>glpetrucci@vorys.com</w:t>
              </w:r>
            </w:hyperlink>
          </w:p>
          <w:p w14:paraId="06CFF8B1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  <w:rPr>
                <w:rStyle w:val="Hyperlink"/>
                <w:rFonts w:eastAsiaTheme="majorEastAsia"/>
              </w:rPr>
            </w:pPr>
            <w:hyperlink r:id="rId29" w:history="1">
              <w:r w:rsidR="00521D11" w:rsidRPr="006D21CC">
                <w:rPr>
                  <w:rStyle w:val="Hyperlink"/>
                  <w:rFonts w:eastAsiaTheme="majorEastAsia"/>
                </w:rPr>
                <w:t>mjsettineri@vorys.com</w:t>
              </w:r>
            </w:hyperlink>
          </w:p>
          <w:p w14:paraId="7384476F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  <w:rPr>
                <w:rStyle w:val="Hyperlink"/>
                <w:rFonts w:eastAsiaTheme="majorEastAsia"/>
              </w:rPr>
            </w:pPr>
            <w:r w:rsidRPr="006D21CC">
              <w:rPr>
                <w:rStyle w:val="Hyperlink"/>
                <w:rFonts w:eastAsiaTheme="majorEastAsia"/>
              </w:rPr>
              <w:t>jreckert@vorys.com</w:t>
            </w:r>
          </w:p>
          <w:p w14:paraId="34B562D0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</w:pPr>
            <w:hyperlink r:id="rId30" w:history="1">
              <w:r w:rsidR="00521D11" w:rsidRPr="006D21CC">
                <w:rPr>
                  <w:rStyle w:val="Hyperlink"/>
                  <w:rFonts w:eastAsiaTheme="majorEastAsia"/>
                </w:rPr>
                <w:t>Bojko@carpenterlipps.com</w:t>
              </w:r>
            </w:hyperlink>
          </w:p>
          <w:p w14:paraId="2D9C9836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</w:pPr>
            <w:hyperlink r:id="rId31" w:history="1">
              <w:r w:rsidR="00521D11" w:rsidRPr="006D21CC">
                <w:rPr>
                  <w:rStyle w:val="Hyperlink"/>
                  <w:rFonts w:eastAsiaTheme="majorEastAsia"/>
                </w:rPr>
                <w:t>Easley@carpenterlipps.com</w:t>
              </w:r>
            </w:hyperlink>
          </w:p>
          <w:p w14:paraId="6B881081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</w:pPr>
            <w:hyperlink r:id="rId32" w:history="1">
              <w:r w:rsidR="00521D11" w:rsidRPr="006D21CC">
                <w:rPr>
                  <w:rStyle w:val="Hyperlink"/>
                  <w:rFonts w:eastAsiaTheme="majorEastAsia"/>
                </w:rPr>
                <w:t>sjagers@ohiopovertylaw.org</w:t>
              </w:r>
            </w:hyperlink>
          </w:p>
          <w:p w14:paraId="5DEE0A3D" w14:textId="77777777" w:rsidR="007F7D09" w:rsidRPr="006D21CC" w:rsidRDefault="003130F9" w:rsidP="007F7D09">
            <w:pPr>
              <w:autoSpaceDE w:val="0"/>
              <w:autoSpaceDN w:val="0"/>
              <w:adjustRightInd w:val="0"/>
              <w:ind w:left="-110"/>
            </w:pPr>
            <w:hyperlink r:id="rId33" w:history="1">
              <w:r w:rsidR="00521D11" w:rsidRPr="006D21CC">
                <w:rPr>
                  <w:rStyle w:val="Hyperlink"/>
                  <w:rFonts w:eastAsiaTheme="majorEastAsia"/>
                </w:rPr>
                <w:t>smoes@lascinti.org</w:t>
              </w:r>
            </w:hyperlink>
          </w:p>
          <w:p w14:paraId="100BBD39" w14:textId="77777777" w:rsidR="007F7D09" w:rsidRDefault="003130F9" w:rsidP="007F7D09">
            <w:pPr>
              <w:autoSpaceDE w:val="0"/>
              <w:autoSpaceDN w:val="0"/>
              <w:adjustRightInd w:val="0"/>
              <w:ind w:left="-110"/>
              <w:rPr>
                <w:rStyle w:val="Hyperlink"/>
                <w:rFonts w:eastAsiaTheme="majorEastAsia"/>
              </w:rPr>
            </w:pPr>
            <w:hyperlink r:id="rId34" w:history="1">
              <w:r w:rsidR="00521D11" w:rsidRPr="006D21CC">
                <w:rPr>
                  <w:rStyle w:val="Hyperlink"/>
                  <w:rFonts w:eastAsiaTheme="majorEastAsia"/>
                </w:rPr>
                <w:t>mcurrie@ablelaw.org</w:t>
              </w:r>
            </w:hyperlink>
          </w:p>
          <w:p w14:paraId="2D66FF3C" w14:textId="77777777" w:rsidR="007F7D09" w:rsidRDefault="003130F9" w:rsidP="007F7D09">
            <w:pPr>
              <w:autoSpaceDE w:val="0"/>
              <w:autoSpaceDN w:val="0"/>
              <w:adjustRightInd w:val="0"/>
              <w:ind w:left="-110"/>
              <w:rPr>
                <w:color w:val="0000FF"/>
                <w:u w:val="single"/>
              </w:rPr>
            </w:pPr>
            <w:r w:rsidRPr="006F594E">
              <w:rPr>
                <w:color w:val="0000FF"/>
                <w:u w:val="single"/>
              </w:rPr>
              <w:t xml:space="preserve">meissnerjoseph@yahoo.com </w:t>
            </w:r>
            <w:hyperlink r:id="rId35" w:history="1">
              <w:r w:rsidRPr="006872C2">
                <w:rPr>
                  <w:rStyle w:val="Hyperlink"/>
                </w:rPr>
                <w:t>devan.flahive@nelsonmullins.com</w:t>
              </w:r>
            </w:hyperlink>
          </w:p>
          <w:p w14:paraId="635A7E3B" w14:textId="77777777" w:rsidR="007F7D09" w:rsidRDefault="003130F9" w:rsidP="007F7D09">
            <w:pPr>
              <w:autoSpaceDE w:val="0"/>
              <w:autoSpaceDN w:val="0"/>
              <w:adjustRightInd w:val="0"/>
              <w:ind w:left="-110"/>
              <w:rPr>
                <w:color w:val="0000FF"/>
                <w:u w:val="single"/>
              </w:rPr>
            </w:pPr>
            <w:r w:rsidRPr="00022CF2">
              <w:rPr>
                <w:color w:val="0000FF"/>
                <w:u w:val="single"/>
              </w:rPr>
              <w:t>mpritchard@mcneeslaw.com; awalke@mcneeslaw.com</w:t>
            </w:r>
          </w:p>
          <w:p w14:paraId="7A547385" w14:textId="77777777" w:rsidR="00EF2A00" w:rsidRPr="006548D3" w:rsidRDefault="00EF2A00">
            <w:pPr>
              <w:pStyle w:val="BodyText"/>
              <w:ind w:left="553"/>
              <w:rPr>
                <w:szCs w:val="24"/>
              </w:rPr>
            </w:pPr>
          </w:p>
        </w:tc>
      </w:tr>
    </w:tbl>
    <w:p w14:paraId="08FA1F96" w14:textId="77777777" w:rsidR="00F663A0" w:rsidRPr="006548D3" w:rsidRDefault="00F663A0" w:rsidP="00EF2A00">
      <w:pPr>
        <w:pStyle w:val="CommentText"/>
        <w:jc w:val="center"/>
        <w:rPr>
          <w:b/>
          <w:bCs/>
        </w:rPr>
      </w:pPr>
    </w:p>
    <w:sectPr w:rsidR="00F663A0" w:rsidRPr="006548D3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800" w:bottom="1440" w:left="1800" w:header="720" w:footer="720" w:gutter="0"/>
      <w:pgNumType w:start="1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6AB2" w14:textId="77777777" w:rsidR="003130F9" w:rsidRDefault="003130F9">
      <w:r>
        <w:separator/>
      </w:r>
    </w:p>
  </w:endnote>
  <w:endnote w:type="continuationSeparator" w:id="0">
    <w:p w14:paraId="6514C273" w14:textId="77777777" w:rsidR="003130F9" w:rsidRDefault="0031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CC422" w14:textId="77777777" w:rsidR="00B73E9C" w:rsidRDefault="00B73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171832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45E51AB" w14:textId="1E78A85A" w:rsidR="00EB5D0F" w:rsidRPr="00511911" w:rsidRDefault="003130F9" w:rsidP="00511911">
        <w:pPr>
          <w:pStyle w:val="Footer"/>
          <w:jc w:val="center"/>
          <w:rPr>
            <w:sz w:val="24"/>
            <w:szCs w:val="24"/>
          </w:rPr>
        </w:pPr>
        <w:r w:rsidRPr="00511911">
          <w:rPr>
            <w:sz w:val="24"/>
            <w:szCs w:val="24"/>
          </w:rPr>
          <w:fldChar w:fldCharType="begin"/>
        </w:r>
        <w:r w:rsidRPr="00511911">
          <w:rPr>
            <w:sz w:val="24"/>
            <w:szCs w:val="24"/>
          </w:rPr>
          <w:instrText xml:space="preserve"> PAGE   \* MERGEFORMAT </w:instrText>
        </w:r>
        <w:r w:rsidRPr="00511911">
          <w:rPr>
            <w:sz w:val="24"/>
            <w:szCs w:val="24"/>
          </w:rPr>
          <w:fldChar w:fldCharType="separate"/>
        </w:r>
        <w:r w:rsidRPr="00511911">
          <w:rPr>
            <w:noProof/>
            <w:sz w:val="24"/>
            <w:szCs w:val="24"/>
          </w:rPr>
          <w:t>2</w:t>
        </w:r>
        <w:r w:rsidRPr="00511911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CFC54" w14:textId="77777777" w:rsidR="00B73E9C" w:rsidRDefault="00B7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8D100" w14:textId="77777777" w:rsidR="00453B7B" w:rsidRDefault="003130F9">
      <w:r>
        <w:separator/>
      </w:r>
    </w:p>
  </w:footnote>
  <w:footnote w:type="continuationSeparator" w:id="0">
    <w:p w14:paraId="5271CB1E" w14:textId="77777777" w:rsidR="00453B7B" w:rsidRDefault="003130F9">
      <w:r>
        <w:continuationSeparator/>
      </w:r>
    </w:p>
  </w:footnote>
  <w:footnote w:id="1">
    <w:p w14:paraId="604FB67D" w14:textId="531B2D4B" w:rsidR="003B41A1" w:rsidRDefault="003130F9" w:rsidP="000B5221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="00E35D94" w:rsidRPr="00525077">
        <w:rPr>
          <w:i/>
          <w:iCs/>
        </w:rPr>
        <w:t>See</w:t>
      </w:r>
      <w:r w:rsidR="00E35D94">
        <w:t xml:space="preserve"> </w:t>
      </w:r>
      <w:r w:rsidR="00E35D94" w:rsidRPr="00E35D94">
        <w:rPr>
          <w:i/>
          <w:iCs/>
        </w:rPr>
        <w:t>In the Matter of the Notice of The East Ohio Gas Company d/b/a Dominion Energy Ohio and Enbridge Elephant Holdings, LLC</w:t>
      </w:r>
      <w:r w:rsidR="00E35D94" w:rsidRPr="00E35D94">
        <w:t>, Case No. 23-972-GA-UNC</w:t>
      </w:r>
      <w:r w:rsidR="00E35D94">
        <w:t>, Joint Notice of Acquisition (Oct</w:t>
      </w:r>
      <w:r w:rsidR="00525077">
        <w:t>.</w:t>
      </w:r>
      <w:r w:rsidR="00E35D94">
        <w:t xml:space="preserve"> 20, 2024) and </w:t>
      </w:r>
      <w:r w:rsidR="00E35D94" w:rsidRPr="00E35D94">
        <w:rPr>
          <w:i/>
          <w:iCs/>
        </w:rPr>
        <w:t>In the Matter of the Application of the East Ohio Gas Company d/b/a Enbridge Gas Ohio for Approval to Increase Natural Gas Rates</w:t>
      </w:r>
      <w:r w:rsidR="00E35D94" w:rsidRPr="00E35D94">
        <w:t>, Case No. 23-894,</w:t>
      </w:r>
      <w:r w:rsidR="00E35D94">
        <w:t xml:space="preserve"> Notice of Intent to File Application (Sept</w:t>
      </w:r>
      <w:r w:rsidR="00525077">
        <w:t>.</w:t>
      </w:r>
      <w:r w:rsidR="00E35D94">
        <w:t xml:space="preserve"> 29, 2024).</w:t>
      </w:r>
    </w:p>
  </w:footnote>
  <w:footnote w:id="2">
    <w:p w14:paraId="426C817E" w14:textId="001CFFAC" w:rsidR="003B41A1" w:rsidRDefault="003130F9" w:rsidP="000B5221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bookmarkStart w:id="0" w:name="_Hlk174625600"/>
      <w:r w:rsidR="00E35D94" w:rsidRPr="00E35D94">
        <w:rPr>
          <w:i/>
          <w:iCs/>
        </w:rPr>
        <w:t>In the Matter of the Notice of The East Ohio Gas Company d/b/a Dominion Energy Ohio and Enbridge Elephant Holdings, LLC</w:t>
      </w:r>
      <w:r w:rsidR="00E35D94" w:rsidRPr="00E35D94">
        <w:t>, Case No. 23-972-GA-UNC</w:t>
      </w:r>
      <w:bookmarkEnd w:id="0"/>
      <w:r w:rsidR="00E35D94" w:rsidRPr="00E35D94">
        <w:t>, OCCs’ Comments (Feb</w:t>
      </w:r>
      <w:r w:rsidR="00525077">
        <w:t>.</w:t>
      </w:r>
      <w:r w:rsidR="00E35D94" w:rsidRPr="00E35D94">
        <w:t xml:space="preserve"> 20, 2023) and OCC’s Application for Rehearing (</w:t>
      </w:r>
      <w:r w:rsidR="00396283">
        <w:t>Apr.</w:t>
      </w:r>
      <w:r w:rsidR="00E35D94" w:rsidRPr="00E35D94">
        <w:t xml:space="preserve"> 05, 2024).</w:t>
      </w:r>
    </w:p>
  </w:footnote>
  <w:footnote w:id="3">
    <w:p w14:paraId="40D3232B" w14:textId="1F095E2A" w:rsidR="003B41A1" w:rsidRDefault="003130F9" w:rsidP="0043163A">
      <w:pPr>
        <w:pStyle w:val="FootnoteText"/>
        <w:spacing w:afterLines="50" w:after="120"/>
      </w:pPr>
      <w:r>
        <w:rPr>
          <w:rStyle w:val="FootnoteReference"/>
        </w:rPr>
        <w:footnoteRef/>
      </w:r>
      <w:r>
        <w:t xml:space="preserve"> </w:t>
      </w:r>
      <w:r w:rsidR="00E35D94" w:rsidRPr="00E35D94">
        <w:rPr>
          <w:i/>
          <w:iCs/>
        </w:rPr>
        <w:t>In the Matter of the Notice of The East Ohio Gas Company d/b/a Dominion Energy Ohio and Enbridge Elephant Holdings, LLC</w:t>
      </w:r>
      <w:r w:rsidR="00E35D94" w:rsidRPr="00E35D94">
        <w:t>, Case No. 23-972-GA-UNC, Finding &amp; Order (March 26, 2024) and Entry on Rehearing (May 1, 2024).</w:t>
      </w:r>
    </w:p>
  </w:footnote>
  <w:footnote w:id="4">
    <w:p w14:paraId="41341F91" w14:textId="77777777" w:rsidR="008678C8" w:rsidRDefault="003130F9" w:rsidP="0043163A">
      <w:pPr>
        <w:pStyle w:val="FootnoteText"/>
        <w:spacing w:afterLines="50" w:after="120"/>
      </w:pPr>
      <w:r>
        <w:rPr>
          <w:rStyle w:val="FootnoteReference"/>
        </w:rPr>
        <w:footnoteRef/>
      </w:r>
      <w:r>
        <w:t xml:space="preserve"> </w:t>
      </w:r>
      <w:r w:rsidRPr="00626C8B">
        <w:rPr>
          <w:i/>
          <w:iCs/>
        </w:rPr>
        <w:t>In the Matter of the Notice of The East Ohio Gas Company d/b/a Dominion Energy Ohio and Enbridge Elephant Holdings, LLC</w:t>
      </w:r>
      <w:r w:rsidRPr="00626C8B">
        <w:t>, Case No. 23-972-GA-UNC, Finding &amp; Order (March 26, 2024)</w:t>
      </w:r>
      <w:r>
        <w:t xml:space="preserve"> at</w:t>
      </w:r>
      <w:r w:rsidRPr="00626C8B">
        <w:t xml:space="preserve"> ¶ 29</w:t>
      </w:r>
      <w:r>
        <w:t>.</w:t>
      </w:r>
    </w:p>
  </w:footnote>
  <w:footnote w:id="5">
    <w:p w14:paraId="40E214A1" w14:textId="17265C51" w:rsidR="00CB3BBB" w:rsidRDefault="003130F9" w:rsidP="00ED54D1">
      <w:pPr>
        <w:pStyle w:val="FootnoteText"/>
        <w:spacing w:afterLines="50" w:after="120"/>
      </w:pPr>
      <w:r>
        <w:rPr>
          <w:rStyle w:val="FootnoteReference"/>
        </w:rPr>
        <w:footnoteRef/>
      </w:r>
      <w:r>
        <w:t xml:space="preserve"> </w:t>
      </w:r>
      <w:r w:rsidRPr="00CB3BBB">
        <w:t>Enbridge’s Motion to Strike Objections at pp. 1, 4, 6.</w:t>
      </w:r>
    </w:p>
  </w:footnote>
  <w:footnote w:id="6">
    <w:p w14:paraId="517C6AB5" w14:textId="4AAAC2FD" w:rsidR="00CB3BBB" w:rsidRDefault="003130F9" w:rsidP="00ED54D1">
      <w:pPr>
        <w:pStyle w:val="FootnoteText"/>
        <w:spacing w:afterLines="50" w:after="120"/>
      </w:pPr>
      <w:r>
        <w:rPr>
          <w:rStyle w:val="FootnoteReference"/>
        </w:rPr>
        <w:footnoteRef/>
      </w:r>
      <w:r>
        <w:t xml:space="preserve"> </w:t>
      </w:r>
      <w:r w:rsidRPr="00CB3BBB">
        <w:rPr>
          <w:i/>
          <w:iCs/>
        </w:rPr>
        <w:t>In the Matter of the Notice of The East Ohio Gas Company d/b/a Dominion Energy Ohio and Enbridge Elephant Holdings, LLC</w:t>
      </w:r>
      <w:r w:rsidRPr="00CB3BBB">
        <w:t>, Case No. 23-972-GA-UNC, Finding &amp; Order (March 26, 2024) at ¶ 29.</w:t>
      </w:r>
    </w:p>
  </w:footnote>
  <w:footnote w:id="7">
    <w:p w14:paraId="2C9EB8FC" w14:textId="2D3DDDE7" w:rsidR="00575196" w:rsidRDefault="003130F9" w:rsidP="00ED54D1">
      <w:pPr>
        <w:pStyle w:val="FootnoteText"/>
        <w:spacing w:afterLines="50" w:after="120"/>
      </w:pPr>
      <w:r>
        <w:rPr>
          <w:rStyle w:val="FootnoteReference"/>
        </w:rPr>
        <w:footnoteRef/>
      </w:r>
      <w:r>
        <w:t xml:space="preserve"> </w:t>
      </w:r>
      <w:r w:rsidRPr="00575196">
        <w:t xml:space="preserve">Enbridge’s Motion to Strike Objections at pp. </w:t>
      </w:r>
      <w:r w:rsidR="00ED0BFC">
        <w:t>2</w:t>
      </w:r>
      <w:r w:rsidRPr="00575196">
        <w:t>-4.</w:t>
      </w:r>
    </w:p>
  </w:footnote>
  <w:footnote w:id="8">
    <w:p w14:paraId="17724523" w14:textId="6D49487D" w:rsidR="002D4B11" w:rsidRDefault="003130F9" w:rsidP="009A3636">
      <w:pPr>
        <w:pStyle w:val="FootnoteText"/>
        <w:spacing w:afterLines="80" w:after="192"/>
      </w:pPr>
      <w:r>
        <w:rPr>
          <w:rStyle w:val="FootnoteReference"/>
        </w:rPr>
        <w:footnoteRef/>
      </w:r>
      <w:r>
        <w:t xml:space="preserve"> </w:t>
      </w:r>
      <w:r w:rsidR="000769F9" w:rsidRPr="000769F9">
        <w:rPr>
          <w:i/>
          <w:iCs/>
        </w:rPr>
        <w:t>In the Matter of the Application of the East Ohio Gas Company d/b/a Enbridge Gas Ohio for Approval to Increase Natural Gas Rates</w:t>
      </w:r>
      <w:r w:rsidR="000769F9" w:rsidRPr="000769F9">
        <w:t>, Case No. 23-894,</w:t>
      </w:r>
      <w:r w:rsidR="000769F9" w:rsidRPr="000769F9">
        <w:rPr>
          <w:i/>
          <w:iCs/>
        </w:rPr>
        <w:t xml:space="preserve"> </w:t>
      </w:r>
      <w:r w:rsidR="000769F9" w:rsidRPr="000769F9">
        <w:t>OCC’s Objections to the PUCO Staff's Report (July 26, 2024), Objection 17.</w:t>
      </w:r>
    </w:p>
  </w:footnote>
  <w:footnote w:id="9">
    <w:p w14:paraId="69606A7D" w14:textId="22D480E5" w:rsidR="000C529A" w:rsidRDefault="003130F9" w:rsidP="009A3636">
      <w:pPr>
        <w:pStyle w:val="FootnoteText"/>
        <w:spacing w:afterLines="80" w:after="192"/>
      </w:pPr>
      <w:r>
        <w:rPr>
          <w:rStyle w:val="FootnoteReference"/>
        </w:rPr>
        <w:footnoteRef/>
      </w:r>
      <w:r w:rsidRPr="00684471">
        <w:rPr>
          <w:i/>
          <w:iCs/>
        </w:rPr>
        <w:t xml:space="preserve"> </w:t>
      </w:r>
      <w:r w:rsidRPr="00BF1011">
        <w:rPr>
          <w:i/>
          <w:iCs/>
        </w:rPr>
        <w:t>In the Matter of the Notice of The East Ohio Gas Company d/b/a Dominion Energy Ohio and Enbridge Elephant Holdings, LLC</w:t>
      </w:r>
      <w:r>
        <w:t>, Case No. 23-972-GA-UNC, OCCs’ Comments (Feb</w:t>
      </w:r>
      <w:r w:rsidR="00525077">
        <w:t>.</w:t>
      </w:r>
      <w:r>
        <w:t xml:space="preserve"> 20, 202</w:t>
      </w:r>
      <w:r w:rsidR="00BE61A2">
        <w:t>4</w:t>
      </w:r>
      <w:r>
        <w:t>) and OCC’s Application for Rehearing (</w:t>
      </w:r>
      <w:r w:rsidR="00396283">
        <w:t>Apr.</w:t>
      </w:r>
      <w:r>
        <w:t xml:space="preserve"> 05, 2024). </w:t>
      </w:r>
      <w:r w:rsidRPr="00BF1011">
        <w:rPr>
          <w:i/>
          <w:iCs/>
        </w:rPr>
        <w:t>See also</w:t>
      </w:r>
      <w:r>
        <w:t xml:space="preserve">, </w:t>
      </w:r>
      <w:r w:rsidRPr="00BF1011">
        <w:rPr>
          <w:i/>
          <w:iCs/>
        </w:rPr>
        <w:t>In the Matter of the Application of the East Ohio Gas Company d/b/a Enbridge Gas Ohio for Approval to Increase Natural Gas Rates</w:t>
      </w:r>
      <w:r>
        <w:t>, Case No. 23-894,</w:t>
      </w:r>
      <w:r w:rsidRPr="00BF1011">
        <w:rPr>
          <w:i/>
          <w:iCs/>
        </w:rPr>
        <w:t xml:space="preserve"> </w:t>
      </w:r>
      <w:r>
        <w:t xml:space="preserve">OCC’s </w:t>
      </w:r>
      <w:r w:rsidRPr="00BF1011">
        <w:t>Objections to the PUCO Staff's Report</w:t>
      </w:r>
      <w:r>
        <w:t xml:space="preserve"> (July 26, 2024), Objection 17. </w:t>
      </w:r>
    </w:p>
  </w:footnote>
  <w:footnote w:id="10">
    <w:p w14:paraId="2C9BFF1F" w14:textId="52BE3E6A" w:rsidR="000C529A" w:rsidRDefault="003130F9" w:rsidP="00A3779A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943821">
        <w:rPr>
          <w:i/>
          <w:iCs/>
        </w:rPr>
        <w:t>In the Matter of the Notice of The East Ohio Gas Company d/b/a Dominion Energy Ohio and Enbridge Elephant Holdings, LLC, Case No. 23-972-GA-UNC, OCCs’ Comments (Feb</w:t>
      </w:r>
      <w:r w:rsidR="008923E7">
        <w:rPr>
          <w:i/>
          <w:iCs/>
        </w:rPr>
        <w:t>.</w:t>
      </w:r>
      <w:r w:rsidRPr="00943821">
        <w:rPr>
          <w:i/>
          <w:iCs/>
        </w:rPr>
        <w:t xml:space="preserve"> 20, 2023) at pp. 1-2, OCC’s Application for Rehearing (</w:t>
      </w:r>
      <w:r w:rsidR="00396283">
        <w:rPr>
          <w:i/>
          <w:iCs/>
        </w:rPr>
        <w:t>Apr.</w:t>
      </w:r>
      <w:r w:rsidRPr="00943821">
        <w:rPr>
          <w:i/>
          <w:iCs/>
        </w:rPr>
        <w:t xml:space="preserve"> 05, 2024) at pp. 1-2, 14-16.</w:t>
      </w:r>
    </w:p>
  </w:footnote>
  <w:footnote w:id="11">
    <w:p w14:paraId="77971BF4" w14:textId="77777777" w:rsidR="000C529A" w:rsidRDefault="003130F9" w:rsidP="00A3779A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B65C62">
        <w:rPr>
          <w:i/>
          <w:iCs/>
        </w:rPr>
        <w:t>In the Matter of the Notice of The East Ohio Gas Company d/b/a Dominion Energy Ohio and Enbridge Elephant Holdings, LLC</w:t>
      </w:r>
      <w:r w:rsidRPr="00B65C62">
        <w:t>, Case No. 23-972-GA-UNC,</w:t>
      </w:r>
      <w:r>
        <w:t xml:space="preserve"> </w:t>
      </w:r>
      <w:r w:rsidRPr="00B65C62">
        <w:t>Finding &amp; Order</w:t>
      </w:r>
      <w:r>
        <w:t xml:space="preserve"> (March 26, 2024) and</w:t>
      </w:r>
      <w:r w:rsidRPr="00943821">
        <w:rPr>
          <w:rFonts w:ascii="Arial" w:hAnsi="Arial" w:cs="Arial"/>
          <w:color w:val="232323"/>
          <w:sz w:val="19"/>
          <w:szCs w:val="19"/>
        </w:rPr>
        <w:t xml:space="preserve"> </w:t>
      </w:r>
      <w:r w:rsidRPr="00943821">
        <w:t xml:space="preserve">Entry on Rehearing </w:t>
      </w:r>
      <w:r>
        <w:t xml:space="preserve">(May 1, 2024). </w:t>
      </w:r>
    </w:p>
  </w:footnote>
  <w:footnote w:id="12">
    <w:p w14:paraId="69842E84" w14:textId="5C7FBBEB" w:rsidR="00D314AE" w:rsidRDefault="003130F9" w:rsidP="00A3779A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D314AE">
        <w:rPr>
          <w:i/>
          <w:iCs/>
        </w:rPr>
        <w:t>In the Matter of the Notice of The East Ohio Gas Company d/b/a Dominion Energy Ohio and Enbridge Elephant Holdings, LLC</w:t>
      </w:r>
      <w:r w:rsidRPr="00D314AE">
        <w:t>, Case No. 23-972-GA-UNC, Finding &amp; Order (March 26, 2024) at</w:t>
      </w:r>
      <w:r w:rsidRPr="00626C8B">
        <w:t xml:space="preserve"> ¶ 29</w:t>
      </w:r>
      <w:r w:rsidR="008E02E5">
        <w:t xml:space="preserve"> (Emphasis added)</w:t>
      </w:r>
      <w:r>
        <w:t>.</w:t>
      </w:r>
    </w:p>
  </w:footnote>
  <w:footnote w:id="13">
    <w:p w14:paraId="49491921" w14:textId="77777777" w:rsidR="000C529A" w:rsidRDefault="003130F9" w:rsidP="00757239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D314AE">
        <w:rPr>
          <w:i/>
          <w:iCs/>
        </w:rPr>
        <w:t xml:space="preserve">In the Matter of the Application of the East Ohio Gas Company d/b/a Enbridge Gas Ohio for Approval to Increase </w:t>
      </w:r>
      <w:r w:rsidRPr="00D314AE">
        <w:rPr>
          <w:i/>
          <w:iCs/>
        </w:rPr>
        <w:t>Natural Gas Rates</w:t>
      </w:r>
      <w:r w:rsidRPr="00D314AE">
        <w:t>, Case No. 23-894,</w:t>
      </w:r>
      <w:r w:rsidRPr="00D314AE">
        <w:rPr>
          <w:i/>
          <w:iCs/>
        </w:rPr>
        <w:t xml:space="preserve"> </w:t>
      </w:r>
      <w:r w:rsidRPr="00D314AE">
        <w:t>OCC’s Objections to the PUCO Staff's Report (July 26, 2024), Objection 17.</w:t>
      </w:r>
      <w:r>
        <w:t xml:space="preserve"> </w:t>
      </w:r>
    </w:p>
  </w:footnote>
  <w:footnote w:id="14">
    <w:p w14:paraId="46F45CEC" w14:textId="3E2A3A1F" w:rsidR="00352146" w:rsidRDefault="003130F9" w:rsidP="00757239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bookmarkStart w:id="2" w:name="_Hlk174956304"/>
      <w:r>
        <w:t xml:space="preserve">Enbridge’s Motion to Strike Objections at pp. </w:t>
      </w:r>
      <w:r w:rsidR="00B54E6E">
        <w:t>1, 4, 6</w:t>
      </w:r>
      <w:r>
        <w:t>.</w:t>
      </w:r>
      <w:bookmarkEnd w:id="2"/>
    </w:p>
  </w:footnote>
  <w:footnote w:id="15">
    <w:p w14:paraId="4C271B3F" w14:textId="73A32B8D" w:rsidR="0003315D" w:rsidRDefault="003130F9" w:rsidP="00757239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03315D">
        <w:t>Enbridge’s Motion to Strike Objections at pp. 3-5.</w:t>
      </w:r>
    </w:p>
  </w:footnote>
  <w:footnote w:id="16">
    <w:p w14:paraId="2934F938" w14:textId="2C2FBA00" w:rsidR="003B41A1" w:rsidRDefault="003130F9" w:rsidP="00525077">
      <w:pPr>
        <w:pStyle w:val="FootnoteText"/>
        <w:spacing w:afterLines="80" w:after="192"/>
      </w:pPr>
      <w:r>
        <w:rPr>
          <w:rStyle w:val="FootnoteReference"/>
        </w:rPr>
        <w:footnoteRef/>
      </w:r>
      <w:r>
        <w:t xml:space="preserve"> </w:t>
      </w:r>
      <w:r w:rsidR="00561878" w:rsidRPr="00561878">
        <w:rPr>
          <w:i/>
          <w:iCs/>
        </w:rPr>
        <w:t>In the Matter of the Application of the East Ohio Gas Company d/b/a Enbridge Gas Ohio for Approval to Increase Natural Gas Rates</w:t>
      </w:r>
      <w:r w:rsidR="00561878" w:rsidRPr="00561878">
        <w:t>, Case No. 23-894,</w:t>
      </w:r>
      <w:r w:rsidR="00561878" w:rsidRPr="00561878">
        <w:rPr>
          <w:i/>
          <w:iCs/>
        </w:rPr>
        <w:t xml:space="preserve"> </w:t>
      </w:r>
      <w:r w:rsidR="00561878" w:rsidRPr="00561878">
        <w:t>OCC’s Objections to the PUCO Staff's Report (July 26, 2024), Objection 17.</w:t>
      </w:r>
    </w:p>
  </w:footnote>
  <w:footnote w:id="17">
    <w:p w14:paraId="06A42E6F" w14:textId="5BAF71C1" w:rsidR="008465AE" w:rsidRPr="005A1845" w:rsidRDefault="003130F9" w:rsidP="008606A0">
      <w:pPr>
        <w:pStyle w:val="FootnoteText"/>
        <w:spacing w:after="120"/>
      </w:pPr>
      <w:r w:rsidRPr="005A1845">
        <w:rPr>
          <w:rStyle w:val="FootnoteReference"/>
        </w:rPr>
        <w:footnoteRef/>
      </w:r>
      <w:r w:rsidRPr="005A1845">
        <w:t xml:space="preserve"> </w:t>
      </w:r>
      <w:r w:rsidRPr="005A1845">
        <w:rPr>
          <w:i/>
        </w:rPr>
        <w:t>In</w:t>
      </w:r>
      <w:r w:rsidRPr="005A1845">
        <w:rPr>
          <w:i/>
          <w:spacing w:val="-4"/>
        </w:rPr>
        <w:t xml:space="preserve"> </w:t>
      </w:r>
      <w:r w:rsidRPr="005A1845">
        <w:rPr>
          <w:i/>
        </w:rPr>
        <w:t>the</w:t>
      </w:r>
      <w:r w:rsidRPr="005A1845">
        <w:rPr>
          <w:i/>
          <w:spacing w:val="-6"/>
        </w:rPr>
        <w:t xml:space="preserve"> </w:t>
      </w:r>
      <w:r w:rsidRPr="005A1845">
        <w:rPr>
          <w:i/>
        </w:rPr>
        <w:t>Matter</w:t>
      </w:r>
      <w:r w:rsidRPr="005A1845">
        <w:rPr>
          <w:i/>
          <w:spacing w:val="-6"/>
        </w:rPr>
        <w:t xml:space="preserve"> </w:t>
      </w:r>
      <w:r w:rsidRPr="005A1845">
        <w:rPr>
          <w:i/>
        </w:rPr>
        <w:t>of</w:t>
      </w:r>
      <w:r w:rsidRPr="005A1845">
        <w:rPr>
          <w:i/>
          <w:spacing w:val="-6"/>
        </w:rPr>
        <w:t xml:space="preserve"> </w:t>
      </w:r>
      <w:r w:rsidRPr="005A1845">
        <w:rPr>
          <w:i/>
        </w:rPr>
        <w:t>the</w:t>
      </w:r>
      <w:r w:rsidRPr="005A1845">
        <w:rPr>
          <w:i/>
          <w:spacing w:val="-6"/>
        </w:rPr>
        <w:t xml:space="preserve"> </w:t>
      </w:r>
      <w:r w:rsidRPr="005A1845">
        <w:rPr>
          <w:i/>
        </w:rPr>
        <w:t>Application</w:t>
      </w:r>
      <w:r w:rsidRPr="005A1845">
        <w:rPr>
          <w:i/>
          <w:spacing w:val="-6"/>
        </w:rPr>
        <w:t xml:space="preserve"> </w:t>
      </w:r>
      <w:r w:rsidRPr="005A1845">
        <w:rPr>
          <w:i/>
        </w:rPr>
        <w:t>of</w:t>
      </w:r>
      <w:r w:rsidRPr="005A1845">
        <w:rPr>
          <w:i/>
          <w:spacing w:val="-6"/>
        </w:rPr>
        <w:t xml:space="preserve"> </w:t>
      </w:r>
      <w:r w:rsidRPr="005A1845">
        <w:rPr>
          <w:i/>
        </w:rPr>
        <w:t>The</w:t>
      </w:r>
      <w:r w:rsidRPr="005A1845">
        <w:rPr>
          <w:i/>
          <w:spacing w:val="-6"/>
        </w:rPr>
        <w:t xml:space="preserve"> </w:t>
      </w:r>
      <w:r w:rsidRPr="005A1845">
        <w:rPr>
          <w:i/>
        </w:rPr>
        <w:t>Dayton Power</w:t>
      </w:r>
      <w:r w:rsidRPr="005A1845">
        <w:rPr>
          <w:i/>
          <w:spacing w:val="-4"/>
        </w:rPr>
        <w:t xml:space="preserve"> </w:t>
      </w:r>
      <w:r w:rsidRPr="005A1845">
        <w:rPr>
          <w:i/>
        </w:rPr>
        <w:t>and</w:t>
      </w:r>
      <w:r w:rsidRPr="005A1845">
        <w:rPr>
          <w:i/>
          <w:spacing w:val="-5"/>
        </w:rPr>
        <w:t xml:space="preserve"> </w:t>
      </w:r>
      <w:r w:rsidRPr="005A1845">
        <w:rPr>
          <w:i/>
        </w:rPr>
        <w:t>Light</w:t>
      </w:r>
      <w:r w:rsidRPr="005A1845">
        <w:rPr>
          <w:i/>
          <w:spacing w:val="-5"/>
        </w:rPr>
        <w:t xml:space="preserve"> </w:t>
      </w:r>
      <w:r w:rsidRPr="005A1845">
        <w:rPr>
          <w:i/>
        </w:rPr>
        <w:t>Company</w:t>
      </w:r>
      <w:r w:rsidRPr="005A1845">
        <w:rPr>
          <w:i/>
          <w:spacing w:val="-5"/>
        </w:rPr>
        <w:t xml:space="preserve"> </w:t>
      </w:r>
      <w:r w:rsidRPr="005A1845">
        <w:rPr>
          <w:i/>
        </w:rPr>
        <w:t>for</w:t>
      </w:r>
      <w:r w:rsidRPr="005A1845">
        <w:rPr>
          <w:i/>
          <w:spacing w:val="-4"/>
        </w:rPr>
        <w:t xml:space="preserve"> </w:t>
      </w:r>
      <w:r w:rsidRPr="005A1845">
        <w:rPr>
          <w:i/>
        </w:rPr>
        <w:t>Authority</w:t>
      </w:r>
      <w:r w:rsidRPr="005A1845">
        <w:rPr>
          <w:i/>
          <w:spacing w:val="-4"/>
        </w:rPr>
        <w:t xml:space="preserve"> </w:t>
      </w:r>
      <w:r w:rsidRPr="005A1845">
        <w:rPr>
          <w:i/>
        </w:rPr>
        <w:t>to</w:t>
      </w:r>
      <w:r w:rsidRPr="005A1845">
        <w:rPr>
          <w:i/>
          <w:spacing w:val="-4"/>
        </w:rPr>
        <w:t xml:space="preserve"> </w:t>
      </w:r>
      <w:r w:rsidRPr="005A1845">
        <w:rPr>
          <w:i/>
        </w:rPr>
        <w:t>Modify</w:t>
      </w:r>
      <w:r w:rsidRPr="005A1845">
        <w:rPr>
          <w:i/>
          <w:spacing w:val="-4"/>
        </w:rPr>
        <w:t xml:space="preserve"> </w:t>
      </w:r>
      <w:r w:rsidRPr="005A1845">
        <w:rPr>
          <w:i/>
        </w:rPr>
        <w:t>and</w:t>
      </w:r>
      <w:r w:rsidRPr="005A1845">
        <w:rPr>
          <w:i/>
          <w:spacing w:val="-5"/>
        </w:rPr>
        <w:t xml:space="preserve"> </w:t>
      </w:r>
      <w:r w:rsidRPr="005A1845">
        <w:rPr>
          <w:i/>
        </w:rPr>
        <w:t>Increase</w:t>
      </w:r>
      <w:r w:rsidRPr="005A1845">
        <w:rPr>
          <w:i/>
          <w:spacing w:val="-5"/>
        </w:rPr>
        <w:t xml:space="preserve"> </w:t>
      </w:r>
      <w:r w:rsidRPr="005A1845">
        <w:rPr>
          <w:i/>
        </w:rPr>
        <w:t>its</w:t>
      </w:r>
      <w:r w:rsidRPr="005A1845">
        <w:rPr>
          <w:i/>
          <w:spacing w:val="-5"/>
        </w:rPr>
        <w:t xml:space="preserve"> </w:t>
      </w:r>
      <w:r w:rsidRPr="005A1845">
        <w:rPr>
          <w:i/>
        </w:rPr>
        <w:t>Rates</w:t>
      </w:r>
      <w:r w:rsidRPr="005A1845">
        <w:rPr>
          <w:i/>
          <w:spacing w:val="-4"/>
        </w:rPr>
        <w:t xml:space="preserve"> </w:t>
      </w:r>
      <w:r w:rsidRPr="005A1845">
        <w:rPr>
          <w:i/>
        </w:rPr>
        <w:t>for</w:t>
      </w:r>
      <w:r w:rsidRPr="005A1845">
        <w:rPr>
          <w:i/>
          <w:spacing w:val="-4"/>
        </w:rPr>
        <w:t xml:space="preserve"> </w:t>
      </w:r>
      <w:r w:rsidRPr="005A1845">
        <w:rPr>
          <w:i/>
        </w:rPr>
        <w:t>Gas</w:t>
      </w:r>
      <w:r w:rsidRPr="005A1845">
        <w:rPr>
          <w:i/>
          <w:spacing w:val="-5"/>
        </w:rPr>
        <w:t xml:space="preserve"> </w:t>
      </w:r>
      <w:r w:rsidRPr="005A1845">
        <w:rPr>
          <w:i/>
        </w:rPr>
        <w:t>Service to All Jurisdictional Customers</w:t>
      </w:r>
      <w:r w:rsidRPr="005A1845">
        <w:t>, Case No. 88-777-GA-AIR,</w:t>
      </w:r>
      <w:r w:rsidR="005A1845">
        <w:t xml:space="preserve"> </w:t>
      </w:r>
      <w:r w:rsidRPr="005A1845">
        <w:t>Opinion</w:t>
      </w:r>
      <w:r w:rsidRPr="005A1845">
        <w:rPr>
          <w:spacing w:val="-16"/>
        </w:rPr>
        <w:t xml:space="preserve"> </w:t>
      </w:r>
      <w:r w:rsidRPr="005A1845">
        <w:t>and</w:t>
      </w:r>
      <w:r w:rsidRPr="005A1845">
        <w:rPr>
          <w:spacing w:val="-16"/>
        </w:rPr>
        <w:t xml:space="preserve"> </w:t>
      </w:r>
      <w:r w:rsidRPr="005A1845">
        <w:t>Order</w:t>
      </w:r>
      <w:r w:rsidRPr="005A1845">
        <w:rPr>
          <w:spacing w:val="-15"/>
        </w:rPr>
        <w:t xml:space="preserve"> </w:t>
      </w:r>
      <w:r w:rsidRPr="005A1845">
        <w:t>(Aug.</w:t>
      </w:r>
      <w:r w:rsidRPr="005A1845">
        <w:rPr>
          <w:spacing w:val="-15"/>
        </w:rPr>
        <w:t xml:space="preserve"> </w:t>
      </w:r>
      <w:r w:rsidRPr="005A1845">
        <w:t>7,</w:t>
      </w:r>
      <w:r w:rsidRPr="005A1845">
        <w:rPr>
          <w:spacing w:val="-16"/>
        </w:rPr>
        <w:t xml:space="preserve"> </w:t>
      </w:r>
      <w:r w:rsidRPr="005A1845">
        <w:t>1984)</w:t>
      </w:r>
      <w:r w:rsidR="005A1845" w:rsidRPr="005A1845">
        <w:t xml:space="preserve"> at</w:t>
      </w:r>
      <w:r w:rsidR="005A1845" w:rsidRPr="005A1845">
        <w:rPr>
          <w:spacing w:val="-18"/>
        </w:rPr>
        <w:t xml:space="preserve"> </w:t>
      </w:r>
      <w:r w:rsidR="005A1845">
        <w:t xml:space="preserve">pp. </w:t>
      </w:r>
      <w:r w:rsidR="005A1845" w:rsidRPr="005A1845">
        <w:t>11-12</w:t>
      </w:r>
    </w:p>
  </w:footnote>
  <w:footnote w:id="18">
    <w:p w14:paraId="4BB1B685" w14:textId="2696C29A" w:rsidR="005A1845" w:rsidRDefault="003130F9" w:rsidP="008606A0">
      <w:pPr>
        <w:pStyle w:val="FootnoteText"/>
        <w:spacing w:after="120"/>
      </w:pPr>
      <w:r w:rsidRPr="005A1845">
        <w:rPr>
          <w:rStyle w:val="FootnoteReference"/>
        </w:rPr>
        <w:footnoteRef/>
      </w:r>
      <w:r w:rsidRPr="005A1845">
        <w:t xml:space="preserve"> </w:t>
      </w:r>
      <w:r w:rsidRPr="00525077">
        <w:rPr>
          <w:rFonts w:eastAsiaTheme="minorHAnsi"/>
          <w:i/>
          <w:iCs/>
        </w:rPr>
        <w:t xml:space="preserve">In the Matter of the Application of The Toledo Company for Authority to </w:t>
      </w:r>
      <w:r w:rsidRPr="00525077">
        <w:rPr>
          <w:rFonts w:eastAsiaTheme="minorHAnsi"/>
          <w:i/>
          <w:iCs/>
        </w:rPr>
        <w:t>Amend and Increase Certain of Its Rates and Charges for Electric Service</w:t>
      </w:r>
      <w:r w:rsidRPr="00525077">
        <w:rPr>
          <w:rFonts w:eastAsiaTheme="minorHAnsi"/>
        </w:rPr>
        <w:t xml:space="preserve">, Case No. 95-299-EL-AIR, </w:t>
      </w:r>
      <w:r w:rsidR="006A0BF9">
        <w:rPr>
          <w:rFonts w:eastAsiaTheme="minorHAnsi"/>
        </w:rPr>
        <w:t>Opinion and Order</w:t>
      </w:r>
      <w:r w:rsidRPr="00525077">
        <w:rPr>
          <w:rFonts w:eastAsiaTheme="minorHAnsi"/>
        </w:rPr>
        <w:t xml:space="preserve"> (Apr. 11</w:t>
      </w:r>
      <w:r>
        <w:rPr>
          <w:rFonts w:eastAsiaTheme="minorHAnsi"/>
        </w:rPr>
        <w:t xml:space="preserve">, </w:t>
      </w:r>
      <w:r w:rsidRPr="00525077">
        <w:rPr>
          <w:rFonts w:eastAsiaTheme="minorHAnsi"/>
        </w:rPr>
        <w:t>1996)</w:t>
      </w:r>
      <w:r w:rsidR="00F23635">
        <w:rPr>
          <w:rFonts w:eastAsiaTheme="minorHAnsi"/>
        </w:rPr>
        <w:t xml:space="preserve"> at p. 83</w:t>
      </w:r>
      <w:r w:rsidRPr="00525077">
        <w:rPr>
          <w:rFonts w:eastAsia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BF66A" w14:textId="77777777" w:rsidR="00B73E9C" w:rsidRDefault="00B73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7081" w14:textId="77777777" w:rsidR="00B73E9C" w:rsidRDefault="00B73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5A593" w14:textId="77777777" w:rsidR="00B73E9C" w:rsidRDefault="00B73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698C"/>
    <w:multiLevelType w:val="hybridMultilevel"/>
    <w:tmpl w:val="FCCA6836"/>
    <w:lvl w:ilvl="0" w:tplc="35186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2CF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8832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F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A1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345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580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09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2A4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77C91"/>
    <w:multiLevelType w:val="hybridMultilevel"/>
    <w:tmpl w:val="C7E2AF0A"/>
    <w:lvl w:ilvl="0" w:tplc="7D14E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F542D02" w:tentative="1">
      <w:start w:val="1"/>
      <w:numFmt w:val="lowerLetter"/>
      <w:lvlText w:val="%2."/>
      <w:lvlJc w:val="left"/>
      <w:pPr>
        <w:ind w:left="1800" w:hanging="360"/>
      </w:pPr>
    </w:lvl>
    <w:lvl w:ilvl="2" w:tplc="FC784A24" w:tentative="1">
      <w:start w:val="1"/>
      <w:numFmt w:val="lowerRoman"/>
      <w:lvlText w:val="%3."/>
      <w:lvlJc w:val="right"/>
      <w:pPr>
        <w:ind w:left="2520" w:hanging="180"/>
      </w:pPr>
    </w:lvl>
    <w:lvl w:ilvl="3" w:tplc="DCB0C4F0" w:tentative="1">
      <w:start w:val="1"/>
      <w:numFmt w:val="decimal"/>
      <w:lvlText w:val="%4."/>
      <w:lvlJc w:val="left"/>
      <w:pPr>
        <w:ind w:left="3240" w:hanging="360"/>
      </w:pPr>
    </w:lvl>
    <w:lvl w:ilvl="4" w:tplc="C62C43F4" w:tentative="1">
      <w:start w:val="1"/>
      <w:numFmt w:val="lowerLetter"/>
      <w:lvlText w:val="%5."/>
      <w:lvlJc w:val="left"/>
      <w:pPr>
        <w:ind w:left="3960" w:hanging="360"/>
      </w:pPr>
    </w:lvl>
    <w:lvl w:ilvl="5" w:tplc="597EC1F6" w:tentative="1">
      <w:start w:val="1"/>
      <w:numFmt w:val="lowerRoman"/>
      <w:lvlText w:val="%6."/>
      <w:lvlJc w:val="right"/>
      <w:pPr>
        <w:ind w:left="4680" w:hanging="180"/>
      </w:pPr>
    </w:lvl>
    <w:lvl w:ilvl="6" w:tplc="7FFC86D4" w:tentative="1">
      <w:start w:val="1"/>
      <w:numFmt w:val="decimal"/>
      <w:lvlText w:val="%7."/>
      <w:lvlJc w:val="left"/>
      <w:pPr>
        <w:ind w:left="5400" w:hanging="360"/>
      </w:pPr>
    </w:lvl>
    <w:lvl w:ilvl="7" w:tplc="D2D61BB2" w:tentative="1">
      <w:start w:val="1"/>
      <w:numFmt w:val="lowerLetter"/>
      <w:lvlText w:val="%8."/>
      <w:lvlJc w:val="left"/>
      <w:pPr>
        <w:ind w:left="6120" w:hanging="360"/>
      </w:pPr>
    </w:lvl>
    <w:lvl w:ilvl="8" w:tplc="FA64844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A6B02"/>
    <w:multiLevelType w:val="hybridMultilevel"/>
    <w:tmpl w:val="01D0C0BE"/>
    <w:lvl w:ilvl="0" w:tplc="2AF2CA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50B6B3F4" w:tentative="1">
      <w:start w:val="1"/>
      <w:numFmt w:val="lowerLetter"/>
      <w:lvlText w:val="%2."/>
      <w:lvlJc w:val="left"/>
      <w:pPr>
        <w:ind w:left="1080" w:hanging="360"/>
      </w:pPr>
    </w:lvl>
    <w:lvl w:ilvl="2" w:tplc="44003052" w:tentative="1">
      <w:start w:val="1"/>
      <w:numFmt w:val="lowerRoman"/>
      <w:lvlText w:val="%3."/>
      <w:lvlJc w:val="right"/>
      <w:pPr>
        <w:ind w:left="1800" w:hanging="180"/>
      </w:pPr>
    </w:lvl>
    <w:lvl w:ilvl="3" w:tplc="4782A44A" w:tentative="1">
      <w:start w:val="1"/>
      <w:numFmt w:val="decimal"/>
      <w:lvlText w:val="%4."/>
      <w:lvlJc w:val="left"/>
      <w:pPr>
        <w:ind w:left="2520" w:hanging="360"/>
      </w:pPr>
    </w:lvl>
    <w:lvl w:ilvl="4" w:tplc="280EF7A2" w:tentative="1">
      <w:start w:val="1"/>
      <w:numFmt w:val="lowerLetter"/>
      <w:lvlText w:val="%5."/>
      <w:lvlJc w:val="left"/>
      <w:pPr>
        <w:ind w:left="3240" w:hanging="360"/>
      </w:pPr>
    </w:lvl>
    <w:lvl w:ilvl="5" w:tplc="AB4AE58C" w:tentative="1">
      <w:start w:val="1"/>
      <w:numFmt w:val="lowerRoman"/>
      <w:lvlText w:val="%6."/>
      <w:lvlJc w:val="right"/>
      <w:pPr>
        <w:ind w:left="3960" w:hanging="180"/>
      </w:pPr>
    </w:lvl>
    <w:lvl w:ilvl="6" w:tplc="E8F228C0" w:tentative="1">
      <w:start w:val="1"/>
      <w:numFmt w:val="decimal"/>
      <w:lvlText w:val="%7."/>
      <w:lvlJc w:val="left"/>
      <w:pPr>
        <w:ind w:left="4680" w:hanging="360"/>
      </w:pPr>
    </w:lvl>
    <w:lvl w:ilvl="7" w:tplc="A4D044EE" w:tentative="1">
      <w:start w:val="1"/>
      <w:numFmt w:val="lowerLetter"/>
      <w:lvlText w:val="%8."/>
      <w:lvlJc w:val="left"/>
      <w:pPr>
        <w:ind w:left="5400" w:hanging="360"/>
      </w:pPr>
    </w:lvl>
    <w:lvl w:ilvl="8" w:tplc="AFD4E8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635A62"/>
    <w:multiLevelType w:val="hybridMultilevel"/>
    <w:tmpl w:val="37CA94D0"/>
    <w:lvl w:ilvl="0" w:tplc="E36681D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73413EE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D30877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E47D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48A4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967E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A80A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84DE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0E08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3454FCE"/>
    <w:multiLevelType w:val="hybridMultilevel"/>
    <w:tmpl w:val="C576D4C6"/>
    <w:lvl w:ilvl="0" w:tplc="A300E51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BD23FFE">
      <w:start w:val="1"/>
      <w:numFmt w:val="upperLetter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54C0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A7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67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406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6E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6B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2B0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164567"/>
    <w:multiLevelType w:val="hybridMultilevel"/>
    <w:tmpl w:val="924AB386"/>
    <w:lvl w:ilvl="0" w:tplc="12FED9F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A0D0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E839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D271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4A06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1253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9853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6873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1257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F8249F4"/>
    <w:multiLevelType w:val="hybridMultilevel"/>
    <w:tmpl w:val="2020BA1E"/>
    <w:lvl w:ilvl="0" w:tplc="291A3C56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F76628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AA4B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CE2B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2CDE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081A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687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D8F8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4CBF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D27B79"/>
    <w:multiLevelType w:val="hybridMultilevel"/>
    <w:tmpl w:val="72B87570"/>
    <w:lvl w:ilvl="0" w:tplc="80A23246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ACEA05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E0ABE1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6D0BFC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546702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49A6D6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3863FE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8969F6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4C6BB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A337BB4"/>
    <w:multiLevelType w:val="hybridMultilevel"/>
    <w:tmpl w:val="8FE602A0"/>
    <w:lvl w:ilvl="0" w:tplc="68B213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D864269A" w:tentative="1">
      <w:start w:val="1"/>
      <w:numFmt w:val="lowerLetter"/>
      <w:lvlText w:val="%2."/>
      <w:lvlJc w:val="left"/>
      <w:pPr>
        <w:ind w:left="1800" w:hanging="360"/>
      </w:pPr>
    </w:lvl>
    <w:lvl w:ilvl="2" w:tplc="64408562" w:tentative="1">
      <w:start w:val="1"/>
      <w:numFmt w:val="lowerRoman"/>
      <w:lvlText w:val="%3."/>
      <w:lvlJc w:val="right"/>
      <w:pPr>
        <w:ind w:left="2520" w:hanging="180"/>
      </w:pPr>
    </w:lvl>
    <w:lvl w:ilvl="3" w:tplc="AA1803BE" w:tentative="1">
      <w:start w:val="1"/>
      <w:numFmt w:val="decimal"/>
      <w:lvlText w:val="%4."/>
      <w:lvlJc w:val="left"/>
      <w:pPr>
        <w:ind w:left="3240" w:hanging="360"/>
      </w:pPr>
    </w:lvl>
    <w:lvl w:ilvl="4" w:tplc="DF30E022" w:tentative="1">
      <w:start w:val="1"/>
      <w:numFmt w:val="lowerLetter"/>
      <w:lvlText w:val="%5."/>
      <w:lvlJc w:val="left"/>
      <w:pPr>
        <w:ind w:left="3960" w:hanging="360"/>
      </w:pPr>
    </w:lvl>
    <w:lvl w:ilvl="5" w:tplc="F9340CBC" w:tentative="1">
      <w:start w:val="1"/>
      <w:numFmt w:val="lowerRoman"/>
      <w:lvlText w:val="%6."/>
      <w:lvlJc w:val="right"/>
      <w:pPr>
        <w:ind w:left="4680" w:hanging="180"/>
      </w:pPr>
    </w:lvl>
    <w:lvl w:ilvl="6" w:tplc="C9D20224" w:tentative="1">
      <w:start w:val="1"/>
      <w:numFmt w:val="decimal"/>
      <w:lvlText w:val="%7."/>
      <w:lvlJc w:val="left"/>
      <w:pPr>
        <w:ind w:left="5400" w:hanging="360"/>
      </w:pPr>
    </w:lvl>
    <w:lvl w:ilvl="7" w:tplc="89D0882A" w:tentative="1">
      <w:start w:val="1"/>
      <w:numFmt w:val="lowerLetter"/>
      <w:lvlText w:val="%8."/>
      <w:lvlJc w:val="left"/>
      <w:pPr>
        <w:ind w:left="6120" w:hanging="360"/>
      </w:pPr>
    </w:lvl>
    <w:lvl w:ilvl="8" w:tplc="53ECDE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681356"/>
    <w:multiLevelType w:val="hybridMultilevel"/>
    <w:tmpl w:val="2DACA75E"/>
    <w:lvl w:ilvl="0" w:tplc="28C21C8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CCE894F4" w:tentative="1">
      <w:start w:val="1"/>
      <w:numFmt w:val="lowerLetter"/>
      <w:lvlText w:val="%2."/>
      <w:lvlJc w:val="left"/>
      <w:pPr>
        <w:ind w:left="1800" w:hanging="360"/>
      </w:pPr>
    </w:lvl>
    <w:lvl w:ilvl="2" w:tplc="CF42B45C" w:tentative="1">
      <w:start w:val="1"/>
      <w:numFmt w:val="lowerRoman"/>
      <w:lvlText w:val="%3."/>
      <w:lvlJc w:val="right"/>
      <w:pPr>
        <w:ind w:left="2520" w:hanging="180"/>
      </w:pPr>
    </w:lvl>
    <w:lvl w:ilvl="3" w:tplc="DB3C1A1C" w:tentative="1">
      <w:start w:val="1"/>
      <w:numFmt w:val="decimal"/>
      <w:lvlText w:val="%4."/>
      <w:lvlJc w:val="left"/>
      <w:pPr>
        <w:ind w:left="3240" w:hanging="360"/>
      </w:pPr>
    </w:lvl>
    <w:lvl w:ilvl="4" w:tplc="EB828862" w:tentative="1">
      <w:start w:val="1"/>
      <w:numFmt w:val="lowerLetter"/>
      <w:lvlText w:val="%5."/>
      <w:lvlJc w:val="left"/>
      <w:pPr>
        <w:ind w:left="3960" w:hanging="360"/>
      </w:pPr>
    </w:lvl>
    <w:lvl w:ilvl="5" w:tplc="902C6110" w:tentative="1">
      <w:start w:val="1"/>
      <w:numFmt w:val="lowerRoman"/>
      <w:lvlText w:val="%6."/>
      <w:lvlJc w:val="right"/>
      <w:pPr>
        <w:ind w:left="4680" w:hanging="180"/>
      </w:pPr>
    </w:lvl>
    <w:lvl w:ilvl="6" w:tplc="3F8EAB2C" w:tentative="1">
      <w:start w:val="1"/>
      <w:numFmt w:val="decimal"/>
      <w:lvlText w:val="%7."/>
      <w:lvlJc w:val="left"/>
      <w:pPr>
        <w:ind w:left="5400" w:hanging="360"/>
      </w:pPr>
    </w:lvl>
    <w:lvl w:ilvl="7" w:tplc="64D234A4" w:tentative="1">
      <w:start w:val="1"/>
      <w:numFmt w:val="lowerLetter"/>
      <w:lvlText w:val="%8."/>
      <w:lvlJc w:val="left"/>
      <w:pPr>
        <w:ind w:left="6120" w:hanging="360"/>
      </w:pPr>
    </w:lvl>
    <w:lvl w:ilvl="8" w:tplc="CAB069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B05554"/>
    <w:multiLevelType w:val="hybridMultilevel"/>
    <w:tmpl w:val="6C22C984"/>
    <w:lvl w:ilvl="0" w:tplc="0602F0B2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C828D7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B9E548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1A64DA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91A723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20A5A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A0A18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37EC03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90375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84359618">
    <w:abstractNumId w:val="5"/>
  </w:num>
  <w:num w:numId="2" w16cid:durableId="662590328">
    <w:abstractNumId w:val="4"/>
  </w:num>
  <w:num w:numId="3" w16cid:durableId="1908302141">
    <w:abstractNumId w:val="7"/>
  </w:num>
  <w:num w:numId="4" w16cid:durableId="895773031">
    <w:abstractNumId w:val="6"/>
  </w:num>
  <w:num w:numId="5" w16cid:durableId="409889684">
    <w:abstractNumId w:val="0"/>
  </w:num>
  <w:num w:numId="6" w16cid:durableId="1556312121">
    <w:abstractNumId w:val="10"/>
  </w:num>
  <w:num w:numId="7" w16cid:durableId="1587150851">
    <w:abstractNumId w:val="3"/>
  </w:num>
  <w:num w:numId="8" w16cid:durableId="864447236">
    <w:abstractNumId w:val="2"/>
  </w:num>
  <w:num w:numId="9" w16cid:durableId="1951425732">
    <w:abstractNumId w:val="9"/>
  </w:num>
  <w:num w:numId="10" w16cid:durableId="503936948">
    <w:abstractNumId w:val="1"/>
  </w:num>
  <w:num w:numId="11" w16cid:durableId="1027825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E1"/>
    <w:rsid w:val="00020AF8"/>
    <w:rsid w:val="00022CF2"/>
    <w:rsid w:val="00023FDA"/>
    <w:rsid w:val="0003315D"/>
    <w:rsid w:val="000408BC"/>
    <w:rsid w:val="00044E65"/>
    <w:rsid w:val="000539CF"/>
    <w:rsid w:val="00054A03"/>
    <w:rsid w:val="000769F9"/>
    <w:rsid w:val="00077D53"/>
    <w:rsid w:val="0009421E"/>
    <w:rsid w:val="000A13EB"/>
    <w:rsid w:val="000A4958"/>
    <w:rsid w:val="000B5221"/>
    <w:rsid w:val="000C529A"/>
    <w:rsid w:val="000D0964"/>
    <w:rsid w:val="000D5767"/>
    <w:rsid w:val="000D7F7A"/>
    <w:rsid w:val="000E001B"/>
    <w:rsid w:val="000E7F57"/>
    <w:rsid w:val="000F416B"/>
    <w:rsid w:val="000F5CAE"/>
    <w:rsid w:val="00102130"/>
    <w:rsid w:val="0011566A"/>
    <w:rsid w:val="00121C4C"/>
    <w:rsid w:val="00124C34"/>
    <w:rsid w:val="001319BF"/>
    <w:rsid w:val="0013356C"/>
    <w:rsid w:val="00145887"/>
    <w:rsid w:val="001557E8"/>
    <w:rsid w:val="00165245"/>
    <w:rsid w:val="00165A57"/>
    <w:rsid w:val="00171D84"/>
    <w:rsid w:val="00181816"/>
    <w:rsid w:val="00194E9F"/>
    <w:rsid w:val="001A4B79"/>
    <w:rsid w:val="001A533E"/>
    <w:rsid w:val="001B3D5C"/>
    <w:rsid w:val="001D4755"/>
    <w:rsid w:val="001D578C"/>
    <w:rsid w:val="001F4EED"/>
    <w:rsid w:val="00201129"/>
    <w:rsid w:val="002135D3"/>
    <w:rsid w:val="002177CA"/>
    <w:rsid w:val="0022080E"/>
    <w:rsid w:val="00233546"/>
    <w:rsid w:val="00241750"/>
    <w:rsid w:val="002454B8"/>
    <w:rsid w:val="00251650"/>
    <w:rsid w:val="00264BD6"/>
    <w:rsid w:val="00267FDD"/>
    <w:rsid w:val="00273D59"/>
    <w:rsid w:val="002743AC"/>
    <w:rsid w:val="00277483"/>
    <w:rsid w:val="002854D9"/>
    <w:rsid w:val="002868B2"/>
    <w:rsid w:val="00293AAE"/>
    <w:rsid w:val="002B3DD2"/>
    <w:rsid w:val="002B64D2"/>
    <w:rsid w:val="002C00A1"/>
    <w:rsid w:val="002C4EC8"/>
    <w:rsid w:val="002D4B11"/>
    <w:rsid w:val="002E0ECD"/>
    <w:rsid w:val="002E2EFF"/>
    <w:rsid w:val="002F1C4D"/>
    <w:rsid w:val="00304638"/>
    <w:rsid w:val="003130F9"/>
    <w:rsid w:val="00314765"/>
    <w:rsid w:val="00315EAD"/>
    <w:rsid w:val="00325FC2"/>
    <w:rsid w:val="00352146"/>
    <w:rsid w:val="00356AB7"/>
    <w:rsid w:val="00357CDD"/>
    <w:rsid w:val="00370CC7"/>
    <w:rsid w:val="00372842"/>
    <w:rsid w:val="00382ABB"/>
    <w:rsid w:val="0038475F"/>
    <w:rsid w:val="00392CDD"/>
    <w:rsid w:val="00395BC2"/>
    <w:rsid w:val="00396283"/>
    <w:rsid w:val="003A01B8"/>
    <w:rsid w:val="003B009B"/>
    <w:rsid w:val="003B41A1"/>
    <w:rsid w:val="003D74F0"/>
    <w:rsid w:val="003E3237"/>
    <w:rsid w:val="00414754"/>
    <w:rsid w:val="00430062"/>
    <w:rsid w:val="004313BC"/>
    <w:rsid w:val="0043163A"/>
    <w:rsid w:val="00433B2B"/>
    <w:rsid w:val="00446652"/>
    <w:rsid w:val="00453B7B"/>
    <w:rsid w:val="00454A2E"/>
    <w:rsid w:val="00460BEC"/>
    <w:rsid w:val="00466248"/>
    <w:rsid w:val="00477C7F"/>
    <w:rsid w:val="004837D1"/>
    <w:rsid w:val="004D7FD2"/>
    <w:rsid w:val="004F4B69"/>
    <w:rsid w:val="00511911"/>
    <w:rsid w:val="00513856"/>
    <w:rsid w:val="005146E0"/>
    <w:rsid w:val="00521D11"/>
    <w:rsid w:val="00525077"/>
    <w:rsid w:val="0053053C"/>
    <w:rsid w:val="0054183F"/>
    <w:rsid w:val="00543723"/>
    <w:rsid w:val="0054452A"/>
    <w:rsid w:val="005473A8"/>
    <w:rsid w:val="00551B9A"/>
    <w:rsid w:val="00557727"/>
    <w:rsid w:val="00561878"/>
    <w:rsid w:val="00572EAE"/>
    <w:rsid w:val="00575196"/>
    <w:rsid w:val="005825B7"/>
    <w:rsid w:val="005A1845"/>
    <w:rsid w:val="005A3500"/>
    <w:rsid w:val="005A5D4B"/>
    <w:rsid w:val="005B4EE0"/>
    <w:rsid w:val="005B792E"/>
    <w:rsid w:val="005E6462"/>
    <w:rsid w:val="005F3F95"/>
    <w:rsid w:val="006051F0"/>
    <w:rsid w:val="00613507"/>
    <w:rsid w:val="00614289"/>
    <w:rsid w:val="00626C8B"/>
    <w:rsid w:val="00646EFE"/>
    <w:rsid w:val="006548D3"/>
    <w:rsid w:val="00683E84"/>
    <w:rsid w:val="00684471"/>
    <w:rsid w:val="006872C2"/>
    <w:rsid w:val="006A0BF9"/>
    <w:rsid w:val="006C5F00"/>
    <w:rsid w:val="006D0891"/>
    <w:rsid w:val="006D21CC"/>
    <w:rsid w:val="006F1C39"/>
    <w:rsid w:val="006F594E"/>
    <w:rsid w:val="00703D93"/>
    <w:rsid w:val="007066D2"/>
    <w:rsid w:val="00710FF7"/>
    <w:rsid w:val="007160BA"/>
    <w:rsid w:val="00726B0F"/>
    <w:rsid w:val="00746594"/>
    <w:rsid w:val="00757239"/>
    <w:rsid w:val="00763855"/>
    <w:rsid w:val="00770A5C"/>
    <w:rsid w:val="00775ACE"/>
    <w:rsid w:val="007843FA"/>
    <w:rsid w:val="007A1667"/>
    <w:rsid w:val="007A5F37"/>
    <w:rsid w:val="007B414E"/>
    <w:rsid w:val="007C3DAE"/>
    <w:rsid w:val="007E0AFF"/>
    <w:rsid w:val="007E6CFF"/>
    <w:rsid w:val="007F4FEF"/>
    <w:rsid w:val="007F7D09"/>
    <w:rsid w:val="00812753"/>
    <w:rsid w:val="008332F3"/>
    <w:rsid w:val="00834709"/>
    <w:rsid w:val="008359EF"/>
    <w:rsid w:val="00845C49"/>
    <w:rsid w:val="008465AE"/>
    <w:rsid w:val="008606A0"/>
    <w:rsid w:val="008678C8"/>
    <w:rsid w:val="008816C4"/>
    <w:rsid w:val="00882A42"/>
    <w:rsid w:val="0089087F"/>
    <w:rsid w:val="00891287"/>
    <w:rsid w:val="008923E7"/>
    <w:rsid w:val="008B17BD"/>
    <w:rsid w:val="008C63EB"/>
    <w:rsid w:val="008D4ADC"/>
    <w:rsid w:val="008E02E5"/>
    <w:rsid w:val="008F53E6"/>
    <w:rsid w:val="008F589A"/>
    <w:rsid w:val="0091735E"/>
    <w:rsid w:val="00920CF1"/>
    <w:rsid w:val="009300F0"/>
    <w:rsid w:val="00933A90"/>
    <w:rsid w:val="00942980"/>
    <w:rsid w:val="00943821"/>
    <w:rsid w:val="00955D34"/>
    <w:rsid w:val="00966285"/>
    <w:rsid w:val="009918A1"/>
    <w:rsid w:val="009A3636"/>
    <w:rsid w:val="009A5DA2"/>
    <w:rsid w:val="009B2DC5"/>
    <w:rsid w:val="009C6E1B"/>
    <w:rsid w:val="009E73D8"/>
    <w:rsid w:val="009F00D3"/>
    <w:rsid w:val="009F7BB0"/>
    <w:rsid w:val="00A06ED4"/>
    <w:rsid w:val="00A12959"/>
    <w:rsid w:val="00A26671"/>
    <w:rsid w:val="00A3779A"/>
    <w:rsid w:val="00A4065D"/>
    <w:rsid w:val="00A4167D"/>
    <w:rsid w:val="00A43B6A"/>
    <w:rsid w:val="00A44E7D"/>
    <w:rsid w:val="00A57F33"/>
    <w:rsid w:val="00A7269A"/>
    <w:rsid w:val="00A81ED3"/>
    <w:rsid w:val="00AA4728"/>
    <w:rsid w:val="00AA6A1E"/>
    <w:rsid w:val="00AC7718"/>
    <w:rsid w:val="00AE2F14"/>
    <w:rsid w:val="00AF4003"/>
    <w:rsid w:val="00B03363"/>
    <w:rsid w:val="00B304D4"/>
    <w:rsid w:val="00B33515"/>
    <w:rsid w:val="00B35CDA"/>
    <w:rsid w:val="00B37A2D"/>
    <w:rsid w:val="00B51716"/>
    <w:rsid w:val="00B54E6E"/>
    <w:rsid w:val="00B65C62"/>
    <w:rsid w:val="00B65F25"/>
    <w:rsid w:val="00B73C8D"/>
    <w:rsid w:val="00B73E9C"/>
    <w:rsid w:val="00B77914"/>
    <w:rsid w:val="00B860F8"/>
    <w:rsid w:val="00BB4641"/>
    <w:rsid w:val="00BC4A5C"/>
    <w:rsid w:val="00BD0B5B"/>
    <w:rsid w:val="00BE0913"/>
    <w:rsid w:val="00BE61A2"/>
    <w:rsid w:val="00BF1011"/>
    <w:rsid w:val="00C02FFB"/>
    <w:rsid w:val="00C14483"/>
    <w:rsid w:val="00C23E2C"/>
    <w:rsid w:val="00C324D2"/>
    <w:rsid w:val="00C426C3"/>
    <w:rsid w:val="00C622E1"/>
    <w:rsid w:val="00C757FA"/>
    <w:rsid w:val="00C77304"/>
    <w:rsid w:val="00CA03FB"/>
    <w:rsid w:val="00CA4EDD"/>
    <w:rsid w:val="00CA7BFE"/>
    <w:rsid w:val="00CB003F"/>
    <w:rsid w:val="00CB17B5"/>
    <w:rsid w:val="00CB24D8"/>
    <w:rsid w:val="00CB3BBB"/>
    <w:rsid w:val="00CD0757"/>
    <w:rsid w:val="00CD1FE2"/>
    <w:rsid w:val="00CE0ED0"/>
    <w:rsid w:val="00D052BD"/>
    <w:rsid w:val="00D10AF8"/>
    <w:rsid w:val="00D112D9"/>
    <w:rsid w:val="00D231D2"/>
    <w:rsid w:val="00D314AE"/>
    <w:rsid w:val="00D63A7C"/>
    <w:rsid w:val="00D67052"/>
    <w:rsid w:val="00D94505"/>
    <w:rsid w:val="00DC180F"/>
    <w:rsid w:val="00DD6D66"/>
    <w:rsid w:val="00DE0C32"/>
    <w:rsid w:val="00DE1C3D"/>
    <w:rsid w:val="00DF4E85"/>
    <w:rsid w:val="00E108C5"/>
    <w:rsid w:val="00E22F1A"/>
    <w:rsid w:val="00E23790"/>
    <w:rsid w:val="00E35D94"/>
    <w:rsid w:val="00E41E70"/>
    <w:rsid w:val="00E51A79"/>
    <w:rsid w:val="00E55082"/>
    <w:rsid w:val="00E55944"/>
    <w:rsid w:val="00E64D02"/>
    <w:rsid w:val="00E714CD"/>
    <w:rsid w:val="00E80EA3"/>
    <w:rsid w:val="00E8652F"/>
    <w:rsid w:val="00E971E0"/>
    <w:rsid w:val="00EB341E"/>
    <w:rsid w:val="00EB5D0F"/>
    <w:rsid w:val="00ED0968"/>
    <w:rsid w:val="00ED0BFC"/>
    <w:rsid w:val="00ED54D1"/>
    <w:rsid w:val="00EE0A0A"/>
    <w:rsid w:val="00EF2A00"/>
    <w:rsid w:val="00EF3BC2"/>
    <w:rsid w:val="00F01627"/>
    <w:rsid w:val="00F0388B"/>
    <w:rsid w:val="00F142B1"/>
    <w:rsid w:val="00F23635"/>
    <w:rsid w:val="00F245E5"/>
    <w:rsid w:val="00F356A5"/>
    <w:rsid w:val="00F42B4B"/>
    <w:rsid w:val="00F56F61"/>
    <w:rsid w:val="00F5730E"/>
    <w:rsid w:val="00F577C5"/>
    <w:rsid w:val="00F663A0"/>
    <w:rsid w:val="00F73434"/>
    <w:rsid w:val="00F82DC8"/>
    <w:rsid w:val="00FA30D2"/>
    <w:rsid w:val="00FD6E55"/>
    <w:rsid w:val="00FD7922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F0DE4-0A66-4957-848A-5C92C39B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styleId="FootnoteReference">
    <w:name w:val="footnote reference"/>
    <w:aliases w:val="(NECG) Footnote Reference,Appel note de bas de p,Style 11,Style 12,Style 124,Style 13,Style 15,Style 17,Style 18,Style 19,Style 20,Style 21,Style 28,Style 3,Style 4,Style 42,Style 7,Style 8,Style 9,fr,fr1,fr2,fr3,o,o1,o2,o3"/>
    <w:uiPriority w:val="99"/>
    <w:rPr>
      <w:vertAlign w:val="superscript"/>
    </w:r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pPr>
      <w:spacing w:line="480" w:lineRule="atLeast"/>
      <w:ind w:firstLine="720"/>
    </w:pPr>
  </w:style>
  <w:style w:type="paragraph" w:styleId="BodyTextIndent2">
    <w:name w:val="Body Text Indent 2"/>
    <w:basedOn w:val="Normal"/>
    <w:pPr>
      <w:tabs>
        <w:tab w:val="left" w:pos="720"/>
      </w:tabs>
      <w:spacing w:before="240" w:after="240"/>
      <w:ind w:left="1464" w:hanging="744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lockText">
    <w:name w:val="Block Text"/>
    <w:basedOn w:val="Normal"/>
    <w:pPr>
      <w:ind w:left="1440" w:right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2">
    <w:name w:val="Body Text 2"/>
    <w:basedOn w:val="Normal"/>
    <w:pPr>
      <w:spacing w:line="480" w:lineRule="auto"/>
      <w:ind w:right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link w:val="CommentTextChar"/>
    <w:semiHidden/>
    <w:rPr>
      <w:szCs w:val="24"/>
    </w:rPr>
  </w:style>
  <w:style w:type="paragraph" w:styleId="CommentSubject">
    <w:name w:val="annotation subject"/>
    <w:basedOn w:val="CommentText"/>
    <w:next w:val="CommentText"/>
    <w:semiHidden/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erm1">
    <w:name w:val="term1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Indent3">
    <w:name w:val="WW-Body Text Indent 3"/>
    <w:basedOn w:val="Normal"/>
    <w:pPr>
      <w:suppressAutoHyphens/>
      <w:spacing w:line="480" w:lineRule="atLeast"/>
      <w:ind w:firstLine="720"/>
    </w:pPr>
    <w:rPr>
      <w:lang w:eastAsia="ar-SA"/>
    </w:rPr>
  </w:style>
  <w:style w:type="character" w:customStyle="1" w:styleId="HTMLPreformattedChar">
    <w:name w:val="HTML Preformatted Char"/>
    <w:link w:val="HTMLPreformatted"/>
    <w:rsid w:val="00BB4641"/>
    <w:rPr>
      <w:rFonts w:ascii="Courier New" w:eastAsia="Courier New" w:hAnsi="Courier New" w:cs="Courier New"/>
    </w:rPr>
  </w:style>
  <w:style w:type="character" w:customStyle="1" w:styleId="UnresolvedMention1">
    <w:name w:val="Unresolved Mention1"/>
    <w:uiPriority w:val="99"/>
    <w:semiHidden/>
    <w:unhideWhenUsed/>
    <w:rsid w:val="00E41E7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rsid w:val="00D63A7C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rsid w:val="00D63A7C"/>
    <w:rPr>
      <w:rFonts w:ascii="Courier New" w:hAnsi="Courier New"/>
    </w:rPr>
  </w:style>
  <w:style w:type="character" w:customStyle="1" w:styleId="CommentTextChar">
    <w:name w:val="Comment Text Char"/>
    <w:link w:val="CommentText"/>
    <w:semiHidden/>
    <w:rsid w:val="00EF2A00"/>
    <w:rPr>
      <w:sz w:val="24"/>
      <w:szCs w:val="24"/>
    </w:rPr>
  </w:style>
  <w:style w:type="paragraph" w:styleId="Revision">
    <w:name w:val="Revision"/>
    <w:hidden/>
    <w:uiPriority w:val="99"/>
    <w:semiHidden/>
    <w:rsid w:val="006548D3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65F25"/>
  </w:style>
  <w:style w:type="character" w:customStyle="1" w:styleId="UnresolvedMention2">
    <w:name w:val="Unresolved Mention2"/>
    <w:basedOn w:val="DefaultParagraphFont"/>
    <w:rsid w:val="001D57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5AC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ld.kral@occ.ohio.gov" TargetMode="External"/><Relationship Id="rId13" Type="http://schemas.openxmlformats.org/officeDocument/2006/relationships/hyperlink" Target="mailto:TGallagher@fgplaborlaw.com" TargetMode="External"/><Relationship Id="rId18" Type="http://schemas.openxmlformats.org/officeDocument/2006/relationships/hyperlink" Target="mailto:clint.white@puco.ohio.gov" TargetMode="External"/><Relationship Id="rId26" Type="http://schemas.openxmlformats.org/officeDocument/2006/relationships/hyperlink" Target="mailto:michael.nugent@igs.com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demonte@whitt-sturtevant.com" TargetMode="External"/><Relationship Id="rId34" Type="http://schemas.openxmlformats.org/officeDocument/2006/relationships/hyperlink" Target="mailto:mcurrie@ablelaw.or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avid.lipthratt@puco.ohio.gov" TargetMode="External"/><Relationship Id="rId17" Type="http://schemas.openxmlformats.org/officeDocument/2006/relationships/hyperlink" Target="mailto:greg.price@puco.ohio.gov" TargetMode="External"/><Relationship Id="rId25" Type="http://schemas.openxmlformats.org/officeDocument/2006/relationships/hyperlink" Target="mailto:whitt@whitt-sturtevant.com" TargetMode="External"/><Relationship Id="rId33" Type="http://schemas.openxmlformats.org/officeDocument/2006/relationships/hyperlink" Target="mailto:smoes@lascinti.org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kylercohn@BKLlawfirm.com" TargetMode="External"/><Relationship Id="rId20" Type="http://schemas.openxmlformats.org/officeDocument/2006/relationships/hyperlink" Target="mailto:Andrew.j.campbell@dominionenergy.com" TargetMode="External"/><Relationship Id="rId29" Type="http://schemas.openxmlformats.org/officeDocument/2006/relationships/hyperlink" Target="mailto:mjsettineri@vorys.com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y.botschnerobrien@ohioAGO.gov" TargetMode="External"/><Relationship Id="rId24" Type="http://schemas.openxmlformats.org/officeDocument/2006/relationships/hyperlink" Target="mailto:pwillison@bakerlaw.com" TargetMode="External"/><Relationship Id="rId32" Type="http://schemas.openxmlformats.org/officeDocument/2006/relationships/hyperlink" Target="mailto:sjagers@ohiopovertylaw.org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kboehm@BKLlawfirm.com" TargetMode="External"/><Relationship Id="rId23" Type="http://schemas.openxmlformats.org/officeDocument/2006/relationships/hyperlink" Target="mailto:dproano@bakerlaw.com" TargetMode="External"/><Relationship Id="rId28" Type="http://schemas.openxmlformats.org/officeDocument/2006/relationships/hyperlink" Target="mailto:glpetrucci@vorys.com" TargetMode="External"/><Relationship Id="rId36" Type="http://schemas.openxmlformats.org/officeDocument/2006/relationships/header" Target="header1.xml"/><Relationship Id="rId10" Type="http://schemas.openxmlformats.org/officeDocument/2006/relationships/hyperlink" Target="mailto:ashley.wnek@ohioAGO.gov" TargetMode="External"/><Relationship Id="rId19" Type="http://schemas.openxmlformats.org/officeDocument/2006/relationships/hyperlink" Target="mailto:kennedy@whitt-sturtevant.com" TargetMode="External"/><Relationship Id="rId31" Type="http://schemas.openxmlformats.org/officeDocument/2006/relationships/hyperlink" Target="mailto:Easley@carpenterlipp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omas.brodbeck@occ.ohio.gov" TargetMode="External"/><Relationship Id="rId14" Type="http://schemas.openxmlformats.org/officeDocument/2006/relationships/hyperlink" Target="mailto:mkurtz@BKLlawfirm.com" TargetMode="External"/><Relationship Id="rId22" Type="http://schemas.openxmlformats.org/officeDocument/2006/relationships/hyperlink" Target="mailto:mbarbara@calfee.com" TargetMode="External"/><Relationship Id="rId27" Type="http://schemas.openxmlformats.org/officeDocument/2006/relationships/hyperlink" Target="mailto:stacie.cathcart@igs.com" TargetMode="External"/><Relationship Id="rId30" Type="http://schemas.openxmlformats.org/officeDocument/2006/relationships/hyperlink" Target="mailto:Bojko@carpenterlipps.com" TargetMode="External"/><Relationship Id="rId35" Type="http://schemas.openxmlformats.org/officeDocument/2006/relationships/hyperlink" Target="mailto:devan.flahive@nelsonmullins.co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44D1-84CC-4ABC-A24A-7DE641E9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1849</Words>
  <Characters>11960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lastModifiedBy>Walters, Denise</cp:lastModifiedBy>
  <cp:revision>2</cp:revision>
  <dcterms:created xsi:type="dcterms:W3CDTF">2024-08-19T20:02:00Z</dcterms:created>
  <dcterms:modified xsi:type="dcterms:W3CDTF">2024-08-19T20:03:00Z</dcterms:modified>
</cp:coreProperties>
</file>