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B5130" w:rsidRPr="00373DFE" w:rsidP="00AB5130" w14:paraId="008AF3A5" w14:textId="77777777">
      <w:pPr>
        <w:pStyle w:val="HTMLPreformatted"/>
        <w:jc w:val="center"/>
        <w:rPr>
          <w:rFonts w:ascii="Times New Roman" w:hAnsi="Times New Roman" w:cs="Times New Roman"/>
          <w:b/>
          <w:bCs/>
          <w:sz w:val="24"/>
          <w:szCs w:val="24"/>
        </w:rPr>
      </w:pPr>
      <w:r w:rsidRPr="00373DFE">
        <w:rPr>
          <w:rFonts w:ascii="Times New Roman" w:hAnsi="Times New Roman" w:cs="Times New Roman"/>
          <w:b/>
          <w:bCs/>
          <w:sz w:val="24"/>
          <w:szCs w:val="24"/>
        </w:rPr>
        <w:t>BEFORE</w:t>
      </w:r>
    </w:p>
    <w:p w:rsidR="00AB5130" w:rsidRPr="00373DFE" w:rsidP="00AB5130" w14:paraId="008AF3A6" w14:textId="77777777">
      <w:pPr>
        <w:pStyle w:val="HTMLPreformatted"/>
        <w:jc w:val="center"/>
        <w:rPr>
          <w:rFonts w:ascii="Times New Roman" w:hAnsi="Times New Roman" w:cs="Times New Roman"/>
          <w:sz w:val="24"/>
          <w:szCs w:val="24"/>
        </w:rPr>
      </w:pPr>
      <w:r w:rsidRPr="00373DFE">
        <w:rPr>
          <w:rFonts w:ascii="Times New Roman" w:hAnsi="Times New Roman" w:cs="Times New Roman"/>
          <w:b/>
          <w:bCs/>
          <w:sz w:val="24"/>
          <w:szCs w:val="24"/>
        </w:rPr>
        <w:t>THE PUBLIC UTILITIES COMMISSION OF OHIO</w:t>
      </w:r>
    </w:p>
    <w:p w:rsidR="00AB5130" w:rsidRPr="00373DFE" w:rsidP="00AB5130" w14:paraId="008AF3A7" w14:textId="77777777">
      <w:pPr>
        <w:pStyle w:val="HTMLPreformatted"/>
        <w:rPr>
          <w:rFonts w:ascii="Times New Roman" w:hAnsi="Times New Roman" w:cs="Times New Roman"/>
          <w:sz w:val="24"/>
          <w:szCs w:val="24"/>
        </w:rPr>
      </w:pPr>
    </w:p>
    <w:tbl>
      <w:tblPr>
        <w:tblW w:w="8730" w:type="dxa"/>
        <w:tblLook w:val="01E0"/>
      </w:tblPr>
      <w:tblGrid>
        <w:gridCol w:w="4230"/>
        <w:gridCol w:w="468"/>
        <w:gridCol w:w="4032"/>
      </w:tblGrid>
      <w:tr w14:paraId="008AF3B3" w14:textId="77777777" w:rsidTr="0014195A">
        <w:tblPrEx>
          <w:tblW w:w="8730" w:type="dxa"/>
          <w:tblLook w:val="01E0"/>
        </w:tblPrEx>
        <w:trPr>
          <w:trHeight w:val="807"/>
        </w:trPr>
        <w:tc>
          <w:tcPr>
            <w:tcW w:w="4230" w:type="dxa"/>
            <w:shd w:val="clear" w:color="auto" w:fill="auto"/>
          </w:tcPr>
          <w:p w:rsidR="00AB5130" w:rsidRPr="00373DFE" w:rsidP="0014195A" w14:paraId="008AF3A9" w14:textId="7EB24A38">
            <w:pPr>
              <w:pStyle w:val="HTMLPreformatted"/>
              <w:rPr>
                <w:rFonts w:ascii="Times New Roman" w:hAnsi="Times New Roman" w:cs="Times New Roman"/>
                <w:sz w:val="24"/>
                <w:szCs w:val="24"/>
              </w:rPr>
            </w:pPr>
            <w:r w:rsidRPr="00373DFE">
              <w:rPr>
                <w:rFonts w:ascii="Times New Roman" w:hAnsi="Times New Roman" w:cs="Times New Roman"/>
                <w:sz w:val="24"/>
                <w:szCs w:val="24"/>
              </w:rPr>
              <w:t xml:space="preserve">In the Matter of the Application of XOOM Energy Ohio, LLC for Certification as a Competitive Retail Natural Gas Marketer. </w:t>
            </w:r>
          </w:p>
        </w:tc>
        <w:tc>
          <w:tcPr>
            <w:tcW w:w="468" w:type="dxa"/>
            <w:shd w:val="clear" w:color="auto" w:fill="auto"/>
          </w:tcPr>
          <w:p w:rsidR="00AB5130" w:rsidRPr="00373DFE" w:rsidP="0014195A" w14:paraId="008AF3AA"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w:t>
            </w:r>
          </w:p>
          <w:p w:rsidR="00AB5130" w:rsidRPr="00373DFE" w:rsidP="0014195A" w14:paraId="008AF3AB"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w:t>
            </w:r>
          </w:p>
          <w:p w:rsidR="00AB5130" w:rsidRPr="00373DFE" w:rsidP="0014195A" w14:paraId="008AF3AC"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w:t>
            </w:r>
          </w:p>
          <w:p w:rsidR="00AB5130" w:rsidRPr="00373DFE" w:rsidP="0014195A" w14:paraId="008AF3AD"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w:t>
            </w:r>
          </w:p>
          <w:p w:rsidR="00AB5130" w:rsidRPr="00373DFE" w:rsidP="0014195A" w14:paraId="008AF3AE" w14:textId="77777777">
            <w:pPr>
              <w:pStyle w:val="HTMLPreformatted"/>
              <w:rPr>
                <w:rFonts w:ascii="Times New Roman" w:hAnsi="Times New Roman" w:cs="Times New Roman"/>
                <w:sz w:val="24"/>
                <w:szCs w:val="24"/>
              </w:rPr>
            </w:pPr>
          </w:p>
        </w:tc>
        <w:tc>
          <w:tcPr>
            <w:tcW w:w="4032" w:type="dxa"/>
            <w:shd w:val="clear" w:color="auto" w:fill="auto"/>
          </w:tcPr>
          <w:p w:rsidR="00AB5130" w:rsidRPr="00373DFE" w:rsidP="0014195A" w14:paraId="008AF3AF" w14:textId="77777777">
            <w:pPr>
              <w:pStyle w:val="HTMLPreformatted"/>
              <w:rPr>
                <w:rFonts w:ascii="Times New Roman" w:hAnsi="Times New Roman" w:cs="Times New Roman"/>
                <w:sz w:val="24"/>
                <w:szCs w:val="24"/>
              </w:rPr>
            </w:pPr>
          </w:p>
          <w:p w:rsidR="00AB5130" w:rsidRPr="00373DFE" w:rsidP="0014195A" w14:paraId="008AF3B0" w14:textId="496AFB51">
            <w:pPr>
              <w:pStyle w:val="HTMLPreformatted"/>
              <w:rPr>
                <w:rFonts w:ascii="Times New Roman" w:hAnsi="Times New Roman" w:cs="Times New Roman"/>
                <w:sz w:val="24"/>
                <w:szCs w:val="24"/>
              </w:rPr>
            </w:pPr>
            <w:r w:rsidRPr="00373DFE">
              <w:rPr>
                <w:rFonts w:ascii="Times New Roman" w:hAnsi="Times New Roman" w:cs="Times New Roman"/>
                <w:sz w:val="24"/>
                <w:szCs w:val="24"/>
              </w:rPr>
              <w:t xml:space="preserve">Case No. </w:t>
            </w:r>
            <w:r w:rsidRPr="00373DFE" w:rsidR="00B37C92">
              <w:rPr>
                <w:rFonts w:ascii="Times New Roman" w:hAnsi="Times New Roman" w:cs="Times New Roman"/>
                <w:sz w:val="24"/>
                <w:szCs w:val="24"/>
              </w:rPr>
              <w:t>11-4795</w:t>
            </w:r>
            <w:r w:rsidRPr="00373DFE">
              <w:rPr>
                <w:rFonts w:ascii="Times New Roman" w:hAnsi="Times New Roman" w:cs="Times New Roman"/>
                <w:sz w:val="24"/>
                <w:szCs w:val="24"/>
              </w:rPr>
              <w:t>-GA-CRS</w:t>
            </w:r>
          </w:p>
          <w:p w:rsidR="00AB5130" w:rsidRPr="00373DFE" w:rsidP="0014195A" w14:paraId="008AF3B1" w14:textId="77777777">
            <w:pPr>
              <w:pStyle w:val="HTMLPreformatted"/>
              <w:rPr>
                <w:rFonts w:ascii="Times New Roman" w:hAnsi="Times New Roman" w:cs="Times New Roman"/>
                <w:sz w:val="24"/>
                <w:szCs w:val="24"/>
              </w:rPr>
            </w:pPr>
          </w:p>
          <w:p w:rsidR="00AB5130" w:rsidRPr="00373DFE" w:rsidP="0014195A" w14:paraId="008AF3B2" w14:textId="77777777">
            <w:pPr>
              <w:pStyle w:val="HTMLPreformatted"/>
              <w:rPr>
                <w:rFonts w:ascii="Times New Roman" w:hAnsi="Times New Roman" w:cs="Times New Roman"/>
                <w:sz w:val="24"/>
                <w:szCs w:val="24"/>
              </w:rPr>
            </w:pPr>
          </w:p>
        </w:tc>
      </w:tr>
    </w:tbl>
    <w:p w:rsidR="00AB5130" w:rsidRPr="00373DFE" w:rsidP="00AB5130" w14:paraId="008AF3B4" w14:textId="77777777">
      <w:pPr>
        <w:pStyle w:val="HTMLPreformatted"/>
        <w:pBdr>
          <w:top w:val="single" w:sz="12" w:space="1" w:color="auto"/>
        </w:pBdr>
        <w:rPr>
          <w:rFonts w:ascii="Times New Roman" w:hAnsi="Times New Roman" w:cs="Times New Roman"/>
          <w:sz w:val="24"/>
          <w:szCs w:val="24"/>
        </w:rPr>
      </w:pPr>
    </w:p>
    <w:p w:rsidR="00AB5130" w:rsidRPr="0020557E" w:rsidP="0036317B" w14:paraId="008AF3B5" w14:textId="3CAACD9E">
      <w:pPr>
        <w:jc w:val="center"/>
        <w:rPr>
          <w:rFonts w:ascii="Times New Roman" w:hAnsi="Times New Roman" w:cs="Times New Roman"/>
          <w:b/>
          <w:bCs/>
        </w:rPr>
      </w:pPr>
      <w:r w:rsidRPr="00373DFE">
        <w:rPr>
          <w:rFonts w:ascii="Times New Roman" w:hAnsi="Times New Roman" w:cs="Times New Roman"/>
          <w:b/>
          <w:bCs/>
        </w:rPr>
        <w:t xml:space="preserve">REPLY TO </w:t>
      </w:r>
      <w:r w:rsidRPr="004C48FE">
        <w:rPr>
          <w:rFonts w:ascii="Times New Roman" w:hAnsi="Times New Roman" w:cs="Times New Roman"/>
          <w:b/>
          <w:bCs/>
        </w:rPr>
        <w:t xml:space="preserve">XOOM ENERGY’S MEMORANDUM CONTRA </w:t>
      </w:r>
      <w:r w:rsidRPr="009D2D33">
        <w:rPr>
          <w:rFonts w:ascii="Times New Roman" w:hAnsi="Times New Roman" w:cs="Times New Roman"/>
          <w:b/>
          <w:bCs/>
        </w:rPr>
        <w:t>OCC’S MOTION TO INTERVENE TO PROTECT CONSUMERS</w:t>
      </w:r>
    </w:p>
    <w:p w:rsidR="00AB5130" w:rsidRPr="0016576F" w:rsidP="00AB5130" w14:paraId="008AF3B6" w14:textId="511D1219">
      <w:pPr>
        <w:jc w:val="center"/>
        <w:rPr>
          <w:rFonts w:ascii="Times New Roman" w:hAnsi="Times New Roman" w:cs="Times New Roman"/>
          <w:b/>
          <w:bCs/>
        </w:rPr>
      </w:pPr>
      <w:r w:rsidRPr="005419F8">
        <w:rPr>
          <w:rFonts w:ascii="Times New Roman" w:hAnsi="Times New Roman" w:cs="Times New Roman"/>
          <w:b/>
          <w:bCs/>
        </w:rPr>
        <w:t>BY</w:t>
      </w:r>
    </w:p>
    <w:p w:rsidR="00AB5130" w:rsidRPr="00B00919" w:rsidP="00AB5130" w14:paraId="008AF3B7" w14:textId="7BA8009C">
      <w:pPr>
        <w:jc w:val="center"/>
        <w:rPr>
          <w:rFonts w:ascii="Times New Roman" w:hAnsi="Times New Roman" w:cs="Times New Roman"/>
          <w:b/>
          <w:bCs/>
        </w:rPr>
      </w:pPr>
      <w:r w:rsidRPr="00B00919">
        <w:rPr>
          <w:rFonts w:ascii="Times New Roman" w:hAnsi="Times New Roman" w:cs="Times New Roman"/>
          <w:b/>
          <w:bCs/>
        </w:rPr>
        <w:t>OFFICE OF THE OHIO CONSUMERS’ COUNSEL</w:t>
      </w:r>
    </w:p>
    <w:p w:rsidR="00AB5130" w:rsidRPr="00B00919" w:rsidP="00AB5130" w14:paraId="008AF3B8" w14:textId="77777777">
      <w:pPr>
        <w:pBdr>
          <w:bottom w:val="single" w:sz="12" w:space="1" w:color="auto"/>
        </w:pBdr>
        <w:tabs>
          <w:tab w:val="left" w:pos="4320"/>
        </w:tabs>
        <w:rPr>
          <w:rFonts w:ascii="Times New Roman" w:hAnsi="Times New Roman" w:cs="Times New Roman"/>
        </w:rPr>
      </w:pPr>
    </w:p>
    <w:p w:rsidR="00AB5130" w:rsidRPr="00B00919" w:rsidP="00AB5130" w14:paraId="008AF3B9" w14:textId="77777777">
      <w:pPr>
        <w:pStyle w:val="HTMLPreformatted"/>
        <w:jc w:val="center"/>
        <w:rPr>
          <w:rFonts w:ascii="Times New Roman" w:hAnsi="Times New Roman" w:cs="Times New Roman"/>
          <w:b/>
          <w:bCs/>
          <w:sz w:val="24"/>
          <w:szCs w:val="24"/>
        </w:rPr>
      </w:pPr>
    </w:p>
    <w:p w:rsidR="00AB5130" w:rsidRPr="00B00919" w:rsidP="00AB5130" w14:paraId="008AF3BA" w14:textId="77777777">
      <w:pPr>
        <w:pStyle w:val="HTMLPreformatted"/>
        <w:jc w:val="center"/>
        <w:rPr>
          <w:rFonts w:ascii="Times New Roman" w:hAnsi="Times New Roman" w:cs="Times New Roman"/>
          <w:b/>
          <w:bCs/>
          <w:sz w:val="24"/>
          <w:szCs w:val="24"/>
        </w:rPr>
      </w:pPr>
    </w:p>
    <w:p w:rsidR="00AB5130" w:rsidRPr="00B00919" w:rsidP="00AB5130" w14:paraId="008AF3BB" w14:textId="77777777">
      <w:pPr>
        <w:rPr>
          <w:rFonts w:ascii="Times New Roman" w:hAnsi="Times New Roman" w:cs="Times New Roman"/>
        </w:rPr>
      </w:pPr>
      <w:r w:rsidRPr="00B00919">
        <w:rPr>
          <w:rFonts w:ascii="Times New Roman" w:hAnsi="Times New Roman" w:cs="Times New Roman"/>
        </w:rPr>
        <w:tab/>
      </w:r>
      <w:r w:rsidRPr="00B00919">
        <w:rPr>
          <w:rFonts w:ascii="Times New Roman" w:hAnsi="Times New Roman" w:cs="Times New Roman"/>
        </w:rPr>
        <w:tab/>
      </w:r>
      <w:r w:rsidRPr="00B00919">
        <w:rPr>
          <w:rFonts w:ascii="Times New Roman" w:hAnsi="Times New Roman" w:cs="Times New Roman"/>
        </w:rPr>
        <w:tab/>
      </w:r>
      <w:r w:rsidRPr="00B00919">
        <w:rPr>
          <w:rFonts w:ascii="Times New Roman" w:hAnsi="Times New Roman" w:cs="Times New Roman"/>
        </w:rPr>
        <w:tab/>
      </w:r>
      <w:r w:rsidRPr="00B00919">
        <w:rPr>
          <w:rFonts w:ascii="Times New Roman" w:hAnsi="Times New Roman" w:cs="Times New Roman"/>
        </w:rPr>
        <w:tab/>
      </w:r>
      <w:r w:rsidRPr="00B00919">
        <w:rPr>
          <w:rFonts w:ascii="Times New Roman" w:hAnsi="Times New Roman" w:cs="Times New Roman"/>
        </w:rPr>
        <w:tab/>
        <w:t>Bruce Weston (0016973)</w:t>
      </w:r>
    </w:p>
    <w:p w:rsidR="00AB5130" w:rsidRPr="00B00919" w:rsidP="00AB5130" w14:paraId="008AF3BC" w14:textId="77777777">
      <w:pPr>
        <w:tabs>
          <w:tab w:val="left" w:pos="4320"/>
        </w:tabs>
        <w:ind w:left="4320" w:hanging="450"/>
        <w:rPr>
          <w:rFonts w:ascii="Times New Roman" w:hAnsi="Times New Roman" w:cs="Times New Roman"/>
        </w:rPr>
      </w:pPr>
      <w:r w:rsidRPr="00B00919">
        <w:rPr>
          <w:rFonts w:ascii="Times New Roman" w:hAnsi="Times New Roman" w:cs="Times New Roman"/>
        </w:rPr>
        <w:tab/>
        <w:t>Ohio Consumers’ Counsel</w:t>
      </w:r>
    </w:p>
    <w:p w:rsidR="00AB5130" w:rsidRPr="00B00919" w:rsidP="004F5F1A" w14:paraId="008AF3BD" w14:textId="77777777">
      <w:pPr>
        <w:tabs>
          <w:tab w:val="left" w:pos="4320"/>
        </w:tabs>
        <w:jc w:val="both"/>
        <w:rPr>
          <w:rFonts w:ascii="Times New Roman" w:hAnsi="Times New Roman" w:cs="Times New Roman"/>
          <w:i/>
          <w:iCs/>
          <w:u w:val="single"/>
        </w:rPr>
      </w:pPr>
    </w:p>
    <w:p w:rsidR="005B422A" w:rsidRPr="00B00919" w:rsidP="005B422A" w14:paraId="3C0282B3" w14:textId="012FE721">
      <w:pPr>
        <w:ind w:left="4320"/>
        <w:rPr>
          <w:rFonts w:ascii="Times New Roman" w:hAnsi="Times New Roman" w:cs="Times New Roman"/>
        </w:rPr>
      </w:pPr>
      <w:r w:rsidRPr="00B00919">
        <w:rPr>
          <w:rFonts w:ascii="Times New Roman" w:hAnsi="Times New Roman" w:cs="Times New Roman"/>
        </w:rPr>
        <w:t>Angela D. O’Brien (0097579)</w:t>
      </w:r>
      <w:r w:rsidR="00F45936">
        <w:rPr>
          <w:rFonts w:ascii="Times New Roman" w:hAnsi="Times New Roman" w:cs="Times New Roman"/>
        </w:rPr>
        <w:t xml:space="preserve"> </w:t>
      </w:r>
      <w:r w:rsidRPr="00B00919">
        <w:rPr>
          <w:rFonts w:ascii="Times New Roman" w:hAnsi="Times New Roman" w:cs="Times New Roman"/>
        </w:rPr>
        <w:br/>
        <w:t xml:space="preserve">Counsel of Record </w:t>
      </w:r>
      <w:r w:rsidRPr="00B00919">
        <w:rPr>
          <w:rFonts w:ascii="Times New Roman" w:hAnsi="Times New Roman" w:cs="Times New Roman"/>
        </w:rPr>
        <w:br/>
        <w:t xml:space="preserve">Ambrosia Wilson (0096598) </w:t>
      </w:r>
      <w:r w:rsidRPr="00B00919">
        <w:rPr>
          <w:rFonts w:ascii="Times New Roman" w:hAnsi="Times New Roman" w:cs="Times New Roman"/>
        </w:rPr>
        <w:br/>
        <w:t xml:space="preserve">Assistant Consumers’ Counsel </w:t>
      </w:r>
      <w:r w:rsidRPr="00B00919">
        <w:rPr>
          <w:rFonts w:ascii="Times New Roman" w:hAnsi="Times New Roman" w:cs="Times New Roman"/>
        </w:rPr>
        <w:br/>
      </w:r>
    </w:p>
    <w:p w:rsidR="005B422A" w:rsidRPr="00B00919" w:rsidP="005B422A" w14:paraId="50AD345B" w14:textId="77777777">
      <w:pPr>
        <w:ind w:left="4320"/>
        <w:rPr>
          <w:rFonts w:ascii="Times New Roman" w:hAnsi="Times New Roman" w:cs="Times New Roman"/>
          <w:b/>
          <w:bCs/>
        </w:rPr>
      </w:pPr>
      <w:r w:rsidRPr="00B00919">
        <w:rPr>
          <w:rFonts w:ascii="Times New Roman" w:hAnsi="Times New Roman" w:cs="Times New Roman"/>
          <w:b/>
          <w:bCs/>
        </w:rPr>
        <w:t>Office of the Ohio Consumers’ Counsel</w:t>
      </w:r>
    </w:p>
    <w:p w:rsidR="005B422A" w:rsidRPr="00B00919" w:rsidP="005B422A" w14:paraId="28E7CA30" w14:textId="77777777">
      <w:pPr>
        <w:ind w:left="4320"/>
        <w:rPr>
          <w:rFonts w:ascii="Times New Roman" w:hAnsi="Times New Roman" w:cs="Times New Roman"/>
        </w:rPr>
      </w:pPr>
      <w:r w:rsidRPr="00B00919">
        <w:rPr>
          <w:rFonts w:ascii="Times New Roman" w:hAnsi="Times New Roman" w:cs="Times New Roman"/>
        </w:rPr>
        <w:t xml:space="preserve">65 East State Street, Suite 700 </w:t>
      </w:r>
    </w:p>
    <w:p w:rsidR="005B422A" w:rsidRPr="00B00919" w:rsidP="005B422A" w14:paraId="5AC2E0C5" w14:textId="77777777">
      <w:pPr>
        <w:ind w:left="4320"/>
        <w:rPr>
          <w:rFonts w:ascii="Times New Roman" w:hAnsi="Times New Roman" w:cs="Times New Roman"/>
        </w:rPr>
      </w:pPr>
      <w:r w:rsidRPr="00B00919">
        <w:rPr>
          <w:rFonts w:ascii="Times New Roman" w:hAnsi="Times New Roman" w:cs="Times New Roman"/>
        </w:rPr>
        <w:t xml:space="preserve">Columbus, Ohio 43215 </w:t>
      </w:r>
    </w:p>
    <w:p w:rsidR="005B422A" w:rsidRPr="00373DFE" w:rsidP="005B422A" w14:paraId="0A71F71D" w14:textId="357D47C6">
      <w:pPr>
        <w:ind w:left="4320"/>
        <w:rPr>
          <w:rFonts w:ascii="Times New Roman" w:hAnsi="Times New Roman" w:cs="Times New Roman"/>
        </w:rPr>
      </w:pPr>
      <w:r w:rsidRPr="00B00919">
        <w:rPr>
          <w:rFonts w:ascii="Times New Roman" w:hAnsi="Times New Roman" w:cs="Times New Roman"/>
        </w:rPr>
        <w:t xml:space="preserve">Telephone: [O’Brien] 614-466-9531 Telephone: [Wilson] 614-466-1292 </w:t>
      </w:r>
      <w:hyperlink r:id="rId6" w:history="1">
        <w:r w:rsidRPr="00373DFE">
          <w:rPr>
            <w:rStyle w:val="Hyperlink"/>
            <w:rFonts w:ascii="Times New Roman" w:hAnsi="Times New Roman" w:cs="Times New Roman"/>
          </w:rPr>
          <w:t>angela.obrien@occ.ohio.gov</w:t>
        </w:r>
      </w:hyperlink>
      <w:r w:rsidR="00F45936">
        <w:rPr>
          <w:rFonts w:ascii="Times New Roman" w:hAnsi="Times New Roman" w:cs="Times New Roman"/>
        </w:rPr>
        <w:t xml:space="preserve"> </w:t>
      </w:r>
      <w:hyperlink r:id="rId7" w:history="1">
        <w:r w:rsidRPr="00373DFE">
          <w:rPr>
            <w:rStyle w:val="Hyperlink"/>
            <w:rFonts w:ascii="Times New Roman" w:hAnsi="Times New Roman" w:cs="Times New Roman"/>
          </w:rPr>
          <w:t>ambrosia.wilson@occ.ohio.gov</w:t>
        </w:r>
      </w:hyperlink>
      <w:r w:rsidRPr="00373DFE">
        <w:rPr>
          <w:rFonts w:ascii="Times New Roman" w:hAnsi="Times New Roman" w:cs="Times New Roman"/>
        </w:rPr>
        <w:t xml:space="preserve"> </w:t>
      </w:r>
    </w:p>
    <w:p w:rsidR="00AB5130" w:rsidRPr="009D2D33" w:rsidP="0050020F" w14:paraId="008AF3CB" w14:textId="3313F569">
      <w:pPr>
        <w:rPr>
          <w:rFonts w:ascii="Times New Roman" w:hAnsi="Times New Roman" w:cs="Times New Roman"/>
        </w:rPr>
      </w:pPr>
      <w:r>
        <w:rPr>
          <w:rFonts w:ascii="Times New Roman" w:hAnsi="Times New Roman" w:cs="Times New Roman"/>
        </w:rPr>
        <w:t>August 31, 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C48FE" w:rsidR="005B422A">
        <w:rPr>
          <w:rFonts w:ascii="Times New Roman" w:hAnsi="Times New Roman" w:cs="Times New Roman"/>
        </w:rPr>
        <w:t>(willing to accept service by e-mail)</w:t>
      </w:r>
    </w:p>
    <w:p w:rsidR="00AB5130" w:rsidRPr="0020557E" w:rsidP="00AB5130" w14:paraId="008AF3CC" w14:textId="77777777">
      <w:pPr>
        <w:tabs>
          <w:tab w:val="left" w:pos="1630"/>
        </w:tabs>
        <w:rPr>
          <w:rFonts w:ascii="Times New Roman" w:eastAsia="Courier New" w:hAnsi="Times New Roman" w:cs="Times New Roman"/>
          <w:b/>
          <w:bCs/>
        </w:rPr>
      </w:pPr>
    </w:p>
    <w:p w:rsidR="00AB5130" w:rsidRPr="00B00919" w:rsidP="00AB5130" w14:paraId="008AF3CD" w14:textId="77777777">
      <w:pPr>
        <w:tabs>
          <w:tab w:val="left" w:pos="1630"/>
        </w:tabs>
        <w:rPr>
          <w:rFonts w:ascii="Times New Roman" w:hAnsi="Times New Roman" w:cs="Times New Roman"/>
        </w:rPr>
        <w:sectPr w:rsidSect="00680FF4">
          <w:footerReference w:type="default" r:id="rId8"/>
          <w:footerReference w:type="first" r:id="rId9"/>
          <w:pgSz w:w="12240" w:h="15840"/>
          <w:pgMar w:top="1440" w:right="1800" w:bottom="1440" w:left="1800" w:header="720" w:footer="720" w:gutter="0"/>
          <w:cols w:space="720"/>
          <w:titlePg/>
          <w:docGrid w:linePitch="65"/>
        </w:sectPr>
      </w:pPr>
    </w:p>
    <w:p w:rsidR="00AB5130" w:rsidRPr="00373DFE" w:rsidP="00AB5130" w14:paraId="008AF3CE" w14:textId="77777777">
      <w:pPr>
        <w:jc w:val="center"/>
        <w:rPr>
          <w:rFonts w:ascii="Times New Roman" w:hAnsi="Times New Roman" w:cs="Times New Roman"/>
          <w:b/>
          <w:caps/>
          <w:u w:val="single"/>
          <w:lang w:eastAsia="ja-JP"/>
        </w:rPr>
      </w:pPr>
      <w:r w:rsidRPr="00373DFE">
        <w:rPr>
          <w:rFonts w:ascii="Times New Roman" w:hAnsi="Times New Roman" w:cs="Times New Roman"/>
          <w:b/>
          <w:caps/>
          <w:u w:val="single"/>
          <w:lang w:eastAsia="ja-JP"/>
        </w:rPr>
        <w:t>TABLE OF CONTENTS</w:t>
      </w:r>
    </w:p>
    <w:p w:rsidR="002B24D3" w:rsidRPr="009D2D33" w:rsidP="002B24D3" w14:paraId="008AF3CF" w14:textId="77777777">
      <w:pPr>
        <w:jc w:val="right"/>
        <w:rPr>
          <w:rFonts w:ascii="Times New Roman" w:hAnsi="Times New Roman" w:cs="Times New Roman"/>
          <w:b/>
          <w:caps/>
          <w:lang w:eastAsia="ja-JP"/>
        </w:rPr>
      </w:pPr>
      <w:r w:rsidRPr="004C48FE">
        <w:rPr>
          <w:rFonts w:ascii="Times New Roman" w:hAnsi="Times New Roman" w:cs="Times New Roman"/>
          <w:b/>
          <w:caps/>
          <w:lang w:eastAsia="ja-JP"/>
        </w:rPr>
        <w:t>PAGE</w:t>
      </w:r>
    </w:p>
    <w:p w:rsidR="007A5F86" w:rsidRPr="00752F09" w:rsidP="002B24D3" w14:paraId="008AF3D0" w14:textId="77777777">
      <w:pPr>
        <w:jc w:val="right"/>
        <w:rPr>
          <w:rFonts w:ascii="Times New Roman" w:hAnsi="Times New Roman" w:cs="Times New Roman"/>
          <w:b/>
          <w:caps/>
          <w:lang w:eastAsia="ja-JP"/>
        </w:rPr>
      </w:pPr>
    </w:p>
    <w:p w:rsidR="009C3282" w14:paraId="67E802BC" w14:textId="0208D5C6">
      <w:pPr>
        <w:pStyle w:val="TOC1"/>
        <w:rPr>
          <w:rFonts w:asciiTheme="minorHAnsi" w:eastAsiaTheme="minorEastAsia" w:hAnsiTheme="minorHAnsi" w:cstheme="minorBidi"/>
          <w:noProof/>
          <w:sz w:val="22"/>
          <w:szCs w:val="22"/>
        </w:rPr>
      </w:pPr>
      <w:r>
        <w:rPr>
          <w:b/>
          <w:bCs/>
          <w:szCs w:val="24"/>
        </w:rPr>
        <w:fldChar w:fldCharType="begin"/>
      </w:r>
      <w:r>
        <w:rPr>
          <w:b/>
          <w:bCs/>
          <w:szCs w:val="24"/>
        </w:rPr>
        <w:instrText xml:space="preserve"> TOC \o "1-3" \h \z \u </w:instrText>
      </w:r>
      <w:r>
        <w:rPr>
          <w:b/>
          <w:bCs/>
          <w:szCs w:val="24"/>
        </w:rPr>
        <w:fldChar w:fldCharType="separate"/>
      </w:r>
      <w:hyperlink w:anchor="_Toc112761872" w:history="1">
        <w:r w:rsidRPr="00145101">
          <w:rPr>
            <w:rStyle w:val="Hyperlink"/>
            <w:noProof/>
          </w:rPr>
          <w:t>I.</w:t>
        </w:r>
        <w:r>
          <w:rPr>
            <w:rFonts w:asciiTheme="minorHAnsi" w:eastAsiaTheme="minorEastAsia" w:hAnsiTheme="minorHAnsi" w:cstheme="minorBidi"/>
            <w:noProof/>
            <w:sz w:val="22"/>
            <w:szCs w:val="22"/>
          </w:rPr>
          <w:tab/>
        </w:r>
        <w:r w:rsidRPr="00145101">
          <w:rPr>
            <w:rStyle w:val="Hyperlink"/>
            <w:noProof/>
          </w:rPr>
          <w:t>INTRODUCTION</w:t>
        </w:r>
        <w:r>
          <w:rPr>
            <w:noProof/>
            <w:webHidden/>
          </w:rPr>
          <w:tab/>
        </w:r>
        <w:r>
          <w:rPr>
            <w:noProof/>
            <w:webHidden/>
          </w:rPr>
          <w:fldChar w:fldCharType="begin"/>
        </w:r>
        <w:r>
          <w:rPr>
            <w:noProof/>
            <w:webHidden/>
          </w:rPr>
          <w:instrText xml:space="preserve"> PAGEREF _Toc112761872 \h </w:instrText>
        </w:r>
        <w:r>
          <w:rPr>
            <w:noProof/>
            <w:webHidden/>
          </w:rPr>
          <w:fldChar w:fldCharType="separate"/>
        </w:r>
        <w:r>
          <w:rPr>
            <w:noProof/>
            <w:webHidden/>
          </w:rPr>
          <w:t>1</w:t>
        </w:r>
        <w:r>
          <w:rPr>
            <w:noProof/>
            <w:webHidden/>
          </w:rPr>
          <w:fldChar w:fldCharType="end"/>
        </w:r>
      </w:hyperlink>
    </w:p>
    <w:p w:rsidR="009C3282" w14:paraId="4ABDC54E" w14:textId="5A00CA5B">
      <w:pPr>
        <w:pStyle w:val="TOC1"/>
        <w:rPr>
          <w:rFonts w:asciiTheme="minorHAnsi" w:eastAsiaTheme="minorEastAsia" w:hAnsiTheme="minorHAnsi" w:cstheme="minorBidi"/>
          <w:noProof/>
          <w:sz w:val="22"/>
          <w:szCs w:val="22"/>
        </w:rPr>
      </w:pPr>
      <w:hyperlink w:anchor="_Toc112761873" w:history="1">
        <w:r w:rsidRPr="00145101" w:rsidR="00613074">
          <w:rPr>
            <w:rStyle w:val="Hyperlink"/>
            <w:noProof/>
          </w:rPr>
          <w:t>II.</w:t>
        </w:r>
        <w:r w:rsidR="00613074">
          <w:rPr>
            <w:rFonts w:asciiTheme="minorHAnsi" w:eastAsiaTheme="minorEastAsia" w:hAnsiTheme="minorHAnsi" w:cstheme="minorBidi"/>
            <w:noProof/>
            <w:sz w:val="22"/>
            <w:szCs w:val="22"/>
          </w:rPr>
          <w:tab/>
        </w:r>
        <w:r w:rsidRPr="00145101" w:rsidR="00613074">
          <w:rPr>
            <w:rStyle w:val="Hyperlink"/>
            <w:noProof/>
          </w:rPr>
          <w:t>ARGUMENT</w:t>
        </w:r>
        <w:r w:rsidR="00613074">
          <w:rPr>
            <w:noProof/>
            <w:webHidden/>
          </w:rPr>
          <w:tab/>
        </w:r>
        <w:r w:rsidR="00613074">
          <w:rPr>
            <w:noProof/>
            <w:webHidden/>
          </w:rPr>
          <w:fldChar w:fldCharType="begin"/>
        </w:r>
        <w:r w:rsidR="00613074">
          <w:rPr>
            <w:noProof/>
            <w:webHidden/>
          </w:rPr>
          <w:instrText xml:space="preserve"> PAGEREF _Toc112761873 \h </w:instrText>
        </w:r>
        <w:r w:rsidR="00613074">
          <w:rPr>
            <w:noProof/>
            <w:webHidden/>
          </w:rPr>
          <w:fldChar w:fldCharType="separate"/>
        </w:r>
        <w:r w:rsidR="00613074">
          <w:rPr>
            <w:noProof/>
            <w:webHidden/>
          </w:rPr>
          <w:t>3</w:t>
        </w:r>
        <w:r w:rsidR="00613074">
          <w:rPr>
            <w:noProof/>
            <w:webHidden/>
          </w:rPr>
          <w:fldChar w:fldCharType="end"/>
        </w:r>
      </w:hyperlink>
    </w:p>
    <w:p w:rsidR="009C3282" w14:paraId="6D472776" w14:textId="436F4247">
      <w:pPr>
        <w:pStyle w:val="TOC2"/>
        <w:tabs>
          <w:tab w:val="left" w:pos="1440"/>
          <w:tab w:val="right" w:leader="dot" w:pos="8630"/>
        </w:tabs>
        <w:rPr>
          <w:rFonts w:asciiTheme="minorHAnsi" w:eastAsiaTheme="minorEastAsia" w:hAnsiTheme="minorHAnsi" w:cstheme="minorBidi"/>
          <w:noProof/>
          <w:sz w:val="22"/>
          <w:szCs w:val="22"/>
        </w:rPr>
      </w:pPr>
      <w:hyperlink w:anchor="_Toc112761874" w:history="1">
        <w:r w:rsidRPr="00145101" w:rsidR="00613074">
          <w:rPr>
            <w:rStyle w:val="Hyperlink"/>
            <w:noProof/>
          </w:rPr>
          <w:t>A.</w:t>
        </w:r>
        <w:r w:rsidR="00613074">
          <w:rPr>
            <w:rFonts w:asciiTheme="minorHAnsi" w:eastAsiaTheme="minorEastAsia" w:hAnsiTheme="minorHAnsi" w:cstheme="minorBidi"/>
            <w:noProof/>
            <w:sz w:val="22"/>
            <w:szCs w:val="22"/>
          </w:rPr>
          <w:tab/>
        </w:r>
        <w:r w:rsidRPr="00145101" w:rsidR="00613074">
          <w:rPr>
            <w:rStyle w:val="Hyperlink"/>
            <w:noProof/>
          </w:rPr>
          <w:t>XOOM’s claim is meritless that OCC has no interest in this proceeding. OCC has the authority under state law to intervene in this proceeding to protect consumers from XOOM.</w:t>
        </w:r>
        <w:r w:rsidR="00613074">
          <w:rPr>
            <w:noProof/>
            <w:webHidden/>
          </w:rPr>
          <w:tab/>
        </w:r>
        <w:r w:rsidR="00613074">
          <w:rPr>
            <w:noProof/>
            <w:webHidden/>
          </w:rPr>
          <w:fldChar w:fldCharType="begin"/>
        </w:r>
        <w:r w:rsidR="00613074">
          <w:rPr>
            <w:noProof/>
            <w:webHidden/>
          </w:rPr>
          <w:instrText xml:space="preserve"> PAGEREF _Toc112761874 \h </w:instrText>
        </w:r>
        <w:r w:rsidR="00613074">
          <w:rPr>
            <w:noProof/>
            <w:webHidden/>
          </w:rPr>
          <w:fldChar w:fldCharType="separate"/>
        </w:r>
        <w:r w:rsidR="00613074">
          <w:rPr>
            <w:noProof/>
            <w:webHidden/>
          </w:rPr>
          <w:t>3</w:t>
        </w:r>
        <w:r w:rsidR="00613074">
          <w:rPr>
            <w:noProof/>
            <w:webHidden/>
          </w:rPr>
          <w:fldChar w:fldCharType="end"/>
        </w:r>
      </w:hyperlink>
    </w:p>
    <w:p w:rsidR="009C3282" w14:paraId="5DC1C9CF" w14:textId="569D85D3">
      <w:pPr>
        <w:pStyle w:val="TOC2"/>
        <w:tabs>
          <w:tab w:val="left" w:pos="1440"/>
          <w:tab w:val="right" w:leader="dot" w:pos="8630"/>
        </w:tabs>
        <w:rPr>
          <w:rFonts w:asciiTheme="minorHAnsi" w:eastAsiaTheme="minorEastAsia" w:hAnsiTheme="minorHAnsi" w:cstheme="minorBidi"/>
          <w:noProof/>
          <w:sz w:val="22"/>
          <w:szCs w:val="22"/>
        </w:rPr>
      </w:pPr>
      <w:hyperlink w:anchor="_Toc112761875" w:history="1">
        <w:r w:rsidRPr="00145101" w:rsidR="00613074">
          <w:rPr>
            <w:rStyle w:val="Hyperlink"/>
            <w:noProof/>
          </w:rPr>
          <w:t>B.</w:t>
        </w:r>
        <w:r w:rsidR="00613074">
          <w:rPr>
            <w:rFonts w:asciiTheme="minorHAnsi" w:eastAsiaTheme="minorEastAsia" w:hAnsiTheme="minorHAnsi" w:cstheme="minorBidi"/>
            <w:noProof/>
            <w:sz w:val="22"/>
            <w:szCs w:val="22"/>
          </w:rPr>
          <w:tab/>
        </w:r>
        <w:r w:rsidRPr="00145101" w:rsidR="00613074">
          <w:rPr>
            <w:rStyle w:val="Hyperlink"/>
            <w:noProof/>
          </w:rPr>
          <w:t xml:space="preserve">OCC </w:t>
        </w:r>
        <w:r w:rsidRPr="00145101" w:rsidR="00613074">
          <w:rPr>
            <w:rStyle w:val="Hyperlink"/>
            <w:i/>
            <w:iCs/>
            <w:noProof/>
          </w:rPr>
          <w:t>does</w:t>
        </w:r>
        <w:r w:rsidRPr="00145101" w:rsidR="00613074">
          <w:rPr>
            <w:rStyle w:val="Hyperlink"/>
            <w:noProof/>
          </w:rPr>
          <w:t xml:space="preserve"> state its interest in the pending application in this case and </w:t>
        </w:r>
        <w:r w:rsidR="00613074">
          <w:rPr>
            <w:rStyle w:val="Hyperlink"/>
            <w:noProof/>
          </w:rPr>
          <w:br/>
        </w:r>
        <w:r w:rsidRPr="00145101" w:rsidR="00613074">
          <w:rPr>
            <w:rStyle w:val="Hyperlink"/>
            <w:noProof/>
          </w:rPr>
          <w:t>OCC satisfies the standards for intervention and should be allowed to participate to protect consumers.</w:t>
        </w:r>
        <w:r w:rsidR="00613074">
          <w:rPr>
            <w:noProof/>
            <w:webHidden/>
          </w:rPr>
          <w:tab/>
        </w:r>
        <w:r w:rsidR="00613074">
          <w:rPr>
            <w:noProof/>
            <w:webHidden/>
          </w:rPr>
          <w:fldChar w:fldCharType="begin"/>
        </w:r>
        <w:r w:rsidR="00613074">
          <w:rPr>
            <w:noProof/>
            <w:webHidden/>
          </w:rPr>
          <w:instrText xml:space="preserve"> PAGEREF _Toc112761875 \h </w:instrText>
        </w:r>
        <w:r w:rsidR="00613074">
          <w:rPr>
            <w:noProof/>
            <w:webHidden/>
          </w:rPr>
          <w:fldChar w:fldCharType="separate"/>
        </w:r>
        <w:r w:rsidR="00613074">
          <w:rPr>
            <w:noProof/>
            <w:webHidden/>
          </w:rPr>
          <w:t>6</w:t>
        </w:r>
        <w:r w:rsidR="00613074">
          <w:rPr>
            <w:noProof/>
            <w:webHidden/>
          </w:rPr>
          <w:fldChar w:fldCharType="end"/>
        </w:r>
      </w:hyperlink>
    </w:p>
    <w:p w:rsidR="009C3282" w14:paraId="6E67F26C" w14:textId="56BFC6CC">
      <w:pPr>
        <w:pStyle w:val="TOC2"/>
        <w:tabs>
          <w:tab w:val="left" w:pos="1440"/>
          <w:tab w:val="right" w:leader="dot" w:pos="8630"/>
        </w:tabs>
        <w:rPr>
          <w:rFonts w:asciiTheme="minorHAnsi" w:eastAsiaTheme="minorEastAsia" w:hAnsiTheme="minorHAnsi" w:cstheme="minorBidi"/>
          <w:noProof/>
          <w:sz w:val="22"/>
          <w:szCs w:val="22"/>
        </w:rPr>
      </w:pPr>
      <w:hyperlink w:anchor="_Toc112761876" w:history="1">
        <w:r w:rsidRPr="00145101" w:rsidR="00613074">
          <w:rPr>
            <w:rStyle w:val="Hyperlink"/>
            <w:noProof/>
          </w:rPr>
          <w:t>C.</w:t>
        </w:r>
        <w:r w:rsidR="00613074">
          <w:rPr>
            <w:rFonts w:asciiTheme="minorHAnsi" w:eastAsiaTheme="minorEastAsia" w:hAnsiTheme="minorHAnsi" w:cstheme="minorBidi"/>
            <w:noProof/>
            <w:sz w:val="22"/>
            <w:szCs w:val="22"/>
          </w:rPr>
          <w:tab/>
        </w:r>
        <w:r w:rsidRPr="00145101" w:rsidR="00613074">
          <w:rPr>
            <w:rStyle w:val="Hyperlink"/>
            <w:rFonts w:eastAsiaTheme="majorEastAsia"/>
            <w:noProof/>
          </w:rPr>
          <w:t>The Ohio Consumers’ Counsel is the statutory representative of Ohio’s residential consumers, and no other party represents that interest.</w:t>
        </w:r>
        <w:r w:rsidR="00613074">
          <w:rPr>
            <w:noProof/>
            <w:webHidden/>
          </w:rPr>
          <w:tab/>
        </w:r>
        <w:r w:rsidR="00613074">
          <w:rPr>
            <w:noProof/>
            <w:webHidden/>
          </w:rPr>
          <w:fldChar w:fldCharType="begin"/>
        </w:r>
        <w:r w:rsidR="00613074">
          <w:rPr>
            <w:noProof/>
            <w:webHidden/>
          </w:rPr>
          <w:instrText xml:space="preserve"> PAGEREF _Toc112761876 \h </w:instrText>
        </w:r>
        <w:r w:rsidR="00613074">
          <w:rPr>
            <w:noProof/>
            <w:webHidden/>
          </w:rPr>
          <w:fldChar w:fldCharType="separate"/>
        </w:r>
        <w:r w:rsidR="00613074">
          <w:rPr>
            <w:noProof/>
            <w:webHidden/>
          </w:rPr>
          <w:t>9</w:t>
        </w:r>
        <w:r w:rsidR="00613074">
          <w:rPr>
            <w:noProof/>
            <w:webHidden/>
          </w:rPr>
          <w:fldChar w:fldCharType="end"/>
        </w:r>
      </w:hyperlink>
    </w:p>
    <w:p w:rsidR="009C3282" w14:paraId="24CC0C7A" w14:textId="7423C2D2">
      <w:pPr>
        <w:pStyle w:val="TOC3"/>
        <w:tabs>
          <w:tab w:val="left" w:pos="2160"/>
        </w:tabs>
        <w:rPr>
          <w:rFonts w:asciiTheme="minorHAnsi" w:eastAsiaTheme="minorEastAsia" w:hAnsiTheme="minorHAnsi" w:cstheme="minorBidi"/>
          <w:sz w:val="22"/>
          <w:szCs w:val="22"/>
        </w:rPr>
      </w:pPr>
      <w:hyperlink w:anchor="_Toc112761877" w:history="1">
        <w:r w:rsidRPr="00145101" w:rsidR="00613074">
          <w:rPr>
            <w:rStyle w:val="Hyperlink"/>
          </w:rPr>
          <w:t>1.</w:t>
        </w:r>
        <w:r w:rsidR="00613074">
          <w:rPr>
            <w:rFonts w:asciiTheme="minorHAnsi" w:eastAsiaTheme="minorEastAsia" w:hAnsiTheme="minorHAnsi" w:cstheme="minorBidi"/>
            <w:sz w:val="22"/>
            <w:szCs w:val="22"/>
          </w:rPr>
          <w:tab/>
        </w:r>
        <w:r w:rsidRPr="00145101" w:rsidR="00613074">
          <w:rPr>
            <w:rStyle w:val="Hyperlink"/>
          </w:rPr>
          <w:t xml:space="preserve">The PUCO Staff cannot be substituted for OCC as the </w:t>
        </w:r>
        <w:r w:rsidR="00613074">
          <w:rPr>
            <w:rStyle w:val="Hyperlink"/>
          </w:rPr>
          <w:br/>
        </w:r>
        <w:r w:rsidRPr="00145101" w:rsidR="00613074">
          <w:rPr>
            <w:rStyle w:val="Hyperlink"/>
          </w:rPr>
          <w:t>consumer advocate.</w:t>
        </w:r>
        <w:r w:rsidR="00613074">
          <w:rPr>
            <w:webHidden/>
          </w:rPr>
          <w:tab/>
        </w:r>
        <w:r w:rsidR="00613074">
          <w:rPr>
            <w:webHidden/>
          </w:rPr>
          <w:fldChar w:fldCharType="begin"/>
        </w:r>
        <w:r w:rsidR="00613074">
          <w:rPr>
            <w:webHidden/>
          </w:rPr>
          <w:instrText xml:space="preserve"> PAGEREF _Toc112761877 \h </w:instrText>
        </w:r>
        <w:r w:rsidR="00613074">
          <w:rPr>
            <w:webHidden/>
          </w:rPr>
          <w:fldChar w:fldCharType="separate"/>
        </w:r>
        <w:r w:rsidR="00613074">
          <w:rPr>
            <w:webHidden/>
          </w:rPr>
          <w:t>9</w:t>
        </w:r>
        <w:r w:rsidR="00613074">
          <w:rPr>
            <w:webHidden/>
          </w:rPr>
          <w:fldChar w:fldCharType="end"/>
        </w:r>
      </w:hyperlink>
    </w:p>
    <w:p w:rsidR="009C3282" w14:paraId="430765E2" w14:textId="75413AD5">
      <w:pPr>
        <w:pStyle w:val="TOC3"/>
        <w:tabs>
          <w:tab w:val="left" w:pos="2160"/>
        </w:tabs>
        <w:rPr>
          <w:rFonts w:asciiTheme="minorHAnsi" w:eastAsiaTheme="minorEastAsia" w:hAnsiTheme="minorHAnsi" w:cstheme="minorBidi"/>
          <w:sz w:val="22"/>
          <w:szCs w:val="22"/>
        </w:rPr>
      </w:pPr>
      <w:hyperlink w:anchor="_Toc112761878" w:history="1">
        <w:r w:rsidRPr="00145101" w:rsidR="00613074">
          <w:rPr>
            <w:rStyle w:val="Hyperlink"/>
          </w:rPr>
          <w:t>2.</w:t>
        </w:r>
        <w:r w:rsidR="00613074">
          <w:rPr>
            <w:rFonts w:asciiTheme="minorHAnsi" w:eastAsiaTheme="minorEastAsia" w:hAnsiTheme="minorHAnsi" w:cstheme="minorBidi"/>
            <w:sz w:val="22"/>
            <w:szCs w:val="22"/>
          </w:rPr>
          <w:tab/>
        </w:r>
        <w:r w:rsidRPr="00145101" w:rsidR="00613074">
          <w:rPr>
            <w:rStyle w:val="Hyperlink"/>
          </w:rPr>
          <w:t>The intervention statute does not permit the PUCO to deny intervention based on an allegation that one party’s interest is represented by another party.</w:t>
        </w:r>
        <w:r w:rsidR="00613074">
          <w:rPr>
            <w:webHidden/>
          </w:rPr>
          <w:tab/>
        </w:r>
        <w:r w:rsidR="00613074">
          <w:rPr>
            <w:webHidden/>
          </w:rPr>
          <w:fldChar w:fldCharType="begin"/>
        </w:r>
        <w:r w:rsidR="00613074">
          <w:rPr>
            <w:webHidden/>
          </w:rPr>
          <w:instrText xml:space="preserve"> PAGEREF _Toc112761878 \h </w:instrText>
        </w:r>
        <w:r w:rsidR="00613074">
          <w:rPr>
            <w:webHidden/>
          </w:rPr>
          <w:fldChar w:fldCharType="separate"/>
        </w:r>
        <w:r w:rsidR="00613074">
          <w:rPr>
            <w:webHidden/>
          </w:rPr>
          <w:t>11</w:t>
        </w:r>
        <w:r w:rsidR="00613074">
          <w:rPr>
            <w:webHidden/>
          </w:rPr>
          <w:fldChar w:fldCharType="end"/>
        </w:r>
      </w:hyperlink>
    </w:p>
    <w:p w:rsidR="009C3282" w14:paraId="0DDC6679" w14:textId="058E8B99">
      <w:pPr>
        <w:pStyle w:val="TOC1"/>
        <w:rPr>
          <w:rFonts w:asciiTheme="minorHAnsi" w:eastAsiaTheme="minorEastAsia" w:hAnsiTheme="minorHAnsi" w:cstheme="minorBidi"/>
          <w:noProof/>
          <w:sz w:val="22"/>
          <w:szCs w:val="22"/>
        </w:rPr>
      </w:pPr>
      <w:hyperlink w:anchor="_Toc112761879" w:history="1">
        <w:r w:rsidRPr="00145101" w:rsidR="00613074">
          <w:rPr>
            <w:rStyle w:val="Hyperlink"/>
            <w:noProof/>
          </w:rPr>
          <w:t>III.</w:t>
        </w:r>
        <w:r w:rsidR="00613074">
          <w:rPr>
            <w:rFonts w:asciiTheme="minorHAnsi" w:eastAsiaTheme="minorEastAsia" w:hAnsiTheme="minorHAnsi" w:cstheme="minorBidi"/>
            <w:noProof/>
            <w:sz w:val="22"/>
            <w:szCs w:val="22"/>
          </w:rPr>
          <w:tab/>
        </w:r>
        <w:r w:rsidRPr="00145101" w:rsidR="00613074">
          <w:rPr>
            <w:rStyle w:val="Hyperlink"/>
            <w:noProof/>
          </w:rPr>
          <w:t>CONCLUSION</w:t>
        </w:r>
        <w:r w:rsidR="00613074">
          <w:rPr>
            <w:noProof/>
            <w:webHidden/>
          </w:rPr>
          <w:tab/>
        </w:r>
        <w:r w:rsidR="00613074">
          <w:rPr>
            <w:noProof/>
            <w:webHidden/>
          </w:rPr>
          <w:fldChar w:fldCharType="begin"/>
        </w:r>
        <w:r w:rsidR="00613074">
          <w:rPr>
            <w:noProof/>
            <w:webHidden/>
          </w:rPr>
          <w:instrText xml:space="preserve"> PAGEREF _Toc112761879 \h </w:instrText>
        </w:r>
        <w:r w:rsidR="00613074">
          <w:rPr>
            <w:noProof/>
            <w:webHidden/>
          </w:rPr>
          <w:fldChar w:fldCharType="separate"/>
        </w:r>
        <w:r w:rsidR="00613074">
          <w:rPr>
            <w:noProof/>
            <w:webHidden/>
          </w:rPr>
          <w:t>12</w:t>
        </w:r>
        <w:r w:rsidR="00613074">
          <w:rPr>
            <w:noProof/>
            <w:webHidden/>
          </w:rPr>
          <w:fldChar w:fldCharType="end"/>
        </w:r>
      </w:hyperlink>
    </w:p>
    <w:p w:rsidR="00AB5130" w:rsidRPr="00373DFE" w:rsidP="00185770" w14:paraId="008AF3D6" w14:textId="5B53DB7D">
      <w:pPr>
        <w:pStyle w:val="TOC1"/>
        <w:sectPr w:rsidSect="00680FF4">
          <w:footerReference w:type="first" r:id="rId10"/>
          <w:pgSz w:w="12240" w:h="15840"/>
          <w:pgMar w:top="1440" w:right="1800" w:bottom="1440" w:left="1800" w:header="720" w:footer="720" w:gutter="0"/>
          <w:pgNumType w:fmt="lowerRoman" w:start="1"/>
          <w:cols w:space="720"/>
          <w:titlePg/>
          <w:docGrid w:linePitch="65"/>
        </w:sectPr>
      </w:pPr>
      <w:r>
        <w:rPr>
          <w:b/>
          <w:bCs/>
        </w:rPr>
        <w:fldChar w:fldCharType="end"/>
      </w:r>
      <w:r w:rsidR="006355E6">
        <w:fldChar w:fldCharType="begin"/>
      </w:r>
      <w:r w:rsidR="006355E6">
        <w:instrText xml:space="preserve"> TOC \o "1-3" \h \z \u </w:instrText>
      </w:r>
      <w:r w:rsidR="006355E6">
        <w:fldChar w:fldCharType="separate"/>
      </w:r>
      <w:r w:rsidR="006355E6">
        <w:fldChar w:fldCharType="end"/>
      </w:r>
    </w:p>
    <w:p w:rsidR="00AB5130" w:rsidRPr="00373DFE" w:rsidP="00AB5130" w14:paraId="008AF3D7" w14:textId="77777777">
      <w:pPr>
        <w:pStyle w:val="HTMLPreformatted"/>
        <w:jc w:val="center"/>
        <w:rPr>
          <w:rFonts w:ascii="Times New Roman" w:hAnsi="Times New Roman" w:cs="Times New Roman"/>
          <w:b/>
          <w:bCs/>
          <w:sz w:val="24"/>
          <w:szCs w:val="24"/>
        </w:rPr>
      </w:pPr>
      <w:r w:rsidRPr="00373DFE">
        <w:rPr>
          <w:rFonts w:ascii="Times New Roman" w:hAnsi="Times New Roman" w:cs="Times New Roman"/>
          <w:b/>
          <w:bCs/>
          <w:sz w:val="24"/>
          <w:szCs w:val="24"/>
        </w:rPr>
        <w:t>BEFORE</w:t>
      </w:r>
    </w:p>
    <w:p w:rsidR="00AB5130" w:rsidRPr="009D2D33" w:rsidP="00AB5130" w14:paraId="008AF3D8" w14:textId="77777777">
      <w:pPr>
        <w:pStyle w:val="HTMLPreformatted"/>
        <w:jc w:val="center"/>
        <w:rPr>
          <w:rFonts w:ascii="Times New Roman" w:hAnsi="Times New Roman" w:cs="Times New Roman"/>
          <w:b/>
          <w:bCs/>
          <w:sz w:val="24"/>
          <w:szCs w:val="24"/>
        </w:rPr>
      </w:pPr>
      <w:r w:rsidRPr="004C48FE">
        <w:rPr>
          <w:rFonts w:ascii="Times New Roman" w:hAnsi="Times New Roman" w:cs="Times New Roman"/>
          <w:b/>
          <w:bCs/>
          <w:sz w:val="24"/>
          <w:szCs w:val="24"/>
        </w:rPr>
        <w:t>THE PUBLIC UTILITIES COMMISSION OF OHIO</w:t>
      </w:r>
    </w:p>
    <w:p w:rsidR="00A53BF1" w:rsidRPr="0020557E" w:rsidP="00AB5130" w14:paraId="008AF3D9" w14:textId="77777777">
      <w:pPr>
        <w:pStyle w:val="HTMLPreformatted"/>
        <w:jc w:val="center"/>
        <w:rPr>
          <w:rFonts w:ascii="Times New Roman" w:hAnsi="Times New Roman" w:cs="Times New Roman"/>
          <w:sz w:val="24"/>
          <w:szCs w:val="24"/>
        </w:rPr>
      </w:pPr>
    </w:p>
    <w:tbl>
      <w:tblPr>
        <w:tblW w:w="8730" w:type="dxa"/>
        <w:tblLook w:val="01E0"/>
      </w:tblPr>
      <w:tblGrid>
        <w:gridCol w:w="4230"/>
        <w:gridCol w:w="468"/>
        <w:gridCol w:w="4032"/>
      </w:tblGrid>
      <w:tr w14:paraId="6BEF6010" w14:textId="77777777" w:rsidTr="00BA52D9">
        <w:tblPrEx>
          <w:tblW w:w="8730" w:type="dxa"/>
          <w:tblLook w:val="01E0"/>
        </w:tblPrEx>
        <w:trPr>
          <w:trHeight w:val="807"/>
        </w:trPr>
        <w:tc>
          <w:tcPr>
            <w:tcW w:w="4230" w:type="dxa"/>
            <w:shd w:val="clear" w:color="auto" w:fill="auto"/>
          </w:tcPr>
          <w:p w:rsidR="00F45936" w:rsidRPr="00373DFE" w:rsidP="00BA52D9" w14:paraId="37641B1A"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 xml:space="preserve">In the Matter of the Application of XOOM Energy Ohio, LLC for Certification as a Competitive Retail Natural Gas Marketer. </w:t>
            </w:r>
          </w:p>
        </w:tc>
        <w:tc>
          <w:tcPr>
            <w:tcW w:w="468" w:type="dxa"/>
            <w:shd w:val="clear" w:color="auto" w:fill="auto"/>
          </w:tcPr>
          <w:p w:rsidR="00F45936" w:rsidRPr="00373DFE" w:rsidP="00BA52D9" w14:paraId="16708EBD"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w:t>
            </w:r>
          </w:p>
          <w:p w:rsidR="00F45936" w:rsidRPr="00373DFE" w:rsidP="00BA52D9" w14:paraId="7720976A"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w:t>
            </w:r>
          </w:p>
          <w:p w:rsidR="00F45936" w:rsidRPr="00373DFE" w:rsidP="00BA52D9" w14:paraId="385DA489"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w:t>
            </w:r>
          </w:p>
          <w:p w:rsidR="00F45936" w:rsidRPr="00373DFE" w:rsidP="00BA52D9" w14:paraId="7B7DEC50"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w:t>
            </w:r>
          </w:p>
          <w:p w:rsidR="00F45936" w:rsidRPr="00373DFE" w:rsidP="00BA52D9" w14:paraId="28DFC362" w14:textId="77777777">
            <w:pPr>
              <w:pStyle w:val="HTMLPreformatted"/>
              <w:rPr>
                <w:rFonts w:ascii="Times New Roman" w:hAnsi="Times New Roman" w:cs="Times New Roman"/>
                <w:sz w:val="24"/>
                <w:szCs w:val="24"/>
              </w:rPr>
            </w:pPr>
          </w:p>
        </w:tc>
        <w:tc>
          <w:tcPr>
            <w:tcW w:w="4032" w:type="dxa"/>
            <w:shd w:val="clear" w:color="auto" w:fill="auto"/>
          </w:tcPr>
          <w:p w:rsidR="00F45936" w:rsidRPr="00373DFE" w:rsidP="00BA52D9" w14:paraId="2B574611" w14:textId="77777777">
            <w:pPr>
              <w:pStyle w:val="HTMLPreformatted"/>
              <w:rPr>
                <w:rFonts w:ascii="Times New Roman" w:hAnsi="Times New Roman" w:cs="Times New Roman"/>
                <w:sz w:val="24"/>
                <w:szCs w:val="24"/>
              </w:rPr>
            </w:pPr>
          </w:p>
          <w:p w:rsidR="00F45936" w:rsidRPr="00373DFE" w:rsidP="00BA52D9" w14:paraId="4E27CE3F" w14:textId="77777777">
            <w:pPr>
              <w:pStyle w:val="HTMLPreformatted"/>
              <w:rPr>
                <w:rFonts w:ascii="Times New Roman" w:hAnsi="Times New Roman" w:cs="Times New Roman"/>
                <w:sz w:val="24"/>
                <w:szCs w:val="24"/>
              </w:rPr>
            </w:pPr>
            <w:r w:rsidRPr="00373DFE">
              <w:rPr>
                <w:rFonts w:ascii="Times New Roman" w:hAnsi="Times New Roman" w:cs="Times New Roman"/>
                <w:sz w:val="24"/>
                <w:szCs w:val="24"/>
              </w:rPr>
              <w:t>Case No. 11-4795-GA-CRS</w:t>
            </w:r>
          </w:p>
          <w:p w:rsidR="00F45936" w:rsidRPr="00373DFE" w:rsidP="00BA52D9" w14:paraId="68201915" w14:textId="77777777">
            <w:pPr>
              <w:pStyle w:val="HTMLPreformatted"/>
              <w:rPr>
                <w:rFonts w:ascii="Times New Roman" w:hAnsi="Times New Roman" w:cs="Times New Roman"/>
                <w:sz w:val="24"/>
                <w:szCs w:val="24"/>
              </w:rPr>
            </w:pPr>
          </w:p>
          <w:p w:rsidR="00F45936" w:rsidRPr="00373DFE" w:rsidP="00BA52D9" w14:paraId="326F1E6F" w14:textId="77777777">
            <w:pPr>
              <w:pStyle w:val="HTMLPreformatted"/>
              <w:rPr>
                <w:rFonts w:ascii="Times New Roman" w:hAnsi="Times New Roman" w:cs="Times New Roman"/>
                <w:sz w:val="24"/>
                <w:szCs w:val="24"/>
              </w:rPr>
            </w:pPr>
          </w:p>
        </w:tc>
      </w:tr>
    </w:tbl>
    <w:p w:rsidR="00AB5130" w:rsidRPr="00373DFE" w:rsidP="00AB5130" w14:paraId="008AF3E4" w14:textId="77777777">
      <w:pPr>
        <w:pStyle w:val="HTMLPreformatted"/>
        <w:rPr>
          <w:rFonts w:ascii="Times New Roman" w:hAnsi="Times New Roman" w:cs="Times New Roman"/>
          <w:sz w:val="24"/>
          <w:szCs w:val="24"/>
        </w:rPr>
      </w:pPr>
    </w:p>
    <w:p w:rsidR="00AB5130" w:rsidRPr="00373DFE" w:rsidP="00AB5130" w14:paraId="008AF3E5" w14:textId="77777777">
      <w:pPr>
        <w:pStyle w:val="HTMLPreformatted"/>
        <w:pBdr>
          <w:top w:val="single" w:sz="12" w:space="1" w:color="auto"/>
        </w:pBdr>
        <w:rPr>
          <w:rFonts w:ascii="Times New Roman" w:hAnsi="Times New Roman" w:cs="Times New Roman"/>
          <w:sz w:val="24"/>
          <w:szCs w:val="24"/>
        </w:rPr>
      </w:pPr>
    </w:p>
    <w:p w:rsidR="002116E0" w:rsidRPr="005419F8" w:rsidP="002116E0" w14:paraId="376C4329" w14:textId="1303E863">
      <w:pPr>
        <w:jc w:val="center"/>
        <w:rPr>
          <w:rFonts w:ascii="Times New Roman" w:hAnsi="Times New Roman" w:cs="Times New Roman"/>
          <w:b/>
          <w:bCs/>
        </w:rPr>
      </w:pPr>
      <w:r w:rsidRPr="004C48FE">
        <w:rPr>
          <w:rFonts w:ascii="Times New Roman" w:hAnsi="Times New Roman" w:cs="Times New Roman"/>
          <w:b/>
          <w:bCs/>
        </w:rPr>
        <w:t xml:space="preserve">REPLY TO </w:t>
      </w:r>
      <w:r w:rsidRPr="009D2D33">
        <w:rPr>
          <w:rFonts w:ascii="Times New Roman" w:hAnsi="Times New Roman" w:cs="Times New Roman"/>
          <w:b/>
          <w:bCs/>
        </w:rPr>
        <w:t xml:space="preserve">XOOM ENERGY’S MEMORANDUM CONTRA </w:t>
      </w:r>
      <w:r w:rsidRPr="0020557E">
        <w:rPr>
          <w:rFonts w:ascii="Times New Roman" w:hAnsi="Times New Roman" w:cs="Times New Roman"/>
          <w:b/>
          <w:bCs/>
        </w:rPr>
        <w:t>OCC’S MOTION TO INTERVENE</w:t>
      </w:r>
    </w:p>
    <w:p w:rsidR="002116E0" w:rsidRPr="00B00919" w:rsidP="002116E0" w14:paraId="4F593CA2" w14:textId="77777777">
      <w:pPr>
        <w:jc w:val="center"/>
        <w:rPr>
          <w:rFonts w:ascii="Times New Roman" w:hAnsi="Times New Roman" w:cs="Times New Roman"/>
          <w:b/>
          <w:bCs/>
        </w:rPr>
      </w:pPr>
      <w:r w:rsidRPr="00B00919">
        <w:rPr>
          <w:rFonts w:ascii="Times New Roman" w:hAnsi="Times New Roman" w:cs="Times New Roman"/>
          <w:b/>
          <w:bCs/>
        </w:rPr>
        <w:t>BY</w:t>
      </w:r>
    </w:p>
    <w:p w:rsidR="002116E0" w:rsidRPr="00B00919" w:rsidP="002116E0" w14:paraId="2D77EA4B" w14:textId="77777777">
      <w:pPr>
        <w:jc w:val="center"/>
        <w:rPr>
          <w:rFonts w:ascii="Times New Roman" w:hAnsi="Times New Roman" w:cs="Times New Roman"/>
          <w:b/>
          <w:bCs/>
        </w:rPr>
      </w:pPr>
      <w:r w:rsidRPr="00B00919">
        <w:rPr>
          <w:rFonts w:ascii="Times New Roman" w:hAnsi="Times New Roman" w:cs="Times New Roman"/>
          <w:b/>
          <w:bCs/>
        </w:rPr>
        <w:t>OFFICE OF THE OHIO CONSUMERS’ COUNSEL</w:t>
      </w:r>
    </w:p>
    <w:p w:rsidR="00AB5130" w:rsidRPr="00B00919" w:rsidP="00AB5130" w14:paraId="008AF3E9" w14:textId="77777777">
      <w:pPr>
        <w:pBdr>
          <w:bottom w:val="single" w:sz="12" w:space="1" w:color="auto"/>
        </w:pBdr>
        <w:tabs>
          <w:tab w:val="left" w:pos="4320"/>
        </w:tabs>
        <w:rPr>
          <w:rFonts w:ascii="Times New Roman" w:hAnsi="Times New Roman" w:cs="Times New Roman"/>
        </w:rPr>
      </w:pPr>
    </w:p>
    <w:p w:rsidR="00AB5130" w:rsidRPr="00B00919" w:rsidP="00AB5130" w14:paraId="008AF3EA" w14:textId="77777777">
      <w:pPr>
        <w:pStyle w:val="BodyTextIndent3"/>
        <w:widowControl w:val="0"/>
        <w:spacing w:line="240" w:lineRule="auto"/>
        <w:ind w:right="-312" w:firstLine="0"/>
        <w:rPr>
          <w:szCs w:val="24"/>
        </w:rPr>
      </w:pPr>
    </w:p>
    <w:p w:rsidR="00AB5130" w:rsidRPr="00B00919" w:rsidP="00B00919" w14:paraId="008AF3EB" w14:textId="55D0AB46">
      <w:pPr>
        <w:pStyle w:val="Heading1"/>
      </w:pPr>
      <w:bookmarkStart w:id="0" w:name="_Toc30075653"/>
      <w:bookmarkStart w:id="1" w:name="_Toc108105740"/>
      <w:bookmarkStart w:id="2" w:name="_Toc112761872"/>
      <w:r w:rsidRPr="00B00919">
        <w:t>INTRODUCTION</w:t>
      </w:r>
      <w:bookmarkEnd w:id="0"/>
      <w:bookmarkEnd w:id="1"/>
      <w:bookmarkEnd w:id="2"/>
    </w:p>
    <w:p w:rsidR="005F49A1" w:rsidRPr="00373DFE" w:rsidP="00541B41" w14:paraId="7EB1A838" w14:textId="17F6CA8D">
      <w:pPr>
        <w:spacing w:line="480" w:lineRule="auto"/>
        <w:ind w:firstLine="720"/>
        <w:rPr>
          <w:rFonts w:ascii="Times New Roman" w:eastAsia="Times New Roman" w:hAnsi="Times New Roman" w:cs="Times New Roman"/>
        </w:rPr>
      </w:pPr>
      <w:r w:rsidRPr="00B00919">
        <w:rPr>
          <w:rFonts w:ascii="Times New Roman" w:eastAsia="Times New Roman" w:hAnsi="Times New Roman" w:cs="Times New Roman"/>
        </w:rPr>
        <w:t>Energy marketer XOOM Energy Ohio (“XOOM”)</w:t>
      </w:r>
      <w:r w:rsidR="00B00919">
        <w:rPr>
          <w:rFonts w:ascii="Times New Roman" w:eastAsia="Times New Roman" w:hAnsi="Times New Roman" w:cs="Times New Roman"/>
        </w:rPr>
        <w:t xml:space="preserve"> </w:t>
      </w:r>
      <w:r w:rsidRPr="00B00919" w:rsidR="009670F0">
        <w:rPr>
          <w:rFonts w:ascii="Times New Roman" w:eastAsia="Times New Roman" w:hAnsi="Times New Roman" w:cs="Times New Roman"/>
        </w:rPr>
        <w:t>stands</w:t>
      </w:r>
      <w:r w:rsidRPr="00B00919" w:rsidR="004F147E">
        <w:rPr>
          <w:rFonts w:ascii="Times New Roman" w:eastAsia="Times New Roman" w:hAnsi="Times New Roman" w:cs="Times New Roman"/>
        </w:rPr>
        <w:t xml:space="preserve"> accused by </w:t>
      </w:r>
      <w:r w:rsidRPr="00B00919" w:rsidR="009670F0">
        <w:rPr>
          <w:rFonts w:ascii="Times New Roman" w:eastAsia="Times New Roman" w:hAnsi="Times New Roman" w:cs="Times New Roman"/>
        </w:rPr>
        <w:t xml:space="preserve">the </w:t>
      </w:r>
      <w:r w:rsidRPr="00B00919" w:rsidR="004F147E">
        <w:rPr>
          <w:rFonts w:ascii="Times New Roman" w:eastAsia="Times New Roman" w:hAnsi="Times New Roman" w:cs="Times New Roman"/>
        </w:rPr>
        <w:t>PUCO Staff of perpetrating on Ohioans “</w:t>
      </w:r>
      <w:r w:rsidRPr="00B00919" w:rsidR="005F46B2">
        <w:rPr>
          <w:rFonts w:ascii="Times New Roman" w:eastAsia="Times New Roman" w:hAnsi="Times New Roman" w:cs="Times New Roman"/>
        </w:rPr>
        <w:t>unfair, deceptive, or unconscionable acts or practices</w:t>
      </w:r>
      <w:r w:rsidRPr="00B00919" w:rsidR="00303723">
        <w:rPr>
          <w:rFonts w:ascii="Times New Roman" w:eastAsia="Times New Roman" w:hAnsi="Times New Roman" w:cs="Times New Roman"/>
        </w:rPr>
        <w:t>.</w:t>
      </w:r>
      <w:r w:rsidRPr="00B00919" w:rsidR="005F46B2">
        <w:rPr>
          <w:rFonts w:ascii="Times New Roman" w:eastAsia="Times New Roman" w:hAnsi="Times New Roman" w:cs="Times New Roman"/>
        </w:rPr>
        <w:t>”</w:t>
      </w:r>
      <w:r>
        <w:rPr>
          <w:rStyle w:val="FootnoteReference"/>
          <w:rFonts w:ascii="Times New Roman" w:eastAsia="Times New Roman" w:hAnsi="Times New Roman" w:cs="Times New Roman"/>
        </w:rPr>
        <w:footnoteReference w:id="2"/>
      </w:r>
      <w:r w:rsidRPr="00373DFE" w:rsidR="005F46B2">
        <w:rPr>
          <w:rFonts w:ascii="Times New Roman" w:eastAsia="Times New Roman" w:hAnsi="Times New Roman" w:cs="Times New Roman"/>
        </w:rPr>
        <w:t xml:space="preserve"> The alleged bad practices involve XOOM’s marketing of electricity and natural gas to Ohio</w:t>
      </w:r>
      <w:r w:rsidR="00BB2071">
        <w:rPr>
          <w:rFonts w:ascii="Times New Roman" w:eastAsia="Times New Roman" w:hAnsi="Times New Roman" w:cs="Times New Roman"/>
        </w:rPr>
        <w:t xml:space="preserve"> consumers</w:t>
      </w:r>
      <w:r w:rsidRPr="00373DFE" w:rsidR="005F46B2">
        <w:rPr>
          <w:rFonts w:ascii="Times New Roman" w:eastAsia="Times New Roman" w:hAnsi="Times New Roman" w:cs="Times New Roman"/>
        </w:rPr>
        <w:t>.</w:t>
      </w:r>
      <w:r>
        <w:rPr>
          <w:rStyle w:val="FootnoteReference"/>
          <w:rFonts w:ascii="Times New Roman" w:eastAsia="Times New Roman" w:hAnsi="Times New Roman" w:cs="Times New Roman"/>
        </w:rPr>
        <w:footnoteReference w:id="3"/>
      </w:r>
    </w:p>
    <w:p w:rsidR="006E53A8" w:rsidRPr="00E7167E" w:rsidP="00541B41" w14:paraId="008AF3EC" w14:textId="61C6EC10">
      <w:pPr>
        <w:spacing w:line="480" w:lineRule="auto"/>
        <w:ind w:firstLine="720"/>
        <w:rPr>
          <w:rFonts w:ascii="Times New Roman" w:eastAsia="Times New Roman" w:hAnsi="Times New Roman" w:cs="Times New Roman"/>
        </w:rPr>
      </w:pPr>
      <w:r w:rsidRPr="00373DFE">
        <w:rPr>
          <w:rFonts w:ascii="Times New Roman" w:eastAsia="Times New Roman" w:hAnsi="Times New Roman" w:cs="Times New Roman"/>
        </w:rPr>
        <w:t>The PUCO Staff concluded, among other things, that sales agents for XOOM provided misleading information to consumers and enrolled consumers without proper consent.</w:t>
      </w:r>
      <w:r>
        <w:rPr>
          <w:rStyle w:val="FootnoteReference"/>
          <w:rFonts w:ascii="Times New Roman" w:eastAsia="Times New Roman" w:hAnsi="Times New Roman" w:cs="Times New Roman"/>
        </w:rPr>
        <w:footnoteReference w:id="4"/>
      </w:r>
      <w:r w:rsidRPr="00373DFE">
        <w:rPr>
          <w:rFonts w:ascii="Times New Roman" w:eastAsia="Times New Roman" w:hAnsi="Times New Roman" w:cs="Times New Roman"/>
        </w:rPr>
        <w:t xml:space="preserve"> XOOM’s certificate of authority to market and enroll Ohio consumers in natural gas service expired on January 5, 2022.</w:t>
      </w:r>
      <w:r>
        <w:rPr>
          <w:rStyle w:val="FootnoteReference"/>
          <w:rFonts w:ascii="Times New Roman" w:eastAsia="Times New Roman" w:hAnsi="Times New Roman" w:cs="Times New Roman"/>
        </w:rPr>
        <w:footnoteReference w:id="5"/>
      </w:r>
      <w:r w:rsidRPr="00373DFE">
        <w:rPr>
          <w:rFonts w:ascii="Times New Roman" w:eastAsia="Times New Roman" w:hAnsi="Times New Roman" w:cs="Times New Roman"/>
        </w:rPr>
        <w:t xml:space="preserve"> The PUCO subsequently </w:t>
      </w:r>
      <w:r w:rsidR="00210167">
        <w:rPr>
          <w:rFonts w:ascii="Times New Roman" w:eastAsia="Times New Roman" w:hAnsi="Times New Roman" w:cs="Times New Roman"/>
        </w:rPr>
        <w:t xml:space="preserve">(and rightfully) </w:t>
      </w:r>
      <w:r w:rsidRPr="00373DFE">
        <w:rPr>
          <w:rFonts w:ascii="Times New Roman" w:eastAsia="Times New Roman" w:hAnsi="Times New Roman" w:cs="Times New Roman"/>
        </w:rPr>
        <w:t>suspended automatic approval of XOOM’s application to renew its certificate.</w:t>
      </w:r>
      <w:r>
        <w:rPr>
          <w:rStyle w:val="FootnoteReference"/>
          <w:rFonts w:ascii="Times New Roman" w:eastAsia="Times New Roman" w:hAnsi="Times New Roman" w:cs="Times New Roman"/>
        </w:rPr>
        <w:footnoteReference w:id="6"/>
      </w:r>
      <w:r w:rsidR="00F45936">
        <w:rPr>
          <w:rFonts w:ascii="Times New Roman" w:eastAsia="Times New Roman" w:hAnsi="Times New Roman" w:cs="Times New Roman"/>
        </w:rPr>
        <w:t xml:space="preserve"> </w:t>
      </w:r>
    </w:p>
    <w:p w:rsidR="00AB5130" w:rsidRPr="00B00919" w:rsidP="00541B41" w14:paraId="008AF3ED" w14:textId="5E55C83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Underscoring</w:t>
      </w:r>
      <w:r w:rsidRPr="00E7167E">
        <w:rPr>
          <w:rFonts w:ascii="Times New Roman" w:eastAsia="Times New Roman" w:hAnsi="Times New Roman" w:cs="Times New Roman"/>
        </w:rPr>
        <w:t xml:space="preserve"> </w:t>
      </w:r>
      <w:r w:rsidRPr="00E7167E" w:rsidR="00C50042">
        <w:rPr>
          <w:rFonts w:ascii="Times New Roman" w:eastAsia="Times New Roman" w:hAnsi="Times New Roman" w:cs="Times New Roman"/>
        </w:rPr>
        <w:t xml:space="preserve">that </w:t>
      </w:r>
      <w:r w:rsidRPr="00B00919" w:rsidR="00CB4DFB">
        <w:rPr>
          <w:rFonts w:ascii="Times New Roman" w:eastAsia="Times New Roman" w:hAnsi="Times New Roman" w:cs="Times New Roman"/>
        </w:rPr>
        <w:t>XOOM</w:t>
      </w:r>
      <w:r w:rsidRPr="00B00919" w:rsidR="00C50042">
        <w:rPr>
          <w:rFonts w:ascii="Times New Roman" w:eastAsia="Times New Roman" w:hAnsi="Times New Roman" w:cs="Times New Roman"/>
        </w:rPr>
        <w:t xml:space="preserve"> is not a friend of consumers, </w:t>
      </w:r>
      <w:r w:rsidRPr="00B00919" w:rsidR="00CB4DFB">
        <w:rPr>
          <w:rFonts w:ascii="Times New Roman" w:eastAsia="Times New Roman" w:hAnsi="Times New Roman" w:cs="Times New Roman"/>
        </w:rPr>
        <w:t>XOOM</w:t>
      </w:r>
      <w:r w:rsidRPr="00B00919" w:rsidR="000C43F1">
        <w:rPr>
          <w:rFonts w:ascii="Times New Roman" w:eastAsia="Times New Roman" w:hAnsi="Times New Roman" w:cs="Times New Roman"/>
        </w:rPr>
        <w:t xml:space="preserve"> now</w:t>
      </w:r>
      <w:r w:rsidRPr="00B00919" w:rsidR="00541B41">
        <w:rPr>
          <w:rFonts w:ascii="Times New Roman" w:eastAsia="Times New Roman" w:hAnsi="Times New Roman" w:cs="Times New Roman"/>
        </w:rPr>
        <w:t xml:space="preserve"> </w:t>
      </w:r>
      <w:r w:rsidRPr="00B00919" w:rsidR="004A779B">
        <w:rPr>
          <w:rFonts w:ascii="Times New Roman" w:eastAsia="Times New Roman" w:hAnsi="Times New Roman" w:cs="Times New Roman"/>
        </w:rPr>
        <w:t>seeks to prevent the</w:t>
      </w:r>
      <w:r w:rsidRPr="00B00919" w:rsidR="00C50042">
        <w:rPr>
          <w:rFonts w:ascii="Times New Roman" w:eastAsia="Times New Roman" w:hAnsi="Times New Roman" w:cs="Times New Roman"/>
        </w:rPr>
        <w:t xml:space="preserve"> consumers’ state legal representative, the</w:t>
      </w:r>
      <w:r w:rsidRPr="00B00919" w:rsidR="00541B41">
        <w:rPr>
          <w:rFonts w:ascii="Times New Roman" w:eastAsia="Times New Roman" w:hAnsi="Times New Roman" w:cs="Times New Roman"/>
        </w:rPr>
        <w:t xml:space="preserve"> Ohio Consumers’ Counsel</w:t>
      </w:r>
      <w:r w:rsidRPr="00B00919" w:rsidR="00FC20C8">
        <w:rPr>
          <w:rFonts w:ascii="Times New Roman" w:eastAsia="Times New Roman" w:hAnsi="Times New Roman" w:cs="Times New Roman"/>
        </w:rPr>
        <w:t xml:space="preserve"> (OCC)</w:t>
      </w:r>
      <w:r w:rsidRPr="00B00919" w:rsidR="00541B41">
        <w:rPr>
          <w:rFonts w:ascii="Times New Roman" w:eastAsia="Times New Roman" w:hAnsi="Times New Roman" w:cs="Times New Roman"/>
        </w:rPr>
        <w:t>,</w:t>
      </w:r>
      <w:r w:rsidRPr="00B00919" w:rsidR="004A779B">
        <w:rPr>
          <w:rFonts w:ascii="Times New Roman" w:eastAsia="Times New Roman" w:hAnsi="Times New Roman" w:cs="Times New Roman"/>
        </w:rPr>
        <w:t xml:space="preserve"> from participating in this </w:t>
      </w:r>
      <w:r w:rsidRPr="00B00919" w:rsidR="00541B41">
        <w:rPr>
          <w:rFonts w:ascii="Times New Roman" w:eastAsia="Times New Roman" w:hAnsi="Times New Roman" w:cs="Times New Roman"/>
        </w:rPr>
        <w:t>proceeding</w:t>
      </w:r>
      <w:r w:rsidRPr="00B00919" w:rsidR="004A779B">
        <w:rPr>
          <w:rFonts w:ascii="Times New Roman" w:eastAsia="Times New Roman" w:hAnsi="Times New Roman" w:cs="Times New Roman"/>
        </w:rPr>
        <w:t>.</w:t>
      </w:r>
      <w:r w:rsidRPr="00B00919" w:rsidR="00FC11BE">
        <w:rPr>
          <w:rFonts w:ascii="Times New Roman" w:eastAsia="Times New Roman" w:hAnsi="Times New Roman" w:cs="Times New Roman"/>
        </w:rPr>
        <w:t xml:space="preserve"> </w:t>
      </w:r>
      <w:r w:rsidRPr="00B00919" w:rsidR="00C50042">
        <w:rPr>
          <w:rFonts w:ascii="Times New Roman" w:eastAsia="Times New Roman" w:hAnsi="Times New Roman" w:cs="Times New Roman"/>
        </w:rPr>
        <w:t>That is wrong.</w:t>
      </w:r>
    </w:p>
    <w:p w:rsidR="003A01D9" w:rsidRPr="00B35098" w:rsidP="00664C80" w14:paraId="008AF3EE" w14:textId="5A4FED1E">
      <w:pPr>
        <w:spacing w:line="480" w:lineRule="auto"/>
        <w:ind w:firstLine="720"/>
        <w:rPr>
          <w:rFonts w:ascii="Times New Roman" w:eastAsia="Times New Roman" w:hAnsi="Times New Roman" w:cs="Times New Roman"/>
        </w:rPr>
      </w:pPr>
      <w:r w:rsidRPr="00B00919">
        <w:rPr>
          <w:rFonts w:ascii="Times New Roman" w:eastAsia="Times New Roman" w:hAnsi="Times New Roman" w:cs="Times New Roman"/>
        </w:rPr>
        <w:t>This case</w:t>
      </w:r>
      <w:r w:rsidRPr="00B00919" w:rsidR="00FA56B6">
        <w:rPr>
          <w:rFonts w:ascii="Times New Roman" w:eastAsia="Times New Roman" w:hAnsi="Times New Roman" w:cs="Times New Roman"/>
        </w:rPr>
        <w:t xml:space="preserve"> </w:t>
      </w:r>
      <w:r w:rsidRPr="00B00919">
        <w:rPr>
          <w:rFonts w:ascii="Times New Roman" w:eastAsia="Times New Roman" w:hAnsi="Times New Roman" w:cs="Times New Roman"/>
        </w:rPr>
        <w:t>is yet</w:t>
      </w:r>
      <w:r w:rsidRPr="00B00919" w:rsidR="00FA56B6">
        <w:rPr>
          <w:rFonts w:ascii="Times New Roman" w:eastAsia="Times New Roman" w:hAnsi="Times New Roman" w:cs="Times New Roman"/>
        </w:rPr>
        <w:t xml:space="preserve"> an</w:t>
      </w:r>
      <w:r w:rsidRPr="00B00919">
        <w:rPr>
          <w:rFonts w:ascii="Times New Roman" w:eastAsia="Times New Roman" w:hAnsi="Times New Roman" w:cs="Times New Roman"/>
        </w:rPr>
        <w:t>other</w:t>
      </w:r>
      <w:r w:rsidRPr="00B00919" w:rsidR="00FA56B6">
        <w:rPr>
          <w:rFonts w:ascii="Times New Roman" w:eastAsia="Times New Roman" w:hAnsi="Times New Roman" w:cs="Times New Roman"/>
        </w:rPr>
        <w:t xml:space="preserve"> opportunity</w:t>
      </w:r>
      <w:r w:rsidRPr="00B00919">
        <w:rPr>
          <w:rFonts w:ascii="Times New Roman" w:eastAsia="Times New Roman" w:hAnsi="Times New Roman" w:cs="Times New Roman"/>
        </w:rPr>
        <w:t xml:space="preserve"> for the PUCO</w:t>
      </w:r>
      <w:r w:rsidRPr="00B00919" w:rsidR="00FA56B6">
        <w:rPr>
          <w:rFonts w:ascii="Times New Roman" w:eastAsia="Times New Roman" w:hAnsi="Times New Roman" w:cs="Times New Roman"/>
        </w:rPr>
        <w:t xml:space="preserve"> to </w:t>
      </w:r>
      <w:r w:rsidRPr="00B00919" w:rsidR="004A779B">
        <w:rPr>
          <w:rFonts w:ascii="Times New Roman" w:eastAsia="Times New Roman" w:hAnsi="Times New Roman" w:cs="Times New Roman"/>
        </w:rPr>
        <w:t>prevent a bad actor</w:t>
      </w:r>
      <w:r w:rsidRPr="00B00919">
        <w:rPr>
          <w:rFonts w:ascii="Times New Roman" w:eastAsia="Times New Roman" w:hAnsi="Times New Roman" w:cs="Times New Roman"/>
        </w:rPr>
        <w:t xml:space="preserve"> marketer</w:t>
      </w:r>
      <w:r w:rsidRPr="00B00919" w:rsidR="004A779B">
        <w:rPr>
          <w:rFonts w:ascii="Times New Roman" w:eastAsia="Times New Roman" w:hAnsi="Times New Roman" w:cs="Times New Roman"/>
        </w:rPr>
        <w:t xml:space="preserve"> from further harming </w:t>
      </w:r>
      <w:r w:rsidRPr="00B00919">
        <w:rPr>
          <w:rFonts w:ascii="Times New Roman" w:eastAsia="Times New Roman" w:hAnsi="Times New Roman" w:cs="Times New Roman"/>
        </w:rPr>
        <w:t>Ohioans.</w:t>
      </w:r>
      <w:r w:rsidRPr="00B00919" w:rsidR="009065EA">
        <w:rPr>
          <w:rFonts w:ascii="Times New Roman" w:eastAsia="Times New Roman" w:hAnsi="Times New Roman" w:cs="Times New Roman"/>
        </w:rPr>
        <w:t xml:space="preserve"> </w:t>
      </w:r>
      <w:r w:rsidRPr="00B00919">
        <w:rPr>
          <w:rFonts w:ascii="Times New Roman" w:eastAsia="Times New Roman" w:hAnsi="Times New Roman" w:cs="Times New Roman"/>
        </w:rPr>
        <w:t>The PUCO should deny</w:t>
      </w:r>
      <w:r w:rsidRPr="00B00919" w:rsidR="009065EA">
        <w:rPr>
          <w:rFonts w:ascii="Times New Roman" w:eastAsia="Times New Roman" w:hAnsi="Times New Roman" w:cs="Times New Roman"/>
        </w:rPr>
        <w:t xml:space="preserve"> </w:t>
      </w:r>
      <w:r w:rsidRPr="00B00919" w:rsidR="003A670A">
        <w:rPr>
          <w:rFonts w:ascii="Times New Roman" w:eastAsia="Times New Roman" w:hAnsi="Times New Roman" w:cs="Times New Roman"/>
        </w:rPr>
        <w:t>XOOM</w:t>
      </w:r>
      <w:r w:rsidRPr="00373DFE" w:rsidR="009065EA">
        <w:rPr>
          <w:rFonts w:ascii="Times New Roman" w:eastAsia="Times New Roman" w:hAnsi="Times New Roman" w:cs="Times New Roman"/>
        </w:rPr>
        <w:t xml:space="preserve"> </w:t>
      </w:r>
      <w:r w:rsidRPr="00373DFE">
        <w:rPr>
          <w:rFonts w:ascii="Times New Roman" w:eastAsia="Times New Roman" w:hAnsi="Times New Roman" w:cs="Times New Roman"/>
        </w:rPr>
        <w:t xml:space="preserve">the </w:t>
      </w:r>
      <w:r w:rsidR="00295015">
        <w:rPr>
          <w:rFonts w:ascii="Times New Roman" w:eastAsia="Times New Roman" w:hAnsi="Times New Roman" w:cs="Times New Roman"/>
        </w:rPr>
        <w:t>continued</w:t>
      </w:r>
      <w:r w:rsidRPr="00373DFE" w:rsidR="00295015">
        <w:rPr>
          <w:rFonts w:ascii="Times New Roman" w:eastAsia="Times New Roman" w:hAnsi="Times New Roman" w:cs="Times New Roman"/>
        </w:rPr>
        <w:t xml:space="preserve"> </w:t>
      </w:r>
      <w:r w:rsidRPr="00373DFE">
        <w:rPr>
          <w:rFonts w:ascii="Times New Roman" w:eastAsia="Times New Roman" w:hAnsi="Times New Roman" w:cs="Times New Roman"/>
        </w:rPr>
        <w:t xml:space="preserve">privilege </w:t>
      </w:r>
      <w:r w:rsidRPr="00B35098" w:rsidR="009065EA">
        <w:rPr>
          <w:rFonts w:ascii="Times New Roman" w:eastAsia="Times New Roman" w:hAnsi="Times New Roman" w:cs="Times New Roman"/>
        </w:rPr>
        <w:t xml:space="preserve">to serve consumers in Ohio. </w:t>
      </w:r>
    </w:p>
    <w:p w:rsidR="006B34E5" w:rsidRPr="00E7167E" w:rsidP="00664C80" w14:paraId="008AF3EF" w14:textId="7C93C951">
      <w:pPr>
        <w:spacing w:line="480" w:lineRule="auto"/>
        <w:ind w:firstLine="720"/>
        <w:rPr>
          <w:rFonts w:ascii="Times New Roman" w:eastAsia="Times New Roman" w:hAnsi="Times New Roman" w:cs="Times New Roman"/>
        </w:rPr>
      </w:pPr>
      <w:r w:rsidRPr="00E7167E">
        <w:rPr>
          <w:rFonts w:ascii="Times New Roman" w:eastAsia="Times New Roman" w:hAnsi="Times New Roman" w:cs="Times New Roman"/>
        </w:rPr>
        <w:t xml:space="preserve">The PUCO </w:t>
      </w:r>
      <w:r w:rsidRPr="00B00919" w:rsidR="000E1E3C">
        <w:rPr>
          <w:rFonts w:ascii="Times New Roman" w:eastAsia="Times New Roman" w:hAnsi="Times New Roman" w:cs="Times New Roman"/>
        </w:rPr>
        <w:t xml:space="preserve">already </w:t>
      </w:r>
      <w:r w:rsidRPr="00B00919">
        <w:rPr>
          <w:rFonts w:ascii="Times New Roman" w:eastAsia="Times New Roman" w:hAnsi="Times New Roman" w:cs="Times New Roman"/>
          <w:i/>
          <w:iCs/>
        </w:rPr>
        <w:t xml:space="preserve">granted </w:t>
      </w:r>
      <w:r w:rsidRPr="00B00919">
        <w:rPr>
          <w:rFonts w:ascii="Times New Roman" w:eastAsia="Times New Roman" w:hAnsi="Times New Roman" w:cs="Times New Roman"/>
        </w:rPr>
        <w:t xml:space="preserve">OCC intervention – over </w:t>
      </w:r>
      <w:r w:rsidRPr="00B00919" w:rsidR="004C5D46">
        <w:rPr>
          <w:rFonts w:ascii="Times New Roman" w:eastAsia="Times New Roman" w:hAnsi="Times New Roman" w:cs="Times New Roman"/>
        </w:rPr>
        <w:t>XOOM</w:t>
      </w:r>
      <w:r w:rsidRPr="00B00919">
        <w:rPr>
          <w:rFonts w:ascii="Times New Roman" w:eastAsia="Times New Roman" w:hAnsi="Times New Roman" w:cs="Times New Roman"/>
        </w:rPr>
        <w:t xml:space="preserve">’s objection – in the </w:t>
      </w:r>
      <w:r w:rsidRPr="00B00919" w:rsidR="003A01D9">
        <w:rPr>
          <w:rFonts w:ascii="Times New Roman" w:eastAsia="Times New Roman" w:hAnsi="Times New Roman" w:cs="Times New Roman"/>
        </w:rPr>
        <w:t xml:space="preserve">PUCO’s investigation of </w:t>
      </w:r>
      <w:r w:rsidRPr="00B00919" w:rsidR="004C5D46">
        <w:rPr>
          <w:rFonts w:ascii="Times New Roman" w:eastAsia="Times New Roman" w:hAnsi="Times New Roman" w:cs="Times New Roman"/>
        </w:rPr>
        <w:t>XOOM</w:t>
      </w:r>
      <w:r w:rsidRPr="00B00919" w:rsidR="003A01D9">
        <w:rPr>
          <w:rFonts w:ascii="Times New Roman" w:eastAsia="Times New Roman" w:hAnsi="Times New Roman" w:cs="Times New Roman"/>
        </w:rPr>
        <w:t>.</w:t>
      </w:r>
      <w:r>
        <w:rPr>
          <w:rStyle w:val="FootnoteReference"/>
          <w:rFonts w:ascii="Times New Roman" w:eastAsia="Times New Roman" w:hAnsi="Times New Roman" w:cs="Times New Roman"/>
        </w:rPr>
        <w:footnoteReference w:id="7"/>
      </w:r>
      <w:r w:rsidRPr="00373DFE" w:rsidR="004F5F1A">
        <w:rPr>
          <w:rFonts w:ascii="Times New Roman" w:eastAsia="Times New Roman" w:hAnsi="Times New Roman" w:cs="Times New Roman"/>
        </w:rPr>
        <w:t xml:space="preserve"> </w:t>
      </w:r>
      <w:r w:rsidRPr="00373DFE" w:rsidR="00A951D9">
        <w:rPr>
          <w:rFonts w:ascii="Times New Roman" w:eastAsia="Times New Roman" w:hAnsi="Times New Roman" w:cs="Times New Roman"/>
        </w:rPr>
        <w:t>The PUCO should also grant OCC’s intervention here.</w:t>
      </w:r>
    </w:p>
    <w:p w:rsidR="00EB0F68" w:rsidRPr="00B00919" w:rsidP="009065EA" w14:paraId="008AF3F0" w14:textId="39EA184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Especially g</w:t>
      </w:r>
      <w:r w:rsidRPr="00E7167E" w:rsidR="00C50042">
        <w:rPr>
          <w:rFonts w:ascii="Times New Roman" w:eastAsia="Times New Roman" w:hAnsi="Times New Roman" w:cs="Times New Roman"/>
        </w:rPr>
        <w:t xml:space="preserve">iven that </w:t>
      </w:r>
      <w:r w:rsidRPr="00B00919" w:rsidR="000E1E3C">
        <w:rPr>
          <w:rFonts w:ascii="Times New Roman" w:eastAsia="Times New Roman" w:hAnsi="Times New Roman" w:cs="Times New Roman"/>
        </w:rPr>
        <w:t>XOOM</w:t>
      </w:r>
      <w:r w:rsidRPr="00B00919" w:rsidR="00C50042">
        <w:rPr>
          <w:rFonts w:ascii="Times New Roman" w:eastAsia="Times New Roman" w:hAnsi="Times New Roman" w:cs="Times New Roman"/>
        </w:rPr>
        <w:t xml:space="preserve"> is accused of misleading consumers, the PUCO should allow OCC (</w:t>
      </w:r>
      <w:r w:rsidRPr="00C72A88" w:rsidR="005B3986">
        <w:rPr>
          <w:rFonts w:ascii="Times New Roman" w:hAnsi="Times New Roman" w:cs="Times New Roman"/>
        </w:rPr>
        <w:t>the statutory representative of Ohio’s residential utility consumers</w:t>
      </w:r>
      <w:r w:rsidRPr="00B00919" w:rsidR="00C50042">
        <w:rPr>
          <w:rFonts w:ascii="Times New Roman" w:eastAsia="Times New Roman" w:hAnsi="Times New Roman" w:cs="Times New Roman"/>
        </w:rPr>
        <w:t xml:space="preserve">) to participate in this proceeding. Consumers are the victims of </w:t>
      </w:r>
      <w:r w:rsidRPr="00B00919" w:rsidR="000E1E3C">
        <w:rPr>
          <w:rFonts w:ascii="Times New Roman" w:eastAsia="Times New Roman" w:hAnsi="Times New Roman" w:cs="Times New Roman"/>
        </w:rPr>
        <w:t>XOOM’s</w:t>
      </w:r>
      <w:r w:rsidRPr="00B00919" w:rsidR="00C50042">
        <w:rPr>
          <w:rFonts w:ascii="Times New Roman" w:eastAsia="Times New Roman" w:hAnsi="Times New Roman" w:cs="Times New Roman"/>
        </w:rPr>
        <w:t xml:space="preserve"> marketing violations. Consumers should have a voice. By law, that voice is OCC. </w:t>
      </w:r>
    </w:p>
    <w:p w:rsidR="009065EA" w:rsidRPr="00B00919" w:rsidP="009065EA" w14:paraId="008AF3F1" w14:textId="3B2C07F1">
      <w:pPr>
        <w:spacing w:line="480" w:lineRule="auto"/>
        <w:ind w:firstLine="720"/>
        <w:rPr>
          <w:rFonts w:ascii="Times New Roman" w:eastAsia="Times New Roman" w:hAnsi="Times New Roman" w:cs="Times New Roman"/>
        </w:rPr>
      </w:pPr>
      <w:r w:rsidRPr="00B00919">
        <w:rPr>
          <w:rFonts w:ascii="Times New Roman" w:eastAsia="Times New Roman" w:hAnsi="Times New Roman" w:cs="Times New Roman"/>
        </w:rPr>
        <w:t>XOOM</w:t>
      </w:r>
      <w:r w:rsidRPr="00B00919" w:rsidR="00C50042">
        <w:rPr>
          <w:rFonts w:ascii="Times New Roman" w:eastAsia="Times New Roman" w:hAnsi="Times New Roman" w:cs="Times New Roman"/>
        </w:rPr>
        <w:t xml:space="preserve"> raises no </w:t>
      </w:r>
      <w:r w:rsidRPr="00B00919" w:rsidR="003A01D9">
        <w:rPr>
          <w:rFonts w:ascii="Times New Roman" w:eastAsia="Times New Roman" w:hAnsi="Times New Roman" w:cs="Times New Roman"/>
        </w:rPr>
        <w:t xml:space="preserve">rightful </w:t>
      </w:r>
      <w:r w:rsidRPr="00B00919" w:rsidR="00C50042">
        <w:rPr>
          <w:rFonts w:ascii="Times New Roman" w:eastAsia="Times New Roman" w:hAnsi="Times New Roman" w:cs="Times New Roman"/>
        </w:rPr>
        <w:t xml:space="preserve">basis for denying OCC’s motion to intervene. </w:t>
      </w:r>
      <w:r w:rsidRPr="00B00919">
        <w:rPr>
          <w:rFonts w:ascii="Times New Roman" w:eastAsia="Times New Roman" w:hAnsi="Times New Roman" w:cs="Times New Roman"/>
        </w:rPr>
        <w:t>XOOM</w:t>
      </w:r>
      <w:r w:rsidRPr="00B00919" w:rsidR="00C50042">
        <w:rPr>
          <w:rFonts w:ascii="Times New Roman" w:eastAsia="Times New Roman" w:hAnsi="Times New Roman" w:cs="Times New Roman"/>
        </w:rPr>
        <w:t xml:space="preserve"> misrepresents Ohio law regarding OCC’s general power to intervene</w:t>
      </w:r>
      <w:r w:rsidRPr="00B00919" w:rsidR="00EB0F68">
        <w:rPr>
          <w:rFonts w:ascii="Times New Roman" w:eastAsia="Times New Roman" w:hAnsi="Times New Roman" w:cs="Times New Roman"/>
        </w:rPr>
        <w:t>.</w:t>
      </w:r>
      <w:r w:rsidRPr="00B00919" w:rsidR="00FC11BE">
        <w:rPr>
          <w:rFonts w:ascii="Times New Roman" w:eastAsia="Times New Roman" w:hAnsi="Times New Roman" w:cs="Times New Roman"/>
        </w:rPr>
        <w:t xml:space="preserve"> </w:t>
      </w:r>
      <w:r w:rsidRPr="00B00919">
        <w:rPr>
          <w:rFonts w:ascii="Times New Roman" w:eastAsia="Times New Roman" w:hAnsi="Times New Roman" w:cs="Times New Roman"/>
        </w:rPr>
        <w:t>XOOM</w:t>
      </w:r>
      <w:r w:rsidRPr="00B00919" w:rsidR="00C50042">
        <w:rPr>
          <w:rFonts w:ascii="Times New Roman" w:eastAsia="Times New Roman" w:hAnsi="Times New Roman" w:cs="Times New Roman"/>
        </w:rPr>
        <w:t xml:space="preserve"> ignores PUCO precedent demonstrating OCC’s intervention authority in </w:t>
      </w:r>
      <w:r w:rsidRPr="00B00919" w:rsidR="00EB0F68">
        <w:rPr>
          <w:rFonts w:ascii="Times New Roman" w:eastAsia="Times New Roman" w:hAnsi="Times New Roman" w:cs="Times New Roman"/>
        </w:rPr>
        <w:t xml:space="preserve">previous </w:t>
      </w:r>
      <w:r w:rsidR="00442C6F">
        <w:rPr>
          <w:rFonts w:ascii="Times New Roman" w:eastAsia="Times New Roman" w:hAnsi="Times New Roman" w:cs="Times New Roman"/>
        </w:rPr>
        <w:t xml:space="preserve">natural gas </w:t>
      </w:r>
      <w:r w:rsidRPr="00B00919" w:rsidR="003A01D9">
        <w:rPr>
          <w:rFonts w:ascii="Times New Roman" w:eastAsia="Times New Roman" w:hAnsi="Times New Roman" w:cs="Times New Roman"/>
        </w:rPr>
        <w:t>marketer</w:t>
      </w:r>
      <w:r w:rsidR="00C72A88">
        <w:rPr>
          <w:rFonts w:ascii="Times New Roman" w:eastAsia="Times New Roman" w:hAnsi="Times New Roman" w:cs="Times New Roman"/>
        </w:rPr>
        <w:t xml:space="preserve"> </w:t>
      </w:r>
      <w:r w:rsidRPr="00B00919" w:rsidR="00C50042">
        <w:rPr>
          <w:rFonts w:ascii="Times New Roman" w:eastAsia="Times New Roman" w:hAnsi="Times New Roman" w:cs="Times New Roman"/>
        </w:rPr>
        <w:t>certification proceedings</w:t>
      </w:r>
      <w:r w:rsidRPr="00B00919" w:rsidR="00EB0F68">
        <w:rPr>
          <w:rFonts w:ascii="Times New Roman" w:eastAsia="Times New Roman" w:hAnsi="Times New Roman" w:cs="Times New Roman"/>
        </w:rPr>
        <w:t>.</w:t>
      </w:r>
      <w:r w:rsidRPr="00B00919" w:rsidR="00FC11BE">
        <w:rPr>
          <w:rFonts w:ascii="Times New Roman" w:eastAsia="Times New Roman" w:hAnsi="Times New Roman" w:cs="Times New Roman"/>
        </w:rPr>
        <w:t xml:space="preserve"> </w:t>
      </w:r>
      <w:r w:rsidRPr="00B00919" w:rsidR="00EB0F68">
        <w:rPr>
          <w:rFonts w:ascii="Times New Roman" w:eastAsia="Times New Roman" w:hAnsi="Times New Roman" w:cs="Times New Roman"/>
        </w:rPr>
        <w:t xml:space="preserve">Finally, </w:t>
      </w:r>
      <w:r w:rsidRPr="00B00919">
        <w:rPr>
          <w:rFonts w:ascii="Times New Roman" w:eastAsia="Times New Roman" w:hAnsi="Times New Roman" w:cs="Times New Roman"/>
        </w:rPr>
        <w:t>XOOM</w:t>
      </w:r>
      <w:r w:rsidRPr="00B00919" w:rsidR="00C50042">
        <w:rPr>
          <w:rFonts w:ascii="Times New Roman" w:eastAsia="Times New Roman" w:hAnsi="Times New Roman" w:cs="Times New Roman"/>
        </w:rPr>
        <w:t xml:space="preserve"> misapplies the intervention standard to OCC’s participation in this matter. OCC has authority to intervene and satisfies the standards for intervention. The PUCO should grant OCC’s motion to intervene</w:t>
      </w:r>
      <w:r w:rsidRPr="00B00919" w:rsidR="003A01D9">
        <w:rPr>
          <w:rFonts w:ascii="Times New Roman" w:eastAsia="Times New Roman" w:hAnsi="Times New Roman" w:cs="Times New Roman"/>
        </w:rPr>
        <w:t xml:space="preserve"> for consumers</w:t>
      </w:r>
      <w:r w:rsidRPr="00B00919" w:rsidR="00C50042">
        <w:rPr>
          <w:rFonts w:ascii="Times New Roman" w:eastAsia="Times New Roman" w:hAnsi="Times New Roman" w:cs="Times New Roman"/>
        </w:rPr>
        <w:t xml:space="preserve">. </w:t>
      </w:r>
    </w:p>
    <w:p w:rsidR="00081586" w:rsidRPr="00B00919" w:rsidP="00FC11BE" w14:paraId="008AF422" w14:textId="6D71E8D9">
      <w:pPr>
        <w:spacing w:line="480" w:lineRule="auto"/>
        <w:ind w:firstLine="720"/>
        <w:rPr>
          <w:rFonts w:ascii="Times New Roman" w:eastAsia="Times New Roman" w:hAnsi="Times New Roman" w:cs="Times New Roman"/>
        </w:rPr>
      </w:pPr>
      <w:r w:rsidRPr="00B00919">
        <w:rPr>
          <w:rFonts w:ascii="Times New Roman" w:eastAsia="Times New Roman" w:hAnsi="Times New Roman" w:cs="Times New Roman"/>
        </w:rPr>
        <w:t>The</w:t>
      </w:r>
      <w:r w:rsidRPr="00B00919" w:rsidR="006046FB">
        <w:rPr>
          <w:rFonts w:ascii="Times New Roman" w:eastAsia="Times New Roman" w:hAnsi="Times New Roman" w:cs="Times New Roman"/>
        </w:rPr>
        <w:t xml:space="preserve"> energy market and </w:t>
      </w:r>
      <w:r w:rsidRPr="00B00919" w:rsidR="00746B72">
        <w:rPr>
          <w:rFonts w:ascii="Times New Roman" w:eastAsia="Times New Roman" w:hAnsi="Times New Roman" w:cs="Times New Roman"/>
        </w:rPr>
        <w:t xml:space="preserve">Ohio </w:t>
      </w:r>
      <w:r w:rsidRPr="00B00919" w:rsidR="006046FB">
        <w:rPr>
          <w:rFonts w:ascii="Times New Roman" w:eastAsia="Times New Roman" w:hAnsi="Times New Roman" w:cs="Times New Roman"/>
        </w:rPr>
        <w:t xml:space="preserve">consumers will benefit from denying </w:t>
      </w:r>
      <w:r w:rsidRPr="00B00919" w:rsidR="006E0C9D">
        <w:rPr>
          <w:rFonts w:ascii="Times New Roman" w:eastAsia="Times New Roman" w:hAnsi="Times New Roman" w:cs="Times New Roman"/>
        </w:rPr>
        <w:t>XOOM</w:t>
      </w:r>
      <w:r w:rsidRPr="00B00919" w:rsidR="00746B72">
        <w:rPr>
          <w:rFonts w:ascii="Times New Roman" w:eastAsia="Times New Roman" w:hAnsi="Times New Roman" w:cs="Times New Roman"/>
        </w:rPr>
        <w:t xml:space="preserve"> the privilege </w:t>
      </w:r>
      <w:r w:rsidR="00442C6F">
        <w:rPr>
          <w:rFonts w:ascii="Times New Roman" w:eastAsia="Times New Roman" w:hAnsi="Times New Roman" w:cs="Times New Roman"/>
        </w:rPr>
        <w:t xml:space="preserve">of </w:t>
      </w:r>
      <w:r w:rsidRPr="00B00919" w:rsidR="00746B72">
        <w:rPr>
          <w:rFonts w:ascii="Times New Roman" w:eastAsia="Times New Roman" w:hAnsi="Times New Roman" w:cs="Times New Roman"/>
        </w:rPr>
        <w:t>operat</w:t>
      </w:r>
      <w:r w:rsidR="00442C6F">
        <w:rPr>
          <w:rFonts w:ascii="Times New Roman" w:eastAsia="Times New Roman" w:hAnsi="Times New Roman" w:cs="Times New Roman"/>
        </w:rPr>
        <w:t>ing</w:t>
      </w:r>
      <w:r w:rsidRPr="00B00919" w:rsidR="00746B72">
        <w:rPr>
          <w:rFonts w:ascii="Times New Roman" w:eastAsia="Times New Roman" w:hAnsi="Times New Roman" w:cs="Times New Roman"/>
        </w:rPr>
        <w:t xml:space="preserve"> as a natural gas marketer</w:t>
      </w:r>
      <w:r w:rsidR="00442C6F">
        <w:rPr>
          <w:rFonts w:ascii="Times New Roman" w:eastAsia="Times New Roman" w:hAnsi="Times New Roman" w:cs="Times New Roman"/>
        </w:rPr>
        <w:t xml:space="preserve"> in Ohio</w:t>
      </w:r>
      <w:r w:rsidRPr="00B00919" w:rsidR="00746B72">
        <w:rPr>
          <w:rFonts w:ascii="Times New Roman" w:eastAsia="Times New Roman" w:hAnsi="Times New Roman" w:cs="Times New Roman"/>
        </w:rPr>
        <w:t>.</w:t>
      </w:r>
      <w:r w:rsidR="00C72A88">
        <w:rPr>
          <w:rFonts w:ascii="Times New Roman" w:eastAsia="Times New Roman" w:hAnsi="Times New Roman" w:cs="Times New Roman"/>
        </w:rPr>
        <w:t xml:space="preserve"> </w:t>
      </w:r>
      <w:r w:rsidR="00442C6F">
        <w:rPr>
          <w:rFonts w:ascii="Times New Roman" w:eastAsia="Times New Roman" w:hAnsi="Times New Roman" w:cs="Times New Roman"/>
        </w:rPr>
        <w:t xml:space="preserve">Its certificate should not </w:t>
      </w:r>
      <w:r w:rsidR="00295015">
        <w:rPr>
          <w:rFonts w:ascii="Times New Roman" w:eastAsia="Times New Roman" w:hAnsi="Times New Roman" w:cs="Times New Roman"/>
        </w:rPr>
        <w:t>b</w:t>
      </w:r>
      <w:r w:rsidR="00442C6F">
        <w:rPr>
          <w:rFonts w:ascii="Times New Roman" w:eastAsia="Times New Roman" w:hAnsi="Times New Roman" w:cs="Times New Roman"/>
        </w:rPr>
        <w:t>e renewed.</w:t>
      </w:r>
      <w:r w:rsidRPr="00B00919">
        <w:rPr>
          <w:rFonts w:ascii="Times New Roman" w:eastAsia="Times New Roman" w:hAnsi="Times New Roman" w:cs="Times New Roman"/>
        </w:rPr>
        <w:t xml:space="preserve"> </w:t>
      </w:r>
    </w:p>
    <w:p w:rsidR="006C4625" w:rsidRPr="00B00919" w:rsidP="006C4625" w14:paraId="008AF423" w14:textId="77777777">
      <w:pPr>
        <w:ind w:firstLine="720"/>
        <w:rPr>
          <w:rFonts w:ascii="Times New Roman" w:eastAsia="Times New Roman" w:hAnsi="Times New Roman" w:cs="Times New Roman"/>
        </w:rPr>
      </w:pPr>
    </w:p>
    <w:p w:rsidR="0091042E" w:rsidRPr="00B00919" w:rsidP="002E770A" w14:paraId="008AF424" w14:textId="41477EA9">
      <w:pPr>
        <w:pStyle w:val="Heading1"/>
      </w:pPr>
      <w:bookmarkStart w:id="3" w:name="_Toc108105741"/>
      <w:bookmarkStart w:id="4" w:name="_Toc112761873"/>
      <w:r w:rsidRPr="00B00919">
        <w:t>ARGUMENT</w:t>
      </w:r>
      <w:bookmarkEnd w:id="3"/>
      <w:bookmarkEnd w:id="4"/>
    </w:p>
    <w:p w:rsidR="0091042E" w:rsidRPr="00B00919" w:rsidP="00B00919" w14:paraId="008AF425" w14:textId="6AC4A727">
      <w:pPr>
        <w:pStyle w:val="Heading2"/>
        <w:ind w:left="1440" w:hanging="720"/>
        <w:rPr>
          <w:rFonts w:ascii="Times New Roman" w:hAnsi="Times New Roman"/>
        </w:rPr>
      </w:pPr>
      <w:bookmarkStart w:id="5" w:name="_Toc112761874"/>
      <w:bookmarkStart w:id="6" w:name="_Toc108105742"/>
      <w:r w:rsidRPr="00B00919">
        <w:rPr>
          <w:rFonts w:ascii="Times New Roman" w:hAnsi="Times New Roman"/>
        </w:rPr>
        <w:t>XOOM’s</w:t>
      </w:r>
      <w:r w:rsidRPr="00B00919" w:rsidR="00C50042">
        <w:rPr>
          <w:rFonts w:ascii="Times New Roman" w:hAnsi="Times New Roman"/>
        </w:rPr>
        <w:t xml:space="preserve"> claim</w:t>
      </w:r>
      <w:r w:rsidR="004B3475">
        <w:rPr>
          <w:rFonts w:ascii="Times New Roman" w:hAnsi="Times New Roman"/>
        </w:rPr>
        <w:t xml:space="preserve"> is meritless</w:t>
      </w:r>
      <w:r w:rsidRPr="00B00919" w:rsidR="00C50042">
        <w:rPr>
          <w:rFonts w:ascii="Times New Roman" w:hAnsi="Times New Roman"/>
        </w:rPr>
        <w:t xml:space="preserve"> that OCC has no </w:t>
      </w:r>
      <w:r w:rsidRPr="00B00919" w:rsidR="00D31961">
        <w:rPr>
          <w:rFonts w:ascii="Times New Roman" w:hAnsi="Times New Roman"/>
        </w:rPr>
        <w:t>interest in this proceeding</w:t>
      </w:r>
      <w:r w:rsidR="004B3475">
        <w:rPr>
          <w:rFonts w:ascii="Times New Roman" w:hAnsi="Times New Roman"/>
        </w:rPr>
        <w:t>.</w:t>
      </w:r>
      <w:r w:rsidRPr="00B00919" w:rsidR="00D31961">
        <w:rPr>
          <w:rFonts w:ascii="Times New Roman" w:hAnsi="Times New Roman"/>
        </w:rPr>
        <w:t xml:space="preserve"> OCC ha</w:t>
      </w:r>
      <w:r w:rsidR="001F1767">
        <w:rPr>
          <w:rFonts w:ascii="Times New Roman" w:hAnsi="Times New Roman"/>
        </w:rPr>
        <w:t>s</w:t>
      </w:r>
      <w:r w:rsidRPr="00B00919" w:rsidR="00D31961">
        <w:rPr>
          <w:rFonts w:ascii="Times New Roman" w:hAnsi="Times New Roman"/>
        </w:rPr>
        <w:t xml:space="preserve"> the </w:t>
      </w:r>
      <w:r w:rsidRPr="00B00919" w:rsidR="00C50042">
        <w:rPr>
          <w:rFonts w:ascii="Times New Roman" w:hAnsi="Times New Roman"/>
        </w:rPr>
        <w:t>authority</w:t>
      </w:r>
      <w:r w:rsidR="001F1767">
        <w:rPr>
          <w:rFonts w:ascii="Times New Roman" w:hAnsi="Times New Roman"/>
        </w:rPr>
        <w:t xml:space="preserve"> under state law</w:t>
      </w:r>
      <w:r w:rsidRPr="00B00919" w:rsidR="00C50042">
        <w:rPr>
          <w:rFonts w:ascii="Times New Roman" w:hAnsi="Times New Roman"/>
        </w:rPr>
        <w:t xml:space="preserve"> to intervene in this proceeding to protect consumers from </w:t>
      </w:r>
      <w:r w:rsidRPr="00B00919">
        <w:rPr>
          <w:rFonts w:ascii="Times New Roman" w:hAnsi="Times New Roman"/>
        </w:rPr>
        <w:t>XOOM</w:t>
      </w:r>
      <w:r w:rsidRPr="00B00919" w:rsidR="00C50042">
        <w:rPr>
          <w:rFonts w:ascii="Times New Roman" w:hAnsi="Times New Roman"/>
        </w:rPr>
        <w:t>.</w:t>
      </w:r>
      <w:bookmarkEnd w:id="5"/>
      <w:r w:rsidRPr="00B00919" w:rsidR="00C50042">
        <w:rPr>
          <w:rFonts w:ascii="Times New Roman" w:hAnsi="Times New Roman"/>
        </w:rPr>
        <w:t xml:space="preserve"> </w:t>
      </w:r>
      <w:bookmarkEnd w:id="6"/>
    </w:p>
    <w:p w:rsidR="000D7B34" w:rsidP="00CA35A2" w14:paraId="4898F361" w14:textId="77777777">
      <w:pPr>
        <w:spacing w:line="480" w:lineRule="auto"/>
        <w:ind w:firstLine="720"/>
        <w:rPr>
          <w:rFonts w:ascii="Times New Roman" w:eastAsia="Times New Roman" w:hAnsi="Times New Roman" w:cs="Times New Roman"/>
        </w:rPr>
      </w:pPr>
      <w:r w:rsidRPr="00373DFE">
        <w:rPr>
          <w:rFonts w:ascii="Times New Roman" w:eastAsia="Times New Roman" w:hAnsi="Times New Roman" w:cs="Times New Roman"/>
        </w:rPr>
        <w:t>XOOM</w:t>
      </w:r>
      <w:r w:rsidRPr="00373DFE" w:rsidR="00C50042">
        <w:rPr>
          <w:rFonts w:ascii="Times New Roman" w:eastAsia="Times New Roman" w:hAnsi="Times New Roman" w:cs="Times New Roman"/>
        </w:rPr>
        <w:t xml:space="preserve"> </w:t>
      </w:r>
      <w:r w:rsidRPr="00B35098" w:rsidR="000C504E">
        <w:rPr>
          <w:rFonts w:ascii="Times New Roman" w:eastAsia="Times New Roman" w:hAnsi="Times New Roman" w:cs="Times New Roman"/>
        </w:rPr>
        <w:t xml:space="preserve">erroneously </w:t>
      </w:r>
      <w:r w:rsidRPr="00B35098" w:rsidR="00C50042">
        <w:rPr>
          <w:rFonts w:ascii="Times New Roman" w:eastAsia="Times New Roman" w:hAnsi="Times New Roman" w:cs="Times New Roman"/>
        </w:rPr>
        <w:t>argues that OCC has no</w:t>
      </w:r>
      <w:r w:rsidRPr="00B35098" w:rsidR="004823AE">
        <w:rPr>
          <w:rFonts w:ascii="Times New Roman" w:eastAsia="Times New Roman" w:hAnsi="Times New Roman" w:cs="Times New Roman"/>
        </w:rPr>
        <w:t xml:space="preserve"> </w:t>
      </w:r>
      <w:r w:rsidRPr="00B35098" w:rsidR="00C23215">
        <w:rPr>
          <w:rFonts w:ascii="Times New Roman" w:eastAsia="Times New Roman" w:hAnsi="Times New Roman" w:cs="Times New Roman"/>
        </w:rPr>
        <w:t>statutory</w:t>
      </w:r>
      <w:r w:rsidRPr="00E7167E" w:rsidR="00E074B7">
        <w:rPr>
          <w:rFonts w:ascii="Times New Roman" w:eastAsia="Times New Roman" w:hAnsi="Times New Roman" w:cs="Times New Roman"/>
        </w:rPr>
        <w:t xml:space="preserve"> </w:t>
      </w:r>
      <w:r w:rsidRPr="00E7167E" w:rsidR="004823AE">
        <w:rPr>
          <w:rFonts w:ascii="Times New Roman" w:eastAsia="Times New Roman" w:hAnsi="Times New Roman" w:cs="Times New Roman"/>
        </w:rPr>
        <w:t>legal</w:t>
      </w:r>
      <w:r w:rsidRPr="004C48FE" w:rsidR="00C50042">
        <w:rPr>
          <w:rFonts w:ascii="Times New Roman" w:eastAsia="Times New Roman" w:hAnsi="Times New Roman" w:cs="Times New Roman"/>
        </w:rPr>
        <w:t xml:space="preserve"> authority to intervene in a certification proceeding.</w:t>
      </w:r>
      <w:r>
        <w:rPr>
          <w:rStyle w:val="FootnoteReference"/>
          <w:rFonts w:ascii="Times New Roman" w:eastAsia="Times New Roman" w:hAnsi="Times New Roman" w:cs="Times New Roman"/>
        </w:rPr>
        <w:footnoteReference w:id="8"/>
      </w:r>
      <w:r w:rsidRPr="004C48FE" w:rsidR="00C50042">
        <w:rPr>
          <w:rFonts w:ascii="Times New Roman" w:eastAsia="Times New Roman" w:hAnsi="Times New Roman" w:cs="Times New Roman"/>
        </w:rPr>
        <w:t xml:space="preserve"> </w:t>
      </w:r>
      <w:r w:rsidR="0047275E">
        <w:rPr>
          <w:rFonts w:ascii="Times New Roman" w:eastAsia="Times New Roman" w:hAnsi="Times New Roman" w:cs="Times New Roman"/>
        </w:rPr>
        <w:t xml:space="preserve">XOOM is wrong. </w:t>
      </w:r>
    </w:p>
    <w:p w:rsidR="00337CB7" w:rsidRPr="00E7167E" w:rsidP="00CA35A2" w14:paraId="008AF426" w14:textId="3CF635A7">
      <w:pPr>
        <w:spacing w:line="480" w:lineRule="auto"/>
        <w:ind w:firstLine="720"/>
        <w:rPr>
          <w:rFonts w:ascii="Times New Roman" w:eastAsia="Times New Roman" w:hAnsi="Times New Roman" w:cs="Times New Roman"/>
        </w:rPr>
      </w:pPr>
      <w:r w:rsidRPr="00B00919">
        <w:rPr>
          <w:rFonts w:ascii="Times New Roman" w:eastAsia="Times New Roman" w:hAnsi="Times New Roman" w:cs="Times New Roman"/>
        </w:rPr>
        <w:t>XOOM</w:t>
      </w:r>
      <w:r w:rsidRPr="00B00919" w:rsidR="00C50042">
        <w:rPr>
          <w:rFonts w:ascii="Times New Roman" w:eastAsia="Times New Roman" w:hAnsi="Times New Roman" w:cs="Times New Roman"/>
        </w:rPr>
        <w:t xml:space="preserve"> </w:t>
      </w:r>
      <w:r w:rsidRPr="00B00919" w:rsidR="006C3FCE">
        <w:rPr>
          <w:rFonts w:ascii="Times New Roman" w:eastAsia="Times New Roman" w:hAnsi="Times New Roman" w:cs="Times New Roman"/>
        </w:rPr>
        <w:t>claims</w:t>
      </w:r>
      <w:r w:rsidRPr="00B00919" w:rsidR="000C504E">
        <w:rPr>
          <w:rFonts w:ascii="Times New Roman" w:eastAsia="Times New Roman" w:hAnsi="Times New Roman" w:cs="Times New Roman"/>
        </w:rPr>
        <w:t xml:space="preserve"> </w:t>
      </w:r>
      <w:r w:rsidRPr="00B00919" w:rsidR="00C50042">
        <w:rPr>
          <w:rFonts w:ascii="Times New Roman" w:eastAsia="Times New Roman" w:hAnsi="Times New Roman" w:cs="Times New Roman"/>
        </w:rPr>
        <w:t>that R.C. 4929.24(C)(1</w:t>
      </w:r>
      <w:r w:rsidRPr="00B00919" w:rsidR="009B05DC">
        <w:rPr>
          <w:rFonts w:ascii="Times New Roman" w:eastAsia="Times New Roman" w:hAnsi="Times New Roman" w:cs="Times New Roman"/>
        </w:rPr>
        <w:t>)</w:t>
      </w:r>
      <w:r w:rsidRPr="00B00919" w:rsidR="000C504E">
        <w:rPr>
          <w:rFonts w:ascii="Times New Roman" w:eastAsia="Times New Roman" w:hAnsi="Times New Roman" w:cs="Times New Roman"/>
        </w:rPr>
        <w:t xml:space="preserve"> </w:t>
      </w:r>
      <w:r w:rsidRPr="00B00919" w:rsidR="00C50042">
        <w:rPr>
          <w:rFonts w:ascii="Times New Roman" w:eastAsia="Times New Roman" w:hAnsi="Times New Roman" w:cs="Times New Roman"/>
        </w:rPr>
        <w:t xml:space="preserve">enumerates </w:t>
      </w:r>
      <w:r w:rsidRPr="00B00919" w:rsidR="000C504E">
        <w:rPr>
          <w:rFonts w:ascii="Times New Roman" w:eastAsia="Times New Roman" w:hAnsi="Times New Roman" w:cs="Times New Roman"/>
        </w:rPr>
        <w:t>exclusively when</w:t>
      </w:r>
      <w:r w:rsidRPr="00B00919" w:rsidR="00C50042">
        <w:rPr>
          <w:rFonts w:ascii="Times New Roman" w:eastAsia="Times New Roman" w:hAnsi="Times New Roman" w:cs="Times New Roman"/>
        </w:rPr>
        <w:t xml:space="preserve"> OCC may intervene in CRNG proceedings</w:t>
      </w:r>
      <w:r w:rsidRPr="00B00919" w:rsidR="009B05DC">
        <w:rPr>
          <w:rFonts w:ascii="Times New Roman" w:eastAsia="Times New Roman" w:hAnsi="Times New Roman" w:cs="Times New Roman"/>
        </w:rPr>
        <w:t xml:space="preserve"> and applies to consumer complaints only</w:t>
      </w:r>
      <w:r w:rsidRPr="00B00919" w:rsidR="00C50042">
        <w:rPr>
          <w:rFonts w:ascii="Times New Roman" w:eastAsia="Times New Roman" w:hAnsi="Times New Roman" w:cs="Times New Roman"/>
        </w:rPr>
        <w:t>.</w:t>
      </w:r>
      <w:r>
        <w:rPr>
          <w:rStyle w:val="FootnoteReference"/>
          <w:rFonts w:ascii="Times New Roman" w:eastAsia="Times New Roman" w:hAnsi="Times New Roman" w:cs="Times New Roman"/>
        </w:rPr>
        <w:footnoteReference w:id="9"/>
      </w:r>
      <w:r w:rsidRPr="00373DFE" w:rsidR="009E7A13">
        <w:rPr>
          <w:rFonts w:ascii="Times New Roman" w:eastAsia="Times New Roman" w:hAnsi="Times New Roman" w:cs="Times New Roman"/>
        </w:rPr>
        <w:t xml:space="preserve"> </w:t>
      </w:r>
      <w:r w:rsidRPr="00373DFE" w:rsidR="00A221AE">
        <w:rPr>
          <w:rFonts w:ascii="Times New Roman" w:eastAsia="Times New Roman" w:hAnsi="Times New Roman" w:cs="Times New Roman"/>
        </w:rPr>
        <w:t>This argument is</w:t>
      </w:r>
      <w:r w:rsidRPr="00373DFE" w:rsidR="009E7A13">
        <w:rPr>
          <w:rFonts w:ascii="Times New Roman" w:eastAsia="Times New Roman" w:hAnsi="Times New Roman" w:cs="Times New Roman"/>
        </w:rPr>
        <w:t xml:space="preserve"> nothing more than </w:t>
      </w:r>
      <w:r w:rsidR="000D7B34">
        <w:rPr>
          <w:rFonts w:ascii="Times New Roman" w:eastAsia="Times New Roman" w:hAnsi="Times New Roman" w:cs="Times New Roman"/>
        </w:rPr>
        <w:t xml:space="preserve">a </w:t>
      </w:r>
      <w:r w:rsidRPr="00373DFE" w:rsidR="009E7A13">
        <w:rPr>
          <w:rFonts w:ascii="Times New Roman" w:eastAsia="Times New Roman" w:hAnsi="Times New Roman" w:cs="Times New Roman"/>
        </w:rPr>
        <w:t xml:space="preserve">misdirection, </w:t>
      </w:r>
      <w:r w:rsidR="008E7A3D">
        <w:rPr>
          <w:rFonts w:ascii="Times New Roman" w:eastAsia="Times New Roman" w:hAnsi="Times New Roman" w:cs="Times New Roman"/>
        </w:rPr>
        <w:t xml:space="preserve">in </w:t>
      </w:r>
      <w:r w:rsidRPr="00373DFE" w:rsidR="009E7A13">
        <w:rPr>
          <w:rFonts w:ascii="Times New Roman" w:eastAsia="Times New Roman" w:hAnsi="Times New Roman" w:cs="Times New Roman"/>
        </w:rPr>
        <w:t>an attempt to draw the PUCO’s focus away from separate statutes and precedent that c</w:t>
      </w:r>
      <w:r w:rsidRPr="00E7167E" w:rsidR="009E7A13">
        <w:rPr>
          <w:rFonts w:ascii="Times New Roman" w:eastAsia="Times New Roman" w:hAnsi="Times New Roman" w:cs="Times New Roman"/>
        </w:rPr>
        <w:t xml:space="preserve">learly authorize OCC to intervene. The PUCO must not fall for it. </w:t>
      </w:r>
    </w:p>
    <w:p w:rsidR="00CA35A2" w:rsidRPr="00B00919" w:rsidP="006C3FCE" w14:paraId="008AF428" w14:textId="2B3DA550">
      <w:pPr>
        <w:spacing w:line="480" w:lineRule="auto"/>
        <w:ind w:firstLine="720"/>
        <w:rPr>
          <w:rFonts w:ascii="Times New Roman" w:eastAsia="Times New Roman" w:hAnsi="Times New Roman" w:cs="Times New Roman"/>
        </w:rPr>
      </w:pPr>
      <w:r w:rsidRPr="004C48FE">
        <w:rPr>
          <w:rFonts w:ascii="Times New Roman" w:eastAsia="Times New Roman" w:hAnsi="Times New Roman" w:cs="Times New Roman"/>
        </w:rPr>
        <w:t xml:space="preserve">OCC’s authority to intervene is broader than the enumerated powers </w:t>
      </w:r>
      <w:r w:rsidRPr="00B00919" w:rsidR="00B66934">
        <w:rPr>
          <w:rFonts w:ascii="Times New Roman" w:eastAsia="Times New Roman" w:hAnsi="Times New Roman" w:cs="Times New Roman"/>
        </w:rPr>
        <w:t>XOOM</w:t>
      </w:r>
      <w:r w:rsidRPr="00B00919">
        <w:rPr>
          <w:rFonts w:ascii="Times New Roman" w:eastAsia="Times New Roman" w:hAnsi="Times New Roman" w:cs="Times New Roman"/>
        </w:rPr>
        <w:t xml:space="preserve"> cites. The General Assembly </w:t>
      </w:r>
      <w:r w:rsidRPr="00B00919" w:rsidR="000169BA">
        <w:rPr>
          <w:rFonts w:ascii="Times New Roman" w:eastAsia="Times New Roman" w:hAnsi="Times New Roman" w:cs="Times New Roman"/>
        </w:rPr>
        <w:t xml:space="preserve">wisely </w:t>
      </w:r>
      <w:r w:rsidRPr="00B00919">
        <w:rPr>
          <w:rFonts w:ascii="Times New Roman" w:eastAsia="Times New Roman" w:hAnsi="Times New Roman" w:cs="Times New Roman"/>
        </w:rPr>
        <w:t xml:space="preserve">wrote </w:t>
      </w:r>
      <w:r w:rsidRPr="00B00919" w:rsidR="00E43F37">
        <w:rPr>
          <w:rFonts w:ascii="Times New Roman" w:eastAsia="Times New Roman" w:hAnsi="Times New Roman" w:cs="Times New Roman"/>
        </w:rPr>
        <w:t>into</w:t>
      </w:r>
      <w:r w:rsidRPr="00B00919">
        <w:rPr>
          <w:rFonts w:ascii="Times New Roman" w:eastAsia="Times New Roman" w:hAnsi="Times New Roman" w:cs="Times New Roman"/>
        </w:rPr>
        <w:t xml:space="preserve"> R.C. 4911.02(B)(2) that the Consumers’ Counsel has right to protect consumers </w:t>
      </w:r>
      <w:r w:rsidRPr="00B00919">
        <w:rPr>
          <w:rFonts w:ascii="Times New Roman" w:eastAsia="Times New Roman" w:hAnsi="Times New Roman" w:cs="Times New Roman"/>
          <w:i/>
          <w:iCs/>
        </w:rPr>
        <w:t>“</w:t>
      </w:r>
      <w:r w:rsidRPr="00B00919" w:rsidR="00FC20C8">
        <w:rPr>
          <w:rFonts w:ascii="Times New Roman" w:eastAsia="Times New Roman" w:hAnsi="Times New Roman" w:cs="Times New Roman"/>
          <w:i/>
          <w:iCs/>
        </w:rPr>
        <w:t>[w]</w:t>
      </w:r>
      <w:r w:rsidRPr="00B00919">
        <w:rPr>
          <w:rFonts w:ascii="Times New Roman" w:eastAsia="Times New Roman" w:hAnsi="Times New Roman" w:cs="Times New Roman"/>
          <w:i/>
          <w:iCs/>
        </w:rPr>
        <w:t>ithout limitation because of enumeration….”</w:t>
      </w:r>
      <w:r w:rsidRPr="00B00919">
        <w:rPr>
          <w:rFonts w:ascii="Times New Roman" w:eastAsia="Times New Roman" w:hAnsi="Times New Roman" w:cs="Times New Roman"/>
        </w:rPr>
        <w:t xml:space="preserve"> (Emphasis added.) </w:t>
      </w:r>
      <w:r w:rsidRPr="00B00919" w:rsidR="00B66934">
        <w:rPr>
          <w:rFonts w:ascii="Times New Roman" w:eastAsia="Times New Roman" w:hAnsi="Times New Roman" w:cs="Times New Roman"/>
        </w:rPr>
        <w:t>XOOM</w:t>
      </w:r>
      <w:r w:rsidRPr="00B00919">
        <w:rPr>
          <w:rFonts w:ascii="Times New Roman" w:eastAsia="Times New Roman" w:hAnsi="Times New Roman" w:cs="Times New Roman"/>
        </w:rPr>
        <w:t xml:space="preserve"> ignores </w:t>
      </w:r>
      <w:r w:rsidRPr="00B00919" w:rsidR="00A2621D">
        <w:rPr>
          <w:rFonts w:ascii="Times New Roman" w:eastAsia="Times New Roman" w:hAnsi="Times New Roman" w:cs="Times New Roman"/>
        </w:rPr>
        <w:t>this, claiming</w:t>
      </w:r>
      <w:r w:rsidRPr="00B00919">
        <w:rPr>
          <w:rFonts w:ascii="Times New Roman" w:eastAsia="Times New Roman" w:hAnsi="Times New Roman" w:cs="Times New Roman"/>
        </w:rPr>
        <w:t xml:space="preserve"> OCC cannot intervene in a certification action because </w:t>
      </w:r>
      <w:r w:rsidRPr="00B00919" w:rsidR="004823AE">
        <w:rPr>
          <w:rFonts w:ascii="Times New Roman" w:eastAsia="Times New Roman" w:hAnsi="Times New Roman" w:cs="Times New Roman"/>
        </w:rPr>
        <w:t>i</w:t>
      </w:r>
      <w:r w:rsidRPr="00B00919" w:rsidR="00F91E57">
        <w:rPr>
          <w:rFonts w:ascii="Times New Roman" w:eastAsia="Times New Roman" w:hAnsi="Times New Roman" w:cs="Times New Roman"/>
        </w:rPr>
        <w:t>t</w:t>
      </w:r>
      <w:r w:rsidRPr="00B00919">
        <w:rPr>
          <w:rFonts w:ascii="Times New Roman" w:eastAsia="Times New Roman" w:hAnsi="Times New Roman" w:cs="Times New Roman"/>
        </w:rPr>
        <w:t xml:space="preserve"> is not enumerated. Th</w:t>
      </w:r>
      <w:r w:rsidRPr="00B00919" w:rsidR="00E43F37">
        <w:rPr>
          <w:rFonts w:ascii="Times New Roman" w:eastAsia="Times New Roman" w:hAnsi="Times New Roman" w:cs="Times New Roman"/>
        </w:rPr>
        <w:t xml:space="preserve">at </w:t>
      </w:r>
      <w:r w:rsidRPr="00B00919">
        <w:rPr>
          <w:rFonts w:ascii="Times New Roman" w:eastAsia="Times New Roman" w:hAnsi="Times New Roman" w:cs="Times New Roman"/>
        </w:rPr>
        <w:t>makes no sense.</w:t>
      </w:r>
      <w:r w:rsidR="00173D90">
        <w:rPr>
          <w:rFonts w:ascii="Times New Roman" w:eastAsia="Times New Roman" w:hAnsi="Times New Roman" w:cs="Times New Roman"/>
        </w:rPr>
        <w:t xml:space="preserve"> And </w:t>
      </w:r>
      <w:r w:rsidR="009B2B55">
        <w:rPr>
          <w:rFonts w:ascii="Times New Roman" w:eastAsia="Times New Roman" w:hAnsi="Times New Roman" w:cs="Times New Roman"/>
        </w:rPr>
        <w:t xml:space="preserve">this argument in contradicted by the </w:t>
      </w:r>
      <w:r w:rsidR="00C733D7">
        <w:rPr>
          <w:rFonts w:ascii="Times New Roman" w:eastAsia="Times New Roman" w:hAnsi="Times New Roman" w:cs="Times New Roman"/>
        </w:rPr>
        <w:t>Supreme</w:t>
      </w:r>
      <w:r w:rsidR="009B2B55">
        <w:rPr>
          <w:rFonts w:ascii="Times New Roman" w:eastAsia="Times New Roman" w:hAnsi="Times New Roman" w:cs="Times New Roman"/>
        </w:rPr>
        <w:t xml:space="preserve"> Court of Ohio’s decision in </w:t>
      </w:r>
      <w:r w:rsidR="009B2B55">
        <w:rPr>
          <w:rFonts w:ascii="Times New Roman" w:eastAsia="Times New Roman" w:hAnsi="Times New Roman" w:cs="Times New Roman"/>
          <w:i/>
          <w:iCs/>
        </w:rPr>
        <w:t>FirstEnergy Advisors</w:t>
      </w:r>
      <w:r w:rsidR="00C733D7">
        <w:rPr>
          <w:rFonts w:ascii="Times New Roman" w:eastAsia="Times New Roman" w:hAnsi="Times New Roman" w:cs="Times New Roman"/>
          <w:i/>
          <w:iCs/>
        </w:rPr>
        <w:t xml:space="preserve"> </w:t>
      </w:r>
      <w:r w:rsidR="00C733D7">
        <w:rPr>
          <w:rFonts w:ascii="Times New Roman" w:eastAsia="Times New Roman" w:hAnsi="Times New Roman" w:cs="Times New Roman"/>
        </w:rPr>
        <w:t>(a certification case)</w:t>
      </w:r>
      <w:r w:rsidR="00BE642E">
        <w:rPr>
          <w:rFonts w:ascii="Times New Roman" w:eastAsia="Times New Roman" w:hAnsi="Times New Roman" w:cs="Times New Roman"/>
        </w:rPr>
        <w:t>.</w:t>
      </w:r>
      <w:r>
        <w:rPr>
          <w:rStyle w:val="FootnoteReference"/>
          <w:rFonts w:ascii="Times New Roman" w:eastAsia="Times New Roman" w:hAnsi="Times New Roman" w:cs="Times New Roman"/>
        </w:rPr>
        <w:footnoteReference w:id="10"/>
      </w:r>
      <w:r w:rsidR="00BE642E">
        <w:rPr>
          <w:rFonts w:ascii="Times New Roman" w:eastAsia="Times New Roman" w:hAnsi="Times New Roman" w:cs="Times New Roman"/>
        </w:rPr>
        <w:t xml:space="preserve"> In </w:t>
      </w:r>
      <w:r w:rsidR="00C733D7">
        <w:rPr>
          <w:rFonts w:ascii="Times New Roman" w:eastAsia="Times New Roman" w:hAnsi="Times New Roman" w:cs="Times New Roman"/>
        </w:rPr>
        <w:t>its</w:t>
      </w:r>
      <w:r w:rsidR="00BE642E">
        <w:rPr>
          <w:rFonts w:ascii="Times New Roman" w:eastAsia="Times New Roman" w:hAnsi="Times New Roman" w:cs="Times New Roman"/>
        </w:rPr>
        <w:t xml:space="preserve"> decision, the Court agreed with </w:t>
      </w:r>
      <w:r w:rsidR="00D93C57">
        <w:rPr>
          <w:rFonts w:ascii="Times New Roman" w:eastAsia="Times New Roman" w:hAnsi="Times New Roman" w:cs="Times New Roman"/>
        </w:rPr>
        <w:t xml:space="preserve">OCC and found that the PUCO’s decision </w:t>
      </w:r>
      <w:r w:rsidR="00C733D7">
        <w:rPr>
          <w:rFonts w:ascii="Times New Roman" w:eastAsia="Times New Roman" w:hAnsi="Times New Roman" w:cs="Times New Roman"/>
        </w:rPr>
        <w:t>violated Ohio law.</w:t>
      </w:r>
      <w:r>
        <w:rPr>
          <w:rStyle w:val="FootnoteReference"/>
          <w:rFonts w:ascii="Times New Roman" w:eastAsia="Times New Roman" w:hAnsi="Times New Roman" w:cs="Times New Roman"/>
        </w:rPr>
        <w:footnoteReference w:id="11"/>
      </w:r>
      <w:r w:rsidR="00C733D7">
        <w:rPr>
          <w:rFonts w:ascii="Times New Roman" w:eastAsia="Times New Roman" w:hAnsi="Times New Roman" w:cs="Times New Roman"/>
        </w:rPr>
        <w:t xml:space="preserve"> This decision would not exist if OCC had not </w:t>
      </w:r>
      <w:r w:rsidR="009B25BE">
        <w:rPr>
          <w:rFonts w:ascii="Times New Roman" w:eastAsia="Times New Roman" w:hAnsi="Times New Roman" w:cs="Times New Roman"/>
        </w:rPr>
        <w:t>been granted intervention</w:t>
      </w:r>
      <w:r w:rsidR="00C733D7">
        <w:rPr>
          <w:rFonts w:ascii="Times New Roman" w:eastAsia="Times New Roman" w:hAnsi="Times New Roman" w:cs="Times New Roman"/>
        </w:rPr>
        <w:t xml:space="preserve"> and participated in the </w:t>
      </w:r>
      <w:r w:rsidR="009B25BE">
        <w:rPr>
          <w:rFonts w:ascii="Times New Roman" w:eastAsia="Times New Roman" w:hAnsi="Times New Roman" w:cs="Times New Roman"/>
        </w:rPr>
        <w:t xml:space="preserve">certification </w:t>
      </w:r>
      <w:r w:rsidR="00C733D7">
        <w:rPr>
          <w:rFonts w:ascii="Times New Roman" w:eastAsia="Times New Roman" w:hAnsi="Times New Roman" w:cs="Times New Roman"/>
        </w:rPr>
        <w:t>case.</w:t>
      </w:r>
      <w:r>
        <w:rPr>
          <w:rStyle w:val="FootnoteReference"/>
          <w:rFonts w:ascii="Times New Roman" w:eastAsia="Times New Roman" w:hAnsi="Times New Roman" w:cs="Times New Roman"/>
        </w:rPr>
        <w:footnoteReference w:id="12"/>
      </w:r>
      <w:r w:rsidR="00BE642E">
        <w:rPr>
          <w:rFonts w:ascii="Times New Roman" w:eastAsia="Times New Roman" w:hAnsi="Times New Roman" w:cs="Times New Roman"/>
        </w:rPr>
        <w:t xml:space="preserve"> </w:t>
      </w:r>
      <w:r w:rsidRPr="00B00919">
        <w:rPr>
          <w:rFonts w:ascii="Times New Roman" w:eastAsia="Times New Roman" w:hAnsi="Times New Roman" w:cs="Times New Roman"/>
        </w:rPr>
        <w:t>Moreover, even what is enumerated</w:t>
      </w:r>
      <w:r w:rsidRPr="00B00919" w:rsidR="006C3FCE">
        <w:rPr>
          <w:rFonts w:ascii="Times New Roman" w:eastAsia="Times New Roman" w:hAnsi="Times New Roman" w:cs="Times New Roman"/>
        </w:rPr>
        <w:t xml:space="preserve"> – for example, R.C. 4911.02(B)(2)(b) – allows</w:t>
      </w:r>
      <w:r w:rsidRPr="00B00919">
        <w:rPr>
          <w:rFonts w:ascii="Times New Roman" w:eastAsia="Times New Roman" w:hAnsi="Times New Roman" w:cs="Times New Roman"/>
        </w:rPr>
        <w:t xml:space="preserve"> OCC to intervene</w:t>
      </w:r>
      <w:r w:rsidRPr="00B00919" w:rsidR="006C3FCE">
        <w:rPr>
          <w:rFonts w:ascii="Times New Roman" w:eastAsia="Times New Roman" w:hAnsi="Times New Roman" w:cs="Times New Roman"/>
        </w:rPr>
        <w:t xml:space="preserve"> in this case</w:t>
      </w:r>
      <w:r w:rsidRPr="00B00919">
        <w:rPr>
          <w:rFonts w:ascii="Times New Roman" w:eastAsia="Times New Roman" w:hAnsi="Times New Roman" w:cs="Times New Roman"/>
        </w:rPr>
        <w:t xml:space="preserve">. </w:t>
      </w:r>
      <w:r w:rsidRPr="00B00919" w:rsidR="00B53F21">
        <w:rPr>
          <w:rFonts w:ascii="Times New Roman" w:eastAsia="Times New Roman" w:hAnsi="Times New Roman" w:cs="Times New Roman"/>
        </w:rPr>
        <w:t xml:space="preserve">This is especially so because </w:t>
      </w:r>
      <w:r w:rsidRPr="00B00919" w:rsidR="00FC20C8">
        <w:rPr>
          <w:rFonts w:ascii="Times New Roman" w:eastAsia="Times New Roman" w:hAnsi="Times New Roman" w:cs="Times New Roman"/>
        </w:rPr>
        <w:t xml:space="preserve">the </w:t>
      </w:r>
      <w:r w:rsidRPr="00B00919" w:rsidR="00B53F21">
        <w:rPr>
          <w:rFonts w:ascii="Times New Roman" w:eastAsia="Times New Roman" w:hAnsi="Times New Roman" w:cs="Times New Roman"/>
        </w:rPr>
        <w:t>PUCO has found that “</w:t>
      </w:r>
      <w:r w:rsidRPr="00B00919" w:rsidR="00CD0FE3">
        <w:rPr>
          <w:rFonts w:ascii="Times New Roman" w:eastAsia="Times New Roman" w:hAnsi="Times New Roman" w:cs="Times New Roman"/>
        </w:rPr>
        <w:t>…</w:t>
      </w:r>
      <w:r w:rsidRPr="00B00919" w:rsidR="00B53F21">
        <w:rPr>
          <w:rFonts w:ascii="Times New Roman" w:eastAsia="Times New Roman" w:hAnsi="Times New Roman" w:cs="Times New Roman"/>
        </w:rPr>
        <w:t xml:space="preserve">the provisions of Section 4911.02 should be construed </w:t>
      </w:r>
      <w:r w:rsidRPr="00B00919" w:rsidR="00B53F21">
        <w:rPr>
          <w:rFonts w:ascii="Times New Roman" w:eastAsia="Times New Roman" w:hAnsi="Times New Roman" w:cs="Times New Roman"/>
          <w:i/>
          <w:iCs/>
        </w:rPr>
        <w:t>as broadly as possible</w:t>
      </w:r>
      <w:r w:rsidRPr="00B00919" w:rsidR="00B53F21">
        <w:rPr>
          <w:rFonts w:ascii="Times New Roman" w:eastAsia="Times New Roman" w:hAnsi="Times New Roman" w:cs="Times New Roman"/>
        </w:rPr>
        <w:t>.”</w:t>
      </w:r>
      <w:r>
        <w:rPr>
          <w:rFonts w:ascii="Times New Roman" w:eastAsia="Times New Roman" w:hAnsi="Times New Roman" w:cs="Times New Roman"/>
          <w:vertAlign w:val="superscript"/>
        </w:rPr>
        <w:footnoteReference w:id="13"/>
      </w:r>
      <w:r w:rsidRPr="00373DFE" w:rsidR="00B53F21">
        <w:rPr>
          <w:rFonts w:ascii="Times New Roman" w:eastAsia="Times New Roman" w:hAnsi="Times New Roman" w:cs="Times New Roman"/>
        </w:rPr>
        <w:t xml:space="preserve"> </w:t>
      </w:r>
      <w:r w:rsidRPr="00373DFE" w:rsidR="009B05DC">
        <w:rPr>
          <w:rFonts w:ascii="Times New Roman" w:eastAsia="Times New Roman" w:hAnsi="Times New Roman" w:cs="Times New Roman"/>
        </w:rPr>
        <w:t>OCC’s intervention</w:t>
      </w:r>
      <w:r w:rsidRPr="00373DFE" w:rsidR="00B53F21">
        <w:rPr>
          <w:rFonts w:ascii="Times New Roman" w:eastAsia="Times New Roman" w:hAnsi="Times New Roman" w:cs="Times New Roman"/>
        </w:rPr>
        <w:t xml:space="preserve"> in this case</w:t>
      </w:r>
      <w:r w:rsidRPr="00B35098" w:rsidR="009B05DC">
        <w:rPr>
          <w:rFonts w:ascii="Times New Roman" w:eastAsia="Times New Roman" w:hAnsi="Times New Roman" w:cs="Times New Roman"/>
        </w:rPr>
        <w:t xml:space="preserve"> is </w:t>
      </w:r>
      <w:r w:rsidRPr="00E7167E" w:rsidR="00B32D80">
        <w:rPr>
          <w:rFonts w:ascii="Times New Roman" w:eastAsia="Times New Roman" w:hAnsi="Times New Roman" w:cs="Times New Roman"/>
        </w:rPr>
        <w:t>an “</w:t>
      </w:r>
      <w:r w:rsidRPr="00E7167E" w:rsidR="008D7E6D">
        <w:rPr>
          <w:rFonts w:ascii="Times New Roman" w:eastAsia="Times New Roman" w:hAnsi="Times New Roman" w:cs="Times New Roman"/>
        </w:rPr>
        <w:t xml:space="preserve">appropriate </w:t>
      </w:r>
      <w:r w:rsidRPr="00E7167E" w:rsidR="00B32D80">
        <w:rPr>
          <w:rFonts w:ascii="Times New Roman" w:eastAsia="Times New Roman" w:hAnsi="Times New Roman" w:cs="Times New Roman"/>
        </w:rPr>
        <w:t>action with respect to residential consumer complaints concerning quality of servic</w:t>
      </w:r>
      <w:r w:rsidRPr="004C48FE" w:rsidR="00B53F21">
        <w:rPr>
          <w:rFonts w:ascii="Times New Roman" w:eastAsia="Times New Roman" w:hAnsi="Times New Roman" w:cs="Times New Roman"/>
        </w:rPr>
        <w:t xml:space="preserve">e,” which </w:t>
      </w:r>
      <w:r w:rsidRPr="009D2D33" w:rsidR="009B05DC">
        <w:rPr>
          <w:rFonts w:ascii="Times New Roman" w:eastAsia="Times New Roman" w:hAnsi="Times New Roman" w:cs="Times New Roman"/>
        </w:rPr>
        <w:t xml:space="preserve">R.C. 4911.02(B)(2)(b) authorizes OCC to take. </w:t>
      </w:r>
      <w:r w:rsidRPr="0020557E" w:rsidR="00C678D1">
        <w:rPr>
          <w:rFonts w:ascii="Times New Roman" w:eastAsia="Times New Roman" w:hAnsi="Times New Roman" w:cs="Times New Roman"/>
        </w:rPr>
        <w:t xml:space="preserve">The PUCO received </w:t>
      </w:r>
      <w:r w:rsidR="00E85092">
        <w:rPr>
          <w:rFonts w:ascii="Times New Roman" w:eastAsia="Times New Roman" w:hAnsi="Times New Roman" w:cs="Times New Roman"/>
        </w:rPr>
        <w:t>at least 40</w:t>
      </w:r>
      <w:r w:rsidRPr="0020557E" w:rsidR="00C678D1">
        <w:rPr>
          <w:rFonts w:ascii="Times New Roman" w:eastAsia="Times New Roman" w:hAnsi="Times New Roman" w:cs="Times New Roman"/>
        </w:rPr>
        <w:t xml:space="preserve"> consumer complaints that document </w:t>
      </w:r>
      <w:r w:rsidRPr="00B00919" w:rsidR="00B66934">
        <w:rPr>
          <w:rFonts w:ascii="Times New Roman" w:eastAsia="Times New Roman" w:hAnsi="Times New Roman" w:cs="Times New Roman"/>
        </w:rPr>
        <w:t>XOOM’s</w:t>
      </w:r>
      <w:r w:rsidRPr="00B00919" w:rsidR="0081284D">
        <w:rPr>
          <w:rFonts w:ascii="Times New Roman" w:eastAsia="Times New Roman" w:hAnsi="Times New Roman" w:cs="Times New Roman"/>
        </w:rPr>
        <w:t xml:space="preserve"> </w:t>
      </w:r>
      <w:r w:rsidR="001B2957">
        <w:rPr>
          <w:rFonts w:ascii="Times New Roman" w:eastAsia="Times New Roman" w:hAnsi="Times New Roman" w:cs="Times New Roman"/>
        </w:rPr>
        <w:t>inadequate</w:t>
      </w:r>
      <w:r w:rsidRPr="00B00919" w:rsidR="001B2957">
        <w:rPr>
          <w:rFonts w:ascii="Times New Roman" w:eastAsia="Times New Roman" w:hAnsi="Times New Roman" w:cs="Times New Roman"/>
        </w:rPr>
        <w:t xml:space="preserve"> </w:t>
      </w:r>
      <w:r w:rsidRPr="00B00919" w:rsidR="00EA593B">
        <w:rPr>
          <w:rFonts w:ascii="Times New Roman" w:eastAsia="Times New Roman" w:hAnsi="Times New Roman" w:cs="Times New Roman"/>
        </w:rPr>
        <w:t xml:space="preserve">service to Ohioans, specifically a pattern of </w:t>
      </w:r>
      <w:r w:rsidRPr="00B00919" w:rsidR="00C678D1">
        <w:rPr>
          <w:rFonts w:ascii="Times New Roman" w:eastAsia="Times New Roman" w:hAnsi="Times New Roman" w:cs="Times New Roman"/>
        </w:rPr>
        <w:t xml:space="preserve">unfair marketing practices. </w:t>
      </w:r>
      <w:r w:rsidRPr="00B00919" w:rsidR="0081284D">
        <w:rPr>
          <w:rFonts w:ascii="Times New Roman" w:eastAsia="Times New Roman" w:hAnsi="Times New Roman" w:cs="Times New Roman"/>
        </w:rPr>
        <w:t xml:space="preserve">Consequently, OCC’s intervention </w:t>
      </w:r>
      <w:r w:rsidRPr="00B00919" w:rsidR="006C3FCE">
        <w:rPr>
          <w:rFonts w:ascii="Times New Roman" w:eastAsia="Times New Roman" w:hAnsi="Times New Roman" w:cs="Times New Roman"/>
        </w:rPr>
        <w:t xml:space="preserve">in this case </w:t>
      </w:r>
      <w:r w:rsidRPr="00B00919" w:rsidR="0081284D">
        <w:rPr>
          <w:rFonts w:ascii="Times New Roman" w:eastAsia="Times New Roman" w:hAnsi="Times New Roman" w:cs="Times New Roman"/>
        </w:rPr>
        <w:t>is within its enumerated R.C. 4911.02(B)(2)(b) authority.</w:t>
      </w:r>
      <w:r w:rsidRPr="00B00919" w:rsidR="00B32D80">
        <w:rPr>
          <w:rFonts w:ascii="Times New Roman" w:eastAsia="Times New Roman" w:hAnsi="Times New Roman" w:cs="Times New Roman"/>
        </w:rPr>
        <w:t xml:space="preserve"> </w:t>
      </w:r>
    </w:p>
    <w:p w:rsidR="002747B5" w:rsidRPr="00B00919" w:rsidP="002747B5" w14:paraId="008AF429" w14:textId="2020F851">
      <w:pPr>
        <w:spacing w:line="480" w:lineRule="auto"/>
        <w:ind w:firstLine="720"/>
        <w:rPr>
          <w:rFonts w:ascii="Times New Roman" w:eastAsia="Times New Roman" w:hAnsi="Times New Roman" w:cs="Times New Roman"/>
        </w:rPr>
      </w:pPr>
      <w:r w:rsidRPr="00B00919">
        <w:rPr>
          <w:rFonts w:ascii="Times New Roman" w:eastAsia="Times New Roman" w:hAnsi="Times New Roman" w:cs="Times New Roman"/>
        </w:rPr>
        <w:t>XOOM’s</w:t>
      </w:r>
      <w:r w:rsidRPr="00B00919" w:rsidR="00C50042">
        <w:rPr>
          <w:rFonts w:ascii="Times New Roman" w:eastAsia="Times New Roman" w:hAnsi="Times New Roman" w:cs="Times New Roman"/>
        </w:rPr>
        <w:t xml:space="preserve"> claim that OCC has no authority to intervene</w:t>
      </w:r>
      <w:r w:rsidRPr="00B00919" w:rsidR="0087550F">
        <w:rPr>
          <w:rFonts w:ascii="Times New Roman" w:eastAsia="Times New Roman" w:hAnsi="Times New Roman" w:cs="Times New Roman"/>
        </w:rPr>
        <w:t xml:space="preserve"> also</w:t>
      </w:r>
      <w:r w:rsidRPr="00B00919" w:rsidR="00C50042">
        <w:rPr>
          <w:rFonts w:ascii="Times New Roman" w:eastAsia="Times New Roman" w:hAnsi="Times New Roman" w:cs="Times New Roman"/>
        </w:rPr>
        <w:t xml:space="preserve"> ignores R.C. 4903.221, which provides “[a]ny other person who may be adversely affected by a public utilities commission </w:t>
      </w:r>
      <w:r w:rsidRPr="00B00919" w:rsidR="00C50042">
        <w:rPr>
          <w:rFonts w:ascii="Times New Roman" w:eastAsia="Times New Roman" w:hAnsi="Times New Roman" w:cs="Times New Roman"/>
          <w:i/>
          <w:iCs/>
        </w:rPr>
        <w:t>proceeding</w:t>
      </w:r>
      <w:r w:rsidRPr="00B00919" w:rsidR="00C50042">
        <w:rPr>
          <w:rFonts w:ascii="Times New Roman" w:eastAsia="Times New Roman" w:hAnsi="Times New Roman" w:cs="Times New Roman"/>
        </w:rPr>
        <w:t xml:space="preserve"> may intervene in such </w:t>
      </w:r>
      <w:r w:rsidRPr="00B00919" w:rsidR="00C50042">
        <w:rPr>
          <w:rFonts w:ascii="Times New Roman" w:eastAsia="Times New Roman" w:hAnsi="Times New Roman" w:cs="Times New Roman"/>
          <w:i/>
          <w:iCs/>
        </w:rPr>
        <w:t>proceeding</w:t>
      </w:r>
      <w:r w:rsidRPr="00B00919" w:rsidR="00C50042">
        <w:rPr>
          <w:rFonts w:ascii="Times New Roman" w:eastAsia="Times New Roman" w:hAnsi="Times New Roman" w:cs="Times New Roman"/>
        </w:rPr>
        <w:t xml:space="preserve"> [].” (Emphasis added). R.C. 4903.221</w:t>
      </w:r>
      <w:r w:rsidR="00F2698E">
        <w:rPr>
          <w:rFonts w:ascii="Times New Roman" w:eastAsia="Times New Roman" w:hAnsi="Times New Roman" w:cs="Times New Roman"/>
        </w:rPr>
        <w:t xml:space="preserve">, an intervention </w:t>
      </w:r>
      <w:r w:rsidR="00904C2B">
        <w:rPr>
          <w:rFonts w:ascii="Times New Roman" w:eastAsia="Times New Roman" w:hAnsi="Times New Roman" w:cs="Times New Roman"/>
        </w:rPr>
        <w:t>protection</w:t>
      </w:r>
      <w:r w:rsidR="00F2698E">
        <w:rPr>
          <w:rFonts w:ascii="Times New Roman" w:eastAsia="Times New Roman" w:hAnsi="Times New Roman" w:cs="Times New Roman"/>
        </w:rPr>
        <w:t xml:space="preserve"> law four decades ago</w:t>
      </w:r>
      <w:r w:rsidR="00A5631E">
        <w:rPr>
          <w:rFonts w:ascii="Times New Roman" w:eastAsia="Times New Roman" w:hAnsi="Times New Roman" w:cs="Times New Roman"/>
        </w:rPr>
        <w:t>,</w:t>
      </w:r>
      <w:r w:rsidRPr="00B00919" w:rsidR="00C50042">
        <w:rPr>
          <w:rFonts w:ascii="Times New Roman" w:eastAsia="Times New Roman" w:hAnsi="Times New Roman" w:cs="Times New Roman"/>
        </w:rPr>
        <w:t xml:space="preserve"> makes no distinction between </w:t>
      </w:r>
      <w:r w:rsidRPr="00B00919" w:rsidR="006A337F">
        <w:rPr>
          <w:rFonts w:ascii="Times New Roman" w:eastAsia="Times New Roman" w:hAnsi="Times New Roman" w:cs="Times New Roman"/>
        </w:rPr>
        <w:t>a</w:t>
      </w:r>
      <w:r w:rsidRPr="00B00919" w:rsidR="0040431E">
        <w:rPr>
          <w:rFonts w:ascii="Times New Roman" w:eastAsia="Times New Roman" w:hAnsi="Times New Roman" w:cs="Times New Roman"/>
        </w:rPr>
        <w:t xml:space="preserve"> certification proceeding</w:t>
      </w:r>
      <w:r w:rsidRPr="00B00919" w:rsidR="006A337F">
        <w:rPr>
          <w:rFonts w:ascii="Times New Roman" w:eastAsia="Times New Roman" w:hAnsi="Times New Roman" w:cs="Times New Roman"/>
        </w:rPr>
        <w:t xml:space="preserve"> </w:t>
      </w:r>
      <w:r w:rsidRPr="00B00919" w:rsidR="00C50042">
        <w:rPr>
          <w:rFonts w:ascii="Times New Roman" w:eastAsia="Times New Roman" w:hAnsi="Times New Roman" w:cs="Times New Roman"/>
        </w:rPr>
        <w:t>or any other type of PUCO proceeding</w:t>
      </w:r>
      <w:r w:rsidR="00A5631E">
        <w:rPr>
          <w:rFonts w:ascii="Times New Roman" w:eastAsia="Times New Roman" w:hAnsi="Times New Roman" w:cs="Times New Roman"/>
        </w:rPr>
        <w:t xml:space="preserve"> in liberally allowing interventions</w:t>
      </w:r>
      <w:r w:rsidRPr="00B00919" w:rsidR="00C50042">
        <w:rPr>
          <w:rFonts w:ascii="Times New Roman" w:eastAsia="Times New Roman" w:hAnsi="Times New Roman" w:cs="Times New Roman"/>
        </w:rPr>
        <w:t xml:space="preserve">. </w:t>
      </w:r>
      <w:r w:rsidR="00A5631E">
        <w:rPr>
          <w:rFonts w:ascii="Times New Roman" w:eastAsia="Times New Roman" w:hAnsi="Times New Roman" w:cs="Times New Roman"/>
        </w:rPr>
        <w:t>OCC qualifies for intervention under that Ohio intervention law.</w:t>
      </w:r>
    </w:p>
    <w:p w:rsidR="00A5631E" w:rsidP="00FE51B2" w14:paraId="0DBB5DE4" w14:textId="77777777">
      <w:pPr>
        <w:spacing w:line="480" w:lineRule="auto"/>
        <w:ind w:firstLine="720"/>
        <w:rPr>
          <w:rFonts w:ascii="Times New Roman" w:eastAsia="Times New Roman" w:hAnsi="Times New Roman" w:cs="Times New Roman"/>
        </w:rPr>
      </w:pPr>
      <w:r w:rsidRPr="00B00919">
        <w:rPr>
          <w:rFonts w:ascii="Times New Roman" w:eastAsia="Times New Roman" w:hAnsi="Times New Roman" w:cs="Times New Roman"/>
        </w:rPr>
        <w:t xml:space="preserve">Finally, </w:t>
      </w:r>
      <w:r w:rsidRPr="00B00919" w:rsidR="005C1843">
        <w:rPr>
          <w:rFonts w:ascii="Times New Roman" w:eastAsia="Times New Roman" w:hAnsi="Times New Roman" w:cs="Times New Roman"/>
        </w:rPr>
        <w:t>past PUCO decisions establish that OCC has</w:t>
      </w:r>
      <w:r w:rsidRPr="00B00919" w:rsidR="00E64429">
        <w:rPr>
          <w:rFonts w:ascii="Times New Roman" w:eastAsia="Times New Roman" w:hAnsi="Times New Roman" w:cs="Times New Roman"/>
        </w:rPr>
        <w:t xml:space="preserve"> authority to intervene in certification proceedings</w:t>
      </w:r>
      <w:r w:rsidRPr="00B00919">
        <w:rPr>
          <w:rFonts w:ascii="Times New Roman" w:eastAsia="Times New Roman" w:hAnsi="Times New Roman" w:cs="Times New Roman"/>
        </w:rPr>
        <w:t>.</w:t>
      </w:r>
      <w:r>
        <w:rPr>
          <w:rStyle w:val="FootnoteReference"/>
          <w:rFonts w:ascii="Times New Roman" w:eastAsia="Times New Roman" w:hAnsi="Times New Roman" w:cs="Times New Roman"/>
        </w:rPr>
        <w:footnoteReference w:id="14"/>
      </w:r>
      <w:r w:rsidRPr="00373DFE">
        <w:rPr>
          <w:rFonts w:ascii="Times New Roman" w:eastAsia="Times New Roman" w:hAnsi="Times New Roman" w:cs="Times New Roman"/>
        </w:rPr>
        <w:t xml:space="preserve"> </w:t>
      </w:r>
    </w:p>
    <w:p w:rsidR="00A5631E" w:rsidRPr="00B00919" w:rsidP="00A5631E" w14:paraId="603FAC73" w14:textId="71D8D12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Supreme Court of Ohio recently heard OCC’s (and NOPEC’s) appeals from a PUCO order in an electric certification case involving FirstEnergy Advisors. The Court’s ruling gave </w:t>
      </w:r>
      <w:r w:rsidRPr="00D959B0">
        <w:rPr>
          <w:rFonts w:ascii="Times New Roman" w:eastAsia="Times New Roman" w:hAnsi="Times New Roman" w:cs="Times New Roman"/>
          <w:i/>
          <w:iCs/>
        </w:rPr>
        <w:t>gravitas</w:t>
      </w:r>
      <w:r>
        <w:rPr>
          <w:rFonts w:ascii="Times New Roman" w:eastAsia="Times New Roman" w:hAnsi="Times New Roman" w:cs="Times New Roman"/>
        </w:rPr>
        <w:t xml:space="preserve"> to OCC’s and NOPEC’s consumer interventions by overturning the PUCO decision that lacked a fair process for our consumer advocacy.</w:t>
      </w:r>
      <w:r>
        <w:rPr>
          <w:rStyle w:val="FootnoteReference"/>
          <w:rFonts w:ascii="Times New Roman" w:eastAsia="Times New Roman" w:hAnsi="Times New Roman" w:cs="Times New Roman"/>
        </w:rPr>
        <w:footnoteReference w:id="15"/>
      </w:r>
      <w:r w:rsidRPr="00B00919">
        <w:rPr>
          <w:rFonts w:ascii="Times New Roman" w:eastAsia="Times New Roman" w:hAnsi="Times New Roman" w:cs="Times New Roman"/>
        </w:rPr>
        <w:t xml:space="preserve"> </w:t>
      </w:r>
    </w:p>
    <w:p w:rsidR="00FD1503" w:rsidRPr="00B00919" w:rsidP="00FE51B2" w14:paraId="008AF42A" w14:textId="680DB577">
      <w:pPr>
        <w:spacing w:line="480" w:lineRule="auto"/>
        <w:ind w:firstLine="720"/>
        <w:rPr>
          <w:rFonts w:ascii="Times New Roman" w:eastAsia="Times New Roman" w:hAnsi="Times New Roman" w:cs="Times New Roman"/>
        </w:rPr>
      </w:pPr>
      <w:r w:rsidRPr="00373DFE">
        <w:rPr>
          <w:rFonts w:ascii="Times New Roman" w:eastAsia="Times New Roman" w:hAnsi="Times New Roman" w:cs="Times New Roman"/>
        </w:rPr>
        <w:t xml:space="preserve">In </w:t>
      </w:r>
      <w:r w:rsidRPr="00373DFE" w:rsidR="00277057">
        <w:rPr>
          <w:rFonts w:ascii="Times New Roman" w:eastAsia="Times New Roman" w:hAnsi="Times New Roman" w:cs="Times New Roman"/>
          <w:i/>
          <w:iCs/>
        </w:rPr>
        <w:t>Duke Retail Sales</w:t>
      </w:r>
      <w:r w:rsidRPr="00B35098" w:rsidR="00571CE1">
        <w:rPr>
          <w:rFonts w:ascii="Times New Roman" w:eastAsia="Times New Roman" w:hAnsi="Times New Roman" w:cs="Times New Roman"/>
        </w:rPr>
        <w:t xml:space="preserve">, OCC moved to intervene and suspend </w:t>
      </w:r>
      <w:r w:rsidRPr="00E7167E" w:rsidR="00E64429">
        <w:rPr>
          <w:rFonts w:ascii="Times New Roman" w:eastAsia="Times New Roman" w:hAnsi="Times New Roman" w:cs="Times New Roman"/>
        </w:rPr>
        <w:t xml:space="preserve">CRES certification, alleging </w:t>
      </w:r>
      <w:r w:rsidRPr="00E7167E" w:rsidR="00571CE1">
        <w:rPr>
          <w:rFonts w:ascii="Times New Roman" w:eastAsia="Times New Roman" w:hAnsi="Times New Roman" w:cs="Times New Roman"/>
        </w:rPr>
        <w:t>unfair</w:t>
      </w:r>
      <w:r w:rsidRPr="00E7167E" w:rsidR="00E64429">
        <w:rPr>
          <w:rFonts w:ascii="Times New Roman" w:eastAsia="Times New Roman" w:hAnsi="Times New Roman" w:cs="Times New Roman"/>
        </w:rPr>
        <w:t>, deceptive, and unconscionable acts</w:t>
      </w:r>
      <w:r w:rsidRPr="004C48FE" w:rsidR="00C50042">
        <w:rPr>
          <w:rFonts w:ascii="Times New Roman" w:eastAsia="Times New Roman" w:hAnsi="Times New Roman" w:cs="Times New Roman"/>
        </w:rPr>
        <w:t>.</w:t>
      </w:r>
      <w:r>
        <w:rPr>
          <w:rStyle w:val="FootnoteReference"/>
          <w:rFonts w:ascii="Times New Roman" w:eastAsia="Times New Roman" w:hAnsi="Times New Roman" w:cs="Times New Roman"/>
        </w:rPr>
        <w:footnoteReference w:id="16"/>
      </w:r>
      <w:r w:rsidRPr="00373DFE" w:rsidR="00571CE1">
        <w:rPr>
          <w:rFonts w:ascii="Times New Roman" w:eastAsia="Times New Roman" w:hAnsi="Times New Roman" w:cs="Times New Roman"/>
        </w:rPr>
        <w:t xml:space="preserve"> </w:t>
      </w:r>
      <w:r w:rsidRPr="00373DFE" w:rsidR="00E64429">
        <w:rPr>
          <w:rFonts w:ascii="Times New Roman" w:eastAsia="Times New Roman" w:hAnsi="Times New Roman" w:cs="Times New Roman"/>
        </w:rPr>
        <w:t>Over the retailer’s opposition,</w:t>
      </w:r>
      <w:r w:rsidRPr="00E7167E" w:rsidR="00571CE1">
        <w:rPr>
          <w:rFonts w:ascii="Times New Roman" w:eastAsia="Times New Roman" w:hAnsi="Times New Roman" w:cs="Times New Roman"/>
        </w:rPr>
        <w:t xml:space="preserve"> </w:t>
      </w:r>
      <w:r w:rsidRPr="00E7167E" w:rsidR="00E64429">
        <w:rPr>
          <w:rFonts w:ascii="Times New Roman" w:eastAsia="Times New Roman" w:hAnsi="Times New Roman" w:cs="Times New Roman"/>
        </w:rPr>
        <w:t>t</w:t>
      </w:r>
      <w:r w:rsidRPr="004C48FE">
        <w:rPr>
          <w:rFonts w:ascii="Times New Roman" w:eastAsia="Times New Roman" w:hAnsi="Times New Roman" w:cs="Times New Roman"/>
        </w:rPr>
        <w:t>he</w:t>
      </w:r>
      <w:r w:rsidRPr="00BF1DFC" w:rsidR="00C50042">
        <w:rPr>
          <w:rFonts w:ascii="Times New Roman" w:eastAsia="Times New Roman" w:hAnsi="Times New Roman" w:cs="Times New Roman"/>
        </w:rPr>
        <w:t xml:space="preserve"> PUCO </w:t>
      </w:r>
      <w:r w:rsidRPr="009D2D33">
        <w:rPr>
          <w:rFonts w:ascii="Times New Roman" w:eastAsia="Times New Roman" w:hAnsi="Times New Roman" w:cs="Times New Roman"/>
        </w:rPr>
        <w:t xml:space="preserve">found OCC had a “real and substantial interest” in the </w:t>
      </w:r>
      <w:r w:rsidRPr="0020557E">
        <w:rPr>
          <w:rFonts w:ascii="Times New Roman" w:eastAsia="Times New Roman" w:hAnsi="Times New Roman" w:cs="Times New Roman"/>
        </w:rPr>
        <w:t>certification proceeding and that “disposition of this proceeding may impair its ability to protect that interest.”</w:t>
      </w:r>
      <w:r>
        <w:rPr>
          <w:rStyle w:val="FootnoteReference"/>
          <w:rFonts w:ascii="Times New Roman" w:eastAsia="Times New Roman" w:hAnsi="Times New Roman" w:cs="Times New Roman"/>
        </w:rPr>
        <w:footnoteReference w:id="17"/>
      </w:r>
      <w:r w:rsidRPr="00373DFE" w:rsidR="00571CE1">
        <w:rPr>
          <w:rFonts w:ascii="Times New Roman" w:eastAsia="Times New Roman" w:hAnsi="Times New Roman" w:cs="Times New Roman"/>
        </w:rPr>
        <w:t xml:space="preserve"> </w:t>
      </w:r>
      <w:r w:rsidRPr="00373DFE" w:rsidR="005C1843">
        <w:rPr>
          <w:rFonts w:ascii="Times New Roman" w:eastAsia="Times New Roman" w:hAnsi="Times New Roman" w:cs="Times New Roman"/>
        </w:rPr>
        <w:t xml:space="preserve">Given the number of consumer complaints </w:t>
      </w:r>
      <w:r w:rsidRPr="00373DFE" w:rsidR="00DA2B1E">
        <w:rPr>
          <w:rFonts w:ascii="Times New Roman" w:eastAsia="Times New Roman" w:hAnsi="Times New Roman" w:cs="Times New Roman"/>
        </w:rPr>
        <w:t xml:space="preserve">against </w:t>
      </w:r>
      <w:r w:rsidRPr="00B00919" w:rsidR="007A05C3">
        <w:rPr>
          <w:rFonts w:ascii="Times New Roman" w:eastAsia="Times New Roman" w:hAnsi="Times New Roman" w:cs="Times New Roman"/>
        </w:rPr>
        <w:t>XOOM</w:t>
      </w:r>
      <w:r w:rsidRPr="00B00919" w:rsidR="005C1843">
        <w:rPr>
          <w:rFonts w:ascii="Times New Roman" w:eastAsia="Times New Roman" w:hAnsi="Times New Roman" w:cs="Times New Roman"/>
        </w:rPr>
        <w:t xml:space="preserve">, OCC similarly has a “real and substantial interest” </w:t>
      </w:r>
      <w:r w:rsidRPr="00B00919" w:rsidR="00DA2B1E">
        <w:rPr>
          <w:rFonts w:ascii="Times New Roman" w:eastAsia="Times New Roman" w:hAnsi="Times New Roman" w:cs="Times New Roman"/>
        </w:rPr>
        <w:t xml:space="preserve">in ending </w:t>
      </w:r>
      <w:r w:rsidRPr="00B00919" w:rsidR="009E6E4F">
        <w:rPr>
          <w:rFonts w:ascii="Times New Roman" w:eastAsia="Times New Roman" w:hAnsi="Times New Roman" w:cs="Times New Roman"/>
        </w:rPr>
        <w:t>this</w:t>
      </w:r>
      <w:r w:rsidRPr="00B00919" w:rsidR="00DA2B1E">
        <w:rPr>
          <w:rFonts w:ascii="Times New Roman" w:eastAsia="Times New Roman" w:hAnsi="Times New Roman" w:cs="Times New Roman"/>
        </w:rPr>
        <w:t xml:space="preserve"> marketer’s Ohio operations</w:t>
      </w:r>
      <w:r w:rsidRPr="00B00919" w:rsidR="005C1843">
        <w:rPr>
          <w:rFonts w:ascii="Times New Roman" w:eastAsia="Times New Roman" w:hAnsi="Times New Roman" w:cs="Times New Roman"/>
        </w:rPr>
        <w:t xml:space="preserve">. This interest may be impaired if </w:t>
      </w:r>
      <w:r w:rsidRPr="00B00919" w:rsidR="007A05C3">
        <w:rPr>
          <w:rFonts w:ascii="Times New Roman" w:eastAsia="Times New Roman" w:hAnsi="Times New Roman" w:cs="Times New Roman"/>
        </w:rPr>
        <w:t>XOOM’s</w:t>
      </w:r>
      <w:r w:rsidRPr="00B00919" w:rsidR="005C1843">
        <w:rPr>
          <w:rFonts w:ascii="Times New Roman" w:eastAsia="Times New Roman" w:hAnsi="Times New Roman" w:cs="Times New Roman"/>
        </w:rPr>
        <w:t xml:space="preserve"> certification is renewed without OCC’s input. </w:t>
      </w:r>
      <w:r w:rsidRPr="00B00919">
        <w:rPr>
          <w:rFonts w:ascii="Times New Roman" w:eastAsia="Times New Roman" w:hAnsi="Times New Roman" w:cs="Times New Roman"/>
        </w:rPr>
        <w:t xml:space="preserve">Clearly, established PUCO practice </w:t>
      </w:r>
      <w:r w:rsidRPr="00B00919" w:rsidR="005C1843">
        <w:rPr>
          <w:rFonts w:ascii="Times New Roman" w:eastAsia="Times New Roman" w:hAnsi="Times New Roman" w:cs="Times New Roman"/>
        </w:rPr>
        <w:t xml:space="preserve">demands OCC’s intervention </w:t>
      </w:r>
      <w:r w:rsidR="008E7A3D">
        <w:rPr>
          <w:rFonts w:ascii="Times New Roman" w:eastAsia="Times New Roman" w:hAnsi="Times New Roman" w:cs="Times New Roman"/>
        </w:rPr>
        <w:t xml:space="preserve">be granted </w:t>
      </w:r>
      <w:r w:rsidRPr="00B00919" w:rsidR="005C1843">
        <w:rPr>
          <w:rFonts w:ascii="Times New Roman" w:eastAsia="Times New Roman" w:hAnsi="Times New Roman" w:cs="Times New Roman"/>
        </w:rPr>
        <w:t>in this certification renewal</w:t>
      </w:r>
      <w:r w:rsidRPr="00B00919" w:rsidR="00E907D1">
        <w:rPr>
          <w:rFonts w:ascii="Times New Roman" w:eastAsia="Times New Roman" w:hAnsi="Times New Roman" w:cs="Times New Roman"/>
        </w:rPr>
        <w:t xml:space="preserve"> case</w:t>
      </w:r>
      <w:r w:rsidRPr="00B00919" w:rsidR="005C1843">
        <w:rPr>
          <w:rFonts w:ascii="Times New Roman" w:eastAsia="Times New Roman" w:hAnsi="Times New Roman" w:cs="Times New Roman"/>
        </w:rPr>
        <w:t xml:space="preserve">. </w:t>
      </w:r>
    </w:p>
    <w:p w:rsidR="00FD1503" w:rsidRPr="00B00919" w:rsidP="00FD1503" w14:paraId="008AF42B" w14:textId="406BF21E">
      <w:pPr>
        <w:spacing w:line="480" w:lineRule="auto"/>
        <w:ind w:firstLine="720"/>
        <w:rPr>
          <w:rFonts w:ascii="Times New Roman" w:eastAsia="Times New Roman" w:hAnsi="Times New Roman" w:cs="Times New Roman"/>
        </w:rPr>
      </w:pPr>
      <w:r w:rsidRPr="00B00919">
        <w:rPr>
          <w:rFonts w:ascii="Times New Roman" w:eastAsia="Times New Roman" w:hAnsi="Times New Roman" w:cs="Times New Roman"/>
        </w:rPr>
        <w:t>Most recently, the PUCO permitted OCC to intervene in the license renewal of Verde Energy USA</w:t>
      </w:r>
      <w:r w:rsidRPr="00B00919" w:rsidR="009E6E4F">
        <w:rPr>
          <w:rFonts w:ascii="Times New Roman" w:eastAsia="Times New Roman" w:hAnsi="Times New Roman" w:cs="Times New Roman"/>
        </w:rPr>
        <w:t xml:space="preserve">, </w:t>
      </w:r>
      <w:r w:rsidRPr="00B00919" w:rsidR="009E1498">
        <w:rPr>
          <w:rFonts w:ascii="Times New Roman" w:eastAsia="Times New Roman" w:hAnsi="Times New Roman" w:cs="Times New Roman"/>
        </w:rPr>
        <w:t>again alleging unfair, deceptive, and unconscionable acts</w:t>
      </w:r>
      <w:r w:rsidRPr="00B00919">
        <w:rPr>
          <w:rFonts w:ascii="Times New Roman" w:eastAsia="Times New Roman" w:hAnsi="Times New Roman" w:cs="Times New Roman"/>
        </w:rPr>
        <w:t>.</w:t>
      </w:r>
      <w:r>
        <w:rPr>
          <w:rStyle w:val="FootnoteReference"/>
          <w:rFonts w:ascii="Times New Roman" w:eastAsia="Times New Roman" w:hAnsi="Times New Roman" w:cs="Times New Roman"/>
        </w:rPr>
        <w:footnoteReference w:id="18"/>
      </w:r>
      <w:r w:rsidRPr="00373DFE">
        <w:rPr>
          <w:rFonts w:ascii="Times New Roman" w:eastAsia="Times New Roman" w:hAnsi="Times New Roman" w:cs="Times New Roman"/>
        </w:rPr>
        <w:t xml:space="preserve"> </w:t>
      </w:r>
      <w:r w:rsidR="009820AC">
        <w:rPr>
          <w:rFonts w:ascii="Times New Roman" w:eastAsia="Times New Roman" w:hAnsi="Times New Roman" w:cs="Times New Roman"/>
        </w:rPr>
        <w:t xml:space="preserve">The PUCO also granted OCC intervention </w:t>
      </w:r>
      <w:r w:rsidR="00C56437">
        <w:rPr>
          <w:rFonts w:ascii="Times New Roman" w:eastAsia="Times New Roman" w:hAnsi="Times New Roman" w:cs="Times New Roman"/>
        </w:rPr>
        <w:t>in the</w:t>
      </w:r>
      <w:r w:rsidR="009820AC">
        <w:rPr>
          <w:rFonts w:ascii="Times New Roman" w:eastAsia="Times New Roman" w:hAnsi="Times New Roman" w:cs="Times New Roman"/>
        </w:rPr>
        <w:t xml:space="preserve"> XOOM investigation case</w:t>
      </w:r>
      <w:r w:rsidR="00F65E9B">
        <w:rPr>
          <w:rFonts w:ascii="Times New Roman" w:eastAsia="Times New Roman" w:hAnsi="Times New Roman" w:cs="Times New Roman"/>
        </w:rPr>
        <w:t>, against XOOM’s arguments.</w:t>
      </w:r>
      <w:r>
        <w:rPr>
          <w:rStyle w:val="FootnoteReference"/>
          <w:rFonts w:ascii="Times New Roman" w:eastAsia="Times New Roman" w:hAnsi="Times New Roman" w:cs="Times New Roman"/>
        </w:rPr>
        <w:footnoteReference w:id="19"/>
      </w:r>
      <w:r w:rsidR="00F65E9B">
        <w:rPr>
          <w:rFonts w:ascii="Times New Roman" w:eastAsia="Times New Roman" w:hAnsi="Times New Roman" w:cs="Times New Roman"/>
        </w:rPr>
        <w:t xml:space="preserve"> </w:t>
      </w:r>
      <w:r w:rsidRPr="009D2D33" w:rsidR="009E6E4F">
        <w:rPr>
          <w:rFonts w:ascii="Times New Roman" w:eastAsia="Times New Roman" w:hAnsi="Times New Roman" w:cs="Times New Roman"/>
        </w:rPr>
        <w:t xml:space="preserve">By allowing </w:t>
      </w:r>
      <w:r w:rsidRPr="0020557E" w:rsidR="0060472E">
        <w:rPr>
          <w:rFonts w:ascii="Times New Roman" w:eastAsia="Times New Roman" w:hAnsi="Times New Roman" w:cs="Times New Roman"/>
        </w:rPr>
        <w:t xml:space="preserve">any </w:t>
      </w:r>
      <w:r w:rsidRPr="005419F8">
        <w:rPr>
          <w:rFonts w:ascii="Times New Roman" w:eastAsia="Times New Roman" w:hAnsi="Times New Roman" w:cs="Times New Roman"/>
        </w:rPr>
        <w:t>adversely affected party to intervene</w:t>
      </w:r>
      <w:r w:rsidRPr="00B00919" w:rsidR="00DA2B1E">
        <w:rPr>
          <w:rFonts w:ascii="Times New Roman" w:eastAsia="Times New Roman" w:hAnsi="Times New Roman" w:cs="Times New Roman"/>
        </w:rPr>
        <w:t xml:space="preserve"> </w:t>
      </w:r>
      <w:r w:rsidR="000D6D55">
        <w:rPr>
          <w:rFonts w:ascii="Times New Roman" w:eastAsia="Times New Roman" w:hAnsi="Times New Roman" w:cs="Times New Roman"/>
        </w:rPr>
        <w:t xml:space="preserve">in </w:t>
      </w:r>
      <w:r w:rsidRPr="00B00919" w:rsidR="00DA2B1E">
        <w:rPr>
          <w:rFonts w:ascii="Times New Roman" w:eastAsia="Times New Roman" w:hAnsi="Times New Roman" w:cs="Times New Roman"/>
        </w:rPr>
        <w:t>a PUCO proceeding</w:t>
      </w:r>
      <w:r w:rsidRPr="00B00919">
        <w:rPr>
          <w:rFonts w:ascii="Times New Roman" w:eastAsia="Times New Roman" w:hAnsi="Times New Roman" w:cs="Times New Roman"/>
        </w:rPr>
        <w:t xml:space="preserve">, R.C. 4903.221 is broad enough to </w:t>
      </w:r>
      <w:r w:rsidRPr="00B00919" w:rsidR="0060472E">
        <w:rPr>
          <w:rFonts w:ascii="Times New Roman" w:eastAsia="Times New Roman" w:hAnsi="Times New Roman" w:cs="Times New Roman"/>
        </w:rPr>
        <w:t>moot</w:t>
      </w:r>
      <w:r w:rsidRPr="00B00919">
        <w:rPr>
          <w:rFonts w:ascii="Times New Roman" w:eastAsia="Times New Roman" w:hAnsi="Times New Roman" w:cs="Times New Roman"/>
        </w:rPr>
        <w:t xml:space="preserve"> </w:t>
      </w:r>
      <w:r w:rsidRPr="00B00919" w:rsidR="009E1498">
        <w:rPr>
          <w:rFonts w:ascii="Times New Roman" w:eastAsia="Times New Roman" w:hAnsi="Times New Roman" w:cs="Times New Roman"/>
        </w:rPr>
        <w:t xml:space="preserve">every one of </w:t>
      </w:r>
      <w:r w:rsidR="00F84497">
        <w:rPr>
          <w:rFonts w:ascii="Times New Roman" w:eastAsia="Times New Roman" w:hAnsi="Times New Roman" w:cs="Times New Roman"/>
        </w:rPr>
        <w:t>XOOM’s</w:t>
      </w:r>
      <w:r w:rsidRPr="00B00919">
        <w:rPr>
          <w:rFonts w:ascii="Times New Roman" w:eastAsia="Times New Roman" w:hAnsi="Times New Roman" w:cs="Times New Roman"/>
        </w:rPr>
        <w:t xml:space="preserve"> arguments</w:t>
      </w:r>
      <w:r w:rsidRPr="00B00919" w:rsidR="009E1498">
        <w:rPr>
          <w:rFonts w:ascii="Times New Roman" w:eastAsia="Times New Roman" w:hAnsi="Times New Roman" w:cs="Times New Roman"/>
        </w:rPr>
        <w:t xml:space="preserve"> about OCC’s enumerated powers</w:t>
      </w:r>
      <w:r w:rsidRPr="00B00919">
        <w:rPr>
          <w:rFonts w:ascii="Times New Roman" w:eastAsia="Times New Roman" w:hAnsi="Times New Roman" w:cs="Times New Roman"/>
        </w:rPr>
        <w:t xml:space="preserve">. </w:t>
      </w:r>
      <w:r w:rsidRPr="00B00919" w:rsidR="00066CE3">
        <w:rPr>
          <w:rFonts w:ascii="Times New Roman" w:eastAsia="Times New Roman" w:hAnsi="Times New Roman" w:cs="Times New Roman"/>
        </w:rPr>
        <w:t>Simply put, where Ohioans are adversely affected, as they are by</w:t>
      </w:r>
      <w:r w:rsidRPr="00B00919" w:rsidR="00E907D1">
        <w:rPr>
          <w:rFonts w:ascii="Times New Roman" w:eastAsia="Times New Roman" w:hAnsi="Times New Roman" w:cs="Times New Roman"/>
        </w:rPr>
        <w:t xml:space="preserve"> the allegations of</w:t>
      </w:r>
      <w:r w:rsidRPr="00B00919" w:rsidR="00066CE3">
        <w:rPr>
          <w:rFonts w:ascii="Times New Roman" w:eastAsia="Times New Roman" w:hAnsi="Times New Roman" w:cs="Times New Roman"/>
        </w:rPr>
        <w:t xml:space="preserve"> </w:t>
      </w:r>
      <w:r w:rsidRPr="00B00919" w:rsidR="007A05C3">
        <w:rPr>
          <w:rFonts w:ascii="Times New Roman" w:eastAsia="Times New Roman" w:hAnsi="Times New Roman" w:cs="Times New Roman"/>
        </w:rPr>
        <w:t>XOOM’s</w:t>
      </w:r>
      <w:r w:rsidRPr="00B00919" w:rsidR="00066CE3">
        <w:rPr>
          <w:rFonts w:ascii="Times New Roman" w:eastAsia="Times New Roman" w:hAnsi="Times New Roman" w:cs="Times New Roman"/>
        </w:rPr>
        <w:t xml:space="preserve"> pattern of deceit, OCC has intervention authority. </w:t>
      </w:r>
      <w:r w:rsidRPr="00B00919" w:rsidR="0060472E">
        <w:rPr>
          <w:rFonts w:ascii="Times New Roman" w:eastAsia="Times New Roman" w:hAnsi="Times New Roman" w:cs="Times New Roman"/>
        </w:rPr>
        <w:t>Consequently, the</w:t>
      </w:r>
      <w:r w:rsidRPr="00B00919">
        <w:rPr>
          <w:rFonts w:ascii="Times New Roman" w:eastAsia="Times New Roman" w:hAnsi="Times New Roman" w:cs="Times New Roman"/>
        </w:rPr>
        <w:t xml:space="preserve"> PUCO need not address </w:t>
      </w:r>
      <w:r w:rsidRPr="00B00919" w:rsidR="007A05C3">
        <w:rPr>
          <w:rFonts w:ascii="Times New Roman" w:eastAsia="Times New Roman" w:hAnsi="Times New Roman" w:cs="Times New Roman"/>
        </w:rPr>
        <w:t>XOOM’s</w:t>
      </w:r>
      <w:r w:rsidRPr="00B00919" w:rsidR="0060472E">
        <w:rPr>
          <w:rFonts w:ascii="Times New Roman" w:eastAsia="Times New Roman" w:hAnsi="Times New Roman" w:cs="Times New Roman"/>
        </w:rPr>
        <w:t xml:space="preserve"> </w:t>
      </w:r>
      <w:r w:rsidRPr="00B00919" w:rsidR="00F21496">
        <w:rPr>
          <w:rFonts w:ascii="Times New Roman" w:eastAsia="Times New Roman" w:hAnsi="Times New Roman" w:cs="Times New Roman"/>
        </w:rPr>
        <w:t>mangled interpretation</w:t>
      </w:r>
      <w:r w:rsidRPr="00B00919" w:rsidR="00EA593B">
        <w:rPr>
          <w:rFonts w:ascii="Times New Roman" w:eastAsia="Times New Roman" w:hAnsi="Times New Roman" w:cs="Times New Roman"/>
        </w:rPr>
        <w:t xml:space="preserve"> of </w:t>
      </w:r>
      <w:r w:rsidRPr="00B00919" w:rsidR="002F57A5">
        <w:rPr>
          <w:rFonts w:ascii="Times New Roman" w:eastAsia="Times New Roman" w:hAnsi="Times New Roman" w:cs="Times New Roman"/>
        </w:rPr>
        <w:t xml:space="preserve">R.C. </w:t>
      </w:r>
      <w:r w:rsidRPr="00B00919" w:rsidR="00EA593B">
        <w:rPr>
          <w:rFonts w:ascii="Times New Roman" w:eastAsia="Times New Roman" w:hAnsi="Times New Roman" w:cs="Times New Roman"/>
        </w:rPr>
        <w:t>Chapter 4911</w:t>
      </w:r>
      <w:r w:rsidRPr="00B00919">
        <w:rPr>
          <w:rFonts w:ascii="Times New Roman" w:eastAsia="Times New Roman" w:hAnsi="Times New Roman" w:cs="Times New Roman"/>
        </w:rPr>
        <w:t xml:space="preserve"> </w:t>
      </w:r>
      <w:r w:rsidRPr="00B00919" w:rsidR="009E1498">
        <w:rPr>
          <w:rFonts w:ascii="Times New Roman" w:eastAsia="Times New Roman" w:hAnsi="Times New Roman" w:cs="Times New Roman"/>
        </w:rPr>
        <w:t xml:space="preserve">and should find OCC has </w:t>
      </w:r>
      <w:r w:rsidRPr="00B00919" w:rsidR="00066CE3">
        <w:rPr>
          <w:rFonts w:ascii="Times New Roman" w:eastAsia="Times New Roman" w:hAnsi="Times New Roman" w:cs="Times New Roman"/>
        </w:rPr>
        <w:t>the power</w:t>
      </w:r>
      <w:r w:rsidRPr="00B00919" w:rsidR="009E1498">
        <w:rPr>
          <w:rFonts w:ascii="Times New Roman" w:eastAsia="Times New Roman" w:hAnsi="Times New Roman" w:cs="Times New Roman"/>
        </w:rPr>
        <w:t xml:space="preserve"> to intervene.</w:t>
      </w:r>
      <w:r w:rsidRPr="00B00919" w:rsidR="004F5F1A">
        <w:rPr>
          <w:rFonts w:ascii="Times New Roman" w:eastAsia="Times New Roman" w:hAnsi="Times New Roman" w:cs="Times New Roman"/>
        </w:rPr>
        <w:t xml:space="preserve"> </w:t>
      </w:r>
    </w:p>
    <w:p w:rsidR="008624A3" w:rsidRPr="00B00919" w:rsidP="00B00919" w14:paraId="008AF42C" w14:textId="021B8B33">
      <w:pPr>
        <w:pStyle w:val="Heading2"/>
        <w:ind w:left="1440" w:hanging="720"/>
        <w:rPr>
          <w:rFonts w:ascii="Times New Roman" w:hAnsi="Times New Roman"/>
        </w:rPr>
      </w:pPr>
      <w:bookmarkStart w:id="7" w:name="_Toc108105743"/>
      <w:bookmarkStart w:id="8" w:name="_Toc112761875"/>
      <w:r w:rsidRPr="00B00919">
        <w:rPr>
          <w:rFonts w:ascii="Times New Roman" w:hAnsi="Times New Roman"/>
        </w:rPr>
        <w:t xml:space="preserve">OCC </w:t>
      </w:r>
      <w:r w:rsidRPr="00B00919">
        <w:rPr>
          <w:rFonts w:ascii="Times New Roman" w:hAnsi="Times New Roman"/>
          <w:i/>
          <w:iCs/>
        </w:rPr>
        <w:t>does</w:t>
      </w:r>
      <w:r w:rsidRPr="00B00919">
        <w:rPr>
          <w:rFonts w:ascii="Times New Roman" w:hAnsi="Times New Roman"/>
        </w:rPr>
        <w:t xml:space="preserve"> state its interest in the pending application in this case and </w:t>
      </w:r>
      <w:r w:rsidRPr="00B00919" w:rsidR="00C50042">
        <w:rPr>
          <w:rFonts w:ascii="Times New Roman" w:hAnsi="Times New Roman"/>
        </w:rPr>
        <w:t>OCC satisfies the standards for intervention and should be allowed to participate to protect consumers.</w:t>
      </w:r>
      <w:bookmarkEnd w:id="7"/>
      <w:bookmarkEnd w:id="8"/>
      <w:r w:rsidRPr="00B00919" w:rsidR="00C50042">
        <w:rPr>
          <w:rFonts w:ascii="Times New Roman" w:hAnsi="Times New Roman"/>
        </w:rPr>
        <w:t xml:space="preserve"> </w:t>
      </w:r>
    </w:p>
    <w:p w:rsidR="007932AB" w:rsidP="009F4D7C" w14:paraId="008AF42D" w14:textId="044CD8FC">
      <w:pPr>
        <w:spacing w:line="480" w:lineRule="auto"/>
        <w:ind w:firstLine="720"/>
        <w:rPr>
          <w:rFonts w:ascii="Times New Roman" w:hAnsi="Times New Roman" w:cs="Times New Roman"/>
        </w:rPr>
      </w:pPr>
      <w:r w:rsidRPr="00373DFE">
        <w:rPr>
          <w:rFonts w:ascii="Times New Roman" w:hAnsi="Times New Roman" w:cs="Times New Roman"/>
        </w:rPr>
        <w:t>XOOM</w:t>
      </w:r>
      <w:r w:rsidRPr="00373DFE" w:rsidR="00C50042">
        <w:rPr>
          <w:rFonts w:ascii="Times New Roman" w:hAnsi="Times New Roman" w:cs="Times New Roman"/>
        </w:rPr>
        <w:t xml:space="preserve"> argues that </w:t>
      </w:r>
      <w:r w:rsidRPr="00B35098" w:rsidR="0026108C">
        <w:rPr>
          <w:rFonts w:ascii="Times New Roman" w:hAnsi="Times New Roman" w:cs="Times New Roman"/>
        </w:rPr>
        <w:t xml:space="preserve">OCC has not </w:t>
      </w:r>
      <w:r w:rsidRPr="00E7167E" w:rsidR="00835146">
        <w:rPr>
          <w:rFonts w:ascii="Times New Roman" w:hAnsi="Times New Roman" w:cs="Times New Roman"/>
        </w:rPr>
        <w:t>stated any interest in the pending application in this proceeding and has</w:t>
      </w:r>
      <w:r w:rsidRPr="004C48FE" w:rsidR="00B52565">
        <w:rPr>
          <w:rFonts w:ascii="Times New Roman" w:hAnsi="Times New Roman" w:cs="Times New Roman"/>
        </w:rPr>
        <w:t xml:space="preserve"> </w:t>
      </w:r>
      <w:r w:rsidR="00F84497">
        <w:rPr>
          <w:rFonts w:ascii="Times New Roman" w:hAnsi="Times New Roman" w:cs="Times New Roman"/>
        </w:rPr>
        <w:t xml:space="preserve">not </w:t>
      </w:r>
      <w:r w:rsidRPr="009D2D33" w:rsidR="0026108C">
        <w:rPr>
          <w:rFonts w:ascii="Times New Roman" w:hAnsi="Times New Roman" w:cs="Times New Roman"/>
        </w:rPr>
        <w:t xml:space="preserve">demonstrated it satisfies the standards </w:t>
      </w:r>
      <w:r w:rsidRPr="0020557E" w:rsidR="00CE012B">
        <w:rPr>
          <w:rFonts w:ascii="Times New Roman" w:hAnsi="Times New Roman" w:cs="Times New Roman"/>
        </w:rPr>
        <w:t xml:space="preserve">the PUCO must consider when ruling on a motion </w:t>
      </w:r>
      <w:r w:rsidRPr="005419F8" w:rsidR="0026108C">
        <w:rPr>
          <w:rFonts w:ascii="Times New Roman" w:hAnsi="Times New Roman" w:cs="Times New Roman"/>
        </w:rPr>
        <w:t>for intervention</w:t>
      </w:r>
      <w:r w:rsidRPr="00B00919" w:rsidR="00CE012B">
        <w:rPr>
          <w:rFonts w:ascii="Times New Roman" w:hAnsi="Times New Roman" w:cs="Times New Roman"/>
        </w:rPr>
        <w:t>.</w:t>
      </w:r>
      <w:r>
        <w:rPr>
          <w:rStyle w:val="FootnoteReference"/>
          <w:rFonts w:ascii="Times New Roman" w:hAnsi="Times New Roman" w:cs="Times New Roman"/>
        </w:rPr>
        <w:footnoteReference w:id="20"/>
      </w:r>
      <w:r w:rsidRPr="00373DFE" w:rsidR="00CE012B">
        <w:rPr>
          <w:rFonts w:ascii="Times New Roman" w:hAnsi="Times New Roman" w:cs="Times New Roman"/>
        </w:rPr>
        <w:t xml:space="preserve"> </w:t>
      </w:r>
      <w:r w:rsidRPr="00373DFE" w:rsidR="00A32888">
        <w:rPr>
          <w:rFonts w:ascii="Times New Roman" w:hAnsi="Times New Roman" w:cs="Times New Roman"/>
        </w:rPr>
        <w:t>R.C. 4903.221</w:t>
      </w:r>
      <w:r w:rsidRPr="00373DFE" w:rsidR="0026108C">
        <w:rPr>
          <w:rFonts w:ascii="Times New Roman" w:hAnsi="Times New Roman" w:cs="Times New Roman"/>
        </w:rPr>
        <w:t xml:space="preserve"> and O.A.C. 4901-1-11</w:t>
      </w:r>
      <w:r w:rsidRPr="00E7167E" w:rsidR="00CE012B">
        <w:rPr>
          <w:rFonts w:ascii="Times New Roman" w:hAnsi="Times New Roman" w:cs="Times New Roman"/>
        </w:rPr>
        <w:t xml:space="preserve"> require the PUCO to apply the following criteria:</w:t>
      </w:r>
    </w:p>
    <w:p w:rsidR="00A32888" w:rsidRPr="0020557E" w:rsidP="00BC2F0E" w14:paraId="008AF42E" w14:textId="63A80D94">
      <w:pPr>
        <w:ind w:firstLine="720"/>
        <w:rPr>
          <w:rFonts w:ascii="Times New Roman" w:eastAsia="Times New Roman" w:hAnsi="Times New Roman" w:cs="Times New Roman"/>
        </w:rPr>
      </w:pPr>
      <w:r w:rsidRPr="004C48FE">
        <w:rPr>
          <w:rFonts w:ascii="Times New Roman" w:eastAsia="Times New Roman" w:hAnsi="Times New Roman" w:cs="Times New Roman"/>
        </w:rPr>
        <w:t>(1)</w:t>
      </w:r>
      <w:r w:rsidRPr="004C48FE">
        <w:rPr>
          <w:rFonts w:ascii="Times New Roman" w:eastAsia="Times New Roman" w:hAnsi="Times New Roman" w:cs="Times New Roman"/>
        </w:rPr>
        <w:tab/>
        <w:t>The nature and extent of the prospective interve</w:t>
      </w:r>
      <w:r w:rsidRPr="009D2D33">
        <w:rPr>
          <w:rFonts w:ascii="Times New Roman" w:eastAsia="Times New Roman" w:hAnsi="Times New Roman" w:cs="Times New Roman"/>
        </w:rPr>
        <w:t>nor’s interest;</w:t>
      </w:r>
    </w:p>
    <w:p w:rsidR="00A32888" w:rsidRPr="00B00919" w:rsidP="001E3730" w14:paraId="008AF42F" w14:textId="77777777">
      <w:pPr>
        <w:spacing w:before="240"/>
        <w:ind w:left="1440" w:right="720" w:hanging="720"/>
        <w:rPr>
          <w:rFonts w:ascii="Times New Roman" w:eastAsia="Times New Roman" w:hAnsi="Times New Roman" w:cs="Times New Roman"/>
        </w:rPr>
      </w:pPr>
      <w:r w:rsidRPr="005419F8">
        <w:rPr>
          <w:rFonts w:ascii="Times New Roman" w:eastAsia="Times New Roman" w:hAnsi="Times New Roman" w:cs="Times New Roman"/>
        </w:rPr>
        <w:t>(2)</w:t>
      </w:r>
      <w:r w:rsidRPr="005419F8">
        <w:rPr>
          <w:rFonts w:ascii="Times New Roman" w:eastAsia="Times New Roman" w:hAnsi="Times New Roman" w:cs="Times New Roman"/>
        </w:rPr>
        <w:tab/>
        <w:t>The legal position advanced by the prospective intervenor and its probable relation to the merits of the case;</w:t>
      </w:r>
    </w:p>
    <w:p w:rsidR="00A32888" w:rsidRPr="00B00919" w:rsidP="001E3730" w14:paraId="008AF430" w14:textId="77777777">
      <w:pPr>
        <w:spacing w:before="240"/>
        <w:ind w:left="1440" w:right="720" w:hanging="720"/>
        <w:rPr>
          <w:rFonts w:ascii="Times New Roman" w:eastAsia="Times New Roman" w:hAnsi="Times New Roman" w:cs="Times New Roman"/>
        </w:rPr>
      </w:pPr>
      <w:r w:rsidRPr="00B00919">
        <w:rPr>
          <w:rFonts w:ascii="Times New Roman" w:eastAsia="Times New Roman" w:hAnsi="Times New Roman" w:cs="Times New Roman"/>
        </w:rPr>
        <w:t>(3)</w:t>
      </w:r>
      <w:r w:rsidRPr="00B00919">
        <w:rPr>
          <w:rFonts w:ascii="Times New Roman" w:eastAsia="Times New Roman" w:hAnsi="Times New Roman" w:cs="Times New Roman"/>
        </w:rPr>
        <w:tab/>
        <w:t>Whether the intervention by the prospective intervenor will unduly prolong or delay the proceeding; and</w:t>
      </w:r>
    </w:p>
    <w:p w:rsidR="00A32888" w:rsidRPr="00B00919" w:rsidP="001E3730" w14:paraId="008AF431" w14:textId="77777777">
      <w:pPr>
        <w:spacing w:before="240" w:after="240"/>
        <w:ind w:left="1440" w:right="720" w:hanging="720"/>
        <w:rPr>
          <w:rFonts w:ascii="Times New Roman" w:eastAsia="Times New Roman" w:hAnsi="Times New Roman" w:cs="Times New Roman"/>
        </w:rPr>
      </w:pPr>
      <w:r w:rsidRPr="00B00919">
        <w:rPr>
          <w:rFonts w:ascii="Times New Roman" w:eastAsia="Times New Roman" w:hAnsi="Times New Roman" w:cs="Times New Roman"/>
        </w:rPr>
        <w:t>(4)</w:t>
      </w:r>
      <w:r w:rsidRPr="00B00919">
        <w:rPr>
          <w:rFonts w:ascii="Times New Roman" w:eastAsia="Times New Roman" w:hAnsi="Times New Roman" w:cs="Times New Roman"/>
        </w:rPr>
        <w:tab/>
        <w:t>Whether the prospective intervenor will significantly contribute to the full development and equitable resolution of the factual issues.</w:t>
      </w:r>
    </w:p>
    <w:p w:rsidR="000D6D55" w:rsidP="003D5409" w14:paraId="6CE1F771" w14:textId="08344BBC">
      <w:pPr>
        <w:pStyle w:val="BodyTextIndent3"/>
        <w:widowControl w:val="0"/>
        <w:spacing w:line="480" w:lineRule="auto"/>
        <w:rPr>
          <w:szCs w:val="24"/>
        </w:rPr>
      </w:pPr>
      <w:r w:rsidRPr="00B00919">
        <w:rPr>
          <w:szCs w:val="24"/>
        </w:rPr>
        <w:t xml:space="preserve">Regarding the first factor, </w:t>
      </w:r>
      <w:r w:rsidRPr="00B00919" w:rsidR="007A05C3">
        <w:rPr>
          <w:szCs w:val="24"/>
        </w:rPr>
        <w:t>XOOM</w:t>
      </w:r>
      <w:r w:rsidRPr="00B00919" w:rsidR="00CE25AB">
        <w:rPr>
          <w:szCs w:val="24"/>
        </w:rPr>
        <w:t xml:space="preserve"> argues OCC’s interests are defined by statute, and relevant statutes grant OCC no legal interest in </w:t>
      </w:r>
      <w:r w:rsidRPr="00B00919" w:rsidR="00D5121B">
        <w:rPr>
          <w:szCs w:val="24"/>
        </w:rPr>
        <w:t>marketer</w:t>
      </w:r>
      <w:r w:rsidRPr="00B00919" w:rsidR="00CE25AB">
        <w:rPr>
          <w:szCs w:val="24"/>
        </w:rPr>
        <w:t xml:space="preserve"> </w:t>
      </w:r>
      <w:r w:rsidRPr="00B00919" w:rsidR="0030369F">
        <w:rPr>
          <w:szCs w:val="24"/>
        </w:rPr>
        <w:t>certification</w:t>
      </w:r>
      <w:r w:rsidRPr="00B00919" w:rsidR="00CE25AB">
        <w:rPr>
          <w:szCs w:val="24"/>
        </w:rPr>
        <w:t xml:space="preserve"> proceedings.</w:t>
      </w:r>
      <w:r>
        <w:rPr>
          <w:rStyle w:val="FootnoteReference"/>
          <w:szCs w:val="24"/>
        </w:rPr>
        <w:footnoteReference w:id="21"/>
      </w:r>
      <w:r w:rsidRPr="00373DFE" w:rsidR="00CE25AB">
        <w:rPr>
          <w:szCs w:val="24"/>
        </w:rPr>
        <w:t xml:space="preserve"> </w:t>
      </w:r>
      <w:r>
        <w:rPr>
          <w:szCs w:val="24"/>
        </w:rPr>
        <w:t>XOOM makes a false argument</w:t>
      </w:r>
      <w:r w:rsidRPr="00373DFE" w:rsidR="00CE25AB">
        <w:rPr>
          <w:szCs w:val="24"/>
        </w:rPr>
        <w:t xml:space="preserve">. </w:t>
      </w:r>
    </w:p>
    <w:p w:rsidR="003D5409" w:rsidRPr="00373DFE" w:rsidP="003D5409" w14:paraId="008AF432" w14:textId="4FC25273">
      <w:pPr>
        <w:pStyle w:val="BodyTextIndent3"/>
        <w:widowControl w:val="0"/>
        <w:spacing w:line="480" w:lineRule="auto"/>
        <w:rPr>
          <w:szCs w:val="24"/>
        </w:rPr>
      </w:pPr>
      <w:r w:rsidRPr="00373DFE">
        <w:rPr>
          <w:szCs w:val="24"/>
        </w:rPr>
        <w:t>Intervention in PUCO proceedings is governed by R.C. 4903.221. That statute expressly states that “[a]ny other person who may be adversely affected by a public utilities commission proceeding may intervene in such proceeding, provided []” that the motion t</w:t>
      </w:r>
      <w:r w:rsidRPr="00E7167E">
        <w:rPr>
          <w:szCs w:val="24"/>
        </w:rPr>
        <w:t xml:space="preserve">o intervene is timely filed in accordance with R.C. 4903.221(A) and that the PUCO considers the criteria set forth in R.C. 4903.221(B). The Supreme Court of Ohio has held that “intervention ought to be </w:t>
      </w:r>
      <w:r w:rsidRPr="00E7167E">
        <w:rPr>
          <w:bCs/>
          <w:i/>
          <w:iCs/>
          <w:szCs w:val="24"/>
        </w:rPr>
        <w:t>liberally allowed</w:t>
      </w:r>
      <w:r w:rsidRPr="004C48FE">
        <w:rPr>
          <w:szCs w:val="24"/>
        </w:rPr>
        <w:t xml:space="preserve"> so that the positions of all persons</w:t>
      </w:r>
      <w:r w:rsidRPr="0020557E">
        <w:rPr>
          <w:szCs w:val="24"/>
        </w:rPr>
        <w:t xml:space="preserve"> with a real and substantial interest in the proceedings can be considered by the PUCO.”</w:t>
      </w:r>
      <w:r>
        <w:rPr>
          <w:rStyle w:val="FootnoteReference"/>
          <w:szCs w:val="24"/>
        </w:rPr>
        <w:footnoteReference w:id="22"/>
      </w:r>
      <w:r w:rsidRPr="00373DFE">
        <w:rPr>
          <w:szCs w:val="24"/>
        </w:rPr>
        <w:t xml:space="preserve"> In the “absence of some evidence in the record calling those claims into doubt or showing that intervention would unduly prolong or delay the proceedings, intervention should [be] granted.”</w:t>
      </w:r>
      <w:r>
        <w:rPr>
          <w:rStyle w:val="FootnoteReference"/>
          <w:szCs w:val="24"/>
        </w:rPr>
        <w:footnoteReference w:id="23"/>
      </w:r>
      <w:r w:rsidRPr="00373DFE">
        <w:rPr>
          <w:szCs w:val="24"/>
        </w:rPr>
        <w:t xml:space="preserve"> </w:t>
      </w:r>
    </w:p>
    <w:p w:rsidR="00D5121B" w:rsidRPr="00B00919" w:rsidP="003D5409" w14:paraId="008AF433" w14:textId="367EED36">
      <w:pPr>
        <w:pStyle w:val="BodyTextIndent3"/>
        <w:widowControl w:val="0"/>
        <w:spacing w:line="480" w:lineRule="auto"/>
        <w:rPr>
          <w:szCs w:val="24"/>
        </w:rPr>
      </w:pPr>
      <w:r w:rsidRPr="00E7167E">
        <w:rPr>
          <w:szCs w:val="24"/>
        </w:rPr>
        <w:t xml:space="preserve">Ironically, R.C. 4903.221 was part of a reform law decades ago, to advance public participation in PUCO cases. Intervention standards at the PUCO have been reformed. It’s </w:t>
      </w:r>
      <w:r w:rsidRPr="00E7167E" w:rsidR="00317FAD">
        <w:rPr>
          <w:szCs w:val="24"/>
        </w:rPr>
        <w:t xml:space="preserve">now </w:t>
      </w:r>
      <w:r w:rsidRPr="00B00919" w:rsidR="00794E0C">
        <w:rPr>
          <w:szCs w:val="24"/>
        </w:rPr>
        <w:t>XOOM</w:t>
      </w:r>
      <w:r w:rsidRPr="00B00919">
        <w:rPr>
          <w:szCs w:val="24"/>
        </w:rPr>
        <w:t xml:space="preserve"> that needs reform.</w:t>
      </w:r>
    </w:p>
    <w:p w:rsidR="00EC2568" w:rsidP="0030369F" w14:paraId="18AF7966" w14:textId="77777777">
      <w:pPr>
        <w:pStyle w:val="BodyTextIndent3"/>
        <w:spacing w:line="480" w:lineRule="auto"/>
        <w:rPr>
          <w:szCs w:val="24"/>
        </w:rPr>
      </w:pPr>
      <w:r w:rsidRPr="00B00919">
        <w:rPr>
          <w:szCs w:val="24"/>
        </w:rPr>
        <w:t xml:space="preserve">OCC’s motion to intervene demonstrates that it meets the criteria set forth in R.C. 4903.221 and the precedent established by the Supreme Court of Ohio for intervention. After investigating </w:t>
      </w:r>
      <w:r w:rsidRPr="00B00919" w:rsidR="00F42C78">
        <w:rPr>
          <w:szCs w:val="24"/>
        </w:rPr>
        <w:t>40</w:t>
      </w:r>
      <w:r w:rsidRPr="00DF37A1" w:rsidR="00F42C78">
        <w:rPr>
          <w:szCs w:val="24"/>
        </w:rPr>
        <w:t xml:space="preserve"> </w:t>
      </w:r>
      <w:r w:rsidRPr="0020557E">
        <w:rPr>
          <w:szCs w:val="24"/>
        </w:rPr>
        <w:t>consumer contacts</w:t>
      </w:r>
      <w:r w:rsidRPr="004B3263">
        <w:rPr>
          <w:szCs w:val="24"/>
        </w:rPr>
        <w:t xml:space="preserve"> </w:t>
      </w:r>
      <w:r w:rsidRPr="005419F8">
        <w:rPr>
          <w:szCs w:val="24"/>
        </w:rPr>
        <w:t xml:space="preserve">regarding </w:t>
      </w:r>
      <w:r w:rsidRPr="00B00919" w:rsidR="00794E0C">
        <w:rPr>
          <w:szCs w:val="24"/>
        </w:rPr>
        <w:t>XOOM</w:t>
      </w:r>
      <w:r w:rsidRPr="00B00919">
        <w:rPr>
          <w:szCs w:val="24"/>
        </w:rPr>
        <w:t xml:space="preserve">, the PUCO Staff </w:t>
      </w:r>
      <w:r w:rsidRPr="00B00919" w:rsidR="00DF37A1">
        <w:rPr>
          <w:szCs w:val="24"/>
        </w:rPr>
        <w:t xml:space="preserve">found </w:t>
      </w:r>
      <w:r w:rsidR="0020557E">
        <w:rPr>
          <w:szCs w:val="24"/>
        </w:rPr>
        <w:t>“</w:t>
      </w:r>
      <w:r w:rsidRPr="0020557E" w:rsidR="0020557E">
        <w:rPr>
          <w:szCs w:val="24"/>
        </w:rPr>
        <w:t>a pattern of unfair, deceptive, or unconscionable acts or practices by XOOM Energy.</w:t>
      </w:r>
      <w:r w:rsidR="0020557E">
        <w:rPr>
          <w:szCs w:val="24"/>
        </w:rPr>
        <w:t>”</w:t>
      </w:r>
      <w:r>
        <w:rPr>
          <w:rStyle w:val="FootnoteReference"/>
          <w:szCs w:val="24"/>
        </w:rPr>
        <w:footnoteReference w:id="24"/>
      </w:r>
      <w:r w:rsidRPr="00373DFE">
        <w:rPr>
          <w:szCs w:val="24"/>
        </w:rPr>
        <w:t xml:space="preserve"> </w:t>
      </w:r>
    </w:p>
    <w:p w:rsidR="0030369F" w:rsidRPr="00373DFE" w:rsidP="0030369F" w14:paraId="008AF434" w14:textId="4638DE6A">
      <w:pPr>
        <w:pStyle w:val="BodyTextIndent3"/>
        <w:spacing w:line="480" w:lineRule="auto"/>
        <w:rPr>
          <w:szCs w:val="24"/>
        </w:rPr>
      </w:pPr>
      <w:r w:rsidRPr="00373DFE">
        <w:rPr>
          <w:szCs w:val="24"/>
        </w:rPr>
        <w:t>P</w:t>
      </w:r>
      <w:r w:rsidRPr="00373DFE" w:rsidR="00541619">
        <w:rPr>
          <w:szCs w:val="24"/>
        </w:rPr>
        <w:t>er the PUCO Staff, p</w:t>
      </w:r>
      <w:r w:rsidRPr="00373DFE">
        <w:rPr>
          <w:szCs w:val="24"/>
        </w:rPr>
        <w:t xml:space="preserve">articularly egregious </w:t>
      </w:r>
      <w:r w:rsidR="004E1E6B">
        <w:rPr>
          <w:szCs w:val="24"/>
        </w:rPr>
        <w:t xml:space="preserve">alleged </w:t>
      </w:r>
      <w:r w:rsidRPr="00373DFE">
        <w:rPr>
          <w:szCs w:val="24"/>
        </w:rPr>
        <w:t xml:space="preserve">practices by </w:t>
      </w:r>
      <w:r w:rsidRPr="00B00919" w:rsidR="00794E0C">
        <w:rPr>
          <w:szCs w:val="24"/>
        </w:rPr>
        <w:t>XOOM</w:t>
      </w:r>
      <w:r w:rsidRPr="00B00919">
        <w:rPr>
          <w:szCs w:val="24"/>
        </w:rPr>
        <w:t xml:space="preserve"> include but are not limited to: </w:t>
      </w:r>
      <w:r w:rsidR="004B3263">
        <w:rPr>
          <w:szCs w:val="24"/>
        </w:rPr>
        <w:t>“</w:t>
      </w:r>
      <w:r w:rsidRPr="00DF37A1" w:rsidR="00D30D9E">
        <w:rPr>
          <w:szCs w:val="24"/>
        </w:rPr>
        <w:t xml:space="preserve">XOOM Energy sales representatives provided misleading information during telemarketing efforts; XOOM Energy enrolled customers without proof of their consent as required by </w:t>
      </w:r>
      <w:r w:rsidR="00386DA3">
        <w:rPr>
          <w:szCs w:val="24"/>
        </w:rPr>
        <w:t>[O.A.C.]</w:t>
      </w:r>
      <w:r w:rsidRPr="00DF37A1" w:rsidR="00D30D9E">
        <w:rPr>
          <w:szCs w:val="24"/>
        </w:rPr>
        <w:t xml:space="preserve"> 4901:1-21-06(C); XOOM Energy did not properly enroll consumers telephonically by providing a date and time stamped audio recording verifying certain items before the completion of the call; XOOM Energy did not properly enroll consumers via the internet; and, for both internet and telephonic enrollments, XOOM Energy did not obtain proper verification and/or documentation as required by the Ohio Administrative Code which requires that consent shall be obtained by encrypted customer input on a provider’s website.</w:t>
      </w:r>
      <w:r w:rsidRPr="00370F06" w:rsidR="00D30D9E">
        <w:rPr>
          <w:szCs w:val="24"/>
        </w:rPr>
        <w:t>.”</w:t>
      </w:r>
      <w:r>
        <w:rPr>
          <w:szCs w:val="24"/>
          <w:vertAlign w:val="superscript"/>
        </w:rPr>
        <w:footnoteReference w:id="25"/>
      </w:r>
      <w:r w:rsidR="00F45936">
        <w:rPr>
          <w:szCs w:val="24"/>
        </w:rPr>
        <w:t xml:space="preserve"> </w:t>
      </w:r>
      <w:r w:rsidRPr="004B3263" w:rsidR="0008209C">
        <w:rPr>
          <w:szCs w:val="24"/>
        </w:rPr>
        <w:t xml:space="preserve">Given </w:t>
      </w:r>
      <w:r w:rsidRPr="00B00919" w:rsidR="004B3263">
        <w:rPr>
          <w:szCs w:val="24"/>
        </w:rPr>
        <w:t>XOOM’s</w:t>
      </w:r>
      <w:r w:rsidRPr="004B3263" w:rsidR="0008209C">
        <w:rPr>
          <w:szCs w:val="24"/>
        </w:rPr>
        <w:t xml:space="preserve"> pattern of unfair business practices, there</w:t>
      </w:r>
      <w:r w:rsidRPr="004D3F33">
        <w:rPr>
          <w:szCs w:val="24"/>
        </w:rPr>
        <w:t xml:space="preserve"> can </w:t>
      </w:r>
      <w:r w:rsidRPr="005419F8" w:rsidR="00F93D2F">
        <w:rPr>
          <w:szCs w:val="24"/>
        </w:rPr>
        <w:t xml:space="preserve">be </w:t>
      </w:r>
      <w:r w:rsidRPr="00B00919">
        <w:rPr>
          <w:szCs w:val="24"/>
        </w:rPr>
        <w:t>no doubt that Ohio’s residential consumers</w:t>
      </w:r>
      <w:r w:rsidRPr="00B00919" w:rsidR="00541619">
        <w:rPr>
          <w:szCs w:val="24"/>
        </w:rPr>
        <w:t xml:space="preserve"> that OCC represents</w:t>
      </w:r>
      <w:r w:rsidRPr="00B00919">
        <w:rPr>
          <w:szCs w:val="24"/>
        </w:rPr>
        <w:t xml:space="preserve"> “may be adversely affected</w:t>
      </w:r>
      <w:r w:rsidRPr="00B00919" w:rsidR="00541619">
        <w:rPr>
          <w:szCs w:val="24"/>
        </w:rPr>
        <w:t>.</w:t>
      </w:r>
      <w:r w:rsidRPr="00B00919">
        <w:rPr>
          <w:szCs w:val="24"/>
        </w:rPr>
        <w:t>”</w:t>
      </w:r>
      <w:r w:rsidRPr="00373DFE">
        <w:rPr>
          <w:szCs w:val="24"/>
        </w:rPr>
        <w:t xml:space="preserve"> </w:t>
      </w:r>
    </w:p>
    <w:p w:rsidR="00AC6360" w:rsidRPr="00B00919" w:rsidP="00AC6360" w14:paraId="008AF435" w14:textId="635DCA47">
      <w:pPr>
        <w:pStyle w:val="BodyTextIndent3"/>
        <w:spacing w:line="480" w:lineRule="auto"/>
        <w:rPr>
          <w:szCs w:val="24"/>
        </w:rPr>
      </w:pPr>
      <w:r w:rsidRPr="00E7167E">
        <w:rPr>
          <w:szCs w:val="24"/>
        </w:rPr>
        <w:t xml:space="preserve">Next, </w:t>
      </w:r>
      <w:r w:rsidRPr="00B00919" w:rsidR="00794E0C">
        <w:rPr>
          <w:szCs w:val="24"/>
        </w:rPr>
        <w:t>XOOM</w:t>
      </w:r>
      <w:r w:rsidRPr="00B00919">
        <w:rPr>
          <w:szCs w:val="24"/>
        </w:rPr>
        <w:t xml:space="preserve"> argues the legal position OCC advances is not related to the merits of this case.</w:t>
      </w:r>
      <w:r>
        <w:rPr>
          <w:rStyle w:val="FootnoteReference"/>
          <w:szCs w:val="24"/>
        </w:rPr>
        <w:footnoteReference w:id="26"/>
      </w:r>
      <w:r w:rsidRPr="00373DFE">
        <w:rPr>
          <w:szCs w:val="24"/>
        </w:rPr>
        <w:t xml:space="preserve"> </w:t>
      </w:r>
      <w:r w:rsidRPr="00373DFE" w:rsidR="00964208">
        <w:rPr>
          <w:szCs w:val="24"/>
        </w:rPr>
        <w:t xml:space="preserve">How can this be? If granted intervention, OCC would advance the following positions: </w:t>
      </w:r>
      <w:r w:rsidRPr="00E7167E" w:rsidR="00722E73">
        <w:rPr>
          <w:szCs w:val="24"/>
        </w:rPr>
        <w:t xml:space="preserve">automatic approval of </w:t>
      </w:r>
      <w:r w:rsidRPr="00B00919" w:rsidR="00794E0C">
        <w:rPr>
          <w:szCs w:val="24"/>
        </w:rPr>
        <w:t>XOOM’s</w:t>
      </w:r>
      <w:r w:rsidRPr="00B00919" w:rsidR="00722E73">
        <w:rPr>
          <w:szCs w:val="24"/>
        </w:rPr>
        <w:t xml:space="preserve"> application to renew its certificate should be suspended or, alternatively, denied</w:t>
      </w:r>
      <w:r w:rsidRPr="00B00919" w:rsidR="00426E5E">
        <w:rPr>
          <w:szCs w:val="24"/>
        </w:rPr>
        <w:t xml:space="preserve"> outright</w:t>
      </w:r>
      <w:r w:rsidRPr="00B00919" w:rsidR="00722E73">
        <w:rPr>
          <w:szCs w:val="24"/>
        </w:rPr>
        <w:t xml:space="preserve">. </w:t>
      </w:r>
      <w:r w:rsidRPr="00B00919" w:rsidR="00986767">
        <w:rPr>
          <w:szCs w:val="24"/>
        </w:rPr>
        <w:t>These positions squarely address the core question in this proceeding:</w:t>
      </w:r>
      <w:r w:rsidRPr="00B00919" w:rsidR="00B0118B">
        <w:rPr>
          <w:szCs w:val="24"/>
        </w:rPr>
        <w:t xml:space="preserve"> whether the PUCO should renew </w:t>
      </w:r>
      <w:r w:rsidRPr="00B00919" w:rsidR="00794E0C">
        <w:rPr>
          <w:szCs w:val="24"/>
        </w:rPr>
        <w:t>XOOM’s</w:t>
      </w:r>
      <w:r w:rsidRPr="00B00919" w:rsidR="00B0118B">
        <w:rPr>
          <w:szCs w:val="24"/>
        </w:rPr>
        <w:t xml:space="preserve"> </w:t>
      </w:r>
      <w:r w:rsidR="005B3986">
        <w:rPr>
          <w:szCs w:val="24"/>
        </w:rPr>
        <w:t>natural gas</w:t>
      </w:r>
      <w:r w:rsidRPr="00B00919" w:rsidR="00B0118B">
        <w:rPr>
          <w:szCs w:val="24"/>
        </w:rPr>
        <w:t xml:space="preserve"> </w:t>
      </w:r>
      <w:r w:rsidRPr="00B00919" w:rsidR="00C071CA">
        <w:rPr>
          <w:szCs w:val="24"/>
        </w:rPr>
        <w:t xml:space="preserve">marketer </w:t>
      </w:r>
      <w:r w:rsidRPr="00B00919" w:rsidR="00B0118B">
        <w:rPr>
          <w:szCs w:val="24"/>
        </w:rPr>
        <w:t>certification.</w:t>
      </w:r>
      <w:r w:rsidRPr="00B00919" w:rsidR="00722E73">
        <w:rPr>
          <w:szCs w:val="24"/>
        </w:rPr>
        <w:t xml:space="preserve"> </w:t>
      </w:r>
      <w:r w:rsidRPr="00B00919" w:rsidR="00B0118B">
        <w:rPr>
          <w:szCs w:val="24"/>
        </w:rPr>
        <w:t>Consequently, OCC’s legal position</w:t>
      </w:r>
      <w:r w:rsidRPr="00B00919" w:rsidR="00DD40F4">
        <w:rPr>
          <w:szCs w:val="24"/>
        </w:rPr>
        <w:t>s are</w:t>
      </w:r>
      <w:r w:rsidRPr="00B00919" w:rsidR="00B0118B">
        <w:rPr>
          <w:szCs w:val="24"/>
        </w:rPr>
        <w:t xml:space="preserve"> sufficiently related to the merits of this case.</w:t>
      </w:r>
    </w:p>
    <w:p w:rsidR="00C071CA" w:rsidP="00AC6360" w14:paraId="7D5E5FFD" w14:textId="56DF5420">
      <w:pPr>
        <w:pStyle w:val="BodyTextIndent3"/>
        <w:spacing w:line="480" w:lineRule="auto"/>
        <w:rPr>
          <w:szCs w:val="24"/>
        </w:rPr>
      </w:pPr>
      <w:r w:rsidRPr="00B00919">
        <w:rPr>
          <w:szCs w:val="24"/>
        </w:rPr>
        <w:t xml:space="preserve">Additionally, </w:t>
      </w:r>
      <w:r w:rsidRPr="00B00919" w:rsidR="00794E0C">
        <w:rPr>
          <w:szCs w:val="24"/>
        </w:rPr>
        <w:t>XOOM</w:t>
      </w:r>
      <w:r w:rsidRPr="00B00919">
        <w:rPr>
          <w:szCs w:val="24"/>
        </w:rPr>
        <w:t xml:space="preserve"> argues </w:t>
      </w:r>
      <w:r w:rsidRPr="00B00919" w:rsidR="00AC6360">
        <w:rPr>
          <w:szCs w:val="24"/>
        </w:rPr>
        <w:t>OCC will not contribute to development and resolution of factual issues</w:t>
      </w:r>
      <w:r w:rsidRPr="00B00919">
        <w:rPr>
          <w:szCs w:val="24"/>
        </w:rPr>
        <w:t xml:space="preserve"> in this case because OCC</w:t>
      </w:r>
      <w:r w:rsidRPr="00B00919" w:rsidR="00AC6360">
        <w:rPr>
          <w:szCs w:val="24"/>
        </w:rPr>
        <w:t xml:space="preserve"> </w:t>
      </w:r>
      <w:r w:rsidRPr="00B00919">
        <w:rPr>
          <w:szCs w:val="24"/>
        </w:rPr>
        <w:t>cites approvingly</w:t>
      </w:r>
      <w:r w:rsidRPr="00B00919" w:rsidR="00722E73">
        <w:rPr>
          <w:szCs w:val="24"/>
        </w:rPr>
        <w:t xml:space="preserve"> findings</w:t>
      </w:r>
      <w:r w:rsidRPr="00B00919" w:rsidR="00AC6360">
        <w:rPr>
          <w:szCs w:val="24"/>
        </w:rPr>
        <w:t xml:space="preserve"> and recommendations</w:t>
      </w:r>
      <w:r w:rsidRPr="00B00919" w:rsidR="00722E73">
        <w:rPr>
          <w:szCs w:val="24"/>
        </w:rPr>
        <w:t xml:space="preserve"> </w:t>
      </w:r>
      <w:r w:rsidRPr="00B00919" w:rsidR="00CE012B">
        <w:rPr>
          <w:szCs w:val="24"/>
        </w:rPr>
        <w:t>PUCO Staff already made</w:t>
      </w:r>
      <w:r w:rsidRPr="00B00919">
        <w:rPr>
          <w:szCs w:val="24"/>
        </w:rPr>
        <w:t>.</w:t>
      </w:r>
      <w:r>
        <w:rPr>
          <w:rStyle w:val="FootnoteReference"/>
          <w:szCs w:val="24"/>
        </w:rPr>
        <w:footnoteReference w:id="27"/>
      </w:r>
      <w:r w:rsidRPr="00373DFE">
        <w:rPr>
          <w:szCs w:val="24"/>
        </w:rPr>
        <w:t xml:space="preserve"> </w:t>
      </w:r>
      <w:r w:rsidRPr="00373DFE" w:rsidR="00426E5E">
        <w:rPr>
          <w:szCs w:val="24"/>
        </w:rPr>
        <w:t>However, OCC</w:t>
      </w:r>
      <w:r>
        <w:rPr>
          <w:szCs w:val="24"/>
        </w:rPr>
        <w:t>’s</w:t>
      </w:r>
      <w:r w:rsidRPr="00373DFE" w:rsidR="00426E5E">
        <w:rPr>
          <w:szCs w:val="24"/>
        </w:rPr>
        <w:t xml:space="preserve"> </w:t>
      </w:r>
      <w:r>
        <w:rPr>
          <w:szCs w:val="24"/>
        </w:rPr>
        <w:t>support for the</w:t>
      </w:r>
      <w:r w:rsidRPr="00373DFE" w:rsidR="00426E5E">
        <w:rPr>
          <w:szCs w:val="24"/>
        </w:rPr>
        <w:t xml:space="preserve"> PUCO Staff’s articula</w:t>
      </w:r>
      <w:r w:rsidRPr="00E7167E" w:rsidR="00426E5E">
        <w:rPr>
          <w:szCs w:val="24"/>
        </w:rPr>
        <w:t xml:space="preserve">tion of </w:t>
      </w:r>
      <w:r w:rsidRPr="00B00919" w:rsidR="001E63AB">
        <w:rPr>
          <w:szCs w:val="24"/>
        </w:rPr>
        <w:t>XOOM’s</w:t>
      </w:r>
      <w:r w:rsidRPr="00B00919" w:rsidR="00426E5E">
        <w:rPr>
          <w:szCs w:val="24"/>
        </w:rPr>
        <w:t xml:space="preserve"> deceptive behavior emphasizes, rather than eliminates, the need for a dedicated consumer advocate in this case.</w:t>
      </w:r>
      <w:r>
        <w:rPr>
          <w:szCs w:val="24"/>
        </w:rPr>
        <w:t xml:space="preserve"> Further, OCC’s recommendations for how the PUCO should rule regarding the factual issues includes a stronger recommendation than the PUCO Staff’s positions.</w:t>
      </w:r>
      <w:r w:rsidR="00C72A88">
        <w:rPr>
          <w:szCs w:val="24"/>
        </w:rPr>
        <w:t xml:space="preserve"> </w:t>
      </w:r>
    </w:p>
    <w:p w:rsidR="0026108C" w:rsidRPr="00B00919" w:rsidP="00AC6360" w14:paraId="008AF436" w14:textId="79AB08AE">
      <w:pPr>
        <w:pStyle w:val="BodyTextIndent3"/>
        <w:spacing w:line="480" w:lineRule="auto"/>
        <w:rPr>
          <w:szCs w:val="24"/>
        </w:rPr>
      </w:pPr>
      <w:r w:rsidRPr="00B00919">
        <w:rPr>
          <w:szCs w:val="24"/>
        </w:rPr>
        <w:t xml:space="preserve">Only OCC, as the statutory representative of Ohio’s residential utility consumers, is in the unique position of representing the interests of the residential consumers harmed by </w:t>
      </w:r>
      <w:r w:rsidRPr="00B00919" w:rsidR="001E63AB">
        <w:rPr>
          <w:szCs w:val="24"/>
        </w:rPr>
        <w:t>XOOM</w:t>
      </w:r>
      <w:r w:rsidRPr="00B00919">
        <w:rPr>
          <w:szCs w:val="24"/>
        </w:rPr>
        <w:t xml:space="preserve">. </w:t>
      </w:r>
      <w:r w:rsidRPr="00B00919" w:rsidR="00426E5E">
        <w:rPr>
          <w:szCs w:val="24"/>
        </w:rPr>
        <w:t xml:space="preserve">The PUCO Staff, by contrast, considers the interests of all consumers </w:t>
      </w:r>
      <w:r w:rsidRPr="00B00919" w:rsidR="00426E5E">
        <w:rPr>
          <w:i/>
          <w:iCs/>
          <w:szCs w:val="24"/>
        </w:rPr>
        <w:t xml:space="preserve">and </w:t>
      </w:r>
      <w:r w:rsidRPr="00C72A88" w:rsidR="00C071CA">
        <w:rPr>
          <w:szCs w:val="24"/>
        </w:rPr>
        <w:t>the</w:t>
      </w:r>
      <w:r w:rsidR="00C071CA">
        <w:rPr>
          <w:i/>
          <w:iCs/>
          <w:szCs w:val="24"/>
        </w:rPr>
        <w:t xml:space="preserve"> </w:t>
      </w:r>
      <w:r w:rsidRPr="00B00919" w:rsidR="00426E5E">
        <w:rPr>
          <w:szCs w:val="24"/>
        </w:rPr>
        <w:t xml:space="preserve">marketer in this PUCO investigation. </w:t>
      </w:r>
      <w:r w:rsidRPr="00B00919" w:rsidR="00C50042">
        <w:rPr>
          <w:szCs w:val="24"/>
        </w:rPr>
        <w:t>Consequently, OCC’s intervention in this case will aid the development and resolution of the facts.</w:t>
      </w:r>
    </w:p>
    <w:p w:rsidR="00EF6EAC" w:rsidRPr="00B00919" w:rsidP="006A738B" w14:paraId="008AF437" w14:textId="7DDB7F6A">
      <w:pPr>
        <w:pStyle w:val="BodyTextIndent3"/>
        <w:spacing w:line="480" w:lineRule="auto"/>
        <w:rPr>
          <w:color w:val="000000" w:themeColor="text1"/>
          <w:szCs w:val="24"/>
        </w:rPr>
      </w:pPr>
      <w:r w:rsidRPr="00B00919">
        <w:rPr>
          <w:szCs w:val="24"/>
        </w:rPr>
        <w:t xml:space="preserve">Finally, </w:t>
      </w:r>
      <w:r w:rsidRPr="00B00919" w:rsidR="001E63AB">
        <w:rPr>
          <w:szCs w:val="24"/>
        </w:rPr>
        <w:t>XOOM</w:t>
      </w:r>
      <w:r w:rsidRPr="00B00919">
        <w:rPr>
          <w:szCs w:val="24"/>
        </w:rPr>
        <w:t xml:space="preserve"> half-heartedly suggests </w:t>
      </w:r>
      <w:r w:rsidR="008346AC">
        <w:rPr>
          <w:szCs w:val="24"/>
        </w:rPr>
        <w:t xml:space="preserve">that OCC’s intervention in this proceeding will not result in an </w:t>
      </w:r>
      <w:r w:rsidRPr="008346AC" w:rsidR="008346AC">
        <w:rPr>
          <w:i/>
          <w:iCs/>
          <w:szCs w:val="24"/>
        </w:rPr>
        <w:t>expedi</w:t>
      </w:r>
      <w:r w:rsidR="00EC6D89">
        <w:rPr>
          <w:i/>
          <w:iCs/>
          <w:szCs w:val="24"/>
        </w:rPr>
        <w:t>ti</w:t>
      </w:r>
      <w:r w:rsidRPr="008346AC" w:rsidR="008346AC">
        <w:rPr>
          <w:i/>
          <w:iCs/>
          <w:szCs w:val="24"/>
        </w:rPr>
        <w:t>ous</w:t>
      </w:r>
      <w:r w:rsidR="008346AC">
        <w:rPr>
          <w:szCs w:val="24"/>
        </w:rPr>
        <w:t xml:space="preserve"> resolution of the issues</w:t>
      </w:r>
      <w:r w:rsidR="00213665">
        <w:rPr>
          <w:szCs w:val="24"/>
        </w:rPr>
        <w:t xml:space="preserve"> because OCC seeks to interject broader </w:t>
      </w:r>
      <w:r w:rsidR="00782EEE">
        <w:rPr>
          <w:szCs w:val="24"/>
        </w:rPr>
        <w:t>issues</w:t>
      </w:r>
      <w:r w:rsidR="00213665">
        <w:rPr>
          <w:szCs w:val="24"/>
        </w:rPr>
        <w:t xml:space="preserve"> that OCC is attempting to </w:t>
      </w:r>
      <w:r w:rsidR="00782EEE">
        <w:rPr>
          <w:szCs w:val="24"/>
        </w:rPr>
        <w:t>litigate</w:t>
      </w:r>
      <w:r w:rsidR="00213665">
        <w:rPr>
          <w:szCs w:val="24"/>
        </w:rPr>
        <w:t xml:space="preserve"> or should address in o</w:t>
      </w:r>
      <w:r w:rsidR="00EC6D89">
        <w:rPr>
          <w:szCs w:val="24"/>
        </w:rPr>
        <w:t>ther proceedings.</w:t>
      </w:r>
      <w:r>
        <w:rPr>
          <w:rStyle w:val="FootnoteReference"/>
          <w:szCs w:val="24"/>
        </w:rPr>
        <w:footnoteReference w:id="28"/>
      </w:r>
      <w:r w:rsidRPr="00373DFE">
        <w:rPr>
          <w:szCs w:val="24"/>
        </w:rPr>
        <w:t xml:space="preserve"> </w:t>
      </w:r>
      <w:r w:rsidRPr="00373DFE" w:rsidR="006A738B">
        <w:rPr>
          <w:szCs w:val="24"/>
        </w:rPr>
        <w:t xml:space="preserve">Yet, </w:t>
      </w:r>
      <w:r w:rsidRPr="00B00919" w:rsidR="001E63AB">
        <w:rPr>
          <w:szCs w:val="24"/>
        </w:rPr>
        <w:t>XOOM</w:t>
      </w:r>
      <w:r w:rsidRPr="00B00919">
        <w:rPr>
          <w:szCs w:val="24"/>
        </w:rPr>
        <w:t xml:space="preserve"> </w:t>
      </w:r>
      <w:r w:rsidRPr="00B00919" w:rsidR="006A738B">
        <w:rPr>
          <w:szCs w:val="24"/>
        </w:rPr>
        <w:t xml:space="preserve">does not identify a single action that OCC took without merit in </w:t>
      </w:r>
      <w:r w:rsidR="00E94F6A">
        <w:rPr>
          <w:szCs w:val="24"/>
        </w:rPr>
        <w:t>this</w:t>
      </w:r>
      <w:r w:rsidRPr="00E94F6A" w:rsidR="00E94F6A">
        <w:rPr>
          <w:szCs w:val="24"/>
        </w:rPr>
        <w:t xml:space="preserve"> </w:t>
      </w:r>
      <w:r w:rsidRPr="00E94F6A" w:rsidR="006A738B">
        <w:rPr>
          <w:szCs w:val="24"/>
        </w:rPr>
        <w:t>case</w:t>
      </w:r>
      <w:r w:rsidR="00E94F6A">
        <w:rPr>
          <w:szCs w:val="24"/>
        </w:rPr>
        <w:t xml:space="preserve"> (nor in the investigation case)</w:t>
      </w:r>
      <w:r w:rsidRPr="00E94F6A" w:rsidR="006A738B">
        <w:rPr>
          <w:szCs w:val="24"/>
        </w:rPr>
        <w:t xml:space="preserve">. Further, if this case does not get resolved as quickly as </w:t>
      </w:r>
      <w:r w:rsidRPr="00B00919" w:rsidR="001E63AB">
        <w:rPr>
          <w:szCs w:val="24"/>
        </w:rPr>
        <w:t>XOOM</w:t>
      </w:r>
      <w:r w:rsidR="00F45936">
        <w:rPr>
          <w:szCs w:val="24"/>
        </w:rPr>
        <w:t xml:space="preserve"> </w:t>
      </w:r>
      <w:r w:rsidRPr="00B00919" w:rsidR="006A738B">
        <w:rPr>
          <w:szCs w:val="24"/>
        </w:rPr>
        <w:t xml:space="preserve">would like, that is not an </w:t>
      </w:r>
      <w:r w:rsidRPr="00B00919" w:rsidR="006A738B">
        <w:rPr>
          <w:i/>
          <w:iCs/>
          <w:szCs w:val="24"/>
        </w:rPr>
        <w:t>undue</w:t>
      </w:r>
      <w:r w:rsidRPr="00B00919" w:rsidR="006A738B">
        <w:rPr>
          <w:szCs w:val="24"/>
        </w:rPr>
        <w:t xml:space="preserve"> delay. That is due process. As OCC explained in </w:t>
      </w:r>
      <w:r w:rsidRPr="00B00919" w:rsidR="006A738B">
        <w:rPr>
          <w:color w:val="000000" w:themeColor="text1"/>
          <w:szCs w:val="24"/>
        </w:rPr>
        <w:t>its motion to intervene, OCC’s longstanding expertise and experience in PUCO proceedings, and marketer investigations specifically, will duly allow for the efficient processing of the case with consideration of the public interest.</w:t>
      </w:r>
      <w:r w:rsidRPr="00B00919">
        <w:rPr>
          <w:color w:val="000000" w:themeColor="text1"/>
          <w:szCs w:val="24"/>
        </w:rPr>
        <w:t xml:space="preserve"> </w:t>
      </w:r>
    </w:p>
    <w:p w:rsidR="006A738B" w:rsidRPr="00B00919" w:rsidP="006A738B" w14:paraId="008AF438" w14:textId="70B8A9F6">
      <w:pPr>
        <w:pStyle w:val="BodyTextIndent3"/>
        <w:spacing w:line="480" w:lineRule="auto"/>
        <w:rPr>
          <w:color w:val="000000" w:themeColor="text1"/>
          <w:szCs w:val="24"/>
        </w:rPr>
      </w:pPr>
      <w:r w:rsidRPr="00B00919">
        <w:rPr>
          <w:color w:val="000000" w:themeColor="text1"/>
          <w:szCs w:val="24"/>
        </w:rPr>
        <w:t xml:space="preserve">Violating state standards for protection of Ohioans has consequences under Ohio law. For a marketer like </w:t>
      </w:r>
      <w:r w:rsidRPr="00B00919" w:rsidR="001E63AB">
        <w:rPr>
          <w:color w:val="000000" w:themeColor="text1"/>
          <w:szCs w:val="24"/>
        </w:rPr>
        <w:t>XOOM</w:t>
      </w:r>
      <w:r w:rsidRPr="00B00919">
        <w:rPr>
          <w:color w:val="000000" w:themeColor="text1"/>
          <w:szCs w:val="24"/>
        </w:rPr>
        <w:t xml:space="preserve">, those consequences include a state investigation and consumer representation by the Ohio Consumers’ Counsel. </w:t>
      </w:r>
      <w:r w:rsidRPr="00B00919" w:rsidR="001E63AB">
        <w:rPr>
          <w:color w:val="000000" w:themeColor="text1"/>
          <w:szCs w:val="24"/>
        </w:rPr>
        <w:t>XOOM</w:t>
      </w:r>
      <w:r w:rsidRPr="00B00919">
        <w:rPr>
          <w:color w:val="000000" w:themeColor="text1"/>
          <w:szCs w:val="24"/>
        </w:rPr>
        <w:t xml:space="preserve"> wants to make a mockery of the state’s system for consumer advocacy. </w:t>
      </w:r>
    </w:p>
    <w:p w:rsidR="00A7264B" w:rsidRPr="00A7264B" w:rsidP="009C6954" w14:paraId="72F47E9B" w14:textId="77777777">
      <w:pPr>
        <w:pStyle w:val="Heading2"/>
        <w:ind w:left="1440" w:hanging="720"/>
        <w:rPr>
          <w:rStyle w:val="Heading2Char"/>
          <w:b/>
        </w:rPr>
      </w:pPr>
      <w:bookmarkStart w:id="9" w:name="_Toc112761876"/>
      <w:r w:rsidRPr="00A7264B">
        <w:rPr>
          <w:rStyle w:val="Heading2Char"/>
          <w:rFonts w:ascii="Times New Roman" w:hAnsi="Times New Roman" w:eastAsiaTheme="majorEastAsia"/>
          <w:b/>
        </w:rPr>
        <w:t>The Ohio Consumers’ Counsel is the statutory representative of Ohio’s residential consumers, and no other party represents that interest.</w:t>
      </w:r>
      <w:bookmarkEnd w:id="9"/>
    </w:p>
    <w:p w:rsidR="009D31A3" w:rsidRPr="009C6954" w:rsidP="00A7264B" w14:paraId="27083BB2" w14:textId="478C786B">
      <w:pPr>
        <w:pStyle w:val="Heading3"/>
        <w:ind w:left="2160" w:hanging="720"/>
      </w:pPr>
      <w:bookmarkStart w:id="10" w:name="_Toc112761877"/>
      <w:r w:rsidRPr="009C6954">
        <w:t>The PUCO Staff cannot be substituted for OCC as the consumer advocate.</w:t>
      </w:r>
      <w:bookmarkEnd w:id="10"/>
    </w:p>
    <w:p w:rsidR="00F328C1" w:rsidRPr="00D2421E" w:rsidP="00B00919" w14:paraId="37D69327" w14:textId="4E2BFFAB">
      <w:pPr>
        <w:pStyle w:val="BodyTextIndent3"/>
        <w:widowControl w:val="0"/>
        <w:spacing w:before="240" w:line="480" w:lineRule="auto"/>
        <w:ind w:right="-312"/>
        <w:rPr>
          <w:szCs w:val="24"/>
        </w:rPr>
      </w:pPr>
      <w:r>
        <w:rPr>
          <w:szCs w:val="24"/>
        </w:rPr>
        <w:t>XOOM</w:t>
      </w:r>
      <w:r w:rsidRPr="00B35098">
        <w:rPr>
          <w:szCs w:val="24"/>
        </w:rPr>
        <w:t xml:space="preserve"> argues that OCC should be denied intervention in this case</w:t>
      </w:r>
      <w:r w:rsidRPr="00E7167E">
        <w:rPr>
          <w:szCs w:val="24"/>
        </w:rPr>
        <w:t xml:space="preserve"> because </w:t>
      </w:r>
      <w:r w:rsidR="005419F8">
        <w:rPr>
          <w:szCs w:val="24"/>
        </w:rPr>
        <w:t>“any interest OCC has is already represented by Staff.”</w:t>
      </w:r>
      <w:r>
        <w:rPr>
          <w:rStyle w:val="FootnoteReference"/>
          <w:szCs w:val="24"/>
        </w:rPr>
        <w:footnoteReference w:id="29"/>
      </w:r>
      <w:r w:rsidRPr="00373DFE">
        <w:rPr>
          <w:szCs w:val="24"/>
        </w:rPr>
        <w:t xml:space="preserve"> This argument is meritless</w:t>
      </w:r>
      <w:r w:rsidR="00C071CA">
        <w:rPr>
          <w:szCs w:val="24"/>
        </w:rPr>
        <w:t>.</w:t>
      </w:r>
      <w:r w:rsidRPr="00373DFE">
        <w:rPr>
          <w:szCs w:val="24"/>
        </w:rPr>
        <w:t xml:space="preserve"> </w:t>
      </w:r>
      <w:r w:rsidR="00C071CA">
        <w:rPr>
          <w:szCs w:val="24"/>
        </w:rPr>
        <w:t>I</w:t>
      </w:r>
      <w:r w:rsidRPr="00373DFE">
        <w:rPr>
          <w:szCs w:val="24"/>
        </w:rPr>
        <w:t xml:space="preserve">t demonstrates </w:t>
      </w:r>
      <w:r w:rsidR="00AE0A20">
        <w:rPr>
          <w:szCs w:val="24"/>
        </w:rPr>
        <w:t>XOOM</w:t>
      </w:r>
      <w:r w:rsidRPr="00373DFE">
        <w:rPr>
          <w:szCs w:val="24"/>
        </w:rPr>
        <w:t>’s misinterpretation of relevant statutes, rules, and PUCO precedent</w:t>
      </w:r>
      <w:r w:rsidR="00C071CA">
        <w:rPr>
          <w:szCs w:val="24"/>
        </w:rPr>
        <w:t xml:space="preserve"> that are well known at this point in the PUCO’s history involving OCC’s </w:t>
      </w:r>
      <w:r w:rsidR="008F4E77">
        <w:rPr>
          <w:szCs w:val="24"/>
        </w:rPr>
        <w:t>interventions</w:t>
      </w:r>
      <w:r w:rsidRPr="00373DFE">
        <w:rPr>
          <w:szCs w:val="24"/>
        </w:rPr>
        <w:t>.</w:t>
      </w:r>
      <w:r w:rsidR="00B80F40">
        <w:rPr>
          <w:szCs w:val="24"/>
        </w:rPr>
        <w:t xml:space="preserve"> It also misses the point of the state’s creation of OCC, which is to serve as a watchdog for consumers in the state’s utility regulatory processes. </w:t>
      </w:r>
      <w:r w:rsidR="00C267B8">
        <w:rPr>
          <w:szCs w:val="24"/>
        </w:rPr>
        <w:t>And t</w:t>
      </w:r>
      <w:r w:rsidR="00D2421E">
        <w:rPr>
          <w:szCs w:val="24"/>
        </w:rPr>
        <w:t xml:space="preserve">he </w:t>
      </w:r>
      <w:r w:rsidR="00C267B8">
        <w:rPr>
          <w:szCs w:val="24"/>
        </w:rPr>
        <w:t>Supreme Court</w:t>
      </w:r>
      <w:r w:rsidR="00D2421E">
        <w:rPr>
          <w:szCs w:val="24"/>
        </w:rPr>
        <w:t xml:space="preserve"> of Ohio’s decision in </w:t>
      </w:r>
      <w:r w:rsidR="00D2421E">
        <w:rPr>
          <w:i/>
          <w:iCs/>
          <w:szCs w:val="24"/>
        </w:rPr>
        <w:t xml:space="preserve">FirstEnergy Advisors </w:t>
      </w:r>
      <w:r w:rsidR="00C267B8">
        <w:rPr>
          <w:szCs w:val="24"/>
        </w:rPr>
        <w:t>demonstrates the importance of OCC’s participation in energy marketer cases.</w:t>
      </w:r>
      <w:r>
        <w:rPr>
          <w:rStyle w:val="FootnoteReference"/>
          <w:szCs w:val="24"/>
        </w:rPr>
        <w:footnoteReference w:id="30"/>
      </w:r>
    </w:p>
    <w:p w:rsidR="009D552C" w:rsidP="00F328C1" w14:paraId="005BE877" w14:textId="68A37A64">
      <w:pPr>
        <w:pStyle w:val="BodyTextIndent3"/>
        <w:spacing w:line="480" w:lineRule="auto"/>
        <w:ind w:right="-317"/>
        <w:rPr>
          <w:szCs w:val="24"/>
        </w:rPr>
      </w:pPr>
      <w:r>
        <w:rPr>
          <w:szCs w:val="24"/>
        </w:rPr>
        <w:t>T</w:t>
      </w:r>
      <w:r w:rsidRPr="00373DFE" w:rsidR="00F328C1">
        <w:rPr>
          <w:szCs w:val="24"/>
        </w:rPr>
        <w:t xml:space="preserve">he PUCO Staff and OCC </w:t>
      </w:r>
      <w:r w:rsidRPr="00B35098" w:rsidR="00F328C1">
        <w:rPr>
          <w:szCs w:val="24"/>
        </w:rPr>
        <w:t>are distin</w:t>
      </w:r>
      <w:r w:rsidRPr="00E7167E" w:rsidR="00F328C1">
        <w:rPr>
          <w:szCs w:val="24"/>
        </w:rPr>
        <w:t>ct entities, serving distinct purposes. OCC is</w:t>
      </w:r>
      <w:r>
        <w:rPr>
          <w:szCs w:val="24"/>
        </w:rPr>
        <w:t xml:space="preserve"> an independent state agency</w:t>
      </w:r>
      <w:r w:rsidRPr="00E7167E" w:rsidR="00F328C1">
        <w:rPr>
          <w:szCs w:val="24"/>
        </w:rPr>
        <w:t xml:space="preserve"> </w:t>
      </w:r>
      <w:r>
        <w:rPr>
          <w:szCs w:val="24"/>
        </w:rPr>
        <w:t>serving as the</w:t>
      </w:r>
      <w:r w:rsidRPr="00E7167E">
        <w:rPr>
          <w:szCs w:val="24"/>
        </w:rPr>
        <w:t xml:space="preserve"> </w:t>
      </w:r>
      <w:r w:rsidRPr="00E7167E" w:rsidR="00F328C1">
        <w:rPr>
          <w:szCs w:val="24"/>
        </w:rPr>
        <w:t xml:space="preserve">statutory representative of </w:t>
      </w:r>
      <w:r w:rsidRPr="004C48FE" w:rsidR="00F328C1">
        <w:rPr>
          <w:szCs w:val="24"/>
        </w:rPr>
        <w:t>more than</w:t>
      </w:r>
      <w:r w:rsidRPr="009D2D33" w:rsidR="00F328C1">
        <w:rPr>
          <w:szCs w:val="24"/>
        </w:rPr>
        <w:t xml:space="preserve"> </w:t>
      </w:r>
      <w:r w:rsidRPr="0020557E" w:rsidR="00F328C1">
        <w:rPr>
          <w:szCs w:val="24"/>
        </w:rPr>
        <w:t>four</w:t>
      </w:r>
      <w:r w:rsidRPr="00D30D9E" w:rsidR="00F328C1">
        <w:rPr>
          <w:szCs w:val="24"/>
        </w:rPr>
        <w:t xml:space="preserve"> million residential consumers throughout the State of Ohio. </w:t>
      </w:r>
      <w:r w:rsidRPr="005419F8" w:rsidR="00F328C1">
        <w:rPr>
          <w:szCs w:val="24"/>
        </w:rPr>
        <w:t>Ohio law (</w:t>
      </w:r>
      <w:r w:rsidRPr="00AE0A20" w:rsidR="00F328C1">
        <w:rPr>
          <w:szCs w:val="24"/>
        </w:rPr>
        <w:t>R.C. 4911.02)</w:t>
      </w:r>
      <w:r w:rsidRPr="00B00919" w:rsidR="00F328C1">
        <w:rPr>
          <w:szCs w:val="24"/>
        </w:rPr>
        <w:t xml:space="preserve"> provides that OCC is authorized to “participate in proceedings in both state and federal courts and administrative agencies on behalf of the residential consumers.”</w:t>
      </w:r>
      <w:r>
        <w:rPr>
          <w:rStyle w:val="FootnoteReference"/>
          <w:szCs w:val="24"/>
        </w:rPr>
        <w:footnoteReference w:id="31"/>
      </w:r>
      <w:r w:rsidRPr="00373DFE" w:rsidR="00F328C1">
        <w:rPr>
          <w:szCs w:val="24"/>
        </w:rPr>
        <w:t xml:space="preserve"> </w:t>
      </w:r>
    </w:p>
    <w:p w:rsidR="009D552C" w:rsidP="00F328C1" w14:paraId="16F4C66C" w14:textId="6E035B67">
      <w:pPr>
        <w:pStyle w:val="BodyTextIndent3"/>
        <w:spacing w:line="480" w:lineRule="auto"/>
        <w:ind w:right="-317"/>
        <w:rPr>
          <w:szCs w:val="24"/>
        </w:rPr>
      </w:pPr>
      <w:r>
        <w:rPr>
          <w:szCs w:val="24"/>
        </w:rPr>
        <w:t>On the other hand, t</w:t>
      </w:r>
      <w:r w:rsidRPr="00373DFE" w:rsidR="00F328C1">
        <w:rPr>
          <w:szCs w:val="24"/>
        </w:rPr>
        <w:t xml:space="preserve">he PUCO Staff does not </w:t>
      </w:r>
      <w:r w:rsidRPr="00B35098" w:rsidR="00F328C1">
        <w:rPr>
          <w:i/>
          <w:szCs w:val="24"/>
        </w:rPr>
        <w:t>represent</w:t>
      </w:r>
      <w:r w:rsidRPr="00E7167E" w:rsidR="00F328C1">
        <w:rPr>
          <w:szCs w:val="24"/>
        </w:rPr>
        <w:t xml:space="preserve"> residential consumers, as </w:t>
      </w:r>
      <w:r w:rsidR="007B7E76">
        <w:rPr>
          <w:szCs w:val="24"/>
        </w:rPr>
        <w:t>XOOM</w:t>
      </w:r>
      <w:r w:rsidRPr="00E7167E" w:rsidR="00F328C1">
        <w:rPr>
          <w:szCs w:val="24"/>
        </w:rPr>
        <w:t xml:space="preserve"> claims</w:t>
      </w:r>
      <w:r w:rsidRPr="004C48FE" w:rsidR="00F328C1">
        <w:rPr>
          <w:szCs w:val="24"/>
        </w:rPr>
        <w:t>.</w:t>
      </w:r>
      <w:r>
        <w:rPr>
          <w:rStyle w:val="FootnoteReference"/>
          <w:szCs w:val="24"/>
        </w:rPr>
        <w:footnoteReference w:id="32"/>
      </w:r>
      <w:r w:rsidRPr="00373DFE" w:rsidR="00F328C1">
        <w:rPr>
          <w:szCs w:val="24"/>
        </w:rPr>
        <w:t xml:space="preserve"> The PUCO Staff </w:t>
      </w:r>
      <w:r w:rsidRPr="00B35098" w:rsidR="00F328C1">
        <w:rPr>
          <w:szCs w:val="24"/>
        </w:rPr>
        <w:t>might</w:t>
      </w:r>
      <w:r w:rsidRPr="00E7167E" w:rsidR="00F328C1">
        <w:rPr>
          <w:szCs w:val="24"/>
        </w:rPr>
        <w:t xml:space="preserve"> </w:t>
      </w:r>
      <w:r w:rsidRPr="00E7167E" w:rsidR="00F328C1">
        <w:rPr>
          <w:i/>
          <w:szCs w:val="24"/>
        </w:rPr>
        <w:t>consider</w:t>
      </w:r>
      <w:r w:rsidRPr="004C48FE" w:rsidR="00F328C1">
        <w:rPr>
          <w:szCs w:val="24"/>
        </w:rPr>
        <w:t xml:space="preserve"> the interests of residential consumers when taking a position</w:t>
      </w:r>
      <w:r>
        <w:rPr>
          <w:szCs w:val="24"/>
        </w:rPr>
        <w:t>.</w:t>
      </w:r>
      <w:r w:rsidRPr="004C48FE" w:rsidR="00F328C1">
        <w:rPr>
          <w:szCs w:val="24"/>
        </w:rPr>
        <w:t xml:space="preserve"> </w:t>
      </w:r>
      <w:r>
        <w:rPr>
          <w:szCs w:val="24"/>
        </w:rPr>
        <w:t>B</w:t>
      </w:r>
      <w:r w:rsidRPr="004C48FE" w:rsidR="00F328C1">
        <w:rPr>
          <w:szCs w:val="24"/>
        </w:rPr>
        <w:t xml:space="preserve">ut </w:t>
      </w:r>
      <w:r>
        <w:rPr>
          <w:szCs w:val="24"/>
        </w:rPr>
        <w:t>the Staff</w:t>
      </w:r>
      <w:r w:rsidRPr="00D30D9E" w:rsidR="00F328C1">
        <w:rPr>
          <w:szCs w:val="24"/>
        </w:rPr>
        <w:t xml:space="preserve"> </w:t>
      </w:r>
      <w:r w:rsidRPr="004D3F33" w:rsidR="00F328C1">
        <w:rPr>
          <w:szCs w:val="24"/>
        </w:rPr>
        <w:t>might</w:t>
      </w:r>
      <w:r w:rsidRPr="006C5BCE" w:rsidR="00F328C1">
        <w:rPr>
          <w:szCs w:val="24"/>
        </w:rPr>
        <w:t xml:space="preserve"> also </w:t>
      </w:r>
      <w:r w:rsidRPr="005419F8" w:rsidR="00F328C1">
        <w:rPr>
          <w:szCs w:val="24"/>
        </w:rPr>
        <w:t xml:space="preserve">consider numerous other </w:t>
      </w:r>
      <w:r w:rsidRPr="00AE0A20" w:rsidR="00F328C1">
        <w:rPr>
          <w:szCs w:val="24"/>
        </w:rPr>
        <w:t xml:space="preserve">interests, including those of </w:t>
      </w:r>
      <w:r w:rsidRPr="00A51AF4" w:rsidR="00F328C1">
        <w:rPr>
          <w:szCs w:val="24"/>
        </w:rPr>
        <w:t>nonresidentia</w:t>
      </w:r>
      <w:r w:rsidRPr="00B00919" w:rsidR="00F328C1">
        <w:rPr>
          <w:szCs w:val="24"/>
        </w:rPr>
        <w:t xml:space="preserve">l customers, utilities, marketers, environmental advocates, and the public interest more generally. </w:t>
      </w:r>
    </w:p>
    <w:p w:rsidR="00F328C1" w:rsidRPr="00B00919" w:rsidP="00F328C1" w14:paraId="24BA651E" w14:textId="22F982CB">
      <w:pPr>
        <w:pStyle w:val="BodyTextIndent3"/>
        <w:spacing w:line="480" w:lineRule="auto"/>
        <w:ind w:right="-317"/>
        <w:rPr>
          <w:szCs w:val="24"/>
        </w:rPr>
      </w:pPr>
      <w:r>
        <w:rPr>
          <w:szCs w:val="24"/>
        </w:rPr>
        <w:t xml:space="preserve">Further, the PUCO Staff is not an independent consumer advocate such as OCC. The PUCO Staff is employed by </w:t>
      </w:r>
      <w:r w:rsidR="00B80F40">
        <w:rPr>
          <w:szCs w:val="24"/>
        </w:rPr>
        <w:t>the PUCO, the same agency where Commissioners and Attorney-Examiners judge the cases</w:t>
      </w:r>
      <w:r>
        <w:rPr>
          <w:szCs w:val="24"/>
        </w:rPr>
        <w:t xml:space="preserve">. As distinct from OCC, the PUCO </w:t>
      </w:r>
      <w:r w:rsidR="00B80F40">
        <w:rPr>
          <w:szCs w:val="24"/>
        </w:rPr>
        <w:t xml:space="preserve">Staff </w:t>
      </w:r>
      <w:r>
        <w:rPr>
          <w:szCs w:val="24"/>
        </w:rPr>
        <w:t xml:space="preserve">generally does not file applications for rehearing to contest PUCO orders under R.C. 4903.10. </w:t>
      </w:r>
    </w:p>
    <w:p w:rsidR="00F328C1" w:rsidRPr="007B7E76" w:rsidP="00F328C1" w14:paraId="1DC5FE6D" w14:textId="1C6891A3">
      <w:pPr>
        <w:pStyle w:val="BodyTextIndent3"/>
        <w:spacing w:line="480" w:lineRule="auto"/>
        <w:ind w:right="-317"/>
        <w:rPr>
          <w:szCs w:val="24"/>
        </w:rPr>
      </w:pPr>
      <w:r w:rsidRPr="00B00919">
        <w:rPr>
          <w:szCs w:val="24"/>
        </w:rPr>
        <w:t xml:space="preserve">If, as </w:t>
      </w:r>
      <w:r w:rsidR="007B7E76">
        <w:rPr>
          <w:szCs w:val="24"/>
        </w:rPr>
        <w:t>XOOM</w:t>
      </w:r>
      <w:r w:rsidRPr="007B7E76">
        <w:rPr>
          <w:szCs w:val="24"/>
        </w:rPr>
        <w:t xml:space="preserve"> claims, the PUCO Staff represents OCC’s interests, then they</w:t>
      </w:r>
      <w:r w:rsidRPr="00A51AF4">
        <w:rPr>
          <w:szCs w:val="24"/>
        </w:rPr>
        <w:t xml:space="preserve"> would also represent </w:t>
      </w:r>
      <w:r w:rsidR="007B7E76">
        <w:rPr>
          <w:szCs w:val="24"/>
        </w:rPr>
        <w:t>XOOM’s</w:t>
      </w:r>
      <w:r w:rsidRPr="007B7E76">
        <w:rPr>
          <w:szCs w:val="24"/>
        </w:rPr>
        <w:t xml:space="preserve"> interests, and there would be no need for </w:t>
      </w:r>
      <w:r w:rsidR="007B7E76">
        <w:rPr>
          <w:szCs w:val="24"/>
        </w:rPr>
        <w:t>XOOM</w:t>
      </w:r>
      <w:r w:rsidRPr="007B7E76">
        <w:rPr>
          <w:szCs w:val="24"/>
        </w:rPr>
        <w:t xml:space="preserve"> to participate in these cases either. Surely </w:t>
      </w:r>
      <w:r w:rsidR="007B7E76">
        <w:rPr>
          <w:szCs w:val="24"/>
        </w:rPr>
        <w:t>XOOM</w:t>
      </w:r>
      <w:r w:rsidRPr="007B7E76">
        <w:rPr>
          <w:szCs w:val="24"/>
        </w:rPr>
        <w:t xml:space="preserve"> is not willing to step aside and simply defer to the PUCO Staff when it comes to advocating </w:t>
      </w:r>
      <w:r w:rsidR="007B7E76">
        <w:rPr>
          <w:szCs w:val="24"/>
        </w:rPr>
        <w:t>XOOM’s</w:t>
      </w:r>
      <w:r w:rsidRPr="007B7E76">
        <w:rPr>
          <w:szCs w:val="24"/>
        </w:rPr>
        <w:t xml:space="preserve"> position. Nor should OCC’s consumer advocacy be ignored on account of the PUCO Staff participating in the case.</w:t>
      </w:r>
    </w:p>
    <w:p w:rsidR="00F07D06" w:rsidRPr="00B00919" w:rsidP="00A7264B" w14:paraId="1A91CF41" w14:textId="77777777">
      <w:pPr>
        <w:pStyle w:val="Heading3"/>
        <w:ind w:left="2160" w:hanging="720"/>
      </w:pPr>
      <w:bookmarkStart w:id="11" w:name="_Toc112761878"/>
      <w:r w:rsidRPr="007B7E76">
        <w:t xml:space="preserve">The intervention statute does not permit the PUCO to deny </w:t>
      </w:r>
      <w:r w:rsidRPr="00A51AF4">
        <w:t>intervention</w:t>
      </w:r>
      <w:r w:rsidRPr="00B00919">
        <w:t xml:space="preserve"> based on an allegation that one party’s interest is represented by another party.</w:t>
      </w:r>
      <w:bookmarkEnd w:id="11"/>
    </w:p>
    <w:p w:rsidR="00ED385C" w:rsidRPr="00B00919" w:rsidP="00B00919" w14:paraId="71A75B93" w14:textId="77777777">
      <w:pPr>
        <w:rPr>
          <w:rFonts w:ascii="Times New Roman" w:hAnsi="Times New Roman" w:cs="Times New Roman"/>
        </w:rPr>
      </w:pPr>
    </w:p>
    <w:p w:rsidR="00A63CFA" w:rsidRPr="0020557E" w:rsidP="00A63CFA" w14:paraId="5D328A5B" w14:textId="6A128A8B">
      <w:pPr>
        <w:pStyle w:val="BodyTextIndent3"/>
        <w:widowControl w:val="0"/>
        <w:spacing w:line="480" w:lineRule="auto"/>
        <w:ind w:right="-312"/>
        <w:rPr>
          <w:szCs w:val="24"/>
        </w:rPr>
      </w:pPr>
      <w:r w:rsidRPr="00373DFE">
        <w:rPr>
          <w:szCs w:val="24"/>
        </w:rPr>
        <w:t>As explained above, the PUCO Staff’s role is not to represent residential consumers</w:t>
      </w:r>
      <w:r w:rsidR="00F24745">
        <w:rPr>
          <w:szCs w:val="24"/>
        </w:rPr>
        <w:t>. T</w:t>
      </w:r>
      <w:r w:rsidRPr="00373DFE">
        <w:rPr>
          <w:szCs w:val="24"/>
        </w:rPr>
        <w:t xml:space="preserve">hat is OCC’s role, </w:t>
      </w:r>
      <w:r w:rsidR="00F24745">
        <w:rPr>
          <w:szCs w:val="24"/>
        </w:rPr>
        <w:t xml:space="preserve">as created </w:t>
      </w:r>
      <w:r w:rsidRPr="00373DFE">
        <w:rPr>
          <w:szCs w:val="24"/>
        </w:rPr>
        <w:t>by statute</w:t>
      </w:r>
      <w:r w:rsidRPr="00E7167E">
        <w:rPr>
          <w:szCs w:val="24"/>
        </w:rPr>
        <w:t>. But even if it were, that still w</w:t>
      </w:r>
      <w:r w:rsidRPr="004C48FE">
        <w:rPr>
          <w:szCs w:val="24"/>
        </w:rPr>
        <w:t>ould not allo</w:t>
      </w:r>
      <w:r w:rsidRPr="009D2D33">
        <w:rPr>
          <w:szCs w:val="24"/>
        </w:rPr>
        <w:t>w the PUCO to deny intervention.</w:t>
      </w:r>
    </w:p>
    <w:p w:rsidR="003B2E46" w:rsidP="00A63CFA" w14:paraId="0799C5B7" w14:textId="77777777">
      <w:pPr>
        <w:pStyle w:val="BodyTextIndent3"/>
        <w:widowControl w:val="0"/>
        <w:spacing w:line="480" w:lineRule="auto"/>
        <w:ind w:right="-312"/>
        <w:rPr>
          <w:szCs w:val="24"/>
        </w:rPr>
      </w:pPr>
      <w:r w:rsidRPr="00E7167E">
        <w:rPr>
          <w:szCs w:val="24"/>
        </w:rPr>
        <w:t>The law sets standards for intervention. Under R.C. 4903.221, the PUCO, “in ruling upon applications to intervene in its proceedings, shall consider the following criteria: (1) The nature and extent of the prospective intervenor’s interest; (2) The legal p</w:t>
      </w:r>
      <w:r w:rsidRPr="004C48FE">
        <w:rPr>
          <w:szCs w:val="24"/>
        </w:rPr>
        <w:t xml:space="preserve">osition advanced by the prospective intervenor and </w:t>
      </w:r>
      <w:r w:rsidRPr="004C48FE" w:rsidR="00DC0125">
        <w:rPr>
          <w:szCs w:val="24"/>
        </w:rPr>
        <w:t>its</w:t>
      </w:r>
      <w:r w:rsidRPr="004C48FE">
        <w:rPr>
          <w:szCs w:val="24"/>
        </w:rPr>
        <w:t xml:space="preserve"> probabl</w:t>
      </w:r>
      <w:r w:rsidR="00DC0125">
        <w:rPr>
          <w:szCs w:val="24"/>
        </w:rPr>
        <w:t>e</w:t>
      </w:r>
      <w:r w:rsidRPr="004C48FE">
        <w:rPr>
          <w:szCs w:val="24"/>
        </w:rPr>
        <w:t xml:space="preserve"> relation to the merits of the case; (3) Whether the intervention by the prospective intervenor will unduly prolong or delay the proceedings; (4) Whether the prospective intervenor will signifi</w:t>
      </w:r>
      <w:r w:rsidRPr="0020557E">
        <w:rPr>
          <w:szCs w:val="24"/>
        </w:rPr>
        <w:t>cantly contribute to full development and equitable res</w:t>
      </w:r>
      <w:r w:rsidRPr="00D30D9E">
        <w:rPr>
          <w:szCs w:val="24"/>
        </w:rPr>
        <w:t xml:space="preserve">olution of the factual issues.” As explained in its motion to intervene, OCC easily satisfies these criteria. </w:t>
      </w:r>
    </w:p>
    <w:p w:rsidR="00BC2F0E" w:rsidP="00A63CFA" w14:paraId="552B4AB3" w14:textId="4F416DE5">
      <w:pPr>
        <w:pStyle w:val="BodyTextIndent3"/>
        <w:widowControl w:val="0"/>
        <w:spacing w:line="480" w:lineRule="auto"/>
        <w:ind w:right="-312"/>
        <w:rPr>
          <w:szCs w:val="24"/>
        </w:rPr>
      </w:pPr>
      <w:r>
        <w:rPr>
          <w:szCs w:val="24"/>
        </w:rPr>
        <w:t>N</w:t>
      </w:r>
      <w:r w:rsidRPr="00D30D9E" w:rsidR="00A63CFA">
        <w:rPr>
          <w:szCs w:val="24"/>
        </w:rPr>
        <w:t xml:space="preserve">otably, the statute does </w:t>
      </w:r>
      <w:r w:rsidRPr="00C72A88" w:rsidR="00A63CFA">
        <w:rPr>
          <w:i/>
          <w:iCs/>
          <w:szCs w:val="24"/>
        </w:rPr>
        <w:t>not</w:t>
      </w:r>
      <w:r w:rsidRPr="005419F8" w:rsidR="00A63CFA">
        <w:rPr>
          <w:szCs w:val="24"/>
        </w:rPr>
        <w:t xml:space="preserve"> allow the PUCO to deny a party intervention based on an allegation that some other party to the case has a similar interest.</w:t>
      </w:r>
      <w:r>
        <w:rPr>
          <w:szCs w:val="24"/>
        </w:rPr>
        <w:t xml:space="preserve"> The PUCO’s intervention rule </w:t>
      </w:r>
      <w:r w:rsidR="00680515">
        <w:rPr>
          <w:szCs w:val="24"/>
        </w:rPr>
        <w:t xml:space="preserve">contains an element that </w:t>
      </w:r>
      <w:r>
        <w:rPr>
          <w:szCs w:val="24"/>
        </w:rPr>
        <w:t>purports to allow such a consideration, in O.A.C. 4901-1-11</w:t>
      </w:r>
      <w:r w:rsidR="00AA1848">
        <w:rPr>
          <w:szCs w:val="24"/>
        </w:rPr>
        <w:t>(D)</w:t>
      </w:r>
      <w:r w:rsidR="00663923">
        <w:rPr>
          <w:szCs w:val="24"/>
        </w:rPr>
        <w:t>(2)</w:t>
      </w:r>
      <w:r w:rsidR="00727716">
        <w:rPr>
          <w:szCs w:val="24"/>
        </w:rPr>
        <w:t>.</w:t>
      </w:r>
      <w:r w:rsidR="00680515">
        <w:rPr>
          <w:szCs w:val="24"/>
        </w:rPr>
        <w:t xml:space="preserve"> But that rule is at odds with the intervention reform statute.</w:t>
      </w:r>
    </w:p>
    <w:p w:rsidR="00BC2F0E" w14:paraId="1C21BC8A" w14:textId="77777777">
      <w:pPr>
        <w:rPr>
          <w:rFonts w:ascii="Times New Roman" w:eastAsia="Times New Roman" w:hAnsi="Times New Roman" w:cs="Times New Roman"/>
        </w:rPr>
      </w:pPr>
      <w:r>
        <w:br w:type="page"/>
      </w:r>
    </w:p>
    <w:p w:rsidR="00A63CFA" w:rsidRPr="00D30D9E" w:rsidP="00C72A88" w14:paraId="0F0F68C2" w14:textId="59374B62">
      <w:pPr>
        <w:pStyle w:val="BodyTextIndent3"/>
        <w:widowControl w:val="0"/>
        <w:spacing w:line="480" w:lineRule="auto"/>
        <w:ind w:right="-312"/>
        <w:rPr>
          <w:color w:val="000000" w:themeColor="text1"/>
          <w:szCs w:val="24"/>
        </w:rPr>
      </w:pPr>
      <w:r w:rsidRPr="00E7167E">
        <w:rPr>
          <w:szCs w:val="24"/>
        </w:rPr>
        <w:t xml:space="preserve">In sum, </w:t>
      </w:r>
      <w:r w:rsidR="0016576F">
        <w:rPr>
          <w:szCs w:val="24"/>
        </w:rPr>
        <w:t>XOOM’s</w:t>
      </w:r>
      <w:r w:rsidRPr="00E7167E">
        <w:rPr>
          <w:szCs w:val="24"/>
        </w:rPr>
        <w:t xml:space="preserve"> arguments regarding OCC and the PUCO Staff fail at every turn. </w:t>
      </w:r>
      <w:r w:rsidR="008913F4">
        <w:rPr>
          <w:szCs w:val="24"/>
        </w:rPr>
        <w:t>XOOM</w:t>
      </w:r>
      <w:r w:rsidRPr="00E7167E" w:rsidR="008913F4">
        <w:rPr>
          <w:szCs w:val="24"/>
        </w:rPr>
        <w:t xml:space="preserve"> </w:t>
      </w:r>
      <w:r w:rsidRPr="00E7167E">
        <w:rPr>
          <w:szCs w:val="24"/>
        </w:rPr>
        <w:t>fail</w:t>
      </w:r>
      <w:r w:rsidR="008913F4">
        <w:rPr>
          <w:szCs w:val="24"/>
        </w:rPr>
        <w:t>s</w:t>
      </w:r>
      <w:r w:rsidRPr="00E7167E">
        <w:rPr>
          <w:szCs w:val="24"/>
        </w:rPr>
        <w:t xml:space="preserve"> first because</w:t>
      </w:r>
      <w:r w:rsidR="008913F4">
        <w:rPr>
          <w:szCs w:val="24"/>
        </w:rPr>
        <w:t xml:space="preserve"> the OCC statute qualifies it for intervention.</w:t>
      </w:r>
      <w:r w:rsidRPr="00E7167E">
        <w:rPr>
          <w:szCs w:val="24"/>
        </w:rPr>
        <w:t xml:space="preserve"> </w:t>
      </w:r>
      <w:r w:rsidR="008913F4">
        <w:rPr>
          <w:szCs w:val="24"/>
        </w:rPr>
        <w:t>XOOM fails because t</w:t>
      </w:r>
      <w:r w:rsidRPr="004C48FE">
        <w:rPr>
          <w:szCs w:val="24"/>
        </w:rPr>
        <w:t xml:space="preserve">he PUCO </w:t>
      </w:r>
      <w:r w:rsidRPr="009D2D33">
        <w:rPr>
          <w:szCs w:val="24"/>
        </w:rPr>
        <w:t xml:space="preserve">Staff and OCC do not represent the same interests. </w:t>
      </w:r>
      <w:r w:rsidR="008913F4">
        <w:rPr>
          <w:szCs w:val="24"/>
        </w:rPr>
        <w:t xml:space="preserve">And XOOM </w:t>
      </w:r>
      <w:r w:rsidRPr="009D2D33">
        <w:rPr>
          <w:szCs w:val="24"/>
        </w:rPr>
        <w:t>fail</w:t>
      </w:r>
      <w:r w:rsidR="008913F4">
        <w:rPr>
          <w:szCs w:val="24"/>
        </w:rPr>
        <w:t>s</w:t>
      </w:r>
      <w:r w:rsidRPr="009D2D33">
        <w:rPr>
          <w:szCs w:val="24"/>
        </w:rPr>
        <w:t xml:space="preserve"> because </w:t>
      </w:r>
      <w:r w:rsidR="008913F4">
        <w:rPr>
          <w:szCs w:val="24"/>
        </w:rPr>
        <w:t>R.C. 4903.082</w:t>
      </w:r>
      <w:r w:rsidRPr="009D2D33">
        <w:rPr>
          <w:szCs w:val="24"/>
        </w:rPr>
        <w:t xml:space="preserve"> does not allow the PUCO to deny a party</w:t>
      </w:r>
      <w:r w:rsidR="008913F4">
        <w:rPr>
          <w:szCs w:val="24"/>
        </w:rPr>
        <w:t>’s</w:t>
      </w:r>
      <w:r w:rsidRPr="009D2D33">
        <w:rPr>
          <w:szCs w:val="24"/>
        </w:rPr>
        <w:t xml:space="preserve"> intervention simply because another party represents a</w:t>
      </w:r>
      <w:r w:rsidRPr="0020557E">
        <w:rPr>
          <w:szCs w:val="24"/>
        </w:rPr>
        <w:t xml:space="preserve"> similar interest. </w:t>
      </w:r>
    </w:p>
    <w:p w:rsidR="007322D5" w:rsidRPr="00AE0A20" w:rsidP="00A1585C" w14:paraId="008AF439" w14:textId="5044F6C9">
      <w:pPr>
        <w:pStyle w:val="BodyTextIndent3"/>
        <w:spacing w:line="480" w:lineRule="auto"/>
        <w:rPr>
          <w:color w:val="000000" w:themeColor="text1"/>
          <w:szCs w:val="24"/>
        </w:rPr>
      </w:pPr>
      <w:r w:rsidRPr="005419F8">
        <w:rPr>
          <w:color w:val="000000" w:themeColor="text1"/>
          <w:szCs w:val="24"/>
        </w:rPr>
        <w:t>O</w:t>
      </w:r>
      <w:r w:rsidRPr="00E87177">
        <w:rPr>
          <w:color w:val="000000" w:themeColor="text1"/>
          <w:szCs w:val="24"/>
        </w:rPr>
        <w:t>CC meets all four prongs of the</w:t>
      </w:r>
      <w:r w:rsidR="008913F4">
        <w:rPr>
          <w:color w:val="000000" w:themeColor="text1"/>
          <w:szCs w:val="24"/>
        </w:rPr>
        <w:t xml:space="preserve"> statutory</w:t>
      </w:r>
      <w:r w:rsidRPr="00E87177">
        <w:rPr>
          <w:color w:val="000000" w:themeColor="text1"/>
          <w:szCs w:val="24"/>
        </w:rPr>
        <w:t xml:space="preserve"> intervention standard. Consequently, the PUCO should grant its motion for intervention. </w:t>
      </w:r>
    </w:p>
    <w:p w:rsidR="00020587" w:rsidRPr="00AE0A20" w:rsidP="00020587" w14:paraId="008AF43A" w14:textId="77777777">
      <w:pPr>
        <w:pStyle w:val="BodyTextIndent3"/>
        <w:spacing w:line="240" w:lineRule="auto"/>
        <w:rPr>
          <w:color w:val="000000" w:themeColor="text1"/>
          <w:szCs w:val="24"/>
        </w:rPr>
      </w:pPr>
    </w:p>
    <w:p w:rsidR="00A1585C" w:rsidRPr="0016576F" w:rsidP="00020587" w14:paraId="008AF43B" w14:textId="34098037">
      <w:pPr>
        <w:pStyle w:val="Heading1"/>
      </w:pPr>
      <w:bookmarkStart w:id="12" w:name="_Toc108105744"/>
      <w:bookmarkStart w:id="13" w:name="_Toc112761879"/>
      <w:r w:rsidRPr="00A51AF4">
        <w:t>CONCLUSION</w:t>
      </w:r>
      <w:bookmarkEnd w:id="12"/>
      <w:bookmarkEnd w:id="13"/>
    </w:p>
    <w:p w:rsidR="008913F4" w:rsidP="00B41A77" w14:paraId="511A6F10" w14:textId="5F73DAC1">
      <w:pPr>
        <w:spacing w:line="480" w:lineRule="auto"/>
        <w:ind w:firstLine="720"/>
        <w:rPr>
          <w:rFonts w:ascii="Times New Roman" w:hAnsi="Times New Roman" w:cs="Times New Roman"/>
        </w:rPr>
      </w:pPr>
      <w:r>
        <w:rPr>
          <w:rFonts w:ascii="Times New Roman" w:hAnsi="Times New Roman" w:cs="Times New Roman"/>
        </w:rPr>
        <w:t xml:space="preserve">The PUCO should stop this misuse of process by </w:t>
      </w:r>
      <w:r w:rsidRPr="00B00919" w:rsidR="00C64DD7">
        <w:rPr>
          <w:rFonts w:ascii="Times New Roman" w:hAnsi="Times New Roman" w:cs="Times New Roman"/>
        </w:rPr>
        <w:t>XOOM</w:t>
      </w:r>
      <w:r>
        <w:rPr>
          <w:rFonts w:ascii="Times New Roman" w:hAnsi="Times New Roman" w:cs="Times New Roman"/>
        </w:rPr>
        <w:t xml:space="preserve"> and parties like it. XOOM raises invalid objections to OCC’s intervention despite well-settled law under Ohio’s 40-year old intervention reform statute. The result is an advantage of delay that disrupts OCC’s legal right to intervention and case preparation under Ohio law.</w:t>
      </w:r>
      <w:r w:rsidRPr="00B00919" w:rsidR="00C50042">
        <w:rPr>
          <w:rFonts w:ascii="Times New Roman" w:hAnsi="Times New Roman" w:cs="Times New Roman"/>
        </w:rPr>
        <w:t xml:space="preserve"> </w:t>
      </w:r>
      <w:r>
        <w:rPr>
          <w:rFonts w:ascii="Times New Roman" w:hAnsi="Times New Roman" w:cs="Times New Roman"/>
        </w:rPr>
        <w:t>XOOM’s a</w:t>
      </w:r>
      <w:r w:rsidRPr="00B00919" w:rsidR="00C50042">
        <w:rPr>
          <w:rFonts w:ascii="Times New Roman" w:hAnsi="Times New Roman" w:cs="Times New Roman"/>
        </w:rPr>
        <w:t>rguments opposing OCC’s intervention are wrong and should be rejected. OCC’s motion to intervene should be granted</w:t>
      </w:r>
      <w:r>
        <w:rPr>
          <w:rFonts w:ascii="Times New Roman" w:hAnsi="Times New Roman" w:cs="Times New Roman"/>
        </w:rPr>
        <w:t xml:space="preserve"> in the interest of Ohio consumers</w:t>
      </w:r>
      <w:r w:rsidRPr="00B00919" w:rsidR="00C50042">
        <w:rPr>
          <w:rFonts w:ascii="Times New Roman" w:hAnsi="Times New Roman" w:cs="Times New Roman"/>
        </w:rPr>
        <w:t xml:space="preserve">. </w:t>
      </w:r>
    </w:p>
    <w:p w:rsidR="007322D5" w:rsidRPr="00B00919" w:rsidP="00BC2F0E" w14:paraId="008AF43D" w14:textId="77777777">
      <w:pPr>
        <w:pStyle w:val="BodyTextIndent3"/>
        <w:widowControl w:val="0"/>
        <w:spacing w:line="240" w:lineRule="auto"/>
        <w:ind w:left="3600" w:right="-672"/>
        <w:rPr>
          <w:color w:val="000000" w:themeColor="text1"/>
          <w:szCs w:val="24"/>
        </w:rPr>
      </w:pPr>
      <w:r w:rsidRPr="00B00919">
        <w:rPr>
          <w:szCs w:val="24"/>
        </w:rPr>
        <w:t>Respectfully submitted,</w:t>
      </w:r>
    </w:p>
    <w:p w:rsidR="007322D5" w:rsidRPr="00B00919" w:rsidP="007322D5" w14:paraId="008AF43E" w14:textId="77777777">
      <w:pPr>
        <w:jc w:val="both"/>
        <w:rPr>
          <w:rFonts w:ascii="Times New Roman" w:hAnsi="Times New Roman" w:cs="Times New Roman"/>
        </w:rPr>
      </w:pPr>
      <w:r w:rsidRPr="00B00919">
        <w:rPr>
          <w:rFonts w:ascii="Times New Roman" w:hAnsi="Times New Roman" w:cs="Times New Roman"/>
        </w:rPr>
        <w:tab/>
      </w:r>
    </w:p>
    <w:p w:rsidR="007322D5" w:rsidRPr="00B00919" w:rsidP="007322D5" w14:paraId="008AF43F" w14:textId="77777777">
      <w:pPr>
        <w:ind w:left="4320"/>
        <w:jc w:val="both"/>
        <w:rPr>
          <w:rFonts w:ascii="Times New Roman" w:hAnsi="Times New Roman" w:cs="Times New Roman"/>
        </w:rPr>
      </w:pPr>
      <w:r w:rsidRPr="00B00919">
        <w:rPr>
          <w:rFonts w:ascii="Times New Roman" w:hAnsi="Times New Roman" w:cs="Times New Roman"/>
        </w:rPr>
        <w:t>Bruce Weston (0016973)</w:t>
      </w:r>
    </w:p>
    <w:p w:rsidR="007322D5" w:rsidRPr="00B00919" w:rsidP="007322D5" w14:paraId="008AF440" w14:textId="77777777">
      <w:pPr>
        <w:tabs>
          <w:tab w:val="left" w:pos="4320"/>
        </w:tabs>
        <w:ind w:left="4320" w:hanging="450"/>
        <w:jc w:val="both"/>
        <w:rPr>
          <w:rFonts w:ascii="Times New Roman" w:hAnsi="Times New Roman" w:cs="Times New Roman"/>
        </w:rPr>
      </w:pPr>
      <w:r w:rsidRPr="00B00919">
        <w:rPr>
          <w:rFonts w:ascii="Times New Roman" w:hAnsi="Times New Roman" w:cs="Times New Roman"/>
        </w:rPr>
        <w:tab/>
        <w:t>Ohio Consumers’ Counsel</w:t>
      </w:r>
    </w:p>
    <w:p w:rsidR="007322D5" w:rsidRPr="00B00919" w:rsidP="007322D5" w14:paraId="008AF441" w14:textId="77777777">
      <w:pPr>
        <w:tabs>
          <w:tab w:val="left" w:pos="4320"/>
        </w:tabs>
        <w:ind w:left="4320"/>
        <w:jc w:val="both"/>
        <w:rPr>
          <w:rFonts w:ascii="Times New Roman" w:hAnsi="Times New Roman" w:cs="Times New Roman"/>
        </w:rPr>
      </w:pPr>
    </w:p>
    <w:p w:rsidR="00C64DD7" w:rsidRPr="00B00919" w:rsidP="00C64DD7" w14:paraId="31DFBA66" w14:textId="3FEF007F">
      <w:pPr>
        <w:ind w:left="4320"/>
        <w:rPr>
          <w:rFonts w:ascii="Times New Roman" w:hAnsi="Times New Roman" w:cs="Times New Roman"/>
          <w:b/>
          <w:bCs/>
        </w:rPr>
      </w:pPr>
      <w:r w:rsidRPr="00B00919">
        <w:rPr>
          <w:rFonts w:ascii="Times New Roman" w:hAnsi="Times New Roman" w:cs="Times New Roman"/>
          <w:i/>
          <w:iCs/>
          <w:u w:val="single"/>
        </w:rPr>
        <w:t xml:space="preserve">/s/ </w:t>
      </w:r>
      <w:r>
        <w:rPr>
          <w:rFonts w:ascii="Times New Roman" w:hAnsi="Times New Roman" w:cs="Times New Roman"/>
          <w:i/>
          <w:iCs/>
          <w:u w:val="single"/>
        </w:rPr>
        <w:t>Ambrosia E. Wilson</w:t>
      </w:r>
      <w:r>
        <w:rPr>
          <w:rFonts w:ascii="Times New Roman" w:hAnsi="Times New Roman" w:cs="Times New Roman"/>
          <w:i/>
          <w:iCs/>
          <w:u w:val="single"/>
        </w:rPr>
        <w:tab/>
      </w:r>
      <w:r w:rsidR="00DC0125">
        <w:rPr>
          <w:rFonts w:ascii="Times New Roman" w:hAnsi="Times New Roman" w:cs="Times New Roman"/>
        </w:rPr>
        <w:t xml:space="preserve"> </w:t>
      </w:r>
      <w:r w:rsidRPr="00B00919">
        <w:rPr>
          <w:rFonts w:ascii="Times New Roman" w:hAnsi="Times New Roman" w:cs="Times New Roman"/>
        </w:rPr>
        <w:br/>
        <w:t>Angela D. O’Brien (0097579)</w:t>
      </w:r>
      <w:r w:rsidR="00F45936">
        <w:rPr>
          <w:rFonts w:ascii="Times New Roman" w:hAnsi="Times New Roman" w:cs="Times New Roman"/>
        </w:rPr>
        <w:t xml:space="preserve"> </w:t>
      </w:r>
      <w:r w:rsidRPr="00B00919">
        <w:rPr>
          <w:rFonts w:ascii="Times New Roman" w:hAnsi="Times New Roman" w:cs="Times New Roman"/>
        </w:rPr>
        <w:br/>
        <w:t xml:space="preserve">Counsel of Record </w:t>
      </w:r>
      <w:r w:rsidRPr="00B00919">
        <w:rPr>
          <w:rFonts w:ascii="Times New Roman" w:hAnsi="Times New Roman" w:cs="Times New Roman"/>
        </w:rPr>
        <w:br/>
        <w:t xml:space="preserve">Ambrosia </w:t>
      </w:r>
      <w:r w:rsidR="00BC2F0E">
        <w:rPr>
          <w:rFonts w:ascii="Times New Roman" w:hAnsi="Times New Roman" w:cs="Times New Roman"/>
        </w:rPr>
        <w:t xml:space="preserve">E. </w:t>
      </w:r>
      <w:r w:rsidRPr="00B00919">
        <w:rPr>
          <w:rFonts w:ascii="Times New Roman" w:hAnsi="Times New Roman" w:cs="Times New Roman"/>
        </w:rPr>
        <w:t xml:space="preserve">Wilson (0096598) </w:t>
      </w:r>
      <w:r w:rsidRPr="00B00919">
        <w:rPr>
          <w:rFonts w:ascii="Times New Roman" w:hAnsi="Times New Roman" w:cs="Times New Roman"/>
        </w:rPr>
        <w:br/>
        <w:t xml:space="preserve">Assistant Consumers’ Counsel </w:t>
      </w:r>
      <w:r w:rsidRPr="00B00919">
        <w:rPr>
          <w:rFonts w:ascii="Times New Roman" w:hAnsi="Times New Roman" w:cs="Times New Roman"/>
        </w:rPr>
        <w:br/>
      </w:r>
      <w:r w:rsidRPr="00B00919">
        <w:rPr>
          <w:rFonts w:ascii="Times New Roman" w:hAnsi="Times New Roman" w:cs="Times New Roman"/>
          <w:b/>
          <w:bCs/>
        </w:rPr>
        <w:t>Office of the Ohio Consumers’ Counsel</w:t>
      </w:r>
    </w:p>
    <w:p w:rsidR="00C64DD7" w:rsidRPr="00B00919" w:rsidP="00C64DD7" w14:paraId="6EFEB471" w14:textId="77777777">
      <w:pPr>
        <w:ind w:left="4320"/>
        <w:rPr>
          <w:rFonts w:ascii="Times New Roman" w:hAnsi="Times New Roman" w:cs="Times New Roman"/>
        </w:rPr>
      </w:pPr>
      <w:r w:rsidRPr="00B00919">
        <w:rPr>
          <w:rFonts w:ascii="Times New Roman" w:hAnsi="Times New Roman" w:cs="Times New Roman"/>
        </w:rPr>
        <w:t xml:space="preserve">65 East State Street, Suite 700 </w:t>
      </w:r>
    </w:p>
    <w:p w:rsidR="00C64DD7" w:rsidRPr="00B00919" w:rsidP="00C64DD7" w14:paraId="3C5D47A4" w14:textId="77777777">
      <w:pPr>
        <w:ind w:left="4320"/>
        <w:rPr>
          <w:rFonts w:ascii="Times New Roman" w:hAnsi="Times New Roman" w:cs="Times New Roman"/>
        </w:rPr>
      </w:pPr>
      <w:r w:rsidRPr="00B00919">
        <w:rPr>
          <w:rFonts w:ascii="Times New Roman" w:hAnsi="Times New Roman" w:cs="Times New Roman"/>
        </w:rPr>
        <w:t xml:space="preserve">Columbus, Ohio 43215 </w:t>
      </w:r>
    </w:p>
    <w:p w:rsidR="00C64DD7" w:rsidRPr="00373DFE" w:rsidP="00C64DD7" w14:paraId="61922A54" w14:textId="16AFCA32">
      <w:pPr>
        <w:ind w:left="4320"/>
        <w:rPr>
          <w:rFonts w:ascii="Times New Roman" w:hAnsi="Times New Roman" w:cs="Times New Roman"/>
        </w:rPr>
      </w:pPr>
      <w:r w:rsidRPr="00B00919">
        <w:rPr>
          <w:rFonts w:ascii="Times New Roman" w:hAnsi="Times New Roman" w:cs="Times New Roman"/>
        </w:rPr>
        <w:t xml:space="preserve">Telephone: [O’Brien] 614-466-9531 Telephone: [Wilson] 614-466-1292 </w:t>
      </w:r>
      <w:hyperlink r:id="rId6" w:history="1">
        <w:r w:rsidRPr="00373DFE">
          <w:rPr>
            <w:rStyle w:val="Hyperlink"/>
            <w:rFonts w:ascii="Times New Roman" w:hAnsi="Times New Roman" w:cs="Times New Roman"/>
          </w:rPr>
          <w:t>angela.obrien@occ.ohio.gov</w:t>
        </w:r>
      </w:hyperlink>
      <w:r w:rsidR="00F45936">
        <w:rPr>
          <w:rFonts w:ascii="Times New Roman" w:hAnsi="Times New Roman" w:cs="Times New Roman"/>
        </w:rPr>
        <w:t xml:space="preserve"> </w:t>
      </w:r>
      <w:hyperlink r:id="rId7" w:history="1">
        <w:r w:rsidRPr="00373DFE">
          <w:rPr>
            <w:rStyle w:val="Hyperlink"/>
            <w:rFonts w:ascii="Times New Roman" w:hAnsi="Times New Roman" w:cs="Times New Roman"/>
          </w:rPr>
          <w:t>ambrosia.wilson@occ.ohio.gov</w:t>
        </w:r>
      </w:hyperlink>
      <w:r w:rsidRPr="00373DFE">
        <w:rPr>
          <w:rFonts w:ascii="Times New Roman" w:hAnsi="Times New Roman" w:cs="Times New Roman"/>
        </w:rPr>
        <w:t xml:space="preserve"> </w:t>
      </w:r>
    </w:p>
    <w:p w:rsidR="00B96ACA" w:rsidRPr="00DF37A1" w:rsidP="00BC2F0E" w14:paraId="008AF450" w14:textId="2F16791A">
      <w:pPr>
        <w:ind w:left="4320"/>
        <w:rPr>
          <w:rFonts w:ascii="Times New Roman" w:eastAsia="Times New Roman" w:hAnsi="Times New Roman" w:cs="Times New Roman"/>
          <w:color w:val="000000" w:themeColor="text1"/>
        </w:rPr>
      </w:pPr>
      <w:r w:rsidRPr="00E7167E">
        <w:rPr>
          <w:rFonts w:ascii="Times New Roman" w:hAnsi="Times New Roman" w:cs="Times New Roman"/>
        </w:rPr>
        <w:t>(willing to accept service by e-mail)</w:t>
      </w:r>
      <w:r w:rsidRPr="009D2D33" w:rsidR="00C50042">
        <w:rPr>
          <w:rFonts w:ascii="Times New Roman" w:eastAsia="Times New Roman" w:hAnsi="Times New Roman" w:cs="Times New Roman"/>
          <w:color w:val="000000" w:themeColor="text1"/>
        </w:rPr>
        <w:br w:type="page"/>
      </w:r>
    </w:p>
    <w:p w:rsidR="00B96ACA" w:rsidRPr="00D30D9E" w:rsidP="00B96ACA" w14:paraId="008AF451" w14:textId="77777777">
      <w:pPr>
        <w:jc w:val="center"/>
        <w:rPr>
          <w:rFonts w:ascii="Times New Roman" w:hAnsi="Times New Roman" w:cs="Times New Roman"/>
          <w:b/>
          <w:bCs/>
          <w:color w:val="000000" w:themeColor="text1"/>
          <w:u w:val="single"/>
        </w:rPr>
      </w:pPr>
      <w:r w:rsidRPr="0020557E">
        <w:rPr>
          <w:rFonts w:ascii="Times New Roman" w:hAnsi="Times New Roman" w:cs="Times New Roman"/>
          <w:b/>
          <w:bCs/>
          <w:color w:val="000000" w:themeColor="text1"/>
          <w:u w:val="single"/>
        </w:rPr>
        <w:t>CERTIFICATE OF SERVICE</w:t>
      </w:r>
    </w:p>
    <w:p w:rsidR="00B96ACA" w:rsidRPr="00B00919" w:rsidP="00B96ACA" w14:paraId="008AF452" w14:textId="4BE9ADCD">
      <w:pPr>
        <w:spacing w:line="480" w:lineRule="atLeast"/>
        <w:rPr>
          <w:rFonts w:ascii="Times New Roman" w:hAnsi="Times New Roman" w:cs="Times New Roman"/>
          <w:color w:val="000000" w:themeColor="text1"/>
        </w:rPr>
      </w:pPr>
      <w:r w:rsidRPr="00D30D9E">
        <w:rPr>
          <w:rFonts w:ascii="Times New Roman" w:hAnsi="Times New Roman" w:cs="Times New Roman"/>
          <w:color w:val="000000" w:themeColor="text1"/>
        </w:rPr>
        <w:tab/>
        <w:t xml:space="preserve">I hereby certify that a copy of this </w:t>
      </w:r>
      <w:r w:rsidRPr="005419F8" w:rsidR="00FC11BE">
        <w:rPr>
          <w:rFonts w:ascii="Times New Roman" w:hAnsi="Times New Roman" w:cs="Times New Roman"/>
          <w:i/>
          <w:color w:val="000000" w:themeColor="text1"/>
        </w:rPr>
        <w:t>Reply</w:t>
      </w:r>
      <w:r w:rsidRPr="00E87177">
        <w:rPr>
          <w:rFonts w:ascii="Times New Roman" w:hAnsi="Times New Roman" w:cs="Times New Roman"/>
          <w:color w:val="000000" w:themeColor="text1"/>
        </w:rPr>
        <w:t xml:space="preserve"> was served on the persons stated below </w:t>
      </w:r>
      <w:r w:rsidRPr="00AE0A20">
        <w:rPr>
          <w:rFonts w:ascii="Times New Roman" w:hAnsi="Times New Roman" w:cs="Times New Roman"/>
          <w:i/>
          <w:color w:val="000000" w:themeColor="text1"/>
        </w:rPr>
        <w:t>via</w:t>
      </w:r>
      <w:r w:rsidRPr="00AE0A20">
        <w:rPr>
          <w:rFonts w:ascii="Times New Roman" w:hAnsi="Times New Roman" w:cs="Times New Roman"/>
          <w:color w:val="000000" w:themeColor="text1"/>
        </w:rPr>
        <w:t xml:space="preserve"> electronic transmission, this </w:t>
      </w:r>
      <w:r w:rsidRPr="00A51AF4" w:rsidR="00C64DD7">
        <w:rPr>
          <w:rFonts w:ascii="Times New Roman" w:hAnsi="Times New Roman" w:cs="Times New Roman"/>
          <w:color w:val="000000" w:themeColor="text1"/>
        </w:rPr>
        <w:t>31</w:t>
      </w:r>
      <w:r w:rsidRPr="00B00919" w:rsidR="00C64DD7">
        <w:rPr>
          <w:rFonts w:ascii="Times New Roman" w:hAnsi="Times New Roman" w:cs="Times New Roman"/>
          <w:color w:val="000000" w:themeColor="text1"/>
          <w:vertAlign w:val="superscript"/>
        </w:rPr>
        <w:t>st</w:t>
      </w:r>
      <w:r w:rsidRPr="00B00919" w:rsidR="003D2B76">
        <w:rPr>
          <w:rFonts w:ascii="Times New Roman" w:hAnsi="Times New Roman" w:cs="Times New Roman"/>
          <w:color w:val="000000" w:themeColor="text1"/>
        </w:rPr>
        <w:t xml:space="preserve"> </w:t>
      </w:r>
      <w:r w:rsidRPr="00B00919">
        <w:rPr>
          <w:rFonts w:ascii="Times New Roman" w:hAnsi="Times New Roman" w:cs="Times New Roman"/>
          <w:color w:val="000000" w:themeColor="text1"/>
        </w:rPr>
        <w:t xml:space="preserve">day of </w:t>
      </w:r>
      <w:r w:rsidRPr="00B00919" w:rsidR="00C64DD7">
        <w:rPr>
          <w:rFonts w:ascii="Times New Roman" w:hAnsi="Times New Roman" w:cs="Times New Roman"/>
          <w:color w:val="000000" w:themeColor="text1"/>
        </w:rPr>
        <w:t xml:space="preserve">August </w:t>
      </w:r>
      <w:r w:rsidRPr="00B00919">
        <w:rPr>
          <w:rFonts w:ascii="Times New Roman" w:hAnsi="Times New Roman" w:cs="Times New Roman"/>
          <w:color w:val="000000" w:themeColor="text1"/>
        </w:rPr>
        <w:t>2022.</w:t>
      </w:r>
    </w:p>
    <w:p w:rsidR="00B96ACA" w:rsidRPr="00B00919" w:rsidP="003D2B76" w14:paraId="008AF453" w14:textId="77777777">
      <w:pPr>
        <w:rPr>
          <w:rFonts w:ascii="Times New Roman" w:hAnsi="Times New Roman" w:cs="Times New Roman"/>
          <w:color w:val="000000" w:themeColor="text1"/>
        </w:rPr>
      </w:pPr>
    </w:p>
    <w:p w:rsidR="00B96ACA" w:rsidRPr="00B00919" w:rsidP="00B96ACA" w14:paraId="008AF454" w14:textId="7498E462">
      <w:pPr>
        <w:tabs>
          <w:tab w:val="left" w:pos="4320"/>
        </w:tabs>
        <w:rPr>
          <w:rFonts w:ascii="Times New Roman" w:hAnsi="Times New Roman" w:cs="Times New Roman"/>
          <w:i/>
          <w:iCs/>
          <w:color w:val="000000" w:themeColor="text1"/>
          <w:u w:val="single"/>
        </w:rPr>
      </w:pPr>
      <w:r w:rsidRPr="00B00919">
        <w:rPr>
          <w:rFonts w:ascii="Times New Roman" w:hAnsi="Times New Roman" w:cs="Times New Roman"/>
          <w:color w:val="000000" w:themeColor="text1"/>
        </w:rPr>
        <w:tab/>
      </w:r>
      <w:r w:rsidRPr="00B00919">
        <w:rPr>
          <w:rFonts w:ascii="Times New Roman" w:hAnsi="Times New Roman" w:cs="Times New Roman"/>
          <w:i/>
          <w:iCs/>
          <w:color w:val="000000" w:themeColor="text1"/>
          <w:u w:val="single"/>
        </w:rPr>
        <w:t xml:space="preserve">/s/ </w:t>
      </w:r>
      <w:r>
        <w:rPr>
          <w:rFonts w:ascii="Times New Roman" w:hAnsi="Times New Roman" w:cs="Times New Roman"/>
          <w:i/>
          <w:iCs/>
          <w:color w:val="000000" w:themeColor="text1"/>
          <w:u w:val="single"/>
        </w:rPr>
        <w:t>Ambrosia E. Wilson</w:t>
      </w:r>
    </w:p>
    <w:p w:rsidR="00B96ACA" w:rsidRPr="00B00919" w:rsidP="00B96ACA" w14:paraId="008AF455" w14:textId="5BA5546E">
      <w:pPr>
        <w:tabs>
          <w:tab w:val="left" w:pos="4320"/>
        </w:tabs>
        <w:rPr>
          <w:rFonts w:ascii="Times New Roman" w:hAnsi="Times New Roman" w:cs="Times New Roman"/>
          <w:color w:val="000000" w:themeColor="text1"/>
        </w:rPr>
      </w:pPr>
      <w:r w:rsidRPr="00B00919">
        <w:rPr>
          <w:rFonts w:ascii="Times New Roman" w:hAnsi="Times New Roman" w:cs="Times New Roman"/>
          <w:color w:val="000000" w:themeColor="text1"/>
        </w:rPr>
        <w:tab/>
      </w:r>
      <w:r>
        <w:rPr>
          <w:rFonts w:ascii="Times New Roman" w:hAnsi="Times New Roman" w:cs="Times New Roman"/>
          <w:color w:val="000000" w:themeColor="text1"/>
        </w:rPr>
        <w:t>Ambrosia E. Wilson</w:t>
      </w:r>
    </w:p>
    <w:p w:rsidR="00B96ACA" w:rsidRPr="00B00919" w:rsidP="00B96ACA" w14:paraId="008AF456" w14:textId="77777777">
      <w:pPr>
        <w:tabs>
          <w:tab w:val="left" w:pos="4320"/>
        </w:tabs>
        <w:rPr>
          <w:rFonts w:ascii="Times New Roman" w:hAnsi="Times New Roman" w:cs="Times New Roman"/>
          <w:color w:val="000000" w:themeColor="text1"/>
        </w:rPr>
      </w:pPr>
      <w:r w:rsidRPr="00B00919">
        <w:rPr>
          <w:rFonts w:ascii="Times New Roman" w:hAnsi="Times New Roman" w:cs="Times New Roman"/>
          <w:color w:val="000000" w:themeColor="text1"/>
        </w:rPr>
        <w:tab/>
        <w:t>Assistant Consumers’ Counsel</w:t>
      </w:r>
    </w:p>
    <w:p w:rsidR="003D2B76" w:rsidRPr="00B00919" w:rsidP="00B96ACA" w14:paraId="008AF457" w14:textId="77777777">
      <w:pPr>
        <w:tabs>
          <w:tab w:val="left" w:pos="4320"/>
        </w:tabs>
        <w:rPr>
          <w:rFonts w:ascii="Times New Roman" w:hAnsi="Times New Roman" w:cs="Times New Roman"/>
          <w:color w:val="000000" w:themeColor="text1"/>
        </w:rPr>
      </w:pPr>
    </w:p>
    <w:p w:rsidR="00B96ACA" w:rsidRPr="00B00919" w:rsidP="003D2B76" w14:paraId="008AF458" w14:textId="77777777">
      <w:pPr>
        <w:tabs>
          <w:tab w:val="left" w:pos="4320"/>
        </w:tabs>
        <w:rPr>
          <w:rFonts w:ascii="Times New Roman" w:hAnsi="Times New Roman" w:cs="Times New Roman"/>
          <w:color w:val="000000" w:themeColor="text1"/>
        </w:rPr>
      </w:pPr>
      <w:r w:rsidRPr="00B00919">
        <w:rPr>
          <w:rFonts w:ascii="Times New Roman" w:hAnsi="Times New Roman" w:cs="Times New Roman"/>
          <w:color w:val="000000" w:themeColor="text1"/>
        </w:rPr>
        <w:t>The PUCO’s e-filing system will electronically serve notice of the filing of this document on the following parties:</w:t>
      </w:r>
    </w:p>
    <w:p w:rsidR="003D2B76" w:rsidRPr="00B00919" w:rsidP="003D2B76" w14:paraId="008AF459" w14:textId="77777777">
      <w:pPr>
        <w:tabs>
          <w:tab w:val="left" w:pos="4320"/>
        </w:tabs>
        <w:rPr>
          <w:rFonts w:ascii="Times New Roman" w:hAnsi="Times New Roman" w:cs="Times New Roman"/>
          <w:color w:val="000000" w:themeColor="text1"/>
        </w:rPr>
      </w:pPr>
    </w:p>
    <w:p w:rsidR="00B96ACA" w:rsidRPr="00B00919" w:rsidP="00B96ACA" w14:paraId="008AF45A" w14:textId="77777777">
      <w:pPr>
        <w:pStyle w:val="CommentText"/>
        <w:jc w:val="center"/>
        <w:rPr>
          <w:b/>
          <w:color w:val="000000" w:themeColor="text1"/>
          <w:u w:val="single"/>
        </w:rPr>
      </w:pPr>
      <w:r w:rsidRPr="00B00919">
        <w:rPr>
          <w:b/>
          <w:color w:val="000000" w:themeColor="text1"/>
          <w:u w:val="single"/>
        </w:rPr>
        <w:t>SERVICE LIST</w:t>
      </w:r>
    </w:p>
    <w:p w:rsidR="00B96ACA" w:rsidRPr="00B00919" w:rsidP="00B96ACA" w14:paraId="008AF45B" w14:textId="77777777">
      <w:pPr>
        <w:pStyle w:val="BodyText"/>
        <w:rPr>
          <w:rFonts w:ascii="Times New Roman" w:hAnsi="Times New Roman" w:cs="Times New Roman"/>
          <w:b/>
          <w:bCs/>
          <w:color w:val="000000" w:themeColor="text1"/>
        </w:rPr>
      </w:pPr>
    </w:p>
    <w:tbl>
      <w:tblPr>
        <w:tblW w:w="0" w:type="auto"/>
        <w:tblLook w:val="01E0"/>
      </w:tblPr>
      <w:tblGrid>
        <w:gridCol w:w="4338"/>
        <w:gridCol w:w="4302"/>
      </w:tblGrid>
      <w:tr w14:paraId="5BE5630E" w14:textId="77777777" w:rsidTr="00BA52D9">
        <w:tblPrEx>
          <w:tblW w:w="0" w:type="auto"/>
          <w:tblLook w:val="01E0"/>
        </w:tblPrEx>
        <w:tc>
          <w:tcPr>
            <w:tcW w:w="4428" w:type="dxa"/>
            <w:shd w:val="clear" w:color="auto" w:fill="auto"/>
          </w:tcPr>
          <w:p w:rsidR="00F45936" w:rsidRPr="00F45936" w:rsidP="00BA52D9" w14:paraId="1688B7F2" w14:textId="77777777">
            <w:pPr>
              <w:autoSpaceDE w:val="0"/>
              <w:autoSpaceDN w:val="0"/>
              <w:adjustRightInd w:val="0"/>
              <w:rPr>
                <w:rFonts w:ascii="Times New Roman" w:hAnsi="Times New Roman" w:cs="Times New Roman"/>
                <w:bCs/>
              </w:rPr>
            </w:pPr>
            <w:hyperlink r:id="rId11" w:history="1">
              <w:r w:rsidRPr="00F45936" w:rsidR="00613074">
                <w:rPr>
                  <w:rStyle w:val="Hyperlink"/>
                  <w:rFonts w:ascii="Times New Roman" w:hAnsi="Times New Roman" w:cs="Times New Roman"/>
                  <w:bCs/>
                </w:rPr>
                <w:t>John.jones@ohioAGO.gov</w:t>
              </w:r>
            </w:hyperlink>
          </w:p>
          <w:p w:rsidR="00F45936" w:rsidRPr="00F45936" w:rsidP="00BA52D9" w14:paraId="16056B59" w14:textId="77777777">
            <w:pPr>
              <w:autoSpaceDE w:val="0"/>
              <w:autoSpaceDN w:val="0"/>
              <w:adjustRightInd w:val="0"/>
              <w:rPr>
                <w:rFonts w:ascii="Times New Roman" w:hAnsi="Times New Roman" w:cs="Times New Roman"/>
                <w:bCs/>
              </w:rPr>
            </w:pPr>
          </w:p>
          <w:p w:rsidR="00F45936" w:rsidRPr="00F45936" w:rsidP="00BA52D9" w14:paraId="68F40428" w14:textId="77777777">
            <w:pPr>
              <w:autoSpaceDE w:val="0"/>
              <w:autoSpaceDN w:val="0"/>
              <w:adjustRightInd w:val="0"/>
              <w:rPr>
                <w:rFonts w:ascii="Times New Roman" w:hAnsi="Times New Roman" w:cs="Times New Roman"/>
                <w:bCs/>
              </w:rPr>
            </w:pPr>
            <w:r w:rsidRPr="00F45936">
              <w:rPr>
                <w:rFonts w:ascii="Times New Roman" w:hAnsi="Times New Roman" w:cs="Times New Roman"/>
                <w:bCs/>
              </w:rPr>
              <w:t>Attorney Examiner:</w:t>
            </w:r>
          </w:p>
          <w:p w:rsidR="00F45936" w:rsidRPr="00F45936" w:rsidP="00BA52D9" w14:paraId="74504FAA" w14:textId="77777777">
            <w:pPr>
              <w:autoSpaceDE w:val="0"/>
              <w:autoSpaceDN w:val="0"/>
              <w:adjustRightInd w:val="0"/>
              <w:rPr>
                <w:rFonts w:ascii="Times New Roman" w:hAnsi="Times New Roman" w:cs="Times New Roman"/>
                <w:bCs/>
              </w:rPr>
            </w:pPr>
          </w:p>
          <w:p w:rsidR="00F45936" w:rsidRPr="00F45936" w:rsidP="00BA52D9" w14:paraId="480D247E" w14:textId="77777777">
            <w:pPr>
              <w:autoSpaceDE w:val="0"/>
              <w:autoSpaceDN w:val="0"/>
              <w:adjustRightInd w:val="0"/>
              <w:rPr>
                <w:rFonts w:ascii="Times New Roman" w:hAnsi="Times New Roman" w:cs="Times New Roman"/>
                <w:bCs/>
              </w:rPr>
            </w:pPr>
            <w:hyperlink r:id="rId12" w:history="1">
              <w:r w:rsidRPr="00F45936" w:rsidR="00613074">
                <w:rPr>
                  <w:rStyle w:val="Hyperlink"/>
                  <w:rFonts w:ascii="Times New Roman" w:hAnsi="Times New Roman" w:cs="Times New Roman"/>
                  <w:bCs/>
                </w:rPr>
                <w:t>Kerry.sheets@puco.ohio.gov</w:t>
              </w:r>
            </w:hyperlink>
          </w:p>
          <w:p w:rsidR="00F45936" w:rsidRPr="00F45936" w:rsidP="00BA52D9" w14:paraId="3B3DD9CE" w14:textId="77777777">
            <w:pPr>
              <w:autoSpaceDE w:val="0"/>
              <w:autoSpaceDN w:val="0"/>
              <w:adjustRightInd w:val="0"/>
              <w:rPr>
                <w:rFonts w:ascii="Times New Roman" w:hAnsi="Times New Roman" w:cs="Times New Roman"/>
                <w:bCs/>
              </w:rPr>
            </w:pPr>
          </w:p>
        </w:tc>
        <w:tc>
          <w:tcPr>
            <w:tcW w:w="4428" w:type="dxa"/>
            <w:shd w:val="clear" w:color="auto" w:fill="auto"/>
          </w:tcPr>
          <w:p w:rsidR="00F45936" w:rsidRPr="00F45936" w:rsidP="00BA52D9" w14:paraId="4ED97A1E" w14:textId="77777777">
            <w:pPr>
              <w:autoSpaceDE w:val="0"/>
              <w:autoSpaceDN w:val="0"/>
              <w:adjustRightInd w:val="0"/>
              <w:rPr>
                <w:rFonts w:ascii="Times New Roman" w:hAnsi="Times New Roman" w:cs="Times New Roman"/>
                <w:bCs/>
              </w:rPr>
            </w:pPr>
            <w:hyperlink r:id="rId13" w:history="1">
              <w:r w:rsidRPr="00F45936" w:rsidR="00613074">
                <w:rPr>
                  <w:rStyle w:val="Hyperlink"/>
                  <w:rFonts w:ascii="Times New Roman" w:hAnsi="Times New Roman" w:cs="Times New Roman"/>
                  <w:bCs/>
                </w:rPr>
                <w:t>glpetrucci@vorys.com</w:t>
              </w:r>
            </w:hyperlink>
          </w:p>
          <w:p w:rsidR="00F45936" w:rsidRPr="00F45936" w:rsidP="00BA52D9" w14:paraId="082EB947" w14:textId="77777777">
            <w:pPr>
              <w:autoSpaceDE w:val="0"/>
              <w:autoSpaceDN w:val="0"/>
              <w:adjustRightInd w:val="0"/>
              <w:rPr>
                <w:rFonts w:ascii="Times New Roman" w:hAnsi="Times New Roman" w:cs="Times New Roman"/>
                <w:bCs/>
              </w:rPr>
            </w:pPr>
            <w:hyperlink r:id="rId14" w:history="1">
              <w:r w:rsidRPr="00F45936" w:rsidR="00613074">
                <w:rPr>
                  <w:rStyle w:val="Hyperlink"/>
                  <w:rFonts w:ascii="Times New Roman" w:hAnsi="Times New Roman" w:cs="Times New Roman"/>
                  <w:bCs/>
                </w:rPr>
                <w:t>mjsettineri@vorys.com</w:t>
              </w:r>
            </w:hyperlink>
          </w:p>
          <w:p w:rsidR="00F45936" w:rsidRPr="00F45936" w:rsidP="00BA52D9" w14:paraId="03868D3F" w14:textId="77777777">
            <w:pPr>
              <w:autoSpaceDE w:val="0"/>
              <w:autoSpaceDN w:val="0"/>
              <w:adjustRightInd w:val="0"/>
              <w:rPr>
                <w:rFonts w:ascii="Times New Roman" w:hAnsi="Times New Roman" w:cs="Times New Roman"/>
                <w:bCs/>
              </w:rPr>
            </w:pPr>
          </w:p>
        </w:tc>
      </w:tr>
    </w:tbl>
    <w:p w:rsidR="001F2DAA" w:rsidRPr="00373DFE" w:rsidP="001F2DAA" w14:paraId="008AF466" w14:textId="77777777">
      <w:pPr>
        <w:rPr>
          <w:rFonts w:ascii="Times New Roman" w:hAnsi="Times New Roman" w:cs="Times New Roman"/>
        </w:rPr>
      </w:pPr>
    </w:p>
    <w:sectPr w:rsidSect="00EB7F92">
      <w:footerReference w:type="default" r:id="rId15"/>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7041750"/>
      <w:docPartObj>
        <w:docPartGallery w:val="Page Numbers (Bottom of Page)"/>
        <w:docPartUnique/>
      </w:docPartObj>
    </w:sdtPr>
    <w:sdtEndPr>
      <w:rPr>
        <w:noProof/>
        <w:sz w:val="24"/>
        <w:szCs w:val="24"/>
      </w:rPr>
    </w:sdtEndPr>
    <w:sdtContent>
      <w:p w:rsidR="00AB5130" w:rsidRPr="006C0815" w14:paraId="008AF469" w14:textId="77777777">
        <w:pPr>
          <w:pStyle w:val="Footer"/>
          <w:jc w:val="center"/>
          <w:rPr>
            <w:sz w:val="24"/>
            <w:szCs w:val="24"/>
          </w:rPr>
        </w:pPr>
        <w:r w:rsidRPr="006C0815">
          <w:rPr>
            <w:sz w:val="24"/>
            <w:szCs w:val="24"/>
          </w:rPr>
          <w:fldChar w:fldCharType="begin"/>
        </w:r>
        <w:r w:rsidRPr="006C0815">
          <w:rPr>
            <w:sz w:val="24"/>
            <w:szCs w:val="24"/>
          </w:rPr>
          <w:instrText xml:space="preserve"> PAGE   \* MERGEFORMAT </w:instrText>
        </w:r>
        <w:r w:rsidRPr="006C0815">
          <w:rPr>
            <w:sz w:val="24"/>
            <w:szCs w:val="24"/>
          </w:rPr>
          <w:fldChar w:fldCharType="separate"/>
        </w:r>
        <w:r w:rsidRPr="006C0815">
          <w:rPr>
            <w:noProof/>
            <w:sz w:val="24"/>
            <w:szCs w:val="24"/>
          </w:rPr>
          <w:t>2</w:t>
        </w:r>
        <w:r w:rsidRPr="006C0815">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130" w14:paraId="008AF46A" w14:textId="77777777">
    <w:pPr>
      <w:pStyle w:val="Footer"/>
      <w:jc w:val="center"/>
    </w:pPr>
  </w:p>
  <w:p w:rsidR="00AB5130" w14:paraId="008AF46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3758948"/>
      <w:docPartObj>
        <w:docPartGallery w:val="Page Numbers (Bottom of Page)"/>
        <w:docPartUnique/>
      </w:docPartObj>
    </w:sdtPr>
    <w:sdtEndPr>
      <w:rPr>
        <w:noProof/>
        <w:sz w:val="24"/>
        <w:szCs w:val="24"/>
      </w:rPr>
    </w:sdtEndPr>
    <w:sdtContent>
      <w:p w:rsidR="00AB5130" w:rsidRPr="003E0E94" w14:paraId="008AF46C" w14:textId="77777777">
        <w:pPr>
          <w:pStyle w:val="Footer"/>
          <w:jc w:val="center"/>
          <w:rPr>
            <w:sz w:val="24"/>
            <w:szCs w:val="24"/>
          </w:rPr>
        </w:pPr>
        <w:r w:rsidRPr="003E0E94">
          <w:rPr>
            <w:sz w:val="24"/>
            <w:szCs w:val="24"/>
          </w:rPr>
          <w:fldChar w:fldCharType="begin"/>
        </w:r>
        <w:r w:rsidRPr="003E0E94">
          <w:rPr>
            <w:sz w:val="24"/>
            <w:szCs w:val="24"/>
          </w:rPr>
          <w:instrText xml:space="preserve"> PAGE   \* MERGEFORMAT </w:instrText>
        </w:r>
        <w:r w:rsidRPr="003E0E94">
          <w:rPr>
            <w:sz w:val="24"/>
            <w:szCs w:val="24"/>
          </w:rPr>
          <w:fldChar w:fldCharType="separate"/>
        </w:r>
        <w:r w:rsidRPr="003E0E94">
          <w:rPr>
            <w:noProof/>
            <w:sz w:val="24"/>
            <w:szCs w:val="24"/>
          </w:rPr>
          <w:t>2</w:t>
        </w:r>
        <w:r w:rsidRPr="003E0E94">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5482861"/>
      <w:docPartObj>
        <w:docPartGallery w:val="Page Numbers (Bottom of Page)"/>
        <w:docPartUnique/>
      </w:docPartObj>
    </w:sdtPr>
    <w:sdtEndPr>
      <w:rPr>
        <w:noProof/>
        <w:sz w:val="24"/>
        <w:szCs w:val="24"/>
      </w:rPr>
    </w:sdtEndPr>
    <w:sdtContent>
      <w:p w:rsidR="00EB7F92" w:rsidRPr="006C0815" w14:paraId="008AF46D" w14:textId="77777777">
        <w:pPr>
          <w:pStyle w:val="Footer"/>
          <w:jc w:val="center"/>
          <w:rPr>
            <w:sz w:val="24"/>
            <w:szCs w:val="24"/>
          </w:rPr>
        </w:pPr>
        <w:r w:rsidRPr="006C0815">
          <w:rPr>
            <w:sz w:val="24"/>
            <w:szCs w:val="24"/>
          </w:rPr>
          <w:fldChar w:fldCharType="begin"/>
        </w:r>
        <w:r w:rsidRPr="006C0815">
          <w:rPr>
            <w:sz w:val="24"/>
            <w:szCs w:val="24"/>
          </w:rPr>
          <w:instrText xml:space="preserve"> PAGE   \* MERGEFORMAT </w:instrText>
        </w:r>
        <w:r w:rsidRPr="006C0815">
          <w:rPr>
            <w:sz w:val="24"/>
            <w:szCs w:val="24"/>
          </w:rPr>
          <w:fldChar w:fldCharType="separate"/>
        </w:r>
        <w:r w:rsidRPr="006C0815">
          <w:rPr>
            <w:noProof/>
            <w:sz w:val="24"/>
            <w:szCs w:val="24"/>
          </w:rPr>
          <w:t>2</w:t>
        </w:r>
        <w:r w:rsidRPr="006C081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720A7" w:rsidP="002747B5" w14:paraId="70429E42" w14:textId="77777777">
      <w:r>
        <w:separator/>
      </w:r>
    </w:p>
  </w:footnote>
  <w:footnote w:type="continuationSeparator" w:id="1">
    <w:p w:rsidR="009720A7" w:rsidP="002747B5" w14:paraId="0D1C794B" w14:textId="77777777">
      <w:r>
        <w:continuationSeparator/>
      </w:r>
    </w:p>
  </w:footnote>
  <w:footnote w:id="2">
    <w:p w:rsidR="006F7F14" w:rsidRPr="00A37BDC" w:rsidP="00A37BDC" w14:paraId="4B144205" w14:textId="42DC1409">
      <w:pPr>
        <w:pStyle w:val="FootnoteText"/>
        <w:spacing w:after="120"/>
      </w:pPr>
      <w:r w:rsidRPr="00A37BDC">
        <w:rPr>
          <w:rStyle w:val="FootnoteReference"/>
        </w:rPr>
        <w:footnoteRef/>
      </w:r>
      <w:r w:rsidRPr="00A37BDC">
        <w:t xml:space="preserve"> </w:t>
      </w:r>
      <w:r w:rsidRPr="00A37BDC">
        <w:rPr>
          <w:i/>
          <w:iCs/>
        </w:rPr>
        <w:t xml:space="preserve">In the Mater of the Investigation into XOOM Energy Ohio, LLC’s Compliance with the Ohio Administrative Code and Potential Remedial Actions for Non-Compliance, </w:t>
      </w:r>
      <w:r w:rsidRPr="00A37BDC">
        <w:t>Case No. 22-267-GE-COI, Entry (April 20, 2022), ¶ 1.</w:t>
      </w:r>
    </w:p>
  </w:footnote>
  <w:footnote w:id="3">
    <w:p w:rsidR="003130DA" w:rsidRPr="00A37BDC" w:rsidP="00A37BDC" w14:paraId="7128048B" w14:textId="3FE376B2">
      <w:pPr>
        <w:pStyle w:val="FootnoteText"/>
        <w:spacing w:after="120"/>
        <w:rPr>
          <w:i/>
          <w:iCs/>
        </w:rPr>
      </w:pPr>
      <w:r w:rsidRPr="00A37BDC">
        <w:rPr>
          <w:rStyle w:val="FootnoteReference"/>
        </w:rPr>
        <w:footnoteRef/>
      </w:r>
      <w:r w:rsidRPr="00A37BDC">
        <w:t xml:space="preserve"> </w:t>
      </w:r>
      <w:r w:rsidRPr="00A37BDC">
        <w:rPr>
          <w:i/>
          <w:iCs/>
        </w:rPr>
        <w:t>Id.</w:t>
      </w:r>
    </w:p>
  </w:footnote>
  <w:footnote w:id="4">
    <w:p w:rsidR="001B774D" w:rsidRPr="00A37BDC" w:rsidP="00A37BDC" w14:paraId="00307AA6" w14:textId="289D2902">
      <w:pPr>
        <w:pStyle w:val="FootnoteText"/>
        <w:spacing w:after="120"/>
      </w:pPr>
      <w:r w:rsidRPr="00A37BDC">
        <w:rPr>
          <w:rStyle w:val="FootnoteReference"/>
        </w:rPr>
        <w:footnoteRef/>
      </w:r>
      <w:r w:rsidRPr="00A37BDC">
        <w:t xml:space="preserve"> </w:t>
      </w:r>
      <w:r w:rsidRPr="00A37BDC" w:rsidR="00267386">
        <w:t>Case No. 22-267-GE-COI, Entry (April 20, 2022), ¶ 8.</w:t>
      </w:r>
    </w:p>
  </w:footnote>
  <w:footnote w:id="5">
    <w:p w:rsidR="001246C9" w:rsidRPr="00A37BDC" w:rsidP="00A37BDC" w14:paraId="121865A6" w14:textId="65AE95B9">
      <w:pPr>
        <w:pStyle w:val="FootnoteText"/>
        <w:spacing w:after="120"/>
      </w:pPr>
      <w:r w:rsidRPr="00A37BDC">
        <w:rPr>
          <w:rStyle w:val="FootnoteReference"/>
        </w:rPr>
        <w:footnoteRef/>
      </w:r>
      <w:r w:rsidRPr="00A37BDC">
        <w:t xml:space="preserve"> </w:t>
      </w:r>
      <w:r w:rsidRPr="00A37BDC">
        <w:rPr>
          <w:i/>
          <w:iCs/>
        </w:rPr>
        <w:t>See</w:t>
      </w:r>
      <w:r w:rsidRPr="00A37BDC">
        <w:t xml:space="preserve"> Case No. 11-4795-GA-CRS, PUCO Certificate No. 11-223G(5) (January 14, 2020).</w:t>
      </w:r>
    </w:p>
  </w:footnote>
  <w:footnote w:id="6">
    <w:p w:rsidR="00A60344" w:rsidRPr="00A37BDC" w:rsidP="00A37BDC" w14:paraId="1E59E228" w14:textId="782CB3C5">
      <w:pPr>
        <w:pStyle w:val="FootnoteText"/>
        <w:spacing w:after="120"/>
      </w:pPr>
      <w:r w:rsidRPr="00A37BDC">
        <w:rPr>
          <w:rStyle w:val="FootnoteReference"/>
        </w:rPr>
        <w:footnoteRef/>
      </w:r>
      <w:r w:rsidRPr="00A37BDC">
        <w:t xml:space="preserve"> </w:t>
      </w:r>
      <w:r w:rsidRPr="00A37BDC" w:rsidR="006F7F14">
        <w:t>Case No. 11-4795-GA-CRS, Entry (December 22, 2021).</w:t>
      </w:r>
    </w:p>
  </w:footnote>
  <w:footnote w:id="7">
    <w:p w:rsidR="00E62B89" w:rsidRPr="00A37BDC" w:rsidP="00A37BDC" w14:paraId="008AF471" w14:textId="1B0225CA">
      <w:pPr>
        <w:pStyle w:val="FootnoteText"/>
        <w:spacing w:after="120"/>
      </w:pPr>
      <w:r w:rsidRPr="00A37BDC">
        <w:rPr>
          <w:rStyle w:val="FootnoteReference"/>
        </w:rPr>
        <w:footnoteRef/>
      </w:r>
      <w:r w:rsidRPr="00A37BDC">
        <w:t xml:space="preserve"> Case No. 22-</w:t>
      </w:r>
      <w:r w:rsidRPr="00A37BDC" w:rsidR="00EE1819">
        <w:t>267</w:t>
      </w:r>
      <w:r w:rsidRPr="00A37BDC">
        <w:t>, Entry (</w:t>
      </w:r>
      <w:r w:rsidRPr="00A37BDC" w:rsidR="000E1E3C">
        <w:t>May 20</w:t>
      </w:r>
      <w:r w:rsidRPr="00A37BDC">
        <w:t>, 2022)</w:t>
      </w:r>
      <w:r w:rsidRPr="00A37BDC" w:rsidR="001A51A2">
        <w:t>.</w:t>
      </w:r>
    </w:p>
  </w:footnote>
  <w:footnote w:id="8">
    <w:p w:rsidR="004C48FE" w:rsidRPr="00A37BDC" w:rsidP="00A37BDC" w14:paraId="009DB974" w14:textId="3C982211">
      <w:pPr>
        <w:pStyle w:val="FootnoteText"/>
        <w:spacing w:after="120"/>
      </w:pPr>
      <w:r w:rsidRPr="00A37BDC">
        <w:rPr>
          <w:rStyle w:val="FootnoteReference"/>
        </w:rPr>
        <w:footnoteRef/>
      </w:r>
      <w:r w:rsidRPr="00A37BDC">
        <w:t xml:space="preserve"> </w:t>
      </w:r>
      <w:r w:rsidRPr="00A37BDC" w:rsidR="00B650E3">
        <w:t>XOOM Memorandum Contra Office of Consumers’ Counsel’s Motion to Intervene (“XOOM Memo</w:t>
      </w:r>
      <w:r w:rsidRPr="00A37BDC" w:rsidR="005724B0">
        <w:t>.</w:t>
      </w:r>
      <w:r w:rsidRPr="00A37BDC" w:rsidR="00B650E3">
        <w:t xml:space="preserve"> Contra”), at 3.</w:t>
      </w:r>
    </w:p>
  </w:footnote>
  <w:footnote w:id="9">
    <w:p w:rsidR="009E6E4F" w:rsidRPr="00A37BDC" w:rsidP="00A37BDC" w14:paraId="008AF478" w14:textId="548E23CB">
      <w:pPr>
        <w:pStyle w:val="FootnoteText"/>
        <w:spacing w:after="120"/>
      </w:pPr>
      <w:r w:rsidRPr="00A37BDC">
        <w:rPr>
          <w:rStyle w:val="FootnoteReference"/>
        </w:rPr>
        <w:footnoteRef/>
      </w:r>
      <w:r w:rsidRPr="00A37BDC">
        <w:t xml:space="preserve"> </w:t>
      </w:r>
      <w:r w:rsidRPr="00A37BDC" w:rsidR="00B3622B">
        <w:rPr>
          <w:i/>
          <w:iCs/>
        </w:rPr>
        <w:t>Id.</w:t>
      </w:r>
      <w:r w:rsidRPr="00A37BDC" w:rsidR="00037301">
        <w:t xml:space="preserve"> </w:t>
      </w:r>
    </w:p>
  </w:footnote>
  <w:footnote w:id="10">
    <w:p w:rsidR="00E5780A" w:rsidRPr="00A37BDC" w:rsidP="00C72A88" w14:paraId="3D585AF9" w14:textId="2CF76781">
      <w:pPr>
        <w:pStyle w:val="FootnoteText"/>
        <w:spacing w:after="120"/>
      </w:pPr>
      <w:r w:rsidRPr="00A37BDC">
        <w:rPr>
          <w:rStyle w:val="FootnoteReference"/>
        </w:rPr>
        <w:footnoteRef/>
      </w:r>
      <w:r w:rsidRPr="00A37BDC">
        <w:t xml:space="preserve"> </w:t>
      </w:r>
      <w:r w:rsidRPr="00A37BDC">
        <w:rPr>
          <w:i/>
          <w:iCs/>
        </w:rPr>
        <w:t>See</w:t>
      </w:r>
      <w:r w:rsidRPr="007A7AA8">
        <w:t xml:space="preserve"> </w:t>
      </w:r>
      <w:r w:rsidRPr="00613074">
        <w:rPr>
          <w:i/>
          <w:iCs/>
          <w:bdr w:val="none" w:sz="0" w:space="0" w:color="auto" w:frame="1"/>
          <w:shd w:val="clear" w:color="auto" w:fill="FFFFFF"/>
        </w:rPr>
        <w:t>In re Suvon, L.L.C.</w:t>
      </w:r>
      <w:r w:rsidRPr="00613074">
        <w:rPr>
          <w:bdr w:val="none" w:sz="0" w:space="0" w:color="auto" w:frame="1"/>
          <w:shd w:val="clear" w:color="auto" w:fill="FFFFFF"/>
        </w:rPr>
        <w:t>, 166 Ohio St.3d 519, 2021-Ohio-3630, 188 N.E.3d 140 (“FirstEnergy Advisors”); PUCO Case No. 20-0103-EL-AGG.</w:t>
      </w:r>
    </w:p>
  </w:footnote>
  <w:footnote w:id="11">
    <w:p w:rsidR="009B25BE" w:rsidRPr="007A7AA8" w:rsidP="00C72A88" w14:paraId="549F05CB" w14:textId="50A0D254">
      <w:pPr>
        <w:pStyle w:val="FootnoteText"/>
        <w:spacing w:after="120"/>
      </w:pPr>
      <w:r w:rsidRPr="00A37BDC">
        <w:rPr>
          <w:rStyle w:val="FootnoteReference"/>
        </w:rPr>
        <w:footnoteRef/>
      </w:r>
      <w:r w:rsidRPr="00A37BDC">
        <w:t xml:space="preserve"> </w:t>
      </w:r>
      <w:r w:rsidRPr="00A37BDC">
        <w:rPr>
          <w:i/>
          <w:iCs/>
        </w:rPr>
        <w:t xml:space="preserve">Id. </w:t>
      </w:r>
    </w:p>
  </w:footnote>
  <w:footnote w:id="12">
    <w:p w:rsidR="00745556" w:rsidRPr="007A7AA8" w:rsidP="00C72A88" w14:paraId="71B721AF" w14:textId="2CEA9AFF">
      <w:pPr>
        <w:pStyle w:val="FootnoteText"/>
        <w:spacing w:after="120"/>
      </w:pPr>
      <w:r w:rsidRPr="00A37BDC">
        <w:rPr>
          <w:rStyle w:val="FootnoteReference"/>
        </w:rPr>
        <w:footnoteRef/>
      </w:r>
      <w:r w:rsidRPr="00A37BDC">
        <w:t xml:space="preserve"> </w:t>
      </w:r>
      <w:r w:rsidRPr="00613074">
        <w:rPr>
          <w:i/>
          <w:iCs/>
        </w:rPr>
        <w:t>See</w:t>
      </w:r>
      <w:r w:rsidRPr="00613074">
        <w:t xml:space="preserve"> </w:t>
      </w:r>
      <w:r w:rsidRPr="00613074">
        <w:rPr>
          <w:bdr w:val="none" w:sz="0" w:space="0" w:color="auto" w:frame="1"/>
          <w:shd w:val="clear" w:color="auto" w:fill="FFFFFF"/>
        </w:rPr>
        <w:t>PUCO Case No. 20-0103-EL-AGG</w:t>
      </w:r>
      <w:r w:rsidRPr="00613074" w:rsidR="00A37BDC">
        <w:rPr>
          <w:bdr w:val="none" w:sz="0" w:space="0" w:color="auto" w:frame="1"/>
          <w:shd w:val="clear" w:color="auto" w:fill="FFFFFF"/>
        </w:rPr>
        <w:t>, Finding and Order (April 22, 2020) at ¶11</w:t>
      </w:r>
      <w:r w:rsidRPr="00613074">
        <w:rPr>
          <w:bdr w:val="none" w:sz="0" w:space="0" w:color="auto" w:frame="1"/>
          <w:shd w:val="clear" w:color="auto" w:fill="FFFFFF"/>
        </w:rPr>
        <w:t>.</w:t>
      </w:r>
    </w:p>
  </w:footnote>
  <w:footnote w:id="13">
    <w:p w:rsidR="00B53F21" w:rsidRPr="00A37BDC" w:rsidP="00A37BDC" w14:paraId="008AF479" w14:textId="77777777">
      <w:pPr>
        <w:pStyle w:val="FootnoteText"/>
        <w:spacing w:after="120"/>
      </w:pPr>
      <w:r w:rsidRPr="00A37BDC">
        <w:rPr>
          <w:rStyle w:val="FootnoteReference"/>
        </w:rPr>
        <w:footnoteRef/>
      </w:r>
      <w:r w:rsidRPr="00A37BDC">
        <w:t xml:space="preserve"> </w:t>
      </w:r>
      <w:r w:rsidRPr="00A37BDC">
        <w:rPr>
          <w:i/>
          <w:iCs/>
        </w:rPr>
        <w:t xml:space="preserve">In the Matter of the Complaint of the Office of Consumers’ Counsel on Behalf of </w:t>
      </w:r>
      <w:r w:rsidRPr="007A7AA8">
        <w:rPr>
          <w:i/>
          <w:iCs/>
        </w:rPr>
        <w:t>the Residents of Copley Village Condominium Association I and Copley Village Condominium Association II v. Ohio Edison Company</w:t>
      </w:r>
      <w:r w:rsidRPr="00A37BDC">
        <w:t>, Case No. 89-1031-EL-CSS, 1989 Ohio PUC LEXIS 1100, *5 (emphasis added).</w:t>
      </w:r>
    </w:p>
  </w:footnote>
  <w:footnote w:id="14">
    <w:p w:rsidR="00986767" w:rsidRPr="00A37BDC" w:rsidP="00A37BDC" w14:paraId="008AF47A" w14:textId="77777777">
      <w:pPr>
        <w:spacing w:after="120"/>
        <w:rPr>
          <w:rFonts w:ascii="Times New Roman" w:eastAsia="Times New Roman" w:hAnsi="Times New Roman" w:cs="Times New Roman"/>
          <w:color w:val="000000" w:themeColor="text1"/>
          <w:sz w:val="20"/>
          <w:szCs w:val="20"/>
        </w:rPr>
      </w:pPr>
      <w:r w:rsidRPr="00A37BDC">
        <w:rPr>
          <w:rStyle w:val="FootnoteReference"/>
          <w:rFonts w:ascii="Times New Roman" w:hAnsi="Times New Roman" w:cs="Times New Roman"/>
          <w:color w:val="000000" w:themeColor="text1"/>
          <w:sz w:val="20"/>
          <w:szCs w:val="20"/>
        </w:rPr>
        <w:footnoteRef/>
      </w:r>
      <w:r w:rsidRPr="00A37BDC">
        <w:rPr>
          <w:rFonts w:ascii="Times New Roman" w:hAnsi="Times New Roman" w:cs="Times New Roman"/>
          <w:color w:val="000000" w:themeColor="text1"/>
          <w:sz w:val="20"/>
          <w:szCs w:val="20"/>
        </w:rPr>
        <w:t xml:space="preserve"> </w:t>
      </w:r>
      <w:r w:rsidRPr="00A37BDC">
        <w:rPr>
          <w:rFonts w:ascii="Times New Roman" w:hAnsi="Times New Roman" w:cs="Times New Roman"/>
          <w:i/>
          <w:iCs/>
          <w:color w:val="000000" w:themeColor="text1"/>
          <w:sz w:val="20"/>
          <w:szCs w:val="20"/>
        </w:rPr>
        <w:t xml:space="preserve">See In the Matter of the Application of Commerce Energy, Inc. d/b/a/ Just Energy for Certification as a Competitive Retail Natural </w:t>
      </w:r>
      <w:r w:rsidRPr="00A37BDC" w:rsidR="00832261">
        <w:rPr>
          <w:rFonts w:ascii="Times New Roman" w:hAnsi="Times New Roman" w:cs="Times New Roman"/>
          <w:i/>
          <w:iCs/>
          <w:color w:val="000000" w:themeColor="text1"/>
          <w:sz w:val="20"/>
          <w:szCs w:val="20"/>
        </w:rPr>
        <w:t>G</w:t>
      </w:r>
      <w:r w:rsidRPr="00A37BDC">
        <w:rPr>
          <w:rFonts w:ascii="Times New Roman" w:hAnsi="Times New Roman" w:cs="Times New Roman"/>
          <w:i/>
          <w:iCs/>
          <w:color w:val="000000" w:themeColor="text1"/>
          <w:sz w:val="20"/>
          <w:szCs w:val="20"/>
        </w:rPr>
        <w:t>as Provider</w:t>
      </w:r>
      <w:r w:rsidRPr="00A37BDC" w:rsidR="00832261">
        <w:rPr>
          <w:rFonts w:ascii="Times New Roman" w:hAnsi="Times New Roman" w:cs="Times New Roman"/>
          <w:color w:val="000000" w:themeColor="text1"/>
          <w:sz w:val="20"/>
          <w:szCs w:val="20"/>
        </w:rPr>
        <w:t>, Case No. 02-1828-GA-CRS, Entry (September 30, 2010)</w:t>
      </w:r>
      <w:r w:rsidRPr="00A37BDC" w:rsidR="00923E0B">
        <w:rPr>
          <w:rFonts w:ascii="Times New Roman" w:hAnsi="Times New Roman" w:cs="Times New Roman"/>
          <w:color w:val="000000" w:themeColor="text1"/>
          <w:sz w:val="20"/>
          <w:szCs w:val="20"/>
        </w:rPr>
        <w:t xml:space="preserve">, at </w:t>
      </w:r>
      <w:r w:rsidRPr="00A37BDC" w:rsidR="00923E0B">
        <w:rPr>
          <w:rFonts w:ascii="Times New Roman" w:eastAsia="Times New Roman" w:hAnsi="Times New Roman" w:cs="Times New Roman"/>
          <w:color w:val="000000" w:themeColor="text1"/>
          <w:sz w:val="20"/>
          <w:szCs w:val="20"/>
          <w:shd w:val="clear" w:color="auto" w:fill="FFFFFF"/>
        </w:rPr>
        <w:t>¶</w:t>
      </w:r>
      <w:r w:rsidRPr="00A37BDC" w:rsidR="00E216FA">
        <w:rPr>
          <w:rFonts w:ascii="Times New Roman" w:eastAsia="Times New Roman" w:hAnsi="Times New Roman" w:cs="Times New Roman"/>
          <w:color w:val="000000" w:themeColor="text1"/>
          <w:sz w:val="20"/>
          <w:szCs w:val="20"/>
          <w:shd w:val="clear" w:color="auto" w:fill="FFFFFF"/>
        </w:rPr>
        <w:t xml:space="preserve"> </w:t>
      </w:r>
      <w:r w:rsidRPr="00A37BDC" w:rsidR="00522A54">
        <w:rPr>
          <w:rFonts w:ascii="Times New Roman" w:eastAsia="Times New Roman" w:hAnsi="Times New Roman" w:cs="Times New Roman"/>
          <w:color w:val="000000" w:themeColor="text1"/>
          <w:sz w:val="20"/>
          <w:szCs w:val="20"/>
          <w:shd w:val="clear" w:color="auto" w:fill="FFFFFF"/>
        </w:rPr>
        <w:t xml:space="preserve">7; and </w:t>
      </w:r>
      <w:r w:rsidRPr="00A37BDC" w:rsidR="00522A54">
        <w:rPr>
          <w:rFonts w:ascii="Times New Roman" w:eastAsia="Times New Roman" w:hAnsi="Times New Roman" w:cs="Times New Roman"/>
          <w:i/>
          <w:iCs/>
          <w:color w:val="000000" w:themeColor="text1"/>
          <w:sz w:val="20"/>
          <w:szCs w:val="20"/>
          <w:shd w:val="clear" w:color="auto" w:fill="FFFFFF"/>
        </w:rPr>
        <w:t xml:space="preserve">In the Matter of the Application of Duke Energy Retail Sales, LLC, for Certification as a Competitive Retail Electric Service Provider in Ohio </w:t>
      </w:r>
      <w:r w:rsidRPr="00A37BDC" w:rsidR="00522A54">
        <w:rPr>
          <w:rFonts w:ascii="Times New Roman" w:eastAsia="Times New Roman" w:hAnsi="Times New Roman" w:cs="Times New Roman"/>
          <w:color w:val="000000" w:themeColor="text1"/>
          <w:sz w:val="20"/>
          <w:szCs w:val="20"/>
          <w:shd w:val="clear" w:color="auto" w:fill="FFFFFF"/>
        </w:rPr>
        <w:t xml:space="preserve">(“Duke </w:t>
      </w:r>
      <w:r w:rsidRPr="00A37BDC" w:rsidR="00277057">
        <w:rPr>
          <w:rFonts w:ascii="Times New Roman" w:eastAsia="Times New Roman" w:hAnsi="Times New Roman" w:cs="Times New Roman"/>
          <w:color w:val="000000" w:themeColor="text1"/>
          <w:sz w:val="20"/>
          <w:szCs w:val="20"/>
          <w:shd w:val="clear" w:color="auto" w:fill="FFFFFF"/>
        </w:rPr>
        <w:t>Retail Sales</w:t>
      </w:r>
      <w:r w:rsidRPr="00A37BDC" w:rsidR="00522A54">
        <w:rPr>
          <w:rFonts w:ascii="Times New Roman" w:eastAsia="Times New Roman" w:hAnsi="Times New Roman" w:cs="Times New Roman"/>
          <w:color w:val="000000" w:themeColor="text1"/>
          <w:sz w:val="20"/>
          <w:szCs w:val="20"/>
          <w:shd w:val="clear" w:color="auto" w:fill="FFFFFF"/>
        </w:rPr>
        <w:t>”)</w:t>
      </w:r>
      <w:r w:rsidRPr="00A37BDC" w:rsidR="00522A54">
        <w:rPr>
          <w:rFonts w:ascii="Times New Roman" w:eastAsia="Times New Roman" w:hAnsi="Times New Roman" w:cs="Times New Roman"/>
          <w:i/>
          <w:iCs/>
          <w:color w:val="000000" w:themeColor="text1"/>
          <w:sz w:val="20"/>
          <w:szCs w:val="20"/>
          <w:shd w:val="clear" w:color="auto" w:fill="FFFFFF"/>
        </w:rPr>
        <w:t xml:space="preserve">, </w:t>
      </w:r>
      <w:r w:rsidRPr="00A37BDC" w:rsidR="00522A54">
        <w:rPr>
          <w:rFonts w:ascii="Times New Roman" w:eastAsia="Times New Roman" w:hAnsi="Times New Roman" w:cs="Times New Roman"/>
          <w:color w:val="000000" w:themeColor="text1"/>
          <w:sz w:val="20"/>
          <w:szCs w:val="20"/>
          <w:shd w:val="clear" w:color="auto" w:fill="FFFFFF"/>
        </w:rPr>
        <w:t>Case No. 04-1323</w:t>
      </w:r>
      <w:r w:rsidRPr="00A37BDC" w:rsidR="00E216FA">
        <w:rPr>
          <w:rFonts w:ascii="Times New Roman" w:eastAsia="Times New Roman" w:hAnsi="Times New Roman" w:cs="Times New Roman"/>
          <w:color w:val="000000" w:themeColor="text1"/>
          <w:sz w:val="20"/>
          <w:szCs w:val="20"/>
          <w:shd w:val="clear" w:color="auto" w:fill="FFFFFF"/>
        </w:rPr>
        <w:t>-</w:t>
      </w:r>
      <w:r w:rsidRPr="00A37BDC" w:rsidR="00522A54">
        <w:rPr>
          <w:rFonts w:ascii="Times New Roman" w:eastAsia="Times New Roman" w:hAnsi="Times New Roman" w:cs="Times New Roman"/>
          <w:color w:val="000000" w:themeColor="text1"/>
          <w:sz w:val="20"/>
          <w:szCs w:val="20"/>
          <w:shd w:val="clear" w:color="auto" w:fill="FFFFFF"/>
        </w:rPr>
        <w:t>El-CRS, Entry (December 3, 2008) at ¶</w:t>
      </w:r>
      <w:r w:rsidRPr="00A37BDC" w:rsidR="00B016CB">
        <w:rPr>
          <w:rFonts w:ascii="Times New Roman" w:eastAsia="Times New Roman" w:hAnsi="Times New Roman" w:cs="Times New Roman"/>
          <w:color w:val="000000" w:themeColor="text1"/>
          <w:sz w:val="20"/>
          <w:szCs w:val="20"/>
          <w:shd w:val="clear" w:color="auto" w:fill="FFFFFF"/>
        </w:rPr>
        <w:t xml:space="preserve"> </w:t>
      </w:r>
      <w:r w:rsidRPr="00A37BDC" w:rsidR="00522A54">
        <w:rPr>
          <w:rFonts w:ascii="Times New Roman" w:eastAsia="Times New Roman" w:hAnsi="Times New Roman" w:cs="Times New Roman"/>
          <w:color w:val="000000" w:themeColor="text1"/>
          <w:sz w:val="20"/>
          <w:szCs w:val="20"/>
          <w:shd w:val="clear" w:color="auto" w:fill="FFFFFF"/>
        </w:rPr>
        <w:t>7.</w:t>
      </w:r>
    </w:p>
  </w:footnote>
  <w:footnote w:id="15">
    <w:p w:rsidR="00A5631E" w:rsidRPr="00C72A88" w:rsidP="00C72A88" w14:paraId="25DCE1FF" w14:textId="57494C91">
      <w:pPr>
        <w:spacing w:after="120"/>
        <w:rPr>
          <w:i/>
          <w:iCs/>
        </w:rPr>
      </w:pPr>
      <w:r w:rsidRPr="00C72A88">
        <w:rPr>
          <w:rStyle w:val="FootnoteReference"/>
          <w:rFonts w:ascii="Times New Roman" w:hAnsi="Times New Roman" w:cs="Times New Roman"/>
          <w:sz w:val="20"/>
          <w:szCs w:val="20"/>
        </w:rPr>
        <w:footnoteRef/>
      </w:r>
      <w:r w:rsidRPr="00C72A88">
        <w:rPr>
          <w:rFonts w:ascii="Times New Roman" w:hAnsi="Times New Roman" w:cs="Times New Roman"/>
          <w:sz w:val="20"/>
          <w:szCs w:val="20"/>
        </w:rPr>
        <w:t xml:space="preserve"> </w:t>
      </w:r>
      <w:r w:rsidRPr="00C72A88" w:rsidR="005662D5">
        <w:rPr>
          <w:rFonts w:ascii="Times New Roman" w:hAnsi="Times New Roman" w:cs="Times New Roman"/>
          <w:i/>
          <w:iCs/>
          <w:sz w:val="20"/>
          <w:szCs w:val="20"/>
        </w:rPr>
        <w:t>See</w:t>
      </w:r>
      <w:r w:rsidRPr="00C72A88" w:rsidR="005662D5">
        <w:rPr>
          <w:rFonts w:ascii="Times New Roman" w:hAnsi="Times New Roman" w:cs="Times New Roman"/>
          <w:sz w:val="20"/>
          <w:szCs w:val="20"/>
        </w:rPr>
        <w:t xml:space="preserve"> </w:t>
      </w:r>
      <w:r w:rsidRPr="00613074" w:rsidR="00A86B54">
        <w:rPr>
          <w:rFonts w:ascii="Times New Roman" w:hAnsi="Times New Roman" w:cs="Times New Roman"/>
          <w:i/>
          <w:iCs/>
          <w:sz w:val="20"/>
          <w:szCs w:val="20"/>
          <w:bdr w:val="none" w:sz="0" w:space="0" w:color="auto" w:frame="1"/>
          <w:shd w:val="clear" w:color="auto" w:fill="FFFFFF"/>
        </w:rPr>
        <w:t>FirstEnergy Advisors</w:t>
      </w:r>
      <w:r w:rsidRPr="00613074" w:rsidR="001224BE">
        <w:rPr>
          <w:rFonts w:ascii="Times New Roman" w:hAnsi="Times New Roman" w:cs="Times New Roman"/>
          <w:sz w:val="20"/>
          <w:szCs w:val="20"/>
          <w:bdr w:val="none" w:sz="0" w:space="0" w:color="auto" w:frame="1"/>
          <w:shd w:val="clear" w:color="auto" w:fill="FFFFFF"/>
        </w:rPr>
        <w:t xml:space="preserve">; </w:t>
      </w:r>
      <w:r w:rsidRPr="00613074" w:rsidR="00C2636A">
        <w:rPr>
          <w:rFonts w:ascii="Times New Roman" w:hAnsi="Times New Roman" w:cs="Times New Roman"/>
          <w:sz w:val="20"/>
          <w:szCs w:val="20"/>
          <w:bdr w:val="none" w:sz="0" w:space="0" w:color="auto" w:frame="1"/>
          <w:shd w:val="clear" w:color="auto" w:fill="FFFFFF"/>
        </w:rPr>
        <w:t>PUCO Case No. 20-0103-EL-AGG</w:t>
      </w:r>
      <w:r w:rsidRPr="00613074" w:rsidR="0018456D">
        <w:rPr>
          <w:rFonts w:ascii="Times New Roman" w:hAnsi="Times New Roman" w:cs="Times New Roman"/>
          <w:sz w:val="20"/>
          <w:szCs w:val="20"/>
          <w:bdr w:val="none" w:sz="0" w:space="0" w:color="auto" w:frame="1"/>
          <w:shd w:val="clear" w:color="auto" w:fill="FFFFFF"/>
        </w:rPr>
        <w:t>.</w:t>
      </w:r>
    </w:p>
  </w:footnote>
  <w:footnote w:id="16">
    <w:p w:rsidR="00B53F21" w:rsidRPr="00A21C99" w:rsidP="00A37BDC" w14:paraId="008AF47B" w14:textId="77777777">
      <w:pPr>
        <w:pStyle w:val="FootnoteText"/>
        <w:spacing w:after="120"/>
      </w:pPr>
      <w:r w:rsidRPr="00A37BDC">
        <w:rPr>
          <w:rStyle w:val="FootnoteReference"/>
        </w:rPr>
        <w:footnoteRef/>
      </w:r>
      <w:r w:rsidRPr="00A37BDC">
        <w:t xml:space="preserve"> </w:t>
      </w:r>
      <w:r w:rsidRPr="00A37BDC">
        <w:rPr>
          <w:i/>
          <w:iCs/>
        </w:rPr>
        <w:t>Duke Retail Sales</w:t>
      </w:r>
      <w:r w:rsidRPr="007A7AA8">
        <w:t xml:space="preserve"> at </w:t>
      </w:r>
      <w:r w:rsidRPr="007A7AA8" w:rsidR="00571CE1">
        <w:rPr>
          <w:color w:val="000000" w:themeColor="text1"/>
          <w:shd w:val="clear" w:color="auto" w:fill="FFFFFF"/>
        </w:rPr>
        <w:t>¶</w:t>
      </w:r>
      <w:r w:rsidRPr="007A7AA8" w:rsidR="00B016CB">
        <w:rPr>
          <w:color w:val="000000" w:themeColor="text1"/>
          <w:shd w:val="clear" w:color="auto" w:fill="FFFFFF"/>
        </w:rPr>
        <w:t xml:space="preserve"> </w:t>
      </w:r>
      <w:r w:rsidRPr="00A21C99" w:rsidR="00E64429">
        <w:rPr>
          <w:color w:val="000000" w:themeColor="text1"/>
          <w:shd w:val="clear" w:color="auto" w:fill="FFFFFF"/>
        </w:rPr>
        <w:t>3</w:t>
      </w:r>
      <w:r w:rsidRPr="00A21C99" w:rsidR="00571CE1">
        <w:rPr>
          <w:color w:val="000000" w:themeColor="text1"/>
          <w:shd w:val="clear" w:color="auto" w:fill="FFFFFF"/>
        </w:rPr>
        <w:t xml:space="preserve">. </w:t>
      </w:r>
    </w:p>
  </w:footnote>
  <w:footnote w:id="17">
    <w:p w:rsidR="0018671B" w:rsidRPr="00A21C99" w:rsidP="007A7AA8" w14:paraId="008AF47C" w14:textId="77777777">
      <w:pPr>
        <w:pStyle w:val="FootnoteText"/>
        <w:spacing w:after="120"/>
        <w:rPr>
          <w:i/>
          <w:iCs/>
        </w:rPr>
      </w:pPr>
      <w:r w:rsidRPr="00A37BDC">
        <w:rPr>
          <w:rStyle w:val="FootnoteReference"/>
        </w:rPr>
        <w:footnoteRef/>
      </w:r>
      <w:r w:rsidRPr="00A37BDC">
        <w:t xml:space="preserve"> </w:t>
      </w:r>
      <w:r w:rsidRPr="00A37BDC">
        <w:rPr>
          <w:i/>
          <w:iCs/>
        </w:rPr>
        <w:t>Id</w:t>
      </w:r>
      <w:r w:rsidRPr="007A7AA8" w:rsidR="00B016CB">
        <w:rPr>
          <w:i/>
          <w:iCs/>
        </w:rPr>
        <w:t>.</w:t>
      </w:r>
      <w:r w:rsidRPr="007A7AA8" w:rsidR="00571CE1">
        <w:rPr>
          <w:i/>
          <w:iCs/>
        </w:rPr>
        <w:t xml:space="preserve"> at </w:t>
      </w:r>
      <w:r w:rsidRPr="007A7AA8" w:rsidR="00571CE1">
        <w:rPr>
          <w:color w:val="000000" w:themeColor="text1"/>
          <w:shd w:val="clear" w:color="auto" w:fill="FFFFFF"/>
        </w:rPr>
        <w:t>¶</w:t>
      </w:r>
      <w:r w:rsidRPr="00A21C99" w:rsidR="00B016CB">
        <w:rPr>
          <w:color w:val="000000" w:themeColor="text1"/>
          <w:shd w:val="clear" w:color="auto" w:fill="FFFFFF"/>
        </w:rPr>
        <w:t xml:space="preserve"> </w:t>
      </w:r>
      <w:r w:rsidRPr="00A21C99" w:rsidR="00E64429">
        <w:rPr>
          <w:color w:val="000000" w:themeColor="text1"/>
          <w:shd w:val="clear" w:color="auto" w:fill="FFFFFF"/>
        </w:rPr>
        <w:t>6</w:t>
      </w:r>
      <w:r w:rsidRPr="00A21C99" w:rsidR="00571CE1">
        <w:rPr>
          <w:color w:val="000000" w:themeColor="text1"/>
          <w:shd w:val="clear" w:color="auto" w:fill="FFFFFF"/>
        </w:rPr>
        <w:t xml:space="preserve">. </w:t>
      </w:r>
    </w:p>
  </w:footnote>
  <w:footnote w:id="18">
    <w:p w:rsidR="0018671B" w:rsidRPr="00A37BDC" w:rsidP="007A7AA8" w14:paraId="008AF47D" w14:textId="77777777">
      <w:pPr>
        <w:pStyle w:val="FootnoteText"/>
        <w:spacing w:after="120"/>
      </w:pPr>
      <w:r w:rsidRPr="00A37BDC">
        <w:rPr>
          <w:rStyle w:val="FootnoteReference"/>
        </w:rPr>
        <w:footnoteRef/>
      </w:r>
      <w:r w:rsidRPr="00A37BDC">
        <w:t xml:space="preserve"> </w:t>
      </w:r>
      <w:r w:rsidRPr="00A37BDC" w:rsidR="009E2AC5">
        <w:rPr>
          <w:i/>
          <w:iCs/>
        </w:rPr>
        <w:t xml:space="preserve">In the Matter of the </w:t>
      </w:r>
      <w:r w:rsidRPr="007A7AA8" w:rsidR="009E2AC5">
        <w:rPr>
          <w:i/>
          <w:iCs/>
        </w:rPr>
        <w:t>Application of Verde Energy USA Ohio, LLC as a Competitive Retail Natural Gas Supplier</w:t>
      </w:r>
      <w:r w:rsidRPr="00A37BDC" w:rsidR="009E2AC5">
        <w:t xml:space="preserve">, </w:t>
      </w:r>
      <w:r w:rsidRPr="00A37BDC" w:rsidR="009E6E4F">
        <w:t xml:space="preserve">(“Verde”), </w:t>
      </w:r>
      <w:r w:rsidRPr="00A37BDC">
        <w:t>Case No. 13-2164-GA-CRS, Entry (March 3, 2020)</w:t>
      </w:r>
      <w:r w:rsidRPr="00A37BDC" w:rsidR="00FE1A18">
        <w:t xml:space="preserve">; </w:t>
      </w:r>
      <w:r w:rsidRPr="00A37BDC" w:rsidR="00FE1A18">
        <w:rPr>
          <w:i/>
          <w:iCs/>
        </w:rPr>
        <w:t>see also In the Matter of Verde Energy USA Ohio, LLC for Certification as a Competitive Retail Energy Supplier</w:t>
      </w:r>
      <w:r w:rsidRPr="00A37BDC" w:rsidR="00FE1A18">
        <w:t>, Case No. 11-5886-EL-CRS</w:t>
      </w:r>
      <w:r w:rsidRPr="00A37BDC" w:rsidR="00277057">
        <w:t>.</w:t>
      </w:r>
    </w:p>
  </w:footnote>
  <w:footnote w:id="19">
    <w:p w:rsidR="00F65E9B" w:rsidRPr="007A7AA8" w:rsidP="007A7AA8" w14:paraId="4956BE0A" w14:textId="1BB6697C">
      <w:pPr>
        <w:pStyle w:val="FootnoteText"/>
        <w:spacing w:after="120"/>
      </w:pPr>
      <w:r w:rsidRPr="00A37BDC">
        <w:rPr>
          <w:rStyle w:val="FootnoteReference"/>
        </w:rPr>
        <w:footnoteRef/>
      </w:r>
      <w:r w:rsidRPr="00A37BDC">
        <w:t xml:space="preserve"> Case No. 22-267-GE-COI, Entry (April 20, 2022), ¶ 8.</w:t>
      </w:r>
    </w:p>
  </w:footnote>
  <w:footnote w:id="20">
    <w:p w:rsidR="00CE012B" w:rsidRPr="00A37BDC" w:rsidP="003978C2" w14:paraId="008AF47E" w14:textId="50BADD92">
      <w:pPr>
        <w:pStyle w:val="FootnoteText"/>
        <w:spacing w:after="120"/>
      </w:pPr>
      <w:r w:rsidRPr="00A37BDC">
        <w:rPr>
          <w:rStyle w:val="FootnoteReference"/>
        </w:rPr>
        <w:footnoteRef/>
      </w:r>
      <w:r w:rsidRPr="00A37BDC">
        <w:t xml:space="preserve"> </w:t>
      </w:r>
      <w:r w:rsidRPr="00A37BDC" w:rsidR="00B52565">
        <w:t>XOOM</w:t>
      </w:r>
      <w:r w:rsidRPr="007A7AA8">
        <w:t xml:space="preserve"> Memo. Contr</w:t>
      </w:r>
      <w:r w:rsidRPr="007A7AA8" w:rsidR="00206F5F">
        <w:t xml:space="preserve">a, at </w:t>
      </w:r>
      <w:r w:rsidRPr="003978C2" w:rsidR="00B52565">
        <w:t>6</w:t>
      </w:r>
      <w:r w:rsidRPr="00A37BDC" w:rsidR="00206F5F">
        <w:t xml:space="preserve">. </w:t>
      </w:r>
    </w:p>
  </w:footnote>
  <w:footnote w:id="21">
    <w:p w:rsidR="00206F5F" w:rsidRPr="00A37BDC" w14:paraId="008AF47F" w14:textId="59A79325">
      <w:pPr>
        <w:pStyle w:val="FootnoteText"/>
        <w:spacing w:after="120"/>
      </w:pPr>
      <w:r w:rsidRPr="00A37BDC">
        <w:rPr>
          <w:rStyle w:val="FootnoteReference"/>
        </w:rPr>
        <w:footnoteRef/>
      </w:r>
      <w:r w:rsidRPr="00A37BDC">
        <w:t xml:space="preserve"> </w:t>
      </w:r>
      <w:r w:rsidRPr="00A37BDC" w:rsidR="009D2D33">
        <w:t>XOOM</w:t>
      </w:r>
      <w:r w:rsidRPr="007A7AA8">
        <w:t xml:space="preserve"> Memo. Contra, at </w:t>
      </w:r>
      <w:r w:rsidRPr="003978C2" w:rsidR="009D2D33">
        <w:t>3</w:t>
      </w:r>
      <w:r w:rsidRPr="00A37BDC">
        <w:t>.</w:t>
      </w:r>
    </w:p>
  </w:footnote>
  <w:footnote w:id="22">
    <w:p w:rsidR="003D5409" w:rsidRPr="003978C2" w14:paraId="008AF480" w14:textId="77777777">
      <w:pPr>
        <w:pStyle w:val="FootnoteText"/>
        <w:spacing w:after="120"/>
      </w:pPr>
      <w:r w:rsidRPr="00A37BDC">
        <w:rPr>
          <w:rStyle w:val="FootnoteReference"/>
        </w:rPr>
        <w:footnoteRef/>
      </w:r>
      <w:r w:rsidRPr="00A37BDC">
        <w:t xml:space="preserve"> </w:t>
      </w:r>
      <w:r w:rsidRPr="00A37BDC">
        <w:rPr>
          <w:i/>
        </w:rPr>
        <w:t>Ohio Consumers’ Counsel v. Pub. Util. Comm</w:t>
      </w:r>
      <w:r w:rsidRPr="007A7AA8">
        <w:t xml:space="preserve">., 111 Ohio St.3d 384, 388 (2006) (emphasis added). </w:t>
      </w:r>
    </w:p>
  </w:footnote>
  <w:footnote w:id="23">
    <w:p w:rsidR="003D5409" w:rsidRPr="00A37BDC" w14:paraId="008AF481" w14:textId="760E6A1E">
      <w:pPr>
        <w:pStyle w:val="FootnoteText"/>
        <w:spacing w:after="120"/>
        <w:rPr>
          <w:iCs/>
        </w:rPr>
      </w:pPr>
      <w:r w:rsidRPr="00A37BDC">
        <w:rPr>
          <w:rStyle w:val="FootnoteReference"/>
        </w:rPr>
        <w:footnoteRef/>
      </w:r>
      <w:r w:rsidRPr="00A37BDC">
        <w:t xml:space="preserve"> </w:t>
      </w:r>
      <w:r w:rsidRPr="00A37BDC">
        <w:rPr>
          <w:i/>
        </w:rPr>
        <w:t>Id</w:t>
      </w:r>
      <w:r w:rsidRPr="007A7AA8">
        <w:t>.</w:t>
      </w:r>
      <w:r w:rsidRPr="003978C2">
        <w:rPr>
          <w:iCs/>
        </w:rPr>
        <w:t xml:space="preserve"> </w:t>
      </w:r>
      <w:r w:rsidRPr="00A37BDC" w:rsidR="008D6C0D">
        <w:rPr>
          <w:iCs/>
        </w:rPr>
        <w:t>XOOM</w:t>
      </w:r>
      <w:r w:rsidRPr="00A37BDC">
        <w:rPr>
          <w:iCs/>
        </w:rPr>
        <w:t xml:space="preserve"> claims that OCC’s intervention would unduly prolong and delay the proceedings in this case. Below, OCC explains why </w:t>
      </w:r>
      <w:r w:rsidRPr="00A37BDC" w:rsidR="008D6C0D">
        <w:rPr>
          <w:iCs/>
        </w:rPr>
        <w:t>XOOM’s</w:t>
      </w:r>
      <w:r w:rsidRPr="00A37BDC">
        <w:rPr>
          <w:iCs/>
        </w:rPr>
        <w:t xml:space="preserve"> argument should be rejected. </w:t>
      </w:r>
    </w:p>
  </w:footnote>
  <w:footnote w:id="24">
    <w:p w:rsidR="0020557E" w:rsidRPr="00A37BDC" w14:paraId="258B799E" w14:textId="414A5168">
      <w:pPr>
        <w:pStyle w:val="FootnoteText"/>
        <w:spacing w:after="120"/>
      </w:pPr>
      <w:r w:rsidRPr="00A37BDC">
        <w:rPr>
          <w:rStyle w:val="FootnoteReference"/>
        </w:rPr>
        <w:footnoteRef/>
      </w:r>
      <w:r w:rsidRPr="00A37BDC">
        <w:t xml:space="preserve"> Case No. 22-267-GE-COI, Entry </w:t>
      </w:r>
      <w:r w:rsidRPr="00A37BDC" w:rsidR="00EC7944">
        <w:t>(</w:t>
      </w:r>
      <w:r w:rsidRPr="007A7AA8" w:rsidR="00D30D9E">
        <w:t xml:space="preserve">April </w:t>
      </w:r>
      <w:r w:rsidRPr="003978C2" w:rsidR="00D30D9E">
        <w:t xml:space="preserve">20, 2022) </w:t>
      </w:r>
      <w:r w:rsidRPr="00A37BDC" w:rsidR="00EC7944">
        <w:t>at 4.</w:t>
      </w:r>
    </w:p>
  </w:footnote>
  <w:footnote w:id="25">
    <w:p w:rsidR="00D30D9E" w:rsidRPr="00A37BDC" w14:paraId="01424B40" w14:textId="77777777">
      <w:pPr>
        <w:pStyle w:val="FootnoteText"/>
        <w:spacing w:after="120"/>
      </w:pPr>
      <w:r w:rsidRPr="00A37BDC">
        <w:rPr>
          <w:rStyle w:val="FootnoteReference"/>
        </w:rPr>
        <w:footnoteRef/>
      </w:r>
      <w:r w:rsidRPr="00A37BDC">
        <w:t xml:space="preserve"> Case No. 22-267-GE-COI, Staff</w:t>
      </w:r>
      <w:r w:rsidRPr="007A7AA8">
        <w:t xml:space="preserve"> Letter, </w:t>
      </w:r>
      <w:r w:rsidRPr="003978C2">
        <w:t xml:space="preserve">Attachment A, </w:t>
      </w:r>
      <w:r w:rsidRPr="00A37BDC">
        <w:t>at 1-2.</w:t>
      </w:r>
    </w:p>
  </w:footnote>
  <w:footnote w:id="26">
    <w:p w:rsidR="00206F5F" w:rsidRPr="00A37BDC" w14:paraId="008AF484" w14:textId="728EAE92">
      <w:pPr>
        <w:pStyle w:val="FootnoteText"/>
        <w:spacing w:after="120"/>
      </w:pPr>
      <w:r w:rsidRPr="00A37BDC">
        <w:rPr>
          <w:rStyle w:val="FootnoteReference"/>
        </w:rPr>
        <w:footnoteRef/>
      </w:r>
      <w:r w:rsidRPr="00A37BDC">
        <w:t xml:space="preserve"> </w:t>
      </w:r>
      <w:r w:rsidRPr="00A37BDC" w:rsidR="004D3F33">
        <w:t>XOOM</w:t>
      </w:r>
      <w:r w:rsidRPr="007A7AA8">
        <w:t xml:space="preserve"> Memo. Contra at </w:t>
      </w:r>
      <w:r w:rsidRPr="003978C2" w:rsidR="004D3F33">
        <w:t>6</w:t>
      </w:r>
      <w:r w:rsidRPr="00A37BDC">
        <w:t>.</w:t>
      </w:r>
    </w:p>
  </w:footnote>
  <w:footnote w:id="27">
    <w:p w:rsidR="00206F5F" w:rsidRPr="007A7AA8" w14:paraId="008AF485" w14:textId="77777777">
      <w:pPr>
        <w:pStyle w:val="FootnoteText"/>
        <w:spacing w:after="120"/>
        <w:rPr>
          <w:i/>
          <w:iCs/>
        </w:rPr>
      </w:pPr>
      <w:r w:rsidRPr="00A37BDC">
        <w:rPr>
          <w:rStyle w:val="FootnoteReference"/>
        </w:rPr>
        <w:footnoteRef/>
      </w:r>
      <w:r w:rsidRPr="00A37BDC">
        <w:t xml:space="preserve"> </w:t>
      </w:r>
      <w:r w:rsidRPr="00A37BDC">
        <w:rPr>
          <w:i/>
          <w:iCs/>
        </w:rPr>
        <w:t xml:space="preserve">Id. </w:t>
      </w:r>
    </w:p>
  </w:footnote>
  <w:footnote w:id="28">
    <w:p w:rsidR="00206F5F" w:rsidRPr="00A37BDC" w14:paraId="008AF486" w14:textId="3F2011C9">
      <w:pPr>
        <w:pStyle w:val="FootnoteText"/>
        <w:spacing w:after="120"/>
      </w:pPr>
      <w:r w:rsidRPr="00A37BDC">
        <w:rPr>
          <w:rStyle w:val="FootnoteReference"/>
        </w:rPr>
        <w:footnoteRef/>
      </w:r>
      <w:r w:rsidRPr="00A37BDC">
        <w:t xml:space="preserve"> </w:t>
      </w:r>
      <w:r w:rsidRPr="00A37BDC" w:rsidR="00782EEE">
        <w:t>XOOM</w:t>
      </w:r>
      <w:r w:rsidRPr="007A7AA8">
        <w:t xml:space="preserve"> Memo. Contra at </w:t>
      </w:r>
      <w:r w:rsidRPr="003978C2" w:rsidR="00782EEE">
        <w:t>9</w:t>
      </w:r>
      <w:r w:rsidRPr="00A37BDC">
        <w:t xml:space="preserve">. </w:t>
      </w:r>
    </w:p>
  </w:footnote>
  <w:footnote w:id="29">
    <w:p w:rsidR="005419F8" w:rsidRPr="007A7AA8" w14:paraId="6C027D74" w14:textId="381AA30C">
      <w:pPr>
        <w:pStyle w:val="FootnoteText"/>
        <w:spacing w:after="120"/>
      </w:pPr>
      <w:r w:rsidRPr="00A37BDC">
        <w:rPr>
          <w:rStyle w:val="FootnoteReference"/>
        </w:rPr>
        <w:footnoteRef/>
      </w:r>
      <w:r w:rsidRPr="00A37BDC">
        <w:t xml:space="preserve"> </w:t>
      </w:r>
      <w:r w:rsidRPr="00A37BDC" w:rsidR="00E87177">
        <w:t>XOOM Memo. Contra at 8.</w:t>
      </w:r>
    </w:p>
  </w:footnote>
  <w:footnote w:id="30">
    <w:p w:rsidR="00C267B8" w:rsidRPr="00C72A88" w:rsidP="00C72A88" w14:paraId="67B82AA7" w14:textId="33A50B57">
      <w:pPr>
        <w:pStyle w:val="FootnoteText"/>
        <w:spacing w:after="120"/>
        <w:rPr>
          <w:i/>
          <w:iCs/>
        </w:rPr>
      </w:pPr>
      <w:r w:rsidRPr="00A37BDC">
        <w:rPr>
          <w:rStyle w:val="FootnoteReference"/>
        </w:rPr>
        <w:footnoteRef/>
      </w:r>
      <w:r w:rsidRPr="00A37BDC">
        <w:t xml:space="preserve"> </w:t>
      </w:r>
      <w:r w:rsidRPr="00A37BDC">
        <w:rPr>
          <w:i/>
          <w:iCs/>
        </w:rPr>
        <w:t>See FirstE</w:t>
      </w:r>
      <w:r w:rsidRPr="007A7AA8">
        <w:rPr>
          <w:i/>
          <w:iCs/>
        </w:rPr>
        <w:t>nergy Advisors</w:t>
      </w:r>
      <w:r w:rsidRPr="003978C2" w:rsidR="004D622D">
        <w:rPr>
          <w:i/>
          <w:iCs/>
        </w:rPr>
        <w:t>.</w:t>
      </w:r>
    </w:p>
  </w:footnote>
  <w:footnote w:id="31">
    <w:p w:rsidR="00F328C1" w:rsidRPr="00A37BDC" w:rsidP="007A7AA8" w14:paraId="136AC5AD" w14:textId="77777777">
      <w:pPr>
        <w:pStyle w:val="FootnoteText"/>
        <w:spacing w:after="120"/>
      </w:pPr>
      <w:r w:rsidRPr="00A37BDC">
        <w:rPr>
          <w:rStyle w:val="FootnoteReference"/>
        </w:rPr>
        <w:footnoteRef/>
      </w:r>
      <w:r w:rsidRPr="00A37BDC">
        <w:t xml:space="preserve"> R.C. 4911.02(B)(2)(c).</w:t>
      </w:r>
    </w:p>
  </w:footnote>
  <w:footnote w:id="32">
    <w:p w:rsidR="00F328C1" w:rsidRPr="00A37BDC" w:rsidP="003978C2" w14:paraId="022E4449" w14:textId="569FDEE4">
      <w:pPr>
        <w:pStyle w:val="FootnoteText"/>
        <w:spacing w:after="120"/>
      </w:pPr>
      <w:r w:rsidRPr="00A37BDC">
        <w:rPr>
          <w:rStyle w:val="FootnoteReference"/>
        </w:rPr>
        <w:footnoteRef/>
      </w:r>
      <w:r w:rsidRPr="00A37BDC">
        <w:t xml:space="preserve"> </w:t>
      </w:r>
      <w:r w:rsidRPr="00A37BDC">
        <w:rPr>
          <w:i/>
        </w:rPr>
        <w:t>See</w:t>
      </w:r>
      <w:r w:rsidRPr="007A7AA8">
        <w:t xml:space="preserve"> </w:t>
      </w:r>
      <w:r w:rsidRPr="003978C2" w:rsidR="00B04571">
        <w:t>XOOM</w:t>
      </w:r>
      <w:r w:rsidRPr="00A37BDC">
        <w:t xml:space="preserve"> Memo</w:t>
      </w:r>
      <w:r w:rsidRPr="00A37BDC" w:rsidR="00B04571">
        <w:t>.</w:t>
      </w:r>
      <w:r w:rsidRPr="00A37BDC">
        <w:t xml:space="preserve"> Contra at </w:t>
      </w:r>
      <w:r w:rsidRPr="00A37BDC" w:rsidR="00A5419C">
        <w:t>8</w:t>
      </w:r>
      <w:r w:rsidRPr="00A37BDC">
        <w:t xml:space="preserve"> (“</w:t>
      </w:r>
      <w:r w:rsidRPr="00A37BDC" w:rsidR="00AE01FF">
        <w:t>…any interest OCC has is adequately represented by the Staff.</w:t>
      </w:r>
      <w:r w:rsidRPr="00A37BD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A3595C"/>
    <w:multiLevelType w:val="hybridMultilevel"/>
    <w:tmpl w:val="5CDCBFC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7C43C51"/>
    <w:multiLevelType w:val="hybridMultilevel"/>
    <w:tmpl w:val="C8805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66D2609A"/>
    <w:multiLevelType w:val="multilevel"/>
    <w:tmpl w:val="576AE38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b/>
        <w:b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697C165C"/>
    <w:multiLevelType w:val="hybridMultilevel"/>
    <w:tmpl w:val="A9862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2F6D24"/>
    <w:multiLevelType w:val="hybridMultilevel"/>
    <w:tmpl w:val="837A574E"/>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A1"/>
    <w:rsid w:val="000169BA"/>
    <w:rsid w:val="00020587"/>
    <w:rsid w:val="0002351D"/>
    <w:rsid w:val="00037301"/>
    <w:rsid w:val="0005727D"/>
    <w:rsid w:val="00066CE3"/>
    <w:rsid w:val="00073FF5"/>
    <w:rsid w:val="00076B8A"/>
    <w:rsid w:val="00081586"/>
    <w:rsid w:val="0008209C"/>
    <w:rsid w:val="000A6C05"/>
    <w:rsid w:val="000C43F1"/>
    <w:rsid w:val="000C504E"/>
    <w:rsid w:val="000D3E18"/>
    <w:rsid w:val="000D6D55"/>
    <w:rsid w:val="000D7B34"/>
    <w:rsid w:val="000E1E3C"/>
    <w:rsid w:val="00104296"/>
    <w:rsid w:val="001046D0"/>
    <w:rsid w:val="00106674"/>
    <w:rsid w:val="00107276"/>
    <w:rsid w:val="00121154"/>
    <w:rsid w:val="001224BE"/>
    <w:rsid w:val="001246C9"/>
    <w:rsid w:val="001248EB"/>
    <w:rsid w:val="00135590"/>
    <w:rsid w:val="0014195A"/>
    <w:rsid w:val="00145101"/>
    <w:rsid w:val="0016576F"/>
    <w:rsid w:val="00165EDD"/>
    <w:rsid w:val="00173D90"/>
    <w:rsid w:val="00175299"/>
    <w:rsid w:val="00177EA1"/>
    <w:rsid w:val="0018456D"/>
    <w:rsid w:val="00185770"/>
    <w:rsid w:val="0018671B"/>
    <w:rsid w:val="001A136A"/>
    <w:rsid w:val="001A2F74"/>
    <w:rsid w:val="001A51A2"/>
    <w:rsid w:val="001B2957"/>
    <w:rsid w:val="001B774D"/>
    <w:rsid w:val="001C2FFD"/>
    <w:rsid w:val="001D1D03"/>
    <w:rsid w:val="001E3730"/>
    <w:rsid w:val="001E63AB"/>
    <w:rsid w:val="001F1767"/>
    <w:rsid w:val="001F2DAA"/>
    <w:rsid w:val="001F4873"/>
    <w:rsid w:val="0020557E"/>
    <w:rsid w:val="00206F5F"/>
    <w:rsid w:val="00210167"/>
    <w:rsid w:val="002116E0"/>
    <w:rsid w:val="00213665"/>
    <w:rsid w:val="0022130E"/>
    <w:rsid w:val="00234633"/>
    <w:rsid w:val="00236EFC"/>
    <w:rsid w:val="00241BE4"/>
    <w:rsid w:val="00244068"/>
    <w:rsid w:val="0026108C"/>
    <w:rsid w:val="00267386"/>
    <w:rsid w:val="002747B5"/>
    <w:rsid w:val="00277057"/>
    <w:rsid w:val="0028219A"/>
    <w:rsid w:val="00295015"/>
    <w:rsid w:val="002B24D3"/>
    <w:rsid w:val="002C431E"/>
    <w:rsid w:val="002E770A"/>
    <w:rsid w:val="002F57A5"/>
    <w:rsid w:val="00303102"/>
    <w:rsid w:val="0030369F"/>
    <w:rsid w:val="00303723"/>
    <w:rsid w:val="003130DA"/>
    <w:rsid w:val="00317FAD"/>
    <w:rsid w:val="00337CB7"/>
    <w:rsid w:val="003561D4"/>
    <w:rsid w:val="0036317B"/>
    <w:rsid w:val="00370F06"/>
    <w:rsid w:val="003731C1"/>
    <w:rsid w:val="00373DFE"/>
    <w:rsid w:val="00380E3D"/>
    <w:rsid w:val="00386DA3"/>
    <w:rsid w:val="003978C2"/>
    <w:rsid w:val="003A01D9"/>
    <w:rsid w:val="003A565E"/>
    <w:rsid w:val="003A670A"/>
    <w:rsid w:val="003B127C"/>
    <w:rsid w:val="003B2E46"/>
    <w:rsid w:val="003B3579"/>
    <w:rsid w:val="003D1ECE"/>
    <w:rsid w:val="003D2B76"/>
    <w:rsid w:val="003D5409"/>
    <w:rsid w:val="003D7A0C"/>
    <w:rsid w:val="003E0E94"/>
    <w:rsid w:val="003E46F1"/>
    <w:rsid w:val="003F1006"/>
    <w:rsid w:val="003F34BF"/>
    <w:rsid w:val="003F7E0B"/>
    <w:rsid w:val="00402029"/>
    <w:rsid w:val="00403385"/>
    <w:rsid w:val="0040347D"/>
    <w:rsid w:val="0040431E"/>
    <w:rsid w:val="00426E5E"/>
    <w:rsid w:val="00427657"/>
    <w:rsid w:val="00431327"/>
    <w:rsid w:val="00433573"/>
    <w:rsid w:val="00436A17"/>
    <w:rsid w:val="00442C6F"/>
    <w:rsid w:val="00442E2F"/>
    <w:rsid w:val="00450D03"/>
    <w:rsid w:val="004636FF"/>
    <w:rsid w:val="00465766"/>
    <w:rsid w:val="00467DE8"/>
    <w:rsid w:val="00472440"/>
    <w:rsid w:val="0047275E"/>
    <w:rsid w:val="0047659D"/>
    <w:rsid w:val="00477A93"/>
    <w:rsid w:val="004823AE"/>
    <w:rsid w:val="0048637D"/>
    <w:rsid w:val="004A4AF0"/>
    <w:rsid w:val="004A779B"/>
    <w:rsid w:val="004B3263"/>
    <w:rsid w:val="004B3475"/>
    <w:rsid w:val="004B3ACC"/>
    <w:rsid w:val="004C48FE"/>
    <w:rsid w:val="004C5D46"/>
    <w:rsid w:val="004D3F33"/>
    <w:rsid w:val="004D622D"/>
    <w:rsid w:val="004E1E6B"/>
    <w:rsid w:val="004E6767"/>
    <w:rsid w:val="004F147E"/>
    <w:rsid w:val="004F33F7"/>
    <w:rsid w:val="004F5F1A"/>
    <w:rsid w:val="0050020F"/>
    <w:rsid w:val="0050135C"/>
    <w:rsid w:val="00503CDF"/>
    <w:rsid w:val="00513106"/>
    <w:rsid w:val="005147B9"/>
    <w:rsid w:val="00522A54"/>
    <w:rsid w:val="00540ADA"/>
    <w:rsid w:val="00541619"/>
    <w:rsid w:val="005419F8"/>
    <w:rsid w:val="00541B41"/>
    <w:rsid w:val="0054414E"/>
    <w:rsid w:val="005518FC"/>
    <w:rsid w:val="005662D5"/>
    <w:rsid w:val="00571CE1"/>
    <w:rsid w:val="005724B0"/>
    <w:rsid w:val="005959BA"/>
    <w:rsid w:val="005A2E94"/>
    <w:rsid w:val="005A4894"/>
    <w:rsid w:val="005B3986"/>
    <w:rsid w:val="005B422A"/>
    <w:rsid w:val="005B6F0C"/>
    <w:rsid w:val="005C1843"/>
    <w:rsid w:val="005C4A16"/>
    <w:rsid w:val="005D70B6"/>
    <w:rsid w:val="005E065E"/>
    <w:rsid w:val="005F46B2"/>
    <w:rsid w:val="005F49A1"/>
    <w:rsid w:val="00602D55"/>
    <w:rsid w:val="006046FB"/>
    <w:rsid w:val="0060472E"/>
    <w:rsid w:val="00610B6A"/>
    <w:rsid w:val="00613074"/>
    <w:rsid w:val="00613762"/>
    <w:rsid w:val="006350CD"/>
    <w:rsid w:val="006355E6"/>
    <w:rsid w:val="00663923"/>
    <w:rsid w:val="00664C80"/>
    <w:rsid w:val="00680515"/>
    <w:rsid w:val="00680FF4"/>
    <w:rsid w:val="00685BF6"/>
    <w:rsid w:val="006A2923"/>
    <w:rsid w:val="006A337F"/>
    <w:rsid w:val="006A61A4"/>
    <w:rsid w:val="006A738B"/>
    <w:rsid w:val="006B34E5"/>
    <w:rsid w:val="006C0815"/>
    <w:rsid w:val="006C3846"/>
    <w:rsid w:val="006C3FCE"/>
    <w:rsid w:val="006C4625"/>
    <w:rsid w:val="006C5BCE"/>
    <w:rsid w:val="006D1BB1"/>
    <w:rsid w:val="006E0C9D"/>
    <w:rsid w:val="006E53A8"/>
    <w:rsid w:val="006F7F14"/>
    <w:rsid w:val="00704474"/>
    <w:rsid w:val="0070632A"/>
    <w:rsid w:val="00707D0E"/>
    <w:rsid w:val="00711827"/>
    <w:rsid w:val="00722E73"/>
    <w:rsid w:val="0072526D"/>
    <w:rsid w:val="00727716"/>
    <w:rsid w:val="007311B4"/>
    <w:rsid w:val="007322D5"/>
    <w:rsid w:val="00745556"/>
    <w:rsid w:val="0074597E"/>
    <w:rsid w:val="00746B72"/>
    <w:rsid w:val="00752F09"/>
    <w:rsid w:val="007635B4"/>
    <w:rsid w:val="00782EEE"/>
    <w:rsid w:val="00792BA3"/>
    <w:rsid w:val="007932AB"/>
    <w:rsid w:val="00794E0C"/>
    <w:rsid w:val="007A05C3"/>
    <w:rsid w:val="007A5F86"/>
    <w:rsid w:val="007A7AA8"/>
    <w:rsid w:val="007B4930"/>
    <w:rsid w:val="007B7E76"/>
    <w:rsid w:val="0080650B"/>
    <w:rsid w:val="0081284D"/>
    <w:rsid w:val="00832261"/>
    <w:rsid w:val="008346AC"/>
    <w:rsid w:val="00835146"/>
    <w:rsid w:val="008624A3"/>
    <w:rsid w:val="008629C7"/>
    <w:rsid w:val="00874BB0"/>
    <w:rsid w:val="0087550F"/>
    <w:rsid w:val="008913F4"/>
    <w:rsid w:val="008C6DE0"/>
    <w:rsid w:val="008D1B28"/>
    <w:rsid w:val="008D3D28"/>
    <w:rsid w:val="008D6C0D"/>
    <w:rsid w:val="008D7E6D"/>
    <w:rsid w:val="008E7A3D"/>
    <w:rsid w:val="008E7F3C"/>
    <w:rsid w:val="008F4E77"/>
    <w:rsid w:val="00903E82"/>
    <w:rsid w:val="00904C2B"/>
    <w:rsid w:val="009065EA"/>
    <w:rsid w:val="0091042E"/>
    <w:rsid w:val="0091452F"/>
    <w:rsid w:val="00917B11"/>
    <w:rsid w:val="00923E0B"/>
    <w:rsid w:val="0092694E"/>
    <w:rsid w:val="00937C92"/>
    <w:rsid w:val="00942D26"/>
    <w:rsid w:val="00946566"/>
    <w:rsid w:val="00964208"/>
    <w:rsid w:val="009670F0"/>
    <w:rsid w:val="009720A7"/>
    <w:rsid w:val="009820AC"/>
    <w:rsid w:val="00986767"/>
    <w:rsid w:val="00992BE3"/>
    <w:rsid w:val="0099751A"/>
    <w:rsid w:val="009A5B33"/>
    <w:rsid w:val="009B05DC"/>
    <w:rsid w:val="009B25BE"/>
    <w:rsid w:val="009B2B55"/>
    <w:rsid w:val="009B5E1A"/>
    <w:rsid w:val="009C3282"/>
    <w:rsid w:val="009C6954"/>
    <w:rsid w:val="009C7FEC"/>
    <w:rsid w:val="009D2D33"/>
    <w:rsid w:val="009D31A3"/>
    <w:rsid w:val="009D552C"/>
    <w:rsid w:val="009E1498"/>
    <w:rsid w:val="009E2AC5"/>
    <w:rsid w:val="009E6E4F"/>
    <w:rsid w:val="009E72FB"/>
    <w:rsid w:val="009E7A13"/>
    <w:rsid w:val="009F4D7C"/>
    <w:rsid w:val="00A00595"/>
    <w:rsid w:val="00A06221"/>
    <w:rsid w:val="00A1585C"/>
    <w:rsid w:val="00A21C99"/>
    <w:rsid w:val="00A221AE"/>
    <w:rsid w:val="00A2621D"/>
    <w:rsid w:val="00A32888"/>
    <w:rsid w:val="00A37BDC"/>
    <w:rsid w:val="00A37D4E"/>
    <w:rsid w:val="00A51AF4"/>
    <w:rsid w:val="00A53BF1"/>
    <w:rsid w:val="00A5419C"/>
    <w:rsid w:val="00A5631E"/>
    <w:rsid w:val="00A60344"/>
    <w:rsid w:val="00A63CFA"/>
    <w:rsid w:val="00A6473C"/>
    <w:rsid w:val="00A7264B"/>
    <w:rsid w:val="00A86B54"/>
    <w:rsid w:val="00A908CF"/>
    <w:rsid w:val="00A951D9"/>
    <w:rsid w:val="00A95AAF"/>
    <w:rsid w:val="00AA0B78"/>
    <w:rsid w:val="00AA1848"/>
    <w:rsid w:val="00AB5130"/>
    <w:rsid w:val="00AC6360"/>
    <w:rsid w:val="00AE01FF"/>
    <w:rsid w:val="00AE0A20"/>
    <w:rsid w:val="00AE1FC1"/>
    <w:rsid w:val="00B00919"/>
    <w:rsid w:val="00B0118B"/>
    <w:rsid w:val="00B016CB"/>
    <w:rsid w:val="00B01B9A"/>
    <w:rsid w:val="00B02AE2"/>
    <w:rsid w:val="00B04571"/>
    <w:rsid w:val="00B06C14"/>
    <w:rsid w:val="00B123F0"/>
    <w:rsid w:val="00B12D0B"/>
    <w:rsid w:val="00B22C63"/>
    <w:rsid w:val="00B24A5F"/>
    <w:rsid w:val="00B32D80"/>
    <w:rsid w:val="00B35098"/>
    <w:rsid w:val="00B3622B"/>
    <w:rsid w:val="00B37C92"/>
    <w:rsid w:val="00B41A77"/>
    <w:rsid w:val="00B52565"/>
    <w:rsid w:val="00B53F21"/>
    <w:rsid w:val="00B606AF"/>
    <w:rsid w:val="00B61640"/>
    <w:rsid w:val="00B650E3"/>
    <w:rsid w:val="00B66934"/>
    <w:rsid w:val="00B806B6"/>
    <w:rsid w:val="00B80F40"/>
    <w:rsid w:val="00B80FFC"/>
    <w:rsid w:val="00B82926"/>
    <w:rsid w:val="00B829E1"/>
    <w:rsid w:val="00B853EF"/>
    <w:rsid w:val="00B87C44"/>
    <w:rsid w:val="00B95013"/>
    <w:rsid w:val="00B96ACA"/>
    <w:rsid w:val="00BA4C50"/>
    <w:rsid w:val="00BA52D9"/>
    <w:rsid w:val="00BB0517"/>
    <w:rsid w:val="00BB2071"/>
    <w:rsid w:val="00BC2F0E"/>
    <w:rsid w:val="00BE5DDC"/>
    <w:rsid w:val="00BE642E"/>
    <w:rsid w:val="00BF022C"/>
    <w:rsid w:val="00BF1DFC"/>
    <w:rsid w:val="00BF21FC"/>
    <w:rsid w:val="00C04EB6"/>
    <w:rsid w:val="00C05AFA"/>
    <w:rsid w:val="00C071CA"/>
    <w:rsid w:val="00C12330"/>
    <w:rsid w:val="00C12AD6"/>
    <w:rsid w:val="00C23215"/>
    <w:rsid w:val="00C2636A"/>
    <w:rsid w:val="00C267B8"/>
    <w:rsid w:val="00C46846"/>
    <w:rsid w:val="00C4786C"/>
    <w:rsid w:val="00C50042"/>
    <w:rsid w:val="00C510FD"/>
    <w:rsid w:val="00C5131F"/>
    <w:rsid w:val="00C56437"/>
    <w:rsid w:val="00C64DD7"/>
    <w:rsid w:val="00C678D1"/>
    <w:rsid w:val="00C72A88"/>
    <w:rsid w:val="00C733D7"/>
    <w:rsid w:val="00CA0B50"/>
    <w:rsid w:val="00CA35A2"/>
    <w:rsid w:val="00CB4DFB"/>
    <w:rsid w:val="00CD0FE3"/>
    <w:rsid w:val="00CE012B"/>
    <w:rsid w:val="00CE25AB"/>
    <w:rsid w:val="00CF3173"/>
    <w:rsid w:val="00D01E84"/>
    <w:rsid w:val="00D13342"/>
    <w:rsid w:val="00D23DA1"/>
    <w:rsid w:val="00D2421E"/>
    <w:rsid w:val="00D30D9E"/>
    <w:rsid w:val="00D31961"/>
    <w:rsid w:val="00D359A6"/>
    <w:rsid w:val="00D46C60"/>
    <w:rsid w:val="00D50F50"/>
    <w:rsid w:val="00D5121B"/>
    <w:rsid w:val="00D53B9E"/>
    <w:rsid w:val="00D5621C"/>
    <w:rsid w:val="00D93C57"/>
    <w:rsid w:val="00D959B0"/>
    <w:rsid w:val="00DA0C24"/>
    <w:rsid w:val="00DA2B1E"/>
    <w:rsid w:val="00DB3B51"/>
    <w:rsid w:val="00DC0125"/>
    <w:rsid w:val="00DC4D9A"/>
    <w:rsid w:val="00DC7AC4"/>
    <w:rsid w:val="00DD40F4"/>
    <w:rsid w:val="00DE3D28"/>
    <w:rsid w:val="00DF2B2D"/>
    <w:rsid w:val="00DF37A1"/>
    <w:rsid w:val="00E074B7"/>
    <w:rsid w:val="00E216FA"/>
    <w:rsid w:val="00E236FC"/>
    <w:rsid w:val="00E4247E"/>
    <w:rsid w:val="00E43F37"/>
    <w:rsid w:val="00E4637D"/>
    <w:rsid w:val="00E5780A"/>
    <w:rsid w:val="00E612DB"/>
    <w:rsid w:val="00E62B89"/>
    <w:rsid w:val="00E63D24"/>
    <w:rsid w:val="00E64429"/>
    <w:rsid w:val="00E64EE5"/>
    <w:rsid w:val="00E67022"/>
    <w:rsid w:val="00E7167E"/>
    <w:rsid w:val="00E754F4"/>
    <w:rsid w:val="00E81312"/>
    <w:rsid w:val="00E85092"/>
    <w:rsid w:val="00E87177"/>
    <w:rsid w:val="00E907D1"/>
    <w:rsid w:val="00E9247C"/>
    <w:rsid w:val="00E94F6A"/>
    <w:rsid w:val="00E95FB2"/>
    <w:rsid w:val="00EA0F1F"/>
    <w:rsid w:val="00EA593B"/>
    <w:rsid w:val="00EB0F68"/>
    <w:rsid w:val="00EB7F92"/>
    <w:rsid w:val="00EC2568"/>
    <w:rsid w:val="00EC4083"/>
    <w:rsid w:val="00EC6D89"/>
    <w:rsid w:val="00EC7944"/>
    <w:rsid w:val="00ED24CA"/>
    <w:rsid w:val="00ED385C"/>
    <w:rsid w:val="00EE1819"/>
    <w:rsid w:val="00EE1D6B"/>
    <w:rsid w:val="00EF6EAC"/>
    <w:rsid w:val="00F06060"/>
    <w:rsid w:val="00F07D06"/>
    <w:rsid w:val="00F21496"/>
    <w:rsid w:val="00F24745"/>
    <w:rsid w:val="00F2698E"/>
    <w:rsid w:val="00F306A8"/>
    <w:rsid w:val="00F328C1"/>
    <w:rsid w:val="00F42C78"/>
    <w:rsid w:val="00F45936"/>
    <w:rsid w:val="00F65E9B"/>
    <w:rsid w:val="00F66544"/>
    <w:rsid w:val="00F84497"/>
    <w:rsid w:val="00F91E57"/>
    <w:rsid w:val="00F93D2F"/>
    <w:rsid w:val="00FA1348"/>
    <w:rsid w:val="00FA3201"/>
    <w:rsid w:val="00FA56B6"/>
    <w:rsid w:val="00FC11BE"/>
    <w:rsid w:val="00FC20C8"/>
    <w:rsid w:val="00FD1503"/>
    <w:rsid w:val="00FE1A18"/>
    <w:rsid w:val="00FE4FD3"/>
    <w:rsid w:val="00FE51B2"/>
    <w:rsid w:val="00FE6F95"/>
    <w:rsid w:val="00FF27C9"/>
    <w:rsid w:val="00FF4D7C"/>
    <w:rsid w:val="00FF7DB4"/>
    <w:rsid w:val="00FF7E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F1"/>
  </w:style>
  <w:style w:type="paragraph" w:styleId="Heading1">
    <w:name w:val="heading 1"/>
    <w:basedOn w:val="Normal"/>
    <w:next w:val="Normal"/>
    <w:link w:val="Heading1Char"/>
    <w:qFormat/>
    <w:rsid w:val="003731C1"/>
    <w:pPr>
      <w:keepNext/>
      <w:numPr>
        <w:numId w:val="4"/>
      </w:numPr>
      <w:spacing w:after="240"/>
      <w:outlineLvl w:val="0"/>
    </w:pPr>
    <w:rPr>
      <w:rFonts w:ascii="Times New Roman" w:eastAsia="Times New Roman" w:hAnsi="Times New Roman" w:cs="Times New Roman"/>
      <w:b/>
    </w:rPr>
  </w:style>
  <w:style w:type="paragraph" w:styleId="Heading2">
    <w:name w:val="heading 2"/>
    <w:basedOn w:val="Heading1"/>
    <w:next w:val="Normal"/>
    <w:link w:val="Heading2Char"/>
    <w:uiPriority w:val="9"/>
    <w:unhideWhenUsed/>
    <w:qFormat/>
    <w:rsid w:val="006C4625"/>
    <w:pPr>
      <w:numPr>
        <w:ilvl w:val="1"/>
      </w:numPr>
      <w:outlineLvl w:val="1"/>
    </w:pPr>
    <w:rPr>
      <w:rFonts w:ascii="Times New Roman Bold" w:hAnsi="Times New Roman Bold"/>
    </w:rPr>
  </w:style>
  <w:style w:type="paragraph" w:styleId="Heading3">
    <w:name w:val="heading 3"/>
    <w:basedOn w:val="Normal"/>
    <w:next w:val="Normal"/>
    <w:link w:val="Heading3Char"/>
    <w:uiPriority w:val="9"/>
    <w:unhideWhenUsed/>
    <w:qFormat/>
    <w:rsid w:val="009C6954"/>
    <w:pPr>
      <w:keepNext/>
      <w:keepLines/>
      <w:numPr>
        <w:ilvl w:val="2"/>
        <w:numId w:val="4"/>
      </w:numPr>
      <w:spacing w:before="40"/>
      <w:outlineLvl w:val="2"/>
    </w:pPr>
    <w:rPr>
      <w:rFonts w:ascii="Times New Roman" w:hAnsi="Times New Roman" w:eastAsiaTheme="majorEastAsia" w:cs="Times New Roman"/>
      <w:b/>
      <w:bCs/>
    </w:rPr>
  </w:style>
  <w:style w:type="paragraph" w:styleId="Heading4">
    <w:name w:val="heading 4"/>
    <w:basedOn w:val="Normal"/>
    <w:next w:val="Normal"/>
    <w:link w:val="Heading4Char"/>
    <w:uiPriority w:val="9"/>
    <w:semiHidden/>
    <w:unhideWhenUsed/>
    <w:qFormat/>
    <w:rsid w:val="00121154"/>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1154"/>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21154"/>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1154"/>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115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115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A1"/>
    <w:pPr>
      <w:ind w:left="720"/>
      <w:contextualSpacing/>
    </w:p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qFormat/>
    <w:rsid w:val="002747B5"/>
    <w:rPr>
      <w:rFonts w:ascii="Times New Roman" w:eastAsia="Times New Roman" w:hAnsi="Times New Roman" w:cs="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2747B5"/>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2747B5"/>
    <w:rPr>
      <w:vertAlign w:val="superscript"/>
    </w:rPr>
  </w:style>
  <w:style w:type="paragraph" w:styleId="BodyTextIndent3">
    <w:name w:val="Body Text Indent 3"/>
    <w:basedOn w:val="Normal"/>
    <w:link w:val="BodyTextIndent3Char"/>
    <w:rsid w:val="00903E82"/>
    <w:pPr>
      <w:spacing w:line="480" w:lineRule="atLeast"/>
      <w:ind w:firstLine="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903E82"/>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9F4D7C"/>
    <w:pPr>
      <w:spacing w:after="120" w:line="480" w:lineRule="auto"/>
      <w:ind w:left="360"/>
    </w:pPr>
  </w:style>
  <w:style w:type="character" w:customStyle="1" w:styleId="BodyTextIndent2Char">
    <w:name w:val="Body Text Indent 2 Char"/>
    <w:basedOn w:val="DefaultParagraphFont"/>
    <w:link w:val="BodyTextIndent2"/>
    <w:uiPriority w:val="99"/>
    <w:semiHidden/>
    <w:rsid w:val="009F4D7C"/>
  </w:style>
  <w:style w:type="paragraph" w:styleId="BodyText">
    <w:name w:val="Body Text"/>
    <w:basedOn w:val="Normal"/>
    <w:link w:val="BodyTextChar"/>
    <w:uiPriority w:val="99"/>
    <w:semiHidden/>
    <w:unhideWhenUsed/>
    <w:rsid w:val="00B96ACA"/>
    <w:pPr>
      <w:spacing w:after="120"/>
    </w:pPr>
  </w:style>
  <w:style w:type="character" w:customStyle="1" w:styleId="BodyTextChar">
    <w:name w:val="Body Text Char"/>
    <w:basedOn w:val="DefaultParagraphFont"/>
    <w:link w:val="BodyText"/>
    <w:uiPriority w:val="99"/>
    <w:semiHidden/>
    <w:rsid w:val="00B96ACA"/>
  </w:style>
  <w:style w:type="paragraph" w:styleId="CommentText">
    <w:name w:val="annotation text"/>
    <w:basedOn w:val="Normal"/>
    <w:link w:val="CommentTextChar"/>
    <w:semiHidden/>
    <w:rsid w:val="00B96ACA"/>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B96ACA"/>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B96ACA"/>
    <w:rPr>
      <w:szCs w:val="20"/>
    </w:rPr>
  </w:style>
  <w:style w:type="character" w:customStyle="1" w:styleId="CommentSubjectChar">
    <w:name w:val="Comment Subject Char"/>
    <w:basedOn w:val="CommentTextChar"/>
    <w:link w:val="CommentSubject"/>
    <w:semiHidden/>
    <w:rsid w:val="00B96ACA"/>
    <w:rPr>
      <w:rFonts w:ascii="Times New Roman" w:eastAsia="Times New Roman" w:hAnsi="Times New Roman" w:cs="Times New Roman"/>
      <w:szCs w:val="20"/>
    </w:rPr>
  </w:style>
  <w:style w:type="character" w:styleId="Hyperlink">
    <w:name w:val="Hyperlink"/>
    <w:uiPriority w:val="99"/>
    <w:rsid w:val="007322D5"/>
    <w:rPr>
      <w:color w:val="0000FF"/>
      <w:u w:val="single"/>
    </w:rPr>
  </w:style>
  <w:style w:type="character" w:customStyle="1" w:styleId="Heading1Char">
    <w:name w:val="Heading 1 Char"/>
    <w:basedOn w:val="DefaultParagraphFont"/>
    <w:link w:val="Heading1"/>
    <w:rsid w:val="003731C1"/>
    <w:rPr>
      <w:rFonts w:ascii="Times New Roman" w:eastAsia="Times New Roman" w:hAnsi="Times New Roman" w:cs="Times New Roman"/>
      <w:b/>
    </w:rPr>
  </w:style>
  <w:style w:type="paragraph" w:styleId="HTMLPreformatted">
    <w:name w:val="HTML Preformatted"/>
    <w:basedOn w:val="Normal"/>
    <w:link w:val="HTMLPreformattedChar"/>
    <w:rsid w:val="00AB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AB5130"/>
    <w:rPr>
      <w:rFonts w:ascii="Courier New" w:eastAsia="Courier New" w:hAnsi="Courier New" w:cs="Courier New"/>
      <w:sz w:val="20"/>
      <w:szCs w:val="20"/>
    </w:rPr>
  </w:style>
  <w:style w:type="paragraph" w:styleId="Footer">
    <w:name w:val="footer"/>
    <w:basedOn w:val="Normal"/>
    <w:link w:val="FooterChar"/>
    <w:uiPriority w:val="99"/>
    <w:rsid w:val="00AB5130"/>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B5130"/>
    <w:rPr>
      <w:rFonts w:ascii="Times New Roman" w:eastAsia="Times New Roman" w:hAnsi="Times New Roman" w:cs="Times New Roman"/>
      <w:sz w:val="20"/>
      <w:szCs w:val="20"/>
    </w:rPr>
  </w:style>
  <w:style w:type="paragraph" w:styleId="TOC2">
    <w:name w:val="toc 2"/>
    <w:basedOn w:val="Normal"/>
    <w:next w:val="Normal"/>
    <w:autoRedefine/>
    <w:uiPriority w:val="39"/>
    <w:qFormat/>
    <w:rsid w:val="00AB5130"/>
    <w:pPr>
      <w:spacing w:after="240"/>
      <w:ind w:left="1440" w:hanging="720"/>
    </w:pPr>
    <w:rPr>
      <w:rFonts w:ascii="Times New Roman" w:eastAsia="Times New Roman" w:hAnsi="Times New Roman" w:cs="Times New Roman"/>
      <w:szCs w:val="20"/>
    </w:rPr>
  </w:style>
  <w:style w:type="paragraph" w:styleId="TOC1">
    <w:name w:val="toc 1"/>
    <w:basedOn w:val="Normal"/>
    <w:next w:val="Normal"/>
    <w:autoRedefine/>
    <w:uiPriority w:val="39"/>
    <w:rsid w:val="00185770"/>
    <w:pPr>
      <w:tabs>
        <w:tab w:val="decimal" w:leader="dot" w:pos="8640"/>
      </w:tabs>
      <w:spacing w:after="240"/>
      <w:ind w:left="720" w:hanging="720"/>
    </w:pPr>
    <w:rPr>
      <w:rFonts w:ascii="Times New Roman" w:eastAsia="Times New Roman" w:hAnsi="Times New Roman" w:cs="Times New Roman"/>
      <w:szCs w:val="20"/>
    </w:rPr>
  </w:style>
  <w:style w:type="paragraph" w:styleId="NormalWeb">
    <w:name w:val="Normal (Web)"/>
    <w:basedOn w:val="Normal"/>
    <w:uiPriority w:val="99"/>
    <w:unhideWhenUsed/>
    <w:rsid w:val="004F147E"/>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EA0F1F"/>
    <w:rPr>
      <w:color w:val="605E5C"/>
      <w:shd w:val="clear" w:color="auto" w:fill="E1DFDD"/>
    </w:rPr>
  </w:style>
  <w:style w:type="table" w:styleId="TableGrid">
    <w:name w:val="Table Grid"/>
    <w:basedOn w:val="TableNormal"/>
    <w:uiPriority w:val="39"/>
    <w:rsid w:val="00FF7E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F92"/>
    <w:pPr>
      <w:tabs>
        <w:tab w:val="center" w:pos="4680"/>
        <w:tab w:val="right" w:pos="9360"/>
      </w:tabs>
    </w:pPr>
  </w:style>
  <w:style w:type="character" w:customStyle="1" w:styleId="HeaderChar">
    <w:name w:val="Header Char"/>
    <w:basedOn w:val="DefaultParagraphFont"/>
    <w:link w:val="Header"/>
    <w:uiPriority w:val="99"/>
    <w:rsid w:val="00EB7F92"/>
  </w:style>
  <w:style w:type="character" w:customStyle="1" w:styleId="Heading2Char">
    <w:name w:val="Heading 2 Char"/>
    <w:basedOn w:val="DefaultParagraphFont"/>
    <w:link w:val="Heading2"/>
    <w:rsid w:val="006C4625"/>
    <w:rPr>
      <w:rFonts w:ascii="Times New Roman Bold" w:eastAsia="Times New Roman" w:hAnsi="Times New Roman Bold" w:cs="Times New Roman"/>
      <w:b/>
    </w:rPr>
  </w:style>
  <w:style w:type="paragraph" w:styleId="Revision">
    <w:name w:val="Revision"/>
    <w:hidden/>
    <w:uiPriority w:val="99"/>
    <w:semiHidden/>
    <w:rsid w:val="00DE3D28"/>
  </w:style>
  <w:style w:type="character" w:styleId="CommentReference">
    <w:name w:val="annotation reference"/>
    <w:basedOn w:val="DefaultParagraphFont"/>
    <w:uiPriority w:val="99"/>
    <w:semiHidden/>
    <w:unhideWhenUsed/>
    <w:rsid w:val="00707D0E"/>
    <w:rPr>
      <w:sz w:val="16"/>
      <w:szCs w:val="16"/>
    </w:rPr>
  </w:style>
  <w:style w:type="paragraph" w:styleId="BalloonText">
    <w:name w:val="Balloon Text"/>
    <w:basedOn w:val="Normal"/>
    <w:link w:val="BalloonTextChar"/>
    <w:uiPriority w:val="99"/>
    <w:semiHidden/>
    <w:unhideWhenUsed/>
    <w:rsid w:val="009670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0F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B127C"/>
    <w:rPr>
      <w:color w:val="954F72" w:themeColor="followedHyperlink"/>
      <w:u w:val="single"/>
    </w:rPr>
  </w:style>
  <w:style w:type="character" w:customStyle="1" w:styleId="UnresolvedMention2">
    <w:name w:val="Unresolved Mention2"/>
    <w:basedOn w:val="DefaultParagraphFont"/>
    <w:uiPriority w:val="99"/>
    <w:rsid w:val="005B422A"/>
    <w:rPr>
      <w:color w:val="605E5C"/>
      <w:shd w:val="clear" w:color="auto" w:fill="E1DFDD"/>
    </w:rPr>
  </w:style>
  <w:style w:type="character" w:customStyle="1" w:styleId="Heading3Char">
    <w:name w:val="Heading 3 Char"/>
    <w:basedOn w:val="DefaultParagraphFont"/>
    <w:link w:val="Heading3"/>
    <w:uiPriority w:val="9"/>
    <w:rsid w:val="009C6954"/>
    <w:rPr>
      <w:rFonts w:ascii="Times New Roman" w:hAnsi="Times New Roman" w:eastAsiaTheme="majorEastAsia" w:cs="Times New Roman"/>
      <w:b/>
      <w:bCs/>
    </w:rPr>
  </w:style>
  <w:style w:type="character" w:customStyle="1" w:styleId="Heading4Char">
    <w:name w:val="Heading 4 Char"/>
    <w:basedOn w:val="DefaultParagraphFont"/>
    <w:link w:val="Heading4"/>
    <w:uiPriority w:val="9"/>
    <w:semiHidden/>
    <w:rsid w:val="0012115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2115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2115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2115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211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1154"/>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185770"/>
    <w:pPr>
      <w:tabs>
        <w:tab w:val="left" w:leader="dot" w:pos="1440"/>
        <w:tab w:val="right" w:leader="dot" w:pos="8630"/>
      </w:tabs>
      <w:spacing w:after="240"/>
      <w:ind w:left="2160" w:hanging="720"/>
    </w:pPr>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John.jones@ohioAGO.gov" TargetMode="External" /><Relationship Id="rId12" Type="http://schemas.openxmlformats.org/officeDocument/2006/relationships/hyperlink" Target="mailto:Kerry.sheets@puco.ohio.gov" TargetMode="External" /><Relationship Id="rId13" Type="http://schemas.openxmlformats.org/officeDocument/2006/relationships/hyperlink" Target="mailto:glpetrucci@vorys.com" TargetMode="External" /><Relationship Id="rId14" Type="http://schemas.openxmlformats.org/officeDocument/2006/relationships/hyperlink" Target="mailto:mjsettineri@vorys.com" TargetMode="Externa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AE34-4574-3747-9309-E9E75193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2022-08-31T14:20:52Z</dcterms:created>
  <dcterms:modified xsi:type="dcterms:W3CDTF">2022-08-31T14:20:52Z</dcterms:modified>
</cp:coreProperties>
</file>