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CE" w:rsidRPr="00CA069D" w:rsidRDefault="00C26BCE" w:rsidP="00C26BCE">
      <w:pPr>
        <w:autoSpaceDE w:val="0"/>
        <w:autoSpaceDN w:val="0"/>
        <w:adjustRightInd w:val="0"/>
        <w:spacing w:line="240" w:lineRule="auto"/>
        <w:jc w:val="center"/>
        <w:rPr>
          <w:rFonts w:ascii="Times New Roman" w:hAnsi="Times New Roman" w:cs="Times New Roman"/>
          <w:b/>
          <w:sz w:val="24"/>
          <w:szCs w:val="24"/>
        </w:rPr>
      </w:pPr>
      <w:bookmarkStart w:id="0" w:name="_GoBack"/>
      <w:bookmarkEnd w:id="0"/>
      <w:r w:rsidRPr="00CA069D">
        <w:rPr>
          <w:rFonts w:ascii="Times New Roman" w:hAnsi="Times New Roman" w:cs="Times New Roman"/>
          <w:b/>
          <w:sz w:val="24"/>
          <w:szCs w:val="24"/>
        </w:rPr>
        <w:t>BEFORE</w:t>
      </w:r>
    </w:p>
    <w:p w:rsidR="00C26BCE" w:rsidRPr="00CA069D" w:rsidRDefault="00C26BCE" w:rsidP="00C26BCE">
      <w:pPr>
        <w:jc w:val="center"/>
        <w:rPr>
          <w:rFonts w:ascii="Times New Roman" w:hAnsi="Times New Roman" w:cs="Times New Roman"/>
          <w:b/>
          <w:sz w:val="24"/>
          <w:szCs w:val="24"/>
        </w:rPr>
      </w:pPr>
      <w:r w:rsidRPr="00CA069D">
        <w:rPr>
          <w:rFonts w:ascii="Times New Roman" w:hAnsi="Times New Roman" w:cs="Times New Roman"/>
          <w:b/>
          <w:sz w:val="24"/>
          <w:szCs w:val="24"/>
        </w:rPr>
        <w:t>THE PUBLIC UTILITIES COMMISSION OF OHIO</w:t>
      </w:r>
    </w:p>
    <w:p w:rsidR="00C26BCE" w:rsidRDefault="00C26BCE" w:rsidP="00C26BCE">
      <w:pPr>
        <w:jc w:val="center"/>
        <w:rPr>
          <w:rFonts w:ascii="Times New Roman" w:hAnsi="Times New Roman" w:cs="Times New Roman"/>
          <w:sz w:val="24"/>
          <w:szCs w:val="24"/>
        </w:rPr>
      </w:pPr>
    </w:p>
    <w:p w:rsidR="00C26BCE" w:rsidRPr="00161B5B"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In the Matter of the Commission’s Consideration</w:t>
      </w:r>
      <w:r>
        <w:rPr>
          <w:rFonts w:ascii="Times New Roman" w:hAnsi="Times New Roman" w:cs="Times New Roman"/>
          <w:sz w:val="24"/>
          <w:szCs w:val="24"/>
        </w:rPr>
        <w:t xml:space="preserve">  </w:t>
      </w:r>
      <w:r>
        <w:rPr>
          <w:rFonts w:ascii="Times New Roman" w:hAnsi="Times New Roman" w:cs="Times New Roman"/>
          <w:sz w:val="24"/>
          <w:szCs w:val="24"/>
        </w:rPr>
        <w:tab/>
      </w:r>
      <w:r w:rsidRPr="00161B5B">
        <w:rPr>
          <w:rFonts w:ascii="Times New Roman" w:hAnsi="Times New Roman" w:cs="Times New Roman"/>
          <w:sz w:val="24"/>
          <w:szCs w:val="24"/>
        </w:rPr>
        <w:t>)</w:t>
      </w:r>
    </w:p>
    <w:p w:rsidR="00C26BCE" w:rsidRPr="00161B5B"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 xml:space="preserve">Of Telephone Safety Valve Requests and Other </w:t>
      </w:r>
      <w:r w:rsidRPr="00161B5B">
        <w:rPr>
          <w:rFonts w:ascii="Times New Roman" w:hAnsi="Times New Roman" w:cs="Times New Roman"/>
          <w:sz w:val="24"/>
          <w:szCs w:val="24"/>
        </w:rPr>
        <w:tab/>
        <w:t xml:space="preserve">) </w:t>
      </w:r>
      <w:r>
        <w:rPr>
          <w:rFonts w:ascii="Times New Roman" w:hAnsi="Times New Roman" w:cs="Times New Roman"/>
          <w:sz w:val="24"/>
          <w:szCs w:val="24"/>
        </w:rPr>
        <w:tab/>
      </w:r>
      <w:r w:rsidRPr="00161B5B">
        <w:rPr>
          <w:rFonts w:ascii="Times New Roman" w:hAnsi="Times New Roman" w:cs="Times New Roman"/>
          <w:sz w:val="24"/>
          <w:szCs w:val="24"/>
        </w:rPr>
        <w:t xml:space="preserve">Case No. </w:t>
      </w:r>
      <w:r>
        <w:rPr>
          <w:rFonts w:ascii="Times New Roman" w:hAnsi="Times New Roman" w:cs="Times New Roman"/>
          <w:sz w:val="24"/>
          <w:szCs w:val="24"/>
        </w:rPr>
        <w:t>10-884-TP-UNC</w:t>
      </w:r>
    </w:p>
    <w:p w:rsidR="00C26BCE" w:rsidRDefault="00C26BCE" w:rsidP="00C26BCE">
      <w:pPr>
        <w:autoSpaceDE w:val="0"/>
        <w:autoSpaceDN w:val="0"/>
        <w:adjustRightInd w:val="0"/>
        <w:spacing w:line="240" w:lineRule="auto"/>
        <w:rPr>
          <w:rFonts w:ascii="Times New Roman" w:hAnsi="Times New Roman" w:cs="Times New Roman"/>
          <w:sz w:val="24"/>
          <w:szCs w:val="24"/>
        </w:rPr>
      </w:pPr>
      <w:r w:rsidRPr="00161B5B">
        <w:rPr>
          <w:rFonts w:ascii="Times New Roman" w:hAnsi="Times New Roman" w:cs="Times New Roman"/>
          <w:sz w:val="24"/>
          <w:szCs w:val="24"/>
        </w:rPr>
        <w:t xml:space="preserve">Number Resource Related Filings </w:t>
      </w:r>
      <w:r w:rsidRPr="00161B5B">
        <w:rPr>
          <w:rFonts w:ascii="Times New Roman" w:hAnsi="Times New Roman" w:cs="Times New Roman"/>
          <w:sz w:val="24"/>
          <w:szCs w:val="24"/>
        </w:rPr>
        <w:tab/>
      </w:r>
      <w:r w:rsidRPr="00161B5B">
        <w:rPr>
          <w:rFonts w:ascii="Times New Roman" w:hAnsi="Times New Roman" w:cs="Times New Roman"/>
          <w:sz w:val="24"/>
          <w:szCs w:val="24"/>
        </w:rPr>
        <w:tab/>
      </w:r>
      <w:r>
        <w:rPr>
          <w:rFonts w:ascii="Times New Roman" w:hAnsi="Times New Roman" w:cs="Times New Roman"/>
          <w:sz w:val="24"/>
          <w:szCs w:val="24"/>
        </w:rPr>
        <w:tab/>
      </w:r>
      <w:r w:rsidRPr="00161B5B">
        <w:rPr>
          <w:rFonts w:ascii="Times New Roman" w:hAnsi="Times New Roman" w:cs="Times New Roman"/>
          <w:sz w:val="24"/>
          <w:szCs w:val="24"/>
        </w:rPr>
        <w:t>)</w:t>
      </w:r>
    </w:p>
    <w:p w:rsidR="00C26BCE" w:rsidRDefault="00C26BCE" w:rsidP="00C26BCE">
      <w:pPr>
        <w:autoSpaceDE w:val="0"/>
        <w:autoSpaceDN w:val="0"/>
        <w:adjustRightInd w:val="0"/>
        <w:spacing w:line="240" w:lineRule="auto"/>
        <w:rPr>
          <w:rFonts w:ascii="Times New Roman" w:hAnsi="Times New Roman" w:cs="Times New Roman"/>
          <w:sz w:val="24"/>
          <w:szCs w:val="24"/>
        </w:rPr>
      </w:pPr>
    </w:p>
    <w:p w:rsidR="00C26BCE" w:rsidRDefault="00C26BCE" w:rsidP="00C26BCE">
      <w:pPr>
        <w:pBdr>
          <w:bottom w:val="single" w:sz="18" w:space="1" w:color="auto"/>
        </w:pBdr>
        <w:autoSpaceDE w:val="0"/>
        <w:autoSpaceDN w:val="0"/>
        <w:adjustRightInd w:val="0"/>
        <w:spacing w:line="240" w:lineRule="auto"/>
        <w:rPr>
          <w:rFonts w:ascii="Times New Roman" w:hAnsi="Times New Roman" w:cs="Times New Roman"/>
          <w:sz w:val="24"/>
          <w:szCs w:val="24"/>
        </w:rPr>
      </w:pP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p>
    <w:p w:rsidR="00C26BCE" w:rsidRPr="00CA069D" w:rsidRDefault="00C26BCE" w:rsidP="00C26BCE">
      <w:pPr>
        <w:autoSpaceDE w:val="0"/>
        <w:autoSpaceDN w:val="0"/>
        <w:adjustRightInd w:val="0"/>
        <w:spacing w:line="240" w:lineRule="auto"/>
        <w:jc w:val="center"/>
        <w:rPr>
          <w:rFonts w:ascii="Times New Roman" w:hAnsi="Times New Roman" w:cs="Times New Roman"/>
          <w:b/>
          <w:caps/>
          <w:sz w:val="24"/>
          <w:szCs w:val="24"/>
        </w:rPr>
      </w:pPr>
      <w:r>
        <w:rPr>
          <w:rFonts w:ascii="Times New Roman" w:hAnsi="Times New Roman" w:cs="Times New Roman"/>
          <w:b/>
          <w:caps/>
          <w:sz w:val="24"/>
          <w:szCs w:val="24"/>
        </w:rPr>
        <w:t>PETITION</w:t>
      </w:r>
      <w:r w:rsidRPr="00CA069D">
        <w:rPr>
          <w:rFonts w:ascii="Times New Roman" w:hAnsi="Times New Roman" w:cs="Times New Roman"/>
          <w:b/>
          <w:caps/>
          <w:sz w:val="24"/>
          <w:szCs w:val="24"/>
        </w:rPr>
        <w:t xml:space="preserve"> FOR REVIEW </w:t>
      </w:r>
      <w:r>
        <w:rPr>
          <w:rFonts w:ascii="Times New Roman" w:hAnsi="Times New Roman" w:cs="Times New Roman"/>
          <w:b/>
          <w:caps/>
          <w:sz w:val="24"/>
          <w:szCs w:val="24"/>
        </w:rPr>
        <w:t xml:space="preserve">OF </w:t>
      </w:r>
      <w:r w:rsidRPr="00CA069D">
        <w:rPr>
          <w:rFonts w:ascii="Times New Roman" w:hAnsi="Times New Roman" w:cs="Times New Roman"/>
          <w:b/>
          <w:caps/>
          <w:sz w:val="24"/>
          <w:szCs w:val="24"/>
        </w:rPr>
        <w:t>TDS Telecom</w:t>
      </w:r>
      <w:r>
        <w:rPr>
          <w:rFonts w:ascii="Times New Roman" w:hAnsi="Times New Roman" w:cs="Times New Roman"/>
          <w:b/>
          <w:caps/>
          <w:sz w:val="24"/>
          <w:szCs w:val="24"/>
        </w:rPr>
        <w:t xml:space="preserve"> on behalf of </w:t>
      </w:r>
      <w:r w:rsidRPr="00CA069D">
        <w:rPr>
          <w:rFonts w:ascii="Times New Roman" w:hAnsi="Times New Roman" w:cs="Times New Roman"/>
          <w:b/>
          <w:caps/>
          <w:sz w:val="24"/>
          <w:szCs w:val="24"/>
        </w:rPr>
        <w:t>Little Miami Telephone Com</w:t>
      </w:r>
      <w:r>
        <w:rPr>
          <w:rFonts w:ascii="Times New Roman" w:hAnsi="Times New Roman" w:cs="Times New Roman"/>
          <w:b/>
          <w:caps/>
          <w:sz w:val="24"/>
          <w:szCs w:val="24"/>
        </w:rPr>
        <w:t>mmunications Corporation</w:t>
      </w:r>
      <w:r w:rsidRPr="00CA069D">
        <w:rPr>
          <w:rFonts w:ascii="Times New Roman" w:hAnsi="Times New Roman" w:cs="Times New Roman"/>
          <w:b/>
          <w:caps/>
          <w:sz w:val="24"/>
          <w:szCs w:val="24"/>
        </w:rPr>
        <w:t xml:space="preserve"> </w:t>
      </w: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r w:rsidRPr="00CA069D">
        <w:rPr>
          <w:rFonts w:ascii="Times New Roman" w:hAnsi="Times New Roman" w:cs="Times New Roman"/>
          <w:b/>
          <w:caps/>
          <w:sz w:val="24"/>
          <w:szCs w:val="24"/>
        </w:rPr>
        <w:t xml:space="preserve">OF </w:t>
      </w:r>
      <w:r>
        <w:rPr>
          <w:rFonts w:ascii="Times New Roman" w:hAnsi="Times New Roman" w:cs="Times New Roman"/>
          <w:b/>
          <w:caps/>
          <w:sz w:val="24"/>
          <w:szCs w:val="24"/>
        </w:rPr>
        <w:t xml:space="preserve">a </w:t>
      </w:r>
      <w:r w:rsidRPr="00CA069D">
        <w:rPr>
          <w:rFonts w:ascii="Times New Roman" w:hAnsi="Times New Roman" w:cs="Times New Roman"/>
          <w:b/>
          <w:caps/>
          <w:sz w:val="24"/>
          <w:szCs w:val="24"/>
        </w:rPr>
        <w:t>DECISION OF NEUSTAR – POOLING ADMINISTRATOR</w:t>
      </w:r>
      <w:r>
        <w:rPr>
          <w:rFonts w:ascii="Times New Roman" w:hAnsi="Times New Roman" w:cs="Times New Roman"/>
          <w:b/>
          <w:caps/>
          <w:sz w:val="24"/>
          <w:szCs w:val="24"/>
        </w:rPr>
        <w:t xml:space="preserve"> Denying a request for numbering resources</w:t>
      </w:r>
    </w:p>
    <w:p w:rsidR="00C26BCE" w:rsidRDefault="00C26BCE" w:rsidP="00C26BCE">
      <w:pPr>
        <w:pBdr>
          <w:bottom w:val="single" w:sz="18" w:space="1" w:color="auto"/>
        </w:pBdr>
        <w:autoSpaceDE w:val="0"/>
        <w:autoSpaceDN w:val="0"/>
        <w:adjustRightInd w:val="0"/>
        <w:spacing w:line="240" w:lineRule="auto"/>
        <w:jc w:val="center"/>
        <w:rPr>
          <w:rFonts w:ascii="Times New Roman" w:hAnsi="Times New Roman" w:cs="Times New Roman"/>
          <w:b/>
          <w:caps/>
          <w:sz w:val="24"/>
          <w:szCs w:val="24"/>
        </w:rPr>
      </w:pPr>
    </w:p>
    <w:p w:rsidR="00C26BCE" w:rsidRDefault="00C26BCE" w:rsidP="00C26BCE">
      <w:pPr>
        <w:autoSpaceDE w:val="0"/>
        <w:autoSpaceDN w:val="0"/>
        <w:adjustRightInd w:val="0"/>
        <w:spacing w:line="240" w:lineRule="auto"/>
        <w:jc w:val="center"/>
        <w:rPr>
          <w:rFonts w:ascii="Times New Roman" w:hAnsi="Times New Roman" w:cs="Times New Roman"/>
          <w:b/>
          <w:caps/>
          <w:sz w:val="24"/>
          <w:szCs w:val="24"/>
        </w:rPr>
      </w:pPr>
    </w:p>
    <w:p w:rsidR="00C26BCE" w:rsidRPr="00CA069D"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sidRPr="00CA069D">
        <w:rPr>
          <w:rFonts w:ascii="Times New Roman" w:hAnsi="Times New Roman" w:cs="Times New Roman"/>
          <w:sz w:val="24"/>
          <w:szCs w:val="24"/>
        </w:rPr>
        <w:t>Pursuant to</w:t>
      </w:r>
      <w:r>
        <w:rPr>
          <w:rFonts w:ascii="Times New Roman" w:hAnsi="Times New Roman" w:cs="Times New Roman"/>
          <w:sz w:val="24"/>
          <w:szCs w:val="24"/>
        </w:rPr>
        <w:t xml:space="preserve"> Section</w:t>
      </w:r>
      <w:r w:rsidRPr="00CA069D">
        <w:rPr>
          <w:rFonts w:ascii="Times New Roman" w:hAnsi="Times New Roman" w:cs="Times New Roman"/>
          <w:sz w:val="24"/>
          <w:szCs w:val="24"/>
        </w:rPr>
        <w:t xml:space="preserve"> 52.15(g)(3)(iv)</w:t>
      </w:r>
      <w:r>
        <w:rPr>
          <w:rFonts w:ascii="Times New Roman" w:hAnsi="Times New Roman" w:cs="Times New Roman"/>
          <w:sz w:val="24"/>
          <w:szCs w:val="24"/>
        </w:rPr>
        <w:t xml:space="preserve"> of Title 47 of the Code of Federal Regulations (“C.F.R.”)</w:t>
      </w:r>
      <w:r w:rsidRPr="00CA069D">
        <w:rPr>
          <w:rFonts w:ascii="Times New Roman" w:hAnsi="Times New Roman" w:cs="Times New Roman"/>
          <w:sz w:val="24"/>
          <w:szCs w:val="24"/>
        </w:rPr>
        <w:t xml:space="preserve">, </w:t>
      </w:r>
      <w:r>
        <w:rPr>
          <w:rFonts w:ascii="Times New Roman" w:hAnsi="Times New Roman" w:cs="Times New Roman"/>
          <w:sz w:val="24"/>
          <w:szCs w:val="24"/>
        </w:rPr>
        <w:t>TDS Telecom on behalf of Little Miami Telephone Communications Corporation (“Little Miami”)</w:t>
      </w:r>
      <w:r w:rsidRPr="00CA069D">
        <w:rPr>
          <w:rFonts w:ascii="Times New Roman" w:hAnsi="Times New Roman" w:cs="Times New Roman"/>
          <w:sz w:val="24"/>
          <w:szCs w:val="24"/>
        </w:rPr>
        <w:t xml:space="preserve"> hereby </w:t>
      </w:r>
      <w:r>
        <w:rPr>
          <w:rFonts w:ascii="Times New Roman" w:hAnsi="Times New Roman" w:cs="Times New Roman"/>
          <w:sz w:val="24"/>
          <w:szCs w:val="24"/>
        </w:rPr>
        <w:t>petitions</w:t>
      </w:r>
      <w:r w:rsidRPr="00CA069D">
        <w:rPr>
          <w:rFonts w:ascii="Times New Roman" w:hAnsi="Times New Roman" w:cs="Times New Roman"/>
          <w:sz w:val="24"/>
          <w:szCs w:val="24"/>
        </w:rPr>
        <w:t xml:space="preserve"> the Public Utilities Commission of Ohio ("Commission") to </w:t>
      </w:r>
      <w:r>
        <w:rPr>
          <w:rFonts w:ascii="Times New Roman" w:hAnsi="Times New Roman" w:cs="Times New Roman"/>
          <w:sz w:val="24"/>
          <w:szCs w:val="24"/>
        </w:rPr>
        <w:t>reverse</w:t>
      </w:r>
      <w:r w:rsidRPr="00CA069D">
        <w:rPr>
          <w:rFonts w:ascii="Times New Roman" w:hAnsi="Times New Roman" w:cs="Times New Roman"/>
          <w:sz w:val="24"/>
          <w:szCs w:val="24"/>
        </w:rPr>
        <w:t xml:space="preserve"> a decision of the Pooling Administrator ("PA" or "Neustar") denying </w:t>
      </w:r>
      <w:r>
        <w:rPr>
          <w:rFonts w:ascii="Times New Roman" w:hAnsi="Times New Roman" w:cs="Times New Roman"/>
          <w:sz w:val="24"/>
          <w:szCs w:val="24"/>
        </w:rPr>
        <w:t>Little Miami’s</w:t>
      </w:r>
      <w:r w:rsidRPr="00CA069D">
        <w:rPr>
          <w:rFonts w:ascii="Times New Roman" w:hAnsi="Times New Roman" w:cs="Times New Roman"/>
          <w:sz w:val="24"/>
          <w:szCs w:val="24"/>
        </w:rPr>
        <w:t xml:space="preserve"> request for numbering resources in the </w:t>
      </w:r>
      <w:r>
        <w:rPr>
          <w:rFonts w:ascii="Times New Roman" w:hAnsi="Times New Roman" w:cs="Times New Roman"/>
          <w:sz w:val="24"/>
          <w:szCs w:val="24"/>
        </w:rPr>
        <w:t xml:space="preserve">Fayetteville </w:t>
      </w:r>
      <w:r w:rsidRPr="00CA069D">
        <w:rPr>
          <w:rFonts w:ascii="Times New Roman" w:hAnsi="Times New Roman" w:cs="Times New Roman"/>
          <w:sz w:val="24"/>
          <w:szCs w:val="24"/>
        </w:rPr>
        <w:t>rate center</w:t>
      </w:r>
      <w:r>
        <w:rPr>
          <w:rFonts w:ascii="Times New Roman" w:hAnsi="Times New Roman" w:cs="Times New Roman"/>
          <w:sz w:val="24"/>
          <w:szCs w:val="24"/>
        </w:rPr>
        <w:t xml:space="preserve"> f</w:t>
      </w:r>
      <w:r w:rsidRPr="00CA069D">
        <w:rPr>
          <w:rFonts w:ascii="Times New Roman" w:hAnsi="Times New Roman" w:cs="Times New Roman"/>
          <w:sz w:val="24"/>
          <w:szCs w:val="24"/>
        </w:rPr>
        <w:t>or the reasons set forth below</w:t>
      </w:r>
      <w:r>
        <w:rPr>
          <w:rFonts w:ascii="Times New Roman" w:hAnsi="Times New Roman" w:cs="Times New Roman"/>
          <w:sz w:val="24"/>
          <w:szCs w:val="24"/>
        </w:rPr>
        <w:t>.</w:t>
      </w:r>
    </w:p>
    <w:p w:rsidR="00C26BCE" w:rsidRPr="00203B8E" w:rsidRDefault="00C26BCE" w:rsidP="00C26BCE">
      <w:pPr>
        <w:pStyle w:val="Default"/>
        <w:spacing w:line="480" w:lineRule="auto"/>
        <w:ind w:firstLine="720"/>
        <w:jc w:val="both"/>
        <w:rPr>
          <w:color w:val="auto"/>
        </w:rPr>
      </w:pPr>
      <w:r>
        <w:rPr>
          <w:color w:val="auto"/>
        </w:rPr>
        <w:t>O</w:t>
      </w:r>
      <w:r w:rsidRPr="00203B8E">
        <w:rPr>
          <w:color w:val="auto"/>
        </w:rPr>
        <w:t>n June 15, 2017,</w:t>
      </w:r>
      <w:r>
        <w:rPr>
          <w:color w:val="auto"/>
        </w:rPr>
        <w:t xml:space="preserve"> </w:t>
      </w:r>
      <w:r w:rsidRPr="00203B8E">
        <w:rPr>
          <w:color w:val="auto"/>
        </w:rPr>
        <w:t>Little Miami submitted a request to Neu</w:t>
      </w:r>
      <w:r>
        <w:rPr>
          <w:color w:val="auto"/>
        </w:rPr>
        <w:t>s</w:t>
      </w:r>
      <w:r w:rsidRPr="00203B8E">
        <w:rPr>
          <w:color w:val="auto"/>
        </w:rPr>
        <w:t xml:space="preserve">tar for a one-thousand-number block in accordance with current guidelines, including the months-to-exhaust ("MTE") certification procedures established in the Central Office Code Assignment Guidelines. </w:t>
      </w:r>
      <w:r>
        <w:rPr>
          <w:color w:val="auto"/>
        </w:rPr>
        <w:t xml:space="preserve"> As part of a Connect America Fund broadband project, </w:t>
      </w:r>
      <w:r w:rsidRPr="00203B8E">
        <w:rPr>
          <w:color w:val="auto"/>
        </w:rPr>
        <w:t xml:space="preserve">Little Miami is installing a </w:t>
      </w:r>
      <w:r>
        <w:rPr>
          <w:color w:val="auto"/>
        </w:rPr>
        <w:t xml:space="preserve">new Metaswitch </w:t>
      </w:r>
      <w:r w:rsidRPr="00203B8E">
        <w:rPr>
          <w:color w:val="auto"/>
        </w:rPr>
        <w:t xml:space="preserve">which will eventually replace the existing legacy switch.  </w:t>
      </w:r>
      <w:r w:rsidRPr="00203B8E">
        <w:rPr>
          <w:color w:val="auto"/>
          <w:sz w:val="23"/>
          <w:szCs w:val="23"/>
        </w:rPr>
        <w:t>In order to conduct an orderly transition to this new platform</w:t>
      </w:r>
      <w:r>
        <w:rPr>
          <w:color w:val="auto"/>
          <w:sz w:val="23"/>
          <w:szCs w:val="23"/>
        </w:rPr>
        <w:t>,</w:t>
      </w:r>
      <w:r w:rsidRPr="00203B8E">
        <w:rPr>
          <w:color w:val="auto"/>
          <w:sz w:val="23"/>
          <w:szCs w:val="23"/>
        </w:rPr>
        <w:t xml:space="preserve"> </w:t>
      </w:r>
      <w:r>
        <w:rPr>
          <w:color w:val="auto"/>
          <w:sz w:val="23"/>
          <w:szCs w:val="23"/>
        </w:rPr>
        <w:t xml:space="preserve">Little Miami </w:t>
      </w:r>
      <w:r w:rsidRPr="00203B8E">
        <w:rPr>
          <w:color w:val="auto"/>
          <w:sz w:val="23"/>
          <w:szCs w:val="23"/>
        </w:rPr>
        <w:t>requires the use of numbering resources, specifically a Local Routing Number (</w:t>
      </w:r>
      <w:r>
        <w:rPr>
          <w:color w:val="auto"/>
          <w:sz w:val="23"/>
          <w:szCs w:val="23"/>
        </w:rPr>
        <w:t>“</w:t>
      </w:r>
      <w:r w:rsidRPr="00203B8E">
        <w:rPr>
          <w:color w:val="auto"/>
          <w:sz w:val="23"/>
          <w:szCs w:val="23"/>
        </w:rPr>
        <w:t>LRN</w:t>
      </w:r>
      <w:r>
        <w:rPr>
          <w:color w:val="auto"/>
          <w:sz w:val="23"/>
          <w:szCs w:val="23"/>
        </w:rPr>
        <w:t>”</w:t>
      </w:r>
      <w:r w:rsidRPr="00203B8E">
        <w:rPr>
          <w:color w:val="auto"/>
          <w:sz w:val="23"/>
          <w:szCs w:val="23"/>
        </w:rPr>
        <w:t>)</w:t>
      </w:r>
      <w:r>
        <w:rPr>
          <w:color w:val="auto"/>
          <w:sz w:val="23"/>
          <w:szCs w:val="23"/>
        </w:rPr>
        <w:t>,</w:t>
      </w:r>
      <w:r w:rsidRPr="00203B8E">
        <w:rPr>
          <w:color w:val="auto"/>
          <w:sz w:val="23"/>
          <w:szCs w:val="23"/>
        </w:rPr>
        <w:t xml:space="preserve"> that will allow these switches to coexist with the legacy equipment. </w:t>
      </w:r>
      <w:r>
        <w:rPr>
          <w:color w:val="auto"/>
          <w:sz w:val="23"/>
          <w:szCs w:val="23"/>
        </w:rPr>
        <w:t xml:space="preserve"> </w:t>
      </w:r>
      <w:r w:rsidRPr="00203B8E">
        <w:rPr>
          <w:color w:val="auto"/>
          <w:sz w:val="23"/>
          <w:szCs w:val="23"/>
        </w:rPr>
        <w:t xml:space="preserve">Once the transition is complete, </w:t>
      </w:r>
      <w:r>
        <w:rPr>
          <w:color w:val="auto"/>
          <w:sz w:val="23"/>
          <w:szCs w:val="23"/>
        </w:rPr>
        <w:t xml:space="preserve">Little Miami </w:t>
      </w:r>
      <w:r w:rsidRPr="00203B8E">
        <w:rPr>
          <w:color w:val="auto"/>
          <w:sz w:val="23"/>
          <w:szCs w:val="23"/>
        </w:rPr>
        <w:t xml:space="preserve">intends to return this </w:t>
      </w:r>
      <w:r w:rsidR="003728BC">
        <w:rPr>
          <w:color w:val="auto"/>
          <w:sz w:val="23"/>
          <w:szCs w:val="23"/>
        </w:rPr>
        <w:t>number block</w:t>
      </w:r>
      <w:r>
        <w:rPr>
          <w:color w:val="auto"/>
          <w:sz w:val="23"/>
          <w:szCs w:val="23"/>
        </w:rPr>
        <w:t xml:space="preserve"> </w:t>
      </w:r>
      <w:r w:rsidRPr="00203B8E">
        <w:rPr>
          <w:color w:val="auto"/>
          <w:sz w:val="23"/>
          <w:szCs w:val="23"/>
        </w:rPr>
        <w:t xml:space="preserve">to the PA pool for reuse elsewhere in the </w:t>
      </w:r>
      <w:r>
        <w:rPr>
          <w:color w:val="auto"/>
          <w:sz w:val="23"/>
          <w:szCs w:val="23"/>
        </w:rPr>
        <w:t>S</w:t>
      </w:r>
      <w:r w:rsidRPr="00203B8E">
        <w:rPr>
          <w:color w:val="auto"/>
          <w:sz w:val="23"/>
          <w:szCs w:val="23"/>
        </w:rPr>
        <w:t>tate.</w:t>
      </w:r>
    </w:p>
    <w:p w:rsidR="00C26BCE"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June 15, 2017, Little Miami’s </w:t>
      </w:r>
      <w:r w:rsidRPr="00556A63">
        <w:rPr>
          <w:rFonts w:ascii="Times New Roman" w:hAnsi="Times New Roman" w:cs="Times New Roman"/>
          <w:sz w:val="24"/>
          <w:szCs w:val="24"/>
        </w:rPr>
        <w:t>request for the additional numbers was denied by Neu</w:t>
      </w:r>
      <w:r>
        <w:rPr>
          <w:rFonts w:ascii="Times New Roman" w:hAnsi="Times New Roman" w:cs="Times New Roman"/>
          <w:sz w:val="24"/>
          <w:szCs w:val="24"/>
        </w:rPr>
        <w:t>s</w:t>
      </w:r>
      <w:r w:rsidRPr="00556A63">
        <w:rPr>
          <w:rFonts w:ascii="Times New Roman" w:hAnsi="Times New Roman" w:cs="Times New Roman"/>
          <w:sz w:val="24"/>
          <w:szCs w:val="24"/>
        </w:rPr>
        <w:t xml:space="preserve">tar because </w:t>
      </w:r>
      <w:r>
        <w:rPr>
          <w:rFonts w:ascii="Times New Roman" w:hAnsi="Times New Roman" w:cs="Times New Roman"/>
          <w:sz w:val="24"/>
          <w:szCs w:val="24"/>
        </w:rPr>
        <w:t xml:space="preserve">Little Miami </w:t>
      </w:r>
      <w:r w:rsidRPr="00556A63">
        <w:rPr>
          <w:rFonts w:ascii="Times New Roman" w:hAnsi="Times New Roman" w:cs="Times New Roman"/>
          <w:sz w:val="24"/>
          <w:szCs w:val="24"/>
        </w:rPr>
        <w:t xml:space="preserve">does not meet the utilization threshold necessary in order to obtain </w:t>
      </w:r>
      <w:r w:rsidRPr="00556A63">
        <w:rPr>
          <w:rFonts w:ascii="Times New Roman" w:hAnsi="Times New Roman" w:cs="Times New Roman"/>
          <w:sz w:val="24"/>
          <w:szCs w:val="24"/>
        </w:rPr>
        <w:lastRenderedPageBreak/>
        <w:t xml:space="preserve">numbering resources. </w:t>
      </w:r>
      <w:r>
        <w:rPr>
          <w:rFonts w:ascii="Times New Roman" w:hAnsi="Times New Roman" w:cs="Times New Roman"/>
          <w:sz w:val="24"/>
          <w:szCs w:val="24"/>
        </w:rPr>
        <w:t xml:space="preserve"> </w:t>
      </w:r>
      <w:r w:rsidRPr="00556A63">
        <w:rPr>
          <w:rFonts w:ascii="Times New Roman" w:hAnsi="Times New Roman" w:cs="Times New Roman"/>
          <w:sz w:val="24"/>
          <w:szCs w:val="24"/>
        </w:rPr>
        <w:t>The Federal Communications Commission ("FCC") requires a M</w:t>
      </w:r>
      <w:r>
        <w:rPr>
          <w:rFonts w:ascii="Times New Roman" w:hAnsi="Times New Roman" w:cs="Times New Roman"/>
          <w:sz w:val="24"/>
          <w:szCs w:val="24"/>
        </w:rPr>
        <w:t>onths-To-Exhaust (“M</w:t>
      </w:r>
      <w:r w:rsidRPr="00556A63">
        <w:rPr>
          <w:rFonts w:ascii="Times New Roman" w:hAnsi="Times New Roman" w:cs="Times New Roman"/>
          <w:sz w:val="24"/>
          <w:szCs w:val="24"/>
        </w:rPr>
        <w:t>TE</w:t>
      </w:r>
      <w:r>
        <w:rPr>
          <w:rFonts w:ascii="Times New Roman" w:hAnsi="Times New Roman" w:cs="Times New Roman"/>
          <w:sz w:val="24"/>
          <w:szCs w:val="24"/>
        </w:rPr>
        <w:t>”)</w:t>
      </w:r>
      <w:r w:rsidRPr="00556A63">
        <w:rPr>
          <w:rFonts w:ascii="Times New Roman" w:hAnsi="Times New Roman" w:cs="Times New Roman"/>
          <w:sz w:val="24"/>
          <w:szCs w:val="24"/>
        </w:rPr>
        <w:t xml:space="preserve"> of six months or</w:t>
      </w:r>
      <w:r>
        <w:rPr>
          <w:rFonts w:ascii="Times New Roman" w:hAnsi="Times New Roman" w:cs="Times New Roman"/>
          <w:sz w:val="24"/>
          <w:szCs w:val="24"/>
        </w:rPr>
        <w:t xml:space="preserve"> </w:t>
      </w:r>
      <w:r w:rsidRPr="00556A63">
        <w:rPr>
          <w:rFonts w:ascii="Times New Roman" w:hAnsi="Times New Roman" w:cs="Times New Roman"/>
          <w:sz w:val="24"/>
          <w:szCs w:val="24"/>
        </w:rPr>
        <w:t>less</w:t>
      </w:r>
      <w:r>
        <w:rPr>
          <w:rFonts w:ascii="Times New Roman" w:hAnsi="Times New Roman" w:cs="Times New Roman"/>
          <w:sz w:val="24"/>
          <w:szCs w:val="24"/>
        </w:rPr>
        <w:t>,</w:t>
      </w:r>
      <w:r w:rsidRPr="00556A63">
        <w:rPr>
          <w:rFonts w:ascii="Times New Roman" w:hAnsi="Times New Roman" w:cs="Times New Roman"/>
          <w:sz w:val="24"/>
          <w:szCs w:val="24"/>
        </w:rPr>
        <w:t xml:space="preserve"> and </w:t>
      </w:r>
      <w:r>
        <w:rPr>
          <w:rFonts w:ascii="Times New Roman" w:hAnsi="Times New Roman" w:cs="Times New Roman"/>
          <w:sz w:val="24"/>
          <w:szCs w:val="24"/>
        </w:rPr>
        <w:t xml:space="preserve">Little Miami </w:t>
      </w:r>
      <w:r w:rsidRPr="00556A63">
        <w:rPr>
          <w:rFonts w:ascii="Times New Roman" w:hAnsi="Times New Roman" w:cs="Times New Roman"/>
          <w:sz w:val="24"/>
          <w:szCs w:val="24"/>
        </w:rPr>
        <w:t xml:space="preserve">is now </w:t>
      </w:r>
      <w:r w:rsidRPr="000B1B4D">
        <w:rPr>
          <w:rFonts w:ascii="Times New Roman" w:hAnsi="Times New Roman" w:cs="Times New Roman"/>
          <w:sz w:val="24"/>
          <w:szCs w:val="24"/>
        </w:rPr>
        <w:t>at 274.10 months</w:t>
      </w:r>
      <w:r w:rsidRPr="00556A63">
        <w:rPr>
          <w:rFonts w:ascii="Times New Roman" w:hAnsi="Times New Roman" w:cs="Times New Roman"/>
          <w:sz w:val="24"/>
          <w:szCs w:val="24"/>
        </w:rPr>
        <w:t xml:space="preserve"> for the </w:t>
      </w:r>
      <w:r>
        <w:rPr>
          <w:rFonts w:ascii="Times New Roman" w:hAnsi="Times New Roman" w:cs="Times New Roman"/>
          <w:sz w:val="24"/>
          <w:szCs w:val="24"/>
        </w:rPr>
        <w:t xml:space="preserve">Fayetteville </w:t>
      </w:r>
      <w:r w:rsidRPr="00556A63">
        <w:rPr>
          <w:rFonts w:ascii="Times New Roman" w:hAnsi="Times New Roman" w:cs="Times New Roman"/>
          <w:sz w:val="24"/>
          <w:szCs w:val="24"/>
        </w:rPr>
        <w:t xml:space="preserve">rate center. </w:t>
      </w:r>
    </w:p>
    <w:p w:rsidR="00C26BCE" w:rsidRPr="001B2AF9" w:rsidRDefault="00C26BCE" w:rsidP="00C26BCE">
      <w:pPr>
        <w:autoSpaceDE w:val="0"/>
        <w:autoSpaceDN w:val="0"/>
        <w:adjustRightInd w:val="0"/>
        <w:spacing w:line="480" w:lineRule="auto"/>
        <w:ind w:firstLine="720"/>
        <w:jc w:val="both"/>
        <w:rPr>
          <w:rFonts w:ascii="Times New Roman" w:hAnsi="Times New Roman" w:cs="Times New Roman"/>
          <w:sz w:val="24"/>
          <w:szCs w:val="24"/>
        </w:rPr>
      </w:pPr>
      <w:r w:rsidRPr="001B2AF9">
        <w:rPr>
          <w:rFonts w:ascii="Times New Roman" w:hAnsi="Times New Roman" w:cs="Times New Roman"/>
          <w:sz w:val="24"/>
          <w:szCs w:val="24"/>
        </w:rPr>
        <w:t xml:space="preserve">The FCC’s rules set forth the instant procedure for state commission review of a denial of a numbering resource request. </w:t>
      </w:r>
      <w:r>
        <w:rPr>
          <w:rFonts w:ascii="Times New Roman" w:hAnsi="Times New Roman" w:cs="Times New Roman"/>
          <w:sz w:val="24"/>
          <w:szCs w:val="24"/>
        </w:rPr>
        <w:t xml:space="preserve"> </w:t>
      </w:r>
      <w:r w:rsidRPr="001B2AF9">
        <w:rPr>
          <w:rFonts w:ascii="Times New Roman" w:hAnsi="Times New Roman" w:cs="Times New Roman"/>
          <w:sz w:val="24"/>
          <w:szCs w:val="24"/>
        </w:rPr>
        <w:t>47 C</w:t>
      </w:r>
      <w:r>
        <w:rPr>
          <w:rFonts w:ascii="Times New Roman" w:hAnsi="Times New Roman" w:cs="Times New Roman"/>
          <w:sz w:val="24"/>
          <w:szCs w:val="24"/>
        </w:rPr>
        <w:t>.</w:t>
      </w:r>
      <w:r w:rsidRPr="001B2AF9">
        <w:rPr>
          <w:rFonts w:ascii="Times New Roman" w:hAnsi="Times New Roman" w:cs="Times New Roman"/>
          <w:sz w:val="24"/>
          <w:szCs w:val="24"/>
        </w:rPr>
        <w:t>F</w:t>
      </w:r>
      <w:r>
        <w:rPr>
          <w:rFonts w:ascii="Times New Roman" w:hAnsi="Times New Roman" w:cs="Times New Roman"/>
          <w:sz w:val="24"/>
          <w:szCs w:val="24"/>
        </w:rPr>
        <w:t>.</w:t>
      </w:r>
      <w:r w:rsidRPr="001B2AF9">
        <w:rPr>
          <w:rFonts w:ascii="Times New Roman" w:hAnsi="Times New Roman" w:cs="Times New Roman"/>
          <w:sz w:val="24"/>
          <w:szCs w:val="24"/>
        </w:rPr>
        <w:t>R</w:t>
      </w:r>
      <w:r>
        <w:rPr>
          <w:rFonts w:ascii="Times New Roman" w:hAnsi="Times New Roman" w:cs="Times New Roman"/>
          <w:sz w:val="24"/>
          <w:szCs w:val="24"/>
        </w:rPr>
        <w:t>.</w:t>
      </w:r>
      <w:r w:rsidRPr="001B2AF9">
        <w:rPr>
          <w:rFonts w:ascii="Times New Roman" w:hAnsi="Times New Roman" w:cs="Times New Roman"/>
          <w:sz w:val="24"/>
          <w:szCs w:val="24"/>
        </w:rPr>
        <w:t xml:space="preserve"> § 52.15(g)(3)(iv). </w:t>
      </w:r>
      <w:r>
        <w:rPr>
          <w:rFonts w:ascii="Times New Roman" w:hAnsi="Times New Roman" w:cs="Times New Roman"/>
          <w:sz w:val="24"/>
          <w:szCs w:val="24"/>
        </w:rPr>
        <w:t xml:space="preserve"> </w:t>
      </w:r>
      <w:r w:rsidRPr="001B2AF9">
        <w:rPr>
          <w:rFonts w:ascii="Times New Roman" w:hAnsi="Times New Roman" w:cs="Times New Roman"/>
          <w:sz w:val="24"/>
          <w:szCs w:val="24"/>
        </w:rPr>
        <w:t xml:space="preserve">The FCC’s rules allow a state commission to "overturn the NANPA’s decision to withhold numbering resources from the carrier based on its determination that the carrier has demonstrated a verifiable need for numbering resources and has exhausted all other available remedies." </w:t>
      </w:r>
      <w:r>
        <w:rPr>
          <w:rFonts w:ascii="Times New Roman" w:hAnsi="Times New Roman" w:cs="Times New Roman"/>
          <w:sz w:val="24"/>
          <w:szCs w:val="24"/>
        </w:rPr>
        <w:t xml:space="preserve"> </w:t>
      </w:r>
      <w:r w:rsidRPr="001B2AF9">
        <w:rPr>
          <w:rFonts w:ascii="Times New Roman" w:hAnsi="Times New Roman" w:cs="Times New Roman"/>
          <w:sz w:val="24"/>
          <w:szCs w:val="24"/>
        </w:rPr>
        <w:t>47 C</w:t>
      </w:r>
      <w:r>
        <w:rPr>
          <w:rFonts w:ascii="Times New Roman" w:hAnsi="Times New Roman" w:cs="Times New Roman"/>
          <w:sz w:val="24"/>
          <w:szCs w:val="24"/>
        </w:rPr>
        <w:t>.</w:t>
      </w:r>
      <w:r w:rsidRPr="001B2AF9">
        <w:rPr>
          <w:rFonts w:ascii="Times New Roman" w:hAnsi="Times New Roman" w:cs="Times New Roman"/>
          <w:sz w:val="24"/>
          <w:szCs w:val="24"/>
        </w:rPr>
        <w:t>F</w:t>
      </w:r>
      <w:r>
        <w:rPr>
          <w:rFonts w:ascii="Times New Roman" w:hAnsi="Times New Roman" w:cs="Times New Roman"/>
          <w:sz w:val="24"/>
          <w:szCs w:val="24"/>
        </w:rPr>
        <w:t>.</w:t>
      </w:r>
      <w:r w:rsidRPr="001B2AF9">
        <w:rPr>
          <w:rFonts w:ascii="Times New Roman" w:hAnsi="Times New Roman" w:cs="Times New Roman"/>
          <w:sz w:val="24"/>
          <w:szCs w:val="24"/>
        </w:rPr>
        <w:t>R</w:t>
      </w:r>
      <w:r>
        <w:rPr>
          <w:rFonts w:ascii="Times New Roman" w:hAnsi="Times New Roman" w:cs="Times New Roman"/>
          <w:sz w:val="24"/>
          <w:szCs w:val="24"/>
        </w:rPr>
        <w:t>.</w:t>
      </w:r>
      <w:r w:rsidRPr="001B2AF9">
        <w:rPr>
          <w:rFonts w:ascii="Times New Roman" w:hAnsi="Times New Roman" w:cs="Times New Roman"/>
          <w:sz w:val="24"/>
          <w:szCs w:val="24"/>
        </w:rPr>
        <w:t xml:space="preserve"> § 52.15(g)(4). The FCC Report and Order adopting this rule elaborates as follows: </w:t>
      </w:r>
    </w:p>
    <w:p w:rsidR="00C26BCE" w:rsidRDefault="00C26BCE" w:rsidP="00C26BCE">
      <w:pPr>
        <w:autoSpaceDE w:val="0"/>
        <w:autoSpaceDN w:val="0"/>
        <w:adjustRightInd w:val="0"/>
        <w:spacing w:line="240" w:lineRule="auto"/>
        <w:ind w:left="240"/>
        <w:jc w:val="both"/>
        <w:rPr>
          <w:rFonts w:ascii="Times New Roman" w:hAnsi="Times New Roman" w:cs="Times New Roman"/>
          <w:sz w:val="24"/>
          <w:szCs w:val="24"/>
        </w:rPr>
      </w:pPr>
      <w:r>
        <w:rPr>
          <w:rFonts w:ascii="Times New Roman" w:hAnsi="Times New Roman" w:cs="Times New Roman"/>
          <w:sz w:val="24"/>
          <w:szCs w:val="24"/>
        </w:rPr>
        <w:t>We therefore clarify that states may also grant relief if a carrier demonstrates that it has   received a customer request for numbering resources in a given rate center that it cannot meet with its current inventory. Carriers may demonstrate such a need by providing the state with documentation of the customer request and current proof of utilization in the rate center. States may not accommodate requests for specific numbers (i.e., vanity numbers), but may grant requests for customers seeking contiguous blocks of numbers.</w:t>
      </w:r>
    </w:p>
    <w:p w:rsidR="00C26BCE" w:rsidRDefault="00C26BCE" w:rsidP="00C26BCE">
      <w:pPr>
        <w:autoSpaceDE w:val="0"/>
        <w:autoSpaceDN w:val="0"/>
        <w:adjustRightInd w:val="0"/>
        <w:spacing w:line="240" w:lineRule="auto"/>
        <w:jc w:val="both"/>
        <w:rPr>
          <w:rFonts w:ascii="Times New Roman" w:hAnsi="Times New Roman" w:cs="Times New Roman"/>
          <w:sz w:val="24"/>
          <w:szCs w:val="24"/>
        </w:rPr>
      </w:pP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i/>
          <w:iCs/>
          <w:sz w:val="24"/>
          <w:szCs w:val="24"/>
        </w:rPr>
        <w:t>Third Report and Order and Second Order on Reconsideration, Number Resource Optimization</w:t>
      </w:r>
      <w:r>
        <w:rPr>
          <w:rFonts w:ascii="Times New Roman" w:hAnsi="Times New Roman" w:cs="Times New Roman"/>
          <w:sz w:val="24"/>
          <w:szCs w:val="24"/>
        </w:rPr>
        <w:t>,</w:t>
      </w: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FCC 01-362, CC Docket Nos. 96-98 and 99-200, ¶ 64 (December 28, 2001).</w:t>
      </w:r>
    </w:p>
    <w:p w:rsidR="00C26BCE" w:rsidRDefault="00C26BCE" w:rsidP="00C26BCE">
      <w:pPr>
        <w:pStyle w:val="Default"/>
        <w:spacing w:line="480" w:lineRule="auto"/>
        <w:ind w:firstLine="720"/>
        <w:jc w:val="both"/>
        <w:rPr>
          <w:color w:val="auto"/>
        </w:rPr>
      </w:pPr>
      <w:r>
        <w:rPr>
          <w:color w:val="auto"/>
        </w:rPr>
        <w:t>Because</w:t>
      </w:r>
      <w:r w:rsidRPr="001B2AF9">
        <w:rPr>
          <w:color w:val="auto"/>
        </w:rPr>
        <w:t xml:space="preserve"> </w:t>
      </w:r>
      <w:r>
        <w:rPr>
          <w:color w:val="auto"/>
        </w:rPr>
        <w:t xml:space="preserve">Little Miami </w:t>
      </w:r>
      <w:r w:rsidRPr="001B2AF9">
        <w:rPr>
          <w:color w:val="auto"/>
        </w:rPr>
        <w:t>do</w:t>
      </w:r>
      <w:r>
        <w:rPr>
          <w:color w:val="auto"/>
        </w:rPr>
        <w:t>es</w:t>
      </w:r>
      <w:r w:rsidRPr="001B2AF9">
        <w:rPr>
          <w:color w:val="auto"/>
        </w:rPr>
        <w:t xml:space="preserve"> not meet the PA utilization guidelines needed to obtain a new LRN in Fayetteville, O</w:t>
      </w:r>
      <w:r>
        <w:rPr>
          <w:color w:val="auto"/>
        </w:rPr>
        <w:t xml:space="preserve">hio, it is </w:t>
      </w:r>
      <w:r w:rsidRPr="001B2AF9">
        <w:rPr>
          <w:color w:val="auto"/>
        </w:rPr>
        <w:t xml:space="preserve">requesting waiver in the form of an administrative order from the </w:t>
      </w:r>
      <w:r>
        <w:rPr>
          <w:color w:val="auto"/>
        </w:rPr>
        <w:t>C</w:t>
      </w:r>
      <w:r w:rsidRPr="001B2AF9">
        <w:rPr>
          <w:color w:val="auto"/>
        </w:rPr>
        <w:t xml:space="preserve">ommission. </w:t>
      </w:r>
      <w:r>
        <w:rPr>
          <w:color w:val="auto"/>
        </w:rPr>
        <w:t xml:space="preserve"> Little Miami </w:t>
      </w:r>
      <w:r w:rsidRPr="001B2AF9">
        <w:rPr>
          <w:color w:val="auto"/>
        </w:rPr>
        <w:t xml:space="preserve">is committing to return the LRN and all associated number blocks to PA once </w:t>
      </w:r>
      <w:r>
        <w:rPr>
          <w:color w:val="auto"/>
        </w:rPr>
        <w:t xml:space="preserve">the company has </w:t>
      </w:r>
      <w:r w:rsidRPr="001B2AF9">
        <w:rPr>
          <w:color w:val="auto"/>
        </w:rPr>
        <w:t xml:space="preserve">completed </w:t>
      </w:r>
      <w:r>
        <w:rPr>
          <w:color w:val="auto"/>
        </w:rPr>
        <w:t xml:space="preserve">the </w:t>
      </w:r>
      <w:r w:rsidRPr="001B2AF9">
        <w:rPr>
          <w:color w:val="auto"/>
        </w:rPr>
        <w:t>full migration and decommission</w:t>
      </w:r>
      <w:r>
        <w:rPr>
          <w:color w:val="auto"/>
        </w:rPr>
        <w:t>ing of</w:t>
      </w:r>
      <w:r w:rsidRPr="001B2AF9">
        <w:rPr>
          <w:color w:val="auto"/>
        </w:rPr>
        <w:t xml:space="preserve"> the legacy switch. </w:t>
      </w:r>
      <w:r>
        <w:rPr>
          <w:color w:val="auto"/>
        </w:rPr>
        <w:t xml:space="preserve"> Upon completion of the migration, Little Miami </w:t>
      </w:r>
      <w:r w:rsidRPr="001B2AF9">
        <w:rPr>
          <w:color w:val="auto"/>
        </w:rPr>
        <w:t>will return this new code to Neu</w:t>
      </w:r>
      <w:r>
        <w:rPr>
          <w:color w:val="auto"/>
        </w:rPr>
        <w:t>s</w:t>
      </w:r>
      <w:r w:rsidRPr="001B2AF9">
        <w:rPr>
          <w:color w:val="auto"/>
        </w:rPr>
        <w:t xml:space="preserve">tar and the number pooling administrator. </w:t>
      </w:r>
    </w:p>
    <w:p w:rsidR="00C26BCE" w:rsidRPr="001B2AF9" w:rsidRDefault="00C26BCE" w:rsidP="00C26BCE">
      <w:pPr>
        <w:pStyle w:val="Default"/>
        <w:spacing w:line="480" w:lineRule="auto"/>
        <w:ind w:firstLine="720"/>
        <w:jc w:val="both"/>
        <w:rPr>
          <w:color w:val="auto"/>
        </w:rPr>
      </w:pPr>
      <w:r>
        <w:rPr>
          <w:color w:val="auto"/>
        </w:rPr>
        <w:t>Little Miami i</w:t>
      </w:r>
      <w:r w:rsidRPr="001B2AF9">
        <w:rPr>
          <w:color w:val="auto"/>
        </w:rPr>
        <w:t xml:space="preserve">s anticipating the full migration and decommission of the legacy switch within </w:t>
      </w:r>
      <w:r>
        <w:rPr>
          <w:color w:val="auto"/>
        </w:rPr>
        <w:t>five</w:t>
      </w:r>
      <w:r w:rsidRPr="001B2AF9">
        <w:rPr>
          <w:color w:val="auto"/>
        </w:rPr>
        <w:t xml:space="preserve"> years of implementation of the new switch. </w:t>
      </w:r>
      <w:r>
        <w:rPr>
          <w:color w:val="auto"/>
        </w:rPr>
        <w:t xml:space="preserve"> </w:t>
      </w:r>
      <w:r w:rsidRPr="001B2AF9">
        <w:rPr>
          <w:color w:val="auto"/>
        </w:rPr>
        <w:t xml:space="preserve">If unforeseen circumstances arise and </w:t>
      </w:r>
      <w:r>
        <w:rPr>
          <w:color w:val="auto"/>
        </w:rPr>
        <w:t xml:space="preserve">Little Miami </w:t>
      </w:r>
      <w:r w:rsidRPr="001B2AF9">
        <w:rPr>
          <w:color w:val="auto"/>
        </w:rPr>
        <w:t>does not meet this deadline</w:t>
      </w:r>
      <w:r>
        <w:rPr>
          <w:color w:val="auto"/>
        </w:rPr>
        <w:t>,</w:t>
      </w:r>
      <w:r w:rsidRPr="001B2AF9">
        <w:rPr>
          <w:color w:val="auto"/>
        </w:rPr>
        <w:t xml:space="preserve"> </w:t>
      </w:r>
      <w:r>
        <w:rPr>
          <w:color w:val="auto"/>
        </w:rPr>
        <w:t xml:space="preserve">it </w:t>
      </w:r>
      <w:r w:rsidRPr="001B2AF9">
        <w:rPr>
          <w:color w:val="auto"/>
        </w:rPr>
        <w:t xml:space="preserve">will request an extension from the </w:t>
      </w:r>
      <w:r>
        <w:rPr>
          <w:color w:val="auto"/>
        </w:rPr>
        <w:t>C</w:t>
      </w:r>
      <w:r w:rsidRPr="001B2AF9">
        <w:rPr>
          <w:color w:val="auto"/>
        </w:rPr>
        <w:t xml:space="preserve">ommission. </w:t>
      </w:r>
    </w:p>
    <w:p w:rsidR="00C26BCE" w:rsidRPr="001B2AF9" w:rsidRDefault="00C26BCE" w:rsidP="00C26BCE">
      <w:pPr>
        <w:pStyle w:val="Default"/>
        <w:spacing w:line="480" w:lineRule="auto"/>
        <w:ind w:firstLine="720"/>
        <w:jc w:val="both"/>
        <w:rPr>
          <w:color w:val="auto"/>
        </w:rPr>
      </w:pPr>
      <w:r>
        <w:rPr>
          <w:color w:val="auto"/>
        </w:rPr>
        <w:lastRenderedPageBreak/>
        <w:t xml:space="preserve">Little Miami </w:t>
      </w:r>
      <w:r w:rsidRPr="001B2AF9">
        <w:rPr>
          <w:color w:val="auto"/>
        </w:rPr>
        <w:t xml:space="preserve">is requesting a full code be assigned and will retain all 10 blocks to prevent contamination and assignment of numbers within the </w:t>
      </w:r>
      <w:r>
        <w:rPr>
          <w:color w:val="auto"/>
        </w:rPr>
        <w:t>513-999</w:t>
      </w:r>
      <w:r w:rsidRPr="001B2AF9">
        <w:rPr>
          <w:color w:val="auto"/>
        </w:rPr>
        <w:t xml:space="preserve">. </w:t>
      </w:r>
      <w:r>
        <w:rPr>
          <w:color w:val="auto"/>
        </w:rPr>
        <w:t xml:space="preserve"> Little Miami </w:t>
      </w:r>
      <w:r w:rsidRPr="001B2AF9">
        <w:rPr>
          <w:color w:val="auto"/>
        </w:rPr>
        <w:t xml:space="preserve">will only use numbers for LRN and testing purposes and will ensure all other numbers are blocked so a smooth relinquishment of the </w:t>
      </w:r>
      <w:r>
        <w:rPr>
          <w:color w:val="auto"/>
        </w:rPr>
        <w:t xml:space="preserve">513-999 </w:t>
      </w:r>
      <w:r w:rsidRPr="001B2AF9">
        <w:rPr>
          <w:color w:val="auto"/>
        </w:rPr>
        <w:t xml:space="preserve">can happen when </w:t>
      </w:r>
      <w:r>
        <w:rPr>
          <w:color w:val="auto"/>
        </w:rPr>
        <w:t xml:space="preserve">the existing </w:t>
      </w:r>
      <w:r w:rsidRPr="001B2AF9">
        <w:rPr>
          <w:color w:val="auto"/>
        </w:rPr>
        <w:t xml:space="preserve">legacy switch is </w:t>
      </w:r>
      <w:r>
        <w:rPr>
          <w:color w:val="auto"/>
        </w:rPr>
        <w:t>d</w:t>
      </w:r>
      <w:r w:rsidRPr="001B2AF9">
        <w:rPr>
          <w:color w:val="auto"/>
        </w:rPr>
        <w:t xml:space="preserve">ecommissioned. </w:t>
      </w:r>
      <w:r>
        <w:rPr>
          <w:color w:val="auto"/>
        </w:rPr>
        <w:t xml:space="preserve"> </w:t>
      </w:r>
      <w:r w:rsidRPr="001B2AF9">
        <w:rPr>
          <w:color w:val="auto"/>
        </w:rPr>
        <w:t xml:space="preserve">This </w:t>
      </w:r>
      <w:r>
        <w:rPr>
          <w:color w:val="auto"/>
        </w:rPr>
        <w:t xml:space="preserve">approach </w:t>
      </w:r>
      <w:r w:rsidRPr="001B2AF9">
        <w:rPr>
          <w:color w:val="auto"/>
        </w:rPr>
        <w:t xml:space="preserve">will prevent other blocks from being assigned to other carriers and will help ensure the code can be repurposed in the future in another rate center within the NPA boundary. </w:t>
      </w:r>
    </w:p>
    <w:p w:rsidR="00C26BCE" w:rsidRDefault="00C26BCE" w:rsidP="00C26BCE">
      <w:pPr>
        <w:pStyle w:val="Default"/>
        <w:spacing w:line="480" w:lineRule="auto"/>
        <w:ind w:firstLine="720"/>
        <w:jc w:val="both"/>
        <w:rPr>
          <w:color w:val="auto"/>
        </w:rPr>
      </w:pPr>
      <w:r w:rsidRPr="001B2AF9">
        <w:rPr>
          <w:color w:val="auto"/>
        </w:rPr>
        <w:t xml:space="preserve">This installation </w:t>
      </w:r>
      <w:r>
        <w:rPr>
          <w:color w:val="auto"/>
        </w:rPr>
        <w:t xml:space="preserve">of the Metaswitch </w:t>
      </w:r>
      <w:r w:rsidRPr="001B2AF9">
        <w:rPr>
          <w:color w:val="auto"/>
        </w:rPr>
        <w:t xml:space="preserve">represents a significant investment in </w:t>
      </w:r>
      <w:r>
        <w:rPr>
          <w:color w:val="auto"/>
        </w:rPr>
        <w:t xml:space="preserve">Ohio </w:t>
      </w:r>
      <w:r w:rsidRPr="001B2AF9">
        <w:rPr>
          <w:color w:val="auto"/>
        </w:rPr>
        <w:t xml:space="preserve">and </w:t>
      </w:r>
      <w:r>
        <w:rPr>
          <w:color w:val="auto"/>
        </w:rPr>
        <w:t xml:space="preserve">Little Miami </w:t>
      </w:r>
      <w:r w:rsidRPr="001B2AF9">
        <w:rPr>
          <w:color w:val="auto"/>
        </w:rPr>
        <w:t>hope</w:t>
      </w:r>
      <w:r>
        <w:rPr>
          <w:color w:val="auto"/>
        </w:rPr>
        <w:t>s</w:t>
      </w:r>
      <w:r w:rsidRPr="001B2AF9">
        <w:rPr>
          <w:color w:val="auto"/>
        </w:rPr>
        <w:t xml:space="preserve"> the </w:t>
      </w:r>
      <w:r>
        <w:rPr>
          <w:color w:val="auto"/>
        </w:rPr>
        <w:t>C</w:t>
      </w:r>
      <w:r w:rsidRPr="001B2AF9">
        <w:rPr>
          <w:color w:val="auto"/>
        </w:rPr>
        <w:t xml:space="preserve">ommission will support these investments by granting this waiver request. </w:t>
      </w:r>
    </w:p>
    <w:p w:rsidR="00C26BCE" w:rsidRPr="001B2AF9" w:rsidRDefault="00C26BCE" w:rsidP="00C26BCE">
      <w:pPr>
        <w:pStyle w:val="Default"/>
        <w:spacing w:line="480" w:lineRule="auto"/>
        <w:ind w:firstLine="720"/>
        <w:jc w:val="both"/>
        <w:rPr>
          <w:color w:val="auto"/>
        </w:rPr>
      </w:pPr>
      <w:r>
        <w:rPr>
          <w:color w:val="auto"/>
        </w:rPr>
        <w:t xml:space="preserve">Copies of the thousand-block application, the Months–To-Exhaust certification, and the Neustar’ s denial are attached and incorporated herein as Exhibits A, B and C, respectively. </w:t>
      </w:r>
    </w:p>
    <w:p w:rsidR="00C26BCE" w:rsidRDefault="00C26BCE" w:rsidP="00C26BCE">
      <w:pPr>
        <w:autoSpaceDE w:val="0"/>
        <w:autoSpaceDN w:val="0"/>
        <w:adjustRightInd w:val="0"/>
        <w:spacing w:line="480" w:lineRule="auto"/>
        <w:jc w:val="both"/>
        <w:rPr>
          <w:rFonts w:ascii="Times New Roman" w:hAnsi="Times New Roman" w:cs="Times New Roman"/>
          <w:sz w:val="24"/>
          <w:szCs w:val="24"/>
        </w:rPr>
      </w:pPr>
    </w:p>
    <w:p w:rsidR="00C26BCE" w:rsidRDefault="00C26BCE" w:rsidP="00C26BCE">
      <w:pPr>
        <w:autoSpaceDE w:val="0"/>
        <w:autoSpaceDN w:val="0"/>
        <w:adjustRightInd w:val="0"/>
        <w:spacing w:line="480" w:lineRule="auto"/>
        <w:ind w:left="5040"/>
        <w:rPr>
          <w:rFonts w:ascii="Times New Roman" w:hAnsi="Times New Roman" w:cs="Times New Roman"/>
          <w:sz w:val="24"/>
          <w:szCs w:val="24"/>
        </w:rPr>
      </w:pPr>
      <w:r>
        <w:rPr>
          <w:rFonts w:ascii="Times New Roman" w:hAnsi="Times New Roman" w:cs="Times New Roman"/>
          <w:sz w:val="24"/>
          <w:szCs w:val="24"/>
        </w:rPr>
        <w:t>Respectfully submitted,</w:t>
      </w:r>
    </w:p>
    <w:p w:rsidR="005E169A" w:rsidRDefault="005E169A" w:rsidP="00C26BCE">
      <w:pPr>
        <w:autoSpaceDE w:val="0"/>
        <w:autoSpaceDN w:val="0"/>
        <w:adjustRightInd w:val="0"/>
        <w:spacing w:line="480" w:lineRule="auto"/>
        <w:ind w:left="5040"/>
        <w:rPr>
          <w:rFonts w:ascii="Times New Roman" w:hAnsi="Times New Roman" w:cs="Times New Roman"/>
          <w:sz w:val="24"/>
          <w:szCs w:val="24"/>
        </w:rPr>
      </w:pP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/s/ Frank P. Darr (Sup. Ct. No. 0025469)</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McNees Wallace &amp; Nurick</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21 East State Street</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Columbus, Ohio 43215</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Telephone: 614-469-8000</w:t>
      </w:r>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Fax: 614-469-4653</w:t>
      </w:r>
    </w:p>
    <w:p w:rsidR="00C26BCE" w:rsidRDefault="001D308C" w:rsidP="00C26BCE">
      <w:pPr>
        <w:autoSpaceDE w:val="0"/>
        <w:autoSpaceDN w:val="0"/>
        <w:adjustRightInd w:val="0"/>
        <w:spacing w:line="240" w:lineRule="auto"/>
        <w:ind w:left="5040"/>
        <w:rPr>
          <w:rFonts w:ascii="Times New Roman" w:hAnsi="Times New Roman" w:cs="Times New Roman"/>
          <w:sz w:val="24"/>
          <w:szCs w:val="24"/>
        </w:rPr>
      </w:pPr>
      <w:hyperlink r:id="rId6" w:history="1">
        <w:r w:rsidR="00C26BCE" w:rsidRPr="00412FDB">
          <w:rPr>
            <w:rStyle w:val="Hyperlink"/>
            <w:rFonts w:ascii="Times New Roman" w:hAnsi="Times New Roman" w:cs="Times New Roman"/>
            <w:sz w:val="24"/>
            <w:szCs w:val="24"/>
          </w:rPr>
          <w:t>fdarr@mcneeslaw.com</w:t>
        </w:r>
      </w:hyperlink>
    </w:p>
    <w:p w:rsidR="00C26BCE" w:rsidRDefault="00C26BCE" w:rsidP="00C26BCE">
      <w:pPr>
        <w:autoSpaceDE w:val="0"/>
        <w:autoSpaceDN w:val="0"/>
        <w:adjustRightInd w:val="0"/>
        <w:spacing w:line="240" w:lineRule="auto"/>
        <w:ind w:left="5040"/>
        <w:rPr>
          <w:rFonts w:ascii="Times New Roman" w:hAnsi="Times New Roman" w:cs="Times New Roman"/>
          <w:sz w:val="24"/>
          <w:szCs w:val="24"/>
        </w:rPr>
      </w:pPr>
    </w:p>
    <w:p w:rsidR="00C26BCE" w:rsidRPr="00196B9D" w:rsidRDefault="00C26BCE" w:rsidP="00C26BCE">
      <w:pPr>
        <w:autoSpaceDE w:val="0"/>
        <w:autoSpaceDN w:val="0"/>
        <w:adjustRightInd w:val="0"/>
        <w:spacing w:line="240" w:lineRule="auto"/>
        <w:ind w:left="5040"/>
        <w:rPr>
          <w:rFonts w:ascii="Times New Roman" w:hAnsi="Times New Roman" w:cs="Times New Roman"/>
          <w:sz w:val="24"/>
          <w:szCs w:val="24"/>
        </w:rPr>
      </w:pPr>
      <w:r>
        <w:rPr>
          <w:rFonts w:ascii="Times New Roman" w:hAnsi="Times New Roman" w:cs="Times New Roman"/>
          <w:sz w:val="24"/>
          <w:szCs w:val="24"/>
        </w:rPr>
        <w:t>Counsel of Record for TDS</w:t>
      </w:r>
    </w:p>
    <w:p w:rsidR="00C26BCE" w:rsidRDefault="00C26BCE" w:rsidP="00C26BCE">
      <w:pPr>
        <w:autoSpaceDE w:val="0"/>
        <w:autoSpaceDN w:val="0"/>
        <w:adjustRightInd w:val="0"/>
        <w:spacing w:line="480" w:lineRule="auto"/>
        <w:rPr>
          <w:rFonts w:ascii="TimesNewRomanPSMT" w:hAnsi="TimesNewRomanPSMT" w:cs="TimesNewRomanPSMT"/>
          <w:sz w:val="24"/>
          <w:szCs w:val="24"/>
        </w:rPr>
      </w:pPr>
    </w:p>
    <w:p w:rsidR="001B2AF9" w:rsidRDefault="001B2AF9" w:rsidP="001B2AF9">
      <w:pPr>
        <w:autoSpaceDE w:val="0"/>
        <w:autoSpaceDN w:val="0"/>
        <w:adjustRightInd w:val="0"/>
        <w:spacing w:line="480" w:lineRule="auto"/>
        <w:rPr>
          <w:rFonts w:ascii="TimesNewRomanPSMT" w:hAnsi="TimesNewRomanPSMT" w:cs="TimesNewRomanPSMT"/>
          <w:sz w:val="24"/>
          <w:szCs w:val="24"/>
        </w:rPr>
      </w:pPr>
    </w:p>
    <w:sectPr w:rsidR="001B2AF9" w:rsidSect="005E16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8C" w:rsidRDefault="001D308C" w:rsidP="00196B9D">
      <w:pPr>
        <w:spacing w:line="240" w:lineRule="auto"/>
      </w:pPr>
      <w:r>
        <w:separator/>
      </w:r>
    </w:p>
  </w:endnote>
  <w:endnote w:type="continuationSeparator" w:id="0">
    <w:p w:rsidR="001D308C" w:rsidRDefault="001D308C" w:rsidP="00196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9D" w:rsidRPr="00A07830" w:rsidRDefault="006D50B1" w:rsidP="00A07830">
    <w:pPr>
      <w:pStyle w:val="Footer"/>
    </w:pPr>
    <w:r w:rsidRPr="006D50B1">
      <w:rPr>
        <w:noProof/>
        <w:vanish/>
        <w:sz w:val="16"/>
      </w:rPr>
      <w:t>{</w:t>
    </w:r>
    <w:r w:rsidRPr="006D50B1">
      <w:rPr>
        <w:noProof/>
        <w:sz w:val="16"/>
      </w:rPr>
      <w:t>C0102760:1</w:t>
    </w:r>
    <w:r w:rsidRPr="006D50B1">
      <w:rPr>
        <w:noProof/>
        <w:vanish/>
        <w:sz w:val="16"/>
      </w:rPr>
      <w:t>}</w:t>
    </w:r>
    <w:r w:rsidR="00A07830">
      <w:tab/>
    </w:r>
    <w:sdt>
      <w:sdtPr>
        <w:id w:val="-2003731811"/>
        <w:docPartObj>
          <w:docPartGallery w:val="Page Numbers (Bottom of Page)"/>
          <w:docPartUnique/>
        </w:docPartObj>
      </w:sdtPr>
      <w:sdtEndPr>
        <w:rPr>
          <w:noProof/>
        </w:rPr>
      </w:sdtEndPr>
      <w:sdtContent>
        <w:r w:rsidR="00196B9D" w:rsidRPr="00A07830">
          <w:fldChar w:fldCharType="begin"/>
        </w:r>
        <w:r w:rsidR="00196B9D" w:rsidRPr="00A07830">
          <w:instrText xml:space="preserve"> PAGE   \* MERGEFORMAT </w:instrText>
        </w:r>
        <w:r w:rsidR="00196B9D" w:rsidRPr="00A07830">
          <w:fldChar w:fldCharType="separate"/>
        </w:r>
        <w:r w:rsidR="00507650">
          <w:rPr>
            <w:noProof/>
          </w:rPr>
          <w:t>1</w:t>
        </w:r>
        <w:r w:rsidR="00196B9D" w:rsidRPr="00A07830">
          <w:rPr>
            <w:noProof/>
          </w:rPr>
          <w:fldChar w:fldCharType="end"/>
        </w:r>
      </w:sdtContent>
    </w:sdt>
  </w:p>
  <w:p w:rsidR="00196B9D" w:rsidRPr="00A07830" w:rsidRDefault="00196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8C" w:rsidRDefault="001D308C" w:rsidP="00196B9D">
      <w:pPr>
        <w:spacing w:line="240" w:lineRule="auto"/>
        <w:rPr>
          <w:noProof/>
        </w:rPr>
      </w:pPr>
      <w:r>
        <w:rPr>
          <w:noProof/>
        </w:rPr>
        <w:separator/>
      </w:r>
    </w:p>
  </w:footnote>
  <w:footnote w:type="continuationSeparator" w:id="0">
    <w:p w:rsidR="001D308C" w:rsidRDefault="001D308C" w:rsidP="00196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830" w:rsidRDefault="00A07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C3"/>
    <w:rsid w:val="00055F3A"/>
    <w:rsid w:val="000A3035"/>
    <w:rsid w:val="000A7E5A"/>
    <w:rsid w:val="000B1B4D"/>
    <w:rsid w:val="000E3CDC"/>
    <w:rsid w:val="000F2A88"/>
    <w:rsid w:val="00161B5B"/>
    <w:rsid w:val="00196B9D"/>
    <w:rsid w:val="001B2AF9"/>
    <w:rsid w:val="001D308C"/>
    <w:rsid w:val="00203B8E"/>
    <w:rsid w:val="002776DC"/>
    <w:rsid w:val="002E6610"/>
    <w:rsid w:val="002F0AF1"/>
    <w:rsid w:val="003728BC"/>
    <w:rsid w:val="003C0C51"/>
    <w:rsid w:val="003D7DEF"/>
    <w:rsid w:val="004538A0"/>
    <w:rsid w:val="00507650"/>
    <w:rsid w:val="00556A63"/>
    <w:rsid w:val="005E169A"/>
    <w:rsid w:val="006075EB"/>
    <w:rsid w:val="006B17C3"/>
    <w:rsid w:val="006D50B1"/>
    <w:rsid w:val="007401BD"/>
    <w:rsid w:val="007C40DF"/>
    <w:rsid w:val="007D72C8"/>
    <w:rsid w:val="007E288D"/>
    <w:rsid w:val="00865D6A"/>
    <w:rsid w:val="00945D45"/>
    <w:rsid w:val="0098526B"/>
    <w:rsid w:val="009A0BB1"/>
    <w:rsid w:val="00A07830"/>
    <w:rsid w:val="00B40DE6"/>
    <w:rsid w:val="00BE5D58"/>
    <w:rsid w:val="00BF2D2E"/>
    <w:rsid w:val="00C24683"/>
    <w:rsid w:val="00C26BCE"/>
    <w:rsid w:val="00CA069D"/>
    <w:rsid w:val="00F73EF0"/>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61647-2A5F-4A60-A3A8-74F14D5C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B8E"/>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6B9D"/>
    <w:pPr>
      <w:tabs>
        <w:tab w:val="center" w:pos="4680"/>
        <w:tab w:val="right" w:pos="9360"/>
      </w:tabs>
      <w:spacing w:line="240" w:lineRule="auto"/>
    </w:pPr>
  </w:style>
  <w:style w:type="character" w:customStyle="1" w:styleId="HeaderChar">
    <w:name w:val="Header Char"/>
    <w:basedOn w:val="DefaultParagraphFont"/>
    <w:link w:val="Header"/>
    <w:uiPriority w:val="99"/>
    <w:rsid w:val="00196B9D"/>
  </w:style>
  <w:style w:type="paragraph" w:styleId="Footer">
    <w:name w:val="footer"/>
    <w:basedOn w:val="Normal"/>
    <w:link w:val="FooterChar"/>
    <w:uiPriority w:val="99"/>
    <w:unhideWhenUsed/>
    <w:rsid w:val="00196B9D"/>
    <w:pPr>
      <w:tabs>
        <w:tab w:val="center" w:pos="4680"/>
        <w:tab w:val="right" w:pos="9360"/>
      </w:tabs>
      <w:spacing w:line="240" w:lineRule="auto"/>
    </w:pPr>
  </w:style>
  <w:style w:type="character" w:customStyle="1" w:styleId="FooterChar">
    <w:name w:val="Footer Char"/>
    <w:basedOn w:val="DefaultParagraphFont"/>
    <w:link w:val="Footer"/>
    <w:uiPriority w:val="99"/>
    <w:rsid w:val="00196B9D"/>
  </w:style>
  <w:style w:type="paragraph" w:styleId="BalloonText">
    <w:name w:val="Balloon Text"/>
    <w:basedOn w:val="Normal"/>
    <w:link w:val="BalloonTextChar"/>
    <w:uiPriority w:val="99"/>
    <w:semiHidden/>
    <w:unhideWhenUsed/>
    <w:rsid w:val="00945D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D45"/>
    <w:rPr>
      <w:rFonts w:ascii="Tahoma" w:hAnsi="Tahoma" w:cs="Tahoma"/>
      <w:sz w:val="16"/>
      <w:szCs w:val="16"/>
    </w:rPr>
  </w:style>
  <w:style w:type="character" w:styleId="Hyperlink">
    <w:name w:val="Hyperlink"/>
    <w:basedOn w:val="DefaultParagraphFont"/>
    <w:uiPriority w:val="99"/>
    <w:unhideWhenUsed/>
    <w:rsid w:val="00A07830"/>
    <w:rPr>
      <w:color w:val="0000FF" w:themeColor="hyperlink"/>
      <w:u w:val="single"/>
    </w:rPr>
  </w:style>
  <w:style w:type="character" w:customStyle="1" w:styleId="Mention1">
    <w:name w:val="Mention1"/>
    <w:basedOn w:val="DefaultParagraphFont"/>
    <w:uiPriority w:val="99"/>
    <w:semiHidden/>
    <w:unhideWhenUsed/>
    <w:rsid w:val="00A078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darr@mcneeslaw.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4420</Characters>
  <Application>Microsoft Office Word</Application>
  <DocSecurity>0</DocSecurity>
  <PresentationFormat>14|.DOCX</PresentationFormat>
  <Lines>36</Lines>
  <Paragraphs>10</Paragraphs>
  <ScaleCrop>false</ScaleCrop>
  <HeadingPairs>
    <vt:vector size="2" baseType="variant">
      <vt:variant>
        <vt:lpstr>Title</vt:lpstr>
      </vt:variant>
      <vt:variant>
        <vt:i4>1</vt:i4>
      </vt:variant>
    </vt:vector>
  </HeadingPairs>
  <TitlesOfParts>
    <vt:vector size="1" baseType="lpstr">
      <vt:lpstr>little miami; number petition (C0102760-1).DOCX</vt:lpstr>
    </vt:vector>
  </TitlesOfParts>
  <Company>TDS</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miami; number petition (C0102760-1).DOCX</dc:title>
  <dc:subject>C0102760:1</dc:subject>
  <dc:creator>Frank Darr</dc:creator>
  <cp:lastModifiedBy>Bowman, Karen</cp:lastModifiedBy>
  <cp:revision>2</cp:revision>
  <cp:lastPrinted>2017-06-29T14:02:00Z</cp:lastPrinted>
  <dcterms:created xsi:type="dcterms:W3CDTF">2017-06-30T14:13:00Z</dcterms:created>
  <dcterms:modified xsi:type="dcterms:W3CDTF">2017-06-30T14:13:00Z</dcterms:modified>
</cp:coreProperties>
</file>