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F5FA3" w:rsidRPr="00040BF5" w14:paraId="13AF6C6E" w14:textId="77777777">
      <w:pPr>
        <w:pStyle w:val="HTMLPreformatted"/>
        <w:jc w:val="center"/>
        <w:rPr>
          <w:rFonts w:ascii="Times New Roman" w:hAnsi="Times New Roman" w:cs="Times New Roman"/>
          <w:b/>
          <w:bCs/>
          <w:sz w:val="24"/>
          <w:szCs w:val="24"/>
        </w:rPr>
      </w:pPr>
      <w:r w:rsidRPr="00040BF5">
        <w:rPr>
          <w:rFonts w:ascii="Times New Roman" w:hAnsi="Times New Roman" w:cs="Times New Roman"/>
          <w:b/>
          <w:bCs/>
          <w:sz w:val="24"/>
          <w:szCs w:val="24"/>
        </w:rPr>
        <w:t>BEFORE</w:t>
      </w:r>
    </w:p>
    <w:p w:rsidR="008F5FA3" w:rsidRPr="00040BF5" w14:paraId="4BDF6465" w14:textId="77777777">
      <w:pPr>
        <w:pStyle w:val="HTMLPreformatted"/>
        <w:jc w:val="center"/>
        <w:rPr>
          <w:rFonts w:ascii="Times New Roman" w:hAnsi="Times New Roman" w:cs="Times New Roman"/>
          <w:sz w:val="24"/>
          <w:szCs w:val="24"/>
        </w:rPr>
      </w:pPr>
      <w:r w:rsidRPr="00040BF5">
        <w:rPr>
          <w:rFonts w:ascii="Times New Roman" w:hAnsi="Times New Roman" w:cs="Times New Roman"/>
          <w:b/>
          <w:bCs/>
          <w:sz w:val="24"/>
          <w:szCs w:val="24"/>
        </w:rPr>
        <w:t>THE PUBLIC UTILITIES COMMISSION OF OHIO</w:t>
      </w:r>
    </w:p>
    <w:p w:rsidR="008F5FA3" w:rsidRPr="00040BF5" w14:paraId="541B4584" w14:textId="77777777">
      <w:pPr>
        <w:pStyle w:val="HTMLPreformatted"/>
        <w:rPr>
          <w:rFonts w:ascii="Times New Roman" w:hAnsi="Times New Roman" w:cs="Times New Roman"/>
          <w:sz w:val="24"/>
          <w:szCs w:val="24"/>
        </w:rPr>
      </w:pPr>
    </w:p>
    <w:tbl>
      <w:tblPr>
        <w:tblW w:w="9092" w:type="dxa"/>
        <w:tblInd w:w="-90" w:type="dxa"/>
        <w:tblLook w:val="01E0"/>
      </w:tblPr>
      <w:tblGrid>
        <w:gridCol w:w="4332"/>
        <w:gridCol w:w="618"/>
        <w:gridCol w:w="4142"/>
      </w:tblGrid>
      <w:tr w14:paraId="4DED5F12" w14:textId="77777777" w:rsidTr="00176994">
        <w:tblPrEx>
          <w:tblW w:w="9092" w:type="dxa"/>
          <w:tblInd w:w="-90" w:type="dxa"/>
          <w:tblLook w:val="01E0"/>
        </w:tblPrEx>
        <w:trPr>
          <w:trHeight w:val="807"/>
        </w:trPr>
        <w:tc>
          <w:tcPr>
            <w:tcW w:w="4332" w:type="dxa"/>
            <w:shd w:val="clear" w:color="auto" w:fill="auto"/>
          </w:tcPr>
          <w:p w:rsidR="008F5FA3" w:rsidRPr="00040BF5" w14:paraId="3546B617" w14:textId="1C4113CF">
            <w:pPr>
              <w:pStyle w:val="HTMLPreformatted"/>
              <w:rPr>
                <w:rFonts w:ascii="Times New Roman" w:hAnsi="Times New Roman" w:cs="Times New Roman"/>
                <w:sz w:val="24"/>
                <w:szCs w:val="24"/>
              </w:rPr>
            </w:pPr>
            <w:r>
              <w:rPr>
                <w:rFonts w:ascii="Times New Roman" w:hAnsi="Times New Roman" w:cs="Times New Roman"/>
                <w:sz w:val="24"/>
                <w:szCs w:val="24"/>
              </w:rPr>
              <w:t>In the Matter of Inspire Energy Holdings, LLC</w:t>
            </w:r>
          </w:p>
        </w:tc>
        <w:tc>
          <w:tcPr>
            <w:tcW w:w="618" w:type="dxa"/>
            <w:shd w:val="clear" w:color="auto" w:fill="auto"/>
          </w:tcPr>
          <w:p w:rsidR="008F5FA3" w:rsidRPr="00040BF5" w14:paraId="74C461BA" w14:textId="77777777">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rsidR="008F5FA3" w:rsidRPr="00040BF5" w14:paraId="2CE60074" w14:textId="77777777">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rsidR="008F5FA3" w:rsidRPr="00040BF5" w14:paraId="2353C525" w14:textId="390AE4E5">
            <w:pPr>
              <w:pStyle w:val="HTMLPreformatted"/>
              <w:rPr>
                <w:rFonts w:ascii="Times New Roman" w:hAnsi="Times New Roman" w:cs="Times New Roman"/>
                <w:sz w:val="24"/>
                <w:szCs w:val="24"/>
              </w:rPr>
            </w:pPr>
          </w:p>
        </w:tc>
        <w:tc>
          <w:tcPr>
            <w:tcW w:w="4142" w:type="dxa"/>
            <w:shd w:val="clear" w:color="auto" w:fill="auto"/>
          </w:tcPr>
          <w:p w:rsidR="008F5FA3" w:rsidRPr="00040BF5" w14:paraId="3A93A9FF" w14:textId="6559FB5D">
            <w:pPr>
              <w:pStyle w:val="HTMLPreformatted"/>
              <w:rPr>
                <w:rFonts w:ascii="Times New Roman" w:hAnsi="Times New Roman" w:cs="Times New Roman"/>
                <w:sz w:val="24"/>
                <w:szCs w:val="24"/>
              </w:rPr>
            </w:pPr>
            <w:r w:rsidRPr="00040BF5">
              <w:rPr>
                <w:rFonts w:ascii="Times New Roman" w:hAnsi="Times New Roman" w:cs="Times New Roman"/>
                <w:sz w:val="24"/>
                <w:szCs w:val="24"/>
              </w:rPr>
              <w:t xml:space="preserve">Case No. </w:t>
            </w:r>
            <w:r w:rsidR="00DE79C2">
              <w:rPr>
                <w:rFonts w:ascii="Times New Roman" w:hAnsi="Times New Roman" w:cs="Times New Roman"/>
                <w:sz w:val="24"/>
                <w:szCs w:val="24"/>
              </w:rPr>
              <w:t>23-720-GE-UNC</w:t>
            </w:r>
          </w:p>
        </w:tc>
      </w:tr>
    </w:tbl>
    <w:p w:rsidR="008F5FA3" w:rsidRPr="00040BF5" w14:paraId="266521AA" w14:textId="77777777">
      <w:pPr>
        <w:pStyle w:val="HTMLPreformatted"/>
        <w:rPr>
          <w:rFonts w:ascii="Times New Roman" w:hAnsi="Times New Roman" w:cs="Times New Roman"/>
          <w:sz w:val="24"/>
          <w:szCs w:val="24"/>
        </w:rPr>
      </w:pPr>
    </w:p>
    <w:p w:rsidR="008F5FA3" w:rsidRPr="00040BF5" w14:paraId="10C92E5C" w14:textId="77777777">
      <w:pPr>
        <w:pStyle w:val="HTMLPreformatted"/>
        <w:pBdr>
          <w:top w:val="single" w:sz="12" w:space="1" w:color="auto"/>
        </w:pBdr>
        <w:rPr>
          <w:rFonts w:ascii="Times New Roman" w:hAnsi="Times New Roman" w:cs="Times New Roman"/>
          <w:sz w:val="24"/>
          <w:szCs w:val="24"/>
        </w:rPr>
      </w:pPr>
    </w:p>
    <w:p w:rsidR="008F5FA3" w:rsidRPr="00040BF5" w14:paraId="11042A5C" w14:textId="77777777">
      <w:pPr>
        <w:jc w:val="center"/>
        <w:rPr>
          <w:b/>
          <w:bCs/>
          <w:szCs w:val="24"/>
        </w:rPr>
      </w:pPr>
      <w:r w:rsidRPr="00040BF5">
        <w:rPr>
          <w:b/>
          <w:bCs/>
          <w:szCs w:val="24"/>
        </w:rPr>
        <w:t>MOTION TO INTERVENE</w:t>
      </w:r>
    </w:p>
    <w:p w:rsidR="008F5FA3" w:rsidRPr="00040BF5" w14:paraId="67D9C1F8" w14:textId="77777777">
      <w:pPr>
        <w:jc w:val="center"/>
        <w:rPr>
          <w:b/>
          <w:bCs/>
          <w:szCs w:val="24"/>
        </w:rPr>
      </w:pPr>
      <w:r w:rsidRPr="00040BF5">
        <w:rPr>
          <w:b/>
          <w:bCs/>
          <w:szCs w:val="24"/>
        </w:rPr>
        <w:t>BY</w:t>
      </w:r>
    </w:p>
    <w:p w:rsidR="008F5FA3" w:rsidRPr="00040BF5" w14:paraId="27F329ED" w14:textId="01171B04">
      <w:pPr>
        <w:jc w:val="center"/>
        <w:rPr>
          <w:b/>
          <w:bCs/>
          <w:szCs w:val="24"/>
        </w:rPr>
      </w:pPr>
      <w:r w:rsidRPr="00040BF5">
        <w:rPr>
          <w:b/>
          <w:bCs/>
          <w:szCs w:val="24"/>
        </w:rPr>
        <w:t>OFFICE OF THE OHIO CONSUMERS’ COUNSEL</w:t>
      </w:r>
    </w:p>
    <w:p w:rsidR="008F5FA3" w:rsidRPr="00040BF5" w14:paraId="369C32FA" w14:textId="77777777">
      <w:pPr>
        <w:pBdr>
          <w:bottom w:val="single" w:sz="12" w:space="1" w:color="auto"/>
        </w:pBdr>
        <w:tabs>
          <w:tab w:val="left" w:pos="4320"/>
        </w:tabs>
        <w:rPr>
          <w:szCs w:val="24"/>
        </w:rPr>
      </w:pPr>
    </w:p>
    <w:p w:rsidR="008F5FA3" w:rsidRPr="00040BF5" w14:paraId="215C7E68" w14:textId="77777777">
      <w:pPr>
        <w:tabs>
          <w:tab w:val="left" w:pos="4320"/>
        </w:tabs>
        <w:rPr>
          <w:szCs w:val="24"/>
        </w:rPr>
      </w:pPr>
    </w:p>
    <w:p w:rsidR="008F5FA3" w14:paraId="746A3099" w14:textId="1195A93A">
      <w:pPr>
        <w:pStyle w:val="BodyTextIndent3"/>
        <w:widowControl w:val="0"/>
        <w:spacing w:line="480" w:lineRule="auto"/>
        <w:ind w:right="-312"/>
        <w:rPr>
          <w:szCs w:val="24"/>
        </w:rPr>
      </w:pPr>
      <w:r w:rsidRPr="00040BF5">
        <w:rPr>
          <w:szCs w:val="24"/>
        </w:rPr>
        <w:t>The Office of the Ohio Consumers Counsel (“OCC”) moves to intervene</w:t>
      </w:r>
      <w:r>
        <w:rPr>
          <w:rStyle w:val="FootnoteReference"/>
          <w:szCs w:val="24"/>
        </w:rPr>
        <w:footnoteReference w:id="2"/>
      </w:r>
      <w:r w:rsidRPr="00040BF5" w:rsidR="002A1EED">
        <w:rPr>
          <w:szCs w:val="24"/>
        </w:rPr>
        <w:t xml:space="preserve"> </w:t>
      </w:r>
      <w:r w:rsidR="00811F84">
        <w:rPr>
          <w:szCs w:val="24"/>
        </w:rPr>
        <w:t xml:space="preserve">on behalf of Ohio consumers. In this matter, </w:t>
      </w:r>
      <w:r w:rsidRPr="00040BF5" w:rsidR="006B4111">
        <w:rPr>
          <w:szCs w:val="24"/>
        </w:rPr>
        <w:t xml:space="preserve">the Public Utilities Commission of Ohio (“PUCO”) </w:t>
      </w:r>
      <w:r w:rsidRPr="006C58F1" w:rsidR="006C58F1">
        <w:rPr>
          <w:szCs w:val="24"/>
        </w:rPr>
        <w:t xml:space="preserve">will </w:t>
      </w:r>
      <w:r w:rsidR="003022C4">
        <w:rPr>
          <w:szCs w:val="24"/>
        </w:rPr>
        <w:t xml:space="preserve">consider </w:t>
      </w:r>
      <w:r w:rsidR="00240E9D">
        <w:rPr>
          <w:szCs w:val="24"/>
        </w:rPr>
        <w:t>whether a Settlement between the PUCO Staff and the marketer is</w:t>
      </w:r>
      <w:r w:rsidR="003022C4">
        <w:rPr>
          <w:szCs w:val="24"/>
        </w:rPr>
        <w:t xml:space="preserve"> reasonable</w:t>
      </w:r>
      <w:r w:rsidR="00240E9D">
        <w:rPr>
          <w:szCs w:val="24"/>
        </w:rPr>
        <w:t>.</w:t>
      </w:r>
      <w:r w:rsidR="003022C4">
        <w:rPr>
          <w:szCs w:val="24"/>
        </w:rPr>
        <w:t xml:space="preserve"> </w:t>
      </w:r>
      <w:r w:rsidR="00240E9D">
        <w:rPr>
          <w:szCs w:val="24"/>
        </w:rPr>
        <w:t>The case involves issues of</w:t>
      </w:r>
      <w:r w:rsidR="003022C4">
        <w:rPr>
          <w:szCs w:val="24"/>
        </w:rPr>
        <w:t xml:space="preserve"> </w:t>
      </w:r>
      <w:r w:rsidR="00240E9D">
        <w:rPr>
          <w:szCs w:val="24"/>
        </w:rPr>
        <w:t>alleged</w:t>
      </w:r>
      <w:r w:rsidR="003022C4">
        <w:rPr>
          <w:szCs w:val="24"/>
        </w:rPr>
        <w:t xml:space="preserve"> </w:t>
      </w:r>
      <w:bookmarkStart w:id="0" w:name="_Hlk146723783"/>
      <w:r w:rsidRPr="006C58F1" w:rsidR="003022C4">
        <w:rPr>
          <w:szCs w:val="24"/>
        </w:rPr>
        <w:t xml:space="preserve">unfair, deceptive, and unconscionable acts </w:t>
      </w:r>
      <w:bookmarkEnd w:id="0"/>
      <w:r w:rsidRPr="006C58F1" w:rsidR="003022C4">
        <w:rPr>
          <w:szCs w:val="24"/>
        </w:rPr>
        <w:t xml:space="preserve">and practices </w:t>
      </w:r>
      <w:r w:rsidR="00811F84">
        <w:rPr>
          <w:szCs w:val="24"/>
        </w:rPr>
        <w:t>that</w:t>
      </w:r>
      <w:r w:rsidRPr="003022C4" w:rsidR="003022C4">
        <w:rPr>
          <w:szCs w:val="24"/>
        </w:rPr>
        <w:t xml:space="preserve"> </w:t>
      </w:r>
      <w:r w:rsidR="003022C4">
        <w:rPr>
          <w:szCs w:val="24"/>
        </w:rPr>
        <w:t>Inspire Energy Holdings, LLC</w:t>
      </w:r>
      <w:r w:rsidRPr="006C58F1" w:rsidR="003022C4">
        <w:rPr>
          <w:szCs w:val="24"/>
        </w:rPr>
        <w:t xml:space="preserve"> (“</w:t>
      </w:r>
      <w:r w:rsidR="003022C4">
        <w:rPr>
          <w:szCs w:val="24"/>
        </w:rPr>
        <w:t>Inspire Energy</w:t>
      </w:r>
      <w:r w:rsidRPr="006C58F1" w:rsidR="003022C4">
        <w:rPr>
          <w:szCs w:val="24"/>
        </w:rPr>
        <w:t>”)</w:t>
      </w:r>
      <w:r w:rsidR="003022C4">
        <w:rPr>
          <w:szCs w:val="24"/>
        </w:rPr>
        <w:t xml:space="preserve"> </w:t>
      </w:r>
      <w:r w:rsidR="0029365D">
        <w:rPr>
          <w:szCs w:val="24"/>
        </w:rPr>
        <w:t xml:space="preserve">allegedly </w:t>
      </w:r>
      <w:r w:rsidR="00811F84">
        <w:rPr>
          <w:szCs w:val="24"/>
        </w:rPr>
        <w:t xml:space="preserve">committed when it </w:t>
      </w:r>
      <w:r w:rsidRPr="006C58F1" w:rsidR="0029365D">
        <w:rPr>
          <w:szCs w:val="24"/>
        </w:rPr>
        <w:t>market</w:t>
      </w:r>
      <w:r w:rsidR="0029365D">
        <w:rPr>
          <w:szCs w:val="24"/>
        </w:rPr>
        <w:t xml:space="preserve">ed </w:t>
      </w:r>
      <w:r w:rsidR="00811F84">
        <w:rPr>
          <w:szCs w:val="24"/>
        </w:rPr>
        <w:t>and enrolled</w:t>
      </w:r>
      <w:r w:rsidRPr="006C58F1" w:rsidR="003022C4">
        <w:rPr>
          <w:szCs w:val="24"/>
        </w:rPr>
        <w:t xml:space="preserve"> Ohio</w:t>
      </w:r>
      <w:r w:rsidR="003022C4">
        <w:rPr>
          <w:szCs w:val="24"/>
        </w:rPr>
        <w:t xml:space="preserve"> electric and gas</w:t>
      </w:r>
      <w:r w:rsidRPr="006C58F1" w:rsidR="003022C4">
        <w:rPr>
          <w:szCs w:val="24"/>
        </w:rPr>
        <w:t xml:space="preserve"> consumers</w:t>
      </w:r>
      <w:r w:rsidR="003022C4">
        <w:rPr>
          <w:szCs w:val="24"/>
        </w:rPr>
        <w:t>.</w:t>
      </w:r>
      <w:r w:rsidR="001F745E">
        <w:rPr>
          <w:szCs w:val="24"/>
        </w:rPr>
        <w:t xml:space="preserve"> Consumers should not be “inspired” by this marketer </w:t>
      </w:r>
      <w:r w:rsidR="00C5464F">
        <w:rPr>
          <w:szCs w:val="24"/>
        </w:rPr>
        <w:t xml:space="preserve">inaptly </w:t>
      </w:r>
      <w:r w:rsidR="001F745E">
        <w:rPr>
          <w:szCs w:val="24"/>
        </w:rPr>
        <w:t>named Inspire.</w:t>
      </w:r>
    </w:p>
    <w:p w:rsidR="00605BA5" w:rsidP="00605BA5" w14:paraId="75EEBDBA" w14:textId="220FD4E8">
      <w:pPr>
        <w:pStyle w:val="BodyTextIndent3"/>
        <w:widowControl w:val="0"/>
        <w:spacing w:line="480" w:lineRule="auto"/>
        <w:ind w:right="-312"/>
        <w:rPr>
          <w:szCs w:val="24"/>
        </w:rPr>
      </w:pPr>
      <w:bookmarkStart w:id="1" w:name="_Hlk146833102"/>
      <w:bookmarkStart w:id="2" w:name="_Hlk146791220"/>
      <w:r>
        <w:rPr>
          <w:szCs w:val="24"/>
        </w:rPr>
        <w:t xml:space="preserve">The PUCO Staff and consumers accuse Inspire Energy of </w:t>
      </w:r>
      <w:r w:rsidRPr="00F5630A">
        <w:rPr>
          <w:szCs w:val="24"/>
        </w:rPr>
        <w:t xml:space="preserve">unfair, deceptive, and unconscionable acts </w:t>
      </w:r>
      <w:r>
        <w:rPr>
          <w:szCs w:val="24"/>
        </w:rPr>
        <w:t xml:space="preserve">and practices against Ohio consumers, including, but not limited to: </w:t>
      </w:r>
    </w:p>
    <w:p w:rsidR="00605BA5" w:rsidP="00605BA5" w14:paraId="62F18F24" w14:textId="77777777">
      <w:pPr>
        <w:pStyle w:val="BodyTextIndent3"/>
        <w:widowControl w:val="0"/>
        <w:numPr>
          <w:ilvl w:val="0"/>
          <w:numId w:val="10"/>
        </w:numPr>
        <w:spacing w:line="480" w:lineRule="auto"/>
        <w:ind w:left="1440" w:right="-312" w:hanging="720"/>
        <w:rPr>
          <w:szCs w:val="24"/>
        </w:rPr>
      </w:pPr>
      <w:r>
        <w:rPr>
          <w:szCs w:val="24"/>
        </w:rPr>
        <w:t>Marketing to consumers low introductory prices (as low as $59 per month) without informing consumers of the factors that will impact their future rates;</w:t>
      </w:r>
    </w:p>
    <w:p w:rsidR="00605BA5" w:rsidP="00605BA5" w14:paraId="680D3A9B" w14:textId="77777777">
      <w:pPr>
        <w:pStyle w:val="BodyTextIndent3"/>
        <w:widowControl w:val="0"/>
        <w:numPr>
          <w:ilvl w:val="0"/>
          <w:numId w:val="10"/>
        </w:numPr>
        <w:spacing w:line="480" w:lineRule="auto"/>
        <w:ind w:left="1440" w:right="-312" w:hanging="720"/>
        <w:rPr>
          <w:szCs w:val="24"/>
        </w:rPr>
      </w:pPr>
      <w:r>
        <w:rPr>
          <w:szCs w:val="24"/>
        </w:rPr>
        <w:t>N</w:t>
      </w:r>
      <w:r w:rsidRPr="00194939">
        <w:rPr>
          <w:szCs w:val="24"/>
        </w:rPr>
        <w:t>otif</w:t>
      </w:r>
      <w:r>
        <w:rPr>
          <w:szCs w:val="24"/>
        </w:rPr>
        <w:t>ying consumers, only after enrollment,</w:t>
      </w:r>
      <w:r w:rsidRPr="00194939">
        <w:rPr>
          <w:szCs w:val="24"/>
        </w:rPr>
        <w:t xml:space="preserve"> of unconscionably high </w:t>
      </w:r>
      <w:r>
        <w:rPr>
          <w:szCs w:val="24"/>
        </w:rPr>
        <w:t xml:space="preserve">future </w:t>
      </w:r>
      <w:r w:rsidRPr="00194939">
        <w:rPr>
          <w:szCs w:val="24"/>
        </w:rPr>
        <w:t>rate</w:t>
      </w:r>
      <w:r>
        <w:rPr>
          <w:szCs w:val="24"/>
        </w:rPr>
        <w:t>s (as high as $599 per month);</w:t>
      </w:r>
      <w:r w:rsidRPr="00194939">
        <w:rPr>
          <w:szCs w:val="24"/>
        </w:rPr>
        <w:t xml:space="preserve"> </w:t>
      </w:r>
    </w:p>
    <w:p w:rsidR="00605BA5" w:rsidP="00605BA5" w14:paraId="5E8E470A" w14:textId="77777777">
      <w:pPr>
        <w:pStyle w:val="BodyTextIndent3"/>
        <w:widowControl w:val="0"/>
        <w:numPr>
          <w:ilvl w:val="0"/>
          <w:numId w:val="10"/>
        </w:numPr>
        <w:spacing w:line="480" w:lineRule="auto"/>
        <w:ind w:left="1440" w:right="-312" w:hanging="720"/>
        <w:rPr>
          <w:szCs w:val="24"/>
        </w:rPr>
      </w:pPr>
      <w:r>
        <w:rPr>
          <w:szCs w:val="24"/>
        </w:rPr>
        <w:t>Fraudulently enrolling consumers;</w:t>
      </w:r>
    </w:p>
    <w:p w:rsidR="00605BA5" w:rsidP="00605BA5" w14:paraId="134838B5" w14:textId="77777777">
      <w:pPr>
        <w:pStyle w:val="BodyTextIndent3"/>
        <w:widowControl w:val="0"/>
        <w:numPr>
          <w:ilvl w:val="0"/>
          <w:numId w:val="10"/>
        </w:numPr>
        <w:spacing w:line="480" w:lineRule="auto"/>
        <w:ind w:left="1440" w:right="-312" w:hanging="720"/>
        <w:rPr>
          <w:szCs w:val="24"/>
        </w:rPr>
      </w:pPr>
      <w:r>
        <w:rPr>
          <w:szCs w:val="24"/>
        </w:rPr>
        <w:t xml:space="preserve">Marketing </w:t>
      </w:r>
      <w:r w:rsidRPr="00194939">
        <w:rPr>
          <w:szCs w:val="24"/>
        </w:rPr>
        <w:t>savings</w:t>
      </w:r>
      <w:r>
        <w:rPr>
          <w:szCs w:val="24"/>
        </w:rPr>
        <w:t xml:space="preserve"> and </w:t>
      </w:r>
      <w:r w:rsidRPr="00194939">
        <w:rPr>
          <w:szCs w:val="24"/>
        </w:rPr>
        <w:t xml:space="preserve">discounts </w:t>
      </w:r>
      <w:r>
        <w:rPr>
          <w:szCs w:val="24"/>
        </w:rPr>
        <w:t>to consumers when there were none;</w:t>
      </w:r>
      <w:r w:rsidRPr="00DC0C71">
        <w:rPr>
          <w:szCs w:val="24"/>
        </w:rPr>
        <w:t xml:space="preserve"> </w:t>
      </w:r>
      <w:r>
        <w:rPr>
          <w:szCs w:val="24"/>
        </w:rPr>
        <w:t>and</w:t>
      </w:r>
    </w:p>
    <w:p w:rsidR="00605BA5" w:rsidP="00605BA5" w14:paraId="54B424B6" w14:textId="77777777">
      <w:pPr>
        <w:pStyle w:val="BodyTextIndent3"/>
        <w:widowControl w:val="0"/>
        <w:numPr>
          <w:ilvl w:val="0"/>
          <w:numId w:val="10"/>
        </w:numPr>
        <w:spacing w:line="480" w:lineRule="auto"/>
        <w:ind w:left="1440" w:right="-312" w:hanging="720"/>
        <w:rPr>
          <w:szCs w:val="24"/>
        </w:rPr>
      </w:pPr>
      <w:r>
        <w:rPr>
          <w:szCs w:val="24"/>
        </w:rPr>
        <w:t>Using sales agents who r</w:t>
      </w:r>
      <w:r w:rsidRPr="00194939">
        <w:rPr>
          <w:szCs w:val="24"/>
        </w:rPr>
        <w:t>epresent</w:t>
      </w:r>
      <w:r>
        <w:rPr>
          <w:szCs w:val="24"/>
        </w:rPr>
        <w:t>ed</w:t>
      </w:r>
      <w:r w:rsidRPr="00194939">
        <w:rPr>
          <w:szCs w:val="24"/>
        </w:rPr>
        <w:t xml:space="preserve"> themselves as city officials</w:t>
      </w:r>
      <w:r>
        <w:rPr>
          <w:szCs w:val="24"/>
        </w:rPr>
        <w:t>.</w:t>
      </w:r>
      <w:r>
        <w:rPr>
          <w:rStyle w:val="FootnoteReference"/>
          <w:szCs w:val="24"/>
        </w:rPr>
        <w:footnoteReference w:id="3"/>
      </w:r>
      <w:r>
        <w:rPr>
          <w:szCs w:val="24"/>
        </w:rPr>
        <w:t xml:space="preserve"> </w:t>
      </w:r>
    </w:p>
    <w:p w:rsidR="00605BA5" w:rsidP="00FB074C" w14:paraId="1DF1335C" w14:textId="0A21DA27">
      <w:pPr>
        <w:pStyle w:val="BodyTextIndent3"/>
        <w:widowControl w:val="0"/>
        <w:spacing w:line="480" w:lineRule="auto"/>
        <w:ind w:right="-312"/>
        <w:rPr>
          <w:szCs w:val="24"/>
        </w:rPr>
      </w:pPr>
      <w:r>
        <w:rPr>
          <w:szCs w:val="24"/>
        </w:rPr>
        <w:t xml:space="preserve">Consistent with the </w:t>
      </w:r>
      <w:r w:rsidRPr="003953D6">
        <w:rPr>
          <w:i/>
          <w:iCs/>
          <w:szCs w:val="24"/>
        </w:rPr>
        <w:t>SmartEnergy</w:t>
      </w:r>
      <w:r>
        <w:rPr>
          <w:szCs w:val="24"/>
        </w:rPr>
        <w:t xml:space="preserve"> </w:t>
      </w:r>
      <w:r w:rsidR="00C5464F">
        <w:rPr>
          <w:szCs w:val="24"/>
        </w:rPr>
        <w:t xml:space="preserve">case </w:t>
      </w:r>
      <w:r>
        <w:rPr>
          <w:szCs w:val="24"/>
        </w:rPr>
        <w:t xml:space="preserve">in which the PUCO modified an unreasonable </w:t>
      </w:r>
      <w:r w:rsidR="00340C7E">
        <w:rPr>
          <w:szCs w:val="24"/>
        </w:rPr>
        <w:t>settlement</w:t>
      </w:r>
      <w:r>
        <w:rPr>
          <w:szCs w:val="24"/>
        </w:rPr>
        <w:t xml:space="preserve">, </w:t>
      </w:r>
      <w:r w:rsidR="0029365D">
        <w:rPr>
          <w:szCs w:val="24"/>
        </w:rPr>
        <w:t>the PUCO should modify the Settlement in this case as well.  P</w:t>
      </w:r>
      <w:r w:rsidRPr="00BF4822">
        <w:rPr>
          <w:szCs w:val="24"/>
        </w:rPr>
        <w:t xml:space="preserve">articularly </w:t>
      </w:r>
      <w:r w:rsidR="00340C7E">
        <w:rPr>
          <w:szCs w:val="24"/>
        </w:rPr>
        <w:t>troubling, among</w:t>
      </w:r>
      <w:r w:rsidRPr="00BF4822">
        <w:rPr>
          <w:szCs w:val="24"/>
        </w:rPr>
        <w:t xml:space="preserve"> the various </w:t>
      </w:r>
      <w:r w:rsidR="0029365D">
        <w:rPr>
          <w:szCs w:val="24"/>
        </w:rPr>
        <w:t xml:space="preserve">anti-consumer </w:t>
      </w:r>
      <w:r w:rsidRPr="00BF4822">
        <w:rPr>
          <w:szCs w:val="24"/>
        </w:rPr>
        <w:t xml:space="preserve">practices identified </w:t>
      </w:r>
      <w:r>
        <w:rPr>
          <w:szCs w:val="24"/>
        </w:rPr>
        <w:t xml:space="preserve">by </w:t>
      </w:r>
      <w:r w:rsidR="00C57E45">
        <w:rPr>
          <w:szCs w:val="24"/>
        </w:rPr>
        <w:t xml:space="preserve">the </w:t>
      </w:r>
      <w:r>
        <w:rPr>
          <w:szCs w:val="24"/>
        </w:rPr>
        <w:t>PUCO Staff</w:t>
      </w:r>
      <w:r w:rsidR="00C57E45">
        <w:rPr>
          <w:szCs w:val="24"/>
        </w:rPr>
        <w:t>,</w:t>
      </w:r>
      <w:r>
        <w:rPr>
          <w:szCs w:val="24"/>
        </w:rPr>
        <w:t xml:space="preserve"> is</w:t>
      </w:r>
      <w:r w:rsidRPr="00BF4822">
        <w:rPr>
          <w:szCs w:val="24"/>
        </w:rPr>
        <w:t xml:space="preserve"> </w:t>
      </w:r>
      <w:r>
        <w:rPr>
          <w:szCs w:val="24"/>
        </w:rPr>
        <w:t>Inspire Energy’s</w:t>
      </w:r>
      <w:r w:rsidRPr="00BF4822">
        <w:rPr>
          <w:szCs w:val="24"/>
        </w:rPr>
        <w:t xml:space="preserve"> offering of unconscionably high variable rates</w:t>
      </w:r>
      <w:r w:rsidR="00C5464F">
        <w:rPr>
          <w:szCs w:val="24"/>
        </w:rPr>
        <w:t>. Inspire’s offers were</w:t>
      </w:r>
      <w:r w:rsidRPr="00BF4822">
        <w:rPr>
          <w:szCs w:val="24"/>
        </w:rPr>
        <w:t xml:space="preserve"> </w:t>
      </w:r>
      <w:r>
        <w:rPr>
          <w:szCs w:val="24"/>
        </w:rPr>
        <w:t xml:space="preserve">without providing a </w:t>
      </w:r>
      <w:r w:rsidRPr="00BF4822">
        <w:rPr>
          <w:szCs w:val="24"/>
        </w:rPr>
        <w:t xml:space="preserve">clear and understandable explanation of </w:t>
      </w:r>
      <w:r>
        <w:rPr>
          <w:szCs w:val="24"/>
        </w:rPr>
        <w:t>how such rate</w:t>
      </w:r>
      <w:r w:rsidR="00CA7F8C">
        <w:rPr>
          <w:szCs w:val="24"/>
        </w:rPr>
        <w:t>s</w:t>
      </w:r>
      <w:r>
        <w:rPr>
          <w:szCs w:val="24"/>
        </w:rPr>
        <w:t xml:space="preserve"> are tethered to the market</w:t>
      </w:r>
      <w:r w:rsidR="00C57E45">
        <w:rPr>
          <w:szCs w:val="24"/>
        </w:rPr>
        <w:t xml:space="preserve"> – not that they were tethered to the market</w:t>
      </w:r>
      <w:r w:rsidRPr="00BF4822">
        <w:rPr>
          <w:szCs w:val="24"/>
        </w:rPr>
        <w:t>.</w:t>
      </w:r>
      <w:r>
        <w:rPr>
          <w:rStyle w:val="FootnoteReference"/>
          <w:szCs w:val="24"/>
        </w:rPr>
        <w:footnoteReference w:id="4"/>
      </w:r>
      <w:r>
        <w:rPr>
          <w:szCs w:val="24"/>
        </w:rPr>
        <w:t xml:space="preserve"> As in the </w:t>
      </w:r>
      <w:r w:rsidRPr="007A4C70">
        <w:rPr>
          <w:i/>
          <w:iCs/>
          <w:szCs w:val="24"/>
        </w:rPr>
        <w:t>SmartEnergy</w:t>
      </w:r>
      <w:r>
        <w:rPr>
          <w:szCs w:val="24"/>
        </w:rPr>
        <w:t xml:space="preserve"> matter, the </w:t>
      </w:r>
      <w:r w:rsidR="00C5464F">
        <w:rPr>
          <w:szCs w:val="24"/>
        </w:rPr>
        <w:t>Settlement</w:t>
      </w:r>
      <w:r>
        <w:rPr>
          <w:szCs w:val="24"/>
        </w:rPr>
        <w:t xml:space="preserve"> signed by Inspire Energy and </w:t>
      </w:r>
      <w:r w:rsidR="00C5464F">
        <w:rPr>
          <w:szCs w:val="24"/>
        </w:rPr>
        <w:t xml:space="preserve">the </w:t>
      </w:r>
      <w:r>
        <w:rPr>
          <w:szCs w:val="24"/>
        </w:rPr>
        <w:t xml:space="preserve">PUCO Staff </w:t>
      </w:r>
      <w:r w:rsidR="00926E1B">
        <w:rPr>
          <w:szCs w:val="24"/>
        </w:rPr>
        <w:t>must be modified</w:t>
      </w:r>
      <w:r>
        <w:rPr>
          <w:szCs w:val="24"/>
        </w:rPr>
        <w:t xml:space="preserve"> to deter Inspire Energy and other marketers from offering future unconscionable rates. </w:t>
      </w:r>
      <w:r w:rsidR="00184051">
        <w:rPr>
          <w:szCs w:val="24"/>
        </w:rPr>
        <w:t>OCC’s intervention can facilitate such an outcome.</w:t>
      </w:r>
    </w:p>
    <w:p w:rsidR="00050A63" w:rsidP="00F34789" w14:paraId="5985C196" w14:textId="49803AD2">
      <w:pPr>
        <w:pStyle w:val="BodyTextIndent3"/>
        <w:widowControl w:val="0"/>
        <w:spacing w:line="480" w:lineRule="auto"/>
        <w:ind w:right="-312"/>
        <w:rPr>
          <w:szCs w:val="24"/>
        </w:rPr>
      </w:pPr>
      <w:r>
        <w:rPr>
          <w:szCs w:val="24"/>
        </w:rPr>
        <w:t xml:space="preserve">The </w:t>
      </w:r>
      <w:r w:rsidRPr="0002448C">
        <w:rPr>
          <w:i/>
          <w:iCs/>
          <w:szCs w:val="24"/>
        </w:rPr>
        <w:t>SmartEnergy</w:t>
      </w:r>
      <w:r>
        <w:rPr>
          <w:szCs w:val="24"/>
        </w:rPr>
        <w:t xml:space="preserve"> Order noted the need</w:t>
      </w:r>
      <w:r w:rsidR="002722A8">
        <w:rPr>
          <w:szCs w:val="24"/>
        </w:rPr>
        <w:t xml:space="preserve"> “</w:t>
      </w:r>
      <w:r w:rsidRPr="002722A8" w:rsidR="002722A8">
        <w:rPr>
          <w:szCs w:val="24"/>
        </w:rPr>
        <w:t xml:space="preserve">to discipline the </w:t>
      </w:r>
      <w:bookmarkStart w:id="3" w:name="_Hlk146883275"/>
      <w:r w:rsidRPr="002722A8" w:rsidR="002722A8">
        <w:rPr>
          <w:szCs w:val="24"/>
        </w:rPr>
        <w:t xml:space="preserve">competitive supplier’s market </w:t>
      </w:r>
      <w:bookmarkEnd w:id="3"/>
      <w:r w:rsidRPr="002722A8" w:rsidR="002722A8">
        <w:rPr>
          <w:szCs w:val="24"/>
        </w:rPr>
        <w:t>behavior</w:t>
      </w:r>
      <w:r w:rsidR="002722A8">
        <w:rPr>
          <w:szCs w:val="24"/>
        </w:rPr>
        <w:t xml:space="preserve">,” “if a </w:t>
      </w:r>
      <w:r w:rsidRPr="002722A8" w:rsidR="002722A8">
        <w:rPr>
          <w:szCs w:val="24"/>
        </w:rPr>
        <w:t>competitive supplier’s commodity price manifests a lack of self-discipline in regard to price determination</w:t>
      </w:r>
      <w:r w:rsidR="002722A8">
        <w:rPr>
          <w:szCs w:val="24"/>
        </w:rPr>
        <w:t>.”</w:t>
      </w:r>
      <w:r>
        <w:rPr>
          <w:rStyle w:val="FootnoteReference"/>
          <w:szCs w:val="24"/>
        </w:rPr>
        <w:footnoteReference w:id="5"/>
      </w:r>
      <w:r w:rsidR="002722A8">
        <w:rPr>
          <w:szCs w:val="24"/>
        </w:rPr>
        <w:t xml:space="preserve"> </w:t>
      </w:r>
      <w:r w:rsidR="0055329D">
        <w:rPr>
          <w:szCs w:val="24"/>
        </w:rPr>
        <w:t xml:space="preserve"> </w:t>
      </w:r>
      <w:bookmarkStart w:id="5" w:name="_Hlk146886103"/>
      <w:r w:rsidRPr="004B27F0" w:rsidR="004B27F0">
        <w:rPr>
          <w:szCs w:val="24"/>
        </w:rPr>
        <w:t>“</w:t>
      </w:r>
      <w:r w:rsidR="004B27F0">
        <w:rPr>
          <w:szCs w:val="24"/>
        </w:rPr>
        <w:t>H</w:t>
      </w:r>
      <w:r w:rsidRPr="004B27F0" w:rsidR="004B27F0">
        <w:rPr>
          <w:szCs w:val="24"/>
        </w:rPr>
        <w:t>ealthy and effective competition should allow for profit potential but should also introduce price discipline into the market.</w:t>
      </w:r>
      <w:r w:rsidR="004B27F0">
        <w:rPr>
          <w:szCs w:val="24"/>
        </w:rPr>
        <w:t>”</w:t>
      </w:r>
      <w:r>
        <w:rPr>
          <w:rStyle w:val="FootnoteReference"/>
          <w:szCs w:val="24"/>
        </w:rPr>
        <w:footnoteReference w:id="6"/>
      </w:r>
      <w:r w:rsidRPr="004B27F0" w:rsidR="004B27F0">
        <w:rPr>
          <w:szCs w:val="24"/>
        </w:rPr>
        <w:t xml:space="preserve"> </w:t>
      </w:r>
      <w:r w:rsidR="004B27F0">
        <w:rPr>
          <w:szCs w:val="24"/>
        </w:rPr>
        <w:t>“[P]</w:t>
      </w:r>
      <w:r w:rsidRPr="004B27F0" w:rsidR="004B27F0">
        <w:rPr>
          <w:szCs w:val="24"/>
        </w:rPr>
        <w:t>rice points among the supplier prices should fall within some reasonable range and should not include excessive or outlier prices.</w:t>
      </w:r>
      <w:r w:rsidR="004B27F0">
        <w:rPr>
          <w:szCs w:val="24"/>
        </w:rPr>
        <w:t>”</w:t>
      </w:r>
      <w:r>
        <w:rPr>
          <w:rStyle w:val="FootnoteReference"/>
          <w:szCs w:val="24"/>
        </w:rPr>
        <w:footnoteReference w:id="7"/>
      </w:r>
      <w:bookmarkEnd w:id="5"/>
      <w:r w:rsidR="004B27F0">
        <w:rPr>
          <w:szCs w:val="24"/>
        </w:rPr>
        <w:t xml:space="preserve"> </w:t>
      </w:r>
      <w:r w:rsidR="00F34789">
        <w:rPr>
          <w:szCs w:val="24"/>
        </w:rPr>
        <w:t>Given that m</w:t>
      </w:r>
      <w:r w:rsidRPr="00F34789" w:rsidR="00F34789">
        <w:rPr>
          <w:szCs w:val="24"/>
        </w:rPr>
        <w:t>atters involving unconscionable rates are before the PUCO with increasing frequency</w:t>
      </w:r>
      <w:r w:rsidR="00F34789">
        <w:rPr>
          <w:szCs w:val="24"/>
        </w:rPr>
        <w:t xml:space="preserve">, the </w:t>
      </w:r>
      <w:r w:rsidRPr="0002448C">
        <w:rPr>
          <w:i/>
          <w:iCs/>
          <w:szCs w:val="24"/>
        </w:rPr>
        <w:t>SmartEnergy</w:t>
      </w:r>
      <w:r w:rsidRPr="00961796">
        <w:rPr>
          <w:szCs w:val="24"/>
        </w:rPr>
        <w:t xml:space="preserve"> Order</w:t>
      </w:r>
      <w:r w:rsidRPr="0002448C">
        <w:rPr>
          <w:szCs w:val="24"/>
        </w:rPr>
        <w:t>’s call to discipline the competitive supplier’s market</w:t>
      </w:r>
      <w:r w:rsidRPr="00961796">
        <w:rPr>
          <w:szCs w:val="24"/>
        </w:rPr>
        <w:t xml:space="preserve"> </w:t>
      </w:r>
      <w:r w:rsidRPr="00961796" w:rsidR="00F34789">
        <w:rPr>
          <w:szCs w:val="24"/>
        </w:rPr>
        <w:t>should</w:t>
      </w:r>
      <w:r w:rsidR="00F34789">
        <w:rPr>
          <w:szCs w:val="24"/>
        </w:rPr>
        <w:t xml:space="preserve"> be put to action </w:t>
      </w:r>
      <w:r w:rsidR="00883797">
        <w:rPr>
          <w:szCs w:val="24"/>
        </w:rPr>
        <w:t>across Ohio</w:t>
      </w:r>
      <w:r w:rsidR="00F34789">
        <w:rPr>
          <w:szCs w:val="24"/>
        </w:rPr>
        <w:t xml:space="preserve">. </w:t>
      </w:r>
      <w:r w:rsidR="00883797">
        <w:rPr>
          <w:szCs w:val="24"/>
        </w:rPr>
        <w:t xml:space="preserve"> If energy marketers are going to charge Ohioans extreme </w:t>
      </w:r>
      <w:r w:rsidR="00E363FF">
        <w:rPr>
          <w:szCs w:val="24"/>
        </w:rPr>
        <w:t xml:space="preserve">energy </w:t>
      </w:r>
      <w:r w:rsidR="00883797">
        <w:rPr>
          <w:szCs w:val="24"/>
        </w:rPr>
        <w:t xml:space="preserve">prices that are not market-based, then the very premise of allowing retail marketing should be questioned. </w:t>
      </w:r>
    </w:p>
    <w:p w:rsidR="00F34789" w:rsidRPr="00F34789" w:rsidP="00F34789" w14:paraId="52E33758" w14:textId="7DB64DBB">
      <w:pPr>
        <w:pStyle w:val="BodyTextIndent3"/>
        <w:widowControl w:val="0"/>
        <w:spacing w:line="480" w:lineRule="auto"/>
        <w:ind w:right="-312"/>
        <w:rPr>
          <w:szCs w:val="24"/>
        </w:rPr>
      </w:pPr>
      <w:r w:rsidRPr="00F34789">
        <w:rPr>
          <w:szCs w:val="24"/>
        </w:rPr>
        <w:t>Action should start</w:t>
      </w:r>
      <w:r w:rsidR="002806FE">
        <w:rPr>
          <w:szCs w:val="24"/>
        </w:rPr>
        <w:t xml:space="preserve"> but not end</w:t>
      </w:r>
      <w:r w:rsidRPr="00F34789">
        <w:rPr>
          <w:szCs w:val="24"/>
        </w:rPr>
        <w:t xml:space="preserve"> with </w:t>
      </w:r>
      <w:r w:rsidRPr="002836F4">
        <w:rPr>
          <w:i/>
          <w:iCs/>
          <w:szCs w:val="24"/>
        </w:rPr>
        <w:t>delisting</w:t>
      </w:r>
      <w:r w:rsidRPr="00F34789">
        <w:rPr>
          <w:szCs w:val="24"/>
        </w:rPr>
        <w:t xml:space="preserve"> from the apples-to-apples website all unconscionable prices</w:t>
      </w:r>
      <w:r w:rsidR="00050A63">
        <w:rPr>
          <w:szCs w:val="24"/>
        </w:rPr>
        <w:t>, being those</w:t>
      </w:r>
      <w:r w:rsidRPr="00F34789">
        <w:rPr>
          <w:szCs w:val="24"/>
        </w:rPr>
        <w:t xml:space="preserve"> higher than 2.25 times the standard offer for </w:t>
      </w:r>
      <w:r w:rsidR="00050A63">
        <w:rPr>
          <w:szCs w:val="24"/>
        </w:rPr>
        <w:t xml:space="preserve">natural </w:t>
      </w:r>
      <w:r w:rsidRPr="00F34789">
        <w:rPr>
          <w:szCs w:val="24"/>
        </w:rPr>
        <w:t>gas. For electric, during the remainder of the </w:t>
      </w:r>
      <w:r w:rsidR="00050A63">
        <w:rPr>
          <w:szCs w:val="24"/>
        </w:rPr>
        <w:t>standard offer</w:t>
      </w:r>
      <w:r w:rsidRPr="00F34789">
        <w:rPr>
          <w:szCs w:val="24"/>
        </w:rPr>
        <w:t xml:space="preserve"> delivery year, there should be a benchmark market rate determined</w:t>
      </w:r>
      <w:r w:rsidR="00050A63">
        <w:rPr>
          <w:szCs w:val="24"/>
        </w:rPr>
        <w:t xml:space="preserve">, because the standard offer is an anomaly (at a </w:t>
      </w:r>
      <w:r w:rsidR="00E363FF">
        <w:rPr>
          <w:szCs w:val="24"/>
        </w:rPr>
        <w:t xml:space="preserve">very </w:t>
      </w:r>
      <w:r w:rsidR="00050A63">
        <w:rPr>
          <w:szCs w:val="24"/>
        </w:rPr>
        <w:t>high rate) now.</w:t>
      </w:r>
      <w:r w:rsidRPr="00F34789">
        <w:rPr>
          <w:szCs w:val="24"/>
        </w:rPr>
        <w:t xml:space="preserve"> </w:t>
      </w:r>
      <w:r w:rsidR="00050A63">
        <w:rPr>
          <w:szCs w:val="24"/>
        </w:rPr>
        <w:t>For example, the electric benchmark during this standard offer delivery year could be</w:t>
      </w:r>
      <w:r w:rsidR="0029365D">
        <w:rPr>
          <w:szCs w:val="24"/>
        </w:rPr>
        <w:t xml:space="preserve"> the 20</w:t>
      </w:r>
      <w:r w:rsidRPr="0002448C" w:rsidR="0029365D">
        <w:rPr>
          <w:szCs w:val="24"/>
          <w:vertAlign w:val="superscript"/>
        </w:rPr>
        <w:t>th</w:t>
      </w:r>
      <w:r w:rsidR="0029365D">
        <w:rPr>
          <w:szCs w:val="24"/>
        </w:rPr>
        <w:t xml:space="preserve"> percentile </w:t>
      </w:r>
      <w:r w:rsidR="0068771B">
        <w:rPr>
          <w:szCs w:val="24"/>
        </w:rPr>
        <w:t>l</w:t>
      </w:r>
      <w:r w:rsidR="0029365D">
        <w:rPr>
          <w:szCs w:val="24"/>
        </w:rPr>
        <w:t>owest price</w:t>
      </w:r>
      <w:r w:rsidR="0068771B">
        <w:rPr>
          <w:szCs w:val="24"/>
        </w:rPr>
        <w:t xml:space="preserve"> offered on the electric Apples-to</w:t>
      </w:r>
      <w:r w:rsidR="00050A63">
        <w:rPr>
          <w:szCs w:val="24"/>
        </w:rPr>
        <w:t>-</w:t>
      </w:r>
      <w:r w:rsidR="0068771B">
        <w:rPr>
          <w:szCs w:val="24"/>
        </w:rPr>
        <w:t>Apples price comparison charts</w:t>
      </w:r>
      <w:r w:rsidR="00050A63">
        <w:rPr>
          <w:szCs w:val="24"/>
        </w:rPr>
        <w:t>.</w:t>
      </w:r>
      <w:r w:rsidR="0029365D">
        <w:rPr>
          <w:szCs w:val="24"/>
        </w:rPr>
        <w:t xml:space="preserve"> </w:t>
      </w:r>
      <w:r w:rsidR="00050A63">
        <w:rPr>
          <w:szCs w:val="24"/>
        </w:rPr>
        <w:t>T</w:t>
      </w:r>
      <w:r w:rsidRPr="00F34789">
        <w:rPr>
          <w:szCs w:val="24"/>
        </w:rPr>
        <w:t xml:space="preserve">he 2.25 times threshold for </w:t>
      </w:r>
      <w:r w:rsidR="0068771B">
        <w:rPr>
          <w:szCs w:val="24"/>
        </w:rPr>
        <w:t>the electric A</w:t>
      </w:r>
      <w:r w:rsidRPr="00F34789">
        <w:rPr>
          <w:szCs w:val="24"/>
        </w:rPr>
        <w:t>pples</w:t>
      </w:r>
      <w:r w:rsidR="00073818">
        <w:rPr>
          <w:szCs w:val="24"/>
        </w:rPr>
        <w:t>-</w:t>
      </w:r>
      <w:r w:rsidRPr="00F34789">
        <w:rPr>
          <w:szCs w:val="24"/>
        </w:rPr>
        <w:t>to</w:t>
      </w:r>
      <w:r w:rsidR="00073818">
        <w:rPr>
          <w:szCs w:val="24"/>
        </w:rPr>
        <w:t>-</w:t>
      </w:r>
      <w:r w:rsidR="0068771B">
        <w:rPr>
          <w:szCs w:val="24"/>
        </w:rPr>
        <w:t>A</w:t>
      </w:r>
      <w:r w:rsidRPr="00F34789">
        <w:rPr>
          <w:szCs w:val="24"/>
        </w:rPr>
        <w:t>pples</w:t>
      </w:r>
      <w:r w:rsidR="0068771B">
        <w:rPr>
          <w:szCs w:val="24"/>
        </w:rPr>
        <w:t xml:space="preserve"> price comparison charts</w:t>
      </w:r>
      <w:r w:rsidR="00050A63">
        <w:rPr>
          <w:szCs w:val="24"/>
        </w:rPr>
        <w:t xml:space="preserve"> would reference the benchmark</w:t>
      </w:r>
      <w:r w:rsidRPr="00F34789">
        <w:rPr>
          <w:szCs w:val="24"/>
        </w:rPr>
        <w:t>, given that the</w:t>
      </w:r>
      <w:r w:rsidR="00050A63">
        <w:rPr>
          <w:szCs w:val="24"/>
        </w:rPr>
        <w:t xml:space="preserve"> current standard offer</w:t>
      </w:r>
      <w:r w:rsidRPr="00F34789">
        <w:rPr>
          <w:szCs w:val="24"/>
        </w:rPr>
        <w:t xml:space="preserve"> is </w:t>
      </w:r>
      <w:r w:rsidR="0029365D">
        <w:rPr>
          <w:szCs w:val="24"/>
        </w:rPr>
        <w:t xml:space="preserve">historically </w:t>
      </w:r>
      <w:r w:rsidRPr="00F34789">
        <w:rPr>
          <w:szCs w:val="24"/>
        </w:rPr>
        <w:t>anomalous. </w:t>
      </w:r>
    </w:p>
    <w:bookmarkEnd w:id="1"/>
    <w:bookmarkEnd w:id="2"/>
    <w:p w:rsidR="00D615F4" w:rsidRPr="00040BF5" w:rsidP="00C745BC" w14:paraId="635CCC0C" w14:textId="5B4D014A">
      <w:pPr>
        <w:spacing w:line="480" w:lineRule="auto"/>
        <w:ind w:firstLine="720"/>
        <w:rPr>
          <w:szCs w:val="24"/>
        </w:rPr>
      </w:pPr>
      <w:r w:rsidRPr="00C745BC">
        <w:rPr>
          <w:szCs w:val="24"/>
        </w:rPr>
        <w:t xml:space="preserve">OCC is filing </w:t>
      </w:r>
      <w:r w:rsidR="0068771B">
        <w:rPr>
          <w:szCs w:val="24"/>
        </w:rPr>
        <w:t xml:space="preserve">to intervene in this case </w:t>
      </w:r>
      <w:r w:rsidRPr="00C745BC">
        <w:rPr>
          <w:szCs w:val="24"/>
        </w:rPr>
        <w:t>on behalf of residential utility consumers</w:t>
      </w:r>
      <w:r w:rsidR="00050A63">
        <w:rPr>
          <w:szCs w:val="24"/>
        </w:rPr>
        <w:t>.</w:t>
      </w:r>
      <w:r w:rsidRPr="00C745BC">
        <w:rPr>
          <w:szCs w:val="24"/>
        </w:rPr>
        <w:t xml:space="preserve"> The reasons the PUCO should grant OCC’s Motion are further set forth in the attached Memorandum in Support.</w:t>
      </w:r>
    </w:p>
    <w:p w:rsidR="008F5FA3" w:rsidRPr="00040BF5" w:rsidP="00FB5A85" w14:paraId="28D74F1A" w14:textId="52E5C92A">
      <w:pPr>
        <w:ind w:firstLine="4320"/>
        <w:rPr>
          <w:szCs w:val="24"/>
        </w:rPr>
      </w:pPr>
      <w:r w:rsidRPr="00040BF5">
        <w:rPr>
          <w:szCs w:val="24"/>
        </w:rPr>
        <w:t>Respectfully submitted,</w:t>
      </w:r>
    </w:p>
    <w:p w:rsidR="008F5FA3" w:rsidRPr="00040BF5" w:rsidP="00FB5A85" w14:paraId="6702531D" w14:textId="77777777">
      <w:pPr>
        <w:pStyle w:val="Footer"/>
        <w:tabs>
          <w:tab w:val="left" w:pos="4320"/>
          <w:tab w:val="clear" w:pos="8640"/>
        </w:tabs>
        <w:spacing w:before="240"/>
        <w:ind w:firstLine="4320"/>
        <w:rPr>
          <w:sz w:val="24"/>
          <w:szCs w:val="24"/>
        </w:rPr>
      </w:pPr>
      <w:r w:rsidRPr="00040BF5">
        <w:rPr>
          <w:sz w:val="24"/>
          <w:szCs w:val="24"/>
        </w:rPr>
        <w:t>Bruce Weston (0016973)</w:t>
      </w:r>
    </w:p>
    <w:p w:rsidR="008F5FA3" w:rsidRPr="00040BF5" w:rsidP="00FB5A85" w14:paraId="5F3B61FD" w14:textId="77777777">
      <w:pPr>
        <w:tabs>
          <w:tab w:val="left" w:pos="4320"/>
        </w:tabs>
        <w:ind w:firstLine="4320"/>
        <w:rPr>
          <w:szCs w:val="24"/>
        </w:rPr>
      </w:pPr>
      <w:r w:rsidRPr="00040BF5">
        <w:rPr>
          <w:szCs w:val="24"/>
        </w:rPr>
        <w:t>Ohio Consumers’ Counsel</w:t>
      </w:r>
    </w:p>
    <w:p w:rsidR="008F5FA3" w:rsidRPr="00040BF5" w:rsidP="00FB5A85" w14:paraId="042B1AAE" w14:textId="77777777">
      <w:pPr>
        <w:tabs>
          <w:tab w:val="left" w:pos="4320"/>
        </w:tabs>
        <w:ind w:firstLine="4320"/>
        <w:rPr>
          <w:szCs w:val="24"/>
        </w:rPr>
      </w:pPr>
      <w:r w:rsidRPr="00040BF5">
        <w:rPr>
          <w:szCs w:val="24"/>
        </w:rPr>
        <w:tab/>
      </w:r>
    </w:p>
    <w:p w:rsidR="008F5FA3" w:rsidRPr="00040BF5" w:rsidP="00FB5A85" w14:paraId="359101CB" w14:textId="53CCF2F7">
      <w:pPr>
        <w:tabs>
          <w:tab w:val="left" w:pos="4320"/>
        </w:tabs>
        <w:ind w:firstLine="4320"/>
        <w:rPr>
          <w:i/>
          <w:szCs w:val="24"/>
          <w:u w:val="single"/>
        </w:rPr>
      </w:pPr>
      <w:r w:rsidRPr="00040BF5">
        <w:rPr>
          <w:i/>
          <w:szCs w:val="24"/>
          <w:u w:val="single"/>
        </w:rPr>
        <w:t xml:space="preserve">/s/ </w:t>
      </w:r>
      <w:r w:rsidR="00DE79C2">
        <w:rPr>
          <w:i/>
          <w:szCs w:val="24"/>
          <w:u w:val="single"/>
        </w:rPr>
        <w:t>Robert Eubanks</w:t>
      </w:r>
      <w:r w:rsidR="00DE79C2">
        <w:rPr>
          <w:i/>
          <w:szCs w:val="24"/>
          <w:u w:val="single"/>
        </w:rPr>
        <w:tab/>
      </w:r>
    </w:p>
    <w:p w:rsidR="00A02CFE" w:rsidRPr="00040BF5" w:rsidP="00FB5A85" w14:paraId="7C89775C" w14:textId="5C1A9685">
      <w:pPr>
        <w:tabs>
          <w:tab w:val="left" w:pos="4320"/>
        </w:tabs>
        <w:ind w:firstLine="4320"/>
        <w:rPr>
          <w:iCs/>
          <w:szCs w:val="24"/>
        </w:rPr>
      </w:pPr>
      <w:r>
        <w:rPr>
          <w:iCs/>
          <w:szCs w:val="24"/>
        </w:rPr>
        <w:t>Robert Eubanks</w:t>
      </w:r>
      <w:r w:rsidR="00DA0C74">
        <w:rPr>
          <w:iCs/>
          <w:szCs w:val="24"/>
        </w:rPr>
        <w:t xml:space="preserve"> (</w:t>
      </w:r>
      <w:r>
        <w:rPr>
          <w:iCs/>
          <w:szCs w:val="24"/>
        </w:rPr>
        <w:t>0073386</w:t>
      </w:r>
      <w:r w:rsidR="00DA0C74">
        <w:rPr>
          <w:iCs/>
          <w:szCs w:val="24"/>
        </w:rPr>
        <w:t>)</w:t>
      </w:r>
    </w:p>
    <w:p w:rsidR="008F5FA3" w:rsidRPr="00040BF5" w:rsidP="00FB5A85" w14:paraId="16FEA583" w14:textId="01AD93A7">
      <w:pPr>
        <w:tabs>
          <w:tab w:val="left" w:pos="4320"/>
        </w:tabs>
        <w:ind w:firstLine="4320"/>
        <w:rPr>
          <w:szCs w:val="24"/>
        </w:rPr>
      </w:pPr>
      <w:r w:rsidRPr="00040BF5">
        <w:rPr>
          <w:szCs w:val="24"/>
        </w:rPr>
        <w:t>Counsel of Record</w:t>
      </w:r>
    </w:p>
    <w:p w:rsidR="00A02CFE" w:rsidRPr="00040BF5" w:rsidP="00FB5A85" w14:paraId="54EB91F2" w14:textId="60EE59E3">
      <w:pPr>
        <w:tabs>
          <w:tab w:val="left" w:pos="4320"/>
        </w:tabs>
        <w:ind w:firstLine="4320"/>
        <w:rPr>
          <w:szCs w:val="24"/>
        </w:rPr>
      </w:pPr>
      <w:r>
        <w:rPr>
          <w:szCs w:val="24"/>
        </w:rPr>
        <w:t xml:space="preserve">Donald J. Kral </w:t>
      </w:r>
      <w:r w:rsidRPr="00040BF5" w:rsidR="00CA5ADE">
        <w:rPr>
          <w:szCs w:val="24"/>
        </w:rPr>
        <w:t>(0018689)</w:t>
      </w:r>
    </w:p>
    <w:p w:rsidR="00D615F4" w:rsidRPr="00040BF5" w:rsidP="00FB5A85" w14:paraId="7B061022" w14:textId="40392C97">
      <w:pPr>
        <w:tabs>
          <w:tab w:val="left" w:pos="4320"/>
        </w:tabs>
        <w:ind w:firstLine="4320"/>
        <w:rPr>
          <w:szCs w:val="24"/>
        </w:rPr>
      </w:pPr>
      <w:r w:rsidRPr="00040BF5">
        <w:rPr>
          <w:szCs w:val="24"/>
        </w:rPr>
        <w:t>Assistant Consumers’ Counsel</w:t>
      </w:r>
    </w:p>
    <w:p w:rsidR="008F5FA3" w:rsidRPr="00040BF5" w:rsidP="00FB5A85" w14:paraId="4220411F" w14:textId="77777777">
      <w:pPr>
        <w:pStyle w:val="Heading1"/>
        <w:ind w:right="-648" w:firstLine="4320"/>
        <w:rPr>
          <w:u w:val="none"/>
        </w:rPr>
      </w:pPr>
      <w:r w:rsidRPr="00040BF5">
        <w:rPr>
          <w:u w:val="none"/>
        </w:rPr>
        <w:tab/>
      </w:r>
    </w:p>
    <w:p w:rsidR="008F5FA3" w:rsidRPr="00040BF5" w:rsidP="00FB5A85" w14:paraId="6A6F1462" w14:textId="77777777">
      <w:pPr>
        <w:pStyle w:val="Heading1"/>
        <w:ind w:right="-648" w:firstLine="4320"/>
        <w:rPr>
          <w:u w:val="none"/>
        </w:rPr>
      </w:pPr>
      <w:r w:rsidRPr="00040BF5">
        <w:rPr>
          <w:u w:val="none"/>
        </w:rPr>
        <w:t>Office of the Ohio Consumers’ Counsel</w:t>
      </w:r>
    </w:p>
    <w:p w:rsidR="008F5FA3" w:rsidRPr="00040BF5" w:rsidP="00FB5A85" w14:paraId="426DD070" w14:textId="77777777">
      <w:pPr>
        <w:pStyle w:val="Heading1"/>
        <w:ind w:right="-648" w:firstLine="4320"/>
        <w:rPr>
          <w:b w:val="0"/>
          <w:u w:val="none"/>
        </w:rPr>
      </w:pPr>
      <w:r w:rsidRPr="00040BF5">
        <w:rPr>
          <w:b w:val="0"/>
          <w:u w:val="none"/>
        </w:rPr>
        <w:t xml:space="preserve">65 East State Street, </w:t>
      </w:r>
      <w:r w:rsidRPr="00040BF5" w:rsidR="00CF2CF2">
        <w:rPr>
          <w:b w:val="0"/>
          <w:u w:val="none"/>
        </w:rPr>
        <w:t>Suite 700</w:t>
      </w:r>
    </w:p>
    <w:p w:rsidR="008F5FA3" w:rsidRPr="00040BF5" w:rsidP="00FB5A85" w14:paraId="09E2348E" w14:textId="77777777">
      <w:pPr>
        <w:pStyle w:val="Heading1"/>
        <w:ind w:right="-648" w:firstLine="4320"/>
        <w:rPr>
          <w:b w:val="0"/>
          <w:u w:val="none"/>
        </w:rPr>
      </w:pPr>
      <w:r w:rsidRPr="00040BF5">
        <w:rPr>
          <w:b w:val="0"/>
          <w:u w:val="none"/>
        </w:rPr>
        <w:t>Columbus, Ohio 43215</w:t>
      </w:r>
    </w:p>
    <w:p w:rsidR="008F5FA3" w:rsidRPr="00040BF5" w:rsidP="00FB5A85" w14:paraId="4606D339" w14:textId="62A40AD6">
      <w:pPr>
        <w:autoSpaceDE w:val="0"/>
        <w:autoSpaceDN w:val="0"/>
        <w:adjustRightInd w:val="0"/>
        <w:ind w:firstLine="4320"/>
        <w:rPr>
          <w:szCs w:val="24"/>
        </w:rPr>
      </w:pPr>
      <w:r w:rsidRPr="00040BF5">
        <w:rPr>
          <w:szCs w:val="24"/>
        </w:rPr>
        <w:t xml:space="preserve">Telephone </w:t>
      </w:r>
      <w:r w:rsidRPr="00040BF5" w:rsidR="00A02CFE">
        <w:rPr>
          <w:szCs w:val="24"/>
        </w:rPr>
        <w:t>[</w:t>
      </w:r>
      <w:r w:rsidR="00DE79C2">
        <w:rPr>
          <w:szCs w:val="24"/>
        </w:rPr>
        <w:t>Eubanks</w:t>
      </w:r>
      <w:r w:rsidRPr="00040BF5" w:rsidR="00A02CFE">
        <w:rPr>
          <w:szCs w:val="24"/>
        </w:rPr>
        <w:t>] (614) 466-</w:t>
      </w:r>
      <w:r w:rsidR="00DE79C2">
        <w:rPr>
          <w:szCs w:val="24"/>
        </w:rPr>
        <w:t>1292</w:t>
      </w:r>
    </w:p>
    <w:p w:rsidR="00A02CFE" w:rsidRPr="00040BF5" w:rsidP="00FB5A85" w14:paraId="0A44CBA8" w14:textId="77A3111C">
      <w:pPr>
        <w:autoSpaceDE w:val="0"/>
        <w:autoSpaceDN w:val="0"/>
        <w:adjustRightInd w:val="0"/>
        <w:ind w:firstLine="4320"/>
        <w:rPr>
          <w:szCs w:val="24"/>
        </w:rPr>
      </w:pPr>
      <w:r w:rsidRPr="00040BF5">
        <w:rPr>
          <w:szCs w:val="24"/>
        </w:rPr>
        <w:t>Telephone [</w:t>
      </w:r>
      <w:r w:rsidR="00DE79C2">
        <w:rPr>
          <w:szCs w:val="24"/>
        </w:rPr>
        <w:t>Kral</w:t>
      </w:r>
      <w:r w:rsidRPr="00040BF5">
        <w:rPr>
          <w:szCs w:val="24"/>
        </w:rPr>
        <w:t>] (614) 466-</w:t>
      </w:r>
      <w:r w:rsidR="00DE79C2">
        <w:rPr>
          <w:szCs w:val="24"/>
        </w:rPr>
        <w:t>9571</w:t>
      </w:r>
    </w:p>
    <w:p w:rsidR="00A02CFE" w:rsidRPr="00040BF5" w:rsidP="00FB5A85" w14:paraId="3564F08E" w14:textId="673E3E98">
      <w:pPr>
        <w:autoSpaceDE w:val="0"/>
        <w:autoSpaceDN w:val="0"/>
        <w:adjustRightInd w:val="0"/>
        <w:ind w:firstLine="4320"/>
        <w:rPr>
          <w:szCs w:val="24"/>
        </w:rPr>
      </w:pPr>
      <w:hyperlink r:id="rId6" w:history="1">
        <w:r w:rsidRPr="006F2B11" w:rsidR="00DE79C2">
          <w:rPr>
            <w:rStyle w:val="Hyperlink"/>
            <w:szCs w:val="24"/>
          </w:rPr>
          <w:t>robert.eubanks@occ.ohio.gov</w:t>
        </w:r>
      </w:hyperlink>
    </w:p>
    <w:p w:rsidR="00A02CFE" w:rsidRPr="00040BF5" w:rsidP="00FB5A85" w14:paraId="5688969E" w14:textId="3E0C3353">
      <w:pPr>
        <w:autoSpaceDE w:val="0"/>
        <w:autoSpaceDN w:val="0"/>
        <w:adjustRightInd w:val="0"/>
        <w:ind w:firstLine="4320"/>
        <w:rPr>
          <w:szCs w:val="24"/>
        </w:rPr>
      </w:pPr>
      <w:hyperlink r:id="rId7" w:history="1">
        <w:r w:rsidRPr="006F2B11" w:rsidR="00DE79C2">
          <w:rPr>
            <w:rStyle w:val="Hyperlink"/>
            <w:szCs w:val="24"/>
          </w:rPr>
          <w:t>donald.kral@occ.ohio.gov</w:t>
        </w:r>
      </w:hyperlink>
    </w:p>
    <w:p w:rsidR="008F5FA3" w:rsidRPr="00040BF5" w:rsidP="002836F4" w14:paraId="23AA96E1" w14:textId="1D89B7FA">
      <w:pPr>
        <w:ind w:firstLine="4320"/>
        <w:rPr>
          <w:szCs w:val="24"/>
        </w:rPr>
      </w:pPr>
      <w:r w:rsidRPr="00040BF5">
        <w:rPr>
          <w:szCs w:val="24"/>
        </w:rPr>
        <w:t>(willing to accept service by e-mail)</w:t>
      </w:r>
    </w:p>
    <w:p w:rsidR="008F5FA3" w:rsidRPr="00040BF5" w14:paraId="626AEE75" w14:textId="77777777">
      <w:pPr>
        <w:pStyle w:val="HTMLPreformatted"/>
        <w:jc w:val="center"/>
        <w:rPr>
          <w:rFonts w:ascii="Times New Roman" w:hAnsi="Times New Roman" w:cs="Times New Roman"/>
          <w:b/>
          <w:bCs/>
          <w:sz w:val="24"/>
          <w:szCs w:val="24"/>
        </w:rPr>
        <w:sectPr w:rsidSect="00150B5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titlePg/>
          <w:docGrid w:linePitch="65"/>
        </w:sectPr>
      </w:pPr>
    </w:p>
    <w:p w:rsidR="008F5FA3" w:rsidRPr="00040BF5" w14:paraId="3B4AEB9A" w14:textId="77777777">
      <w:pPr>
        <w:pStyle w:val="HTMLPreformatted"/>
        <w:jc w:val="center"/>
        <w:rPr>
          <w:rFonts w:ascii="Times New Roman" w:hAnsi="Times New Roman" w:cs="Times New Roman"/>
          <w:b/>
          <w:bCs/>
          <w:sz w:val="24"/>
          <w:szCs w:val="24"/>
        </w:rPr>
      </w:pPr>
      <w:r w:rsidRPr="00040BF5">
        <w:rPr>
          <w:rFonts w:ascii="Times New Roman" w:hAnsi="Times New Roman" w:cs="Times New Roman"/>
          <w:b/>
          <w:bCs/>
          <w:sz w:val="24"/>
          <w:szCs w:val="24"/>
        </w:rPr>
        <w:t>BEFORE</w:t>
      </w:r>
    </w:p>
    <w:p w:rsidR="008F5FA3" w:rsidRPr="00040BF5" w14:paraId="443D3867" w14:textId="77777777">
      <w:pPr>
        <w:pStyle w:val="HTMLPreformatted"/>
        <w:jc w:val="center"/>
        <w:rPr>
          <w:rFonts w:ascii="Times New Roman" w:hAnsi="Times New Roman" w:cs="Times New Roman"/>
          <w:b/>
          <w:bCs/>
          <w:sz w:val="24"/>
          <w:szCs w:val="24"/>
        </w:rPr>
      </w:pPr>
      <w:r w:rsidRPr="00040BF5">
        <w:rPr>
          <w:rFonts w:ascii="Times New Roman" w:hAnsi="Times New Roman" w:cs="Times New Roman"/>
          <w:b/>
          <w:bCs/>
          <w:sz w:val="24"/>
          <w:szCs w:val="24"/>
        </w:rPr>
        <w:t>THE PUBLIC UTILITIES COMMISSION OF OHIO</w:t>
      </w:r>
    </w:p>
    <w:p w:rsidR="008F5FA3" w:rsidRPr="00040BF5" w14:paraId="7BA9AFDD" w14:textId="77777777">
      <w:pPr>
        <w:pStyle w:val="HTMLPreformatted"/>
        <w:jc w:val="center"/>
        <w:rPr>
          <w:rFonts w:ascii="Times New Roman" w:hAnsi="Times New Roman" w:cs="Times New Roman"/>
          <w:b/>
          <w:bCs/>
          <w:sz w:val="24"/>
          <w:szCs w:val="24"/>
        </w:rPr>
      </w:pPr>
    </w:p>
    <w:tbl>
      <w:tblPr>
        <w:tblW w:w="9092" w:type="dxa"/>
        <w:tblInd w:w="-90" w:type="dxa"/>
        <w:tblLook w:val="01E0"/>
      </w:tblPr>
      <w:tblGrid>
        <w:gridCol w:w="4332"/>
        <w:gridCol w:w="618"/>
        <w:gridCol w:w="4142"/>
      </w:tblGrid>
      <w:tr w14:paraId="5CDBD05C" w14:textId="77777777" w:rsidTr="00A2455D">
        <w:tblPrEx>
          <w:tblW w:w="9092" w:type="dxa"/>
          <w:tblInd w:w="-90" w:type="dxa"/>
          <w:tblLook w:val="01E0"/>
        </w:tblPrEx>
        <w:trPr>
          <w:trHeight w:val="807"/>
        </w:trPr>
        <w:tc>
          <w:tcPr>
            <w:tcW w:w="4332" w:type="dxa"/>
            <w:shd w:val="clear" w:color="auto" w:fill="auto"/>
          </w:tcPr>
          <w:p w:rsidR="003D1F05" w:rsidRPr="00040BF5" w:rsidP="00A2455D" w14:paraId="116360E1"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Inspire Energy Holdings, LLC</w:t>
            </w:r>
          </w:p>
        </w:tc>
        <w:tc>
          <w:tcPr>
            <w:tcW w:w="618" w:type="dxa"/>
            <w:shd w:val="clear" w:color="auto" w:fill="auto"/>
          </w:tcPr>
          <w:p w:rsidR="003D1F05" w:rsidRPr="00040BF5" w:rsidP="00A2455D" w14:paraId="2C885C39" w14:textId="77777777">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rsidR="003D1F05" w:rsidRPr="00040BF5" w:rsidP="00A2455D" w14:paraId="0646D14D" w14:textId="77777777">
            <w:pPr>
              <w:pStyle w:val="HTMLPreformatted"/>
              <w:rPr>
                <w:rFonts w:ascii="Times New Roman" w:hAnsi="Times New Roman" w:cs="Times New Roman"/>
                <w:sz w:val="24"/>
                <w:szCs w:val="24"/>
              </w:rPr>
            </w:pPr>
            <w:r w:rsidRPr="00040BF5">
              <w:rPr>
                <w:rFonts w:ascii="Times New Roman" w:hAnsi="Times New Roman" w:cs="Times New Roman"/>
                <w:sz w:val="24"/>
                <w:szCs w:val="24"/>
              </w:rPr>
              <w:t>)</w:t>
            </w:r>
          </w:p>
          <w:p w:rsidR="003D1F05" w:rsidRPr="00040BF5" w:rsidP="00A2455D" w14:paraId="65D81B3C" w14:textId="77777777">
            <w:pPr>
              <w:pStyle w:val="HTMLPreformatted"/>
              <w:rPr>
                <w:rFonts w:ascii="Times New Roman" w:hAnsi="Times New Roman" w:cs="Times New Roman"/>
                <w:sz w:val="24"/>
                <w:szCs w:val="24"/>
              </w:rPr>
            </w:pPr>
          </w:p>
        </w:tc>
        <w:tc>
          <w:tcPr>
            <w:tcW w:w="4142" w:type="dxa"/>
            <w:shd w:val="clear" w:color="auto" w:fill="auto"/>
          </w:tcPr>
          <w:p w:rsidR="003D1F05" w:rsidRPr="00040BF5" w:rsidP="00A2455D" w14:paraId="2E99C9B4" w14:textId="77777777">
            <w:pPr>
              <w:pStyle w:val="HTMLPreformatted"/>
              <w:rPr>
                <w:rFonts w:ascii="Times New Roman" w:hAnsi="Times New Roman" w:cs="Times New Roman"/>
                <w:sz w:val="24"/>
                <w:szCs w:val="24"/>
              </w:rPr>
            </w:pPr>
            <w:r w:rsidRPr="00040BF5">
              <w:rPr>
                <w:rFonts w:ascii="Times New Roman" w:hAnsi="Times New Roman" w:cs="Times New Roman"/>
                <w:sz w:val="24"/>
                <w:szCs w:val="24"/>
              </w:rPr>
              <w:t xml:space="preserve">Case No. </w:t>
            </w:r>
            <w:r>
              <w:rPr>
                <w:rFonts w:ascii="Times New Roman" w:hAnsi="Times New Roman" w:cs="Times New Roman"/>
                <w:sz w:val="24"/>
                <w:szCs w:val="24"/>
              </w:rPr>
              <w:t>23-720-GE-UNC</w:t>
            </w:r>
          </w:p>
        </w:tc>
      </w:tr>
    </w:tbl>
    <w:p w:rsidR="008F5FA3" w:rsidRPr="00040BF5" w14:paraId="2F0C1C79" w14:textId="77777777">
      <w:pPr>
        <w:pStyle w:val="Heading2"/>
        <w:pBdr>
          <w:bottom w:val="single" w:sz="12" w:space="1" w:color="auto"/>
        </w:pBdr>
        <w:jc w:val="left"/>
        <w:rPr>
          <w:b w:val="0"/>
          <w:szCs w:val="24"/>
        </w:rPr>
      </w:pPr>
    </w:p>
    <w:p w:rsidR="008F5FA3" w:rsidRPr="00040BF5" w14:paraId="7EAD22FF" w14:textId="77777777">
      <w:pPr>
        <w:pStyle w:val="Heading2"/>
        <w:rPr>
          <w:szCs w:val="24"/>
        </w:rPr>
      </w:pPr>
    </w:p>
    <w:p w:rsidR="008F5FA3" w:rsidRPr="00040BF5" w14:paraId="5324970F" w14:textId="77777777">
      <w:pPr>
        <w:pStyle w:val="Heading2"/>
        <w:pBdr>
          <w:bottom w:val="single" w:sz="12" w:space="1" w:color="auto"/>
        </w:pBdr>
        <w:rPr>
          <w:szCs w:val="24"/>
        </w:rPr>
      </w:pPr>
      <w:r w:rsidRPr="00040BF5">
        <w:rPr>
          <w:szCs w:val="24"/>
        </w:rPr>
        <w:t>MEMORANDUM IN SUPPORT</w:t>
      </w:r>
      <w:r w:rsidRPr="00040BF5">
        <w:rPr>
          <w:szCs w:val="24"/>
        </w:rPr>
        <w:br/>
      </w:r>
    </w:p>
    <w:p w:rsidR="008F5FA3" w:rsidRPr="00040BF5" w14:paraId="3DC3EF32" w14:textId="77777777">
      <w:pPr>
        <w:pStyle w:val="BodyTextIndent"/>
        <w:spacing w:line="240" w:lineRule="auto"/>
        <w:ind w:firstLine="0"/>
        <w:rPr>
          <w:b/>
          <w:bCs/>
          <w:szCs w:val="24"/>
        </w:rPr>
      </w:pPr>
    </w:p>
    <w:p w:rsidR="00E45B14" w:rsidP="00E45B14" w14:paraId="37762D5C" w14:textId="34374EB2">
      <w:pPr>
        <w:pStyle w:val="BodyTextIndent3"/>
        <w:widowControl w:val="0"/>
        <w:spacing w:line="480" w:lineRule="auto"/>
        <w:ind w:right="-24"/>
        <w:rPr>
          <w:szCs w:val="24"/>
        </w:rPr>
      </w:pPr>
      <w:r>
        <w:rPr>
          <w:szCs w:val="24"/>
        </w:rPr>
        <w:t>This case concerns the PUCO</w:t>
      </w:r>
      <w:r w:rsidR="0068771B">
        <w:rPr>
          <w:szCs w:val="24"/>
        </w:rPr>
        <w:t xml:space="preserve"> Staff’s</w:t>
      </w:r>
      <w:r>
        <w:rPr>
          <w:szCs w:val="24"/>
        </w:rPr>
        <w:t xml:space="preserve"> investigation of electric and natural gas marketer Inspire Energy</w:t>
      </w:r>
      <w:r w:rsidR="00E04148">
        <w:rPr>
          <w:szCs w:val="24"/>
        </w:rPr>
        <w:t xml:space="preserve"> and its</w:t>
      </w:r>
      <w:r>
        <w:rPr>
          <w:szCs w:val="24"/>
        </w:rPr>
        <w:t xml:space="preserve"> alleged misleading and deceptive solicitation and enrollment of Ohio utility consumers. The PUCO’s Service Monitoring and Enforcement Division (“PUCO Staff”) received </w:t>
      </w:r>
      <w:r w:rsidR="007F6D45">
        <w:rPr>
          <w:szCs w:val="24"/>
        </w:rPr>
        <w:t>complaints</w:t>
      </w:r>
      <w:r>
        <w:rPr>
          <w:szCs w:val="24"/>
        </w:rPr>
        <w:t xml:space="preserve"> from consumers </w:t>
      </w:r>
      <w:r w:rsidR="007F6D45">
        <w:rPr>
          <w:szCs w:val="24"/>
        </w:rPr>
        <w:t>beginning in March 2022</w:t>
      </w:r>
      <w:r>
        <w:rPr>
          <w:szCs w:val="24"/>
        </w:rPr>
        <w:t xml:space="preserve"> regarding </w:t>
      </w:r>
      <w:r w:rsidR="007F6D45">
        <w:rPr>
          <w:szCs w:val="24"/>
        </w:rPr>
        <w:t>Inspire Energy’s</w:t>
      </w:r>
      <w:r>
        <w:rPr>
          <w:szCs w:val="24"/>
        </w:rPr>
        <w:t xml:space="preserve"> misleading </w:t>
      </w:r>
      <w:r w:rsidR="007F6D45">
        <w:rPr>
          <w:szCs w:val="24"/>
        </w:rPr>
        <w:t xml:space="preserve">marketing and enrollment </w:t>
      </w:r>
      <w:r>
        <w:rPr>
          <w:szCs w:val="24"/>
        </w:rPr>
        <w:t>practices.</w:t>
      </w:r>
      <w:r>
        <w:rPr>
          <w:rStyle w:val="FootnoteReference"/>
          <w:szCs w:val="24"/>
        </w:rPr>
        <w:footnoteReference w:id="8"/>
      </w:r>
      <w:r>
        <w:rPr>
          <w:szCs w:val="24"/>
        </w:rPr>
        <w:t xml:space="preserve"> </w:t>
      </w:r>
      <w:r w:rsidR="00F32081">
        <w:rPr>
          <w:szCs w:val="24"/>
        </w:rPr>
        <w:t xml:space="preserve">Inspire Energy </w:t>
      </w:r>
      <w:r w:rsidR="0068771B">
        <w:rPr>
          <w:szCs w:val="24"/>
        </w:rPr>
        <w:t xml:space="preserve">allegedly </w:t>
      </w:r>
      <w:r w:rsidR="00F32081">
        <w:rPr>
          <w:szCs w:val="24"/>
        </w:rPr>
        <w:t xml:space="preserve">committed its unlawful acts, in part, by regularly using </w:t>
      </w:r>
      <w:r w:rsidRPr="00F32081" w:rsidR="00F32081">
        <w:rPr>
          <w:szCs w:val="24"/>
        </w:rPr>
        <w:t xml:space="preserve">agents </w:t>
      </w:r>
      <w:r w:rsidR="0068771B">
        <w:rPr>
          <w:szCs w:val="24"/>
        </w:rPr>
        <w:t xml:space="preserve">that had been previously </w:t>
      </w:r>
      <w:r w:rsidR="00F32081">
        <w:rPr>
          <w:szCs w:val="24"/>
        </w:rPr>
        <w:t xml:space="preserve">disciplined </w:t>
      </w:r>
      <w:r w:rsidR="0029499E">
        <w:rPr>
          <w:szCs w:val="24"/>
        </w:rPr>
        <w:t xml:space="preserve">and/or </w:t>
      </w:r>
      <w:r w:rsidR="0068771B">
        <w:rPr>
          <w:szCs w:val="24"/>
        </w:rPr>
        <w:t xml:space="preserve">were </w:t>
      </w:r>
      <w:r w:rsidR="0029499E">
        <w:rPr>
          <w:szCs w:val="24"/>
        </w:rPr>
        <w:t xml:space="preserve">eventually dismissed </w:t>
      </w:r>
      <w:r w:rsidR="00F32081">
        <w:rPr>
          <w:szCs w:val="24"/>
        </w:rPr>
        <w:t>for</w:t>
      </w:r>
      <w:r w:rsidRPr="00F32081" w:rsidR="00F32081">
        <w:rPr>
          <w:szCs w:val="24"/>
        </w:rPr>
        <w:t xml:space="preserve"> </w:t>
      </w:r>
      <w:r w:rsidR="0029499E">
        <w:rPr>
          <w:szCs w:val="24"/>
        </w:rPr>
        <w:t xml:space="preserve">unfair, deceptive, and unconscionable </w:t>
      </w:r>
      <w:r w:rsidRPr="00F32081" w:rsidR="00F32081">
        <w:rPr>
          <w:szCs w:val="24"/>
        </w:rPr>
        <w:t>marketing and enrollment</w:t>
      </w:r>
      <w:r w:rsidR="00A95806">
        <w:rPr>
          <w:szCs w:val="24"/>
        </w:rPr>
        <w:t>s</w:t>
      </w:r>
      <w:r w:rsidR="0029499E">
        <w:rPr>
          <w:szCs w:val="24"/>
        </w:rPr>
        <w:t>.</w:t>
      </w:r>
      <w:r>
        <w:rPr>
          <w:rStyle w:val="FootnoteReference"/>
          <w:szCs w:val="24"/>
        </w:rPr>
        <w:footnoteReference w:id="9"/>
      </w:r>
      <w:r>
        <w:rPr>
          <w:szCs w:val="24"/>
        </w:rPr>
        <w:t xml:space="preserve"> </w:t>
      </w:r>
    </w:p>
    <w:p w:rsidR="008D6D46" w:rsidP="0002448C" w14:paraId="031AEA82" w14:textId="60574BAF">
      <w:pPr>
        <w:pStyle w:val="BodyTextIndent3"/>
        <w:widowControl w:val="0"/>
        <w:spacing w:line="480" w:lineRule="auto"/>
        <w:ind w:right="-24"/>
        <w:rPr>
          <w:szCs w:val="24"/>
        </w:rPr>
      </w:pPr>
      <w:r>
        <w:rPr>
          <w:szCs w:val="24"/>
        </w:rPr>
        <w:t xml:space="preserve">According to </w:t>
      </w:r>
      <w:r w:rsidR="00E04148">
        <w:rPr>
          <w:szCs w:val="24"/>
        </w:rPr>
        <w:t xml:space="preserve">the </w:t>
      </w:r>
      <w:r>
        <w:rPr>
          <w:szCs w:val="24"/>
        </w:rPr>
        <w:t xml:space="preserve">PUCO Staff, </w:t>
      </w:r>
      <w:r w:rsidR="0029499E">
        <w:rPr>
          <w:szCs w:val="24"/>
        </w:rPr>
        <w:t>Inspire Energy</w:t>
      </w:r>
      <w:r>
        <w:rPr>
          <w:szCs w:val="24"/>
        </w:rPr>
        <w:t xml:space="preserve"> has, among other things</w:t>
      </w:r>
      <w:r w:rsidR="0029499E">
        <w:rPr>
          <w:szCs w:val="24"/>
        </w:rPr>
        <w:t>,</w:t>
      </w:r>
      <w:r>
        <w:rPr>
          <w:szCs w:val="24"/>
        </w:rPr>
        <w:t xml:space="preserve"> </w:t>
      </w:r>
      <w:r w:rsidR="0029499E">
        <w:rPr>
          <w:szCs w:val="24"/>
        </w:rPr>
        <w:t xml:space="preserve">enrolled consumers for unconscionably high rates: 1) at times without the consumer’s consent; 2) at other times without the consumer’s informed consent; and 3) </w:t>
      </w:r>
      <w:r w:rsidR="00DC0C71">
        <w:rPr>
          <w:szCs w:val="24"/>
        </w:rPr>
        <w:t xml:space="preserve">yet at </w:t>
      </w:r>
      <w:r w:rsidR="0029499E">
        <w:rPr>
          <w:szCs w:val="24"/>
        </w:rPr>
        <w:t xml:space="preserve">other times </w:t>
      </w:r>
      <w:r w:rsidR="00DC0C71">
        <w:rPr>
          <w:szCs w:val="24"/>
        </w:rPr>
        <w:t>by gaining a consumer’s consent through the promise of nonexistent savings or by posing as government officials.</w:t>
      </w:r>
      <w:r>
        <w:rPr>
          <w:rStyle w:val="FootnoteReference"/>
          <w:szCs w:val="24"/>
        </w:rPr>
        <w:footnoteReference w:id="10"/>
      </w:r>
      <w:r w:rsidR="0029499E">
        <w:rPr>
          <w:szCs w:val="24"/>
        </w:rPr>
        <w:t xml:space="preserve"> </w:t>
      </w:r>
      <w:r w:rsidRPr="0092754B">
        <w:rPr>
          <w:szCs w:val="24"/>
        </w:rPr>
        <w:t>OCC has authority under law, pursuant to R.C. Chapter 4911</w:t>
      </w:r>
      <w:r>
        <w:rPr>
          <w:szCs w:val="24"/>
        </w:rPr>
        <w:t xml:space="preserve">, </w:t>
      </w:r>
      <w:r w:rsidRPr="0092754B">
        <w:rPr>
          <w:szCs w:val="24"/>
        </w:rPr>
        <w:t xml:space="preserve">to represent the interests of </w:t>
      </w:r>
      <w:r>
        <w:rPr>
          <w:szCs w:val="24"/>
        </w:rPr>
        <w:t>Ohio</w:t>
      </w:r>
      <w:r w:rsidRPr="0092754B">
        <w:rPr>
          <w:szCs w:val="24"/>
        </w:rPr>
        <w:t xml:space="preserve"> residential utility c</w:t>
      </w:r>
      <w:r>
        <w:rPr>
          <w:szCs w:val="24"/>
        </w:rPr>
        <w:t>onsumers who</w:t>
      </w:r>
      <w:r w:rsidR="00DC0C71">
        <w:rPr>
          <w:szCs w:val="24"/>
        </w:rPr>
        <w:t xml:space="preserve"> Inspire Energy</w:t>
      </w:r>
      <w:r>
        <w:rPr>
          <w:szCs w:val="24"/>
        </w:rPr>
        <w:t xml:space="preserve"> solicits and serves</w:t>
      </w:r>
      <w:r w:rsidRPr="0092754B">
        <w:rPr>
          <w:szCs w:val="24"/>
        </w:rPr>
        <w:t>.</w:t>
      </w:r>
      <w:r>
        <w:rPr>
          <w:szCs w:val="24"/>
        </w:rPr>
        <w:t xml:space="preserve"> </w:t>
      </w:r>
      <w:r>
        <w:rPr>
          <w:szCs w:val="24"/>
        </w:rPr>
        <w:br w:type="page"/>
      </w:r>
    </w:p>
    <w:p w:rsidR="00E45B14" w:rsidRPr="0092754B" w:rsidP="00E45B14" w14:paraId="46BBDF38" w14:textId="1A7AF229">
      <w:pPr>
        <w:pStyle w:val="BodyTextIndent3"/>
        <w:widowControl w:val="0"/>
        <w:spacing w:line="480" w:lineRule="auto"/>
        <w:ind w:right="-24"/>
        <w:rPr>
          <w:szCs w:val="24"/>
        </w:rPr>
      </w:pPr>
      <w:r w:rsidRPr="0092754B">
        <w:rPr>
          <w:szCs w:val="24"/>
        </w:rPr>
        <w:t>R.C. 4903.221 provides, in part, that any person “who may be adversely affected” by a PUCO proceeding is entitled to seek intervention in that proceeding. The interests of Ohio’s residential c</w:t>
      </w:r>
      <w:r>
        <w:rPr>
          <w:szCs w:val="24"/>
        </w:rPr>
        <w:t>onsumers</w:t>
      </w:r>
      <w:r w:rsidRPr="0092754B">
        <w:rPr>
          <w:szCs w:val="24"/>
        </w:rPr>
        <w:t xml:space="preserve"> may be “adversely affected” by this case, especially if the c</w:t>
      </w:r>
      <w:r>
        <w:rPr>
          <w:szCs w:val="24"/>
        </w:rPr>
        <w:t>onsumers</w:t>
      </w:r>
      <w:r w:rsidRPr="0092754B">
        <w:rPr>
          <w:szCs w:val="24"/>
        </w:rPr>
        <w:t xml:space="preserve"> were unrepresented in a proceeding</w:t>
      </w:r>
      <w:r>
        <w:rPr>
          <w:szCs w:val="24"/>
        </w:rPr>
        <w:t xml:space="preserve"> to investigate allegations of unfair, deceptive, and unconscionable marketing and enrollment practices by </w:t>
      </w:r>
      <w:r w:rsidR="00A95806">
        <w:rPr>
          <w:szCs w:val="24"/>
        </w:rPr>
        <w:t>Inspire Energy</w:t>
      </w:r>
      <w:r w:rsidRPr="0092754B">
        <w:rPr>
          <w:szCs w:val="24"/>
        </w:rPr>
        <w:t xml:space="preserve">. Thus, this element of the intervention standard in R.C. 4903.221 is satisfied. </w:t>
      </w:r>
    </w:p>
    <w:p w:rsidR="00E45B14" w:rsidRPr="0092754B" w:rsidP="00E45B14" w14:paraId="306F350C" w14:textId="77777777">
      <w:pPr>
        <w:spacing w:line="480" w:lineRule="auto"/>
        <w:ind w:firstLine="720"/>
        <w:rPr>
          <w:szCs w:val="24"/>
        </w:rPr>
      </w:pPr>
      <w:r w:rsidRPr="0092754B">
        <w:rPr>
          <w:szCs w:val="24"/>
        </w:rPr>
        <w:t>R.C. 4903.221(B) requires the PUCO to consider the following criteria in ruling on motions to intervene:</w:t>
      </w:r>
    </w:p>
    <w:p w:rsidR="00E45B14" w:rsidRPr="0092754B" w:rsidP="00E45B14" w14:paraId="3552CEB3" w14:textId="6B55312A">
      <w:pPr>
        <w:ind w:left="1440" w:hanging="720"/>
        <w:rPr>
          <w:szCs w:val="24"/>
        </w:rPr>
      </w:pPr>
      <w:r w:rsidRPr="0092754B">
        <w:rPr>
          <w:szCs w:val="24"/>
        </w:rPr>
        <w:t>1)</w:t>
      </w:r>
      <w:r w:rsidRPr="0092754B">
        <w:rPr>
          <w:szCs w:val="24"/>
        </w:rPr>
        <w:tab/>
        <w:t>The nature and extent of the prospective intervenor’s interest;</w:t>
      </w:r>
    </w:p>
    <w:p w:rsidR="00E45B14" w:rsidRPr="0092754B" w:rsidP="00E45B14" w14:paraId="44D06B7D" w14:textId="3E4BF671">
      <w:pPr>
        <w:spacing w:before="240"/>
        <w:ind w:left="1440" w:hanging="720"/>
        <w:rPr>
          <w:szCs w:val="24"/>
        </w:rPr>
      </w:pPr>
      <w:r w:rsidRPr="0092754B">
        <w:rPr>
          <w:szCs w:val="24"/>
        </w:rPr>
        <w:t>2)</w:t>
      </w:r>
      <w:r w:rsidRPr="0092754B">
        <w:rPr>
          <w:szCs w:val="24"/>
        </w:rPr>
        <w:tab/>
        <w:t>The legal position advanced by the prospective intervenor and its probable relation to the merits of the case;</w:t>
      </w:r>
    </w:p>
    <w:p w:rsidR="00E45B14" w:rsidRPr="0092754B" w:rsidP="00E45B14" w14:paraId="0AB878AC" w14:textId="033A3355">
      <w:pPr>
        <w:spacing w:before="240"/>
        <w:ind w:left="1440" w:hanging="720"/>
        <w:rPr>
          <w:szCs w:val="24"/>
        </w:rPr>
      </w:pPr>
      <w:r w:rsidRPr="0092754B">
        <w:rPr>
          <w:szCs w:val="24"/>
        </w:rPr>
        <w:t>3)</w:t>
      </w:r>
      <w:r w:rsidRPr="0092754B">
        <w:rPr>
          <w:szCs w:val="24"/>
        </w:rPr>
        <w:tab/>
        <w:t>Whether the intervention by the prospective intervenor will unduly prolong or delay the proceeding; and</w:t>
      </w:r>
    </w:p>
    <w:p w:rsidR="00E45B14" w:rsidRPr="0092754B" w:rsidP="00E45B14" w14:paraId="61FA254A" w14:textId="6ACFF508">
      <w:pPr>
        <w:pStyle w:val="BodyTextIndent2"/>
        <w:tabs>
          <w:tab w:val="clear" w:pos="720"/>
        </w:tabs>
        <w:ind w:left="1440" w:hanging="720"/>
        <w:rPr>
          <w:szCs w:val="24"/>
        </w:rPr>
      </w:pPr>
      <w:r w:rsidRPr="0092754B">
        <w:rPr>
          <w:szCs w:val="24"/>
        </w:rPr>
        <w:t>4)</w:t>
      </w:r>
      <w:r w:rsidRPr="0092754B">
        <w:rPr>
          <w:szCs w:val="24"/>
        </w:rPr>
        <w:tab/>
        <w:t>Whether the prospective intervenor will significantly contribute to the full development and equitable resolution of the factual issues.</w:t>
      </w:r>
    </w:p>
    <w:p w:rsidR="00E45B14" w:rsidRPr="0092754B" w:rsidP="00E45B14" w14:paraId="54757AAC" w14:textId="29A1FDFE">
      <w:pPr>
        <w:pStyle w:val="BodyTextIndent3"/>
        <w:spacing w:line="480" w:lineRule="auto"/>
        <w:rPr>
          <w:szCs w:val="24"/>
        </w:rPr>
      </w:pPr>
      <w:r w:rsidRPr="0092754B">
        <w:rPr>
          <w:szCs w:val="24"/>
        </w:rPr>
        <w:t>First, the nature and extent of OCC’s interest is representing</w:t>
      </w:r>
      <w:r>
        <w:rPr>
          <w:szCs w:val="24"/>
        </w:rPr>
        <w:t xml:space="preserve"> </w:t>
      </w:r>
      <w:r w:rsidRPr="0092754B">
        <w:rPr>
          <w:szCs w:val="24"/>
        </w:rPr>
        <w:t>residential</w:t>
      </w:r>
      <w:r>
        <w:rPr>
          <w:szCs w:val="24"/>
        </w:rPr>
        <w:t xml:space="preserve"> utility</w:t>
      </w:r>
      <w:r w:rsidRPr="0092754B">
        <w:rPr>
          <w:szCs w:val="24"/>
        </w:rPr>
        <w:t xml:space="preserve"> </w:t>
      </w:r>
      <w:r>
        <w:rPr>
          <w:szCs w:val="24"/>
        </w:rPr>
        <w:t>consumers</w:t>
      </w:r>
      <w:r w:rsidRPr="0092754B">
        <w:rPr>
          <w:szCs w:val="24"/>
        </w:rPr>
        <w:t xml:space="preserve">. This interest is different than that of any other party and especially different than that of </w:t>
      </w:r>
      <w:r w:rsidR="00DC0C71">
        <w:rPr>
          <w:szCs w:val="24"/>
        </w:rPr>
        <w:t>Inspire Energy</w:t>
      </w:r>
      <w:r w:rsidRPr="0092754B">
        <w:rPr>
          <w:szCs w:val="24"/>
        </w:rPr>
        <w:t xml:space="preserve"> whose advocacy includes </w:t>
      </w:r>
      <w:r>
        <w:rPr>
          <w:szCs w:val="24"/>
        </w:rPr>
        <w:t>its own</w:t>
      </w:r>
      <w:r w:rsidRPr="0092754B">
        <w:rPr>
          <w:szCs w:val="24"/>
        </w:rPr>
        <w:t xml:space="preserve"> financial interest.</w:t>
      </w:r>
    </w:p>
    <w:p w:rsidR="00E45B14" w:rsidP="00E45B14" w14:paraId="39EFFCD0" w14:textId="004E0DE6">
      <w:pPr>
        <w:pStyle w:val="Footer"/>
        <w:tabs>
          <w:tab w:val="clear" w:pos="4320"/>
          <w:tab w:val="clear" w:pos="8640"/>
        </w:tabs>
        <w:spacing w:line="480" w:lineRule="auto"/>
        <w:ind w:firstLine="720"/>
        <w:rPr>
          <w:sz w:val="24"/>
          <w:szCs w:val="24"/>
        </w:rPr>
      </w:pPr>
      <w:r w:rsidRPr="0092754B">
        <w:rPr>
          <w:sz w:val="24"/>
          <w:szCs w:val="24"/>
        </w:rPr>
        <w:t>Second, OCC’s advocacy for residential c</w:t>
      </w:r>
      <w:r>
        <w:rPr>
          <w:sz w:val="24"/>
          <w:szCs w:val="24"/>
        </w:rPr>
        <w:t>onsumers</w:t>
      </w:r>
      <w:r w:rsidRPr="0092754B">
        <w:rPr>
          <w:sz w:val="24"/>
          <w:szCs w:val="24"/>
        </w:rPr>
        <w:t xml:space="preserve"> will include advancing the position that </w:t>
      </w:r>
      <w:r w:rsidR="00A95806">
        <w:rPr>
          <w:sz w:val="24"/>
          <w:szCs w:val="24"/>
        </w:rPr>
        <w:t>Inspire Energy</w:t>
      </w:r>
      <w:r>
        <w:rPr>
          <w:sz w:val="24"/>
          <w:szCs w:val="24"/>
        </w:rPr>
        <w:t xml:space="preserve"> must comply with </w:t>
      </w:r>
      <w:r w:rsidRPr="0092754B">
        <w:rPr>
          <w:sz w:val="24"/>
          <w:szCs w:val="24"/>
        </w:rPr>
        <w:t>Ohio law</w:t>
      </w:r>
      <w:r>
        <w:rPr>
          <w:sz w:val="24"/>
          <w:szCs w:val="24"/>
        </w:rPr>
        <w:t xml:space="preserve"> and the PUCO’s rules when it markets electric and natural gas service to consumers</w:t>
      </w:r>
      <w:r w:rsidRPr="0092754B">
        <w:rPr>
          <w:sz w:val="24"/>
          <w:szCs w:val="24"/>
        </w:rPr>
        <w:t xml:space="preserve">. OCC’s position is therefore directly related to the merits of this case that is pending before the PUCO, the authority with regulatory control of public utilities’ rates and service quality in Ohio. </w:t>
      </w:r>
    </w:p>
    <w:p w:rsidR="00E04148" w:rsidP="00E04148" w14:paraId="0CFAC6FF" w14:textId="48D2E233">
      <w:pPr>
        <w:pStyle w:val="BodyTextIndent3"/>
        <w:widowControl w:val="0"/>
        <w:spacing w:line="480" w:lineRule="auto"/>
        <w:ind w:right="-312"/>
        <w:rPr>
          <w:szCs w:val="24"/>
        </w:rPr>
      </w:pPr>
      <w:r>
        <w:rPr>
          <w:szCs w:val="24"/>
        </w:rPr>
        <w:t xml:space="preserve">The PUCO Staff and consumers accuse Inspire Energy of </w:t>
      </w:r>
      <w:r w:rsidRPr="00F5630A">
        <w:rPr>
          <w:szCs w:val="24"/>
        </w:rPr>
        <w:t xml:space="preserve">unfair, deceptive, and unconscionable acts </w:t>
      </w:r>
      <w:r>
        <w:rPr>
          <w:szCs w:val="24"/>
        </w:rPr>
        <w:t xml:space="preserve">and practices against Ohio consumers, including, but not limited to: </w:t>
      </w:r>
    </w:p>
    <w:p w:rsidR="00E04148" w:rsidP="0002448C" w14:paraId="0BB0CEAD" w14:textId="77777777">
      <w:pPr>
        <w:pStyle w:val="BodyTextIndent3"/>
        <w:widowControl w:val="0"/>
        <w:numPr>
          <w:ilvl w:val="0"/>
          <w:numId w:val="11"/>
        </w:numPr>
        <w:spacing w:line="480" w:lineRule="auto"/>
        <w:ind w:left="1440" w:right="-312" w:hanging="720"/>
        <w:rPr>
          <w:szCs w:val="24"/>
        </w:rPr>
      </w:pPr>
      <w:r>
        <w:rPr>
          <w:szCs w:val="24"/>
        </w:rPr>
        <w:t>Marketing to consumers low introductory prices (as low as $59 per month) without informing consumers of the factors that will impact their future rates;</w:t>
      </w:r>
    </w:p>
    <w:p w:rsidR="00E04148" w:rsidP="0002448C" w14:paraId="18F57281" w14:textId="77777777">
      <w:pPr>
        <w:pStyle w:val="BodyTextIndent3"/>
        <w:widowControl w:val="0"/>
        <w:numPr>
          <w:ilvl w:val="0"/>
          <w:numId w:val="11"/>
        </w:numPr>
        <w:spacing w:line="480" w:lineRule="auto"/>
        <w:ind w:left="1440" w:right="-312" w:hanging="720"/>
        <w:rPr>
          <w:szCs w:val="24"/>
        </w:rPr>
      </w:pPr>
      <w:r>
        <w:rPr>
          <w:szCs w:val="24"/>
        </w:rPr>
        <w:t>N</w:t>
      </w:r>
      <w:r w:rsidRPr="00194939">
        <w:rPr>
          <w:szCs w:val="24"/>
        </w:rPr>
        <w:t>otif</w:t>
      </w:r>
      <w:r>
        <w:rPr>
          <w:szCs w:val="24"/>
        </w:rPr>
        <w:t>ying consumers, only after enrollment,</w:t>
      </w:r>
      <w:r w:rsidRPr="00194939">
        <w:rPr>
          <w:szCs w:val="24"/>
        </w:rPr>
        <w:t xml:space="preserve"> of unconscionably high </w:t>
      </w:r>
      <w:r>
        <w:rPr>
          <w:szCs w:val="24"/>
        </w:rPr>
        <w:t xml:space="preserve">future </w:t>
      </w:r>
      <w:r w:rsidRPr="00194939">
        <w:rPr>
          <w:szCs w:val="24"/>
        </w:rPr>
        <w:t>rate</w:t>
      </w:r>
      <w:r>
        <w:rPr>
          <w:szCs w:val="24"/>
        </w:rPr>
        <w:t>s (as high as $599 per month);</w:t>
      </w:r>
      <w:r w:rsidRPr="00194939">
        <w:rPr>
          <w:szCs w:val="24"/>
        </w:rPr>
        <w:t xml:space="preserve"> </w:t>
      </w:r>
    </w:p>
    <w:p w:rsidR="00E04148" w:rsidP="0002448C" w14:paraId="1B36866C" w14:textId="77777777">
      <w:pPr>
        <w:pStyle w:val="BodyTextIndent3"/>
        <w:widowControl w:val="0"/>
        <w:numPr>
          <w:ilvl w:val="0"/>
          <w:numId w:val="11"/>
        </w:numPr>
        <w:spacing w:line="480" w:lineRule="auto"/>
        <w:ind w:left="1440" w:right="-312" w:hanging="720"/>
        <w:rPr>
          <w:szCs w:val="24"/>
        </w:rPr>
      </w:pPr>
      <w:r>
        <w:rPr>
          <w:szCs w:val="24"/>
        </w:rPr>
        <w:t>Fraudulently enrolling consumers;</w:t>
      </w:r>
    </w:p>
    <w:p w:rsidR="00E04148" w:rsidP="0002448C" w14:paraId="15CFA29F" w14:textId="77777777">
      <w:pPr>
        <w:pStyle w:val="BodyTextIndent3"/>
        <w:widowControl w:val="0"/>
        <w:numPr>
          <w:ilvl w:val="0"/>
          <w:numId w:val="11"/>
        </w:numPr>
        <w:spacing w:line="480" w:lineRule="auto"/>
        <w:ind w:left="1440" w:right="-312" w:hanging="720"/>
        <w:rPr>
          <w:szCs w:val="24"/>
        </w:rPr>
      </w:pPr>
      <w:r>
        <w:rPr>
          <w:szCs w:val="24"/>
        </w:rPr>
        <w:t xml:space="preserve">Marketing </w:t>
      </w:r>
      <w:r w:rsidRPr="00194939">
        <w:rPr>
          <w:szCs w:val="24"/>
        </w:rPr>
        <w:t>savings</w:t>
      </w:r>
      <w:r>
        <w:rPr>
          <w:szCs w:val="24"/>
        </w:rPr>
        <w:t xml:space="preserve"> and </w:t>
      </w:r>
      <w:r w:rsidRPr="00194939">
        <w:rPr>
          <w:szCs w:val="24"/>
        </w:rPr>
        <w:t xml:space="preserve">discounts </w:t>
      </w:r>
      <w:r>
        <w:rPr>
          <w:szCs w:val="24"/>
        </w:rPr>
        <w:t>to consumers when there were none;</w:t>
      </w:r>
      <w:r w:rsidRPr="00DC0C71">
        <w:rPr>
          <w:szCs w:val="24"/>
        </w:rPr>
        <w:t xml:space="preserve"> </w:t>
      </w:r>
      <w:r>
        <w:rPr>
          <w:szCs w:val="24"/>
        </w:rPr>
        <w:t>and</w:t>
      </w:r>
    </w:p>
    <w:p w:rsidR="00E04148" w:rsidP="0002448C" w14:paraId="599E68E1" w14:textId="77777777">
      <w:pPr>
        <w:pStyle w:val="BodyTextIndent3"/>
        <w:widowControl w:val="0"/>
        <w:numPr>
          <w:ilvl w:val="0"/>
          <w:numId w:val="11"/>
        </w:numPr>
        <w:spacing w:line="480" w:lineRule="auto"/>
        <w:ind w:left="1440" w:right="-312" w:hanging="720"/>
        <w:rPr>
          <w:szCs w:val="24"/>
        </w:rPr>
      </w:pPr>
      <w:r>
        <w:rPr>
          <w:szCs w:val="24"/>
        </w:rPr>
        <w:t>Using sales agents who r</w:t>
      </w:r>
      <w:r w:rsidRPr="00194939">
        <w:rPr>
          <w:szCs w:val="24"/>
        </w:rPr>
        <w:t>epresent</w:t>
      </w:r>
      <w:r>
        <w:rPr>
          <w:szCs w:val="24"/>
        </w:rPr>
        <w:t>ed</w:t>
      </w:r>
      <w:r w:rsidRPr="00194939">
        <w:rPr>
          <w:szCs w:val="24"/>
        </w:rPr>
        <w:t xml:space="preserve"> themselves as city officials</w:t>
      </w:r>
      <w:r>
        <w:rPr>
          <w:szCs w:val="24"/>
        </w:rPr>
        <w:t>.</w:t>
      </w:r>
      <w:r>
        <w:rPr>
          <w:rStyle w:val="FootnoteTextChar"/>
          <w:szCs w:val="24"/>
          <w:vertAlign w:val="superscript"/>
        </w:rPr>
        <w:footnoteReference w:id="11"/>
      </w:r>
      <w:r>
        <w:rPr>
          <w:szCs w:val="24"/>
        </w:rPr>
        <w:t xml:space="preserve"> </w:t>
      </w:r>
    </w:p>
    <w:p w:rsidR="008C0AFE" w:rsidP="00E04148" w14:paraId="719A11B8" w14:textId="04BE5166">
      <w:pPr>
        <w:pStyle w:val="BodyTextIndent3"/>
        <w:widowControl w:val="0"/>
        <w:spacing w:line="480" w:lineRule="auto"/>
        <w:ind w:right="-312"/>
        <w:rPr>
          <w:szCs w:val="24"/>
        </w:rPr>
      </w:pPr>
      <w:r>
        <w:rPr>
          <w:szCs w:val="24"/>
        </w:rPr>
        <w:t>T</w:t>
      </w:r>
      <w:r w:rsidR="00E04148">
        <w:rPr>
          <w:szCs w:val="24"/>
        </w:rPr>
        <w:t xml:space="preserve">he </w:t>
      </w:r>
      <w:r w:rsidRPr="003953D6" w:rsidR="00E04148">
        <w:rPr>
          <w:i/>
          <w:iCs/>
          <w:szCs w:val="24"/>
        </w:rPr>
        <w:t>SmartEnergy</w:t>
      </w:r>
      <w:r w:rsidR="00E04148">
        <w:rPr>
          <w:szCs w:val="24"/>
        </w:rPr>
        <w:t xml:space="preserve"> </w:t>
      </w:r>
      <w:r>
        <w:rPr>
          <w:szCs w:val="24"/>
        </w:rPr>
        <w:t xml:space="preserve">case, </w:t>
      </w:r>
      <w:r w:rsidR="00E04148">
        <w:rPr>
          <w:szCs w:val="24"/>
        </w:rPr>
        <w:t xml:space="preserve">in which the PUCO modified an unreasonable </w:t>
      </w:r>
      <w:r w:rsidR="0025373A">
        <w:rPr>
          <w:szCs w:val="24"/>
        </w:rPr>
        <w:t>settlement</w:t>
      </w:r>
      <w:r w:rsidR="00E04148">
        <w:rPr>
          <w:szCs w:val="24"/>
        </w:rPr>
        <w:t xml:space="preserve">, </w:t>
      </w:r>
      <w:r>
        <w:rPr>
          <w:szCs w:val="24"/>
        </w:rPr>
        <w:t xml:space="preserve">is </w:t>
      </w:r>
      <w:r w:rsidR="0025373A">
        <w:rPr>
          <w:szCs w:val="24"/>
        </w:rPr>
        <w:t>a reference point</w:t>
      </w:r>
      <w:r>
        <w:rPr>
          <w:szCs w:val="24"/>
        </w:rPr>
        <w:t xml:space="preserve"> (among other points)</w:t>
      </w:r>
      <w:r w:rsidR="0025373A">
        <w:rPr>
          <w:szCs w:val="24"/>
        </w:rPr>
        <w:t xml:space="preserve"> for OCC’s consumer advocacy</w:t>
      </w:r>
      <w:r>
        <w:rPr>
          <w:szCs w:val="24"/>
        </w:rPr>
        <w:t>.</w:t>
      </w:r>
      <w:r w:rsidR="0025373A">
        <w:rPr>
          <w:szCs w:val="24"/>
        </w:rPr>
        <w:t xml:space="preserve"> </w:t>
      </w:r>
      <w:r>
        <w:rPr>
          <w:szCs w:val="24"/>
        </w:rPr>
        <w:t>P</w:t>
      </w:r>
      <w:r w:rsidRPr="00BF4822" w:rsidR="00E04148">
        <w:rPr>
          <w:szCs w:val="24"/>
        </w:rPr>
        <w:t xml:space="preserve">articularly troubling </w:t>
      </w:r>
      <w:r w:rsidR="00E04148">
        <w:rPr>
          <w:szCs w:val="24"/>
        </w:rPr>
        <w:t>is</w:t>
      </w:r>
      <w:r w:rsidRPr="00BF4822" w:rsidR="00E04148">
        <w:rPr>
          <w:szCs w:val="24"/>
        </w:rPr>
        <w:t xml:space="preserve"> </w:t>
      </w:r>
      <w:r w:rsidR="00E04148">
        <w:rPr>
          <w:szCs w:val="24"/>
        </w:rPr>
        <w:t>Inspire Energy’s</w:t>
      </w:r>
      <w:r w:rsidRPr="00BF4822" w:rsidR="00E04148">
        <w:rPr>
          <w:szCs w:val="24"/>
        </w:rPr>
        <w:t xml:space="preserve"> offering of unconscionably high variable rates</w:t>
      </w:r>
      <w:r w:rsidR="00E363FF">
        <w:rPr>
          <w:szCs w:val="24"/>
        </w:rPr>
        <w:t>.</w:t>
      </w:r>
      <w:r>
        <w:rPr>
          <w:szCs w:val="24"/>
        </w:rPr>
        <w:t xml:space="preserve"> </w:t>
      </w:r>
      <w:r w:rsidR="00E363FF">
        <w:rPr>
          <w:szCs w:val="24"/>
        </w:rPr>
        <w:t>These rates seem</w:t>
      </w:r>
      <w:r w:rsidR="00E04148">
        <w:rPr>
          <w:szCs w:val="24"/>
        </w:rPr>
        <w:t xml:space="preserve"> </w:t>
      </w:r>
      <w:r w:rsidR="00E363FF">
        <w:rPr>
          <w:szCs w:val="24"/>
        </w:rPr>
        <w:t>un</w:t>
      </w:r>
      <w:r w:rsidR="00E04148">
        <w:rPr>
          <w:szCs w:val="24"/>
        </w:rPr>
        <w:t>tethered to the market</w:t>
      </w:r>
      <w:r w:rsidRPr="00BF4822" w:rsidR="00E04148">
        <w:rPr>
          <w:szCs w:val="24"/>
        </w:rPr>
        <w:t>.</w:t>
      </w:r>
      <w:r>
        <w:rPr>
          <w:rStyle w:val="FootnoteTextChar"/>
          <w:szCs w:val="24"/>
          <w:vertAlign w:val="superscript"/>
        </w:rPr>
        <w:footnoteReference w:id="12"/>
      </w:r>
      <w:r w:rsidR="00E04148">
        <w:rPr>
          <w:szCs w:val="24"/>
        </w:rPr>
        <w:t xml:space="preserve"> </w:t>
      </w:r>
      <w:r w:rsidR="00E363FF">
        <w:rPr>
          <w:szCs w:val="24"/>
        </w:rPr>
        <w:t>If energy marketers are going to charge Ohioans extreme energy prices that are not market-based, then the very premise of allowing retail marketing should be questioned.</w:t>
      </w:r>
    </w:p>
    <w:p w:rsidR="002836F4" w:rsidP="00A3235C" w14:paraId="3A7C1616" w14:textId="77777777">
      <w:pPr>
        <w:pStyle w:val="BodyTextIndent3"/>
        <w:widowControl w:val="0"/>
        <w:spacing w:line="480" w:lineRule="auto"/>
        <w:ind w:right="-312"/>
        <w:rPr>
          <w:szCs w:val="24"/>
        </w:rPr>
      </w:pPr>
      <w:r>
        <w:rPr>
          <w:szCs w:val="24"/>
        </w:rPr>
        <w:t xml:space="preserve">As noted </w:t>
      </w:r>
      <w:r w:rsidR="00CA6846">
        <w:rPr>
          <w:szCs w:val="24"/>
        </w:rPr>
        <w:t xml:space="preserve">in the </w:t>
      </w:r>
      <w:r w:rsidRPr="0002448C" w:rsidR="00CA6846">
        <w:rPr>
          <w:i/>
          <w:iCs/>
          <w:szCs w:val="24"/>
        </w:rPr>
        <w:t>SmartEnergy</w:t>
      </w:r>
      <w:r w:rsidR="00CA6846">
        <w:rPr>
          <w:szCs w:val="24"/>
        </w:rPr>
        <w:t xml:space="preserve"> Order,</w:t>
      </w:r>
      <w:r>
        <w:rPr>
          <w:szCs w:val="24"/>
        </w:rPr>
        <w:t xml:space="preserve"> </w:t>
      </w:r>
      <w:r w:rsidRPr="00CA6846" w:rsidR="00CA6846">
        <w:rPr>
          <w:szCs w:val="24"/>
        </w:rPr>
        <w:t>“</w:t>
      </w:r>
      <w:r w:rsidR="00CA6846">
        <w:rPr>
          <w:szCs w:val="24"/>
        </w:rPr>
        <w:t>h</w:t>
      </w:r>
      <w:r w:rsidRPr="00CA6846" w:rsidR="00CA6846">
        <w:rPr>
          <w:szCs w:val="24"/>
        </w:rPr>
        <w:t>ealthy and effective competition should allow for profit potential but should also introduce price discipline into the market.”</w:t>
      </w:r>
      <w:r>
        <w:rPr>
          <w:szCs w:val="24"/>
          <w:vertAlign w:val="superscript"/>
        </w:rPr>
        <w:footnoteReference w:id="13"/>
      </w:r>
      <w:r w:rsidRPr="00CA6846" w:rsidR="00CA6846">
        <w:rPr>
          <w:szCs w:val="24"/>
        </w:rPr>
        <w:t xml:space="preserve"> “[P]rice points among the supplier prices should fall within some reasonable range and should not include excessive or outlier prices.”</w:t>
      </w:r>
      <w:r>
        <w:rPr>
          <w:szCs w:val="24"/>
          <w:vertAlign w:val="superscript"/>
        </w:rPr>
        <w:footnoteReference w:id="14"/>
      </w:r>
      <w:r>
        <w:rPr>
          <w:szCs w:val="24"/>
        </w:rPr>
        <w:t xml:space="preserve"> As in the </w:t>
      </w:r>
      <w:r w:rsidRPr="007A4C70">
        <w:rPr>
          <w:i/>
          <w:iCs/>
          <w:szCs w:val="24"/>
        </w:rPr>
        <w:t>SmartEnergy</w:t>
      </w:r>
      <w:r>
        <w:rPr>
          <w:szCs w:val="24"/>
        </w:rPr>
        <w:t xml:space="preserve"> matter, the </w:t>
      </w:r>
      <w:r w:rsidR="008C0AFE">
        <w:rPr>
          <w:szCs w:val="24"/>
        </w:rPr>
        <w:t>Settlement</w:t>
      </w:r>
      <w:r>
        <w:rPr>
          <w:szCs w:val="24"/>
        </w:rPr>
        <w:t xml:space="preserve"> signed by Inspire Energy and PUCO Staff should be modified in such a manner </w:t>
      </w:r>
      <w:r w:rsidR="008C0AFE">
        <w:rPr>
          <w:szCs w:val="24"/>
        </w:rPr>
        <w:t xml:space="preserve">as </w:t>
      </w:r>
      <w:r>
        <w:rPr>
          <w:szCs w:val="24"/>
        </w:rPr>
        <w:t xml:space="preserve">to deter Inspire Energy and other marketers from offering future unconscionable rates. </w:t>
      </w:r>
      <w:r w:rsidR="008C0AFE">
        <w:rPr>
          <w:szCs w:val="24"/>
        </w:rPr>
        <w:t xml:space="preserve">The PUCO’s </w:t>
      </w:r>
    </w:p>
    <w:p w:rsidR="002836F4" w14:paraId="486FA5D3" w14:textId="77777777">
      <w:pPr>
        <w:rPr>
          <w:szCs w:val="24"/>
        </w:rPr>
      </w:pPr>
      <w:r>
        <w:rPr>
          <w:szCs w:val="24"/>
        </w:rPr>
        <w:br w:type="page"/>
      </w:r>
    </w:p>
    <w:p w:rsidR="00833955" w:rsidP="002836F4" w14:paraId="5B29B361" w14:textId="45682C13">
      <w:pPr>
        <w:pStyle w:val="BodyTextIndent3"/>
        <w:widowControl w:val="0"/>
        <w:spacing w:line="480" w:lineRule="auto"/>
        <w:ind w:right="-312" w:firstLine="0"/>
        <w:rPr>
          <w:szCs w:val="24"/>
        </w:rPr>
      </w:pPr>
      <w:r>
        <w:rPr>
          <w:szCs w:val="24"/>
        </w:rPr>
        <w:t>admonishment in the SmartEnergy Order should be converted into action for consumer protection</w:t>
      </w:r>
      <w:r w:rsidR="00E04148">
        <w:rPr>
          <w:szCs w:val="24"/>
        </w:rPr>
        <w:t xml:space="preserve">. </w:t>
      </w:r>
      <w:r w:rsidRPr="00A3235C" w:rsidR="00A3235C">
        <w:rPr>
          <w:szCs w:val="24"/>
        </w:rPr>
        <w:t xml:space="preserve"> </w:t>
      </w:r>
    </w:p>
    <w:p w:rsidR="00A3235C" w:rsidRPr="00A3235C" w:rsidP="002836F4" w14:paraId="3D373DC6" w14:textId="14456078">
      <w:pPr>
        <w:pStyle w:val="BodyTextIndent3"/>
        <w:widowControl w:val="0"/>
        <w:spacing w:line="480" w:lineRule="auto"/>
        <w:rPr>
          <w:szCs w:val="24"/>
        </w:rPr>
      </w:pPr>
      <w:r w:rsidRPr="00A3235C">
        <w:rPr>
          <w:szCs w:val="24"/>
        </w:rPr>
        <w:t>Action should start with delisting from the apples-to-apples website all unconscionable prices</w:t>
      </w:r>
      <w:r w:rsidR="00833955">
        <w:rPr>
          <w:szCs w:val="24"/>
        </w:rPr>
        <w:t xml:space="preserve"> by Inspire and other</w:t>
      </w:r>
      <w:r w:rsidRPr="00A3235C">
        <w:rPr>
          <w:szCs w:val="24"/>
        </w:rPr>
        <w:t xml:space="preserve">, being </w:t>
      </w:r>
      <w:r w:rsidR="00FE656C">
        <w:rPr>
          <w:szCs w:val="24"/>
        </w:rPr>
        <w:t>prices</w:t>
      </w:r>
      <w:r w:rsidRPr="00A3235C" w:rsidR="00FE656C">
        <w:rPr>
          <w:szCs w:val="24"/>
        </w:rPr>
        <w:t xml:space="preserve"> </w:t>
      </w:r>
      <w:r w:rsidRPr="00A3235C">
        <w:rPr>
          <w:szCs w:val="24"/>
        </w:rPr>
        <w:t>higher than 2.25 times the standard offer for natural gas. For electric, during the remainder of the standard offer delivery year, there should be a benchmark market rate determined, because the standard offer is an anomaly (at a high rate) now. For example, the electric benchmark during this standard offer delivery year could be the 20</w:t>
      </w:r>
      <w:r w:rsidRPr="00A3235C">
        <w:rPr>
          <w:szCs w:val="24"/>
          <w:vertAlign w:val="superscript"/>
        </w:rPr>
        <w:t>th</w:t>
      </w:r>
      <w:r w:rsidRPr="00A3235C">
        <w:rPr>
          <w:szCs w:val="24"/>
        </w:rPr>
        <w:t xml:space="preserve"> percentile lowest price offered on the electric Apples-to-Apples price comparison charts. The 2.25 times threshold for the electric Apples-to-Apples price comparison charts would reference the benchmark, given that the current standard offer is historically anomalous. </w:t>
      </w:r>
    </w:p>
    <w:p w:rsidR="00E45B14" w:rsidRPr="0092754B" w:rsidP="0002448C" w14:paraId="46C299B8" w14:textId="599D86E0">
      <w:pPr>
        <w:pStyle w:val="BodyTextIndent3"/>
        <w:spacing w:line="480" w:lineRule="auto"/>
        <w:ind w:firstLine="0"/>
        <w:rPr>
          <w:szCs w:val="24"/>
        </w:rPr>
      </w:pPr>
      <w:r>
        <w:rPr>
          <w:szCs w:val="24"/>
        </w:rPr>
        <w:tab/>
      </w:r>
      <w:r w:rsidRPr="0092754B">
        <w:rPr>
          <w:szCs w:val="24"/>
        </w:rPr>
        <w:t>Third, OCC’s intervention will not unduly prolong or delay the proceedings.</w:t>
      </w:r>
      <w:r>
        <w:rPr>
          <w:szCs w:val="24"/>
        </w:rPr>
        <w:t xml:space="preserve"> </w:t>
      </w:r>
      <w:r w:rsidRPr="0092754B">
        <w:rPr>
          <w:szCs w:val="24"/>
        </w:rPr>
        <w:t>OCC, with its longstanding expertise and experience in PUCO proceedings, will duly allow for the efficient processing of the case with consideration of the public interest.</w:t>
      </w:r>
    </w:p>
    <w:p w:rsidR="00E45B14" w:rsidRPr="0092754B" w:rsidP="00E45B14" w14:paraId="328FFFBC" w14:textId="77777777">
      <w:pPr>
        <w:pStyle w:val="Footer"/>
        <w:tabs>
          <w:tab w:val="clear" w:pos="4320"/>
          <w:tab w:val="clear" w:pos="8640"/>
        </w:tabs>
        <w:spacing w:line="480" w:lineRule="auto"/>
        <w:ind w:firstLine="720"/>
        <w:rPr>
          <w:sz w:val="24"/>
          <w:szCs w:val="24"/>
        </w:rPr>
      </w:pPr>
      <w:r w:rsidRPr="0092754B">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2E16AB" w:rsidP="00E45B14" w14:paraId="5952AB9B" w14:textId="153F8097">
      <w:pPr>
        <w:pStyle w:val="WW-BodyTextIndent3"/>
        <w:widowControl w:val="0"/>
        <w:spacing w:line="480" w:lineRule="auto"/>
        <w:ind w:right="-24"/>
        <w:rPr>
          <w:szCs w:val="24"/>
        </w:rPr>
      </w:pPr>
      <w:r w:rsidRPr="0092754B">
        <w:rPr>
          <w:szCs w:val="24"/>
        </w:rPr>
        <w:t>OCC also satisfies the intervention criteria in the Ohio Administrative Code (which are subordinate to the criteria that OCC satisfies in the Ohio Revised Code). To intervene, a party should have a “real and substantial interest” according to O</w:t>
      </w:r>
      <w:r>
        <w:rPr>
          <w:szCs w:val="24"/>
        </w:rPr>
        <w:t>.A</w:t>
      </w:r>
      <w:r w:rsidRPr="0092754B">
        <w:rPr>
          <w:szCs w:val="24"/>
        </w:rPr>
        <w:t>.C</w:t>
      </w:r>
      <w:r>
        <w:rPr>
          <w:szCs w:val="24"/>
        </w:rPr>
        <w:t>.</w:t>
      </w:r>
      <w:r w:rsidRPr="0092754B">
        <w:rPr>
          <w:szCs w:val="24"/>
        </w:rPr>
        <w:t xml:space="preserve"> 4901-1-11(A)(2). As the advocate for residential utility customers, OCC has a very real and substantial interest in this case where </w:t>
      </w:r>
      <w:r>
        <w:rPr>
          <w:szCs w:val="24"/>
        </w:rPr>
        <w:t xml:space="preserve">the PUCO Staff has alleged that </w:t>
      </w:r>
      <w:r w:rsidR="00DC0C71">
        <w:rPr>
          <w:szCs w:val="24"/>
        </w:rPr>
        <w:t>Inspire</w:t>
      </w:r>
      <w:r>
        <w:rPr>
          <w:szCs w:val="24"/>
        </w:rPr>
        <w:t xml:space="preserve"> </w:t>
      </w:r>
      <w:r w:rsidR="00A767B5">
        <w:rPr>
          <w:szCs w:val="24"/>
        </w:rPr>
        <w:t xml:space="preserve">Energy </w:t>
      </w:r>
      <w:r>
        <w:rPr>
          <w:szCs w:val="24"/>
        </w:rPr>
        <w:t xml:space="preserve">has violated Ohio law and the PUCO’s rules </w:t>
      </w:r>
      <w:r w:rsidR="00CA0D3F">
        <w:rPr>
          <w:szCs w:val="24"/>
        </w:rPr>
        <w:t>in its</w:t>
      </w:r>
      <w:r>
        <w:rPr>
          <w:szCs w:val="24"/>
        </w:rPr>
        <w:t xml:space="preserve"> marketing service to and enroll</w:t>
      </w:r>
      <w:r w:rsidR="00CA0D3F">
        <w:rPr>
          <w:szCs w:val="24"/>
        </w:rPr>
        <w:t>ment of</w:t>
      </w:r>
      <w:r>
        <w:rPr>
          <w:szCs w:val="24"/>
        </w:rPr>
        <w:t xml:space="preserve"> Ohio consumers. </w:t>
      </w:r>
    </w:p>
    <w:p w:rsidR="00E45B14" w:rsidRPr="0092754B" w:rsidP="00E45B14" w14:paraId="538E511E" w14:textId="77777777">
      <w:pPr>
        <w:pStyle w:val="BodyTextIndent3"/>
        <w:widowControl w:val="0"/>
        <w:spacing w:line="480" w:lineRule="auto"/>
        <w:ind w:right="-24"/>
        <w:rPr>
          <w:szCs w:val="24"/>
        </w:rPr>
      </w:pPr>
      <w:r w:rsidRPr="0092754B">
        <w:rPr>
          <w:szCs w:val="24"/>
        </w:rPr>
        <w:t>In addition, OCC meets the criteria of O</w:t>
      </w:r>
      <w:r>
        <w:rPr>
          <w:szCs w:val="24"/>
        </w:rPr>
        <w:t>.A.C.</w:t>
      </w:r>
      <w:r w:rsidRPr="0092754B">
        <w:rPr>
          <w:szCs w:val="24"/>
        </w:rPr>
        <w:t xml:space="preserve"> 4901-1-11(B)(1)-(4).</w:t>
      </w:r>
      <w:r>
        <w:rPr>
          <w:szCs w:val="24"/>
        </w:rPr>
        <w:t xml:space="preserve"> </w:t>
      </w:r>
      <w:r w:rsidRPr="0092754B">
        <w:rPr>
          <w:szCs w:val="24"/>
        </w:rPr>
        <w:t>These criteria mirror the statutory criteria in R.C. 4903.221(B) that OCC already has addressed and that OCC satisfies.</w:t>
      </w:r>
    </w:p>
    <w:p w:rsidR="00E45B14" w:rsidRPr="0092754B" w:rsidP="00E45B14" w14:paraId="15CAD6C0" w14:textId="77777777">
      <w:pPr>
        <w:pStyle w:val="BodyTextIndent3"/>
        <w:widowControl w:val="0"/>
        <w:spacing w:line="480" w:lineRule="auto"/>
        <w:ind w:right="-24"/>
        <w:rPr>
          <w:szCs w:val="24"/>
        </w:rPr>
      </w:pPr>
      <w:r w:rsidRPr="0092754B">
        <w:rPr>
          <w:szCs w:val="24"/>
        </w:rPr>
        <w:t>O</w:t>
      </w:r>
      <w:r>
        <w:rPr>
          <w:szCs w:val="24"/>
        </w:rPr>
        <w:t>.A.C.</w:t>
      </w:r>
      <w:r w:rsidRPr="0092754B">
        <w:rPr>
          <w:szCs w:val="24"/>
        </w:rPr>
        <w:t xml:space="preserv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E45B14" w:rsidP="002836F4" w14:paraId="219D37FA" w14:textId="77777777">
      <w:pPr>
        <w:pStyle w:val="BodyTextIndent3"/>
        <w:widowControl w:val="0"/>
        <w:spacing w:line="480" w:lineRule="auto"/>
        <w:rPr>
          <w:szCs w:val="24"/>
        </w:rPr>
      </w:pPr>
      <w:r w:rsidRPr="0092754B">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5"/>
      </w:r>
      <w:r>
        <w:rPr>
          <w:szCs w:val="24"/>
        </w:rPr>
        <w:t xml:space="preserve"> </w:t>
      </w:r>
    </w:p>
    <w:p w:rsidR="002836F4" w:rsidP="002836F4" w14:paraId="793533D1" w14:textId="586B8D55">
      <w:pPr>
        <w:spacing w:line="480" w:lineRule="auto"/>
        <w:ind w:firstLine="720"/>
        <w:rPr>
          <w:szCs w:val="24"/>
        </w:rPr>
      </w:pPr>
      <w:r w:rsidRPr="0092754B">
        <w:rPr>
          <w:szCs w:val="24"/>
        </w:rPr>
        <w:t>OCC meets the criteria set forth in R.C. 4903.221, O</w:t>
      </w:r>
      <w:r>
        <w:rPr>
          <w:szCs w:val="24"/>
        </w:rPr>
        <w:t>.A.C.</w:t>
      </w:r>
      <w:r w:rsidRPr="0092754B">
        <w:rPr>
          <w:szCs w:val="24"/>
        </w:rPr>
        <w:t xml:space="preserve"> 4901-1-11, and the precedent established by the Supreme Court of Ohio for intervention. On behalf of Ohio residential customers, the PUCO should grant OCC’s Motion to Intervene.</w:t>
      </w:r>
    </w:p>
    <w:p w:rsidR="002836F4" w14:paraId="3119CC7F" w14:textId="77777777">
      <w:pPr>
        <w:rPr>
          <w:szCs w:val="24"/>
        </w:rPr>
      </w:pPr>
      <w:r>
        <w:rPr>
          <w:szCs w:val="24"/>
        </w:rPr>
        <w:br w:type="page"/>
      </w:r>
    </w:p>
    <w:p w:rsidR="003D1F05" w:rsidRPr="00040BF5" w:rsidP="00FB5A85" w14:paraId="6AD20808" w14:textId="77777777">
      <w:pPr>
        <w:ind w:left="450" w:firstLine="3870"/>
        <w:rPr>
          <w:szCs w:val="24"/>
        </w:rPr>
      </w:pPr>
      <w:r w:rsidRPr="00040BF5">
        <w:rPr>
          <w:szCs w:val="24"/>
        </w:rPr>
        <w:t>Respectfully submitted,</w:t>
      </w:r>
    </w:p>
    <w:p w:rsidR="003D1F05" w:rsidRPr="00040BF5" w:rsidP="00FB5A85" w14:paraId="168B01EF" w14:textId="77777777">
      <w:pPr>
        <w:pStyle w:val="Footer"/>
        <w:tabs>
          <w:tab w:val="left" w:pos="4320"/>
          <w:tab w:val="clear" w:pos="8640"/>
        </w:tabs>
        <w:spacing w:before="240"/>
        <w:ind w:left="450" w:firstLine="3870"/>
        <w:rPr>
          <w:sz w:val="24"/>
          <w:szCs w:val="24"/>
        </w:rPr>
      </w:pPr>
      <w:r w:rsidRPr="00040BF5">
        <w:rPr>
          <w:sz w:val="24"/>
          <w:szCs w:val="24"/>
        </w:rPr>
        <w:t>Bruce Weston (0016973)</w:t>
      </w:r>
    </w:p>
    <w:p w:rsidR="003D1F05" w:rsidRPr="00040BF5" w:rsidP="00FB5A85" w14:paraId="6DD5FE5F" w14:textId="77777777">
      <w:pPr>
        <w:tabs>
          <w:tab w:val="left" w:pos="4320"/>
        </w:tabs>
        <w:ind w:left="450" w:firstLine="3870"/>
        <w:rPr>
          <w:szCs w:val="24"/>
        </w:rPr>
      </w:pPr>
      <w:r w:rsidRPr="00040BF5">
        <w:rPr>
          <w:szCs w:val="24"/>
        </w:rPr>
        <w:t>Ohio Consumers’ Counsel</w:t>
      </w:r>
    </w:p>
    <w:p w:rsidR="003D1F05" w:rsidRPr="00040BF5" w:rsidP="00FB5A85" w14:paraId="458C6677" w14:textId="77777777">
      <w:pPr>
        <w:tabs>
          <w:tab w:val="left" w:pos="4320"/>
        </w:tabs>
        <w:ind w:left="450" w:firstLine="3870"/>
        <w:rPr>
          <w:szCs w:val="24"/>
        </w:rPr>
      </w:pPr>
      <w:r w:rsidRPr="00040BF5">
        <w:rPr>
          <w:szCs w:val="24"/>
        </w:rPr>
        <w:tab/>
      </w:r>
    </w:p>
    <w:p w:rsidR="003D1F05" w:rsidRPr="00040BF5" w:rsidP="00FB5A85" w14:paraId="3643C90F" w14:textId="77777777">
      <w:pPr>
        <w:tabs>
          <w:tab w:val="left" w:pos="4320"/>
        </w:tabs>
        <w:ind w:left="450" w:firstLine="3870"/>
        <w:rPr>
          <w:i/>
          <w:szCs w:val="24"/>
          <w:u w:val="single"/>
        </w:rPr>
      </w:pPr>
      <w:r w:rsidRPr="00040BF5">
        <w:rPr>
          <w:i/>
          <w:szCs w:val="24"/>
          <w:u w:val="single"/>
        </w:rPr>
        <w:t xml:space="preserve">/s/ </w:t>
      </w:r>
      <w:r>
        <w:rPr>
          <w:i/>
          <w:szCs w:val="24"/>
          <w:u w:val="single"/>
        </w:rPr>
        <w:t>Robert Eubanks</w:t>
      </w:r>
      <w:r>
        <w:rPr>
          <w:i/>
          <w:szCs w:val="24"/>
          <w:u w:val="single"/>
        </w:rPr>
        <w:tab/>
      </w:r>
    </w:p>
    <w:p w:rsidR="003D1F05" w:rsidRPr="00040BF5" w:rsidP="00FB5A85" w14:paraId="61851884" w14:textId="77777777">
      <w:pPr>
        <w:tabs>
          <w:tab w:val="left" w:pos="4320"/>
        </w:tabs>
        <w:ind w:left="450" w:firstLine="3870"/>
        <w:rPr>
          <w:iCs/>
          <w:szCs w:val="24"/>
        </w:rPr>
      </w:pPr>
      <w:r>
        <w:rPr>
          <w:iCs/>
          <w:szCs w:val="24"/>
        </w:rPr>
        <w:t>Robert Eubanks (0073386)</w:t>
      </w:r>
    </w:p>
    <w:p w:rsidR="003D1F05" w:rsidRPr="00040BF5" w:rsidP="00FB5A85" w14:paraId="4A0A7883" w14:textId="77777777">
      <w:pPr>
        <w:tabs>
          <w:tab w:val="left" w:pos="4320"/>
        </w:tabs>
        <w:ind w:left="450" w:firstLine="3870"/>
        <w:rPr>
          <w:szCs w:val="24"/>
        </w:rPr>
      </w:pPr>
      <w:r w:rsidRPr="00040BF5">
        <w:rPr>
          <w:szCs w:val="24"/>
        </w:rPr>
        <w:t>Counsel of Record</w:t>
      </w:r>
    </w:p>
    <w:p w:rsidR="003D1F05" w:rsidRPr="00040BF5" w:rsidP="00FB5A85" w14:paraId="0EBE1D66" w14:textId="2A513587">
      <w:pPr>
        <w:tabs>
          <w:tab w:val="left" w:pos="4320"/>
        </w:tabs>
        <w:ind w:left="450" w:firstLine="3870"/>
        <w:rPr>
          <w:szCs w:val="24"/>
        </w:rPr>
      </w:pPr>
      <w:r>
        <w:rPr>
          <w:szCs w:val="24"/>
        </w:rPr>
        <w:t xml:space="preserve">Donald J. Kral </w:t>
      </w:r>
      <w:r w:rsidRPr="00040BF5">
        <w:rPr>
          <w:szCs w:val="24"/>
        </w:rPr>
        <w:t>(0018689)</w:t>
      </w:r>
    </w:p>
    <w:p w:rsidR="003D1F05" w:rsidRPr="00040BF5" w:rsidP="00FB5A85" w14:paraId="2E7A836F" w14:textId="77777777">
      <w:pPr>
        <w:tabs>
          <w:tab w:val="left" w:pos="4320"/>
        </w:tabs>
        <w:ind w:left="450" w:firstLine="3870"/>
        <w:rPr>
          <w:szCs w:val="24"/>
        </w:rPr>
      </w:pPr>
      <w:r w:rsidRPr="00040BF5">
        <w:rPr>
          <w:szCs w:val="24"/>
        </w:rPr>
        <w:t>Assistant Consumers’ Counsel</w:t>
      </w:r>
    </w:p>
    <w:p w:rsidR="003D1F05" w:rsidRPr="00040BF5" w:rsidP="003D1F05" w14:paraId="2D1107B3" w14:textId="77777777">
      <w:pPr>
        <w:pStyle w:val="Heading1"/>
        <w:ind w:left="3600" w:right="-648" w:firstLine="3690"/>
        <w:rPr>
          <w:u w:val="none"/>
        </w:rPr>
      </w:pPr>
      <w:r w:rsidRPr="00040BF5">
        <w:rPr>
          <w:u w:val="none"/>
        </w:rPr>
        <w:tab/>
      </w:r>
    </w:p>
    <w:p w:rsidR="003D1F05" w:rsidRPr="00040BF5" w:rsidP="00FB5A85" w14:paraId="016137B8" w14:textId="77777777">
      <w:pPr>
        <w:pStyle w:val="Heading1"/>
        <w:ind w:left="4320" w:right="-648"/>
        <w:rPr>
          <w:u w:val="none"/>
        </w:rPr>
      </w:pPr>
      <w:r w:rsidRPr="00040BF5">
        <w:rPr>
          <w:u w:val="none"/>
        </w:rPr>
        <w:t>Office of the Ohio Consumers’ Counsel</w:t>
      </w:r>
    </w:p>
    <w:p w:rsidR="003D1F05" w:rsidRPr="00040BF5" w:rsidP="00FB5A85" w14:paraId="09A35195" w14:textId="77777777">
      <w:pPr>
        <w:pStyle w:val="Heading1"/>
        <w:ind w:left="4320" w:right="-648"/>
        <w:rPr>
          <w:b w:val="0"/>
          <w:u w:val="none"/>
        </w:rPr>
      </w:pPr>
      <w:r w:rsidRPr="00040BF5">
        <w:rPr>
          <w:b w:val="0"/>
          <w:u w:val="none"/>
        </w:rPr>
        <w:t>65 East State Street, Suite 700</w:t>
      </w:r>
    </w:p>
    <w:p w:rsidR="003D1F05" w:rsidRPr="00040BF5" w:rsidP="00FB5A85" w14:paraId="597D7C66" w14:textId="77777777">
      <w:pPr>
        <w:pStyle w:val="Heading1"/>
        <w:ind w:left="4320" w:right="-648"/>
        <w:rPr>
          <w:b w:val="0"/>
          <w:u w:val="none"/>
        </w:rPr>
      </w:pPr>
      <w:r w:rsidRPr="00040BF5">
        <w:rPr>
          <w:b w:val="0"/>
          <w:u w:val="none"/>
        </w:rPr>
        <w:t>Columbus, Ohio 43215</w:t>
      </w:r>
    </w:p>
    <w:p w:rsidR="003D1F05" w:rsidRPr="00040BF5" w:rsidP="00FB5A85" w14:paraId="3E1A2E08" w14:textId="77777777">
      <w:pPr>
        <w:autoSpaceDE w:val="0"/>
        <w:autoSpaceDN w:val="0"/>
        <w:adjustRightInd w:val="0"/>
        <w:ind w:left="4320"/>
        <w:rPr>
          <w:szCs w:val="24"/>
        </w:rPr>
      </w:pPr>
      <w:r w:rsidRPr="00040BF5">
        <w:rPr>
          <w:szCs w:val="24"/>
        </w:rPr>
        <w:t>Telephone [</w:t>
      </w:r>
      <w:r>
        <w:rPr>
          <w:szCs w:val="24"/>
        </w:rPr>
        <w:t>Eubanks</w:t>
      </w:r>
      <w:r w:rsidRPr="00040BF5">
        <w:rPr>
          <w:szCs w:val="24"/>
        </w:rPr>
        <w:t>] (614) 466-</w:t>
      </w:r>
      <w:r>
        <w:rPr>
          <w:szCs w:val="24"/>
        </w:rPr>
        <w:t>1292</w:t>
      </w:r>
    </w:p>
    <w:p w:rsidR="003D1F05" w:rsidRPr="00040BF5" w:rsidP="00FB5A85" w14:paraId="0D64CA51" w14:textId="77777777">
      <w:pPr>
        <w:autoSpaceDE w:val="0"/>
        <w:autoSpaceDN w:val="0"/>
        <w:adjustRightInd w:val="0"/>
        <w:ind w:left="4320"/>
        <w:rPr>
          <w:szCs w:val="24"/>
        </w:rPr>
      </w:pPr>
      <w:r w:rsidRPr="00040BF5">
        <w:rPr>
          <w:szCs w:val="24"/>
        </w:rPr>
        <w:t>Telephone [</w:t>
      </w:r>
      <w:r>
        <w:rPr>
          <w:szCs w:val="24"/>
        </w:rPr>
        <w:t>Kral</w:t>
      </w:r>
      <w:r w:rsidRPr="00040BF5">
        <w:rPr>
          <w:szCs w:val="24"/>
        </w:rPr>
        <w:t>] (614) 466-</w:t>
      </w:r>
      <w:r>
        <w:rPr>
          <w:szCs w:val="24"/>
        </w:rPr>
        <w:t>9571</w:t>
      </w:r>
    </w:p>
    <w:p w:rsidR="003D1F05" w:rsidRPr="00040BF5" w:rsidP="00FB5A85" w14:paraId="6EB23DFE" w14:textId="77777777">
      <w:pPr>
        <w:autoSpaceDE w:val="0"/>
        <w:autoSpaceDN w:val="0"/>
        <w:adjustRightInd w:val="0"/>
        <w:ind w:left="4320"/>
        <w:rPr>
          <w:szCs w:val="24"/>
        </w:rPr>
      </w:pPr>
      <w:hyperlink r:id="rId6" w:history="1">
        <w:r w:rsidRPr="006F2B11" w:rsidR="00E83CBD">
          <w:rPr>
            <w:rStyle w:val="Hyperlink"/>
            <w:szCs w:val="24"/>
          </w:rPr>
          <w:t>robert.eubanks@occ.ohio.gov</w:t>
        </w:r>
      </w:hyperlink>
    </w:p>
    <w:p w:rsidR="003D1F05" w:rsidRPr="00040BF5" w:rsidP="00FB5A85" w14:paraId="47013ECC" w14:textId="77777777">
      <w:pPr>
        <w:autoSpaceDE w:val="0"/>
        <w:autoSpaceDN w:val="0"/>
        <w:adjustRightInd w:val="0"/>
        <w:ind w:left="4320"/>
        <w:rPr>
          <w:szCs w:val="24"/>
        </w:rPr>
      </w:pPr>
      <w:hyperlink r:id="rId7" w:history="1">
        <w:r w:rsidRPr="006F2B11" w:rsidR="00E83CBD">
          <w:rPr>
            <w:rStyle w:val="Hyperlink"/>
            <w:szCs w:val="24"/>
          </w:rPr>
          <w:t>donald.kral@occ.ohio.gov</w:t>
        </w:r>
      </w:hyperlink>
    </w:p>
    <w:p w:rsidR="003D1F05" w:rsidRPr="00040BF5" w:rsidP="00FB5A85" w14:paraId="15D2E5F6" w14:textId="77777777">
      <w:pPr>
        <w:ind w:left="4320"/>
        <w:rPr>
          <w:szCs w:val="24"/>
        </w:rPr>
      </w:pPr>
      <w:r w:rsidRPr="00040BF5">
        <w:rPr>
          <w:szCs w:val="24"/>
        </w:rPr>
        <w:t>(willing to accept service by e-mail)</w:t>
      </w:r>
    </w:p>
    <w:p w:rsidR="003D1F05" w:rsidRPr="00040BF5" w:rsidP="003D1F05" w14:paraId="56CCDDA4" w14:textId="77777777">
      <w:pPr>
        <w:ind w:left="4320" w:firstLine="720"/>
        <w:jc w:val="both"/>
        <w:rPr>
          <w:szCs w:val="24"/>
        </w:rPr>
      </w:pPr>
    </w:p>
    <w:p w:rsidR="008F5FA3" w:rsidRPr="00040BF5" w14:paraId="616A854B" w14:textId="77777777">
      <w:pPr>
        <w:jc w:val="center"/>
        <w:rPr>
          <w:b/>
          <w:bCs/>
          <w:szCs w:val="24"/>
          <w:u w:val="single"/>
        </w:rPr>
      </w:pPr>
      <w:r w:rsidRPr="00040BF5">
        <w:rPr>
          <w:szCs w:val="24"/>
        </w:rPr>
        <w:br w:type="page"/>
      </w:r>
      <w:r w:rsidRPr="00040BF5">
        <w:rPr>
          <w:b/>
          <w:bCs/>
          <w:szCs w:val="24"/>
          <w:u w:val="single"/>
        </w:rPr>
        <w:t>CERTIFICATE OF SERVICE</w:t>
      </w:r>
    </w:p>
    <w:p w:rsidR="008F5FA3" w:rsidRPr="00040BF5" w14:paraId="66AE3061" w14:textId="6247218E">
      <w:pPr>
        <w:spacing w:line="480" w:lineRule="atLeast"/>
        <w:rPr>
          <w:szCs w:val="24"/>
        </w:rPr>
      </w:pPr>
      <w:r w:rsidRPr="00040BF5">
        <w:rPr>
          <w:szCs w:val="24"/>
        </w:rPr>
        <w:tab/>
        <w:t xml:space="preserve">I hereby certify that a copy of this Motion to Intervene was served on the persons stated below via electronic transmission, this </w:t>
      </w:r>
      <w:r w:rsidR="0090592B">
        <w:rPr>
          <w:szCs w:val="24"/>
        </w:rPr>
        <w:t>29th</w:t>
      </w:r>
      <w:r w:rsidRPr="00040BF5" w:rsidR="00ED6606">
        <w:rPr>
          <w:szCs w:val="24"/>
        </w:rPr>
        <w:t xml:space="preserve"> </w:t>
      </w:r>
      <w:r w:rsidRPr="00040BF5">
        <w:rPr>
          <w:szCs w:val="24"/>
        </w:rPr>
        <w:t xml:space="preserve">day of </w:t>
      </w:r>
      <w:r>
        <w:rPr>
          <w:szCs w:val="24"/>
        </w:rPr>
        <w:t>September</w:t>
      </w:r>
      <w:r w:rsidRPr="00040BF5" w:rsidR="008A22B9">
        <w:rPr>
          <w:szCs w:val="24"/>
        </w:rPr>
        <w:t xml:space="preserve"> 202</w:t>
      </w:r>
      <w:r w:rsidRPr="00040BF5" w:rsidR="00A02CFE">
        <w:rPr>
          <w:szCs w:val="24"/>
        </w:rPr>
        <w:t>3</w:t>
      </w:r>
      <w:r w:rsidRPr="00040BF5">
        <w:rPr>
          <w:szCs w:val="24"/>
        </w:rPr>
        <w:t>.</w:t>
      </w:r>
    </w:p>
    <w:p w:rsidR="00B363C1" w:rsidRPr="00040BF5" w:rsidP="00B363C1" w14:paraId="07DF9FE2" w14:textId="77777777">
      <w:pPr>
        <w:rPr>
          <w:szCs w:val="24"/>
        </w:rPr>
      </w:pPr>
    </w:p>
    <w:p w:rsidR="008F5FA3" w:rsidRPr="00040BF5" w14:paraId="4382EF1A" w14:textId="712D4E5C">
      <w:pPr>
        <w:tabs>
          <w:tab w:val="left" w:pos="4320"/>
        </w:tabs>
        <w:rPr>
          <w:szCs w:val="24"/>
        </w:rPr>
      </w:pPr>
      <w:r w:rsidRPr="00040BF5">
        <w:rPr>
          <w:szCs w:val="24"/>
        </w:rPr>
        <w:tab/>
      </w:r>
      <w:r w:rsidRPr="00040BF5">
        <w:rPr>
          <w:i/>
          <w:szCs w:val="24"/>
          <w:u w:val="single"/>
        </w:rPr>
        <w:t xml:space="preserve">/s/ </w:t>
      </w:r>
      <w:r w:rsidR="003D1F05">
        <w:rPr>
          <w:i/>
          <w:szCs w:val="24"/>
          <w:u w:val="single"/>
        </w:rPr>
        <w:t>Robert Eubanks</w:t>
      </w:r>
      <w:r w:rsidR="003D1F05">
        <w:rPr>
          <w:i/>
          <w:szCs w:val="24"/>
          <w:u w:val="single"/>
        </w:rPr>
        <w:tab/>
      </w:r>
    </w:p>
    <w:p w:rsidR="008F5FA3" w:rsidRPr="00040BF5" w14:paraId="111B8793" w14:textId="6C86ED11">
      <w:pPr>
        <w:tabs>
          <w:tab w:val="left" w:pos="4320"/>
        </w:tabs>
        <w:rPr>
          <w:szCs w:val="24"/>
        </w:rPr>
      </w:pPr>
      <w:r w:rsidRPr="00040BF5">
        <w:rPr>
          <w:szCs w:val="24"/>
        </w:rPr>
        <w:tab/>
      </w:r>
      <w:r w:rsidR="003D1F05">
        <w:rPr>
          <w:szCs w:val="24"/>
        </w:rPr>
        <w:t>Robert Eubanks</w:t>
      </w:r>
    </w:p>
    <w:p w:rsidR="008F5FA3" w:rsidRPr="00040BF5" w14:paraId="682CBEAF" w14:textId="77777777">
      <w:pPr>
        <w:tabs>
          <w:tab w:val="left" w:pos="4320"/>
        </w:tabs>
        <w:rPr>
          <w:szCs w:val="24"/>
        </w:rPr>
      </w:pPr>
      <w:r w:rsidRPr="00040BF5">
        <w:rPr>
          <w:szCs w:val="24"/>
        </w:rPr>
        <w:tab/>
        <w:t>Assistant Consumers’ Counsel</w:t>
      </w:r>
    </w:p>
    <w:p w:rsidR="008F5FA3" w:rsidRPr="00040BF5" w14:paraId="179C26D4" w14:textId="77777777">
      <w:pPr>
        <w:tabs>
          <w:tab w:val="left" w:pos="4320"/>
        </w:tabs>
        <w:rPr>
          <w:szCs w:val="24"/>
        </w:rPr>
      </w:pPr>
    </w:p>
    <w:p w:rsidR="008F5FA3" w:rsidRPr="00040BF5" w:rsidP="00B363C1" w14:paraId="78CE9EF6" w14:textId="2905527B">
      <w:pPr>
        <w:suppressLineNumbers/>
        <w:rPr>
          <w:szCs w:val="24"/>
        </w:rPr>
      </w:pPr>
      <w:r w:rsidRPr="00040BF5">
        <w:rPr>
          <w:szCs w:val="24"/>
        </w:rPr>
        <w:t>The PUCO’s e-filing system will electronically serve notice of the filing of this document on the following parties:</w:t>
      </w:r>
    </w:p>
    <w:p w:rsidR="008F5FA3" w:rsidRPr="00040BF5" w14:paraId="29B54B4A" w14:textId="77777777">
      <w:pPr>
        <w:pStyle w:val="CommentText"/>
      </w:pPr>
    </w:p>
    <w:p w:rsidR="008F5FA3" w:rsidRPr="00040BF5" w14:paraId="2B161C8B" w14:textId="77777777">
      <w:pPr>
        <w:pStyle w:val="CommentText"/>
        <w:jc w:val="center"/>
        <w:rPr>
          <w:b/>
          <w:u w:val="single"/>
        </w:rPr>
      </w:pPr>
      <w:r w:rsidRPr="00040BF5">
        <w:rPr>
          <w:b/>
          <w:u w:val="single"/>
        </w:rPr>
        <w:t>SERVICE LIST</w:t>
      </w:r>
    </w:p>
    <w:p w:rsidR="008F5FA3" w:rsidRPr="00040BF5" w14:paraId="0A51BEFD" w14:textId="77777777">
      <w:pPr>
        <w:pStyle w:val="CommentText"/>
        <w:jc w:val="center"/>
        <w:rPr>
          <w:b/>
          <w:u w:val="single"/>
        </w:rPr>
      </w:pPr>
    </w:p>
    <w:tbl>
      <w:tblPr>
        <w:tblW w:w="0" w:type="auto"/>
        <w:tblLook w:val="04A0"/>
      </w:tblPr>
      <w:tblGrid>
        <w:gridCol w:w="4317"/>
        <w:gridCol w:w="4317"/>
      </w:tblGrid>
      <w:tr w14:paraId="79887724" w14:textId="31551041" w:rsidTr="00361264">
        <w:tblPrEx>
          <w:tblW w:w="0" w:type="auto"/>
          <w:tblLook w:val="04A0"/>
        </w:tblPrEx>
        <w:trPr>
          <w:trHeight w:val="1953"/>
        </w:trPr>
        <w:tc>
          <w:tcPr>
            <w:tcW w:w="4317" w:type="dxa"/>
            <w:shd w:val="clear" w:color="auto" w:fill="auto"/>
          </w:tcPr>
          <w:p w:rsidR="006B04EA" w14:paraId="5DA9AF3C" w14:textId="57ED64CC">
            <w:pPr>
              <w:pStyle w:val="CommentText"/>
            </w:pPr>
            <w:hyperlink r:id="rId14" w:history="1">
              <w:r w:rsidRPr="006F2B11" w:rsidR="003D1F05">
                <w:rPr>
                  <w:rStyle w:val="Hyperlink"/>
                </w:rPr>
                <w:t>rhiannon.howard@ohioAGO.gov</w:t>
              </w:r>
            </w:hyperlink>
          </w:p>
          <w:p w:rsidR="009B2B7F" w14:paraId="3FE9AF5E" w14:textId="77777777">
            <w:pPr>
              <w:pStyle w:val="CommentText"/>
            </w:pPr>
          </w:p>
          <w:p w:rsidR="00A95806" w14:paraId="5F8B8CFC" w14:textId="77777777">
            <w:pPr>
              <w:pStyle w:val="CommentText"/>
            </w:pPr>
          </w:p>
          <w:p w:rsidR="00A95806" w14:paraId="036846B6" w14:textId="77777777">
            <w:pPr>
              <w:pStyle w:val="CommentText"/>
            </w:pPr>
          </w:p>
          <w:p w:rsidR="006B04EA" w:rsidRPr="00040BF5" w14:paraId="76DA191E" w14:textId="07AC98A2">
            <w:pPr>
              <w:pStyle w:val="CommentText"/>
            </w:pPr>
            <w:r w:rsidRPr="00040BF5">
              <w:t>Attorney Examiner:</w:t>
            </w:r>
          </w:p>
          <w:p w:rsidR="009B2B7F" w:rsidRPr="00040BF5" w:rsidP="003D1F05" w14:paraId="294F4245" w14:textId="03043AD6">
            <w:pPr>
              <w:pStyle w:val="CommentText"/>
            </w:pPr>
          </w:p>
        </w:tc>
        <w:tc>
          <w:tcPr>
            <w:tcW w:w="4317" w:type="dxa"/>
          </w:tcPr>
          <w:p w:rsidR="006B04EA" w14:paraId="75DCBADA" w14:textId="70023776">
            <w:pPr>
              <w:pStyle w:val="CommentText"/>
              <w:rPr>
                <w:color w:val="0000FF"/>
              </w:rPr>
            </w:pPr>
            <w:hyperlink r:id="rId15" w:history="1">
              <w:r w:rsidRPr="006F2B11" w:rsidR="00713EF1">
                <w:rPr>
                  <w:rStyle w:val="Hyperlink"/>
                </w:rPr>
                <w:t>help@inspirecleanenergy.com</w:t>
              </w:r>
            </w:hyperlink>
          </w:p>
          <w:p w:rsidR="006B04EA" w14:paraId="4A760A54" w14:textId="066BC921">
            <w:pPr>
              <w:pStyle w:val="CommentText"/>
              <w:rPr>
                <w:color w:val="0000FF"/>
              </w:rPr>
            </w:pPr>
            <w:hyperlink r:id="rId16" w:history="1">
              <w:r w:rsidRPr="006F2B11" w:rsidR="00713EF1">
                <w:rPr>
                  <w:rStyle w:val="Hyperlink"/>
                </w:rPr>
                <w:t>jlang@calfee.com</w:t>
              </w:r>
            </w:hyperlink>
          </w:p>
          <w:p w:rsidR="00713EF1" w14:paraId="275D49DC" w14:textId="7FEDB2FE">
            <w:pPr>
              <w:pStyle w:val="CommentText"/>
              <w:rPr>
                <w:color w:val="0000FF"/>
              </w:rPr>
            </w:pPr>
          </w:p>
        </w:tc>
      </w:tr>
    </w:tbl>
    <w:p w:rsidR="008F5FA3" w:rsidRPr="00040BF5" w14:paraId="1B2A82FB" w14:textId="2B9692D5">
      <w:pPr>
        <w:pStyle w:val="BodyText"/>
        <w:rPr>
          <w:b/>
          <w:bCs/>
          <w:szCs w:val="24"/>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38" w14:paraId="6193C9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219441860"/>
      <w:docPartObj>
        <w:docPartGallery w:val="Page Numbers (Bottom of Page)"/>
        <w:docPartUnique/>
      </w:docPartObj>
    </w:sdtPr>
    <w:sdtEndPr>
      <w:rPr>
        <w:noProof/>
      </w:rPr>
    </w:sdtEndPr>
    <w:sdtContent>
      <w:p w:rsidR="00FB5A85" w:rsidRPr="00FB5A85" w14:paraId="09583672" w14:textId="1F8B56F8">
        <w:pPr>
          <w:pStyle w:val="Footer"/>
          <w:jc w:val="center"/>
          <w:rPr>
            <w:sz w:val="24"/>
            <w:szCs w:val="24"/>
          </w:rPr>
        </w:pPr>
        <w:r w:rsidRPr="00FB5A85">
          <w:rPr>
            <w:sz w:val="24"/>
            <w:szCs w:val="24"/>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052072844"/>
      <w:docPartObj>
        <w:docPartGallery w:val="Page Numbers (Bottom of Page)"/>
        <w:docPartUnique/>
      </w:docPartObj>
    </w:sdtPr>
    <w:sdtEndPr>
      <w:rPr>
        <w:noProof/>
      </w:rPr>
    </w:sdtEndPr>
    <w:sdtContent>
      <w:p w:rsidR="0066353C" w:rsidRPr="00FB5A85" w14:paraId="2DF1B131" w14:textId="7F8B8C3E">
        <w:pPr>
          <w:pStyle w:val="Footer"/>
          <w:jc w:val="center"/>
          <w:rPr>
            <w:sz w:val="24"/>
            <w:szCs w:val="24"/>
          </w:rPr>
        </w:pPr>
        <w:r w:rsidRPr="00FB5A85">
          <w:rPr>
            <w:sz w:val="24"/>
            <w:szCs w:val="24"/>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4366318"/>
      <w:docPartObj>
        <w:docPartGallery w:val="Page Numbers (Bottom of Page)"/>
        <w:docPartUnique/>
      </w:docPartObj>
    </w:sdtPr>
    <w:sdtEndPr>
      <w:rPr>
        <w:noProof/>
        <w:sz w:val="24"/>
        <w:szCs w:val="24"/>
      </w:rPr>
    </w:sdtEndPr>
    <w:sdtContent>
      <w:p w:rsidR="00E71FCE" w:rsidRPr="00E71FCE" w14:paraId="2872FCE9" w14:textId="2B7401AE">
        <w:pPr>
          <w:pStyle w:val="Footer"/>
          <w:jc w:val="center"/>
          <w:rPr>
            <w:sz w:val="24"/>
            <w:szCs w:val="24"/>
          </w:rPr>
        </w:pPr>
        <w:r w:rsidRPr="00E71FCE">
          <w:rPr>
            <w:sz w:val="24"/>
            <w:szCs w:val="24"/>
          </w:rPr>
          <w:fldChar w:fldCharType="begin"/>
        </w:r>
        <w:r w:rsidRPr="00E71FCE">
          <w:rPr>
            <w:sz w:val="24"/>
            <w:szCs w:val="24"/>
          </w:rPr>
          <w:instrText xml:space="preserve"> PAGE   \* MERGEFORMAT </w:instrText>
        </w:r>
        <w:r w:rsidRPr="00E71FCE">
          <w:rPr>
            <w:sz w:val="24"/>
            <w:szCs w:val="24"/>
          </w:rPr>
          <w:fldChar w:fldCharType="separate"/>
        </w:r>
        <w:r w:rsidRPr="00E71FCE">
          <w:rPr>
            <w:noProof/>
            <w:sz w:val="24"/>
            <w:szCs w:val="24"/>
          </w:rPr>
          <w:t>2</w:t>
        </w:r>
        <w:r w:rsidRPr="00E71FCE">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040655"/>
      <w:docPartObj>
        <w:docPartGallery w:val="Page Numbers (Bottom of Page)"/>
        <w:docPartUnique/>
      </w:docPartObj>
    </w:sdtPr>
    <w:sdtEndPr>
      <w:rPr>
        <w:noProof/>
        <w:sz w:val="24"/>
        <w:szCs w:val="24"/>
      </w:rPr>
    </w:sdtEndPr>
    <w:sdtContent>
      <w:p w:rsidR="00602A68" w:rsidRPr="00602A68" w14:paraId="20564066" w14:textId="6211F811">
        <w:pPr>
          <w:pStyle w:val="Footer"/>
          <w:jc w:val="center"/>
          <w:rPr>
            <w:sz w:val="24"/>
            <w:szCs w:val="24"/>
          </w:rPr>
        </w:pPr>
        <w:r w:rsidRPr="00602A68">
          <w:rPr>
            <w:sz w:val="24"/>
            <w:szCs w:val="24"/>
          </w:rPr>
          <w:fldChar w:fldCharType="begin"/>
        </w:r>
        <w:r w:rsidRPr="00602A68">
          <w:rPr>
            <w:sz w:val="24"/>
            <w:szCs w:val="24"/>
          </w:rPr>
          <w:instrText xml:space="preserve"> PAGE   \* MERGEFORMAT </w:instrText>
        </w:r>
        <w:r w:rsidRPr="00602A68">
          <w:rPr>
            <w:sz w:val="24"/>
            <w:szCs w:val="24"/>
          </w:rPr>
          <w:fldChar w:fldCharType="separate"/>
        </w:r>
        <w:r w:rsidRPr="00602A68">
          <w:rPr>
            <w:noProof/>
            <w:sz w:val="24"/>
            <w:szCs w:val="24"/>
          </w:rPr>
          <w:t>2</w:t>
        </w:r>
        <w:r w:rsidRPr="00602A6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653C" w14:paraId="6D239737" w14:textId="77777777">
      <w:r>
        <w:separator/>
      </w:r>
    </w:p>
  </w:footnote>
  <w:footnote w:type="continuationSeparator" w:id="1">
    <w:p w:rsidR="0054653C" w14:paraId="38973B64" w14:textId="77777777">
      <w:r>
        <w:continuationSeparator/>
      </w:r>
    </w:p>
  </w:footnote>
  <w:footnote w:id="2">
    <w:p w:rsidR="008F5FA3" w:rsidRPr="0002448C" w:rsidP="0002448C" w14:paraId="6338A868" w14:textId="0B284662">
      <w:pPr>
        <w:pStyle w:val="FootnoteText"/>
        <w:spacing w:after="120"/>
      </w:pPr>
      <w:r w:rsidRPr="0002448C">
        <w:rPr>
          <w:rStyle w:val="FootnoteReference"/>
        </w:rPr>
        <w:footnoteRef/>
      </w:r>
      <w:r w:rsidRPr="0002448C">
        <w:t xml:space="preserve"> </w:t>
      </w:r>
      <w:r w:rsidRPr="0002448C">
        <w:rPr>
          <w:i/>
          <w:iCs/>
        </w:rPr>
        <w:t>See</w:t>
      </w:r>
      <w:r w:rsidRPr="0002448C">
        <w:t>, R.C. Chapter 4911, R.C. 4903.221 and O.A.C. 4901-1-1</w:t>
      </w:r>
      <w:r w:rsidRPr="0002448C" w:rsidR="008D6D46">
        <w:t>.</w:t>
      </w:r>
    </w:p>
  </w:footnote>
  <w:footnote w:id="3">
    <w:p w:rsidR="00605BA5" w:rsidRPr="0002448C" w:rsidP="0002448C" w14:paraId="494C10B6" w14:textId="77777777">
      <w:pPr>
        <w:pStyle w:val="FootnoteText"/>
        <w:spacing w:after="120"/>
      </w:pPr>
      <w:r w:rsidRPr="0002448C">
        <w:rPr>
          <w:rStyle w:val="FootnoteReference"/>
        </w:rPr>
        <w:footnoteRef/>
      </w:r>
      <w:r w:rsidRPr="0002448C">
        <w:t xml:space="preserve"> Joint Stipulation and Recommendation (September 5, 2023), Exhibit A, p.2.</w:t>
      </w:r>
    </w:p>
  </w:footnote>
  <w:footnote w:id="4">
    <w:p w:rsidR="00605BA5" w:rsidRPr="0002448C" w:rsidP="0002448C" w14:paraId="0629EA1E" w14:textId="39FB9259">
      <w:pPr>
        <w:pStyle w:val="FootnoteText"/>
        <w:spacing w:after="120"/>
      </w:pPr>
      <w:r w:rsidRPr="0002448C">
        <w:rPr>
          <w:rStyle w:val="FootnoteReference"/>
        </w:rPr>
        <w:footnoteRef/>
      </w:r>
      <w:r w:rsidRPr="0002448C">
        <w:t xml:space="preserve"> </w:t>
      </w:r>
      <w:r w:rsidRPr="0002448C" w:rsidR="00E34D2E">
        <w:rPr>
          <w:i/>
          <w:iCs/>
        </w:rPr>
        <w:t xml:space="preserve">In the Matter of </w:t>
      </w:r>
      <w:r w:rsidRPr="0002448C" w:rsidR="0055329D">
        <w:rPr>
          <w:i/>
          <w:iCs/>
        </w:rPr>
        <w:t>the Commission’s Consideration of a Settlement Agreement between SmartEnergy Holdings, LLC and the Commission’s Staff</w:t>
      </w:r>
      <w:r w:rsidRPr="0002448C" w:rsidR="00CA6846">
        <w:rPr>
          <w:i/>
          <w:iCs/>
        </w:rPr>
        <w:t xml:space="preserve"> (SmartEnergy)</w:t>
      </w:r>
      <w:r w:rsidRPr="0002448C" w:rsidR="0055329D">
        <w:rPr>
          <w:i/>
          <w:iCs/>
        </w:rPr>
        <w:t xml:space="preserve">, </w:t>
      </w:r>
      <w:r w:rsidRPr="0002448C" w:rsidR="0055329D">
        <w:t>Case No. 23-601-EL-UNC, Finding and Order (August 23, 2023) at</w:t>
      </w:r>
      <w:r w:rsidRPr="0002448C">
        <w:t xml:space="preserve"> ¶1 and 8. </w:t>
      </w:r>
    </w:p>
  </w:footnote>
  <w:footnote w:id="5">
    <w:p w:rsidR="002722A8" w:rsidRPr="0002448C" w:rsidP="0002448C" w14:paraId="5E49E82D" w14:textId="244B3096">
      <w:pPr>
        <w:pStyle w:val="FootnoteText"/>
        <w:spacing w:after="120"/>
      </w:pPr>
      <w:r w:rsidRPr="0002448C">
        <w:rPr>
          <w:rStyle w:val="FootnoteReference"/>
        </w:rPr>
        <w:footnoteRef/>
      </w:r>
      <w:r w:rsidRPr="0002448C">
        <w:t xml:space="preserve"> </w:t>
      </w:r>
      <w:bookmarkStart w:id="4" w:name="_Hlk146882311"/>
      <w:r w:rsidRPr="0002448C" w:rsidR="00A3235C">
        <w:rPr>
          <w:i/>
          <w:iCs/>
        </w:rPr>
        <w:t xml:space="preserve">SmartEnergy, supra. </w:t>
      </w:r>
      <w:r w:rsidRPr="0002448C" w:rsidR="00A3235C">
        <w:t xml:space="preserve">at ¶ 8, citing </w:t>
      </w:r>
      <w:r w:rsidRPr="0002448C" w:rsidR="000651A1">
        <w:t>Comments of Commissioner Larry Friedeman, July 12, 2023 Commission Meeting</w:t>
      </w:r>
      <w:r w:rsidRPr="0002448C" w:rsidR="00667C55">
        <w:t>.</w:t>
      </w:r>
      <w:bookmarkEnd w:id="4"/>
    </w:p>
  </w:footnote>
  <w:footnote w:id="6">
    <w:p w:rsidR="004B27F0" w:rsidRPr="0002448C" w:rsidP="0002448C" w14:paraId="40184B1B" w14:textId="56A468C3">
      <w:pPr>
        <w:pStyle w:val="FootnoteText"/>
        <w:spacing w:after="120"/>
      </w:pPr>
      <w:r w:rsidRPr="0002448C">
        <w:rPr>
          <w:rStyle w:val="FootnoteReference"/>
        </w:rPr>
        <w:footnoteRef/>
      </w:r>
      <w:r w:rsidRPr="0002448C">
        <w:t xml:space="preserve"> </w:t>
      </w:r>
      <w:r w:rsidRPr="0002448C">
        <w:rPr>
          <w:i/>
          <w:iCs/>
        </w:rPr>
        <w:t>Id</w:t>
      </w:r>
      <w:r w:rsidRPr="0002448C">
        <w:t xml:space="preserve">. </w:t>
      </w:r>
    </w:p>
  </w:footnote>
  <w:footnote w:id="7">
    <w:p w:rsidR="004B27F0" w:rsidRPr="0002448C" w:rsidP="0002448C" w14:paraId="255A9F41" w14:textId="145999AB">
      <w:pPr>
        <w:pStyle w:val="FootnoteText"/>
        <w:spacing w:after="120"/>
      </w:pPr>
      <w:r w:rsidRPr="0002448C">
        <w:rPr>
          <w:rStyle w:val="FootnoteReference"/>
        </w:rPr>
        <w:footnoteRef/>
      </w:r>
      <w:r w:rsidRPr="0002448C">
        <w:t xml:space="preserve"> </w:t>
      </w:r>
      <w:r w:rsidRPr="0002448C">
        <w:rPr>
          <w:i/>
          <w:iCs/>
        </w:rPr>
        <w:t>Id</w:t>
      </w:r>
      <w:r w:rsidRPr="0002448C">
        <w:t xml:space="preserve">. </w:t>
      </w:r>
    </w:p>
  </w:footnote>
  <w:footnote w:id="8">
    <w:p w:rsidR="00E45B14" w:rsidRPr="0002448C" w:rsidP="0002448C" w14:paraId="2F2DC1C3" w14:textId="099863DB">
      <w:pPr>
        <w:pStyle w:val="FootnoteText"/>
        <w:spacing w:after="120"/>
      </w:pPr>
      <w:r w:rsidRPr="0002448C">
        <w:rPr>
          <w:rStyle w:val="FootnoteReference"/>
        </w:rPr>
        <w:footnoteRef/>
      </w:r>
      <w:r w:rsidRPr="0002448C">
        <w:t xml:space="preserve"> </w:t>
      </w:r>
      <w:bookmarkStart w:id="6" w:name="_Hlk146791619"/>
      <w:r w:rsidRPr="0002448C" w:rsidR="00D61212">
        <w:rPr>
          <w:i/>
          <w:iCs/>
        </w:rPr>
        <w:t>Id</w:t>
      </w:r>
      <w:r w:rsidRPr="0002448C" w:rsidR="00D61212">
        <w:t>.</w:t>
      </w:r>
      <w:r w:rsidRPr="0002448C" w:rsidR="00F32081">
        <w:t xml:space="preserve"> </w:t>
      </w:r>
      <w:bookmarkEnd w:id="6"/>
    </w:p>
  </w:footnote>
  <w:footnote w:id="9">
    <w:p w:rsidR="0029499E" w:rsidRPr="0002448C" w:rsidP="0002448C" w14:paraId="646BBDBB" w14:textId="62F32950">
      <w:pPr>
        <w:pStyle w:val="FootnoteText"/>
        <w:spacing w:after="120"/>
      </w:pPr>
      <w:r w:rsidRPr="0002448C">
        <w:rPr>
          <w:rStyle w:val="FootnoteReference"/>
        </w:rPr>
        <w:footnoteRef/>
      </w:r>
      <w:r w:rsidRPr="0002448C">
        <w:t xml:space="preserve"> </w:t>
      </w:r>
      <w:r w:rsidRPr="0002448C">
        <w:rPr>
          <w:i/>
          <w:iCs/>
        </w:rPr>
        <w:t>Id</w:t>
      </w:r>
      <w:r w:rsidRPr="0002448C">
        <w:t xml:space="preserve">. </w:t>
      </w:r>
    </w:p>
  </w:footnote>
  <w:footnote w:id="10">
    <w:p w:rsidR="00DC0C71" w:rsidRPr="0002448C" w:rsidP="0002448C" w14:paraId="2BB47059" w14:textId="46D68005">
      <w:pPr>
        <w:pStyle w:val="FootnoteText"/>
        <w:spacing w:after="120"/>
      </w:pPr>
      <w:r w:rsidRPr="0002448C">
        <w:rPr>
          <w:rStyle w:val="FootnoteReference"/>
        </w:rPr>
        <w:footnoteRef/>
      </w:r>
      <w:r w:rsidRPr="0002448C">
        <w:t xml:space="preserve"> </w:t>
      </w:r>
      <w:r w:rsidRPr="0002448C">
        <w:rPr>
          <w:i/>
          <w:iCs/>
        </w:rPr>
        <w:t>Id</w:t>
      </w:r>
      <w:r w:rsidRPr="0002448C">
        <w:t>.</w:t>
      </w:r>
    </w:p>
  </w:footnote>
  <w:footnote w:id="11">
    <w:p w:rsidR="00E04148" w:rsidRPr="0002448C" w:rsidP="0002448C" w14:paraId="4E8A1F9E" w14:textId="326A948F">
      <w:pPr>
        <w:pStyle w:val="BodyTextIndent3"/>
        <w:spacing w:after="120" w:line="240" w:lineRule="auto"/>
        <w:ind w:firstLine="0"/>
        <w:rPr>
          <w:sz w:val="20"/>
        </w:rPr>
      </w:pPr>
      <w:r w:rsidRPr="0002448C">
        <w:rPr>
          <w:rStyle w:val="FootnoteTextChar"/>
          <w:sz w:val="20"/>
          <w:vertAlign w:val="superscript"/>
        </w:rPr>
        <w:footnoteRef/>
      </w:r>
      <w:r w:rsidRPr="0002448C">
        <w:rPr>
          <w:sz w:val="20"/>
        </w:rPr>
        <w:t xml:space="preserve"> Joint Stipulation and Recommendation (September 5, 2023), Exhibit A, p.2.</w:t>
      </w:r>
    </w:p>
  </w:footnote>
  <w:footnote w:id="12">
    <w:p w:rsidR="00E04148" w:rsidRPr="0002448C" w:rsidP="0002448C" w14:paraId="23EBBE7A" w14:textId="15D38475">
      <w:pPr>
        <w:pStyle w:val="BodyTextIndent3"/>
        <w:spacing w:after="120" w:line="240" w:lineRule="auto"/>
        <w:ind w:firstLine="0"/>
        <w:rPr>
          <w:sz w:val="20"/>
        </w:rPr>
      </w:pPr>
      <w:r w:rsidRPr="0002448C">
        <w:rPr>
          <w:rStyle w:val="FootnoteTextChar"/>
          <w:sz w:val="20"/>
          <w:vertAlign w:val="superscript"/>
        </w:rPr>
        <w:footnoteRef/>
      </w:r>
      <w:r w:rsidRPr="0002448C">
        <w:rPr>
          <w:sz w:val="20"/>
        </w:rPr>
        <w:t xml:space="preserve"> </w:t>
      </w:r>
      <w:r w:rsidRPr="0002448C">
        <w:rPr>
          <w:i/>
          <w:iCs/>
          <w:sz w:val="20"/>
        </w:rPr>
        <w:t xml:space="preserve">SmartEnergy, supra. </w:t>
      </w:r>
      <w:r w:rsidRPr="0002448C">
        <w:rPr>
          <w:sz w:val="20"/>
        </w:rPr>
        <w:t xml:space="preserve">at 8. </w:t>
      </w:r>
    </w:p>
  </w:footnote>
  <w:footnote w:id="13">
    <w:p w:rsidR="00CA6846" w:rsidRPr="0002448C" w:rsidP="0002448C" w14:paraId="4867DC08" w14:textId="3CBF45B4">
      <w:pPr>
        <w:pStyle w:val="FootnoteText"/>
        <w:spacing w:after="120"/>
      </w:pPr>
      <w:r w:rsidRPr="0002448C">
        <w:rPr>
          <w:rStyle w:val="FootnoteReference"/>
        </w:rPr>
        <w:footnoteRef/>
      </w:r>
      <w:r w:rsidRPr="0002448C">
        <w:t xml:space="preserve"> </w:t>
      </w:r>
      <w:r w:rsidRPr="0002448C">
        <w:rPr>
          <w:i/>
          <w:iCs/>
        </w:rPr>
        <w:t>Id</w:t>
      </w:r>
      <w:r w:rsidRPr="0002448C">
        <w:t xml:space="preserve">. </w:t>
      </w:r>
    </w:p>
  </w:footnote>
  <w:footnote w:id="14">
    <w:p w:rsidR="00CA6846" w:rsidRPr="0002448C" w:rsidP="0002448C" w14:paraId="53710628" w14:textId="10E1E3B5">
      <w:pPr>
        <w:pStyle w:val="FootnoteText"/>
        <w:spacing w:after="120"/>
      </w:pPr>
      <w:r w:rsidRPr="0002448C">
        <w:rPr>
          <w:rStyle w:val="FootnoteReference"/>
        </w:rPr>
        <w:footnoteRef/>
      </w:r>
      <w:r w:rsidRPr="0002448C">
        <w:t xml:space="preserve"> </w:t>
      </w:r>
      <w:r w:rsidRPr="0002448C">
        <w:rPr>
          <w:i/>
          <w:iCs/>
        </w:rPr>
        <w:t>Id</w:t>
      </w:r>
      <w:r w:rsidRPr="0002448C">
        <w:t xml:space="preserve">. </w:t>
      </w:r>
    </w:p>
  </w:footnote>
  <w:footnote w:id="15">
    <w:p w:rsidR="00E45B14" w:rsidRPr="0002448C" w:rsidP="0002448C" w14:paraId="458AE23C" w14:textId="77777777">
      <w:pPr>
        <w:pStyle w:val="FootnoteText"/>
        <w:spacing w:after="120"/>
      </w:pPr>
      <w:r w:rsidRPr="0002448C">
        <w:rPr>
          <w:rStyle w:val="FootnoteReference"/>
        </w:rPr>
        <w:footnoteRef/>
      </w:r>
      <w:r w:rsidRPr="0002448C">
        <w:rPr>
          <w:i/>
        </w:rPr>
        <w:t xml:space="preserve"> See Ohio Consumers’ Counsel v. Pub. Util. Comm</w:t>
      </w:r>
      <w:r w:rsidRPr="0002448C">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38" w14:paraId="6EB6A8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38" w14:paraId="3F0978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38" w14:paraId="1E76098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A3" w14:paraId="6B00B5D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A3" w14:paraId="4602121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A3" w14:paraId="71283E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6C1BE4"/>
    <w:multiLevelType w:val="hybridMultilevel"/>
    <w:tmpl w:val="BBCC2E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19F35DB"/>
    <w:multiLevelType w:val="hybridMultilevel"/>
    <w:tmpl w:val="0D828B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0F34E6D"/>
    <w:multiLevelType w:val="hybridMultilevel"/>
    <w:tmpl w:val="0D828B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83949F2"/>
    <w:multiLevelType w:val="hybridMultilevel"/>
    <w:tmpl w:val="C7C0AA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85B5BF6"/>
    <w:multiLevelType w:val="hybridMultilevel"/>
    <w:tmpl w:val="0D828B6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9"/>
  </w:num>
  <w:num w:numId="4">
    <w:abstractNumId w:val="8"/>
  </w:num>
  <w:num w:numId="5">
    <w:abstractNumId w:val="0"/>
  </w:num>
  <w:num w:numId="6">
    <w:abstractNumId w:val="10"/>
  </w:num>
  <w:num w:numId="7">
    <w:abstractNumId w:val="1"/>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F2"/>
    <w:rsid w:val="00004AC4"/>
    <w:rsid w:val="00011FFD"/>
    <w:rsid w:val="00017195"/>
    <w:rsid w:val="0002448C"/>
    <w:rsid w:val="00040BF5"/>
    <w:rsid w:val="00050A63"/>
    <w:rsid w:val="000651A1"/>
    <w:rsid w:val="00073818"/>
    <w:rsid w:val="0007402D"/>
    <w:rsid w:val="000A0062"/>
    <w:rsid w:val="000A1F64"/>
    <w:rsid w:val="000E00C5"/>
    <w:rsid w:val="000E1FDA"/>
    <w:rsid w:val="001001C4"/>
    <w:rsid w:val="00112B1C"/>
    <w:rsid w:val="00132EF2"/>
    <w:rsid w:val="00141CEB"/>
    <w:rsid w:val="00150B54"/>
    <w:rsid w:val="001708FB"/>
    <w:rsid w:val="00176994"/>
    <w:rsid w:val="00184051"/>
    <w:rsid w:val="00194939"/>
    <w:rsid w:val="001F745E"/>
    <w:rsid w:val="0020002A"/>
    <w:rsid w:val="00240E9D"/>
    <w:rsid w:val="00245998"/>
    <w:rsid w:val="0025373A"/>
    <w:rsid w:val="00253BEC"/>
    <w:rsid w:val="00262A7F"/>
    <w:rsid w:val="002722A8"/>
    <w:rsid w:val="00276653"/>
    <w:rsid w:val="002806FE"/>
    <w:rsid w:val="002836F4"/>
    <w:rsid w:val="00283FF0"/>
    <w:rsid w:val="0029365D"/>
    <w:rsid w:val="0029499E"/>
    <w:rsid w:val="002A1EED"/>
    <w:rsid w:val="002E16AB"/>
    <w:rsid w:val="002F784F"/>
    <w:rsid w:val="003022C4"/>
    <w:rsid w:val="003104C5"/>
    <w:rsid w:val="0031185F"/>
    <w:rsid w:val="00316429"/>
    <w:rsid w:val="00340C7D"/>
    <w:rsid w:val="00340C7E"/>
    <w:rsid w:val="00356183"/>
    <w:rsid w:val="003953D6"/>
    <w:rsid w:val="003A2296"/>
    <w:rsid w:val="003D1F05"/>
    <w:rsid w:val="003D3D8C"/>
    <w:rsid w:val="003E2189"/>
    <w:rsid w:val="003E6388"/>
    <w:rsid w:val="003E6DBB"/>
    <w:rsid w:val="003F79A9"/>
    <w:rsid w:val="003F79AE"/>
    <w:rsid w:val="00415B84"/>
    <w:rsid w:val="0046568F"/>
    <w:rsid w:val="004A068A"/>
    <w:rsid w:val="004A2B38"/>
    <w:rsid w:val="004A2CA8"/>
    <w:rsid w:val="004B25BC"/>
    <w:rsid w:val="004B27F0"/>
    <w:rsid w:val="004D1CD7"/>
    <w:rsid w:val="004E7010"/>
    <w:rsid w:val="00502D2F"/>
    <w:rsid w:val="005050AF"/>
    <w:rsid w:val="0054653C"/>
    <w:rsid w:val="0055329D"/>
    <w:rsid w:val="00560DED"/>
    <w:rsid w:val="005860DC"/>
    <w:rsid w:val="005B30FB"/>
    <w:rsid w:val="005C24C1"/>
    <w:rsid w:val="005F0986"/>
    <w:rsid w:val="005F0C5C"/>
    <w:rsid w:val="00602A68"/>
    <w:rsid w:val="00605BA5"/>
    <w:rsid w:val="0066353C"/>
    <w:rsid w:val="00667C55"/>
    <w:rsid w:val="00676195"/>
    <w:rsid w:val="00687607"/>
    <w:rsid w:val="0068771B"/>
    <w:rsid w:val="006B013B"/>
    <w:rsid w:val="006B04EA"/>
    <w:rsid w:val="006B4111"/>
    <w:rsid w:val="006B4F63"/>
    <w:rsid w:val="006B5595"/>
    <w:rsid w:val="006C58F1"/>
    <w:rsid w:val="006F2B11"/>
    <w:rsid w:val="00713EF1"/>
    <w:rsid w:val="00717338"/>
    <w:rsid w:val="0079388D"/>
    <w:rsid w:val="007A4C70"/>
    <w:rsid w:val="007D4A73"/>
    <w:rsid w:val="007D500C"/>
    <w:rsid w:val="007F6D45"/>
    <w:rsid w:val="00811F84"/>
    <w:rsid w:val="00833955"/>
    <w:rsid w:val="008365DA"/>
    <w:rsid w:val="00856795"/>
    <w:rsid w:val="00872120"/>
    <w:rsid w:val="00883797"/>
    <w:rsid w:val="00897531"/>
    <w:rsid w:val="008A22B9"/>
    <w:rsid w:val="008C0AFE"/>
    <w:rsid w:val="008D6B4F"/>
    <w:rsid w:val="008D6D46"/>
    <w:rsid w:val="008F4B27"/>
    <w:rsid w:val="008F5FA3"/>
    <w:rsid w:val="00901E24"/>
    <w:rsid w:val="0090592B"/>
    <w:rsid w:val="00926E1B"/>
    <w:rsid w:val="0092754B"/>
    <w:rsid w:val="00935B3C"/>
    <w:rsid w:val="00942C42"/>
    <w:rsid w:val="0094536C"/>
    <w:rsid w:val="00961796"/>
    <w:rsid w:val="00966DBF"/>
    <w:rsid w:val="009753E4"/>
    <w:rsid w:val="009858E5"/>
    <w:rsid w:val="009966B9"/>
    <w:rsid w:val="0099777F"/>
    <w:rsid w:val="009A48CB"/>
    <w:rsid w:val="009B2B7F"/>
    <w:rsid w:val="009B3A3F"/>
    <w:rsid w:val="009C4995"/>
    <w:rsid w:val="009D3F9A"/>
    <w:rsid w:val="00A02CFE"/>
    <w:rsid w:val="00A2455D"/>
    <w:rsid w:val="00A3235C"/>
    <w:rsid w:val="00A51DF1"/>
    <w:rsid w:val="00A767B5"/>
    <w:rsid w:val="00A95806"/>
    <w:rsid w:val="00AA324A"/>
    <w:rsid w:val="00AB617E"/>
    <w:rsid w:val="00AC1F57"/>
    <w:rsid w:val="00AC7CD9"/>
    <w:rsid w:val="00AD5763"/>
    <w:rsid w:val="00AF3DD5"/>
    <w:rsid w:val="00B01D4B"/>
    <w:rsid w:val="00B16DD8"/>
    <w:rsid w:val="00B363C1"/>
    <w:rsid w:val="00B4144E"/>
    <w:rsid w:val="00B6199E"/>
    <w:rsid w:val="00B6212A"/>
    <w:rsid w:val="00B652A9"/>
    <w:rsid w:val="00BA6DA0"/>
    <w:rsid w:val="00BC45CE"/>
    <w:rsid w:val="00BF0F03"/>
    <w:rsid w:val="00BF4822"/>
    <w:rsid w:val="00C5464F"/>
    <w:rsid w:val="00C57E45"/>
    <w:rsid w:val="00C745BC"/>
    <w:rsid w:val="00CA0D3F"/>
    <w:rsid w:val="00CA5ADE"/>
    <w:rsid w:val="00CA6846"/>
    <w:rsid w:val="00CA7F8C"/>
    <w:rsid w:val="00CD421A"/>
    <w:rsid w:val="00CF24C1"/>
    <w:rsid w:val="00CF2CF2"/>
    <w:rsid w:val="00D04FB8"/>
    <w:rsid w:val="00D26232"/>
    <w:rsid w:val="00D44E79"/>
    <w:rsid w:val="00D47D56"/>
    <w:rsid w:val="00D61212"/>
    <w:rsid w:val="00D615F4"/>
    <w:rsid w:val="00D61A08"/>
    <w:rsid w:val="00D61ABC"/>
    <w:rsid w:val="00D63181"/>
    <w:rsid w:val="00D65A83"/>
    <w:rsid w:val="00D815D0"/>
    <w:rsid w:val="00D87D8B"/>
    <w:rsid w:val="00D97E52"/>
    <w:rsid w:val="00DA0C74"/>
    <w:rsid w:val="00DB59CD"/>
    <w:rsid w:val="00DC0C71"/>
    <w:rsid w:val="00DC5DD6"/>
    <w:rsid w:val="00DE5F6F"/>
    <w:rsid w:val="00DE79C2"/>
    <w:rsid w:val="00E04148"/>
    <w:rsid w:val="00E20E40"/>
    <w:rsid w:val="00E21CFA"/>
    <w:rsid w:val="00E34D2E"/>
    <w:rsid w:val="00E363FF"/>
    <w:rsid w:val="00E45B14"/>
    <w:rsid w:val="00E71FCE"/>
    <w:rsid w:val="00E83CBD"/>
    <w:rsid w:val="00E850A7"/>
    <w:rsid w:val="00ED4B90"/>
    <w:rsid w:val="00ED6606"/>
    <w:rsid w:val="00EE1193"/>
    <w:rsid w:val="00EE2926"/>
    <w:rsid w:val="00F144D2"/>
    <w:rsid w:val="00F23193"/>
    <w:rsid w:val="00F32081"/>
    <w:rsid w:val="00F34789"/>
    <w:rsid w:val="00F5630A"/>
    <w:rsid w:val="00F87A35"/>
    <w:rsid w:val="00FB074C"/>
    <w:rsid w:val="00FB5A85"/>
    <w:rsid w:val="00FE459D"/>
    <w:rsid w:val="00FE65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A7BC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05"/>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rsid w:val="00176994"/>
    <w:rPr>
      <w:rFonts w:ascii="Courier New" w:eastAsia="Courier New" w:hAnsi="Courier New" w:cs="Courier New"/>
    </w:rPr>
  </w:style>
  <w:style w:type="character" w:customStyle="1" w:styleId="FooterChar">
    <w:name w:val="Footer Char"/>
    <w:basedOn w:val="DefaultParagraphFont"/>
    <w:link w:val="Footer"/>
    <w:uiPriority w:val="99"/>
    <w:rsid w:val="00150B54"/>
  </w:style>
  <w:style w:type="character" w:customStyle="1" w:styleId="Heading1Char">
    <w:name w:val="Heading 1 Char"/>
    <w:basedOn w:val="DefaultParagraphFont"/>
    <w:link w:val="Heading1"/>
    <w:rsid w:val="0031185F"/>
    <w:rPr>
      <w:b/>
      <w:sz w:val="24"/>
      <w:szCs w:val="24"/>
      <w:u w:val="single"/>
    </w:rPr>
  </w:style>
  <w:style w:type="character" w:customStyle="1" w:styleId="CommentTextChar">
    <w:name w:val="Comment Text Char"/>
    <w:basedOn w:val="DefaultParagraphFont"/>
    <w:link w:val="CommentText"/>
    <w:semiHidden/>
    <w:rsid w:val="00FE459D"/>
    <w:rPr>
      <w:sz w:val="24"/>
      <w:szCs w:val="24"/>
    </w:rPr>
  </w:style>
  <w:style w:type="paragraph" w:styleId="Revision">
    <w:name w:val="Revision"/>
    <w:hidden/>
    <w:uiPriority w:val="99"/>
    <w:semiHidden/>
    <w:rsid w:val="008D6B4F"/>
    <w:rPr>
      <w:sz w:val="24"/>
    </w:rPr>
  </w:style>
  <w:style w:type="character" w:customStyle="1" w:styleId="UnresolvedMention2">
    <w:name w:val="Unresolved Mention2"/>
    <w:basedOn w:val="DefaultParagraphFont"/>
    <w:rsid w:val="00A02CFE"/>
    <w:rPr>
      <w:color w:val="605E5C"/>
      <w:shd w:val="clear" w:color="auto" w:fill="E1DFDD"/>
    </w:rPr>
  </w:style>
  <w:style w:type="character" w:customStyle="1" w:styleId="UnresolvedMention3">
    <w:name w:val="Unresolved Mention3"/>
    <w:basedOn w:val="DefaultParagraphFont"/>
    <w:rsid w:val="00DE79C2"/>
    <w:rPr>
      <w:color w:val="605E5C"/>
      <w:shd w:val="clear" w:color="auto" w:fill="E1DFDD"/>
    </w:rPr>
  </w:style>
  <w:style w:type="character" w:customStyle="1" w:styleId="BodyTextIndent3Char">
    <w:name w:val="Body Text Indent 3 Char"/>
    <w:link w:val="BodyTextIndent3"/>
    <w:rsid w:val="00E45B14"/>
    <w:rPr>
      <w:sz w:val="24"/>
    </w:rPr>
  </w:style>
  <w:style w:type="character" w:customStyle="1" w:styleId="FootnoteTextChar">
    <w:name w:val="Footnote Text Char"/>
    <w:basedOn w:val="DefaultParagraphFont"/>
    <w:link w:val="FootnoteText"/>
    <w:semiHidden/>
    <w:rsid w:val="000651A1"/>
  </w:style>
  <w:style w:type="character" w:styleId="IntenseEmphasis">
    <w:name w:val="Intense Emphasis"/>
    <w:basedOn w:val="DefaultParagraphFont"/>
    <w:uiPriority w:val="21"/>
    <w:qFormat/>
    <w:rsid w:val="001001C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rhiannon.howard@ohioAGO.gov" TargetMode="External" /><Relationship Id="rId15" Type="http://schemas.openxmlformats.org/officeDocument/2006/relationships/hyperlink" Target="mailto:help@inspirecleanenergy.com" TargetMode="External" /><Relationship Id="rId16" Type="http://schemas.openxmlformats.org/officeDocument/2006/relationships/hyperlink" Target="mailto:jlang@calfee.com" TargetMode="Externa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robert.eubanks@occ.ohio.gov" TargetMode="External" /><Relationship Id="rId7" Type="http://schemas.openxmlformats.org/officeDocument/2006/relationships/hyperlink" Target="mailto:donald.kral@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C8C1-DBCE-4AB0-B361-9AA5BFDC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2023-09-29T20:41:33Z</dcterms:created>
  <dcterms:modified xsi:type="dcterms:W3CDTF">2023-09-29T20:41:33Z</dcterms:modified>
</cp:coreProperties>
</file>