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A725A" w14:textId="77777777" w:rsidR="00C77078" w:rsidRPr="00157555" w:rsidRDefault="00C77078" w:rsidP="009B27BA">
      <w:pPr>
        <w:spacing w:after="0" w:line="240" w:lineRule="auto"/>
        <w:jc w:val="center"/>
        <w:textAlignment w:val="baseline"/>
        <w:rPr>
          <w:rFonts w:ascii="Arial" w:eastAsia="Times New Roman" w:hAnsi="Arial" w:cs="Arial"/>
          <w:b/>
          <w:bCs/>
          <w:caps/>
          <w:szCs w:val="24"/>
        </w:rPr>
      </w:pPr>
      <w:r w:rsidRPr="00157555">
        <w:rPr>
          <w:rFonts w:ascii="Arial" w:eastAsia="Times New Roman" w:hAnsi="Arial" w:cs="Arial"/>
          <w:b/>
          <w:bCs/>
          <w:caps/>
          <w:szCs w:val="24"/>
        </w:rPr>
        <w:t>Before</w:t>
      </w:r>
    </w:p>
    <w:p w14:paraId="7411DE6E" w14:textId="77777777" w:rsidR="00C77078" w:rsidRPr="00157555" w:rsidRDefault="00C77078" w:rsidP="009B27BA">
      <w:pPr>
        <w:spacing w:after="0" w:line="240" w:lineRule="auto"/>
        <w:jc w:val="center"/>
        <w:textAlignment w:val="baseline"/>
        <w:rPr>
          <w:rFonts w:ascii="Arial" w:eastAsia="Times New Roman" w:hAnsi="Arial" w:cs="Arial"/>
          <w:b/>
          <w:bCs/>
          <w:caps/>
          <w:szCs w:val="24"/>
        </w:rPr>
      </w:pPr>
      <w:r w:rsidRPr="00157555">
        <w:rPr>
          <w:rFonts w:ascii="Arial" w:eastAsia="Times New Roman" w:hAnsi="Arial" w:cs="Arial"/>
          <w:b/>
          <w:bCs/>
          <w:caps/>
          <w:szCs w:val="24"/>
        </w:rPr>
        <w:t>The Public Utilities Commission of Ohio</w:t>
      </w:r>
    </w:p>
    <w:p w14:paraId="6C8F05D7" w14:textId="77777777" w:rsidR="00C77078" w:rsidRPr="00157555" w:rsidRDefault="00C77078" w:rsidP="00C43396">
      <w:pPr>
        <w:jc w:val="both"/>
        <w:rPr>
          <w:rFonts w:ascii="Arial" w:hAnsi="Arial" w:cs="Arial"/>
          <w:b/>
          <w:szCs w:val="24"/>
          <w:shd w:val="clear" w:color="auto" w:fill="FFFFF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630"/>
        <w:gridCol w:w="3510"/>
      </w:tblGrid>
      <w:tr w:rsidR="00C77078" w:rsidRPr="00157555" w14:paraId="5BC7BE1B" w14:textId="77777777" w:rsidTr="001007FD">
        <w:trPr>
          <w:jc w:val="center"/>
        </w:trPr>
        <w:tc>
          <w:tcPr>
            <w:tcW w:w="4680" w:type="dxa"/>
          </w:tcPr>
          <w:p w14:paraId="45DFE7E4" w14:textId="77777777" w:rsidR="00C77078" w:rsidRPr="00157555" w:rsidRDefault="00C77078" w:rsidP="00C43396">
            <w:pPr>
              <w:jc w:val="both"/>
              <w:rPr>
                <w:rFonts w:ascii="Arial" w:hAnsi="Arial" w:cs="Arial"/>
                <w:b/>
                <w:sz w:val="24"/>
                <w:szCs w:val="24"/>
                <w:shd w:val="clear" w:color="auto" w:fill="FFFFFF"/>
              </w:rPr>
            </w:pPr>
            <w:r w:rsidRPr="00157555">
              <w:rPr>
                <w:rFonts w:ascii="Arial" w:hAnsi="Arial" w:cs="Arial"/>
                <w:sz w:val="24"/>
                <w:szCs w:val="24"/>
              </w:rPr>
              <w:t>In the Matter of the Application of Ohio Power Company for an Increase in Electric Distribution Rates.</w:t>
            </w:r>
          </w:p>
        </w:tc>
        <w:tc>
          <w:tcPr>
            <w:tcW w:w="630" w:type="dxa"/>
            <w:vAlign w:val="center"/>
          </w:tcPr>
          <w:p w14:paraId="39CFE720" w14:textId="77777777" w:rsidR="00C77078" w:rsidRPr="00157555" w:rsidRDefault="00C77078" w:rsidP="00C43396">
            <w:pPr>
              <w:jc w:val="both"/>
              <w:rPr>
                <w:rFonts w:ascii="Arial" w:hAnsi="Arial" w:cs="Arial"/>
                <w:sz w:val="24"/>
                <w:szCs w:val="24"/>
                <w:shd w:val="clear" w:color="auto" w:fill="FFFFFF"/>
              </w:rPr>
            </w:pPr>
            <w:r w:rsidRPr="00157555">
              <w:rPr>
                <w:rFonts w:ascii="Arial" w:hAnsi="Arial" w:cs="Arial"/>
                <w:sz w:val="24"/>
                <w:szCs w:val="24"/>
                <w:shd w:val="clear" w:color="auto" w:fill="FFFFFF"/>
              </w:rPr>
              <w:t>)</w:t>
            </w:r>
          </w:p>
          <w:p w14:paraId="77E29388" w14:textId="77777777" w:rsidR="00C77078" w:rsidRPr="00157555" w:rsidRDefault="00C77078" w:rsidP="00C43396">
            <w:pPr>
              <w:jc w:val="both"/>
              <w:rPr>
                <w:rFonts w:ascii="Arial" w:hAnsi="Arial" w:cs="Arial"/>
                <w:sz w:val="24"/>
                <w:szCs w:val="24"/>
                <w:shd w:val="clear" w:color="auto" w:fill="FFFFFF"/>
              </w:rPr>
            </w:pPr>
            <w:r w:rsidRPr="00157555">
              <w:rPr>
                <w:rFonts w:ascii="Arial" w:hAnsi="Arial" w:cs="Arial"/>
                <w:sz w:val="24"/>
                <w:szCs w:val="24"/>
                <w:shd w:val="clear" w:color="auto" w:fill="FFFFFF"/>
              </w:rPr>
              <w:t>)</w:t>
            </w:r>
          </w:p>
          <w:p w14:paraId="4A42D19A" w14:textId="77777777" w:rsidR="00C77078" w:rsidRPr="00157555" w:rsidRDefault="00C77078" w:rsidP="00C43396">
            <w:pPr>
              <w:jc w:val="both"/>
              <w:rPr>
                <w:rFonts w:ascii="Arial" w:hAnsi="Arial" w:cs="Arial"/>
                <w:sz w:val="24"/>
                <w:szCs w:val="24"/>
                <w:shd w:val="clear" w:color="auto" w:fill="FFFFFF"/>
              </w:rPr>
            </w:pPr>
            <w:r w:rsidRPr="00157555">
              <w:rPr>
                <w:rFonts w:ascii="Arial" w:hAnsi="Arial" w:cs="Arial"/>
                <w:sz w:val="24"/>
                <w:szCs w:val="24"/>
                <w:shd w:val="clear" w:color="auto" w:fill="FFFFFF"/>
              </w:rPr>
              <w:t>)</w:t>
            </w:r>
          </w:p>
        </w:tc>
        <w:tc>
          <w:tcPr>
            <w:tcW w:w="3510" w:type="dxa"/>
            <w:vAlign w:val="center"/>
          </w:tcPr>
          <w:p w14:paraId="006FCAE7" w14:textId="77777777" w:rsidR="00C77078" w:rsidRPr="00157555" w:rsidRDefault="00C77078" w:rsidP="00C43396">
            <w:pPr>
              <w:jc w:val="both"/>
              <w:rPr>
                <w:rFonts w:ascii="Arial" w:hAnsi="Arial" w:cs="Arial"/>
                <w:b/>
                <w:sz w:val="24"/>
                <w:szCs w:val="24"/>
                <w:shd w:val="clear" w:color="auto" w:fill="FFFFFF"/>
              </w:rPr>
            </w:pPr>
            <w:r w:rsidRPr="00157555">
              <w:rPr>
                <w:rFonts w:ascii="Arial" w:hAnsi="Arial" w:cs="Arial"/>
                <w:sz w:val="24"/>
                <w:szCs w:val="24"/>
              </w:rPr>
              <w:t>Case No. 20-585-EL-AIR</w:t>
            </w:r>
          </w:p>
        </w:tc>
      </w:tr>
      <w:tr w:rsidR="00C77078" w:rsidRPr="00157555" w14:paraId="1A98FE32" w14:textId="77777777" w:rsidTr="001007FD">
        <w:trPr>
          <w:jc w:val="center"/>
        </w:trPr>
        <w:tc>
          <w:tcPr>
            <w:tcW w:w="4680" w:type="dxa"/>
          </w:tcPr>
          <w:p w14:paraId="18D508E0" w14:textId="77777777" w:rsidR="00C77078" w:rsidRPr="00157555" w:rsidRDefault="00C77078" w:rsidP="00C43396">
            <w:pPr>
              <w:jc w:val="both"/>
              <w:rPr>
                <w:rFonts w:ascii="Arial" w:hAnsi="Arial" w:cs="Arial"/>
                <w:b/>
                <w:sz w:val="24"/>
                <w:szCs w:val="24"/>
                <w:shd w:val="clear" w:color="auto" w:fill="FFFFFF"/>
              </w:rPr>
            </w:pPr>
          </w:p>
        </w:tc>
        <w:tc>
          <w:tcPr>
            <w:tcW w:w="630" w:type="dxa"/>
            <w:vAlign w:val="center"/>
          </w:tcPr>
          <w:p w14:paraId="3FC22A01" w14:textId="77777777" w:rsidR="00C77078" w:rsidRPr="00157555" w:rsidRDefault="00C77078" w:rsidP="00C43396">
            <w:pPr>
              <w:jc w:val="both"/>
              <w:rPr>
                <w:rFonts w:ascii="Arial" w:hAnsi="Arial" w:cs="Arial"/>
                <w:sz w:val="24"/>
                <w:szCs w:val="24"/>
                <w:shd w:val="clear" w:color="auto" w:fill="FFFFFF"/>
              </w:rPr>
            </w:pPr>
          </w:p>
        </w:tc>
        <w:tc>
          <w:tcPr>
            <w:tcW w:w="3510" w:type="dxa"/>
            <w:vAlign w:val="center"/>
          </w:tcPr>
          <w:p w14:paraId="16D23DC9" w14:textId="77777777" w:rsidR="00C77078" w:rsidRPr="00157555" w:rsidRDefault="00C77078" w:rsidP="00C43396">
            <w:pPr>
              <w:jc w:val="both"/>
              <w:rPr>
                <w:rFonts w:ascii="Arial" w:hAnsi="Arial" w:cs="Arial"/>
                <w:b/>
                <w:sz w:val="24"/>
                <w:szCs w:val="24"/>
                <w:shd w:val="clear" w:color="auto" w:fill="FFFFFF"/>
              </w:rPr>
            </w:pPr>
          </w:p>
        </w:tc>
      </w:tr>
      <w:tr w:rsidR="00C77078" w:rsidRPr="00157555" w14:paraId="21A7E01B" w14:textId="77777777" w:rsidTr="001007FD">
        <w:trPr>
          <w:jc w:val="center"/>
        </w:trPr>
        <w:tc>
          <w:tcPr>
            <w:tcW w:w="4680" w:type="dxa"/>
          </w:tcPr>
          <w:p w14:paraId="7A5C8426" w14:textId="77777777" w:rsidR="00C77078" w:rsidRPr="00157555" w:rsidRDefault="00C77078" w:rsidP="00C43396">
            <w:pPr>
              <w:jc w:val="both"/>
              <w:rPr>
                <w:rFonts w:ascii="Arial" w:hAnsi="Arial" w:cs="Arial"/>
                <w:b/>
                <w:sz w:val="24"/>
                <w:szCs w:val="24"/>
                <w:shd w:val="clear" w:color="auto" w:fill="FFFFFF"/>
              </w:rPr>
            </w:pPr>
            <w:r w:rsidRPr="00157555">
              <w:rPr>
                <w:rFonts w:ascii="Arial" w:hAnsi="Arial" w:cs="Arial"/>
                <w:sz w:val="24"/>
                <w:szCs w:val="24"/>
              </w:rPr>
              <w:t>In the Matter of the Application of Ohio Power Company for Tariff Approval.</w:t>
            </w:r>
          </w:p>
        </w:tc>
        <w:tc>
          <w:tcPr>
            <w:tcW w:w="630" w:type="dxa"/>
            <w:vAlign w:val="center"/>
          </w:tcPr>
          <w:p w14:paraId="4A46AAA7" w14:textId="77777777" w:rsidR="00C77078" w:rsidRPr="00157555" w:rsidRDefault="00C77078" w:rsidP="00C43396">
            <w:pPr>
              <w:jc w:val="both"/>
              <w:rPr>
                <w:rFonts w:ascii="Arial" w:hAnsi="Arial" w:cs="Arial"/>
                <w:sz w:val="24"/>
                <w:szCs w:val="24"/>
                <w:shd w:val="clear" w:color="auto" w:fill="FFFFFF"/>
              </w:rPr>
            </w:pPr>
            <w:r w:rsidRPr="00157555">
              <w:rPr>
                <w:rFonts w:ascii="Arial" w:hAnsi="Arial" w:cs="Arial"/>
                <w:sz w:val="24"/>
                <w:szCs w:val="24"/>
                <w:shd w:val="clear" w:color="auto" w:fill="FFFFFF"/>
              </w:rPr>
              <w:t>)</w:t>
            </w:r>
          </w:p>
          <w:p w14:paraId="140DA475" w14:textId="77777777" w:rsidR="00C77078" w:rsidRPr="00157555" w:rsidRDefault="00C77078" w:rsidP="00C43396">
            <w:pPr>
              <w:jc w:val="both"/>
              <w:rPr>
                <w:rFonts w:ascii="Arial" w:hAnsi="Arial" w:cs="Arial"/>
                <w:sz w:val="24"/>
                <w:szCs w:val="24"/>
                <w:shd w:val="clear" w:color="auto" w:fill="FFFFFF"/>
              </w:rPr>
            </w:pPr>
            <w:r w:rsidRPr="00157555">
              <w:rPr>
                <w:rFonts w:ascii="Arial" w:hAnsi="Arial" w:cs="Arial"/>
                <w:sz w:val="24"/>
                <w:szCs w:val="24"/>
                <w:shd w:val="clear" w:color="auto" w:fill="FFFFFF"/>
              </w:rPr>
              <w:t>)</w:t>
            </w:r>
          </w:p>
        </w:tc>
        <w:tc>
          <w:tcPr>
            <w:tcW w:w="3510" w:type="dxa"/>
            <w:vAlign w:val="center"/>
          </w:tcPr>
          <w:p w14:paraId="6A6AE389" w14:textId="77777777" w:rsidR="00C77078" w:rsidRPr="00157555" w:rsidRDefault="00C77078" w:rsidP="00C43396">
            <w:pPr>
              <w:tabs>
                <w:tab w:val="left" w:pos="2340"/>
              </w:tabs>
              <w:jc w:val="both"/>
              <w:rPr>
                <w:rFonts w:ascii="Arial" w:hAnsi="Arial" w:cs="Arial"/>
                <w:sz w:val="24"/>
                <w:szCs w:val="24"/>
              </w:rPr>
            </w:pPr>
            <w:r w:rsidRPr="00157555">
              <w:rPr>
                <w:rFonts w:ascii="Arial" w:hAnsi="Arial" w:cs="Arial"/>
                <w:sz w:val="24"/>
                <w:szCs w:val="24"/>
              </w:rPr>
              <w:t>Case No. 20-586-EL-ATA</w:t>
            </w:r>
          </w:p>
        </w:tc>
      </w:tr>
      <w:tr w:rsidR="00C77078" w:rsidRPr="00157555" w14:paraId="3AD70AF5" w14:textId="77777777" w:rsidTr="001007FD">
        <w:trPr>
          <w:jc w:val="center"/>
        </w:trPr>
        <w:tc>
          <w:tcPr>
            <w:tcW w:w="4680" w:type="dxa"/>
          </w:tcPr>
          <w:p w14:paraId="404D1D69" w14:textId="77777777" w:rsidR="00C77078" w:rsidRPr="00157555" w:rsidRDefault="00C77078" w:rsidP="00C43396">
            <w:pPr>
              <w:jc w:val="both"/>
              <w:rPr>
                <w:rFonts w:ascii="Arial" w:hAnsi="Arial" w:cs="Arial"/>
                <w:b/>
                <w:sz w:val="24"/>
                <w:szCs w:val="24"/>
                <w:shd w:val="clear" w:color="auto" w:fill="FFFFFF"/>
              </w:rPr>
            </w:pPr>
          </w:p>
        </w:tc>
        <w:tc>
          <w:tcPr>
            <w:tcW w:w="630" w:type="dxa"/>
            <w:vAlign w:val="center"/>
          </w:tcPr>
          <w:p w14:paraId="696E286C" w14:textId="77777777" w:rsidR="00C77078" w:rsidRPr="00157555" w:rsidRDefault="00C77078" w:rsidP="00C43396">
            <w:pPr>
              <w:jc w:val="both"/>
              <w:rPr>
                <w:rFonts w:ascii="Arial" w:hAnsi="Arial" w:cs="Arial"/>
                <w:sz w:val="24"/>
                <w:szCs w:val="24"/>
                <w:shd w:val="clear" w:color="auto" w:fill="FFFFFF"/>
              </w:rPr>
            </w:pPr>
          </w:p>
        </w:tc>
        <w:tc>
          <w:tcPr>
            <w:tcW w:w="3510" w:type="dxa"/>
            <w:vAlign w:val="center"/>
          </w:tcPr>
          <w:p w14:paraId="4211AAED" w14:textId="77777777" w:rsidR="00C77078" w:rsidRPr="00157555" w:rsidRDefault="00C77078" w:rsidP="00C43396">
            <w:pPr>
              <w:jc w:val="both"/>
              <w:rPr>
                <w:rFonts w:ascii="Arial" w:hAnsi="Arial" w:cs="Arial"/>
                <w:b/>
                <w:sz w:val="24"/>
                <w:szCs w:val="24"/>
                <w:shd w:val="clear" w:color="auto" w:fill="FFFFFF"/>
              </w:rPr>
            </w:pPr>
          </w:p>
        </w:tc>
      </w:tr>
      <w:tr w:rsidR="00C77078" w:rsidRPr="00157555" w14:paraId="6DC5FB95" w14:textId="77777777" w:rsidTr="001007FD">
        <w:trPr>
          <w:jc w:val="center"/>
        </w:trPr>
        <w:tc>
          <w:tcPr>
            <w:tcW w:w="4680" w:type="dxa"/>
          </w:tcPr>
          <w:p w14:paraId="66CC3012" w14:textId="77777777" w:rsidR="00C77078" w:rsidRPr="00157555" w:rsidRDefault="00C77078" w:rsidP="00C43396">
            <w:pPr>
              <w:jc w:val="both"/>
              <w:rPr>
                <w:rFonts w:ascii="Arial" w:hAnsi="Arial" w:cs="Arial"/>
                <w:b/>
                <w:sz w:val="24"/>
                <w:szCs w:val="24"/>
                <w:shd w:val="clear" w:color="auto" w:fill="FFFFFF"/>
              </w:rPr>
            </w:pPr>
            <w:r w:rsidRPr="00157555">
              <w:rPr>
                <w:rFonts w:ascii="Arial" w:hAnsi="Arial" w:cs="Arial"/>
                <w:sz w:val="24"/>
                <w:szCs w:val="24"/>
              </w:rPr>
              <w:t>In the Matter of the Application of Ohio Power Company for Approval to Change Accounting Methods.</w:t>
            </w:r>
          </w:p>
        </w:tc>
        <w:tc>
          <w:tcPr>
            <w:tcW w:w="630" w:type="dxa"/>
            <w:vAlign w:val="center"/>
          </w:tcPr>
          <w:p w14:paraId="425CFEED" w14:textId="77777777" w:rsidR="00C77078" w:rsidRPr="00157555" w:rsidRDefault="00C77078" w:rsidP="00C43396">
            <w:pPr>
              <w:jc w:val="both"/>
              <w:rPr>
                <w:rFonts w:ascii="Arial" w:hAnsi="Arial" w:cs="Arial"/>
                <w:sz w:val="24"/>
                <w:szCs w:val="24"/>
                <w:shd w:val="clear" w:color="auto" w:fill="FFFFFF"/>
              </w:rPr>
            </w:pPr>
            <w:r w:rsidRPr="00157555">
              <w:rPr>
                <w:rFonts w:ascii="Arial" w:hAnsi="Arial" w:cs="Arial"/>
                <w:sz w:val="24"/>
                <w:szCs w:val="24"/>
                <w:shd w:val="clear" w:color="auto" w:fill="FFFFFF"/>
              </w:rPr>
              <w:t>)</w:t>
            </w:r>
          </w:p>
          <w:p w14:paraId="04ACA284" w14:textId="77777777" w:rsidR="00C77078" w:rsidRPr="00157555" w:rsidRDefault="00C77078" w:rsidP="00C43396">
            <w:pPr>
              <w:jc w:val="both"/>
              <w:rPr>
                <w:rFonts w:ascii="Arial" w:hAnsi="Arial" w:cs="Arial"/>
                <w:sz w:val="24"/>
                <w:szCs w:val="24"/>
                <w:shd w:val="clear" w:color="auto" w:fill="FFFFFF"/>
              </w:rPr>
            </w:pPr>
            <w:r w:rsidRPr="00157555">
              <w:rPr>
                <w:rFonts w:ascii="Arial" w:hAnsi="Arial" w:cs="Arial"/>
                <w:sz w:val="24"/>
                <w:szCs w:val="24"/>
                <w:shd w:val="clear" w:color="auto" w:fill="FFFFFF"/>
              </w:rPr>
              <w:t>)</w:t>
            </w:r>
          </w:p>
          <w:p w14:paraId="6DE36250" w14:textId="77777777" w:rsidR="00C77078" w:rsidRPr="00157555" w:rsidRDefault="00C77078" w:rsidP="00C43396">
            <w:pPr>
              <w:jc w:val="both"/>
              <w:rPr>
                <w:rFonts w:ascii="Arial" w:hAnsi="Arial" w:cs="Arial"/>
                <w:sz w:val="24"/>
                <w:szCs w:val="24"/>
                <w:shd w:val="clear" w:color="auto" w:fill="FFFFFF"/>
              </w:rPr>
            </w:pPr>
            <w:r w:rsidRPr="00157555">
              <w:rPr>
                <w:rFonts w:ascii="Arial" w:hAnsi="Arial" w:cs="Arial"/>
                <w:sz w:val="24"/>
                <w:szCs w:val="24"/>
                <w:shd w:val="clear" w:color="auto" w:fill="FFFFFF"/>
              </w:rPr>
              <w:t>)</w:t>
            </w:r>
          </w:p>
        </w:tc>
        <w:tc>
          <w:tcPr>
            <w:tcW w:w="3510" w:type="dxa"/>
            <w:vAlign w:val="center"/>
          </w:tcPr>
          <w:p w14:paraId="473F9863" w14:textId="77777777" w:rsidR="00C77078" w:rsidRPr="00157555" w:rsidRDefault="00C77078" w:rsidP="00C43396">
            <w:pPr>
              <w:jc w:val="both"/>
              <w:rPr>
                <w:rFonts w:ascii="Arial" w:hAnsi="Arial" w:cs="Arial"/>
                <w:b/>
                <w:sz w:val="24"/>
                <w:szCs w:val="24"/>
                <w:shd w:val="clear" w:color="auto" w:fill="FFFFFF"/>
              </w:rPr>
            </w:pPr>
            <w:r w:rsidRPr="00157555">
              <w:rPr>
                <w:rFonts w:ascii="Arial" w:hAnsi="Arial" w:cs="Arial"/>
                <w:sz w:val="24"/>
                <w:szCs w:val="24"/>
              </w:rPr>
              <w:t>Case No. 20-587-EL-AAM</w:t>
            </w:r>
          </w:p>
        </w:tc>
      </w:tr>
    </w:tbl>
    <w:p w14:paraId="5F51795D" w14:textId="77777777" w:rsidR="00C77078" w:rsidRPr="00157555" w:rsidRDefault="00C77078" w:rsidP="00C43396">
      <w:pPr>
        <w:jc w:val="both"/>
        <w:rPr>
          <w:rFonts w:ascii="Arial" w:hAnsi="Arial" w:cs="Arial"/>
          <w:b/>
          <w:szCs w:val="24"/>
          <w:shd w:val="clear" w:color="auto" w:fill="FFFFFF"/>
        </w:rPr>
      </w:pPr>
    </w:p>
    <w:p w14:paraId="53A9D6E6" w14:textId="77777777" w:rsidR="00C77078" w:rsidRPr="00157555" w:rsidRDefault="00C77078" w:rsidP="00C43396">
      <w:pPr>
        <w:pBdr>
          <w:top w:val="single" w:sz="12" w:space="1" w:color="auto"/>
          <w:bottom w:val="single" w:sz="12" w:space="1" w:color="auto"/>
        </w:pBdr>
        <w:spacing w:after="0"/>
        <w:jc w:val="both"/>
        <w:rPr>
          <w:rFonts w:ascii="Arial" w:hAnsi="Arial" w:cs="Arial"/>
          <w:b/>
          <w:szCs w:val="24"/>
          <w:shd w:val="clear" w:color="auto" w:fill="FFFFFF"/>
        </w:rPr>
      </w:pPr>
    </w:p>
    <w:p w14:paraId="01950227" w14:textId="77777777" w:rsidR="00C77078" w:rsidRPr="00157555" w:rsidRDefault="00C77078" w:rsidP="009B27BA">
      <w:pPr>
        <w:pBdr>
          <w:top w:val="single" w:sz="12" w:space="1" w:color="auto"/>
          <w:bottom w:val="single" w:sz="12" w:space="1" w:color="auto"/>
        </w:pBdr>
        <w:spacing w:after="0"/>
        <w:jc w:val="center"/>
        <w:rPr>
          <w:rFonts w:ascii="Arial" w:hAnsi="Arial" w:cs="Arial"/>
          <w:b/>
          <w:caps/>
          <w:szCs w:val="24"/>
          <w:shd w:val="clear" w:color="auto" w:fill="FFFFFF"/>
        </w:rPr>
      </w:pPr>
      <w:r w:rsidRPr="00157555">
        <w:rPr>
          <w:rFonts w:ascii="Arial" w:hAnsi="Arial" w:cs="Arial"/>
          <w:b/>
          <w:caps/>
          <w:szCs w:val="24"/>
          <w:shd w:val="clear" w:color="auto" w:fill="FFFFFF"/>
        </w:rPr>
        <w:t>Application for rehearing and memorandum in support</w:t>
      </w:r>
    </w:p>
    <w:p w14:paraId="51C0B7EC" w14:textId="3810FC2B" w:rsidR="00044F93" w:rsidRPr="00157555" w:rsidRDefault="00C77078" w:rsidP="009B27BA">
      <w:pPr>
        <w:pBdr>
          <w:top w:val="single" w:sz="12" w:space="1" w:color="auto"/>
          <w:bottom w:val="single" w:sz="12" w:space="1" w:color="auto"/>
        </w:pBdr>
        <w:spacing w:after="0"/>
        <w:jc w:val="center"/>
        <w:rPr>
          <w:rFonts w:ascii="Arial" w:hAnsi="Arial" w:cs="Arial"/>
          <w:b/>
          <w:caps/>
          <w:szCs w:val="24"/>
          <w:shd w:val="clear" w:color="auto" w:fill="FFFFFF"/>
        </w:rPr>
      </w:pPr>
      <w:r w:rsidRPr="00157555">
        <w:rPr>
          <w:rFonts w:ascii="Arial" w:hAnsi="Arial" w:cs="Arial"/>
          <w:b/>
          <w:caps/>
          <w:szCs w:val="24"/>
          <w:shd w:val="clear" w:color="auto" w:fill="FFFFFF"/>
        </w:rPr>
        <w:t>of</w:t>
      </w:r>
    </w:p>
    <w:p w14:paraId="35A627E5" w14:textId="11F07B8E" w:rsidR="00C77078" w:rsidRPr="00157555" w:rsidRDefault="00C77078" w:rsidP="009B27BA">
      <w:pPr>
        <w:pBdr>
          <w:top w:val="single" w:sz="12" w:space="1" w:color="auto"/>
          <w:bottom w:val="single" w:sz="12" w:space="1" w:color="auto"/>
        </w:pBdr>
        <w:spacing w:after="0"/>
        <w:jc w:val="center"/>
        <w:rPr>
          <w:rFonts w:ascii="Arial" w:hAnsi="Arial" w:cs="Arial"/>
          <w:b/>
          <w:caps/>
          <w:szCs w:val="24"/>
          <w:shd w:val="clear" w:color="auto" w:fill="FFFFFF"/>
        </w:rPr>
      </w:pPr>
      <w:r w:rsidRPr="00157555">
        <w:rPr>
          <w:rFonts w:ascii="Arial" w:hAnsi="Arial" w:cs="Arial"/>
          <w:b/>
          <w:caps/>
          <w:szCs w:val="24"/>
          <w:shd w:val="clear" w:color="auto" w:fill="FFFFFF"/>
        </w:rPr>
        <w:t>Interstate Gas Supply, Inc.</w:t>
      </w:r>
    </w:p>
    <w:p w14:paraId="42555D13" w14:textId="77777777" w:rsidR="00C77078" w:rsidRPr="00157555" w:rsidRDefault="00C77078" w:rsidP="009B27BA">
      <w:pPr>
        <w:pBdr>
          <w:top w:val="single" w:sz="12" w:space="1" w:color="auto"/>
          <w:bottom w:val="single" w:sz="12" w:space="1" w:color="auto"/>
        </w:pBdr>
        <w:spacing w:after="0"/>
        <w:jc w:val="center"/>
        <w:rPr>
          <w:rFonts w:ascii="Arial" w:hAnsi="Arial" w:cs="Arial"/>
          <w:b/>
          <w:szCs w:val="24"/>
          <w:shd w:val="clear" w:color="auto" w:fill="FFFFFF"/>
        </w:rPr>
      </w:pPr>
    </w:p>
    <w:p w14:paraId="5FE0766B" w14:textId="0FA6E815" w:rsidR="00C77078" w:rsidRPr="00157555" w:rsidRDefault="00C77078" w:rsidP="00C43396">
      <w:pPr>
        <w:jc w:val="both"/>
        <w:rPr>
          <w:rFonts w:ascii="Arial" w:hAnsi="Arial" w:cs="Arial"/>
          <w:b/>
          <w:szCs w:val="24"/>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75D71" w:rsidRPr="00157555" w14:paraId="56954A52" w14:textId="77777777" w:rsidTr="00C6571B">
        <w:tc>
          <w:tcPr>
            <w:tcW w:w="4675" w:type="dxa"/>
          </w:tcPr>
          <w:p w14:paraId="76395DF0" w14:textId="3F10FE8F" w:rsidR="00C75D71" w:rsidRPr="00157555" w:rsidRDefault="00C75D71" w:rsidP="00C43396">
            <w:pPr>
              <w:jc w:val="both"/>
              <w:rPr>
                <w:rFonts w:ascii="Arial" w:eastAsia="Times New Roman" w:hAnsi="Arial" w:cs="Arial"/>
                <w:b/>
                <w:bCs/>
                <w:caps/>
                <w:szCs w:val="24"/>
              </w:rPr>
            </w:pPr>
          </w:p>
          <w:p w14:paraId="0A02858D" w14:textId="77777777" w:rsidR="008C1400" w:rsidRPr="00157555" w:rsidRDefault="008C1400" w:rsidP="00C43396">
            <w:pPr>
              <w:jc w:val="both"/>
              <w:rPr>
                <w:rFonts w:ascii="Arial" w:eastAsia="Times New Roman" w:hAnsi="Arial" w:cs="Arial"/>
                <w:b/>
                <w:bCs/>
                <w:caps/>
                <w:szCs w:val="24"/>
              </w:rPr>
            </w:pPr>
          </w:p>
          <w:p w14:paraId="4C433C1D" w14:textId="77777777" w:rsidR="00C75D71" w:rsidRPr="00157555" w:rsidRDefault="00C75D71" w:rsidP="00C43396">
            <w:pPr>
              <w:jc w:val="both"/>
              <w:rPr>
                <w:rFonts w:ascii="Arial" w:eastAsia="Times New Roman" w:hAnsi="Arial" w:cs="Arial"/>
                <w:b/>
                <w:bCs/>
                <w:caps/>
                <w:szCs w:val="24"/>
              </w:rPr>
            </w:pPr>
          </w:p>
          <w:p w14:paraId="483AFF42" w14:textId="77777777" w:rsidR="00C75D71" w:rsidRPr="00157555" w:rsidRDefault="00C75D71" w:rsidP="00C43396">
            <w:pPr>
              <w:jc w:val="both"/>
              <w:rPr>
                <w:rFonts w:ascii="Arial" w:eastAsia="Times New Roman" w:hAnsi="Arial" w:cs="Arial"/>
                <w:b/>
                <w:bCs/>
                <w:caps/>
                <w:szCs w:val="24"/>
              </w:rPr>
            </w:pPr>
          </w:p>
          <w:p w14:paraId="59EC4E42" w14:textId="77777777" w:rsidR="00C75D71" w:rsidRPr="00157555" w:rsidRDefault="00C75D71" w:rsidP="00C43396">
            <w:pPr>
              <w:jc w:val="both"/>
              <w:rPr>
                <w:rFonts w:ascii="Arial" w:eastAsia="Times New Roman" w:hAnsi="Arial" w:cs="Arial"/>
                <w:b/>
                <w:bCs/>
                <w:caps/>
                <w:szCs w:val="24"/>
              </w:rPr>
            </w:pPr>
          </w:p>
          <w:p w14:paraId="16201924" w14:textId="77777777" w:rsidR="00C75D71" w:rsidRPr="00157555" w:rsidRDefault="00C75D71" w:rsidP="00C43396">
            <w:pPr>
              <w:jc w:val="both"/>
              <w:rPr>
                <w:rFonts w:ascii="Arial" w:eastAsia="Times New Roman" w:hAnsi="Arial" w:cs="Arial"/>
                <w:b/>
                <w:bCs/>
                <w:caps/>
                <w:szCs w:val="24"/>
              </w:rPr>
            </w:pPr>
          </w:p>
          <w:p w14:paraId="5BB9320E" w14:textId="77777777" w:rsidR="00C75D71" w:rsidRPr="00157555" w:rsidRDefault="00C75D71" w:rsidP="00C43396">
            <w:pPr>
              <w:jc w:val="both"/>
              <w:rPr>
                <w:rFonts w:ascii="Arial" w:eastAsia="Times New Roman" w:hAnsi="Arial" w:cs="Arial"/>
                <w:b/>
                <w:bCs/>
                <w:caps/>
                <w:szCs w:val="24"/>
              </w:rPr>
            </w:pPr>
          </w:p>
          <w:p w14:paraId="353E11DD" w14:textId="77777777" w:rsidR="00C75D71" w:rsidRPr="00157555" w:rsidRDefault="00C75D71" w:rsidP="00C43396">
            <w:pPr>
              <w:jc w:val="both"/>
              <w:rPr>
                <w:rFonts w:ascii="Arial" w:eastAsia="Times New Roman" w:hAnsi="Arial" w:cs="Arial"/>
                <w:b/>
                <w:bCs/>
                <w:caps/>
                <w:szCs w:val="24"/>
              </w:rPr>
            </w:pPr>
          </w:p>
          <w:p w14:paraId="1B927D2C" w14:textId="77777777" w:rsidR="00C75D71" w:rsidRPr="00157555" w:rsidRDefault="00C75D71" w:rsidP="00C43396">
            <w:pPr>
              <w:jc w:val="both"/>
              <w:rPr>
                <w:rFonts w:ascii="Arial" w:eastAsia="Times New Roman" w:hAnsi="Arial" w:cs="Arial"/>
                <w:b/>
                <w:bCs/>
                <w:caps/>
                <w:szCs w:val="24"/>
              </w:rPr>
            </w:pPr>
          </w:p>
          <w:p w14:paraId="5F86EDE8" w14:textId="77777777" w:rsidR="00C75D71" w:rsidRPr="00157555" w:rsidRDefault="00C75D71" w:rsidP="00C43396">
            <w:pPr>
              <w:jc w:val="both"/>
              <w:rPr>
                <w:rFonts w:ascii="Arial" w:eastAsia="Times New Roman" w:hAnsi="Arial" w:cs="Arial"/>
                <w:b/>
                <w:bCs/>
                <w:caps/>
                <w:szCs w:val="24"/>
              </w:rPr>
            </w:pPr>
          </w:p>
          <w:p w14:paraId="7ED1C563" w14:textId="77777777" w:rsidR="00C75D71" w:rsidRPr="00157555" w:rsidRDefault="00C75D71" w:rsidP="00C43396">
            <w:pPr>
              <w:jc w:val="both"/>
              <w:rPr>
                <w:rFonts w:ascii="Arial" w:eastAsia="Times New Roman" w:hAnsi="Arial" w:cs="Arial"/>
                <w:b/>
                <w:bCs/>
                <w:caps/>
                <w:szCs w:val="24"/>
              </w:rPr>
            </w:pPr>
          </w:p>
          <w:p w14:paraId="7F9D6B05" w14:textId="77777777" w:rsidR="00C75D71" w:rsidRPr="00157555" w:rsidRDefault="00C75D71" w:rsidP="00C43396">
            <w:pPr>
              <w:jc w:val="both"/>
              <w:rPr>
                <w:rFonts w:ascii="Arial" w:eastAsia="Times New Roman" w:hAnsi="Arial" w:cs="Arial"/>
                <w:b/>
                <w:bCs/>
                <w:caps/>
                <w:szCs w:val="24"/>
              </w:rPr>
            </w:pPr>
          </w:p>
          <w:p w14:paraId="39AB6E8F" w14:textId="77777777" w:rsidR="00C75D71" w:rsidRPr="00157555" w:rsidRDefault="00C75D71" w:rsidP="00C43396">
            <w:pPr>
              <w:jc w:val="both"/>
              <w:rPr>
                <w:rFonts w:ascii="Arial" w:eastAsia="Times New Roman" w:hAnsi="Arial" w:cs="Arial"/>
                <w:b/>
                <w:bCs/>
                <w:caps/>
                <w:szCs w:val="24"/>
              </w:rPr>
            </w:pPr>
          </w:p>
          <w:p w14:paraId="78B5CC02" w14:textId="77777777" w:rsidR="00C75D71" w:rsidRPr="00157555" w:rsidRDefault="00C75D71" w:rsidP="00C43396">
            <w:pPr>
              <w:jc w:val="both"/>
              <w:rPr>
                <w:rFonts w:ascii="Arial" w:eastAsia="Times New Roman" w:hAnsi="Arial" w:cs="Arial"/>
                <w:b/>
                <w:bCs/>
                <w:caps/>
                <w:szCs w:val="24"/>
              </w:rPr>
            </w:pPr>
          </w:p>
          <w:p w14:paraId="16D7DB84" w14:textId="77777777" w:rsidR="00C75D71" w:rsidRPr="00157555" w:rsidRDefault="00C75D71" w:rsidP="00C43396">
            <w:pPr>
              <w:jc w:val="both"/>
              <w:rPr>
                <w:rFonts w:ascii="Arial" w:eastAsia="Times New Roman" w:hAnsi="Arial" w:cs="Arial"/>
                <w:b/>
                <w:bCs/>
                <w:caps/>
                <w:szCs w:val="24"/>
              </w:rPr>
            </w:pPr>
          </w:p>
          <w:p w14:paraId="7B83968A" w14:textId="77777777" w:rsidR="00C75D71" w:rsidRPr="00157555" w:rsidRDefault="00C75D71" w:rsidP="00C43396">
            <w:pPr>
              <w:jc w:val="both"/>
              <w:rPr>
                <w:rFonts w:ascii="Arial" w:eastAsia="Times New Roman" w:hAnsi="Arial" w:cs="Arial"/>
                <w:b/>
                <w:bCs/>
                <w:caps/>
                <w:szCs w:val="24"/>
              </w:rPr>
            </w:pPr>
          </w:p>
          <w:p w14:paraId="0113272A" w14:textId="77777777" w:rsidR="00C75D71" w:rsidRPr="00157555" w:rsidRDefault="00C75D71" w:rsidP="00C43396">
            <w:pPr>
              <w:jc w:val="both"/>
              <w:rPr>
                <w:rFonts w:ascii="Arial" w:eastAsia="Times New Roman" w:hAnsi="Arial" w:cs="Arial"/>
                <w:b/>
                <w:bCs/>
                <w:caps/>
                <w:szCs w:val="24"/>
              </w:rPr>
            </w:pPr>
          </w:p>
          <w:p w14:paraId="57A09994" w14:textId="77777777" w:rsidR="00C75D71" w:rsidRPr="00157555" w:rsidRDefault="00C75D71" w:rsidP="00C43396">
            <w:pPr>
              <w:jc w:val="both"/>
              <w:rPr>
                <w:rFonts w:ascii="Arial" w:eastAsia="Times New Roman" w:hAnsi="Arial" w:cs="Arial"/>
                <w:b/>
                <w:bCs/>
                <w:caps/>
                <w:szCs w:val="24"/>
              </w:rPr>
            </w:pPr>
          </w:p>
          <w:p w14:paraId="2E901C82" w14:textId="77777777" w:rsidR="00C75D71" w:rsidRPr="00157555" w:rsidRDefault="00C75D71" w:rsidP="00C43396">
            <w:pPr>
              <w:jc w:val="both"/>
              <w:rPr>
                <w:rFonts w:ascii="Arial" w:eastAsia="Times New Roman" w:hAnsi="Arial" w:cs="Arial"/>
                <w:b/>
                <w:bCs/>
                <w:caps/>
                <w:szCs w:val="24"/>
              </w:rPr>
            </w:pPr>
          </w:p>
          <w:p w14:paraId="1F26DB15" w14:textId="751AF583" w:rsidR="00C75D71" w:rsidRPr="00157555" w:rsidRDefault="00C75D71" w:rsidP="00C43396">
            <w:pPr>
              <w:jc w:val="both"/>
              <w:rPr>
                <w:rFonts w:ascii="Arial" w:eastAsia="Times New Roman" w:hAnsi="Arial" w:cs="Arial"/>
                <w:b/>
                <w:bCs/>
                <w:caps/>
                <w:sz w:val="24"/>
                <w:szCs w:val="24"/>
              </w:rPr>
            </w:pPr>
            <w:r w:rsidRPr="00157555">
              <w:rPr>
                <w:rFonts w:ascii="Arial" w:eastAsia="Times New Roman" w:hAnsi="Arial" w:cs="Arial"/>
                <w:b/>
                <w:bCs/>
                <w:smallCaps/>
                <w:sz w:val="24"/>
                <w:szCs w:val="24"/>
              </w:rPr>
              <w:t>December</w:t>
            </w:r>
            <w:r w:rsidRPr="00157555">
              <w:rPr>
                <w:rFonts w:ascii="Arial" w:eastAsia="Times New Roman" w:hAnsi="Arial" w:cs="Arial"/>
                <w:b/>
                <w:bCs/>
                <w:caps/>
                <w:sz w:val="24"/>
                <w:szCs w:val="24"/>
              </w:rPr>
              <w:t xml:space="preserve"> 17, 2021</w:t>
            </w:r>
          </w:p>
        </w:tc>
        <w:tc>
          <w:tcPr>
            <w:tcW w:w="4675" w:type="dxa"/>
          </w:tcPr>
          <w:p w14:paraId="221676F4" w14:textId="77777777" w:rsidR="00AC5B3B" w:rsidRPr="00157555" w:rsidRDefault="00AC5B3B" w:rsidP="00C43396">
            <w:pPr>
              <w:jc w:val="both"/>
              <w:rPr>
                <w:rFonts w:ascii="Arial" w:hAnsi="Arial" w:cs="Arial"/>
                <w:sz w:val="24"/>
                <w:szCs w:val="24"/>
              </w:rPr>
            </w:pPr>
            <w:r w:rsidRPr="00157555">
              <w:rPr>
                <w:rFonts w:ascii="Arial" w:hAnsi="Arial" w:cs="Arial"/>
                <w:sz w:val="24"/>
                <w:szCs w:val="24"/>
              </w:rPr>
              <w:t>Michael Nugent</w:t>
            </w:r>
          </w:p>
          <w:p w14:paraId="52DE3765" w14:textId="77777777" w:rsidR="00AC5B3B" w:rsidRPr="00157555" w:rsidRDefault="00A46CCD" w:rsidP="00C43396">
            <w:pPr>
              <w:jc w:val="both"/>
              <w:rPr>
                <w:rFonts w:ascii="Arial" w:hAnsi="Arial" w:cs="Arial"/>
                <w:sz w:val="24"/>
                <w:szCs w:val="24"/>
              </w:rPr>
            </w:pPr>
            <w:hyperlink r:id="rId11" w:history="1">
              <w:r w:rsidR="00AC5B3B" w:rsidRPr="00157555">
                <w:rPr>
                  <w:rStyle w:val="Hyperlink"/>
                  <w:rFonts w:ascii="Arial" w:hAnsi="Arial" w:cs="Arial"/>
                  <w:szCs w:val="24"/>
                </w:rPr>
                <w:t>Michael.nugent@igs.com</w:t>
              </w:r>
            </w:hyperlink>
          </w:p>
          <w:p w14:paraId="0DB829C5" w14:textId="43D6A806" w:rsidR="000701BE" w:rsidRPr="00157555" w:rsidRDefault="000701BE" w:rsidP="00C43396">
            <w:pPr>
              <w:jc w:val="both"/>
              <w:rPr>
                <w:rFonts w:ascii="Arial" w:hAnsi="Arial" w:cs="Arial"/>
                <w:sz w:val="24"/>
                <w:szCs w:val="24"/>
              </w:rPr>
            </w:pPr>
            <w:r w:rsidRPr="00157555">
              <w:rPr>
                <w:rFonts w:ascii="Arial" w:hAnsi="Arial" w:cs="Arial"/>
                <w:sz w:val="24"/>
                <w:szCs w:val="24"/>
              </w:rPr>
              <w:t>Counsel of Record</w:t>
            </w:r>
          </w:p>
          <w:p w14:paraId="79E64F44" w14:textId="77777777" w:rsidR="00AC5B3B" w:rsidRPr="00157555" w:rsidRDefault="00AC5B3B" w:rsidP="00C43396">
            <w:pPr>
              <w:jc w:val="both"/>
              <w:rPr>
                <w:rFonts w:ascii="Arial" w:hAnsi="Arial" w:cs="Arial"/>
                <w:sz w:val="24"/>
                <w:szCs w:val="24"/>
              </w:rPr>
            </w:pPr>
            <w:r w:rsidRPr="00157555">
              <w:rPr>
                <w:rFonts w:ascii="Arial" w:hAnsi="Arial" w:cs="Arial"/>
                <w:sz w:val="24"/>
                <w:szCs w:val="24"/>
              </w:rPr>
              <w:t>Joseph Oliker (0086088)</w:t>
            </w:r>
          </w:p>
          <w:p w14:paraId="27615467" w14:textId="2DD366AB" w:rsidR="00C75D71" w:rsidRPr="00157555" w:rsidRDefault="00A46CCD" w:rsidP="00C43396">
            <w:pPr>
              <w:jc w:val="both"/>
              <w:rPr>
                <w:rFonts w:ascii="Arial" w:hAnsi="Arial" w:cs="Arial"/>
                <w:sz w:val="24"/>
                <w:szCs w:val="24"/>
              </w:rPr>
            </w:pPr>
            <w:hyperlink r:id="rId12" w:history="1">
              <w:r w:rsidR="00AC5B3B" w:rsidRPr="00157555">
                <w:rPr>
                  <w:rStyle w:val="Hyperlink"/>
                  <w:rFonts w:ascii="Arial" w:hAnsi="Arial" w:cs="Arial"/>
                  <w:sz w:val="24"/>
                  <w:szCs w:val="24"/>
                </w:rPr>
                <w:t>joe.oliker@igs.com</w:t>
              </w:r>
            </w:hyperlink>
            <w:r w:rsidR="00AC5B3B" w:rsidRPr="00157555">
              <w:rPr>
                <w:rFonts w:ascii="Arial" w:hAnsi="Arial" w:cs="Arial"/>
                <w:sz w:val="24"/>
                <w:szCs w:val="24"/>
              </w:rPr>
              <w:t xml:space="preserve"> </w:t>
            </w:r>
          </w:p>
          <w:p w14:paraId="54A9943F" w14:textId="698B7DAD" w:rsidR="00C75D71" w:rsidRPr="00157555" w:rsidRDefault="00C75D71" w:rsidP="00C43396">
            <w:pPr>
              <w:jc w:val="both"/>
              <w:rPr>
                <w:rFonts w:ascii="Arial" w:hAnsi="Arial" w:cs="Arial"/>
                <w:sz w:val="24"/>
                <w:szCs w:val="24"/>
              </w:rPr>
            </w:pPr>
            <w:r w:rsidRPr="00157555">
              <w:rPr>
                <w:rFonts w:ascii="Arial" w:hAnsi="Arial" w:cs="Arial"/>
                <w:sz w:val="24"/>
                <w:szCs w:val="24"/>
              </w:rPr>
              <w:t>Evan Betterton (0100089)</w:t>
            </w:r>
          </w:p>
          <w:p w14:paraId="08A90EE1" w14:textId="77777777" w:rsidR="00C75D71" w:rsidRPr="00157555" w:rsidRDefault="00A46CCD" w:rsidP="00C43396">
            <w:pPr>
              <w:jc w:val="both"/>
              <w:rPr>
                <w:rFonts w:ascii="Arial" w:hAnsi="Arial" w:cs="Arial"/>
                <w:sz w:val="24"/>
                <w:szCs w:val="24"/>
              </w:rPr>
            </w:pPr>
            <w:hyperlink r:id="rId13" w:history="1">
              <w:r w:rsidR="00C75D71" w:rsidRPr="00157555">
                <w:rPr>
                  <w:rStyle w:val="Hyperlink"/>
                  <w:rFonts w:ascii="Arial" w:hAnsi="Arial" w:cs="Arial"/>
                  <w:sz w:val="24"/>
                  <w:szCs w:val="24"/>
                </w:rPr>
                <w:t>Evan.betterton@igs.com</w:t>
              </w:r>
            </w:hyperlink>
            <w:r w:rsidR="00C75D71" w:rsidRPr="00157555">
              <w:rPr>
                <w:rFonts w:ascii="Arial" w:hAnsi="Arial" w:cs="Arial"/>
                <w:sz w:val="24"/>
                <w:szCs w:val="24"/>
              </w:rPr>
              <w:t xml:space="preserve"> </w:t>
            </w:r>
          </w:p>
          <w:p w14:paraId="58AC86FB" w14:textId="77777777" w:rsidR="00C75D71" w:rsidRPr="00157555" w:rsidRDefault="00C75D71" w:rsidP="00C43396">
            <w:pPr>
              <w:jc w:val="both"/>
              <w:rPr>
                <w:rFonts w:ascii="Arial" w:hAnsi="Arial" w:cs="Arial"/>
                <w:sz w:val="24"/>
                <w:szCs w:val="24"/>
              </w:rPr>
            </w:pPr>
            <w:r w:rsidRPr="00157555">
              <w:rPr>
                <w:rFonts w:ascii="Arial" w:hAnsi="Arial" w:cs="Arial"/>
                <w:sz w:val="24"/>
                <w:szCs w:val="24"/>
              </w:rPr>
              <w:t>IGS Energy</w:t>
            </w:r>
          </w:p>
          <w:p w14:paraId="6DC342B1" w14:textId="77777777" w:rsidR="00C75D71" w:rsidRPr="00157555" w:rsidRDefault="00C75D71" w:rsidP="00C43396">
            <w:pPr>
              <w:jc w:val="both"/>
              <w:rPr>
                <w:rFonts w:ascii="Arial" w:hAnsi="Arial" w:cs="Arial"/>
                <w:sz w:val="24"/>
                <w:szCs w:val="24"/>
              </w:rPr>
            </w:pPr>
            <w:r w:rsidRPr="00157555">
              <w:rPr>
                <w:rFonts w:ascii="Arial" w:hAnsi="Arial" w:cs="Arial"/>
                <w:sz w:val="24"/>
                <w:szCs w:val="24"/>
              </w:rPr>
              <w:t>6100 Emerald Parkway</w:t>
            </w:r>
          </w:p>
          <w:p w14:paraId="76E275A3" w14:textId="77777777" w:rsidR="00C75D71" w:rsidRPr="00157555" w:rsidRDefault="00C75D71" w:rsidP="00C43396">
            <w:pPr>
              <w:jc w:val="both"/>
              <w:rPr>
                <w:rFonts w:ascii="Arial" w:hAnsi="Arial" w:cs="Arial"/>
                <w:sz w:val="24"/>
                <w:szCs w:val="24"/>
              </w:rPr>
            </w:pPr>
            <w:r w:rsidRPr="00157555">
              <w:rPr>
                <w:rFonts w:ascii="Arial" w:hAnsi="Arial" w:cs="Arial"/>
                <w:sz w:val="24"/>
                <w:szCs w:val="24"/>
              </w:rPr>
              <w:t>Dublin, Ohio 43016</w:t>
            </w:r>
          </w:p>
          <w:p w14:paraId="68C7D96F" w14:textId="77777777" w:rsidR="00C75D71" w:rsidRPr="00157555" w:rsidRDefault="00C75D71" w:rsidP="00C43396">
            <w:pPr>
              <w:jc w:val="both"/>
              <w:rPr>
                <w:rFonts w:ascii="Arial" w:hAnsi="Arial" w:cs="Arial"/>
                <w:sz w:val="24"/>
                <w:szCs w:val="24"/>
              </w:rPr>
            </w:pPr>
            <w:r w:rsidRPr="00157555">
              <w:rPr>
                <w:rFonts w:ascii="Arial" w:hAnsi="Arial" w:cs="Arial"/>
                <w:sz w:val="24"/>
                <w:szCs w:val="24"/>
              </w:rPr>
              <w:t>Telephone: (614) 659-5000</w:t>
            </w:r>
          </w:p>
          <w:p w14:paraId="55ED74D4" w14:textId="77777777" w:rsidR="00C75D71" w:rsidRPr="00157555" w:rsidRDefault="00C75D71" w:rsidP="00C43396">
            <w:pPr>
              <w:jc w:val="both"/>
              <w:rPr>
                <w:rFonts w:ascii="Arial" w:hAnsi="Arial" w:cs="Arial"/>
                <w:sz w:val="24"/>
                <w:szCs w:val="24"/>
              </w:rPr>
            </w:pPr>
          </w:p>
          <w:p w14:paraId="11A7CC60" w14:textId="77777777" w:rsidR="00C75D71" w:rsidRPr="00157555" w:rsidRDefault="00C75D71" w:rsidP="00C43396">
            <w:pPr>
              <w:jc w:val="both"/>
              <w:rPr>
                <w:rFonts w:ascii="Arial" w:hAnsi="Arial" w:cs="Arial"/>
                <w:sz w:val="24"/>
                <w:szCs w:val="24"/>
              </w:rPr>
            </w:pPr>
            <w:r w:rsidRPr="00157555">
              <w:rPr>
                <w:rFonts w:ascii="Arial" w:hAnsi="Arial" w:cs="Arial"/>
                <w:sz w:val="24"/>
                <w:szCs w:val="24"/>
              </w:rPr>
              <w:t>Frank P. Darr (0025469)</w:t>
            </w:r>
          </w:p>
          <w:p w14:paraId="6D582CCE" w14:textId="77777777" w:rsidR="00C75D71" w:rsidRPr="00157555" w:rsidRDefault="00A46CCD" w:rsidP="00C43396">
            <w:pPr>
              <w:jc w:val="both"/>
              <w:rPr>
                <w:rFonts w:ascii="Arial" w:hAnsi="Arial" w:cs="Arial"/>
                <w:sz w:val="24"/>
                <w:szCs w:val="24"/>
              </w:rPr>
            </w:pPr>
            <w:hyperlink r:id="rId14" w:history="1">
              <w:r w:rsidR="00C75D71" w:rsidRPr="00157555">
                <w:rPr>
                  <w:rStyle w:val="Hyperlink"/>
                  <w:rFonts w:ascii="Arial" w:hAnsi="Arial" w:cs="Arial"/>
                  <w:sz w:val="24"/>
                  <w:szCs w:val="24"/>
                </w:rPr>
                <w:t>fdarr2019@gmail.com</w:t>
              </w:r>
            </w:hyperlink>
            <w:r w:rsidR="00C75D71" w:rsidRPr="00157555">
              <w:rPr>
                <w:rFonts w:ascii="Arial" w:hAnsi="Arial" w:cs="Arial"/>
                <w:sz w:val="24"/>
                <w:szCs w:val="24"/>
              </w:rPr>
              <w:t xml:space="preserve"> </w:t>
            </w:r>
          </w:p>
          <w:p w14:paraId="6ABBC1EF" w14:textId="77777777" w:rsidR="00C75D71" w:rsidRPr="00157555" w:rsidRDefault="00C75D71" w:rsidP="00C43396">
            <w:pPr>
              <w:jc w:val="both"/>
              <w:rPr>
                <w:rFonts w:ascii="Arial" w:hAnsi="Arial" w:cs="Arial"/>
                <w:sz w:val="24"/>
                <w:szCs w:val="24"/>
              </w:rPr>
            </w:pPr>
            <w:r w:rsidRPr="00157555">
              <w:rPr>
                <w:rFonts w:ascii="Arial" w:hAnsi="Arial" w:cs="Arial"/>
                <w:sz w:val="24"/>
                <w:szCs w:val="24"/>
              </w:rPr>
              <w:t>6800 Linbrook Blvd.</w:t>
            </w:r>
          </w:p>
          <w:p w14:paraId="400BEBA1" w14:textId="77777777" w:rsidR="00C75D71" w:rsidRPr="00157555" w:rsidRDefault="00C75D71" w:rsidP="00C43396">
            <w:pPr>
              <w:jc w:val="both"/>
              <w:rPr>
                <w:rFonts w:ascii="Arial" w:hAnsi="Arial" w:cs="Arial"/>
                <w:sz w:val="24"/>
                <w:szCs w:val="24"/>
              </w:rPr>
            </w:pPr>
            <w:r w:rsidRPr="00157555">
              <w:rPr>
                <w:rFonts w:ascii="Arial" w:hAnsi="Arial" w:cs="Arial"/>
                <w:sz w:val="24"/>
                <w:szCs w:val="24"/>
              </w:rPr>
              <w:t>Columbus, Ohio 43235</w:t>
            </w:r>
          </w:p>
          <w:p w14:paraId="245B585B" w14:textId="77777777" w:rsidR="00C75D71" w:rsidRPr="00157555" w:rsidRDefault="00C75D71" w:rsidP="00C43396">
            <w:pPr>
              <w:jc w:val="both"/>
              <w:rPr>
                <w:rFonts w:ascii="Arial" w:hAnsi="Arial" w:cs="Arial"/>
                <w:sz w:val="24"/>
                <w:szCs w:val="24"/>
              </w:rPr>
            </w:pPr>
            <w:r w:rsidRPr="00157555">
              <w:rPr>
                <w:rFonts w:ascii="Arial" w:hAnsi="Arial" w:cs="Arial"/>
                <w:sz w:val="24"/>
                <w:szCs w:val="24"/>
              </w:rPr>
              <w:t>Telephone: (614) 390-6750</w:t>
            </w:r>
          </w:p>
          <w:p w14:paraId="5F595EDE" w14:textId="77777777" w:rsidR="00C75D71" w:rsidRPr="00157555" w:rsidRDefault="00C75D71" w:rsidP="00C43396">
            <w:pPr>
              <w:jc w:val="both"/>
              <w:rPr>
                <w:rFonts w:ascii="Arial" w:hAnsi="Arial" w:cs="Arial"/>
                <w:sz w:val="24"/>
                <w:szCs w:val="24"/>
              </w:rPr>
            </w:pPr>
          </w:p>
          <w:p w14:paraId="02995341" w14:textId="77777777" w:rsidR="00C75D71" w:rsidRPr="00157555" w:rsidRDefault="00C75D71" w:rsidP="00C43396">
            <w:pPr>
              <w:jc w:val="both"/>
              <w:rPr>
                <w:rFonts w:ascii="Arial" w:hAnsi="Arial" w:cs="Arial"/>
                <w:b/>
                <w:bCs/>
                <w:i/>
                <w:iCs/>
                <w:sz w:val="24"/>
                <w:szCs w:val="24"/>
              </w:rPr>
            </w:pPr>
            <w:r w:rsidRPr="00157555">
              <w:rPr>
                <w:rFonts w:ascii="Arial" w:hAnsi="Arial" w:cs="Arial"/>
                <w:b/>
                <w:bCs/>
                <w:i/>
                <w:iCs/>
                <w:sz w:val="24"/>
                <w:szCs w:val="24"/>
              </w:rPr>
              <w:t>Counsel for IGS Energy</w:t>
            </w:r>
          </w:p>
          <w:p w14:paraId="30AF77D7" w14:textId="77777777" w:rsidR="00C75D71" w:rsidRPr="00157555" w:rsidRDefault="00C75D71" w:rsidP="00C43396">
            <w:pPr>
              <w:jc w:val="both"/>
              <w:rPr>
                <w:rFonts w:ascii="Arial" w:eastAsia="Times New Roman" w:hAnsi="Arial" w:cs="Arial"/>
                <w:b/>
                <w:bCs/>
                <w:caps/>
                <w:szCs w:val="24"/>
              </w:rPr>
            </w:pPr>
          </w:p>
        </w:tc>
      </w:tr>
    </w:tbl>
    <w:p w14:paraId="4573DCCC" w14:textId="77777777" w:rsidR="00CA221B" w:rsidRPr="00157555" w:rsidRDefault="00C77078" w:rsidP="00C43396">
      <w:pPr>
        <w:jc w:val="both"/>
        <w:rPr>
          <w:rFonts w:ascii="Arial" w:eastAsia="Times New Roman" w:hAnsi="Arial" w:cs="Arial"/>
          <w:b/>
          <w:bCs/>
          <w:caps/>
          <w:szCs w:val="24"/>
        </w:rPr>
      </w:pPr>
      <w:r w:rsidRPr="00157555">
        <w:rPr>
          <w:rFonts w:ascii="Arial" w:eastAsia="Times New Roman" w:hAnsi="Arial" w:cs="Arial"/>
          <w:b/>
          <w:bCs/>
          <w:caps/>
          <w:szCs w:val="24"/>
        </w:rPr>
        <w:br w:type="page"/>
      </w:r>
    </w:p>
    <w:p w14:paraId="1F586497" w14:textId="1DF82D27" w:rsidR="005739FE" w:rsidRDefault="00867B23" w:rsidP="005739FE">
      <w:pPr>
        <w:pStyle w:val="TOC1"/>
        <w:jc w:val="center"/>
        <w:rPr>
          <w:rFonts w:eastAsia="Times New Roman" w:cs="Arial"/>
          <w:b/>
          <w:bCs/>
          <w:caps/>
          <w:szCs w:val="24"/>
        </w:rPr>
      </w:pPr>
      <w:r>
        <w:rPr>
          <w:rFonts w:eastAsia="Times New Roman" w:cs="Arial"/>
          <w:b/>
          <w:bCs/>
          <w:caps/>
          <w:szCs w:val="24"/>
        </w:rPr>
        <w:lastRenderedPageBreak/>
        <w:t>TABLE OF CONTENTS</w:t>
      </w:r>
    </w:p>
    <w:p w14:paraId="748ED9A0" w14:textId="30498682" w:rsidR="00B42463" w:rsidRPr="005D6CCE" w:rsidRDefault="00B42463">
      <w:pPr>
        <w:pStyle w:val="TOC1"/>
        <w:rPr>
          <w:rFonts w:eastAsiaTheme="minorEastAsia" w:cs="Arial"/>
          <w:noProof/>
          <w:sz w:val="22"/>
        </w:rPr>
      </w:pPr>
      <w:r>
        <w:rPr>
          <w:rFonts w:eastAsia="Times New Roman" w:cs="Arial"/>
          <w:b/>
          <w:bCs/>
          <w:caps/>
          <w:szCs w:val="24"/>
        </w:rPr>
        <w:fldChar w:fldCharType="begin"/>
      </w:r>
      <w:r>
        <w:rPr>
          <w:rFonts w:eastAsia="Times New Roman" w:cs="Arial"/>
          <w:b/>
          <w:bCs/>
          <w:caps/>
          <w:szCs w:val="24"/>
        </w:rPr>
        <w:instrText xml:space="preserve"> TOC \o "1-3" \h \z \u </w:instrText>
      </w:r>
      <w:r>
        <w:rPr>
          <w:rFonts w:eastAsia="Times New Roman" w:cs="Arial"/>
          <w:b/>
          <w:bCs/>
          <w:caps/>
          <w:szCs w:val="24"/>
        </w:rPr>
        <w:fldChar w:fldCharType="separate"/>
      </w:r>
      <w:hyperlink w:anchor="_Toc90620200" w:history="1">
        <w:r w:rsidRPr="005D6CCE">
          <w:rPr>
            <w:rStyle w:val="Hyperlink"/>
            <w:rFonts w:cs="Arial"/>
            <w:noProof/>
            <w:shd w:val="clear" w:color="auto" w:fill="FFFFFF"/>
          </w:rPr>
          <w:t>APPLICATION FOR REHEARING OF INTERSTATE GAS SUPPLY, INC.</w:t>
        </w:r>
        <w:r w:rsidRPr="005D6CCE">
          <w:rPr>
            <w:rFonts w:cs="Arial"/>
            <w:noProof/>
            <w:webHidden/>
          </w:rPr>
          <w:tab/>
        </w:r>
      </w:hyperlink>
      <w:r w:rsidR="00A46CCD">
        <w:rPr>
          <w:rFonts w:cs="Arial"/>
          <w:noProof/>
        </w:rPr>
        <w:t>4</w:t>
      </w:r>
    </w:p>
    <w:p w14:paraId="273FB5B4" w14:textId="34650F11" w:rsidR="00B42463" w:rsidRPr="005D6CCE" w:rsidRDefault="00A46CCD">
      <w:pPr>
        <w:pStyle w:val="TOC1"/>
        <w:rPr>
          <w:rFonts w:eastAsiaTheme="minorEastAsia" w:cs="Arial"/>
          <w:noProof/>
          <w:sz w:val="22"/>
        </w:rPr>
      </w:pPr>
      <w:hyperlink w:anchor="_Toc90620201" w:history="1">
        <w:r w:rsidR="00B42463" w:rsidRPr="005D6CCE">
          <w:rPr>
            <w:rStyle w:val="Hyperlink"/>
            <w:rFonts w:cs="Arial"/>
            <w:noProof/>
            <w:shd w:val="clear" w:color="auto" w:fill="FFFFFF"/>
          </w:rPr>
          <w:t>MEMORANDUM IN SUPPORT OF THE APPLICATION FOR REHEARING OF INTERSTATE GAS SUPPLY, INC.</w:t>
        </w:r>
        <w:r w:rsidR="00B42463" w:rsidRPr="005D6CCE">
          <w:rPr>
            <w:rFonts w:cs="Arial"/>
            <w:noProof/>
            <w:webHidden/>
          </w:rPr>
          <w:tab/>
        </w:r>
        <w:r w:rsidR="00B42463" w:rsidRPr="005D6CCE">
          <w:rPr>
            <w:rFonts w:cs="Arial"/>
            <w:noProof/>
            <w:webHidden/>
          </w:rPr>
          <w:fldChar w:fldCharType="begin"/>
        </w:r>
        <w:r w:rsidR="00B42463" w:rsidRPr="005D6CCE">
          <w:rPr>
            <w:rFonts w:cs="Arial"/>
            <w:noProof/>
            <w:webHidden/>
          </w:rPr>
          <w:instrText xml:space="preserve"> PAGEREF _Toc90620201 \h </w:instrText>
        </w:r>
        <w:r w:rsidR="00B42463" w:rsidRPr="005D6CCE">
          <w:rPr>
            <w:rFonts w:cs="Arial"/>
            <w:noProof/>
            <w:webHidden/>
          </w:rPr>
        </w:r>
        <w:r w:rsidR="00B42463" w:rsidRPr="005D6CCE">
          <w:rPr>
            <w:rFonts w:cs="Arial"/>
            <w:noProof/>
            <w:webHidden/>
          </w:rPr>
          <w:fldChar w:fldCharType="separate"/>
        </w:r>
        <w:r>
          <w:rPr>
            <w:rFonts w:cs="Arial"/>
            <w:noProof/>
            <w:webHidden/>
          </w:rPr>
          <w:t>7</w:t>
        </w:r>
        <w:r w:rsidR="00B42463" w:rsidRPr="005D6CCE">
          <w:rPr>
            <w:rFonts w:cs="Arial"/>
            <w:noProof/>
            <w:webHidden/>
          </w:rPr>
          <w:fldChar w:fldCharType="end"/>
        </w:r>
      </w:hyperlink>
    </w:p>
    <w:p w14:paraId="522A877E" w14:textId="629D5149" w:rsidR="00B42463" w:rsidRPr="005D6CCE" w:rsidRDefault="00A46CCD">
      <w:pPr>
        <w:pStyle w:val="TOC1"/>
        <w:tabs>
          <w:tab w:val="left" w:pos="440"/>
        </w:tabs>
        <w:rPr>
          <w:rFonts w:eastAsiaTheme="minorEastAsia" w:cs="Arial"/>
          <w:noProof/>
          <w:sz w:val="22"/>
        </w:rPr>
      </w:pPr>
      <w:hyperlink w:anchor="_Toc90620202" w:history="1">
        <w:r w:rsidR="00B42463" w:rsidRPr="005D6CCE">
          <w:rPr>
            <w:rStyle w:val="Hyperlink"/>
            <w:rFonts w:cs="Arial"/>
            <w:noProof/>
          </w:rPr>
          <w:t>I.</w:t>
        </w:r>
        <w:r w:rsidR="00B42463" w:rsidRPr="005D6CCE">
          <w:rPr>
            <w:rFonts w:eastAsiaTheme="minorEastAsia" w:cs="Arial"/>
            <w:noProof/>
            <w:sz w:val="22"/>
          </w:rPr>
          <w:tab/>
        </w:r>
        <w:r w:rsidR="00B42463" w:rsidRPr="005D6CCE">
          <w:rPr>
            <w:rStyle w:val="Hyperlink"/>
            <w:rFonts w:cs="Arial"/>
            <w:noProof/>
          </w:rPr>
          <w:t>Introduction</w:t>
        </w:r>
        <w:r w:rsidR="00B42463" w:rsidRPr="005D6CCE">
          <w:rPr>
            <w:rFonts w:cs="Arial"/>
            <w:noProof/>
            <w:webHidden/>
          </w:rPr>
          <w:tab/>
        </w:r>
        <w:r w:rsidR="00B42463" w:rsidRPr="005D6CCE">
          <w:rPr>
            <w:rFonts w:cs="Arial"/>
            <w:noProof/>
            <w:webHidden/>
          </w:rPr>
          <w:fldChar w:fldCharType="begin"/>
        </w:r>
        <w:r w:rsidR="00B42463" w:rsidRPr="005D6CCE">
          <w:rPr>
            <w:rFonts w:cs="Arial"/>
            <w:noProof/>
            <w:webHidden/>
          </w:rPr>
          <w:instrText xml:space="preserve"> PAGEREF _Toc90620202 \h </w:instrText>
        </w:r>
        <w:r w:rsidR="00B42463" w:rsidRPr="005D6CCE">
          <w:rPr>
            <w:rFonts w:cs="Arial"/>
            <w:noProof/>
            <w:webHidden/>
          </w:rPr>
        </w:r>
        <w:r w:rsidR="00B42463" w:rsidRPr="005D6CCE">
          <w:rPr>
            <w:rFonts w:cs="Arial"/>
            <w:noProof/>
            <w:webHidden/>
          </w:rPr>
          <w:fldChar w:fldCharType="separate"/>
        </w:r>
        <w:r>
          <w:rPr>
            <w:rFonts w:cs="Arial"/>
            <w:noProof/>
            <w:webHidden/>
          </w:rPr>
          <w:t>7</w:t>
        </w:r>
        <w:r w:rsidR="00B42463" w:rsidRPr="005D6CCE">
          <w:rPr>
            <w:rFonts w:cs="Arial"/>
            <w:noProof/>
            <w:webHidden/>
          </w:rPr>
          <w:fldChar w:fldCharType="end"/>
        </w:r>
      </w:hyperlink>
    </w:p>
    <w:p w14:paraId="449CC317" w14:textId="0161F8AB" w:rsidR="00B42463" w:rsidRPr="005D6CCE" w:rsidRDefault="00A46CCD">
      <w:pPr>
        <w:pStyle w:val="TOC1"/>
        <w:tabs>
          <w:tab w:val="left" w:pos="440"/>
        </w:tabs>
        <w:rPr>
          <w:rFonts w:eastAsiaTheme="minorEastAsia" w:cs="Arial"/>
          <w:noProof/>
          <w:sz w:val="22"/>
        </w:rPr>
      </w:pPr>
      <w:hyperlink w:anchor="_Toc90620203" w:history="1">
        <w:r w:rsidR="00B42463" w:rsidRPr="005D6CCE">
          <w:rPr>
            <w:rStyle w:val="Hyperlink"/>
            <w:rFonts w:cs="Arial"/>
            <w:noProof/>
          </w:rPr>
          <w:t>II.</w:t>
        </w:r>
        <w:r w:rsidR="00B42463" w:rsidRPr="005D6CCE">
          <w:rPr>
            <w:rFonts w:eastAsiaTheme="minorEastAsia" w:cs="Arial"/>
            <w:noProof/>
            <w:sz w:val="22"/>
          </w:rPr>
          <w:tab/>
        </w:r>
        <w:r w:rsidR="00B42463" w:rsidRPr="005D6CCE">
          <w:rPr>
            <w:rStyle w:val="Hyperlink"/>
            <w:rFonts w:cs="Arial"/>
            <w:noProof/>
          </w:rPr>
          <w:t>Approval of a provision of the Stipulation setting the Retail Reconciliation Rider and SSO Credit Rider at Zero was unlawful and unreasonable</w:t>
        </w:r>
        <w:r w:rsidR="00B42463" w:rsidRPr="005D6CCE">
          <w:rPr>
            <w:rFonts w:cs="Arial"/>
            <w:noProof/>
            <w:webHidden/>
          </w:rPr>
          <w:tab/>
        </w:r>
        <w:r w:rsidR="00B42463" w:rsidRPr="005D6CCE">
          <w:rPr>
            <w:rFonts w:cs="Arial"/>
            <w:noProof/>
            <w:webHidden/>
          </w:rPr>
          <w:fldChar w:fldCharType="begin"/>
        </w:r>
        <w:r w:rsidR="00B42463" w:rsidRPr="005D6CCE">
          <w:rPr>
            <w:rFonts w:cs="Arial"/>
            <w:noProof/>
            <w:webHidden/>
          </w:rPr>
          <w:instrText xml:space="preserve"> PAGEREF _Toc90620203 \h </w:instrText>
        </w:r>
        <w:r w:rsidR="00B42463" w:rsidRPr="005D6CCE">
          <w:rPr>
            <w:rFonts w:cs="Arial"/>
            <w:noProof/>
            <w:webHidden/>
          </w:rPr>
        </w:r>
        <w:r w:rsidR="00B42463" w:rsidRPr="005D6CCE">
          <w:rPr>
            <w:rFonts w:cs="Arial"/>
            <w:noProof/>
            <w:webHidden/>
          </w:rPr>
          <w:fldChar w:fldCharType="separate"/>
        </w:r>
        <w:r>
          <w:rPr>
            <w:rFonts w:cs="Arial"/>
            <w:noProof/>
            <w:webHidden/>
          </w:rPr>
          <w:t>8</w:t>
        </w:r>
        <w:r w:rsidR="00B42463" w:rsidRPr="005D6CCE">
          <w:rPr>
            <w:rFonts w:cs="Arial"/>
            <w:noProof/>
            <w:webHidden/>
          </w:rPr>
          <w:fldChar w:fldCharType="end"/>
        </w:r>
      </w:hyperlink>
    </w:p>
    <w:p w14:paraId="4CF52CC9" w14:textId="1A2F00B7" w:rsidR="00B42463" w:rsidRPr="005D6CCE" w:rsidRDefault="00A46CCD" w:rsidP="0040244A">
      <w:pPr>
        <w:pStyle w:val="TOC2"/>
        <w:rPr>
          <w:rFonts w:ascii="Arial" w:eastAsiaTheme="minorEastAsia" w:hAnsi="Arial" w:cs="Arial"/>
          <w:noProof/>
          <w:sz w:val="22"/>
        </w:rPr>
      </w:pPr>
      <w:hyperlink w:anchor="_Toc90620204" w:history="1">
        <w:r w:rsidR="00B42463" w:rsidRPr="005D6CCE">
          <w:rPr>
            <w:rStyle w:val="Hyperlink"/>
            <w:rFonts w:ascii="Arial" w:hAnsi="Arial" w:cs="Arial"/>
            <w:noProof/>
          </w:rPr>
          <w:t>A. The Opinion and Order is unlawful and unreasonable because the finding that there is no basis upon which to conclude that Ohio Power’s distribution rates include known, quantifiable costs that should be allocated to the Retail Reconciliation Rider is not supported by the uncontroverted evidence that Ohio Power recovers known and quantifiable costs to provide default service in its distribution rates, a violation of R.C. 4903.09</w:t>
        </w:r>
        <w:r w:rsidR="00B42463" w:rsidRPr="005D6CCE">
          <w:rPr>
            <w:rFonts w:ascii="Arial" w:hAnsi="Arial" w:cs="Arial"/>
            <w:noProof/>
            <w:webHidden/>
          </w:rPr>
          <w:tab/>
        </w:r>
        <w:r w:rsidR="00B42463" w:rsidRPr="005D6CCE">
          <w:rPr>
            <w:rFonts w:ascii="Arial" w:hAnsi="Arial" w:cs="Arial"/>
            <w:noProof/>
            <w:webHidden/>
          </w:rPr>
          <w:fldChar w:fldCharType="begin"/>
        </w:r>
        <w:r w:rsidR="00B42463" w:rsidRPr="005D6CCE">
          <w:rPr>
            <w:rFonts w:ascii="Arial" w:hAnsi="Arial" w:cs="Arial"/>
            <w:noProof/>
            <w:webHidden/>
          </w:rPr>
          <w:instrText xml:space="preserve"> PAGEREF _Toc90620204 \h </w:instrText>
        </w:r>
        <w:r w:rsidR="00B42463" w:rsidRPr="005D6CCE">
          <w:rPr>
            <w:rFonts w:ascii="Arial" w:hAnsi="Arial" w:cs="Arial"/>
            <w:noProof/>
            <w:webHidden/>
          </w:rPr>
        </w:r>
        <w:r w:rsidR="00B42463" w:rsidRPr="005D6CCE">
          <w:rPr>
            <w:rFonts w:ascii="Arial" w:hAnsi="Arial" w:cs="Arial"/>
            <w:noProof/>
            <w:webHidden/>
          </w:rPr>
          <w:fldChar w:fldCharType="separate"/>
        </w:r>
        <w:r>
          <w:rPr>
            <w:rFonts w:ascii="Arial" w:hAnsi="Arial" w:cs="Arial"/>
            <w:noProof/>
            <w:webHidden/>
          </w:rPr>
          <w:t>10</w:t>
        </w:r>
        <w:r w:rsidR="00B42463" w:rsidRPr="005D6CCE">
          <w:rPr>
            <w:rFonts w:ascii="Arial" w:hAnsi="Arial" w:cs="Arial"/>
            <w:noProof/>
            <w:webHidden/>
          </w:rPr>
          <w:fldChar w:fldCharType="end"/>
        </w:r>
      </w:hyperlink>
    </w:p>
    <w:p w14:paraId="74C3F647" w14:textId="312A25E3" w:rsidR="00B42463" w:rsidRPr="005D6CCE" w:rsidRDefault="00A46CCD" w:rsidP="0040244A">
      <w:pPr>
        <w:pStyle w:val="TOC2"/>
        <w:rPr>
          <w:rFonts w:ascii="Arial" w:eastAsiaTheme="minorEastAsia" w:hAnsi="Arial" w:cs="Arial"/>
          <w:noProof/>
          <w:sz w:val="22"/>
        </w:rPr>
      </w:pPr>
      <w:hyperlink w:anchor="_Toc90620205" w:history="1">
        <w:r w:rsidR="00B42463" w:rsidRPr="005D6CCE">
          <w:rPr>
            <w:rStyle w:val="Hyperlink"/>
            <w:rFonts w:ascii="Arial" w:hAnsi="Arial" w:cs="Arial"/>
            <w:noProof/>
          </w:rPr>
          <w:t>B. The Opinion and Order is unreasonable because it finds that an analysis of known and quantifiable costs to provide default service and the customer choice program was incomplete because the analysis did not factor choice program costs as to the Retail Reconciliation Rider and the SSO Credit Rider when the record does not support that finding, in violation of R.C. 4903.09</w:t>
        </w:r>
        <w:r w:rsidR="00B42463" w:rsidRPr="005D6CCE">
          <w:rPr>
            <w:rFonts w:ascii="Arial" w:hAnsi="Arial" w:cs="Arial"/>
            <w:noProof/>
            <w:webHidden/>
          </w:rPr>
          <w:tab/>
        </w:r>
        <w:r w:rsidR="00B42463" w:rsidRPr="005D6CCE">
          <w:rPr>
            <w:rFonts w:ascii="Arial" w:hAnsi="Arial" w:cs="Arial"/>
            <w:noProof/>
            <w:webHidden/>
          </w:rPr>
          <w:fldChar w:fldCharType="begin"/>
        </w:r>
        <w:r w:rsidR="00B42463" w:rsidRPr="005D6CCE">
          <w:rPr>
            <w:rFonts w:ascii="Arial" w:hAnsi="Arial" w:cs="Arial"/>
            <w:noProof/>
            <w:webHidden/>
          </w:rPr>
          <w:instrText xml:space="preserve"> PAGEREF _Toc90620205 \h </w:instrText>
        </w:r>
        <w:r w:rsidR="00B42463" w:rsidRPr="005D6CCE">
          <w:rPr>
            <w:rFonts w:ascii="Arial" w:hAnsi="Arial" w:cs="Arial"/>
            <w:noProof/>
            <w:webHidden/>
          </w:rPr>
        </w:r>
        <w:r w:rsidR="00B42463" w:rsidRPr="005D6CCE">
          <w:rPr>
            <w:rFonts w:ascii="Arial" w:hAnsi="Arial" w:cs="Arial"/>
            <w:noProof/>
            <w:webHidden/>
          </w:rPr>
          <w:fldChar w:fldCharType="separate"/>
        </w:r>
        <w:r>
          <w:rPr>
            <w:rFonts w:ascii="Arial" w:hAnsi="Arial" w:cs="Arial"/>
            <w:noProof/>
            <w:webHidden/>
          </w:rPr>
          <w:t>13</w:t>
        </w:r>
        <w:r w:rsidR="00B42463" w:rsidRPr="005D6CCE">
          <w:rPr>
            <w:rFonts w:ascii="Arial" w:hAnsi="Arial" w:cs="Arial"/>
            <w:noProof/>
            <w:webHidden/>
          </w:rPr>
          <w:fldChar w:fldCharType="end"/>
        </w:r>
      </w:hyperlink>
    </w:p>
    <w:p w14:paraId="1CCC0B24" w14:textId="3EF60D8D" w:rsidR="00B42463" w:rsidRPr="005D6CCE" w:rsidRDefault="00A46CCD" w:rsidP="0040244A">
      <w:pPr>
        <w:pStyle w:val="TOC2"/>
        <w:rPr>
          <w:rFonts w:ascii="Arial" w:eastAsiaTheme="minorEastAsia" w:hAnsi="Arial" w:cs="Arial"/>
          <w:noProof/>
          <w:sz w:val="22"/>
        </w:rPr>
      </w:pPr>
      <w:hyperlink w:anchor="_Toc90620206" w:history="1">
        <w:r w:rsidR="00B42463" w:rsidRPr="005D6CCE">
          <w:rPr>
            <w:rStyle w:val="Hyperlink"/>
            <w:rFonts w:ascii="Arial" w:hAnsi="Arial" w:cs="Arial"/>
            <w:noProof/>
          </w:rPr>
          <w:t>C. The Opinion and Order is unlawful and unreasonable because it authorizes Ohio Power to recover costs that Ohio Power incurs to supply a competitive product or service in distribution rates in violation of R.C. 4909.15, 4928.02, and 4928.05</w:t>
        </w:r>
        <w:r w:rsidR="00B42463" w:rsidRPr="005D6CCE">
          <w:rPr>
            <w:rFonts w:ascii="Arial" w:hAnsi="Arial" w:cs="Arial"/>
            <w:noProof/>
            <w:webHidden/>
          </w:rPr>
          <w:tab/>
        </w:r>
        <w:r w:rsidR="00B42463" w:rsidRPr="005D6CCE">
          <w:rPr>
            <w:rFonts w:ascii="Arial" w:hAnsi="Arial" w:cs="Arial"/>
            <w:noProof/>
            <w:webHidden/>
          </w:rPr>
          <w:fldChar w:fldCharType="begin"/>
        </w:r>
        <w:r w:rsidR="00B42463" w:rsidRPr="005D6CCE">
          <w:rPr>
            <w:rFonts w:ascii="Arial" w:hAnsi="Arial" w:cs="Arial"/>
            <w:noProof/>
            <w:webHidden/>
          </w:rPr>
          <w:instrText xml:space="preserve"> PAGEREF _Toc90620206 \h </w:instrText>
        </w:r>
        <w:r w:rsidR="00B42463" w:rsidRPr="005D6CCE">
          <w:rPr>
            <w:rFonts w:ascii="Arial" w:hAnsi="Arial" w:cs="Arial"/>
            <w:noProof/>
            <w:webHidden/>
          </w:rPr>
        </w:r>
        <w:r w:rsidR="00B42463" w:rsidRPr="005D6CCE">
          <w:rPr>
            <w:rFonts w:ascii="Arial" w:hAnsi="Arial" w:cs="Arial"/>
            <w:noProof/>
            <w:webHidden/>
          </w:rPr>
          <w:fldChar w:fldCharType="separate"/>
        </w:r>
        <w:r>
          <w:rPr>
            <w:rFonts w:ascii="Arial" w:hAnsi="Arial" w:cs="Arial"/>
            <w:noProof/>
            <w:webHidden/>
          </w:rPr>
          <w:t>15</w:t>
        </w:r>
        <w:r w:rsidR="00B42463" w:rsidRPr="005D6CCE">
          <w:rPr>
            <w:rFonts w:ascii="Arial" w:hAnsi="Arial" w:cs="Arial"/>
            <w:noProof/>
            <w:webHidden/>
          </w:rPr>
          <w:fldChar w:fldCharType="end"/>
        </w:r>
      </w:hyperlink>
    </w:p>
    <w:p w14:paraId="5AD4159B" w14:textId="4C66F07E" w:rsidR="00B42463" w:rsidRPr="005D6CCE" w:rsidRDefault="00A46CCD" w:rsidP="0040244A">
      <w:pPr>
        <w:pStyle w:val="TOC2"/>
        <w:rPr>
          <w:rFonts w:ascii="Arial" w:eastAsiaTheme="minorEastAsia" w:hAnsi="Arial" w:cs="Arial"/>
          <w:noProof/>
          <w:sz w:val="22"/>
        </w:rPr>
      </w:pPr>
      <w:hyperlink w:anchor="_Toc90620207" w:history="1">
        <w:r w:rsidR="00B42463" w:rsidRPr="005D6CCE">
          <w:rPr>
            <w:rStyle w:val="Hyperlink"/>
            <w:rFonts w:ascii="Arial" w:hAnsi="Arial" w:cs="Arial"/>
            <w:noProof/>
          </w:rPr>
          <w:t>D. The Opinion and Order is unlawful and unreasonable because it failed to address the arguments showing that approving a provision of the stipulation leaving the rates of the Retail Reconciliation Rider and the SSO Credit Rider at zero was unlawful and unreasonable and deferred population of the riders to a future case, all in violation of R.C. 4903.09</w:t>
        </w:r>
        <w:r w:rsidR="00B42463" w:rsidRPr="005D6CCE">
          <w:rPr>
            <w:rFonts w:ascii="Arial" w:hAnsi="Arial" w:cs="Arial"/>
            <w:noProof/>
            <w:webHidden/>
          </w:rPr>
          <w:tab/>
        </w:r>
        <w:r w:rsidR="00B42463" w:rsidRPr="005D6CCE">
          <w:rPr>
            <w:rFonts w:ascii="Arial" w:hAnsi="Arial" w:cs="Arial"/>
            <w:noProof/>
            <w:webHidden/>
          </w:rPr>
          <w:fldChar w:fldCharType="begin"/>
        </w:r>
        <w:r w:rsidR="00B42463" w:rsidRPr="005D6CCE">
          <w:rPr>
            <w:rFonts w:ascii="Arial" w:hAnsi="Arial" w:cs="Arial"/>
            <w:noProof/>
            <w:webHidden/>
          </w:rPr>
          <w:instrText xml:space="preserve"> PAGEREF _Toc90620207 \h </w:instrText>
        </w:r>
        <w:r w:rsidR="00B42463" w:rsidRPr="005D6CCE">
          <w:rPr>
            <w:rFonts w:ascii="Arial" w:hAnsi="Arial" w:cs="Arial"/>
            <w:noProof/>
            <w:webHidden/>
          </w:rPr>
        </w:r>
        <w:r w:rsidR="00B42463" w:rsidRPr="005D6CCE">
          <w:rPr>
            <w:rFonts w:ascii="Arial" w:hAnsi="Arial" w:cs="Arial"/>
            <w:noProof/>
            <w:webHidden/>
          </w:rPr>
          <w:fldChar w:fldCharType="separate"/>
        </w:r>
        <w:r>
          <w:rPr>
            <w:rFonts w:ascii="Arial" w:hAnsi="Arial" w:cs="Arial"/>
            <w:noProof/>
            <w:webHidden/>
          </w:rPr>
          <w:t>18</w:t>
        </w:r>
        <w:r w:rsidR="00B42463" w:rsidRPr="005D6CCE">
          <w:rPr>
            <w:rFonts w:ascii="Arial" w:hAnsi="Arial" w:cs="Arial"/>
            <w:noProof/>
            <w:webHidden/>
          </w:rPr>
          <w:fldChar w:fldCharType="end"/>
        </w:r>
      </w:hyperlink>
    </w:p>
    <w:p w14:paraId="154DB7A0" w14:textId="369DEC9D" w:rsidR="00B42463" w:rsidRPr="005D6CCE" w:rsidRDefault="00A46CCD">
      <w:pPr>
        <w:pStyle w:val="TOC1"/>
        <w:tabs>
          <w:tab w:val="left" w:pos="660"/>
        </w:tabs>
        <w:rPr>
          <w:rFonts w:eastAsiaTheme="minorEastAsia" w:cs="Arial"/>
          <w:noProof/>
          <w:sz w:val="22"/>
        </w:rPr>
      </w:pPr>
      <w:hyperlink w:anchor="_Toc90620208" w:history="1">
        <w:r w:rsidR="00B42463" w:rsidRPr="005D6CCE">
          <w:rPr>
            <w:rStyle w:val="Hyperlink"/>
            <w:rFonts w:cs="Arial"/>
            <w:noProof/>
          </w:rPr>
          <w:t>III.</w:t>
        </w:r>
        <w:r w:rsidR="00B42463" w:rsidRPr="005D6CCE">
          <w:rPr>
            <w:rFonts w:eastAsiaTheme="minorEastAsia" w:cs="Arial"/>
            <w:noProof/>
            <w:sz w:val="22"/>
          </w:rPr>
          <w:tab/>
        </w:r>
        <w:r w:rsidR="00B42463" w:rsidRPr="005D6CCE">
          <w:rPr>
            <w:rStyle w:val="Hyperlink"/>
            <w:rFonts w:cs="Arial"/>
            <w:noProof/>
          </w:rPr>
          <w:t xml:space="preserve">The Opinion and Order is unlawful and unreasonable because the decision authorizing the continuation of a discriminatory switching fee for which there is no </w:t>
        </w:r>
        <w:r w:rsidR="00B42463" w:rsidRPr="005D6CCE">
          <w:rPr>
            <w:rStyle w:val="Hyperlink"/>
            <w:rFonts w:cs="Arial"/>
            <w:bCs/>
            <w:noProof/>
          </w:rPr>
          <w:t>evidence of cost</w:t>
        </w:r>
        <w:r w:rsidR="00B42463" w:rsidRPr="005D6CCE">
          <w:rPr>
            <w:rStyle w:val="Hyperlink"/>
            <w:rFonts w:cs="Arial"/>
            <w:noProof/>
          </w:rPr>
          <w:t xml:space="preserve"> and that penalizes competitive suppliers and their customers is without a reasoned explanation in violation of R.C. 4903.09</w:t>
        </w:r>
        <w:r w:rsidR="00B42463" w:rsidRPr="005D6CCE">
          <w:rPr>
            <w:rFonts w:cs="Arial"/>
            <w:noProof/>
            <w:webHidden/>
          </w:rPr>
          <w:tab/>
        </w:r>
        <w:r w:rsidR="00B42463" w:rsidRPr="005D6CCE">
          <w:rPr>
            <w:rFonts w:cs="Arial"/>
            <w:noProof/>
            <w:webHidden/>
          </w:rPr>
          <w:fldChar w:fldCharType="begin"/>
        </w:r>
        <w:r w:rsidR="00B42463" w:rsidRPr="005D6CCE">
          <w:rPr>
            <w:rFonts w:cs="Arial"/>
            <w:noProof/>
            <w:webHidden/>
          </w:rPr>
          <w:instrText xml:space="preserve"> PAGEREF _Toc90620208 \h </w:instrText>
        </w:r>
        <w:r w:rsidR="00B42463" w:rsidRPr="005D6CCE">
          <w:rPr>
            <w:rFonts w:cs="Arial"/>
            <w:noProof/>
            <w:webHidden/>
          </w:rPr>
        </w:r>
        <w:r w:rsidR="00B42463" w:rsidRPr="005D6CCE">
          <w:rPr>
            <w:rFonts w:cs="Arial"/>
            <w:noProof/>
            <w:webHidden/>
          </w:rPr>
          <w:fldChar w:fldCharType="separate"/>
        </w:r>
        <w:r>
          <w:rPr>
            <w:rFonts w:cs="Arial"/>
            <w:noProof/>
            <w:webHidden/>
          </w:rPr>
          <w:t>24</w:t>
        </w:r>
        <w:r w:rsidR="00B42463" w:rsidRPr="005D6CCE">
          <w:rPr>
            <w:rFonts w:cs="Arial"/>
            <w:noProof/>
            <w:webHidden/>
          </w:rPr>
          <w:fldChar w:fldCharType="end"/>
        </w:r>
      </w:hyperlink>
    </w:p>
    <w:p w14:paraId="618A2035" w14:textId="68B1E822" w:rsidR="00B42463" w:rsidRPr="005D6CCE" w:rsidRDefault="00A46CCD">
      <w:pPr>
        <w:pStyle w:val="TOC1"/>
        <w:tabs>
          <w:tab w:val="left" w:pos="660"/>
        </w:tabs>
        <w:rPr>
          <w:rFonts w:eastAsiaTheme="minorEastAsia" w:cs="Arial"/>
          <w:noProof/>
          <w:sz w:val="22"/>
        </w:rPr>
      </w:pPr>
      <w:hyperlink w:anchor="_Toc90620209" w:history="1">
        <w:r w:rsidR="00B42463" w:rsidRPr="005D6CCE">
          <w:rPr>
            <w:rStyle w:val="Hyperlink"/>
            <w:rFonts w:cs="Arial"/>
            <w:noProof/>
          </w:rPr>
          <w:t>IV.</w:t>
        </w:r>
        <w:r w:rsidR="00B42463" w:rsidRPr="005D6CCE">
          <w:rPr>
            <w:rFonts w:eastAsiaTheme="minorEastAsia" w:cs="Arial"/>
            <w:noProof/>
            <w:sz w:val="22"/>
          </w:rPr>
          <w:tab/>
        </w:r>
        <w:r w:rsidR="00B42463" w:rsidRPr="005D6CCE">
          <w:rPr>
            <w:rStyle w:val="Hyperlink"/>
            <w:rFonts w:cs="Arial"/>
            <w:noProof/>
          </w:rPr>
          <w:t>The finding that a shadow billing proposal did not violate any important regulatory principle or practice was unlawful and unreasonable</w:t>
        </w:r>
        <w:r w:rsidR="00B42463" w:rsidRPr="005D6CCE">
          <w:rPr>
            <w:rFonts w:cs="Arial"/>
            <w:noProof/>
            <w:webHidden/>
          </w:rPr>
          <w:tab/>
        </w:r>
        <w:r w:rsidR="00B42463" w:rsidRPr="005D6CCE">
          <w:rPr>
            <w:rFonts w:cs="Arial"/>
            <w:noProof/>
            <w:webHidden/>
          </w:rPr>
          <w:fldChar w:fldCharType="begin"/>
        </w:r>
        <w:r w:rsidR="00B42463" w:rsidRPr="005D6CCE">
          <w:rPr>
            <w:rFonts w:cs="Arial"/>
            <w:noProof/>
            <w:webHidden/>
          </w:rPr>
          <w:instrText xml:space="preserve"> PAGEREF _Toc90620209 \h </w:instrText>
        </w:r>
        <w:r w:rsidR="00B42463" w:rsidRPr="005D6CCE">
          <w:rPr>
            <w:rFonts w:cs="Arial"/>
            <w:noProof/>
            <w:webHidden/>
          </w:rPr>
        </w:r>
        <w:r w:rsidR="00B42463" w:rsidRPr="005D6CCE">
          <w:rPr>
            <w:rFonts w:cs="Arial"/>
            <w:noProof/>
            <w:webHidden/>
          </w:rPr>
          <w:fldChar w:fldCharType="separate"/>
        </w:r>
        <w:r>
          <w:rPr>
            <w:rFonts w:cs="Arial"/>
            <w:noProof/>
            <w:webHidden/>
          </w:rPr>
          <w:t>29</w:t>
        </w:r>
        <w:r w:rsidR="00B42463" w:rsidRPr="005D6CCE">
          <w:rPr>
            <w:rFonts w:cs="Arial"/>
            <w:noProof/>
            <w:webHidden/>
          </w:rPr>
          <w:fldChar w:fldCharType="end"/>
        </w:r>
      </w:hyperlink>
    </w:p>
    <w:p w14:paraId="0B027C1B" w14:textId="433F04A3" w:rsidR="00B42463" w:rsidRPr="005D6CCE" w:rsidRDefault="00A46CCD" w:rsidP="00774BB5">
      <w:pPr>
        <w:pStyle w:val="TOC2"/>
        <w:rPr>
          <w:rFonts w:ascii="Arial" w:eastAsiaTheme="minorEastAsia" w:hAnsi="Arial" w:cs="Arial"/>
          <w:noProof/>
          <w:sz w:val="22"/>
        </w:rPr>
      </w:pPr>
      <w:hyperlink w:anchor="_Toc90620210" w:history="1">
        <w:r w:rsidR="00B42463" w:rsidRPr="005D6CCE">
          <w:rPr>
            <w:rStyle w:val="Hyperlink"/>
            <w:rFonts w:ascii="Arial" w:hAnsi="Arial" w:cs="Arial"/>
            <w:noProof/>
          </w:rPr>
          <w:t>A.</w:t>
        </w:r>
        <w:r w:rsidR="00B42463" w:rsidRPr="005D6CCE">
          <w:rPr>
            <w:rFonts w:ascii="Arial" w:eastAsiaTheme="minorEastAsia" w:hAnsi="Arial" w:cs="Arial"/>
            <w:noProof/>
            <w:sz w:val="22"/>
          </w:rPr>
          <w:tab/>
        </w:r>
        <w:r w:rsidR="00B42463" w:rsidRPr="005D6CCE">
          <w:rPr>
            <w:rStyle w:val="Hyperlink"/>
            <w:rFonts w:ascii="Arial" w:hAnsi="Arial" w:cs="Arial"/>
            <w:noProof/>
          </w:rPr>
          <w:t>The Opinion and Order is unlawful and unreasonable because it fails to remove a provision requiring Ohio Power to provide aggregate billing data that violates important regulatory practices or principles</w:t>
        </w:r>
        <w:r w:rsidR="00B42463" w:rsidRPr="005D6CCE">
          <w:rPr>
            <w:rFonts w:ascii="Arial" w:hAnsi="Arial" w:cs="Arial"/>
            <w:noProof/>
            <w:webHidden/>
          </w:rPr>
          <w:tab/>
        </w:r>
        <w:r w:rsidR="00B42463" w:rsidRPr="005D6CCE">
          <w:rPr>
            <w:rFonts w:ascii="Arial" w:hAnsi="Arial" w:cs="Arial"/>
            <w:noProof/>
            <w:webHidden/>
          </w:rPr>
          <w:fldChar w:fldCharType="begin"/>
        </w:r>
        <w:r w:rsidR="00B42463" w:rsidRPr="005D6CCE">
          <w:rPr>
            <w:rFonts w:ascii="Arial" w:hAnsi="Arial" w:cs="Arial"/>
            <w:noProof/>
            <w:webHidden/>
          </w:rPr>
          <w:instrText xml:space="preserve"> PAGEREF _Toc90620210 \h </w:instrText>
        </w:r>
        <w:r w:rsidR="00B42463" w:rsidRPr="005D6CCE">
          <w:rPr>
            <w:rFonts w:ascii="Arial" w:hAnsi="Arial" w:cs="Arial"/>
            <w:noProof/>
            <w:webHidden/>
          </w:rPr>
        </w:r>
        <w:r w:rsidR="00B42463" w:rsidRPr="005D6CCE">
          <w:rPr>
            <w:rFonts w:ascii="Arial" w:hAnsi="Arial" w:cs="Arial"/>
            <w:noProof/>
            <w:webHidden/>
          </w:rPr>
          <w:fldChar w:fldCharType="separate"/>
        </w:r>
        <w:r>
          <w:rPr>
            <w:rFonts w:ascii="Arial" w:hAnsi="Arial" w:cs="Arial"/>
            <w:noProof/>
            <w:webHidden/>
          </w:rPr>
          <w:t>30</w:t>
        </w:r>
        <w:r w:rsidR="00B42463" w:rsidRPr="005D6CCE">
          <w:rPr>
            <w:rFonts w:ascii="Arial" w:hAnsi="Arial" w:cs="Arial"/>
            <w:noProof/>
            <w:webHidden/>
          </w:rPr>
          <w:fldChar w:fldCharType="end"/>
        </w:r>
      </w:hyperlink>
    </w:p>
    <w:p w14:paraId="795FCC08" w14:textId="511B7C88" w:rsidR="00B42463" w:rsidRPr="005D6CCE" w:rsidRDefault="00A46CCD" w:rsidP="00774BB5">
      <w:pPr>
        <w:pStyle w:val="TOC2"/>
        <w:rPr>
          <w:rFonts w:ascii="Arial" w:eastAsiaTheme="minorEastAsia" w:hAnsi="Arial" w:cs="Arial"/>
          <w:noProof/>
          <w:sz w:val="22"/>
        </w:rPr>
      </w:pPr>
      <w:hyperlink w:anchor="_Toc90620211" w:history="1">
        <w:r w:rsidR="00B42463" w:rsidRPr="005D6CCE">
          <w:rPr>
            <w:rStyle w:val="Hyperlink"/>
            <w:rFonts w:ascii="Arial" w:hAnsi="Arial" w:cs="Arial"/>
            <w:noProof/>
          </w:rPr>
          <w:t>B.</w:t>
        </w:r>
        <w:r w:rsidR="00B42463" w:rsidRPr="005D6CCE">
          <w:rPr>
            <w:rFonts w:ascii="Arial" w:eastAsiaTheme="minorEastAsia" w:hAnsi="Arial" w:cs="Arial"/>
            <w:noProof/>
            <w:sz w:val="22"/>
          </w:rPr>
          <w:tab/>
        </w:r>
        <w:r w:rsidR="00B42463" w:rsidRPr="005D6CCE">
          <w:rPr>
            <w:rStyle w:val="Hyperlink"/>
            <w:rFonts w:ascii="Arial" w:hAnsi="Arial" w:cs="Arial"/>
            <w:noProof/>
          </w:rPr>
          <w:t>The Opinion and Order is unlawful because the Commission decision finding that the provision that requires Ohio Power to provide aggregate billing data to OCC does not violate an important regulatory practice or principle represents a break with Commission precedent that is without a reasoned explanation</w:t>
        </w:r>
        <w:r w:rsidR="00B42463" w:rsidRPr="005D6CCE">
          <w:rPr>
            <w:rFonts w:ascii="Arial" w:hAnsi="Arial" w:cs="Arial"/>
            <w:noProof/>
            <w:webHidden/>
          </w:rPr>
          <w:tab/>
        </w:r>
        <w:r w:rsidR="00B42463" w:rsidRPr="005D6CCE">
          <w:rPr>
            <w:rFonts w:ascii="Arial" w:hAnsi="Arial" w:cs="Arial"/>
            <w:noProof/>
            <w:webHidden/>
          </w:rPr>
          <w:fldChar w:fldCharType="begin"/>
        </w:r>
        <w:r w:rsidR="00B42463" w:rsidRPr="005D6CCE">
          <w:rPr>
            <w:rFonts w:ascii="Arial" w:hAnsi="Arial" w:cs="Arial"/>
            <w:noProof/>
            <w:webHidden/>
          </w:rPr>
          <w:instrText xml:space="preserve"> PAGEREF _Toc90620211 \h </w:instrText>
        </w:r>
        <w:r w:rsidR="00B42463" w:rsidRPr="005D6CCE">
          <w:rPr>
            <w:rFonts w:ascii="Arial" w:hAnsi="Arial" w:cs="Arial"/>
            <w:noProof/>
            <w:webHidden/>
          </w:rPr>
        </w:r>
        <w:r w:rsidR="00B42463" w:rsidRPr="005D6CCE">
          <w:rPr>
            <w:rFonts w:ascii="Arial" w:hAnsi="Arial" w:cs="Arial"/>
            <w:noProof/>
            <w:webHidden/>
          </w:rPr>
          <w:fldChar w:fldCharType="separate"/>
        </w:r>
        <w:r>
          <w:rPr>
            <w:rFonts w:ascii="Arial" w:hAnsi="Arial" w:cs="Arial"/>
            <w:noProof/>
            <w:webHidden/>
          </w:rPr>
          <w:t>32</w:t>
        </w:r>
        <w:r w:rsidR="00B42463" w:rsidRPr="005D6CCE">
          <w:rPr>
            <w:rFonts w:ascii="Arial" w:hAnsi="Arial" w:cs="Arial"/>
            <w:noProof/>
            <w:webHidden/>
          </w:rPr>
          <w:fldChar w:fldCharType="end"/>
        </w:r>
      </w:hyperlink>
    </w:p>
    <w:p w14:paraId="6B233FE5" w14:textId="6061A0B2" w:rsidR="00B42463" w:rsidRPr="005D6CCE" w:rsidRDefault="00A46CCD">
      <w:pPr>
        <w:pStyle w:val="TOC1"/>
        <w:tabs>
          <w:tab w:val="left" w:pos="660"/>
        </w:tabs>
        <w:rPr>
          <w:rFonts w:eastAsiaTheme="minorEastAsia" w:cs="Arial"/>
          <w:noProof/>
          <w:sz w:val="22"/>
        </w:rPr>
      </w:pPr>
      <w:hyperlink w:anchor="_Toc90620212" w:history="1">
        <w:r w:rsidR="00B42463" w:rsidRPr="005D6CCE">
          <w:rPr>
            <w:rStyle w:val="Hyperlink"/>
            <w:rFonts w:cs="Arial"/>
            <w:noProof/>
          </w:rPr>
          <w:t>V.</w:t>
        </w:r>
        <w:r w:rsidR="00B42463" w:rsidRPr="005D6CCE">
          <w:rPr>
            <w:rFonts w:eastAsiaTheme="minorEastAsia" w:cs="Arial"/>
            <w:noProof/>
            <w:sz w:val="22"/>
          </w:rPr>
          <w:tab/>
        </w:r>
        <w:r w:rsidR="00B42463" w:rsidRPr="005D6CCE">
          <w:rPr>
            <w:rStyle w:val="Hyperlink"/>
            <w:rFonts w:cs="Arial"/>
            <w:noProof/>
          </w:rPr>
          <w:t xml:space="preserve">The </w:t>
        </w:r>
        <w:r w:rsidR="00B42463" w:rsidRPr="005D6CCE">
          <w:rPr>
            <w:rStyle w:val="Hyperlink"/>
            <w:rFonts w:cs="Arial"/>
            <w:bCs/>
            <w:noProof/>
          </w:rPr>
          <w:t>Opinion and Order is unlawful and unreasonable because it permits Ohio Power to recover in distribution rates the costs it incurs to market customer-sited generation in violation of R.C. 4928.47 and R.C. 4903.09</w:t>
        </w:r>
        <w:r w:rsidR="00B42463" w:rsidRPr="005D6CCE">
          <w:rPr>
            <w:rFonts w:cs="Arial"/>
            <w:noProof/>
            <w:webHidden/>
          </w:rPr>
          <w:tab/>
        </w:r>
        <w:r w:rsidR="00B42463" w:rsidRPr="005D6CCE">
          <w:rPr>
            <w:rFonts w:cs="Arial"/>
            <w:noProof/>
            <w:webHidden/>
          </w:rPr>
          <w:fldChar w:fldCharType="begin"/>
        </w:r>
        <w:r w:rsidR="00B42463" w:rsidRPr="005D6CCE">
          <w:rPr>
            <w:rFonts w:cs="Arial"/>
            <w:noProof/>
            <w:webHidden/>
          </w:rPr>
          <w:instrText xml:space="preserve"> PAGEREF _Toc90620212 \h </w:instrText>
        </w:r>
        <w:r w:rsidR="00B42463" w:rsidRPr="005D6CCE">
          <w:rPr>
            <w:rFonts w:cs="Arial"/>
            <w:noProof/>
            <w:webHidden/>
          </w:rPr>
        </w:r>
        <w:r w:rsidR="00B42463" w:rsidRPr="005D6CCE">
          <w:rPr>
            <w:rFonts w:cs="Arial"/>
            <w:noProof/>
            <w:webHidden/>
          </w:rPr>
          <w:fldChar w:fldCharType="separate"/>
        </w:r>
        <w:r>
          <w:rPr>
            <w:rFonts w:cs="Arial"/>
            <w:noProof/>
            <w:webHidden/>
          </w:rPr>
          <w:t>34</w:t>
        </w:r>
        <w:r w:rsidR="00B42463" w:rsidRPr="005D6CCE">
          <w:rPr>
            <w:rFonts w:cs="Arial"/>
            <w:noProof/>
            <w:webHidden/>
          </w:rPr>
          <w:fldChar w:fldCharType="end"/>
        </w:r>
      </w:hyperlink>
    </w:p>
    <w:p w14:paraId="42573119" w14:textId="7B3F79D1" w:rsidR="00B42463" w:rsidRPr="005D6CCE" w:rsidRDefault="00A46CCD">
      <w:pPr>
        <w:pStyle w:val="TOC1"/>
        <w:tabs>
          <w:tab w:val="left" w:pos="660"/>
        </w:tabs>
        <w:rPr>
          <w:rFonts w:eastAsiaTheme="minorEastAsia" w:cs="Arial"/>
          <w:noProof/>
          <w:sz w:val="22"/>
        </w:rPr>
      </w:pPr>
      <w:hyperlink w:anchor="_Toc90620213" w:history="1">
        <w:r w:rsidR="00B42463" w:rsidRPr="005D6CCE">
          <w:rPr>
            <w:rStyle w:val="Hyperlink"/>
            <w:rFonts w:cs="Arial"/>
            <w:noProof/>
          </w:rPr>
          <w:t>VI.</w:t>
        </w:r>
        <w:r w:rsidR="00B42463" w:rsidRPr="005D6CCE">
          <w:rPr>
            <w:rFonts w:eastAsiaTheme="minorEastAsia" w:cs="Arial"/>
            <w:noProof/>
            <w:sz w:val="22"/>
          </w:rPr>
          <w:tab/>
        </w:r>
        <w:r w:rsidR="00B42463" w:rsidRPr="005D6CCE">
          <w:rPr>
            <w:rStyle w:val="Hyperlink"/>
            <w:rFonts w:cs="Arial"/>
            <w:noProof/>
          </w:rPr>
          <w:t>Conclusion</w:t>
        </w:r>
        <w:r w:rsidR="00B42463" w:rsidRPr="005D6CCE">
          <w:rPr>
            <w:rFonts w:cs="Arial"/>
            <w:noProof/>
            <w:webHidden/>
          </w:rPr>
          <w:tab/>
        </w:r>
        <w:r w:rsidR="00B42463" w:rsidRPr="005D6CCE">
          <w:rPr>
            <w:rFonts w:cs="Arial"/>
            <w:noProof/>
            <w:webHidden/>
          </w:rPr>
          <w:fldChar w:fldCharType="begin"/>
        </w:r>
        <w:r w:rsidR="00B42463" w:rsidRPr="005D6CCE">
          <w:rPr>
            <w:rFonts w:cs="Arial"/>
            <w:noProof/>
            <w:webHidden/>
          </w:rPr>
          <w:instrText xml:space="preserve"> PAGEREF _Toc90620213 \h </w:instrText>
        </w:r>
        <w:r w:rsidR="00B42463" w:rsidRPr="005D6CCE">
          <w:rPr>
            <w:rFonts w:cs="Arial"/>
            <w:noProof/>
            <w:webHidden/>
          </w:rPr>
        </w:r>
        <w:r w:rsidR="00B42463" w:rsidRPr="005D6CCE">
          <w:rPr>
            <w:rFonts w:cs="Arial"/>
            <w:noProof/>
            <w:webHidden/>
          </w:rPr>
          <w:fldChar w:fldCharType="separate"/>
        </w:r>
        <w:r>
          <w:rPr>
            <w:rFonts w:cs="Arial"/>
            <w:noProof/>
            <w:webHidden/>
          </w:rPr>
          <w:t>37</w:t>
        </w:r>
        <w:r w:rsidR="00B42463" w:rsidRPr="005D6CCE">
          <w:rPr>
            <w:rFonts w:cs="Arial"/>
            <w:noProof/>
            <w:webHidden/>
          </w:rPr>
          <w:fldChar w:fldCharType="end"/>
        </w:r>
      </w:hyperlink>
    </w:p>
    <w:p w14:paraId="26035E21" w14:textId="77C4803F" w:rsidR="00B42463" w:rsidRPr="005D6CCE" w:rsidRDefault="00A46CCD">
      <w:pPr>
        <w:pStyle w:val="TOC1"/>
        <w:rPr>
          <w:rFonts w:eastAsiaTheme="minorEastAsia" w:cs="Arial"/>
          <w:noProof/>
          <w:sz w:val="22"/>
        </w:rPr>
      </w:pPr>
      <w:hyperlink w:anchor="_Toc90620214" w:history="1">
        <w:r w:rsidR="00B42463" w:rsidRPr="005D6CCE">
          <w:rPr>
            <w:rStyle w:val="Hyperlink"/>
            <w:rFonts w:eastAsia="Yu Gothic Light" w:cs="Arial"/>
            <w:noProof/>
          </w:rPr>
          <w:t>Certificate of Service</w:t>
        </w:r>
        <w:r w:rsidR="00B42463" w:rsidRPr="005D6CCE">
          <w:rPr>
            <w:rFonts w:cs="Arial"/>
            <w:noProof/>
            <w:webHidden/>
          </w:rPr>
          <w:tab/>
        </w:r>
        <w:r w:rsidR="00B42463" w:rsidRPr="005D6CCE">
          <w:rPr>
            <w:rFonts w:cs="Arial"/>
            <w:noProof/>
            <w:webHidden/>
          </w:rPr>
          <w:fldChar w:fldCharType="begin"/>
        </w:r>
        <w:r w:rsidR="00B42463" w:rsidRPr="005D6CCE">
          <w:rPr>
            <w:rFonts w:cs="Arial"/>
            <w:noProof/>
            <w:webHidden/>
          </w:rPr>
          <w:instrText xml:space="preserve"> PAGEREF _Toc90620214 \h </w:instrText>
        </w:r>
        <w:r w:rsidR="00B42463" w:rsidRPr="005D6CCE">
          <w:rPr>
            <w:rFonts w:cs="Arial"/>
            <w:noProof/>
            <w:webHidden/>
          </w:rPr>
        </w:r>
        <w:r w:rsidR="00B42463" w:rsidRPr="005D6CCE">
          <w:rPr>
            <w:rFonts w:cs="Arial"/>
            <w:noProof/>
            <w:webHidden/>
          </w:rPr>
          <w:fldChar w:fldCharType="separate"/>
        </w:r>
        <w:r>
          <w:rPr>
            <w:rFonts w:cs="Arial"/>
            <w:noProof/>
            <w:webHidden/>
          </w:rPr>
          <w:t>39</w:t>
        </w:r>
        <w:r w:rsidR="00B42463" w:rsidRPr="005D6CCE">
          <w:rPr>
            <w:rFonts w:cs="Arial"/>
            <w:noProof/>
            <w:webHidden/>
          </w:rPr>
          <w:fldChar w:fldCharType="end"/>
        </w:r>
      </w:hyperlink>
    </w:p>
    <w:p w14:paraId="04F92699" w14:textId="6A3EEDDB" w:rsidR="00C6571B" w:rsidRPr="00157555" w:rsidRDefault="00B42463" w:rsidP="00C43396">
      <w:pPr>
        <w:jc w:val="both"/>
        <w:rPr>
          <w:rFonts w:ascii="Arial" w:eastAsia="Times New Roman" w:hAnsi="Arial" w:cs="Arial"/>
          <w:b/>
          <w:bCs/>
          <w:caps/>
          <w:szCs w:val="24"/>
        </w:rPr>
      </w:pPr>
      <w:r>
        <w:rPr>
          <w:rFonts w:ascii="Arial" w:eastAsia="Times New Roman" w:hAnsi="Arial" w:cs="Arial"/>
          <w:b/>
          <w:bCs/>
          <w:caps/>
          <w:szCs w:val="24"/>
        </w:rPr>
        <w:fldChar w:fldCharType="end"/>
      </w:r>
      <w:r w:rsidR="00C6571B" w:rsidRPr="00157555">
        <w:rPr>
          <w:rFonts w:ascii="Arial" w:eastAsia="Times New Roman" w:hAnsi="Arial" w:cs="Arial"/>
          <w:b/>
          <w:bCs/>
          <w:caps/>
          <w:szCs w:val="24"/>
        </w:rPr>
        <w:br w:type="page"/>
      </w:r>
    </w:p>
    <w:p w14:paraId="7F73F982" w14:textId="77777777" w:rsidR="00C77078" w:rsidRPr="00157555" w:rsidRDefault="00C77078" w:rsidP="00C43396">
      <w:pPr>
        <w:jc w:val="both"/>
        <w:rPr>
          <w:rFonts w:ascii="Arial" w:eastAsia="Times New Roman" w:hAnsi="Arial" w:cs="Arial"/>
          <w:b/>
          <w:bCs/>
          <w:caps/>
          <w:szCs w:val="24"/>
        </w:rPr>
      </w:pPr>
    </w:p>
    <w:p w14:paraId="25D46B38" w14:textId="6A1A1088" w:rsidR="00466EB9" w:rsidRPr="00157555" w:rsidRDefault="00466EB9" w:rsidP="00C43396">
      <w:pPr>
        <w:spacing w:after="0" w:line="240" w:lineRule="auto"/>
        <w:jc w:val="center"/>
        <w:textAlignment w:val="baseline"/>
        <w:rPr>
          <w:rFonts w:ascii="Arial" w:eastAsia="Times New Roman" w:hAnsi="Arial" w:cs="Arial"/>
          <w:b/>
          <w:bCs/>
          <w:caps/>
          <w:szCs w:val="24"/>
        </w:rPr>
      </w:pPr>
      <w:r w:rsidRPr="00157555">
        <w:rPr>
          <w:rFonts w:ascii="Arial" w:eastAsia="Times New Roman" w:hAnsi="Arial" w:cs="Arial"/>
          <w:b/>
          <w:bCs/>
          <w:caps/>
          <w:szCs w:val="24"/>
        </w:rPr>
        <w:t>Before</w:t>
      </w:r>
    </w:p>
    <w:p w14:paraId="612213E4" w14:textId="77777777" w:rsidR="00466EB9" w:rsidRPr="00157555" w:rsidRDefault="00466EB9" w:rsidP="00C43396">
      <w:pPr>
        <w:spacing w:after="0" w:line="240" w:lineRule="auto"/>
        <w:jc w:val="center"/>
        <w:textAlignment w:val="baseline"/>
        <w:rPr>
          <w:rFonts w:ascii="Arial" w:eastAsia="Times New Roman" w:hAnsi="Arial" w:cs="Arial"/>
          <w:b/>
          <w:bCs/>
          <w:caps/>
          <w:szCs w:val="24"/>
        </w:rPr>
      </w:pPr>
      <w:r w:rsidRPr="00157555">
        <w:rPr>
          <w:rFonts w:ascii="Arial" w:eastAsia="Times New Roman" w:hAnsi="Arial" w:cs="Arial"/>
          <w:b/>
          <w:bCs/>
          <w:caps/>
          <w:szCs w:val="24"/>
        </w:rPr>
        <w:t>The Public Utilities Commission of Ohio</w:t>
      </w:r>
    </w:p>
    <w:p w14:paraId="7361F5C8" w14:textId="77777777" w:rsidR="00466EB9" w:rsidRPr="00157555" w:rsidRDefault="00466EB9" w:rsidP="00C43396">
      <w:pPr>
        <w:jc w:val="both"/>
        <w:rPr>
          <w:rFonts w:ascii="Arial" w:hAnsi="Arial" w:cs="Arial"/>
          <w:b/>
          <w:szCs w:val="24"/>
          <w:shd w:val="clear" w:color="auto" w:fill="FFFFF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630"/>
        <w:gridCol w:w="3510"/>
      </w:tblGrid>
      <w:tr w:rsidR="00466EB9" w:rsidRPr="00157555" w14:paraId="22472851" w14:textId="77777777" w:rsidTr="001007FD">
        <w:trPr>
          <w:jc w:val="center"/>
        </w:trPr>
        <w:tc>
          <w:tcPr>
            <w:tcW w:w="4680" w:type="dxa"/>
          </w:tcPr>
          <w:p w14:paraId="101EDF56" w14:textId="77777777" w:rsidR="00466EB9" w:rsidRPr="00157555" w:rsidRDefault="00466EB9" w:rsidP="00C43396">
            <w:pPr>
              <w:jc w:val="both"/>
              <w:rPr>
                <w:rFonts w:ascii="Arial" w:hAnsi="Arial" w:cs="Arial"/>
                <w:b/>
                <w:sz w:val="24"/>
                <w:szCs w:val="24"/>
                <w:shd w:val="clear" w:color="auto" w:fill="FFFFFF"/>
              </w:rPr>
            </w:pPr>
            <w:r w:rsidRPr="00157555">
              <w:rPr>
                <w:rFonts w:ascii="Arial" w:hAnsi="Arial" w:cs="Arial"/>
                <w:sz w:val="24"/>
                <w:szCs w:val="24"/>
              </w:rPr>
              <w:t>In the Matter of the Application of Ohio Power Company for an Increase in Electric Distribution Rates.</w:t>
            </w:r>
            <w:bookmarkStart w:id="0" w:name="_GoBack"/>
            <w:bookmarkEnd w:id="0"/>
          </w:p>
        </w:tc>
        <w:tc>
          <w:tcPr>
            <w:tcW w:w="630" w:type="dxa"/>
            <w:vAlign w:val="center"/>
          </w:tcPr>
          <w:p w14:paraId="0B6AAC74" w14:textId="77777777" w:rsidR="00466EB9" w:rsidRPr="00157555" w:rsidRDefault="00466EB9" w:rsidP="00C43396">
            <w:pPr>
              <w:jc w:val="both"/>
              <w:rPr>
                <w:rFonts w:ascii="Arial" w:hAnsi="Arial" w:cs="Arial"/>
                <w:sz w:val="24"/>
                <w:szCs w:val="24"/>
                <w:shd w:val="clear" w:color="auto" w:fill="FFFFFF"/>
              </w:rPr>
            </w:pPr>
            <w:r w:rsidRPr="00157555">
              <w:rPr>
                <w:rFonts w:ascii="Arial" w:hAnsi="Arial" w:cs="Arial"/>
                <w:sz w:val="24"/>
                <w:szCs w:val="24"/>
                <w:shd w:val="clear" w:color="auto" w:fill="FFFFFF"/>
              </w:rPr>
              <w:t>)</w:t>
            </w:r>
          </w:p>
          <w:p w14:paraId="16669930" w14:textId="77777777" w:rsidR="00466EB9" w:rsidRPr="00157555" w:rsidRDefault="00466EB9" w:rsidP="00C43396">
            <w:pPr>
              <w:jc w:val="both"/>
              <w:rPr>
                <w:rFonts w:ascii="Arial" w:hAnsi="Arial" w:cs="Arial"/>
                <w:sz w:val="24"/>
                <w:szCs w:val="24"/>
                <w:shd w:val="clear" w:color="auto" w:fill="FFFFFF"/>
              </w:rPr>
            </w:pPr>
            <w:r w:rsidRPr="00157555">
              <w:rPr>
                <w:rFonts w:ascii="Arial" w:hAnsi="Arial" w:cs="Arial"/>
                <w:sz w:val="24"/>
                <w:szCs w:val="24"/>
                <w:shd w:val="clear" w:color="auto" w:fill="FFFFFF"/>
              </w:rPr>
              <w:t>)</w:t>
            </w:r>
          </w:p>
          <w:p w14:paraId="790F7F01" w14:textId="77777777" w:rsidR="00466EB9" w:rsidRPr="00157555" w:rsidRDefault="00466EB9" w:rsidP="00C43396">
            <w:pPr>
              <w:jc w:val="both"/>
              <w:rPr>
                <w:rFonts w:ascii="Arial" w:hAnsi="Arial" w:cs="Arial"/>
                <w:sz w:val="24"/>
                <w:szCs w:val="24"/>
                <w:shd w:val="clear" w:color="auto" w:fill="FFFFFF"/>
              </w:rPr>
            </w:pPr>
            <w:r w:rsidRPr="00157555">
              <w:rPr>
                <w:rFonts w:ascii="Arial" w:hAnsi="Arial" w:cs="Arial"/>
                <w:sz w:val="24"/>
                <w:szCs w:val="24"/>
                <w:shd w:val="clear" w:color="auto" w:fill="FFFFFF"/>
              </w:rPr>
              <w:t>)</w:t>
            </w:r>
          </w:p>
        </w:tc>
        <w:tc>
          <w:tcPr>
            <w:tcW w:w="3510" w:type="dxa"/>
            <w:vAlign w:val="center"/>
          </w:tcPr>
          <w:p w14:paraId="62884EE2" w14:textId="77777777" w:rsidR="00466EB9" w:rsidRPr="00157555" w:rsidRDefault="00466EB9" w:rsidP="00C43396">
            <w:pPr>
              <w:jc w:val="both"/>
              <w:rPr>
                <w:rFonts w:ascii="Arial" w:hAnsi="Arial" w:cs="Arial"/>
                <w:b/>
                <w:sz w:val="24"/>
                <w:szCs w:val="24"/>
                <w:shd w:val="clear" w:color="auto" w:fill="FFFFFF"/>
              </w:rPr>
            </w:pPr>
            <w:r w:rsidRPr="00157555">
              <w:rPr>
                <w:rFonts w:ascii="Arial" w:hAnsi="Arial" w:cs="Arial"/>
                <w:sz w:val="24"/>
                <w:szCs w:val="24"/>
              </w:rPr>
              <w:t>Case No. 20-585-EL-AIR</w:t>
            </w:r>
          </w:p>
        </w:tc>
      </w:tr>
      <w:tr w:rsidR="00466EB9" w:rsidRPr="00157555" w14:paraId="1EBAC957" w14:textId="77777777" w:rsidTr="001007FD">
        <w:trPr>
          <w:jc w:val="center"/>
        </w:trPr>
        <w:tc>
          <w:tcPr>
            <w:tcW w:w="4680" w:type="dxa"/>
          </w:tcPr>
          <w:p w14:paraId="1EE27AB4" w14:textId="77777777" w:rsidR="00466EB9" w:rsidRPr="00157555" w:rsidRDefault="00466EB9" w:rsidP="00C43396">
            <w:pPr>
              <w:jc w:val="both"/>
              <w:rPr>
                <w:rFonts w:ascii="Arial" w:hAnsi="Arial" w:cs="Arial"/>
                <w:b/>
                <w:sz w:val="24"/>
                <w:szCs w:val="24"/>
                <w:shd w:val="clear" w:color="auto" w:fill="FFFFFF"/>
              </w:rPr>
            </w:pPr>
          </w:p>
        </w:tc>
        <w:tc>
          <w:tcPr>
            <w:tcW w:w="630" w:type="dxa"/>
            <w:vAlign w:val="center"/>
          </w:tcPr>
          <w:p w14:paraId="718A059B" w14:textId="77777777" w:rsidR="00466EB9" w:rsidRPr="00157555" w:rsidRDefault="00466EB9" w:rsidP="00C43396">
            <w:pPr>
              <w:jc w:val="both"/>
              <w:rPr>
                <w:rFonts w:ascii="Arial" w:hAnsi="Arial" w:cs="Arial"/>
                <w:sz w:val="24"/>
                <w:szCs w:val="24"/>
                <w:shd w:val="clear" w:color="auto" w:fill="FFFFFF"/>
              </w:rPr>
            </w:pPr>
          </w:p>
        </w:tc>
        <w:tc>
          <w:tcPr>
            <w:tcW w:w="3510" w:type="dxa"/>
            <w:vAlign w:val="center"/>
          </w:tcPr>
          <w:p w14:paraId="570610AE" w14:textId="77777777" w:rsidR="00466EB9" w:rsidRPr="00157555" w:rsidRDefault="00466EB9" w:rsidP="00C43396">
            <w:pPr>
              <w:jc w:val="both"/>
              <w:rPr>
                <w:rFonts w:ascii="Arial" w:hAnsi="Arial" w:cs="Arial"/>
                <w:b/>
                <w:sz w:val="24"/>
                <w:szCs w:val="24"/>
                <w:shd w:val="clear" w:color="auto" w:fill="FFFFFF"/>
              </w:rPr>
            </w:pPr>
          </w:p>
        </w:tc>
      </w:tr>
      <w:tr w:rsidR="00466EB9" w:rsidRPr="00157555" w14:paraId="0EB1CC97" w14:textId="77777777" w:rsidTr="001007FD">
        <w:trPr>
          <w:jc w:val="center"/>
        </w:trPr>
        <w:tc>
          <w:tcPr>
            <w:tcW w:w="4680" w:type="dxa"/>
          </w:tcPr>
          <w:p w14:paraId="7ECAD82E" w14:textId="77777777" w:rsidR="00466EB9" w:rsidRPr="00157555" w:rsidRDefault="00466EB9" w:rsidP="00C43396">
            <w:pPr>
              <w:jc w:val="both"/>
              <w:rPr>
                <w:rFonts w:ascii="Arial" w:hAnsi="Arial" w:cs="Arial"/>
                <w:b/>
                <w:sz w:val="24"/>
                <w:szCs w:val="24"/>
                <w:shd w:val="clear" w:color="auto" w:fill="FFFFFF"/>
              </w:rPr>
            </w:pPr>
            <w:r w:rsidRPr="00157555">
              <w:rPr>
                <w:rFonts w:ascii="Arial" w:hAnsi="Arial" w:cs="Arial"/>
                <w:sz w:val="24"/>
                <w:szCs w:val="24"/>
              </w:rPr>
              <w:t>In the Matter of the Application of Ohio Power Company for Tariff Approval.</w:t>
            </w:r>
          </w:p>
        </w:tc>
        <w:tc>
          <w:tcPr>
            <w:tcW w:w="630" w:type="dxa"/>
            <w:vAlign w:val="center"/>
          </w:tcPr>
          <w:p w14:paraId="46D46B26" w14:textId="77777777" w:rsidR="00466EB9" w:rsidRPr="00157555" w:rsidRDefault="00466EB9" w:rsidP="00C43396">
            <w:pPr>
              <w:jc w:val="both"/>
              <w:rPr>
                <w:rFonts w:ascii="Arial" w:hAnsi="Arial" w:cs="Arial"/>
                <w:sz w:val="24"/>
                <w:szCs w:val="24"/>
                <w:shd w:val="clear" w:color="auto" w:fill="FFFFFF"/>
              </w:rPr>
            </w:pPr>
            <w:r w:rsidRPr="00157555">
              <w:rPr>
                <w:rFonts w:ascii="Arial" w:hAnsi="Arial" w:cs="Arial"/>
                <w:sz w:val="24"/>
                <w:szCs w:val="24"/>
                <w:shd w:val="clear" w:color="auto" w:fill="FFFFFF"/>
              </w:rPr>
              <w:t>)</w:t>
            </w:r>
          </w:p>
          <w:p w14:paraId="5E1F762E" w14:textId="77777777" w:rsidR="00466EB9" w:rsidRPr="00157555" w:rsidRDefault="00466EB9" w:rsidP="00C43396">
            <w:pPr>
              <w:jc w:val="both"/>
              <w:rPr>
                <w:rFonts w:ascii="Arial" w:hAnsi="Arial" w:cs="Arial"/>
                <w:sz w:val="24"/>
                <w:szCs w:val="24"/>
                <w:shd w:val="clear" w:color="auto" w:fill="FFFFFF"/>
              </w:rPr>
            </w:pPr>
            <w:r w:rsidRPr="00157555">
              <w:rPr>
                <w:rFonts w:ascii="Arial" w:hAnsi="Arial" w:cs="Arial"/>
                <w:sz w:val="24"/>
                <w:szCs w:val="24"/>
                <w:shd w:val="clear" w:color="auto" w:fill="FFFFFF"/>
              </w:rPr>
              <w:t>)</w:t>
            </w:r>
          </w:p>
        </w:tc>
        <w:tc>
          <w:tcPr>
            <w:tcW w:w="3510" w:type="dxa"/>
            <w:vAlign w:val="center"/>
          </w:tcPr>
          <w:p w14:paraId="7805B9B2" w14:textId="77777777" w:rsidR="00466EB9" w:rsidRPr="00157555" w:rsidRDefault="00466EB9" w:rsidP="00C43396">
            <w:pPr>
              <w:tabs>
                <w:tab w:val="left" w:pos="2340"/>
              </w:tabs>
              <w:jc w:val="both"/>
              <w:rPr>
                <w:rFonts w:ascii="Arial" w:hAnsi="Arial" w:cs="Arial"/>
                <w:sz w:val="24"/>
                <w:szCs w:val="24"/>
              </w:rPr>
            </w:pPr>
            <w:r w:rsidRPr="00157555">
              <w:rPr>
                <w:rFonts w:ascii="Arial" w:hAnsi="Arial" w:cs="Arial"/>
                <w:sz w:val="24"/>
                <w:szCs w:val="24"/>
              </w:rPr>
              <w:t>Case No. 20-586-EL-ATA</w:t>
            </w:r>
          </w:p>
        </w:tc>
      </w:tr>
      <w:tr w:rsidR="00466EB9" w:rsidRPr="00157555" w14:paraId="550B6A59" w14:textId="77777777" w:rsidTr="001007FD">
        <w:trPr>
          <w:jc w:val="center"/>
        </w:trPr>
        <w:tc>
          <w:tcPr>
            <w:tcW w:w="4680" w:type="dxa"/>
          </w:tcPr>
          <w:p w14:paraId="5602781F" w14:textId="77777777" w:rsidR="00466EB9" w:rsidRPr="00157555" w:rsidRDefault="00466EB9" w:rsidP="00C43396">
            <w:pPr>
              <w:jc w:val="both"/>
              <w:rPr>
                <w:rFonts w:ascii="Arial" w:hAnsi="Arial" w:cs="Arial"/>
                <w:b/>
                <w:sz w:val="24"/>
                <w:szCs w:val="24"/>
                <w:shd w:val="clear" w:color="auto" w:fill="FFFFFF"/>
              </w:rPr>
            </w:pPr>
          </w:p>
        </w:tc>
        <w:tc>
          <w:tcPr>
            <w:tcW w:w="630" w:type="dxa"/>
            <w:vAlign w:val="center"/>
          </w:tcPr>
          <w:p w14:paraId="37C7311A" w14:textId="77777777" w:rsidR="00466EB9" w:rsidRPr="00157555" w:rsidRDefault="00466EB9" w:rsidP="00C43396">
            <w:pPr>
              <w:jc w:val="both"/>
              <w:rPr>
                <w:rFonts w:ascii="Arial" w:hAnsi="Arial" w:cs="Arial"/>
                <w:sz w:val="24"/>
                <w:szCs w:val="24"/>
                <w:shd w:val="clear" w:color="auto" w:fill="FFFFFF"/>
              </w:rPr>
            </w:pPr>
          </w:p>
        </w:tc>
        <w:tc>
          <w:tcPr>
            <w:tcW w:w="3510" w:type="dxa"/>
            <w:vAlign w:val="center"/>
          </w:tcPr>
          <w:p w14:paraId="6FB3853D" w14:textId="77777777" w:rsidR="00466EB9" w:rsidRPr="00157555" w:rsidRDefault="00466EB9" w:rsidP="00C43396">
            <w:pPr>
              <w:jc w:val="both"/>
              <w:rPr>
                <w:rFonts w:ascii="Arial" w:hAnsi="Arial" w:cs="Arial"/>
                <w:b/>
                <w:sz w:val="24"/>
                <w:szCs w:val="24"/>
                <w:shd w:val="clear" w:color="auto" w:fill="FFFFFF"/>
              </w:rPr>
            </w:pPr>
          </w:p>
        </w:tc>
      </w:tr>
      <w:tr w:rsidR="00466EB9" w:rsidRPr="00157555" w14:paraId="31B3B7B3" w14:textId="77777777" w:rsidTr="001007FD">
        <w:trPr>
          <w:jc w:val="center"/>
        </w:trPr>
        <w:tc>
          <w:tcPr>
            <w:tcW w:w="4680" w:type="dxa"/>
          </w:tcPr>
          <w:p w14:paraId="31FBB578" w14:textId="77777777" w:rsidR="00466EB9" w:rsidRPr="00157555" w:rsidRDefault="00466EB9" w:rsidP="00C43396">
            <w:pPr>
              <w:jc w:val="both"/>
              <w:rPr>
                <w:rFonts w:ascii="Arial" w:hAnsi="Arial" w:cs="Arial"/>
                <w:b/>
                <w:sz w:val="24"/>
                <w:szCs w:val="24"/>
                <w:shd w:val="clear" w:color="auto" w:fill="FFFFFF"/>
              </w:rPr>
            </w:pPr>
            <w:r w:rsidRPr="00157555">
              <w:rPr>
                <w:rFonts w:ascii="Arial" w:hAnsi="Arial" w:cs="Arial"/>
                <w:sz w:val="24"/>
                <w:szCs w:val="24"/>
              </w:rPr>
              <w:t>In the Matter of the Application of Ohio Power Company for Approval to Change Accounting Methods.</w:t>
            </w:r>
          </w:p>
        </w:tc>
        <w:tc>
          <w:tcPr>
            <w:tcW w:w="630" w:type="dxa"/>
            <w:vAlign w:val="center"/>
          </w:tcPr>
          <w:p w14:paraId="206D8DF8" w14:textId="77777777" w:rsidR="00466EB9" w:rsidRPr="00157555" w:rsidRDefault="00466EB9" w:rsidP="00C43396">
            <w:pPr>
              <w:jc w:val="both"/>
              <w:rPr>
                <w:rFonts w:ascii="Arial" w:hAnsi="Arial" w:cs="Arial"/>
                <w:sz w:val="24"/>
                <w:szCs w:val="24"/>
                <w:shd w:val="clear" w:color="auto" w:fill="FFFFFF"/>
              </w:rPr>
            </w:pPr>
            <w:r w:rsidRPr="00157555">
              <w:rPr>
                <w:rFonts w:ascii="Arial" w:hAnsi="Arial" w:cs="Arial"/>
                <w:sz w:val="24"/>
                <w:szCs w:val="24"/>
                <w:shd w:val="clear" w:color="auto" w:fill="FFFFFF"/>
              </w:rPr>
              <w:t>)</w:t>
            </w:r>
          </w:p>
          <w:p w14:paraId="25EC209D" w14:textId="77777777" w:rsidR="00466EB9" w:rsidRPr="00157555" w:rsidRDefault="00466EB9" w:rsidP="00C43396">
            <w:pPr>
              <w:jc w:val="both"/>
              <w:rPr>
                <w:rFonts w:ascii="Arial" w:hAnsi="Arial" w:cs="Arial"/>
                <w:sz w:val="24"/>
                <w:szCs w:val="24"/>
                <w:shd w:val="clear" w:color="auto" w:fill="FFFFFF"/>
              </w:rPr>
            </w:pPr>
            <w:r w:rsidRPr="00157555">
              <w:rPr>
                <w:rFonts w:ascii="Arial" w:hAnsi="Arial" w:cs="Arial"/>
                <w:sz w:val="24"/>
                <w:szCs w:val="24"/>
                <w:shd w:val="clear" w:color="auto" w:fill="FFFFFF"/>
              </w:rPr>
              <w:t>)</w:t>
            </w:r>
          </w:p>
          <w:p w14:paraId="6EABDF61" w14:textId="77777777" w:rsidR="00466EB9" w:rsidRPr="00157555" w:rsidRDefault="00466EB9" w:rsidP="00C43396">
            <w:pPr>
              <w:jc w:val="both"/>
              <w:rPr>
                <w:rFonts w:ascii="Arial" w:hAnsi="Arial" w:cs="Arial"/>
                <w:sz w:val="24"/>
                <w:szCs w:val="24"/>
                <w:shd w:val="clear" w:color="auto" w:fill="FFFFFF"/>
              </w:rPr>
            </w:pPr>
            <w:r w:rsidRPr="00157555">
              <w:rPr>
                <w:rFonts w:ascii="Arial" w:hAnsi="Arial" w:cs="Arial"/>
                <w:sz w:val="24"/>
                <w:szCs w:val="24"/>
                <w:shd w:val="clear" w:color="auto" w:fill="FFFFFF"/>
              </w:rPr>
              <w:t>)</w:t>
            </w:r>
          </w:p>
        </w:tc>
        <w:tc>
          <w:tcPr>
            <w:tcW w:w="3510" w:type="dxa"/>
            <w:vAlign w:val="center"/>
          </w:tcPr>
          <w:p w14:paraId="52A57CDB" w14:textId="77777777" w:rsidR="00466EB9" w:rsidRPr="00157555" w:rsidRDefault="00466EB9" w:rsidP="00C43396">
            <w:pPr>
              <w:jc w:val="both"/>
              <w:rPr>
                <w:rFonts w:ascii="Arial" w:hAnsi="Arial" w:cs="Arial"/>
                <w:b/>
                <w:sz w:val="24"/>
                <w:szCs w:val="24"/>
                <w:shd w:val="clear" w:color="auto" w:fill="FFFFFF"/>
              </w:rPr>
            </w:pPr>
            <w:r w:rsidRPr="00157555">
              <w:rPr>
                <w:rFonts w:ascii="Arial" w:hAnsi="Arial" w:cs="Arial"/>
                <w:sz w:val="24"/>
                <w:szCs w:val="24"/>
              </w:rPr>
              <w:t>Case No. 20-587-EL-AAM</w:t>
            </w:r>
          </w:p>
        </w:tc>
      </w:tr>
    </w:tbl>
    <w:p w14:paraId="4DFABAC4" w14:textId="77777777" w:rsidR="00A5794A" w:rsidRPr="00157555" w:rsidRDefault="00A5794A" w:rsidP="00A5794A">
      <w:pPr>
        <w:jc w:val="both"/>
        <w:rPr>
          <w:rFonts w:ascii="Arial" w:hAnsi="Arial" w:cs="Arial"/>
          <w:b/>
          <w:szCs w:val="24"/>
          <w:shd w:val="clear" w:color="auto" w:fill="FFFFFF"/>
        </w:rPr>
      </w:pPr>
    </w:p>
    <w:p w14:paraId="26DBD5AF" w14:textId="77777777" w:rsidR="00A5794A" w:rsidRPr="00157555" w:rsidRDefault="00A5794A" w:rsidP="00A5794A">
      <w:pPr>
        <w:pBdr>
          <w:top w:val="single" w:sz="12" w:space="1" w:color="auto"/>
          <w:bottom w:val="single" w:sz="12" w:space="1" w:color="auto"/>
        </w:pBdr>
        <w:spacing w:after="0"/>
        <w:jc w:val="both"/>
        <w:rPr>
          <w:rFonts w:ascii="Arial" w:hAnsi="Arial" w:cs="Arial"/>
          <w:b/>
          <w:szCs w:val="24"/>
          <w:shd w:val="clear" w:color="auto" w:fill="FFFFFF"/>
        </w:rPr>
      </w:pPr>
    </w:p>
    <w:p w14:paraId="7C91D3FB" w14:textId="78A39D5E" w:rsidR="00A5794A" w:rsidRPr="00157555" w:rsidRDefault="00A5794A" w:rsidP="00A5794A">
      <w:pPr>
        <w:pBdr>
          <w:top w:val="single" w:sz="12" w:space="1" w:color="auto"/>
          <w:bottom w:val="single" w:sz="12" w:space="1" w:color="auto"/>
        </w:pBdr>
        <w:spacing w:after="0"/>
        <w:jc w:val="center"/>
        <w:rPr>
          <w:rFonts w:ascii="Arial" w:hAnsi="Arial" w:cs="Arial"/>
          <w:b/>
          <w:caps/>
          <w:szCs w:val="24"/>
          <w:shd w:val="clear" w:color="auto" w:fill="FFFFFF"/>
        </w:rPr>
      </w:pPr>
      <w:r w:rsidRPr="00157555">
        <w:rPr>
          <w:rFonts w:ascii="Arial" w:hAnsi="Arial" w:cs="Arial"/>
          <w:b/>
          <w:caps/>
          <w:szCs w:val="24"/>
          <w:shd w:val="clear" w:color="auto" w:fill="FFFFFF"/>
        </w:rPr>
        <w:t>Application for rehearing of</w:t>
      </w:r>
    </w:p>
    <w:p w14:paraId="017E479D" w14:textId="77777777" w:rsidR="00A5794A" w:rsidRPr="00157555" w:rsidRDefault="00A5794A" w:rsidP="00A5794A">
      <w:pPr>
        <w:pBdr>
          <w:top w:val="single" w:sz="12" w:space="1" w:color="auto"/>
          <w:bottom w:val="single" w:sz="12" w:space="1" w:color="auto"/>
        </w:pBdr>
        <w:spacing w:after="0"/>
        <w:jc w:val="center"/>
        <w:rPr>
          <w:rFonts w:ascii="Arial" w:hAnsi="Arial" w:cs="Arial"/>
          <w:b/>
          <w:caps/>
          <w:szCs w:val="24"/>
          <w:shd w:val="clear" w:color="auto" w:fill="FFFFFF"/>
        </w:rPr>
      </w:pPr>
      <w:r w:rsidRPr="00157555">
        <w:rPr>
          <w:rFonts w:ascii="Arial" w:hAnsi="Arial" w:cs="Arial"/>
          <w:b/>
          <w:caps/>
          <w:szCs w:val="24"/>
          <w:shd w:val="clear" w:color="auto" w:fill="FFFFFF"/>
        </w:rPr>
        <w:t>Interstate Gas Supply, Inc.</w:t>
      </w:r>
    </w:p>
    <w:p w14:paraId="648DF639" w14:textId="77777777" w:rsidR="00A5794A" w:rsidRPr="00157555" w:rsidRDefault="00A5794A" w:rsidP="00A5794A">
      <w:pPr>
        <w:pBdr>
          <w:top w:val="single" w:sz="12" w:space="1" w:color="auto"/>
          <w:bottom w:val="single" w:sz="12" w:space="1" w:color="auto"/>
        </w:pBdr>
        <w:spacing w:after="0"/>
        <w:jc w:val="center"/>
        <w:rPr>
          <w:rFonts w:ascii="Arial" w:hAnsi="Arial" w:cs="Arial"/>
          <w:b/>
          <w:szCs w:val="24"/>
          <w:shd w:val="clear" w:color="auto" w:fill="FFFFFF"/>
        </w:rPr>
      </w:pPr>
    </w:p>
    <w:p w14:paraId="0A58B210" w14:textId="68F0A030" w:rsidR="00466EB9" w:rsidRPr="00157555" w:rsidRDefault="00466EB9" w:rsidP="00A5794A">
      <w:pPr>
        <w:rPr>
          <w:rFonts w:ascii="Arial" w:hAnsi="Arial" w:cs="Arial"/>
          <w:b/>
          <w:szCs w:val="24"/>
          <w:shd w:val="clear" w:color="auto" w:fill="FFFFFF"/>
        </w:rPr>
      </w:pPr>
    </w:p>
    <w:p w14:paraId="0AB679E5" w14:textId="44566629" w:rsidR="006F40CF" w:rsidRPr="00157555" w:rsidRDefault="006F40CF" w:rsidP="00C43396">
      <w:pPr>
        <w:spacing w:after="0" w:line="480" w:lineRule="auto"/>
        <w:jc w:val="both"/>
        <w:rPr>
          <w:rFonts w:ascii="Arial" w:hAnsi="Arial" w:cs="Arial"/>
        </w:rPr>
      </w:pPr>
      <w:r w:rsidRPr="00157555">
        <w:rPr>
          <w:rFonts w:ascii="Arial" w:hAnsi="Arial" w:cs="Arial"/>
        </w:rPr>
        <w:tab/>
        <w:t xml:space="preserve">Under R.C. 4903.10 and Rule 4901-1-35 of the Ohio Administrative Code, Interstate Gas Supply, Inc. (“IGS”) submits this Application for Rehearing of the Opinion and Order for Ohio Power Company issued by the Public Utilities Commission of Ohio on November 17, </w:t>
      </w:r>
      <w:r w:rsidR="00AC26B5" w:rsidRPr="00157555">
        <w:rPr>
          <w:rFonts w:ascii="Arial" w:hAnsi="Arial" w:cs="Arial"/>
        </w:rPr>
        <w:t>2021,</w:t>
      </w:r>
      <w:r w:rsidRPr="00157555">
        <w:rPr>
          <w:rFonts w:ascii="Arial" w:hAnsi="Arial" w:cs="Arial"/>
        </w:rPr>
        <w:t xml:space="preserve"> for the following reasons:</w:t>
      </w:r>
    </w:p>
    <w:p w14:paraId="53B504F7" w14:textId="1DC65F2B" w:rsidR="00BF389A" w:rsidRPr="00157555" w:rsidRDefault="00BF389A" w:rsidP="00C43396">
      <w:pPr>
        <w:pStyle w:val="ListParagraph"/>
        <w:numPr>
          <w:ilvl w:val="0"/>
          <w:numId w:val="1"/>
        </w:numPr>
        <w:spacing w:after="0"/>
        <w:jc w:val="both"/>
        <w:rPr>
          <w:rFonts w:ascii="Arial" w:hAnsi="Arial" w:cs="Arial"/>
          <w:b/>
          <w:bCs/>
        </w:rPr>
      </w:pPr>
      <w:r w:rsidRPr="00157555">
        <w:rPr>
          <w:rFonts w:ascii="Arial" w:hAnsi="Arial" w:cs="Arial"/>
          <w:b/>
          <w:bCs/>
        </w:rPr>
        <w:t xml:space="preserve">The </w:t>
      </w:r>
      <w:r w:rsidR="005728B3" w:rsidRPr="00774BB5">
        <w:rPr>
          <w:rFonts w:ascii="Arial" w:hAnsi="Arial" w:cs="Arial"/>
          <w:b/>
          <w:bCs/>
        </w:rPr>
        <w:t>Opinion and Order is unlawful and unreasonable because the finding that there is no basis upon which to conclude that Ohio Power’s distribution rates include known, quantifiable costs that should be allocated to the Retail Reconciliation Rider is not supported by the uncontroverted evidence that Ohio Power recovers known and quantifiable costs to provide default service in its distribution rates</w:t>
      </w:r>
      <w:r w:rsidR="005728B3" w:rsidRPr="00157555">
        <w:rPr>
          <w:rFonts w:ascii="Arial" w:hAnsi="Arial" w:cs="Arial"/>
          <w:b/>
          <w:bCs/>
        </w:rPr>
        <w:t xml:space="preserve">, a </w:t>
      </w:r>
      <w:r w:rsidR="005728B3" w:rsidRPr="00774BB5">
        <w:rPr>
          <w:rFonts w:ascii="Arial" w:hAnsi="Arial" w:cs="Arial"/>
          <w:b/>
          <w:bCs/>
        </w:rPr>
        <w:t>violation of R.C. 4903.09</w:t>
      </w:r>
      <w:r w:rsidR="00FC31F8" w:rsidRPr="00157555">
        <w:rPr>
          <w:rFonts w:ascii="Arial" w:hAnsi="Arial" w:cs="Arial"/>
          <w:b/>
          <w:bCs/>
        </w:rPr>
        <w:t>.</w:t>
      </w:r>
    </w:p>
    <w:p w14:paraId="1CDC56EE" w14:textId="77777777" w:rsidR="00490DC5" w:rsidRPr="00157555" w:rsidRDefault="00490DC5" w:rsidP="00C43396">
      <w:pPr>
        <w:spacing w:after="0"/>
        <w:jc w:val="both"/>
        <w:rPr>
          <w:rFonts w:ascii="Arial" w:hAnsi="Arial" w:cs="Arial"/>
          <w:b/>
          <w:bCs/>
        </w:rPr>
      </w:pPr>
    </w:p>
    <w:p w14:paraId="77E869A3" w14:textId="5715C664" w:rsidR="00576B8D" w:rsidRPr="00157555" w:rsidRDefault="00576B8D" w:rsidP="00C43396">
      <w:pPr>
        <w:pStyle w:val="ListParagraph"/>
        <w:numPr>
          <w:ilvl w:val="0"/>
          <w:numId w:val="1"/>
        </w:numPr>
        <w:spacing w:after="0"/>
        <w:jc w:val="both"/>
        <w:rPr>
          <w:rFonts w:ascii="Arial" w:hAnsi="Arial" w:cs="Arial"/>
          <w:b/>
          <w:bCs/>
        </w:rPr>
      </w:pPr>
      <w:r w:rsidRPr="00157555">
        <w:rPr>
          <w:rFonts w:ascii="Arial" w:hAnsi="Arial" w:cs="Arial"/>
          <w:b/>
          <w:bCs/>
        </w:rPr>
        <w:t>The Opinion and Order is unlawful because it finds that an analysis of known and quantifiable costs to provide default service and the customer choice program was incomplete because the analysis did not factor choice program costs as to the Retail Reconciliation Rider and the SSO Credit Rider when the record does not support that finding, in violation of R.C. 4903.09.</w:t>
      </w:r>
    </w:p>
    <w:p w14:paraId="2A2977E5" w14:textId="77777777" w:rsidR="00576B8D" w:rsidRPr="00774BB5" w:rsidRDefault="00576B8D" w:rsidP="00774BB5">
      <w:pPr>
        <w:pStyle w:val="ListParagraph"/>
        <w:rPr>
          <w:rFonts w:ascii="Arial" w:hAnsi="Arial" w:cs="Arial"/>
          <w:b/>
          <w:bCs/>
        </w:rPr>
      </w:pPr>
    </w:p>
    <w:p w14:paraId="731157D2" w14:textId="1C4E037C" w:rsidR="0031571F" w:rsidRPr="00157555" w:rsidRDefault="0031571F" w:rsidP="00C43396">
      <w:pPr>
        <w:pStyle w:val="ListParagraph"/>
        <w:numPr>
          <w:ilvl w:val="0"/>
          <w:numId w:val="1"/>
        </w:numPr>
        <w:spacing w:after="0"/>
        <w:jc w:val="both"/>
        <w:rPr>
          <w:rFonts w:ascii="Arial" w:hAnsi="Arial" w:cs="Arial"/>
          <w:b/>
          <w:bCs/>
        </w:rPr>
      </w:pPr>
      <w:r w:rsidRPr="00157555">
        <w:rPr>
          <w:rFonts w:ascii="Arial" w:hAnsi="Arial" w:cs="Arial"/>
          <w:b/>
          <w:bCs/>
        </w:rPr>
        <w:t xml:space="preserve">The </w:t>
      </w:r>
      <w:r w:rsidR="007B59B9" w:rsidRPr="00157555">
        <w:rPr>
          <w:rFonts w:ascii="Arial" w:hAnsi="Arial" w:cs="Arial"/>
          <w:b/>
          <w:bCs/>
        </w:rPr>
        <w:t>Opinion and Order is unlawful and unreasonable because it authorizes Ohio Power to recover costs that Ohio Power incurs to supply a competitive product or service in distribution rates in violation of R.C. 4909.15, 4928.02, and 4928.05</w:t>
      </w:r>
      <w:r w:rsidRPr="00157555">
        <w:rPr>
          <w:rFonts w:ascii="Arial" w:hAnsi="Arial" w:cs="Arial"/>
          <w:b/>
          <w:bCs/>
        </w:rPr>
        <w:t>.</w:t>
      </w:r>
    </w:p>
    <w:p w14:paraId="2306997D" w14:textId="77777777" w:rsidR="0031571F" w:rsidRPr="00157555" w:rsidRDefault="0031571F" w:rsidP="00C43396">
      <w:pPr>
        <w:spacing w:after="0"/>
        <w:jc w:val="both"/>
        <w:rPr>
          <w:rFonts w:ascii="Arial" w:hAnsi="Arial" w:cs="Arial"/>
          <w:b/>
          <w:bCs/>
        </w:rPr>
      </w:pPr>
    </w:p>
    <w:p w14:paraId="6F4701E2" w14:textId="61D2B31E" w:rsidR="005728B3" w:rsidRPr="00514537" w:rsidRDefault="00FC31F8" w:rsidP="00514537">
      <w:pPr>
        <w:pStyle w:val="ListParagraph"/>
        <w:numPr>
          <w:ilvl w:val="0"/>
          <w:numId w:val="1"/>
        </w:numPr>
        <w:spacing w:after="0"/>
        <w:jc w:val="both"/>
        <w:rPr>
          <w:rFonts w:ascii="Arial" w:hAnsi="Arial" w:cs="Arial"/>
          <w:b/>
          <w:bCs/>
        </w:rPr>
      </w:pPr>
      <w:r w:rsidRPr="00157555">
        <w:rPr>
          <w:rFonts w:ascii="Arial" w:hAnsi="Arial" w:cs="Arial"/>
          <w:b/>
          <w:bCs/>
        </w:rPr>
        <w:t xml:space="preserve">The </w:t>
      </w:r>
      <w:r w:rsidR="00A83F08" w:rsidRPr="00157555">
        <w:rPr>
          <w:rFonts w:ascii="Arial" w:hAnsi="Arial" w:cs="Arial"/>
          <w:b/>
          <w:bCs/>
        </w:rPr>
        <w:t>Opinion and Order is unlawful and unreasonable because it failed to address the arguments showing that approving a provision of the stipulation leaving the rates of the Retail Reconciliation Rider and the SSO Credit Rider at zero was unlawful and unreasonable and deferred population of the riders to a future case, all in violation of R.C. 4903.09</w:t>
      </w:r>
      <w:r w:rsidRPr="00157555">
        <w:rPr>
          <w:rFonts w:ascii="Arial" w:hAnsi="Arial" w:cs="Arial"/>
          <w:b/>
          <w:bCs/>
        </w:rPr>
        <w:t>.</w:t>
      </w:r>
    </w:p>
    <w:p w14:paraId="06CCA2D9" w14:textId="77777777" w:rsidR="00490DC5" w:rsidRPr="00157555" w:rsidRDefault="00490DC5" w:rsidP="00C43396">
      <w:pPr>
        <w:spacing w:after="0"/>
        <w:jc w:val="both"/>
        <w:rPr>
          <w:rFonts w:ascii="Arial" w:hAnsi="Arial" w:cs="Arial"/>
          <w:b/>
          <w:bCs/>
        </w:rPr>
      </w:pPr>
    </w:p>
    <w:p w14:paraId="122034F0" w14:textId="5D65151A" w:rsidR="005728B3" w:rsidRPr="00514537" w:rsidRDefault="00C77078" w:rsidP="00514537">
      <w:pPr>
        <w:pStyle w:val="ListParagraph"/>
        <w:numPr>
          <w:ilvl w:val="0"/>
          <w:numId w:val="1"/>
        </w:numPr>
        <w:spacing w:after="0"/>
        <w:jc w:val="both"/>
        <w:rPr>
          <w:rFonts w:ascii="Arial" w:hAnsi="Arial" w:cs="Arial"/>
          <w:b/>
        </w:rPr>
      </w:pPr>
      <w:r w:rsidRPr="00157555">
        <w:rPr>
          <w:rFonts w:ascii="Arial" w:hAnsi="Arial" w:cs="Arial"/>
          <w:b/>
        </w:rPr>
        <w:t xml:space="preserve">The </w:t>
      </w:r>
      <w:r w:rsidR="00655B93" w:rsidRPr="00157555">
        <w:rPr>
          <w:rFonts w:ascii="Arial" w:hAnsi="Arial" w:cs="Arial"/>
          <w:b/>
        </w:rPr>
        <w:t xml:space="preserve">Opinion and Order is unlawful and unreasonable because the decision authorizing the continuation of a discriminatory switching fee </w:t>
      </w:r>
      <w:r w:rsidR="00BB34E6" w:rsidRPr="00157555">
        <w:rPr>
          <w:rFonts w:ascii="Arial" w:hAnsi="Arial" w:cs="Arial"/>
          <w:b/>
        </w:rPr>
        <w:t xml:space="preserve">for which there is no </w:t>
      </w:r>
      <w:r w:rsidR="000A5849" w:rsidRPr="00157555">
        <w:rPr>
          <w:rFonts w:ascii="Arial" w:hAnsi="Arial" w:cs="Arial"/>
          <w:b/>
        </w:rPr>
        <w:t>evidence of cost</w:t>
      </w:r>
      <w:r w:rsidR="00BB34E6" w:rsidRPr="00157555">
        <w:rPr>
          <w:rFonts w:ascii="Arial" w:hAnsi="Arial" w:cs="Arial"/>
          <w:b/>
        </w:rPr>
        <w:t xml:space="preserve"> and </w:t>
      </w:r>
      <w:r w:rsidR="00655B93" w:rsidRPr="00157555">
        <w:rPr>
          <w:rFonts w:ascii="Arial" w:hAnsi="Arial" w:cs="Arial"/>
          <w:b/>
        </w:rPr>
        <w:t>that penalizes competitive suppliers and their customers is without a reasoned explanation in violation of R.C. 4903.09</w:t>
      </w:r>
      <w:r w:rsidR="0095324C" w:rsidRPr="00157555">
        <w:rPr>
          <w:rFonts w:ascii="Arial" w:hAnsi="Arial" w:cs="Arial"/>
          <w:b/>
        </w:rPr>
        <w:t>.</w:t>
      </w:r>
    </w:p>
    <w:p w14:paraId="21706E37" w14:textId="77777777" w:rsidR="008F226B" w:rsidRPr="00157555" w:rsidRDefault="008F226B" w:rsidP="00C43396">
      <w:pPr>
        <w:spacing w:after="0"/>
        <w:jc w:val="both"/>
        <w:rPr>
          <w:rFonts w:ascii="Arial" w:hAnsi="Arial" w:cs="Arial"/>
          <w:b/>
        </w:rPr>
      </w:pPr>
    </w:p>
    <w:p w14:paraId="158768A9" w14:textId="682A07F2" w:rsidR="00490DC5" w:rsidRDefault="00FE7E63" w:rsidP="00514537">
      <w:pPr>
        <w:pStyle w:val="ListParagraph"/>
        <w:numPr>
          <w:ilvl w:val="0"/>
          <w:numId w:val="1"/>
        </w:numPr>
        <w:jc w:val="both"/>
        <w:rPr>
          <w:rFonts w:ascii="Arial" w:hAnsi="Arial" w:cs="Arial"/>
          <w:b/>
          <w:bCs/>
        </w:rPr>
      </w:pPr>
      <w:r w:rsidRPr="00157555">
        <w:rPr>
          <w:rFonts w:ascii="Arial" w:hAnsi="Arial" w:cs="Arial"/>
          <w:b/>
          <w:bCs/>
        </w:rPr>
        <w:t xml:space="preserve">The </w:t>
      </w:r>
      <w:bookmarkStart w:id="1" w:name="_Hlk89936984"/>
      <w:bookmarkStart w:id="2" w:name="_Hlk89936270"/>
      <w:r w:rsidRPr="00157555">
        <w:rPr>
          <w:rFonts w:ascii="Arial" w:hAnsi="Arial" w:cs="Arial"/>
          <w:b/>
          <w:bCs/>
        </w:rPr>
        <w:t xml:space="preserve">Opinion and Order is unlawful and unreasonable because </w:t>
      </w:r>
      <w:r w:rsidR="0031571F" w:rsidRPr="00157555">
        <w:rPr>
          <w:rFonts w:ascii="Arial" w:hAnsi="Arial" w:cs="Arial"/>
          <w:b/>
          <w:bCs/>
        </w:rPr>
        <w:t>it fails to remove a</w:t>
      </w:r>
      <w:r w:rsidRPr="00157555">
        <w:rPr>
          <w:rFonts w:ascii="Arial" w:hAnsi="Arial" w:cs="Arial"/>
          <w:b/>
          <w:bCs/>
        </w:rPr>
        <w:t xml:space="preserve"> provision </w:t>
      </w:r>
      <w:r w:rsidR="00655B93" w:rsidRPr="00157555">
        <w:rPr>
          <w:rFonts w:ascii="Arial" w:hAnsi="Arial" w:cs="Arial"/>
          <w:b/>
          <w:bCs/>
        </w:rPr>
        <w:t>requiring</w:t>
      </w:r>
      <w:r w:rsidRPr="00157555">
        <w:rPr>
          <w:rFonts w:ascii="Arial" w:hAnsi="Arial" w:cs="Arial"/>
          <w:b/>
          <w:bCs/>
        </w:rPr>
        <w:t xml:space="preserve"> Ohio Power to provide aggregate billing data </w:t>
      </w:r>
      <w:r w:rsidR="00655B93" w:rsidRPr="00157555">
        <w:rPr>
          <w:rFonts w:ascii="Arial" w:hAnsi="Arial" w:cs="Arial"/>
          <w:b/>
          <w:bCs/>
        </w:rPr>
        <w:t xml:space="preserve">that </w:t>
      </w:r>
      <w:r w:rsidRPr="00157555">
        <w:rPr>
          <w:rFonts w:ascii="Arial" w:hAnsi="Arial" w:cs="Arial"/>
          <w:b/>
          <w:bCs/>
        </w:rPr>
        <w:t>violates important regulatory practices or principles</w:t>
      </w:r>
      <w:bookmarkEnd w:id="1"/>
      <w:r w:rsidRPr="00157555">
        <w:rPr>
          <w:rFonts w:ascii="Arial" w:hAnsi="Arial" w:cs="Arial"/>
          <w:b/>
          <w:bCs/>
        </w:rPr>
        <w:t>.</w:t>
      </w:r>
      <w:bookmarkEnd w:id="2"/>
    </w:p>
    <w:p w14:paraId="22723902" w14:textId="77777777" w:rsidR="00514537" w:rsidRPr="00514537" w:rsidRDefault="00514537" w:rsidP="00514537">
      <w:pPr>
        <w:pStyle w:val="ListParagraph"/>
        <w:rPr>
          <w:rFonts w:ascii="Arial" w:hAnsi="Arial" w:cs="Arial"/>
          <w:b/>
          <w:bCs/>
        </w:rPr>
      </w:pPr>
    </w:p>
    <w:p w14:paraId="54A6EA2A" w14:textId="77777777" w:rsidR="00514537" w:rsidRPr="00514537" w:rsidRDefault="00514537" w:rsidP="00514537">
      <w:pPr>
        <w:pStyle w:val="ListParagraph"/>
        <w:jc w:val="both"/>
        <w:rPr>
          <w:rFonts w:ascii="Arial" w:hAnsi="Arial" w:cs="Arial"/>
          <w:b/>
          <w:bCs/>
        </w:rPr>
      </w:pPr>
    </w:p>
    <w:p w14:paraId="16B63A41" w14:textId="18E7C9FE" w:rsidR="0095324C" w:rsidRPr="00157555" w:rsidRDefault="0095324C" w:rsidP="00C43396">
      <w:pPr>
        <w:pStyle w:val="ListParagraph"/>
        <w:numPr>
          <w:ilvl w:val="0"/>
          <w:numId w:val="1"/>
        </w:numPr>
        <w:spacing w:after="0"/>
        <w:jc w:val="both"/>
        <w:rPr>
          <w:rFonts w:ascii="Arial" w:hAnsi="Arial" w:cs="Arial"/>
          <w:b/>
          <w:bCs/>
        </w:rPr>
      </w:pPr>
      <w:r w:rsidRPr="00157555">
        <w:rPr>
          <w:rFonts w:ascii="Arial" w:hAnsi="Arial" w:cs="Arial"/>
          <w:b/>
          <w:bCs/>
        </w:rPr>
        <w:t xml:space="preserve">The </w:t>
      </w:r>
      <w:r w:rsidR="00CC0B16" w:rsidRPr="00157555">
        <w:rPr>
          <w:rFonts w:ascii="Arial" w:hAnsi="Arial" w:cs="Arial"/>
          <w:b/>
          <w:bCs/>
        </w:rPr>
        <w:t>Opinion and Order is unlawful because the Commission decision finding that the provision that requires Ohio Power to provide aggregate billing data to OCC does not violate an important regulatory practice or principle represents a break with Commission precedent that is without a reasoned explanation</w:t>
      </w:r>
      <w:r w:rsidRPr="00157555">
        <w:rPr>
          <w:rFonts w:ascii="Arial" w:hAnsi="Arial" w:cs="Arial"/>
          <w:b/>
          <w:bCs/>
        </w:rPr>
        <w:t>.</w:t>
      </w:r>
    </w:p>
    <w:p w14:paraId="135A19EE" w14:textId="77777777" w:rsidR="00490DC5" w:rsidRPr="00157555" w:rsidRDefault="00490DC5" w:rsidP="00C43396">
      <w:pPr>
        <w:spacing w:after="0"/>
        <w:jc w:val="both"/>
        <w:rPr>
          <w:rFonts w:ascii="Arial" w:hAnsi="Arial" w:cs="Arial"/>
          <w:b/>
          <w:bCs/>
        </w:rPr>
      </w:pPr>
    </w:p>
    <w:p w14:paraId="7AC31BF4" w14:textId="1852FE98" w:rsidR="0095324C" w:rsidRPr="00157555" w:rsidRDefault="00C77078" w:rsidP="00C43396">
      <w:pPr>
        <w:pStyle w:val="ListParagraph"/>
        <w:numPr>
          <w:ilvl w:val="0"/>
          <w:numId w:val="1"/>
        </w:numPr>
        <w:jc w:val="both"/>
        <w:rPr>
          <w:rFonts w:ascii="Arial" w:hAnsi="Arial" w:cs="Arial"/>
        </w:rPr>
      </w:pPr>
      <w:bookmarkStart w:id="3" w:name="_Hlk90485878"/>
      <w:r w:rsidRPr="00157555">
        <w:rPr>
          <w:rFonts w:ascii="Arial" w:hAnsi="Arial" w:cs="Arial"/>
          <w:b/>
          <w:bCs/>
        </w:rPr>
        <w:t>The</w:t>
      </w:r>
      <w:r w:rsidR="00FE7E63" w:rsidRPr="00157555">
        <w:rPr>
          <w:rFonts w:ascii="Arial" w:hAnsi="Arial" w:cs="Arial"/>
          <w:b/>
          <w:bCs/>
        </w:rPr>
        <w:t xml:space="preserve"> Opinion and Order is unlawful and unreasonable because it permits </w:t>
      </w:r>
      <w:r w:rsidR="001E752D" w:rsidRPr="00157555">
        <w:rPr>
          <w:rFonts w:ascii="Arial" w:hAnsi="Arial" w:cs="Arial"/>
          <w:b/>
          <w:bCs/>
        </w:rPr>
        <w:t xml:space="preserve">Ohio Power to </w:t>
      </w:r>
      <w:r w:rsidR="00FE7E63" w:rsidRPr="00157555">
        <w:rPr>
          <w:rFonts w:ascii="Arial" w:hAnsi="Arial" w:cs="Arial"/>
          <w:b/>
          <w:bCs/>
        </w:rPr>
        <w:t xml:space="preserve">recover </w:t>
      </w:r>
      <w:r w:rsidR="001E752D" w:rsidRPr="00157555">
        <w:rPr>
          <w:rFonts w:ascii="Arial" w:hAnsi="Arial" w:cs="Arial"/>
          <w:b/>
          <w:bCs/>
        </w:rPr>
        <w:t xml:space="preserve">in distribution rates the </w:t>
      </w:r>
      <w:r w:rsidR="00FE7E63" w:rsidRPr="00157555">
        <w:rPr>
          <w:rFonts w:ascii="Arial" w:hAnsi="Arial" w:cs="Arial"/>
          <w:b/>
          <w:bCs/>
        </w:rPr>
        <w:t xml:space="preserve">costs </w:t>
      </w:r>
      <w:r w:rsidR="001E752D" w:rsidRPr="00157555">
        <w:rPr>
          <w:rFonts w:ascii="Arial" w:hAnsi="Arial" w:cs="Arial"/>
          <w:b/>
          <w:bCs/>
        </w:rPr>
        <w:t xml:space="preserve">it incurs </w:t>
      </w:r>
      <w:r w:rsidR="00FE7E63" w:rsidRPr="00157555">
        <w:rPr>
          <w:rFonts w:ascii="Arial" w:hAnsi="Arial" w:cs="Arial"/>
          <w:b/>
          <w:bCs/>
        </w:rPr>
        <w:t>to market customer-sited generation in violation of R.C. 4928.47</w:t>
      </w:r>
      <w:r w:rsidR="001F543D" w:rsidRPr="00157555">
        <w:rPr>
          <w:rFonts w:ascii="Arial" w:hAnsi="Arial" w:cs="Arial"/>
          <w:b/>
          <w:bCs/>
        </w:rPr>
        <w:t xml:space="preserve"> and R.C. 4903.09</w:t>
      </w:r>
      <w:bookmarkEnd w:id="3"/>
      <w:r w:rsidR="00FE7E63" w:rsidRPr="00157555">
        <w:rPr>
          <w:rFonts w:ascii="Arial" w:hAnsi="Arial" w:cs="Arial"/>
          <w:b/>
          <w:bCs/>
        </w:rPr>
        <w:t>.</w:t>
      </w:r>
    </w:p>
    <w:p w14:paraId="2CA386D2" w14:textId="77777777" w:rsidR="005728B3" w:rsidRPr="00157555" w:rsidRDefault="005728B3" w:rsidP="00774BB5">
      <w:pPr>
        <w:pStyle w:val="ListParagraph"/>
        <w:rPr>
          <w:rFonts w:ascii="Arial" w:hAnsi="Arial" w:cs="Arial"/>
        </w:rPr>
      </w:pPr>
    </w:p>
    <w:p w14:paraId="45F50886" w14:textId="2003F200" w:rsidR="006F40CF" w:rsidRPr="00157555" w:rsidRDefault="004F2FA0" w:rsidP="004F2FA0">
      <w:pPr>
        <w:spacing w:after="0" w:line="480" w:lineRule="auto"/>
        <w:jc w:val="both"/>
        <w:rPr>
          <w:rFonts w:ascii="Arial" w:hAnsi="Arial" w:cs="Arial"/>
        </w:rPr>
      </w:pPr>
      <w:r w:rsidRPr="00157555">
        <w:rPr>
          <w:rFonts w:ascii="Arial" w:hAnsi="Arial" w:cs="Arial"/>
        </w:rPr>
        <w:tab/>
      </w:r>
      <w:r w:rsidR="006F40CF" w:rsidRPr="00157555">
        <w:rPr>
          <w:rFonts w:ascii="Arial" w:hAnsi="Arial" w:cs="Arial"/>
        </w:rPr>
        <w:t xml:space="preserve">As discussed in the Memorandum in Support, the Opinion and Order are unlawful and </w:t>
      </w:r>
      <w:r w:rsidR="00AC26B5" w:rsidRPr="00157555">
        <w:rPr>
          <w:rFonts w:ascii="Arial" w:hAnsi="Arial" w:cs="Arial"/>
        </w:rPr>
        <w:t>unreasonable,</w:t>
      </w:r>
      <w:r w:rsidR="006F40CF" w:rsidRPr="00157555">
        <w:rPr>
          <w:rFonts w:ascii="Arial" w:hAnsi="Arial" w:cs="Arial"/>
        </w:rPr>
        <w:t xml:space="preserve"> and the Commission should grant this Application for Rehearing.</w:t>
      </w:r>
    </w:p>
    <w:p w14:paraId="740DD889" w14:textId="5238E6CC" w:rsidR="006F40CF" w:rsidRPr="00157555" w:rsidRDefault="006F40CF" w:rsidP="00C43396">
      <w:pPr>
        <w:spacing w:after="0"/>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A221B" w:rsidRPr="00157555" w14:paraId="2D5B20D7" w14:textId="77777777" w:rsidTr="00CA221B">
        <w:tc>
          <w:tcPr>
            <w:tcW w:w="4675" w:type="dxa"/>
          </w:tcPr>
          <w:p w14:paraId="697DBA12" w14:textId="77777777" w:rsidR="00CA221B" w:rsidRPr="00157555" w:rsidRDefault="00CA221B" w:rsidP="00C43396">
            <w:pPr>
              <w:jc w:val="both"/>
              <w:rPr>
                <w:rFonts w:ascii="Arial" w:hAnsi="Arial" w:cs="Arial"/>
              </w:rPr>
            </w:pPr>
          </w:p>
        </w:tc>
        <w:tc>
          <w:tcPr>
            <w:tcW w:w="4675" w:type="dxa"/>
          </w:tcPr>
          <w:p w14:paraId="72B6D0A2" w14:textId="0C1AF93F" w:rsidR="00CA221B" w:rsidRPr="00157555" w:rsidRDefault="00CA221B" w:rsidP="00C43396">
            <w:pPr>
              <w:jc w:val="both"/>
              <w:rPr>
                <w:rFonts w:ascii="Arial" w:hAnsi="Arial" w:cs="Arial"/>
                <w:sz w:val="24"/>
                <w:szCs w:val="24"/>
                <w:u w:val="single"/>
              </w:rPr>
            </w:pPr>
            <w:r w:rsidRPr="00157555">
              <w:rPr>
                <w:rFonts w:ascii="Arial" w:hAnsi="Arial" w:cs="Arial"/>
                <w:sz w:val="24"/>
                <w:szCs w:val="24"/>
                <w:u w:val="single"/>
              </w:rPr>
              <w:t xml:space="preserve">/s/ </w:t>
            </w:r>
            <w:r w:rsidR="00AC5B3B" w:rsidRPr="00157555">
              <w:rPr>
                <w:rFonts w:ascii="Arial" w:hAnsi="Arial" w:cs="Arial"/>
                <w:sz w:val="24"/>
                <w:szCs w:val="24"/>
                <w:u w:val="single"/>
              </w:rPr>
              <w:t>Michael Nugent</w:t>
            </w:r>
            <w:r w:rsidRPr="00157555">
              <w:rPr>
                <w:rFonts w:ascii="Arial" w:hAnsi="Arial" w:cs="Arial"/>
                <w:sz w:val="24"/>
                <w:szCs w:val="24"/>
                <w:u w:val="single"/>
              </w:rPr>
              <w:tab/>
            </w:r>
            <w:r w:rsidRPr="00157555">
              <w:rPr>
                <w:rFonts w:ascii="Arial" w:hAnsi="Arial" w:cs="Arial"/>
                <w:sz w:val="24"/>
                <w:szCs w:val="24"/>
                <w:u w:val="single"/>
              </w:rPr>
              <w:tab/>
            </w:r>
            <w:r w:rsidRPr="00157555">
              <w:rPr>
                <w:rFonts w:ascii="Arial" w:hAnsi="Arial" w:cs="Arial"/>
                <w:sz w:val="24"/>
                <w:szCs w:val="24"/>
                <w:u w:val="single"/>
              </w:rPr>
              <w:tab/>
            </w:r>
            <w:r w:rsidRPr="00157555">
              <w:rPr>
                <w:rFonts w:ascii="Arial" w:hAnsi="Arial" w:cs="Arial"/>
                <w:sz w:val="24"/>
                <w:szCs w:val="24"/>
                <w:u w:val="single"/>
              </w:rPr>
              <w:tab/>
            </w:r>
          </w:p>
          <w:p w14:paraId="0705EF9E" w14:textId="77777777" w:rsidR="00AC5B3B" w:rsidRPr="00157555" w:rsidRDefault="00AC5B3B" w:rsidP="00C43396">
            <w:pPr>
              <w:jc w:val="both"/>
              <w:rPr>
                <w:rFonts w:ascii="Arial" w:hAnsi="Arial" w:cs="Arial"/>
                <w:sz w:val="24"/>
                <w:szCs w:val="24"/>
              </w:rPr>
            </w:pPr>
            <w:r w:rsidRPr="00157555">
              <w:rPr>
                <w:rFonts w:ascii="Arial" w:hAnsi="Arial" w:cs="Arial"/>
                <w:sz w:val="24"/>
                <w:szCs w:val="24"/>
              </w:rPr>
              <w:t>Michael Nugent</w:t>
            </w:r>
          </w:p>
          <w:p w14:paraId="09C63F0B" w14:textId="77777777" w:rsidR="00AC5B3B" w:rsidRPr="00157555" w:rsidRDefault="00A46CCD" w:rsidP="00C43396">
            <w:pPr>
              <w:jc w:val="both"/>
              <w:rPr>
                <w:rFonts w:ascii="Arial" w:hAnsi="Arial" w:cs="Arial"/>
                <w:sz w:val="24"/>
                <w:szCs w:val="24"/>
              </w:rPr>
            </w:pPr>
            <w:hyperlink r:id="rId15" w:history="1">
              <w:r w:rsidR="00AC5B3B" w:rsidRPr="00157555">
                <w:rPr>
                  <w:rStyle w:val="Hyperlink"/>
                  <w:rFonts w:ascii="Arial" w:hAnsi="Arial" w:cs="Arial"/>
                  <w:sz w:val="24"/>
                  <w:szCs w:val="24"/>
                </w:rPr>
                <w:t>Michael.nugent@igs.com</w:t>
              </w:r>
            </w:hyperlink>
          </w:p>
          <w:p w14:paraId="16FD8AD3" w14:textId="77777777" w:rsidR="00CA221B" w:rsidRPr="00157555" w:rsidRDefault="00CA221B" w:rsidP="00C43396">
            <w:pPr>
              <w:jc w:val="both"/>
              <w:rPr>
                <w:rFonts w:ascii="Arial" w:hAnsi="Arial" w:cs="Arial"/>
                <w:sz w:val="24"/>
                <w:szCs w:val="24"/>
              </w:rPr>
            </w:pPr>
            <w:r w:rsidRPr="00157555">
              <w:rPr>
                <w:rFonts w:ascii="Arial" w:hAnsi="Arial" w:cs="Arial"/>
                <w:sz w:val="24"/>
                <w:szCs w:val="24"/>
              </w:rPr>
              <w:t>Joseph Oliker (0086088)</w:t>
            </w:r>
          </w:p>
          <w:p w14:paraId="17C38A03" w14:textId="77777777" w:rsidR="00CA221B" w:rsidRPr="00157555" w:rsidRDefault="00A46CCD" w:rsidP="00C43396">
            <w:pPr>
              <w:jc w:val="both"/>
              <w:rPr>
                <w:rFonts w:ascii="Arial" w:hAnsi="Arial" w:cs="Arial"/>
                <w:sz w:val="24"/>
                <w:szCs w:val="24"/>
              </w:rPr>
            </w:pPr>
            <w:hyperlink r:id="rId16" w:history="1">
              <w:r w:rsidR="00CA221B" w:rsidRPr="00157555">
                <w:rPr>
                  <w:rStyle w:val="Hyperlink"/>
                  <w:rFonts w:ascii="Arial" w:hAnsi="Arial" w:cs="Arial"/>
                  <w:sz w:val="24"/>
                  <w:szCs w:val="24"/>
                </w:rPr>
                <w:t>joe.oliker@igs.com</w:t>
              </w:r>
            </w:hyperlink>
            <w:r w:rsidR="00CA221B" w:rsidRPr="00157555">
              <w:rPr>
                <w:rFonts w:ascii="Arial" w:hAnsi="Arial" w:cs="Arial"/>
                <w:sz w:val="24"/>
                <w:szCs w:val="24"/>
              </w:rPr>
              <w:t xml:space="preserve"> </w:t>
            </w:r>
          </w:p>
          <w:p w14:paraId="05F6C375" w14:textId="77777777" w:rsidR="00CA221B" w:rsidRPr="00157555" w:rsidRDefault="00CA221B" w:rsidP="00C43396">
            <w:pPr>
              <w:jc w:val="both"/>
              <w:rPr>
                <w:rFonts w:ascii="Arial" w:hAnsi="Arial" w:cs="Arial"/>
                <w:sz w:val="24"/>
                <w:szCs w:val="24"/>
              </w:rPr>
            </w:pPr>
            <w:r w:rsidRPr="00157555">
              <w:rPr>
                <w:rFonts w:ascii="Arial" w:hAnsi="Arial" w:cs="Arial"/>
                <w:sz w:val="24"/>
                <w:szCs w:val="24"/>
              </w:rPr>
              <w:t>Evan Betterton (0100089)</w:t>
            </w:r>
          </w:p>
          <w:p w14:paraId="66B50C62" w14:textId="77777777" w:rsidR="00CA221B" w:rsidRPr="00157555" w:rsidRDefault="00A46CCD" w:rsidP="00C43396">
            <w:pPr>
              <w:jc w:val="both"/>
              <w:rPr>
                <w:rFonts w:ascii="Arial" w:hAnsi="Arial" w:cs="Arial"/>
                <w:sz w:val="24"/>
                <w:szCs w:val="24"/>
              </w:rPr>
            </w:pPr>
            <w:hyperlink r:id="rId17" w:history="1">
              <w:r w:rsidR="00CA221B" w:rsidRPr="00157555">
                <w:rPr>
                  <w:rStyle w:val="Hyperlink"/>
                  <w:rFonts w:ascii="Arial" w:hAnsi="Arial" w:cs="Arial"/>
                  <w:sz w:val="24"/>
                  <w:szCs w:val="24"/>
                </w:rPr>
                <w:t>Evan.betterton@igs.com</w:t>
              </w:r>
            </w:hyperlink>
            <w:r w:rsidR="00CA221B" w:rsidRPr="00157555">
              <w:rPr>
                <w:rFonts w:ascii="Arial" w:hAnsi="Arial" w:cs="Arial"/>
                <w:sz w:val="24"/>
                <w:szCs w:val="24"/>
              </w:rPr>
              <w:t xml:space="preserve"> </w:t>
            </w:r>
          </w:p>
          <w:p w14:paraId="4AA9043C" w14:textId="77777777" w:rsidR="00CA221B" w:rsidRPr="00157555" w:rsidRDefault="00CA221B" w:rsidP="00C43396">
            <w:pPr>
              <w:jc w:val="both"/>
              <w:rPr>
                <w:rFonts w:ascii="Arial" w:hAnsi="Arial" w:cs="Arial"/>
                <w:sz w:val="24"/>
                <w:szCs w:val="24"/>
              </w:rPr>
            </w:pPr>
            <w:r w:rsidRPr="00157555">
              <w:rPr>
                <w:rFonts w:ascii="Arial" w:hAnsi="Arial" w:cs="Arial"/>
                <w:sz w:val="24"/>
                <w:szCs w:val="24"/>
              </w:rPr>
              <w:t>IGS Energy</w:t>
            </w:r>
          </w:p>
          <w:p w14:paraId="51145C92" w14:textId="77777777" w:rsidR="00CA221B" w:rsidRPr="00157555" w:rsidRDefault="00CA221B" w:rsidP="00C43396">
            <w:pPr>
              <w:jc w:val="both"/>
              <w:rPr>
                <w:rFonts w:ascii="Arial" w:hAnsi="Arial" w:cs="Arial"/>
                <w:sz w:val="24"/>
                <w:szCs w:val="24"/>
              </w:rPr>
            </w:pPr>
            <w:r w:rsidRPr="00157555">
              <w:rPr>
                <w:rFonts w:ascii="Arial" w:hAnsi="Arial" w:cs="Arial"/>
                <w:sz w:val="24"/>
                <w:szCs w:val="24"/>
              </w:rPr>
              <w:t>6100 Emerald Parkway</w:t>
            </w:r>
          </w:p>
          <w:p w14:paraId="153020A9" w14:textId="77777777" w:rsidR="00CA221B" w:rsidRPr="00157555" w:rsidRDefault="00CA221B" w:rsidP="00C43396">
            <w:pPr>
              <w:jc w:val="both"/>
              <w:rPr>
                <w:rFonts w:ascii="Arial" w:hAnsi="Arial" w:cs="Arial"/>
                <w:sz w:val="24"/>
                <w:szCs w:val="24"/>
              </w:rPr>
            </w:pPr>
            <w:r w:rsidRPr="00157555">
              <w:rPr>
                <w:rFonts w:ascii="Arial" w:hAnsi="Arial" w:cs="Arial"/>
                <w:sz w:val="24"/>
                <w:szCs w:val="24"/>
              </w:rPr>
              <w:t>Dublin, Ohio 43016</w:t>
            </w:r>
          </w:p>
          <w:p w14:paraId="7261C224" w14:textId="77777777" w:rsidR="00CA221B" w:rsidRPr="00157555" w:rsidRDefault="00CA221B" w:rsidP="00C43396">
            <w:pPr>
              <w:jc w:val="both"/>
              <w:rPr>
                <w:rFonts w:ascii="Arial" w:hAnsi="Arial" w:cs="Arial"/>
                <w:sz w:val="24"/>
                <w:szCs w:val="24"/>
              </w:rPr>
            </w:pPr>
            <w:r w:rsidRPr="00157555">
              <w:rPr>
                <w:rFonts w:ascii="Arial" w:hAnsi="Arial" w:cs="Arial"/>
                <w:sz w:val="24"/>
                <w:szCs w:val="24"/>
              </w:rPr>
              <w:t>Telephone: (614) 659-5000</w:t>
            </w:r>
          </w:p>
          <w:p w14:paraId="2B61DB9C" w14:textId="77777777" w:rsidR="00CA221B" w:rsidRPr="00157555" w:rsidRDefault="00CA221B" w:rsidP="00C43396">
            <w:pPr>
              <w:jc w:val="both"/>
              <w:rPr>
                <w:rFonts w:ascii="Arial" w:hAnsi="Arial" w:cs="Arial"/>
                <w:sz w:val="24"/>
                <w:szCs w:val="24"/>
              </w:rPr>
            </w:pPr>
          </w:p>
          <w:p w14:paraId="6432C550" w14:textId="77777777" w:rsidR="00CA221B" w:rsidRPr="00157555" w:rsidRDefault="00CA221B" w:rsidP="00C43396">
            <w:pPr>
              <w:jc w:val="both"/>
              <w:rPr>
                <w:rFonts w:ascii="Arial" w:hAnsi="Arial" w:cs="Arial"/>
                <w:sz w:val="24"/>
                <w:szCs w:val="24"/>
              </w:rPr>
            </w:pPr>
            <w:r w:rsidRPr="00157555">
              <w:rPr>
                <w:rFonts w:ascii="Arial" w:hAnsi="Arial" w:cs="Arial"/>
                <w:sz w:val="24"/>
                <w:szCs w:val="24"/>
              </w:rPr>
              <w:t xml:space="preserve">Frank P. </w:t>
            </w:r>
            <w:proofErr w:type="spellStart"/>
            <w:r w:rsidRPr="00157555">
              <w:rPr>
                <w:rFonts w:ascii="Arial" w:hAnsi="Arial" w:cs="Arial"/>
                <w:sz w:val="24"/>
                <w:szCs w:val="24"/>
              </w:rPr>
              <w:t>Darr</w:t>
            </w:r>
            <w:proofErr w:type="spellEnd"/>
            <w:r w:rsidRPr="00157555">
              <w:rPr>
                <w:rFonts w:ascii="Arial" w:hAnsi="Arial" w:cs="Arial"/>
                <w:sz w:val="24"/>
                <w:szCs w:val="24"/>
              </w:rPr>
              <w:t xml:space="preserve"> (0025469)</w:t>
            </w:r>
          </w:p>
          <w:p w14:paraId="0AC87F82" w14:textId="77777777" w:rsidR="00CA221B" w:rsidRPr="00157555" w:rsidRDefault="00A46CCD" w:rsidP="00C43396">
            <w:pPr>
              <w:jc w:val="both"/>
              <w:rPr>
                <w:rFonts w:ascii="Arial" w:hAnsi="Arial" w:cs="Arial"/>
                <w:sz w:val="24"/>
                <w:szCs w:val="24"/>
              </w:rPr>
            </w:pPr>
            <w:hyperlink r:id="rId18" w:history="1">
              <w:r w:rsidR="00CA221B" w:rsidRPr="00157555">
                <w:rPr>
                  <w:rStyle w:val="Hyperlink"/>
                  <w:rFonts w:ascii="Arial" w:hAnsi="Arial" w:cs="Arial"/>
                  <w:sz w:val="24"/>
                  <w:szCs w:val="24"/>
                </w:rPr>
                <w:t>fdarr2019@gmail.com</w:t>
              </w:r>
            </w:hyperlink>
            <w:r w:rsidR="00CA221B" w:rsidRPr="00157555">
              <w:rPr>
                <w:rFonts w:ascii="Arial" w:hAnsi="Arial" w:cs="Arial"/>
                <w:sz w:val="24"/>
                <w:szCs w:val="24"/>
              </w:rPr>
              <w:t xml:space="preserve"> </w:t>
            </w:r>
          </w:p>
          <w:p w14:paraId="48D051DA" w14:textId="77777777" w:rsidR="00CA221B" w:rsidRPr="00157555" w:rsidRDefault="00CA221B" w:rsidP="00C43396">
            <w:pPr>
              <w:jc w:val="both"/>
              <w:rPr>
                <w:rFonts w:ascii="Arial" w:hAnsi="Arial" w:cs="Arial"/>
                <w:sz w:val="24"/>
                <w:szCs w:val="24"/>
              </w:rPr>
            </w:pPr>
            <w:r w:rsidRPr="00157555">
              <w:rPr>
                <w:rFonts w:ascii="Arial" w:hAnsi="Arial" w:cs="Arial"/>
                <w:sz w:val="24"/>
                <w:szCs w:val="24"/>
              </w:rPr>
              <w:t xml:space="preserve">6800 </w:t>
            </w:r>
            <w:proofErr w:type="spellStart"/>
            <w:r w:rsidRPr="00157555">
              <w:rPr>
                <w:rFonts w:ascii="Arial" w:hAnsi="Arial" w:cs="Arial"/>
                <w:sz w:val="24"/>
                <w:szCs w:val="24"/>
              </w:rPr>
              <w:t>Linbrook</w:t>
            </w:r>
            <w:proofErr w:type="spellEnd"/>
            <w:r w:rsidRPr="00157555">
              <w:rPr>
                <w:rFonts w:ascii="Arial" w:hAnsi="Arial" w:cs="Arial"/>
                <w:sz w:val="24"/>
                <w:szCs w:val="24"/>
              </w:rPr>
              <w:t xml:space="preserve"> Blvd.</w:t>
            </w:r>
          </w:p>
          <w:p w14:paraId="7AE0F7CD" w14:textId="77777777" w:rsidR="00CA221B" w:rsidRPr="00157555" w:rsidRDefault="00CA221B" w:rsidP="00C43396">
            <w:pPr>
              <w:jc w:val="both"/>
              <w:rPr>
                <w:rFonts w:ascii="Arial" w:hAnsi="Arial" w:cs="Arial"/>
                <w:sz w:val="24"/>
                <w:szCs w:val="24"/>
              </w:rPr>
            </w:pPr>
            <w:r w:rsidRPr="00157555">
              <w:rPr>
                <w:rFonts w:ascii="Arial" w:hAnsi="Arial" w:cs="Arial"/>
                <w:sz w:val="24"/>
                <w:szCs w:val="24"/>
              </w:rPr>
              <w:t>Columbus, Ohio 43235</w:t>
            </w:r>
          </w:p>
          <w:p w14:paraId="238F6AFC" w14:textId="77777777" w:rsidR="00CA221B" w:rsidRPr="00157555" w:rsidRDefault="00CA221B" w:rsidP="00C43396">
            <w:pPr>
              <w:jc w:val="both"/>
              <w:rPr>
                <w:rFonts w:ascii="Arial" w:hAnsi="Arial" w:cs="Arial"/>
                <w:sz w:val="24"/>
                <w:szCs w:val="24"/>
              </w:rPr>
            </w:pPr>
            <w:r w:rsidRPr="00157555">
              <w:rPr>
                <w:rFonts w:ascii="Arial" w:hAnsi="Arial" w:cs="Arial"/>
                <w:sz w:val="24"/>
                <w:szCs w:val="24"/>
              </w:rPr>
              <w:t>Telephone: (614) 390-6750</w:t>
            </w:r>
          </w:p>
          <w:p w14:paraId="50081498" w14:textId="77777777" w:rsidR="00CA221B" w:rsidRPr="00157555" w:rsidRDefault="00CA221B" w:rsidP="00C43396">
            <w:pPr>
              <w:jc w:val="both"/>
              <w:rPr>
                <w:rFonts w:ascii="Arial" w:hAnsi="Arial" w:cs="Arial"/>
                <w:sz w:val="24"/>
                <w:szCs w:val="24"/>
              </w:rPr>
            </w:pPr>
          </w:p>
          <w:p w14:paraId="610AFD42" w14:textId="77777777" w:rsidR="00CA221B" w:rsidRPr="00157555" w:rsidRDefault="00CA221B" w:rsidP="00C43396">
            <w:pPr>
              <w:jc w:val="both"/>
              <w:rPr>
                <w:rFonts w:ascii="Arial" w:hAnsi="Arial" w:cs="Arial"/>
                <w:b/>
                <w:bCs/>
                <w:i/>
                <w:iCs/>
                <w:sz w:val="24"/>
                <w:szCs w:val="24"/>
              </w:rPr>
            </w:pPr>
            <w:r w:rsidRPr="00157555">
              <w:rPr>
                <w:rFonts w:ascii="Arial" w:hAnsi="Arial" w:cs="Arial"/>
                <w:b/>
                <w:bCs/>
                <w:i/>
                <w:iCs/>
                <w:sz w:val="24"/>
                <w:szCs w:val="24"/>
              </w:rPr>
              <w:t>Counsel for IGS Energy</w:t>
            </w:r>
          </w:p>
          <w:p w14:paraId="175830F7" w14:textId="5455980B" w:rsidR="00CA221B" w:rsidRPr="00157555" w:rsidRDefault="00CA221B" w:rsidP="00C43396">
            <w:pPr>
              <w:jc w:val="both"/>
              <w:rPr>
                <w:rFonts w:ascii="Arial" w:hAnsi="Arial" w:cs="Arial"/>
                <w:sz w:val="24"/>
                <w:szCs w:val="24"/>
                <w:u w:val="single"/>
              </w:rPr>
            </w:pPr>
          </w:p>
        </w:tc>
      </w:tr>
      <w:tr w:rsidR="00CA221B" w:rsidRPr="00157555" w14:paraId="046FFDA3" w14:textId="77777777" w:rsidTr="00CA221B">
        <w:tc>
          <w:tcPr>
            <w:tcW w:w="4675" w:type="dxa"/>
          </w:tcPr>
          <w:p w14:paraId="4790499C" w14:textId="77777777" w:rsidR="00CA221B" w:rsidRPr="00157555" w:rsidRDefault="00CA221B" w:rsidP="00C43396">
            <w:pPr>
              <w:jc w:val="both"/>
              <w:rPr>
                <w:rFonts w:ascii="Arial" w:hAnsi="Arial" w:cs="Arial"/>
              </w:rPr>
            </w:pPr>
          </w:p>
        </w:tc>
        <w:tc>
          <w:tcPr>
            <w:tcW w:w="4675" w:type="dxa"/>
          </w:tcPr>
          <w:p w14:paraId="0564BB3E" w14:textId="77777777" w:rsidR="00CA221B" w:rsidRPr="00157555" w:rsidRDefault="00CA221B" w:rsidP="00C43396">
            <w:pPr>
              <w:jc w:val="both"/>
              <w:rPr>
                <w:rFonts w:ascii="Arial" w:hAnsi="Arial" w:cs="Arial"/>
                <w:u w:val="single"/>
              </w:rPr>
            </w:pPr>
          </w:p>
        </w:tc>
      </w:tr>
    </w:tbl>
    <w:p w14:paraId="627F11B5" w14:textId="77777777" w:rsidR="009B27BA" w:rsidRPr="00157555" w:rsidRDefault="009B27BA" w:rsidP="00C43396">
      <w:pPr>
        <w:pStyle w:val="Headinglevel1"/>
        <w:jc w:val="center"/>
        <w:rPr>
          <w:rFonts w:ascii="Arial" w:hAnsi="Arial" w:cs="Arial"/>
          <w:shd w:val="clear" w:color="auto" w:fill="FFFFFF"/>
        </w:rPr>
      </w:pPr>
    </w:p>
    <w:p w14:paraId="40B3300F" w14:textId="77777777" w:rsidR="009B27BA" w:rsidRPr="00157555" w:rsidRDefault="009B27BA">
      <w:pPr>
        <w:rPr>
          <w:rFonts w:ascii="Arial" w:eastAsiaTheme="majorEastAsia" w:hAnsi="Arial" w:cs="Arial"/>
          <w:b/>
          <w:szCs w:val="32"/>
          <w:shd w:val="clear" w:color="auto" w:fill="FFFFFF"/>
        </w:rPr>
      </w:pPr>
      <w:r w:rsidRPr="00157555">
        <w:rPr>
          <w:rFonts w:ascii="Arial" w:hAnsi="Arial" w:cs="Arial"/>
          <w:shd w:val="clear" w:color="auto" w:fill="FFFFFF"/>
        </w:rPr>
        <w:br w:type="page"/>
      </w:r>
    </w:p>
    <w:p w14:paraId="793547EF" w14:textId="3FD7465D" w:rsidR="00466EB9" w:rsidRPr="00157555" w:rsidRDefault="0054340A" w:rsidP="00C43396">
      <w:pPr>
        <w:pStyle w:val="Headinglevel1"/>
        <w:jc w:val="center"/>
        <w:rPr>
          <w:rFonts w:ascii="Arial" w:hAnsi="Arial" w:cs="Arial"/>
          <w:shd w:val="clear" w:color="auto" w:fill="FFFFFF"/>
        </w:rPr>
      </w:pPr>
      <w:bookmarkStart w:id="4" w:name="_Toc90620201"/>
      <w:r w:rsidRPr="00157555">
        <w:rPr>
          <w:rFonts w:ascii="Arial" w:hAnsi="Arial" w:cs="Arial"/>
          <w:shd w:val="clear" w:color="auto" w:fill="FFFFFF"/>
        </w:rPr>
        <w:t>MEMORANDUM IN SUPPORT OF THE APPLICATION FOR REHEARING OF INTERSTATE GAS SUPPLY, INC.</w:t>
      </w:r>
      <w:bookmarkEnd w:id="4"/>
    </w:p>
    <w:p w14:paraId="351DBE22" w14:textId="77777777" w:rsidR="00466EB9" w:rsidRPr="00157555" w:rsidRDefault="00466EB9" w:rsidP="00C43396">
      <w:pPr>
        <w:jc w:val="center"/>
        <w:rPr>
          <w:rFonts w:ascii="Arial" w:hAnsi="Arial" w:cs="Arial"/>
          <w:b/>
          <w:szCs w:val="24"/>
          <w:shd w:val="clear" w:color="auto" w:fill="FFFFFF"/>
        </w:rPr>
      </w:pPr>
    </w:p>
    <w:p w14:paraId="4DE9C98C" w14:textId="59204116" w:rsidR="006F40CF" w:rsidRPr="00157555" w:rsidRDefault="00BF389A" w:rsidP="00C43396">
      <w:pPr>
        <w:pStyle w:val="Headinglevel1"/>
        <w:numPr>
          <w:ilvl w:val="0"/>
          <w:numId w:val="2"/>
        </w:numPr>
        <w:jc w:val="both"/>
        <w:rPr>
          <w:rFonts w:ascii="Arial" w:hAnsi="Arial" w:cs="Arial"/>
        </w:rPr>
      </w:pPr>
      <w:bookmarkStart w:id="5" w:name="_Toc90620202"/>
      <w:r w:rsidRPr="00157555">
        <w:rPr>
          <w:rFonts w:ascii="Arial" w:hAnsi="Arial" w:cs="Arial"/>
        </w:rPr>
        <w:t>Introduction</w:t>
      </w:r>
      <w:bookmarkEnd w:id="5"/>
    </w:p>
    <w:p w14:paraId="6EF5B680" w14:textId="77777777" w:rsidR="00605435" w:rsidRPr="00157555" w:rsidRDefault="00F84634" w:rsidP="00C43396">
      <w:pPr>
        <w:spacing w:after="0"/>
        <w:jc w:val="both"/>
        <w:rPr>
          <w:rFonts w:ascii="Arial" w:hAnsi="Arial" w:cs="Arial"/>
        </w:rPr>
      </w:pPr>
      <w:r w:rsidRPr="00157555">
        <w:rPr>
          <w:rFonts w:ascii="Arial" w:hAnsi="Arial" w:cs="Arial"/>
        </w:rPr>
        <w:tab/>
      </w:r>
    </w:p>
    <w:p w14:paraId="7C32E79F" w14:textId="6E80E6ED" w:rsidR="00044F93" w:rsidRPr="00157555" w:rsidRDefault="00F84634" w:rsidP="00C43396">
      <w:pPr>
        <w:spacing w:after="0" w:line="480" w:lineRule="auto"/>
        <w:ind w:firstLine="720"/>
        <w:jc w:val="both"/>
        <w:rPr>
          <w:rFonts w:ascii="Arial" w:hAnsi="Arial" w:cs="Arial"/>
        </w:rPr>
      </w:pPr>
      <w:r w:rsidRPr="00157555">
        <w:rPr>
          <w:rFonts w:ascii="Arial" w:hAnsi="Arial" w:cs="Arial"/>
        </w:rPr>
        <w:t xml:space="preserve">In this case, </w:t>
      </w:r>
      <w:r w:rsidR="001C402F" w:rsidRPr="00157555">
        <w:rPr>
          <w:rFonts w:ascii="Arial" w:hAnsi="Arial" w:cs="Arial"/>
        </w:rPr>
        <w:t>Ohio Power Company (“Ohio Power”) filed an application to increase base distribution rates. To resolve the issues presented by the application, Ohio Power</w:t>
      </w:r>
      <w:r w:rsidR="008C1400" w:rsidRPr="00157555">
        <w:rPr>
          <w:rFonts w:ascii="Arial" w:hAnsi="Arial" w:cs="Arial"/>
        </w:rPr>
        <w:t xml:space="preserve">, </w:t>
      </w:r>
      <w:r w:rsidR="001C402F" w:rsidRPr="00157555">
        <w:rPr>
          <w:rFonts w:ascii="Arial" w:hAnsi="Arial" w:cs="Arial"/>
        </w:rPr>
        <w:t xml:space="preserve">several </w:t>
      </w:r>
      <w:r w:rsidR="008C1400" w:rsidRPr="00157555">
        <w:rPr>
          <w:rFonts w:ascii="Arial" w:hAnsi="Arial" w:cs="Arial"/>
        </w:rPr>
        <w:t>intervenors</w:t>
      </w:r>
      <w:r w:rsidR="001C402F" w:rsidRPr="00157555">
        <w:rPr>
          <w:rFonts w:ascii="Arial" w:hAnsi="Arial" w:cs="Arial"/>
        </w:rPr>
        <w:t>, and the Staff of the Public Utilities Commission of Ohio (“Commission”) filed a joint stipulation</w:t>
      </w:r>
      <w:r w:rsidR="00FE659B" w:rsidRPr="00157555">
        <w:rPr>
          <w:rFonts w:ascii="Arial" w:hAnsi="Arial" w:cs="Arial"/>
        </w:rPr>
        <w:t>. Although Ohio Power and the other supporting parties asserted that the Stipulation met the three</w:t>
      </w:r>
      <w:r w:rsidR="001E752D" w:rsidRPr="00157555">
        <w:rPr>
          <w:rFonts w:ascii="Arial" w:hAnsi="Arial" w:cs="Arial"/>
        </w:rPr>
        <w:t>-</w:t>
      </w:r>
      <w:r w:rsidR="00FE659B" w:rsidRPr="00157555">
        <w:rPr>
          <w:rFonts w:ascii="Arial" w:hAnsi="Arial" w:cs="Arial"/>
        </w:rPr>
        <w:t xml:space="preserve">part test upon which </w:t>
      </w:r>
      <w:r w:rsidR="00F659F2" w:rsidRPr="00157555">
        <w:rPr>
          <w:rFonts w:ascii="Arial" w:hAnsi="Arial" w:cs="Arial"/>
        </w:rPr>
        <w:t xml:space="preserve">the Commission </w:t>
      </w:r>
      <w:r w:rsidR="00FE659B" w:rsidRPr="00157555">
        <w:rPr>
          <w:rFonts w:ascii="Arial" w:hAnsi="Arial" w:cs="Arial"/>
        </w:rPr>
        <w:t>judges the lawfulness and reasonableness of a stipulation, Interstate Gas Supply, Inc.</w:t>
      </w:r>
      <w:r w:rsidR="00E06C4E" w:rsidRPr="00157555">
        <w:rPr>
          <w:rFonts w:ascii="Arial" w:hAnsi="Arial" w:cs="Arial"/>
        </w:rPr>
        <w:t xml:space="preserve"> (“IGS”)</w:t>
      </w:r>
      <w:r w:rsidR="00FE659B" w:rsidRPr="00157555">
        <w:rPr>
          <w:rFonts w:ascii="Arial" w:hAnsi="Arial" w:cs="Arial"/>
        </w:rPr>
        <w:t xml:space="preserve"> and others demonstrated that there were significant legal deficiencies with </w:t>
      </w:r>
      <w:r w:rsidR="001C402F" w:rsidRPr="00157555">
        <w:rPr>
          <w:rFonts w:ascii="Arial" w:hAnsi="Arial" w:cs="Arial"/>
        </w:rPr>
        <w:t xml:space="preserve">its </w:t>
      </w:r>
      <w:r w:rsidR="00FE659B" w:rsidRPr="00157555">
        <w:rPr>
          <w:rFonts w:ascii="Arial" w:hAnsi="Arial" w:cs="Arial"/>
        </w:rPr>
        <w:t>terms.</w:t>
      </w:r>
      <w:r w:rsidR="001C402F" w:rsidRPr="00157555">
        <w:rPr>
          <w:rFonts w:ascii="Arial" w:hAnsi="Arial" w:cs="Arial"/>
        </w:rPr>
        <w:t xml:space="preserve"> Nonetheless,</w:t>
      </w:r>
      <w:r w:rsidR="00FE659B" w:rsidRPr="00157555">
        <w:rPr>
          <w:rFonts w:ascii="Arial" w:hAnsi="Arial" w:cs="Arial"/>
        </w:rPr>
        <w:t xml:space="preserve"> </w:t>
      </w:r>
      <w:r w:rsidR="001C402F" w:rsidRPr="00157555">
        <w:rPr>
          <w:rFonts w:ascii="Arial" w:hAnsi="Arial" w:cs="Arial"/>
        </w:rPr>
        <w:t>the Commission found that the Stipulation without modification satisfied the Commission’s three</w:t>
      </w:r>
      <w:r w:rsidR="001E752D" w:rsidRPr="00157555">
        <w:rPr>
          <w:rFonts w:ascii="Arial" w:hAnsi="Arial" w:cs="Arial"/>
        </w:rPr>
        <w:t>-</w:t>
      </w:r>
      <w:r w:rsidR="001C402F" w:rsidRPr="00157555">
        <w:rPr>
          <w:rFonts w:ascii="Arial" w:hAnsi="Arial" w:cs="Arial"/>
        </w:rPr>
        <w:t>part test and approved it i</w:t>
      </w:r>
      <w:r w:rsidR="00FE659B" w:rsidRPr="00157555">
        <w:rPr>
          <w:rFonts w:ascii="Arial" w:hAnsi="Arial" w:cs="Arial"/>
        </w:rPr>
        <w:t>n an Opinion and Order.</w:t>
      </w:r>
      <w:r w:rsidR="00AC5B3B" w:rsidRPr="00157555">
        <w:rPr>
          <w:rStyle w:val="FootnoteReference"/>
          <w:rFonts w:ascii="Arial" w:hAnsi="Arial" w:cs="Arial"/>
        </w:rPr>
        <w:footnoteReference w:id="2"/>
      </w:r>
    </w:p>
    <w:p w14:paraId="27A44486" w14:textId="4B054A0C" w:rsidR="00D600F7" w:rsidRPr="00157555" w:rsidRDefault="00FE659B" w:rsidP="00C43396">
      <w:pPr>
        <w:spacing w:after="0" w:line="480" w:lineRule="auto"/>
        <w:jc w:val="both"/>
        <w:rPr>
          <w:rFonts w:ascii="Arial" w:hAnsi="Arial" w:cs="Arial"/>
        </w:rPr>
      </w:pPr>
      <w:r w:rsidRPr="00157555">
        <w:rPr>
          <w:rFonts w:ascii="Arial" w:hAnsi="Arial" w:cs="Arial"/>
        </w:rPr>
        <w:tab/>
      </w:r>
      <w:r w:rsidR="00605435" w:rsidRPr="00157555">
        <w:rPr>
          <w:rFonts w:ascii="Arial" w:hAnsi="Arial" w:cs="Arial"/>
        </w:rPr>
        <w:t xml:space="preserve">On rehearing, the Commission should </w:t>
      </w:r>
      <w:r w:rsidR="00A430AC" w:rsidRPr="00157555">
        <w:rPr>
          <w:rFonts w:ascii="Arial" w:hAnsi="Arial" w:cs="Arial"/>
        </w:rPr>
        <w:t xml:space="preserve">reverse approval of four substantive results </w:t>
      </w:r>
      <w:r w:rsidR="00605435" w:rsidRPr="00157555">
        <w:rPr>
          <w:rFonts w:ascii="Arial" w:hAnsi="Arial" w:cs="Arial"/>
        </w:rPr>
        <w:t xml:space="preserve">in </w:t>
      </w:r>
      <w:r w:rsidR="00D600F7" w:rsidRPr="00157555">
        <w:rPr>
          <w:rFonts w:ascii="Arial" w:hAnsi="Arial" w:cs="Arial"/>
        </w:rPr>
        <w:t xml:space="preserve">the Opinion and Order. </w:t>
      </w:r>
    </w:p>
    <w:p w14:paraId="6ABEE7F0" w14:textId="2E8FFFA0" w:rsidR="00576B8D" w:rsidRPr="00157555" w:rsidRDefault="00576B8D" w:rsidP="00774BB5">
      <w:pPr>
        <w:spacing w:after="0" w:line="480" w:lineRule="auto"/>
        <w:ind w:firstLine="720"/>
        <w:jc w:val="both"/>
        <w:rPr>
          <w:rFonts w:ascii="Arial" w:hAnsi="Arial" w:cs="Arial"/>
        </w:rPr>
      </w:pPr>
      <w:r w:rsidRPr="00157555">
        <w:rPr>
          <w:rFonts w:ascii="Arial" w:hAnsi="Arial" w:cs="Arial"/>
        </w:rPr>
        <w:t xml:space="preserve">First, the decision to approve rates without populating the Retail Reconciliation Rider and the SSO Credit Rider to remove $64 million from distribution rates is not supported by the record and authorizes the recovery in distribution rates of costs </w:t>
      </w:r>
      <w:r w:rsidR="00774BB5">
        <w:rPr>
          <w:rFonts w:ascii="Arial" w:hAnsi="Arial" w:cs="Arial"/>
        </w:rPr>
        <w:t>for</w:t>
      </w:r>
      <w:r w:rsidR="00774BB5" w:rsidRPr="00157555">
        <w:rPr>
          <w:rFonts w:ascii="Arial" w:hAnsi="Arial" w:cs="Arial"/>
        </w:rPr>
        <w:t xml:space="preserve"> </w:t>
      </w:r>
      <w:r w:rsidRPr="00157555">
        <w:rPr>
          <w:rFonts w:ascii="Arial" w:hAnsi="Arial" w:cs="Arial"/>
        </w:rPr>
        <w:t>the provision of a competitive electric service in violation of Ohio law. Further, that decision fails to consider the merits of several issues presented to the Commission in violation of the requirements of R.C. 4903.09. Separately and together, these errors warrant a reversal of the decision on rehearing and a new order populating the riders.</w:t>
      </w:r>
    </w:p>
    <w:p w14:paraId="14339478" w14:textId="1F4150E8" w:rsidR="00D600F7" w:rsidRPr="00157555" w:rsidRDefault="00D600F7" w:rsidP="00C43396">
      <w:pPr>
        <w:spacing w:after="0" w:line="480" w:lineRule="auto"/>
        <w:ind w:firstLine="720"/>
        <w:jc w:val="both"/>
        <w:rPr>
          <w:rFonts w:ascii="Arial" w:hAnsi="Arial" w:cs="Arial"/>
        </w:rPr>
      </w:pPr>
      <w:r w:rsidRPr="00157555">
        <w:rPr>
          <w:rFonts w:ascii="Arial" w:hAnsi="Arial" w:cs="Arial"/>
        </w:rPr>
        <w:t xml:space="preserve">Second, the </w:t>
      </w:r>
      <w:r w:rsidR="00AC0378" w:rsidRPr="00157555">
        <w:rPr>
          <w:rFonts w:ascii="Arial" w:hAnsi="Arial" w:cs="Arial"/>
        </w:rPr>
        <w:t xml:space="preserve">failure to </w:t>
      </w:r>
      <w:r w:rsidR="00A430AC" w:rsidRPr="00157555">
        <w:rPr>
          <w:rFonts w:ascii="Arial" w:hAnsi="Arial" w:cs="Arial"/>
        </w:rPr>
        <w:t>remove</w:t>
      </w:r>
      <w:r w:rsidR="00AC0378" w:rsidRPr="00157555">
        <w:rPr>
          <w:rFonts w:ascii="Arial" w:hAnsi="Arial" w:cs="Arial"/>
        </w:rPr>
        <w:t xml:space="preserve"> unlawful switching fees</w:t>
      </w:r>
      <w:r w:rsidR="0055361C" w:rsidRPr="00157555">
        <w:rPr>
          <w:rFonts w:ascii="Arial" w:hAnsi="Arial" w:cs="Arial"/>
        </w:rPr>
        <w:t xml:space="preserve"> </w:t>
      </w:r>
      <w:bookmarkStart w:id="6" w:name="_Hlk90489454"/>
      <w:r w:rsidR="0055361C" w:rsidRPr="00157555">
        <w:rPr>
          <w:rFonts w:ascii="Arial" w:hAnsi="Arial" w:cs="Arial"/>
        </w:rPr>
        <w:t>for which there is no cost-</w:t>
      </w:r>
      <w:r w:rsidR="000A5849" w:rsidRPr="00157555">
        <w:rPr>
          <w:rFonts w:ascii="Arial" w:hAnsi="Arial" w:cs="Arial"/>
        </w:rPr>
        <w:t>basis in evidence</w:t>
      </w:r>
      <w:r w:rsidR="00AC0378" w:rsidRPr="00157555">
        <w:rPr>
          <w:rFonts w:ascii="Arial" w:hAnsi="Arial" w:cs="Arial"/>
        </w:rPr>
        <w:t xml:space="preserve"> </w:t>
      </w:r>
      <w:bookmarkEnd w:id="6"/>
      <w:r w:rsidR="00AC0378" w:rsidRPr="00157555">
        <w:rPr>
          <w:rFonts w:ascii="Arial" w:hAnsi="Arial" w:cs="Arial"/>
        </w:rPr>
        <w:t>permits the continuation of a discriminatory rate or charge in violation of Ohio law and the state energy policy. On rehearing, the Commission should direct Ohio Power to file a new tariff sheet removing the switching fee.</w:t>
      </w:r>
    </w:p>
    <w:p w14:paraId="0C05E308" w14:textId="4FB29588" w:rsidR="00AC0378" w:rsidRPr="00157555" w:rsidRDefault="00AC0378" w:rsidP="00C43396">
      <w:pPr>
        <w:spacing w:after="0" w:line="480" w:lineRule="auto"/>
        <w:ind w:firstLine="720"/>
        <w:jc w:val="both"/>
        <w:rPr>
          <w:rFonts w:ascii="Arial" w:hAnsi="Arial" w:cs="Arial"/>
        </w:rPr>
      </w:pPr>
      <w:r w:rsidRPr="00157555">
        <w:rPr>
          <w:rFonts w:ascii="Arial" w:hAnsi="Arial" w:cs="Arial"/>
        </w:rPr>
        <w:t>Third, the decision to approve the collection and transfer of manipulated and incomplete billing data to the Ohio Consumers’ Counsel is unreasonable and a break with Commission precedent without a reasoned explanation. On rehearing, the Commission should reverse its approval of this provision and modify the Stipulation by striking this provision.</w:t>
      </w:r>
    </w:p>
    <w:p w14:paraId="1718A982" w14:textId="27C994A5" w:rsidR="00605435" w:rsidRPr="00157555" w:rsidRDefault="00605435" w:rsidP="00C43396">
      <w:pPr>
        <w:spacing w:after="0" w:line="480" w:lineRule="auto"/>
        <w:ind w:firstLine="720"/>
        <w:jc w:val="both"/>
        <w:rPr>
          <w:rFonts w:ascii="Arial" w:hAnsi="Arial" w:cs="Arial"/>
        </w:rPr>
      </w:pPr>
      <w:r w:rsidRPr="00157555">
        <w:rPr>
          <w:rFonts w:ascii="Arial" w:hAnsi="Arial" w:cs="Arial"/>
        </w:rPr>
        <w:t xml:space="preserve">Fourth, </w:t>
      </w:r>
      <w:r w:rsidR="00EC07BD" w:rsidRPr="00157555">
        <w:rPr>
          <w:rFonts w:ascii="Arial" w:hAnsi="Arial" w:cs="Arial"/>
        </w:rPr>
        <w:t>the decision to permit Ohio Power to recover in distribution rates</w:t>
      </w:r>
      <w:r w:rsidRPr="00157555">
        <w:rPr>
          <w:rFonts w:ascii="Arial" w:hAnsi="Arial" w:cs="Arial"/>
        </w:rPr>
        <w:t xml:space="preserve"> the </w:t>
      </w:r>
      <w:r w:rsidR="0055361C" w:rsidRPr="00157555">
        <w:rPr>
          <w:rFonts w:ascii="Arial" w:hAnsi="Arial" w:cs="Arial"/>
        </w:rPr>
        <w:t xml:space="preserve">costs </w:t>
      </w:r>
      <w:r w:rsidRPr="00157555">
        <w:rPr>
          <w:rFonts w:ascii="Arial" w:hAnsi="Arial" w:cs="Arial"/>
        </w:rPr>
        <w:t>of Ohio Power’s marketing of customer-sited generation</w:t>
      </w:r>
      <w:r w:rsidR="00DE422F" w:rsidRPr="00157555">
        <w:rPr>
          <w:rFonts w:ascii="Arial" w:hAnsi="Arial" w:cs="Arial"/>
        </w:rPr>
        <w:t xml:space="preserve"> </w:t>
      </w:r>
      <w:proofErr w:type="gramStart"/>
      <w:r w:rsidR="00DE422F" w:rsidRPr="00157555">
        <w:rPr>
          <w:rFonts w:ascii="Arial" w:hAnsi="Arial" w:cs="Arial"/>
        </w:rPr>
        <w:t>is</w:t>
      </w:r>
      <w:proofErr w:type="gramEnd"/>
      <w:r w:rsidR="00DE422F" w:rsidRPr="00157555">
        <w:rPr>
          <w:rFonts w:ascii="Arial" w:hAnsi="Arial" w:cs="Arial"/>
        </w:rPr>
        <w:t xml:space="preserve"> unlawful and unreasonable</w:t>
      </w:r>
      <w:r w:rsidR="00EC07BD" w:rsidRPr="00157555">
        <w:rPr>
          <w:rFonts w:ascii="Arial" w:hAnsi="Arial" w:cs="Arial"/>
        </w:rPr>
        <w:t xml:space="preserve"> because it permits</w:t>
      </w:r>
      <w:r w:rsidRPr="00157555">
        <w:rPr>
          <w:rFonts w:ascii="Arial" w:hAnsi="Arial" w:cs="Arial"/>
        </w:rPr>
        <w:t xml:space="preserve"> Ohio Power to violate the requirements of R.C. 4928.47. On rehearing, the Commission should require Ohio Power to identify the costs it incurred </w:t>
      </w:r>
      <w:r w:rsidR="00EC07BD" w:rsidRPr="00157555">
        <w:rPr>
          <w:rFonts w:ascii="Arial" w:hAnsi="Arial" w:cs="Arial"/>
        </w:rPr>
        <w:t xml:space="preserve">to market customer-sited generation projects </w:t>
      </w:r>
      <w:r w:rsidRPr="00157555">
        <w:rPr>
          <w:rFonts w:ascii="Arial" w:hAnsi="Arial" w:cs="Arial"/>
        </w:rPr>
        <w:t xml:space="preserve">so that </w:t>
      </w:r>
      <w:r w:rsidR="00E06C4E" w:rsidRPr="00157555">
        <w:rPr>
          <w:rFonts w:ascii="Arial" w:hAnsi="Arial" w:cs="Arial"/>
        </w:rPr>
        <w:t>the costs</w:t>
      </w:r>
      <w:r w:rsidRPr="00157555">
        <w:rPr>
          <w:rFonts w:ascii="Arial" w:hAnsi="Arial" w:cs="Arial"/>
        </w:rPr>
        <w:t xml:space="preserve"> can be removed from </w:t>
      </w:r>
      <w:r w:rsidR="002739AF" w:rsidRPr="00157555">
        <w:rPr>
          <w:rFonts w:ascii="Arial" w:hAnsi="Arial" w:cs="Arial"/>
        </w:rPr>
        <w:t>distribution rates</w:t>
      </w:r>
      <w:r w:rsidRPr="00157555">
        <w:rPr>
          <w:rFonts w:ascii="Arial" w:hAnsi="Arial" w:cs="Arial"/>
        </w:rPr>
        <w:t>.</w:t>
      </w:r>
    </w:p>
    <w:p w14:paraId="1A1A8D06" w14:textId="0B4FF97D" w:rsidR="00EA6F3F" w:rsidRPr="00157555" w:rsidRDefault="00BF389A" w:rsidP="00C43396">
      <w:pPr>
        <w:pStyle w:val="Headinglevel1"/>
        <w:numPr>
          <w:ilvl w:val="0"/>
          <w:numId w:val="2"/>
        </w:numPr>
        <w:jc w:val="both"/>
        <w:rPr>
          <w:rFonts w:ascii="Arial" w:hAnsi="Arial" w:cs="Arial"/>
        </w:rPr>
      </w:pPr>
      <w:bookmarkStart w:id="7" w:name="_Toc90620203"/>
      <w:r w:rsidRPr="00157555">
        <w:rPr>
          <w:rFonts w:ascii="Arial" w:hAnsi="Arial" w:cs="Arial"/>
        </w:rPr>
        <w:t xml:space="preserve">Approval of a </w:t>
      </w:r>
      <w:r w:rsidR="000701BE" w:rsidRPr="00157555">
        <w:rPr>
          <w:rFonts w:ascii="Arial" w:hAnsi="Arial" w:cs="Arial"/>
        </w:rPr>
        <w:t>p</w:t>
      </w:r>
      <w:r w:rsidRPr="00157555">
        <w:rPr>
          <w:rFonts w:ascii="Arial" w:hAnsi="Arial" w:cs="Arial"/>
        </w:rPr>
        <w:t xml:space="preserve">rovision of the Stipulation </w:t>
      </w:r>
      <w:r w:rsidR="00060462" w:rsidRPr="00157555">
        <w:rPr>
          <w:rFonts w:ascii="Arial" w:hAnsi="Arial" w:cs="Arial"/>
        </w:rPr>
        <w:t>s</w:t>
      </w:r>
      <w:r w:rsidRPr="00157555">
        <w:rPr>
          <w:rFonts w:ascii="Arial" w:hAnsi="Arial" w:cs="Arial"/>
        </w:rPr>
        <w:t xml:space="preserve">etting the </w:t>
      </w:r>
      <w:r w:rsidR="00060462" w:rsidRPr="00157555">
        <w:rPr>
          <w:rFonts w:ascii="Arial" w:hAnsi="Arial" w:cs="Arial"/>
        </w:rPr>
        <w:t>R</w:t>
      </w:r>
      <w:r w:rsidRPr="00157555">
        <w:rPr>
          <w:rFonts w:ascii="Arial" w:hAnsi="Arial" w:cs="Arial"/>
        </w:rPr>
        <w:t xml:space="preserve">etail Reconciliation Rider and SSO Credit Rider at </w:t>
      </w:r>
      <w:r w:rsidR="00774BB5">
        <w:rPr>
          <w:rFonts w:ascii="Arial" w:hAnsi="Arial" w:cs="Arial"/>
        </w:rPr>
        <w:t>z</w:t>
      </w:r>
      <w:r w:rsidRPr="00157555">
        <w:rPr>
          <w:rFonts w:ascii="Arial" w:hAnsi="Arial" w:cs="Arial"/>
        </w:rPr>
        <w:t xml:space="preserve">ero was </w:t>
      </w:r>
      <w:r w:rsidR="00060462" w:rsidRPr="00157555">
        <w:rPr>
          <w:rFonts w:ascii="Arial" w:hAnsi="Arial" w:cs="Arial"/>
        </w:rPr>
        <w:t>u</w:t>
      </w:r>
      <w:r w:rsidRPr="00157555">
        <w:rPr>
          <w:rFonts w:ascii="Arial" w:hAnsi="Arial" w:cs="Arial"/>
        </w:rPr>
        <w:t xml:space="preserve">nlawful and </w:t>
      </w:r>
      <w:r w:rsidR="00060462" w:rsidRPr="00157555">
        <w:rPr>
          <w:rFonts w:ascii="Arial" w:hAnsi="Arial" w:cs="Arial"/>
        </w:rPr>
        <w:t>u</w:t>
      </w:r>
      <w:r w:rsidRPr="00157555">
        <w:rPr>
          <w:rFonts w:ascii="Arial" w:hAnsi="Arial" w:cs="Arial"/>
        </w:rPr>
        <w:t>nreasonable</w:t>
      </w:r>
      <w:bookmarkEnd w:id="7"/>
    </w:p>
    <w:p w14:paraId="4460B2BA" w14:textId="77777777" w:rsidR="00EA6F3F" w:rsidRPr="00157555" w:rsidRDefault="00EA6F3F" w:rsidP="00C43396">
      <w:pPr>
        <w:spacing w:after="0"/>
        <w:ind w:firstLine="720"/>
        <w:jc w:val="both"/>
        <w:rPr>
          <w:rFonts w:ascii="Arial" w:hAnsi="Arial" w:cs="Arial"/>
        </w:rPr>
      </w:pPr>
    </w:p>
    <w:p w14:paraId="22A9033B" w14:textId="2FB8F054" w:rsidR="00BF389A" w:rsidRPr="00157555" w:rsidRDefault="00BF389A" w:rsidP="00C43396">
      <w:pPr>
        <w:spacing w:after="0" w:line="480" w:lineRule="auto"/>
        <w:ind w:firstLine="720"/>
        <w:jc w:val="both"/>
        <w:rPr>
          <w:rFonts w:ascii="Arial" w:hAnsi="Arial" w:cs="Arial"/>
        </w:rPr>
      </w:pPr>
      <w:r w:rsidRPr="00157555">
        <w:rPr>
          <w:rFonts w:ascii="Arial" w:hAnsi="Arial" w:cs="Arial"/>
        </w:rPr>
        <w:t xml:space="preserve">In </w:t>
      </w:r>
      <w:r w:rsidR="00EC07BD" w:rsidRPr="00157555">
        <w:rPr>
          <w:rFonts w:ascii="Arial" w:hAnsi="Arial" w:cs="Arial"/>
        </w:rPr>
        <w:t>Ohio Power’s</w:t>
      </w:r>
      <w:r w:rsidRPr="00157555">
        <w:rPr>
          <w:rFonts w:ascii="Arial" w:hAnsi="Arial" w:cs="Arial"/>
        </w:rPr>
        <w:t xml:space="preserve"> ESP IV Order, the Commission approved two riders, the Retail Reconciliation Rider and the SSO Credit Rider. </w:t>
      </w:r>
      <w:r w:rsidR="00223932" w:rsidRPr="00157555">
        <w:rPr>
          <w:rFonts w:ascii="Arial" w:hAnsi="Arial" w:cs="Arial"/>
        </w:rPr>
        <w:t xml:space="preserve">In re Application </w:t>
      </w:r>
      <w:r w:rsidR="00AC26B5" w:rsidRPr="00157555">
        <w:rPr>
          <w:rFonts w:ascii="Arial" w:hAnsi="Arial" w:cs="Arial"/>
        </w:rPr>
        <w:t>of Ohio</w:t>
      </w:r>
      <w:r w:rsidR="00223932" w:rsidRPr="00157555">
        <w:rPr>
          <w:rFonts w:ascii="Arial" w:hAnsi="Arial" w:cs="Arial"/>
        </w:rPr>
        <w:t xml:space="preserve"> Power Company for Authority to Establish a Standard Service Offer Pursuant to R.C. 4928.143, in the Form of an Electric Security Plan, Case Nos. 16-1852-EL-SSO, et al., Opinion and Order ¶ 21</w:t>
      </w:r>
      <w:r w:rsidR="007E1869" w:rsidRPr="00157555">
        <w:rPr>
          <w:rFonts w:ascii="Arial" w:hAnsi="Arial" w:cs="Arial"/>
        </w:rPr>
        <w:t>4</w:t>
      </w:r>
      <w:r w:rsidR="00223932" w:rsidRPr="00157555">
        <w:rPr>
          <w:rFonts w:ascii="Arial" w:hAnsi="Arial" w:cs="Arial"/>
        </w:rPr>
        <w:t xml:space="preserve"> (Apr. 25, 2018) (“ESP IV Order”). </w:t>
      </w:r>
      <w:r w:rsidRPr="00157555">
        <w:rPr>
          <w:rFonts w:ascii="Arial" w:hAnsi="Arial" w:cs="Arial"/>
        </w:rPr>
        <w:t xml:space="preserve">The purpose of the riders is to </w:t>
      </w:r>
      <w:r w:rsidR="002739AF" w:rsidRPr="00157555">
        <w:rPr>
          <w:rFonts w:ascii="Arial" w:hAnsi="Arial" w:cs="Arial"/>
        </w:rPr>
        <w:t>remove</w:t>
      </w:r>
      <w:r w:rsidRPr="00157555">
        <w:rPr>
          <w:rFonts w:ascii="Arial" w:hAnsi="Arial" w:cs="Arial"/>
        </w:rPr>
        <w:t xml:space="preserve"> the cost of providing the standard service offer </w:t>
      </w:r>
      <w:r w:rsidR="002739AF" w:rsidRPr="00157555">
        <w:rPr>
          <w:rFonts w:ascii="Arial" w:hAnsi="Arial" w:cs="Arial"/>
        </w:rPr>
        <w:t>from</w:t>
      </w:r>
      <w:r w:rsidRPr="00157555">
        <w:rPr>
          <w:rFonts w:ascii="Arial" w:hAnsi="Arial" w:cs="Arial"/>
        </w:rPr>
        <w:t xml:space="preserve"> distribution rates</w:t>
      </w:r>
      <w:r w:rsidR="002739AF" w:rsidRPr="00157555">
        <w:rPr>
          <w:rFonts w:ascii="Arial" w:hAnsi="Arial" w:cs="Arial"/>
        </w:rPr>
        <w:t xml:space="preserve"> and assign that cost to the cost-causers, default service customers</w:t>
      </w:r>
      <w:r w:rsidRPr="00157555">
        <w:rPr>
          <w:rFonts w:ascii="Arial" w:hAnsi="Arial" w:cs="Arial"/>
        </w:rPr>
        <w:t xml:space="preserve">. </w:t>
      </w:r>
      <w:r w:rsidR="00EC07BD" w:rsidRPr="00157555">
        <w:rPr>
          <w:rFonts w:ascii="Arial" w:hAnsi="Arial" w:cs="Arial"/>
        </w:rPr>
        <w:t>To identify those costs</w:t>
      </w:r>
      <w:r w:rsidRPr="00157555">
        <w:rPr>
          <w:rFonts w:ascii="Arial" w:hAnsi="Arial" w:cs="Arial"/>
        </w:rPr>
        <w:t xml:space="preserve">, the Commission directed Ohio Power to “analyze, </w:t>
      </w:r>
      <w:r w:rsidR="00F803BA" w:rsidRPr="00157555">
        <w:rPr>
          <w:rFonts w:ascii="Arial" w:hAnsi="Arial" w:cs="Arial"/>
        </w:rPr>
        <w:t xml:space="preserve">as part of </w:t>
      </w:r>
      <w:r w:rsidRPr="00157555">
        <w:rPr>
          <w:rFonts w:ascii="Arial" w:hAnsi="Arial" w:cs="Arial"/>
        </w:rPr>
        <w:t xml:space="preserve">the rate case, its actual costs of providing SSO generation service” and “its actual costs associated with the choice program.” </w:t>
      </w:r>
      <w:r w:rsidR="00223932" w:rsidRPr="00157555">
        <w:rPr>
          <w:rFonts w:ascii="Arial" w:hAnsi="Arial" w:cs="Arial"/>
        </w:rPr>
        <w:t>Id</w:t>
      </w:r>
      <w:r w:rsidRPr="00157555">
        <w:rPr>
          <w:rFonts w:ascii="Arial" w:hAnsi="Arial" w:cs="Arial"/>
        </w:rPr>
        <w:t>.</w:t>
      </w:r>
      <w:r w:rsidR="007E1869" w:rsidRPr="00157555">
        <w:rPr>
          <w:rFonts w:ascii="Arial" w:hAnsi="Arial" w:cs="Arial"/>
        </w:rPr>
        <w:t>, ¶ 215.</w:t>
      </w:r>
      <w:r w:rsidRPr="00157555">
        <w:rPr>
          <w:rFonts w:ascii="Arial" w:hAnsi="Arial" w:cs="Arial"/>
        </w:rPr>
        <w:t xml:space="preserve"> </w:t>
      </w:r>
      <w:r w:rsidR="00EC07BD" w:rsidRPr="00157555">
        <w:rPr>
          <w:rFonts w:ascii="Arial" w:hAnsi="Arial" w:cs="Arial"/>
        </w:rPr>
        <w:t xml:space="preserve">Ohio Power identified both direct and indirect cost associated with the provision of default service and supplied them with its application. IGS Ex. 3 at </w:t>
      </w:r>
      <w:r w:rsidR="00A85DE8" w:rsidRPr="00157555">
        <w:rPr>
          <w:rFonts w:ascii="Arial" w:hAnsi="Arial" w:cs="Arial"/>
        </w:rPr>
        <w:t xml:space="preserve">11-12 and Ex. DMR-2. </w:t>
      </w:r>
      <w:r w:rsidRPr="00157555">
        <w:rPr>
          <w:rFonts w:ascii="Arial" w:hAnsi="Arial" w:cs="Arial"/>
        </w:rPr>
        <w:t xml:space="preserve">Although Ohio Power submitted testimony </w:t>
      </w:r>
      <w:r w:rsidR="00DE422F" w:rsidRPr="00157555">
        <w:rPr>
          <w:rFonts w:ascii="Arial" w:hAnsi="Arial" w:cs="Arial"/>
        </w:rPr>
        <w:t xml:space="preserve">in its rate application in this case </w:t>
      </w:r>
      <w:r w:rsidRPr="00157555">
        <w:rPr>
          <w:rFonts w:ascii="Arial" w:hAnsi="Arial" w:cs="Arial"/>
        </w:rPr>
        <w:t xml:space="preserve">in which it identified </w:t>
      </w:r>
      <w:r w:rsidR="00EC07BD" w:rsidRPr="00157555">
        <w:rPr>
          <w:rFonts w:ascii="Arial" w:hAnsi="Arial" w:cs="Arial"/>
        </w:rPr>
        <w:t xml:space="preserve">and quantified </w:t>
      </w:r>
      <w:r w:rsidRPr="00157555">
        <w:rPr>
          <w:rFonts w:ascii="Arial" w:hAnsi="Arial" w:cs="Arial"/>
        </w:rPr>
        <w:t xml:space="preserve">direct costs associated with the provision of both services, </w:t>
      </w:r>
      <w:r w:rsidR="002739AF" w:rsidRPr="00157555">
        <w:rPr>
          <w:rFonts w:ascii="Arial" w:hAnsi="Arial" w:cs="Arial"/>
        </w:rPr>
        <w:t xml:space="preserve">the analysis was incomplete. Staff Ex. 1 at 31. </w:t>
      </w:r>
      <w:proofErr w:type="gramStart"/>
      <w:r w:rsidR="002739AF" w:rsidRPr="00157555">
        <w:rPr>
          <w:rFonts w:ascii="Arial" w:hAnsi="Arial" w:cs="Arial"/>
        </w:rPr>
        <w:t>In particular, Ohio</w:t>
      </w:r>
      <w:proofErr w:type="gramEnd"/>
      <w:r w:rsidR="002739AF" w:rsidRPr="00157555">
        <w:rPr>
          <w:rFonts w:ascii="Arial" w:hAnsi="Arial" w:cs="Arial"/>
        </w:rPr>
        <w:t xml:space="preserve"> Power</w:t>
      </w:r>
      <w:r w:rsidRPr="00157555">
        <w:rPr>
          <w:rFonts w:ascii="Arial" w:hAnsi="Arial" w:cs="Arial"/>
        </w:rPr>
        <w:t xml:space="preserve"> did not attempt to </w:t>
      </w:r>
      <w:r w:rsidR="00A85DE8" w:rsidRPr="00157555">
        <w:rPr>
          <w:rFonts w:ascii="Arial" w:hAnsi="Arial" w:cs="Arial"/>
        </w:rPr>
        <w:t xml:space="preserve">quantify or </w:t>
      </w:r>
      <w:r w:rsidRPr="00157555">
        <w:rPr>
          <w:rFonts w:ascii="Arial" w:hAnsi="Arial" w:cs="Arial"/>
        </w:rPr>
        <w:t xml:space="preserve">allocate indirect costs it identified. IGS Ex. </w:t>
      </w:r>
      <w:r w:rsidR="000F086E" w:rsidRPr="00157555">
        <w:rPr>
          <w:rFonts w:ascii="Arial" w:hAnsi="Arial" w:cs="Arial"/>
        </w:rPr>
        <w:t>3</w:t>
      </w:r>
      <w:r w:rsidR="007E1869" w:rsidRPr="00157555">
        <w:rPr>
          <w:rFonts w:ascii="Arial" w:hAnsi="Arial" w:cs="Arial"/>
        </w:rPr>
        <w:t xml:space="preserve"> a</w:t>
      </w:r>
      <w:r w:rsidR="00F8473E" w:rsidRPr="00157555">
        <w:rPr>
          <w:rFonts w:ascii="Arial" w:hAnsi="Arial" w:cs="Arial"/>
        </w:rPr>
        <w:t>nd</w:t>
      </w:r>
      <w:r w:rsidR="007E1869" w:rsidRPr="00157555">
        <w:rPr>
          <w:rFonts w:ascii="Arial" w:hAnsi="Arial" w:cs="Arial"/>
        </w:rPr>
        <w:t xml:space="preserve"> Ex. </w:t>
      </w:r>
      <w:r w:rsidRPr="00157555">
        <w:rPr>
          <w:rFonts w:ascii="Arial" w:hAnsi="Arial" w:cs="Arial"/>
        </w:rPr>
        <w:t>D</w:t>
      </w:r>
      <w:r w:rsidR="00A85DE8" w:rsidRPr="00157555">
        <w:rPr>
          <w:rFonts w:ascii="Arial" w:hAnsi="Arial" w:cs="Arial"/>
        </w:rPr>
        <w:t>MR</w:t>
      </w:r>
      <w:r w:rsidRPr="00157555">
        <w:rPr>
          <w:rFonts w:ascii="Arial" w:hAnsi="Arial" w:cs="Arial"/>
        </w:rPr>
        <w:t xml:space="preserve">-2. </w:t>
      </w:r>
      <w:r w:rsidR="002739AF" w:rsidRPr="00157555">
        <w:rPr>
          <w:rFonts w:ascii="Arial" w:hAnsi="Arial" w:cs="Arial"/>
        </w:rPr>
        <w:t xml:space="preserve">Additionally, the analysis was too narrow, leaving out substantial cost categories. IGS/Direct Ex. 2 at </w:t>
      </w:r>
      <w:r w:rsidR="003141FD" w:rsidRPr="00157555">
        <w:rPr>
          <w:rFonts w:ascii="Arial" w:hAnsi="Arial" w:cs="Arial"/>
        </w:rPr>
        <w:t xml:space="preserve">50. In any case, however, </w:t>
      </w:r>
      <w:r w:rsidR="00E06C4E" w:rsidRPr="00157555">
        <w:rPr>
          <w:rFonts w:ascii="Arial" w:hAnsi="Arial" w:cs="Arial"/>
        </w:rPr>
        <w:t>Ohio Power then</w:t>
      </w:r>
      <w:r w:rsidRPr="00157555">
        <w:rPr>
          <w:rFonts w:ascii="Arial" w:hAnsi="Arial" w:cs="Arial"/>
        </w:rPr>
        <w:t xml:space="preserve"> brokered a term of the Stipulation providing that the </w:t>
      </w:r>
      <w:r w:rsidR="00A85DE8" w:rsidRPr="00157555">
        <w:rPr>
          <w:rFonts w:ascii="Arial" w:hAnsi="Arial" w:cs="Arial"/>
        </w:rPr>
        <w:t>Retail Reconciliation Rider and SSO Credit Rider</w:t>
      </w:r>
      <w:r w:rsidRPr="00157555">
        <w:rPr>
          <w:rFonts w:ascii="Arial" w:hAnsi="Arial" w:cs="Arial"/>
        </w:rPr>
        <w:t xml:space="preserve"> be set at zero. Joint Ex. 1 at 9. </w:t>
      </w:r>
    </w:p>
    <w:p w14:paraId="48EDC07B" w14:textId="2A2E2B7E" w:rsidR="00BF389A" w:rsidRPr="00157555" w:rsidRDefault="00BF389A" w:rsidP="00C43396">
      <w:pPr>
        <w:spacing w:after="0" w:line="480" w:lineRule="auto"/>
        <w:ind w:firstLine="720"/>
        <w:jc w:val="both"/>
        <w:rPr>
          <w:rFonts w:ascii="Arial" w:hAnsi="Arial" w:cs="Arial"/>
        </w:rPr>
      </w:pPr>
      <w:r w:rsidRPr="00157555">
        <w:rPr>
          <w:rFonts w:ascii="Arial" w:hAnsi="Arial" w:cs="Arial"/>
        </w:rPr>
        <w:t xml:space="preserve">In the Opinion and Order, the Commission </w:t>
      </w:r>
      <w:r w:rsidR="00223932" w:rsidRPr="00157555">
        <w:rPr>
          <w:rFonts w:ascii="Arial" w:hAnsi="Arial" w:cs="Arial"/>
        </w:rPr>
        <w:t>did not</w:t>
      </w:r>
      <w:r w:rsidRPr="00157555">
        <w:rPr>
          <w:rFonts w:ascii="Arial" w:hAnsi="Arial" w:cs="Arial"/>
        </w:rPr>
        <w:t xml:space="preserve"> modify </w:t>
      </w:r>
      <w:r w:rsidR="00490DC5" w:rsidRPr="00157555">
        <w:rPr>
          <w:rFonts w:ascii="Arial" w:hAnsi="Arial" w:cs="Arial"/>
        </w:rPr>
        <w:t>the</w:t>
      </w:r>
      <w:r w:rsidRPr="00157555">
        <w:rPr>
          <w:rFonts w:ascii="Arial" w:hAnsi="Arial" w:cs="Arial"/>
        </w:rPr>
        <w:t xml:space="preserve"> provision </w:t>
      </w:r>
      <w:r w:rsidR="00490DC5" w:rsidRPr="00157555">
        <w:rPr>
          <w:rFonts w:ascii="Arial" w:hAnsi="Arial" w:cs="Arial"/>
        </w:rPr>
        <w:t>setting</w:t>
      </w:r>
      <w:r w:rsidRPr="00157555">
        <w:rPr>
          <w:rFonts w:ascii="Arial" w:hAnsi="Arial" w:cs="Arial"/>
        </w:rPr>
        <w:t xml:space="preserve"> the Retail Reconciliation Rider and SSO Credit Rider at zero</w:t>
      </w:r>
      <w:r w:rsidR="00EF4FD5" w:rsidRPr="00157555">
        <w:rPr>
          <w:rFonts w:ascii="Arial" w:hAnsi="Arial" w:cs="Arial"/>
        </w:rPr>
        <w:t xml:space="preserve"> based on testimony supporting the Stipulation from Ohio Power, Staff, and the Ohio Consumers’ Counsel (“OCC”).</w:t>
      </w:r>
      <w:r w:rsidRPr="00157555">
        <w:rPr>
          <w:rFonts w:ascii="Arial" w:hAnsi="Arial" w:cs="Arial"/>
        </w:rPr>
        <w:t xml:space="preserve"> </w:t>
      </w:r>
      <w:r w:rsidR="00EF4FD5" w:rsidRPr="00157555">
        <w:rPr>
          <w:rFonts w:ascii="Arial" w:hAnsi="Arial" w:cs="Arial"/>
        </w:rPr>
        <w:t>It also</w:t>
      </w:r>
      <w:r w:rsidRPr="00157555">
        <w:rPr>
          <w:rFonts w:ascii="Arial" w:hAnsi="Arial" w:cs="Arial"/>
        </w:rPr>
        <w:t xml:space="preserve"> </w:t>
      </w:r>
      <w:r w:rsidR="00223932" w:rsidRPr="00157555">
        <w:rPr>
          <w:rFonts w:ascii="Arial" w:hAnsi="Arial" w:cs="Arial"/>
        </w:rPr>
        <w:t>found</w:t>
      </w:r>
      <w:r w:rsidRPr="00157555">
        <w:rPr>
          <w:rFonts w:ascii="Arial" w:hAnsi="Arial" w:cs="Arial"/>
        </w:rPr>
        <w:t xml:space="preserve"> </w:t>
      </w:r>
      <w:r w:rsidR="00223932" w:rsidRPr="00157555">
        <w:rPr>
          <w:rFonts w:ascii="Arial" w:hAnsi="Arial" w:cs="Arial"/>
        </w:rPr>
        <w:t>“</w:t>
      </w:r>
      <w:r w:rsidRPr="00157555">
        <w:rPr>
          <w:rFonts w:ascii="Arial" w:hAnsi="Arial" w:cs="Arial"/>
        </w:rPr>
        <w:t>that there is no basis upon which to conclude that [Ohio Power’s] distribution rates include known, quantifiable cost that should be allocated to the [Retail Reconciliation Rider].” Opinion and Order, ¶ 184. It justifie</w:t>
      </w:r>
      <w:r w:rsidR="00223932" w:rsidRPr="00157555">
        <w:rPr>
          <w:rFonts w:ascii="Arial" w:hAnsi="Arial" w:cs="Arial"/>
        </w:rPr>
        <w:t>d</w:t>
      </w:r>
      <w:r w:rsidRPr="00157555">
        <w:rPr>
          <w:rFonts w:ascii="Arial" w:hAnsi="Arial" w:cs="Arial"/>
        </w:rPr>
        <w:t xml:space="preserve"> </w:t>
      </w:r>
      <w:r w:rsidR="00E06C4E" w:rsidRPr="00157555">
        <w:rPr>
          <w:rFonts w:ascii="Arial" w:hAnsi="Arial" w:cs="Arial"/>
        </w:rPr>
        <w:t>the</w:t>
      </w:r>
      <w:r w:rsidRPr="00157555">
        <w:rPr>
          <w:rFonts w:ascii="Arial" w:hAnsi="Arial" w:cs="Arial"/>
        </w:rPr>
        <w:t xml:space="preserve"> conclusion </w:t>
      </w:r>
      <w:r w:rsidR="00EF4FD5" w:rsidRPr="00157555">
        <w:rPr>
          <w:rFonts w:ascii="Arial" w:hAnsi="Arial" w:cs="Arial"/>
        </w:rPr>
        <w:t xml:space="preserve">that there was no basis to assign and allocate some costs to the riders on a critique of </w:t>
      </w:r>
      <w:r w:rsidRPr="00157555">
        <w:rPr>
          <w:rFonts w:ascii="Arial" w:hAnsi="Arial" w:cs="Arial"/>
        </w:rPr>
        <w:t>IGS’s witness</w:t>
      </w:r>
      <w:r w:rsidR="00EF4FD5" w:rsidRPr="00157555">
        <w:rPr>
          <w:rFonts w:ascii="Arial" w:hAnsi="Arial" w:cs="Arial"/>
        </w:rPr>
        <w:t>, who the Commission found</w:t>
      </w:r>
      <w:r w:rsidRPr="00157555">
        <w:rPr>
          <w:rFonts w:ascii="Arial" w:hAnsi="Arial" w:cs="Arial"/>
        </w:rPr>
        <w:t xml:space="preserve"> “made no attempt to factor choice program costs into his recommendation as to the RRR and SSOCR</w:t>
      </w:r>
      <w:r w:rsidR="00EF4FD5" w:rsidRPr="00157555">
        <w:rPr>
          <w:rFonts w:ascii="Arial" w:hAnsi="Arial" w:cs="Arial"/>
        </w:rPr>
        <w:t>.” Id., ¶ 184.</w:t>
      </w:r>
      <w:r w:rsidR="00D37671" w:rsidRPr="00157555">
        <w:rPr>
          <w:rFonts w:ascii="Arial" w:hAnsi="Arial" w:cs="Arial"/>
        </w:rPr>
        <w:t xml:space="preserve"> While the Commission apparently agreed </w:t>
      </w:r>
      <w:r w:rsidR="00AC26B5" w:rsidRPr="00157555">
        <w:rPr>
          <w:rFonts w:ascii="Arial" w:hAnsi="Arial" w:cs="Arial"/>
        </w:rPr>
        <w:t>that Ohio</w:t>
      </w:r>
      <w:r w:rsidRPr="00157555">
        <w:rPr>
          <w:rFonts w:ascii="Arial" w:hAnsi="Arial" w:cs="Arial"/>
        </w:rPr>
        <w:t xml:space="preserve"> Power’s </w:t>
      </w:r>
      <w:r w:rsidR="00D37671" w:rsidRPr="00157555">
        <w:rPr>
          <w:rFonts w:ascii="Arial" w:hAnsi="Arial" w:cs="Arial"/>
        </w:rPr>
        <w:t xml:space="preserve">response was </w:t>
      </w:r>
      <w:r w:rsidRPr="00157555">
        <w:rPr>
          <w:rFonts w:ascii="Arial" w:hAnsi="Arial" w:cs="Arial"/>
        </w:rPr>
        <w:t>less than complete</w:t>
      </w:r>
      <w:r w:rsidR="00D37671" w:rsidRPr="00157555">
        <w:rPr>
          <w:rFonts w:ascii="Arial" w:hAnsi="Arial" w:cs="Arial"/>
        </w:rPr>
        <w:t xml:space="preserve">, it concluded that this response was not a violation of its order because </w:t>
      </w:r>
      <w:r w:rsidR="00B51E0B" w:rsidRPr="00157555">
        <w:rPr>
          <w:rFonts w:ascii="Arial" w:hAnsi="Arial" w:cs="Arial"/>
        </w:rPr>
        <w:t xml:space="preserve">of </w:t>
      </w:r>
      <w:r w:rsidR="00D37671" w:rsidRPr="00157555">
        <w:rPr>
          <w:rFonts w:ascii="Arial" w:hAnsi="Arial" w:cs="Arial"/>
        </w:rPr>
        <w:t>Ohio Power’s “lack of granular data sufficient to permit a more thorough analysis</w:t>
      </w:r>
      <w:r w:rsidRPr="00157555">
        <w:rPr>
          <w:rFonts w:ascii="Arial" w:hAnsi="Arial" w:cs="Arial"/>
        </w:rPr>
        <w:t>.</w:t>
      </w:r>
      <w:r w:rsidR="00D37671" w:rsidRPr="00157555">
        <w:rPr>
          <w:rFonts w:ascii="Arial" w:hAnsi="Arial" w:cs="Arial"/>
        </w:rPr>
        <w:t>”</w:t>
      </w:r>
      <w:r w:rsidRPr="00157555">
        <w:rPr>
          <w:rFonts w:ascii="Arial" w:hAnsi="Arial" w:cs="Arial"/>
        </w:rPr>
        <w:t xml:space="preserve"> Id., ¶ 185.</w:t>
      </w:r>
    </w:p>
    <w:p w14:paraId="199FC837" w14:textId="733598AC" w:rsidR="003C6644" w:rsidRPr="00157555" w:rsidRDefault="003C6644" w:rsidP="00C43396">
      <w:pPr>
        <w:spacing w:after="0" w:line="480" w:lineRule="auto"/>
        <w:ind w:firstLine="720"/>
        <w:jc w:val="both"/>
        <w:rPr>
          <w:rFonts w:ascii="Arial" w:hAnsi="Arial" w:cs="Arial"/>
        </w:rPr>
      </w:pPr>
      <w:r w:rsidRPr="00157555">
        <w:rPr>
          <w:rFonts w:ascii="Arial" w:hAnsi="Arial" w:cs="Arial"/>
        </w:rPr>
        <w:t xml:space="preserve">The Commission erred in three material ways. First, the decision that </w:t>
      </w:r>
      <w:r w:rsidR="001007FD" w:rsidRPr="00157555">
        <w:rPr>
          <w:rFonts w:ascii="Arial" w:hAnsi="Arial" w:cs="Arial"/>
        </w:rPr>
        <w:t xml:space="preserve">the </w:t>
      </w:r>
      <w:r w:rsidRPr="00157555">
        <w:rPr>
          <w:rFonts w:ascii="Arial" w:hAnsi="Arial" w:cs="Arial"/>
        </w:rPr>
        <w:t xml:space="preserve">record did not demonstrate known and quantifiable costs incurred by Ohio Power to provide default service </w:t>
      </w:r>
      <w:r w:rsidR="00B51E0B" w:rsidRPr="00157555">
        <w:rPr>
          <w:rFonts w:ascii="Arial" w:hAnsi="Arial" w:cs="Arial"/>
        </w:rPr>
        <w:t>does not address</w:t>
      </w:r>
      <w:r w:rsidR="0055361C" w:rsidRPr="00157555">
        <w:rPr>
          <w:rFonts w:ascii="Arial" w:hAnsi="Arial" w:cs="Arial"/>
        </w:rPr>
        <w:t xml:space="preserve"> the uncontroverted record that Ohio Power is and will recover known and quantifiable costs to provide default service in its distribution rates</w:t>
      </w:r>
      <w:r w:rsidRPr="00157555">
        <w:rPr>
          <w:rFonts w:ascii="Arial" w:hAnsi="Arial" w:cs="Arial"/>
        </w:rPr>
        <w:t>. Second, authorizing rates that permit Ohio Power to collect these known and quantifiable costs of a competitive service in distribution rates violates Ohio law. Third, the failure of the Commission to address the arguments and evidence and properly set reasonable rates in this case also violates Ohio law.</w:t>
      </w:r>
    </w:p>
    <w:p w14:paraId="63FE048D" w14:textId="665277E4" w:rsidR="00BF389A" w:rsidRPr="00157555" w:rsidRDefault="00DE422F" w:rsidP="00C43396">
      <w:pPr>
        <w:pStyle w:val="Headinglevel2"/>
        <w:jc w:val="both"/>
        <w:rPr>
          <w:rFonts w:ascii="Arial" w:hAnsi="Arial" w:cs="Arial"/>
        </w:rPr>
      </w:pPr>
      <w:bookmarkStart w:id="8" w:name="_Toc90620204"/>
      <w:r w:rsidRPr="00157555">
        <w:rPr>
          <w:rFonts w:ascii="Arial" w:hAnsi="Arial" w:cs="Arial"/>
        </w:rPr>
        <w:t xml:space="preserve">A. </w:t>
      </w:r>
      <w:r w:rsidR="00BF389A" w:rsidRPr="00157555">
        <w:rPr>
          <w:rFonts w:ascii="Arial" w:hAnsi="Arial" w:cs="Arial"/>
        </w:rPr>
        <w:t>The Opinion and Order is unlawful and unreasonable because the finding that there is no basis upon which to conclude that Ohio Power’s distribution rates include known, quantifiable cost</w:t>
      </w:r>
      <w:r w:rsidR="00D37671" w:rsidRPr="00157555">
        <w:rPr>
          <w:rFonts w:ascii="Arial" w:hAnsi="Arial" w:cs="Arial"/>
        </w:rPr>
        <w:t>s</w:t>
      </w:r>
      <w:r w:rsidR="00BF389A" w:rsidRPr="00157555">
        <w:rPr>
          <w:rFonts w:ascii="Arial" w:hAnsi="Arial" w:cs="Arial"/>
        </w:rPr>
        <w:t xml:space="preserve"> that should be allocated to the Retail Reconciliation Rider is not supported by the </w:t>
      </w:r>
      <w:r w:rsidR="005728B3" w:rsidRPr="00157555">
        <w:rPr>
          <w:rFonts w:ascii="Arial" w:hAnsi="Arial" w:cs="Arial"/>
        </w:rPr>
        <w:t xml:space="preserve">uncontroverted </w:t>
      </w:r>
      <w:r w:rsidR="00BF389A" w:rsidRPr="00157555">
        <w:rPr>
          <w:rFonts w:ascii="Arial" w:hAnsi="Arial" w:cs="Arial"/>
        </w:rPr>
        <w:t>evidence</w:t>
      </w:r>
      <w:r w:rsidR="00655B93" w:rsidRPr="00157555">
        <w:rPr>
          <w:rFonts w:ascii="Arial" w:hAnsi="Arial" w:cs="Arial"/>
        </w:rPr>
        <w:t xml:space="preserve"> </w:t>
      </w:r>
      <w:r w:rsidR="005728B3" w:rsidRPr="00157555">
        <w:rPr>
          <w:rFonts w:ascii="Arial" w:hAnsi="Arial" w:cs="Arial"/>
        </w:rPr>
        <w:t>that Ohio Power recovers known and quantifiable costs to provide default service in its distribution rates, a</w:t>
      </w:r>
      <w:r w:rsidR="00655B93" w:rsidRPr="00157555">
        <w:rPr>
          <w:rFonts w:ascii="Arial" w:hAnsi="Arial" w:cs="Arial"/>
        </w:rPr>
        <w:t xml:space="preserve"> violation of R.C. 4903.09</w:t>
      </w:r>
      <w:bookmarkEnd w:id="8"/>
      <w:r w:rsidR="00655B93" w:rsidRPr="00157555">
        <w:rPr>
          <w:rFonts w:ascii="Arial" w:hAnsi="Arial" w:cs="Arial"/>
        </w:rPr>
        <w:t xml:space="preserve"> </w:t>
      </w:r>
    </w:p>
    <w:p w14:paraId="44DD64E1" w14:textId="77777777" w:rsidR="00EA6F3F" w:rsidRPr="00157555" w:rsidRDefault="00EA6F3F" w:rsidP="00C43396">
      <w:pPr>
        <w:spacing w:after="0"/>
        <w:ind w:firstLine="720"/>
        <w:jc w:val="both"/>
        <w:rPr>
          <w:rFonts w:ascii="Arial" w:hAnsi="Arial" w:cs="Arial"/>
        </w:rPr>
      </w:pPr>
    </w:p>
    <w:p w14:paraId="23017535" w14:textId="7965C69C" w:rsidR="00BF389A" w:rsidRPr="00157555" w:rsidRDefault="00BF389A" w:rsidP="00C43396">
      <w:pPr>
        <w:spacing w:after="0" w:line="480" w:lineRule="auto"/>
        <w:ind w:firstLine="720"/>
        <w:jc w:val="both"/>
        <w:rPr>
          <w:rFonts w:ascii="Arial" w:hAnsi="Arial" w:cs="Arial"/>
        </w:rPr>
      </w:pPr>
      <w:r w:rsidRPr="00157555">
        <w:rPr>
          <w:rFonts w:ascii="Arial" w:hAnsi="Arial" w:cs="Arial"/>
        </w:rPr>
        <w:t xml:space="preserve">“In all contested cases heard by the public utilities commission, a complete record of all of the proceedings shall be made, including a transcript of all testimony and of all exhibits, and the commission shall file, with the records of such cases, findings of fact and written opinions setting forth the reasons prompting the decisions arrived at, based upon said findings of fact.” R.C. 4903.09. </w:t>
      </w:r>
      <w:r w:rsidR="00BA212C" w:rsidRPr="00157555">
        <w:rPr>
          <w:rFonts w:ascii="Arial" w:hAnsi="Arial" w:cs="Arial"/>
        </w:rPr>
        <w:t xml:space="preserve">This statutory requirement imposes on the Commission an obligation to “explain its rationale, respond to contrary positions, and support its decision with appropriate evidence.”  In re Columbus S. Power Co., 128 Ohio St. 3d 512, ¶ 30 (2011). </w:t>
      </w:r>
    </w:p>
    <w:p w14:paraId="1AE35B2C" w14:textId="0208F280" w:rsidR="00D85E15" w:rsidRPr="00157555" w:rsidRDefault="00621C9F" w:rsidP="00C43396">
      <w:pPr>
        <w:spacing w:after="0" w:line="480" w:lineRule="auto"/>
        <w:ind w:firstLine="720"/>
        <w:jc w:val="both"/>
        <w:rPr>
          <w:rFonts w:ascii="Arial" w:hAnsi="Arial" w:cs="Arial"/>
        </w:rPr>
      </w:pPr>
      <w:r w:rsidRPr="00157555">
        <w:rPr>
          <w:rFonts w:ascii="Arial" w:hAnsi="Arial" w:cs="Arial"/>
        </w:rPr>
        <w:t xml:space="preserve">As previously noted, the Commission approved the provision recommending that the Retail Reconciliation Rider and SSO Credit Rider remain at zero based on the Staff Report recommendation and supporting testimony provided by Ohio Power, the Staff, and OCC. </w:t>
      </w:r>
      <w:r w:rsidR="00E31DCE" w:rsidRPr="00157555">
        <w:rPr>
          <w:rFonts w:ascii="Arial" w:hAnsi="Arial" w:cs="Arial"/>
        </w:rPr>
        <w:t>Opinion and Order, ¶ 183. In support of that decision</w:t>
      </w:r>
      <w:r w:rsidRPr="00157555">
        <w:rPr>
          <w:rFonts w:ascii="Arial" w:hAnsi="Arial" w:cs="Arial"/>
        </w:rPr>
        <w:t xml:space="preserve">, it found that </w:t>
      </w:r>
      <w:r w:rsidR="00E31DCE" w:rsidRPr="00157555">
        <w:rPr>
          <w:rFonts w:ascii="Arial" w:hAnsi="Arial" w:cs="Arial"/>
        </w:rPr>
        <w:t>there was no basis on which to conclude that Ohio Power’s distribution rates include known and quantifiable costs that should be allocated to the Retail Reconciliation Rider. Id., ¶ 184. That critical finding is unsupported by the record because</w:t>
      </w:r>
      <w:r w:rsidR="00560912" w:rsidRPr="00157555">
        <w:rPr>
          <w:rFonts w:ascii="Arial" w:hAnsi="Arial" w:cs="Arial"/>
        </w:rPr>
        <w:t xml:space="preserve"> </w:t>
      </w:r>
      <w:r w:rsidR="00E31DCE" w:rsidRPr="00157555">
        <w:rPr>
          <w:rFonts w:ascii="Arial" w:hAnsi="Arial" w:cs="Arial"/>
        </w:rPr>
        <w:t xml:space="preserve">Ohio Power itself demonstrated that there were known and quantifiable direct costs being collected and </w:t>
      </w:r>
      <w:r w:rsidR="00560912" w:rsidRPr="00157555">
        <w:rPr>
          <w:rFonts w:ascii="Arial" w:hAnsi="Arial" w:cs="Arial"/>
        </w:rPr>
        <w:t>all interested parties agree</w:t>
      </w:r>
      <w:r w:rsidR="00BF389A" w:rsidRPr="00157555">
        <w:rPr>
          <w:rFonts w:ascii="Arial" w:hAnsi="Arial" w:cs="Arial"/>
        </w:rPr>
        <w:t xml:space="preserve"> that the rates proposed in this case would recover costs associated with the provision of </w:t>
      </w:r>
      <w:r w:rsidR="00560912" w:rsidRPr="00157555">
        <w:rPr>
          <w:rFonts w:ascii="Arial" w:hAnsi="Arial" w:cs="Arial"/>
        </w:rPr>
        <w:t>default service</w:t>
      </w:r>
      <w:r w:rsidR="002E5096" w:rsidRPr="00157555">
        <w:rPr>
          <w:rFonts w:ascii="Arial" w:hAnsi="Arial" w:cs="Arial"/>
        </w:rPr>
        <w:t xml:space="preserve"> if the riders are not populated</w:t>
      </w:r>
      <w:r w:rsidR="00BF389A" w:rsidRPr="00157555">
        <w:rPr>
          <w:rFonts w:ascii="Arial" w:hAnsi="Arial" w:cs="Arial"/>
        </w:rPr>
        <w:t xml:space="preserve">. </w:t>
      </w:r>
    </w:p>
    <w:p w14:paraId="617F1495" w14:textId="1622D833" w:rsidR="00D85E15" w:rsidRPr="00157555" w:rsidRDefault="00BF389A" w:rsidP="00C43396">
      <w:pPr>
        <w:spacing w:after="0" w:line="480" w:lineRule="auto"/>
        <w:ind w:firstLine="720"/>
        <w:jc w:val="both"/>
        <w:rPr>
          <w:rFonts w:ascii="Arial" w:hAnsi="Arial" w:cs="Arial"/>
        </w:rPr>
      </w:pPr>
      <w:r w:rsidRPr="00157555">
        <w:rPr>
          <w:rFonts w:ascii="Arial" w:hAnsi="Arial" w:cs="Arial"/>
        </w:rPr>
        <w:t>In response to the ESP IV</w:t>
      </w:r>
      <w:r w:rsidR="007C1BBE" w:rsidRPr="00157555">
        <w:rPr>
          <w:rFonts w:ascii="Arial" w:hAnsi="Arial" w:cs="Arial"/>
        </w:rPr>
        <w:t xml:space="preserve"> Order</w:t>
      </w:r>
      <w:r w:rsidRPr="00157555">
        <w:rPr>
          <w:rFonts w:ascii="Arial" w:hAnsi="Arial" w:cs="Arial"/>
        </w:rPr>
        <w:t xml:space="preserve">, Ohio Power provided testimony identifying direct and indirect costs associated with the provision of default service and later agreed on cross-examination that </w:t>
      </w:r>
      <w:r w:rsidR="00D50DCF" w:rsidRPr="00157555">
        <w:rPr>
          <w:rFonts w:ascii="Arial" w:hAnsi="Arial" w:cs="Arial"/>
        </w:rPr>
        <w:t xml:space="preserve">the </w:t>
      </w:r>
      <w:r w:rsidRPr="00157555">
        <w:rPr>
          <w:rFonts w:ascii="Arial" w:hAnsi="Arial" w:cs="Arial"/>
        </w:rPr>
        <w:t xml:space="preserve">incurred costs would be collected in distribution rates. IGS/Direct Ex. </w:t>
      </w:r>
      <w:r w:rsidR="00504132" w:rsidRPr="00157555">
        <w:rPr>
          <w:rFonts w:ascii="Arial" w:hAnsi="Arial" w:cs="Arial"/>
        </w:rPr>
        <w:t>3, Attachment</w:t>
      </w:r>
      <w:r w:rsidRPr="00157555">
        <w:rPr>
          <w:rFonts w:ascii="Arial" w:hAnsi="Arial" w:cs="Arial"/>
        </w:rPr>
        <w:t xml:space="preserve"> DMR-2</w:t>
      </w:r>
      <w:r w:rsidR="00C13E72" w:rsidRPr="00157555">
        <w:rPr>
          <w:rFonts w:ascii="Arial" w:hAnsi="Arial" w:cs="Arial"/>
        </w:rPr>
        <w:t xml:space="preserve">; </w:t>
      </w:r>
      <w:r w:rsidRPr="00157555">
        <w:rPr>
          <w:rFonts w:ascii="Arial" w:hAnsi="Arial" w:cs="Arial"/>
        </w:rPr>
        <w:t>Tr. at 36, 49-53</w:t>
      </w:r>
      <w:r w:rsidR="009C0F65">
        <w:rPr>
          <w:rFonts w:ascii="Arial" w:hAnsi="Arial" w:cs="Arial"/>
        </w:rPr>
        <w:t>,</w:t>
      </w:r>
      <w:r w:rsidRPr="00157555">
        <w:rPr>
          <w:rFonts w:ascii="Arial" w:hAnsi="Arial" w:cs="Arial"/>
        </w:rPr>
        <w:t xml:space="preserve"> </w:t>
      </w:r>
      <w:r w:rsidR="00D50DCF" w:rsidRPr="00157555">
        <w:rPr>
          <w:rFonts w:ascii="Arial" w:hAnsi="Arial" w:cs="Arial"/>
        </w:rPr>
        <w:t>and</w:t>
      </w:r>
      <w:r w:rsidRPr="00157555">
        <w:rPr>
          <w:rFonts w:ascii="Arial" w:hAnsi="Arial" w:cs="Arial"/>
        </w:rPr>
        <w:t xml:space="preserve"> 158-59. </w:t>
      </w:r>
      <w:r w:rsidR="00D85E15" w:rsidRPr="00157555">
        <w:rPr>
          <w:rFonts w:ascii="Arial" w:hAnsi="Arial" w:cs="Arial"/>
        </w:rPr>
        <w:t xml:space="preserve">That analysis, </w:t>
      </w:r>
      <w:r w:rsidR="00D50DCF" w:rsidRPr="00157555">
        <w:rPr>
          <w:rFonts w:ascii="Arial" w:hAnsi="Arial" w:cs="Arial"/>
        </w:rPr>
        <w:t xml:space="preserve">though </w:t>
      </w:r>
      <w:r w:rsidR="00D85E15" w:rsidRPr="00157555">
        <w:rPr>
          <w:rFonts w:ascii="Arial" w:hAnsi="Arial" w:cs="Arial"/>
        </w:rPr>
        <w:t>incomplete, demonstrated that Ohio Power incurred at least $4.7 million in costs directly attributable to default service. Although the information was incomplete, the Commission nonetheless concluded that Ohio Power did not violate the Commission’s order to conduct an analysis of the costs to support default and competitive supply services. Opinion and Order, ¶ 185. If that is so, then there is credible evidence of $4.7 million in costs collected in rates that are directly assignable to the provision of default service.</w:t>
      </w:r>
    </w:p>
    <w:p w14:paraId="09FA3FE2" w14:textId="17C8C99D" w:rsidR="00BF389A" w:rsidRPr="00157555" w:rsidRDefault="00D85E15" w:rsidP="00C43396">
      <w:pPr>
        <w:spacing w:after="0" w:line="480" w:lineRule="auto"/>
        <w:ind w:firstLine="720"/>
        <w:jc w:val="both"/>
        <w:rPr>
          <w:rFonts w:ascii="Arial" w:hAnsi="Arial" w:cs="Arial"/>
        </w:rPr>
      </w:pPr>
      <w:r w:rsidRPr="00157555">
        <w:rPr>
          <w:rFonts w:ascii="Arial" w:hAnsi="Arial" w:cs="Arial"/>
        </w:rPr>
        <w:t>Staff and OCC also agreed that Ohio Power is collecting costs of providing generation-related services</w:t>
      </w:r>
      <w:r w:rsidR="008116EB" w:rsidRPr="00157555">
        <w:rPr>
          <w:rFonts w:ascii="Arial" w:hAnsi="Arial" w:cs="Arial"/>
        </w:rPr>
        <w:t xml:space="preserve"> in distribution rates</w:t>
      </w:r>
      <w:r w:rsidRPr="00157555">
        <w:rPr>
          <w:rFonts w:ascii="Arial" w:hAnsi="Arial" w:cs="Arial"/>
        </w:rPr>
        <w:t>. On cross-examination, b</w:t>
      </w:r>
      <w:r w:rsidR="00BF389A" w:rsidRPr="00157555">
        <w:rPr>
          <w:rFonts w:ascii="Arial" w:hAnsi="Arial" w:cs="Arial"/>
        </w:rPr>
        <w:t xml:space="preserve">oth the Staff and OCC </w:t>
      </w:r>
      <w:r w:rsidRPr="00157555">
        <w:rPr>
          <w:rFonts w:ascii="Arial" w:hAnsi="Arial" w:cs="Arial"/>
        </w:rPr>
        <w:t>conceded</w:t>
      </w:r>
      <w:r w:rsidR="00BF389A" w:rsidRPr="00157555">
        <w:rPr>
          <w:rFonts w:ascii="Arial" w:hAnsi="Arial" w:cs="Arial"/>
        </w:rPr>
        <w:t xml:space="preserve"> that costs to provide default service were collected in distribution rates that would be approved in this case.  Tr. at 29</w:t>
      </w:r>
      <w:r w:rsidR="007A46A7" w:rsidRPr="00157555">
        <w:rPr>
          <w:rFonts w:ascii="Arial" w:hAnsi="Arial" w:cs="Arial"/>
        </w:rPr>
        <w:t>1</w:t>
      </w:r>
      <w:r w:rsidR="00BF389A" w:rsidRPr="00157555">
        <w:rPr>
          <w:rFonts w:ascii="Arial" w:hAnsi="Arial" w:cs="Arial"/>
        </w:rPr>
        <w:t>-92</w:t>
      </w:r>
      <w:r w:rsidR="00D50DCF" w:rsidRPr="00157555">
        <w:rPr>
          <w:rFonts w:ascii="Arial" w:hAnsi="Arial" w:cs="Arial"/>
        </w:rPr>
        <w:t xml:space="preserve"> and</w:t>
      </w:r>
      <w:r w:rsidR="00BF389A" w:rsidRPr="00157555">
        <w:rPr>
          <w:rFonts w:ascii="Arial" w:hAnsi="Arial" w:cs="Arial"/>
        </w:rPr>
        <w:t xml:space="preserve"> 346-49. </w:t>
      </w:r>
    </w:p>
    <w:p w14:paraId="590DD9BD" w14:textId="0609F759" w:rsidR="00191A39" w:rsidRPr="00157555" w:rsidRDefault="00191A39" w:rsidP="00C43396">
      <w:pPr>
        <w:spacing w:after="0" w:line="480" w:lineRule="auto"/>
        <w:ind w:firstLine="720"/>
        <w:jc w:val="both"/>
        <w:rPr>
          <w:rFonts w:ascii="Arial" w:hAnsi="Arial" w:cs="Arial"/>
        </w:rPr>
      </w:pPr>
      <w:r w:rsidRPr="00157555">
        <w:rPr>
          <w:rFonts w:ascii="Arial" w:hAnsi="Arial" w:cs="Arial"/>
        </w:rPr>
        <w:t xml:space="preserve">The only challenge raised by Staff and OCC regarding these costs does not go </w:t>
      </w:r>
      <w:r w:rsidR="00D85E15" w:rsidRPr="00157555">
        <w:rPr>
          <w:rFonts w:ascii="Arial" w:hAnsi="Arial" w:cs="Arial"/>
        </w:rPr>
        <w:t xml:space="preserve">to </w:t>
      </w:r>
      <w:r w:rsidR="00B15564" w:rsidRPr="00157555">
        <w:rPr>
          <w:rFonts w:ascii="Arial" w:hAnsi="Arial" w:cs="Arial"/>
        </w:rPr>
        <w:t xml:space="preserve">whether </w:t>
      </w:r>
      <w:r w:rsidR="00D85E15" w:rsidRPr="00157555">
        <w:rPr>
          <w:rFonts w:ascii="Arial" w:hAnsi="Arial" w:cs="Arial"/>
        </w:rPr>
        <w:t>the costs</w:t>
      </w:r>
      <w:r w:rsidR="00B15564" w:rsidRPr="00157555">
        <w:rPr>
          <w:rFonts w:ascii="Arial" w:hAnsi="Arial" w:cs="Arial"/>
        </w:rPr>
        <w:t xml:space="preserve"> are generation-related or that they are being collected in rates</w:t>
      </w:r>
      <w:r w:rsidR="00B5272E" w:rsidRPr="00157555">
        <w:rPr>
          <w:rFonts w:ascii="Arial" w:hAnsi="Arial" w:cs="Arial"/>
        </w:rPr>
        <w:t>. I</w:t>
      </w:r>
      <w:r w:rsidRPr="00157555">
        <w:rPr>
          <w:rFonts w:ascii="Arial" w:hAnsi="Arial" w:cs="Arial"/>
        </w:rPr>
        <w:t xml:space="preserve">nstead, both </w:t>
      </w:r>
      <w:r w:rsidR="00B5272E" w:rsidRPr="00157555">
        <w:rPr>
          <w:rFonts w:ascii="Arial" w:hAnsi="Arial" w:cs="Arial"/>
        </w:rPr>
        <w:t xml:space="preserve">assert that </w:t>
      </w:r>
      <w:r w:rsidR="00B15564" w:rsidRPr="00157555">
        <w:rPr>
          <w:rFonts w:ascii="Arial" w:hAnsi="Arial" w:cs="Arial"/>
        </w:rPr>
        <w:t>the costs</w:t>
      </w:r>
      <w:r w:rsidRPr="00157555">
        <w:rPr>
          <w:rFonts w:ascii="Arial" w:hAnsi="Arial" w:cs="Arial"/>
        </w:rPr>
        <w:t xml:space="preserve"> should be characterized as distribution costs on the theory (discussed further below) that the </w:t>
      </w:r>
      <w:r w:rsidR="00B5272E" w:rsidRPr="00157555">
        <w:rPr>
          <w:rFonts w:ascii="Arial" w:hAnsi="Arial" w:cs="Arial"/>
        </w:rPr>
        <w:t>relabeling</w:t>
      </w:r>
      <w:r w:rsidRPr="00157555">
        <w:rPr>
          <w:rFonts w:ascii="Arial" w:hAnsi="Arial" w:cs="Arial"/>
        </w:rPr>
        <w:t xml:space="preserve"> of generation costs converts them into distribution costs. Tr. at 291-92 and 346-49. </w:t>
      </w:r>
      <w:r w:rsidR="00B15564" w:rsidRPr="00157555">
        <w:rPr>
          <w:rFonts w:ascii="Arial" w:hAnsi="Arial" w:cs="Arial"/>
        </w:rPr>
        <w:t xml:space="preserve">This </w:t>
      </w:r>
      <w:r w:rsidR="00B5272E" w:rsidRPr="00157555">
        <w:rPr>
          <w:rFonts w:ascii="Arial" w:hAnsi="Arial" w:cs="Arial"/>
        </w:rPr>
        <w:t>relabeling</w:t>
      </w:r>
      <w:r w:rsidR="002E39B2" w:rsidRPr="00157555">
        <w:rPr>
          <w:rFonts w:ascii="Arial" w:hAnsi="Arial" w:cs="Arial"/>
        </w:rPr>
        <w:t>, however,</w:t>
      </w:r>
      <w:r w:rsidR="00B15564" w:rsidRPr="00157555">
        <w:rPr>
          <w:rFonts w:ascii="Arial" w:hAnsi="Arial" w:cs="Arial"/>
        </w:rPr>
        <w:t xml:space="preserve"> does not change the fact that costs to provide </w:t>
      </w:r>
      <w:r w:rsidR="002E39B2" w:rsidRPr="00157555">
        <w:rPr>
          <w:rFonts w:ascii="Arial" w:hAnsi="Arial" w:cs="Arial"/>
        </w:rPr>
        <w:t xml:space="preserve">competitive </w:t>
      </w:r>
      <w:r w:rsidR="00B15564" w:rsidRPr="00157555">
        <w:rPr>
          <w:rFonts w:ascii="Arial" w:hAnsi="Arial" w:cs="Arial"/>
        </w:rPr>
        <w:t>generation services are being collected in distribution rates.</w:t>
      </w:r>
    </w:p>
    <w:p w14:paraId="60717B78" w14:textId="2A733A6C" w:rsidR="00BF389A" w:rsidRPr="00157555" w:rsidRDefault="00D85E15" w:rsidP="00C43396">
      <w:pPr>
        <w:spacing w:after="0" w:line="480" w:lineRule="auto"/>
        <w:ind w:firstLine="720"/>
        <w:jc w:val="both"/>
        <w:rPr>
          <w:rFonts w:ascii="Arial" w:hAnsi="Arial" w:cs="Arial"/>
        </w:rPr>
      </w:pPr>
      <w:r w:rsidRPr="00157555">
        <w:rPr>
          <w:rFonts w:ascii="Arial" w:hAnsi="Arial" w:cs="Arial"/>
        </w:rPr>
        <w:t>Likewise, Mr. Lacey, on behalf of IGS and Direct</w:t>
      </w:r>
      <w:r w:rsidR="001007FD" w:rsidRPr="00157555">
        <w:rPr>
          <w:rFonts w:ascii="Arial" w:hAnsi="Arial" w:cs="Arial"/>
        </w:rPr>
        <w:t>,</w:t>
      </w:r>
      <w:r w:rsidRPr="00157555">
        <w:rPr>
          <w:rFonts w:ascii="Arial" w:hAnsi="Arial" w:cs="Arial"/>
        </w:rPr>
        <w:t xml:space="preserve"> identified both direct and </w:t>
      </w:r>
      <w:r w:rsidR="008116EB" w:rsidRPr="00157555">
        <w:rPr>
          <w:rFonts w:ascii="Arial" w:hAnsi="Arial" w:cs="Arial"/>
        </w:rPr>
        <w:t xml:space="preserve">indirect </w:t>
      </w:r>
      <w:r w:rsidRPr="00157555">
        <w:rPr>
          <w:rFonts w:ascii="Arial" w:hAnsi="Arial" w:cs="Arial"/>
        </w:rPr>
        <w:t xml:space="preserve">costs that are being recovered in rates. IGS/Direct Ex. 2. See, also, IGS </w:t>
      </w:r>
      <w:proofErr w:type="spellStart"/>
      <w:r w:rsidRPr="00157555">
        <w:rPr>
          <w:rFonts w:ascii="Arial" w:hAnsi="Arial" w:cs="Arial"/>
        </w:rPr>
        <w:t>Exs</w:t>
      </w:r>
      <w:proofErr w:type="spellEnd"/>
      <w:r w:rsidRPr="00157555">
        <w:rPr>
          <w:rFonts w:ascii="Arial" w:hAnsi="Arial" w:cs="Arial"/>
        </w:rPr>
        <w:t>. 13 and 14.</w:t>
      </w:r>
      <w:r w:rsidR="002E39B2" w:rsidRPr="00157555">
        <w:rPr>
          <w:rFonts w:ascii="Arial" w:hAnsi="Arial" w:cs="Arial"/>
        </w:rPr>
        <w:t xml:space="preserve"> </w:t>
      </w:r>
      <w:r w:rsidR="00F95B17" w:rsidRPr="00157555">
        <w:rPr>
          <w:rFonts w:ascii="Arial" w:hAnsi="Arial" w:cs="Arial"/>
        </w:rPr>
        <w:t>Although the Commission did not accept the analysis of IGS and Direct that much more should be assigned and allocated to the riders,</w:t>
      </w:r>
      <w:r w:rsidR="00F95B17" w:rsidRPr="00157555">
        <w:rPr>
          <w:rStyle w:val="FootnoteReference"/>
          <w:rFonts w:ascii="Arial" w:hAnsi="Arial" w:cs="Arial"/>
        </w:rPr>
        <w:footnoteReference w:id="3"/>
      </w:r>
      <w:r w:rsidR="00BF389A" w:rsidRPr="00157555">
        <w:rPr>
          <w:rFonts w:ascii="Arial" w:hAnsi="Arial" w:cs="Arial"/>
        </w:rPr>
        <w:t xml:space="preserve"> </w:t>
      </w:r>
      <w:r w:rsidR="002E39B2" w:rsidRPr="00157555">
        <w:rPr>
          <w:rFonts w:ascii="Arial" w:hAnsi="Arial" w:cs="Arial"/>
        </w:rPr>
        <w:t>t</w:t>
      </w:r>
      <w:r w:rsidR="00F95B17" w:rsidRPr="00157555">
        <w:rPr>
          <w:rFonts w:ascii="Arial" w:hAnsi="Arial" w:cs="Arial"/>
        </w:rPr>
        <w:t xml:space="preserve">his critique does not change the fact that Ohio Power is recovering at least the direct costs </w:t>
      </w:r>
      <w:r w:rsidR="00B5272E" w:rsidRPr="00157555">
        <w:rPr>
          <w:rFonts w:ascii="Arial" w:hAnsi="Arial" w:cs="Arial"/>
        </w:rPr>
        <w:t xml:space="preserve">identified by Ohio Power </w:t>
      </w:r>
      <w:r w:rsidR="00F95B17" w:rsidRPr="00157555">
        <w:rPr>
          <w:rFonts w:ascii="Arial" w:hAnsi="Arial" w:cs="Arial"/>
        </w:rPr>
        <w:t>that it and everyone else agreed are recovered in rates.</w:t>
      </w:r>
    </w:p>
    <w:p w14:paraId="51B46704" w14:textId="3B09B292" w:rsidR="00BF389A" w:rsidRPr="00157555" w:rsidRDefault="00BF389A" w:rsidP="00C43396">
      <w:pPr>
        <w:spacing w:after="0" w:line="480" w:lineRule="auto"/>
        <w:ind w:firstLine="720"/>
        <w:jc w:val="both"/>
        <w:rPr>
          <w:rFonts w:ascii="Arial" w:hAnsi="Arial" w:cs="Arial"/>
        </w:rPr>
      </w:pPr>
      <w:r w:rsidRPr="00157555">
        <w:rPr>
          <w:rFonts w:ascii="Arial" w:hAnsi="Arial" w:cs="Arial"/>
        </w:rPr>
        <w:t xml:space="preserve">At a minimum, </w:t>
      </w:r>
      <w:r w:rsidR="00532244" w:rsidRPr="00157555">
        <w:rPr>
          <w:rFonts w:ascii="Arial" w:hAnsi="Arial" w:cs="Arial"/>
        </w:rPr>
        <w:t xml:space="preserve">therefore, it is uncontested that </w:t>
      </w:r>
      <w:r w:rsidRPr="00157555">
        <w:rPr>
          <w:rFonts w:ascii="Arial" w:hAnsi="Arial" w:cs="Arial"/>
        </w:rPr>
        <w:t>Ohio Power incurs</w:t>
      </w:r>
      <w:r w:rsidR="00532244" w:rsidRPr="00157555">
        <w:rPr>
          <w:rFonts w:ascii="Arial" w:hAnsi="Arial" w:cs="Arial"/>
        </w:rPr>
        <w:t xml:space="preserve"> and recovers in distribution rates</w:t>
      </w:r>
      <w:r w:rsidRPr="00157555">
        <w:rPr>
          <w:rFonts w:ascii="Arial" w:hAnsi="Arial" w:cs="Arial"/>
        </w:rPr>
        <w:t xml:space="preserve"> $4.7 million in costs directly attributable to the provision of default service. These costs are both known and quantified. Likewise, Ohio Power incurs $1.2 million in direct costs directly attributable to the support of competitive supply. IGS Ex. 3</w:t>
      </w:r>
      <w:r w:rsidR="00E03038" w:rsidRPr="00157555">
        <w:rPr>
          <w:rFonts w:ascii="Arial" w:hAnsi="Arial" w:cs="Arial"/>
        </w:rPr>
        <w:t xml:space="preserve"> at Ex. </w:t>
      </w:r>
      <w:r w:rsidRPr="00157555">
        <w:rPr>
          <w:rFonts w:ascii="Arial" w:hAnsi="Arial" w:cs="Arial"/>
        </w:rPr>
        <w:t>D</w:t>
      </w:r>
      <w:r w:rsidR="009832B5" w:rsidRPr="00157555">
        <w:rPr>
          <w:rFonts w:ascii="Arial" w:hAnsi="Arial" w:cs="Arial"/>
        </w:rPr>
        <w:t>MR</w:t>
      </w:r>
      <w:r w:rsidRPr="00157555">
        <w:rPr>
          <w:rFonts w:ascii="Arial" w:hAnsi="Arial" w:cs="Arial"/>
        </w:rPr>
        <w:t xml:space="preserve">-2. Again, these costs are both known and quantified. In the case of the latter, the only dispute is whether </w:t>
      </w:r>
      <w:r w:rsidR="00E03038" w:rsidRPr="00157555">
        <w:rPr>
          <w:rFonts w:ascii="Arial" w:hAnsi="Arial" w:cs="Arial"/>
        </w:rPr>
        <w:t>they should</w:t>
      </w:r>
      <w:r w:rsidRPr="00157555">
        <w:rPr>
          <w:rFonts w:ascii="Arial" w:hAnsi="Arial" w:cs="Arial"/>
        </w:rPr>
        <w:t xml:space="preserve"> </w:t>
      </w:r>
      <w:r w:rsidR="00E03038" w:rsidRPr="00157555">
        <w:rPr>
          <w:rFonts w:ascii="Arial" w:hAnsi="Arial" w:cs="Arial"/>
        </w:rPr>
        <w:t>be</w:t>
      </w:r>
      <w:r w:rsidRPr="00157555">
        <w:rPr>
          <w:rFonts w:ascii="Arial" w:hAnsi="Arial" w:cs="Arial"/>
        </w:rPr>
        <w:t xml:space="preserve"> </w:t>
      </w:r>
      <w:r w:rsidR="00E03038" w:rsidRPr="00157555">
        <w:rPr>
          <w:rFonts w:ascii="Arial" w:hAnsi="Arial" w:cs="Arial"/>
        </w:rPr>
        <w:t>netted</w:t>
      </w:r>
      <w:r w:rsidRPr="00157555">
        <w:rPr>
          <w:rFonts w:ascii="Arial" w:hAnsi="Arial" w:cs="Arial"/>
        </w:rPr>
        <w:t xml:space="preserve"> against the </w:t>
      </w:r>
      <w:r w:rsidR="00E03038" w:rsidRPr="00157555">
        <w:rPr>
          <w:rFonts w:ascii="Arial" w:hAnsi="Arial" w:cs="Arial"/>
        </w:rPr>
        <w:t>amount</w:t>
      </w:r>
      <w:r w:rsidRPr="00157555">
        <w:rPr>
          <w:rFonts w:ascii="Arial" w:hAnsi="Arial" w:cs="Arial"/>
        </w:rPr>
        <w:t xml:space="preserve"> </w:t>
      </w:r>
      <w:r w:rsidR="00E03038" w:rsidRPr="00157555">
        <w:rPr>
          <w:rFonts w:ascii="Arial" w:hAnsi="Arial" w:cs="Arial"/>
        </w:rPr>
        <w:t>to</w:t>
      </w:r>
      <w:r w:rsidRPr="00157555">
        <w:rPr>
          <w:rFonts w:ascii="Arial" w:hAnsi="Arial" w:cs="Arial"/>
        </w:rPr>
        <w:t xml:space="preserve"> support default service. </w:t>
      </w:r>
      <w:r w:rsidR="00E03038" w:rsidRPr="00157555">
        <w:rPr>
          <w:rFonts w:ascii="Arial" w:hAnsi="Arial" w:cs="Arial"/>
        </w:rPr>
        <w:t xml:space="preserve">IGS/Direct Ex. 2 at 44 (arguing that it is improper to net costs to support competitive suppliers from the costs to support default service). </w:t>
      </w:r>
      <w:r w:rsidRPr="00157555">
        <w:rPr>
          <w:rFonts w:ascii="Arial" w:hAnsi="Arial" w:cs="Arial"/>
        </w:rPr>
        <w:t xml:space="preserve">Even if that offset is proper, there remains $3.5 million of known and quantifiable costs that should be removed from distribution rates and collected and refunded </w:t>
      </w:r>
      <w:r w:rsidR="008E6EB3" w:rsidRPr="00157555">
        <w:rPr>
          <w:rFonts w:ascii="Arial" w:hAnsi="Arial" w:cs="Arial"/>
        </w:rPr>
        <w:t xml:space="preserve">under </w:t>
      </w:r>
      <w:r w:rsidRPr="00157555">
        <w:rPr>
          <w:rFonts w:ascii="Arial" w:hAnsi="Arial" w:cs="Arial"/>
        </w:rPr>
        <w:t xml:space="preserve">the Retail Reconciliation Rider and SSO Credit Rider. Thus, the finding that “there is no basis upon which to conclude that [Ohio Power’s] distribution rates include known, quantifiable costs that should be allocated to the [Retail Reconciliation Rider]” </w:t>
      </w:r>
      <w:r w:rsidR="00E4710E" w:rsidRPr="00157555">
        <w:rPr>
          <w:rFonts w:ascii="Arial" w:hAnsi="Arial" w:cs="Arial"/>
        </w:rPr>
        <w:t xml:space="preserve">is not supported </w:t>
      </w:r>
      <w:r w:rsidR="008E60EC" w:rsidRPr="00157555">
        <w:rPr>
          <w:rFonts w:ascii="Arial" w:hAnsi="Arial" w:cs="Arial"/>
        </w:rPr>
        <w:t>the uncontroverted record</w:t>
      </w:r>
      <w:r w:rsidRPr="00157555">
        <w:rPr>
          <w:rFonts w:ascii="Arial" w:hAnsi="Arial" w:cs="Arial"/>
        </w:rPr>
        <w:t>.</w:t>
      </w:r>
      <w:r w:rsidR="00532244" w:rsidRPr="00157555">
        <w:rPr>
          <w:rFonts w:ascii="Arial" w:hAnsi="Arial" w:cs="Arial"/>
        </w:rPr>
        <w:t xml:space="preserve"> Due to this error, the Opinion and Order violates the requirements of R.C. 4903.09, and the Commission should grant rehearing and properly populate the Retail Reconciliation Rider and SSO Credit Rider.</w:t>
      </w:r>
      <w:r w:rsidR="005728B3" w:rsidRPr="00157555">
        <w:rPr>
          <w:rStyle w:val="FootnoteReference"/>
          <w:rFonts w:ascii="Arial" w:hAnsi="Arial" w:cs="Arial"/>
        </w:rPr>
        <w:footnoteReference w:id="4"/>
      </w:r>
    </w:p>
    <w:p w14:paraId="0FAC003E" w14:textId="6BDA76EA" w:rsidR="00576B8D" w:rsidRPr="00774BB5" w:rsidRDefault="00576B8D" w:rsidP="00774BB5">
      <w:pPr>
        <w:pStyle w:val="Headinglevel2"/>
        <w:jc w:val="both"/>
        <w:rPr>
          <w:rFonts w:ascii="Arial" w:hAnsi="Arial" w:cs="Arial"/>
          <w:i w:val="0"/>
        </w:rPr>
      </w:pPr>
      <w:bookmarkStart w:id="9" w:name="_Toc90620205"/>
      <w:r w:rsidRPr="00774BB5">
        <w:rPr>
          <w:rFonts w:ascii="Arial" w:hAnsi="Arial" w:cs="Arial"/>
        </w:rPr>
        <w:t>B. The Opinion and Order is unreasonable because it finds that an analysis of known and quantifiable costs to provide default service and the customer choice program was incomplete because the analysis did not factor choice program costs as to the Retail Reconciliation Rider and the SSO Credit Rider when the record does not support that finding, in violation of R.C. 4903.09</w:t>
      </w:r>
      <w:bookmarkEnd w:id="9"/>
    </w:p>
    <w:p w14:paraId="3710DD4E" w14:textId="77777777" w:rsidR="00576B8D" w:rsidRPr="00157555" w:rsidRDefault="00576B8D" w:rsidP="00774BB5">
      <w:pPr>
        <w:spacing w:after="0" w:line="240" w:lineRule="auto"/>
        <w:ind w:firstLine="720"/>
        <w:jc w:val="both"/>
        <w:rPr>
          <w:rFonts w:ascii="Arial" w:hAnsi="Arial" w:cs="Arial"/>
        </w:rPr>
      </w:pPr>
    </w:p>
    <w:p w14:paraId="5492051E" w14:textId="7BA1D478" w:rsidR="00576B8D" w:rsidRPr="00157555" w:rsidRDefault="00576B8D" w:rsidP="00576B8D">
      <w:pPr>
        <w:spacing w:after="0" w:line="480" w:lineRule="auto"/>
        <w:ind w:firstLine="720"/>
        <w:jc w:val="both"/>
        <w:rPr>
          <w:rFonts w:ascii="Arial" w:hAnsi="Arial" w:cs="Arial"/>
        </w:rPr>
      </w:pPr>
      <w:r w:rsidRPr="00157555">
        <w:rPr>
          <w:rFonts w:ascii="Arial" w:hAnsi="Arial" w:cs="Arial"/>
        </w:rPr>
        <w:t xml:space="preserve">In addition to the estimate of the costs to provide default and choice service </w:t>
      </w:r>
      <w:r w:rsidR="00970502">
        <w:rPr>
          <w:rFonts w:ascii="Arial" w:hAnsi="Arial" w:cs="Arial"/>
        </w:rPr>
        <w:t>provided by Ohio Power</w:t>
      </w:r>
      <w:r w:rsidRPr="00157555">
        <w:rPr>
          <w:rFonts w:ascii="Arial" w:hAnsi="Arial" w:cs="Arial"/>
        </w:rPr>
        <w:t>, the Commission also had a separate estimate provided by IGS and Direct</w:t>
      </w:r>
      <w:r w:rsidR="00087525">
        <w:rPr>
          <w:rFonts w:ascii="Arial" w:hAnsi="Arial" w:cs="Arial"/>
        </w:rPr>
        <w:t>. The IGS/Direct estimate showed</w:t>
      </w:r>
      <w:r w:rsidRPr="00157555">
        <w:rPr>
          <w:rFonts w:ascii="Arial" w:hAnsi="Arial" w:cs="Arial"/>
        </w:rPr>
        <w:t xml:space="preserve"> that those costs were in excess of $64 million. IGS/Direct Ex. 2. The Commission rejected that recommendation on the ground that it was incomplete because the supporting witness did not offset choice program costs against the costs Ohio Power incurred to provide default service. Opinion and Order, ¶ 184. That finding misstates the record: in fact, the witness explained in detail why offsetting those costs was incorrect. The Commission, thus, erred in its factual finding and improperly failed to address the merits of the analysis. Accordingly, the Commission should grant rehearing, correct its determination regarding the analysis, and find that Ohio Power incurs at $64 million in known and quantified costs that are illegally recovered in distribution rates.</w:t>
      </w:r>
    </w:p>
    <w:p w14:paraId="00DB2B64" w14:textId="51CCE150" w:rsidR="00576B8D" w:rsidRPr="00157555" w:rsidRDefault="00576B8D" w:rsidP="00576B8D">
      <w:pPr>
        <w:spacing w:after="0" w:line="480" w:lineRule="auto"/>
        <w:ind w:firstLine="720"/>
        <w:jc w:val="both"/>
        <w:rPr>
          <w:rFonts w:ascii="Arial" w:hAnsi="Arial" w:cs="Arial"/>
        </w:rPr>
      </w:pPr>
      <w:r w:rsidRPr="00157555">
        <w:rPr>
          <w:rFonts w:ascii="Arial" w:hAnsi="Arial" w:cs="Arial"/>
        </w:rPr>
        <w:t xml:space="preserve">Under R.C. 4903.09, the Commission must base its findings on the record. The record in this case provides a detailed explanation as to why the costs that Ohio Power incurs to provide default service is $64 million. IGS and </w:t>
      </w:r>
      <w:proofErr w:type="spellStart"/>
      <w:r w:rsidRPr="00157555">
        <w:rPr>
          <w:rFonts w:ascii="Arial" w:hAnsi="Arial" w:cs="Arial"/>
        </w:rPr>
        <w:t>Direct’s</w:t>
      </w:r>
      <w:proofErr w:type="spellEnd"/>
      <w:r w:rsidRPr="00157555">
        <w:rPr>
          <w:rFonts w:ascii="Arial" w:hAnsi="Arial" w:cs="Arial"/>
        </w:rPr>
        <w:t xml:space="preserve"> witness, Mr. Lacey, identified direct and indirect costs to be assigned and allocated for recovery through the Retail Reconciliation Rider. These costs were drawn from Customer Accounts captured in FERC Accounts 901-905, Customer Service an</w:t>
      </w:r>
      <w:r w:rsidR="00970502">
        <w:rPr>
          <w:rFonts w:ascii="Arial" w:hAnsi="Arial" w:cs="Arial"/>
        </w:rPr>
        <w:t>d</w:t>
      </w:r>
      <w:r w:rsidRPr="00157555">
        <w:rPr>
          <w:rFonts w:ascii="Arial" w:hAnsi="Arial" w:cs="Arial"/>
        </w:rPr>
        <w:t xml:space="preserve"> Information captured in Accounts 906-910, Administrative and General Costs captured in Accounts 920-931, and Depreciation and Amortization costs captured in Account 403.  IGS/Direct Ex. 2 at 36.  This resulted in a “pool of resources” of $190 million to be assigned and allocated.  Applying allocators based on direct assignment, revenue, and customer count, Mr. Lacey concluded that $64.3 million should be charged to SSO customers through the Retail Reconciliation Rider and distributed back to all customers through the SSO Credit Rider.  Id. at 37 and Appx 1.  At current shopping rates, standard service offer customers would incur a </w:t>
      </w:r>
      <w:proofErr w:type="spellStart"/>
      <w:r w:rsidRPr="00157555">
        <w:rPr>
          <w:rFonts w:ascii="Arial" w:hAnsi="Arial" w:cs="Arial"/>
        </w:rPr>
        <w:t>bypassable</w:t>
      </w:r>
      <w:proofErr w:type="spellEnd"/>
      <w:r w:rsidRPr="00157555">
        <w:rPr>
          <w:rFonts w:ascii="Arial" w:hAnsi="Arial" w:cs="Arial"/>
        </w:rPr>
        <w:t xml:space="preserve"> charge of $0.0057/kWh, and all customers would receive a credit of $0.0015/kWh.  Id.</w:t>
      </w:r>
    </w:p>
    <w:p w14:paraId="731C467C" w14:textId="46B3EB07" w:rsidR="00576B8D" w:rsidRPr="00157555" w:rsidRDefault="00576B8D" w:rsidP="00576B8D">
      <w:pPr>
        <w:spacing w:after="0" w:line="480" w:lineRule="auto"/>
        <w:ind w:firstLine="720"/>
        <w:jc w:val="both"/>
        <w:rPr>
          <w:rFonts w:ascii="Arial" w:hAnsi="Arial" w:cs="Arial"/>
        </w:rPr>
      </w:pPr>
      <w:r w:rsidRPr="00157555">
        <w:rPr>
          <w:rFonts w:ascii="Arial" w:hAnsi="Arial" w:cs="Arial"/>
        </w:rPr>
        <w:t>Without discussion of the merits of the costs that were identified, the Opinion and Order finds instead that the whole analysis can be ignored on the basis that the IGS witness did not factor in choice costs. Opinion and Order, ¶ 184. The claim that IGS fails to acknowledge costs to serve choice customers, however, is patently wrong: IGS recognized that there were such costs, but they are not properly offset against the costs that should be recovered through the Retail Reconciliation Rider.  IGS/Direct Ex. 2 at 42-43.  The reason why offsetting the costs of providing choice service is incorrect is equally obvious:  The services, which competitive suppliers pay for through multiple fees, are instances in which Ohio Power is acting as the sole provider of those services.  For instance, competitive suppliers can receive metering information from only Ohio Power.  Similarly, only Ohio Power can effectuate a change in generation supplier. Unlike the costs associated with the standard service offer, which are declared a competitive service by Ohio law, therefore, the services for supporting choice remain monopoly services regulated by R.C. Chapter 4909</w:t>
      </w:r>
      <w:r w:rsidR="000B171B">
        <w:rPr>
          <w:rFonts w:ascii="Arial" w:hAnsi="Arial" w:cs="Arial"/>
        </w:rPr>
        <w:t xml:space="preserve"> and paid for by competitive suppliers</w:t>
      </w:r>
      <w:r w:rsidRPr="00157555">
        <w:rPr>
          <w:rFonts w:ascii="Arial" w:hAnsi="Arial" w:cs="Arial"/>
        </w:rPr>
        <w:t xml:space="preserve">. </w:t>
      </w:r>
    </w:p>
    <w:p w14:paraId="1EC8F4DE" w14:textId="3BEC8A29" w:rsidR="00576B8D" w:rsidRPr="00157555" w:rsidRDefault="00576B8D" w:rsidP="00576B8D">
      <w:pPr>
        <w:spacing w:after="0" w:line="480" w:lineRule="auto"/>
        <w:ind w:firstLine="720"/>
        <w:jc w:val="both"/>
        <w:rPr>
          <w:rFonts w:ascii="Arial" w:hAnsi="Arial" w:cs="Arial"/>
        </w:rPr>
      </w:pPr>
      <w:r w:rsidRPr="00157555">
        <w:rPr>
          <w:rFonts w:ascii="Arial" w:hAnsi="Arial" w:cs="Arial"/>
        </w:rPr>
        <w:t>On the record before the Commission, the Commission erred when it concluded that the analysis offered by IGS and Direct was incomplete. To correct the error, the Commission should grant rehearing, correct its determination regarding the analysis, and find that Ohio Power incurs $64 million in known and quantified costs that are illegally recovered in distribution rates.</w:t>
      </w:r>
    </w:p>
    <w:p w14:paraId="3EBE9CB2" w14:textId="306D25BB" w:rsidR="0031571F" w:rsidRPr="00157555" w:rsidRDefault="00576B8D" w:rsidP="00C43396">
      <w:pPr>
        <w:pStyle w:val="Headinglevel2"/>
        <w:jc w:val="both"/>
        <w:rPr>
          <w:rFonts w:ascii="Arial" w:hAnsi="Arial" w:cs="Arial"/>
        </w:rPr>
      </w:pPr>
      <w:bookmarkStart w:id="10" w:name="_Toc90620206"/>
      <w:r w:rsidRPr="00157555">
        <w:rPr>
          <w:rFonts w:ascii="Arial" w:hAnsi="Arial" w:cs="Arial"/>
        </w:rPr>
        <w:t>C</w:t>
      </w:r>
      <w:r w:rsidR="0031571F" w:rsidRPr="00157555">
        <w:rPr>
          <w:rFonts w:ascii="Arial" w:hAnsi="Arial" w:cs="Arial"/>
        </w:rPr>
        <w:t xml:space="preserve">. The </w:t>
      </w:r>
      <w:bookmarkStart w:id="11" w:name="_Hlk89937484"/>
      <w:r w:rsidR="0031571F" w:rsidRPr="00157555">
        <w:rPr>
          <w:rFonts w:ascii="Arial" w:hAnsi="Arial" w:cs="Arial"/>
        </w:rPr>
        <w:t xml:space="preserve">Opinion and Order is unlawful and unreasonable because it authorizes Ohio Power to </w:t>
      </w:r>
      <w:r w:rsidR="003F57F6" w:rsidRPr="00157555">
        <w:rPr>
          <w:rFonts w:ascii="Arial" w:hAnsi="Arial" w:cs="Arial"/>
        </w:rPr>
        <w:t>recover</w:t>
      </w:r>
      <w:r w:rsidR="0031571F" w:rsidRPr="00157555">
        <w:rPr>
          <w:rFonts w:ascii="Arial" w:hAnsi="Arial" w:cs="Arial"/>
        </w:rPr>
        <w:t xml:space="preserve"> costs that Ohio Power incurs to supply a competitive product or service in distribution rates</w:t>
      </w:r>
      <w:r w:rsidR="00E83353" w:rsidRPr="00157555">
        <w:rPr>
          <w:rFonts w:ascii="Arial" w:hAnsi="Arial" w:cs="Arial"/>
        </w:rPr>
        <w:t xml:space="preserve"> in violation of </w:t>
      </w:r>
      <w:bookmarkStart w:id="12" w:name="_Hlk89937401"/>
      <w:r w:rsidR="00E83353" w:rsidRPr="00157555">
        <w:rPr>
          <w:rFonts w:ascii="Arial" w:hAnsi="Arial" w:cs="Arial"/>
        </w:rPr>
        <w:t xml:space="preserve">R.C. 4909.15, 4928.02, </w:t>
      </w:r>
      <w:r w:rsidR="00DE3DD4" w:rsidRPr="00157555">
        <w:rPr>
          <w:rFonts w:ascii="Arial" w:hAnsi="Arial" w:cs="Arial"/>
        </w:rPr>
        <w:t xml:space="preserve">and </w:t>
      </w:r>
      <w:r w:rsidR="00E83353" w:rsidRPr="00157555">
        <w:rPr>
          <w:rFonts w:ascii="Arial" w:hAnsi="Arial" w:cs="Arial"/>
        </w:rPr>
        <w:t>4928.05</w:t>
      </w:r>
      <w:bookmarkEnd w:id="10"/>
      <w:bookmarkEnd w:id="11"/>
      <w:bookmarkEnd w:id="12"/>
    </w:p>
    <w:p w14:paraId="318E2E9C" w14:textId="77777777" w:rsidR="0031571F" w:rsidRPr="00157555" w:rsidRDefault="0031571F" w:rsidP="00C43396">
      <w:pPr>
        <w:spacing w:after="0"/>
        <w:ind w:firstLine="720"/>
        <w:jc w:val="both"/>
        <w:rPr>
          <w:rFonts w:ascii="Arial" w:hAnsi="Arial" w:cs="Arial"/>
        </w:rPr>
      </w:pPr>
    </w:p>
    <w:p w14:paraId="369ED743" w14:textId="3ADA9658" w:rsidR="0031571F" w:rsidRPr="00157555" w:rsidRDefault="0031571F" w:rsidP="00C43396">
      <w:pPr>
        <w:spacing w:after="0" w:line="480" w:lineRule="auto"/>
        <w:ind w:firstLine="720"/>
        <w:jc w:val="both"/>
        <w:rPr>
          <w:rFonts w:ascii="Arial" w:hAnsi="Arial" w:cs="Arial"/>
        </w:rPr>
      </w:pPr>
      <w:r w:rsidRPr="00157555">
        <w:rPr>
          <w:rFonts w:ascii="Arial" w:hAnsi="Arial" w:cs="Arial"/>
        </w:rPr>
        <w:t>The Staff, Ohio Power, and OCC agree</w:t>
      </w:r>
      <w:r w:rsidR="007B59B9" w:rsidRPr="00157555">
        <w:rPr>
          <w:rFonts w:ascii="Arial" w:hAnsi="Arial" w:cs="Arial"/>
        </w:rPr>
        <w:t>d</w:t>
      </w:r>
      <w:r w:rsidRPr="00157555">
        <w:rPr>
          <w:rFonts w:ascii="Arial" w:hAnsi="Arial" w:cs="Arial"/>
        </w:rPr>
        <w:t xml:space="preserve"> that Ohio Power is collecting costs to support its default service in distribution rates. At hearing, the Staff attempted to relabel these costs as distribution costs</w:t>
      </w:r>
      <w:r w:rsidR="00D356C2" w:rsidRPr="00157555">
        <w:rPr>
          <w:rFonts w:ascii="Arial" w:hAnsi="Arial" w:cs="Arial"/>
        </w:rPr>
        <w:t xml:space="preserve">. Staff Ex. </w:t>
      </w:r>
      <w:r w:rsidR="00D40DB9" w:rsidRPr="00157555">
        <w:rPr>
          <w:rFonts w:ascii="Arial" w:hAnsi="Arial" w:cs="Arial"/>
        </w:rPr>
        <w:t>3</w:t>
      </w:r>
      <w:r w:rsidR="00D356C2" w:rsidRPr="00157555">
        <w:rPr>
          <w:rFonts w:ascii="Arial" w:hAnsi="Arial" w:cs="Arial"/>
        </w:rPr>
        <w:t xml:space="preserve"> at 9.</w:t>
      </w:r>
      <w:r w:rsidRPr="00157555">
        <w:rPr>
          <w:rFonts w:ascii="Arial" w:hAnsi="Arial" w:cs="Arial"/>
        </w:rPr>
        <w:t xml:space="preserve"> </w:t>
      </w:r>
      <w:r w:rsidR="00D356C2" w:rsidRPr="00157555">
        <w:rPr>
          <w:rFonts w:ascii="Arial" w:hAnsi="Arial" w:cs="Arial"/>
        </w:rPr>
        <w:t>T</w:t>
      </w:r>
      <w:r w:rsidRPr="00157555">
        <w:rPr>
          <w:rFonts w:ascii="Arial" w:hAnsi="Arial" w:cs="Arial"/>
        </w:rPr>
        <w:t xml:space="preserve">hey clearly </w:t>
      </w:r>
      <w:r w:rsidR="00D356C2" w:rsidRPr="00157555">
        <w:rPr>
          <w:rFonts w:ascii="Arial" w:hAnsi="Arial" w:cs="Arial"/>
        </w:rPr>
        <w:t xml:space="preserve">are </w:t>
      </w:r>
      <w:r w:rsidRPr="00157555">
        <w:rPr>
          <w:rFonts w:ascii="Arial" w:hAnsi="Arial" w:cs="Arial"/>
        </w:rPr>
        <w:t>not.</w:t>
      </w:r>
      <w:r w:rsidR="00AB5C9D" w:rsidRPr="00157555">
        <w:rPr>
          <w:rStyle w:val="FootnoteReference"/>
          <w:rFonts w:ascii="Arial" w:hAnsi="Arial" w:cs="Arial"/>
        </w:rPr>
        <w:footnoteReference w:id="5"/>
      </w:r>
      <w:r w:rsidRPr="00157555">
        <w:rPr>
          <w:rFonts w:ascii="Arial" w:hAnsi="Arial" w:cs="Arial"/>
        </w:rPr>
        <w:t xml:space="preserve"> Alternatively, the Staff and</w:t>
      </w:r>
      <w:r w:rsidR="007B59B9" w:rsidRPr="00157555">
        <w:rPr>
          <w:rFonts w:ascii="Arial" w:hAnsi="Arial" w:cs="Arial"/>
        </w:rPr>
        <w:t xml:space="preserve">, belatedly, </w:t>
      </w:r>
      <w:r w:rsidRPr="00157555">
        <w:rPr>
          <w:rFonts w:ascii="Arial" w:hAnsi="Arial" w:cs="Arial"/>
        </w:rPr>
        <w:t>Ohio Power stated that these costs should be socialized</w:t>
      </w:r>
      <w:r w:rsidRPr="00157555">
        <w:rPr>
          <w:rFonts w:ascii="Arial" w:eastAsia="Arial" w:hAnsi="Arial" w:cs="Arial"/>
          <w:szCs w:val="24"/>
        </w:rPr>
        <w:t xml:space="preserve">, and </w:t>
      </w:r>
      <w:r w:rsidRPr="00157555">
        <w:rPr>
          <w:rFonts w:ascii="Arial" w:hAnsi="Arial" w:cs="Arial"/>
        </w:rPr>
        <w:t>OCC join</w:t>
      </w:r>
      <w:r w:rsidR="007B59B9" w:rsidRPr="00157555">
        <w:rPr>
          <w:rFonts w:ascii="Arial" w:hAnsi="Arial" w:cs="Arial"/>
        </w:rPr>
        <w:t>ed</w:t>
      </w:r>
      <w:r w:rsidRPr="00157555">
        <w:rPr>
          <w:rFonts w:ascii="Arial" w:hAnsi="Arial" w:cs="Arial"/>
        </w:rPr>
        <w:t xml:space="preserve"> the argument by noting that the Stipulation would protect non-shopping customers from paying more for generation service. Staff </w:t>
      </w:r>
      <w:r w:rsidR="009832B5" w:rsidRPr="00157555">
        <w:rPr>
          <w:rFonts w:ascii="Arial" w:hAnsi="Arial" w:cs="Arial"/>
        </w:rPr>
        <w:t xml:space="preserve">Ex. 1 </w:t>
      </w:r>
      <w:r w:rsidRPr="00157555">
        <w:rPr>
          <w:rFonts w:ascii="Arial" w:hAnsi="Arial" w:cs="Arial"/>
        </w:rPr>
        <w:t xml:space="preserve">at 31 and Staff Ex. 3 at 9-11; Ohio Power Ex. 4 at 3-4 and </w:t>
      </w:r>
      <w:r w:rsidR="009A27AD" w:rsidRPr="00157555">
        <w:rPr>
          <w:rFonts w:ascii="Arial" w:hAnsi="Arial" w:cs="Arial"/>
        </w:rPr>
        <w:t>Initial Post-Hearing Brief of Ohio Power in Support of the Joint Stipulation and Recommendation</w:t>
      </w:r>
      <w:r w:rsidR="006D151C" w:rsidRPr="00157555">
        <w:rPr>
          <w:rFonts w:ascii="Arial" w:hAnsi="Arial" w:cs="Arial"/>
        </w:rPr>
        <w:t xml:space="preserve"> </w:t>
      </w:r>
      <w:r w:rsidRPr="00157555">
        <w:rPr>
          <w:rFonts w:ascii="Arial" w:hAnsi="Arial" w:cs="Arial"/>
        </w:rPr>
        <w:t>at 31</w:t>
      </w:r>
      <w:r w:rsidR="009A27AD" w:rsidRPr="00157555">
        <w:rPr>
          <w:rFonts w:ascii="Arial" w:hAnsi="Arial" w:cs="Arial"/>
        </w:rPr>
        <w:t xml:space="preserve"> (June 14, 2021) (“Ohio Power Initial Brief”)</w:t>
      </w:r>
      <w:r w:rsidRPr="00157555">
        <w:rPr>
          <w:rFonts w:ascii="Arial" w:hAnsi="Arial" w:cs="Arial"/>
        </w:rPr>
        <w:t xml:space="preserve">; </w:t>
      </w:r>
      <w:r w:rsidR="009A27AD" w:rsidRPr="00157555">
        <w:rPr>
          <w:rFonts w:ascii="Arial" w:hAnsi="Arial" w:cs="Arial"/>
        </w:rPr>
        <w:t>Initial Brief by Office of the Ohio Consumers’ Counsel</w:t>
      </w:r>
      <w:r w:rsidRPr="00157555">
        <w:rPr>
          <w:rFonts w:ascii="Arial" w:hAnsi="Arial" w:cs="Arial"/>
        </w:rPr>
        <w:t xml:space="preserve"> at 9</w:t>
      </w:r>
      <w:r w:rsidR="009A27AD" w:rsidRPr="00157555">
        <w:rPr>
          <w:rFonts w:ascii="Arial" w:hAnsi="Arial" w:cs="Arial"/>
        </w:rPr>
        <w:t xml:space="preserve"> (June 14, 2021) (“OCC Initial Brief”)</w:t>
      </w:r>
      <w:r w:rsidRPr="00157555">
        <w:rPr>
          <w:rFonts w:ascii="Arial" w:hAnsi="Arial" w:cs="Arial"/>
        </w:rPr>
        <w:t xml:space="preserve">. Without addressing any of these claims, the Opinion and Order appears to agree that these costs are not distribution costs, but nonetheless permits Ohio Power to avoid the legal outcome of that </w:t>
      </w:r>
      <w:r w:rsidR="00DE3DD4" w:rsidRPr="00157555">
        <w:rPr>
          <w:rFonts w:ascii="Arial" w:hAnsi="Arial" w:cs="Arial"/>
        </w:rPr>
        <w:t>finding</w:t>
      </w:r>
      <w:r w:rsidRPr="00157555">
        <w:rPr>
          <w:rFonts w:ascii="Arial" w:hAnsi="Arial" w:cs="Arial"/>
        </w:rPr>
        <w:t xml:space="preserve"> by permitting Ohio Power to continue to collect these costs in distribution rates. That authorization is unlawful.</w:t>
      </w:r>
    </w:p>
    <w:p w14:paraId="4EAF863D" w14:textId="267EDD70" w:rsidR="003F5491" w:rsidRPr="00157555" w:rsidRDefault="003F5491" w:rsidP="001D1975">
      <w:pPr>
        <w:spacing w:after="0" w:line="480" w:lineRule="auto"/>
        <w:ind w:firstLine="720"/>
        <w:jc w:val="both"/>
        <w:rPr>
          <w:rFonts w:ascii="Arial" w:hAnsi="Arial" w:cs="Arial"/>
        </w:rPr>
      </w:pPr>
      <w:r w:rsidRPr="00157555">
        <w:rPr>
          <w:rFonts w:ascii="Arial" w:hAnsi="Arial" w:cs="Arial"/>
        </w:rPr>
        <w:t xml:space="preserve">In 1999, S.B. 3 “restructured Ohio's electric-utility industry to foster retail competition in the generation component of electric service.”  </w:t>
      </w:r>
      <w:r w:rsidRPr="00774BB5">
        <w:rPr>
          <w:rFonts w:ascii="Arial" w:hAnsi="Arial" w:cs="Arial"/>
        </w:rPr>
        <w:t>Industrial Energy Users-Ohio</w:t>
      </w:r>
      <w:r w:rsidRPr="00157555">
        <w:rPr>
          <w:rFonts w:ascii="Arial" w:hAnsi="Arial" w:cs="Arial"/>
        </w:rPr>
        <w:t xml:space="preserve">, 117 Ohio St.3d 486, 487 (2008).  The foundation for competition was established by requiring “the three components of electric service — generation, transmission, and distribution — to be separated.”  </w:t>
      </w:r>
      <w:r w:rsidRPr="00774BB5">
        <w:rPr>
          <w:rFonts w:ascii="Arial" w:hAnsi="Arial" w:cs="Arial"/>
        </w:rPr>
        <w:t>Id</w:t>
      </w:r>
      <w:r w:rsidRPr="00157555">
        <w:rPr>
          <w:rFonts w:ascii="Arial" w:hAnsi="Arial" w:cs="Arial"/>
        </w:rPr>
        <w:t xml:space="preserve">.  Initially in a transition step, </w:t>
      </w:r>
      <w:r w:rsidR="008E60EC" w:rsidRPr="00157555">
        <w:rPr>
          <w:rFonts w:ascii="Arial" w:hAnsi="Arial" w:cs="Arial"/>
        </w:rPr>
        <w:t>S.B.</w:t>
      </w:r>
      <w:r w:rsidRPr="00157555">
        <w:rPr>
          <w:rFonts w:ascii="Arial" w:hAnsi="Arial" w:cs="Arial"/>
        </w:rPr>
        <w:t xml:space="preserve"> 3 required the monopoly electric utilities to separate their business lines by function, i.e., distribution, transmission, and generation, and adopt corporate separation plans to prevent cross-subsidies across those functions.  R.C. 4928.31(A).  “In short, each service component was required to stand on its own.”</w:t>
      </w:r>
      <w:r w:rsidRPr="00157555">
        <w:rPr>
          <w:rFonts w:ascii="Arial" w:hAnsi="Arial" w:cs="Arial"/>
          <w:vertAlign w:val="superscript"/>
        </w:rPr>
        <w:t xml:space="preserve"> </w:t>
      </w:r>
      <w:r w:rsidRPr="00157555">
        <w:rPr>
          <w:rFonts w:ascii="Arial" w:hAnsi="Arial" w:cs="Arial"/>
        </w:rPr>
        <w:t xml:space="preserve">  </w:t>
      </w:r>
      <w:proofErr w:type="spellStart"/>
      <w:r w:rsidRPr="00157555">
        <w:rPr>
          <w:rFonts w:ascii="Arial" w:hAnsi="Arial" w:cs="Arial"/>
          <w:i/>
          <w:iCs/>
        </w:rPr>
        <w:t>Migden</w:t>
      </w:r>
      <w:proofErr w:type="spellEnd"/>
      <w:r w:rsidRPr="00157555">
        <w:rPr>
          <w:rFonts w:ascii="Arial" w:hAnsi="Arial" w:cs="Arial"/>
          <w:i/>
          <w:iCs/>
        </w:rPr>
        <w:t>-Ostrander v. Pub. Util. Comm.</w:t>
      </w:r>
      <w:r w:rsidRPr="00157555">
        <w:rPr>
          <w:rFonts w:ascii="Arial" w:hAnsi="Arial" w:cs="Arial"/>
        </w:rPr>
        <w:t>, 102 Ohio St.3d 451, 452-53 (2004).</w:t>
      </w:r>
      <w:r w:rsidR="001D1975" w:rsidRPr="00157555">
        <w:rPr>
          <w:rFonts w:ascii="Arial" w:hAnsi="Arial" w:cs="Arial"/>
        </w:rPr>
        <w:t xml:space="preserve"> </w:t>
      </w:r>
      <w:r w:rsidR="00AC26B5" w:rsidRPr="00157555">
        <w:rPr>
          <w:rFonts w:ascii="Arial" w:hAnsi="Arial" w:cs="Arial"/>
        </w:rPr>
        <w:t>Consequently</w:t>
      </w:r>
      <w:r w:rsidR="0031571F" w:rsidRPr="00157555">
        <w:rPr>
          <w:rFonts w:ascii="Arial" w:hAnsi="Arial" w:cs="Arial"/>
        </w:rPr>
        <w:t xml:space="preserve">, the Commission is under a legal requirement to properly assign the collection of costs of the </w:t>
      </w:r>
      <w:r w:rsidR="00DE3DD4" w:rsidRPr="00157555">
        <w:rPr>
          <w:rFonts w:ascii="Arial" w:hAnsi="Arial" w:cs="Arial"/>
        </w:rPr>
        <w:t>provision of a competitive service such as default generation service</w:t>
      </w:r>
      <w:r w:rsidR="0031571F" w:rsidRPr="00157555">
        <w:rPr>
          <w:rFonts w:ascii="Arial" w:hAnsi="Arial" w:cs="Arial"/>
        </w:rPr>
        <w:t xml:space="preserve"> to the customers that use that service, not distribution customers generally.  </w:t>
      </w:r>
      <w:r w:rsidR="00E83353" w:rsidRPr="00157555">
        <w:rPr>
          <w:rFonts w:ascii="Arial" w:hAnsi="Arial" w:cs="Arial"/>
        </w:rPr>
        <w:t>R.C. 4909.15, 4928.05</w:t>
      </w:r>
      <w:r w:rsidR="007B59B9" w:rsidRPr="00157555">
        <w:rPr>
          <w:rFonts w:ascii="Arial" w:hAnsi="Arial" w:cs="Arial"/>
        </w:rPr>
        <w:t>, and 4928.31</w:t>
      </w:r>
      <w:r w:rsidR="001D1975" w:rsidRPr="00157555">
        <w:rPr>
          <w:rFonts w:ascii="Arial" w:hAnsi="Arial" w:cs="Arial"/>
        </w:rPr>
        <w:t>. See</w:t>
      </w:r>
      <w:r w:rsidR="00E83353" w:rsidRPr="00157555">
        <w:rPr>
          <w:rFonts w:ascii="Arial" w:hAnsi="Arial" w:cs="Arial"/>
        </w:rPr>
        <w:t xml:space="preserve"> </w:t>
      </w:r>
      <w:r w:rsidR="00A67CC1" w:rsidRPr="00157555">
        <w:rPr>
          <w:rFonts w:ascii="Arial" w:hAnsi="Arial" w:cs="Arial"/>
        </w:rPr>
        <w:t>Initial Brief of Interstate Gas Supply, Inc.</w:t>
      </w:r>
      <w:r w:rsidR="00E83353" w:rsidRPr="00157555">
        <w:rPr>
          <w:rFonts w:ascii="Arial" w:hAnsi="Arial" w:cs="Arial"/>
        </w:rPr>
        <w:t xml:space="preserve"> at 12-18 </w:t>
      </w:r>
      <w:r w:rsidR="00A67CC1" w:rsidRPr="00157555">
        <w:rPr>
          <w:rFonts w:ascii="Arial" w:hAnsi="Arial" w:cs="Arial"/>
        </w:rPr>
        <w:t xml:space="preserve">(June 14, 2021) (“IGS Initial Brief”) </w:t>
      </w:r>
      <w:r w:rsidR="00E83353" w:rsidRPr="00157555">
        <w:rPr>
          <w:rFonts w:ascii="Arial" w:hAnsi="Arial" w:cs="Arial"/>
        </w:rPr>
        <w:t xml:space="preserve">(legal authority and related discussion incorporated by reference). </w:t>
      </w:r>
    </w:p>
    <w:p w14:paraId="06B4EED9" w14:textId="6C01D99E" w:rsidR="0031571F" w:rsidRPr="00157555" w:rsidRDefault="00705099" w:rsidP="00C43396">
      <w:pPr>
        <w:spacing w:after="0" w:line="480" w:lineRule="auto"/>
        <w:ind w:firstLine="720"/>
        <w:jc w:val="both"/>
        <w:rPr>
          <w:rFonts w:ascii="Arial" w:hAnsi="Arial" w:cs="Arial"/>
        </w:rPr>
      </w:pPr>
      <w:r w:rsidRPr="00157555">
        <w:rPr>
          <w:rFonts w:ascii="Arial" w:hAnsi="Arial" w:cs="Arial"/>
        </w:rPr>
        <w:t xml:space="preserve">As the uncontroverted evidence demonstrates, Ohio Power collects $4.7 million in known and quantified costs to provide default service, but those amounts are and will continue to be collected in distribution rates. </w:t>
      </w:r>
      <w:r w:rsidR="00C10399" w:rsidRPr="00157555">
        <w:rPr>
          <w:rFonts w:ascii="Arial" w:hAnsi="Arial" w:cs="Arial"/>
        </w:rPr>
        <w:t>IGS Ex. 3, 13, and 14; Tr. at 36, 49-53,158-59; Tr. at 290-92</w:t>
      </w:r>
      <w:r w:rsidR="008E60EC" w:rsidRPr="00157555">
        <w:rPr>
          <w:rFonts w:ascii="Arial" w:hAnsi="Arial" w:cs="Arial"/>
        </w:rPr>
        <w:t>;</w:t>
      </w:r>
      <w:r w:rsidR="00C10399" w:rsidRPr="00157555">
        <w:rPr>
          <w:rFonts w:ascii="Arial" w:hAnsi="Arial" w:cs="Arial"/>
        </w:rPr>
        <w:t xml:space="preserve"> </w:t>
      </w:r>
      <w:r w:rsidR="008E60EC" w:rsidRPr="00157555">
        <w:rPr>
          <w:rFonts w:ascii="Arial" w:hAnsi="Arial" w:cs="Arial"/>
        </w:rPr>
        <w:t xml:space="preserve">and Tr. at </w:t>
      </w:r>
      <w:r w:rsidR="00C10399" w:rsidRPr="00157555">
        <w:rPr>
          <w:rFonts w:ascii="Arial" w:hAnsi="Arial" w:cs="Arial"/>
        </w:rPr>
        <w:t>346-49. T</w:t>
      </w:r>
      <w:r w:rsidR="001D1975" w:rsidRPr="00157555">
        <w:rPr>
          <w:rFonts w:ascii="Arial" w:hAnsi="Arial" w:cs="Arial"/>
        </w:rPr>
        <w:t>wo riders</w:t>
      </w:r>
      <w:r w:rsidRPr="00157555">
        <w:rPr>
          <w:rFonts w:ascii="Arial" w:hAnsi="Arial" w:cs="Arial"/>
        </w:rPr>
        <w:t xml:space="preserve"> to properly assign those costs </w:t>
      </w:r>
      <w:proofErr w:type="gramStart"/>
      <w:r w:rsidRPr="00157555">
        <w:rPr>
          <w:rFonts w:ascii="Arial" w:hAnsi="Arial" w:cs="Arial"/>
        </w:rPr>
        <w:t>exist, but</w:t>
      </w:r>
      <w:proofErr w:type="gramEnd"/>
      <w:r w:rsidRPr="00157555">
        <w:rPr>
          <w:rFonts w:ascii="Arial" w:hAnsi="Arial" w:cs="Arial"/>
        </w:rPr>
        <w:t xml:space="preserve"> remain unused </w:t>
      </w:r>
      <w:r w:rsidR="00AC26B5" w:rsidRPr="00157555">
        <w:rPr>
          <w:rFonts w:ascii="Arial" w:hAnsi="Arial" w:cs="Arial"/>
        </w:rPr>
        <w:t>because of</w:t>
      </w:r>
      <w:r w:rsidRPr="00157555">
        <w:rPr>
          <w:rFonts w:ascii="Arial" w:hAnsi="Arial" w:cs="Arial"/>
        </w:rPr>
        <w:t xml:space="preserve"> Ohio Power’s decision to bargain a resolution of this case on a term that leaves the riders at zero. Under Ohio law, that bargain cannot stand</w:t>
      </w:r>
      <w:r w:rsidR="001D1975" w:rsidRPr="00157555">
        <w:rPr>
          <w:rFonts w:ascii="Arial" w:hAnsi="Arial" w:cs="Arial"/>
        </w:rPr>
        <w:t xml:space="preserve"> because it rests on an unlawful assignment of costs to distribution rates</w:t>
      </w:r>
      <w:r w:rsidRPr="00157555">
        <w:rPr>
          <w:rFonts w:ascii="Arial" w:hAnsi="Arial" w:cs="Arial"/>
        </w:rPr>
        <w:t xml:space="preserve">. </w:t>
      </w:r>
      <w:r w:rsidR="004F2FA0" w:rsidRPr="00157555">
        <w:rPr>
          <w:rFonts w:ascii="Arial" w:hAnsi="Arial" w:cs="Arial"/>
        </w:rPr>
        <w:t>Monongahela</w:t>
      </w:r>
      <w:r w:rsidR="00FD5668" w:rsidRPr="00157555">
        <w:rPr>
          <w:rFonts w:ascii="Arial" w:hAnsi="Arial" w:cs="Arial"/>
        </w:rPr>
        <w:t xml:space="preserve"> Power Co. v. Pub. Utils. Comm’n of Ohio, 104 Ohio St. 3d 517 </w:t>
      </w:r>
      <w:r w:rsidR="00041F62" w:rsidRPr="00157555">
        <w:rPr>
          <w:rFonts w:ascii="Arial" w:hAnsi="Arial" w:cs="Arial"/>
        </w:rPr>
        <w:t xml:space="preserve">¶ 26 </w:t>
      </w:r>
      <w:r w:rsidR="00FD5668" w:rsidRPr="00157555">
        <w:rPr>
          <w:rFonts w:ascii="Arial" w:hAnsi="Arial" w:cs="Arial"/>
        </w:rPr>
        <w:t>(2004) (</w:t>
      </w:r>
      <w:r w:rsidR="00041F62" w:rsidRPr="00157555">
        <w:rPr>
          <w:rFonts w:ascii="Arial" w:hAnsi="Arial" w:cs="Arial"/>
        </w:rPr>
        <w:t xml:space="preserve">Commission cannot approve </w:t>
      </w:r>
      <w:r w:rsidR="00FD5668" w:rsidRPr="00157555">
        <w:rPr>
          <w:rFonts w:ascii="Arial" w:hAnsi="Arial" w:cs="Arial"/>
        </w:rPr>
        <w:t xml:space="preserve">terms of a settlement </w:t>
      </w:r>
      <w:r w:rsidR="00041F62" w:rsidRPr="00157555">
        <w:rPr>
          <w:rFonts w:ascii="Arial" w:hAnsi="Arial" w:cs="Arial"/>
        </w:rPr>
        <w:t>that are</w:t>
      </w:r>
      <w:r w:rsidR="00FD5668" w:rsidRPr="00157555">
        <w:rPr>
          <w:rFonts w:ascii="Arial" w:hAnsi="Arial" w:cs="Arial"/>
        </w:rPr>
        <w:t xml:space="preserve"> contrary to law).</w:t>
      </w:r>
    </w:p>
    <w:p w14:paraId="580C1A15" w14:textId="77354913" w:rsidR="00AB5C9D" w:rsidRPr="00157555" w:rsidRDefault="0031571F" w:rsidP="00C43396">
      <w:pPr>
        <w:spacing w:after="0" w:line="480" w:lineRule="auto"/>
        <w:jc w:val="both"/>
        <w:rPr>
          <w:rFonts w:ascii="Arial" w:hAnsi="Arial" w:cs="Arial"/>
        </w:rPr>
      </w:pPr>
      <w:r w:rsidRPr="00157555">
        <w:rPr>
          <w:rFonts w:ascii="Arial" w:hAnsi="Arial" w:cs="Arial"/>
        </w:rPr>
        <w:tab/>
        <w:t xml:space="preserve">Further, state policy </w:t>
      </w:r>
      <w:r w:rsidR="00041F62" w:rsidRPr="00157555">
        <w:rPr>
          <w:rFonts w:ascii="Arial" w:hAnsi="Arial" w:cs="Arial"/>
        </w:rPr>
        <w:t xml:space="preserve">directs </w:t>
      </w:r>
      <w:r w:rsidRPr="00157555">
        <w:rPr>
          <w:rFonts w:ascii="Arial" w:hAnsi="Arial" w:cs="Arial"/>
        </w:rPr>
        <w:t xml:space="preserve">the Commission </w:t>
      </w:r>
      <w:r w:rsidR="00041F62" w:rsidRPr="00157555">
        <w:rPr>
          <w:rFonts w:ascii="Arial" w:hAnsi="Arial" w:cs="Arial"/>
        </w:rPr>
        <w:t>to ensure that competitive electric services are not subsidized by noncompetitive services</w:t>
      </w:r>
      <w:r w:rsidRPr="00157555">
        <w:rPr>
          <w:rFonts w:ascii="Arial" w:hAnsi="Arial" w:cs="Arial"/>
        </w:rPr>
        <w:t>. R.C. 4928.02(H).</w:t>
      </w:r>
      <w:r w:rsidR="00DE3DD4" w:rsidRPr="00157555">
        <w:rPr>
          <w:rFonts w:ascii="Arial" w:hAnsi="Arial" w:cs="Arial"/>
        </w:rPr>
        <w:t xml:space="preserve"> </w:t>
      </w:r>
      <w:r w:rsidRPr="00157555">
        <w:rPr>
          <w:rFonts w:ascii="Arial" w:hAnsi="Arial" w:cs="Arial"/>
        </w:rPr>
        <w:t>The Opinion and Order, however, permits unlawful “socialization” of costs to continue</w:t>
      </w:r>
      <w:r w:rsidR="007B59B9" w:rsidRPr="00157555">
        <w:rPr>
          <w:rFonts w:ascii="Arial" w:hAnsi="Arial" w:cs="Arial"/>
        </w:rPr>
        <w:t>, thereby resulting in a default service price that does not cover its costs</w:t>
      </w:r>
      <w:r w:rsidRPr="00157555">
        <w:rPr>
          <w:rFonts w:ascii="Arial" w:hAnsi="Arial" w:cs="Arial"/>
        </w:rPr>
        <w:t xml:space="preserve">. </w:t>
      </w:r>
      <w:r w:rsidR="00AB5C9D" w:rsidRPr="00157555">
        <w:rPr>
          <w:rFonts w:ascii="Arial" w:hAnsi="Arial" w:cs="Arial"/>
        </w:rPr>
        <w:t>This</w:t>
      </w:r>
      <w:r w:rsidRPr="00157555">
        <w:rPr>
          <w:rFonts w:ascii="Arial" w:hAnsi="Arial" w:cs="Arial"/>
        </w:rPr>
        <w:t xml:space="preserve"> artificially </w:t>
      </w:r>
      <w:proofErr w:type="gramStart"/>
      <w:r w:rsidRPr="00157555">
        <w:rPr>
          <w:rFonts w:ascii="Arial" w:hAnsi="Arial" w:cs="Arial"/>
        </w:rPr>
        <w:t xml:space="preserve">low </w:t>
      </w:r>
      <w:r w:rsidR="00AB5C9D" w:rsidRPr="00157555">
        <w:rPr>
          <w:rFonts w:ascii="Arial" w:hAnsi="Arial" w:cs="Arial"/>
        </w:rPr>
        <w:t>price</w:t>
      </w:r>
      <w:proofErr w:type="gramEnd"/>
      <w:r w:rsidR="00AB5C9D" w:rsidRPr="00157555">
        <w:rPr>
          <w:rFonts w:ascii="Arial" w:hAnsi="Arial" w:cs="Arial"/>
        </w:rPr>
        <w:t xml:space="preserve"> </w:t>
      </w:r>
      <w:r w:rsidRPr="00157555">
        <w:rPr>
          <w:rFonts w:ascii="Arial" w:hAnsi="Arial" w:cs="Arial"/>
        </w:rPr>
        <w:t>leads to two unreasonable outcomes.  First, the price signals provided by the standard service offer that the Commission relies on to promote customer choice are wrong.  Second, the socialization of the costs of providing the standard service offer is a cross-subsidy that could have long-term effects on the rollout of other competitive services by delaying or preventing entry and curtailing active presence in the market. IGS Initial Brief at 16-18 (discussion incorporated by reference). Thus, the authorization for Ohio Power to set the Retail Reconciliation Rider and SSO Credit Rider at zero is unreasonable as well as illegal.</w:t>
      </w:r>
      <w:r w:rsidR="00AB5C9D" w:rsidRPr="00157555">
        <w:rPr>
          <w:rFonts w:ascii="Arial" w:hAnsi="Arial" w:cs="Arial"/>
        </w:rPr>
        <w:t xml:space="preserve"> </w:t>
      </w:r>
    </w:p>
    <w:p w14:paraId="1BB1B1D4" w14:textId="52414CA5" w:rsidR="0031571F" w:rsidRPr="00157555" w:rsidRDefault="00AB5C9D" w:rsidP="00C43396">
      <w:pPr>
        <w:spacing w:after="0" w:line="480" w:lineRule="auto"/>
        <w:ind w:firstLine="720"/>
        <w:jc w:val="both"/>
        <w:rPr>
          <w:rFonts w:ascii="Arial" w:hAnsi="Arial" w:cs="Arial"/>
        </w:rPr>
      </w:pPr>
      <w:r w:rsidRPr="00157555">
        <w:rPr>
          <w:rFonts w:ascii="Arial" w:hAnsi="Arial" w:cs="Arial"/>
        </w:rPr>
        <w:t xml:space="preserve">Because the Opinion and Order permitting the recovery of costs to provide a competitive product is illegal and unreasonable, the Commission should grant rehearing and populate the rider based on the record, as noted </w:t>
      </w:r>
      <w:r w:rsidR="00B248C5" w:rsidRPr="00157555">
        <w:rPr>
          <w:rFonts w:ascii="Arial" w:hAnsi="Arial" w:cs="Arial"/>
        </w:rPr>
        <w:t>previously</w:t>
      </w:r>
      <w:r w:rsidRPr="00157555">
        <w:rPr>
          <w:rFonts w:ascii="Arial" w:hAnsi="Arial" w:cs="Arial"/>
        </w:rPr>
        <w:t>.</w:t>
      </w:r>
    </w:p>
    <w:p w14:paraId="73CBE5C2" w14:textId="2E2641C4" w:rsidR="0071296C" w:rsidRPr="00157555" w:rsidRDefault="00576B8D" w:rsidP="00C43396">
      <w:pPr>
        <w:pStyle w:val="Headinglevel2"/>
        <w:jc w:val="both"/>
        <w:rPr>
          <w:rFonts w:ascii="Arial" w:hAnsi="Arial" w:cs="Arial"/>
        </w:rPr>
      </w:pPr>
      <w:bookmarkStart w:id="13" w:name="_Toc90620207"/>
      <w:r w:rsidRPr="00157555">
        <w:rPr>
          <w:rFonts w:ascii="Arial" w:hAnsi="Arial" w:cs="Arial"/>
        </w:rPr>
        <w:t>D</w:t>
      </w:r>
      <w:r w:rsidR="0071296C" w:rsidRPr="00157555">
        <w:rPr>
          <w:rFonts w:ascii="Arial" w:hAnsi="Arial" w:cs="Arial"/>
        </w:rPr>
        <w:t xml:space="preserve">. The </w:t>
      </w:r>
      <w:bookmarkStart w:id="14" w:name="_Hlk89960092"/>
      <w:r w:rsidR="0071296C" w:rsidRPr="00157555">
        <w:rPr>
          <w:rFonts w:ascii="Arial" w:hAnsi="Arial" w:cs="Arial"/>
        </w:rPr>
        <w:t xml:space="preserve">Opinion and Order is unlawful and unreasonable </w:t>
      </w:r>
      <w:r w:rsidR="00A83F08" w:rsidRPr="00157555">
        <w:rPr>
          <w:rFonts w:ascii="Arial" w:hAnsi="Arial" w:cs="Arial"/>
        </w:rPr>
        <w:t>because it failed to</w:t>
      </w:r>
      <w:r w:rsidR="0071296C" w:rsidRPr="00157555">
        <w:rPr>
          <w:rFonts w:ascii="Arial" w:hAnsi="Arial" w:cs="Arial"/>
        </w:rPr>
        <w:t xml:space="preserve"> address the arguments showing that approving a provision of the stipulation leaving the rates of the Retail Reconciliation Rider and the SSO Credit Rider at zero </w:t>
      </w:r>
      <w:r w:rsidR="00A83F08" w:rsidRPr="00157555">
        <w:rPr>
          <w:rFonts w:ascii="Arial" w:hAnsi="Arial" w:cs="Arial"/>
        </w:rPr>
        <w:t xml:space="preserve">was unlawful and unreasonable </w:t>
      </w:r>
      <w:r w:rsidR="0071296C" w:rsidRPr="00157555">
        <w:rPr>
          <w:rFonts w:ascii="Arial" w:hAnsi="Arial" w:cs="Arial"/>
        </w:rPr>
        <w:t xml:space="preserve">and </w:t>
      </w:r>
      <w:r w:rsidR="00A83F08" w:rsidRPr="00157555">
        <w:rPr>
          <w:rFonts w:ascii="Arial" w:hAnsi="Arial" w:cs="Arial"/>
        </w:rPr>
        <w:t>deferred</w:t>
      </w:r>
      <w:r w:rsidR="0071296C" w:rsidRPr="00157555">
        <w:rPr>
          <w:rFonts w:ascii="Arial" w:hAnsi="Arial" w:cs="Arial"/>
        </w:rPr>
        <w:t xml:space="preserve"> population of the riders to a future case</w:t>
      </w:r>
      <w:r w:rsidR="00A83F08" w:rsidRPr="00157555">
        <w:rPr>
          <w:rFonts w:ascii="Arial" w:hAnsi="Arial" w:cs="Arial"/>
        </w:rPr>
        <w:t>, all</w:t>
      </w:r>
      <w:r w:rsidR="0071296C" w:rsidRPr="00157555">
        <w:rPr>
          <w:rFonts w:ascii="Arial" w:hAnsi="Arial" w:cs="Arial"/>
        </w:rPr>
        <w:t xml:space="preserve"> </w:t>
      </w:r>
      <w:r w:rsidR="00A83F08" w:rsidRPr="00157555">
        <w:rPr>
          <w:rFonts w:ascii="Arial" w:hAnsi="Arial" w:cs="Arial"/>
        </w:rPr>
        <w:t>in violation of R.C. 4903.09</w:t>
      </w:r>
      <w:bookmarkEnd w:id="13"/>
      <w:bookmarkEnd w:id="14"/>
    </w:p>
    <w:p w14:paraId="703A349E" w14:textId="77777777" w:rsidR="0071296C" w:rsidRPr="00157555" w:rsidRDefault="0071296C" w:rsidP="00C43396">
      <w:pPr>
        <w:spacing w:after="0" w:line="480" w:lineRule="auto"/>
        <w:ind w:firstLine="720"/>
        <w:jc w:val="both"/>
        <w:rPr>
          <w:rFonts w:ascii="Arial" w:hAnsi="Arial" w:cs="Arial"/>
        </w:rPr>
      </w:pPr>
    </w:p>
    <w:p w14:paraId="20302BF3" w14:textId="6B4BB27A" w:rsidR="00FC380F" w:rsidRPr="00157555" w:rsidRDefault="0071296C" w:rsidP="00C43396">
      <w:pPr>
        <w:spacing w:after="0" w:line="480" w:lineRule="auto"/>
        <w:ind w:firstLine="720"/>
        <w:jc w:val="both"/>
        <w:rPr>
          <w:rFonts w:ascii="Arial" w:hAnsi="Arial" w:cs="Arial"/>
        </w:rPr>
      </w:pPr>
      <w:r w:rsidRPr="00157555">
        <w:rPr>
          <w:rFonts w:ascii="Arial" w:hAnsi="Arial" w:cs="Arial"/>
        </w:rPr>
        <w:t xml:space="preserve">The Opinion and Order found that the provision leaving the Retail Reconciliation Rider and SSO Credit Rider at zero does not violate any important regulatory principle or practice based on the Staff Report recommendation and testimony supporting the Stipulation. Opinion and Order, ¶ 183. The remainder of the discussion </w:t>
      </w:r>
      <w:r w:rsidR="003A6345" w:rsidRPr="00157555">
        <w:rPr>
          <w:rFonts w:ascii="Arial" w:hAnsi="Arial" w:cs="Arial"/>
        </w:rPr>
        <w:t xml:space="preserve">of this provision of the Stipulation </w:t>
      </w:r>
      <w:r w:rsidRPr="00157555">
        <w:rPr>
          <w:rFonts w:ascii="Arial" w:hAnsi="Arial" w:cs="Arial"/>
        </w:rPr>
        <w:t xml:space="preserve">consisted of </w:t>
      </w:r>
      <w:r w:rsidR="00E120AF" w:rsidRPr="00157555">
        <w:rPr>
          <w:rFonts w:ascii="Arial" w:hAnsi="Arial" w:cs="Arial"/>
        </w:rPr>
        <w:t xml:space="preserve">(1) </w:t>
      </w:r>
      <w:r w:rsidRPr="00157555">
        <w:rPr>
          <w:rFonts w:ascii="Arial" w:hAnsi="Arial" w:cs="Arial"/>
        </w:rPr>
        <w:t>a paragraph in which the Commission</w:t>
      </w:r>
      <w:r w:rsidR="00466661" w:rsidRPr="00157555">
        <w:rPr>
          <w:rFonts w:ascii="Arial" w:hAnsi="Arial" w:cs="Arial"/>
        </w:rPr>
        <w:t xml:space="preserve"> found that there was no known and quantifiable costs of default service collected in rates and in which the Commission</w:t>
      </w:r>
      <w:r w:rsidRPr="00157555">
        <w:rPr>
          <w:rFonts w:ascii="Arial" w:hAnsi="Arial" w:cs="Arial"/>
        </w:rPr>
        <w:t xml:space="preserve"> rejected the results of Mr. Lacey’s analysis that Ohio Power is collecting $64 million in known and quantifiable costs of providing the standard service offer in distribution rates and </w:t>
      </w:r>
      <w:r w:rsidR="00E120AF" w:rsidRPr="00157555">
        <w:rPr>
          <w:rFonts w:ascii="Arial" w:hAnsi="Arial" w:cs="Arial"/>
        </w:rPr>
        <w:t xml:space="preserve">(2) </w:t>
      </w:r>
      <w:r w:rsidRPr="00157555">
        <w:rPr>
          <w:rFonts w:ascii="Arial" w:hAnsi="Arial" w:cs="Arial"/>
        </w:rPr>
        <w:t xml:space="preserve">a paragraph excusing Ohio Power’s inadequate job of measuring those costs. Id., ¶ 184 and 185. The Opinion and Order then </w:t>
      </w:r>
      <w:r w:rsidR="00E120AF" w:rsidRPr="00157555">
        <w:rPr>
          <w:rFonts w:ascii="Arial" w:hAnsi="Arial" w:cs="Arial"/>
        </w:rPr>
        <w:t>concludes its decision to set the riders at zero with a recommendation</w:t>
      </w:r>
      <w:r w:rsidRPr="00157555">
        <w:rPr>
          <w:rFonts w:ascii="Arial" w:hAnsi="Arial" w:cs="Arial"/>
        </w:rPr>
        <w:t xml:space="preserve"> that interested parties can try again in another rate proceeding or file a complaint.  Id., ¶ 186.</w:t>
      </w:r>
    </w:p>
    <w:p w14:paraId="098F2BCC" w14:textId="542922BA" w:rsidR="00466661" w:rsidRPr="00157555" w:rsidRDefault="00DD2FAA" w:rsidP="00C43396">
      <w:pPr>
        <w:spacing w:after="0" w:line="480" w:lineRule="auto"/>
        <w:ind w:firstLine="720"/>
        <w:jc w:val="both"/>
        <w:rPr>
          <w:rFonts w:ascii="Arial" w:hAnsi="Arial" w:cs="Arial"/>
        </w:rPr>
      </w:pPr>
      <w:r w:rsidRPr="00157555">
        <w:rPr>
          <w:rFonts w:ascii="Arial" w:hAnsi="Arial" w:cs="Arial"/>
        </w:rPr>
        <w:t>The</w:t>
      </w:r>
      <w:r w:rsidR="00466661" w:rsidRPr="00157555">
        <w:rPr>
          <w:rFonts w:ascii="Arial" w:hAnsi="Arial" w:cs="Arial"/>
        </w:rPr>
        <w:t xml:space="preserve"> Commission’s approval of the provision of </w:t>
      </w:r>
      <w:r w:rsidR="00B248C5" w:rsidRPr="00157555">
        <w:rPr>
          <w:rFonts w:ascii="Arial" w:hAnsi="Arial" w:cs="Arial"/>
        </w:rPr>
        <w:t xml:space="preserve">the </w:t>
      </w:r>
      <w:r w:rsidR="00466661" w:rsidRPr="00157555">
        <w:rPr>
          <w:rFonts w:ascii="Arial" w:hAnsi="Arial" w:cs="Arial"/>
        </w:rPr>
        <w:t xml:space="preserve">Stipulation setting the Retail Reconciliation Rider and SSO Credit Rider at zero presents a variation on a theme that the Ohio Supreme Court has already rejected. In re </w:t>
      </w:r>
      <w:proofErr w:type="spellStart"/>
      <w:r w:rsidR="00466661" w:rsidRPr="00157555">
        <w:rPr>
          <w:rFonts w:ascii="Arial" w:hAnsi="Arial" w:cs="Arial"/>
        </w:rPr>
        <w:t>Suvon</w:t>
      </w:r>
      <w:proofErr w:type="spellEnd"/>
      <w:r w:rsidR="00466661" w:rsidRPr="00157555">
        <w:rPr>
          <w:rFonts w:ascii="Arial" w:hAnsi="Arial" w:cs="Arial"/>
        </w:rPr>
        <w:t xml:space="preserve">, LLC, 2021-Ohio-3630 (Ohio Sup. Ct. Oct. 14, 2021). In the </w:t>
      </w:r>
      <w:proofErr w:type="spellStart"/>
      <w:r w:rsidR="00466661" w:rsidRPr="00157555">
        <w:rPr>
          <w:rFonts w:ascii="Arial" w:hAnsi="Arial" w:cs="Arial"/>
          <w:i/>
          <w:iCs/>
        </w:rPr>
        <w:t>Suvon</w:t>
      </w:r>
      <w:proofErr w:type="spellEnd"/>
      <w:r w:rsidR="00466661" w:rsidRPr="00157555">
        <w:rPr>
          <w:rFonts w:ascii="Arial" w:hAnsi="Arial" w:cs="Arial"/>
        </w:rPr>
        <w:t xml:space="preserve"> case, the Commission issued an order providing FirstEnergy Advisors with a competitive supplier certificate. It based that decision on a Staff report, which summarized the assertions of applicant</w:t>
      </w:r>
      <w:r w:rsidR="00FB3C95">
        <w:rPr>
          <w:rFonts w:ascii="Arial" w:hAnsi="Arial" w:cs="Arial"/>
        </w:rPr>
        <w:t>s</w:t>
      </w:r>
      <w:r w:rsidR="00466661" w:rsidRPr="00157555">
        <w:rPr>
          <w:rFonts w:ascii="Arial" w:hAnsi="Arial" w:cs="Arial"/>
        </w:rPr>
        <w:t xml:space="preserve">, but failed to address the detailed objections concerning corporate separation presented by the OCC and competitive suppliers. On appeal, the Court reversed the Commission’s order because it violated R.C. 4903.09.  </w:t>
      </w:r>
    </w:p>
    <w:p w14:paraId="7659AE55" w14:textId="7C7D2766" w:rsidR="00DD2FAA" w:rsidRPr="00157555" w:rsidRDefault="00DD2FAA" w:rsidP="00C43396">
      <w:pPr>
        <w:spacing w:after="0" w:line="480" w:lineRule="auto"/>
        <w:jc w:val="both"/>
        <w:rPr>
          <w:rFonts w:ascii="Arial" w:hAnsi="Arial" w:cs="Arial"/>
        </w:rPr>
      </w:pPr>
      <w:r w:rsidRPr="00157555">
        <w:rPr>
          <w:rFonts w:ascii="Arial" w:hAnsi="Arial" w:cs="Arial"/>
        </w:rPr>
        <w:tab/>
        <w:t>In reversing the Commission</w:t>
      </w:r>
      <w:r w:rsidR="0068181A">
        <w:rPr>
          <w:rFonts w:ascii="Arial" w:hAnsi="Arial" w:cs="Arial"/>
        </w:rPr>
        <w:t>’s</w:t>
      </w:r>
      <w:r w:rsidR="00DC470C">
        <w:rPr>
          <w:rFonts w:ascii="Arial" w:hAnsi="Arial" w:cs="Arial"/>
        </w:rPr>
        <w:t xml:space="preserve"> order</w:t>
      </w:r>
      <w:r w:rsidRPr="00157555">
        <w:rPr>
          <w:rFonts w:ascii="Arial" w:hAnsi="Arial" w:cs="Arial"/>
        </w:rPr>
        <w:t xml:space="preserve">, the Court explained that R.C 4903.09 requires the Commission to issue findings of fact and a written opinion setting forth the reasons for its decisions based on </w:t>
      </w:r>
      <w:r w:rsidR="00DC470C">
        <w:rPr>
          <w:rFonts w:ascii="Arial" w:hAnsi="Arial" w:cs="Arial"/>
        </w:rPr>
        <w:t>the</w:t>
      </w:r>
      <w:r w:rsidR="00DC470C" w:rsidRPr="00157555">
        <w:rPr>
          <w:rFonts w:ascii="Arial" w:hAnsi="Arial" w:cs="Arial"/>
        </w:rPr>
        <w:t xml:space="preserve"> </w:t>
      </w:r>
      <w:r w:rsidRPr="00157555">
        <w:rPr>
          <w:rFonts w:ascii="Arial" w:hAnsi="Arial" w:cs="Arial"/>
        </w:rPr>
        <w:t xml:space="preserve">findings of fact. In </w:t>
      </w:r>
      <w:r w:rsidR="00AC26B5" w:rsidRPr="00157555">
        <w:rPr>
          <w:rFonts w:ascii="Arial" w:hAnsi="Arial" w:cs="Arial"/>
        </w:rPr>
        <w:t>performing</w:t>
      </w:r>
      <w:r w:rsidRPr="00157555">
        <w:rPr>
          <w:rFonts w:ascii="Arial" w:hAnsi="Arial" w:cs="Arial"/>
        </w:rPr>
        <w:t xml:space="preserve"> this duty, the Commission must make “independent findings” that satisfy the applicable statutory requirements. Id., ¶ 25. “Of course, PUCO can adopt reports prepared by its staff and incorporate them into its order, but these reports must satisfy the requirements of the statute; that is, they must contain sufficient factual findings and conclusions of law.” Id., ¶ 22. Separately, the Court also found that deferring the issues that were required to </w:t>
      </w:r>
      <w:r w:rsidR="00C16704" w:rsidRPr="00157555">
        <w:rPr>
          <w:rFonts w:ascii="Arial" w:hAnsi="Arial" w:cs="Arial"/>
        </w:rPr>
        <w:t xml:space="preserve">be </w:t>
      </w:r>
      <w:r w:rsidRPr="00157555">
        <w:rPr>
          <w:rFonts w:ascii="Arial" w:hAnsi="Arial" w:cs="Arial"/>
        </w:rPr>
        <w:t>addressed in the certification proceeding to another proceeding violated the Commission’s duty to make the statutory determination required to approve an application for a certificate to provide competitive energy services.  Id., ¶ 33.</w:t>
      </w:r>
    </w:p>
    <w:p w14:paraId="4719C249" w14:textId="520AD5E6" w:rsidR="0071296C" w:rsidRPr="00157555" w:rsidRDefault="0071296C" w:rsidP="00C43396">
      <w:pPr>
        <w:spacing w:after="0" w:line="480" w:lineRule="auto"/>
        <w:jc w:val="both"/>
        <w:rPr>
          <w:rFonts w:ascii="Arial" w:hAnsi="Arial" w:cs="Arial"/>
        </w:rPr>
      </w:pPr>
      <w:r w:rsidRPr="00157555">
        <w:rPr>
          <w:rFonts w:ascii="Arial" w:hAnsi="Arial" w:cs="Arial"/>
        </w:rPr>
        <w:tab/>
      </w:r>
      <w:r w:rsidR="00DD2FAA" w:rsidRPr="00157555">
        <w:rPr>
          <w:rFonts w:ascii="Arial" w:hAnsi="Arial" w:cs="Arial"/>
        </w:rPr>
        <w:t xml:space="preserve">Like the decision in </w:t>
      </w:r>
      <w:proofErr w:type="spellStart"/>
      <w:r w:rsidR="00DD2FAA" w:rsidRPr="00157555">
        <w:rPr>
          <w:rFonts w:ascii="Arial" w:hAnsi="Arial" w:cs="Arial"/>
          <w:i/>
          <w:iCs/>
        </w:rPr>
        <w:t>Suvon</w:t>
      </w:r>
      <w:proofErr w:type="spellEnd"/>
      <w:r w:rsidR="00DD2FAA" w:rsidRPr="00157555">
        <w:rPr>
          <w:rFonts w:ascii="Arial" w:hAnsi="Arial" w:cs="Arial"/>
        </w:rPr>
        <w:t xml:space="preserve">, the Commission relies on a Staff Report that is far from complete. </w:t>
      </w:r>
      <w:r w:rsidRPr="00157555">
        <w:rPr>
          <w:rFonts w:ascii="Arial" w:hAnsi="Arial" w:cs="Arial"/>
        </w:rPr>
        <w:t xml:space="preserve">The Staff Report presented two findings. The first finding was that Ohio Power did not examine all cost factors and therefore “Staff cannot recommend a charge that is not just and reasonable.” Staff Ex. 1 at 31. The second had nothing to do with the </w:t>
      </w:r>
      <w:r w:rsidR="006C39EF" w:rsidRPr="00157555">
        <w:rPr>
          <w:rFonts w:ascii="Arial" w:hAnsi="Arial" w:cs="Arial"/>
        </w:rPr>
        <w:t>Staff investigation of Ohio Power’s application</w:t>
      </w:r>
      <w:r w:rsidRPr="00157555">
        <w:rPr>
          <w:rFonts w:ascii="Arial" w:hAnsi="Arial" w:cs="Arial"/>
        </w:rPr>
        <w:t xml:space="preserve">; instead, the Staff </w:t>
      </w:r>
      <w:r w:rsidR="006C39EF" w:rsidRPr="00157555">
        <w:rPr>
          <w:rFonts w:ascii="Arial" w:hAnsi="Arial" w:cs="Arial"/>
        </w:rPr>
        <w:t>inserted</w:t>
      </w:r>
      <w:r w:rsidRPr="00157555">
        <w:rPr>
          <w:rFonts w:ascii="Arial" w:hAnsi="Arial" w:cs="Arial"/>
        </w:rPr>
        <w:t xml:space="preserve"> a policy conclusion that the standard service offer is a default service available to all customers. Id. (This statement apparently served as the basis for the Staff position that these costs should be socialized. Staff Ex. 3 at 9.)</w:t>
      </w:r>
    </w:p>
    <w:p w14:paraId="7FC51590" w14:textId="685D7275" w:rsidR="00F70C81" w:rsidRPr="00157555" w:rsidRDefault="0071296C" w:rsidP="00C43396">
      <w:pPr>
        <w:spacing w:after="0" w:line="480" w:lineRule="auto"/>
        <w:ind w:firstLine="720"/>
        <w:jc w:val="both"/>
        <w:rPr>
          <w:rFonts w:ascii="Arial" w:hAnsi="Arial" w:cs="Arial"/>
        </w:rPr>
      </w:pPr>
      <w:r w:rsidRPr="00157555">
        <w:rPr>
          <w:rFonts w:ascii="Arial" w:hAnsi="Arial" w:cs="Arial"/>
        </w:rPr>
        <w:t xml:space="preserve">The hearing developed </w:t>
      </w:r>
      <w:r w:rsidR="00B248C5" w:rsidRPr="00157555">
        <w:rPr>
          <w:rFonts w:ascii="Arial" w:hAnsi="Arial" w:cs="Arial"/>
        </w:rPr>
        <w:t xml:space="preserve">the </w:t>
      </w:r>
      <w:r w:rsidR="00EF5CBC" w:rsidRPr="00157555">
        <w:rPr>
          <w:rFonts w:ascii="Arial" w:hAnsi="Arial" w:cs="Arial"/>
        </w:rPr>
        <w:t>investigation that went</w:t>
      </w:r>
      <w:r w:rsidRPr="00157555">
        <w:rPr>
          <w:rFonts w:ascii="Arial" w:hAnsi="Arial" w:cs="Arial"/>
        </w:rPr>
        <w:t xml:space="preserve"> into the Staff </w:t>
      </w:r>
      <w:r w:rsidR="00EF5CBC" w:rsidRPr="00157555">
        <w:rPr>
          <w:rFonts w:ascii="Arial" w:hAnsi="Arial" w:cs="Arial"/>
        </w:rPr>
        <w:t>Report</w:t>
      </w:r>
      <w:r w:rsidRPr="00157555">
        <w:rPr>
          <w:rFonts w:ascii="Arial" w:hAnsi="Arial" w:cs="Arial"/>
        </w:rPr>
        <w:t xml:space="preserve">. At hearing, the Staff witnesses who described the Staff’s investigation of Ohio Power’s response to the Commission order in the ESP IV Order </w:t>
      </w:r>
      <w:r w:rsidR="00FC380F" w:rsidRPr="00157555">
        <w:rPr>
          <w:rFonts w:ascii="Arial" w:hAnsi="Arial" w:cs="Arial"/>
        </w:rPr>
        <w:t>stated</w:t>
      </w:r>
      <w:r w:rsidRPr="00157555">
        <w:rPr>
          <w:rFonts w:ascii="Arial" w:hAnsi="Arial" w:cs="Arial"/>
        </w:rPr>
        <w:t xml:space="preserve"> that the investigation consisted of three interrogatories </w:t>
      </w:r>
      <w:r w:rsidR="00FC380F" w:rsidRPr="00157555">
        <w:rPr>
          <w:rFonts w:ascii="Arial" w:hAnsi="Arial" w:cs="Arial"/>
        </w:rPr>
        <w:t>that</w:t>
      </w:r>
      <w:r w:rsidRPr="00157555">
        <w:rPr>
          <w:rFonts w:ascii="Arial" w:hAnsi="Arial" w:cs="Arial"/>
        </w:rPr>
        <w:t xml:space="preserve"> indicated that </w:t>
      </w:r>
      <w:r w:rsidR="00FC380F" w:rsidRPr="00157555">
        <w:rPr>
          <w:rFonts w:ascii="Arial" w:hAnsi="Arial" w:cs="Arial"/>
        </w:rPr>
        <w:t>Ohio Power’s</w:t>
      </w:r>
      <w:r w:rsidRPr="00157555">
        <w:rPr>
          <w:rFonts w:ascii="Arial" w:hAnsi="Arial" w:cs="Arial"/>
        </w:rPr>
        <w:t xml:space="preserve"> efforts were incomplete</w:t>
      </w:r>
      <w:r w:rsidR="0075686C">
        <w:rPr>
          <w:rFonts w:ascii="Arial" w:hAnsi="Arial" w:cs="Arial"/>
        </w:rPr>
        <w:t>.</w:t>
      </w:r>
      <w:r w:rsidRPr="00157555">
        <w:rPr>
          <w:rFonts w:ascii="Arial" w:hAnsi="Arial" w:cs="Arial"/>
        </w:rPr>
        <w:t xml:space="preserve"> </w:t>
      </w:r>
      <w:r w:rsidR="0075686C">
        <w:rPr>
          <w:rFonts w:ascii="Arial" w:hAnsi="Arial" w:cs="Arial"/>
        </w:rPr>
        <w:t>Upon</w:t>
      </w:r>
      <w:r w:rsidRPr="00157555">
        <w:rPr>
          <w:rFonts w:ascii="Arial" w:hAnsi="Arial" w:cs="Arial"/>
        </w:rPr>
        <w:t xml:space="preserve"> receipt of those responses</w:t>
      </w:r>
      <w:r w:rsidR="0075686C">
        <w:rPr>
          <w:rFonts w:ascii="Arial" w:hAnsi="Arial" w:cs="Arial"/>
        </w:rPr>
        <w:t>,</w:t>
      </w:r>
      <w:r w:rsidRPr="00157555">
        <w:rPr>
          <w:rFonts w:ascii="Arial" w:hAnsi="Arial" w:cs="Arial"/>
        </w:rPr>
        <w:t xml:space="preserve"> the Staff undertook no further investigation</w:t>
      </w:r>
      <w:r w:rsidR="006C39EF" w:rsidRPr="00157555">
        <w:rPr>
          <w:rFonts w:ascii="Arial" w:hAnsi="Arial" w:cs="Arial"/>
        </w:rPr>
        <w:t xml:space="preserve"> even though it is common for the Staff to issue additional data requests when it determines </w:t>
      </w:r>
      <w:r w:rsidR="00EF5CBC" w:rsidRPr="00157555">
        <w:rPr>
          <w:rFonts w:ascii="Arial" w:hAnsi="Arial" w:cs="Arial"/>
        </w:rPr>
        <w:t xml:space="preserve">they </w:t>
      </w:r>
      <w:r w:rsidR="006C39EF" w:rsidRPr="00157555">
        <w:rPr>
          <w:rFonts w:ascii="Arial" w:hAnsi="Arial" w:cs="Arial"/>
        </w:rPr>
        <w:t>are necessary</w:t>
      </w:r>
      <w:r w:rsidRPr="00157555">
        <w:rPr>
          <w:rFonts w:ascii="Arial" w:hAnsi="Arial" w:cs="Arial"/>
        </w:rPr>
        <w:t xml:space="preserve">. </w:t>
      </w:r>
      <w:r w:rsidR="006B1E7D" w:rsidRPr="00157555">
        <w:rPr>
          <w:rFonts w:ascii="Arial" w:hAnsi="Arial" w:cs="Arial"/>
        </w:rPr>
        <w:t xml:space="preserve">Tr. at 356-57 and 416-17; IGS </w:t>
      </w:r>
      <w:proofErr w:type="spellStart"/>
      <w:r w:rsidR="006B1E7D" w:rsidRPr="00157555">
        <w:rPr>
          <w:rFonts w:ascii="Arial" w:hAnsi="Arial" w:cs="Arial"/>
        </w:rPr>
        <w:t>Exs</w:t>
      </w:r>
      <w:proofErr w:type="spellEnd"/>
      <w:r w:rsidR="006B1E7D" w:rsidRPr="00157555">
        <w:rPr>
          <w:rFonts w:ascii="Arial" w:hAnsi="Arial" w:cs="Arial"/>
        </w:rPr>
        <w:t>. 13, 14, 15, and 16.</w:t>
      </w:r>
      <w:r w:rsidRPr="00157555">
        <w:rPr>
          <w:rFonts w:ascii="Arial" w:hAnsi="Arial" w:cs="Arial"/>
        </w:rPr>
        <w:t xml:space="preserve"> </w:t>
      </w:r>
      <w:r w:rsidR="00B920EA" w:rsidRPr="00157555">
        <w:rPr>
          <w:rFonts w:ascii="Arial" w:hAnsi="Arial" w:cs="Arial"/>
        </w:rPr>
        <w:t xml:space="preserve">Staff also assumed that the costs Ohio Power incurred to provide </w:t>
      </w:r>
      <w:r w:rsidR="009C5997" w:rsidRPr="00157555">
        <w:rPr>
          <w:rFonts w:ascii="Arial" w:hAnsi="Arial" w:cs="Arial"/>
        </w:rPr>
        <w:t xml:space="preserve">default service should be socialized through distribution </w:t>
      </w:r>
      <w:proofErr w:type="gramStart"/>
      <w:r w:rsidR="009C5997" w:rsidRPr="00157555">
        <w:rPr>
          <w:rFonts w:ascii="Arial" w:hAnsi="Arial" w:cs="Arial"/>
        </w:rPr>
        <w:t>rates, but</w:t>
      </w:r>
      <w:proofErr w:type="gramEnd"/>
      <w:r w:rsidR="009C5997" w:rsidRPr="00157555">
        <w:rPr>
          <w:rFonts w:ascii="Arial" w:hAnsi="Arial" w:cs="Arial"/>
        </w:rPr>
        <w:t xml:space="preserve"> did not address the legal requirements governing distribution rates. Staff Ex. </w:t>
      </w:r>
      <w:r w:rsidR="00D40DB9" w:rsidRPr="00157555">
        <w:rPr>
          <w:rFonts w:ascii="Arial" w:hAnsi="Arial" w:cs="Arial"/>
        </w:rPr>
        <w:t xml:space="preserve">3 </w:t>
      </w:r>
      <w:r w:rsidR="009C5997" w:rsidRPr="00157555">
        <w:rPr>
          <w:rFonts w:ascii="Arial" w:hAnsi="Arial" w:cs="Arial"/>
        </w:rPr>
        <w:t xml:space="preserve">at </w:t>
      </w:r>
      <w:r w:rsidR="00D40DB9" w:rsidRPr="00157555">
        <w:rPr>
          <w:rFonts w:ascii="Arial" w:hAnsi="Arial" w:cs="Arial"/>
        </w:rPr>
        <w:t>9</w:t>
      </w:r>
      <w:r w:rsidR="00DA78CD">
        <w:rPr>
          <w:rFonts w:ascii="Arial" w:hAnsi="Arial" w:cs="Arial"/>
        </w:rPr>
        <w:t>.</w:t>
      </w:r>
    </w:p>
    <w:p w14:paraId="423F38E5" w14:textId="2CB564A7" w:rsidR="0071296C" w:rsidRPr="00157555" w:rsidRDefault="00DD2FAA" w:rsidP="00C43396">
      <w:pPr>
        <w:spacing w:after="0" w:line="480" w:lineRule="auto"/>
        <w:ind w:firstLine="720"/>
        <w:jc w:val="both"/>
        <w:rPr>
          <w:rFonts w:ascii="Arial" w:hAnsi="Arial" w:cs="Arial"/>
        </w:rPr>
      </w:pPr>
      <w:r w:rsidRPr="00157555">
        <w:rPr>
          <w:rFonts w:ascii="Arial" w:hAnsi="Arial" w:cs="Arial"/>
        </w:rPr>
        <w:t>The testimony provided by OCC and Ohio Power does not fill in the missing piece</w:t>
      </w:r>
      <w:r w:rsidR="00E82F08" w:rsidRPr="00157555">
        <w:rPr>
          <w:rFonts w:ascii="Arial" w:hAnsi="Arial" w:cs="Arial"/>
        </w:rPr>
        <w:t xml:space="preserve">s left by the Staff Report. </w:t>
      </w:r>
      <w:r w:rsidR="006C39EF" w:rsidRPr="00157555">
        <w:rPr>
          <w:rFonts w:ascii="Arial" w:hAnsi="Arial" w:cs="Arial"/>
        </w:rPr>
        <w:t xml:space="preserve">OCC supported </w:t>
      </w:r>
      <w:r w:rsidR="00E02721" w:rsidRPr="00157555">
        <w:rPr>
          <w:rFonts w:ascii="Arial" w:hAnsi="Arial" w:cs="Arial"/>
        </w:rPr>
        <w:t>setting</w:t>
      </w:r>
      <w:r w:rsidR="00EF5CBC" w:rsidRPr="00157555">
        <w:rPr>
          <w:rFonts w:ascii="Arial" w:hAnsi="Arial" w:cs="Arial"/>
        </w:rPr>
        <w:t xml:space="preserve"> the riders</w:t>
      </w:r>
      <w:r w:rsidR="00E02721" w:rsidRPr="00157555">
        <w:rPr>
          <w:rFonts w:ascii="Arial" w:hAnsi="Arial" w:cs="Arial"/>
        </w:rPr>
        <w:t xml:space="preserve"> at zero</w:t>
      </w:r>
      <w:r w:rsidR="00EF5CBC" w:rsidRPr="00157555">
        <w:rPr>
          <w:rFonts w:ascii="Arial" w:hAnsi="Arial" w:cs="Arial"/>
        </w:rPr>
        <w:t xml:space="preserve"> </w:t>
      </w:r>
      <w:r w:rsidR="006C39EF" w:rsidRPr="00157555">
        <w:rPr>
          <w:rFonts w:ascii="Arial" w:hAnsi="Arial" w:cs="Arial"/>
        </w:rPr>
        <w:t>because it would keep the default service rate low. OCC Ex.</w:t>
      </w:r>
      <w:r w:rsidR="008232F8" w:rsidRPr="00157555">
        <w:rPr>
          <w:rFonts w:ascii="Arial" w:hAnsi="Arial" w:cs="Arial"/>
        </w:rPr>
        <w:t xml:space="preserve"> 1</w:t>
      </w:r>
      <w:r w:rsidR="006C39EF" w:rsidRPr="00157555">
        <w:rPr>
          <w:rFonts w:ascii="Arial" w:hAnsi="Arial" w:cs="Arial"/>
        </w:rPr>
        <w:t xml:space="preserve"> </w:t>
      </w:r>
      <w:r w:rsidR="008232F8" w:rsidRPr="00157555">
        <w:rPr>
          <w:rFonts w:ascii="Arial" w:hAnsi="Arial" w:cs="Arial"/>
        </w:rPr>
        <w:t xml:space="preserve">at 9-10. </w:t>
      </w:r>
      <w:r w:rsidR="00E82F08" w:rsidRPr="00157555">
        <w:rPr>
          <w:rFonts w:ascii="Arial" w:hAnsi="Arial" w:cs="Arial"/>
        </w:rPr>
        <w:t xml:space="preserve">It provides no insight into what costs are recovered and whether those costs are </w:t>
      </w:r>
      <w:r w:rsidR="009C5997" w:rsidRPr="00157555">
        <w:rPr>
          <w:rFonts w:ascii="Arial" w:hAnsi="Arial" w:cs="Arial"/>
        </w:rPr>
        <w:t xml:space="preserve">recovered </w:t>
      </w:r>
      <w:r w:rsidR="00E82F08" w:rsidRPr="00157555">
        <w:rPr>
          <w:rFonts w:ascii="Arial" w:hAnsi="Arial" w:cs="Arial"/>
        </w:rPr>
        <w:t>legal</w:t>
      </w:r>
      <w:r w:rsidR="009C5997" w:rsidRPr="00157555">
        <w:rPr>
          <w:rFonts w:ascii="Arial" w:hAnsi="Arial" w:cs="Arial"/>
        </w:rPr>
        <w:t>ly in distribution</w:t>
      </w:r>
      <w:r w:rsidR="00E02721" w:rsidRPr="00157555">
        <w:rPr>
          <w:rFonts w:ascii="Arial" w:hAnsi="Arial" w:cs="Arial"/>
        </w:rPr>
        <w:t xml:space="preserve"> </w:t>
      </w:r>
      <w:r w:rsidR="009C5997" w:rsidRPr="00157555">
        <w:rPr>
          <w:rFonts w:ascii="Arial" w:hAnsi="Arial" w:cs="Arial"/>
        </w:rPr>
        <w:t>rates,</w:t>
      </w:r>
      <w:r w:rsidR="00E82F08" w:rsidRPr="00157555">
        <w:rPr>
          <w:rFonts w:ascii="Arial" w:hAnsi="Arial" w:cs="Arial"/>
        </w:rPr>
        <w:t xml:space="preserve"> and it ignores the fact that residential customers receiving generation service are paying too much. </w:t>
      </w:r>
      <w:r w:rsidR="00F00654" w:rsidRPr="00157555">
        <w:rPr>
          <w:rFonts w:ascii="Arial" w:hAnsi="Arial" w:cs="Arial"/>
        </w:rPr>
        <w:t>The testimony offered by Ohio Power likewise offers little in the way of substantive support for the provision setting the riders at zero. In defending the provision, t</w:t>
      </w:r>
      <w:r w:rsidR="0071296C" w:rsidRPr="00157555">
        <w:rPr>
          <w:rFonts w:ascii="Arial" w:hAnsi="Arial" w:cs="Arial"/>
        </w:rPr>
        <w:t xml:space="preserve">he witness for Ohio Power </w:t>
      </w:r>
      <w:r w:rsidR="008C31E2" w:rsidRPr="00157555">
        <w:rPr>
          <w:rFonts w:ascii="Arial" w:hAnsi="Arial" w:cs="Arial"/>
        </w:rPr>
        <w:t>in support of the Stipulation</w:t>
      </w:r>
      <w:r w:rsidR="0071296C" w:rsidRPr="00157555">
        <w:rPr>
          <w:rFonts w:ascii="Arial" w:hAnsi="Arial" w:cs="Arial"/>
        </w:rPr>
        <w:t xml:space="preserve"> offered </w:t>
      </w:r>
      <w:r w:rsidR="00E82F08" w:rsidRPr="00157555">
        <w:rPr>
          <w:rFonts w:ascii="Arial" w:hAnsi="Arial" w:cs="Arial"/>
        </w:rPr>
        <w:t xml:space="preserve">it was a negotiated position and </w:t>
      </w:r>
      <w:r w:rsidR="0071296C" w:rsidRPr="00157555">
        <w:rPr>
          <w:rFonts w:ascii="Arial" w:hAnsi="Arial" w:cs="Arial"/>
        </w:rPr>
        <w:t xml:space="preserve">that there might be some basis for socializing these costs. Ohio Power Ex. </w:t>
      </w:r>
      <w:r w:rsidR="008C31E2" w:rsidRPr="00157555">
        <w:rPr>
          <w:rFonts w:ascii="Arial" w:hAnsi="Arial" w:cs="Arial"/>
        </w:rPr>
        <w:t>4</w:t>
      </w:r>
      <w:r w:rsidR="0071296C" w:rsidRPr="00157555">
        <w:rPr>
          <w:rFonts w:ascii="Arial" w:hAnsi="Arial" w:cs="Arial"/>
        </w:rPr>
        <w:t xml:space="preserve"> at </w:t>
      </w:r>
      <w:r w:rsidR="008C31E2" w:rsidRPr="00157555">
        <w:rPr>
          <w:rFonts w:ascii="Arial" w:hAnsi="Arial" w:cs="Arial"/>
        </w:rPr>
        <w:t>4</w:t>
      </w:r>
      <w:r w:rsidR="0071296C" w:rsidRPr="00157555">
        <w:rPr>
          <w:rFonts w:ascii="Arial" w:hAnsi="Arial" w:cs="Arial"/>
        </w:rPr>
        <w:t>.</w:t>
      </w:r>
      <w:r w:rsidR="00E82F08" w:rsidRPr="00157555">
        <w:rPr>
          <w:rFonts w:ascii="Arial" w:hAnsi="Arial" w:cs="Arial"/>
        </w:rPr>
        <w:t xml:space="preserve"> This less than rousing endorsement does not </w:t>
      </w:r>
      <w:r w:rsidR="00E02721" w:rsidRPr="00157555">
        <w:rPr>
          <w:rFonts w:ascii="Arial" w:hAnsi="Arial" w:cs="Arial"/>
        </w:rPr>
        <w:t xml:space="preserve">negate the fact </w:t>
      </w:r>
      <w:r w:rsidR="00E82F08" w:rsidRPr="00157555">
        <w:rPr>
          <w:rFonts w:ascii="Arial" w:hAnsi="Arial" w:cs="Arial"/>
        </w:rPr>
        <w:t>that there are known and quantifiable costs that Ohio Power is recovering for the provision of distribution service or provide any basis to find that the recovery is consistent with the requirements of Ohio law.</w:t>
      </w:r>
    </w:p>
    <w:p w14:paraId="5D2D8730" w14:textId="011D71C3" w:rsidR="009774B4" w:rsidRPr="00157555" w:rsidRDefault="00EF5CBC" w:rsidP="00C43396">
      <w:pPr>
        <w:spacing w:after="0" w:line="480" w:lineRule="auto"/>
        <w:ind w:firstLine="720"/>
        <w:jc w:val="both"/>
        <w:rPr>
          <w:rFonts w:ascii="Arial" w:hAnsi="Arial" w:cs="Arial"/>
        </w:rPr>
      </w:pPr>
      <w:r w:rsidRPr="00157555">
        <w:rPr>
          <w:rFonts w:ascii="Arial" w:hAnsi="Arial" w:cs="Arial"/>
        </w:rPr>
        <w:t xml:space="preserve">The burden thus fell to </w:t>
      </w:r>
      <w:r w:rsidR="00B920EA" w:rsidRPr="00157555">
        <w:rPr>
          <w:rFonts w:ascii="Arial" w:hAnsi="Arial" w:cs="Arial"/>
        </w:rPr>
        <w:t xml:space="preserve">competitive suppliers to demonstrate the costs Ohio Power was recovering in distribution rates for the provision of default generation service. Based on the suppliers’ efforts, the </w:t>
      </w:r>
      <w:r w:rsidR="00E82F08" w:rsidRPr="00157555">
        <w:rPr>
          <w:rFonts w:ascii="Arial" w:hAnsi="Arial" w:cs="Arial"/>
        </w:rPr>
        <w:t xml:space="preserve">record shows </w:t>
      </w:r>
      <w:r w:rsidR="0071296C" w:rsidRPr="00157555">
        <w:rPr>
          <w:rFonts w:ascii="Arial" w:hAnsi="Arial" w:cs="Arial"/>
        </w:rPr>
        <w:t xml:space="preserve">agreement from Staff, Ohio Power, and OCC that </w:t>
      </w:r>
      <w:r w:rsidR="00B920EA" w:rsidRPr="00157555">
        <w:rPr>
          <w:rFonts w:ascii="Arial" w:hAnsi="Arial" w:cs="Arial"/>
        </w:rPr>
        <w:t>known and quantifiable</w:t>
      </w:r>
      <w:r w:rsidR="0071296C" w:rsidRPr="00157555">
        <w:rPr>
          <w:rFonts w:ascii="Arial" w:hAnsi="Arial" w:cs="Arial"/>
        </w:rPr>
        <w:t xml:space="preserve"> costs </w:t>
      </w:r>
      <w:r w:rsidR="00B920EA" w:rsidRPr="00157555">
        <w:rPr>
          <w:rFonts w:ascii="Arial" w:hAnsi="Arial" w:cs="Arial"/>
        </w:rPr>
        <w:t>are</w:t>
      </w:r>
      <w:r w:rsidR="0071296C" w:rsidRPr="00157555">
        <w:rPr>
          <w:rFonts w:ascii="Arial" w:hAnsi="Arial" w:cs="Arial"/>
        </w:rPr>
        <w:t xml:space="preserve"> being incurred to support default service</w:t>
      </w:r>
      <w:r w:rsidR="00E02721" w:rsidRPr="00157555">
        <w:rPr>
          <w:rFonts w:ascii="Arial" w:hAnsi="Arial" w:cs="Arial"/>
        </w:rPr>
        <w:t>; that these costs</w:t>
      </w:r>
      <w:r w:rsidR="0071296C" w:rsidRPr="00157555">
        <w:rPr>
          <w:rFonts w:ascii="Arial" w:hAnsi="Arial" w:cs="Arial"/>
        </w:rPr>
        <w:t xml:space="preserve"> are generation-related costs</w:t>
      </w:r>
      <w:r w:rsidR="00E02721" w:rsidRPr="00157555">
        <w:rPr>
          <w:rFonts w:ascii="Arial" w:hAnsi="Arial" w:cs="Arial"/>
        </w:rPr>
        <w:t>,</w:t>
      </w:r>
      <w:r w:rsidR="00B920EA" w:rsidRPr="00157555">
        <w:rPr>
          <w:rFonts w:ascii="Arial" w:hAnsi="Arial" w:cs="Arial"/>
        </w:rPr>
        <w:t xml:space="preserve"> and </w:t>
      </w:r>
      <w:r w:rsidR="00B25907" w:rsidRPr="00157555">
        <w:rPr>
          <w:rFonts w:ascii="Arial" w:hAnsi="Arial" w:cs="Arial"/>
        </w:rPr>
        <w:t xml:space="preserve">that </w:t>
      </w:r>
      <w:r w:rsidR="00B920EA" w:rsidRPr="00157555">
        <w:rPr>
          <w:rFonts w:ascii="Arial" w:hAnsi="Arial" w:cs="Arial"/>
        </w:rPr>
        <w:t>these costs are being recovered in distribution rates</w:t>
      </w:r>
      <w:r w:rsidR="0071296C" w:rsidRPr="00157555">
        <w:rPr>
          <w:rFonts w:ascii="Arial" w:hAnsi="Arial" w:cs="Arial"/>
        </w:rPr>
        <w:t>. IGS Ex. 3, 13, and 14; Tr. at 36, 49-53,158-59; Tr. at 290-92</w:t>
      </w:r>
      <w:r w:rsidR="005A0560" w:rsidRPr="00157555">
        <w:rPr>
          <w:rFonts w:ascii="Arial" w:hAnsi="Arial" w:cs="Arial"/>
        </w:rPr>
        <w:t xml:space="preserve">; Tr. at </w:t>
      </w:r>
      <w:r w:rsidR="0071296C" w:rsidRPr="00157555">
        <w:rPr>
          <w:rFonts w:ascii="Arial" w:hAnsi="Arial" w:cs="Arial"/>
        </w:rPr>
        <w:t xml:space="preserve">346-49. </w:t>
      </w:r>
    </w:p>
    <w:p w14:paraId="0E7682E2" w14:textId="018636A0" w:rsidR="0071296C" w:rsidRPr="00157555" w:rsidRDefault="0071296C" w:rsidP="00C43396">
      <w:pPr>
        <w:spacing w:after="0" w:line="480" w:lineRule="auto"/>
        <w:ind w:firstLine="720"/>
        <w:jc w:val="both"/>
        <w:rPr>
          <w:rFonts w:ascii="Arial" w:hAnsi="Arial" w:cs="Arial"/>
        </w:rPr>
      </w:pPr>
      <w:r w:rsidRPr="00157555">
        <w:rPr>
          <w:rFonts w:ascii="Arial" w:hAnsi="Arial" w:cs="Arial"/>
        </w:rPr>
        <w:t xml:space="preserve">Besides showing that Ohio Power </w:t>
      </w:r>
      <w:r w:rsidR="009774B4" w:rsidRPr="00157555">
        <w:rPr>
          <w:rFonts w:ascii="Arial" w:hAnsi="Arial" w:cs="Arial"/>
        </w:rPr>
        <w:t>is</w:t>
      </w:r>
      <w:r w:rsidRPr="00157555">
        <w:rPr>
          <w:rFonts w:ascii="Arial" w:hAnsi="Arial" w:cs="Arial"/>
        </w:rPr>
        <w:t xml:space="preserve"> collecting generation-related service costs in distribution rates, IGS also showed that </w:t>
      </w:r>
      <w:r w:rsidR="00E70040" w:rsidRPr="00157555">
        <w:rPr>
          <w:rFonts w:ascii="Arial" w:hAnsi="Arial" w:cs="Arial"/>
        </w:rPr>
        <w:t xml:space="preserve">authorization of the recovery of those costs in distribution rates </w:t>
      </w:r>
      <w:r w:rsidRPr="00157555">
        <w:rPr>
          <w:rFonts w:ascii="Arial" w:hAnsi="Arial" w:cs="Arial"/>
        </w:rPr>
        <w:t xml:space="preserve">was beyond </w:t>
      </w:r>
      <w:r w:rsidR="005A0560" w:rsidRPr="00157555">
        <w:rPr>
          <w:rFonts w:ascii="Arial" w:hAnsi="Arial" w:cs="Arial"/>
        </w:rPr>
        <w:t xml:space="preserve">the </w:t>
      </w:r>
      <w:r w:rsidRPr="00157555">
        <w:rPr>
          <w:rFonts w:ascii="Arial" w:hAnsi="Arial" w:cs="Arial"/>
        </w:rPr>
        <w:t>legal authority of the Commission</w:t>
      </w:r>
      <w:r w:rsidR="00760A77" w:rsidRPr="00157555">
        <w:rPr>
          <w:rFonts w:ascii="Arial" w:hAnsi="Arial" w:cs="Arial"/>
        </w:rPr>
        <w:t xml:space="preserve"> and</w:t>
      </w:r>
      <w:r w:rsidRPr="00157555">
        <w:rPr>
          <w:rFonts w:ascii="Arial" w:hAnsi="Arial" w:cs="Arial"/>
        </w:rPr>
        <w:t xml:space="preserve"> that such recover</w:t>
      </w:r>
      <w:r w:rsidR="00F00654" w:rsidRPr="00157555">
        <w:rPr>
          <w:rFonts w:ascii="Arial" w:hAnsi="Arial" w:cs="Arial"/>
        </w:rPr>
        <w:t>y</w:t>
      </w:r>
      <w:r w:rsidRPr="00157555">
        <w:rPr>
          <w:rFonts w:ascii="Arial" w:hAnsi="Arial" w:cs="Arial"/>
        </w:rPr>
        <w:t xml:space="preserve"> promoted adverse economic effects on consumers, competitors, and competition in the generation service market by permitting a utility to collect generation costs in monopoly distribution rates. See IGS </w:t>
      </w:r>
      <w:r w:rsidR="006D151C" w:rsidRPr="00157555">
        <w:rPr>
          <w:rFonts w:ascii="Arial" w:hAnsi="Arial" w:cs="Arial"/>
        </w:rPr>
        <w:t xml:space="preserve">Initial </w:t>
      </w:r>
      <w:r w:rsidRPr="00157555">
        <w:rPr>
          <w:rFonts w:ascii="Arial" w:hAnsi="Arial" w:cs="Arial"/>
        </w:rPr>
        <w:t xml:space="preserve">Brief at 12-22 and </w:t>
      </w:r>
      <w:r w:rsidR="00A67CC1" w:rsidRPr="00157555">
        <w:rPr>
          <w:rFonts w:ascii="Arial" w:hAnsi="Arial" w:cs="Arial"/>
        </w:rPr>
        <w:t xml:space="preserve">Joint Reply Brief of Interstate Gas Supply, Inc. and Direct Energy Business, LLC and Direct Energy Services, LLC </w:t>
      </w:r>
      <w:r w:rsidRPr="00157555">
        <w:rPr>
          <w:rFonts w:ascii="Arial" w:hAnsi="Arial" w:cs="Arial"/>
        </w:rPr>
        <w:t>at 3-19</w:t>
      </w:r>
      <w:r w:rsidR="00A67CC1" w:rsidRPr="00157555">
        <w:rPr>
          <w:rFonts w:ascii="Arial" w:hAnsi="Arial" w:cs="Arial"/>
        </w:rPr>
        <w:t xml:space="preserve"> (July 6, 2021) (“IGS/Direct Reply Brief”)</w:t>
      </w:r>
      <w:r w:rsidR="0075686C">
        <w:rPr>
          <w:rFonts w:ascii="Arial" w:hAnsi="Arial" w:cs="Arial"/>
        </w:rPr>
        <w:t>; IGS/Direct Ex. 2</w:t>
      </w:r>
      <w:r w:rsidRPr="00157555">
        <w:rPr>
          <w:rFonts w:ascii="Arial" w:hAnsi="Arial" w:cs="Arial"/>
        </w:rPr>
        <w:t>.</w:t>
      </w:r>
      <w:r w:rsidR="00F00654" w:rsidRPr="00157555">
        <w:rPr>
          <w:rFonts w:ascii="Arial" w:hAnsi="Arial" w:cs="Arial"/>
        </w:rPr>
        <w:t xml:space="preserve"> </w:t>
      </w:r>
      <w:r w:rsidR="009774B4" w:rsidRPr="00157555">
        <w:rPr>
          <w:rFonts w:ascii="Arial" w:hAnsi="Arial" w:cs="Arial"/>
        </w:rPr>
        <w:t>Although IGS raised these issues through its testimony and briefs, the Commission does not address any of the legal or economic consequences of approval of the provision setting the riders at zero in its decision.</w:t>
      </w:r>
    </w:p>
    <w:p w14:paraId="7387DBD5" w14:textId="1F5AAF49" w:rsidR="0071296C" w:rsidRPr="00157555" w:rsidRDefault="0071296C" w:rsidP="00C43396">
      <w:pPr>
        <w:spacing w:after="0" w:line="480" w:lineRule="auto"/>
        <w:ind w:firstLine="720"/>
        <w:jc w:val="both"/>
        <w:rPr>
          <w:rFonts w:ascii="Arial" w:hAnsi="Arial" w:cs="Arial"/>
        </w:rPr>
      </w:pPr>
      <w:r w:rsidRPr="00157555">
        <w:rPr>
          <w:rFonts w:ascii="Arial" w:hAnsi="Arial" w:cs="Arial"/>
        </w:rPr>
        <w:t>In substance, then, the Opinion and Order</w:t>
      </w:r>
      <w:r w:rsidR="00F00654" w:rsidRPr="00157555">
        <w:rPr>
          <w:rFonts w:ascii="Arial" w:hAnsi="Arial" w:cs="Arial"/>
        </w:rPr>
        <w:t>’s</w:t>
      </w:r>
      <w:r w:rsidRPr="00157555">
        <w:rPr>
          <w:rFonts w:ascii="Arial" w:hAnsi="Arial" w:cs="Arial"/>
        </w:rPr>
        <w:t xml:space="preserve"> decision to leave the riders at zero is based on (1) </w:t>
      </w:r>
      <w:r w:rsidR="0008773A" w:rsidRPr="00157555">
        <w:rPr>
          <w:rFonts w:ascii="Arial" w:hAnsi="Arial" w:cs="Arial"/>
        </w:rPr>
        <w:t>a</w:t>
      </w:r>
      <w:r w:rsidR="00B920EA" w:rsidRPr="00157555">
        <w:rPr>
          <w:rFonts w:ascii="Arial" w:hAnsi="Arial" w:cs="Arial"/>
        </w:rPr>
        <w:t xml:space="preserve"> </w:t>
      </w:r>
      <w:r w:rsidR="0008773A" w:rsidRPr="00157555">
        <w:rPr>
          <w:rFonts w:ascii="Arial" w:hAnsi="Arial" w:cs="Arial"/>
        </w:rPr>
        <w:t xml:space="preserve">factual finding that the record does not support a determination of known and quantifiable costs that no party supported; (2) </w:t>
      </w:r>
      <w:r w:rsidR="009774B4" w:rsidRPr="00157555">
        <w:rPr>
          <w:rFonts w:ascii="Arial" w:hAnsi="Arial" w:cs="Arial"/>
        </w:rPr>
        <w:t>agreement</w:t>
      </w:r>
      <w:r w:rsidR="0008773A" w:rsidRPr="00157555">
        <w:rPr>
          <w:rFonts w:ascii="Arial" w:hAnsi="Arial" w:cs="Arial"/>
        </w:rPr>
        <w:t xml:space="preserve"> with</w:t>
      </w:r>
      <w:r w:rsidRPr="00157555">
        <w:rPr>
          <w:rFonts w:ascii="Arial" w:hAnsi="Arial" w:cs="Arial"/>
        </w:rPr>
        <w:t xml:space="preserve"> a Staff Report that effectively excuses Ohio Power’s indifference to the Commission’s prior order</w:t>
      </w:r>
      <w:r w:rsidR="0008773A" w:rsidRPr="00157555">
        <w:rPr>
          <w:rFonts w:ascii="Arial" w:hAnsi="Arial" w:cs="Arial"/>
        </w:rPr>
        <w:t xml:space="preserve"> and</w:t>
      </w:r>
      <w:r w:rsidRPr="00157555">
        <w:rPr>
          <w:rFonts w:ascii="Arial" w:hAnsi="Arial" w:cs="Arial"/>
        </w:rPr>
        <w:t xml:space="preserve"> </w:t>
      </w:r>
      <w:r w:rsidR="0008773A" w:rsidRPr="00157555">
        <w:rPr>
          <w:rFonts w:ascii="Arial" w:hAnsi="Arial" w:cs="Arial"/>
        </w:rPr>
        <w:t>advances</w:t>
      </w:r>
      <w:r w:rsidRPr="00157555">
        <w:rPr>
          <w:rFonts w:ascii="Arial" w:hAnsi="Arial" w:cs="Arial"/>
        </w:rPr>
        <w:t xml:space="preserve"> a policy claim wholly at odds </w:t>
      </w:r>
      <w:r w:rsidR="009774B4" w:rsidRPr="00157555">
        <w:rPr>
          <w:rFonts w:ascii="Arial" w:hAnsi="Arial" w:cs="Arial"/>
        </w:rPr>
        <w:t xml:space="preserve">with the requirements of Ohio law </w:t>
      </w:r>
      <w:r w:rsidR="00B920EA" w:rsidRPr="00157555">
        <w:rPr>
          <w:rFonts w:ascii="Arial" w:hAnsi="Arial" w:cs="Arial"/>
        </w:rPr>
        <w:t xml:space="preserve">and </w:t>
      </w:r>
      <w:r w:rsidR="009774B4" w:rsidRPr="00157555">
        <w:rPr>
          <w:rFonts w:ascii="Arial" w:hAnsi="Arial" w:cs="Arial"/>
        </w:rPr>
        <w:t>based on a relabeling of generation costs as distribution costs</w:t>
      </w:r>
      <w:r w:rsidRPr="00157555">
        <w:rPr>
          <w:rFonts w:ascii="Arial" w:hAnsi="Arial" w:cs="Arial"/>
        </w:rPr>
        <w:t xml:space="preserve">, </w:t>
      </w:r>
      <w:r w:rsidR="0008773A" w:rsidRPr="00157555">
        <w:rPr>
          <w:rFonts w:ascii="Arial" w:hAnsi="Arial" w:cs="Arial"/>
        </w:rPr>
        <w:t xml:space="preserve">(3) ignoring the legal and economic problems that the provision setting the riders at zero presents, </w:t>
      </w:r>
      <w:r w:rsidRPr="00157555">
        <w:rPr>
          <w:rFonts w:ascii="Arial" w:hAnsi="Arial" w:cs="Arial"/>
        </w:rPr>
        <w:t>and (</w:t>
      </w:r>
      <w:r w:rsidR="0008773A" w:rsidRPr="00157555">
        <w:rPr>
          <w:rFonts w:ascii="Arial" w:hAnsi="Arial" w:cs="Arial"/>
        </w:rPr>
        <w:t>4</w:t>
      </w:r>
      <w:r w:rsidRPr="00157555">
        <w:rPr>
          <w:rFonts w:ascii="Arial" w:hAnsi="Arial" w:cs="Arial"/>
        </w:rPr>
        <w:t xml:space="preserve">) kicking the determination that was supposed to </w:t>
      </w:r>
      <w:r w:rsidR="00CC2150">
        <w:rPr>
          <w:rFonts w:ascii="Arial" w:hAnsi="Arial" w:cs="Arial"/>
        </w:rPr>
        <w:t>be</w:t>
      </w:r>
      <w:r w:rsidRPr="00157555">
        <w:rPr>
          <w:rFonts w:ascii="Arial" w:hAnsi="Arial" w:cs="Arial"/>
        </w:rPr>
        <w:t xml:space="preserve"> made in this case </w:t>
      </w:r>
      <w:r w:rsidR="0008773A" w:rsidRPr="00157555">
        <w:rPr>
          <w:rFonts w:ascii="Arial" w:hAnsi="Arial" w:cs="Arial"/>
        </w:rPr>
        <w:t xml:space="preserve">that distribution rates are just and reasonable </w:t>
      </w:r>
      <w:r w:rsidRPr="00157555">
        <w:rPr>
          <w:rFonts w:ascii="Arial" w:hAnsi="Arial" w:cs="Arial"/>
        </w:rPr>
        <w:t>to some future case</w:t>
      </w:r>
      <w:r w:rsidR="009E14BC">
        <w:rPr>
          <w:rFonts w:ascii="Arial" w:hAnsi="Arial" w:cs="Arial"/>
        </w:rPr>
        <w:t>,</w:t>
      </w:r>
      <w:r w:rsidRPr="00157555">
        <w:rPr>
          <w:rFonts w:ascii="Arial" w:hAnsi="Arial" w:cs="Arial"/>
        </w:rPr>
        <w:t xml:space="preserve"> or switching the burden of proof to the competitors to show that distribution rates are unreasonable.</w:t>
      </w:r>
    </w:p>
    <w:p w14:paraId="7936C217" w14:textId="01BB3AA6" w:rsidR="00AC4187" w:rsidRPr="00157555" w:rsidRDefault="00F70C81" w:rsidP="00C43396">
      <w:pPr>
        <w:spacing w:after="0" w:line="480" w:lineRule="auto"/>
        <w:ind w:firstLine="720"/>
        <w:jc w:val="both"/>
        <w:rPr>
          <w:rFonts w:ascii="Arial" w:hAnsi="Arial" w:cs="Arial"/>
        </w:rPr>
      </w:pPr>
      <w:r w:rsidRPr="00157555">
        <w:rPr>
          <w:rFonts w:ascii="Arial" w:hAnsi="Arial" w:cs="Arial"/>
        </w:rPr>
        <w:t xml:space="preserve">Thus, the decision setting the riders at zero presents the same kinds of problems the Court found sufficient to reverse and remand the Commission’s decision in </w:t>
      </w:r>
      <w:proofErr w:type="spellStart"/>
      <w:r w:rsidRPr="00157555">
        <w:rPr>
          <w:rFonts w:ascii="Arial" w:hAnsi="Arial" w:cs="Arial"/>
          <w:i/>
          <w:iCs/>
        </w:rPr>
        <w:t>Suvon</w:t>
      </w:r>
      <w:proofErr w:type="spellEnd"/>
      <w:r w:rsidRPr="00157555">
        <w:rPr>
          <w:rFonts w:ascii="Arial" w:hAnsi="Arial" w:cs="Arial"/>
        </w:rPr>
        <w:t>.</w:t>
      </w:r>
    </w:p>
    <w:p w14:paraId="358EB15D" w14:textId="6027831F" w:rsidR="0071296C" w:rsidRPr="00157555" w:rsidRDefault="0071296C" w:rsidP="00C43396">
      <w:pPr>
        <w:spacing w:after="0" w:line="480" w:lineRule="auto"/>
        <w:ind w:firstLine="720"/>
        <w:jc w:val="both"/>
        <w:rPr>
          <w:rFonts w:ascii="Arial" w:hAnsi="Arial" w:cs="Arial"/>
        </w:rPr>
      </w:pPr>
      <w:r w:rsidRPr="00157555">
        <w:rPr>
          <w:rFonts w:ascii="Arial" w:hAnsi="Arial" w:cs="Arial"/>
        </w:rPr>
        <w:t xml:space="preserve">First, </w:t>
      </w:r>
      <w:r w:rsidR="00F70C81" w:rsidRPr="00157555">
        <w:rPr>
          <w:rFonts w:ascii="Arial" w:hAnsi="Arial" w:cs="Arial"/>
        </w:rPr>
        <w:t xml:space="preserve">the </w:t>
      </w:r>
      <w:r w:rsidR="00760A77" w:rsidRPr="00157555">
        <w:rPr>
          <w:rFonts w:ascii="Arial" w:hAnsi="Arial" w:cs="Arial"/>
        </w:rPr>
        <w:t>decision</w:t>
      </w:r>
      <w:r w:rsidRPr="00157555">
        <w:rPr>
          <w:rFonts w:ascii="Arial" w:hAnsi="Arial" w:cs="Arial"/>
        </w:rPr>
        <w:t xml:space="preserve"> fails to address many of the material issues the Commission must decide. </w:t>
      </w:r>
      <w:r w:rsidR="00AC4187" w:rsidRPr="00157555">
        <w:rPr>
          <w:rFonts w:ascii="Arial" w:hAnsi="Arial" w:cs="Arial"/>
        </w:rPr>
        <w:t>These include the legal impediments to such recovery and the economic fallout that will result.</w:t>
      </w:r>
    </w:p>
    <w:p w14:paraId="3E37077D" w14:textId="7AFF1F3B" w:rsidR="0071296C" w:rsidRPr="00157555" w:rsidRDefault="0071296C" w:rsidP="00C43396">
      <w:pPr>
        <w:spacing w:after="0" w:line="480" w:lineRule="auto"/>
        <w:ind w:firstLine="720"/>
        <w:jc w:val="both"/>
        <w:rPr>
          <w:rFonts w:ascii="Arial" w:hAnsi="Arial" w:cs="Arial"/>
        </w:rPr>
      </w:pPr>
      <w:r w:rsidRPr="00157555">
        <w:rPr>
          <w:rFonts w:ascii="Arial" w:hAnsi="Arial" w:cs="Arial"/>
        </w:rPr>
        <w:t xml:space="preserve">Second, </w:t>
      </w:r>
      <w:r w:rsidR="007133A4" w:rsidRPr="00157555">
        <w:rPr>
          <w:rFonts w:ascii="Arial" w:hAnsi="Arial" w:cs="Arial"/>
        </w:rPr>
        <w:t xml:space="preserve">the </w:t>
      </w:r>
      <w:r w:rsidRPr="00157555">
        <w:rPr>
          <w:rFonts w:ascii="Arial" w:hAnsi="Arial" w:cs="Arial"/>
        </w:rPr>
        <w:t>Staff Report</w:t>
      </w:r>
      <w:r w:rsidR="007133A4" w:rsidRPr="00157555">
        <w:rPr>
          <w:rFonts w:ascii="Arial" w:hAnsi="Arial" w:cs="Arial"/>
        </w:rPr>
        <w:t xml:space="preserve"> </w:t>
      </w:r>
      <w:r w:rsidR="00760A77" w:rsidRPr="00157555">
        <w:rPr>
          <w:rFonts w:ascii="Arial" w:hAnsi="Arial" w:cs="Arial"/>
        </w:rPr>
        <w:t xml:space="preserve">on which the Commission </w:t>
      </w:r>
      <w:r w:rsidR="00F70C81" w:rsidRPr="00157555">
        <w:rPr>
          <w:rFonts w:ascii="Arial" w:hAnsi="Arial" w:cs="Arial"/>
        </w:rPr>
        <w:t xml:space="preserve">relies </w:t>
      </w:r>
      <w:r w:rsidRPr="00157555">
        <w:rPr>
          <w:rFonts w:ascii="Arial" w:hAnsi="Arial" w:cs="Arial"/>
        </w:rPr>
        <w:t>fall</w:t>
      </w:r>
      <w:r w:rsidR="00F70C81" w:rsidRPr="00157555">
        <w:rPr>
          <w:rFonts w:ascii="Arial" w:hAnsi="Arial" w:cs="Arial"/>
        </w:rPr>
        <w:t>s</w:t>
      </w:r>
      <w:r w:rsidRPr="00157555">
        <w:rPr>
          <w:rFonts w:ascii="Arial" w:hAnsi="Arial" w:cs="Arial"/>
        </w:rPr>
        <w:t xml:space="preserve"> short of showing why costs that the parties agree are incurred to support default service should be </w:t>
      </w:r>
      <w:r w:rsidR="0060049C" w:rsidRPr="00157555">
        <w:rPr>
          <w:rFonts w:ascii="Arial" w:hAnsi="Arial" w:cs="Arial"/>
        </w:rPr>
        <w:t>recovered</w:t>
      </w:r>
      <w:r w:rsidRPr="00157555">
        <w:rPr>
          <w:rFonts w:ascii="Arial" w:hAnsi="Arial" w:cs="Arial"/>
        </w:rPr>
        <w:t xml:space="preserve"> </w:t>
      </w:r>
      <w:r w:rsidR="0060049C" w:rsidRPr="00157555">
        <w:rPr>
          <w:rFonts w:ascii="Arial" w:hAnsi="Arial" w:cs="Arial"/>
        </w:rPr>
        <w:t>in distribution rates</w:t>
      </w:r>
      <w:r w:rsidRPr="00157555">
        <w:rPr>
          <w:rFonts w:ascii="Arial" w:hAnsi="Arial" w:cs="Arial"/>
        </w:rPr>
        <w:t xml:space="preserve">. </w:t>
      </w:r>
      <w:r w:rsidR="00760A77" w:rsidRPr="00157555">
        <w:rPr>
          <w:rFonts w:ascii="Arial" w:hAnsi="Arial" w:cs="Arial"/>
        </w:rPr>
        <w:t>This failure occurred because t</w:t>
      </w:r>
      <w:r w:rsidR="00605815" w:rsidRPr="00157555">
        <w:rPr>
          <w:rFonts w:ascii="Arial" w:hAnsi="Arial" w:cs="Arial"/>
        </w:rPr>
        <w:t xml:space="preserve">he Staff did not proceed beyond the fact that Ohio Power’s efforts to address the prior Commission order to identify the costs to provide default service and support competitive suppliers was incomplete. </w:t>
      </w:r>
      <w:r w:rsidR="00760A77" w:rsidRPr="00157555">
        <w:rPr>
          <w:rFonts w:ascii="Arial" w:hAnsi="Arial" w:cs="Arial"/>
        </w:rPr>
        <w:t>Nonetheless, there is no disagreement that Ohio Power is recovering some know</w:t>
      </w:r>
      <w:r w:rsidR="00F633FD" w:rsidRPr="00157555">
        <w:rPr>
          <w:rFonts w:ascii="Arial" w:hAnsi="Arial" w:cs="Arial"/>
        </w:rPr>
        <w:t>n</w:t>
      </w:r>
      <w:r w:rsidR="00760A77" w:rsidRPr="00157555">
        <w:rPr>
          <w:rFonts w:ascii="Arial" w:hAnsi="Arial" w:cs="Arial"/>
        </w:rPr>
        <w:t xml:space="preserve"> and quantifiable costs of generation supply in distribution rates. The question is not whether these costs are collected, but the degree to which they remain embedded in distribution rates. On that question, the Staff investigation stopped short. </w:t>
      </w:r>
      <w:r w:rsidRPr="00157555">
        <w:rPr>
          <w:rFonts w:ascii="Arial" w:hAnsi="Arial" w:cs="Arial"/>
        </w:rPr>
        <w:t xml:space="preserve">If Ohio Power’s response was incomplete, then </w:t>
      </w:r>
      <w:r w:rsidR="00F70C81" w:rsidRPr="00157555">
        <w:rPr>
          <w:rFonts w:ascii="Arial" w:hAnsi="Arial" w:cs="Arial"/>
        </w:rPr>
        <w:t xml:space="preserve">the efforts of </w:t>
      </w:r>
      <w:r w:rsidRPr="00157555">
        <w:rPr>
          <w:rFonts w:ascii="Arial" w:hAnsi="Arial" w:cs="Arial"/>
        </w:rPr>
        <w:t xml:space="preserve">the Commission and its Staff should be directed at reversing that failure, not excusing </w:t>
      </w:r>
      <w:r w:rsidR="00B209AF" w:rsidRPr="00157555">
        <w:rPr>
          <w:rFonts w:ascii="Arial" w:hAnsi="Arial" w:cs="Arial"/>
        </w:rPr>
        <w:t>it</w:t>
      </w:r>
      <w:r w:rsidRPr="00157555">
        <w:rPr>
          <w:rFonts w:ascii="Arial" w:hAnsi="Arial" w:cs="Arial"/>
        </w:rPr>
        <w:t xml:space="preserve">. </w:t>
      </w:r>
      <w:r w:rsidR="003A6345" w:rsidRPr="00157555">
        <w:rPr>
          <w:rFonts w:ascii="Arial" w:hAnsi="Arial" w:cs="Arial"/>
        </w:rPr>
        <w:t xml:space="preserve">Yet, </w:t>
      </w:r>
      <w:r w:rsidR="00B209AF" w:rsidRPr="00157555">
        <w:rPr>
          <w:rFonts w:ascii="Arial" w:hAnsi="Arial" w:cs="Arial"/>
        </w:rPr>
        <w:t xml:space="preserve">the incomplete report and </w:t>
      </w:r>
      <w:r w:rsidR="003A6345" w:rsidRPr="00157555">
        <w:rPr>
          <w:rFonts w:ascii="Arial" w:hAnsi="Arial" w:cs="Arial"/>
        </w:rPr>
        <w:t xml:space="preserve">investigation </w:t>
      </w:r>
      <w:r w:rsidR="00B209AF" w:rsidRPr="00157555">
        <w:rPr>
          <w:rFonts w:ascii="Arial" w:hAnsi="Arial" w:cs="Arial"/>
        </w:rPr>
        <w:t>have</w:t>
      </w:r>
      <w:r w:rsidR="003A6345" w:rsidRPr="00157555">
        <w:rPr>
          <w:rFonts w:ascii="Arial" w:hAnsi="Arial" w:cs="Arial"/>
        </w:rPr>
        <w:t xml:space="preserve"> become the basis for a finding that know</w:t>
      </w:r>
      <w:r w:rsidR="00B209AF" w:rsidRPr="00157555">
        <w:rPr>
          <w:rFonts w:ascii="Arial" w:hAnsi="Arial" w:cs="Arial"/>
        </w:rPr>
        <w:t>n</w:t>
      </w:r>
      <w:r w:rsidR="003A6345" w:rsidRPr="00157555">
        <w:rPr>
          <w:rFonts w:ascii="Arial" w:hAnsi="Arial" w:cs="Arial"/>
        </w:rPr>
        <w:t xml:space="preserve"> and quantifiable costs </w:t>
      </w:r>
      <w:r w:rsidR="00760A77" w:rsidRPr="00157555">
        <w:rPr>
          <w:rFonts w:ascii="Arial" w:hAnsi="Arial" w:cs="Arial"/>
        </w:rPr>
        <w:t xml:space="preserve">that parties agree are being recovered </w:t>
      </w:r>
      <w:r w:rsidR="00F633FD" w:rsidRPr="00157555">
        <w:rPr>
          <w:rFonts w:ascii="Arial" w:hAnsi="Arial" w:cs="Arial"/>
        </w:rPr>
        <w:t xml:space="preserve">through distribution rates </w:t>
      </w:r>
      <w:r w:rsidR="00760A77" w:rsidRPr="00157555">
        <w:rPr>
          <w:rFonts w:ascii="Arial" w:hAnsi="Arial" w:cs="Arial"/>
        </w:rPr>
        <w:t>cannot be properly assigned for recovery in the riders.</w:t>
      </w:r>
    </w:p>
    <w:p w14:paraId="602723EB" w14:textId="51015440" w:rsidR="0071296C" w:rsidRPr="00157555" w:rsidRDefault="0071296C" w:rsidP="00C43396">
      <w:pPr>
        <w:spacing w:after="0" w:line="480" w:lineRule="auto"/>
        <w:ind w:firstLine="720"/>
        <w:jc w:val="both"/>
        <w:rPr>
          <w:rFonts w:ascii="Arial" w:hAnsi="Arial" w:cs="Arial"/>
        </w:rPr>
      </w:pPr>
      <w:r w:rsidRPr="00157555">
        <w:rPr>
          <w:rFonts w:ascii="Arial" w:hAnsi="Arial" w:cs="Arial"/>
        </w:rPr>
        <w:t xml:space="preserve">Third, any reliance on the Staff’s </w:t>
      </w:r>
      <w:r w:rsidR="00605815" w:rsidRPr="00157555">
        <w:rPr>
          <w:rFonts w:ascii="Arial" w:hAnsi="Arial" w:cs="Arial"/>
        </w:rPr>
        <w:t>characterization (and the other parties’ reliance on Staff’s characterization)</w:t>
      </w:r>
      <w:r w:rsidRPr="00157555">
        <w:rPr>
          <w:rFonts w:ascii="Arial" w:hAnsi="Arial" w:cs="Arial"/>
        </w:rPr>
        <w:t xml:space="preserve"> that these costs </w:t>
      </w:r>
      <w:r w:rsidR="0060049C" w:rsidRPr="00157555">
        <w:rPr>
          <w:rFonts w:ascii="Arial" w:hAnsi="Arial" w:cs="Arial"/>
        </w:rPr>
        <w:t xml:space="preserve">are distribution related or </w:t>
      </w:r>
      <w:r w:rsidRPr="00157555">
        <w:rPr>
          <w:rFonts w:ascii="Arial" w:hAnsi="Arial" w:cs="Arial"/>
        </w:rPr>
        <w:t>should be socialized is misdirected. A Staff recommendation cannot alter the law</w:t>
      </w:r>
      <w:r w:rsidR="0060049C" w:rsidRPr="00157555">
        <w:rPr>
          <w:rFonts w:ascii="Arial" w:hAnsi="Arial" w:cs="Arial"/>
        </w:rPr>
        <w:t xml:space="preserve"> that requires functionalization of distribution, transmission, and generation costs and prohibits the recovery of generation costs in distribution rates</w:t>
      </w:r>
      <w:r w:rsidRPr="00157555">
        <w:rPr>
          <w:rFonts w:ascii="Arial" w:hAnsi="Arial" w:cs="Arial"/>
        </w:rPr>
        <w:t xml:space="preserve">. </w:t>
      </w:r>
      <w:r w:rsidR="003A6345" w:rsidRPr="00157555">
        <w:rPr>
          <w:rFonts w:ascii="Arial" w:hAnsi="Arial" w:cs="Arial"/>
        </w:rPr>
        <w:t>Industrial Energy Users-Ohio v. Pub. Utils. Comm’n of Ohio, 117 Ohio St. 3d 486, 490-91 (2008)</w:t>
      </w:r>
      <w:r w:rsidR="005A0560" w:rsidRPr="00157555">
        <w:rPr>
          <w:rFonts w:ascii="Arial" w:hAnsi="Arial" w:cs="Arial"/>
        </w:rPr>
        <w:t xml:space="preserve"> and </w:t>
      </w:r>
      <w:r w:rsidR="00245FB6" w:rsidRPr="00157555">
        <w:rPr>
          <w:rFonts w:ascii="Arial" w:hAnsi="Arial" w:cs="Arial"/>
        </w:rPr>
        <w:t>Wingo v. Nationwide Energy Partners, 2020-Ohio-5583 (Ohio Sup. Ct. 2020) (Commission cannot impose policy determination that would violate Ohio law)</w:t>
      </w:r>
      <w:r w:rsidR="003A6345" w:rsidRPr="00157555">
        <w:rPr>
          <w:rFonts w:ascii="Arial" w:hAnsi="Arial" w:cs="Arial"/>
        </w:rPr>
        <w:t>.</w:t>
      </w:r>
    </w:p>
    <w:p w14:paraId="229663C5" w14:textId="1B047E8E" w:rsidR="0071296C" w:rsidRPr="00157555" w:rsidRDefault="0071296C" w:rsidP="00C43396">
      <w:pPr>
        <w:spacing w:after="0" w:line="480" w:lineRule="auto"/>
        <w:ind w:firstLine="720"/>
        <w:jc w:val="both"/>
        <w:rPr>
          <w:rFonts w:ascii="Arial" w:hAnsi="Arial" w:cs="Arial"/>
        </w:rPr>
      </w:pPr>
      <w:r w:rsidRPr="00157555">
        <w:rPr>
          <w:rFonts w:ascii="Arial" w:hAnsi="Arial" w:cs="Arial"/>
        </w:rPr>
        <w:t xml:space="preserve">Finally, the suggestion that </w:t>
      </w:r>
      <w:r w:rsidR="003A6345" w:rsidRPr="00157555">
        <w:rPr>
          <w:rFonts w:ascii="Arial" w:hAnsi="Arial" w:cs="Arial"/>
        </w:rPr>
        <w:t xml:space="preserve">this </w:t>
      </w:r>
      <w:r w:rsidR="00B209AF" w:rsidRPr="00157555">
        <w:rPr>
          <w:rFonts w:ascii="Arial" w:hAnsi="Arial" w:cs="Arial"/>
        </w:rPr>
        <w:t>wrong</w:t>
      </w:r>
      <w:r w:rsidRPr="00157555">
        <w:rPr>
          <w:rFonts w:ascii="Arial" w:hAnsi="Arial" w:cs="Arial"/>
        </w:rPr>
        <w:t xml:space="preserve"> can be righted </w:t>
      </w:r>
      <w:r w:rsidR="003A6345" w:rsidRPr="00157555">
        <w:rPr>
          <w:rFonts w:ascii="Arial" w:hAnsi="Arial" w:cs="Arial"/>
        </w:rPr>
        <w:t>by</w:t>
      </w:r>
      <w:r w:rsidRPr="00157555">
        <w:rPr>
          <w:rFonts w:ascii="Arial" w:hAnsi="Arial" w:cs="Arial"/>
        </w:rPr>
        <w:t xml:space="preserve"> a future case or by complaint </w:t>
      </w:r>
      <w:r w:rsidR="00605815" w:rsidRPr="00157555">
        <w:rPr>
          <w:rFonts w:ascii="Arial" w:hAnsi="Arial" w:cs="Arial"/>
        </w:rPr>
        <w:t>confirms the error of the Opinion and Order because</w:t>
      </w:r>
      <w:r w:rsidRPr="00157555">
        <w:rPr>
          <w:rFonts w:ascii="Arial" w:hAnsi="Arial" w:cs="Arial"/>
        </w:rPr>
        <w:t xml:space="preserve"> the Commission</w:t>
      </w:r>
      <w:r w:rsidR="00605815" w:rsidRPr="00157555">
        <w:rPr>
          <w:rFonts w:ascii="Arial" w:hAnsi="Arial" w:cs="Arial"/>
        </w:rPr>
        <w:t>,</w:t>
      </w:r>
      <w:r w:rsidRPr="00157555">
        <w:rPr>
          <w:rFonts w:ascii="Arial" w:hAnsi="Arial" w:cs="Arial"/>
        </w:rPr>
        <w:t xml:space="preserve"> </w:t>
      </w:r>
      <w:r w:rsidR="00605815" w:rsidRPr="00157555">
        <w:rPr>
          <w:rFonts w:ascii="Arial" w:hAnsi="Arial" w:cs="Arial"/>
        </w:rPr>
        <w:t xml:space="preserve">under R.C. 4909.15(E), </w:t>
      </w:r>
      <w:r w:rsidRPr="00157555">
        <w:rPr>
          <w:rFonts w:ascii="Arial" w:hAnsi="Arial" w:cs="Arial"/>
        </w:rPr>
        <w:t>must determine that the approved rates are just and reasonable</w:t>
      </w:r>
      <w:r w:rsidR="00605815" w:rsidRPr="00157555">
        <w:rPr>
          <w:rFonts w:ascii="Arial" w:hAnsi="Arial" w:cs="Arial"/>
        </w:rPr>
        <w:t xml:space="preserve"> in this case</w:t>
      </w:r>
      <w:r w:rsidR="00AC4187" w:rsidRPr="00157555">
        <w:rPr>
          <w:rFonts w:ascii="Arial" w:hAnsi="Arial" w:cs="Arial"/>
        </w:rPr>
        <w:t>.</w:t>
      </w:r>
      <w:r w:rsidR="00034341" w:rsidRPr="00157555">
        <w:rPr>
          <w:rStyle w:val="FootnoteReference"/>
          <w:rFonts w:ascii="Arial" w:hAnsi="Arial" w:cs="Arial"/>
        </w:rPr>
        <w:footnoteReference w:id="6"/>
      </w:r>
      <w:r w:rsidRPr="00157555">
        <w:rPr>
          <w:rFonts w:ascii="Arial" w:hAnsi="Arial" w:cs="Arial"/>
        </w:rPr>
        <w:t xml:space="preserve"> </w:t>
      </w:r>
      <w:proofErr w:type="spellStart"/>
      <w:r w:rsidR="00B209AF" w:rsidRPr="00157555">
        <w:rPr>
          <w:rFonts w:ascii="Arial" w:hAnsi="Arial" w:cs="Arial"/>
          <w:i/>
          <w:iCs/>
        </w:rPr>
        <w:t>Suvon</w:t>
      </w:r>
      <w:proofErr w:type="spellEnd"/>
      <w:r w:rsidR="00B209AF" w:rsidRPr="00157555">
        <w:rPr>
          <w:rFonts w:ascii="Arial" w:hAnsi="Arial" w:cs="Arial"/>
        </w:rPr>
        <w:t>, ¶ 33.</w:t>
      </w:r>
    </w:p>
    <w:p w14:paraId="7E7E36C8" w14:textId="1E64E469" w:rsidR="0071296C" w:rsidRPr="00157555" w:rsidRDefault="0071296C" w:rsidP="00C43396">
      <w:pPr>
        <w:spacing w:after="0" w:line="480" w:lineRule="auto"/>
        <w:ind w:firstLine="720"/>
        <w:jc w:val="both"/>
        <w:rPr>
          <w:rFonts w:ascii="Arial" w:hAnsi="Arial" w:cs="Arial"/>
        </w:rPr>
      </w:pPr>
      <w:r w:rsidRPr="00157555">
        <w:rPr>
          <w:rFonts w:ascii="Arial" w:hAnsi="Arial" w:cs="Arial"/>
        </w:rPr>
        <w:t xml:space="preserve">In summary, the decision to leave the riders at zero follows the same path that the Court rejected in </w:t>
      </w:r>
      <w:proofErr w:type="spellStart"/>
      <w:r w:rsidRPr="00157555">
        <w:rPr>
          <w:rFonts w:ascii="Arial" w:hAnsi="Arial" w:cs="Arial"/>
          <w:i/>
          <w:iCs/>
        </w:rPr>
        <w:t>Suvon</w:t>
      </w:r>
      <w:proofErr w:type="spellEnd"/>
      <w:r w:rsidRPr="00157555">
        <w:rPr>
          <w:rFonts w:ascii="Arial" w:hAnsi="Arial" w:cs="Arial"/>
        </w:rPr>
        <w:t xml:space="preserve">. By relying on a Staff Report </w:t>
      </w:r>
      <w:r w:rsidR="00034341" w:rsidRPr="00157555">
        <w:rPr>
          <w:rFonts w:ascii="Arial" w:hAnsi="Arial" w:cs="Arial"/>
        </w:rPr>
        <w:t xml:space="preserve">that is contradicted by the </w:t>
      </w:r>
      <w:r w:rsidR="00815B10" w:rsidRPr="00157555">
        <w:rPr>
          <w:rFonts w:ascii="Arial" w:hAnsi="Arial" w:cs="Arial"/>
        </w:rPr>
        <w:t>record</w:t>
      </w:r>
      <w:r w:rsidR="00034341" w:rsidRPr="00157555">
        <w:rPr>
          <w:rFonts w:ascii="Arial" w:hAnsi="Arial" w:cs="Arial"/>
        </w:rPr>
        <w:t xml:space="preserve"> that </w:t>
      </w:r>
      <w:r w:rsidR="00815B10" w:rsidRPr="00157555">
        <w:rPr>
          <w:rFonts w:ascii="Arial" w:hAnsi="Arial" w:cs="Arial"/>
        </w:rPr>
        <w:t>known and quantifiable costs of a competitive service are recover</w:t>
      </w:r>
      <w:r w:rsidR="003A6345" w:rsidRPr="00157555">
        <w:rPr>
          <w:rFonts w:ascii="Arial" w:hAnsi="Arial" w:cs="Arial"/>
        </w:rPr>
        <w:t>ed</w:t>
      </w:r>
      <w:r w:rsidR="00815B10" w:rsidRPr="00157555">
        <w:rPr>
          <w:rFonts w:ascii="Arial" w:hAnsi="Arial" w:cs="Arial"/>
        </w:rPr>
        <w:t xml:space="preserve"> in </w:t>
      </w:r>
      <w:r w:rsidR="00E1246D" w:rsidRPr="00157555">
        <w:rPr>
          <w:rFonts w:ascii="Arial" w:hAnsi="Arial" w:cs="Arial"/>
        </w:rPr>
        <w:t xml:space="preserve">distribution </w:t>
      </w:r>
      <w:r w:rsidR="00815B10" w:rsidRPr="00157555">
        <w:rPr>
          <w:rFonts w:ascii="Arial" w:hAnsi="Arial" w:cs="Arial"/>
        </w:rPr>
        <w:t xml:space="preserve">rates, </w:t>
      </w:r>
      <w:r w:rsidRPr="00157555">
        <w:rPr>
          <w:rFonts w:ascii="Arial" w:hAnsi="Arial" w:cs="Arial"/>
        </w:rPr>
        <w:t xml:space="preserve">failing to address the detailed </w:t>
      </w:r>
      <w:r w:rsidR="00815B10" w:rsidRPr="00157555">
        <w:rPr>
          <w:rFonts w:ascii="Arial" w:hAnsi="Arial" w:cs="Arial"/>
        </w:rPr>
        <w:t xml:space="preserve">legal and economic </w:t>
      </w:r>
      <w:r w:rsidRPr="00157555">
        <w:rPr>
          <w:rFonts w:ascii="Arial" w:hAnsi="Arial" w:cs="Arial"/>
        </w:rPr>
        <w:t>problems with</w:t>
      </w:r>
      <w:r w:rsidR="00815B10" w:rsidRPr="00157555">
        <w:rPr>
          <w:rFonts w:ascii="Arial" w:hAnsi="Arial" w:cs="Arial"/>
        </w:rPr>
        <w:t xml:space="preserve"> the recommendation to leave the riders at zero</w:t>
      </w:r>
      <w:r w:rsidRPr="00157555">
        <w:rPr>
          <w:rFonts w:ascii="Arial" w:hAnsi="Arial" w:cs="Arial"/>
        </w:rPr>
        <w:t xml:space="preserve">, </w:t>
      </w:r>
      <w:r w:rsidR="00815B10" w:rsidRPr="00157555">
        <w:rPr>
          <w:rFonts w:ascii="Arial" w:hAnsi="Arial" w:cs="Arial"/>
        </w:rPr>
        <w:t xml:space="preserve">and kicking a determination of the reasonableness of rates to another proceeding, </w:t>
      </w:r>
      <w:r w:rsidRPr="00157555">
        <w:rPr>
          <w:rFonts w:ascii="Arial" w:hAnsi="Arial" w:cs="Arial"/>
        </w:rPr>
        <w:t>the Commission violates the requirement of R.C. 4903.09. Based on this error, the Commission should grant rehearing.</w:t>
      </w:r>
    </w:p>
    <w:p w14:paraId="4B089C07" w14:textId="524322AC" w:rsidR="0071296C" w:rsidRPr="00157555" w:rsidRDefault="0071296C" w:rsidP="00C43396">
      <w:pPr>
        <w:spacing w:after="0" w:line="480" w:lineRule="auto"/>
        <w:ind w:firstLine="720"/>
        <w:jc w:val="both"/>
        <w:rPr>
          <w:rFonts w:ascii="Arial" w:hAnsi="Arial" w:cs="Arial"/>
        </w:rPr>
      </w:pPr>
      <w:r w:rsidRPr="00157555">
        <w:rPr>
          <w:rFonts w:ascii="Arial" w:hAnsi="Arial" w:cs="Arial"/>
        </w:rPr>
        <w:t xml:space="preserve">Further, </w:t>
      </w:r>
      <w:r w:rsidR="00815B10" w:rsidRPr="00157555">
        <w:rPr>
          <w:rFonts w:ascii="Arial" w:hAnsi="Arial" w:cs="Arial"/>
        </w:rPr>
        <w:t xml:space="preserve">there is sufficient evidence in the record to support setting the riders at initial levels to begin to bring rates into compliance with Ohio law. Accordingly, </w:t>
      </w:r>
      <w:r w:rsidRPr="00157555">
        <w:rPr>
          <w:rFonts w:ascii="Arial" w:hAnsi="Arial" w:cs="Arial"/>
        </w:rPr>
        <w:t xml:space="preserve">the Commission should direct Ohio Power to file tariff changes that populate the riders in amounts that are demonstrated to be currently collected in distribution rates for the support of default service. </w:t>
      </w:r>
    </w:p>
    <w:p w14:paraId="61059B08" w14:textId="4658BE8C" w:rsidR="00C77078" w:rsidRPr="00157555" w:rsidRDefault="00C77078" w:rsidP="00C43396">
      <w:pPr>
        <w:pStyle w:val="Headinglevel1"/>
        <w:numPr>
          <w:ilvl w:val="0"/>
          <w:numId w:val="2"/>
        </w:numPr>
        <w:jc w:val="both"/>
        <w:rPr>
          <w:rFonts w:ascii="Arial" w:hAnsi="Arial" w:cs="Arial"/>
        </w:rPr>
      </w:pPr>
      <w:bookmarkStart w:id="15" w:name="_Toc90620208"/>
      <w:r w:rsidRPr="00157555">
        <w:rPr>
          <w:rFonts w:ascii="Arial" w:hAnsi="Arial" w:cs="Arial"/>
        </w:rPr>
        <w:t xml:space="preserve">The </w:t>
      </w:r>
      <w:bookmarkStart w:id="16" w:name="_Hlk89937064"/>
      <w:r w:rsidR="000A5849" w:rsidRPr="00157555">
        <w:rPr>
          <w:rFonts w:ascii="Arial" w:hAnsi="Arial" w:cs="Arial"/>
        </w:rPr>
        <w:t xml:space="preserve">Opinion and Order is unlawful and unreasonable because the decision authorizing the continuation of a discriminatory switching fee for which there is no </w:t>
      </w:r>
      <w:r w:rsidR="000A5849" w:rsidRPr="00774BB5">
        <w:rPr>
          <w:rFonts w:ascii="Arial" w:hAnsi="Arial" w:cs="Arial"/>
          <w:bCs/>
        </w:rPr>
        <w:t>evidence of cost</w:t>
      </w:r>
      <w:r w:rsidR="000A5849" w:rsidRPr="00157555">
        <w:rPr>
          <w:rFonts w:ascii="Arial" w:hAnsi="Arial" w:cs="Arial"/>
        </w:rPr>
        <w:t xml:space="preserve"> and that penalizes competitive suppliers and their customers is without a reasoned explanation in violation of R.C. 4903.09</w:t>
      </w:r>
      <w:bookmarkEnd w:id="15"/>
      <w:bookmarkEnd w:id="16"/>
    </w:p>
    <w:p w14:paraId="24CE7DFF" w14:textId="77777777" w:rsidR="00E21858" w:rsidRPr="00157555" w:rsidRDefault="00E21858" w:rsidP="00C43396">
      <w:pPr>
        <w:spacing w:after="0"/>
        <w:ind w:firstLine="720"/>
        <w:jc w:val="both"/>
        <w:rPr>
          <w:rFonts w:ascii="Arial" w:hAnsi="Arial" w:cs="Arial"/>
        </w:rPr>
      </w:pPr>
    </w:p>
    <w:p w14:paraId="15261626" w14:textId="33CB89B2" w:rsidR="005A1D03" w:rsidRPr="00157555" w:rsidRDefault="005A1D03" w:rsidP="00C43396">
      <w:pPr>
        <w:spacing w:after="0" w:line="480" w:lineRule="auto"/>
        <w:ind w:firstLine="720"/>
        <w:jc w:val="both"/>
        <w:rPr>
          <w:rFonts w:ascii="Arial" w:hAnsi="Arial" w:cs="Arial"/>
        </w:rPr>
      </w:pPr>
      <w:r w:rsidRPr="00157555">
        <w:rPr>
          <w:rFonts w:ascii="Arial" w:hAnsi="Arial" w:cs="Arial"/>
        </w:rPr>
        <w:t xml:space="preserve">Over the objection of IGS, the Commission found that </w:t>
      </w:r>
      <w:r w:rsidR="00B55A26" w:rsidRPr="00157555">
        <w:rPr>
          <w:rFonts w:ascii="Arial" w:hAnsi="Arial" w:cs="Arial"/>
        </w:rPr>
        <w:t>a</w:t>
      </w:r>
      <w:r w:rsidRPr="00157555">
        <w:rPr>
          <w:rFonts w:ascii="Arial" w:hAnsi="Arial" w:cs="Arial"/>
        </w:rPr>
        <w:t xml:space="preserve"> </w:t>
      </w:r>
      <w:r w:rsidR="00324D9E" w:rsidRPr="00157555">
        <w:rPr>
          <w:rFonts w:ascii="Arial" w:hAnsi="Arial" w:cs="Arial"/>
        </w:rPr>
        <w:t>fee</w:t>
      </w:r>
      <w:r w:rsidRPr="00157555">
        <w:rPr>
          <w:rFonts w:ascii="Arial" w:hAnsi="Arial" w:cs="Arial"/>
        </w:rPr>
        <w:t xml:space="preserve"> assessed by Ohio Power </w:t>
      </w:r>
      <w:r w:rsidR="00B55A26" w:rsidRPr="00157555">
        <w:rPr>
          <w:rFonts w:ascii="Arial" w:hAnsi="Arial" w:cs="Arial"/>
        </w:rPr>
        <w:t>when a customer switches to a competitive supplier</w:t>
      </w:r>
      <w:r w:rsidR="00B44CBF" w:rsidRPr="00157555">
        <w:rPr>
          <w:rFonts w:ascii="Arial" w:hAnsi="Arial" w:cs="Arial"/>
        </w:rPr>
        <w:t xml:space="preserve"> but not to itself when a customer returns to default service</w:t>
      </w:r>
      <w:r w:rsidR="00B55A26" w:rsidRPr="00157555">
        <w:rPr>
          <w:rFonts w:ascii="Arial" w:hAnsi="Arial" w:cs="Arial"/>
        </w:rPr>
        <w:t xml:space="preserve"> </w:t>
      </w:r>
      <w:r w:rsidRPr="00157555">
        <w:rPr>
          <w:rFonts w:ascii="Arial" w:hAnsi="Arial" w:cs="Arial"/>
        </w:rPr>
        <w:t xml:space="preserve">did not violate an important regulatory principle. Opinion and Order, ¶¶ 187-90. This determination should be reversed on rehearing because the record demonstrates that </w:t>
      </w:r>
      <w:r w:rsidR="00324D9E" w:rsidRPr="00157555">
        <w:rPr>
          <w:rFonts w:ascii="Arial" w:hAnsi="Arial" w:cs="Arial"/>
        </w:rPr>
        <w:t xml:space="preserve">the </w:t>
      </w:r>
      <w:r w:rsidRPr="00157555">
        <w:rPr>
          <w:rFonts w:ascii="Arial" w:hAnsi="Arial" w:cs="Arial"/>
        </w:rPr>
        <w:t>factual finding</w:t>
      </w:r>
      <w:r w:rsidR="00BB34E6" w:rsidRPr="00157555">
        <w:rPr>
          <w:rFonts w:ascii="Arial" w:hAnsi="Arial" w:cs="Arial"/>
        </w:rPr>
        <w:t>s</w:t>
      </w:r>
      <w:r w:rsidRPr="00157555">
        <w:rPr>
          <w:rFonts w:ascii="Arial" w:hAnsi="Arial" w:cs="Arial"/>
        </w:rPr>
        <w:t xml:space="preserve"> on which it is based </w:t>
      </w:r>
      <w:r w:rsidR="00BB34E6" w:rsidRPr="00157555">
        <w:rPr>
          <w:rFonts w:ascii="Arial" w:hAnsi="Arial" w:cs="Arial"/>
        </w:rPr>
        <w:t xml:space="preserve">are </w:t>
      </w:r>
      <w:r w:rsidRPr="00157555">
        <w:rPr>
          <w:rFonts w:ascii="Arial" w:hAnsi="Arial" w:cs="Arial"/>
        </w:rPr>
        <w:t>unsupported</w:t>
      </w:r>
      <w:r w:rsidR="00BB34E6" w:rsidRPr="00157555">
        <w:rPr>
          <w:rFonts w:ascii="Arial" w:hAnsi="Arial" w:cs="Arial"/>
        </w:rPr>
        <w:t xml:space="preserve"> by the record</w:t>
      </w:r>
      <w:r w:rsidRPr="00157555">
        <w:rPr>
          <w:rFonts w:ascii="Arial" w:hAnsi="Arial" w:cs="Arial"/>
        </w:rPr>
        <w:t>. As a result, the Commission failed to exercise the independent judgment required by R.C. 4903.09.</w:t>
      </w:r>
    </w:p>
    <w:p w14:paraId="2677B7E1" w14:textId="56AA58EA" w:rsidR="009A205F" w:rsidRPr="00157555" w:rsidRDefault="008506C9" w:rsidP="009A205F">
      <w:pPr>
        <w:spacing w:after="0" w:line="480" w:lineRule="auto"/>
        <w:ind w:firstLine="720"/>
        <w:jc w:val="both"/>
        <w:rPr>
          <w:rFonts w:ascii="Arial" w:hAnsi="Arial" w:cs="Arial"/>
        </w:rPr>
      </w:pPr>
      <w:r>
        <w:rPr>
          <w:rFonts w:ascii="Arial" w:hAnsi="Arial" w:cs="Arial"/>
        </w:rPr>
        <w:t>Generally</w:t>
      </w:r>
      <w:r w:rsidR="005A1D03" w:rsidRPr="00157555">
        <w:rPr>
          <w:rFonts w:ascii="Arial" w:hAnsi="Arial" w:cs="Arial"/>
        </w:rPr>
        <w:t>, electric distribution customers have the option of taking competitive electric generation service from either a competitive supplier or Ohio Power</w:t>
      </w:r>
      <w:r w:rsidR="009368FF">
        <w:rPr>
          <w:rFonts w:ascii="Arial" w:hAnsi="Arial" w:cs="Arial"/>
        </w:rPr>
        <w:t>,</w:t>
      </w:r>
      <w:r w:rsidR="005A1D03" w:rsidRPr="00157555">
        <w:rPr>
          <w:rFonts w:ascii="Arial" w:hAnsi="Arial" w:cs="Arial"/>
        </w:rPr>
        <w:t xml:space="preserve"> and they can switch providers to the extent permitted by their contracts.</w:t>
      </w:r>
      <w:r w:rsidR="005A1D03" w:rsidRPr="00157555">
        <w:rPr>
          <w:rStyle w:val="FootnoteReference"/>
          <w:rFonts w:ascii="Arial" w:hAnsi="Arial" w:cs="Arial"/>
        </w:rPr>
        <w:footnoteReference w:id="7"/>
      </w:r>
      <w:r w:rsidR="005A1D03" w:rsidRPr="00157555">
        <w:rPr>
          <w:rFonts w:ascii="Arial" w:hAnsi="Arial" w:cs="Arial"/>
        </w:rPr>
        <w:t xml:space="preserve"> As demonstrated at the hearing, the underlying factual circumstances </w:t>
      </w:r>
      <w:r w:rsidR="00110808" w:rsidRPr="00157555">
        <w:rPr>
          <w:rFonts w:ascii="Arial" w:hAnsi="Arial" w:cs="Arial"/>
        </w:rPr>
        <w:t>of a</w:t>
      </w:r>
      <w:r w:rsidR="005A1D03" w:rsidRPr="00157555">
        <w:rPr>
          <w:rFonts w:ascii="Arial" w:hAnsi="Arial" w:cs="Arial"/>
        </w:rPr>
        <w:t xml:space="preserve"> </w:t>
      </w:r>
      <w:r w:rsidR="00110808" w:rsidRPr="00157555">
        <w:rPr>
          <w:rFonts w:ascii="Arial" w:hAnsi="Arial" w:cs="Arial"/>
        </w:rPr>
        <w:t xml:space="preserve">service </w:t>
      </w:r>
      <w:r w:rsidR="005A1D03" w:rsidRPr="00157555">
        <w:rPr>
          <w:rFonts w:ascii="Arial" w:hAnsi="Arial" w:cs="Arial"/>
        </w:rPr>
        <w:t xml:space="preserve">change from a competitive </w:t>
      </w:r>
      <w:r w:rsidR="00110808" w:rsidRPr="00157555">
        <w:rPr>
          <w:rFonts w:ascii="Arial" w:hAnsi="Arial" w:cs="Arial"/>
        </w:rPr>
        <w:t>supplier</w:t>
      </w:r>
      <w:r w:rsidR="005A1D03" w:rsidRPr="00157555">
        <w:rPr>
          <w:rFonts w:ascii="Arial" w:hAnsi="Arial" w:cs="Arial"/>
        </w:rPr>
        <w:t xml:space="preserve"> to default service are no different from those </w:t>
      </w:r>
      <w:r w:rsidR="00110808" w:rsidRPr="00157555">
        <w:rPr>
          <w:rFonts w:ascii="Arial" w:hAnsi="Arial" w:cs="Arial"/>
        </w:rPr>
        <w:t xml:space="preserve">applicable to a change </w:t>
      </w:r>
      <w:r w:rsidR="005A1D03" w:rsidRPr="00157555">
        <w:rPr>
          <w:rFonts w:ascii="Arial" w:hAnsi="Arial" w:cs="Arial"/>
        </w:rPr>
        <w:t xml:space="preserve">from default service to service from </w:t>
      </w:r>
      <w:r w:rsidR="00584207" w:rsidRPr="00157555">
        <w:rPr>
          <w:rFonts w:ascii="Arial" w:hAnsi="Arial" w:cs="Arial"/>
        </w:rPr>
        <w:t xml:space="preserve">a </w:t>
      </w:r>
      <w:r w:rsidR="00110808" w:rsidRPr="00157555">
        <w:rPr>
          <w:rFonts w:ascii="Arial" w:hAnsi="Arial" w:cs="Arial"/>
        </w:rPr>
        <w:t>competitive supplier</w:t>
      </w:r>
      <w:r w:rsidR="005A1D03" w:rsidRPr="00157555">
        <w:rPr>
          <w:rFonts w:ascii="Arial" w:hAnsi="Arial" w:cs="Arial"/>
        </w:rPr>
        <w:t xml:space="preserve"> or switches from one competitive supplier to another. </w:t>
      </w:r>
      <w:r w:rsidR="00110808" w:rsidRPr="00157555">
        <w:rPr>
          <w:rFonts w:ascii="Arial" w:hAnsi="Arial" w:cs="Arial"/>
        </w:rPr>
        <w:t xml:space="preserve">The financial consequences to suppliers and Ohio Power, however, are materially different. </w:t>
      </w:r>
      <w:r w:rsidR="005A1D03" w:rsidRPr="00157555">
        <w:rPr>
          <w:rFonts w:ascii="Arial" w:hAnsi="Arial" w:cs="Arial"/>
        </w:rPr>
        <w:t>Under its tariff, Ohio Power charges a $5 switching fee for customer switches from default service to a competitive supplier</w:t>
      </w:r>
      <w:r w:rsidR="00324D9E" w:rsidRPr="00157555">
        <w:rPr>
          <w:rFonts w:ascii="Arial" w:hAnsi="Arial" w:cs="Arial"/>
        </w:rPr>
        <w:t xml:space="preserve"> (after the first such switch)</w:t>
      </w:r>
      <w:r w:rsidR="005A1D03" w:rsidRPr="00157555">
        <w:rPr>
          <w:rFonts w:ascii="Arial" w:hAnsi="Arial" w:cs="Arial"/>
        </w:rPr>
        <w:t xml:space="preserve"> or </w:t>
      </w:r>
      <w:r w:rsidR="00110808" w:rsidRPr="00157555">
        <w:rPr>
          <w:rFonts w:ascii="Arial" w:hAnsi="Arial" w:cs="Arial"/>
        </w:rPr>
        <w:t xml:space="preserve">from </w:t>
      </w:r>
      <w:r w:rsidR="005A1D03" w:rsidRPr="00157555">
        <w:rPr>
          <w:rFonts w:ascii="Arial" w:hAnsi="Arial" w:cs="Arial"/>
        </w:rPr>
        <w:t>supplier to supplier. However, the tariff provides that Ohio Power does not charge that fee to itself when a customer elects to return to default service</w:t>
      </w:r>
      <w:r w:rsidR="00B55A26" w:rsidRPr="00157555">
        <w:rPr>
          <w:rFonts w:ascii="Arial" w:hAnsi="Arial" w:cs="Arial"/>
        </w:rPr>
        <w:t xml:space="preserve"> </w:t>
      </w:r>
      <w:r w:rsidR="00110808" w:rsidRPr="00157555">
        <w:rPr>
          <w:rFonts w:ascii="Arial" w:hAnsi="Arial" w:cs="Arial"/>
        </w:rPr>
        <w:t>or is returned to default service</w:t>
      </w:r>
      <w:r w:rsidR="005A1D03" w:rsidRPr="00157555">
        <w:rPr>
          <w:rFonts w:ascii="Arial" w:hAnsi="Arial" w:cs="Arial"/>
        </w:rPr>
        <w:t xml:space="preserve">. </w:t>
      </w:r>
      <w:r w:rsidR="00C24192" w:rsidRPr="00157555">
        <w:rPr>
          <w:rFonts w:ascii="Arial" w:hAnsi="Arial" w:cs="Arial"/>
        </w:rPr>
        <w:t xml:space="preserve">Tr. at 337-44. </w:t>
      </w:r>
      <w:r w:rsidR="001E7A7E" w:rsidRPr="00157555">
        <w:rPr>
          <w:rFonts w:ascii="Arial" w:hAnsi="Arial" w:cs="Arial"/>
        </w:rPr>
        <w:t>The record is devoid o</w:t>
      </w:r>
      <w:r w:rsidR="00753719" w:rsidRPr="00157555">
        <w:rPr>
          <w:rFonts w:ascii="Arial" w:hAnsi="Arial" w:cs="Arial"/>
        </w:rPr>
        <w:t>f</w:t>
      </w:r>
      <w:r w:rsidR="001E7A7E" w:rsidRPr="00157555">
        <w:rPr>
          <w:rFonts w:ascii="Arial" w:hAnsi="Arial" w:cs="Arial"/>
        </w:rPr>
        <w:t xml:space="preserve"> any credible support for </w:t>
      </w:r>
      <w:r w:rsidR="00753719" w:rsidRPr="00157555">
        <w:rPr>
          <w:rFonts w:ascii="Arial" w:hAnsi="Arial" w:cs="Arial"/>
        </w:rPr>
        <w:t xml:space="preserve">the </w:t>
      </w:r>
      <w:r w:rsidR="001E7A7E" w:rsidRPr="00157555">
        <w:rPr>
          <w:rFonts w:ascii="Arial" w:hAnsi="Arial" w:cs="Arial"/>
        </w:rPr>
        <w:t xml:space="preserve">cost differences. </w:t>
      </w:r>
    </w:p>
    <w:p w14:paraId="7EA86404" w14:textId="44602E47" w:rsidR="009A205F" w:rsidRPr="00157555" w:rsidRDefault="009A205F" w:rsidP="009A205F">
      <w:pPr>
        <w:spacing w:after="0" w:line="480" w:lineRule="auto"/>
        <w:ind w:firstLine="720"/>
        <w:jc w:val="both"/>
        <w:rPr>
          <w:rFonts w:ascii="Arial" w:hAnsi="Arial" w:cs="Arial"/>
        </w:rPr>
      </w:pPr>
      <w:r w:rsidRPr="00157555">
        <w:rPr>
          <w:rFonts w:ascii="Arial" w:hAnsi="Arial" w:cs="Arial"/>
        </w:rPr>
        <w:t xml:space="preserve">In fact, Ohio Power did not provide any evidence that the fee is cost-justified. Instead, it argued that the fee was reasonable because it had been previously approved. </w:t>
      </w:r>
      <w:r w:rsidR="00A67CC1" w:rsidRPr="00157555">
        <w:rPr>
          <w:rFonts w:ascii="Arial" w:hAnsi="Arial" w:cs="Arial"/>
        </w:rPr>
        <w:t>Ohio Power Initial Brief</w:t>
      </w:r>
      <w:r w:rsidRPr="00157555">
        <w:rPr>
          <w:rFonts w:ascii="Arial" w:hAnsi="Arial" w:cs="Arial"/>
        </w:rPr>
        <w:t xml:space="preserve"> at </w:t>
      </w:r>
      <w:r w:rsidR="00725E0E" w:rsidRPr="00157555">
        <w:rPr>
          <w:rFonts w:ascii="Arial" w:hAnsi="Arial" w:cs="Arial"/>
        </w:rPr>
        <w:t>51-54. Likewise, the Staff did not investigate the costs underlying switching. See discussion below.</w:t>
      </w:r>
    </w:p>
    <w:p w14:paraId="5F3A1777" w14:textId="09F89B35" w:rsidR="009A205F" w:rsidRPr="00157555" w:rsidRDefault="009A205F" w:rsidP="009A205F">
      <w:pPr>
        <w:spacing w:after="0" w:line="480" w:lineRule="auto"/>
        <w:ind w:firstLine="720"/>
        <w:jc w:val="both"/>
        <w:rPr>
          <w:rFonts w:ascii="Arial" w:hAnsi="Arial" w:cs="Arial"/>
        </w:rPr>
      </w:pPr>
      <w:r w:rsidRPr="00157555">
        <w:rPr>
          <w:rFonts w:ascii="Arial" w:hAnsi="Arial" w:cs="Arial"/>
        </w:rPr>
        <w:t xml:space="preserve">Given that the burden of showing that charges are reasonable rests with Ohio Power, it was error to find that the continuation of the charge is reasonable without some evidence to justify the cost is not lawful. R.C. </w:t>
      </w:r>
      <w:r w:rsidR="00584207" w:rsidRPr="00157555">
        <w:rPr>
          <w:rFonts w:ascii="Arial" w:hAnsi="Arial" w:cs="Arial"/>
        </w:rPr>
        <w:t xml:space="preserve">4903.09 and </w:t>
      </w:r>
      <w:r w:rsidRPr="00157555">
        <w:rPr>
          <w:rFonts w:ascii="Arial" w:hAnsi="Arial" w:cs="Arial"/>
        </w:rPr>
        <w:t>4909.18.</w:t>
      </w:r>
      <w:r w:rsidRPr="00157555">
        <w:rPr>
          <w:rStyle w:val="FootnoteReference"/>
          <w:rFonts w:ascii="Arial" w:hAnsi="Arial" w:cs="Arial"/>
        </w:rPr>
        <w:footnoteReference w:id="8"/>
      </w:r>
    </w:p>
    <w:p w14:paraId="712C76C2" w14:textId="28F4811F" w:rsidR="005A1D03" w:rsidRPr="00157555" w:rsidRDefault="009A205F" w:rsidP="00C43396">
      <w:pPr>
        <w:spacing w:after="0" w:line="480" w:lineRule="auto"/>
        <w:ind w:firstLine="720"/>
        <w:jc w:val="both"/>
        <w:rPr>
          <w:rFonts w:ascii="Arial" w:hAnsi="Arial" w:cs="Arial"/>
        </w:rPr>
      </w:pPr>
      <w:r w:rsidRPr="00157555">
        <w:rPr>
          <w:rFonts w:ascii="Arial" w:hAnsi="Arial" w:cs="Arial"/>
        </w:rPr>
        <w:t>Moreover, g</w:t>
      </w:r>
      <w:r w:rsidR="005A1D03" w:rsidRPr="00157555">
        <w:rPr>
          <w:rFonts w:ascii="Arial" w:hAnsi="Arial" w:cs="Arial"/>
        </w:rPr>
        <w:t xml:space="preserve">iven that the record demonstrates that switches back to default service are identical to the alternatives, the tariff discriminates against switches to competitive suppliers without any reasonable justification. </w:t>
      </w:r>
    </w:p>
    <w:p w14:paraId="51D4F134" w14:textId="1D03E906" w:rsidR="005A1D03" w:rsidRPr="00157555" w:rsidRDefault="005A1D03" w:rsidP="00C43396">
      <w:pPr>
        <w:spacing w:after="0" w:line="480" w:lineRule="auto"/>
        <w:ind w:firstLine="720"/>
        <w:jc w:val="both"/>
        <w:rPr>
          <w:rFonts w:ascii="Arial" w:hAnsi="Arial" w:cs="Arial"/>
        </w:rPr>
      </w:pPr>
      <w:r w:rsidRPr="00157555">
        <w:rPr>
          <w:rFonts w:ascii="Arial" w:hAnsi="Arial" w:cs="Arial"/>
        </w:rPr>
        <w:t xml:space="preserve">There is no apparent disagreement as to </w:t>
      </w:r>
      <w:r w:rsidR="00946325" w:rsidRPr="00157555">
        <w:rPr>
          <w:rFonts w:ascii="Arial" w:hAnsi="Arial" w:cs="Arial"/>
        </w:rPr>
        <w:t xml:space="preserve">the </w:t>
      </w:r>
      <w:r w:rsidRPr="00157555">
        <w:rPr>
          <w:rFonts w:ascii="Arial" w:hAnsi="Arial" w:cs="Arial"/>
        </w:rPr>
        <w:t xml:space="preserve">important regulatory principle that is presented by the discriminatory switching fee. Under R.C. 4905.35, “[n]o public utility shall make or give any undue or unreasonable preference or advantage to any person, firm, corporation, or locality, or subject any person, firm, corporation, or locality to any undue or unreasonable prejudice or disadvantage.” </w:t>
      </w:r>
      <w:r w:rsidR="001E7A7E" w:rsidRPr="00157555">
        <w:rPr>
          <w:rFonts w:ascii="Arial" w:hAnsi="Arial" w:cs="Arial"/>
        </w:rPr>
        <w:t>S</w:t>
      </w:r>
      <w:r w:rsidRPr="00157555">
        <w:rPr>
          <w:rFonts w:ascii="Arial" w:hAnsi="Arial" w:cs="Arial"/>
        </w:rPr>
        <w:t xml:space="preserve">eparating similarly situated customers into two classes and providing a price reduction for only one class constitutes an “‘undue or unreasonable preference’ prohibited by R.C. 4905.35.” </w:t>
      </w:r>
      <w:r w:rsidRPr="00157555">
        <w:rPr>
          <w:rFonts w:ascii="Arial" w:hAnsi="Arial" w:cs="Arial"/>
          <w:i/>
        </w:rPr>
        <w:t>Ameritech Ohio v. Pub. Util. Comm.,</w:t>
      </w:r>
      <w:r w:rsidRPr="00157555">
        <w:rPr>
          <w:rFonts w:ascii="Arial" w:hAnsi="Arial" w:cs="Arial"/>
        </w:rPr>
        <w:t xml:space="preserve"> 86 Ohio St.3d 78, 81 (1999). Likewise, it is the state policy to “[e]</w:t>
      </w:r>
      <w:proofErr w:type="spellStart"/>
      <w:r w:rsidRPr="00157555">
        <w:rPr>
          <w:rFonts w:ascii="Arial" w:hAnsi="Arial" w:cs="Arial"/>
        </w:rPr>
        <w:t>nsure</w:t>
      </w:r>
      <w:proofErr w:type="spellEnd"/>
      <w:r w:rsidRPr="00157555">
        <w:rPr>
          <w:rFonts w:ascii="Arial" w:hAnsi="Arial" w:cs="Arial"/>
        </w:rPr>
        <w:t xml:space="preserve"> the availability to consumers of adequate, reliable, safe, efficient, </w:t>
      </w:r>
      <w:r w:rsidRPr="00157555">
        <w:rPr>
          <w:rFonts w:ascii="Arial" w:hAnsi="Arial" w:cs="Arial"/>
          <w:bCs/>
          <w:i/>
        </w:rPr>
        <w:t>nondiscriminatory</w:t>
      </w:r>
      <w:r w:rsidRPr="00157555">
        <w:rPr>
          <w:rFonts w:ascii="Arial" w:hAnsi="Arial" w:cs="Arial"/>
        </w:rPr>
        <w:t>, and reasonably priced retail electric service.” R.C. 4928.02 (emphasis added).</w:t>
      </w:r>
    </w:p>
    <w:p w14:paraId="71363420" w14:textId="6B270253" w:rsidR="005A1D03" w:rsidRPr="00157555" w:rsidRDefault="005A1D03" w:rsidP="00C43396">
      <w:pPr>
        <w:spacing w:after="0" w:line="480" w:lineRule="auto"/>
        <w:ind w:firstLine="720"/>
        <w:jc w:val="both"/>
        <w:rPr>
          <w:rFonts w:ascii="Arial" w:hAnsi="Arial" w:cs="Arial"/>
        </w:rPr>
      </w:pPr>
      <w:r w:rsidRPr="00157555">
        <w:rPr>
          <w:rFonts w:ascii="Arial" w:hAnsi="Arial" w:cs="Arial"/>
        </w:rPr>
        <w:t xml:space="preserve">Although there is apparent agreement on the applicable principle, the Commission rests its finding permitting disparate treatment of customers </w:t>
      </w:r>
      <w:r w:rsidR="00110808" w:rsidRPr="00157555">
        <w:rPr>
          <w:rFonts w:ascii="Arial" w:hAnsi="Arial" w:cs="Arial"/>
        </w:rPr>
        <w:t>returning to</w:t>
      </w:r>
      <w:r w:rsidRPr="00157555">
        <w:rPr>
          <w:rFonts w:ascii="Arial" w:hAnsi="Arial" w:cs="Arial"/>
        </w:rPr>
        <w:t xml:space="preserve"> default service from those choosing a competitive supplier on an allegation by a Staff witness that a switch in service from the standard service offer to a competitive supplier is not a comparable process or cost to a switch in service from a competitive supplier to the default service. Opinion and Order at ¶ 190.</w:t>
      </w:r>
      <w:r w:rsidRPr="00157555">
        <w:rPr>
          <w:rStyle w:val="FootnoteReference"/>
          <w:rFonts w:ascii="Arial" w:hAnsi="Arial" w:cs="Arial"/>
        </w:rPr>
        <w:footnoteReference w:id="9"/>
      </w:r>
      <w:r w:rsidRPr="00157555">
        <w:rPr>
          <w:rFonts w:ascii="Arial" w:hAnsi="Arial" w:cs="Arial"/>
        </w:rPr>
        <w:t xml:space="preserve"> </w:t>
      </w:r>
    </w:p>
    <w:p w14:paraId="477AA078" w14:textId="77777777" w:rsidR="005A1D03" w:rsidRPr="00157555" w:rsidRDefault="005A1D03" w:rsidP="00C43396">
      <w:pPr>
        <w:spacing w:after="0" w:line="480" w:lineRule="auto"/>
        <w:ind w:firstLine="720"/>
        <w:jc w:val="both"/>
        <w:rPr>
          <w:rFonts w:ascii="Arial" w:hAnsi="Arial" w:cs="Arial"/>
        </w:rPr>
      </w:pPr>
      <w:r w:rsidRPr="00157555">
        <w:rPr>
          <w:rFonts w:ascii="Arial" w:hAnsi="Arial" w:cs="Arial"/>
        </w:rPr>
        <w:t>Reliance on that statement is not a sound basis for the Commission’s determination that the discriminatory switching fee does not violate an important regulatory principle.</w:t>
      </w:r>
    </w:p>
    <w:p w14:paraId="466AE459" w14:textId="470A4AF1" w:rsidR="005A1D03" w:rsidRPr="00157555" w:rsidRDefault="005A1D03" w:rsidP="00C43396">
      <w:pPr>
        <w:spacing w:after="0" w:line="480" w:lineRule="auto"/>
        <w:ind w:firstLine="720"/>
        <w:jc w:val="both"/>
        <w:rPr>
          <w:rFonts w:ascii="Arial" w:hAnsi="Arial" w:cs="Arial"/>
        </w:rPr>
      </w:pPr>
      <w:r w:rsidRPr="00157555">
        <w:rPr>
          <w:rFonts w:ascii="Arial" w:hAnsi="Arial" w:cs="Arial"/>
        </w:rPr>
        <w:t xml:space="preserve">First, the record demonstrates that the circumstances and process of moving a customer to or from a competitive supplier and returning a customer to default service are identical. As with a move to a competitive supplier, a customer </w:t>
      </w:r>
      <w:r w:rsidR="00AD2A77" w:rsidRPr="00157555">
        <w:rPr>
          <w:rFonts w:ascii="Arial" w:hAnsi="Arial" w:cs="Arial"/>
        </w:rPr>
        <w:t xml:space="preserve">can return to default service </w:t>
      </w:r>
      <w:r w:rsidR="00AC26B5" w:rsidRPr="00157555">
        <w:rPr>
          <w:rFonts w:ascii="Arial" w:hAnsi="Arial" w:cs="Arial"/>
        </w:rPr>
        <w:t>because of</w:t>
      </w:r>
      <w:r w:rsidR="00AD2A77" w:rsidRPr="00157555">
        <w:rPr>
          <w:rFonts w:ascii="Arial" w:hAnsi="Arial" w:cs="Arial"/>
        </w:rPr>
        <w:t xml:space="preserve"> a supplier default or </w:t>
      </w:r>
      <w:r w:rsidRPr="00157555">
        <w:rPr>
          <w:rFonts w:ascii="Arial" w:hAnsi="Arial" w:cs="Arial"/>
        </w:rPr>
        <w:t xml:space="preserve">can elect to return to default service. Tr. at 337-39. </w:t>
      </w:r>
      <w:r w:rsidR="00972FDB" w:rsidRPr="00157555">
        <w:rPr>
          <w:rFonts w:ascii="Arial" w:hAnsi="Arial" w:cs="Arial"/>
        </w:rPr>
        <w:t>In either case</w:t>
      </w:r>
      <w:r w:rsidRPr="00157555">
        <w:rPr>
          <w:rFonts w:ascii="Arial" w:hAnsi="Arial" w:cs="Arial"/>
        </w:rPr>
        <w:t>, the customer change is conducted under the same terms and conditions applicable to an enrollment with a competitive supplier. Tr. at 340. Further, the customer electing to return to default service is afforded the same recission rights that the customer has when moving to a competitive supplier. Compare Tr. at 344 to Rule 4901:1-21-06, Ohio Admin. Code.</w:t>
      </w:r>
    </w:p>
    <w:p w14:paraId="0DC7127C" w14:textId="5D374E6C" w:rsidR="005A1D03" w:rsidRPr="00157555" w:rsidRDefault="005A1D03" w:rsidP="00C43396">
      <w:pPr>
        <w:spacing w:after="0" w:line="480" w:lineRule="auto"/>
        <w:ind w:firstLine="720"/>
        <w:jc w:val="both"/>
        <w:rPr>
          <w:rFonts w:ascii="Arial" w:hAnsi="Arial" w:cs="Arial"/>
        </w:rPr>
      </w:pPr>
      <w:r w:rsidRPr="00157555">
        <w:rPr>
          <w:rFonts w:ascii="Arial" w:hAnsi="Arial" w:cs="Arial"/>
        </w:rPr>
        <w:t xml:space="preserve">Second, the record demonstrates </w:t>
      </w:r>
      <w:r w:rsidR="00031DA8" w:rsidRPr="00157555">
        <w:rPr>
          <w:rFonts w:ascii="Arial" w:hAnsi="Arial" w:cs="Arial"/>
        </w:rPr>
        <w:t>there was not any investigation</w:t>
      </w:r>
      <w:r w:rsidRPr="00157555">
        <w:rPr>
          <w:rFonts w:ascii="Arial" w:hAnsi="Arial" w:cs="Arial"/>
        </w:rPr>
        <w:t xml:space="preserve"> whether cost differences justified the disparate treatment. The Staff did not investigate the costs of switching as part of its investigatio</w:t>
      </w:r>
      <w:r w:rsidR="00C73BB4" w:rsidRPr="00157555">
        <w:rPr>
          <w:rFonts w:ascii="Arial" w:hAnsi="Arial" w:cs="Arial"/>
        </w:rPr>
        <w:t>n</w:t>
      </w:r>
      <w:r w:rsidRPr="00157555">
        <w:rPr>
          <w:rFonts w:ascii="Arial" w:hAnsi="Arial" w:cs="Arial"/>
        </w:rPr>
        <w:t>. Tr. at 335 (Staff investigation was limited to the treatment of the revenue from supplier charges).</w:t>
      </w:r>
      <w:r w:rsidR="00C73BB4" w:rsidRPr="00157555">
        <w:rPr>
          <w:rFonts w:ascii="Arial" w:hAnsi="Arial" w:cs="Arial"/>
        </w:rPr>
        <w:t xml:space="preserve">  Indeed, Staff did not investigate whether any cost exists at all to switch a customer in any direction.</w:t>
      </w:r>
      <w:r w:rsidRPr="00157555">
        <w:rPr>
          <w:rFonts w:ascii="Arial" w:hAnsi="Arial" w:cs="Arial"/>
        </w:rPr>
        <w:t xml:space="preserve"> </w:t>
      </w:r>
      <w:r w:rsidR="00972FDB" w:rsidRPr="00157555">
        <w:rPr>
          <w:rFonts w:ascii="Arial" w:hAnsi="Arial" w:cs="Arial"/>
        </w:rPr>
        <w:t xml:space="preserve">Instead, </w:t>
      </w:r>
      <w:r w:rsidRPr="00157555">
        <w:rPr>
          <w:rFonts w:ascii="Arial" w:hAnsi="Arial" w:cs="Arial"/>
        </w:rPr>
        <w:t xml:space="preserve">Staff assumed there was an underlying cost associated with the fees imposed on </w:t>
      </w:r>
      <w:r w:rsidR="00AD2A77" w:rsidRPr="00157555">
        <w:rPr>
          <w:rFonts w:ascii="Arial" w:hAnsi="Arial" w:cs="Arial"/>
        </w:rPr>
        <w:t>competitive suppliers</w:t>
      </w:r>
      <w:r w:rsidRPr="00157555">
        <w:rPr>
          <w:rFonts w:ascii="Arial" w:hAnsi="Arial" w:cs="Arial"/>
        </w:rPr>
        <w:t xml:space="preserve">. Tr. at 391. Likewise, Ohio Power did not submit evidence, nor did Staff seek evidence, to address the </w:t>
      </w:r>
      <w:r w:rsidR="00031DA8" w:rsidRPr="00157555">
        <w:rPr>
          <w:rFonts w:ascii="Arial" w:hAnsi="Arial" w:cs="Arial"/>
        </w:rPr>
        <w:t>discriminatory application of the switching fee</w:t>
      </w:r>
      <w:r w:rsidRPr="00157555">
        <w:rPr>
          <w:rFonts w:ascii="Arial" w:hAnsi="Arial" w:cs="Arial"/>
        </w:rPr>
        <w:t>. IGS/Direct Ex. 2 at 46-47; Tr. at 393. More generally, Ohio Power confirmed that “[e]</w:t>
      </w:r>
      <w:proofErr w:type="spellStart"/>
      <w:r w:rsidRPr="00157555">
        <w:rPr>
          <w:rFonts w:ascii="Arial" w:hAnsi="Arial" w:cs="Arial"/>
        </w:rPr>
        <w:t>xcept</w:t>
      </w:r>
      <w:proofErr w:type="spellEnd"/>
      <w:r w:rsidRPr="00157555">
        <w:rPr>
          <w:rFonts w:ascii="Arial" w:hAnsi="Arial" w:cs="Arial"/>
        </w:rPr>
        <w:t xml:space="preserve"> as identified in Exhibit DMR-2, the Company is not aware of differences in cost of providing distribution service to shopping and non-shopping customers.” IGS Ex. 14, Response to N.</w:t>
      </w:r>
      <w:r w:rsidR="00031DA8" w:rsidRPr="00157555">
        <w:rPr>
          <w:rFonts w:ascii="Arial" w:hAnsi="Arial" w:cs="Arial"/>
        </w:rPr>
        <w:t xml:space="preserve"> In summary, </w:t>
      </w:r>
      <w:r w:rsidR="00D64540" w:rsidRPr="00157555">
        <w:rPr>
          <w:rFonts w:ascii="Arial" w:hAnsi="Arial" w:cs="Arial"/>
        </w:rPr>
        <w:t xml:space="preserve">the only evidence supporting </w:t>
      </w:r>
      <w:r w:rsidR="00031DA8" w:rsidRPr="00157555">
        <w:rPr>
          <w:rFonts w:ascii="Arial" w:hAnsi="Arial" w:cs="Arial"/>
        </w:rPr>
        <w:t>the Commission</w:t>
      </w:r>
      <w:r w:rsidR="00D64540" w:rsidRPr="00157555">
        <w:rPr>
          <w:rFonts w:ascii="Arial" w:hAnsi="Arial" w:cs="Arial"/>
        </w:rPr>
        <w:t>’s</w:t>
      </w:r>
      <w:r w:rsidR="00031DA8" w:rsidRPr="00157555">
        <w:rPr>
          <w:rFonts w:ascii="Arial" w:hAnsi="Arial" w:cs="Arial"/>
        </w:rPr>
        <w:t xml:space="preserve"> decision to permit the discriminat</w:t>
      </w:r>
      <w:r w:rsidR="00B5580F" w:rsidRPr="00157555">
        <w:rPr>
          <w:rFonts w:ascii="Arial" w:hAnsi="Arial" w:cs="Arial"/>
        </w:rPr>
        <w:t>ion</w:t>
      </w:r>
      <w:r w:rsidR="00031DA8" w:rsidRPr="00157555">
        <w:rPr>
          <w:rFonts w:ascii="Arial" w:hAnsi="Arial" w:cs="Arial"/>
        </w:rPr>
        <w:t xml:space="preserve"> to continue </w:t>
      </w:r>
      <w:r w:rsidR="00D64540" w:rsidRPr="00157555">
        <w:rPr>
          <w:rFonts w:ascii="Arial" w:hAnsi="Arial" w:cs="Arial"/>
        </w:rPr>
        <w:t xml:space="preserve">is </w:t>
      </w:r>
      <w:r w:rsidR="00031DA8" w:rsidRPr="00157555">
        <w:rPr>
          <w:rFonts w:ascii="Arial" w:hAnsi="Arial" w:cs="Arial"/>
        </w:rPr>
        <w:t>the Staff’s uni</w:t>
      </w:r>
      <w:r w:rsidR="00BA212C" w:rsidRPr="00157555">
        <w:rPr>
          <w:rFonts w:ascii="Arial" w:hAnsi="Arial" w:cs="Arial"/>
        </w:rPr>
        <w:t xml:space="preserve">nvestigated assertion </w:t>
      </w:r>
      <w:r w:rsidR="00D64540" w:rsidRPr="00157555">
        <w:rPr>
          <w:rFonts w:ascii="Arial" w:hAnsi="Arial" w:cs="Arial"/>
        </w:rPr>
        <w:t>that differences in the switches justifies the discriminatory switching fee, and that assertion is directly contradicted by the record</w:t>
      </w:r>
      <w:r w:rsidR="00BA212C" w:rsidRPr="00157555">
        <w:rPr>
          <w:rFonts w:ascii="Arial" w:hAnsi="Arial" w:cs="Arial"/>
        </w:rPr>
        <w:t>.</w:t>
      </w:r>
    </w:p>
    <w:p w14:paraId="0C868731" w14:textId="2DC877A7" w:rsidR="005A1D03" w:rsidRPr="00157555" w:rsidRDefault="005A1D03" w:rsidP="00C43396">
      <w:pPr>
        <w:spacing w:after="0" w:line="480" w:lineRule="auto"/>
        <w:ind w:firstLine="720"/>
        <w:jc w:val="both"/>
        <w:rPr>
          <w:rFonts w:ascii="Arial" w:hAnsi="Arial" w:cs="Arial"/>
        </w:rPr>
      </w:pPr>
      <w:r w:rsidRPr="00157555">
        <w:rPr>
          <w:rFonts w:ascii="Arial" w:hAnsi="Arial" w:cs="Arial"/>
        </w:rPr>
        <w:t xml:space="preserve">Basing a finding on an unsupported assumption is not a lawful application of the Commission’s authority. In a contested matter, “the commission shall file, with the records of such cases, findings of fact and written opinions setting forth the reasons prompting the decisions arrived at, based upon said findings of fact.” R.C. 4903.09. </w:t>
      </w:r>
      <w:bookmarkStart w:id="17" w:name="_Hlk89963444"/>
      <w:r w:rsidR="00BA212C" w:rsidRPr="00157555">
        <w:rPr>
          <w:rFonts w:ascii="Arial" w:hAnsi="Arial" w:cs="Arial"/>
        </w:rPr>
        <w:t>As discussed previously, t</w:t>
      </w:r>
      <w:r w:rsidRPr="00157555">
        <w:rPr>
          <w:rFonts w:ascii="Arial" w:hAnsi="Arial" w:cs="Arial"/>
        </w:rPr>
        <w:t xml:space="preserve">his statutory requirement imposes on the Commission an obligation to “explain its rationale, respond to contrary positions, and support its decision with appropriate evidence.”  In re Columbus S. Power Co., 128 Ohio St. 3d 512, ¶ 30 (2011). </w:t>
      </w:r>
      <w:bookmarkEnd w:id="17"/>
      <w:proofErr w:type="gramStart"/>
      <w:r w:rsidRPr="00157555">
        <w:rPr>
          <w:rFonts w:ascii="Arial" w:hAnsi="Arial" w:cs="Arial"/>
        </w:rPr>
        <w:t>In particular, R.C.</w:t>
      </w:r>
      <w:proofErr w:type="gramEnd"/>
      <w:r w:rsidRPr="00157555">
        <w:rPr>
          <w:rFonts w:ascii="Arial" w:hAnsi="Arial" w:cs="Arial"/>
        </w:rPr>
        <w:t xml:space="preserve"> 4903.09 requires more than </w:t>
      </w:r>
      <w:r w:rsidR="002B2578" w:rsidRPr="00157555">
        <w:rPr>
          <w:rFonts w:ascii="Arial" w:hAnsi="Arial" w:cs="Arial"/>
        </w:rPr>
        <w:t xml:space="preserve">a </w:t>
      </w:r>
      <w:r w:rsidRPr="00157555">
        <w:rPr>
          <w:rFonts w:ascii="Arial" w:hAnsi="Arial" w:cs="Arial"/>
        </w:rPr>
        <w:t>faith that the Staff “got it right</w:t>
      </w:r>
      <w:r w:rsidR="00AD2A77" w:rsidRPr="00157555">
        <w:rPr>
          <w:rFonts w:ascii="Arial" w:hAnsi="Arial" w:cs="Arial"/>
        </w:rPr>
        <w:t>.</w:t>
      </w:r>
      <w:r w:rsidRPr="00157555">
        <w:rPr>
          <w:rFonts w:ascii="Arial" w:hAnsi="Arial" w:cs="Arial"/>
        </w:rPr>
        <w:t>”</w:t>
      </w:r>
      <w:r w:rsidR="00AD2A77" w:rsidRPr="00157555">
        <w:rPr>
          <w:rFonts w:ascii="Arial" w:hAnsi="Arial" w:cs="Arial"/>
        </w:rPr>
        <w:t xml:space="preserve"> As noted previously, the Commission “</w:t>
      </w:r>
      <w:r w:rsidRPr="00157555">
        <w:rPr>
          <w:rFonts w:ascii="Arial" w:hAnsi="Arial" w:cs="Arial"/>
        </w:rPr>
        <w:t>can adopt reports prepared by its staff and incorporate them into its order, but these reports must satisfy the requirements of the statute; that is, they must contain sufficient factual findings and conclusions of law.</w:t>
      </w:r>
      <w:r w:rsidR="002374DD" w:rsidRPr="00157555">
        <w:rPr>
          <w:rFonts w:ascii="Arial" w:hAnsi="Arial" w:cs="Arial"/>
        </w:rPr>
        <w:t>”</w:t>
      </w:r>
      <w:r w:rsidR="00AD2A77" w:rsidRPr="00157555">
        <w:rPr>
          <w:rFonts w:ascii="Arial" w:hAnsi="Arial" w:cs="Arial"/>
        </w:rPr>
        <w:t xml:space="preserve"> </w:t>
      </w:r>
      <w:r w:rsidRPr="00157555">
        <w:rPr>
          <w:rFonts w:ascii="Arial" w:hAnsi="Arial" w:cs="Arial"/>
        </w:rPr>
        <w:t xml:space="preserve">In re Application of </w:t>
      </w:r>
      <w:proofErr w:type="spellStart"/>
      <w:r w:rsidRPr="00157555">
        <w:rPr>
          <w:rFonts w:ascii="Arial" w:hAnsi="Arial" w:cs="Arial"/>
        </w:rPr>
        <w:t>Suvon</w:t>
      </w:r>
      <w:proofErr w:type="spellEnd"/>
      <w:r w:rsidRPr="00157555">
        <w:rPr>
          <w:rFonts w:ascii="Arial" w:hAnsi="Arial" w:cs="Arial"/>
        </w:rPr>
        <w:t xml:space="preserve">, LLC, 2021 Ohio 3630 ¶ 22 (Ohio Sup. Ct. 2021). </w:t>
      </w:r>
    </w:p>
    <w:p w14:paraId="1FFD1A1A" w14:textId="49931B97" w:rsidR="005A1D03" w:rsidRPr="00157555" w:rsidRDefault="00334A23" w:rsidP="00C43396">
      <w:pPr>
        <w:spacing w:after="0" w:line="480" w:lineRule="auto"/>
        <w:ind w:firstLine="720"/>
        <w:jc w:val="both"/>
        <w:rPr>
          <w:rFonts w:ascii="Arial" w:hAnsi="Arial" w:cs="Arial"/>
        </w:rPr>
      </w:pPr>
      <w:r w:rsidRPr="00157555">
        <w:rPr>
          <w:rFonts w:ascii="Arial" w:hAnsi="Arial" w:cs="Arial"/>
        </w:rPr>
        <w:t>The decision to leave the switching fee in the tariff does not meet the requirements of R.C. 4903.09. The</w:t>
      </w:r>
      <w:r w:rsidR="005A1D03" w:rsidRPr="00157555">
        <w:rPr>
          <w:rFonts w:ascii="Arial" w:hAnsi="Arial" w:cs="Arial"/>
        </w:rPr>
        <w:t xml:space="preserve"> Commission based its finding on a Staff witness assertion that there </w:t>
      </w:r>
      <w:r w:rsidR="00BC4045">
        <w:rPr>
          <w:rFonts w:ascii="Arial" w:hAnsi="Arial" w:cs="Arial"/>
        </w:rPr>
        <w:t xml:space="preserve">are </w:t>
      </w:r>
      <w:r w:rsidR="000867ED" w:rsidRPr="00157555">
        <w:rPr>
          <w:rFonts w:ascii="Arial" w:hAnsi="Arial" w:cs="Arial"/>
        </w:rPr>
        <w:t>differences between a switch back to default service and a switch to a competitive supplier</w:t>
      </w:r>
      <w:r w:rsidR="005A1D03" w:rsidRPr="00157555">
        <w:rPr>
          <w:rFonts w:ascii="Arial" w:hAnsi="Arial" w:cs="Arial"/>
        </w:rPr>
        <w:t>. Opinion and Order, ¶</w:t>
      </w:r>
      <w:r w:rsidR="000867ED" w:rsidRPr="00157555">
        <w:rPr>
          <w:rFonts w:ascii="Arial" w:hAnsi="Arial" w:cs="Arial"/>
        </w:rPr>
        <w:t xml:space="preserve"> </w:t>
      </w:r>
      <w:r w:rsidR="005A1D03" w:rsidRPr="00157555">
        <w:rPr>
          <w:rFonts w:ascii="Arial" w:hAnsi="Arial" w:cs="Arial"/>
        </w:rPr>
        <w:t xml:space="preserve">190. That assertion, however, </w:t>
      </w:r>
      <w:r w:rsidRPr="00157555">
        <w:rPr>
          <w:rFonts w:ascii="Arial" w:hAnsi="Arial" w:cs="Arial"/>
        </w:rPr>
        <w:t>is not supported by the evidence. The record demonstrates that</w:t>
      </w:r>
      <w:r w:rsidR="005A1D03" w:rsidRPr="00157555">
        <w:rPr>
          <w:rFonts w:ascii="Arial" w:hAnsi="Arial" w:cs="Arial"/>
        </w:rPr>
        <w:t xml:space="preserve"> </w:t>
      </w:r>
      <w:r w:rsidRPr="00157555">
        <w:rPr>
          <w:rFonts w:ascii="Arial" w:hAnsi="Arial" w:cs="Arial"/>
        </w:rPr>
        <w:t>t</w:t>
      </w:r>
      <w:r w:rsidR="005A1D03" w:rsidRPr="00157555">
        <w:rPr>
          <w:rFonts w:ascii="Arial" w:hAnsi="Arial" w:cs="Arial"/>
        </w:rPr>
        <w:t>he Staff did not address switching costs in its investigation</w:t>
      </w:r>
      <w:r w:rsidRPr="00157555">
        <w:rPr>
          <w:rFonts w:ascii="Arial" w:hAnsi="Arial" w:cs="Arial"/>
        </w:rPr>
        <w:t xml:space="preserve"> but assumed that differences justified the discriminatory fee. Moreover</w:t>
      </w:r>
      <w:r w:rsidR="000867ED" w:rsidRPr="00157555">
        <w:rPr>
          <w:rFonts w:ascii="Arial" w:hAnsi="Arial" w:cs="Arial"/>
        </w:rPr>
        <w:t xml:space="preserve">, </w:t>
      </w:r>
      <w:r w:rsidR="005A1D03" w:rsidRPr="00157555">
        <w:rPr>
          <w:rFonts w:ascii="Arial" w:hAnsi="Arial" w:cs="Arial"/>
        </w:rPr>
        <w:t xml:space="preserve">the Staff witness on which the Commission rests its decision admits that the circumstances and processes for handling a change in which a customer elects to return to default electric service are exactly the same to those for handling a switch to a competitive supplier, right down to recission rights. Ohio Power offers nothing to suggest otherwise. </w:t>
      </w:r>
      <w:r w:rsidR="0018379B" w:rsidRPr="00157555">
        <w:rPr>
          <w:rFonts w:ascii="Arial" w:hAnsi="Arial" w:cs="Arial"/>
        </w:rPr>
        <w:t>Thus, the finding that differences in the switching processes justif</w:t>
      </w:r>
      <w:r w:rsidR="00B776C8" w:rsidRPr="00157555">
        <w:rPr>
          <w:rFonts w:ascii="Arial" w:hAnsi="Arial" w:cs="Arial"/>
        </w:rPr>
        <w:t>y</w:t>
      </w:r>
      <w:r w:rsidR="0018379B" w:rsidRPr="00157555">
        <w:rPr>
          <w:rFonts w:ascii="Arial" w:hAnsi="Arial" w:cs="Arial"/>
        </w:rPr>
        <w:t xml:space="preserve"> the discriminatory fee is not supported by the facts in the record of this case.</w:t>
      </w:r>
    </w:p>
    <w:p w14:paraId="4BDF0CDE" w14:textId="001F0B46" w:rsidR="005A1D03" w:rsidRPr="00157555" w:rsidRDefault="005A1D03" w:rsidP="00C43396">
      <w:pPr>
        <w:spacing w:after="0" w:line="480" w:lineRule="auto"/>
        <w:jc w:val="both"/>
        <w:rPr>
          <w:rFonts w:ascii="Arial" w:hAnsi="Arial" w:cs="Arial"/>
        </w:rPr>
      </w:pPr>
      <w:r w:rsidRPr="00157555">
        <w:rPr>
          <w:rFonts w:ascii="Arial" w:hAnsi="Arial" w:cs="Arial"/>
        </w:rPr>
        <w:tab/>
      </w:r>
      <w:r w:rsidR="00EF5B7B" w:rsidRPr="00157555">
        <w:rPr>
          <w:rFonts w:ascii="Arial" w:hAnsi="Arial" w:cs="Arial"/>
        </w:rPr>
        <w:t>Because the Commission erred</w:t>
      </w:r>
      <w:r w:rsidR="00D02245" w:rsidRPr="00157555">
        <w:rPr>
          <w:rFonts w:ascii="Arial" w:hAnsi="Arial" w:cs="Arial"/>
        </w:rPr>
        <w:t xml:space="preserve"> when it refused to remove the discriminatory switching fees applicable to competitive suppliers</w:t>
      </w:r>
      <w:r w:rsidRPr="00157555">
        <w:rPr>
          <w:rFonts w:ascii="Arial" w:hAnsi="Arial" w:cs="Arial"/>
        </w:rPr>
        <w:t xml:space="preserve">, </w:t>
      </w:r>
      <w:r w:rsidR="00A56EBC" w:rsidRPr="00157555">
        <w:rPr>
          <w:rFonts w:ascii="Arial" w:hAnsi="Arial" w:cs="Arial"/>
        </w:rPr>
        <w:t>it</w:t>
      </w:r>
      <w:r w:rsidRPr="00157555">
        <w:rPr>
          <w:rFonts w:ascii="Arial" w:hAnsi="Arial" w:cs="Arial"/>
        </w:rPr>
        <w:t xml:space="preserve"> should grant rehearing and reverse its determination that the Stipulation does not violate an important regulatory principle. </w:t>
      </w:r>
      <w:r w:rsidR="00A56EBC" w:rsidRPr="00157555">
        <w:rPr>
          <w:rFonts w:ascii="Arial" w:hAnsi="Arial" w:cs="Arial"/>
        </w:rPr>
        <w:t xml:space="preserve">Further, </w:t>
      </w:r>
      <w:r w:rsidR="00D02245" w:rsidRPr="00157555">
        <w:rPr>
          <w:rFonts w:ascii="Arial" w:hAnsi="Arial" w:cs="Arial"/>
        </w:rPr>
        <w:t>the Commission</w:t>
      </w:r>
      <w:r w:rsidR="00A56EBC" w:rsidRPr="00157555">
        <w:rPr>
          <w:rFonts w:ascii="Arial" w:hAnsi="Arial" w:cs="Arial"/>
        </w:rPr>
        <w:t xml:space="preserve"> should order</w:t>
      </w:r>
      <w:r w:rsidRPr="00157555">
        <w:rPr>
          <w:rFonts w:ascii="Arial" w:hAnsi="Arial" w:cs="Arial"/>
        </w:rPr>
        <w:t xml:space="preserve"> Ohio Power </w:t>
      </w:r>
      <w:r w:rsidR="00A56EBC" w:rsidRPr="00157555">
        <w:rPr>
          <w:rFonts w:ascii="Arial" w:hAnsi="Arial" w:cs="Arial"/>
        </w:rPr>
        <w:t>to amend its tariff to remove the unlawful switching fee since there is no cost-based justification for the unduly discriminatory charge</w:t>
      </w:r>
      <w:r w:rsidRPr="00157555">
        <w:rPr>
          <w:rFonts w:ascii="Arial" w:hAnsi="Arial" w:cs="Arial"/>
        </w:rPr>
        <w:t>.</w:t>
      </w:r>
    </w:p>
    <w:p w14:paraId="3956F266" w14:textId="3CB06D5B" w:rsidR="00044F93" w:rsidRPr="00157555" w:rsidRDefault="006A08C4" w:rsidP="00C43396">
      <w:pPr>
        <w:pStyle w:val="Headinglevel1"/>
        <w:numPr>
          <w:ilvl w:val="0"/>
          <w:numId w:val="2"/>
        </w:numPr>
        <w:jc w:val="both"/>
        <w:rPr>
          <w:rFonts w:ascii="Arial" w:hAnsi="Arial" w:cs="Arial"/>
        </w:rPr>
      </w:pPr>
      <w:bookmarkStart w:id="18" w:name="_Toc90620209"/>
      <w:r w:rsidRPr="00157555">
        <w:rPr>
          <w:rFonts w:ascii="Arial" w:hAnsi="Arial" w:cs="Arial"/>
        </w:rPr>
        <w:t xml:space="preserve">The finding that </w:t>
      </w:r>
      <w:r w:rsidR="0095324C" w:rsidRPr="00157555">
        <w:rPr>
          <w:rFonts w:ascii="Arial" w:hAnsi="Arial" w:cs="Arial"/>
        </w:rPr>
        <w:t xml:space="preserve">a shadow billing proposal </w:t>
      </w:r>
      <w:bookmarkStart w:id="19" w:name="_Hlk90021142"/>
      <w:r w:rsidRPr="00157555">
        <w:rPr>
          <w:rFonts w:ascii="Arial" w:hAnsi="Arial" w:cs="Arial"/>
        </w:rPr>
        <w:t>did not violate any important regulatory principle or practice</w:t>
      </w:r>
      <w:bookmarkEnd w:id="19"/>
      <w:r w:rsidRPr="00157555">
        <w:rPr>
          <w:rFonts w:ascii="Arial" w:hAnsi="Arial" w:cs="Arial"/>
        </w:rPr>
        <w:t xml:space="preserve"> </w:t>
      </w:r>
      <w:r w:rsidR="00060462" w:rsidRPr="00157555">
        <w:rPr>
          <w:rFonts w:ascii="Arial" w:hAnsi="Arial" w:cs="Arial"/>
        </w:rPr>
        <w:t>was</w:t>
      </w:r>
      <w:r w:rsidR="0095324C" w:rsidRPr="00157555">
        <w:rPr>
          <w:rFonts w:ascii="Arial" w:hAnsi="Arial" w:cs="Arial"/>
        </w:rPr>
        <w:t xml:space="preserve"> </w:t>
      </w:r>
      <w:r w:rsidR="00060462" w:rsidRPr="00157555">
        <w:rPr>
          <w:rFonts w:ascii="Arial" w:hAnsi="Arial" w:cs="Arial"/>
        </w:rPr>
        <w:t xml:space="preserve">unlawful and </w:t>
      </w:r>
      <w:r w:rsidR="0095324C" w:rsidRPr="00157555">
        <w:rPr>
          <w:rFonts w:ascii="Arial" w:hAnsi="Arial" w:cs="Arial"/>
        </w:rPr>
        <w:t>unreasonable</w:t>
      </w:r>
      <w:bookmarkEnd w:id="18"/>
      <w:r w:rsidR="0095324C" w:rsidRPr="00157555">
        <w:rPr>
          <w:rFonts w:ascii="Arial" w:hAnsi="Arial" w:cs="Arial"/>
        </w:rPr>
        <w:t xml:space="preserve"> </w:t>
      </w:r>
    </w:p>
    <w:p w14:paraId="7A01D2CF" w14:textId="77777777" w:rsidR="00504132" w:rsidRPr="00157555" w:rsidRDefault="00504132" w:rsidP="00C43396">
      <w:pPr>
        <w:spacing w:after="0"/>
        <w:ind w:firstLine="720"/>
        <w:jc w:val="both"/>
        <w:rPr>
          <w:rFonts w:ascii="Arial" w:hAnsi="Arial" w:cs="Arial"/>
        </w:rPr>
      </w:pPr>
    </w:p>
    <w:p w14:paraId="66BF6A20" w14:textId="77777777" w:rsidR="00045B94" w:rsidRDefault="0095324C" w:rsidP="00C43396">
      <w:pPr>
        <w:spacing w:after="0" w:line="480" w:lineRule="auto"/>
        <w:ind w:firstLine="720"/>
        <w:jc w:val="both"/>
        <w:rPr>
          <w:rFonts w:ascii="Arial" w:hAnsi="Arial" w:cs="Arial"/>
        </w:rPr>
      </w:pPr>
      <w:r w:rsidRPr="00157555">
        <w:rPr>
          <w:rFonts w:ascii="Arial" w:hAnsi="Arial" w:cs="Arial"/>
        </w:rPr>
        <w:t xml:space="preserve">The Stipulation provides that Ohio Power will </w:t>
      </w:r>
      <w:r w:rsidR="0018379B" w:rsidRPr="00157555">
        <w:rPr>
          <w:rFonts w:ascii="Arial" w:hAnsi="Arial" w:cs="Arial"/>
        </w:rPr>
        <w:t>give to OCC</w:t>
      </w:r>
      <w:r w:rsidRPr="00157555">
        <w:rPr>
          <w:rFonts w:ascii="Arial" w:hAnsi="Arial" w:cs="Arial"/>
        </w:rPr>
        <w:t xml:space="preserve"> aggregate data concerning residential sales of competitive suppliers relative to what consumers would have paid had they taken default service. </w:t>
      </w:r>
      <w:r w:rsidR="00F530BB" w:rsidRPr="00157555">
        <w:rPr>
          <w:rFonts w:ascii="Arial" w:hAnsi="Arial" w:cs="Arial"/>
        </w:rPr>
        <w:t xml:space="preserve">The provision is inconsistent with the Commission’s repeated </w:t>
      </w:r>
      <w:r w:rsidR="0018379B" w:rsidRPr="00157555">
        <w:rPr>
          <w:rFonts w:ascii="Arial" w:hAnsi="Arial" w:cs="Arial"/>
        </w:rPr>
        <w:t>decision refusing</w:t>
      </w:r>
      <w:r w:rsidR="00F530BB" w:rsidRPr="00157555">
        <w:rPr>
          <w:rFonts w:ascii="Arial" w:hAnsi="Arial" w:cs="Arial"/>
        </w:rPr>
        <w:t xml:space="preserve"> to implement various forms of shadow billing. Additionally, t</w:t>
      </w:r>
      <w:r w:rsidRPr="00157555">
        <w:rPr>
          <w:rFonts w:ascii="Arial" w:hAnsi="Arial" w:cs="Arial"/>
        </w:rPr>
        <w:t xml:space="preserve">he data </w:t>
      </w:r>
      <w:r w:rsidR="00F530BB" w:rsidRPr="00157555">
        <w:rPr>
          <w:rFonts w:ascii="Arial" w:hAnsi="Arial" w:cs="Arial"/>
        </w:rPr>
        <w:t xml:space="preserve">provided by Ohio Power </w:t>
      </w:r>
      <w:r w:rsidRPr="00157555">
        <w:rPr>
          <w:rFonts w:ascii="Arial" w:hAnsi="Arial" w:cs="Arial"/>
        </w:rPr>
        <w:t xml:space="preserve">will be heavily manipulated.  By Ohio Power’s own estimate, the calculations </w:t>
      </w:r>
      <w:r w:rsidR="00D02245" w:rsidRPr="00157555">
        <w:rPr>
          <w:rFonts w:ascii="Arial" w:hAnsi="Arial" w:cs="Arial"/>
        </w:rPr>
        <w:t xml:space="preserve">would be subject to about eighty </w:t>
      </w:r>
      <w:r w:rsidR="00F530BB" w:rsidRPr="00157555">
        <w:rPr>
          <w:rFonts w:ascii="Arial" w:hAnsi="Arial" w:cs="Arial"/>
        </w:rPr>
        <w:t xml:space="preserve">potential </w:t>
      </w:r>
      <w:r w:rsidRPr="00157555">
        <w:rPr>
          <w:rFonts w:ascii="Arial" w:hAnsi="Arial" w:cs="Arial"/>
        </w:rPr>
        <w:t>exclu</w:t>
      </w:r>
      <w:r w:rsidR="00D02245" w:rsidRPr="00157555">
        <w:rPr>
          <w:rFonts w:ascii="Arial" w:hAnsi="Arial" w:cs="Arial"/>
        </w:rPr>
        <w:t>sion</w:t>
      </w:r>
      <w:r w:rsidR="00F530BB" w:rsidRPr="00157555">
        <w:rPr>
          <w:rFonts w:ascii="Arial" w:hAnsi="Arial" w:cs="Arial"/>
        </w:rPr>
        <w:t>s</w:t>
      </w:r>
      <w:r w:rsidRPr="00157555">
        <w:rPr>
          <w:rFonts w:ascii="Arial" w:hAnsi="Arial" w:cs="Arial"/>
        </w:rPr>
        <w:t>. Tr. at 144-157; IGS Ex. 6</w:t>
      </w:r>
      <w:r w:rsidR="00F530BB" w:rsidRPr="00157555">
        <w:rPr>
          <w:rFonts w:ascii="Arial" w:hAnsi="Arial" w:cs="Arial"/>
        </w:rPr>
        <w:t xml:space="preserve">. </w:t>
      </w:r>
    </w:p>
    <w:p w14:paraId="408E3EEB" w14:textId="0DD2B03A" w:rsidR="0095324C" w:rsidRPr="00157555" w:rsidRDefault="0095324C" w:rsidP="00C43396">
      <w:pPr>
        <w:spacing w:after="0" w:line="480" w:lineRule="auto"/>
        <w:ind w:firstLine="720"/>
        <w:jc w:val="both"/>
        <w:rPr>
          <w:rFonts w:ascii="Arial" w:hAnsi="Arial" w:cs="Arial"/>
        </w:rPr>
      </w:pPr>
      <w:r w:rsidRPr="00157555">
        <w:rPr>
          <w:rFonts w:ascii="Arial" w:hAnsi="Arial" w:cs="Arial"/>
        </w:rPr>
        <w:t xml:space="preserve">Despite these issues, the Commission found </w:t>
      </w:r>
      <w:r w:rsidR="00702C16" w:rsidRPr="00157555">
        <w:rPr>
          <w:rFonts w:ascii="Arial" w:hAnsi="Arial" w:cs="Arial"/>
        </w:rPr>
        <w:t xml:space="preserve">that the </w:t>
      </w:r>
      <w:r w:rsidRPr="00157555">
        <w:rPr>
          <w:rFonts w:ascii="Arial" w:hAnsi="Arial" w:cs="Arial"/>
        </w:rPr>
        <w:t xml:space="preserve">provision </w:t>
      </w:r>
      <w:r w:rsidR="0018379B" w:rsidRPr="00157555">
        <w:rPr>
          <w:rFonts w:ascii="Arial" w:hAnsi="Arial" w:cs="Arial"/>
        </w:rPr>
        <w:t>did not violate any important regulatory principle or practice</w:t>
      </w:r>
      <w:r w:rsidRPr="00157555">
        <w:rPr>
          <w:rFonts w:ascii="Arial" w:hAnsi="Arial" w:cs="Arial"/>
        </w:rPr>
        <w:t xml:space="preserve"> </w:t>
      </w:r>
      <w:r w:rsidR="00F530BB" w:rsidRPr="00157555">
        <w:rPr>
          <w:rFonts w:ascii="Arial" w:hAnsi="Arial" w:cs="Arial"/>
        </w:rPr>
        <w:t>and was not</w:t>
      </w:r>
      <w:r w:rsidRPr="00157555">
        <w:rPr>
          <w:rFonts w:ascii="Arial" w:hAnsi="Arial" w:cs="Arial"/>
        </w:rPr>
        <w:t xml:space="preserve"> “insufficiently clear.” Opinion and Order, ¶ 198. Avoiding the import of its repeated orders that rejected requiring various forms of shadow billing, the Commission </w:t>
      </w:r>
      <w:r w:rsidR="00F530BB" w:rsidRPr="00157555">
        <w:rPr>
          <w:rFonts w:ascii="Arial" w:hAnsi="Arial" w:cs="Arial"/>
        </w:rPr>
        <w:t xml:space="preserve">also </w:t>
      </w:r>
      <w:r w:rsidRPr="00157555">
        <w:rPr>
          <w:rFonts w:ascii="Arial" w:hAnsi="Arial" w:cs="Arial"/>
        </w:rPr>
        <w:t xml:space="preserve">explained that a company could agree to engage in shadow billing. Id. </w:t>
      </w:r>
    </w:p>
    <w:p w14:paraId="2C108946" w14:textId="6021DB5A" w:rsidR="0095324C" w:rsidRPr="00157555" w:rsidRDefault="0095324C" w:rsidP="00C43396">
      <w:pPr>
        <w:spacing w:after="0" w:line="480" w:lineRule="auto"/>
        <w:ind w:firstLine="720"/>
        <w:jc w:val="both"/>
        <w:rPr>
          <w:rFonts w:ascii="Arial" w:hAnsi="Arial" w:cs="Arial"/>
        </w:rPr>
      </w:pPr>
      <w:r w:rsidRPr="00157555">
        <w:rPr>
          <w:rFonts w:ascii="Arial" w:hAnsi="Arial" w:cs="Arial"/>
        </w:rPr>
        <w:t xml:space="preserve">The finding that the shadow billing provision does not violate the third prong </w:t>
      </w:r>
      <w:r w:rsidR="00997C48" w:rsidRPr="00157555">
        <w:rPr>
          <w:rFonts w:ascii="Arial" w:hAnsi="Arial" w:cs="Arial"/>
        </w:rPr>
        <w:t xml:space="preserve">of the review standard for stipulations </w:t>
      </w:r>
      <w:r w:rsidRPr="00157555">
        <w:rPr>
          <w:rFonts w:ascii="Arial" w:hAnsi="Arial" w:cs="Arial"/>
        </w:rPr>
        <w:t xml:space="preserve">should be reversed on rehearing because (1) the proposal before the Commission is unreasonable, and (2) </w:t>
      </w:r>
      <w:r w:rsidR="00045B94">
        <w:rPr>
          <w:rFonts w:ascii="Arial" w:hAnsi="Arial" w:cs="Arial"/>
        </w:rPr>
        <w:t>the decision</w:t>
      </w:r>
      <w:r w:rsidR="00045B94" w:rsidRPr="00157555">
        <w:rPr>
          <w:rFonts w:ascii="Arial" w:hAnsi="Arial" w:cs="Arial"/>
        </w:rPr>
        <w:t xml:space="preserve"> </w:t>
      </w:r>
      <w:r w:rsidRPr="00157555">
        <w:rPr>
          <w:rFonts w:ascii="Arial" w:hAnsi="Arial" w:cs="Arial"/>
        </w:rPr>
        <w:t xml:space="preserve">fails to address the sound reasons for refusing </w:t>
      </w:r>
      <w:r w:rsidR="00F530BB" w:rsidRPr="00157555">
        <w:rPr>
          <w:rFonts w:ascii="Arial" w:hAnsi="Arial" w:cs="Arial"/>
        </w:rPr>
        <w:t>to</w:t>
      </w:r>
      <w:r w:rsidRPr="00157555">
        <w:rPr>
          <w:rFonts w:ascii="Arial" w:hAnsi="Arial" w:cs="Arial"/>
        </w:rPr>
        <w:t xml:space="preserve"> require shadow billing</w:t>
      </w:r>
      <w:r w:rsidR="00045B94">
        <w:rPr>
          <w:rFonts w:ascii="Arial" w:hAnsi="Arial" w:cs="Arial"/>
        </w:rPr>
        <w:t xml:space="preserve"> in prior orders</w:t>
      </w:r>
      <w:r w:rsidRPr="00157555">
        <w:rPr>
          <w:rFonts w:ascii="Arial" w:hAnsi="Arial" w:cs="Arial"/>
        </w:rPr>
        <w:t>.</w:t>
      </w:r>
    </w:p>
    <w:p w14:paraId="116F1C59" w14:textId="0DC364CD" w:rsidR="0095324C" w:rsidRPr="00157555" w:rsidRDefault="0095324C" w:rsidP="00C43396">
      <w:pPr>
        <w:pStyle w:val="Headinglevel2"/>
        <w:numPr>
          <w:ilvl w:val="0"/>
          <w:numId w:val="3"/>
        </w:numPr>
        <w:jc w:val="both"/>
        <w:rPr>
          <w:rFonts w:ascii="Arial" w:hAnsi="Arial" w:cs="Arial"/>
        </w:rPr>
      </w:pPr>
      <w:bookmarkStart w:id="20" w:name="_Toc90620210"/>
      <w:r w:rsidRPr="00157555">
        <w:rPr>
          <w:rFonts w:ascii="Arial" w:hAnsi="Arial" w:cs="Arial"/>
        </w:rPr>
        <w:t xml:space="preserve">The </w:t>
      </w:r>
      <w:r w:rsidR="00655B93" w:rsidRPr="00157555">
        <w:rPr>
          <w:rFonts w:ascii="Arial" w:hAnsi="Arial" w:cs="Arial"/>
        </w:rPr>
        <w:t>Opinion and Order is unlawful and unreasonable because it fails to remove a provision requiring Ohio Power to provide aggregate billing data that violates important regulatory practices or principles</w:t>
      </w:r>
      <w:bookmarkEnd w:id="20"/>
    </w:p>
    <w:p w14:paraId="378413DA" w14:textId="77777777" w:rsidR="00504132" w:rsidRPr="00157555" w:rsidRDefault="00504132" w:rsidP="00C43396">
      <w:pPr>
        <w:spacing w:after="0"/>
        <w:jc w:val="both"/>
        <w:rPr>
          <w:rFonts w:ascii="Arial" w:hAnsi="Arial" w:cs="Arial"/>
        </w:rPr>
      </w:pPr>
    </w:p>
    <w:p w14:paraId="3C3AA9F6" w14:textId="77777777" w:rsidR="00400939" w:rsidRPr="00157555" w:rsidRDefault="0095324C" w:rsidP="00C43396">
      <w:pPr>
        <w:spacing w:after="0" w:line="480" w:lineRule="auto"/>
        <w:jc w:val="both"/>
        <w:rPr>
          <w:rFonts w:ascii="Arial" w:hAnsi="Arial" w:cs="Arial"/>
        </w:rPr>
      </w:pPr>
      <w:r w:rsidRPr="00157555">
        <w:rPr>
          <w:rFonts w:ascii="Arial" w:hAnsi="Arial" w:cs="Arial"/>
        </w:rPr>
        <w:tab/>
        <w:t xml:space="preserve">The provision of the Stipulation regarding shadow billing provides that Ohio Power will provide aggregate calculations of the relative gains or losses of shopping customers relative to the standard service offer. Joint Ex. 1 at 11. While the data will be summarized in a form </w:t>
      </w:r>
      <w:proofErr w:type="gramStart"/>
      <w:r w:rsidRPr="00157555">
        <w:rPr>
          <w:rFonts w:ascii="Arial" w:hAnsi="Arial" w:cs="Arial"/>
        </w:rPr>
        <w:t>similar to</w:t>
      </w:r>
      <w:proofErr w:type="gramEnd"/>
      <w:r w:rsidRPr="00157555">
        <w:rPr>
          <w:rFonts w:ascii="Arial" w:hAnsi="Arial" w:cs="Arial"/>
        </w:rPr>
        <w:t xml:space="preserve"> a form attached to the Stipulation, the real details of what would be provided were identified in discovery and provided to parties as IGS Ex. 6. That exhibit details numerous </w:t>
      </w:r>
      <w:r w:rsidR="0031497B" w:rsidRPr="00157555">
        <w:rPr>
          <w:rFonts w:ascii="Arial" w:hAnsi="Arial" w:cs="Arial"/>
        </w:rPr>
        <w:t>adjustments</w:t>
      </w:r>
      <w:r w:rsidRPr="00157555">
        <w:rPr>
          <w:rFonts w:ascii="Arial" w:hAnsi="Arial" w:cs="Arial"/>
        </w:rPr>
        <w:t xml:space="preserve"> to exclude those customers that are dual billed or in the consolidated supplier billing pilot, rate ready accounts, </w:t>
      </w:r>
      <w:r w:rsidR="0031497B" w:rsidRPr="00157555">
        <w:rPr>
          <w:rFonts w:ascii="Arial" w:hAnsi="Arial" w:cs="Arial"/>
        </w:rPr>
        <w:t>and</w:t>
      </w:r>
      <w:r w:rsidRPr="00157555">
        <w:rPr>
          <w:rFonts w:ascii="Arial" w:hAnsi="Arial" w:cs="Arial"/>
        </w:rPr>
        <w:t xml:space="preserve"> customers that are on any form of a fixed bill such as a customer that receives budget billing</w:t>
      </w:r>
      <w:r w:rsidR="0031497B" w:rsidRPr="00157555">
        <w:rPr>
          <w:rFonts w:ascii="Arial" w:hAnsi="Arial" w:cs="Arial"/>
        </w:rPr>
        <w:t>. In all, the data would be</w:t>
      </w:r>
      <w:r w:rsidRPr="00157555">
        <w:rPr>
          <w:rFonts w:ascii="Arial" w:hAnsi="Arial" w:cs="Arial"/>
        </w:rPr>
        <w:t xml:space="preserve"> subject to about eighty items that may be adjusted. </w:t>
      </w:r>
    </w:p>
    <w:p w14:paraId="723AF3AC" w14:textId="77777777" w:rsidR="00400939" w:rsidRPr="00157555" w:rsidRDefault="0031497B" w:rsidP="00C43396">
      <w:pPr>
        <w:spacing w:after="0" w:line="480" w:lineRule="auto"/>
        <w:ind w:firstLine="720"/>
        <w:jc w:val="both"/>
        <w:rPr>
          <w:rFonts w:ascii="Arial" w:hAnsi="Arial" w:cs="Arial"/>
        </w:rPr>
      </w:pPr>
      <w:r w:rsidRPr="00157555">
        <w:rPr>
          <w:rFonts w:ascii="Arial" w:hAnsi="Arial" w:cs="Arial"/>
        </w:rPr>
        <w:t xml:space="preserve">Further, the only criterion considered is price. </w:t>
      </w:r>
      <w:r w:rsidR="00400939" w:rsidRPr="00157555">
        <w:rPr>
          <w:rFonts w:ascii="Arial" w:hAnsi="Arial" w:cs="Arial"/>
        </w:rPr>
        <w:t xml:space="preserve">By limiting the comparison to price differences, the manipulated summary Ohio Power will provide </w:t>
      </w:r>
      <w:r w:rsidR="0095324C" w:rsidRPr="00157555">
        <w:rPr>
          <w:rFonts w:ascii="Arial" w:hAnsi="Arial" w:cs="Arial"/>
        </w:rPr>
        <w:t xml:space="preserve">fails to account for other attributes available in the retail market, like renewable energy, fixed prices, and other value-added services. </w:t>
      </w:r>
    </w:p>
    <w:p w14:paraId="6CB219F0" w14:textId="0E7E7A71" w:rsidR="0095324C" w:rsidRPr="00157555" w:rsidRDefault="0095324C" w:rsidP="00C43396">
      <w:pPr>
        <w:spacing w:after="0" w:line="480" w:lineRule="auto"/>
        <w:ind w:firstLine="720"/>
        <w:jc w:val="both"/>
        <w:rPr>
          <w:rFonts w:ascii="Arial" w:hAnsi="Arial" w:cs="Arial"/>
        </w:rPr>
      </w:pPr>
      <w:r w:rsidRPr="00157555">
        <w:rPr>
          <w:rFonts w:ascii="Arial" w:hAnsi="Arial" w:cs="Arial"/>
        </w:rPr>
        <w:t>Moreover, t</w:t>
      </w:r>
      <w:r w:rsidR="00BA6629" w:rsidRPr="00157555">
        <w:rPr>
          <w:rFonts w:ascii="Arial" w:hAnsi="Arial" w:cs="Arial"/>
        </w:rPr>
        <w:t>he adjustments</w:t>
      </w:r>
      <w:r w:rsidRPr="00157555">
        <w:rPr>
          <w:rFonts w:ascii="Arial" w:hAnsi="Arial" w:cs="Arial"/>
        </w:rPr>
        <w:t xml:space="preserve"> only remov</w:t>
      </w:r>
      <w:r w:rsidR="00BA6629" w:rsidRPr="00157555">
        <w:rPr>
          <w:rFonts w:ascii="Arial" w:hAnsi="Arial" w:cs="Arial"/>
        </w:rPr>
        <w:t>e</w:t>
      </w:r>
      <w:r w:rsidRPr="00157555">
        <w:rPr>
          <w:rFonts w:ascii="Arial" w:hAnsi="Arial" w:cs="Arial"/>
        </w:rPr>
        <w:t xml:space="preserve"> </w:t>
      </w:r>
      <w:r w:rsidR="003113C3" w:rsidRPr="00157555">
        <w:rPr>
          <w:rFonts w:ascii="Arial" w:hAnsi="Arial" w:cs="Arial"/>
        </w:rPr>
        <w:t>“</w:t>
      </w:r>
      <w:r w:rsidRPr="00157555">
        <w:rPr>
          <w:rFonts w:ascii="Arial" w:hAnsi="Arial" w:cs="Arial"/>
        </w:rPr>
        <w:t xml:space="preserve">certain types of charges </w:t>
      </w:r>
      <w:r w:rsidRPr="00157555">
        <w:rPr>
          <w:rFonts w:ascii="Arial" w:hAnsi="Arial" w:cs="Arial"/>
          <w:i/>
          <w:iCs/>
        </w:rPr>
        <w:t>that are not in line with the cost per kWh</w:t>
      </w:r>
      <w:r w:rsidRPr="00157555">
        <w:rPr>
          <w:rFonts w:ascii="Arial" w:hAnsi="Arial" w:cs="Arial"/>
        </w:rPr>
        <w:t xml:space="preserve">.” Ohio Power Ex. 6 at 18 (emphasis added); Tr. </w:t>
      </w:r>
      <w:r w:rsidR="00BA6629" w:rsidRPr="00157555">
        <w:rPr>
          <w:rFonts w:ascii="Arial" w:hAnsi="Arial" w:cs="Arial"/>
        </w:rPr>
        <w:t xml:space="preserve">at </w:t>
      </w:r>
      <w:r w:rsidRPr="00157555">
        <w:rPr>
          <w:rFonts w:ascii="Arial" w:hAnsi="Arial" w:cs="Arial"/>
        </w:rPr>
        <w:t>152-153. Thus, a cost per kWh renewable product</w:t>
      </w:r>
      <w:r w:rsidR="0031497B" w:rsidRPr="00157555">
        <w:rPr>
          <w:rFonts w:ascii="Arial" w:hAnsi="Arial" w:cs="Arial"/>
        </w:rPr>
        <w:t xml:space="preserve"> </w:t>
      </w:r>
      <w:r w:rsidRPr="00157555">
        <w:rPr>
          <w:rFonts w:ascii="Arial" w:hAnsi="Arial" w:cs="Arial"/>
        </w:rPr>
        <w:t xml:space="preserve">would only be removed from the analysis if it is labeled as such in the line item description provided to Ohio Power from the CRES provider. </w:t>
      </w:r>
      <w:r w:rsidRPr="00157555">
        <w:rPr>
          <w:rFonts w:ascii="Arial" w:hAnsi="Arial" w:cs="Arial"/>
          <w:i/>
          <w:iCs/>
        </w:rPr>
        <w:t>See</w:t>
      </w:r>
      <w:r w:rsidRPr="00157555">
        <w:rPr>
          <w:rFonts w:ascii="Arial" w:hAnsi="Arial" w:cs="Arial"/>
        </w:rPr>
        <w:t xml:space="preserve"> </w:t>
      </w:r>
      <w:r w:rsidRPr="00157555">
        <w:rPr>
          <w:rFonts w:ascii="Arial" w:hAnsi="Arial" w:cs="Arial"/>
          <w:i/>
          <w:iCs/>
        </w:rPr>
        <w:t>id.</w:t>
      </w:r>
      <w:r w:rsidRPr="00157555">
        <w:rPr>
          <w:rFonts w:ascii="Arial" w:hAnsi="Arial" w:cs="Arial"/>
        </w:rPr>
        <w:t xml:space="preserve"> at 155. Notably, there is not </w:t>
      </w:r>
      <w:r w:rsidR="00400939" w:rsidRPr="00157555">
        <w:rPr>
          <w:rFonts w:ascii="Arial" w:hAnsi="Arial" w:cs="Arial"/>
        </w:rPr>
        <w:t xml:space="preserve">a </w:t>
      </w:r>
      <w:r w:rsidRPr="00157555">
        <w:rPr>
          <w:rFonts w:ascii="Arial" w:hAnsi="Arial" w:cs="Arial"/>
        </w:rPr>
        <w:t>requirement for the CRES provider to include this description in the Commission rules, which certainly raises concerns regarding the number of customers</w:t>
      </w:r>
      <w:r w:rsidR="00045B94">
        <w:rPr>
          <w:rFonts w:ascii="Arial" w:hAnsi="Arial" w:cs="Arial"/>
        </w:rPr>
        <w:t>’ bills</w:t>
      </w:r>
      <w:r w:rsidRPr="00157555">
        <w:rPr>
          <w:rFonts w:ascii="Arial" w:hAnsi="Arial" w:cs="Arial"/>
        </w:rPr>
        <w:t xml:space="preserve"> that will not be excluded from the analysis </w:t>
      </w:r>
      <w:r w:rsidR="00997C48" w:rsidRPr="00157555">
        <w:rPr>
          <w:rFonts w:ascii="Arial" w:hAnsi="Arial" w:cs="Arial"/>
        </w:rPr>
        <w:t>and further corrupt</w:t>
      </w:r>
      <w:r w:rsidRPr="00157555">
        <w:rPr>
          <w:rFonts w:ascii="Arial" w:hAnsi="Arial" w:cs="Arial"/>
        </w:rPr>
        <w:t xml:space="preserve"> the data.</w:t>
      </w:r>
      <w:r w:rsidR="00757A3C" w:rsidRPr="00157555">
        <w:rPr>
          <w:rFonts w:ascii="Arial" w:hAnsi="Arial" w:cs="Arial"/>
        </w:rPr>
        <w:t xml:space="preserve"> </w:t>
      </w:r>
      <w:r w:rsidR="00045B94">
        <w:rPr>
          <w:rFonts w:ascii="Arial" w:hAnsi="Arial" w:cs="Arial"/>
        </w:rPr>
        <w:t>(</w:t>
      </w:r>
      <w:r w:rsidR="00757A3C" w:rsidRPr="00157555">
        <w:rPr>
          <w:rFonts w:ascii="Arial" w:hAnsi="Arial" w:cs="Arial"/>
        </w:rPr>
        <w:t>To fix the problem created by the inarticulate definition used for adjustments, the cost to provide information to trigger the appropriate exclusions would fall on competitive suppliers, a cost that the parties supporting the Stipulation ignore.</w:t>
      </w:r>
      <w:r w:rsidR="00045B94">
        <w:rPr>
          <w:rFonts w:ascii="Arial" w:hAnsi="Arial" w:cs="Arial"/>
        </w:rPr>
        <w:t>)</w:t>
      </w:r>
    </w:p>
    <w:p w14:paraId="58C0BDC7" w14:textId="234E47F8" w:rsidR="00E14484" w:rsidRPr="00157555" w:rsidRDefault="0095324C" w:rsidP="00C43396">
      <w:pPr>
        <w:spacing w:after="0" w:line="480" w:lineRule="auto"/>
        <w:ind w:firstLine="720"/>
        <w:jc w:val="both"/>
        <w:rPr>
          <w:rFonts w:ascii="Arial" w:hAnsi="Arial" w:cs="Arial"/>
        </w:rPr>
      </w:pPr>
      <w:r w:rsidRPr="00157555">
        <w:rPr>
          <w:rFonts w:ascii="Arial" w:hAnsi="Arial" w:cs="Arial"/>
        </w:rPr>
        <w:t xml:space="preserve">The Commission is bound to base its decision on the record before it and explain its rationale based on that record. R.C. 4903.09. To support a finding that the Stipulation does not violate any important regulatory rule or practice, the Commission must find some </w:t>
      </w:r>
      <w:r w:rsidR="00997C48" w:rsidRPr="00157555">
        <w:rPr>
          <w:rFonts w:ascii="Arial" w:hAnsi="Arial" w:cs="Arial"/>
        </w:rPr>
        <w:t xml:space="preserve">credible </w:t>
      </w:r>
      <w:r w:rsidRPr="00157555">
        <w:rPr>
          <w:rFonts w:ascii="Arial" w:hAnsi="Arial" w:cs="Arial"/>
        </w:rPr>
        <w:t xml:space="preserve">evidence to support the claim that the shadow billing </w:t>
      </w:r>
      <w:r w:rsidR="00BA6629" w:rsidRPr="00157555">
        <w:rPr>
          <w:rFonts w:ascii="Arial" w:hAnsi="Arial" w:cs="Arial"/>
        </w:rPr>
        <w:t>does not violate an important regulatory practice or principle</w:t>
      </w:r>
      <w:r w:rsidRPr="00157555">
        <w:rPr>
          <w:rFonts w:ascii="Arial" w:hAnsi="Arial" w:cs="Arial"/>
        </w:rPr>
        <w:t xml:space="preserve">. The only finding by the Commission on the merits of the proposal acknowledges “we do not </w:t>
      </w:r>
      <w:r w:rsidR="003113C3" w:rsidRPr="00157555">
        <w:rPr>
          <w:rFonts w:ascii="Arial" w:hAnsi="Arial" w:cs="Arial"/>
        </w:rPr>
        <w:t xml:space="preserve">here </w:t>
      </w:r>
      <w:r w:rsidRPr="00157555">
        <w:rPr>
          <w:rFonts w:ascii="Arial" w:hAnsi="Arial" w:cs="Arial"/>
        </w:rPr>
        <w:t xml:space="preserve">address the value of such information.” Opinion and Order, ¶ </w:t>
      </w:r>
      <w:r w:rsidR="003113C3" w:rsidRPr="00157555">
        <w:rPr>
          <w:rFonts w:ascii="Arial" w:hAnsi="Arial" w:cs="Arial"/>
        </w:rPr>
        <w:t>198</w:t>
      </w:r>
      <w:r w:rsidRPr="00157555">
        <w:rPr>
          <w:rFonts w:ascii="Arial" w:hAnsi="Arial" w:cs="Arial"/>
        </w:rPr>
        <w:t xml:space="preserve">. Yet if the information is of little or no value, as the record demonstrates, then its collection or dissemination is nothing more than a form of disinformation. </w:t>
      </w:r>
    </w:p>
    <w:p w14:paraId="079A014E" w14:textId="6E9F41A4" w:rsidR="0095324C" w:rsidRPr="00157555" w:rsidRDefault="00400939" w:rsidP="00C43396">
      <w:pPr>
        <w:spacing w:after="0" w:line="480" w:lineRule="auto"/>
        <w:ind w:firstLine="720"/>
        <w:jc w:val="both"/>
        <w:rPr>
          <w:rFonts w:ascii="Arial" w:hAnsi="Arial" w:cs="Arial"/>
        </w:rPr>
      </w:pPr>
      <w:r w:rsidRPr="00157555">
        <w:rPr>
          <w:rFonts w:ascii="Arial" w:hAnsi="Arial" w:cs="Arial"/>
        </w:rPr>
        <w:t>The Commission itself has an interest in the provision of accurate and truthful information</w:t>
      </w:r>
      <w:r w:rsidR="00E14484" w:rsidRPr="00157555">
        <w:rPr>
          <w:rFonts w:ascii="Arial" w:hAnsi="Arial" w:cs="Arial"/>
        </w:rPr>
        <w:t>. Yet the Opinion and Order approves the s</w:t>
      </w:r>
      <w:r w:rsidR="0095324C" w:rsidRPr="00157555">
        <w:rPr>
          <w:rFonts w:ascii="Arial" w:hAnsi="Arial" w:cs="Arial"/>
        </w:rPr>
        <w:t xml:space="preserve">preading </w:t>
      </w:r>
      <w:r w:rsidR="00E14484" w:rsidRPr="00157555">
        <w:rPr>
          <w:rFonts w:ascii="Arial" w:hAnsi="Arial" w:cs="Arial"/>
        </w:rPr>
        <w:t xml:space="preserve">of </w:t>
      </w:r>
      <w:r w:rsidR="0095324C" w:rsidRPr="00157555">
        <w:rPr>
          <w:rFonts w:ascii="Arial" w:hAnsi="Arial" w:cs="Arial"/>
        </w:rPr>
        <w:t>valueless information or misinformation</w:t>
      </w:r>
      <w:r w:rsidR="00E14484" w:rsidRPr="00157555">
        <w:rPr>
          <w:rFonts w:ascii="Arial" w:hAnsi="Arial" w:cs="Arial"/>
        </w:rPr>
        <w:t xml:space="preserve">. This result </w:t>
      </w:r>
      <w:r w:rsidR="0095324C" w:rsidRPr="00157555">
        <w:rPr>
          <w:rFonts w:ascii="Arial" w:hAnsi="Arial" w:cs="Arial"/>
        </w:rPr>
        <w:t xml:space="preserve">does not and cannot comport with the </w:t>
      </w:r>
      <w:r w:rsidR="0031497B" w:rsidRPr="00157555">
        <w:rPr>
          <w:rFonts w:ascii="Arial" w:hAnsi="Arial" w:cs="Arial"/>
        </w:rPr>
        <w:t>conclusion</w:t>
      </w:r>
      <w:r w:rsidR="0095324C" w:rsidRPr="00157555">
        <w:rPr>
          <w:rFonts w:ascii="Arial" w:hAnsi="Arial" w:cs="Arial"/>
        </w:rPr>
        <w:t xml:space="preserve"> that the </w:t>
      </w:r>
      <w:r w:rsidR="0031497B" w:rsidRPr="00157555">
        <w:rPr>
          <w:rFonts w:ascii="Arial" w:hAnsi="Arial" w:cs="Arial"/>
        </w:rPr>
        <w:t>S</w:t>
      </w:r>
      <w:r w:rsidR="0095324C" w:rsidRPr="00157555">
        <w:rPr>
          <w:rFonts w:ascii="Arial" w:hAnsi="Arial" w:cs="Arial"/>
        </w:rPr>
        <w:t>tipulation does not violate any important regulatory principle or practice. Accordingly, the Commission should grant rehearing, reverse its finding that the shadow billing provision requiring Ohio Power to provide aggregate data to OCC</w:t>
      </w:r>
      <w:r w:rsidR="00A541DD" w:rsidRPr="00157555">
        <w:rPr>
          <w:rFonts w:ascii="Arial" w:hAnsi="Arial" w:cs="Arial"/>
        </w:rPr>
        <w:t xml:space="preserve"> does not violate any important regulatory practice or principle</w:t>
      </w:r>
      <w:r w:rsidR="0095324C" w:rsidRPr="00157555">
        <w:rPr>
          <w:rFonts w:ascii="Arial" w:hAnsi="Arial" w:cs="Arial"/>
        </w:rPr>
        <w:t>, and modify the Stipulation to remove the provision.</w:t>
      </w:r>
    </w:p>
    <w:p w14:paraId="3A30BD37" w14:textId="1CCC09BA" w:rsidR="0095324C" w:rsidRPr="00157555" w:rsidRDefault="0095324C" w:rsidP="00C43396">
      <w:pPr>
        <w:pStyle w:val="Headinglevel2"/>
        <w:numPr>
          <w:ilvl w:val="0"/>
          <w:numId w:val="3"/>
        </w:numPr>
        <w:jc w:val="both"/>
        <w:rPr>
          <w:rFonts w:ascii="Arial" w:hAnsi="Arial" w:cs="Arial"/>
        </w:rPr>
      </w:pPr>
      <w:bookmarkStart w:id="21" w:name="_Toc90620211"/>
      <w:r w:rsidRPr="00157555">
        <w:rPr>
          <w:rFonts w:ascii="Arial" w:hAnsi="Arial" w:cs="Arial"/>
        </w:rPr>
        <w:t xml:space="preserve">The </w:t>
      </w:r>
      <w:bookmarkStart w:id="22" w:name="_Hlk89965175"/>
      <w:r w:rsidR="00655B93" w:rsidRPr="00157555">
        <w:rPr>
          <w:rFonts w:ascii="Arial" w:hAnsi="Arial" w:cs="Arial"/>
        </w:rPr>
        <w:t xml:space="preserve">Opinion and Order is unlawful because the Commission </w:t>
      </w:r>
      <w:r w:rsidR="00BA6629" w:rsidRPr="00157555">
        <w:rPr>
          <w:rFonts w:ascii="Arial" w:hAnsi="Arial" w:cs="Arial"/>
        </w:rPr>
        <w:t>decision finding that</w:t>
      </w:r>
      <w:r w:rsidR="00655B93" w:rsidRPr="00157555">
        <w:rPr>
          <w:rFonts w:ascii="Arial" w:hAnsi="Arial" w:cs="Arial"/>
        </w:rPr>
        <w:t xml:space="preserve"> the provision that requires Ohio Power to provide aggregate billing data to OCC </w:t>
      </w:r>
      <w:r w:rsidR="00BA6629" w:rsidRPr="00157555">
        <w:rPr>
          <w:rFonts w:ascii="Arial" w:hAnsi="Arial" w:cs="Arial"/>
        </w:rPr>
        <w:t xml:space="preserve">does not violate an important regulatory practice or principle </w:t>
      </w:r>
      <w:r w:rsidR="00655B93" w:rsidRPr="00157555">
        <w:rPr>
          <w:rFonts w:ascii="Arial" w:hAnsi="Arial" w:cs="Arial"/>
        </w:rPr>
        <w:t xml:space="preserve">represents a break with Commission precedent </w:t>
      </w:r>
      <w:r w:rsidR="00CC0B16" w:rsidRPr="00157555">
        <w:rPr>
          <w:rFonts w:ascii="Arial" w:hAnsi="Arial" w:cs="Arial"/>
        </w:rPr>
        <w:t xml:space="preserve">that </w:t>
      </w:r>
      <w:r w:rsidR="00655B93" w:rsidRPr="00157555">
        <w:rPr>
          <w:rFonts w:ascii="Arial" w:hAnsi="Arial" w:cs="Arial"/>
        </w:rPr>
        <w:t>is without a reasoned explanation</w:t>
      </w:r>
      <w:bookmarkEnd w:id="21"/>
      <w:r w:rsidR="00655B93" w:rsidRPr="00157555">
        <w:rPr>
          <w:rFonts w:ascii="Arial" w:hAnsi="Arial" w:cs="Arial"/>
        </w:rPr>
        <w:t xml:space="preserve"> </w:t>
      </w:r>
      <w:bookmarkEnd w:id="22"/>
    </w:p>
    <w:p w14:paraId="7DBC46A8" w14:textId="77777777" w:rsidR="00504132" w:rsidRPr="00157555" w:rsidRDefault="00504132" w:rsidP="00C43396">
      <w:pPr>
        <w:spacing w:after="0"/>
        <w:ind w:firstLine="720"/>
        <w:jc w:val="both"/>
        <w:rPr>
          <w:rFonts w:ascii="Arial" w:hAnsi="Arial" w:cs="Arial"/>
          <w:iCs/>
        </w:rPr>
      </w:pPr>
    </w:p>
    <w:p w14:paraId="7AD7C370" w14:textId="55706A80" w:rsidR="0095324C" w:rsidRPr="00157555" w:rsidRDefault="0095324C" w:rsidP="00C43396">
      <w:pPr>
        <w:spacing w:after="0" w:line="480" w:lineRule="auto"/>
        <w:ind w:firstLine="720"/>
        <w:jc w:val="both"/>
        <w:rPr>
          <w:rFonts w:ascii="Arial" w:hAnsi="Arial" w:cs="Arial"/>
          <w:iCs/>
        </w:rPr>
      </w:pPr>
      <w:r w:rsidRPr="00157555">
        <w:rPr>
          <w:rFonts w:ascii="Arial" w:hAnsi="Arial" w:cs="Arial"/>
          <w:iCs/>
        </w:rPr>
        <w:t xml:space="preserve">As an administrative entity, the Commission is governed by Title 49 and guided by its precedents addressing the issues presented to it. “Although the Commission should be willing to change its position when the need therefor is clear and it is shown that prior decisions are in error, it should also respect its own precedents in its decisions to assure the predictability which is essential in all areas of the law, including administrative law.” Cleveland Elec. Illuminating Co. v. Pub. Utils. Comm’n of Ohio, 42 Ohio St. 2d 403, 431 (1975). The failure to follow its prior orders without adequate justification constitutes an abuse of discretion. Office of Consumers’ Counsel v. Pub. Utils. Comm’n of Ohio, 10 Ohio St. 3d 49, 50 (1984). </w:t>
      </w:r>
    </w:p>
    <w:p w14:paraId="1A3AC7FC" w14:textId="54F68BBA" w:rsidR="0095324C" w:rsidRPr="00157555" w:rsidRDefault="00A541DD" w:rsidP="00C43396">
      <w:pPr>
        <w:spacing w:after="0" w:line="480" w:lineRule="auto"/>
        <w:ind w:firstLine="720"/>
        <w:jc w:val="both"/>
        <w:rPr>
          <w:rFonts w:ascii="Arial" w:hAnsi="Arial" w:cs="Arial"/>
        </w:rPr>
      </w:pPr>
      <w:r w:rsidRPr="00157555">
        <w:rPr>
          <w:rFonts w:ascii="Arial" w:hAnsi="Arial" w:cs="Arial"/>
          <w:iCs/>
        </w:rPr>
        <w:t xml:space="preserve">The Commission’s prior decisions concerning various forms of shadow billing have uniformly rejected an industrywide requirement for the practice. </w:t>
      </w:r>
      <w:r w:rsidR="0095324C" w:rsidRPr="00157555">
        <w:rPr>
          <w:rFonts w:ascii="Arial" w:hAnsi="Arial" w:cs="Arial"/>
          <w:iCs/>
        </w:rPr>
        <w:t>In three separate decisions issued in 2021 alone, the Commission rejected rule proposals from OCC to require the utilities to conduct shadow-billing analyses</w:t>
      </w:r>
      <w:r w:rsidR="000F5F69" w:rsidRPr="00157555">
        <w:rPr>
          <w:rFonts w:ascii="Arial" w:hAnsi="Arial" w:cs="Arial"/>
          <w:iCs/>
        </w:rPr>
        <w:t xml:space="preserve"> because better resources already exist</w:t>
      </w:r>
      <w:r w:rsidR="0095324C" w:rsidRPr="00157555">
        <w:rPr>
          <w:rFonts w:ascii="Arial" w:hAnsi="Arial" w:cs="Arial"/>
          <w:iCs/>
        </w:rPr>
        <w:t>.</w:t>
      </w:r>
      <w:r w:rsidR="0095324C" w:rsidRPr="00157555">
        <w:rPr>
          <w:rFonts w:ascii="Arial" w:hAnsi="Arial" w:cs="Arial"/>
        </w:rPr>
        <w:t xml:space="preserve"> </w:t>
      </w:r>
      <w:r w:rsidR="0095324C" w:rsidRPr="00157555">
        <w:rPr>
          <w:rFonts w:ascii="Arial" w:hAnsi="Arial" w:cs="Arial"/>
          <w:iCs/>
        </w:rPr>
        <w:t>In the Matter of  the Commission’s Review of its Rules for Electrical Safety and Service Standards Contained in Chapter 4901:1-10 of the Ohio Administrative Code</w:t>
      </w:r>
      <w:r w:rsidR="0095324C" w:rsidRPr="00157555">
        <w:rPr>
          <w:rFonts w:ascii="Arial" w:hAnsi="Arial" w:cs="Arial"/>
        </w:rPr>
        <w:t>, Case No. 17-1842-EL-ORD, Entry on Rehearing at ¶ 35 (Jan. 27, 2021) (emphasis added) (also rejecting OCC’s request to make shadow billing publicly available)</w:t>
      </w:r>
      <w:r w:rsidR="000F5F69" w:rsidRPr="00157555">
        <w:rPr>
          <w:rFonts w:ascii="Arial" w:hAnsi="Arial" w:cs="Arial"/>
        </w:rPr>
        <w:t xml:space="preserve">; </w:t>
      </w:r>
      <w:r w:rsidR="0095324C" w:rsidRPr="00157555">
        <w:rPr>
          <w:rFonts w:ascii="Arial" w:hAnsi="Arial" w:cs="Arial"/>
          <w:iCs/>
        </w:rPr>
        <w:t>In the Matter of  the Commission’s Review of the Minimum Gas Service Standards in Chapter 4901:1-13 of the Ohio Administrative Code</w:t>
      </w:r>
      <w:r w:rsidR="0095324C" w:rsidRPr="00157555">
        <w:rPr>
          <w:rFonts w:ascii="Arial" w:hAnsi="Arial" w:cs="Arial"/>
        </w:rPr>
        <w:t>, Case No. 19-1429-GA-ORD, Finding and Order at ¶ 89 (Feb. 24, 2021)</w:t>
      </w:r>
      <w:r w:rsidR="000F5F69" w:rsidRPr="00157555">
        <w:rPr>
          <w:rFonts w:ascii="Arial" w:hAnsi="Arial" w:cs="Arial"/>
        </w:rPr>
        <w:t xml:space="preserve"> and i</w:t>
      </w:r>
      <w:r w:rsidR="0095324C" w:rsidRPr="00157555">
        <w:rPr>
          <w:rFonts w:ascii="Arial" w:hAnsi="Arial" w:cs="Arial"/>
          <w:iCs/>
        </w:rPr>
        <w:t>d</w:t>
      </w:r>
      <w:r w:rsidR="0095324C" w:rsidRPr="00157555">
        <w:rPr>
          <w:rFonts w:ascii="Arial" w:hAnsi="Arial" w:cs="Arial"/>
        </w:rPr>
        <w:t>., Entry on Rehearing at ¶ 20 (Apr. 21, 2021).</w:t>
      </w:r>
      <w:r w:rsidR="000F5F69" w:rsidRPr="00157555">
        <w:rPr>
          <w:rFonts w:ascii="Arial" w:hAnsi="Arial" w:cs="Arial"/>
        </w:rPr>
        <w:t xml:space="preserve"> </w:t>
      </w:r>
      <w:r w:rsidR="0095324C" w:rsidRPr="00157555">
        <w:rPr>
          <w:rFonts w:ascii="Arial" w:hAnsi="Arial" w:cs="Arial"/>
        </w:rPr>
        <w:t>The list of</w:t>
      </w:r>
      <w:r w:rsidRPr="00157555">
        <w:rPr>
          <w:rFonts w:ascii="Arial" w:hAnsi="Arial" w:cs="Arial"/>
        </w:rPr>
        <w:t xml:space="preserve"> other</w:t>
      </w:r>
      <w:r w:rsidR="0095324C" w:rsidRPr="00157555">
        <w:rPr>
          <w:rFonts w:ascii="Arial" w:hAnsi="Arial" w:cs="Arial"/>
        </w:rPr>
        <w:t xml:space="preserve"> cases in which the Commission rejected other shadow-billing proposals for similar reasons is long. </w:t>
      </w:r>
      <w:r w:rsidR="0095324C" w:rsidRPr="00157555">
        <w:rPr>
          <w:rFonts w:ascii="Arial" w:hAnsi="Arial" w:cs="Arial"/>
          <w:iCs/>
        </w:rPr>
        <w:t>See</w:t>
      </w:r>
      <w:r w:rsidR="00D70B64" w:rsidRPr="00157555">
        <w:rPr>
          <w:rFonts w:ascii="Arial" w:hAnsi="Arial" w:cs="Arial"/>
          <w:iCs/>
        </w:rPr>
        <w:t>,</w:t>
      </w:r>
      <w:r w:rsidR="0095324C" w:rsidRPr="00157555">
        <w:rPr>
          <w:rFonts w:ascii="Arial" w:hAnsi="Arial" w:cs="Arial"/>
          <w:iCs/>
        </w:rPr>
        <w:t xml:space="preserve"> e.g., In re Application of Ohio Power Company to Initiate Phase 2 of its </w:t>
      </w:r>
      <w:proofErr w:type="spellStart"/>
      <w:r w:rsidR="0095324C" w:rsidRPr="00157555">
        <w:rPr>
          <w:rFonts w:ascii="Arial" w:hAnsi="Arial" w:cs="Arial"/>
          <w:iCs/>
        </w:rPr>
        <w:t>gridSMART</w:t>
      </w:r>
      <w:proofErr w:type="spellEnd"/>
      <w:r w:rsidR="0095324C" w:rsidRPr="00157555">
        <w:rPr>
          <w:rFonts w:ascii="Arial" w:hAnsi="Arial" w:cs="Arial"/>
          <w:iCs/>
        </w:rPr>
        <w:t xml:space="preserve"> Project and to Establish the </w:t>
      </w:r>
      <w:proofErr w:type="spellStart"/>
      <w:r w:rsidR="0095324C" w:rsidRPr="00157555">
        <w:rPr>
          <w:rFonts w:ascii="Arial" w:hAnsi="Arial" w:cs="Arial"/>
          <w:iCs/>
        </w:rPr>
        <w:t>gridSMART</w:t>
      </w:r>
      <w:proofErr w:type="spellEnd"/>
      <w:r w:rsidR="0095324C" w:rsidRPr="00157555">
        <w:rPr>
          <w:rFonts w:ascii="Arial" w:hAnsi="Arial" w:cs="Arial"/>
          <w:iCs/>
        </w:rPr>
        <w:t xml:space="preserve"> Phase 2 Rider</w:t>
      </w:r>
      <w:r w:rsidR="0095324C" w:rsidRPr="00157555">
        <w:rPr>
          <w:rFonts w:ascii="Arial" w:hAnsi="Arial" w:cs="Arial"/>
        </w:rPr>
        <w:t xml:space="preserve">, Case No. 13-1939-EL-RDR, Opinion and Order at ¶ 79 (Feb. 1, 2017) (rejecting Ohio Partners for Affordable Energy’s request for shadow billing) and </w:t>
      </w:r>
      <w:r w:rsidR="0095324C" w:rsidRPr="00157555">
        <w:rPr>
          <w:rFonts w:ascii="Arial" w:hAnsi="Arial" w:cs="Arial"/>
          <w:iCs/>
        </w:rPr>
        <w:t>In re the Purchased Gas Adjustment Clause Contained within the Rate Schedules of Duke Energy Ohio, Inc</w:t>
      </w:r>
      <w:r w:rsidR="0095324C" w:rsidRPr="00157555">
        <w:rPr>
          <w:rFonts w:ascii="Arial" w:hAnsi="Arial" w:cs="Arial"/>
          <w:i/>
        </w:rPr>
        <w:t>.</w:t>
      </w:r>
      <w:r w:rsidR="0095324C" w:rsidRPr="00157555">
        <w:rPr>
          <w:rFonts w:ascii="Arial" w:hAnsi="Arial" w:cs="Arial"/>
        </w:rPr>
        <w:t xml:space="preserve">, Case No. 18-218-GA-GCR, et al., Opinion and Order at ¶ 54 (Dec. 18, 2019) (rejecting OCC’s shadow billing recommendation which the Commission had also previously rejected in Duke’s 2015 audit case regarding its GCR rider).  </w:t>
      </w:r>
    </w:p>
    <w:p w14:paraId="5C16DDC8" w14:textId="0D2BC50C" w:rsidR="0095324C" w:rsidRPr="00157555" w:rsidRDefault="0095324C" w:rsidP="00C43396">
      <w:pPr>
        <w:spacing w:after="0" w:line="480" w:lineRule="auto"/>
        <w:ind w:firstLine="720"/>
        <w:jc w:val="both"/>
        <w:rPr>
          <w:rFonts w:ascii="Arial" w:hAnsi="Arial" w:cs="Arial"/>
        </w:rPr>
      </w:pPr>
      <w:r w:rsidRPr="00157555">
        <w:rPr>
          <w:rFonts w:ascii="Arial" w:hAnsi="Arial" w:cs="Arial"/>
        </w:rPr>
        <w:t>Apart from the consistent line of cases rejecting shadow billing, the reasons for doing so remain unchanged. In contrast to aggregate shadow billing data,</w:t>
      </w:r>
      <w:r w:rsidR="00A541DD" w:rsidRPr="00157555">
        <w:rPr>
          <w:rFonts w:ascii="Arial" w:hAnsi="Arial" w:cs="Arial"/>
        </w:rPr>
        <w:t xml:space="preserve"> and especially the heavily manipulated data that Ohio Power has promised to provide,</w:t>
      </w:r>
      <w:r w:rsidRPr="00157555">
        <w:rPr>
          <w:rFonts w:ascii="Arial" w:hAnsi="Arial" w:cs="Arial"/>
        </w:rPr>
        <w:t xml:space="preserve"> tools such as the Commission’s Energy Choice Ohio website </w:t>
      </w:r>
      <w:r w:rsidR="00AC26B5" w:rsidRPr="00157555">
        <w:rPr>
          <w:rFonts w:ascii="Arial" w:hAnsi="Arial" w:cs="Arial"/>
        </w:rPr>
        <w:t>benefit</w:t>
      </w:r>
      <w:r w:rsidRPr="00157555">
        <w:rPr>
          <w:rFonts w:ascii="Arial" w:hAnsi="Arial" w:cs="Arial"/>
        </w:rPr>
        <w:t xml:space="preserve"> customers</w:t>
      </w:r>
      <w:r w:rsidR="000B2B6B" w:rsidRPr="00157555">
        <w:rPr>
          <w:rFonts w:ascii="Arial" w:hAnsi="Arial" w:cs="Arial"/>
        </w:rPr>
        <w:t xml:space="preserve"> by providing</w:t>
      </w:r>
      <w:r w:rsidRPr="00157555">
        <w:rPr>
          <w:rFonts w:ascii="Arial" w:hAnsi="Arial" w:cs="Arial"/>
        </w:rPr>
        <w:t xml:space="preserve"> a forward-looking comparison of the current product offerings for an individual customer. IGS/Direct Ex. 2 at 54.</w:t>
      </w:r>
      <w:r w:rsidR="00292F45" w:rsidRPr="00157555">
        <w:rPr>
          <w:rFonts w:ascii="Arial" w:hAnsi="Arial" w:cs="Arial"/>
        </w:rPr>
        <w:t xml:space="preserve"> </w:t>
      </w:r>
      <w:r w:rsidRPr="00157555">
        <w:rPr>
          <w:rFonts w:ascii="Arial" w:hAnsi="Arial" w:cs="Arial"/>
        </w:rPr>
        <w:t xml:space="preserve"> </w:t>
      </w:r>
    </w:p>
    <w:p w14:paraId="744731EF" w14:textId="63330991" w:rsidR="0095324C" w:rsidRPr="00157555" w:rsidRDefault="0095324C" w:rsidP="00C43396">
      <w:pPr>
        <w:spacing w:after="0" w:line="480" w:lineRule="auto"/>
        <w:jc w:val="both"/>
        <w:rPr>
          <w:rFonts w:ascii="Arial" w:hAnsi="Arial" w:cs="Arial"/>
        </w:rPr>
      </w:pPr>
      <w:r w:rsidRPr="00157555">
        <w:rPr>
          <w:rFonts w:ascii="Arial" w:hAnsi="Arial" w:cs="Arial"/>
        </w:rPr>
        <w:tab/>
      </w:r>
      <w:r w:rsidR="000B2B6B" w:rsidRPr="00157555">
        <w:rPr>
          <w:rFonts w:ascii="Arial" w:hAnsi="Arial" w:cs="Arial"/>
        </w:rPr>
        <w:t>W</w:t>
      </w:r>
      <w:r w:rsidRPr="00157555">
        <w:rPr>
          <w:rFonts w:ascii="Arial" w:hAnsi="Arial" w:cs="Arial"/>
        </w:rPr>
        <w:t>holly absent from the Opinion and Order is any suggestion that the Commission’s prior decisions were in error</w:t>
      </w:r>
      <w:r w:rsidR="000B2B6B" w:rsidRPr="00157555">
        <w:rPr>
          <w:rFonts w:ascii="Arial" w:hAnsi="Arial" w:cs="Arial"/>
        </w:rPr>
        <w:t xml:space="preserve"> or that what Ohio Power has promised to provide is of any value</w:t>
      </w:r>
      <w:r w:rsidRPr="00157555">
        <w:rPr>
          <w:rFonts w:ascii="Arial" w:hAnsi="Arial" w:cs="Arial"/>
        </w:rPr>
        <w:t xml:space="preserve">. </w:t>
      </w:r>
      <w:r w:rsidR="00CC0B16" w:rsidRPr="00157555">
        <w:rPr>
          <w:rFonts w:ascii="Arial" w:hAnsi="Arial" w:cs="Arial"/>
        </w:rPr>
        <w:t>In fact,</w:t>
      </w:r>
      <w:r w:rsidRPr="00157555">
        <w:rPr>
          <w:rFonts w:ascii="Arial" w:hAnsi="Arial" w:cs="Arial"/>
        </w:rPr>
        <w:t xml:space="preserve"> the Commission itself states it is not considering the value of the information </w:t>
      </w:r>
      <w:r w:rsidR="00D70B64" w:rsidRPr="00157555">
        <w:rPr>
          <w:rFonts w:ascii="Arial" w:hAnsi="Arial" w:cs="Arial"/>
        </w:rPr>
        <w:t xml:space="preserve">to be </w:t>
      </w:r>
      <w:r w:rsidRPr="00157555">
        <w:rPr>
          <w:rFonts w:ascii="Arial" w:hAnsi="Arial" w:cs="Arial"/>
        </w:rPr>
        <w:t xml:space="preserve">provided. Opinion and Order, ¶ 198. </w:t>
      </w:r>
    </w:p>
    <w:p w14:paraId="21FEFB9D" w14:textId="3802DFF6" w:rsidR="00292F45" w:rsidRPr="00157555" w:rsidRDefault="0095324C" w:rsidP="00C43396">
      <w:pPr>
        <w:spacing w:after="0" w:line="480" w:lineRule="auto"/>
        <w:ind w:firstLine="720"/>
        <w:jc w:val="both"/>
        <w:rPr>
          <w:rFonts w:ascii="Arial" w:hAnsi="Arial" w:cs="Arial"/>
          <w:iCs/>
        </w:rPr>
      </w:pPr>
      <w:r w:rsidRPr="00157555">
        <w:rPr>
          <w:rFonts w:ascii="Arial" w:hAnsi="Arial" w:cs="Arial"/>
        </w:rPr>
        <w:t>In fact, the only apparent consideration the Opinion and Order gives to the Commission’s prior decisions is a statement that it previously approved an agreement to engage in shadow billing. Id. An agreement in another case, however, cannot justify the change from precedent since it provides no evidence that the</w:t>
      </w:r>
      <w:r w:rsidRPr="00157555">
        <w:rPr>
          <w:rFonts w:ascii="Arial" w:hAnsi="Arial" w:cs="Arial"/>
          <w:iCs/>
        </w:rPr>
        <w:t xml:space="preserve"> </w:t>
      </w:r>
      <w:r w:rsidR="00AA3CC8" w:rsidRPr="00157555">
        <w:rPr>
          <w:rFonts w:ascii="Arial" w:hAnsi="Arial" w:cs="Arial"/>
          <w:iCs/>
        </w:rPr>
        <w:t>subsequent</w:t>
      </w:r>
      <w:r w:rsidRPr="00157555">
        <w:rPr>
          <w:rFonts w:ascii="Arial" w:hAnsi="Arial" w:cs="Arial"/>
          <w:iCs/>
        </w:rPr>
        <w:t xml:space="preserve"> decisions </w:t>
      </w:r>
      <w:r w:rsidR="000B2B6B" w:rsidRPr="00157555">
        <w:rPr>
          <w:rFonts w:ascii="Arial" w:hAnsi="Arial" w:cs="Arial"/>
          <w:iCs/>
        </w:rPr>
        <w:t xml:space="preserve">rejecting shadow billing, including three decisions issued in 2021, </w:t>
      </w:r>
      <w:r w:rsidRPr="00157555">
        <w:rPr>
          <w:rFonts w:ascii="Arial" w:hAnsi="Arial" w:cs="Arial"/>
          <w:iCs/>
        </w:rPr>
        <w:t>are in error.</w:t>
      </w:r>
      <w:r w:rsidRPr="00157555">
        <w:rPr>
          <w:rStyle w:val="FootnoteReference"/>
          <w:rFonts w:ascii="Arial" w:hAnsi="Arial" w:cs="Arial"/>
          <w:iCs/>
        </w:rPr>
        <w:footnoteReference w:id="10"/>
      </w:r>
    </w:p>
    <w:p w14:paraId="6A53921C" w14:textId="7567509B" w:rsidR="0095324C" w:rsidRPr="00157555" w:rsidRDefault="00292F45" w:rsidP="00C43396">
      <w:pPr>
        <w:spacing w:after="0" w:line="480" w:lineRule="auto"/>
        <w:ind w:firstLine="720"/>
        <w:jc w:val="both"/>
        <w:rPr>
          <w:rFonts w:ascii="Arial" w:hAnsi="Arial" w:cs="Arial"/>
          <w:iCs/>
        </w:rPr>
      </w:pPr>
      <w:r w:rsidRPr="00157555">
        <w:rPr>
          <w:rFonts w:ascii="Arial" w:hAnsi="Arial" w:cs="Arial"/>
          <w:iCs/>
        </w:rPr>
        <w:t>Finally, given the long history of decisions and rulemaking orders rejecting the provision of shadow billing data, the Order will encourage parties to use stipulations to circumvent precedent and the Commission’s rulemaking process.  In addition to subverting the efficiency of the Commission’s administrative processes, such a result will lead to continual re-litigation of issues.</w:t>
      </w:r>
    </w:p>
    <w:p w14:paraId="231938C8" w14:textId="444BE3B5" w:rsidR="0095324C" w:rsidRPr="00157555" w:rsidRDefault="0095324C" w:rsidP="00C43396">
      <w:pPr>
        <w:spacing w:after="0" w:line="480" w:lineRule="auto"/>
        <w:ind w:firstLine="720"/>
        <w:jc w:val="both"/>
        <w:rPr>
          <w:rFonts w:ascii="Arial" w:hAnsi="Arial" w:cs="Arial"/>
        </w:rPr>
      </w:pPr>
      <w:r w:rsidRPr="00157555">
        <w:rPr>
          <w:rFonts w:ascii="Arial" w:hAnsi="Arial" w:cs="Arial"/>
        </w:rPr>
        <w:t>Accordingly, the Commission should grant rehearing, reverse its finding that the shadow billing provision requiring Ohio Power to provide aggregate data to OCC</w:t>
      </w:r>
      <w:r w:rsidR="00AA3CC8" w:rsidRPr="00157555">
        <w:rPr>
          <w:rFonts w:ascii="Arial" w:hAnsi="Arial" w:cs="Arial"/>
        </w:rPr>
        <w:t xml:space="preserve"> does not violate any important regulatory practice or principle</w:t>
      </w:r>
      <w:r w:rsidRPr="00157555">
        <w:rPr>
          <w:rFonts w:ascii="Arial" w:hAnsi="Arial" w:cs="Arial"/>
        </w:rPr>
        <w:t xml:space="preserve">, and </w:t>
      </w:r>
      <w:r w:rsidR="00AA3CC8" w:rsidRPr="00157555">
        <w:rPr>
          <w:rFonts w:ascii="Arial" w:hAnsi="Arial" w:cs="Arial"/>
        </w:rPr>
        <w:t>modify the Stipulation consistently with that decision</w:t>
      </w:r>
      <w:r w:rsidRPr="00157555">
        <w:rPr>
          <w:rFonts w:ascii="Arial" w:hAnsi="Arial" w:cs="Arial"/>
          <w:iCs/>
        </w:rPr>
        <w:t>.</w:t>
      </w:r>
      <w:r w:rsidRPr="00157555">
        <w:rPr>
          <w:rFonts w:ascii="Arial" w:hAnsi="Arial" w:cs="Arial"/>
        </w:rPr>
        <w:t xml:space="preserve"> </w:t>
      </w:r>
    </w:p>
    <w:p w14:paraId="567262CC" w14:textId="7DCEBE29" w:rsidR="0095324C" w:rsidRPr="00157555" w:rsidRDefault="00C77078" w:rsidP="00C43396">
      <w:pPr>
        <w:pStyle w:val="Headinglevel1"/>
        <w:numPr>
          <w:ilvl w:val="0"/>
          <w:numId w:val="2"/>
        </w:numPr>
        <w:jc w:val="both"/>
        <w:rPr>
          <w:rFonts w:ascii="Arial" w:hAnsi="Arial" w:cs="Arial"/>
        </w:rPr>
      </w:pPr>
      <w:bookmarkStart w:id="23" w:name="_Toc90620212"/>
      <w:bookmarkStart w:id="24" w:name="_Hlk89874920"/>
      <w:r w:rsidRPr="00157555">
        <w:rPr>
          <w:rFonts w:ascii="Arial" w:hAnsi="Arial" w:cs="Arial"/>
        </w:rPr>
        <w:t xml:space="preserve">The </w:t>
      </w:r>
      <w:r w:rsidR="001E752D" w:rsidRPr="00157555">
        <w:rPr>
          <w:rFonts w:ascii="Arial" w:hAnsi="Arial" w:cs="Arial"/>
          <w:bCs/>
        </w:rPr>
        <w:t xml:space="preserve">Opinion and Order is unlawful and unreasonable because it permits </w:t>
      </w:r>
      <w:r w:rsidR="001E752D" w:rsidRPr="00774BB5">
        <w:rPr>
          <w:rFonts w:ascii="Arial" w:hAnsi="Arial" w:cs="Arial"/>
          <w:bCs/>
        </w:rPr>
        <w:t xml:space="preserve">Ohio Power to </w:t>
      </w:r>
      <w:r w:rsidR="001E752D" w:rsidRPr="00157555">
        <w:rPr>
          <w:rFonts w:ascii="Arial" w:hAnsi="Arial" w:cs="Arial"/>
          <w:bCs/>
        </w:rPr>
        <w:t xml:space="preserve">recover </w:t>
      </w:r>
      <w:r w:rsidR="001E752D" w:rsidRPr="00774BB5">
        <w:rPr>
          <w:rFonts w:ascii="Arial" w:hAnsi="Arial" w:cs="Arial"/>
          <w:bCs/>
        </w:rPr>
        <w:t>in distribution rates</w:t>
      </w:r>
      <w:r w:rsidR="001E752D" w:rsidRPr="00157555">
        <w:rPr>
          <w:rFonts w:ascii="Arial" w:hAnsi="Arial" w:cs="Arial"/>
          <w:bCs/>
        </w:rPr>
        <w:t xml:space="preserve"> </w:t>
      </w:r>
      <w:r w:rsidR="001E752D" w:rsidRPr="00774BB5">
        <w:rPr>
          <w:rFonts w:ascii="Arial" w:hAnsi="Arial" w:cs="Arial"/>
          <w:bCs/>
        </w:rPr>
        <w:t>the</w:t>
      </w:r>
      <w:r w:rsidR="001E752D" w:rsidRPr="00157555">
        <w:rPr>
          <w:rFonts w:ascii="Arial" w:hAnsi="Arial" w:cs="Arial"/>
          <w:bCs/>
        </w:rPr>
        <w:t xml:space="preserve"> costs </w:t>
      </w:r>
      <w:r w:rsidR="001E752D" w:rsidRPr="00774BB5">
        <w:rPr>
          <w:rFonts w:ascii="Arial" w:hAnsi="Arial" w:cs="Arial"/>
          <w:bCs/>
        </w:rPr>
        <w:t xml:space="preserve">it incurs </w:t>
      </w:r>
      <w:r w:rsidR="001E752D" w:rsidRPr="00157555">
        <w:rPr>
          <w:rFonts w:ascii="Arial" w:hAnsi="Arial" w:cs="Arial"/>
          <w:bCs/>
        </w:rPr>
        <w:t>to market customer-sited generation in violation of R.C. 4928.47 and R.C. 4903.09</w:t>
      </w:r>
      <w:bookmarkEnd w:id="23"/>
    </w:p>
    <w:bookmarkEnd w:id="24"/>
    <w:p w14:paraId="69A6C073" w14:textId="77777777" w:rsidR="00504132" w:rsidRPr="00157555" w:rsidRDefault="00504132" w:rsidP="00C43396">
      <w:pPr>
        <w:spacing w:after="0"/>
        <w:ind w:firstLine="720"/>
        <w:jc w:val="both"/>
        <w:rPr>
          <w:rFonts w:ascii="Arial" w:hAnsi="Arial" w:cs="Arial"/>
        </w:rPr>
      </w:pPr>
    </w:p>
    <w:p w14:paraId="5BF428B5" w14:textId="178C3263" w:rsidR="00C77078" w:rsidRPr="00157555" w:rsidRDefault="005A5064" w:rsidP="00C43396">
      <w:pPr>
        <w:spacing w:after="0" w:line="480" w:lineRule="auto"/>
        <w:ind w:firstLine="720"/>
        <w:jc w:val="both"/>
        <w:rPr>
          <w:rFonts w:ascii="Arial" w:hAnsi="Arial" w:cs="Arial"/>
        </w:rPr>
      </w:pPr>
      <w:r w:rsidRPr="00157555">
        <w:rPr>
          <w:rFonts w:ascii="Arial" w:hAnsi="Arial" w:cs="Arial"/>
        </w:rPr>
        <w:t>The Opinion and Order treats costs to conduct marketing</w:t>
      </w:r>
      <w:r w:rsidR="000B2B6B" w:rsidRPr="00157555">
        <w:rPr>
          <w:rFonts w:ascii="Arial" w:hAnsi="Arial" w:cs="Arial"/>
        </w:rPr>
        <w:t xml:space="preserve"> of customer-sited generation</w:t>
      </w:r>
      <w:r w:rsidRPr="00157555">
        <w:rPr>
          <w:rFonts w:ascii="Arial" w:hAnsi="Arial" w:cs="Arial"/>
        </w:rPr>
        <w:t xml:space="preserve">, in an amount as yet unknown because the Staff did not investigate it and Ohio Power claims these costs are distribution-related, as “part of [Ohio Power’s] functions as an electric distribution utility.” Opinion and Order, ¶ 194. </w:t>
      </w:r>
      <w:r w:rsidR="00C77078" w:rsidRPr="00157555">
        <w:rPr>
          <w:rFonts w:ascii="Arial" w:hAnsi="Arial" w:cs="Arial"/>
        </w:rPr>
        <w:t>Relabeling costs to support the marketing of generation projects to customers as distribution costs does not make them so. Because this relabeling results in unlawful and unreasonable rates, the Commission should grant rehearing</w:t>
      </w:r>
      <w:r w:rsidR="000C21AB">
        <w:rPr>
          <w:rFonts w:ascii="Arial" w:hAnsi="Arial" w:cs="Arial"/>
        </w:rPr>
        <w:t xml:space="preserve">, </w:t>
      </w:r>
      <w:r w:rsidR="00C77078" w:rsidRPr="00157555">
        <w:rPr>
          <w:rFonts w:ascii="Arial" w:hAnsi="Arial" w:cs="Arial"/>
        </w:rPr>
        <w:t xml:space="preserve">determine the amount Ohio Power included in test year expenses for the marketing of </w:t>
      </w:r>
      <w:r w:rsidR="00AA3CC8" w:rsidRPr="00157555">
        <w:rPr>
          <w:rFonts w:ascii="Arial" w:hAnsi="Arial" w:cs="Arial"/>
        </w:rPr>
        <w:t>customer-sited</w:t>
      </w:r>
      <w:r w:rsidR="00C77078" w:rsidRPr="00157555">
        <w:rPr>
          <w:rFonts w:ascii="Arial" w:hAnsi="Arial" w:cs="Arial"/>
        </w:rPr>
        <w:t xml:space="preserve"> generation projects</w:t>
      </w:r>
      <w:r w:rsidR="000C21AB">
        <w:rPr>
          <w:rFonts w:ascii="Arial" w:hAnsi="Arial" w:cs="Arial"/>
        </w:rPr>
        <w:t>,</w:t>
      </w:r>
      <w:r w:rsidRPr="00157555">
        <w:rPr>
          <w:rFonts w:ascii="Arial" w:hAnsi="Arial" w:cs="Arial"/>
        </w:rPr>
        <w:t xml:space="preserve"> and adjust rates to remove the effects of those amounts</w:t>
      </w:r>
      <w:r w:rsidR="00C77078" w:rsidRPr="00157555">
        <w:rPr>
          <w:rFonts w:ascii="Arial" w:hAnsi="Arial" w:cs="Arial"/>
        </w:rPr>
        <w:t>.</w:t>
      </w:r>
    </w:p>
    <w:p w14:paraId="40CA9021" w14:textId="05702F1F" w:rsidR="00C77078" w:rsidRPr="00157555" w:rsidRDefault="00C77078" w:rsidP="00C43396">
      <w:pPr>
        <w:spacing w:after="0" w:line="480" w:lineRule="auto"/>
        <w:jc w:val="both"/>
        <w:rPr>
          <w:rFonts w:ascii="Arial" w:hAnsi="Arial" w:cs="Arial"/>
        </w:rPr>
      </w:pPr>
      <w:r w:rsidRPr="00157555">
        <w:rPr>
          <w:rFonts w:ascii="Arial" w:hAnsi="Arial" w:cs="Arial"/>
        </w:rPr>
        <w:tab/>
        <w:t xml:space="preserve">It is not debated that Ohio Power is not permitted to bill and collect costs related to </w:t>
      </w:r>
      <w:r w:rsidR="005907EA" w:rsidRPr="00157555">
        <w:rPr>
          <w:rFonts w:ascii="Arial" w:hAnsi="Arial" w:cs="Arial"/>
        </w:rPr>
        <w:t>customer</w:t>
      </w:r>
      <w:r w:rsidRPr="00157555">
        <w:rPr>
          <w:rFonts w:ascii="Arial" w:hAnsi="Arial" w:cs="Arial"/>
        </w:rPr>
        <w:t>-site</w:t>
      </w:r>
      <w:r w:rsidR="005907EA" w:rsidRPr="00157555">
        <w:rPr>
          <w:rFonts w:ascii="Arial" w:hAnsi="Arial" w:cs="Arial"/>
        </w:rPr>
        <w:t>d</w:t>
      </w:r>
      <w:r w:rsidRPr="00157555">
        <w:rPr>
          <w:rFonts w:ascii="Arial" w:hAnsi="Arial" w:cs="Arial"/>
        </w:rPr>
        <w:t xml:space="preserve"> generation projects in distribution rates. While an EDU may enter into an agreement with </w:t>
      </w:r>
      <w:r w:rsidR="005A5064" w:rsidRPr="00157555">
        <w:rPr>
          <w:rFonts w:ascii="Arial" w:hAnsi="Arial" w:cs="Arial"/>
        </w:rPr>
        <w:t xml:space="preserve">a </w:t>
      </w:r>
      <w:r w:rsidRPr="00157555">
        <w:rPr>
          <w:rFonts w:ascii="Arial" w:hAnsi="Arial" w:cs="Arial"/>
        </w:rPr>
        <w:t>mercantile customer for the purpose of constructing a customer</w:t>
      </w:r>
      <w:r w:rsidR="0011726D" w:rsidRPr="00157555">
        <w:rPr>
          <w:rFonts w:ascii="Arial" w:hAnsi="Arial" w:cs="Arial"/>
        </w:rPr>
        <w:t>-</w:t>
      </w:r>
      <w:r w:rsidRPr="00157555">
        <w:rPr>
          <w:rFonts w:ascii="Arial" w:hAnsi="Arial" w:cs="Arial"/>
        </w:rPr>
        <w:t>sited renewable energy resource, subject to Commission approval, “any direct or indirect costs” associated with the project shall be paid for solely by the EDU and the mercantile customer. R.C. 4928.47(A) and (B). “At no point shall the commission authorize the utility to collect, nor shall the utility ever collect, any of those costs from any customer other than the mercantile customer or group of mercantile customers.” R.C. 4928.47(B).</w:t>
      </w:r>
    </w:p>
    <w:p w14:paraId="36081CCD" w14:textId="3BCC6093" w:rsidR="00C77078" w:rsidRPr="00157555" w:rsidRDefault="00C77078" w:rsidP="00C43396">
      <w:pPr>
        <w:spacing w:after="0" w:line="480" w:lineRule="auto"/>
        <w:jc w:val="both"/>
        <w:rPr>
          <w:rFonts w:ascii="Arial" w:hAnsi="Arial" w:cs="Arial"/>
        </w:rPr>
      </w:pPr>
      <w:r w:rsidRPr="00157555">
        <w:rPr>
          <w:rFonts w:ascii="Arial" w:hAnsi="Arial" w:cs="Arial"/>
        </w:rPr>
        <w:tab/>
        <w:t xml:space="preserve">The record in this case establishes that Ohio Power, through its customer representatives, marketed customer-sited generation projects to mercantile customers during the test period. Tr. at 978-79 and 983-84; IGS/Direct Ex. 2 at 55, </w:t>
      </w:r>
      <w:r w:rsidRPr="00157555">
        <w:rPr>
          <w:rFonts w:ascii="Arial" w:hAnsi="Arial" w:cs="Arial"/>
          <w:i/>
        </w:rPr>
        <w:t>citing</w:t>
      </w:r>
      <w:r w:rsidRPr="00157555">
        <w:rPr>
          <w:rFonts w:ascii="Arial" w:hAnsi="Arial" w:cs="Arial"/>
        </w:rPr>
        <w:t xml:space="preserve"> IGS Ex. 19. Ohio Power made no attempt to identify the costs associated with these efforts, alleging that engaging customers with competitive retail electric service opportunities is part of Ohio Power’s “normal customer service work.” Tr. at 971-72. In a manner that should be familiar to the Commission, Ohio Power relabels these marketing costs as “incidental” to distribution service. IGS Ex. 19. </w:t>
      </w:r>
    </w:p>
    <w:p w14:paraId="7045C401" w14:textId="7875BEFA" w:rsidR="00C77078" w:rsidRPr="00157555" w:rsidRDefault="0011726D" w:rsidP="00C43396">
      <w:pPr>
        <w:spacing w:after="0" w:line="480" w:lineRule="auto"/>
        <w:ind w:firstLine="720"/>
        <w:jc w:val="both"/>
        <w:rPr>
          <w:rFonts w:ascii="Arial" w:hAnsi="Arial" w:cs="Arial"/>
        </w:rPr>
      </w:pPr>
      <w:r w:rsidRPr="00157555">
        <w:rPr>
          <w:rFonts w:ascii="Arial" w:hAnsi="Arial" w:cs="Arial"/>
        </w:rPr>
        <w:t xml:space="preserve">Although it would parrot Ohio Power’s relabeling of the costs as incidental, </w:t>
      </w:r>
      <w:r w:rsidR="00C77078" w:rsidRPr="00157555">
        <w:rPr>
          <w:rFonts w:ascii="Arial" w:hAnsi="Arial" w:cs="Arial"/>
        </w:rPr>
        <w:t xml:space="preserve">Staff did not investigate the number of discussions or meetings held by Ohio Power regarding these </w:t>
      </w:r>
      <w:r w:rsidR="00605C17">
        <w:rPr>
          <w:rFonts w:ascii="Arial" w:hAnsi="Arial" w:cs="Arial"/>
        </w:rPr>
        <w:t>efforts</w:t>
      </w:r>
      <w:r w:rsidR="00C77078" w:rsidRPr="00157555">
        <w:rPr>
          <w:rFonts w:ascii="Arial" w:hAnsi="Arial" w:cs="Arial"/>
        </w:rPr>
        <w:t xml:space="preserve">, the number of Ohio Power employees in the discussions, the hours and corresponding wages of the employees involved, or any other costs such as administrative or support staff involved in the meetings. </w:t>
      </w:r>
      <w:r w:rsidR="00D732F2" w:rsidRPr="00157555">
        <w:rPr>
          <w:rFonts w:ascii="Arial" w:hAnsi="Arial" w:cs="Arial"/>
        </w:rPr>
        <w:t xml:space="preserve">Staff </w:t>
      </w:r>
      <w:r w:rsidRPr="00157555">
        <w:rPr>
          <w:rFonts w:ascii="Arial" w:hAnsi="Arial" w:cs="Arial"/>
        </w:rPr>
        <w:t xml:space="preserve">Ex. 3 at 14; </w:t>
      </w:r>
      <w:r w:rsidR="00C77078" w:rsidRPr="00157555">
        <w:rPr>
          <w:rFonts w:ascii="Arial" w:hAnsi="Arial" w:cs="Arial"/>
        </w:rPr>
        <w:t xml:space="preserve">Tr. at </w:t>
      </w:r>
      <w:r w:rsidRPr="00157555">
        <w:rPr>
          <w:rFonts w:ascii="Arial" w:hAnsi="Arial" w:cs="Arial"/>
        </w:rPr>
        <w:t xml:space="preserve">328 and </w:t>
      </w:r>
      <w:r w:rsidR="00C77078" w:rsidRPr="00157555">
        <w:rPr>
          <w:rFonts w:ascii="Arial" w:hAnsi="Arial" w:cs="Arial"/>
        </w:rPr>
        <w:t xml:space="preserve">330-31. </w:t>
      </w:r>
    </w:p>
    <w:p w14:paraId="3F7D4AE8" w14:textId="77777777" w:rsidR="00C77078" w:rsidRPr="00157555" w:rsidRDefault="00C77078" w:rsidP="00C43396">
      <w:pPr>
        <w:spacing w:after="0" w:line="480" w:lineRule="auto"/>
        <w:ind w:firstLine="720"/>
        <w:jc w:val="both"/>
        <w:rPr>
          <w:rFonts w:ascii="Arial" w:hAnsi="Arial" w:cs="Arial"/>
        </w:rPr>
      </w:pPr>
      <w:r w:rsidRPr="00157555">
        <w:rPr>
          <w:rFonts w:ascii="Arial" w:hAnsi="Arial" w:cs="Arial"/>
        </w:rPr>
        <w:t>Citing Staff’s uninvestigated claim, the Commission treated the costs as “traditional customer service.” Opinion and Order, ¶ 194, citing Staff Ex. 3 at 14.</w:t>
      </w:r>
    </w:p>
    <w:p w14:paraId="44AF7987" w14:textId="2D3FFF2C" w:rsidR="00C77078" w:rsidRPr="00157555" w:rsidRDefault="00C77078" w:rsidP="00C43396">
      <w:pPr>
        <w:spacing w:after="0" w:line="480" w:lineRule="auto"/>
        <w:ind w:firstLine="720"/>
        <w:jc w:val="both"/>
        <w:rPr>
          <w:rFonts w:ascii="Arial" w:hAnsi="Arial" w:cs="Arial"/>
        </w:rPr>
      </w:pPr>
      <w:r w:rsidRPr="00157555">
        <w:rPr>
          <w:rFonts w:ascii="Arial" w:hAnsi="Arial" w:cs="Arial"/>
        </w:rPr>
        <w:t xml:space="preserve">The relabeling </w:t>
      </w:r>
      <w:r w:rsidR="0011726D" w:rsidRPr="00157555">
        <w:rPr>
          <w:rFonts w:ascii="Arial" w:hAnsi="Arial" w:cs="Arial"/>
        </w:rPr>
        <w:t>of generation-related costs as something they are not</w:t>
      </w:r>
      <w:r w:rsidRPr="00157555">
        <w:rPr>
          <w:rFonts w:ascii="Arial" w:hAnsi="Arial" w:cs="Arial"/>
        </w:rPr>
        <w:t xml:space="preserve"> is reminiscent of the Commission decision to allow cost recovery for the research and development costs of an integrated gas combined cycle plant from distribution customers. Industrial Energy Users-Ohio v. Pub. Utils. Comm’n of Ohio, 117 Ohio St. 3d 486 (2008). In that case, the Commission sought to defend its decision to allow recovery by recasting the costs to develop the plant as an ancillary service subject to the Commission’s </w:t>
      </w:r>
      <w:r w:rsidR="00AC26B5" w:rsidRPr="00157555">
        <w:rPr>
          <w:rFonts w:ascii="Arial" w:hAnsi="Arial" w:cs="Arial"/>
        </w:rPr>
        <w:t>authority</w:t>
      </w:r>
      <w:r w:rsidRPr="00157555">
        <w:rPr>
          <w:rFonts w:ascii="Arial" w:hAnsi="Arial" w:cs="Arial"/>
        </w:rPr>
        <w:t>. Id. at 490.</w:t>
      </w:r>
      <w:r w:rsidR="005907EA" w:rsidRPr="00157555">
        <w:rPr>
          <w:rFonts w:ascii="Arial" w:hAnsi="Arial" w:cs="Arial"/>
        </w:rPr>
        <w:t xml:space="preserve"> </w:t>
      </w:r>
      <w:r w:rsidRPr="00157555">
        <w:rPr>
          <w:rFonts w:ascii="Arial" w:hAnsi="Arial" w:cs="Arial"/>
        </w:rPr>
        <w:t>The Ohio Supreme Court rejected that recharacterization, stating:</w:t>
      </w:r>
    </w:p>
    <w:p w14:paraId="1AD60251" w14:textId="7D5FD225" w:rsidR="00C77078" w:rsidRPr="00157555" w:rsidRDefault="00C77078" w:rsidP="00C43396">
      <w:pPr>
        <w:spacing w:after="0" w:line="240" w:lineRule="auto"/>
        <w:ind w:left="720" w:right="720"/>
        <w:jc w:val="both"/>
        <w:rPr>
          <w:rFonts w:ascii="Arial" w:hAnsi="Arial" w:cs="Arial"/>
        </w:rPr>
      </w:pPr>
      <w:r w:rsidRPr="00157555">
        <w:rPr>
          <w:rFonts w:ascii="Arial" w:hAnsi="Arial" w:cs="Arial"/>
        </w:rPr>
        <w:t>The statutory definition of ancillary service, set forth in R.C. 4928.01(A)(1), contains examples of services that involve the control and regulation of the flow of electricity, not the planning and construction of generation facilities. Because R.C. 4928.03 explicitly declares electric generation to be competitive retail electric service and R.C. 4928.05 expressly provides that electric generation is no longer subject to the commission's regulation, the classification of AEP's proposed electric-generation facility as a distribution-ancillary service is contrary to law.</w:t>
      </w:r>
    </w:p>
    <w:p w14:paraId="600DCB9A" w14:textId="77777777" w:rsidR="00504132" w:rsidRPr="00157555" w:rsidRDefault="00504132" w:rsidP="00C43396">
      <w:pPr>
        <w:spacing w:after="0" w:line="240" w:lineRule="auto"/>
        <w:ind w:left="720" w:right="720"/>
        <w:jc w:val="both"/>
        <w:rPr>
          <w:rFonts w:ascii="Arial" w:hAnsi="Arial" w:cs="Arial"/>
        </w:rPr>
      </w:pPr>
    </w:p>
    <w:p w14:paraId="1F23A1D6" w14:textId="77777777" w:rsidR="00C77078" w:rsidRPr="00157555" w:rsidRDefault="00C77078" w:rsidP="00C43396">
      <w:pPr>
        <w:spacing w:after="0" w:line="480" w:lineRule="auto"/>
        <w:ind w:right="720"/>
        <w:jc w:val="both"/>
        <w:rPr>
          <w:rFonts w:ascii="Arial" w:hAnsi="Arial" w:cs="Arial"/>
        </w:rPr>
      </w:pPr>
      <w:r w:rsidRPr="00157555">
        <w:rPr>
          <w:rFonts w:ascii="Arial" w:hAnsi="Arial" w:cs="Arial"/>
        </w:rPr>
        <w:t>Id. at 490-91.</w:t>
      </w:r>
    </w:p>
    <w:p w14:paraId="3504625D" w14:textId="75E78CEF" w:rsidR="00C77078" w:rsidRPr="00157555" w:rsidRDefault="009054AA" w:rsidP="00C43396">
      <w:pPr>
        <w:spacing w:after="0" w:line="480" w:lineRule="auto"/>
        <w:ind w:firstLine="720"/>
        <w:jc w:val="both"/>
        <w:rPr>
          <w:rFonts w:ascii="Arial" w:hAnsi="Arial" w:cs="Arial"/>
        </w:rPr>
      </w:pPr>
      <w:r w:rsidRPr="00157555">
        <w:rPr>
          <w:rFonts w:ascii="Arial" w:hAnsi="Arial" w:cs="Arial"/>
        </w:rPr>
        <w:t xml:space="preserve">Similar reasoning applies here. </w:t>
      </w:r>
      <w:r w:rsidR="005907EA" w:rsidRPr="00157555">
        <w:rPr>
          <w:rFonts w:ascii="Arial" w:hAnsi="Arial" w:cs="Arial"/>
        </w:rPr>
        <w:t xml:space="preserve">Selling customers on the benefits of working with Ohio Power to develop customer-sited generation projects is not the provision of distribution service. Rather it is a cost associated with the development of customer-sited generation. </w:t>
      </w:r>
      <w:r w:rsidR="00157D0C" w:rsidRPr="00157555">
        <w:rPr>
          <w:rFonts w:ascii="Arial" w:hAnsi="Arial" w:cs="Arial"/>
        </w:rPr>
        <w:t xml:space="preserve">Under R.C. </w:t>
      </w:r>
      <w:r w:rsidR="009825E0" w:rsidRPr="00157555">
        <w:rPr>
          <w:rFonts w:ascii="Arial" w:hAnsi="Arial" w:cs="Arial"/>
        </w:rPr>
        <w:t xml:space="preserve">4909.15 and </w:t>
      </w:r>
      <w:r w:rsidR="00157D0C" w:rsidRPr="00157555">
        <w:rPr>
          <w:rFonts w:ascii="Arial" w:hAnsi="Arial" w:cs="Arial"/>
        </w:rPr>
        <w:t xml:space="preserve">4928.05, there is no authority to allow Ohio Power to recover customer-sited generation costs in distribution rates. Any authorization must be through a customer-specific recovery mechanism approved under R.C. 4928.47. </w:t>
      </w:r>
      <w:r w:rsidR="009825E0" w:rsidRPr="00157555">
        <w:rPr>
          <w:rFonts w:ascii="Arial" w:hAnsi="Arial" w:cs="Arial"/>
        </w:rPr>
        <w:t xml:space="preserve">Accordingly, permitting these costs to be recovered in distribution rates is a legal </w:t>
      </w:r>
      <w:r w:rsidR="00A072E2" w:rsidRPr="00157555">
        <w:rPr>
          <w:rFonts w:ascii="Arial" w:hAnsi="Arial" w:cs="Arial"/>
        </w:rPr>
        <w:t xml:space="preserve">error </w:t>
      </w:r>
      <w:r w:rsidR="009825E0" w:rsidRPr="00157555">
        <w:rPr>
          <w:rFonts w:ascii="Arial" w:hAnsi="Arial" w:cs="Arial"/>
        </w:rPr>
        <w:t>the Commission should address on rehearing.</w:t>
      </w:r>
      <w:r w:rsidR="00157D0C" w:rsidRPr="00157555">
        <w:rPr>
          <w:rFonts w:ascii="Arial" w:hAnsi="Arial" w:cs="Arial"/>
        </w:rPr>
        <w:t xml:space="preserve"> </w:t>
      </w:r>
    </w:p>
    <w:p w14:paraId="4F16B51E" w14:textId="20CD007F" w:rsidR="00A072E2" w:rsidRPr="00157555" w:rsidRDefault="00A072E2" w:rsidP="00C43396">
      <w:pPr>
        <w:spacing w:after="0" w:line="480" w:lineRule="auto"/>
        <w:ind w:firstLine="720"/>
        <w:jc w:val="both"/>
        <w:rPr>
          <w:rFonts w:ascii="Arial" w:hAnsi="Arial" w:cs="Arial"/>
        </w:rPr>
      </w:pPr>
      <w:r w:rsidRPr="00157555">
        <w:rPr>
          <w:rFonts w:ascii="Arial" w:hAnsi="Arial" w:cs="Arial"/>
        </w:rPr>
        <w:t xml:space="preserve">Further, reliance on the Staff’s uninvestigated conclusion that the costs are incidental violates the directive of R.C. 4903.09 that requires the Commission to base its finding on its independent judgement. Reliance on an uninvestigated claim does not meet that requirement. </w:t>
      </w:r>
      <w:proofErr w:type="spellStart"/>
      <w:r w:rsidRPr="00157555">
        <w:rPr>
          <w:rFonts w:ascii="Arial" w:hAnsi="Arial" w:cs="Arial"/>
          <w:i/>
          <w:iCs/>
        </w:rPr>
        <w:t>Suvon</w:t>
      </w:r>
      <w:proofErr w:type="spellEnd"/>
      <w:r w:rsidRPr="00157555">
        <w:rPr>
          <w:rFonts w:ascii="Arial" w:hAnsi="Arial" w:cs="Arial"/>
        </w:rPr>
        <w:t>, ¶¶ 22 and 25.</w:t>
      </w:r>
    </w:p>
    <w:p w14:paraId="043E588A" w14:textId="2F82F0C0" w:rsidR="00C77078" w:rsidRPr="00157555" w:rsidRDefault="00E840CD" w:rsidP="00C43396">
      <w:pPr>
        <w:spacing w:after="0" w:line="480" w:lineRule="auto"/>
        <w:ind w:firstLine="720"/>
        <w:jc w:val="both"/>
        <w:rPr>
          <w:rFonts w:ascii="Arial" w:hAnsi="Arial" w:cs="Arial"/>
        </w:rPr>
      </w:pPr>
      <w:r w:rsidRPr="00157555">
        <w:rPr>
          <w:rFonts w:ascii="Arial" w:hAnsi="Arial" w:cs="Arial"/>
        </w:rPr>
        <w:t>If left unchanged, m</w:t>
      </w:r>
      <w:r w:rsidR="00C77078" w:rsidRPr="00157555">
        <w:rPr>
          <w:rFonts w:ascii="Arial" w:hAnsi="Arial" w:cs="Arial"/>
        </w:rPr>
        <w:t xml:space="preserve">oreover, the Commission’s error </w:t>
      </w:r>
      <w:r w:rsidRPr="00157555">
        <w:rPr>
          <w:rFonts w:ascii="Arial" w:hAnsi="Arial" w:cs="Arial"/>
        </w:rPr>
        <w:t>will</w:t>
      </w:r>
      <w:r w:rsidR="00C77078" w:rsidRPr="00157555">
        <w:rPr>
          <w:rFonts w:ascii="Arial" w:hAnsi="Arial" w:cs="Arial"/>
        </w:rPr>
        <w:t xml:space="preserve"> harm the competitive electric generation market. Because the Commission has signed off on the collection of these costs to market customer-sited generation</w:t>
      </w:r>
      <w:r w:rsidR="00D70B64" w:rsidRPr="00157555">
        <w:rPr>
          <w:rFonts w:ascii="Arial" w:hAnsi="Arial" w:cs="Arial"/>
        </w:rPr>
        <w:t xml:space="preserve"> in distribution rates</w:t>
      </w:r>
      <w:r w:rsidR="00C77078" w:rsidRPr="00157555">
        <w:rPr>
          <w:rFonts w:ascii="Arial" w:hAnsi="Arial" w:cs="Arial"/>
        </w:rPr>
        <w:t>, Ohio Power’s efforts are being subsidized by distribution ratepayers to the detriment of other vendors that cannot leverage the legal monopoly over distribution service</w:t>
      </w:r>
      <w:r w:rsidR="001F543D" w:rsidRPr="00157555">
        <w:rPr>
          <w:rFonts w:ascii="Arial" w:hAnsi="Arial" w:cs="Arial"/>
        </w:rPr>
        <w:t xml:space="preserve"> that Ohio Power holds</w:t>
      </w:r>
      <w:r w:rsidR="00C77078" w:rsidRPr="00157555">
        <w:rPr>
          <w:rFonts w:ascii="Arial" w:hAnsi="Arial" w:cs="Arial"/>
        </w:rPr>
        <w:t xml:space="preserve">. IGS/Direct Ex. 2 at 24. Thus, the failure to properly segregate the marketing costs violates the state policy </w:t>
      </w:r>
      <w:r w:rsidRPr="00157555">
        <w:rPr>
          <w:rFonts w:ascii="Arial" w:hAnsi="Arial" w:cs="Arial"/>
        </w:rPr>
        <w:t>encouraging the Commission to prevent</w:t>
      </w:r>
      <w:r w:rsidR="00C77078" w:rsidRPr="00157555">
        <w:rPr>
          <w:rFonts w:ascii="Arial" w:hAnsi="Arial" w:cs="Arial"/>
        </w:rPr>
        <w:t xml:space="preserve"> subsidies and abuse of market power</w:t>
      </w:r>
      <w:r w:rsidR="009825E0" w:rsidRPr="00157555">
        <w:rPr>
          <w:rFonts w:ascii="Arial" w:hAnsi="Arial" w:cs="Arial"/>
        </w:rPr>
        <w:t xml:space="preserve"> and harms both competitors and competition in the renewable generation market</w:t>
      </w:r>
      <w:r w:rsidR="00C77078" w:rsidRPr="00157555">
        <w:rPr>
          <w:rFonts w:ascii="Arial" w:hAnsi="Arial" w:cs="Arial"/>
        </w:rPr>
        <w:t>. R.C. 4928.02.</w:t>
      </w:r>
    </w:p>
    <w:p w14:paraId="66D755EF" w14:textId="58151BE6" w:rsidR="00C77078" w:rsidRPr="00157555" w:rsidRDefault="00C77078" w:rsidP="00C43396">
      <w:pPr>
        <w:spacing w:after="0" w:line="480" w:lineRule="auto"/>
        <w:ind w:firstLine="720"/>
        <w:jc w:val="both"/>
        <w:rPr>
          <w:rFonts w:ascii="Arial" w:hAnsi="Arial" w:cs="Arial"/>
        </w:rPr>
      </w:pPr>
      <w:r w:rsidRPr="00157555">
        <w:rPr>
          <w:rFonts w:ascii="Arial" w:hAnsi="Arial" w:cs="Arial"/>
        </w:rPr>
        <w:t>Because the Commission has erred when it permitted costs associated with marketing customer</w:t>
      </w:r>
      <w:r w:rsidR="001F543D" w:rsidRPr="00157555">
        <w:rPr>
          <w:rFonts w:ascii="Arial" w:hAnsi="Arial" w:cs="Arial"/>
        </w:rPr>
        <w:t>-</w:t>
      </w:r>
      <w:r w:rsidRPr="00157555">
        <w:rPr>
          <w:rFonts w:ascii="Arial" w:hAnsi="Arial" w:cs="Arial"/>
        </w:rPr>
        <w:t>sited generation to be collected in rates, the immediate remedy</w:t>
      </w:r>
      <w:r w:rsidR="009825E0" w:rsidRPr="00157555">
        <w:rPr>
          <w:rFonts w:ascii="Arial" w:hAnsi="Arial" w:cs="Arial"/>
        </w:rPr>
        <w:t xml:space="preserve"> </w:t>
      </w:r>
      <w:r w:rsidRPr="00157555">
        <w:rPr>
          <w:rFonts w:ascii="Arial" w:hAnsi="Arial" w:cs="Arial"/>
        </w:rPr>
        <w:t xml:space="preserve">is to require Ohio Power to </w:t>
      </w:r>
      <w:r w:rsidR="00BE3BFD" w:rsidRPr="00157555">
        <w:rPr>
          <w:rFonts w:ascii="Arial" w:hAnsi="Arial" w:cs="Arial"/>
        </w:rPr>
        <w:t xml:space="preserve">identify </w:t>
      </w:r>
      <w:r w:rsidRPr="00157555">
        <w:rPr>
          <w:rFonts w:ascii="Arial" w:hAnsi="Arial" w:cs="Arial"/>
        </w:rPr>
        <w:t xml:space="preserve">these costs. Once identified, the next step </w:t>
      </w:r>
      <w:r w:rsidR="00E840CD" w:rsidRPr="00157555">
        <w:rPr>
          <w:rFonts w:ascii="Arial" w:hAnsi="Arial" w:cs="Arial"/>
        </w:rPr>
        <w:t xml:space="preserve">will be to require Ohio Power to file revised rates to </w:t>
      </w:r>
      <w:r w:rsidRPr="00157555">
        <w:rPr>
          <w:rFonts w:ascii="Arial" w:hAnsi="Arial" w:cs="Arial"/>
        </w:rPr>
        <w:t xml:space="preserve">remove the effects of inclusion of these costs. </w:t>
      </w:r>
    </w:p>
    <w:p w14:paraId="78E3F811" w14:textId="5CCE99B0" w:rsidR="00157D0C" w:rsidRPr="00157555" w:rsidRDefault="0041224E" w:rsidP="00C43396">
      <w:pPr>
        <w:pStyle w:val="Headinglevel1"/>
        <w:numPr>
          <w:ilvl w:val="0"/>
          <w:numId w:val="2"/>
        </w:numPr>
        <w:spacing w:after="240"/>
        <w:jc w:val="both"/>
        <w:rPr>
          <w:rFonts w:ascii="Arial" w:hAnsi="Arial" w:cs="Arial"/>
        </w:rPr>
      </w:pPr>
      <w:bookmarkStart w:id="25" w:name="_Toc90620213"/>
      <w:r w:rsidRPr="00157555">
        <w:rPr>
          <w:rFonts w:ascii="Arial" w:hAnsi="Arial" w:cs="Arial"/>
        </w:rPr>
        <w:t>Conclusion</w:t>
      </w:r>
      <w:bookmarkEnd w:id="25"/>
    </w:p>
    <w:p w14:paraId="5DE3DDBF" w14:textId="3CDC1B00" w:rsidR="0041224E" w:rsidRPr="00157555" w:rsidRDefault="0041224E" w:rsidP="00C43396">
      <w:pPr>
        <w:spacing w:after="0" w:line="480" w:lineRule="auto"/>
        <w:jc w:val="both"/>
        <w:rPr>
          <w:rFonts w:ascii="Arial" w:hAnsi="Arial" w:cs="Arial"/>
        </w:rPr>
      </w:pPr>
      <w:r w:rsidRPr="00157555">
        <w:rPr>
          <w:rFonts w:ascii="Arial" w:hAnsi="Arial" w:cs="Arial"/>
        </w:rPr>
        <w:tab/>
        <w:t xml:space="preserve">The Commission is required to authorize rates that are just and reasonable based on findings of fact supported by the record. The findings </w:t>
      </w:r>
      <w:r w:rsidR="00BE3BFD" w:rsidRPr="00157555">
        <w:rPr>
          <w:rFonts w:ascii="Arial" w:hAnsi="Arial" w:cs="Arial"/>
        </w:rPr>
        <w:t xml:space="preserve">and related decisions </w:t>
      </w:r>
      <w:r w:rsidRPr="00157555">
        <w:rPr>
          <w:rFonts w:ascii="Arial" w:hAnsi="Arial" w:cs="Arial"/>
        </w:rPr>
        <w:t>identified in this memorandum are instances in which the Opinion and Order fails to satisfy those legal requirements. The findings</w:t>
      </w:r>
      <w:r w:rsidR="00BE3BFD" w:rsidRPr="00157555">
        <w:rPr>
          <w:rFonts w:ascii="Arial" w:hAnsi="Arial" w:cs="Arial"/>
        </w:rPr>
        <w:t xml:space="preserve"> and decisions</w:t>
      </w:r>
      <w:r w:rsidRPr="00157555">
        <w:rPr>
          <w:rFonts w:ascii="Arial" w:hAnsi="Arial" w:cs="Arial"/>
        </w:rPr>
        <w:t xml:space="preserve">, therefore, should be reversed </w:t>
      </w:r>
      <w:r w:rsidR="001F543D" w:rsidRPr="00157555">
        <w:rPr>
          <w:rFonts w:ascii="Arial" w:hAnsi="Arial" w:cs="Arial"/>
        </w:rPr>
        <w:t xml:space="preserve">and corrected </w:t>
      </w:r>
      <w:r w:rsidRPr="00157555">
        <w:rPr>
          <w:rFonts w:ascii="Arial" w:hAnsi="Arial" w:cs="Arial"/>
        </w:rPr>
        <w:t>on rehearing.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1224E" w:rsidRPr="00157555" w14:paraId="69EF2682" w14:textId="77777777" w:rsidTr="00F84634">
        <w:tc>
          <w:tcPr>
            <w:tcW w:w="4675" w:type="dxa"/>
          </w:tcPr>
          <w:p w14:paraId="4B6865AC" w14:textId="77777777" w:rsidR="0041224E" w:rsidRPr="00157555" w:rsidRDefault="0041224E" w:rsidP="00C43396">
            <w:pPr>
              <w:jc w:val="both"/>
              <w:rPr>
                <w:rFonts w:ascii="Arial" w:hAnsi="Arial" w:cs="Arial"/>
              </w:rPr>
            </w:pPr>
          </w:p>
        </w:tc>
        <w:tc>
          <w:tcPr>
            <w:tcW w:w="4675" w:type="dxa"/>
          </w:tcPr>
          <w:p w14:paraId="7F116434" w14:textId="762EF504" w:rsidR="0041224E" w:rsidRPr="00157555" w:rsidRDefault="0041224E" w:rsidP="00C43396">
            <w:pPr>
              <w:jc w:val="both"/>
              <w:rPr>
                <w:rFonts w:ascii="Arial" w:hAnsi="Arial" w:cs="Arial"/>
                <w:sz w:val="24"/>
                <w:szCs w:val="24"/>
                <w:u w:val="single"/>
              </w:rPr>
            </w:pPr>
            <w:r w:rsidRPr="00157555">
              <w:rPr>
                <w:rFonts w:ascii="Arial" w:hAnsi="Arial" w:cs="Arial"/>
                <w:sz w:val="24"/>
                <w:szCs w:val="24"/>
                <w:u w:val="single"/>
              </w:rPr>
              <w:t xml:space="preserve">/s/ </w:t>
            </w:r>
            <w:r w:rsidR="001F543D" w:rsidRPr="00157555">
              <w:rPr>
                <w:rFonts w:ascii="Arial" w:hAnsi="Arial" w:cs="Arial"/>
                <w:sz w:val="24"/>
                <w:szCs w:val="24"/>
                <w:u w:val="single"/>
              </w:rPr>
              <w:t>Michael Nugent</w:t>
            </w:r>
            <w:r w:rsidRPr="00157555">
              <w:rPr>
                <w:rFonts w:ascii="Arial" w:hAnsi="Arial" w:cs="Arial"/>
                <w:sz w:val="24"/>
                <w:szCs w:val="24"/>
                <w:u w:val="single"/>
              </w:rPr>
              <w:tab/>
            </w:r>
            <w:r w:rsidRPr="00157555">
              <w:rPr>
                <w:rFonts w:ascii="Arial" w:hAnsi="Arial" w:cs="Arial"/>
                <w:sz w:val="24"/>
                <w:szCs w:val="24"/>
                <w:u w:val="single"/>
              </w:rPr>
              <w:tab/>
            </w:r>
            <w:r w:rsidRPr="00157555">
              <w:rPr>
                <w:rFonts w:ascii="Arial" w:hAnsi="Arial" w:cs="Arial"/>
                <w:sz w:val="24"/>
                <w:szCs w:val="24"/>
                <w:u w:val="single"/>
              </w:rPr>
              <w:tab/>
            </w:r>
            <w:r w:rsidRPr="00157555">
              <w:rPr>
                <w:rFonts w:ascii="Arial" w:hAnsi="Arial" w:cs="Arial"/>
                <w:sz w:val="24"/>
                <w:szCs w:val="24"/>
                <w:u w:val="single"/>
              </w:rPr>
              <w:tab/>
            </w:r>
          </w:p>
          <w:p w14:paraId="405C1094" w14:textId="77777777" w:rsidR="006967EF" w:rsidRPr="00157555" w:rsidRDefault="006967EF" w:rsidP="00C43396">
            <w:pPr>
              <w:jc w:val="both"/>
              <w:rPr>
                <w:rFonts w:ascii="Arial" w:hAnsi="Arial" w:cs="Arial"/>
                <w:sz w:val="24"/>
                <w:szCs w:val="24"/>
              </w:rPr>
            </w:pPr>
            <w:r w:rsidRPr="00157555">
              <w:rPr>
                <w:rFonts w:ascii="Arial" w:hAnsi="Arial" w:cs="Arial"/>
                <w:sz w:val="24"/>
                <w:szCs w:val="24"/>
              </w:rPr>
              <w:t>Michael Nugent</w:t>
            </w:r>
          </w:p>
          <w:p w14:paraId="18DF4DBD" w14:textId="351D4E92" w:rsidR="0041224E" w:rsidRPr="00157555" w:rsidRDefault="0041224E" w:rsidP="00C43396">
            <w:pPr>
              <w:jc w:val="both"/>
              <w:rPr>
                <w:rFonts w:ascii="Arial" w:hAnsi="Arial" w:cs="Arial"/>
                <w:sz w:val="24"/>
                <w:szCs w:val="24"/>
              </w:rPr>
            </w:pPr>
            <w:r w:rsidRPr="00157555">
              <w:rPr>
                <w:rFonts w:ascii="Arial" w:hAnsi="Arial" w:cs="Arial"/>
                <w:sz w:val="24"/>
                <w:szCs w:val="24"/>
              </w:rPr>
              <w:t>Counsel for IGS Energy</w:t>
            </w:r>
          </w:p>
          <w:p w14:paraId="49B61923" w14:textId="77777777" w:rsidR="0041224E" w:rsidRPr="00157555" w:rsidRDefault="0041224E" w:rsidP="00C43396">
            <w:pPr>
              <w:jc w:val="both"/>
              <w:rPr>
                <w:rFonts w:ascii="Arial" w:hAnsi="Arial" w:cs="Arial"/>
                <w:sz w:val="24"/>
                <w:szCs w:val="24"/>
                <w:u w:val="single"/>
              </w:rPr>
            </w:pPr>
          </w:p>
        </w:tc>
      </w:tr>
    </w:tbl>
    <w:p w14:paraId="5154B60D" w14:textId="77777777" w:rsidR="00F84634" w:rsidRPr="00157555" w:rsidRDefault="00F84634" w:rsidP="00C43396">
      <w:pPr>
        <w:jc w:val="both"/>
        <w:rPr>
          <w:rFonts w:ascii="Arial" w:hAnsi="Arial" w:cs="Arial"/>
        </w:rPr>
      </w:pPr>
      <w:r w:rsidRPr="00157555">
        <w:rPr>
          <w:rFonts w:ascii="Arial" w:hAnsi="Arial" w:cs="Arial"/>
        </w:rPr>
        <w:br w:type="page"/>
      </w:r>
    </w:p>
    <w:p w14:paraId="2FE629D0" w14:textId="70C72A3B" w:rsidR="00F84634" w:rsidRPr="00157555" w:rsidRDefault="00F84634" w:rsidP="00C43396">
      <w:pPr>
        <w:pStyle w:val="Headinglevel1"/>
        <w:jc w:val="center"/>
        <w:rPr>
          <w:rFonts w:ascii="Arial" w:eastAsia="Yu Gothic Light" w:hAnsi="Arial" w:cs="Arial"/>
        </w:rPr>
      </w:pPr>
      <w:bookmarkStart w:id="26" w:name="_Toc75847897"/>
      <w:bookmarkStart w:id="27" w:name="_Toc75944489"/>
      <w:bookmarkStart w:id="28" w:name="_Toc76040375"/>
      <w:bookmarkStart w:id="29" w:name="_Toc76040492"/>
      <w:bookmarkStart w:id="30" w:name="_Toc76040516"/>
      <w:bookmarkStart w:id="31" w:name="_Toc90620214"/>
      <w:r w:rsidRPr="00157555">
        <w:rPr>
          <w:rFonts w:ascii="Arial" w:eastAsia="Yu Gothic Light" w:hAnsi="Arial" w:cs="Arial"/>
        </w:rPr>
        <w:t>C</w:t>
      </w:r>
      <w:r w:rsidR="00C657DC" w:rsidRPr="00157555">
        <w:rPr>
          <w:rFonts w:ascii="Arial" w:eastAsia="Yu Gothic Light" w:hAnsi="Arial" w:cs="Arial"/>
        </w:rPr>
        <w:t>ertificate</w:t>
      </w:r>
      <w:r w:rsidRPr="00157555">
        <w:rPr>
          <w:rFonts w:ascii="Arial" w:eastAsia="Yu Gothic Light" w:hAnsi="Arial" w:cs="Arial"/>
        </w:rPr>
        <w:t xml:space="preserve"> </w:t>
      </w:r>
      <w:r w:rsidR="00C657DC" w:rsidRPr="00157555">
        <w:rPr>
          <w:rFonts w:ascii="Arial" w:eastAsia="Yu Gothic Light" w:hAnsi="Arial" w:cs="Arial"/>
        </w:rPr>
        <w:t>of</w:t>
      </w:r>
      <w:r w:rsidRPr="00157555">
        <w:rPr>
          <w:rFonts w:ascii="Arial" w:eastAsia="Yu Gothic Light" w:hAnsi="Arial" w:cs="Arial"/>
        </w:rPr>
        <w:t xml:space="preserve"> S</w:t>
      </w:r>
      <w:r w:rsidR="00C657DC" w:rsidRPr="00157555">
        <w:rPr>
          <w:rFonts w:ascii="Arial" w:eastAsia="Yu Gothic Light" w:hAnsi="Arial" w:cs="Arial"/>
        </w:rPr>
        <w:t>ervice</w:t>
      </w:r>
      <w:bookmarkEnd w:id="26"/>
      <w:bookmarkEnd w:id="27"/>
      <w:bookmarkEnd w:id="28"/>
      <w:bookmarkEnd w:id="29"/>
      <w:bookmarkEnd w:id="30"/>
      <w:bookmarkEnd w:id="31"/>
    </w:p>
    <w:p w14:paraId="2BDEE323" w14:textId="77777777" w:rsidR="00F84634" w:rsidRPr="00157555" w:rsidRDefault="00F84634" w:rsidP="00C43396">
      <w:pPr>
        <w:pStyle w:val="Headinglevel1"/>
        <w:jc w:val="center"/>
        <w:rPr>
          <w:rFonts w:ascii="Arial" w:eastAsia="Times New Roman" w:hAnsi="Arial" w:cs="Arial"/>
        </w:rPr>
      </w:pPr>
    </w:p>
    <w:p w14:paraId="20BC6FA3" w14:textId="2F5C36C1" w:rsidR="00F84634" w:rsidRPr="00157555" w:rsidRDefault="00F84634" w:rsidP="00C43396">
      <w:pPr>
        <w:widowControl w:val="0"/>
        <w:autoSpaceDE w:val="0"/>
        <w:autoSpaceDN w:val="0"/>
        <w:spacing w:before="5" w:after="0" w:line="240" w:lineRule="auto"/>
        <w:ind w:firstLine="720"/>
        <w:jc w:val="both"/>
        <w:rPr>
          <w:rFonts w:ascii="Arial" w:eastAsia="Times New Roman" w:hAnsi="Arial" w:cs="Arial"/>
          <w:szCs w:val="24"/>
        </w:rPr>
      </w:pPr>
      <w:r w:rsidRPr="00157555">
        <w:rPr>
          <w:rFonts w:ascii="Arial" w:eastAsia="Times New Roman" w:hAnsi="Arial" w:cs="Arial"/>
          <w:szCs w:val="24"/>
        </w:rPr>
        <w:t>I hereby certify that a true copy of this document was filed electronically through the Docketing Information System of the Public Utilities Commission of Ohio on December 17, 2021. The Commission’s e-filing system will electronically serve notice of the filing of this document upon the following parties listed below.</w:t>
      </w:r>
    </w:p>
    <w:p w14:paraId="78138359" w14:textId="77777777" w:rsidR="00F84634" w:rsidRPr="00157555" w:rsidRDefault="00F84634" w:rsidP="00C43396">
      <w:pPr>
        <w:widowControl w:val="0"/>
        <w:autoSpaceDE w:val="0"/>
        <w:autoSpaceDN w:val="0"/>
        <w:spacing w:before="5" w:after="0" w:line="240" w:lineRule="auto"/>
        <w:jc w:val="both"/>
        <w:rPr>
          <w:rFonts w:ascii="Arial" w:eastAsia="Times New Roman" w:hAnsi="Arial" w:cs="Arial"/>
          <w:szCs w:val="24"/>
        </w:rPr>
      </w:pPr>
    </w:p>
    <w:p w14:paraId="1FA2E3F2" w14:textId="233E0D08" w:rsidR="00F84634" w:rsidRPr="00157555" w:rsidRDefault="00F84634" w:rsidP="00C43396">
      <w:pPr>
        <w:widowControl w:val="0"/>
        <w:autoSpaceDE w:val="0"/>
        <w:autoSpaceDN w:val="0"/>
        <w:spacing w:before="5" w:after="0" w:line="240" w:lineRule="auto"/>
        <w:ind w:left="5760"/>
        <w:jc w:val="both"/>
        <w:rPr>
          <w:rFonts w:ascii="Arial" w:eastAsia="Times New Roman" w:hAnsi="Arial" w:cs="Arial"/>
          <w:i/>
          <w:szCs w:val="24"/>
          <w:u w:val="single"/>
        </w:rPr>
      </w:pPr>
      <w:r w:rsidRPr="00157555">
        <w:rPr>
          <w:rFonts w:ascii="Arial" w:eastAsia="Times New Roman" w:hAnsi="Arial" w:cs="Arial"/>
          <w:i/>
          <w:szCs w:val="24"/>
          <w:u w:val="single"/>
        </w:rPr>
        <w:t xml:space="preserve">/s/ </w:t>
      </w:r>
      <w:r w:rsidR="001F543D" w:rsidRPr="00157555">
        <w:rPr>
          <w:rFonts w:ascii="Arial" w:eastAsia="Times New Roman" w:hAnsi="Arial" w:cs="Arial"/>
          <w:i/>
          <w:szCs w:val="24"/>
          <w:u w:val="single"/>
        </w:rPr>
        <w:t>Michael Nugent</w:t>
      </w:r>
    </w:p>
    <w:p w14:paraId="470F8312" w14:textId="2EAF8282" w:rsidR="00F84634" w:rsidRPr="00157555" w:rsidRDefault="001F543D" w:rsidP="00C43396">
      <w:pPr>
        <w:widowControl w:val="0"/>
        <w:autoSpaceDE w:val="0"/>
        <w:autoSpaceDN w:val="0"/>
        <w:spacing w:before="5" w:after="0" w:line="240" w:lineRule="auto"/>
        <w:ind w:left="5760"/>
        <w:jc w:val="both"/>
        <w:rPr>
          <w:rFonts w:ascii="Arial" w:eastAsia="Times New Roman" w:hAnsi="Arial" w:cs="Arial"/>
          <w:szCs w:val="24"/>
        </w:rPr>
      </w:pPr>
      <w:r w:rsidRPr="00157555">
        <w:rPr>
          <w:rFonts w:ascii="Arial" w:eastAsia="Times New Roman" w:hAnsi="Arial" w:cs="Arial"/>
          <w:szCs w:val="24"/>
        </w:rPr>
        <w:t>Michael Nugent</w:t>
      </w:r>
    </w:p>
    <w:p w14:paraId="3924204F" w14:textId="77777777" w:rsidR="00F84634" w:rsidRPr="00157555" w:rsidRDefault="00F84634" w:rsidP="00C43396">
      <w:pPr>
        <w:widowControl w:val="0"/>
        <w:autoSpaceDE w:val="0"/>
        <w:autoSpaceDN w:val="0"/>
        <w:spacing w:before="5" w:after="0" w:line="240" w:lineRule="auto"/>
        <w:jc w:val="both"/>
        <w:rPr>
          <w:rFonts w:ascii="Arial" w:eastAsia="Times New Roman" w:hAnsi="Arial" w:cs="Arial"/>
          <w:b/>
          <w:bCs/>
          <w:szCs w:val="24"/>
        </w:rPr>
      </w:pPr>
    </w:p>
    <w:p w14:paraId="39F83737" w14:textId="77777777" w:rsidR="00F84634" w:rsidRPr="00157555" w:rsidRDefault="00F84634" w:rsidP="00C43396">
      <w:pPr>
        <w:widowControl w:val="0"/>
        <w:autoSpaceDE w:val="0"/>
        <w:autoSpaceDN w:val="0"/>
        <w:spacing w:before="5" w:after="0" w:line="240" w:lineRule="auto"/>
        <w:jc w:val="both"/>
        <w:rPr>
          <w:rFonts w:ascii="Arial" w:eastAsia="Times New Roman" w:hAnsi="Arial" w:cs="Arial"/>
          <w:b/>
          <w:bCs/>
          <w:szCs w:val="24"/>
        </w:rPr>
      </w:pPr>
      <w:r w:rsidRPr="00157555">
        <w:rPr>
          <w:rFonts w:ascii="Arial" w:eastAsia="Times New Roman" w:hAnsi="Arial" w:cs="Arial"/>
          <w:b/>
          <w:bCs/>
          <w:szCs w:val="24"/>
        </w:rPr>
        <w:t>AEP Ohio Company</w:t>
      </w:r>
    </w:p>
    <w:p w14:paraId="026AFB85" w14:textId="77777777" w:rsidR="00F84634" w:rsidRPr="00157555" w:rsidRDefault="00F84634" w:rsidP="00C43396">
      <w:pPr>
        <w:widowControl w:val="0"/>
        <w:autoSpaceDE w:val="0"/>
        <w:autoSpaceDN w:val="0"/>
        <w:spacing w:before="5" w:after="0" w:line="240" w:lineRule="auto"/>
        <w:jc w:val="both"/>
        <w:rPr>
          <w:rFonts w:ascii="Arial" w:eastAsia="Times New Roman" w:hAnsi="Arial" w:cs="Arial"/>
          <w:szCs w:val="24"/>
        </w:rPr>
      </w:pPr>
      <w:r w:rsidRPr="00157555">
        <w:rPr>
          <w:rFonts w:ascii="Arial" w:eastAsia="Times New Roman" w:hAnsi="Arial" w:cs="Arial"/>
          <w:szCs w:val="24"/>
        </w:rPr>
        <w:t xml:space="preserve">Steven T. Nourse </w:t>
      </w:r>
    </w:p>
    <w:p w14:paraId="5D3FDC2E" w14:textId="77777777" w:rsidR="00F84634" w:rsidRPr="00157555" w:rsidRDefault="00F84634" w:rsidP="00C43396">
      <w:pPr>
        <w:widowControl w:val="0"/>
        <w:autoSpaceDE w:val="0"/>
        <w:autoSpaceDN w:val="0"/>
        <w:spacing w:before="5" w:after="0" w:line="240" w:lineRule="auto"/>
        <w:jc w:val="both"/>
        <w:rPr>
          <w:rFonts w:ascii="Arial" w:eastAsia="Times New Roman" w:hAnsi="Arial" w:cs="Arial"/>
          <w:szCs w:val="24"/>
        </w:rPr>
      </w:pPr>
      <w:r w:rsidRPr="00157555">
        <w:rPr>
          <w:rFonts w:ascii="Arial" w:eastAsia="Times New Roman" w:hAnsi="Arial" w:cs="Arial"/>
          <w:szCs w:val="24"/>
        </w:rPr>
        <w:t>Christen M. Blend</w:t>
      </w:r>
    </w:p>
    <w:p w14:paraId="75EEB9C3" w14:textId="77777777" w:rsidR="00F84634" w:rsidRPr="00157555" w:rsidRDefault="00F84634" w:rsidP="00C43396">
      <w:pPr>
        <w:widowControl w:val="0"/>
        <w:autoSpaceDE w:val="0"/>
        <w:autoSpaceDN w:val="0"/>
        <w:spacing w:before="5" w:after="0" w:line="240" w:lineRule="auto"/>
        <w:jc w:val="both"/>
        <w:rPr>
          <w:rFonts w:ascii="Arial" w:eastAsia="Times New Roman" w:hAnsi="Arial" w:cs="Arial"/>
          <w:szCs w:val="24"/>
        </w:rPr>
      </w:pPr>
      <w:r w:rsidRPr="00157555">
        <w:rPr>
          <w:rFonts w:ascii="Arial" w:eastAsia="Times New Roman" w:hAnsi="Arial" w:cs="Arial"/>
          <w:szCs w:val="24"/>
        </w:rPr>
        <w:t>Tanner Wolfram</w:t>
      </w:r>
    </w:p>
    <w:p w14:paraId="625951A4" w14:textId="77777777" w:rsidR="00F84634" w:rsidRPr="00157555" w:rsidRDefault="00F84634" w:rsidP="00C43396">
      <w:pPr>
        <w:widowControl w:val="0"/>
        <w:autoSpaceDE w:val="0"/>
        <w:autoSpaceDN w:val="0"/>
        <w:spacing w:before="5" w:after="0" w:line="240" w:lineRule="auto"/>
        <w:jc w:val="both"/>
        <w:rPr>
          <w:rFonts w:ascii="Arial" w:eastAsia="Times New Roman" w:hAnsi="Arial" w:cs="Arial"/>
          <w:szCs w:val="24"/>
        </w:rPr>
      </w:pPr>
      <w:r w:rsidRPr="00157555">
        <w:rPr>
          <w:rFonts w:ascii="Arial" w:eastAsia="Times New Roman" w:hAnsi="Arial" w:cs="Arial"/>
          <w:szCs w:val="24"/>
        </w:rPr>
        <w:t>American Electric Power Service Corporation</w:t>
      </w:r>
    </w:p>
    <w:p w14:paraId="179DFEAF" w14:textId="77777777" w:rsidR="00F84634" w:rsidRPr="00157555" w:rsidRDefault="00A46CCD" w:rsidP="00C43396">
      <w:pPr>
        <w:widowControl w:val="0"/>
        <w:autoSpaceDE w:val="0"/>
        <w:autoSpaceDN w:val="0"/>
        <w:spacing w:before="5" w:after="0" w:line="240" w:lineRule="auto"/>
        <w:jc w:val="both"/>
        <w:rPr>
          <w:rFonts w:ascii="Arial" w:eastAsia="Times New Roman" w:hAnsi="Arial" w:cs="Arial"/>
          <w:szCs w:val="24"/>
        </w:rPr>
      </w:pPr>
      <w:hyperlink r:id="rId19" w:history="1">
        <w:r w:rsidR="00F84634" w:rsidRPr="00157555">
          <w:rPr>
            <w:rFonts w:ascii="Arial" w:eastAsia="Times New Roman" w:hAnsi="Arial" w:cs="Arial"/>
            <w:color w:val="0563C1" w:themeColor="hyperlink"/>
            <w:szCs w:val="24"/>
            <w:u w:val="single"/>
          </w:rPr>
          <w:t>stnourse@aep.com</w:t>
        </w:r>
      </w:hyperlink>
      <w:r w:rsidR="00F84634" w:rsidRPr="00157555">
        <w:rPr>
          <w:rFonts w:ascii="Arial" w:eastAsia="Times New Roman" w:hAnsi="Arial" w:cs="Arial"/>
          <w:szCs w:val="24"/>
        </w:rPr>
        <w:t xml:space="preserve">  </w:t>
      </w:r>
    </w:p>
    <w:p w14:paraId="23404DF4" w14:textId="77777777" w:rsidR="00F84634" w:rsidRPr="00157555" w:rsidRDefault="00A46CCD" w:rsidP="00C43396">
      <w:pPr>
        <w:widowControl w:val="0"/>
        <w:autoSpaceDE w:val="0"/>
        <w:autoSpaceDN w:val="0"/>
        <w:spacing w:before="5" w:after="0" w:line="240" w:lineRule="auto"/>
        <w:jc w:val="both"/>
        <w:rPr>
          <w:rFonts w:ascii="Arial" w:eastAsia="Times New Roman" w:hAnsi="Arial" w:cs="Arial"/>
          <w:szCs w:val="24"/>
        </w:rPr>
      </w:pPr>
      <w:hyperlink r:id="rId20" w:history="1">
        <w:r w:rsidR="00F84634" w:rsidRPr="00157555">
          <w:rPr>
            <w:rFonts w:ascii="Arial" w:eastAsia="Times New Roman" w:hAnsi="Arial" w:cs="Arial"/>
            <w:color w:val="0563C1" w:themeColor="hyperlink"/>
            <w:szCs w:val="24"/>
            <w:u w:val="single"/>
          </w:rPr>
          <w:t>cmblend@aep.com</w:t>
        </w:r>
      </w:hyperlink>
    </w:p>
    <w:p w14:paraId="74FB3CF7" w14:textId="77777777" w:rsidR="00F84634" w:rsidRPr="00157555" w:rsidRDefault="00F84634" w:rsidP="00C43396">
      <w:pPr>
        <w:widowControl w:val="0"/>
        <w:autoSpaceDE w:val="0"/>
        <w:autoSpaceDN w:val="0"/>
        <w:spacing w:before="5" w:after="0" w:line="240" w:lineRule="auto"/>
        <w:jc w:val="both"/>
        <w:rPr>
          <w:rFonts w:ascii="Arial" w:eastAsia="Times New Roman" w:hAnsi="Arial" w:cs="Arial"/>
          <w:szCs w:val="24"/>
        </w:rPr>
      </w:pPr>
      <w:r w:rsidRPr="00157555">
        <w:rPr>
          <w:rFonts w:ascii="Arial" w:eastAsia="Yu Gothic Light" w:hAnsi="Arial" w:cs="Arial"/>
          <w:color w:val="0563C1" w:themeColor="hyperlink"/>
          <w:szCs w:val="24"/>
          <w:u w:val="single"/>
        </w:rPr>
        <w:t>tswolffram@aep.com</w:t>
      </w:r>
    </w:p>
    <w:p w14:paraId="655EB9D4" w14:textId="77777777" w:rsidR="00F84634" w:rsidRPr="00157555" w:rsidRDefault="00F84634" w:rsidP="00C43396">
      <w:pPr>
        <w:widowControl w:val="0"/>
        <w:autoSpaceDE w:val="0"/>
        <w:autoSpaceDN w:val="0"/>
        <w:spacing w:before="5" w:after="0" w:line="240" w:lineRule="auto"/>
        <w:jc w:val="both"/>
        <w:rPr>
          <w:rFonts w:ascii="Arial" w:eastAsia="Times New Roman" w:hAnsi="Arial" w:cs="Arial"/>
          <w:szCs w:val="24"/>
        </w:rPr>
      </w:pPr>
      <w:r w:rsidRPr="00157555">
        <w:rPr>
          <w:rFonts w:ascii="Arial" w:eastAsia="Times New Roman" w:hAnsi="Arial" w:cs="Arial"/>
          <w:szCs w:val="24"/>
        </w:rPr>
        <w:t xml:space="preserve">Eric B. Gallon </w:t>
      </w:r>
    </w:p>
    <w:p w14:paraId="7E0BDBA5" w14:textId="77777777" w:rsidR="00F84634" w:rsidRPr="00157555" w:rsidRDefault="00F84634" w:rsidP="00C43396">
      <w:pPr>
        <w:widowControl w:val="0"/>
        <w:autoSpaceDE w:val="0"/>
        <w:autoSpaceDN w:val="0"/>
        <w:spacing w:before="5" w:after="0" w:line="240" w:lineRule="auto"/>
        <w:jc w:val="both"/>
        <w:rPr>
          <w:rFonts w:ascii="Arial" w:eastAsia="Times New Roman" w:hAnsi="Arial" w:cs="Arial"/>
          <w:szCs w:val="24"/>
        </w:rPr>
      </w:pPr>
      <w:r w:rsidRPr="00157555">
        <w:rPr>
          <w:rFonts w:ascii="Arial" w:eastAsia="Times New Roman" w:hAnsi="Arial" w:cs="Arial"/>
          <w:szCs w:val="24"/>
        </w:rPr>
        <w:t xml:space="preserve">Porter, Wright, Morris &amp; Arthur LLP </w:t>
      </w:r>
    </w:p>
    <w:p w14:paraId="27F63CC8" w14:textId="77777777" w:rsidR="00F84634" w:rsidRPr="00157555" w:rsidRDefault="00A46CCD" w:rsidP="00C43396">
      <w:pPr>
        <w:widowControl w:val="0"/>
        <w:autoSpaceDE w:val="0"/>
        <w:autoSpaceDN w:val="0"/>
        <w:spacing w:before="5" w:after="0" w:line="240" w:lineRule="auto"/>
        <w:jc w:val="both"/>
        <w:rPr>
          <w:rFonts w:ascii="Arial" w:eastAsia="Times New Roman" w:hAnsi="Arial" w:cs="Arial"/>
          <w:b/>
          <w:szCs w:val="24"/>
        </w:rPr>
      </w:pPr>
      <w:hyperlink r:id="rId21" w:history="1">
        <w:r w:rsidR="00F84634" w:rsidRPr="00157555">
          <w:rPr>
            <w:rFonts w:ascii="Arial" w:eastAsia="Times New Roman" w:hAnsi="Arial" w:cs="Arial"/>
            <w:color w:val="0563C1" w:themeColor="hyperlink"/>
            <w:szCs w:val="24"/>
            <w:u w:val="single"/>
          </w:rPr>
          <w:t>egallon@porterwright.com</w:t>
        </w:r>
      </w:hyperlink>
      <w:r w:rsidR="00F84634" w:rsidRPr="00157555">
        <w:rPr>
          <w:rFonts w:ascii="Arial" w:eastAsia="Times New Roman" w:hAnsi="Arial" w:cs="Arial"/>
          <w:szCs w:val="24"/>
        </w:rPr>
        <w:t xml:space="preserve"> </w:t>
      </w:r>
    </w:p>
    <w:p w14:paraId="2C86979A"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Christopher L. Miller</w:t>
      </w:r>
    </w:p>
    <w:p w14:paraId="4272CBB5"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 xml:space="preserve">Ice Miller LLP </w:t>
      </w:r>
    </w:p>
    <w:p w14:paraId="48FDB3A6" w14:textId="77777777" w:rsidR="00F84634" w:rsidRPr="00157555" w:rsidRDefault="00A46CCD" w:rsidP="00C43396">
      <w:pPr>
        <w:widowControl w:val="0"/>
        <w:autoSpaceDE w:val="0"/>
        <w:autoSpaceDN w:val="0"/>
        <w:spacing w:after="0" w:line="240" w:lineRule="auto"/>
        <w:jc w:val="both"/>
        <w:rPr>
          <w:rFonts w:ascii="Arial" w:eastAsia="Times New Roman" w:hAnsi="Arial" w:cs="Arial"/>
          <w:szCs w:val="24"/>
        </w:rPr>
      </w:pPr>
      <w:hyperlink r:id="rId22" w:history="1">
        <w:r w:rsidR="00F84634" w:rsidRPr="00157555">
          <w:rPr>
            <w:rFonts w:ascii="Arial" w:eastAsia="Times New Roman" w:hAnsi="Arial" w:cs="Arial"/>
            <w:color w:val="0563C1" w:themeColor="hyperlink"/>
            <w:szCs w:val="24"/>
            <w:u w:val="single"/>
          </w:rPr>
          <w:t>christopher.miller@icemiller.com</w:t>
        </w:r>
      </w:hyperlink>
      <w:r w:rsidR="00F84634" w:rsidRPr="00157555">
        <w:rPr>
          <w:rFonts w:ascii="Arial" w:eastAsia="Times New Roman" w:hAnsi="Arial" w:cs="Arial"/>
          <w:szCs w:val="24"/>
        </w:rPr>
        <w:t xml:space="preserve"> </w:t>
      </w:r>
    </w:p>
    <w:p w14:paraId="47E1B96D" w14:textId="77777777" w:rsidR="00F84634" w:rsidRPr="00157555" w:rsidRDefault="00F84634" w:rsidP="00C43396">
      <w:pPr>
        <w:widowControl w:val="0"/>
        <w:autoSpaceDE w:val="0"/>
        <w:autoSpaceDN w:val="0"/>
        <w:spacing w:after="0" w:line="240" w:lineRule="auto"/>
        <w:jc w:val="both"/>
        <w:rPr>
          <w:rFonts w:ascii="Arial" w:eastAsia="Times New Roman" w:hAnsi="Arial" w:cs="Arial"/>
          <w:b/>
          <w:bCs/>
          <w:szCs w:val="24"/>
        </w:rPr>
      </w:pPr>
    </w:p>
    <w:p w14:paraId="3993676F" w14:textId="77777777" w:rsidR="00F84634" w:rsidRPr="00157555" w:rsidRDefault="00F84634" w:rsidP="00C43396">
      <w:pPr>
        <w:widowControl w:val="0"/>
        <w:autoSpaceDE w:val="0"/>
        <w:autoSpaceDN w:val="0"/>
        <w:spacing w:after="0" w:line="240" w:lineRule="auto"/>
        <w:jc w:val="both"/>
        <w:rPr>
          <w:rFonts w:ascii="Arial" w:eastAsia="Times New Roman" w:hAnsi="Arial" w:cs="Arial"/>
          <w:b/>
          <w:bCs/>
          <w:szCs w:val="24"/>
        </w:rPr>
      </w:pPr>
      <w:r w:rsidRPr="00157555">
        <w:rPr>
          <w:rFonts w:ascii="Arial" w:eastAsia="Times New Roman" w:hAnsi="Arial" w:cs="Arial"/>
          <w:b/>
          <w:bCs/>
          <w:szCs w:val="24"/>
        </w:rPr>
        <w:t>Staff of the Public Utilities Commission of Ohio</w:t>
      </w:r>
    </w:p>
    <w:p w14:paraId="66F3E92F"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 xml:space="preserve">Werner L. Margard </w:t>
      </w:r>
    </w:p>
    <w:p w14:paraId="3645A470"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 xml:space="preserve">Kyle L. Kern </w:t>
      </w:r>
    </w:p>
    <w:p w14:paraId="28C239E6"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 xml:space="preserve">Thomas Shepherd </w:t>
      </w:r>
    </w:p>
    <w:p w14:paraId="3E3404E5" w14:textId="77777777" w:rsidR="00F84634" w:rsidRPr="00157555" w:rsidRDefault="00A46CCD" w:rsidP="00C43396">
      <w:pPr>
        <w:widowControl w:val="0"/>
        <w:autoSpaceDE w:val="0"/>
        <w:autoSpaceDN w:val="0"/>
        <w:spacing w:after="0" w:line="240" w:lineRule="auto"/>
        <w:jc w:val="both"/>
        <w:rPr>
          <w:rFonts w:ascii="Arial" w:eastAsia="Times New Roman" w:hAnsi="Arial" w:cs="Arial"/>
          <w:szCs w:val="24"/>
        </w:rPr>
      </w:pPr>
      <w:hyperlink r:id="rId23" w:history="1">
        <w:r w:rsidR="00F84634" w:rsidRPr="00157555">
          <w:rPr>
            <w:rFonts w:ascii="Arial" w:eastAsia="Calibri" w:hAnsi="Arial" w:cs="Arial"/>
            <w:color w:val="0563C1" w:themeColor="hyperlink"/>
            <w:szCs w:val="24"/>
            <w:u w:val="single"/>
          </w:rPr>
          <w:t>werner.margard@ohioAGO.gov</w:t>
        </w:r>
      </w:hyperlink>
    </w:p>
    <w:p w14:paraId="6CACA4F3" w14:textId="77777777" w:rsidR="00F84634" w:rsidRPr="00157555" w:rsidRDefault="00A46CCD" w:rsidP="00C43396">
      <w:pPr>
        <w:widowControl w:val="0"/>
        <w:autoSpaceDE w:val="0"/>
        <w:autoSpaceDN w:val="0"/>
        <w:spacing w:after="0" w:line="240" w:lineRule="auto"/>
        <w:jc w:val="both"/>
        <w:rPr>
          <w:rFonts w:ascii="Arial" w:eastAsia="Times New Roman" w:hAnsi="Arial" w:cs="Arial"/>
          <w:szCs w:val="24"/>
        </w:rPr>
      </w:pPr>
      <w:hyperlink r:id="rId24" w:history="1">
        <w:r w:rsidR="00F84634" w:rsidRPr="00157555">
          <w:rPr>
            <w:rFonts w:ascii="Arial" w:eastAsia="Calibri" w:hAnsi="Arial" w:cs="Arial"/>
            <w:color w:val="0563C1" w:themeColor="hyperlink"/>
            <w:szCs w:val="24"/>
            <w:u w:val="single"/>
          </w:rPr>
          <w:t>kyle.kern@ohioAGO.gov</w:t>
        </w:r>
      </w:hyperlink>
    </w:p>
    <w:p w14:paraId="3640DD5D" w14:textId="77777777" w:rsidR="00F84634" w:rsidRPr="00157555" w:rsidRDefault="00A46CCD" w:rsidP="00C43396">
      <w:pPr>
        <w:widowControl w:val="0"/>
        <w:autoSpaceDE w:val="0"/>
        <w:autoSpaceDN w:val="0"/>
        <w:spacing w:after="0" w:line="240" w:lineRule="auto"/>
        <w:jc w:val="both"/>
        <w:rPr>
          <w:rFonts w:ascii="Arial" w:eastAsia="Times New Roman" w:hAnsi="Arial" w:cs="Arial"/>
          <w:szCs w:val="24"/>
        </w:rPr>
      </w:pPr>
      <w:hyperlink r:id="rId25" w:history="1">
        <w:r w:rsidR="00F84634" w:rsidRPr="00157555">
          <w:rPr>
            <w:rFonts w:ascii="Arial" w:eastAsia="Calibri" w:hAnsi="Arial" w:cs="Arial"/>
            <w:color w:val="0563C1" w:themeColor="hyperlink"/>
            <w:szCs w:val="24"/>
            <w:u w:val="single"/>
          </w:rPr>
          <w:t>thomas.shepherd@ohioAGO.gov</w:t>
        </w:r>
      </w:hyperlink>
    </w:p>
    <w:p w14:paraId="7178FF97" w14:textId="77777777" w:rsidR="00F84634" w:rsidRPr="00157555" w:rsidRDefault="00F84634" w:rsidP="00C43396">
      <w:pPr>
        <w:widowControl w:val="0"/>
        <w:autoSpaceDE w:val="0"/>
        <w:autoSpaceDN w:val="0"/>
        <w:spacing w:after="0" w:line="240" w:lineRule="auto"/>
        <w:jc w:val="both"/>
        <w:rPr>
          <w:rFonts w:ascii="Arial" w:eastAsia="Times New Roman" w:hAnsi="Arial" w:cs="Arial"/>
          <w:b/>
          <w:bCs/>
          <w:szCs w:val="24"/>
        </w:rPr>
      </w:pPr>
    </w:p>
    <w:p w14:paraId="49F236A5" w14:textId="77777777" w:rsidR="00F84634" w:rsidRPr="00157555" w:rsidRDefault="00F84634" w:rsidP="00C43396">
      <w:pPr>
        <w:widowControl w:val="0"/>
        <w:autoSpaceDE w:val="0"/>
        <w:autoSpaceDN w:val="0"/>
        <w:spacing w:after="0" w:line="240" w:lineRule="auto"/>
        <w:jc w:val="both"/>
        <w:rPr>
          <w:rFonts w:ascii="Arial" w:eastAsia="Times New Roman" w:hAnsi="Arial" w:cs="Arial"/>
          <w:b/>
          <w:bCs/>
          <w:szCs w:val="24"/>
        </w:rPr>
      </w:pPr>
      <w:r w:rsidRPr="00157555">
        <w:rPr>
          <w:rFonts w:ascii="Arial" w:eastAsia="Times New Roman" w:hAnsi="Arial" w:cs="Arial"/>
          <w:b/>
          <w:bCs/>
          <w:szCs w:val="24"/>
        </w:rPr>
        <w:t xml:space="preserve">ChargePoint, Inc. </w:t>
      </w:r>
    </w:p>
    <w:p w14:paraId="6C273C45"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 xml:space="preserve">Dylan F. Borchers </w:t>
      </w:r>
    </w:p>
    <w:p w14:paraId="38400539"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 xml:space="preserve">Kara H. Herrnstein </w:t>
      </w:r>
    </w:p>
    <w:p w14:paraId="0B1533C0"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 xml:space="preserve">BRICKER &amp; ECKLER LLP </w:t>
      </w:r>
    </w:p>
    <w:p w14:paraId="476F10A3" w14:textId="77777777" w:rsidR="00F84634" w:rsidRPr="00157555" w:rsidRDefault="00A46CCD" w:rsidP="00C43396">
      <w:pPr>
        <w:widowControl w:val="0"/>
        <w:autoSpaceDE w:val="0"/>
        <w:autoSpaceDN w:val="0"/>
        <w:spacing w:after="0" w:line="240" w:lineRule="auto"/>
        <w:jc w:val="both"/>
        <w:rPr>
          <w:rFonts w:ascii="Arial" w:eastAsia="Times New Roman" w:hAnsi="Arial" w:cs="Arial"/>
          <w:szCs w:val="24"/>
        </w:rPr>
      </w:pPr>
      <w:hyperlink r:id="rId26" w:history="1">
        <w:r w:rsidR="00F84634" w:rsidRPr="00157555">
          <w:rPr>
            <w:rFonts w:ascii="Arial" w:eastAsia="Times New Roman" w:hAnsi="Arial" w:cs="Arial"/>
            <w:color w:val="0563C1" w:themeColor="hyperlink"/>
            <w:szCs w:val="24"/>
            <w:u w:val="single"/>
          </w:rPr>
          <w:t>dborchers@bricker.com</w:t>
        </w:r>
      </w:hyperlink>
      <w:r w:rsidR="00F84634" w:rsidRPr="00157555">
        <w:rPr>
          <w:rFonts w:ascii="Arial" w:eastAsia="Times New Roman" w:hAnsi="Arial" w:cs="Arial"/>
          <w:szCs w:val="24"/>
        </w:rPr>
        <w:t xml:space="preserve"> </w:t>
      </w:r>
    </w:p>
    <w:p w14:paraId="0ADE066C" w14:textId="77777777" w:rsidR="00F84634" w:rsidRPr="00157555" w:rsidRDefault="00A46CCD" w:rsidP="00C43396">
      <w:pPr>
        <w:widowControl w:val="0"/>
        <w:autoSpaceDE w:val="0"/>
        <w:autoSpaceDN w:val="0"/>
        <w:spacing w:after="0" w:line="240" w:lineRule="auto"/>
        <w:jc w:val="both"/>
        <w:rPr>
          <w:rFonts w:ascii="Arial" w:eastAsia="Times New Roman" w:hAnsi="Arial" w:cs="Arial"/>
          <w:szCs w:val="24"/>
        </w:rPr>
      </w:pPr>
      <w:hyperlink r:id="rId27" w:history="1">
        <w:r w:rsidR="00F84634" w:rsidRPr="00157555">
          <w:rPr>
            <w:rFonts w:ascii="Arial" w:eastAsia="Times New Roman" w:hAnsi="Arial" w:cs="Arial"/>
            <w:color w:val="0563C1" w:themeColor="hyperlink"/>
            <w:szCs w:val="24"/>
            <w:u w:val="single"/>
          </w:rPr>
          <w:t>kherrnstein@bricker.com</w:t>
        </w:r>
      </w:hyperlink>
      <w:r w:rsidR="00F84634" w:rsidRPr="00157555">
        <w:rPr>
          <w:rFonts w:ascii="Arial" w:eastAsia="Times New Roman" w:hAnsi="Arial" w:cs="Arial"/>
          <w:szCs w:val="24"/>
        </w:rPr>
        <w:t xml:space="preserve"> </w:t>
      </w:r>
    </w:p>
    <w:p w14:paraId="02A92279"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p>
    <w:p w14:paraId="2D9C2924" w14:textId="77777777" w:rsidR="00F84634" w:rsidRPr="00157555" w:rsidRDefault="00F84634" w:rsidP="00C43396">
      <w:pPr>
        <w:widowControl w:val="0"/>
        <w:autoSpaceDE w:val="0"/>
        <w:autoSpaceDN w:val="0"/>
        <w:spacing w:after="0" w:line="240" w:lineRule="auto"/>
        <w:jc w:val="both"/>
        <w:rPr>
          <w:rFonts w:ascii="Arial" w:eastAsia="Times New Roman" w:hAnsi="Arial" w:cs="Arial"/>
          <w:b/>
          <w:bCs/>
          <w:szCs w:val="24"/>
        </w:rPr>
      </w:pPr>
      <w:r w:rsidRPr="00157555">
        <w:rPr>
          <w:rFonts w:ascii="Arial" w:eastAsia="Times New Roman" w:hAnsi="Arial" w:cs="Arial"/>
          <w:b/>
          <w:bCs/>
          <w:szCs w:val="24"/>
        </w:rPr>
        <w:t>The Ohio Manufacturers’ Association Energy Group</w:t>
      </w:r>
    </w:p>
    <w:p w14:paraId="5AE311DC"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 xml:space="preserve">Kimberly W. Bojko </w:t>
      </w:r>
    </w:p>
    <w:p w14:paraId="54311636"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 xml:space="preserve">Thomas </w:t>
      </w:r>
      <w:proofErr w:type="spellStart"/>
      <w:r w:rsidRPr="00157555">
        <w:rPr>
          <w:rFonts w:ascii="Arial" w:eastAsia="Times New Roman" w:hAnsi="Arial" w:cs="Arial"/>
          <w:szCs w:val="24"/>
        </w:rPr>
        <w:t>Donadio</w:t>
      </w:r>
      <w:proofErr w:type="spellEnd"/>
    </w:p>
    <w:p w14:paraId="7A2E0808"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 xml:space="preserve">Carpenter </w:t>
      </w:r>
      <w:proofErr w:type="spellStart"/>
      <w:r w:rsidRPr="00157555">
        <w:rPr>
          <w:rFonts w:ascii="Arial" w:eastAsia="Times New Roman" w:hAnsi="Arial" w:cs="Arial"/>
          <w:szCs w:val="24"/>
        </w:rPr>
        <w:t>Lipps</w:t>
      </w:r>
      <w:proofErr w:type="spellEnd"/>
      <w:r w:rsidRPr="00157555">
        <w:rPr>
          <w:rFonts w:ascii="Arial" w:eastAsia="Times New Roman" w:hAnsi="Arial" w:cs="Arial"/>
          <w:szCs w:val="24"/>
        </w:rPr>
        <w:t xml:space="preserve"> &amp; Leland LLP </w:t>
      </w:r>
    </w:p>
    <w:p w14:paraId="52F702C2" w14:textId="77777777" w:rsidR="00F84634" w:rsidRPr="00157555" w:rsidRDefault="00A46CCD" w:rsidP="00C43396">
      <w:pPr>
        <w:widowControl w:val="0"/>
        <w:autoSpaceDE w:val="0"/>
        <w:autoSpaceDN w:val="0"/>
        <w:spacing w:after="0" w:line="240" w:lineRule="auto"/>
        <w:jc w:val="both"/>
        <w:rPr>
          <w:rFonts w:ascii="Arial" w:eastAsia="Times New Roman" w:hAnsi="Arial" w:cs="Arial"/>
          <w:szCs w:val="24"/>
          <w:u w:val="single"/>
        </w:rPr>
      </w:pPr>
      <w:hyperlink r:id="rId28" w:history="1">
        <w:r w:rsidR="00F84634" w:rsidRPr="00157555">
          <w:rPr>
            <w:rFonts w:ascii="Arial" w:eastAsia="Times New Roman" w:hAnsi="Arial" w:cs="Arial"/>
            <w:color w:val="0563C1" w:themeColor="hyperlink"/>
            <w:szCs w:val="24"/>
            <w:u w:val="single"/>
          </w:rPr>
          <w:t>Bojko@carpenterlipps.com</w:t>
        </w:r>
      </w:hyperlink>
    </w:p>
    <w:p w14:paraId="69319D06" w14:textId="77777777" w:rsidR="00F84634" w:rsidRPr="00157555" w:rsidRDefault="00A46CCD" w:rsidP="00C43396">
      <w:pPr>
        <w:widowControl w:val="0"/>
        <w:autoSpaceDE w:val="0"/>
        <w:autoSpaceDN w:val="0"/>
        <w:spacing w:after="0" w:line="240" w:lineRule="auto"/>
        <w:jc w:val="both"/>
        <w:rPr>
          <w:rFonts w:ascii="Arial" w:eastAsia="Times New Roman" w:hAnsi="Arial" w:cs="Arial"/>
          <w:szCs w:val="24"/>
        </w:rPr>
      </w:pPr>
      <w:hyperlink r:id="rId29" w:history="1">
        <w:r w:rsidR="00F84634" w:rsidRPr="00157555">
          <w:rPr>
            <w:rFonts w:ascii="Arial" w:eastAsia="Times New Roman" w:hAnsi="Arial" w:cs="Arial"/>
            <w:color w:val="0563C1" w:themeColor="hyperlink"/>
            <w:szCs w:val="24"/>
            <w:u w:val="single"/>
          </w:rPr>
          <w:t>Donadio@carpenterlipps.com</w:t>
        </w:r>
      </w:hyperlink>
      <w:r w:rsidR="00F84634" w:rsidRPr="00157555">
        <w:rPr>
          <w:rFonts w:ascii="Arial" w:eastAsia="Times New Roman" w:hAnsi="Arial" w:cs="Arial"/>
          <w:szCs w:val="24"/>
        </w:rPr>
        <w:t xml:space="preserve"> </w:t>
      </w:r>
    </w:p>
    <w:p w14:paraId="2F61D323"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p>
    <w:p w14:paraId="56EDA507" w14:textId="77777777" w:rsidR="00F84634" w:rsidRPr="00157555" w:rsidRDefault="00F84634" w:rsidP="00C43396">
      <w:pPr>
        <w:spacing w:after="0" w:line="240" w:lineRule="auto"/>
        <w:jc w:val="both"/>
        <w:rPr>
          <w:rFonts w:ascii="Arial" w:eastAsia="Times New Roman" w:hAnsi="Arial" w:cs="Arial"/>
          <w:b/>
          <w:bCs/>
          <w:szCs w:val="24"/>
        </w:rPr>
      </w:pPr>
      <w:proofErr w:type="spellStart"/>
      <w:r w:rsidRPr="00157555">
        <w:rPr>
          <w:rFonts w:ascii="Arial" w:eastAsia="Times New Roman" w:hAnsi="Arial" w:cs="Arial"/>
          <w:b/>
          <w:bCs/>
          <w:szCs w:val="24"/>
        </w:rPr>
        <w:t>EVgo</w:t>
      </w:r>
      <w:proofErr w:type="spellEnd"/>
      <w:r w:rsidRPr="00157555">
        <w:rPr>
          <w:rFonts w:ascii="Arial" w:eastAsia="Times New Roman" w:hAnsi="Arial" w:cs="Arial"/>
          <w:b/>
          <w:bCs/>
          <w:szCs w:val="24"/>
        </w:rPr>
        <w:t xml:space="preserve"> Services, LLC </w:t>
      </w:r>
    </w:p>
    <w:p w14:paraId="75E0EA09" w14:textId="77777777" w:rsidR="00F84634" w:rsidRPr="00157555" w:rsidRDefault="00F84634" w:rsidP="00C43396">
      <w:pPr>
        <w:spacing w:after="0" w:line="240" w:lineRule="auto"/>
        <w:jc w:val="both"/>
        <w:rPr>
          <w:rFonts w:ascii="Arial" w:eastAsia="Times New Roman" w:hAnsi="Arial" w:cs="Arial"/>
          <w:szCs w:val="24"/>
        </w:rPr>
      </w:pPr>
      <w:r w:rsidRPr="00157555">
        <w:rPr>
          <w:rFonts w:ascii="Arial" w:eastAsia="Times New Roman" w:hAnsi="Arial" w:cs="Arial"/>
          <w:szCs w:val="24"/>
        </w:rPr>
        <w:t xml:space="preserve">Alicia </w:t>
      </w:r>
      <w:proofErr w:type="spellStart"/>
      <w:r w:rsidRPr="00157555">
        <w:rPr>
          <w:rFonts w:ascii="Arial" w:eastAsia="Times New Roman" w:hAnsi="Arial" w:cs="Arial"/>
          <w:szCs w:val="24"/>
        </w:rPr>
        <w:t>Zaloga</w:t>
      </w:r>
      <w:proofErr w:type="spellEnd"/>
    </w:p>
    <w:p w14:paraId="507F5C12" w14:textId="77777777" w:rsidR="00F84634" w:rsidRPr="00157555" w:rsidRDefault="00F84634" w:rsidP="00C43396">
      <w:pPr>
        <w:spacing w:after="0" w:line="240" w:lineRule="auto"/>
        <w:jc w:val="both"/>
        <w:rPr>
          <w:rFonts w:ascii="Arial" w:eastAsia="Times New Roman" w:hAnsi="Arial" w:cs="Arial"/>
          <w:szCs w:val="24"/>
        </w:rPr>
      </w:pPr>
      <w:r w:rsidRPr="00157555">
        <w:rPr>
          <w:rFonts w:ascii="Arial" w:eastAsia="Times New Roman" w:hAnsi="Arial" w:cs="Arial"/>
          <w:szCs w:val="24"/>
        </w:rPr>
        <w:t>Jacob Schlesinger</w:t>
      </w:r>
    </w:p>
    <w:p w14:paraId="40FC01AB" w14:textId="77777777" w:rsidR="00F84634" w:rsidRPr="00157555" w:rsidRDefault="00F84634" w:rsidP="00C43396">
      <w:pPr>
        <w:spacing w:after="0" w:line="240" w:lineRule="auto"/>
        <w:jc w:val="both"/>
        <w:rPr>
          <w:rFonts w:ascii="Arial" w:eastAsia="Times New Roman" w:hAnsi="Arial" w:cs="Arial"/>
          <w:szCs w:val="24"/>
        </w:rPr>
      </w:pPr>
      <w:r w:rsidRPr="00157555">
        <w:rPr>
          <w:rFonts w:ascii="Arial" w:eastAsia="Times New Roman" w:hAnsi="Arial" w:cs="Arial"/>
          <w:szCs w:val="24"/>
        </w:rPr>
        <w:t>Lilly McKenna</w:t>
      </w:r>
    </w:p>
    <w:p w14:paraId="1ED8E2E0" w14:textId="77777777" w:rsidR="00F84634" w:rsidRPr="00157555" w:rsidRDefault="00F84634" w:rsidP="00C43396">
      <w:pPr>
        <w:spacing w:after="0" w:line="240" w:lineRule="auto"/>
        <w:jc w:val="both"/>
        <w:rPr>
          <w:rFonts w:ascii="Arial" w:eastAsia="Times New Roman" w:hAnsi="Arial" w:cs="Arial"/>
          <w:szCs w:val="24"/>
        </w:rPr>
      </w:pPr>
      <w:r w:rsidRPr="00157555">
        <w:rPr>
          <w:rFonts w:ascii="Arial" w:eastAsia="Times New Roman" w:hAnsi="Arial" w:cs="Arial"/>
          <w:szCs w:val="24"/>
        </w:rPr>
        <w:t>Keyes &amp; Fox LLP</w:t>
      </w:r>
    </w:p>
    <w:p w14:paraId="0184787B" w14:textId="77777777" w:rsidR="00F84634" w:rsidRPr="00157555" w:rsidRDefault="00A46CCD" w:rsidP="00C43396">
      <w:pPr>
        <w:spacing w:after="0" w:line="240" w:lineRule="auto"/>
        <w:jc w:val="both"/>
        <w:rPr>
          <w:rFonts w:ascii="Arial" w:eastAsia="Times New Roman" w:hAnsi="Arial" w:cs="Arial"/>
          <w:szCs w:val="24"/>
        </w:rPr>
      </w:pPr>
      <w:hyperlink r:id="rId30" w:history="1">
        <w:r w:rsidR="00F84634" w:rsidRPr="00157555">
          <w:rPr>
            <w:rFonts w:ascii="Arial" w:eastAsia="Times New Roman" w:hAnsi="Arial" w:cs="Arial"/>
            <w:color w:val="0563C1" w:themeColor="hyperlink"/>
            <w:szCs w:val="24"/>
            <w:u w:val="single"/>
          </w:rPr>
          <w:t>jschlesinger@keyesfox.com</w:t>
        </w:r>
      </w:hyperlink>
      <w:r w:rsidR="00F84634" w:rsidRPr="00157555">
        <w:rPr>
          <w:rFonts w:ascii="Arial" w:eastAsia="Times New Roman" w:hAnsi="Arial" w:cs="Arial"/>
          <w:szCs w:val="24"/>
        </w:rPr>
        <w:t xml:space="preserve"> </w:t>
      </w:r>
    </w:p>
    <w:p w14:paraId="520EB6A3" w14:textId="77777777" w:rsidR="00F84634" w:rsidRPr="00157555" w:rsidRDefault="00A46CCD" w:rsidP="00C43396">
      <w:pPr>
        <w:spacing w:after="0" w:line="240" w:lineRule="auto"/>
        <w:jc w:val="both"/>
        <w:rPr>
          <w:rFonts w:ascii="Arial" w:eastAsia="Times New Roman" w:hAnsi="Arial" w:cs="Arial"/>
          <w:szCs w:val="24"/>
        </w:rPr>
      </w:pPr>
      <w:hyperlink r:id="rId31" w:history="1">
        <w:r w:rsidR="00F84634" w:rsidRPr="00157555">
          <w:rPr>
            <w:rFonts w:ascii="Arial" w:eastAsia="Times New Roman" w:hAnsi="Arial" w:cs="Arial"/>
            <w:color w:val="0563C1" w:themeColor="hyperlink"/>
            <w:szCs w:val="24"/>
            <w:u w:val="single"/>
          </w:rPr>
          <w:t>azaloga@keyesfox.com</w:t>
        </w:r>
      </w:hyperlink>
      <w:r w:rsidR="00F84634" w:rsidRPr="00157555">
        <w:rPr>
          <w:rFonts w:ascii="Arial" w:eastAsia="Times New Roman" w:hAnsi="Arial" w:cs="Arial"/>
          <w:szCs w:val="24"/>
        </w:rPr>
        <w:t xml:space="preserve"> </w:t>
      </w:r>
    </w:p>
    <w:p w14:paraId="19816EA6" w14:textId="77777777" w:rsidR="00F84634" w:rsidRPr="00157555" w:rsidRDefault="00A46CCD" w:rsidP="00C43396">
      <w:pPr>
        <w:spacing w:after="0" w:line="240" w:lineRule="auto"/>
        <w:jc w:val="both"/>
        <w:rPr>
          <w:rFonts w:ascii="Arial" w:eastAsia="Times New Roman" w:hAnsi="Arial" w:cs="Arial"/>
          <w:szCs w:val="24"/>
        </w:rPr>
      </w:pPr>
      <w:hyperlink r:id="rId32" w:history="1">
        <w:r w:rsidR="00F84634" w:rsidRPr="00157555">
          <w:rPr>
            <w:rFonts w:ascii="Arial" w:eastAsia="Times New Roman" w:hAnsi="Arial" w:cs="Arial"/>
            <w:color w:val="0563C1" w:themeColor="hyperlink"/>
            <w:szCs w:val="24"/>
            <w:u w:val="single"/>
          </w:rPr>
          <w:t>lmckenna@keyesfox.com</w:t>
        </w:r>
      </w:hyperlink>
      <w:r w:rsidR="00F84634" w:rsidRPr="00157555">
        <w:rPr>
          <w:rFonts w:ascii="Arial" w:eastAsia="Times New Roman" w:hAnsi="Arial" w:cs="Arial"/>
          <w:szCs w:val="24"/>
        </w:rPr>
        <w:t xml:space="preserve"> </w:t>
      </w:r>
    </w:p>
    <w:p w14:paraId="157E96AC" w14:textId="77777777" w:rsidR="00F84634" w:rsidRPr="00157555" w:rsidRDefault="00F84634" w:rsidP="00C43396">
      <w:pPr>
        <w:widowControl w:val="0"/>
        <w:autoSpaceDE w:val="0"/>
        <w:autoSpaceDN w:val="0"/>
        <w:spacing w:after="0" w:line="240" w:lineRule="auto"/>
        <w:jc w:val="both"/>
        <w:rPr>
          <w:rFonts w:ascii="Arial" w:eastAsia="Times New Roman" w:hAnsi="Arial" w:cs="Arial"/>
          <w:b/>
          <w:bCs/>
          <w:szCs w:val="24"/>
        </w:rPr>
      </w:pPr>
    </w:p>
    <w:p w14:paraId="3466F916" w14:textId="77777777" w:rsidR="00F84634" w:rsidRPr="00157555" w:rsidRDefault="00F84634" w:rsidP="00C43396">
      <w:pPr>
        <w:widowControl w:val="0"/>
        <w:autoSpaceDE w:val="0"/>
        <w:autoSpaceDN w:val="0"/>
        <w:spacing w:after="0" w:line="240" w:lineRule="auto"/>
        <w:jc w:val="both"/>
        <w:rPr>
          <w:rFonts w:ascii="Arial" w:eastAsia="Times New Roman" w:hAnsi="Arial" w:cs="Arial"/>
          <w:b/>
          <w:bCs/>
          <w:szCs w:val="24"/>
        </w:rPr>
      </w:pPr>
      <w:r w:rsidRPr="00157555">
        <w:rPr>
          <w:rFonts w:ascii="Arial" w:eastAsia="Times New Roman" w:hAnsi="Arial" w:cs="Arial"/>
          <w:b/>
          <w:bCs/>
          <w:szCs w:val="24"/>
        </w:rPr>
        <w:t xml:space="preserve">Industrial Energy Users-Ohio </w:t>
      </w:r>
    </w:p>
    <w:p w14:paraId="6D6E8819"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 xml:space="preserve">Matthew R. Pritchard </w:t>
      </w:r>
    </w:p>
    <w:p w14:paraId="44680F62"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 xml:space="preserve">Rebekah J. Glover </w:t>
      </w:r>
    </w:p>
    <w:p w14:paraId="6722F672"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 xml:space="preserve">Bryce A. McKenney </w:t>
      </w:r>
    </w:p>
    <w:p w14:paraId="43555712"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MCNEES WALLACE &amp; NURICK LLC</w:t>
      </w:r>
    </w:p>
    <w:p w14:paraId="3BFA1758" w14:textId="77777777" w:rsidR="00F84634" w:rsidRPr="00157555" w:rsidRDefault="00A46CCD" w:rsidP="00C43396">
      <w:pPr>
        <w:widowControl w:val="0"/>
        <w:autoSpaceDE w:val="0"/>
        <w:autoSpaceDN w:val="0"/>
        <w:spacing w:after="0" w:line="240" w:lineRule="auto"/>
        <w:jc w:val="both"/>
        <w:rPr>
          <w:rFonts w:ascii="Arial" w:eastAsia="Times New Roman" w:hAnsi="Arial" w:cs="Arial"/>
          <w:szCs w:val="24"/>
        </w:rPr>
      </w:pPr>
      <w:hyperlink r:id="rId33" w:history="1">
        <w:r w:rsidR="00F84634" w:rsidRPr="00157555">
          <w:rPr>
            <w:rFonts w:ascii="Arial" w:eastAsia="Times New Roman" w:hAnsi="Arial" w:cs="Arial"/>
            <w:color w:val="0563C1" w:themeColor="hyperlink"/>
            <w:szCs w:val="24"/>
            <w:u w:val="single"/>
          </w:rPr>
          <w:t>mpritchard@mcneeslaw.com</w:t>
        </w:r>
      </w:hyperlink>
      <w:r w:rsidR="00F84634" w:rsidRPr="00157555">
        <w:rPr>
          <w:rFonts w:ascii="Arial" w:eastAsia="Times New Roman" w:hAnsi="Arial" w:cs="Arial"/>
          <w:szCs w:val="24"/>
        </w:rPr>
        <w:t xml:space="preserve"> </w:t>
      </w:r>
    </w:p>
    <w:p w14:paraId="045E6197" w14:textId="77777777" w:rsidR="00F84634" w:rsidRPr="00157555" w:rsidRDefault="00A46CCD" w:rsidP="00C43396">
      <w:pPr>
        <w:widowControl w:val="0"/>
        <w:autoSpaceDE w:val="0"/>
        <w:autoSpaceDN w:val="0"/>
        <w:spacing w:after="0" w:line="240" w:lineRule="auto"/>
        <w:jc w:val="both"/>
        <w:rPr>
          <w:rFonts w:ascii="Arial" w:eastAsia="Times New Roman" w:hAnsi="Arial" w:cs="Arial"/>
          <w:szCs w:val="24"/>
        </w:rPr>
      </w:pPr>
      <w:hyperlink r:id="rId34" w:history="1">
        <w:r w:rsidR="00F84634" w:rsidRPr="00157555">
          <w:rPr>
            <w:rFonts w:ascii="Arial" w:eastAsia="Times New Roman" w:hAnsi="Arial" w:cs="Arial"/>
            <w:color w:val="0563C1" w:themeColor="hyperlink"/>
            <w:szCs w:val="24"/>
            <w:u w:val="single"/>
          </w:rPr>
          <w:t>rglover@mcneeslaw.com</w:t>
        </w:r>
      </w:hyperlink>
      <w:r w:rsidR="00F84634" w:rsidRPr="00157555">
        <w:rPr>
          <w:rFonts w:ascii="Arial" w:eastAsia="Times New Roman" w:hAnsi="Arial" w:cs="Arial"/>
          <w:szCs w:val="24"/>
        </w:rPr>
        <w:t xml:space="preserve"> </w:t>
      </w:r>
    </w:p>
    <w:p w14:paraId="33D2906F" w14:textId="77777777" w:rsidR="00F84634" w:rsidRPr="00157555" w:rsidRDefault="00A46CCD" w:rsidP="00C43396">
      <w:pPr>
        <w:widowControl w:val="0"/>
        <w:autoSpaceDE w:val="0"/>
        <w:autoSpaceDN w:val="0"/>
        <w:spacing w:after="0" w:line="240" w:lineRule="auto"/>
        <w:jc w:val="both"/>
        <w:rPr>
          <w:rFonts w:ascii="Arial" w:eastAsia="Times New Roman" w:hAnsi="Arial" w:cs="Arial"/>
          <w:szCs w:val="24"/>
        </w:rPr>
      </w:pPr>
      <w:hyperlink r:id="rId35" w:history="1">
        <w:r w:rsidR="00F84634" w:rsidRPr="00157555">
          <w:rPr>
            <w:rFonts w:ascii="Arial" w:eastAsia="Times New Roman" w:hAnsi="Arial" w:cs="Arial"/>
            <w:color w:val="0563C1" w:themeColor="hyperlink"/>
            <w:szCs w:val="24"/>
            <w:u w:val="single"/>
          </w:rPr>
          <w:t>bmckenney@mcneeslaw.com</w:t>
        </w:r>
      </w:hyperlink>
      <w:r w:rsidR="00F84634" w:rsidRPr="00157555">
        <w:rPr>
          <w:rFonts w:ascii="Arial" w:eastAsia="Times New Roman" w:hAnsi="Arial" w:cs="Arial"/>
          <w:szCs w:val="24"/>
        </w:rPr>
        <w:t xml:space="preserve"> </w:t>
      </w:r>
    </w:p>
    <w:p w14:paraId="2FFBBD1B"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p>
    <w:p w14:paraId="679272EC" w14:textId="77777777" w:rsidR="00F84634" w:rsidRPr="00157555" w:rsidRDefault="00F84634" w:rsidP="00C43396">
      <w:pPr>
        <w:widowControl w:val="0"/>
        <w:autoSpaceDE w:val="0"/>
        <w:autoSpaceDN w:val="0"/>
        <w:spacing w:after="0" w:line="240" w:lineRule="auto"/>
        <w:jc w:val="both"/>
        <w:rPr>
          <w:rFonts w:ascii="Arial" w:eastAsia="Times New Roman" w:hAnsi="Arial" w:cs="Arial"/>
          <w:b/>
          <w:bCs/>
          <w:szCs w:val="24"/>
        </w:rPr>
      </w:pPr>
      <w:r w:rsidRPr="00157555">
        <w:rPr>
          <w:rFonts w:ascii="Arial" w:eastAsia="Times New Roman" w:hAnsi="Arial" w:cs="Arial"/>
          <w:b/>
          <w:bCs/>
          <w:szCs w:val="24"/>
        </w:rPr>
        <w:t xml:space="preserve">Natural Resources Defense Council </w:t>
      </w:r>
    </w:p>
    <w:p w14:paraId="784FB7D3" w14:textId="77777777" w:rsidR="00F84634" w:rsidRPr="00157555" w:rsidRDefault="00F84634" w:rsidP="00C43396">
      <w:pPr>
        <w:widowControl w:val="0"/>
        <w:autoSpaceDE w:val="0"/>
        <w:autoSpaceDN w:val="0"/>
        <w:spacing w:after="0" w:line="240" w:lineRule="auto"/>
        <w:jc w:val="both"/>
        <w:rPr>
          <w:rFonts w:ascii="Arial" w:eastAsia="Times New Roman" w:hAnsi="Arial" w:cs="Arial"/>
          <w:b/>
          <w:bCs/>
          <w:szCs w:val="24"/>
        </w:rPr>
      </w:pPr>
      <w:r w:rsidRPr="00157555">
        <w:rPr>
          <w:rFonts w:ascii="Arial" w:eastAsia="Times New Roman" w:hAnsi="Arial" w:cs="Arial"/>
          <w:b/>
          <w:bCs/>
          <w:szCs w:val="24"/>
        </w:rPr>
        <w:t xml:space="preserve">Ohio Partners for Affordable Energy </w:t>
      </w:r>
    </w:p>
    <w:p w14:paraId="254C0FAB"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 xml:space="preserve">Robert Dove </w:t>
      </w:r>
    </w:p>
    <w:p w14:paraId="7201C9E4"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 xml:space="preserve">Kegler Brown Hill + Ritter Co., L.P.A. </w:t>
      </w:r>
    </w:p>
    <w:p w14:paraId="49AB2790" w14:textId="77777777" w:rsidR="00F84634" w:rsidRPr="00157555" w:rsidRDefault="00A46CCD" w:rsidP="00C43396">
      <w:pPr>
        <w:widowControl w:val="0"/>
        <w:autoSpaceDE w:val="0"/>
        <w:autoSpaceDN w:val="0"/>
        <w:spacing w:after="0" w:line="240" w:lineRule="auto"/>
        <w:jc w:val="both"/>
        <w:rPr>
          <w:rFonts w:ascii="Arial" w:eastAsia="Times New Roman" w:hAnsi="Arial" w:cs="Arial"/>
          <w:szCs w:val="24"/>
        </w:rPr>
      </w:pPr>
      <w:hyperlink r:id="rId36" w:history="1">
        <w:r w:rsidR="00F84634" w:rsidRPr="00157555">
          <w:rPr>
            <w:rFonts w:ascii="Arial" w:eastAsia="Times New Roman" w:hAnsi="Arial" w:cs="Arial"/>
            <w:color w:val="0563C1" w:themeColor="hyperlink"/>
            <w:szCs w:val="24"/>
            <w:u w:val="single"/>
          </w:rPr>
          <w:t>rdove@keglerbrown.com</w:t>
        </w:r>
      </w:hyperlink>
      <w:r w:rsidR="00F84634" w:rsidRPr="00157555">
        <w:rPr>
          <w:rFonts w:ascii="Arial" w:eastAsia="Times New Roman" w:hAnsi="Arial" w:cs="Arial"/>
          <w:szCs w:val="24"/>
        </w:rPr>
        <w:t xml:space="preserve"> </w:t>
      </w:r>
    </w:p>
    <w:p w14:paraId="4619A357"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p>
    <w:p w14:paraId="609C2D40" w14:textId="77777777" w:rsidR="00F84634" w:rsidRPr="00157555" w:rsidRDefault="00F84634" w:rsidP="00C43396">
      <w:pPr>
        <w:widowControl w:val="0"/>
        <w:autoSpaceDE w:val="0"/>
        <w:autoSpaceDN w:val="0"/>
        <w:spacing w:after="0" w:line="240" w:lineRule="auto"/>
        <w:jc w:val="both"/>
        <w:rPr>
          <w:rFonts w:ascii="Arial" w:eastAsia="Times New Roman" w:hAnsi="Arial" w:cs="Arial"/>
          <w:b/>
          <w:bCs/>
          <w:szCs w:val="24"/>
        </w:rPr>
      </w:pPr>
      <w:r w:rsidRPr="00157555">
        <w:rPr>
          <w:rFonts w:ascii="Arial" w:eastAsia="Times New Roman" w:hAnsi="Arial" w:cs="Arial"/>
          <w:b/>
          <w:bCs/>
          <w:szCs w:val="24"/>
        </w:rPr>
        <w:t>The Ohio Environmental Council</w:t>
      </w:r>
    </w:p>
    <w:p w14:paraId="6280D8A0"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 xml:space="preserve">Miranda Leppla, Esq. </w:t>
      </w:r>
    </w:p>
    <w:p w14:paraId="0DAB72B9"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 xml:space="preserve">Chris </w:t>
      </w:r>
      <w:proofErr w:type="spellStart"/>
      <w:r w:rsidRPr="00157555">
        <w:rPr>
          <w:rFonts w:ascii="Arial" w:eastAsia="Times New Roman" w:hAnsi="Arial" w:cs="Arial"/>
          <w:szCs w:val="24"/>
        </w:rPr>
        <w:t>Tavenor</w:t>
      </w:r>
      <w:proofErr w:type="spellEnd"/>
      <w:r w:rsidRPr="00157555">
        <w:rPr>
          <w:rFonts w:ascii="Arial" w:eastAsia="Times New Roman" w:hAnsi="Arial" w:cs="Arial"/>
          <w:szCs w:val="24"/>
        </w:rPr>
        <w:t xml:space="preserve">, Esq. </w:t>
      </w:r>
    </w:p>
    <w:p w14:paraId="055CED64" w14:textId="77777777" w:rsidR="00F84634" w:rsidRPr="00157555" w:rsidRDefault="00A46CCD" w:rsidP="00C43396">
      <w:pPr>
        <w:widowControl w:val="0"/>
        <w:autoSpaceDE w:val="0"/>
        <w:autoSpaceDN w:val="0"/>
        <w:spacing w:after="0" w:line="240" w:lineRule="auto"/>
        <w:jc w:val="both"/>
        <w:rPr>
          <w:rFonts w:ascii="Arial" w:eastAsia="Times New Roman" w:hAnsi="Arial" w:cs="Arial"/>
          <w:szCs w:val="24"/>
        </w:rPr>
      </w:pPr>
      <w:hyperlink r:id="rId37" w:history="1">
        <w:r w:rsidR="00F84634" w:rsidRPr="00157555">
          <w:rPr>
            <w:rFonts w:ascii="Arial" w:eastAsia="Times New Roman" w:hAnsi="Arial" w:cs="Arial"/>
            <w:color w:val="0563C1" w:themeColor="hyperlink"/>
            <w:szCs w:val="24"/>
            <w:u w:val="single"/>
          </w:rPr>
          <w:t>mleppla@theOEC.org</w:t>
        </w:r>
      </w:hyperlink>
      <w:r w:rsidR="00F84634" w:rsidRPr="00157555">
        <w:rPr>
          <w:rFonts w:ascii="Arial" w:eastAsia="Times New Roman" w:hAnsi="Arial" w:cs="Arial"/>
          <w:szCs w:val="24"/>
        </w:rPr>
        <w:t xml:space="preserve"> </w:t>
      </w:r>
    </w:p>
    <w:p w14:paraId="3320A426" w14:textId="77777777" w:rsidR="00F84634" w:rsidRPr="00157555" w:rsidRDefault="00A46CCD" w:rsidP="00C43396">
      <w:pPr>
        <w:widowControl w:val="0"/>
        <w:autoSpaceDE w:val="0"/>
        <w:autoSpaceDN w:val="0"/>
        <w:spacing w:after="0" w:line="240" w:lineRule="auto"/>
        <w:jc w:val="both"/>
        <w:rPr>
          <w:rFonts w:ascii="Arial" w:eastAsia="Times New Roman" w:hAnsi="Arial" w:cs="Arial"/>
          <w:szCs w:val="24"/>
        </w:rPr>
      </w:pPr>
      <w:hyperlink r:id="rId38" w:history="1">
        <w:r w:rsidR="00F84634" w:rsidRPr="00157555">
          <w:rPr>
            <w:rFonts w:ascii="Arial" w:eastAsia="Times New Roman" w:hAnsi="Arial" w:cs="Arial"/>
            <w:color w:val="0563C1" w:themeColor="hyperlink"/>
            <w:szCs w:val="24"/>
            <w:u w:val="single"/>
          </w:rPr>
          <w:t>ctavenor@theOEC.org</w:t>
        </w:r>
      </w:hyperlink>
      <w:r w:rsidR="00F84634" w:rsidRPr="00157555">
        <w:rPr>
          <w:rFonts w:ascii="Arial" w:eastAsia="Times New Roman" w:hAnsi="Arial" w:cs="Arial"/>
          <w:szCs w:val="24"/>
        </w:rPr>
        <w:t xml:space="preserve"> </w:t>
      </w:r>
    </w:p>
    <w:p w14:paraId="06461276" w14:textId="77777777" w:rsidR="00F84634" w:rsidRPr="00157555" w:rsidRDefault="00F84634" w:rsidP="00C43396">
      <w:pPr>
        <w:spacing w:line="256" w:lineRule="auto"/>
        <w:jc w:val="both"/>
        <w:rPr>
          <w:rFonts w:ascii="Arial" w:eastAsia="Calibri" w:hAnsi="Arial" w:cs="Arial"/>
          <w:szCs w:val="24"/>
        </w:rPr>
      </w:pPr>
    </w:p>
    <w:p w14:paraId="493EE560" w14:textId="77777777" w:rsidR="00F84634" w:rsidRPr="00157555" w:rsidRDefault="00F84634" w:rsidP="00C43396">
      <w:pPr>
        <w:widowControl w:val="0"/>
        <w:autoSpaceDE w:val="0"/>
        <w:autoSpaceDN w:val="0"/>
        <w:spacing w:after="0" w:line="240" w:lineRule="auto"/>
        <w:jc w:val="both"/>
        <w:rPr>
          <w:rFonts w:ascii="Arial" w:eastAsia="Times New Roman" w:hAnsi="Arial" w:cs="Arial"/>
          <w:b/>
          <w:bCs/>
          <w:szCs w:val="24"/>
        </w:rPr>
      </w:pPr>
      <w:r w:rsidRPr="00157555">
        <w:rPr>
          <w:rFonts w:ascii="Arial" w:eastAsia="Times New Roman" w:hAnsi="Arial" w:cs="Arial"/>
          <w:b/>
          <w:bCs/>
          <w:szCs w:val="24"/>
        </w:rPr>
        <w:t>The Ohio Hospital Association</w:t>
      </w:r>
    </w:p>
    <w:p w14:paraId="0CF269AC"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 xml:space="preserve">Devin D. </w:t>
      </w:r>
      <w:proofErr w:type="spellStart"/>
      <w:r w:rsidRPr="00157555">
        <w:rPr>
          <w:rFonts w:ascii="Arial" w:eastAsia="Times New Roman" w:hAnsi="Arial" w:cs="Arial"/>
          <w:szCs w:val="24"/>
        </w:rPr>
        <w:t>Parram</w:t>
      </w:r>
      <w:proofErr w:type="spellEnd"/>
    </w:p>
    <w:p w14:paraId="4ACC9E23"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 xml:space="preserve">Rachel N. Mains </w:t>
      </w:r>
    </w:p>
    <w:p w14:paraId="26DB7677"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 xml:space="preserve">BRICKER &amp; ECKLER LLP </w:t>
      </w:r>
    </w:p>
    <w:p w14:paraId="4C5C6D39" w14:textId="77777777" w:rsidR="00F84634" w:rsidRPr="00157555" w:rsidRDefault="00A46CCD" w:rsidP="00C43396">
      <w:pPr>
        <w:widowControl w:val="0"/>
        <w:autoSpaceDE w:val="0"/>
        <w:autoSpaceDN w:val="0"/>
        <w:spacing w:after="0" w:line="240" w:lineRule="auto"/>
        <w:jc w:val="both"/>
        <w:rPr>
          <w:rFonts w:ascii="Arial" w:eastAsia="Times New Roman" w:hAnsi="Arial" w:cs="Arial"/>
          <w:szCs w:val="24"/>
        </w:rPr>
      </w:pPr>
      <w:hyperlink r:id="rId39" w:history="1">
        <w:r w:rsidR="00F84634" w:rsidRPr="00157555">
          <w:rPr>
            <w:rFonts w:ascii="Arial" w:eastAsia="Times New Roman" w:hAnsi="Arial" w:cs="Arial"/>
            <w:color w:val="0563C1" w:themeColor="hyperlink"/>
            <w:szCs w:val="24"/>
            <w:u w:val="single"/>
          </w:rPr>
          <w:t>dparram@bricker.com</w:t>
        </w:r>
      </w:hyperlink>
      <w:r w:rsidR="00F84634" w:rsidRPr="00157555">
        <w:rPr>
          <w:rFonts w:ascii="Arial" w:eastAsia="Times New Roman" w:hAnsi="Arial" w:cs="Arial"/>
          <w:szCs w:val="24"/>
        </w:rPr>
        <w:t xml:space="preserve"> </w:t>
      </w:r>
    </w:p>
    <w:p w14:paraId="10D7142D" w14:textId="77777777" w:rsidR="00F84634" w:rsidRPr="00157555" w:rsidRDefault="00A46CCD" w:rsidP="00C43396">
      <w:pPr>
        <w:widowControl w:val="0"/>
        <w:autoSpaceDE w:val="0"/>
        <w:autoSpaceDN w:val="0"/>
        <w:spacing w:after="0" w:line="240" w:lineRule="auto"/>
        <w:jc w:val="both"/>
        <w:rPr>
          <w:rFonts w:ascii="Arial" w:eastAsia="Times New Roman" w:hAnsi="Arial" w:cs="Arial"/>
          <w:szCs w:val="24"/>
        </w:rPr>
      </w:pPr>
      <w:hyperlink r:id="rId40" w:history="1">
        <w:r w:rsidR="00F84634" w:rsidRPr="00157555">
          <w:rPr>
            <w:rFonts w:ascii="Arial" w:eastAsia="Times New Roman" w:hAnsi="Arial" w:cs="Arial"/>
            <w:color w:val="0563C1" w:themeColor="hyperlink"/>
            <w:szCs w:val="24"/>
            <w:u w:val="single"/>
          </w:rPr>
          <w:t>rmains@bricker.com</w:t>
        </w:r>
      </w:hyperlink>
      <w:r w:rsidR="00F84634" w:rsidRPr="00157555">
        <w:rPr>
          <w:rFonts w:ascii="Arial" w:eastAsia="Times New Roman" w:hAnsi="Arial" w:cs="Arial"/>
          <w:szCs w:val="24"/>
        </w:rPr>
        <w:t xml:space="preserve"> </w:t>
      </w:r>
    </w:p>
    <w:p w14:paraId="262DCE7A"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p>
    <w:p w14:paraId="4656E6C7" w14:textId="77777777" w:rsidR="00F84634" w:rsidRPr="00157555" w:rsidRDefault="00F84634" w:rsidP="00C43396">
      <w:pPr>
        <w:widowControl w:val="0"/>
        <w:autoSpaceDE w:val="0"/>
        <w:autoSpaceDN w:val="0"/>
        <w:spacing w:after="0" w:line="240" w:lineRule="auto"/>
        <w:jc w:val="both"/>
        <w:rPr>
          <w:rFonts w:ascii="Arial" w:eastAsia="Times New Roman" w:hAnsi="Arial" w:cs="Arial"/>
          <w:b/>
          <w:bCs/>
          <w:szCs w:val="24"/>
        </w:rPr>
      </w:pPr>
      <w:r w:rsidRPr="00157555">
        <w:rPr>
          <w:rFonts w:ascii="Arial" w:eastAsia="Times New Roman" w:hAnsi="Arial" w:cs="Arial"/>
          <w:b/>
          <w:bCs/>
          <w:szCs w:val="24"/>
        </w:rPr>
        <w:t xml:space="preserve">Direct Energy Business, LLC and Direct Energy Services, LLC </w:t>
      </w:r>
    </w:p>
    <w:p w14:paraId="0EE02C93"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 xml:space="preserve">Mark A. Whitt, Esq. </w:t>
      </w:r>
    </w:p>
    <w:p w14:paraId="491AB36E"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 xml:space="preserve">Lucas A. Fykes, Esq. </w:t>
      </w:r>
    </w:p>
    <w:p w14:paraId="20626D5D"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WHITT STURTEVANT LLP</w:t>
      </w:r>
    </w:p>
    <w:p w14:paraId="7B0A398F" w14:textId="77777777" w:rsidR="00F84634" w:rsidRPr="00157555" w:rsidRDefault="00A46CCD" w:rsidP="00C43396">
      <w:pPr>
        <w:widowControl w:val="0"/>
        <w:autoSpaceDE w:val="0"/>
        <w:autoSpaceDN w:val="0"/>
        <w:spacing w:after="0" w:line="240" w:lineRule="auto"/>
        <w:jc w:val="both"/>
        <w:rPr>
          <w:rFonts w:ascii="Arial" w:eastAsia="Times New Roman" w:hAnsi="Arial" w:cs="Arial"/>
          <w:szCs w:val="24"/>
        </w:rPr>
      </w:pPr>
      <w:hyperlink r:id="rId41" w:history="1">
        <w:r w:rsidR="00F84634" w:rsidRPr="00157555">
          <w:rPr>
            <w:rFonts w:ascii="Arial" w:eastAsia="Times New Roman" w:hAnsi="Arial" w:cs="Arial"/>
            <w:color w:val="0563C1" w:themeColor="hyperlink"/>
            <w:szCs w:val="24"/>
            <w:u w:val="single"/>
          </w:rPr>
          <w:t>whitt@whitt-sturtevant.com</w:t>
        </w:r>
      </w:hyperlink>
      <w:r w:rsidR="00F84634" w:rsidRPr="00157555">
        <w:rPr>
          <w:rFonts w:ascii="Arial" w:eastAsia="Times New Roman" w:hAnsi="Arial" w:cs="Arial"/>
          <w:szCs w:val="24"/>
        </w:rPr>
        <w:t xml:space="preserve"> </w:t>
      </w:r>
    </w:p>
    <w:p w14:paraId="524F2CAB" w14:textId="77777777" w:rsidR="00F84634" w:rsidRPr="00157555" w:rsidRDefault="00A46CCD" w:rsidP="00C43396">
      <w:pPr>
        <w:spacing w:after="0" w:line="240" w:lineRule="auto"/>
        <w:jc w:val="both"/>
        <w:rPr>
          <w:rFonts w:ascii="Arial" w:eastAsia="Times New Roman" w:hAnsi="Arial" w:cs="Arial"/>
          <w:szCs w:val="24"/>
          <w:u w:val="single"/>
        </w:rPr>
      </w:pPr>
      <w:hyperlink r:id="rId42" w:history="1">
        <w:r w:rsidR="00F84634" w:rsidRPr="00157555">
          <w:rPr>
            <w:rFonts w:ascii="Arial" w:eastAsia="Times New Roman" w:hAnsi="Arial" w:cs="Arial"/>
            <w:color w:val="0563C1" w:themeColor="hyperlink"/>
            <w:szCs w:val="24"/>
            <w:u w:val="single"/>
          </w:rPr>
          <w:t>fykes@whitt-sturtevant.com</w:t>
        </w:r>
      </w:hyperlink>
    </w:p>
    <w:p w14:paraId="42717091" w14:textId="77777777" w:rsidR="00F84634" w:rsidRPr="00157555" w:rsidRDefault="00F84634" w:rsidP="00C43396">
      <w:pPr>
        <w:widowControl w:val="0"/>
        <w:autoSpaceDE w:val="0"/>
        <w:autoSpaceDN w:val="0"/>
        <w:spacing w:after="0" w:line="240" w:lineRule="auto"/>
        <w:jc w:val="both"/>
        <w:rPr>
          <w:rFonts w:ascii="Arial" w:eastAsia="Times New Roman" w:hAnsi="Arial" w:cs="Arial"/>
          <w:b/>
          <w:bCs/>
          <w:szCs w:val="24"/>
        </w:rPr>
      </w:pPr>
      <w:r w:rsidRPr="00157555">
        <w:rPr>
          <w:rFonts w:ascii="Arial" w:eastAsia="Times New Roman" w:hAnsi="Arial" w:cs="Arial"/>
          <w:b/>
          <w:bCs/>
          <w:szCs w:val="24"/>
        </w:rPr>
        <w:t xml:space="preserve">Walmart Inc. </w:t>
      </w:r>
    </w:p>
    <w:p w14:paraId="14F8395A"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 xml:space="preserve">Carrie H. Grundmann </w:t>
      </w:r>
    </w:p>
    <w:p w14:paraId="11BD00E6"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 xml:space="preserve">Derrick Price Williamson </w:t>
      </w:r>
    </w:p>
    <w:p w14:paraId="1AD82ACF"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SPILMAN THOMAS &amp; BATTLE, PLLC</w:t>
      </w:r>
    </w:p>
    <w:p w14:paraId="71EF03F7" w14:textId="77777777" w:rsidR="00F84634" w:rsidRPr="00157555" w:rsidRDefault="00A46CCD" w:rsidP="00C43396">
      <w:pPr>
        <w:widowControl w:val="0"/>
        <w:autoSpaceDE w:val="0"/>
        <w:autoSpaceDN w:val="0"/>
        <w:spacing w:after="0" w:line="240" w:lineRule="auto"/>
        <w:jc w:val="both"/>
        <w:rPr>
          <w:rFonts w:ascii="Arial" w:eastAsia="Times New Roman" w:hAnsi="Arial" w:cs="Arial"/>
          <w:szCs w:val="24"/>
        </w:rPr>
      </w:pPr>
      <w:hyperlink r:id="rId43" w:history="1">
        <w:r w:rsidR="00F84634" w:rsidRPr="00157555">
          <w:rPr>
            <w:rFonts w:ascii="Arial" w:eastAsia="Times New Roman" w:hAnsi="Arial" w:cs="Arial"/>
            <w:color w:val="0563C1" w:themeColor="hyperlink"/>
            <w:szCs w:val="24"/>
            <w:u w:val="single"/>
          </w:rPr>
          <w:t>cgrundmann@spilmanlaw.com</w:t>
        </w:r>
      </w:hyperlink>
      <w:r w:rsidR="00F84634" w:rsidRPr="00157555">
        <w:rPr>
          <w:rFonts w:ascii="Arial" w:eastAsia="Times New Roman" w:hAnsi="Arial" w:cs="Arial"/>
          <w:szCs w:val="24"/>
        </w:rPr>
        <w:t xml:space="preserve"> </w:t>
      </w:r>
    </w:p>
    <w:p w14:paraId="7978007B" w14:textId="77777777" w:rsidR="00F84634" w:rsidRPr="00157555" w:rsidRDefault="00A46CCD" w:rsidP="00C43396">
      <w:pPr>
        <w:widowControl w:val="0"/>
        <w:autoSpaceDE w:val="0"/>
        <w:autoSpaceDN w:val="0"/>
        <w:spacing w:after="0" w:line="240" w:lineRule="auto"/>
        <w:jc w:val="both"/>
        <w:rPr>
          <w:rFonts w:ascii="Arial" w:eastAsia="Times New Roman" w:hAnsi="Arial" w:cs="Arial"/>
          <w:szCs w:val="24"/>
        </w:rPr>
      </w:pPr>
      <w:hyperlink r:id="rId44" w:history="1">
        <w:r w:rsidR="00F84634" w:rsidRPr="00157555">
          <w:rPr>
            <w:rFonts w:ascii="Arial" w:eastAsia="Times New Roman" w:hAnsi="Arial" w:cs="Arial"/>
            <w:color w:val="0563C1" w:themeColor="hyperlink"/>
            <w:szCs w:val="24"/>
            <w:u w:val="single"/>
          </w:rPr>
          <w:t>dwilliamson@spilmanlaw.com</w:t>
        </w:r>
      </w:hyperlink>
      <w:r w:rsidR="00F84634" w:rsidRPr="00157555">
        <w:rPr>
          <w:rFonts w:ascii="Arial" w:eastAsia="Times New Roman" w:hAnsi="Arial" w:cs="Arial"/>
          <w:szCs w:val="24"/>
        </w:rPr>
        <w:t xml:space="preserve"> </w:t>
      </w:r>
    </w:p>
    <w:p w14:paraId="0BB7624D"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 xml:space="preserve">Steve W. Chriss </w:t>
      </w:r>
    </w:p>
    <w:p w14:paraId="1542E1F1"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 xml:space="preserve">Walmart Inc. </w:t>
      </w:r>
    </w:p>
    <w:p w14:paraId="41E29658" w14:textId="77777777" w:rsidR="00F84634" w:rsidRPr="00157555" w:rsidRDefault="00A46CCD" w:rsidP="00C43396">
      <w:pPr>
        <w:widowControl w:val="0"/>
        <w:autoSpaceDE w:val="0"/>
        <w:autoSpaceDN w:val="0"/>
        <w:spacing w:after="0" w:line="240" w:lineRule="auto"/>
        <w:jc w:val="both"/>
        <w:rPr>
          <w:rFonts w:ascii="Arial" w:eastAsia="Times New Roman" w:hAnsi="Arial" w:cs="Arial"/>
          <w:szCs w:val="24"/>
        </w:rPr>
      </w:pPr>
      <w:hyperlink r:id="rId45" w:history="1">
        <w:r w:rsidR="00F84634" w:rsidRPr="00157555">
          <w:rPr>
            <w:rFonts w:ascii="Arial" w:eastAsia="Times New Roman" w:hAnsi="Arial" w:cs="Arial"/>
            <w:color w:val="0563C1" w:themeColor="hyperlink"/>
            <w:szCs w:val="24"/>
            <w:u w:val="single"/>
          </w:rPr>
          <w:t>Stephen.Chriss@walmart.com</w:t>
        </w:r>
      </w:hyperlink>
    </w:p>
    <w:p w14:paraId="2CAE85DC" w14:textId="77777777" w:rsidR="00F84634" w:rsidRPr="00157555" w:rsidRDefault="00F84634" w:rsidP="00C43396">
      <w:pPr>
        <w:spacing w:after="0" w:line="240" w:lineRule="auto"/>
        <w:jc w:val="both"/>
        <w:rPr>
          <w:rFonts w:ascii="Arial" w:eastAsia="Times New Roman" w:hAnsi="Arial" w:cs="Arial"/>
          <w:b/>
          <w:bCs/>
          <w:szCs w:val="24"/>
        </w:rPr>
      </w:pPr>
    </w:p>
    <w:p w14:paraId="3E52253C" w14:textId="77777777" w:rsidR="00F84634" w:rsidRPr="00157555" w:rsidRDefault="00F84634" w:rsidP="00C43396">
      <w:pPr>
        <w:widowControl w:val="0"/>
        <w:autoSpaceDE w:val="0"/>
        <w:autoSpaceDN w:val="0"/>
        <w:spacing w:after="0" w:line="240" w:lineRule="auto"/>
        <w:jc w:val="both"/>
        <w:rPr>
          <w:rFonts w:ascii="Arial" w:eastAsia="Times New Roman" w:hAnsi="Arial" w:cs="Arial"/>
          <w:b/>
          <w:bCs/>
          <w:szCs w:val="24"/>
        </w:rPr>
      </w:pPr>
      <w:r w:rsidRPr="00157555">
        <w:rPr>
          <w:rFonts w:ascii="Arial" w:eastAsia="Times New Roman" w:hAnsi="Arial" w:cs="Arial"/>
          <w:b/>
          <w:bCs/>
          <w:szCs w:val="24"/>
        </w:rPr>
        <w:t xml:space="preserve">Nationwide Energy Partners, LLC </w:t>
      </w:r>
    </w:p>
    <w:p w14:paraId="706B403E" w14:textId="77777777" w:rsidR="00F84634" w:rsidRPr="00157555" w:rsidRDefault="00F84634" w:rsidP="00C43396">
      <w:pPr>
        <w:widowControl w:val="0"/>
        <w:autoSpaceDE w:val="0"/>
        <w:autoSpaceDN w:val="0"/>
        <w:spacing w:after="0" w:line="240" w:lineRule="auto"/>
        <w:jc w:val="both"/>
        <w:rPr>
          <w:rFonts w:ascii="Arial" w:eastAsia="Times New Roman" w:hAnsi="Arial" w:cs="Arial"/>
          <w:b/>
          <w:bCs/>
          <w:szCs w:val="24"/>
        </w:rPr>
      </w:pPr>
      <w:r w:rsidRPr="00157555">
        <w:rPr>
          <w:rFonts w:ascii="Arial" w:eastAsia="Times New Roman" w:hAnsi="Arial" w:cs="Arial"/>
          <w:b/>
          <w:bCs/>
          <w:szCs w:val="24"/>
        </w:rPr>
        <w:t>Armada Power, LLC</w:t>
      </w:r>
    </w:p>
    <w:p w14:paraId="5D8C755F" w14:textId="77777777" w:rsidR="00F84634" w:rsidRPr="00157555" w:rsidRDefault="00F84634" w:rsidP="00C43396">
      <w:pPr>
        <w:widowControl w:val="0"/>
        <w:autoSpaceDE w:val="0"/>
        <w:autoSpaceDN w:val="0"/>
        <w:spacing w:after="0" w:line="240" w:lineRule="auto"/>
        <w:jc w:val="both"/>
        <w:rPr>
          <w:rFonts w:ascii="Arial" w:eastAsia="Times New Roman" w:hAnsi="Arial" w:cs="Arial"/>
          <w:b/>
          <w:bCs/>
          <w:szCs w:val="24"/>
        </w:rPr>
      </w:pPr>
      <w:r w:rsidRPr="00157555">
        <w:rPr>
          <w:rFonts w:ascii="Arial" w:eastAsia="Times New Roman" w:hAnsi="Arial" w:cs="Arial"/>
          <w:b/>
          <w:bCs/>
          <w:szCs w:val="24"/>
        </w:rPr>
        <w:t xml:space="preserve">Constellation </w:t>
      </w:r>
      <w:proofErr w:type="spellStart"/>
      <w:r w:rsidRPr="00157555">
        <w:rPr>
          <w:rFonts w:ascii="Arial" w:eastAsia="Times New Roman" w:hAnsi="Arial" w:cs="Arial"/>
          <w:b/>
          <w:bCs/>
          <w:szCs w:val="24"/>
        </w:rPr>
        <w:t>NewEnergy</w:t>
      </w:r>
      <w:proofErr w:type="spellEnd"/>
      <w:r w:rsidRPr="00157555">
        <w:rPr>
          <w:rFonts w:ascii="Arial" w:eastAsia="Times New Roman" w:hAnsi="Arial" w:cs="Arial"/>
          <w:b/>
          <w:bCs/>
          <w:szCs w:val="24"/>
        </w:rPr>
        <w:t>, Inc.</w:t>
      </w:r>
    </w:p>
    <w:p w14:paraId="707F983F"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 xml:space="preserve">Michael J. Settineri </w:t>
      </w:r>
    </w:p>
    <w:p w14:paraId="6A00A7D0"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 xml:space="preserve">Gretchen L. Petrucci </w:t>
      </w:r>
    </w:p>
    <w:p w14:paraId="3632CB60"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Elia Woyt</w:t>
      </w:r>
    </w:p>
    <w:p w14:paraId="55B10288"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proofErr w:type="spellStart"/>
      <w:r w:rsidRPr="00157555">
        <w:rPr>
          <w:rFonts w:ascii="Arial" w:eastAsia="Times New Roman" w:hAnsi="Arial" w:cs="Arial"/>
          <w:szCs w:val="24"/>
        </w:rPr>
        <w:t>Vorys</w:t>
      </w:r>
      <w:proofErr w:type="spellEnd"/>
      <w:r w:rsidRPr="00157555">
        <w:rPr>
          <w:rFonts w:ascii="Arial" w:eastAsia="Times New Roman" w:hAnsi="Arial" w:cs="Arial"/>
          <w:szCs w:val="24"/>
        </w:rPr>
        <w:t xml:space="preserve">, </w:t>
      </w:r>
      <w:proofErr w:type="spellStart"/>
      <w:r w:rsidRPr="00157555">
        <w:rPr>
          <w:rFonts w:ascii="Arial" w:eastAsia="Times New Roman" w:hAnsi="Arial" w:cs="Arial"/>
          <w:szCs w:val="24"/>
        </w:rPr>
        <w:t>Sater</w:t>
      </w:r>
      <w:proofErr w:type="spellEnd"/>
      <w:r w:rsidRPr="00157555">
        <w:rPr>
          <w:rFonts w:ascii="Arial" w:eastAsia="Times New Roman" w:hAnsi="Arial" w:cs="Arial"/>
          <w:szCs w:val="24"/>
        </w:rPr>
        <w:t xml:space="preserve">, Seymour and Pease LLP </w:t>
      </w:r>
    </w:p>
    <w:p w14:paraId="02BB0163" w14:textId="77777777" w:rsidR="00F84634" w:rsidRPr="00157555" w:rsidRDefault="00A46CCD" w:rsidP="00C43396">
      <w:pPr>
        <w:widowControl w:val="0"/>
        <w:autoSpaceDE w:val="0"/>
        <w:autoSpaceDN w:val="0"/>
        <w:spacing w:after="0" w:line="240" w:lineRule="auto"/>
        <w:jc w:val="both"/>
        <w:rPr>
          <w:rFonts w:ascii="Arial" w:eastAsia="Times New Roman" w:hAnsi="Arial" w:cs="Arial"/>
          <w:szCs w:val="24"/>
        </w:rPr>
      </w:pPr>
      <w:hyperlink r:id="rId46" w:history="1">
        <w:r w:rsidR="00F84634" w:rsidRPr="00157555">
          <w:rPr>
            <w:rFonts w:ascii="Arial" w:eastAsia="Times New Roman" w:hAnsi="Arial" w:cs="Arial"/>
            <w:color w:val="0563C1" w:themeColor="hyperlink"/>
            <w:szCs w:val="24"/>
            <w:u w:val="single"/>
          </w:rPr>
          <w:t>mjsettineri@vorys.com</w:t>
        </w:r>
      </w:hyperlink>
      <w:r w:rsidR="00F84634" w:rsidRPr="00157555">
        <w:rPr>
          <w:rFonts w:ascii="Arial" w:eastAsia="Times New Roman" w:hAnsi="Arial" w:cs="Arial"/>
          <w:szCs w:val="24"/>
        </w:rPr>
        <w:t xml:space="preserve"> </w:t>
      </w:r>
    </w:p>
    <w:p w14:paraId="5B30EE9B" w14:textId="77777777" w:rsidR="00F84634" w:rsidRPr="00157555" w:rsidRDefault="00A46CCD" w:rsidP="00C43396">
      <w:pPr>
        <w:widowControl w:val="0"/>
        <w:autoSpaceDE w:val="0"/>
        <w:autoSpaceDN w:val="0"/>
        <w:spacing w:after="0" w:line="240" w:lineRule="auto"/>
        <w:jc w:val="both"/>
        <w:rPr>
          <w:rFonts w:ascii="Arial" w:eastAsia="Times New Roman" w:hAnsi="Arial" w:cs="Arial"/>
          <w:szCs w:val="24"/>
        </w:rPr>
      </w:pPr>
      <w:hyperlink r:id="rId47" w:history="1">
        <w:r w:rsidR="00F84634" w:rsidRPr="00157555">
          <w:rPr>
            <w:rFonts w:ascii="Arial" w:eastAsia="Times New Roman" w:hAnsi="Arial" w:cs="Arial"/>
            <w:color w:val="0563C1" w:themeColor="hyperlink"/>
            <w:szCs w:val="24"/>
            <w:u w:val="single"/>
          </w:rPr>
          <w:t>glpetrucci@vorys.com</w:t>
        </w:r>
      </w:hyperlink>
      <w:r w:rsidR="00F84634" w:rsidRPr="00157555">
        <w:rPr>
          <w:rFonts w:ascii="Arial" w:eastAsia="Times New Roman" w:hAnsi="Arial" w:cs="Arial"/>
          <w:szCs w:val="24"/>
        </w:rPr>
        <w:t xml:space="preserve"> </w:t>
      </w:r>
    </w:p>
    <w:p w14:paraId="7F3EA0A0" w14:textId="77777777" w:rsidR="00F84634" w:rsidRPr="00157555" w:rsidRDefault="00A46CCD" w:rsidP="00C43396">
      <w:pPr>
        <w:spacing w:after="0" w:line="256" w:lineRule="auto"/>
        <w:jc w:val="both"/>
        <w:rPr>
          <w:rFonts w:ascii="Arial" w:eastAsia="Calibri" w:hAnsi="Arial" w:cs="Arial"/>
          <w:szCs w:val="24"/>
        </w:rPr>
      </w:pPr>
      <w:hyperlink r:id="rId48" w:history="1">
        <w:r w:rsidR="00F84634" w:rsidRPr="00157555">
          <w:rPr>
            <w:rFonts w:ascii="Arial" w:eastAsia="Calibri" w:hAnsi="Arial" w:cs="Arial"/>
            <w:color w:val="0563C1" w:themeColor="hyperlink"/>
            <w:szCs w:val="24"/>
            <w:u w:val="single"/>
          </w:rPr>
          <w:t>eowoyt@vorys.com</w:t>
        </w:r>
      </w:hyperlink>
    </w:p>
    <w:p w14:paraId="20A515AF" w14:textId="77777777" w:rsidR="00F84634" w:rsidRPr="00157555" w:rsidRDefault="00F84634" w:rsidP="00C43396">
      <w:pPr>
        <w:spacing w:after="0" w:line="256" w:lineRule="auto"/>
        <w:jc w:val="both"/>
        <w:rPr>
          <w:rFonts w:ascii="Arial" w:eastAsia="Calibri" w:hAnsi="Arial" w:cs="Arial"/>
          <w:szCs w:val="24"/>
        </w:rPr>
      </w:pPr>
      <w:r w:rsidRPr="00157555">
        <w:rPr>
          <w:rFonts w:ascii="Arial" w:eastAsia="Times New Roman" w:hAnsi="Arial" w:cs="Arial"/>
          <w:szCs w:val="24"/>
        </w:rPr>
        <w:t xml:space="preserve">Drew </w:t>
      </w:r>
      <w:proofErr w:type="spellStart"/>
      <w:r w:rsidRPr="00157555">
        <w:rPr>
          <w:rFonts w:ascii="Arial" w:eastAsia="Times New Roman" w:hAnsi="Arial" w:cs="Arial"/>
          <w:szCs w:val="24"/>
        </w:rPr>
        <w:t>Romig</w:t>
      </w:r>
      <w:proofErr w:type="spellEnd"/>
    </w:p>
    <w:p w14:paraId="783DA247" w14:textId="77777777" w:rsidR="00F84634" w:rsidRPr="00157555" w:rsidRDefault="00F84634" w:rsidP="00C43396">
      <w:pPr>
        <w:spacing w:after="0" w:line="256" w:lineRule="auto"/>
        <w:jc w:val="both"/>
        <w:rPr>
          <w:rFonts w:ascii="Arial" w:eastAsia="Calibri" w:hAnsi="Arial" w:cs="Arial"/>
          <w:szCs w:val="24"/>
        </w:rPr>
      </w:pPr>
      <w:r w:rsidRPr="00157555">
        <w:rPr>
          <w:rFonts w:ascii="Arial" w:eastAsia="Times New Roman" w:hAnsi="Arial" w:cs="Arial"/>
          <w:szCs w:val="24"/>
        </w:rPr>
        <w:t>Armada Power, LLC</w:t>
      </w:r>
    </w:p>
    <w:p w14:paraId="6F877779" w14:textId="77777777" w:rsidR="00F84634" w:rsidRPr="00157555" w:rsidRDefault="00A46CCD" w:rsidP="00C43396">
      <w:pPr>
        <w:widowControl w:val="0"/>
        <w:autoSpaceDE w:val="0"/>
        <w:autoSpaceDN w:val="0"/>
        <w:spacing w:after="0" w:line="240" w:lineRule="auto"/>
        <w:jc w:val="both"/>
        <w:rPr>
          <w:rFonts w:ascii="Arial" w:eastAsia="Times New Roman" w:hAnsi="Arial" w:cs="Arial"/>
          <w:szCs w:val="24"/>
        </w:rPr>
      </w:pPr>
      <w:hyperlink r:id="rId49" w:history="1">
        <w:r w:rsidR="00F84634" w:rsidRPr="00157555">
          <w:rPr>
            <w:rFonts w:ascii="Arial" w:eastAsia="Calibri" w:hAnsi="Arial" w:cs="Arial"/>
            <w:color w:val="0563C1" w:themeColor="hyperlink"/>
            <w:szCs w:val="24"/>
            <w:u w:val="single"/>
          </w:rPr>
          <w:t>dromig@armadapower.com</w:t>
        </w:r>
      </w:hyperlink>
      <w:r w:rsidR="00F84634" w:rsidRPr="00157555">
        <w:rPr>
          <w:rFonts w:ascii="Arial" w:eastAsia="Times New Roman" w:hAnsi="Arial" w:cs="Arial"/>
          <w:szCs w:val="24"/>
        </w:rPr>
        <w:t xml:space="preserve"> </w:t>
      </w:r>
    </w:p>
    <w:p w14:paraId="3AFF5C90" w14:textId="77777777" w:rsidR="00F84634" w:rsidRPr="00157555" w:rsidRDefault="00F84634" w:rsidP="00C43396">
      <w:pPr>
        <w:widowControl w:val="0"/>
        <w:autoSpaceDE w:val="0"/>
        <w:autoSpaceDN w:val="0"/>
        <w:spacing w:after="0" w:line="240" w:lineRule="auto"/>
        <w:jc w:val="both"/>
        <w:rPr>
          <w:rFonts w:ascii="Arial" w:eastAsia="Times New Roman" w:hAnsi="Arial" w:cs="Arial"/>
          <w:b/>
          <w:bCs/>
          <w:szCs w:val="24"/>
        </w:rPr>
      </w:pPr>
    </w:p>
    <w:p w14:paraId="718EC0AC"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b/>
          <w:bCs/>
          <w:szCs w:val="24"/>
        </w:rPr>
        <w:t>The Environmental Law &amp; Policy Center</w:t>
      </w:r>
    </w:p>
    <w:p w14:paraId="0C8287D0"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 xml:space="preserve">Caroline Cox </w:t>
      </w:r>
    </w:p>
    <w:p w14:paraId="06A0FDD3"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Robert Kelter</w:t>
      </w:r>
    </w:p>
    <w:p w14:paraId="69363129"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 xml:space="preserve">Rebecca </w:t>
      </w:r>
      <w:proofErr w:type="spellStart"/>
      <w:r w:rsidRPr="00157555">
        <w:rPr>
          <w:rFonts w:ascii="Arial" w:eastAsia="Times New Roman" w:hAnsi="Arial" w:cs="Arial"/>
          <w:szCs w:val="24"/>
        </w:rPr>
        <w:t>Lazer</w:t>
      </w:r>
      <w:proofErr w:type="spellEnd"/>
    </w:p>
    <w:p w14:paraId="5F08E3DC" w14:textId="77777777" w:rsidR="00F84634" w:rsidRPr="00157555" w:rsidRDefault="00A46CCD" w:rsidP="00C43396">
      <w:pPr>
        <w:widowControl w:val="0"/>
        <w:autoSpaceDE w:val="0"/>
        <w:autoSpaceDN w:val="0"/>
        <w:spacing w:after="0" w:line="240" w:lineRule="auto"/>
        <w:jc w:val="both"/>
        <w:rPr>
          <w:rFonts w:ascii="Arial" w:eastAsia="Times New Roman" w:hAnsi="Arial" w:cs="Arial"/>
          <w:szCs w:val="24"/>
        </w:rPr>
      </w:pPr>
      <w:hyperlink r:id="rId50" w:history="1">
        <w:r w:rsidR="00F84634" w:rsidRPr="00157555">
          <w:rPr>
            <w:rFonts w:ascii="Arial" w:eastAsia="Times New Roman" w:hAnsi="Arial" w:cs="Arial"/>
            <w:color w:val="0563C1" w:themeColor="hyperlink"/>
            <w:szCs w:val="24"/>
            <w:u w:val="single"/>
          </w:rPr>
          <w:t>ccox@elpc.org</w:t>
        </w:r>
      </w:hyperlink>
      <w:r w:rsidR="00F84634" w:rsidRPr="00157555">
        <w:rPr>
          <w:rFonts w:ascii="Arial" w:eastAsia="Times New Roman" w:hAnsi="Arial" w:cs="Arial"/>
          <w:szCs w:val="24"/>
        </w:rPr>
        <w:t xml:space="preserve"> </w:t>
      </w:r>
    </w:p>
    <w:p w14:paraId="731A5353" w14:textId="77777777" w:rsidR="00F84634" w:rsidRPr="00157555" w:rsidRDefault="00A46CCD" w:rsidP="00C43396">
      <w:pPr>
        <w:widowControl w:val="0"/>
        <w:autoSpaceDE w:val="0"/>
        <w:autoSpaceDN w:val="0"/>
        <w:spacing w:after="0" w:line="240" w:lineRule="auto"/>
        <w:jc w:val="both"/>
        <w:rPr>
          <w:rFonts w:ascii="Arial" w:eastAsia="Times New Roman" w:hAnsi="Arial" w:cs="Arial"/>
          <w:szCs w:val="24"/>
          <w:u w:val="single"/>
        </w:rPr>
      </w:pPr>
      <w:hyperlink r:id="rId51" w:history="1">
        <w:r w:rsidR="00F84634" w:rsidRPr="00157555">
          <w:rPr>
            <w:rFonts w:ascii="Arial" w:eastAsia="Times New Roman" w:hAnsi="Arial" w:cs="Arial"/>
            <w:color w:val="0563C1" w:themeColor="hyperlink"/>
            <w:szCs w:val="24"/>
            <w:u w:val="single"/>
          </w:rPr>
          <w:t>rkelter@elpc.org</w:t>
        </w:r>
      </w:hyperlink>
    </w:p>
    <w:p w14:paraId="53FB8047" w14:textId="77777777" w:rsidR="00F84634" w:rsidRPr="00157555" w:rsidRDefault="00A46CCD" w:rsidP="00C43396">
      <w:pPr>
        <w:widowControl w:val="0"/>
        <w:autoSpaceDE w:val="0"/>
        <w:autoSpaceDN w:val="0"/>
        <w:spacing w:after="0" w:line="240" w:lineRule="auto"/>
        <w:jc w:val="both"/>
        <w:rPr>
          <w:rFonts w:ascii="Arial" w:eastAsia="Times New Roman" w:hAnsi="Arial" w:cs="Arial"/>
          <w:szCs w:val="24"/>
        </w:rPr>
      </w:pPr>
      <w:hyperlink r:id="rId52" w:history="1">
        <w:r w:rsidR="00F84634" w:rsidRPr="00157555">
          <w:rPr>
            <w:rFonts w:ascii="Arial" w:eastAsia="Calibri" w:hAnsi="Arial" w:cs="Arial"/>
            <w:color w:val="0563C1" w:themeColor="hyperlink"/>
            <w:szCs w:val="24"/>
            <w:u w:val="single"/>
          </w:rPr>
          <w:t>rlazer@elpc.org</w:t>
        </w:r>
      </w:hyperlink>
      <w:r w:rsidR="00F84634" w:rsidRPr="00157555">
        <w:rPr>
          <w:rFonts w:ascii="Arial" w:eastAsia="Times New Roman" w:hAnsi="Arial" w:cs="Arial"/>
          <w:szCs w:val="24"/>
          <w:u w:val="single"/>
        </w:rPr>
        <w:t xml:space="preserve"> </w:t>
      </w:r>
      <w:r w:rsidR="00F84634" w:rsidRPr="00157555">
        <w:rPr>
          <w:rFonts w:ascii="Arial" w:eastAsia="Times New Roman" w:hAnsi="Arial" w:cs="Arial"/>
          <w:szCs w:val="24"/>
        </w:rPr>
        <w:t xml:space="preserve"> </w:t>
      </w:r>
    </w:p>
    <w:p w14:paraId="7274F7A3" w14:textId="77777777" w:rsidR="00F84634" w:rsidRPr="00157555" w:rsidRDefault="00F84634" w:rsidP="00C43396">
      <w:pPr>
        <w:spacing w:after="0" w:line="240" w:lineRule="auto"/>
        <w:jc w:val="both"/>
        <w:rPr>
          <w:rFonts w:ascii="Arial" w:eastAsia="Times New Roman" w:hAnsi="Arial" w:cs="Arial"/>
          <w:b/>
          <w:bCs/>
          <w:szCs w:val="24"/>
        </w:rPr>
      </w:pPr>
    </w:p>
    <w:p w14:paraId="0C4D0BDF" w14:textId="77777777" w:rsidR="00F84634" w:rsidRPr="00157555" w:rsidRDefault="00F84634" w:rsidP="00C43396">
      <w:pPr>
        <w:widowControl w:val="0"/>
        <w:autoSpaceDE w:val="0"/>
        <w:autoSpaceDN w:val="0"/>
        <w:spacing w:after="0" w:line="240" w:lineRule="auto"/>
        <w:jc w:val="both"/>
        <w:rPr>
          <w:rFonts w:ascii="Arial" w:eastAsia="Times New Roman" w:hAnsi="Arial" w:cs="Arial"/>
          <w:b/>
          <w:bCs/>
          <w:szCs w:val="24"/>
        </w:rPr>
      </w:pPr>
      <w:r w:rsidRPr="00157555">
        <w:rPr>
          <w:rFonts w:ascii="Arial" w:eastAsia="Times New Roman" w:hAnsi="Arial" w:cs="Arial"/>
          <w:b/>
          <w:bCs/>
          <w:szCs w:val="24"/>
        </w:rPr>
        <w:t xml:space="preserve">The Kroger Co. </w:t>
      </w:r>
    </w:p>
    <w:p w14:paraId="02CD33F8"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 xml:space="preserve">Angela Paul Whitfield </w:t>
      </w:r>
    </w:p>
    <w:p w14:paraId="154F6F4A"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 xml:space="preserve">Carpenter </w:t>
      </w:r>
      <w:proofErr w:type="spellStart"/>
      <w:r w:rsidRPr="00157555">
        <w:rPr>
          <w:rFonts w:ascii="Arial" w:eastAsia="Times New Roman" w:hAnsi="Arial" w:cs="Arial"/>
          <w:szCs w:val="24"/>
        </w:rPr>
        <w:t>Lipps</w:t>
      </w:r>
      <w:proofErr w:type="spellEnd"/>
      <w:r w:rsidRPr="00157555">
        <w:rPr>
          <w:rFonts w:ascii="Arial" w:eastAsia="Times New Roman" w:hAnsi="Arial" w:cs="Arial"/>
          <w:szCs w:val="24"/>
        </w:rPr>
        <w:t xml:space="preserve"> &amp; Leland LLP </w:t>
      </w:r>
    </w:p>
    <w:p w14:paraId="236D1439" w14:textId="77777777" w:rsidR="00F84634" w:rsidRPr="00157555" w:rsidRDefault="00A46CCD" w:rsidP="00C43396">
      <w:pPr>
        <w:spacing w:line="256" w:lineRule="auto"/>
        <w:jc w:val="both"/>
        <w:rPr>
          <w:rFonts w:ascii="Arial" w:eastAsia="Times New Roman" w:hAnsi="Arial" w:cs="Arial"/>
          <w:szCs w:val="24"/>
          <w:u w:val="single"/>
        </w:rPr>
      </w:pPr>
      <w:hyperlink r:id="rId53" w:history="1">
        <w:r w:rsidR="00F84634" w:rsidRPr="00157555">
          <w:rPr>
            <w:rFonts w:ascii="Arial" w:eastAsia="Times New Roman" w:hAnsi="Arial" w:cs="Arial"/>
            <w:color w:val="0563C1" w:themeColor="hyperlink"/>
            <w:szCs w:val="24"/>
            <w:u w:val="single"/>
          </w:rPr>
          <w:t>paul@carpenterlipps.com</w:t>
        </w:r>
      </w:hyperlink>
    </w:p>
    <w:p w14:paraId="2AAD8AE0" w14:textId="77777777" w:rsidR="00F84634" w:rsidRPr="00157555" w:rsidRDefault="00F84634" w:rsidP="00C43396">
      <w:pPr>
        <w:widowControl w:val="0"/>
        <w:autoSpaceDE w:val="0"/>
        <w:autoSpaceDN w:val="0"/>
        <w:spacing w:after="0" w:line="240" w:lineRule="auto"/>
        <w:jc w:val="both"/>
        <w:rPr>
          <w:rFonts w:ascii="Arial" w:eastAsia="Times New Roman" w:hAnsi="Arial" w:cs="Arial"/>
          <w:b/>
          <w:bCs/>
          <w:szCs w:val="24"/>
        </w:rPr>
      </w:pPr>
      <w:r w:rsidRPr="00157555">
        <w:rPr>
          <w:rFonts w:ascii="Arial" w:eastAsia="Times New Roman" w:hAnsi="Arial" w:cs="Arial"/>
          <w:b/>
          <w:bCs/>
          <w:szCs w:val="24"/>
        </w:rPr>
        <w:t>Ohio Energy Group</w:t>
      </w:r>
    </w:p>
    <w:p w14:paraId="5EB587BE"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 xml:space="preserve">Michael L. Kurtz </w:t>
      </w:r>
    </w:p>
    <w:p w14:paraId="75257217"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 xml:space="preserve">Kurt J. Boehm </w:t>
      </w:r>
    </w:p>
    <w:p w14:paraId="3896D60A"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 xml:space="preserve">Jody Kyler Cohn </w:t>
      </w:r>
    </w:p>
    <w:p w14:paraId="0D9E16E0"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 xml:space="preserve">BOEHM, KURTZ &amp; LOWRY </w:t>
      </w:r>
    </w:p>
    <w:p w14:paraId="04E04FAB" w14:textId="77777777" w:rsidR="00F84634" w:rsidRPr="00157555" w:rsidRDefault="00A46CCD" w:rsidP="00C43396">
      <w:pPr>
        <w:widowControl w:val="0"/>
        <w:autoSpaceDE w:val="0"/>
        <w:autoSpaceDN w:val="0"/>
        <w:spacing w:after="0" w:line="240" w:lineRule="auto"/>
        <w:jc w:val="both"/>
        <w:rPr>
          <w:rFonts w:ascii="Arial" w:eastAsia="Times New Roman" w:hAnsi="Arial" w:cs="Arial"/>
          <w:szCs w:val="24"/>
        </w:rPr>
      </w:pPr>
      <w:hyperlink r:id="rId54" w:history="1">
        <w:r w:rsidR="00F84634" w:rsidRPr="00157555">
          <w:rPr>
            <w:rFonts w:ascii="Arial" w:eastAsia="Times New Roman" w:hAnsi="Arial" w:cs="Arial"/>
            <w:color w:val="0563C1" w:themeColor="hyperlink"/>
            <w:szCs w:val="24"/>
            <w:u w:val="single"/>
          </w:rPr>
          <w:t>mkurtz@BKLlawfirm.com</w:t>
        </w:r>
      </w:hyperlink>
      <w:r w:rsidR="00F84634" w:rsidRPr="00157555">
        <w:rPr>
          <w:rFonts w:ascii="Arial" w:eastAsia="Times New Roman" w:hAnsi="Arial" w:cs="Arial"/>
          <w:szCs w:val="24"/>
        </w:rPr>
        <w:t xml:space="preserve">  </w:t>
      </w:r>
    </w:p>
    <w:p w14:paraId="2C5D00C1" w14:textId="77777777" w:rsidR="00F84634" w:rsidRPr="00157555" w:rsidRDefault="00A46CCD" w:rsidP="00C43396">
      <w:pPr>
        <w:widowControl w:val="0"/>
        <w:autoSpaceDE w:val="0"/>
        <w:autoSpaceDN w:val="0"/>
        <w:spacing w:after="0" w:line="240" w:lineRule="auto"/>
        <w:jc w:val="both"/>
        <w:rPr>
          <w:rFonts w:ascii="Arial" w:eastAsia="Times New Roman" w:hAnsi="Arial" w:cs="Arial"/>
          <w:szCs w:val="24"/>
        </w:rPr>
      </w:pPr>
      <w:hyperlink r:id="rId55" w:history="1">
        <w:r w:rsidR="00F84634" w:rsidRPr="00157555">
          <w:rPr>
            <w:rFonts w:ascii="Arial" w:eastAsia="Times New Roman" w:hAnsi="Arial" w:cs="Arial"/>
            <w:color w:val="0563C1" w:themeColor="hyperlink"/>
            <w:szCs w:val="24"/>
            <w:u w:val="single"/>
          </w:rPr>
          <w:t>kboehm@BKLlawfirm.com</w:t>
        </w:r>
      </w:hyperlink>
      <w:r w:rsidR="00F84634" w:rsidRPr="00157555">
        <w:rPr>
          <w:rFonts w:ascii="Arial" w:eastAsia="Times New Roman" w:hAnsi="Arial" w:cs="Arial"/>
          <w:szCs w:val="24"/>
        </w:rPr>
        <w:t xml:space="preserve"> </w:t>
      </w:r>
    </w:p>
    <w:p w14:paraId="06F2B758" w14:textId="77777777" w:rsidR="00F84634" w:rsidRPr="00157555" w:rsidRDefault="00A46CCD" w:rsidP="00C43396">
      <w:pPr>
        <w:spacing w:after="0" w:line="240" w:lineRule="auto"/>
        <w:jc w:val="both"/>
        <w:rPr>
          <w:rFonts w:ascii="Arial" w:eastAsia="Times New Roman" w:hAnsi="Arial" w:cs="Arial"/>
          <w:szCs w:val="24"/>
          <w:u w:val="single"/>
        </w:rPr>
      </w:pPr>
      <w:hyperlink r:id="rId56" w:history="1">
        <w:r w:rsidR="00F84634" w:rsidRPr="00157555">
          <w:rPr>
            <w:rFonts w:ascii="Arial" w:eastAsia="Times New Roman" w:hAnsi="Arial" w:cs="Arial"/>
            <w:color w:val="0563C1" w:themeColor="hyperlink"/>
            <w:szCs w:val="24"/>
            <w:u w:val="single"/>
          </w:rPr>
          <w:t>jkylercohn@BKLlawfirm.com</w:t>
        </w:r>
      </w:hyperlink>
    </w:p>
    <w:p w14:paraId="28706C88" w14:textId="77777777" w:rsidR="00F84634" w:rsidRPr="00157555" w:rsidRDefault="00F84634" w:rsidP="00C43396">
      <w:pPr>
        <w:widowControl w:val="0"/>
        <w:autoSpaceDE w:val="0"/>
        <w:autoSpaceDN w:val="0"/>
        <w:spacing w:after="0" w:line="240" w:lineRule="auto"/>
        <w:jc w:val="both"/>
        <w:rPr>
          <w:rFonts w:ascii="Arial" w:eastAsia="Times New Roman" w:hAnsi="Arial" w:cs="Arial"/>
          <w:b/>
          <w:bCs/>
          <w:szCs w:val="24"/>
        </w:rPr>
      </w:pPr>
    </w:p>
    <w:p w14:paraId="7C0074C5" w14:textId="77777777" w:rsidR="00F84634" w:rsidRPr="00157555" w:rsidRDefault="00F84634" w:rsidP="00C43396">
      <w:pPr>
        <w:widowControl w:val="0"/>
        <w:autoSpaceDE w:val="0"/>
        <w:autoSpaceDN w:val="0"/>
        <w:spacing w:after="0" w:line="240" w:lineRule="auto"/>
        <w:jc w:val="both"/>
        <w:rPr>
          <w:rFonts w:ascii="Arial" w:eastAsia="Times New Roman" w:hAnsi="Arial" w:cs="Arial"/>
          <w:b/>
          <w:bCs/>
          <w:szCs w:val="24"/>
        </w:rPr>
      </w:pPr>
    </w:p>
    <w:p w14:paraId="388CA1D4" w14:textId="77777777" w:rsidR="00F84634" w:rsidRPr="00157555" w:rsidRDefault="00F84634" w:rsidP="00C43396">
      <w:pPr>
        <w:widowControl w:val="0"/>
        <w:autoSpaceDE w:val="0"/>
        <w:autoSpaceDN w:val="0"/>
        <w:spacing w:after="0" w:line="240" w:lineRule="auto"/>
        <w:jc w:val="both"/>
        <w:rPr>
          <w:rFonts w:ascii="Arial" w:eastAsia="Times New Roman" w:hAnsi="Arial" w:cs="Arial"/>
          <w:b/>
          <w:bCs/>
          <w:szCs w:val="24"/>
        </w:rPr>
      </w:pPr>
      <w:r w:rsidRPr="00157555">
        <w:rPr>
          <w:rFonts w:ascii="Arial" w:eastAsia="Times New Roman" w:hAnsi="Arial" w:cs="Arial"/>
          <w:b/>
          <w:bCs/>
          <w:szCs w:val="24"/>
        </w:rPr>
        <w:t xml:space="preserve">Clean Fuels Ohio </w:t>
      </w:r>
    </w:p>
    <w:p w14:paraId="06290A07" w14:textId="77777777" w:rsidR="00F84634" w:rsidRPr="00157555" w:rsidRDefault="00F84634" w:rsidP="00C43396">
      <w:pPr>
        <w:widowControl w:val="0"/>
        <w:autoSpaceDE w:val="0"/>
        <w:autoSpaceDN w:val="0"/>
        <w:spacing w:after="0" w:line="240" w:lineRule="auto"/>
        <w:jc w:val="both"/>
        <w:rPr>
          <w:rFonts w:ascii="Arial" w:eastAsia="Times New Roman" w:hAnsi="Arial" w:cs="Arial"/>
          <w:b/>
          <w:bCs/>
          <w:szCs w:val="24"/>
        </w:rPr>
      </w:pPr>
      <w:proofErr w:type="spellStart"/>
      <w:r w:rsidRPr="00157555">
        <w:rPr>
          <w:rFonts w:ascii="Arial" w:eastAsia="Times New Roman" w:hAnsi="Arial" w:cs="Arial"/>
          <w:b/>
          <w:bCs/>
          <w:szCs w:val="24"/>
        </w:rPr>
        <w:t>Zeco</w:t>
      </w:r>
      <w:proofErr w:type="spellEnd"/>
      <w:r w:rsidRPr="00157555">
        <w:rPr>
          <w:rFonts w:ascii="Arial" w:eastAsia="Times New Roman" w:hAnsi="Arial" w:cs="Arial"/>
          <w:b/>
          <w:bCs/>
          <w:szCs w:val="24"/>
        </w:rPr>
        <w:t xml:space="preserve"> Systems, Inc. dba </w:t>
      </w:r>
      <w:proofErr w:type="spellStart"/>
      <w:r w:rsidRPr="00157555">
        <w:rPr>
          <w:rFonts w:ascii="Arial" w:eastAsia="Times New Roman" w:hAnsi="Arial" w:cs="Arial"/>
          <w:b/>
          <w:bCs/>
          <w:szCs w:val="24"/>
        </w:rPr>
        <w:t>Greenlots</w:t>
      </w:r>
      <w:proofErr w:type="spellEnd"/>
    </w:p>
    <w:p w14:paraId="6F725102"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 xml:space="preserve">Madeline Fleisher </w:t>
      </w:r>
    </w:p>
    <w:p w14:paraId="0F9AA8D9"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Matthew McDonnell</w:t>
      </w:r>
    </w:p>
    <w:p w14:paraId="3B4C4EB2"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 xml:space="preserve">Dickinson Wright PLLC </w:t>
      </w:r>
    </w:p>
    <w:p w14:paraId="7973CF8A" w14:textId="77777777" w:rsidR="00F84634" w:rsidRPr="00157555" w:rsidRDefault="00A46CCD" w:rsidP="00C43396">
      <w:pPr>
        <w:widowControl w:val="0"/>
        <w:autoSpaceDE w:val="0"/>
        <w:autoSpaceDN w:val="0"/>
        <w:spacing w:after="0" w:line="240" w:lineRule="auto"/>
        <w:jc w:val="both"/>
        <w:rPr>
          <w:rFonts w:ascii="Arial" w:eastAsia="Times New Roman" w:hAnsi="Arial" w:cs="Arial"/>
          <w:szCs w:val="24"/>
          <w:u w:val="single"/>
        </w:rPr>
      </w:pPr>
      <w:hyperlink r:id="rId57" w:history="1">
        <w:r w:rsidR="00F84634" w:rsidRPr="00157555">
          <w:rPr>
            <w:rFonts w:ascii="Arial" w:eastAsia="Times New Roman" w:hAnsi="Arial" w:cs="Arial"/>
            <w:color w:val="0563C1" w:themeColor="hyperlink"/>
            <w:szCs w:val="24"/>
            <w:u w:val="single"/>
          </w:rPr>
          <w:t>mfleisher@dickinsonwright.com</w:t>
        </w:r>
      </w:hyperlink>
    </w:p>
    <w:p w14:paraId="6AEDC8E8" w14:textId="77777777" w:rsidR="00F84634" w:rsidRPr="00157555" w:rsidRDefault="00A46CCD" w:rsidP="00C43396">
      <w:pPr>
        <w:spacing w:after="0" w:line="256" w:lineRule="auto"/>
        <w:jc w:val="both"/>
        <w:rPr>
          <w:rFonts w:ascii="Arial" w:eastAsia="Calibri" w:hAnsi="Arial" w:cs="Arial"/>
          <w:color w:val="0563C1" w:themeColor="hyperlink"/>
          <w:szCs w:val="24"/>
          <w:u w:val="single"/>
        </w:rPr>
      </w:pPr>
      <w:hyperlink r:id="rId58" w:history="1">
        <w:r w:rsidR="00F84634" w:rsidRPr="00157555">
          <w:rPr>
            <w:rFonts w:ascii="Arial" w:eastAsia="Calibri" w:hAnsi="Arial" w:cs="Arial"/>
            <w:color w:val="0563C1" w:themeColor="hyperlink"/>
            <w:szCs w:val="24"/>
            <w:u w:val="single"/>
          </w:rPr>
          <w:t>mmcdonnell@dickinsonwright.com</w:t>
        </w:r>
      </w:hyperlink>
    </w:p>
    <w:p w14:paraId="3F415C26" w14:textId="77777777" w:rsidR="00F84634" w:rsidRPr="00157555" w:rsidRDefault="00F84634" w:rsidP="00C43396">
      <w:pPr>
        <w:spacing w:line="256" w:lineRule="auto"/>
        <w:jc w:val="both"/>
        <w:rPr>
          <w:rFonts w:ascii="Arial" w:eastAsia="Calibri" w:hAnsi="Arial" w:cs="Arial"/>
          <w:szCs w:val="24"/>
        </w:rPr>
      </w:pPr>
    </w:p>
    <w:p w14:paraId="4978FEFD" w14:textId="77777777" w:rsidR="00F84634" w:rsidRPr="00157555" w:rsidRDefault="00F84634" w:rsidP="00C43396">
      <w:pPr>
        <w:widowControl w:val="0"/>
        <w:autoSpaceDE w:val="0"/>
        <w:autoSpaceDN w:val="0"/>
        <w:spacing w:after="0" w:line="240" w:lineRule="auto"/>
        <w:jc w:val="both"/>
        <w:rPr>
          <w:rFonts w:ascii="Arial" w:eastAsia="Times New Roman" w:hAnsi="Arial" w:cs="Arial"/>
          <w:b/>
          <w:bCs/>
          <w:szCs w:val="24"/>
        </w:rPr>
      </w:pPr>
      <w:r w:rsidRPr="00157555">
        <w:rPr>
          <w:rFonts w:ascii="Arial" w:eastAsia="Times New Roman" w:hAnsi="Arial" w:cs="Arial"/>
          <w:b/>
          <w:bCs/>
          <w:szCs w:val="24"/>
        </w:rPr>
        <w:t xml:space="preserve">Office of the Ohio Consumers’ Counsel </w:t>
      </w:r>
    </w:p>
    <w:p w14:paraId="41DAF9F1"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 xml:space="preserve">Angela D. O’Brien </w:t>
      </w:r>
    </w:p>
    <w:p w14:paraId="08B357B7"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 xml:space="preserve">Christopher Healey </w:t>
      </w:r>
    </w:p>
    <w:p w14:paraId="6338ADB1" w14:textId="77777777" w:rsidR="00F84634" w:rsidRPr="00157555" w:rsidRDefault="00F84634" w:rsidP="00C43396">
      <w:pPr>
        <w:widowControl w:val="0"/>
        <w:autoSpaceDE w:val="0"/>
        <w:autoSpaceDN w:val="0"/>
        <w:spacing w:after="0" w:line="240" w:lineRule="auto"/>
        <w:jc w:val="both"/>
        <w:rPr>
          <w:rFonts w:ascii="Arial" w:eastAsia="Times New Roman" w:hAnsi="Arial" w:cs="Arial"/>
          <w:szCs w:val="24"/>
        </w:rPr>
      </w:pPr>
      <w:r w:rsidRPr="00157555">
        <w:rPr>
          <w:rFonts w:ascii="Arial" w:eastAsia="Times New Roman" w:hAnsi="Arial" w:cs="Arial"/>
          <w:szCs w:val="24"/>
        </w:rPr>
        <w:t>John Finnigan</w:t>
      </w:r>
    </w:p>
    <w:p w14:paraId="106C5192" w14:textId="77777777" w:rsidR="00F84634" w:rsidRPr="00157555" w:rsidRDefault="00A46CCD" w:rsidP="00C43396">
      <w:pPr>
        <w:widowControl w:val="0"/>
        <w:autoSpaceDE w:val="0"/>
        <w:autoSpaceDN w:val="0"/>
        <w:spacing w:after="0" w:line="240" w:lineRule="auto"/>
        <w:jc w:val="both"/>
        <w:rPr>
          <w:rFonts w:ascii="Arial" w:eastAsia="Times New Roman" w:hAnsi="Arial" w:cs="Arial"/>
          <w:szCs w:val="24"/>
        </w:rPr>
      </w:pPr>
      <w:hyperlink r:id="rId59" w:history="1">
        <w:r w:rsidR="00F84634" w:rsidRPr="00157555">
          <w:rPr>
            <w:rFonts w:ascii="Arial" w:eastAsia="Times New Roman" w:hAnsi="Arial" w:cs="Arial"/>
            <w:color w:val="0563C1" w:themeColor="hyperlink"/>
            <w:szCs w:val="24"/>
            <w:u w:val="single"/>
          </w:rPr>
          <w:t>angela.obrien@occ.ohio.gov</w:t>
        </w:r>
      </w:hyperlink>
      <w:r w:rsidR="00F84634" w:rsidRPr="00157555">
        <w:rPr>
          <w:rFonts w:ascii="Arial" w:eastAsia="Times New Roman" w:hAnsi="Arial" w:cs="Arial"/>
          <w:szCs w:val="24"/>
        </w:rPr>
        <w:t xml:space="preserve"> </w:t>
      </w:r>
    </w:p>
    <w:p w14:paraId="26820197" w14:textId="77777777" w:rsidR="00F84634" w:rsidRPr="00157555" w:rsidRDefault="00A46CCD" w:rsidP="00C43396">
      <w:pPr>
        <w:widowControl w:val="0"/>
        <w:autoSpaceDE w:val="0"/>
        <w:autoSpaceDN w:val="0"/>
        <w:spacing w:after="0" w:line="240" w:lineRule="auto"/>
        <w:jc w:val="both"/>
        <w:rPr>
          <w:rFonts w:ascii="Arial" w:eastAsia="Times New Roman" w:hAnsi="Arial" w:cs="Arial"/>
          <w:szCs w:val="24"/>
        </w:rPr>
      </w:pPr>
      <w:hyperlink r:id="rId60" w:history="1">
        <w:r w:rsidR="00F84634" w:rsidRPr="00157555">
          <w:rPr>
            <w:rFonts w:ascii="Arial" w:eastAsia="Times New Roman" w:hAnsi="Arial" w:cs="Arial"/>
            <w:color w:val="0563C1" w:themeColor="hyperlink"/>
            <w:szCs w:val="24"/>
            <w:u w:val="single"/>
          </w:rPr>
          <w:t>christopher.healey@occ.ohio.gov</w:t>
        </w:r>
      </w:hyperlink>
      <w:r w:rsidR="00F84634" w:rsidRPr="00157555">
        <w:rPr>
          <w:rFonts w:ascii="Arial" w:eastAsia="Times New Roman" w:hAnsi="Arial" w:cs="Arial"/>
          <w:szCs w:val="24"/>
        </w:rPr>
        <w:t xml:space="preserve"> </w:t>
      </w:r>
    </w:p>
    <w:p w14:paraId="6483D67E" w14:textId="77777777" w:rsidR="00F84634" w:rsidRPr="00157555" w:rsidRDefault="00A46CCD" w:rsidP="00C43396">
      <w:pPr>
        <w:widowControl w:val="0"/>
        <w:autoSpaceDE w:val="0"/>
        <w:autoSpaceDN w:val="0"/>
        <w:spacing w:after="0" w:line="240" w:lineRule="auto"/>
        <w:jc w:val="both"/>
        <w:rPr>
          <w:rFonts w:ascii="Arial" w:eastAsia="Times New Roman" w:hAnsi="Arial" w:cs="Arial"/>
          <w:szCs w:val="24"/>
        </w:rPr>
      </w:pPr>
      <w:hyperlink r:id="rId61" w:history="1">
        <w:r w:rsidR="00F84634" w:rsidRPr="00157555">
          <w:rPr>
            <w:rFonts w:ascii="Arial" w:eastAsia="Times New Roman" w:hAnsi="Arial" w:cs="Arial"/>
            <w:color w:val="0563C1" w:themeColor="hyperlink"/>
            <w:szCs w:val="24"/>
            <w:u w:val="single"/>
          </w:rPr>
          <w:t>john.finnigan@occ.ohio.gov</w:t>
        </w:r>
      </w:hyperlink>
      <w:r w:rsidR="00F84634" w:rsidRPr="00157555">
        <w:rPr>
          <w:rFonts w:ascii="Arial" w:eastAsia="Times New Roman" w:hAnsi="Arial" w:cs="Arial"/>
          <w:szCs w:val="24"/>
        </w:rPr>
        <w:t xml:space="preserve"> </w:t>
      </w:r>
    </w:p>
    <w:p w14:paraId="30C89B68" w14:textId="77777777" w:rsidR="00F84634" w:rsidRPr="00157555" w:rsidRDefault="00F84634" w:rsidP="00C43396">
      <w:pPr>
        <w:spacing w:line="256" w:lineRule="auto"/>
        <w:jc w:val="both"/>
        <w:rPr>
          <w:rFonts w:ascii="Arial" w:eastAsia="Calibri" w:hAnsi="Arial" w:cs="Arial"/>
          <w:szCs w:val="24"/>
        </w:rPr>
      </w:pPr>
    </w:p>
    <w:p w14:paraId="1AFEB362" w14:textId="77777777" w:rsidR="00F84634" w:rsidRPr="00157555" w:rsidRDefault="00F84634" w:rsidP="00C43396">
      <w:pPr>
        <w:spacing w:after="0" w:line="240" w:lineRule="auto"/>
        <w:jc w:val="both"/>
        <w:rPr>
          <w:rFonts w:ascii="Arial" w:eastAsia="Times New Roman" w:hAnsi="Arial" w:cs="Arial"/>
          <w:b/>
          <w:bCs/>
          <w:szCs w:val="24"/>
        </w:rPr>
      </w:pPr>
      <w:r w:rsidRPr="00157555">
        <w:rPr>
          <w:rFonts w:ascii="Arial" w:eastAsia="Times New Roman" w:hAnsi="Arial" w:cs="Arial"/>
          <w:b/>
          <w:bCs/>
          <w:szCs w:val="24"/>
        </w:rPr>
        <w:t>One Energy Enterprises, Inc.</w:t>
      </w:r>
    </w:p>
    <w:p w14:paraId="38347ED5" w14:textId="77777777" w:rsidR="00F84634" w:rsidRPr="00157555" w:rsidRDefault="00F84634" w:rsidP="00C43396">
      <w:pPr>
        <w:spacing w:after="0" w:line="240" w:lineRule="auto"/>
        <w:jc w:val="both"/>
        <w:rPr>
          <w:rFonts w:ascii="Arial" w:eastAsia="Times New Roman" w:hAnsi="Arial" w:cs="Arial"/>
          <w:szCs w:val="24"/>
        </w:rPr>
      </w:pPr>
      <w:r w:rsidRPr="00157555">
        <w:rPr>
          <w:rFonts w:ascii="Arial" w:eastAsia="Times New Roman" w:hAnsi="Arial" w:cs="Arial"/>
          <w:szCs w:val="24"/>
        </w:rPr>
        <w:t>Christopher J. Hogan</w:t>
      </w:r>
    </w:p>
    <w:p w14:paraId="50F28F1D" w14:textId="77777777" w:rsidR="00F84634" w:rsidRPr="00157555" w:rsidRDefault="00F84634" w:rsidP="00C43396">
      <w:pPr>
        <w:spacing w:after="0" w:line="240" w:lineRule="auto"/>
        <w:jc w:val="both"/>
        <w:rPr>
          <w:rFonts w:ascii="Arial" w:eastAsia="Times New Roman" w:hAnsi="Arial" w:cs="Arial"/>
          <w:szCs w:val="24"/>
        </w:rPr>
      </w:pPr>
      <w:r w:rsidRPr="00157555">
        <w:rPr>
          <w:rFonts w:ascii="Arial" w:eastAsia="Times New Roman" w:hAnsi="Arial" w:cs="Arial"/>
          <w:szCs w:val="24"/>
        </w:rPr>
        <w:t xml:space="preserve">Zeiger, </w:t>
      </w:r>
      <w:proofErr w:type="spellStart"/>
      <w:r w:rsidRPr="00157555">
        <w:rPr>
          <w:rFonts w:ascii="Arial" w:eastAsia="Times New Roman" w:hAnsi="Arial" w:cs="Arial"/>
          <w:szCs w:val="24"/>
        </w:rPr>
        <w:t>Tigges</w:t>
      </w:r>
      <w:proofErr w:type="spellEnd"/>
      <w:r w:rsidRPr="00157555">
        <w:rPr>
          <w:rFonts w:ascii="Arial" w:eastAsia="Times New Roman" w:hAnsi="Arial" w:cs="Arial"/>
          <w:szCs w:val="24"/>
        </w:rPr>
        <w:t xml:space="preserve"> &amp; Little LLP</w:t>
      </w:r>
    </w:p>
    <w:p w14:paraId="04692E4B" w14:textId="77777777" w:rsidR="00F84634" w:rsidRPr="00157555" w:rsidRDefault="00A46CCD" w:rsidP="00C43396">
      <w:pPr>
        <w:spacing w:after="0" w:line="240" w:lineRule="auto"/>
        <w:jc w:val="both"/>
        <w:rPr>
          <w:rFonts w:ascii="Arial" w:eastAsia="Times New Roman" w:hAnsi="Arial" w:cs="Arial"/>
          <w:szCs w:val="24"/>
        </w:rPr>
      </w:pPr>
      <w:hyperlink r:id="rId62" w:history="1">
        <w:r w:rsidR="00F84634" w:rsidRPr="00157555">
          <w:rPr>
            <w:rFonts w:ascii="Arial" w:eastAsia="Times New Roman" w:hAnsi="Arial" w:cs="Arial"/>
            <w:color w:val="0563C1" w:themeColor="hyperlink"/>
            <w:szCs w:val="24"/>
            <w:u w:val="single"/>
          </w:rPr>
          <w:t>little@litohio.com</w:t>
        </w:r>
      </w:hyperlink>
      <w:r w:rsidR="00F84634" w:rsidRPr="00157555">
        <w:rPr>
          <w:rFonts w:ascii="Arial" w:eastAsia="Times New Roman" w:hAnsi="Arial" w:cs="Arial"/>
          <w:szCs w:val="24"/>
        </w:rPr>
        <w:t xml:space="preserve"> </w:t>
      </w:r>
    </w:p>
    <w:p w14:paraId="5221B628" w14:textId="77777777" w:rsidR="00F84634" w:rsidRPr="00157555" w:rsidRDefault="00A46CCD" w:rsidP="00C43396">
      <w:pPr>
        <w:spacing w:after="0" w:line="240" w:lineRule="auto"/>
        <w:jc w:val="both"/>
        <w:rPr>
          <w:rFonts w:ascii="Arial" w:eastAsia="Times New Roman" w:hAnsi="Arial" w:cs="Arial"/>
          <w:szCs w:val="24"/>
        </w:rPr>
      </w:pPr>
      <w:hyperlink r:id="rId63" w:history="1">
        <w:r w:rsidR="00F84634" w:rsidRPr="00157555">
          <w:rPr>
            <w:rFonts w:ascii="Arial" w:eastAsia="Times New Roman" w:hAnsi="Arial" w:cs="Arial"/>
            <w:color w:val="0563C1" w:themeColor="hyperlink"/>
            <w:szCs w:val="24"/>
            <w:u w:val="single"/>
          </w:rPr>
          <w:t>hogan@litohio.com</w:t>
        </w:r>
      </w:hyperlink>
      <w:r w:rsidR="00F84634" w:rsidRPr="00157555">
        <w:rPr>
          <w:rFonts w:ascii="Arial" w:eastAsia="Times New Roman" w:hAnsi="Arial" w:cs="Arial"/>
          <w:szCs w:val="24"/>
        </w:rPr>
        <w:t xml:space="preserve"> </w:t>
      </w:r>
    </w:p>
    <w:p w14:paraId="7255FE3C" w14:textId="77777777" w:rsidR="00F84634" w:rsidRPr="00157555" w:rsidRDefault="00F84634" w:rsidP="00C43396">
      <w:pPr>
        <w:spacing w:after="0" w:line="240" w:lineRule="auto"/>
        <w:jc w:val="both"/>
        <w:rPr>
          <w:rFonts w:ascii="Arial" w:eastAsia="Times New Roman" w:hAnsi="Arial" w:cs="Arial"/>
          <w:szCs w:val="24"/>
        </w:rPr>
      </w:pPr>
      <w:r w:rsidRPr="00157555">
        <w:rPr>
          <w:rFonts w:ascii="Arial" w:eastAsia="Times New Roman" w:hAnsi="Arial" w:cs="Arial"/>
          <w:szCs w:val="24"/>
        </w:rPr>
        <w:t>Dane Stinson</w:t>
      </w:r>
    </w:p>
    <w:p w14:paraId="68073E9A" w14:textId="77777777" w:rsidR="00F84634" w:rsidRPr="00157555" w:rsidRDefault="00F84634" w:rsidP="00C43396">
      <w:pPr>
        <w:spacing w:after="0" w:line="240" w:lineRule="auto"/>
        <w:jc w:val="both"/>
        <w:rPr>
          <w:rFonts w:ascii="Arial" w:eastAsia="Times New Roman" w:hAnsi="Arial" w:cs="Arial"/>
          <w:szCs w:val="24"/>
        </w:rPr>
      </w:pPr>
      <w:r w:rsidRPr="00157555">
        <w:rPr>
          <w:rFonts w:ascii="Arial" w:eastAsia="Times New Roman" w:hAnsi="Arial" w:cs="Arial"/>
          <w:szCs w:val="24"/>
        </w:rPr>
        <w:t>Matthew W. Warnock</w:t>
      </w:r>
    </w:p>
    <w:p w14:paraId="78F98F0E" w14:textId="77777777" w:rsidR="00F84634" w:rsidRPr="00157555" w:rsidRDefault="00F84634" w:rsidP="00C43396">
      <w:pPr>
        <w:spacing w:after="0" w:line="240" w:lineRule="auto"/>
        <w:jc w:val="both"/>
        <w:rPr>
          <w:rFonts w:ascii="Arial" w:eastAsia="Times New Roman" w:hAnsi="Arial" w:cs="Arial"/>
          <w:szCs w:val="24"/>
        </w:rPr>
      </w:pPr>
      <w:r w:rsidRPr="00157555">
        <w:rPr>
          <w:rFonts w:ascii="Arial" w:eastAsia="Times New Roman" w:hAnsi="Arial" w:cs="Arial"/>
          <w:szCs w:val="24"/>
        </w:rPr>
        <w:t>BRICKER &amp; ECKLER LLP</w:t>
      </w:r>
    </w:p>
    <w:p w14:paraId="18F2089F" w14:textId="77777777" w:rsidR="00F84634" w:rsidRPr="00157555" w:rsidRDefault="00A46CCD" w:rsidP="00C43396">
      <w:pPr>
        <w:spacing w:after="0" w:line="240" w:lineRule="auto"/>
        <w:jc w:val="both"/>
        <w:rPr>
          <w:rFonts w:ascii="Arial" w:eastAsia="Times New Roman" w:hAnsi="Arial" w:cs="Arial"/>
          <w:szCs w:val="24"/>
        </w:rPr>
      </w:pPr>
      <w:hyperlink r:id="rId64" w:history="1">
        <w:r w:rsidR="00F84634" w:rsidRPr="00157555">
          <w:rPr>
            <w:rFonts w:ascii="Arial" w:eastAsia="Times New Roman" w:hAnsi="Arial" w:cs="Arial"/>
            <w:color w:val="0563C1" w:themeColor="hyperlink"/>
            <w:szCs w:val="24"/>
            <w:u w:val="single"/>
          </w:rPr>
          <w:t>dstinson@bricker.com</w:t>
        </w:r>
      </w:hyperlink>
      <w:r w:rsidR="00F84634" w:rsidRPr="00157555">
        <w:rPr>
          <w:rFonts w:ascii="Arial" w:eastAsia="Times New Roman" w:hAnsi="Arial" w:cs="Arial"/>
          <w:szCs w:val="24"/>
        </w:rPr>
        <w:t xml:space="preserve"> </w:t>
      </w:r>
    </w:p>
    <w:p w14:paraId="18416B0B" w14:textId="77777777" w:rsidR="00F84634" w:rsidRPr="00157555" w:rsidRDefault="00A46CCD" w:rsidP="00C43396">
      <w:pPr>
        <w:spacing w:after="0" w:line="240" w:lineRule="auto"/>
        <w:jc w:val="both"/>
        <w:rPr>
          <w:rFonts w:ascii="Arial" w:eastAsia="Times New Roman" w:hAnsi="Arial" w:cs="Arial"/>
          <w:szCs w:val="24"/>
        </w:rPr>
      </w:pPr>
      <w:hyperlink r:id="rId65" w:history="1">
        <w:r w:rsidR="00F84634" w:rsidRPr="00157555">
          <w:rPr>
            <w:rFonts w:ascii="Arial" w:eastAsia="Times New Roman" w:hAnsi="Arial" w:cs="Arial"/>
            <w:color w:val="0563C1" w:themeColor="hyperlink"/>
            <w:szCs w:val="24"/>
            <w:u w:val="single"/>
          </w:rPr>
          <w:t>mwarnock@bricker.com</w:t>
        </w:r>
      </w:hyperlink>
      <w:r w:rsidR="00F84634" w:rsidRPr="00157555">
        <w:rPr>
          <w:rFonts w:ascii="Arial" w:eastAsia="Times New Roman" w:hAnsi="Arial" w:cs="Arial"/>
          <w:szCs w:val="24"/>
        </w:rPr>
        <w:t xml:space="preserve"> </w:t>
      </w:r>
    </w:p>
    <w:p w14:paraId="20B45014" w14:textId="77777777" w:rsidR="00F84634" w:rsidRPr="00157555" w:rsidRDefault="00F84634" w:rsidP="00C43396">
      <w:pPr>
        <w:spacing w:after="0" w:line="240" w:lineRule="auto"/>
        <w:jc w:val="both"/>
        <w:rPr>
          <w:rFonts w:ascii="Arial" w:eastAsia="Times New Roman" w:hAnsi="Arial" w:cs="Arial"/>
          <w:szCs w:val="24"/>
        </w:rPr>
      </w:pPr>
      <w:r w:rsidRPr="00157555">
        <w:rPr>
          <w:rFonts w:ascii="Arial" w:eastAsia="Times New Roman" w:hAnsi="Arial" w:cs="Arial"/>
          <w:szCs w:val="24"/>
        </w:rPr>
        <w:t>Katie Johnson Treadway</w:t>
      </w:r>
    </w:p>
    <w:p w14:paraId="4070C2E4" w14:textId="77777777" w:rsidR="00F84634" w:rsidRPr="00157555" w:rsidRDefault="00F84634" w:rsidP="00C43396">
      <w:pPr>
        <w:spacing w:after="0" w:line="240" w:lineRule="auto"/>
        <w:jc w:val="both"/>
        <w:rPr>
          <w:rFonts w:ascii="Arial" w:eastAsia="Times New Roman" w:hAnsi="Arial" w:cs="Arial"/>
          <w:szCs w:val="24"/>
        </w:rPr>
      </w:pPr>
      <w:r w:rsidRPr="00157555">
        <w:rPr>
          <w:rFonts w:ascii="Arial" w:eastAsia="Times New Roman" w:hAnsi="Arial" w:cs="Arial"/>
          <w:szCs w:val="24"/>
        </w:rPr>
        <w:t>One Energy Enterprises LLC</w:t>
      </w:r>
    </w:p>
    <w:p w14:paraId="40F18470" w14:textId="77777777" w:rsidR="00F84634" w:rsidRPr="00157555" w:rsidRDefault="00A46CCD" w:rsidP="00C43396">
      <w:pPr>
        <w:spacing w:after="0" w:line="240" w:lineRule="auto"/>
        <w:jc w:val="both"/>
        <w:rPr>
          <w:rFonts w:ascii="Arial" w:eastAsia="Times New Roman" w:hAnsi="Arial" w:cs="Arial"/>
          <w:szCs w:val="24"/>
        </w:rPr>
      </w:pPr>
      <w:hyperlink r:id="rId66" w:history="1">
        <w:r w:rsidR="00F84634" w:rsidRPr="00157555">
          <w:rPr>
            <w:rFonts w:ascii="Arial" w:eastAsia="Times New Roman" w:hAnsi="Arial" w:cs="Arial"/>
            <w:color w:val="0563C1" w:themeColor="hyperlink"/>
            <w:szCs w:val="24"/>
            <w:u w:val="single"/>
          </w:rPr>
          <w:t>ktreadway@oneenergyllc.com</w:t>
        </w:r>
      </w:hyperlink>
      <w:r w:rsidR="00F84634" w:rsidRPr="00157555">
        <w:rPr>
          <w:rFonts w:ascii="Arial" w:eastAsia="Times New Roman" w:hAnsi="Arial" w:cs="Arial"/>
          <w:szCs w:val="24"/>
        </w:rPr>
        <w:t xml:space="preserve"> </w:t>
      </w:r>
    </w:p>
    <w:p w14:paraId="0C728DD7" w14:textId="77777777" w:rsidR="00F84634" w:rsidRPr="00157555" w:rsidRDefault="00F84634" w:rsidP="00C43396">
      <w:pPr>
        <w:spacing w:line="256" w:lineRule="auto"/>
        <w:jc w:val="both"/>
        <w:rPr>
          <w:rFonts w:ascii="Arial" w:eastAsia="Calibri" w:hAnsi="Arial" w:cs="Arial"/>
          <w:szCs w:val="24"/>
        </w:rPr>
      </w:pPr>
    </w:p>
    <w:p w14:paraId="5AAD74D8" w14:textId="77777777" w:rsidR="0041224E" w:rsidRPr="00157555" w:rsidRDefault="0041224E" w:rsidP="00C43396">
      <w:pPr>
        <w:spacing w:after="0" w:line="480" w:lineRule="auto"/>
        <w:jc w:val="both"/>
        <w:rPr>
          <w:rFonts w:ascii="Arial" w:hAnsi="Arial" w:cs="Arial"/>
          <w:szCs w:val="24"/>
        </w:rPr>
      </w:pPr>
    </w:p>
    <w:sectPr w:rsidR="0041224E" w:rsidRPr="00157555" w:rsidSect="00A85DE8">
      <w:footerReference w:type="default" r:id="rId6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DDA33" w14:textId="77777777" w:rsidR="003E5477" w:rsidRDefault="003E5477" w:rsidP="00BF389A">
      <w:pPr>
        <w:spacing w:after="0" w:line="240" w:lineRule="auto"/>
      </w:pPr>
      <w:r>
        <w:separator/>
      </w:r>
    </w:p>
  </w:endnote>
  <w:endnote w:type="continuationSeparator" w:id="0">
    <w:p w14:paraId="6FA5FE28" w14:textId="77777777" w:rsidR="003E5477" w:rsidRDefault="003E5477" w:rsidP="00BF389A">
      <w:pPr>
        <w:spacing w:after="0" w:line="240" w:lineRule="auto"/>
      </w:pPr>
      <w:r>
        <w:continuationSeparator/>
      </w:r>
    </w:p>
  </w:endnote>
  <w:endnote w:type="continuationNotice" w:id="1">
    <w:p w14:paraId="7650C37F" w14:textId="77777777" w:rsidR="00814E3A" w:rsidRDefault="00814E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832695"/>
      <w:docPartObj>
        <w:docPartGallery w:val="Page Numbers (Bottom of Page)"/>
        <w:docPartUnique/>
      </w:docPartObj>
    </w:sdtPr>
    <w:sdtEndPr>
      <w:rPr>
        <w:rFonts w:ascii="Arial" w:hAnsi="Arial" w:cs="Arial"/>
        <w:noProof/>
      </w:rPr>
    </w:sdtEndPr>
    <w:sdtContent>
      <w:p w14:paraId="4D355581" w14:textId="249291FB" w:rsidR="00F803BA" w:rsidRPr="00C43396" w:rsidRDefault="00F803BA">
        <w:pPr>
          <w:pStyle w:val="Footer"/>
          <w:jc w:val="center"/>
          <w:rPr>
            <w:rFonts w:ascii="Arial" w:hAnsi="Arial" w:cs="Arial"/>
          </w:rPr>
        </w:pPr>
        <w:r w:rsidRPr="00C43396">
          <w:rPr>
            <w:rFonts w:ascii="Arial" w:hAnsi="Arial" w:cs="Arial"/>
          </w:rPr>
          <w:fldChar w:fldCharType="begin"/>
        </w:r>
        <w:r w:rsidRPr="00C43396">
          <w:rPr>
            <w:rFonts w:ascii="Arial" w:hAnsi="Arial" w:cs="Arial"/>
          </w:rPr>
          <w:instrText xml:space="preserve"> PAGE   \* MERGEFORMAT </w:instrText>
        </w:r>
        <w:r w:rsidRPr="00C43396">
          <w:rPr>
            <w:rFonts w:ascii="Arial" w:hAnsi="Arial" w:cs="Arial"/>
          </w:rPr>
          <w:fldChar w:fldCharType="separate"/>
        </w:r>
        <w:r w:rsidRPr="00C43396">
          <w:rPr>
            <w:rFonts w:ascii="Arial" w:hAnsi="Arial" w:cs="Arial"/>
            <w:noProof/>
          </w:rPr>
          <w:t>2</w:t>
        </w:r>
        <w:r w:rsidRPr="00C43396">
          <w:rPr>
            <w:rFonts w:ascii="Arial" w:hAnsi="Arial" w:cs="Arial"/>
            <w:noProof/>
          </w:rPr>
          <w:fldChar w:fldCharType="end"/>
        </w:r>
      </w:p>
    </w:sdtContent>
  </w:sdt>
  <w:p w14:paraId="398FFB91" w14:textId="77777777" w:rsidR="00F803BA" w:rsidRDefault="00F80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7A6D3" w14:textId="77777777" w:rsidR="003E5477" w:rsidRDefault="003E5477" w:rsidP="00BF389A">
      <w:pPr>
        <w:spacing w:after="0" w:line="240" w:lineRule="auto"/>
      </w:pPr>
      <w:r>
        <w:separator/>
      </w:r>
    </w:p>
  </w:footnote>
  <w:footnote w:type="continuationSeparator" w:id="0">
    <w:p w14:paraId="15D6D943" w14:textId="77777777" w:rsidR="003E5477" w:rsidRDefault="003E5477" w:rsidP="00BF389A">
      <w:pPr>
        <w:spacing w:after="0" w:line="240" w:lineRule="auto"/>
      </w:pPr>
      <w:r>
        <w:continuationSeparator/>
      </w:r>
    </w:p>
  </w:footnote>
  <w:footnote w:type="continuationNotice" w:id="1">
    <w:p w14:paraId="7CFAB240" w14:textId="77777777" w:rsidR="00814E3A" w:rsidRDefault="00814E3A">
      <w:pPr>
        <w:spacing w:after="0" w:line="240" w:lineRule="auto"/>
      </w:pPr>
    </w:p>
  </w:footnote>
  <w:footnote w:id="2">
    <w:p w14:paraId="19DB4976" w14:textId="0DDEC3C0" w:rsidR="00F803BA" w:rsidRPr="00584207" w:rsidRDefault="00F803BA" w:rsidP="00774BB5">
      <w:pPr>
        <w:pStyle w:val="FootnoteText"/>
        <w:spacing w:after="120"/>
        <w:jc w:val="both"/>
        <w:rPr>
          <w:rFonts w:ascii="Arial" w:hAnsi="Arial" w:cs="Arial"/>
        </w:rPr>
      </w:pPr>
      <w:r w:rsidRPr="00584207">
        <w:rPr>
          <w:rStyle w:val="FootnoteReference"/>
          <w:rFonts w:ascii="Arial" w:hAnsi="Arial" w:cs="Arial"/>
        </w:rPr>
        <w:footnoteRef/>
      </w:r>
      <w:r w:rsidRPr="00584207">
        <w:rPr>
          <w:rFonts w:ascii="Arial" w:hAnsi="Arial" w:cs="Arial"/>
        </w:rPr>
        <w:t xml:space="preserve"> Under the three-part test, the Commission reviews whether the settlement is the product of serious bargaining among capable and knowledgeable parties, whether the settlement as a package benefits ratepayers and the public interest, and whether the settlement package violates any important regulatory principle or practice. Industrial Energy Consumers of Ohio Power Co. v. Pub. Utils. Comm’n of Ohio, 68 Ohio St. 3d 559 (1994).</w:t>
      </w:r>
    </w:p>
  </w:footnote>
  <w:footnote w:id="3">
    <w:p w14:paraId="32CB71F3" w14:textId="5A64053F" w:rsidR="00F803BA" w:rsidRPr="00584207" w:rsidRDefault="00F803BA" w:rsidP="00774BB5">
      <w:pPr>
        <w:pStyle w:val="FootnoteText"/>
        <w:spacing w:after="120"/>
        <w:jc w:val="both"/>
        <w:rPr>
          <w:rFonts w:ascii="Arial" w:hAnsi="Arial" w:cs="Arial"/>
        </w:rPr>
      </w:pPr>
      <w:r w:rsidRPr="00584207">
        <w:rPr>
          <w:rStyle w:val="FootnoteReference"/>
          <w:rFonts w:ascii="Arial" w:hAnsi="Arial" w:cs="Arial"/>
        </w:rPr>
        <w:footnoteRef/>
      </w:r>
      <w:r w:rsidRPr="00584207">
        <w:rPr>
          <w:rFonts w:ascii="Arial" w:hAnsi="Arial" w:cs="Arial"/>
        </w:rPr>
        <w:t xml:space="preserve"> According to the Commission, Mr. Lacey did not follow the Commission’s direction in the ESP IV Order because he did not factor choice program costs into his recommendation. Opinion and Order, ¶ 184.Mr. Lacey concluded the costs of supporting competitive suppliers are monopoly costs of the utility and a distribution service. IGS/Direct Ex. 2 at 44. The reason is important: if these costs concern distribution service, netting them from the costs associated with the provision of competitive supply is improper. Id. Thus, Mr. Lacey did not fail to factor choice costs into his recommendation because there was nothing to factor.</w:t>
      </w:r>
    </w:p>
  </w:footnote>
  <w:footnote w:id="4">
    <w:p w14:paraId="5E919A1E" w14:textId="63049DAC" w:rsidR="00F803BA" w:rsidRPr="00774BB5" w:rsidRDefault="00F803BA" w:rsidP="00774BB5">
      <w:pPr>
        <w:pStyle w:val="FootnoteText"/>
        <w:spacing w:after="120"/>
        <w:jc w:val="both"/>
        <w:rPr>
          <w:rFonts w:ascii="Arial" w:hAnsi="Arial" w:cs="Arial"/>
        </w:rPr>
      </w:pPr>
      <w:r w:rsidRPr="00774BB5">
        <w:rPr>
          <w:rStyle w:val="FootnoteReference"/>
          <w:rFonts w:ascii="Arial" w:hAnsi="Arial" w:cs="Arial"/>
        </w:rPr>
        <w:footnoteRef/>
      </w:r>
      <w:r w:rsidRPr="00774BB5">
        <w:rPr>
          <w:rFonts w:ascii="Arial" w:hAnsi="Arial" w:cs="Arial"/>
        </w:rPr>
        <w:t xml:space="preserve"> It is also uncontroverted that Ohio Power will collect in distribution rates costs such as call center costs that should be allocated to the Retail Reconciliation Rider. IGS Ex. 3 at Ex.D</w:t>
      </w:r>
      <w:r w:rsidR="009832B5">
        <w:rPr>
          <w:rFonts w:ascii="Arial" w:hAnsi="Arial" w:cs="Arial"/>
        </w:rPr>
        <w:t>MR</w:t>
      </w:r>
      <w:r w:rsidRPr="00774BB5">
        <w:rPr>
          <w:rFonts w:ascii="Arial" w:hAnsi="Arial" w:cs="Arial"/>
        </w:rPr>
        <w:t xml:space="preserve">-2. On rehearing, the Commission should require Ohio Power to provide an estimate of those allocable costs. </w:t>
      </w:r>
    </w:p>
  </w:footnote>
  <w:footnote w:id="5">
    <w:p w14:paraId="03E99294" w14:textId="0ACD2A72" w:rsidR="00F803BA" w:rsidRPr="00584207" w:rsidRDefault="00F803BA" w:rsidP="00774BB5">
      <w:pPr>
        <w:pStyle w:val="FootnoteText"/>
        <w:spacing w:after="120"/>
        <w:jc w:val="both"/>
        <w:rPr>
          <w:rFonts w:ascii="Arial" w:hAnsi="Arial" w:cs="Arial"/>
        </w:rPr>
      </w:pPr>
      <w:r w:rsidRPr="00584207">
        <w:rPr>
          <w:rStyle w:val="FootnoteReference"/>
          <w:rFonts w:ascii="Arial" w:hAnsi="Arial" w:cs="Arial"/>
        </w:rPr>
        <w:footnoteRef/>
      </w:r>
      <w:r w:rsidRPr="00584207">
        <w:rPr>
          <w:rFonts w:ascii="Arial" w:hAnsi="Arial" w:cs="Arial"/>
        </w:rPr>
        <w:t xml:space="preserve"> The Commission correctly did not fall for this relabeling. That decision was correct because a finding relabeling generation costs as distribution costs would constitute reversible error. Industrial Energy Users-Ohio v. Pub. Utils. Comm’n of Ohio, 117 Ohio St. 3d 486, 490-91 (2008).</w:t>
      </w:r>
    </w:p>
  </w:footnote>
  <w:footnote w:id="6">
    <w:p w14:paraId="3863476E" w14:textId="426F0125" w:rsidR="00F803BA" w:rsidRPr="00584207" w:rsidRDefault="00F803BA" w:rsidP="00774BB5">
      <w:pPr>
        <w:pStyle w:val="FootnoteText"/>
        <w:spacing w:after="120"/>
        <w:jc w:val="both"/>
        <w:rPr>
          <w:rFonts w:ascii="Arial" w:hAnsi="Arial" w:cs="Arial"/>
        </w:rPr>
      </w:pPr>
      <w:r w:rsidRPr="00584207">
        <w:rPr>
          <w:rStyle w:val="FootnoteReference"/>
          <w:rFonts w:ascii="Arial" w:hAnsi="Arial" w:cs="Arial"/>
        </w:rPr>
        <w:footnoteRef/>
      </w:r>
      <w:r w:rsidRPr="00584207">
        <w:rPr>
          <w:rFonts w:ascii="Arial" w:hAnsi="Arial" w:cs="Arial"/>
        </w:rPr>
        <w:t xml:space="preserve"> Additionally, the recommendation that parties seek reasonable rates through a complaint case unfairly shifts the burden of demonstrating that rates are reasonable from Ohio Power to the complainant. Compare R.C. 4928.18 (burden to show that rates are reasonable is on the applicant) and R.C. 4905.26 (burden to show that rate or practice is unreasonable is on the complainant).</w:t>
      </w:r>
    </w:p>
  </w:footnote>
  <w:footnote w:id="7">
    <w:p w14:paraId="46FD8E0B" w14:textId="7BE203C5" w:rsidR="00F803BA" w:rsidRPr="00584207" w:rsidRDefault="00F803BA" w:rsidP="00774BB5">
      <w:pPr>
        <w:pStyle w:val="FootnoteText"/>
        <w:spacing w:after="120"/>
        <w:jc w:val="both"/>
        <w:rPr>
          <w:rFonts w:ascii="Arial" w:hAnsi="Arial" w:cs="Arial"/>
        </w:rPr>
      </w:pPr>
      <w:r w:rsidRPr="00584207">
        <w:rPr>
          <w:rStyle w:val="FootnoteReference"/>
          <w:rFonts w:ascii="Arial" w:hAnsi="Arial" w:cs="Arial"/>
        </w:rPr>
        <w:footnoteRef/>
      </w:r>
      <w:r w:rsidRPr="00584207">
        <w:rPr>
          <w:rFonts w:ascii="Arial" w:hAnsi="Arial" w:cs="Arial"/>
        </w:rPr>
        <w:t xml:space="preserve"> Under Ohio law, a customer may be returned to default service because of a supplier default as well. R.C. 4928.14.</w:t>
      </w:r>
    </w:p>
  </w:footnote>
  <w:footnote w:id="8">
    <w:p w14:paraId="1CE69A77" w14:textId="66220A23" w:rsidR="00F803BA" w:rsidRPr="00774BB5" w:rsidRDefault="00F803BA" w:rsidP="00774BB5">
      <w:pPr>
        <w:pStyle w:val="FootnoteText"/>
        <w:spacing w:after="120"/>
        <w:jc w:val="both"/>
        <w:rPr>
          <w:rFonts w:ascii="Arial" w:hAnsi="Arial" w:cs="Arial"/>
        </w:rPr>
      </w:pPr>
      <w:r w:rsidRPr="00774BB5">
        <w:rPr>
          <w:rStyle w:val="FootnoteReference"/>
          <w:rFonts w:ascii="Arial" w:hAnsi="Arial" w:cs="Arial"/>
        </w:rPr>
        <w:footnoteRef/>
      </w:r>
      <w:r w:rsidRPr="00774BB5">
        <w:rPr>
          <w:rFonts w:ascii="Arial" w:hAnsi="Arial" w:cs="Arial"/>
        </w:rPr>
        <w:t xml:space="preserve"> IGS is aware that the Commission has permitted other utilities to continue these fees over the objections of intervenors. Those decision</w:t>
      </w:r>
      <w:r>
        <w:rPr>
          <w:rFonts w:ascii="Arial" w:hAnsi="Arial" w:cs="Arial"/>
        </w:rPr>
        <w:t>s</w:t>
      </w:r>
      <w:r w:rsidRPr="00774BB5">
        <w:rPr>
          <w:rFonts w:ascii="Arial" w:hAnsi="Arial" w:cs="Arial"/>
        </w:rPr>
        <w:t>, however, are incorrect because they permit, over objections properly before the Commission, an electric distribution utility to evade the requirement to justify its rate levels.</w:t>
      </w:r>
      <w:r>
        <w:rPr>
          <w:rFonts w:ascii="Arial" w:hAnsi="Arial" w:cs="Arial"/>
        </w:rPr>
        <w:t xml:space="preserve"> R.C. 4909.18 and 4909.19.</w:t>
      </w:r>
    </w:p>
  </w:footnote>
  <w:footnote w:id="9">
    <w:p w14:paraId="083F1D55" w14:textId="5D576CAC" w:rsidR="00F803BA" w:rsidRPr="00584207" w:rsidRDefault="00F803BA" w:rsidP="00774BB5">
      <w:pPr>
        <w:pStyle w:val="FootnoteText"/>
        <w:spacing w:after="120"/>
        <w:jc w:val="both"/>
        <w:rPr>
          <w:rFonts w:ascii="Arial" w:hAnsi="Arial" w:cs="Arial"/>
        </w:rPr>
      </w:pPr>
      <w:r w:rsidRPr="00584207">
        <w:rPr>
          <w:rStyle w:val="FootnoteReference"/>
          <w:rFonts w:ascii="Arial" w:hAnsi="Arial" w:cs="Arial"/>
        </w:rPr>
        <w:footnoteRef/>
      </w:r>
      <w:r w:rsidRPr="00584207">
        <w:rPr>
          <w:rFonts w:ascii="Arial" w:hAnsi="Arial" w:cs="Arial"/>
        </w:rPr>
        <w:t xml:space="preserve"> In its summary of the parties’ positions, the Commission notes that Ohio Power contended in its reply brief that there was a difference between a customer that elects to return and one that returns due to a supplier default. Opinion and Order, ¶ 188. The Commission, however, does not offer that statement in Ohio Power’s reply brief as the basis for its decision, and for good reason. The argument advanced by Ohio Power addresses customers that </w:t>
      </w:r>
      <w:r w:rsidRPr="00584207">
        <w:rPr>
          <w:rFonts w:ascii="Arial" w:hAnsi="Arial" w:cs="Arial"/>
        </w:rPr>
        <w:t xml:space="preserve">default to default service; it ignores that other customers elect default service but avoid the charge. </w:t>
      </w:r>
      <w:r w:rsidR="00A67CC1">
        <w:rPr>
          <w:rFonts w:ascii="Arial" w:hAnsi="Arial" w:cs="Arial"/>
        </w:rPr>
        <w:t>Reply Brief of Ohio Power Company in Support of the Joint Stipulation and Recommendation</w:t>
      </w:r>
      <w:r w:rsidRPr="00584207">
        <w:rPr>
          <w:rFonts w:ascii="Arial" w:hAnsi="Arial" w:cs="Arial"/>
        </w:rPr>
        <w:t xml:space="preserve"> at 55-59</w:t>
      </w:r>
      <w:r w:rsidR="00536F41">
        <w:rPr>
          <w:rFonts w:ascii="Arial" w:hAnsi="Arial" w:cs="Arial"/>
        </w:rPr>
        <w:t xml:space="preserve"> (July 6, 2021) (“Ohio Power Reply Brief”)</w:t>
      </w:r>
      <w:r w:rsidRPr="00584207">
        <w:rPr>
          <w:rFonts w:ascii="Arial" w:hAnsi="Arial" w:cs="Arial"/>
        </w:rPr>
        <w:t>. The treatment of customers that elect and those that default to the standard service offer, however, is identical. Thus, Ohio Power’s brief ignores the testimony of the Staff witness who agreed that a customer can elect to return to default service and returns under the same terms and conditions that would be applicable to a switch to a competitive supplier. Tr. at 338-40. Given that Ohio Power offered no cost support for the fee, eliminating it is reasonable.</w:t>
      </w:r>
    </w:p>
  </w:footnote>
  <w:footnote w:id="10">
    <w:p w14:paraId="19A406C2" w14:textId="286C8566" w:rsidR="00F803BA" w:rsidRPr="00584207" w:rsidRDefault="00F803BA" w:rsidP="00774BB5">
      <w:pPr>
        <w:pStyle w:val="FootnoteText"/>
        <w:spacing w:after="120"/>
        <w:jc w:val="both"/>
        <w:rPr>
          <w:rFonts w:ascii="Arial" w:hAnsi="Arial" w:cs="Arial"/>
        </w:rPr>
      </w:pPr>
      <w:r w:rsidRPr="00584207">
        <w:rPr>
          <w:rStyle w:val="FootnoteReference"/>
          <w:rFonts w:ascii="Arial" w:hAnsi="Arial" w:cs="Arial"/>
        </w:rPr>
        <w:footnoteRef/>
      </w:r>
      <w:r w:rsidRPr="00584207">
        <w:rPr>
          <w:rFonts w:ascii="Arial" w:hAnsi="Arial" w:cs="Arial"/>
        </w:rPr>
        <w:t xml:space="preserve"> </w:t>
      </w:r>
      <w:r w:rsidRPr="00584207">
        <w:rPr>
          <w:rFonts w:ascii="Arial" w:hAnsi="Arial" w:cs="Arial"/>
          <w:iCs/>
        </w:rPr>
        <w:t xml:space="preserve">The decision cited by the Commission in the Opinion and Order approved a stipulation, a term of which provided that a decision accepting a settlement shall not be interpreted or otherwise relied upon as authority for utilizing the process as a template for stipulations in other proceedings. In re Columbia Gas of Ohio, Inc., 12-2637-GA-EXM, Joint Motion to Modify Orders Granting Exemption and Motion for Bifurcation of Capacity and Balancing Issues on an Expedited Basis, Joint Ex. 1 at 14 (Oct. 4, 2021). Thus, reliance on this stipulation term regarding shadow billing places the Commission in the </w:t>
      </w:r>
      <w:r>
        <w:rPr>
          <w:rFonts w:ascii="Arial" w:hAnsi="Arial" w:cs="Arial"/>
          <w:iCs/>
        </w:rPr>
        <w:t>awkward</w:t>
      </w:r>
      <w:r w:rsidRPr="00584207">
        <w:rPr>
          <w:rFonts w:ascii="Arial" w:hAnsi="Arial" w:cs="Arial"/>
          <w:iCs/>
        </w:rPr>
        <w:t xml:space="preserve"> position of violating its own order approving a term of the stipulation.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6C8"/>
    <w:multiLevelType w:val="hybridMultilevel"/>
    <w:tmpl w:val="E8AE15BA"/>
    <w:lvl w:ilvl="0" w:tplc="0370222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53ECE"/>
    <w:multiLevelType w:val="hybridMultilevel"/>
    <w:tmpl w:val="7F22DA4E"/>
    <w:lvl w:ilvl="0" w:tplc="CDDAA1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6D2298"/>
    <w:multiLevelType w:val="hybridMultilevel"/>
    <w:tmpl w:val="5726C206"/>
    <w:lvl w:ilvl="0" w:tplc="B6986C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4D1807"/>
    <w:multiLevelType w:val="hybridMultilevel"/>
    <w:tmpl w:val="CE40F11A"/>
    <w:lvl w:ilvl="0" w:tplc="241477AA">
      <w:start w:val="1"/>
      <w:numFmt w:val="upperRoman"/>
      <w:lvlText w:val="%1."/>
      <w:lvlJc w:val="left"/>
      <w:pPr>
        <w:ind w:left="720" w:hanging="720"/>
      </w:pPr>
      <w:rPr>
        <w:rFonts w:eastAsiaTheme="minorHAnsi" w:hint="default"/>
        <w:color w:val="0563C1" w:themeColor="hyperlink"/>
        <w:sz w:val="24"/>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0CF"/>
    <w:rsid w:val="00031DA8"/>
    <w:rsid w:val="00034341"/>
    <w:rsid w:val="00041F62"/>
    <w:rsid w:val="00044F93"/>
    <w:rsid w:val="00045B94"/>
    <w:rsid w:val="00054FAD"/>
    <w:rsid w:val="00060462"/>
    <w:rsid w:val="000701BE"/>
    <w:rsid w:val="00076513"/>
    <w:rsid w:val="00082EB8"/>
    <w:rsid w:val="000867ED"/>
    <w:rsid w:val="00087525"/>
    <w:rsid w:val="0008773A"/>
    <w:rsid w:val="000A5849"/>
    <w:rsid w:val="000B171B"/>
    <w:rsid w:val="000B2B6B"/>
    <w:rsid w:val="000C21AB"/>
    <w:rsid w:val="000E2FD8"/>
    <w:rsid w:val="000E553E"/>
    <w:rsid w:val="000F086E"/>
    <w:rsid w:val="000F5F69"/>
    <w:rsid w:val="001007FD"/>
    <w:rsid w:val="00105BA3"/>
    <w:rsid w:val="00110808"/>
    <w:rsid w:val="00116B37"/>
    <w:rsid w:val="0011726D"/>
    <w:rsid w:val="00120DDB"/>
    <w:rsid w:val="00121FDD"/>
    <w:rsid w:val="00127DEE"/>
    <w:rsid w:val="00157555"/>
    <w:rsid w:val="00157D0C"/>
    <w:rsid w:val="0018379B"/>
    <w:rsid w:val="00191A39"/>
    <w:rsid w:val="001C402F"/>
    <w:rsid w:val="001D1975"/>
    <w:rsid w:val="001D7D7C"/>
    <w:rsid w:val="001E752D"/>
    <w:rsid w:val="001E7A7E"/>
    <w:rsid w:val="001F543D"/>
    <w:rsid w:val="00201F04"/>
    <w:rsid w:val="00223932"/>
    <w:rsid w:val="00233FFF"/>
    <w:rsid w:val="002374DD"/>
    <w:rsid w:val="0024352D"/>
    <w:rsid w:val="00245FB6"/>
    <w:rsid w:val="002739AF"/>
    <w:rsid w:val="00292F45"/>
    <w:rsid w:val="002B2578"/>
    <w:rsid w:val="002E1A30"/>
    <w:rsid w:val="002E39B2"/>
    <w:rsid w:val="002E5096"/>
    <w:rsid w:val="00305E28"/>
    <w:rsid w:val="003113C3"/>
    <w:rsid w:val="003141FD"/>
    <w:rsid w:val="0031497B"/>
    <w:rsid w:val="0031571F"/>
    <w:rsid w:val="00324D9E"/>
    <w:rsid w:val="00325E4C"/>
    <w:rsid w:val="00330523"/>
    <w:rsid w:val="00334A23"/>
    <w:rsid w:val="003379FE"/>
    <w:rsid w:val="003524EE"/>
    <w:rsid w:val="003542C5"/>
    <w:rsid w:val="00376A31"/>
    <w:rsid w:val="00381799"/>
    <w:rsid w:val="003A32C3"/>
    <w:rsid w:val="003A5498"/>
    <w:rsid w:val="003A6345"/>
    <w:rsid w:val="003B5887"/>
    <w:rsid w:val="003C0CD4"/>
    <w:rsid w:val="003C6644"/>
    <w:rsid w:val="003E5477"/>
    <w:rsid w:val="003F5491"/>
    <w:rsid w:val="003F57F6"/>
    <w:rsid w:val="00400939"/>
    <w:rsid w:val="0040244A"/>
    <w:rsid w:val="00411410"/>
    <w:rsid w:val="0041224E"/>
    <w:rsid w:val="00466661"/>
    <w:rsid w:val="00466EB9"/>
    <w:rsid w:val="00475279"/>
    <w:rsid w:val="00490DC5"/>
    <w:rsid w:val="00497511"/>
    <w:rsid w:val="004C03CC"/>
    <w:rsid w:val="004C0555"/>
    <w:rsid w:val="004D0C1D"/>
    <w:rsid w:val="004E2B94"/>
    <w:rsid w:val="004F2FA0"/>
    <w:rsid w:val="00502637"/>
    <w:rsid w:val="00504132"/>
    <w:rsid w:val="00514537"/>
    <w:rsid w:val="005265DE"/>
    <w:rsid w:val="00532244"/>
    <w:rsid w:val="00536F41"/>
    <w:rsid w:val="0054340A"/>
    <w:rsid w:val="0055361C"/>
    <w:rsid w:val="00560912"/>
    <w:rsid w:val="005728B3"/>
    <w:rsid w:val="005739FE"/>
    <w:rsid w:val="00576B8D"/>
    <w:rsid w:val="00584207"/>
    <w:rsid w:val="005907EA"/>
    <w:rsid w:val="005A0560"/>
    <w:rsid w:val="005A1D03"/>
    <w:rsid w:val="005A4185"/>
    <w:rsid w:val="005A5064"/>
    <w:rsid w:val="005B7841"/>
    <w:rsid w:val="005D6CCE"/>
    <w:rsid w:val="005E3174"/>
    <w:rsid w:val="0060049C"/>
    <w:rsid w:val="00605435"/>
    <w:rsid w:val="00605815"/>
    <w:rsid w:val="00605C17"/>
    <w:rsid w:val="00621C9F"/>
    <w:rsid w:val="00655B93"/>
    <w:rsid w:val="00662B0F"/>
    <w:rsid w:val="006737A6"/>
    <w:rsid w:val="0068181A"/>
    <w:rsid w:val="006967EF"/>
    <w:rsid w:val="006A08C4"/>
    <w:rsid w:val="006B1E7D"/>
    <w:rsid w:val="006C39EF"/>
    <w:rsid w:val="006D151C"/>
    <w:rsid w:val="006E54B4"/>
    <w:rsid w:val="006F40CF"/>
    <w:rsid w:val="00702C16"/>
    <w:rsid w:val="00705099"/>
    <w:rsid w:val="0071296C"/>
    <w:rsid w:val="007133A4"/>
    <w:rsid w:val="00717D8B"/>
    <w:rsid w:val="00725E0E"/>
    <w:rsid w:val="00753719"/>
    <w:rsid w:val="0075686C"/>
    <w:rsid w:val="00757A3C"/>
    <w:rsid w:val="00760A77"/>
    <w:rsid w:val="00774BB5"/>
    <w:rsid w:val="007760B9"/>
    <w:rsid w:val="00786915"/>
    <w:rsid w:val="007A46A7"/>
    <w:rsid w:val="007B59B9"/>
    <w:rsid w:val="007C1BBE"/>
    <w:rsid w:val="007E1869"/>
    <w:rsid w:val="008116EB"/>
    <w:rsid w:val="00814E3A"/>
    <w:rsid w:val="00815B10"/>
    <w:rsid w:val="008232F8"/>
    <w:rsid w:val="00843D14"/>
    <w:rsid w:val="008506C9"/>
    <w:rsid w:val="0086415A"/>
    <w:rsid w:val="00867B23"/>
    <w:rsid w:val="00870423"/>
    <w:rsid w:val="00890D01"/>
    <w:rsid w:val="008C1400"/>
    <w:rsid w:val="008C31E2"/>
    <w:rsid w:val="008E60EC"/>
    <w:rsid w:val="008E6EB3"/>
    <w:rsid w:val="008E718A"/>
    <w:rsid w:val="008F226B"/>
    <w:rsid w:val="009054AA"/>
    <w:rsid w:val="00917815"/>
    <w:rsid w:val="009368FF"/>
    <w:rsid w:val="009442E6"/>
    <w:rsid w:val="00946325"/>
    <w:rsid w:val="0095324C"/>
    <w:rsid w:val="00954405"/>
    <w:rsid w:val="00970502"/>
    <w:rsid w:val="00972FDB"/>
    <w:rsid w:val="00974F42"/>
    <w:rsid w:val="009774B4"/>
    <w:rsid w:val="009825E0"/>
    <w:rsid w:val="009832B5"/>
    <w:rsid w:val="00997C48"/>
    <w:rsid w:val="009A205F"/>
    <w:rsid w:val="009A27AD"/>
    <w:rsid w:val="009B27BA"/>
    <w:rsid w:val="009C0F65"/>
    <w:rsid w:val="009C5997"/>
    <w:rsid w:val="009E14BC"/>
    <w:rsid w:val="009F5EC2"/>
    <w:rsid w:val="00A072E2"/>
    <w:rsid w:val="00A430AC"/>
    <w:rsid w:val="00A44FDE"/>
    <w:rsid w:val="00A46CCD"/>
    <w:rsid w:val="00A541DD"/>
    <w:rsid w:val="00A56EBC"/>
    <w:rsid w:val="00A5794A"/>
    <w:rsid w:val="00A67CC1"/>
    <w:rsid w:val="00A82B21"/>
    <w:rsid w:val="00A83F08"/>
    <w:rsid w:val="00A856F3"/>
    <w:rsid w:val="00A85DE8"/>
    <w:rsid w:val="00A87951"/>
    <w:rsid w:val="00AA37AA"/>
    <w:rsid w:val="00AA3CC8"/>
    <w:rsid w:val="00AB5C9D"/>
    <w:rsid w:val="00AC0378"/>
    <w:rsid w:val="00AC26B5"/>
    <w:rsid w:val="00AC4187"/>
    <w:rsid w:val="00AC5B3B"/>
    <w:rsid w:val="00AD1C34"/>
    <w:rsid w:val="00AD2A77"/>
    <w:rsid w:val="00AE532C"/>
    <w:rsid w:val="00B15564"/>
    <w:rsid w:val="00B156FA"/>
    <w:rsid w:val="00B209AF"/>
    <w:rsid w:val="00B248C5"/>
    <w:rsid w:val="00B25907"/>
    <w:rsid w:val="00B33373"/>
    <w:rsid w:val="00B42463"/>
    <w:rsid w:val="00B44CBF"/>
    <w:rsid w:val="00B51E0B"/>
    <w:rsid w:val="00B5272E"/>
    <w:rsid w:val="00B5580F"/>
    <w:rsid w:val="00B55A26"/>
    <w:rsid w:val="00B776C8"/>
    <w:rsid w:val="00B920EA"/>
    <w:rsid w:val="00B9493B"/>
    <w:rsid w:val="00B96E9B"/>
    <w:rsid w:val="00BA212C"/>
    <w:rsid w:val="00BA6629"/>
    <w:rsid w:val="00BB34E6"/>
    <w:rsid w:val="00BC4045"/>
    <w:rsid w:val="00BE3BFD"/>
    <w:rsid w:val="00BF389A"/>
    <w:rsid w:val="00C10399"/>
    <w:rsid w:val="00C13E72"/>
    <w:rsid w:val="00C15DB6"/>
    <w:rsid w:val="00C16704"/>
    <w:rsid w:val="00C16B1D"/>
    <w:rsid w:val="00C24192"/>
    <w:rsid w:val="00C43396"/>
    <w:rsid w:val="00C606D1"/>
    <w:rsid w:val="00C6571B"/>
    <w:rsid w:val="00C657DC"/>
    <w:rsid w:val="00C73BB4"/>
    <w:rsid w:val="00C75D71"/>
    <w:rsid w:val="00C77078"/>
    <w:rsid w:val="00C82AD6"/>
    <w:rsid w:val="00C972CA"/>
    <w:rsid w:val="00CA221B"/>
    <w:rsid w:val="00CA4C26"/>
    <w:rsid w:val="00CB06A5"/>
    <w:rsid w:val="00CB711D"/>
    <w:rsid w:val="00CC0B16"/>
    <w:rsid w:val="00CC2150"/>
    <w:rsid w:val="00CD61D6"/>
    <w:rsid w:val="00D02245"/>
    <w:rsid w:val="00D356C2"/>
    <w:rsid w:val="00D37671"/>
    <w:rsid w:val="00D40DB9"/>
    <w:rsid w:val="00D50DCF"/>
    <w:rsid w:val="00D52743"/>
    <w:rsid w:val="00D600F7"/>
    <w:rsid w:val="00D64540"/>
    <w:rsid w:val="00D709CD"/>
    <w:rsid w:val="00D70B64"/>
    <w:rsid w:val="00D732F2"/>
    <w:rsid w:val="00D85E15"/>
    <w:rsid w:val="00DA78CD"/>
    <w:rsid w:val="00DB4C6B"/>
    <w:rsid w:val="00DC470C"/>
    <w:rsid w:val="00DD2FAA"/>
    <w:rsid w:val="00DE3DD4"/>
    <w:rsid w:val="00DE422F"/>
    <w:rsid w:val="00E02721"/>
    <w:rsid w:val="00E03038"/>
    <w:rsid w:val="00E06C4E"/>
    <w:rsid w:val="00E120AF"/>
    <w:rsid w:val="00E1246D"/>
    <w:rsid w:val="00E14484"/>
    <w:rsid w:val="00E21858"/>
    <w:rsid w:val="00E31DCE"/>
    <w:rsid w:val="00E4710E"/>
    <w:rsid w:val="00E70040"/>
    <w:rsid w:val="00E82F08"/>
    <w:rsid w:val="00E83353"/>
    <w:rsid w:val="00E840CD"/>
    <w:rsid w:val="00EA6F3F"/>
    <w:rsid w:val="00EC07BD"/>
    <w:rsid w:val="00ED341C"/>
    <w:rsid w:val="00EF4FD5"/>
    <w:rsid w:val="00EF5B7B"/>
    <w:rsid w:val="00EF5CBC"/>
    <w:rsid w:val="00F00654"/>
    <w:rsid w:val="00F20ED6"/>
    <w:rsid w:val="00F530BB"/>
    <w:rsid w:val="00F633FD"/>
    <w:rsid w:val="00F659F2"/>
    <w:rsid w:val="00F70C81"/>
    <w:rsid w:val="00F803BA"/>
    <w:rsid w:val="00F84634"/>
    <w:rsid w:val="00F8473E"/>
    <w:rsid w:val="00F95B17"/>
    <w:rsid w:val="00FA45AF"/>
    <w:rsid w:val="00FB3C95"/>
    <w:rsid w:val="00FB6F09"/>
    <w:rsid w:val="00FC31F8"/>
    <w:rsid w:val="00FC380F"/>
    <w:rsid w:val="00FD4151"/>
    <w:rsid w:val="00FD5668"/>
    <w:rsid w:val="00FE659B"/>
    <w:rsid w:val="00FE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5407"/>
  <w15:chartTrackingRefBased/>
  <w15:docId w15:val="{BCC42C6C-41E2-4E70-AFB4-2A979550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24E"/>
  </w:style>
  <w:style w:type="paragraph" w:styleId="Heading1">
    <w:name w:val="heading 1"/>
    <w:basedOn w:val="Normal"/>
    <w:next w:val="Normal"/>
    <w:link w:val="Heading1Char"/>
    <w:uiPriority w:val="9"/>
    <w:qFormat/>
    <w:rsid w:val="00127D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7D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6EB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389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F389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F389A"/>
    <w:rPr>
      <w:vertAlign w:val="superscript"/>
    </w:rPr>
  </w:style>
  <w:style w:type="character" w:customStyle="1" w:styleId="Heading1Char">
    <w:name w:val="Heading 1 Char"/>
    <w:basedOn w:val="DefaultParagraphFont"/>
    <w:link w:val="Heading1"/>
    <w:uiPriority w:val="9"/>
    <w:rsid w:val="00127DEE"/>
    <w:rPr>
      <w:rFonts w:asciiTheme="majorHAnsi" w:eastAsiaTheme="majorEastAsia" w:hAnsiTheme="majorHAnsi" w:cstheme="majorBidi"/>
      <w:color w:val="2F5496" w:themeColor="accent1" w:themeShade="BF"/>
      <w:sz w:val="32"/>
      <w:szCs w:val="32"/>
    </w:rPr>
  </w:style>
  <w:style w:type="paragraph" w:customStyle="1" w:styleId="Headinglevel1">
    <w:name w:val="Heading level 1"/>
    <w:basedOn w:val="Heading1"/>
    <w:link w:val="Headinglevel1Char"/>
    <w:qFormat/>
    <w:rsid w:val="00127DEE"/>
    <w:rPr>
      <w:rFonts w:ascii="Times New Roman" w:hAnsi="Times New Roman"/>
      <w:b/>
      <w:color w:val="auto"/>
      <w:sz w:val="24"/>
    </w:rPr>
  </w:style>
  <w:style w:type="character" w:customStyle="1" w:styleId="Heading2Char">
    <w:name w:val="Heading 2 Char"/>
    <w:basedOn w:val="DefaultParagraphFont"/>
    <w:link w:val="Heading2"/>
    <w:uiPriority w:val="9"/>
    <w:rsid w:val="00127DEE"/>
    <w:rPr>
      <w:rFonts w:asciiTheme="majorHAnsi" w:eastAsiaTheme="majorEastAsia" w:hAnsiTheme="majorHAnsi" w:cstheme="majorBidi"/>
      <w:color w:val="2F5496" w:themeColor="accent1" w:themeShade="BF"/>
      <w:sz w:val="26"/>
      <w:szCs w:val="26"/>
    </w:rPr>
  </w:style>
  <w:style w:type="character" w:customStyle="1" w:styleId="Headinglevel1Char">
    <w:name w:val="Heading level 1 Char"/>
    <w:basedOn w:val="Heading1Char"/>
    <w:link w:val="Headinglevel1"/>
    <w:rsid w:val="00127DEE"/>
    <w:rPr>
      <w:rFonts w:asciiTheme="majorHAnsi" w:eastAsiaTheme="majorEastAsia" w:hAnsiTheme="majorHAnsi" w:cstheme="majorBidi"/>
      <w:b/>
      <w:color w:val="2F5496" w:themeColor="accent1" w:themeShade="BF"/>
      <w:sz w:val="32"/>
      <w:szCs w:val="32"/>
    </w:rPr>
  </w:style>
  <w:style w:type="paragraph" w:customStyle="1" w:styleId="Headinglevel2">
    <w:name w:val="Heading level 2"/>
    <w:basedOn w:val="Heading2"/>
    <w:link w:val="Headinglevel2Char"/>
    <w:qFormat/>
    <w:rsid w:val="00060462"/>
    <w:pPr>
      <w:ind w:left="720"/>
    </w:pPr>
    <w:rPr>
      <w:rFonts w:ascii="Times New Roman" w:hAnsi="Times New Roman"/>
      <w:i/>
      <w:color w:val="auto"/>
      <w:sz w:val="24"/>
    </w:rPr>
  </w:style>
  <w:style w:type="paragraph" w:styleId="ListParagraph">
    <w:name w:val="List Paragraph"/>
    <w:basedOn w:val="Normal"/>
    <w:uiPriority w:val="34"/>
    <w:qFormat/>
    <w:rsid w:val="00044F93"/>
    <w:pPr>
      <w:ind w:left="720"/>
      <w:contextualSpacing/>
    </w:pPr>
  </w:style>
  <w:style w:type="character" w:customStyle="1" w:styleId="Headinglevel2Char">
    <w:name w:val="Heading level 2 Char"/>
    <w:basedOn w:val="Heading2Char"/>
    <w:link w:val="Headinglevel2"/>
    <w:rsid w:val="00060462"/>
    <w:rPr>
      <w:rFonts w:asciiTheme="majorHAnsi" w:eastAsiaTheme="majorEastAsia" w:hAnsiTheme="majorHAnsi" w:cstheme="majorBidi"/>
      <w:i/>
      <w:color w:val="2F5496" w:themeColor="accent1" w:themeShade="BF"/>
      <w:sz w:val="26"/>
      <w:szCs w:val="26"/>
    </w:rPr>
  </w:style>
  <w:style w:type="character" w:styleId="Hyperlink">
    <w:name w:val="Hyperlink"/>
    <w:basedOn w:val="DefaultParagraphFont"/>
    <w:uiPriority w:val="99"/>
    <w:unhideWhenUsed/>
    <w:rsid w:val="00C75D71"/>
    <w:rPr>
      <w:color w:val="0563C1" w:themeColor="hyperlink"/>
      <w:u w:val="single"/>
    </w:rPr>
  </w:style>
  <w:style w:type="character" w:styleId="UnresolvedMention">
    <w:name w:val="Unresolved Mention"/>
    <w:basedOn w:val="DefaultParagraphFont"/>
    <w:uiPriority w:val="99"/>
    <w:semiHidden/>
    <w:unhideWhenUsed/>
    <w:rsid w:val="00C75D71"/>
    <w:rPr>
      <w:color w:val="605E5C"/>
      <w:shd w:val="clear" w:color="auto" w:fill="E1DFDD"/>
    </w:rPr>
  </w:style>
  <w:style w:type="paragraph" w:styleId="TOCHeading">
    <w:name w:val="TOC Heading"/>
    <w:basedOn w:val="Heading1"/>
    <w:next w:val="Normal"/>
    <w:uiPriority w:val="39"/>
    <w:unhideWhenUsed/>
    <w:qFormat/>
    <w:rsid w:val="00CA221B"/>
    <w:pPr>
      <w:outlineLvl w:val="9"/>
    </w:pPr>
  </w:style>
  <w:style w:type="paragraph" w:styleId="TOC1">
    <w:name w:val="toc 1"/>
    <w:basedOn w:val="Normal"/>
    <w:next w:val="Normal"/>
    <w:autoRedefine/>
    <w:uiPriority w:val="39"/>
    <w:unhideWhenUsed/>
    <w:rsid w:val="00B42463"/>
    <w:pPr>
      <w:tabs>
        <w:tab w:val="right" w:leader="dot" w:pos="9350"/>
      </w:tabs>
      <w:spacing w:after="100"/>
    </w:pPr>
    <w:rPr>
      <w:rFonts w:ascii="Arial" w:hAnsi="Arial"/>
    </w:rPr>
  </w:style>
  <w:style w:type="paragraph" w:styleId="TOC2">
    <w:name w:val="toc 2"/>
    <w:basedOn w:val="Normal"/>
    <w:next w:val="Normal"/>
    <w:autoRedefine/>
    <w:uiPriority w:val="39"/>
    <w:unhideWhenUsed/>
    <w:rsid w:val="0040244A"/>
    <w:pPr>
      <w:tabs>
        <w:tab w:val="right" w:leader="dot" w:pos="9350"/>
      </w:tabs>
      <w:spacing w:after="100"/>
      <w:ind w:left="240"/>
    </w:pPr>
  </w:style>
  <w:style w:type="paragraph" w:styleId="Header">
    <w:name w:val="header"/>
    <w:basedOn w:val="Normal"/>
    <w:link w:val="HeaderChar"/>
    <w:uiPriority w:val="99"/>
    <w:unhideWhenUsed/>
    <w:rsid w:val="00A85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DE8"/>
  </w:style>
  <w:style w:type="paragraph" w:styleId="Footer">
    <w:name w:val="footer"/>
    <w:basedOn w:val="Normal"/>
    <w:link w:val="FooterChar"/>
    <w:uiPriority w:val="99"/>
    <w:unhideWhenUsed/>
    <w:rsid w:val="00A85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DE8"/>
  </w:style>
  <w:style w:type="paragraph" w:styleId="Revision">
    <w:name w:val="Revision"/>
    <w:hidden/>
    <w:uiPriority w:val="99"/>
    <w:semiHidden/>
    <w:rsid w:val="00B25907"/>
    <w:pPr>
      <w:spacing w:after="0" w:line="240" w:lineRule="auto"/>
    </w:pPr>
  </w:style>
  <w:style w:type="paragraph" w:styleId="CommentText">
    <w:name w:val="annotation text"/>
    <w:basedOn w:val="Normal"/>
    <w:link w:val="CommentTextChar"/>
    <w:uiPriority w:val="99"/>
    <w:semiHidden/>
    <w:unhideWhenUsed/>
    <w:rsid w:val="001D1975"/>
    <w:pPr>
      <w:spacing w:line="240" w:lineRule="auto"/>
    </w:pPr>
    <w:rPr>
      <w:sz w:val="20"/>
      <w:szCs w:val="20"/>
    </w:rPr>
  </w:style>
  <w:style w:type="character" w:customStyle="1" w:styleId="CommentTextChar">
    <w:name w:val="Comment Text Char"/>
    <w:basedOn w:val="DefaultParagraphFont"/>
    <w:link w:val="CommentText"/>
    <w:uiPriority w:val="99"/>
    <w:semiHidden/>
    <w:rsid w:val="001D1975"/>
    <w:rPr>
      <w:sz w:val="20"/>
      <w:szCs w:val="20"/>
    </w:rPr>
  </w:style>
  <w:style w:type="character" w:styleId="CommentReference">
    <w:name w:val="annotation reference"/>
    <w:basedOn w:val="DefaultParagraphFont"/>
    <w:uiPriority w:val="99"/>
    <w:semiHidden/>
    <w:unhideWhenUsed/>
    <w:rsid w:val="001D1975"/>
    <w:rPr>
      <w:sz w:val="16"/>
      <w:szCs w:val="16"/>
    </w:rPr>
  </w:style>
  <w:style w:type="paragraph" w:styleId="CommentSubject">
    <w:name w:val="annotation subject"/>
    <w:basedOn w:val="CommentText"/>
    <w:next w:val="CommentText"/>
    <w:link w:val="CommentSubjectChar"/>
    <w:uiPriority w:val="99"/>
    <w:semiHidden/>
    <w:unhideWhenUsed/>
    <w:rsid w:val="00C73BB4"/>
    <w:rPr>
      <w:b/>
      <w:bCs/>
    </w:rPr>
  </w:style>
  <w:style w:type="character" w:customStyle="1" w:styleId="CommentSubjectChar">
    <w:name w:val="Comment Subject Char"/>
    <w:basedOn w:val="CommentTextChar"/>
    <w:link w:val="CommentSubject"/>
    <w:uiPriority w:val="99"/>
    <w:semiHidden/>
    <w:rsid w:val="00C73B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85907">
      <w:bodyDiv w:val="1"/>
      <w:marLeft w:val="0"/>
      <w:marRight w:val="0"/>
      <w:marTop w:val="0"/>
      <w:marBottom w:val="0"/>
      <w:divBdr>
        <w:top w:val="none" w:sz="0" w:space="0" w:color="auto"/>
        <w:left w:val="none" w:sz="0" w:space="0" w:color="auto"/>
        <w:bottom w:val="none" w:sz="0" w:space="0" w:color="auto"/>
        <w:right w:val="none" w:sz="0" w:space="0" w:color="auto"/>
      </w:divBdr>
    </w:div>
    <w:div w:id="306281035">
      <w:bodyDiv w:val="1"/>
      <w:marLeft w:val="0"/>
      <w:marRight w:val="0"/>
      <w:marTop w:val="0"/>
      <w:marBottom w:val="0"/>
      <w:divBdr>
        <w:top w:val="none" w:sz="0" w:space="0" w:color="auto"/>
        <w:left w:val="none" w:sz="0" w:space="0" w:color="auto"/>
        <w:bottom w:val="none" w:sz="0" w:space="0" w:color="auto"/>
        <w:right w:val="none" w:sz="0" w:space="0" w:color="auto"/>
      </w:divBdr>
    </w:div>
    <w:div w:id="1044600029">
      <w:bodyDiv w:val="1"/>
      <w:marLeft w:val="0"/>
      <w:marRight w:val="0"/>
      <w:marTop w:val="0"/>
      <w:marBottom w:val="0"/>
      <w:divBdr>
        <w:top w:val="none" w:sz="0" w:space="0" w:color="auto"/>
        <w:left w:val="none" w:sz="0" w:space="0" w:color="auto"/>
        <w:bottom w:val="none" w:sz="0" w:space="0" w:color="auto"/>
        <w:right w:val="none" w:sz="0" w:space="0" w:color="auto"/>
      </w:divBdr>
    </w:div>
    <w:div w:id="1128620312">
      <w:bodyDiv w:val="1"/>
      <w:marLeft w:val="0"/>
      <w:marRight w:val="0"/>
      <w:marTop w:val="0"/>
      <w:marBottom w:val="0"/>
      <w:divBdr>
        <w:top w:val="none" w:sz="0" w:space="0" w:color="auto"/>
        <w:left w:val="none" w:sz="0" w:space="0" w:color="auto"/>
        <w:bottom w:val="none" w:sz="0" w:space="0" w:color="auto"/>
        <w:right w:val="none" w:sz="0" w:space="0" w:color="auto"/>
      </w:divBdr>
    </w:div>
    <w:div w:id="1128820166">
      <w:bodyDiv w:val="1"/>
      <w:marLeft w:val="0"/>
      <w:marRight w:val="0"/>
      <w:marTop w:val="0"/>
      <w:marBottom w:val="0"/>
      <w:divBdr>
        <w:top w:val="none" w:sz="0" w:space="0" w:color="auto"/>
        <w:left w:val="none" w:sz="0" w:space="0" w:color="auto"/>
        <w:bottom w:val="none" w:sz="0" w:space="0" w:color="auto"/>
        <w:right w:val="none" w:sz="0" w:space="0" w:color="auto"/>
      </w:divBdr>
    </w:div>
    <w:div w:id="1145664276">
      <w:bodyDiv w:val="1"/>
      <w:marLeft w:val="0"/>
      <w:marRight w:val="0"/>
      <w:marTop w:val="0"/>
      <w:marBottom w:val="0"/>
      <w:divBdr>
        <w:top w:val="none" w:sz="0" w:space="0" w:color="auto"/>
        <w:left w:val="none" w:sz="0" w:space="0" w:color="auto"/>
        <w:bottom w:val="none" w:sz="0" w:space="0" w:color="auto"/>
        <w:right w:val="none" w:sz="0" w:space="0" w:color="auto"/>
      </w:divBdr>
    </w:div>
    <w:div w:id="1591230349">
      <w:bodyDiv w:val="1"/>
      <w:marLeft w:val="0"/>
      <w:marRight w:val="0"/>
      <w:marTop w:val="0"/>
      <w:marBottom w:val="0"/>
      <w:divBdr>
        <w:top w:val="none" w:sz="0" w:space="0" w:color="auto"/>
        <w:left w:val="none" w:sz="0" w:space="0" w:color="auto"/>
        <w:bottom w:val="none" w:sz="0" w:space="0" w:color="auto"/>
        <w:right w:val="none" w:sz="0" w:space="0" w:color="auto"/>
      </w:divBdr>
    </w:div>
    <w:div w:id="1651397072">
      <w:bodyDiv w:val="1"/>
      <w:marLeft w:val="0"/>
      <w:marRight w:val="0"/>
      <w:marTop w:val="0"/>
      <w:marBottom w:val="0"/>
      <w:divBdr>
        <w:top w:val="none" w:sz="0" w:space="0" w:color="auto"/>
        <w:left w:val="none" w:sz="0" w:space="0" w:color="auto"/>
        <w:bottom w:val="none" w:sz="0" w:space="0" w:color="auto"/>
        <w:right w:val="none" w:sz="0" w:space="0" w:color="auto"/>
      </w:divBdr>
    </w:div>
    <w:div w:id="1668171705">
      <w:bodyDiv w:val="1"/>
      <w:marLeft w:val="0"/>
      <w:marRight w:val="0"/>
      <w:marTop w:val="0"/>
      <w:marBottom w:val="0"/>
      <w:divBdr>
        <w:top w:val="none" w:sz="0" w:space="0" w:color="auto"/>
        <w:left w:val="none" w:sz="0" w:space="0" w:color="auto"/>
        <w:bottom w:val="none" w:sz="0" w:space="0" w:color="auto"/>
        <w:right w:val="none" w:sz="0" w:space="0" w:color="auto"/>
      </w:divBdr>
    </w:div>
    <w:div w:id="196943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van.betterton@igs.com" TargetMode="External"/><Relationship Id="rId18" Type="http://schemas.openxmlformats.org/officeDocument/2006/relationships/hyperlink" Target="mailto:fdarr2019@gmail.com" TargetMode="External"/><Relationship Id="rId26" Type="http://schemas.openxmlformats.org/officeDocument/2006/relationships/hyperlink" Target="mailto:dborchers@bricker.com" TargetMode="External"/><Relationship Id="rId39" Type="http://schemas.openxmlformats.org/officeDocument/2006/relationships/hyperlink" Target="mailto:dparram@bricker.com" TargetMode="External"/><Relationship Id="rId21" Type="http://schemas.openxmlformats.org/officeDocument/2006/relationships/hyperlink" Target="mailto:egallon@porterwright.com" TargetMode="External"/><Relationship Id="rId34" Type="http://schemas.openxmlformats.org/officeDocument/2006/relationships/hyperlink" Target="mailto:rglover@mcneeslaw.com" TargetMode="External"/><Relationship Id="rId42" Type="http://schemas.openxmlformats.org/officeDocument/2006/relationships/hyperlink" Target="mailto:fykes@whitt-sturtevant.com" TargetMode="External"/><Relationship Id="rId47" Type="http://schemas.openxmlformats.org/officeDocument/2006/relationships/hyperlink" Target="mailto:glpetrucci@vorys.com" TargetMode="External"/><Relationship Id="rId50" Type="http://schemas.openxmlformats.org/officeDocument/2006/relationships/hyperlink" Target="mailto:ccox@elpc.org" TargetMode="External"/><Relationship Id="rId55" Type="http://schemas.openxmlformats.org/officeDocument/2006/relationships/hyperlink" Target="mailto:kboehm@BKLlawfirm.com" TargetMode="External"/><Relationship Id="rId63" Type="http://schemas.openxmlformats.org/officeDocument/2006/relationships/hyperlink" Target="mailto:hogan@litohio.com"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joe.oliker@igs.com" TargetMode="External"/><Relationship Id="rId29" Type="http://schemas.openxmlformats.org/officeDocument/2006/relationships/hyperlink" Target="mailto:Donadio@carpenterlipp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el.nugent@igs.com" TargetMode="External"/><Relationship Id="rId24" Type="http://schemas.openxmlformats.org/officeDocument/2006/relationships/hyperlink" Target="mailto:kyle.kern@ohioAGO.gov" TargetMode="External"/><Relationship Id="rId32" Type="http://schemas.openxmlformats.org/officeDocument/2006/relationships/hyperlink" Target="mailto:lmckenna@keyesfox.com" TargetMode="External"/><Relationship Id="rId37" Type="http://schemas.openxmlformats.org/officeDocument/2006/relationships/hyperlink" Target="mailto:mleppla@theOEC.org" TargetMode="External"/><Relationship Id="rId40" Type="http://schemas.openxmlformats.org/officeDocument/2006/relationships/hyperlink" Target="mailto:rmains@bricker.com" TargetMode="External"/><Relationship Id="rId45" Type="http://schemas.openxmlformats.org/officeDocument/2006/relationships/hyperlink" Target="mailto:Stephen.Chriss@walmart.com" TargetMode="External"/><Relationship Id="rId53" Type="http://schemas.openxmlformats.org/officeDocument/2006/relationships/hyperlink" Target="mailto:paul@carpenterlipps.com" TargetMode="External"/><Relationship Id="rId58" Type="http://schemas.openxmlformats.org/officeDocument/2006/relationships/hyperlink" Target="mailto:mmcdonnell@dickinsonwright.com" TargetMode="External"/><Relationship Id="rId66" Type="http://schemas.openxmlformats.org/officeDocument/2006/relationships/hyperlink" Target="mailto:ktreadway@oneenergyllc.com" TargetMode="External"/><Relationship Id="rId5" Type="http://schemas.openxmlformats.org/officeDocument/2006/relationships/numbering" Target="numbering.xml"/><Relationship Id="rId15" Type="http://schemas.openxmlformats.org/officeDocument/2006/relationships/hyperlink" Target="mailto:Michael.nugent@igs.com" TargetMode="External"/><Relationship Id="rId23" Type="http://schemas.openxmlformats.org/officeDocument/2006/relationships/hyperlink" Target="mailto:werner.margard@ohioAGO.gov" TargetMode="External"/><Relationship Id="rId28" Type="http://schemas.openxmlformats.org/officeDocument/2006/relationships/hyperlink" Target="mailto:Bojko@carpenterlipps.com" TargetMode="External"/><Relationship Id="rId36" Type="http://schemas.openxmlformats.org/officeDocument/2006/relationships/hyperlink" Target="mailto:rdove@keglerbrown.com" TargetMode="External"/><Relationship Id="rId49" Type="http://schemas.openxmlformats.org/officeDocument/2006/relationships/hyperlink" Target="mailto:dromig@armadapower.com" TargetMode="External"/><Relationship Id="rId57" Type="http://schemas.openxmlformats.org/officeDocument/2006/relationships/hyperlink" Target="mailto:mfleisher@dickinsonwright.com" TargetMode="External"/><Relationship Id="rId61" Type="http://schemas.openxmlformats.org/officeDocument/2006/relationships/hyperlink" Target="mailto:john.finnigan@occ.ohio.gov" TargetMode="External"/><Relationship Id="rId10" Type="http://schemas.openxmlformats.org/officeDocument/2006/relationships/endnotes" Target="endnotes.xml"/><Relationship Id="rId19" Type="http://schemas.openxmlformats.org/officeDocument/2006/relationships/hyperlink" Target="mailto:stnourse@aep.com" TargetMode="External"/><Relationship Id="rId31" Type="http://schemas.openxmlformats.org/officeDocument/2006/relationships/hyperlink" Target="mailto:azaloga@keyesfox.com" TargetMode="External"/><Relationship Id="rId44" Type="http://schemas.openxmlformats.org/officeDocument/2006/relationships/hyperlink" Target="mailto:dwilliamson@spilmanlaw.com" TargetMode="External"/><Relationship Id="rId52" Type="http://schemas.openxmlformats.org/officeDocument/2006/relationships/hyperlink" Target="mailto:rlazer@elpc.org" TargetMode="External"/><Relationship Id="rId60" Type="http://schemas.openxmlformats.org/officeDocument/2006/relationships/hyperlink" Target="mailto:christopher.healey@occ.ohio.gov" TargetMode="External"/><Relationship Id="rId65" Type="http://schemas.openxmlformats.org/officeDocument/2006/relationships/hyperlink" Target="mailto:mwarnock@bricke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darr2019@gmail.com" TargetMode="External"/><Relationship Id="rId22" Type="http://schemas.openxmlformats.org/officeDocument/2006/relationships/hyperlink" Target="mailto:christopher.miller@icemiller.com" TargetMode="External"/><Relationship Id="rId27" Type="http://schemas.openxmlformats.org/officeDocument/2006/relationships/hyperlink" Target="mailto:kherrnstein@bricker.com" TargetMode="External"/><Relationship Id="rId30" Type="http://schemas.openxmlformats.org/officeDocument/2006/relationships/hyperlink" Target="mailto:jschlesinger@keyesfox.com" TargetMode="External"/><Relationship Id="rId35" Type="http://schemas.openxmlformats.org/officeDocument/2006/relationships/hyperlink" Target="mailto:bmckenney@mcneeslaw.com" TargetMode="External"/><Relationship Id="rId43" Type="http://schemas.openxmlformats.org/officeDocument/2006/relationships/hyperlink" Target="mailto:cgrundmann@spilmanlaw.com" TargetMode="External"/><Relationship Id="rId48" Type="http://schemas.openxmlformats.org/officeDocument/2006/relationships/hyperlink" Target="mailto:eowoyt@vorys.com" TargetMode="External"/><Relationship Id="rId56" Type="http://schemas.openxmlformats.org/officeDocument/2006/relationships/hyperlink" Target="mailto:jkylercohn@BKLlawfirm.com" TargetMode="External"/><Relationship Id="rId64" Type="http://schemas.openxmlformats.org/officeDocument/2006/relationships/hyperlink" Target="mailto:dstinson@bricker.com"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rkelter@elpc.org" TargetMode="External"/><Relationship Id="rId3" Type="http://schemas.openxmlformats.org/officeDocument/2006/relationships/customXml" Target="../customXml/item3.xml"/><Relationship Id="rId12" Type="http://schemas.openxmlformats.org/officeDocument/2006/relationships/hyperlink" Target="mailto:joe.oliker@igs.com" TargetMode="External"/><Relationship Id="rId17" Type="http://schemas.openxmlformats.org/officeDocument/2006/relationships/hyperlink" Target="mailto:Evan.betterton@igs.com" TargetMode="External"/><Relationship Id="rId25" Type="http://schemas.openxmlformats.org/officeDocument/2006/relationships/hyperlink" Target="mailto:thomas.shepherd@ohioAGO.gov" TargetMode="External"/><Relationship Id="rId33" Type="http://schemas.openxmlformats.org/officeDocument/2006/relationships/hyperlink" Target="mailto:mpritchard@mcneeslaw.com" TargetMode="External"/><Relationship Id="rId38" Type="http://schemas.openxmlformats.org/officeDocument/2006/relationships/hyperlink" Target="mailto:ctavenor@theOEC.org" TargetMode="External"/><Relationship Id="rId46" Type="http://schemas.openxmlformats.org/officeDocument/2006/relationships/hyperlink" Target="mailto:mjsettineri@vorys.com" TargetMode="External"/><Relationship Id="rId59" Type="http://schemas.openxmlformats.org/officeDocument/2006/relationships/hyperlink" Target="mailto:angela.obrien@occ.ohio.gov" TargetMode="External"/><Relationship Id="rId67" Type="http://schemas.openxmlformats.org/officeDocument/2006/relationships/footer" Target="footer1.xml"/><Relationship Id="rId20" Type="http://schemas.openxmlformats.org/officeDocument/2006/relationships/hyperlink" Target="mailto:cmblend@aep.com" TargetMode="External"/><Relationship Id="rId41" Type="http://schemas.openxmlformats.org/officeDocument/2006/relationships/hyperlink" Target="mailto:whitt@whitt-sturtevant.com" TargetMode="External"/><Relationship Id="rId54" Type="http://schemas.openxmlformats.org/officeDocument/2006/relationships/hyperlink" Target="mailto:mkurtz@BKLlawfirm.com" TargetMode="External"/><Relationship Id="rId62" Type="http://schemas.openxmlformats.org/officeDocument/2006/relationships/hyperlink" Target="mailto:little@litoh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490B4B1D1CD1469D58A73C3752BEE8" ma:contentTypeVersion="14" ma:contentTypeDescription="Create a new document." ma:contentTypeScope="" ma:versionID="421859cb1d2d7221bdc2f60761454708">
  <xsd:schema xmlns:xsd="http://www.w3.org/2001/XMLSchema" xmlns:xs="http://www.w3.org/2001/XMLSchema" xmlns:p="http://schemas.microsoft.com/office/2006/metadata/properties" xmlns:ns3="d3767324-647a-44e7-a625-7e02c35d2674" xmlns:ns4="360d40b7-39f5-484b-a64c-be2c60a4ee2a" targetNamespace="http://schemas.microsoft.com/office/2006/metadata/properties" ma:root="true" ma:fieldsID="5d72d0052e664e6a0b08b31c42842782" ns3:_="" ns4:_="">
    <xsd:import namespace="d3767324-647a-44e7-a625-7e02c35d2674"/>
    <xsd:import namespace="360d40b7-39f5-484b-a64c-be2c60a4ee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67324-647a-44e7-a625-7e02c35d2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0d40b7-39f5-484b-a64c-be2c60a4ee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1E354-3E66-4391-B8B3-922D28ADD0F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3767324-647a-44e7-a625-7e02c35d2674"/>
    <ds:schemaRef ds:uri="http://purl.org/dc/terms/"/>
    <ds:schemaRef ds:uri="http://schemas.openxmlformats.org/package/2006/metadata/core-properties"/>
    <ds:schemaRef ds:uri="360d40b7-39f5-484b-a64c-be2c60a4ee2a"/>
    <ds:schemaRef ds:uri="http://www.w3.org/XML/1998/namespace"/>
    <ds:schemaRef ds:uri="http://purl.org/dc/dcmitype/"/>
  </ds:schemaRefs>
</ds:datastoreItem>
</file>

<file path=customXml/itemProps2.xml><?xml version="1.0" encoding="utf-8"?>
<ds:datastoreItem xmlns:ds="http://schemas.openxmlformats.org/officeDocument/2006/customXml" ds:itemID="{D05FA3BE-6831-4B0B-8CE9-05A6BE269A40}">
  <ds:schemaRefs>
    <ds:schemaRef ds:uri="http://schemas.microsoft.com/sharepoint/v3/contenttype/forms"/>
  </ds:schemaRefs>
</ds:datastoreItem>
</file>

<file path=customXml/itemProps3.xml><?xml version="1.0" encoding="utf-8"?>
<ds:datastoreItem xmlns:ds="http://schemas.openxmlformats.org/officeDocument/2006/customXml" ds:itemID="{9BEF64B0-71FC-42C0-8263-0693BBC8D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67324-647a-44e7-a625-7e02c35d2674"/>
    <ds:schemaRef ds:uri="360d40b7-39f5-484b-a64c-be2c60a4e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8285D-FE29-4C02-B194-8429151D2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42</Pages>
  <Words>10545</Words>
  <Characters>60113</Characters>
  <Application>Microsoft Office Word</Application>
  <DocSecurity>4</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70517</CharactersWithSpaces>
  <SharedDoc>false</SharedDoc>
  <HLinks>
    <vt:vector size="426" baseType="variant">
      <vt:variant>
        <vt:i4>5636219</vt:i4>
      </vt:variant>
      <vt:variant>
        <vt:i4>258</vt:i4>
      </vt:variant>
      <vt:variant>
        <vt:i4>0</vt:i4>
      </vt:variant>
      <vt:variant>
        <vt:i4>5</vt:i4>
      </vt:variant>
      <vt:variant>
        <vt:lpwstr>mailto:ktreadway@oneenergyllc.com</vt:lpwstr>
      </vt:variant>
      <vt:variant>
        <vt:lpwstr/>
      </vt:variant>
      <vt:variant>
        <vt:i4>1441850</vt:i4>
      </vt:variant>
      <vt:variant>
        <vt:i4>255</vt:i4>
      </vt:variant>
      <vt:variant>
        <vt:i4>0</vt:i4>
      </vt:variant>
      <vt:variant>
        <vt:i4>5</vt:i4>
      </vt:variant>
      <vt:variant>
        <vt:lpwstr>mailto:mwarnock@bricker.com</vt:lpwstr>
      </vt:variant>
      <vt:variant>
        <vt:lpwstr/>
      </vt:variant>
      <vt:variant>
        <vt:i4>393276</vt:i4>
      </vt:variant>
      <vt:variant>
        <vt:i4>252</vt:i4>
      </vt:variant>
      <vt:variant>
        <vt:i4>0</vt:i4>
      </vt:variant>
      <vt:variant>
        <vt:i4>5</vt:i4>
      </vt:variant>
      <vt:variant>
        <vt:lpwstr>mailto:dstinson@bricker.com</vt:lpwstr>
      </vt:variant>
      <vt:variant>
        <vt:lpwstr/>
      </vt:variant>
      <vt:variant>
        <vt:i4>1179690</vt:i4>
      </vt:variant>
      <vt:variant>
        <vt:i4>249</vt:i4>
      </vt:variant>
      <vt:variant>
        <vt:i4>0</vt:i4>
      </vt:variant>
      <vt:variant>
        <vt:i4>5</vt:i4>
      </vt:variant>
      <vt:variant>
        <vt:lpwstr>mailto:hogan@litohio.com</vt:lpwstr>
      </vt:variant>
      <vt:variant>
        <vt:lpwstr/>
      </vt:variant>
      <vt:variant>
        <vt:i4>7864398</vt:i4>
      </vt:variant>
      <vt:variant>
        <vt:i4>246</vt:i4>
      </vt:variant>
      <vt:variant>
        <vt:i4>0</vt:i4>
      </vt:variant>
      <vt:variant>
        <vt:i4>5</vt:i4>
      </vt:variant>
      <vt:variant>
        <vt:lpwstr>mailto:little@litohio.com</vt:lpwstr>
      </vt:variant>
      <vt:variant>
        <vt:lpwstr/>
      </vt:variant>
      <vt:variant>
        <vt:i4>720934</vt:i4>
      </vt:variant>
      <vt:variant>
        <vt:i4>243</vt:i4>
      </vt:variant>
      <vt:variant>
        <vt:i4>0</vt:i4>
      </vt:variant>
      <vt:variant>
        <vt:i4>5</vt:i4>
      </vt:variant>
      <vt:variant>
        <vt:lpwstr>mailto:john.finnigan@occ.ohio.gov</vt:lpwstr>
      </vt:variant>
      <vt:variant>
        <vt:lpwstr/>
      </vt:variant>
      <vt:variant>
        <vt:i4>131135</vt:i4>
      </vt:variant>
      <vt:variant>
        <vt:i4>240</vt:i4>
      </vt:variant>
      <vt:variant>
        <vt:i4>0</vt:i4>
      </vt:variant>
      <vt:variant>
        <vt:i4>5</vt:i4>
      </vt:variant>
      <vt:variant>
        <vt:lpwstr>mailto:christopher.healey@occ.ohio.gov</vt:lpwstr>
      </vt:variant>
      <vt:variant>
        <vt:lpwstr/>
      </vt:variant>
      <vt:variant>
        <vt:i4>524341</vt:i4>
      </vt:variant>
      <vt:variant>
        <vt:i4>237</vt:i4>
      </vt:variant>
      <vt:variant>
        <vt:i4>0</vt:i4>
      </vt:variant>
      <vt:variant>
        <vt:i4>5</vt:i4>
      </vt:variant>
      <vt:variant>
        <vt:lpwstr>mailto:angela.obrien@occ.ohio.gov</vt:lpwstr>
      </vt:variant>
      <vt:variant>
        <vt:lpwstr/>
      </vt:variant>
      <vt:variant>
        <vt:i4>7667797</vt:i4>
      </vt:variant>
      <vt:variant>
        <vt:i4>234</vt:i4>
      </vt:variant>
      <vt:variant>
        <vt:i4>0</vt:i4>
      </vt:variant>
      <vt:variant>
        <vt:i4>5</vt:i4>
      </vt:variant>
      <vt:variant>
        <vt:lpwstr>mailto:mmcdonnell@dickinsonwright.com</vt:lpwstr>
      </vt:variant>
      <vt:variant>
        <vt:lpwstr/>
      </vt:variant>
      <vt:variant>
        <vt:i4>786475</vt:i4>
      </vt:variant>
      <vt:variant>
        <vt:i4>231</vt:i4>
      </vt:variant>
      <vt:variant>
        <vt:i4>0</vt:i4>
      </vt:variant>
      <vt:variant>
        <vt:i4>5</vt:i4>
      </vt:variant>
      <vt:variant>
        <vt:lpwstr>mailto:mfleisher@dickinsonwright.com</vt:lpwstr>
      </vt:variant>
      <vt:variant>
        <vt:lpwstr/>
      </vt:variant>
      <vt:variant>
        <vt:i4>2424836</vt:i4>
      </vt:variant>
      <vt:variant>
        <vt:i4>228</vt:i4>
      </vt:variant>
      <vt:variant>
        <vt:i4>0</vt:i4>
      </vt:variant>
      <vt:variant>
        <vt:i4>5</vt:i4>
      </vt:variant>
      <vt:variant>
        <vt:lpwstr>mailto:jkylercohn@BKLlawfirm.com</vt:lpwstr>
      </vt:variant>
      <vt:variant>
        <vt:lpwstr/>
      </vt:variant>
      <vt:variant>
        <vt:i4>3407898</vt:i4>
      </vt:variant>
      <vt:variant>
        <vt:i4>225</vt:i4>
      </vt:variant>
      <vt:variant>
        <vt:i4>0</vt:i4>
      </vt:variant>
      <vt:variant>
        <vt:i4>5</vt:i4>
      </vt:variant>
      <vt:variant>
        <vt:lpwstr>mailto:kboehm@BKLlawfirm.com</vt:lpwstr>
      </vt:variant>
      <vt:variant>
        <vt:lpwstr/>
      </vt:variant>
      <vt:variant>
        <vt:i4>3407891</vt:i4>
      </vt:variant>
      <vt:variant>
        <vt:i4>222</vt:i4>
      </vt:variant>
      <vt:variant>
        <vt:i4>0</vt:i4>
      </vt:variant>
      <vt:variant>
        <vt:i4>5</vt:i4>
      </vt:variant>
      <vt:variant>
        <vt:lpwstr>mailto:mkurtz@BKLlawfirm.com</vt:lpwstr>
      </vt:variant>
      <vt:variant>
        <vt:lpwstr/>
      </vt:variant>
      <vt:variant>
        <vt:i4>6029421</vt:i4>
      </vt:variant>
      <vt:variant>
        <vt:i4>219</vt:i4>
      </vt:variant>
      <vt:variant>
        <vt:i4>0</vt:i4>
      </vt:variant>
      <vt:variant>
        <vt:i4>5</vt:i4>
      </vt:variant>
      <vt:variant>
        <vt:lpwstr>mailto:paul@carpenterlipps.com</vt:lpwstr>
      </vt:variant>
      <vt:variant>
        <vt:lpwstr/>
      </vt:variant>
      <vt:variant>
        <vt:i4>5439591</vt:i4>
      </vt:variant>
      <vt:variant>
        <vt:i4>216</vt:i4>
      </vt:variant>
      <vt:variant>
        <vt:i4>0</vt:i4>
      </vt:variant>
      <vt:variant>
        <vt:i4>5</vt:i4>
      </vt:variant>
      <vt:variant>
        <vt:lpwstr>mailto:rlazer@elpc.org</vt:lpwstr>
      </vt:variant>
      <vt:variant>
        <vt:lpwstr/>
      </vt:variant>
      <vt:variant>
        <vt:i4>3801096</vt:i4>
      </vt:variant>
      <vt:variant>
        <vt:i4>213</vt:i4>
      </vt:variant>
      <vt:variant>
        <vt:i4>0</vt:i4>
      </vt:variant>
      <vt:variant>
        <vt:i4>5</vt:i4>
      </vt:variant>
      <vt:variant>
        <vt:lpwstr>mailto:rkelter@elpc.org</vt:lpwstr>
      </vt:variant>
      <vt:variant>
        <vt:lpwstr/>
      </vt:variant>
      <vt:variant>
        <vt:i4>2687000</vt:i4>
      </vt:variant>
      <vt:variant>
        <vt:i4>210</vt:i4>
      </vt:variant>
      <vt:variant>
        <vt:i4>0</vt:i4>
      </vt:variant>
      <vt:variant>
        <vt:i4>5</vt:i4>
      </vt:variant>
      <vt:variant>
        <vt:lpwstr>mailto:ccox@elpc.org</vt:lpwstr>
      </vt:variant>
      <vt:variant>
        <vt:lpwstr/>
      </vt:variant>
      <vt:variant>
        <vt:i4>7929932</vt:i4>
      </vt:variant>
      <vt:variant>
        <vt:i4>207</vt:i4>
      </vt:variant>
      <vt:variant>
        <vt:i4>0</vt:i4>
      </vt:variant>
      <vt:variant>
        <vt:i4>5</vt:i4>
      </vt:variant>
      <vt:variant>
        <vt:lpwstr>mailto:dromig@armadapower.com</vt:lpwstr>
      </vt:variant>
      <vt:variant>
        <vt:lpwstr/>
      </vt:variant>
      <vt:variant>
        <vt:i4>1966122</vt:i4>
      </vt:variant>
      <vt:variant>
        <vt:i4>204</vt:i4>
      </vt:variant>
      <vt:variant>
        <vt:i4>0</vt:i4>
      </vt:variant>
      <vt:variant>
        <vt:i4>5</vt:i4>
      </vt:variant>
      <vt:variant>
        <vt:lpwstr>mailto:eowoyt@vorys.com</vt:lpwstr>
      </vt:variant>
      <vt:variant>
        <vt:lpwstr/>
      </vt:variant>
      <vt:variant>
        <vt:i4>47</vt:i4>
      </vt:variant>
      <vt:variant>
        <vt:i4>201</vt:i4>
      </vt:variant>
      <vt:variant>
        <vt:i4>0</vt:i4>
      </vt:variant>
      <vt:variant>
        <vt:i4>5</vt:i4>
      </vt:variant>
      <vt:variant>
        <vt:lpwstr>mailto:glpetrucci@vorys.com</vt:lpwstr>
      </vt:variant>
      <vt:variant>
        <vt:lpwstr/>
      </vt:variant>
      <vt:variant>
        <vt:i4>1310778</vt:i4>
      </vt:variant>
      <vt:variant>
        <vt:i4>198</vt:i4>
      </vt:variant>
      <vt:variant>
        <vt:i4>0</vt:i4>
      </vt:variant>
      <vt:variant>
        <vt:i4>5</vt:i4>
      </vt:variant>
      <vt:variant>
        <vt:lpwstr>mailto:mjsettineri@vorys.com</vt:lpwstr>
      </vt:variant>
      <vt:variant>
        <vt:lpwstr/>
      </vt:variant>
      <vt:variant>
        <vt:i4>7274522</vt:i4>
      </vt:variant>
      <vt:variant>
        <vt:i4>195</vt:i4>
      </vt:variant>
      <vt:variant>
        <vt:i4>0</vt:i4>
      </vt:variant>
      <vt:variant>
        <vt:i4>5</vt:i4>
      </vt:variant>
      <vt:variant>
        <vt:lpwstr>mailto:Stephen.Chriss@walmart.com</vt:lpwstr>
      </vt:variant>
      <vt:variant>
        <vt:lpwstr/>
      </vt:variant>
      <vt:variant>
        <vt:i4>4587647</vt:i4>
      </vt:variant>
      <vt:variant>
        <vt:i4>192</vt:i4>
      </vt:variant>
      <vt:variant>
        <vt:i4>0</vt:i4>
      </vt:variant>
      <vt:variant>
        <vt:i4>5</vt:i4>
      </vt:variant>
      <vt:variant>
        <vt:lpwstr>mailto:dwilliamson@spilmanlaw.com</vt:lpwstr>
      </vt:variant>
      <vt:variant>
        <vt:lpwstr/>
      </vt:variant>
      <vt:variant>
        <vt:i4>3538954</vt:i4>
      </vt:variant>
      <vt:variant>
        <vt:i4>189</vt:i4>
      </vt:variant>
      <vt:variant>
        <vt:i4>0</vt:i4>
      </vt:variant>
      <vt:variant>
        <vt:i4>5</vt:i4>
      </vt:variant>
      <vt:variant>
        <vt:lpwstr>mailto:cgrundmann@spilmanlaw.com</vt:lpwstr>
      </vt:variant>
      <vt:variant>
        <vt:lpwstr/>
      </vt:variant>
      <vt:variant>
        <vt:i4>6094898</vt:i4>
      </vt:variant>
      <vt:variant>
        <vt:i4>186</vt:i4>
      </vt:variant>
      <vt:variant>
        <vt:i4>0</vt:i4>
      </vt:variant>
      <vt:variant>
        <vt:i4>5</vt:i4>
      </vt:variant>
      <vt:variant>
        <vt:lpwstr>mailto:fykes@whitt-sturtevant.com</vt:lpwstr>
      </vt:variant>
      <vt:variant>
        <vt:lpwstr/>
      </vt:variant>
      <vt:variant>
        <vt:i4>4784178</vt:i4>
      </vt:variant>
      <vt:variant>
        <vt:i4>183</vt:i4>
      </vt:variant>
      <vt:variant>
        <vt:i4>0</vt:i4>
      </vt:variant>
      <vt:variant>
        <vt:i4>5</vt:i4>
      </vt:variant>
      <vt:variant>
        <vt:lpwstr>mailto:whitt@whitt-sturtevant.com</vt:lpwstr>
      </vt:variant>
      <vt:variant>
        <vt:lpwstr/>
      </vt:variant>
      <vt:variant>
        <vt:i4>6946892</vt:i4>
      </vt:variant>
      <vt:variant>
        <vt:i4>180</vt:i4>
      </vt:variant>
      <vt:variant>
        <vt:i4>0</vt:i4>
      </vt:variant>
      <vt:variant>
        <vt:i4>5</vt:i4>
      </vt:variant>
      <vt:variant>
        <vt:lpwstr>mailto:rmains@bricker.com</vt:lpwstr>
      </vt:variant>
      <vt:variant>
        <vt:lpwstr/>
      </vt:variant>
      <vt:variant>
        <vt:i4>6553692</vt:i4>
      </vt:variant>
      <vt:variant>
        <vt:i4>177</vt:i4>
      </vt:variant>
      <vt:variant>
        <vt:i4>0</vt:i4>
      </vt:variant>
      <vt:variant>
        <vt:i4>5</vt:i4>
      </vt:variant>
      <vt:variant>
        <vt:lpwstr>mailto:dparram@bricker.com</vt:lpwstr>
      </vt:variant>
      <vt:variant>
        <vt:lpwstr/>
      </vt:variant>
      <vt:variant>
        <vt:i4>4587644</vt:i4>
      </vt:variant>
      <vt:variant>
        <vt:i4>174</vt:i4>
      </vt:variant>
      <vt:variant>
        <vt:i4>0</vt:i4>
      </vt:variant>
      <vt:variant>
        <vt:i4>5</vt:i4>
      </vt:variant>
      <vt:variant>
        <vt:lpwstr>mailto:ctavenor@theOEC.org</vt:lpwstr>
      </vt:variant>
      <vt:variant>
        <vt:lpwstr/>
      </vt:variant>
      <vt:variant>
        <vt:i4>5439601</vt:i4>
      </vt:variant>
      <vt:variant>
        <vt:i4>171</vt:i4>
      </vt:variant>
      <vt:variant>
        <vt:i4>0</vt:i4>
      </vt:variant>
      <vt:variant>
        <vt:i4>5</vt:i4>
      </vt:variant>
      <vt:variant>
        <vt:lpwstr>mailto:mleppla@theOEC.org</vt:lpwstr>
      </vt:variant>
      <vt:variant>
        <vt:lpwstr/>
      </vt:variant>
      <vt:variant>
        <vt:i4>1966119</vt:i4>
      </vt:variant>
      <vt:variant>
        <vt:i4>168</vt:i4>
      </vt:variant>
      <vt:variant>
        <vt:i4>0</vt:i4>
      </vt:variant>
      <vt:variant>
        <vt:i4>5</vt:i4>
      </vt:variant>
      <vt:variant>
        <vt:lpwstr>mailto:rdove@keglerbrown.com</vt:lpwstr>
      </vt:variant>
      <vt:variant>
        <vt:lpwstr/>
      </vt:variant>
      <vt:variant>
        <vt:i4>6422610</vt:i4>
      </vt:variant>
      <vt:variant>
        <vt:i4>165</vt:i4>
      </vt:variant>
      <vt:variant>
        <vt:i4>0</vt:i4>
      </vt:variant>
      <vt:variant>
        <vt:i4>5</vt:i4>
      </vt:variant>
      <vt:variant>
        <vt:lpwstr>mailto:bmckenney@mcneeslaw.com</vt:lpwstr>
      </vt:variant>
      <vt:variant>
        <vt:lpwstr/>
      </vt:variant>
      <vt:variant>
        <vt:i4>720946</vt:i4>
      </vt:variant>
      <vt:variant>
        <vt:i4>162</vt:i4>
      </vt:variant>
      <vt:variant>
        <vt:i4>0</vt:i4>
      </vt:variant>
      <vt:variant>
        <vt:i4>5</vt:i4>
      </vt:variant>
      <vt:variant>
        <vt:lpwstr>mailto:rglover@mcneeslaw.com</vt:lpwstr>
      </vt:variant>
      <vt:variant>
        <vt:lpwstr/>
      </vt:variant>
      <vt:variant>
        <vt:i4>393259</vt:i4>
      </vt:variant>
      <vt:variant>
        <vt:i4>159</vt:i4>
      </vt:variant>
      <vt:variant>
        <vt:i4>0</vt:i4>
      </vt:variant>
      <vt:variant>
        <vt:i4>5</vt:i4>
      </vt:variant>
      <vt:variant>
        <vt:lpwstr>mailto:mpritchard@mcneeslaw.com</vt:lpwstr>
      </vt:variant>
      <vt:variant>
        <vt:lpwstr/>
      </vt:variant>
      <vt:variant>
        <vt:i4>3538956</vt:i4>
      </vt:variant>
      <vt:variant>
        <vt:i4>156</vt:i4>
      </vt:variant>
      <vt:variant>
        <vt:i4>0</vt:i4>
      </vt:variant>
      <vt:variant>
        <vt:i4>5</vt:i4>
      </vt:variant>
      <vt:variant>
        <vt:lpwstr>mailto:lmckenna@keyesfox.com</vt:lpwstr>
      </vt:variant>
      <vt:variant>
        <vt:lpwstr/>
      </vt:variant>
      <vt:variant>
        <vt:i4>2293766</vt:i4>
      </vt:variant>
      <vt:variant>
        <vt:i4>153</vt:i4>
      </vt:variant>
      <vt:variant>
        <vt:i4>0</vt:i4>
      </vt:variant>
      <vt:variant>
        <vt:i4>5</vt:i4>
      </vt:variant>
      <vt:variant>
        <vt:lpwstr>mailto:azaloga@keyesfox.com</vt:lpwstr>
      </vt:variant>
      <vt:variant>
        <vt:lpwstr/>
      </vt:variant>
      <vt:variant>
        <vt:i4>3080199</vt:i4>
      </vt:variant>
      <vt:variant>
        <vt:i4>150</vt:i4>
      </vt:variant>
      <vt:variant>
        <vt:i4>0</vt:i4>
      </vt:variant>
      <vt:variant>
        <vt:i4>5</vt:i4>
      </vt:variant>
      <vt:variant>
        <vt:lpwstr>mailto:jschlesinger@keyesfox.com</vt:lpwstr>
      </vt:variant>
      <vt:variant>
        <vt:lpwstr/>
      </vt:variant>
      <vt:variant>
        <vt:i4>4784251</vt:i4>
      </vt:variant>
      <vt:variant>
        <vt:i4>147</vt:i4>
      </vt:variant>
      <vt:variant>
        <vt:i4>0</vt:i4>
      </vt:variant>
      <vt:variant>
        <vt:i4>5</vt:i4>
      </vt:variant>
      <vt:variant>
        <vt:lpwstr>mailto:Donadio@carpenterlipps.com</vt:lpwstr>
      </vt:variant>
      <vt:variant>
        <vt:lpwstr/>
      </vt:variant>
      <vt:variant>
        <vt:i4>3080216</vt:i4>
      </vt:variant>
      <vt:variant>
        <vt:i4>144</vt:i4>
      </vt:variant>
      <vt:variant>
        <vt:i4>0</vt:i4>
      </vt:variant>
      <vt:variant>
        <vt:i4>5</vt:i4>
      </vt:variant>
      <vt:variant>
        <vt:lpwstr>mailto:Bojko@carpenterlipps.com</vt:lpwstr>
      </vt:variant>
      <vt:variant>
        <vt:lpwstr/>
      </vt:variant>
      <vt:variant>
        <vt:i4>7995478</vt:i4>
      </vt:variant>
      <vt:variant>
        <vt:i4>141</vt:i4>
      </vt:variant>
      <vt:variant>
        <vt:i4>0</vt:i4>
      </vt:variant>
      <vt:variant>
        <vt:i4>5</vt:i4>
      </vt:variant>
      <vt:variant>
        <vt:lpwstr>mailto:kherrnstein@bricker.com</vt:lpwstr>
      </vt:variant>
      <vt:variant>
        <vt:lpwstr/>
      </vt:variant>
      <vt:variant>
        <vt:i4>53</vt:i4>
      </vt:variant>
      <vt:variant>
        <vt:i4>138</vt:i4>
      </vt:variant>
      <vt:variant>
        <vt:i4>0</vt:i4>
      </vt:variant>
      <vt:variant>
        <vt:i4>5</vt:i4>
      </vt:variant>
      <vt:variant>
        <vt:lpwstr>mailto:dborchers@bricker.com</vt:lpwstr>
      </vt:variant>
      <vt:variant>
        <vt:lpwstr/>
      </vt:variant>
      <vt:variant>
        <vt:i4>3539025</vt:i4>
      </vt:variant>
      <vt:variant>
        <vt:i4>135</vt:i4>
      </vt:variant>
      <vt:variant>
        <vt:i4>0</vt:i4>
      </vt:variant>
      <vt:variant>
        <vt:i4>5</vt:i4>
      </vt:variant>
      <vt:variant>
        <vt:lpwstr>mailto:thomas.shepherd@ohioAGO.gov</vt:lpwstr>
      </vt:variant>
      <vt:variant>
        <vt:lpwstr/>
      </vt:variant>
      <vt:variant>
        <vt:i4>5832750</vt:i4>
      </vt:variant>
      <vt:variant>
        <vt:i4>132</vt:i4>
      </vt:variant>
      <vt:variant>
        <vt:i4>0</vt:i4>
      </vt:variant>
      <vt:variant>
        <vt:i4>5</vt:i4>
      </vt:variant>
      <vt:variant>
        <vt:lpwstr>mailto:kyle.kern@ohioAGO.gov</vt:lpwstr>
      </vt:variant>
      <vt:variant>
        <vt:lpwstr/>
      </vt:variant>
      <vt:variant>
        <vt:i4>3735622</vt:i4>
      </vt:variant>
      <vt:variant>
        <vt:i4>129</vt:i4>
      </vt:variant>
      <vt:variant>
        <vt:i4>0</vt:i4>
      </vt:variant>
      <vt:variant>
        <vt:i4>5</vt:i4>
      </vt:variant>
      <vt:variant>
        <vt:lpwstr>mailto:werner.margard@ohioAGO.gov</vt:lpwstr>
      </vt:variant>
      <vt:variant>
        <vt:lpwstr/>
      </vt:variant>
      <vt:variant>
        <vt:i4>1507435</vt:i4>
      </vt:variant>
      <vt:variant>
        <vt:i4>126</vt:i4>
      </vt:variant>
      <vt:variant>
        <vt:i4>0</vt:i4>
      </vt:variant>
      <vt:variant>
        <vt:i4>5</vt:i4>
      </vt:variant>
      <vt:variant>
        <vt:lpwstr>mailto:christopher.miller@icemiller.com</vt:lpwstr>
      </vt:variant>
      <vt:variant>
        <vt:lpwstr/>
      </vt:variant>
      <vt:variant>
        <vt:i4>3407877</vt:i4>
      </vt:variant>
      <vt:variant>
        <vt:i4>123</vt:i4>
      </vt:variant>
      <vt:variant>
        <vt:i4>0</vt:i4>
      </vt:variant>
      <vt:variant>
        <vt:i4>5</vt:i4>
      </vt:variant>
      <vt:variant>
        <vt:lpwstr>mailto:egallon@porterwright.com</vt:lpwstr>
      </vt:variant>
      <vt:variant>
        <vt:lpwstr/>
      </vt:variant>
      <vt:variant>
        <vt:i4>8192065</vt:i4>
      </vt:variant>
      <vt:variant>
        <vt:i4>120</vt:i4>
      </vt:variant>
      <vt:variant>
        <vt:i4>0</vt:i4>
      </vt:variant>
      <vt:variant>
        <vt:i4>5</vt:i4>
      </vt:variant>
      <vt:variant>
        <vt:lpwstr>mailto:cmblend@aep.com</vt:lpwstr>
      </vt:variant>
      <vt:variant>
        <vt:lpwstr/>
      </vt:variant>
      <vt:variant>
        <vt:i4>1900596</vt:i4>
      </vt:variant>
      <vt:variant>
        <vt:i4>117</vt:i4>
      </vt:variant>
      <vt:variant>
        <vt:i4>0</vt:i4>
      </vt:variant>
      <vt:variant>
        <vt:i4>5</vt:i4>
      </vt:variant>
      <vt:variant>
        <vt:lpwstr>mailto:stnourse@aep.com</vt:lpwstr>
      </vt:variant>
      <vt:variant>
        <vt:lpwstr/>
      </vt:variant>
      <vt:variant>
        <vt:i4>7995482</vt:i4>
      </vt:variant>
      <vt:variant>
        <vt:i4>114</vt:i4>
      </vt:variant>
      <vt:variant>
        <vt:i4>0</vt:i4>
      </vt:variant>
      <vt:variant>
        <vt:i4>5</vt:i4>
      </vt:variant>
      <vt:variant>
        <vt:lpwstr>mailto:fdarr2019@gmail.com</vt:lpwstr>
      </vt:variant>
      <vt:variant>
        <vt:lpwstr/>
      </vt:variant>
      <vt:variant>
        <vt:i4>2228290</vt:i4>
      </vt:variant>
      <vt:variant>
        <vt:i4>111</vt:i4>
      </vt:variant>
      <vt:variant>
        <vt:i4>0</vt:i4>
      </vt:variant>
      <vt:variant>
        <vt:i4>5</vt:i4>
      </vt:variant>
      <vt:variant>
        <vt:lpwstr>mailto:Evan.betterton@igs.com</vt:lpwstr>
      </vt:variant>
      <vt:variant>
        <vt:lpwstr/>
      </vt:variant>
      <vt:variant>
        <vt:i4>6815751</vt:i4>
      </vt:variant>
      <vt:variant>
        <vt:i4>108</vt:i4>
      </vt:variant>
      <vt:variant>
        <vt:i4>0</vt:i4>
      </vt:variant>
      <vt:variant>
        <vt:i4>5</vt:i4>
      </vt:variant>
      <vt:variant>
        <vt:lpwstr>mailto:joe.oliker@igs.com</vt:lpwstr>
      </vt:variant>
      <vt:variant>
        <vt:lpwstr/>
      </vt:variant>
      <vt:variant>
        <vt:i4>6291485</vt:i4>
      </vt:variant>
      <vt:variant>
        <vt:i4>105</vt:i4>
      </vt:variant>
      <vt:variant>
        <vt:i4>0</vt:i4>
      </vt:variant>
      <vt:variant>
        <vt:i4>5</vt:i4>
      </vt:variant>
      <vt:variant>
        <vt:lpwstr>mailto:Michael.nugent@igs.com</vt:lpwstr>
      </vt:variant>
      <vt:variant>
        <vt:lpwstr/>
      </vt:variant>
      <vt:variant>
        <vt:i4>1245246</vt:i4>
      </vt:variant>
      <vt:variant>
        <vt:i4>98</vt:i4>
      </vt:variant>
      <vt:variant>
        <vt:i4>0</vt:i4>
      </vt:variant>
      <vt:variant>
        <vt:i4>5</vt:i4>
      </vt:variant>
      <vt:variant>
        <vt:lpwstr/>
      </vt:variant>
      <vt:variant>
        <vt:lpwstr>_Toc90620214</vt:lpwstr>
      </vt:variant>
      <vt:variant>
        <vt:i4>1310782</vt:i4>
      </vt:variant>
      <vt:variant>
        <vt:i4>92</vt:i4>
      </vt:variant>
      <vt:variant>
        <vt:i4>0</vt:i4>
      </vt:variant>
      <vt:variant>
        <vt:i4>5</vt:i4>
      </vt:variant>
      <vt:variant>
        <vt:lpwstr/>
      </vt:variant>
      <vt:variant>
        <vt:lpwstr>_Toc90620213</vt:lpwstr>
      </vt:variant>
      <vt:variant>
        <vt:i4>1376318</vt:i4>
      </vt:variant>
      <vt:variant>
        <vt:i4>86</vt:i4>
      </vt:variant>
      <vt:variant>
        <vt:i4>0</vt:i4>
      </vt:variant>
      <vt:variant>
        <vt:i4>5</vt:i4>
      </vt:variant>
      <vt:variant>
        <vt:lpwstr/>
      </vt:variant>
      <vt:variant>
        <vt:lpwstr>_Toc90620212</vt:lpwstr>
      </vt:variant>
      <vt:variant>
        <vt:i4>1441854</vt:i4>
      </vt:variant>
      <vt:variant>
        <vt:i4>80</vt:i4>
      </vt:variant>
      <vt:variant>
        <vt:i4>0</vt:i4>
      </vt:variant>
      <vt:variant>
        <vt:i4>5</vt:i4>
      </vt:variant>
      <vt:variant>
        <vt:lpwstr/>
      </vt:variant>
      <vt:variant>
        <vt:lpwstr>_Toc90620211</vt:lpwstr>
      </vt:variant>
      <vt:variant>
        <vt:i4>1507390</vt:i4>
      </vt:variant>
      <vt:variant>
        <vt:i4>74</vt:i4>
      </vt:variant>
      <vt:variant>
        <vt:i4>0</vt:i4>
      </vt:variant>
      <vt:variant>
        <vt:i4>5</vt:i4>
      </vt:variant>
      <vt:variant>
        <vt:lpwstr/>
      </vt:variant>
      <vt:variant>
        <vt:lpwstr>_Toc90620210</vt:lpwstr>
      </vt:variant>
      <vt:variant>
        <vt:i4>1966143</vt:i4>
      </vt:variant>
      <vt:variant>
        <vt:i4>68</vt:i4>
      </vt:variant>
      <vt:variant>
        <vt:i4>0</vt:i4>
      </vt:variant>
      <vt:variant>
        <vt:i4>5</vt:i4>
      </vt:variant>
      <vt:variant>
        <vt:lpwstr/>
      </vt:variant>
      <vt:variant>
        <vt:lpwstr>_Toc90620209</vt:lpwstr>
      </vt:variant>
      <vt:variant>
        <vt:i4>2031679</vt:i4>
      </vt:variant>
      <vt:variant>
        <vt:i4>62</vt:i4>
      </vt:variant>
      <vt:variant>
        <vt:i4>0</vt:i4>
      </vt:variant>
      <vt:variant>
        <vt:i4>5</vt:i4>
      </vt:variant>
      <vt:variant>
        <vt:lpwstr/>
      </vt:variant>
      <vt:variant>
        <vt:lpwstr>_Toc90620208</vt:lpwstr>
      </vt:variant>
      <vt:variant>
        <vt:i4>1048639</vt:i4>
      </vt:variant>
      <vt:variant>
        <vt:i4>56</vt:i4>
      </vt:variant>
      <vt:variant>
        <vt:i4>0</vt:i4>
      </vt:variant>
      <vt:variant>
        <vt:i4>5</vt:i4>
      </vt:variant>
      <vt:variant>
        <vt:lpwstr/>
      </vt:variant>
      <vt:variant>
        <vt:lpwstr>_Toc90620207</vt:lpwstr>
      </vt:variant>
      <vt:variant>
        <vt:i4>1114175</vt:i4>
      </vt:variant>
      <vt:variant>
        <vt:i4>50</vt:i4>
      </vt:variant>
      <vt:variant>
        <vt:i4>0</vt:i4>
      </vt:variant>
      <vt:variant>
        <vt:i4>5</vt:i4>
      </vt:variant>
      <vt:variant>
        <vt:lpwstr/>
      </vt:variant>
      <vt:variant>
        <vt:lpwstr>_Toc90620206</vt:lpwstr>
      </vt:variant>
      <vt:variant>
        <vt:i4>1179711</vt:i4>
      </vt:variant>
      <vt:variant>
        <vt:i4>44</vt:i4>
      </vt:variant>
      <vt:variant>
        <vt:i4>0</vt:i4>
      </vt:variant>
      <vt:variant>
        <vt:i4>5</vt:i4>
      </vt:variant>
      <vt:variant>
        <vt:lpwstr/>
      </vt:variant>
      <vt:variant>
        <vt:lpwstr>_Toc90620205</vt:lpwstr>
      </vt:variant>
      <vt:variant>
        <vt:i4>1245247</vt:i4>
      </vt:variant>
      <vt:variant>
        <vt:i4>38</vt:i4>
      </vt:variant>
      <vt:variant>
        <vt:i4>0</vt:i4>
      </vt:variant>
      <vt:variant>
        <vt:i4>5</vt:i4>
      </vt:variant>
      <vt:variant>
        <vt:lpwstr/>
      </vt:variant>
      <vt:variant>
        <vt:lpwstr>_Toc90620204</vt:lpwstr>
      </vt:variant>
      <vt:variant>
        <vt:i4>1310783</vt:i4>
      </vt:variant>
      <vt:variant>
        <vt:i4>32</vt:i4>
      </vt:variant>
      <vt:variant>
        <vt:i4>0</vt:i4>
      </vt:variant>
      <vt:variant>
        <vt:i4>5</vt:i4>
      </vt:variant>
      <vt:variant>
        <vt:lpwstr/>
      </vt:variant>
      <vt:variant>
        <vt:lpwstr>_Toc90620203</vt:lpwstr>
      </vt:variant>
      <vt:variant>
        <vt:i4>1376319</vt:i4>
      </vt:variant>
      <vt:variant>
        <vt:i4>26</vt:i4>
      </vt:variant>
      <vt:variant>
        <vt:i4>0</vt:i4>
      </vt:variant>
      <vt:variant>
        <vt:i4>5</vt:i4>
      </vt:variant>
      <vt:variant>
        <vt:lpwstr/>
      </vt:variant>
      <vt:variant>
        <vt:lpwstr>_Toc90620202</vt:lpwstr>
      </vt:variant>
      <vt:variant>
        <vt:i4>1441855</vt:i4>
      </vt:variant>
      <vt:variant>
        <vt:i4>20</vt:i4>
      </vt:variant>
      <vt:variant>
        <vt:i4>0</vt:i4>
      </vt:variant>
      <vt:variant>
        <vt:i4>5</vt:i4>
      </vt:variant>
      <vt:variant>
        <vt:lpwstr/>
      </vt:variant>
      <vt:variant>
        <vt:lpwstr>_Toc90620201</vt:lpwstr>
      </vt:variant>
      <vt:variant>
        <vt:i4>1507391</vt:i4>
      </vt:variant>
      <vt:variant>
        <vt:i4>14</vt:i4>
      </vt:variant>
      <vt:variant>
        <vt:i4>0</vt:i4>
      </vt:variant>
      <vt:variant>
        <vt:i4>5</vt:i4>
      </vt:variant>
      <vt:variant>
        <vt:lpwstr/>
      </vt:variant>
      <vt:variant>
        <vt:lpwstr>_Toc90620200</vt:lpwstr>
      </vt:variant>
      <vt:variant>
        <vt:i4>7995482</vt:i4>
      </vt:variant>
      <vt:variant>
        <vt:i4>9</vt:i4>
      </vt:variant>
      <vt:variant>
        <vt:i4>0</vt:i4>
      </vt:variant>
      <vt:variant>
        <vt:i4>5</vt:i4>
      </vt:variant>
      <vt:variant>
        <vt:lpwstr>mailto:fdarr2019@gmail.com</vt:lpwstr>
      </vt:variant>
      <vt:variant>
        <vt:lpwstr/>
      </vt:variant>
      <vt:variant>
        <vt:i4>2228290</vt:i4>
      </vt:variant>
      <vt:variant>
        <vt:i4>6</vt:i4>
      </vt:variant>
      <vt:variant>
        <vt:i4>0</vt:i4>
      </vt:variant>
      <vt:variant>
        <vt:i4>5</vt:i4>
      </vt:variant>
      <vt:variant>
        <vt:lpwstr>mailto:Evan.betterton@igs.com</vt:lpwstr>
      </vt:variant>
      <vt:variant>
        <vt:lpwstr/>
      </vt:variant>
      <vt:variant>
        <vt:i4>6815751</vt:i4>
      </vt:variant>
      <vt:variant>
        <vt:i4>3</vt:i4>
      </vt:variant>
      <vt:variant>
        <vt:i4>0</vt:i4>
      </vt:variant>
      <vt:variant>
        <vt:i4>5</vt:i4>
      </vt:variant>
      <vt:variant>
        <vt:lpwstr>mailto:joe.oliker@igs.com</vt:lpwstr>
      </vt:variant>
      <vt:variant>
        <vt:lpwstr/>
      </vt:variant>
      <vt:variant>
        <vt:i4>6291485</vt:i4>
      </vt:variant>
      <vt:variant>
        <vt:i4>0</vt:i4>
      </vt:variant>
      <vt:variant>
        <vt:i4>0</vt:i4>
      </vt:variant>
      <vt:variant>
        <vt:i4>5</vt:i4>
      </vt:variant>
      <vt:variant>
        <vt:lpwstr>mailto:Michael.nugent@igs.com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Darr</dc:creator>
  <cp:keywords/>
  <dc:description/>
  <cp:lastModifiedBy>Evan Betterton</cp:lastModifiedBy>
  <cp:revision>2</cp:revision>
  <cp:lastPrinted>2021-12-17T21:01:00Z</cp:lastPrinted>
  <dcterms:created xsi:type="dcterms:W3CDTF">2021-12-17T21:03:00Z</dcterms:created>
  <dcterms:modified xsi:type="dcterms:W3CDTF">2021-12-17T21:03:00Z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0x010100F5490B4B1D1CD1469D58A73C3752BEE8</vt:lpwstr>
  </property>
</Properties>
</file>