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49C" w:rsidRPr="001C1668" w:rsidRDefault="00A001EC" w:rsidP="001C1668">
      <w:pPr>
        <w:spacing w:after="0" w:line="480" w:lineRule="auto"/>
        <w:ind w:right="100"/>
        <w:jc w:val="center"/>
        <w:rPr>
          <w:rFonts w:ascii="Times New Roman" w:eastAsia="Times New Roman" w:hAnsi="Times New Roman" w:cs="Times New Roman"/>
          <w:sz w:val="24"/>
          <w:szCs w:val="24"/>
        </w:rPr>
      </w:pPr>
      <w:r w:rsidRPr="001C1668">
        <w:rPr>
          <w:rFonts w:ascii="Times New Roman" w:eastAsia="Times New Roman" w:hAnsi="Times New Roman" w:cs="Times New Roman"/>
          <w:b/>
          <w:bCs/>
          <w:sz w:val="24"/>
          <w:szCs w:val="24"/>
        </w:rPr>
        <w:t>BEFORE</w:t>
      </w:r>
    </w:p>
    <w:p w:rsidR="0032049C" w:rsidRPr="001C1668" w:rsidRDefault="00A001EC" w:rsidP="001C1668">
      <w:pPr>
        <w:spacing w:after="0" w:line="480" w:lineRule="auto"/>
        <w:ind w:right="100"/>
        <w:jc w:val="center"/>
        <w:rPr>
          <w:rFonts w:ascii="Times New Roman" w:eastAsia="Times New Roman" w:hAnsi="Times New Roman" w:cs="Times New Roman"/>
          <w:b/>
          <w:bCs/>
          <w:sz w:val="24"/>
          <w:szCs w:val="24"/>
        </w:rPr>
      </w:pPr>
      <w:r w:rsidRPr="001C1668">
        <w:rPr>
          <w:rFonts w:ascii="Times New Roman" w:eastAsia="Times New Roman" w:hAnsi="Times New Roman" w:cs="Times New Roman"/>
          <w:b/>
          <w:bCs/>
          <w:sz w:val="24"/>
          <w:szCs w:val="24"/>
        </w:rPr>
        <w:t>THE PUBLIC UTILITIES COMMISSION OF OHIO</w:t>
      </w:r>
    </w:p>
    <w:tbl>
      <w:tblPr>
        <w:tblStyle w:val="TableGrid"/>
        <w:tblW w:w="10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630"/>
        <w:gridCol w:w="4728"/>
      </w:tblGrid>
      <w:tr w:rsidR="00B55003" w:rsidRPr="001C1668" w:rsidTr="00632675">
        <w:tc>
          <w:tcPr>
            <w:tcW w:w="4788" w:type="dxa"/>
          </w:tcPr>
          <w:p w:rsidR="00632675" w:rsidRPr="001C1668" w:rsidRDefault="00632675" w:rsidP="001C1668">
            <w:pPr>
              <w:ind w:right="100"/>
              <w:jc w:val="both"/>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In the Matter of the Annual Application of Duke Energy Ohio, Inc., for an Adjustment to Rider AMRP Rates.</w:t>
            </w:r>
          </w:p>
          <w:p w:rsidR="00632675" w:rsidRPr="001C1668" w:rsidRDefault="00632675" w:rsidP="001C1668">
            <w:pPr>
              <w:ind w:right="100"/>
              <w:jc w:val="both"/>
              <w:rPr>
                <w:rFonts w:ascii="Times New Roman" w:eastAsia="Times New Roman" w:hAnsi="Times New Roman" w:cs="Times New Roman"/>
                <w:sz w:val="24"/>
                <w:szCs w:val="24"/>
              </w:rPr>
            </w:pPr>
          </w:p>
          <w:p w:rsidR="00632675" w:rsidRPr="001C1668" w:rsidRDefault="00632675" w:rsidP="001C1668">
            <w:pPr>
              <w:ind w:right="100"/>
              <w:jc w:val="both"/>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In the Matter of the Application of Duke Energy Ohio, Inc., for Tariff Approval.</w:t>
            </w:r>
          </w:p>
        </w:tc>
        <w:tc>
          <w:tcPr>
            <w:tcW w:w="630" w:type="dxa"/>
          </w:tcPr>
          <w:p w:rsidR="00632675" w:rsidRPr="001C1668" w:rsidRDefault="00632675" w:rsidP="001C1668">
            <w:pPr>
              <w:ind w:right="100"/>
              <w:jc w:val="both"/>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w:t>
            </w:r>
          </w:p>
          <w:p w:rsidR="00632675" w:rsidRPr="001C1668" w:rsidRDefault="00632675" w:rsidP="001C1668">
            <w:pPr>
              <w:ind w:right="100"/>
              <w:jc w:val="both"/>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w:t>
            </w:r>
          </w:p>
          <w:p w:rsidR="00632675" w:rsidRPr="001C1668" w:rsidRDefault="00632675" w:rsidP="001C1668">
            <w:pPr>
              <w:ind w:right="100"/>
              <w:jc w:val="both"/>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w:t>
            </w:r>
          </w:p>
          <w:p w:rsidR="00632675" w:rsidRPr="001C1668" w:rsidRDefault="00632675" w:rsidP="001C1668">
            <w:pPr>
              <w:ind w:right="100"/>
              <w:jc w:val="both"/>
              <w:rPr>
                <w:rFonts w:ascii="Times New Roman" w:eastAsia="Times New Roman" w:hAnsi="Times New Roman" w:cs="Times New Roman"/>
                <w:sz w:val="24"/>
                <w:szCs w:val="24"/>
              </w:rPr>
            </w:pPr>
          </w:p>
          <w:p w:rsidR="00632675" w:rsidRPr="001C1668" w:rsidRDefault="00632675" w:rsidP="001C1668">
            <w:pPr>
              <w:ind w:right="100"/>
              <w:jc w:val="both"/>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w:t>
            </w:r>
          </w:p>
          <w:p w:rsidR="00632675" w:rsidRPr="001C1668" w:rsidRDefault="00632675" w:rsidP="001C1668">
            <w:pPr>
              <w:ind w:right="100"/>
              <w:jc w:val="both"/>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w:t>
            </w:r>
          </w:p>
        </w:tc>
        <w:tc>
          <w:tcPr>
            <w:tcW w:w="4728" w:type="dxa"/>
          </w:tcPr>
          <w:p w:rsidR="00632675" w:rsidRPr="001C1668" w:rsidRDefault="00632675" w:rsidP="001C1668">
            <w:pPr>
              <w:ind w:right="100"/>
              <w:jc w:val="both"/>
              <w:rPr>
                <w:rFonts w:ascii="Times New Roman" w:eastAsia="Times New Roman" w:hAnsi="Times New Roman" w:cs="Times New Roman"/>
                <w:sz w:val="24"/>
                <w:szCs w:val="24"/>
              </w:rPr>
            </w:pPr>
          </w:p>
          <w:p w:rsidR="00632675" w:rsidRPr="001C1668" w:rsidRDefault="00632675" w:rsidP="001C1668">
            <w:pPr>
              <w:ind w:right="100"/>
              <w:jc w:val="both"/>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Case No. 13-2</w:t>
            </w:r>
            <w:r w:rsidR="00B264F7">
              <w:rPr>
                <w:rFonts w:ascii="Times New Roman" w:eastAsia="Times New Roman" w:hAnsi="Times New Roman" w:cs="Times New Roman"/>
                <w:sz w:val="24"/>
                <w:szCs w:val="24"/>
              </w:rPr>
              <w:t>2</w:t>
            </w:r>
            <w:r w:rsidRPr="001C1668">
              <w:rPr>
                <w:rFonts w:ascii="Times New Roman" w:eastAsia="Times New Roman" w:hAnsi="Times New Roman" w:cs="Times New Roman"/>
                <w:sz w:val="24"/>
                <w:szCs w:val="24"/>
              </w:rPr>
              <w:t>31-GA-RDR</w:t>
            </w:r>
          </w:p>
          <w:p w:rsidR="00632675" w:rsidRPr="001C1668" w:rsidRDefault="00632675" w:rsidP="001C1668">
            <w:pPr>
              <w:ind w:right="100"/>
              <w:jc w:val="both"/>
              <w:rPr>
                <w:rFonts w:ascii="Times New Roman" w:eastAsia="Times New Roman" w:hAnsi="Times New Roman" w:cs="Times New Roman"/>
                <w:sz w:val="24"/>
                <w:szCs w:val="24"/>
              </w:rPr>
            </w:pPr>
          </w:p>
          <w:p w:rsidR="00632675" w:rsidRPr="001C1668" w:rsidRDefault="00632675" w:rsidP="001C1668">
            <w:pPr>
              <w:ind w:right="100"/>
              <w:jc w:val="both"/>
              <w:rPr>
                <w:rFonts w:ascii="Times New Roman" w:eastAsia="Times New Roman" w:hAnsi="Times New Roman" w:cs="Times New Roman"/>
                <w:sz w:val="24"/>
                <w:szCs w:val="24"/>
              </w:rPr>
            </w:pPr>
          </w:p>
          <w:p w:rsidR="00632675" w:rsidRPr="001C1668" w:rsidRDefault="00632675" w:rsidP="001C1668">
            <w:pPr>
              <w:ind w:right="100"/>
              <w:jc w:val="both"/>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Case No. 13-2232-GA-ATA</w:t>
            </w:r>
          </w:p>
          <w:p w:rsidR="00632675" w:rsidRPr="001C1668" w:rsidRDefault="00632675" w:rsidP="001C1668">
            <w:pPr>
              <w:ind w:right="100"/>
              <w:jc w:val="both"/>
              <w:rPr>
                <w:rFonts w:ascii="Times New Roman" w:eastAsia="Times New Roman" w:hAnsi="Times New Roman" w:cs="Times New Roman"/>
                <w:sz w:val="24"/>
                <w:szCs w:val="24"/>
              </w:rPr>
            </w:pPr>
          </w:p>
        </w:tc>
      </w:tr>
    </w:tbl>
    <w:p w:rsidR="0032049C" w:rsidRDefault="0032049C" w:rsidP="001C1668">
      <w:pPr>
        <w:spacing w:after="0" w:line="240" w:lineRule="auto"/>
        <w:ind w:right="100"/>
        <w:rPr>
          <w:sz w:val="20"/>
          <w:szCs w:val="20"/>
        </w:rPr>
      </w:pPr>
    </w:p>
    <w:p w:rsidR="00302412" w:rsidRPr="001C1668" w:rsidRDefault="00302412" w:rsidP="001C1668">
      <w:pPr>
        <w:spacing w:after="0" w:line="240" w:lineRule="auto"/>
        <w:ind w:right="100"/>
        <w:rPr>
          <w:sz w:val="20"/>
          <w:szCs w:val="20"/>
        </w:rPr>
      </w:pPr>
    </w:p>
    <w:p w:rsidR="0032049C" w:rsidRPr="001C1668" w:rsidRDefault="00A001EC" w:rsidP="001C1668">
      <w:pPr>
        <w:spacing w:after="0" w:line="240" w:lineRule="auto"/>
        <w:ind w:right="100"/>
        <w:jc w:val="center"/>
        <w:rPr>
          <w:rFonts w:ascii="Times New Roman" w:eastAsia="Times New Roman" w:hAnsi="Times New Roman" w:cs="Times New Roman"/>
          <w:sz w:val="24"/>
          <w:szCs w:val="24"/>
        </w:rPr>
      </w:pPr>
      <w:r w:rsidRPr="001C1668">
        <w:rPr>
          <w:rFonts w:ascii="Times New Roman" w:eastAsia="Times New Roman" w:hAnsi="Times New Roman" w:cs="Times New Roman"/>
          <w:b/>
          <w:bCs/>
          <w:sz w:val="24"/>
          <w:szCs w:val="24"/>
          <w:u w:val="thick" w:color="000000"/>
        </w:rPr>
        <w:t>STIPULATION AND RECOMMENDATION</w:t>
      </w:r>
    </w:p>
    <w:p w:rsidR="0032049C" w:rsidRPr="001C1668" w:rsidRDefault="00372F19" w:rsidP="001C1668">
      <w:pPr>
        <w:tabs>
          <w:tab w:val="left" w:pos="7450"/>
        </w:tabs>
        <w:spacing w:after="0" w:line="240" w:lineRule="auto"/>
        <w:ind w:right="100"/>
        <w:rPr>
          <w:sz w:val="20"/>
          <w:szCs w:val="20"/>
        </w:rPr>
      </w:pPr>
      <w:r w:rsidRPr="001C1668">
        <w:rPr>
          <w:sz w:val="20"/>
          <w:szCs w:val="20"/>
        </w:rPr>
        <w:tab/>
      </w:r>
    </w:p>
    <w:p w:rsidR="0032049C" w:rsidRPr="001C1668" w:rsidRDefault="00A001EC" w:rsidP="001C1668">
      <w:pPr>
        <w:spacing w:after="0" w:line="480" w:lineRule="auto"/>
        <w:ind w:right="100" w:firstLine="720"/>
        <w:jc w:val="both"/>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Ohio Administrative Code (O</w:t>
      </w:r>
      <w:r w:rsidR="0037554F">
        <w:rPr>
          <w:rFonts w:ascii="Times New Roman" w:eastAsia="Times New Roman" w:hAnsi="Times New Roman" w:cs="Times New Roman"/>
          <w:sz w:val="24"/>
          <w:szCs w:val="24"/>
        </w:rPr>
        <w:t>.</w:t>
      </w:r>
      <w:r w:rsidRPr="001C1668">
        <w:rPr>
          <w:rFonts w:ascii="Times New Roman" w:eastAsia="Times New Roman" w:hAnsi="Times New Roman" w:cs="Times New Roman"/>
          <w:sz w:val="24"/>
          <w:szCs w:val="24"/>
        </w:rPr>
        <w:t>A</w:t>
      </w:r>
      <w:r w:rsidR="0037554F">
        <w:rPr>
          <w:rFonts w:ascii="Times New Roman" w:eastAsia="Times New Roman" w:hAnsi="Times New Roman" w:cs="Times New Roman"/>
          <w:sz w:val="24"/>
          <w:szCs w:val="24"/>
        </w:rPr>
        <w:t>.</w:t>
      </w:r>
      <w:r w:rsidRPr="001C1668">
        <w:rPr>
          <w:rFonts w:ascii="Times New Roman" w:eastAsia="Times New Roman" w:hAnsi="Times New Roman" w:cs="Times New Roman"/>
          <w:sz w:val="24"/>
          <w:szCs w:val="24"/>
        </w:rPr>
        <w:t xml:space="preserve">C), </w:t>
      </w:r>
      <w:r w:rsidR="00632675" w:rsidRPr="001C1668">
        <w:rPr>
          <w:rFonts w:ascii="Times New Roman" w:eastAsia="Times New Roman" w:hAnsi="Times New Roman" w:cs="Times New Roman"/>
          <w:sz w:val="24"/>
          <w:szCs w:val="24"/>
        </w:rPr>
        <w:t xml:space="preserve">Rule </w:t>
      </w:r>
      <w:r w:rsidRPr="001C1668">
        <w:rPr>
          <w:rFonts w:ascii="Times New Roman" w:eastAsia="Times New Roman" w:hAnsi="Times New Roman" w:cs="Times New Roman"/>
          <w:sz w:val="24"/>
          <w:szCs w:val="24"/>
        </w:rPr>
        <w:t xml:space="preserve">4901-1-30, provides that any two or more parties to a proceeding before the Public Utilities Commission of Ohio (Commission) may enter into a written stipulation covering the issues presented in that proceeding.  This Stipulation and Recommendation (Stipulation) sets forth the understanding of Duke Energy Ohio, Inc. (Duke Energy Ohio or the Company), the Office of the Ohio Consumers’ Counsel (OCC), and </w:t>
      </w:r>
      <w:r w:rsidR="007F48F4" w:rsidRPr="001C1668">
        <w:rPr>
          <w:rFonts w:ascii="Times New Roman" w:eastAsia="Times New Roman" w:hAnsi="Times New Roman" w:cs="Times New Roman"/>
          <w:sz w:val="24"/>
          <w:szCs w:val="24"/>
        </w:rPr>
        <w:t>the Commission</w:t>
      </w:r>
      <w:r w:rsidRPr="001C1668">
        <w:rPr>
          <w:rFonts w:ascii="Times New Roman" w:eastAsia="Times New Roman" w:hAnsi="Times New Roman" w:cs="Times New Roman"/>
          <w:sz w:val="24"/>
          <w:szCs w:val="24"/>
        </w:rPr>
        <w:t xml:space="preserve"> Staff (Staff)</w:t>
      </w:r>
      <w:r w:rsidR="003C6502" w:rsidRPr="001C1668">
        <w:rPr>
          <w:rStyle w:val="FootnoteReference"/>
          <w:rFonts w:ascii="Times New Roman" w:eastAsia="Times New Roman" w:hAnsi="Times New Roman" w:cs="Times New Roman"/>
          <w:sz w:val="24"/>
          <w:szCs w:val="24"/>
        </w:rPr>
        <w:footnoteReference w:id="1"/>
      </w:r>
      <w:r w:rsidR="003C6502" w:rsidRPr="001C1668">
        <w:rPr>
          <w:rFonts w:ascii="Times New Roman" w:eastAsia="Times New Roman" w:hAnsi="Times New Roman" w:cs="Times New Roman"/>
          <w:sz w:val="24"/>
          <w:szCs w:val="24"/>
        </w:rPr>
        <w:t xml:space="preserve"> </w:t>
      </w:r>
      <w:r w:rsidRPr="001C1668">
        <w:rPr>
          <w:rFonts w:ascii="Times New Roman" w:eastAsia="Times New Roman" w:hAnsi="Times New Roman" w:cs="Times New Roman"/>
          <w:sz w:val="24"/>
          <w:szCs w:val="24"/>
        </w:rPr>
        <w:t>(each of whom is a Signatory Party and together constitute</w:t>
      </w:r>
      <w:r w:rsidR="003C6502" w:rsidRPr="001C1668">
        <w:rPr>
          <w:rFonts w:ascii="Times New Roman" w:eastAsia="Times New Roman" w:hAnsi="Times New Roman" w:cs="Times New Roman"/>
          <w:sz w:val="24"/>
          <w:szCs w:val="24"/>
        </w:rPr>
        <w:t xml:space="preserve"> </w:t>
      </w:r>
      <w:r w:rsidRPr="001C1668">
        <w:rPr>
          <w:rFonts w:ascii="Times New Roman" w:eastAsia="Times New Roman" w:hAnsi="Times New Roman" w:cs="Times New Roman"/>
          <w:sz w:val="24"/>
          <w:szCs w:val="24"/>
        </w:rPr>
        <w:t>the Signatory Parties)</w:t>
      </w:r>
      <w:r w:rsidR="003C6502" w:rsidRPr="001C1668">
        <w:rPr>
          <w:rFonts w:ascii="Times New Roman" w:eastAsia="Times New Roman" w:hAnsi="Times New Roman" w:cs="Times New Roman"/>
          <w:sz w:val="24"/>
          <w:szCs w:val="24"/>
        </w:rPr>
        <w:t>.  T</w:t>
      </w:r>
      <w:r w:rsidRPr="001C1668">
        <w:rPr>
          <w:rFonts w:ascii="Times New Roman" w:eastAsia="Times New Roman" w:hAnsi="Times New Roman" w:cs="Times New Roman"/>
          <w:sz w:val="24"/>
          <w:szCs w:val="24"/>
        </w:rPr>
        <w:t>he Signatory Parties recommend that the Commission approve and adopt, as part of its Opinion and Order, this Stipulation that resolves all of the issues in the above-captioned proceeding.</w:t>
      </w:r>
    </w:p>
    <w:p w:rsidR="001C1668" w:rsidRDefault="00A001EC" w:rsidP="008C7596">
      <w:pPr>
        <w:spacing w:after="0" w:line="480" w:lineRule="auto"/>
        <w:ind w:right="100" w:firstLine="720"/>
        <w:jc w:val="both"/>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This Stipulation is a product of serious, arm's-length bargaining among the Signatory Parties, who are all capable, knowledgeable parties, which negotiations were undertaken by the Signatory Parties to settle this proceeding and is not intended to reflect the views or proposals that any individual party may have advanced acting unilaterally.  This Stipulation was negotiated among all parties to the proceeding.  The Signatory Parties agree that this Stipulation is in the</w:t>
      </w:r>
      <w:r w:rsidR="0037554F">
        <w:rPr>
          <w:rFonts w:ascii="Times New Roman" w:eastAsia="Times New Roman" w:hAnsi="Times New Roman" w:cs="Times New Roman"/>
          <w:sz w:val="24"/>
          <w:szCs w:val="24"/>
        </w:rPr>
        <w:t xml:space="preserve"> </w:t>
      </w:r>
      <w:r w:rsidRPr="001C1668">
        <w:rPr>
          <w:rFonts w:ascii="Times New Roman" w:eastAsia="Times New Roman" w:hAnsi="Times New Roman" w:cs="Times New Roman"/>
          <w:sz w:val="24"/>
          <w:szCs w:val="24"/>
        </w:rPr>
        <w:t xml:space="preserve">best interests of the public, and urge the Commission to adopt </w:t>
      </w:r>
      <w:r w:rsidR="001C1668">
        <w:rPr>
          <w:rFonts w:ascii="Times New Roman" w:eastAsia="Times New Roman" w:hAnsi="Times New Roman" w:cs="Times New Roman"/>
          <w:sz w:val="24"/>
          <w:szCs w:val="24"/>
        </w:rPr>
        <w:t>it.</w:t>
      </w:r>
    </w:p>
    <w:p w:rsidR="0032049C" w:rsidRPr="001C1668" w:rsidRDefault="001C1668" w:rsidP="001C1668">
      <w:pPr>
        <w:spacing w:after="0" w:line="480" w:lineRule="auto"/>
        <w:ind w:right="1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w:t>
      </w:r>
      <w:r w:rsidR="00A001EC" w:rsidRPr="001C1668">
        <w:rPr>
          <w:rFonts w:ascii="Times New Roman" w:eastAsia="Times New Roman" w:hAnsi="Times New Roman" w:cs="Times New Roman"/>
          <w:sz w:val="24"/>
          <w:szCs w:val="24"/>
        </w:rPr>
        <w:t>Stipulation is supported by adequate data and information.</w:t>
      </w:r>
      <w:r w:rsidR="003C6502" w:rsidRPr="001C1668">
        <w:rPr>
          <w:rFonts w:ascii="Times New Roman" w:eastAsia="Times New Roman" w:hAnsi="Times New Roman" w:cs="Times New Roman"/>
          <w:sz w:val="24"/>
          <w:szCs w:val="24"/>
        </w:rPr>
        <w:t xml:space="preserve"> </w:t>
      </w:r>
      <w:r w:rsidR="00A001EC" w:rsidRPr="001C1668">
        <w:rPr>
          <w:rFonts w:ascii="Times New Roman" w:eastAsia="Times New Roman" w:hAnsi="Times New Roman" w:cs="Times New Roman"/>
          <w:sz w:val="24"/>
          <w:szCs w:val="24"/>
        </w:rPr>
        <w:t xml:space="preserve"> As a package, the Stipulation benefits customers and the public interest, represents a reasonable resolution of all issues in this proceeding, violates no regulatory principle or practice, and complies with and promotes the policies and requirements of Ohio Revised Code Chapter 4928.  While this Stipulation is not binding on the Commission, it is entitled to careful consideration by the Commission where, as here, it is sponsored by parties representing a wide range of interests.</w:t>
      </w:r>
    </w:p>
    <w:p w:rsidR="0032049C" w:rsidRPr="001C1668" w:rsidRDefault="00A001EC" w:rsidP="001C1668">
      <w:pPr>
        <w:spacing w:after="0" w:line="480" w:lineRule="auto"/>
        <w:ind w:right="100" w:firstLine="720"/>
        <w:jc w:val="both"/>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Except for purposes of enforcement of the terms of this Stipulation, the information and data contained herein or attached, and any Commission rulings adopting it, shall not be cited as precedent in any future proceeding for or against any Signatory Party or the Commission itself. The circumstances of this case are unique to it and</w:t>
      </w:r>
      <w:r w:rsidR="003C6502" w:rsidRPr="001C1668">
        <w:rPr>
          <w:rFonts w:ascii="Times New Roman" w:eastAsia="Times New Roman" w:hAnsi="Times New Roman" w:cs="Times New Roman"/>
          <w:sz w:val="24"/>
          <w:szCs w:val="24"/>
        </w:rPr>
        <w:t>,</w:t>
      </w:r>
      <w:r w:rsidRPr="001C1668">
        <w:rPr>
          <w:rFonts w:ascii="Times New Roman" w:eastAsia="Times New Roman" w:hAnsi="Times New Roman" w:cs="Times New Roman"/>
          <w:sz w:val="24"/>
          <w:szCs w:val="24"/>
        </w:rPr>
        <w:t xml:space="preserve"> thus</w:t>
      </w:r>
      <w:r w:rsidR="003C6502" w:rsidRPr="001C1668">
        <w:rPr>
          <w:rFonts w:ascii="Times New Roman" w:eastAsia="Times New Roman" w:hAnsi="Times New Roman" w:cs="Times New Roman"/>
          <w:sz w:val="24"/>
          <w:szCs w:val="24"/>
        </w:rPr>
        <w:t>,</w:t>
      </w:r>
      <w:r w:rsidRPr="001C1668">
        <w:rPr>
          <w:rFonts w:ascii="Times New Roman" w:eastAsia="Times New Roman" w:hAnsi="Times New Roman" w:cs="Times New Roman"/>
          <w:sz w:val="24"/>
          <w:szCs w:val="24"/>
        </w:rPr>
        <w:t xml:space="preserve"> imputing the terms of this Stipulation into any other case </w:t>
      </w:r>
      <w:r w:rsidR="00510C67" w:rsidRPr="001C1668">
        <w:rPr>
          <w:rFonts w:ascii="Times New Roman" w:eastAsia="Times New Roman" w:hAnsi="Times New Roman" w:cs="Times New Roman"/>
          <w:sz w:val="24"/>
          <w:szCs w:val="24"/>
        </w:rPr>
        <w:t xml:space="preserve">would </w:t>
      </w:r>
      <w:r w:rsidRPr="001C1668">
        <w:rPr>
          <w:rFonts w:ascii="Times New Roman" w:eastAsia="Times New Roman" w:hAnsi="Times New Roman" w:cs="Times New Roman"/>
          <w:sz w:val="24"/>
          <w:szCs w:val="24"/>
        </w:rPr>
        <w:t xml:space="preserve">undermine the willingness of the parties to compromise that is a necessary element of negotiating settlements in Commission proceedings.  The Signatory Parties’ agreement to this Stipulation, in its entirety, shall not be interpreted in a future proceeding before this Commission as their agreement to only an isolated provision of this Stipulation, or to any position, argument, or recommendation contained in the record of this proceeding or otherwise presented in this proceeding.  More specifically, no specific element or item contained in or supporting this Stipulation shall be construed or applied to attribute the results set forth in this Stipulation as the results that any Signatory Party might support or seek, but for this Stipulation in these proceedings or in any other proceeding. </w:t>
      </w:r>
      <w:r w:rsidR="00510C67" w:rsidRPr="001C1668">
        <w:rPr>
          <w:rFonts w:ascii="Times New Roman" w:eastAsia="Times New Roman" w:hAnsi="Times New Roman" w:cs="Times New Roman"/>
          <w:sz w:val="24"/>
          <w:szCs w:val="24"/>
        </w:rPr>
        <w:t xml:space="preserve"> </w:t>
      </w:r>
      <w:r w:rsidRPr="001C1668">
        <w:rPr>
          <w:rFonts w:ascii="Times New Roman" w:eastAsia="Times New Roman" w:hAnsi="Times New Roman" w:cs="Times New Roman"/>
          <w:sz w:val="24"/>
          <w:szCs w:val="24"/>
        </w:rPr>
        <w:t xml:space="preserve">The Stipulation is a recognition that each Signatory Party might disagree with individual aspects of the Stipulation, but believes that the Stipulation has value as a whole.  This Stipulation is a reasonable compromise involving a balancing of competing positions and it does not necessarily reflect the position that one or more of the Signatory Parties would have taken if these issues had been </w:t>
      </w:r>
      <w:r w:rsidRPr="001C1668">
        <w:rPr>
          <w:rFonts w:ascii="Times New Roman" w:eastAsia="Times New Roman" w:hAnsi="Times New Roman" w:cs="Times New Roman"/>
          <w:sz w:val="24"/>
          <w:szCs w:val="24"/>
        </w:rPr>
        <w:lastRenderedPageBreak/>
        <w:t>fully litigated.</w:t>
      </w:r>
    </w:p>
    <w:p w:rsidR="0032049C" w:rsidRPr="001C1668" w:rsidRDefault="00A001EC" w:rsidP="001C1668">
      <w:pPr>
        <w:spacing w:after="0" w:line="480" w:lineRule="auto"/>
        <w:ind w:right="100" w:firstLine="720"/>
        <w:jc w:val="both"/>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This Stipulation is expressly conditioned upon its adoption by the Commission in its</w:t>
      </w:r>
      <w:r w:rsidR="00510C67" w:rsidRPr="001C1668">
        <w:rPr>
          <w:rFonts w:ascii="Times New Roman" w:eastAsia="Times New Roman" w:hAnsi="Times New Roman" w:cs="Times New Roman"/>
          <w:sz w:val="24"/>
          <w:szCs w:val="24"/>
        </w:rPr>
        <w:t xml:space="preserve"> </w:t>
      </w:r>
      <w:r w:rsidRPr="001C1668">
        <w:rPr>
          <w:rFonts w:ascii="Times New Roman" w:eastAsia="Times New Roman" w:hAnsi="Times New Roman" w:cs="Times New Roman"/>
          <w:sz w:val="24"/>
          <w:szCs w:val="24"/>
        </w:rPr>
        <w:t>entirety and without material modification.  If the Commission rejects or materially modifies all or any part of this Stipulation</w:t>
      </w:r>
      <w:r w:rsidR="00510C67" w:rsidRPr="001C1668">
        <w:rPr>
          <w:rFonts w:ascii="Times New Roman" w:eastAsia="Times New Roman" w:hAnsi="Times New Roman" w:cs="Times New Roman"/>
          <w:sz w:val="24"/>
          <w:szCs w:val="24"/>
        </w:rPr>
        <w:t>,</w:t>
      </w:r>
      <w:r w:rsidR="00510C67" w:rsidRPr="001C1668">
        <w:rPr>
          <w:rStyle w:val="FootnoteReference"/>
          <w:rFonts w:ascii="Times New Roman" w:eastAsia="Times New Roman" w:hAnsi="Times New Roman" w:cs="Times New Roman"/>
          <w:sz w:val="24"/>
          <w:szCs w:val="24"/>
        </w:rPr>
        <w:footnoteReference w:id="2"/>
      </w:r>
      <w:r w:rsidR="00510C67" w:rsidRPr="001C1668">
        <w:rPr>
          <w:rFonts w:ascii="Times New Roman" w:eastAsia="Times New Roman" w:hAnsi="Times New Roman" w:cs="Times New Roman"/>
          <w:sz w:val="24"/>
          <w:szCs w:val="24"/>
        </w:rPr>
        <w:t xml:space="preserve"> </w:t>
      </w:r>
      <w:r w:rsidRPr="001C1668">
        <w:rPr>
          <w:rFonts w:ascii="Times New Roman" w:eastAsia="Times New Roman" w:hAnsi="Times New Roman" w:cs="Times New Roman"/>
          <w:sz w:val="24"/>
          <w:szCs w:val="24"/>
        </w:rPr>
        <w:t xml:space="preserve">each and every Signatory Party shall have the right, within thirty days of issuance of the Commission’s order, to file an application for rehearing or to terminate and withdraw from the Stipulation by filing a notice with the Commission. </w:t>
      </w:r>
      <w:r w:rsidR="00510C67" w:rsidRPr="001C1668">
        <w:rPr>
          <w:rFonts w:ascii="Times New Roman" w:eastAsia="Times New Roman" w:hAnsi="Times New Roman" w:cs="Times New Roman"/>
          <w:sz w:val="24"/>
          <w:szCs w:val="24"/>
        </w:rPr>
        <w:t xml:space="preserve"> </w:t>
      </w:r>
      <w:r w:rsidRPr="001C1668">
        <w:rPr>
          <w:rFonts w:ascii="Times New Roman" w:eastAsia="Times New Roman" w:hAnsi="Times New Roman" w:cs="Times New Roman"/>
          <w:sz w:val="24"/>
          <w:szCs w:val="24"/>
        </w:rPr>
        <w:t>The Signatory Parties agree they will not oppose or argue against any other Party’s notice of termination or application for rehearing that seeks to uphold the original, unmodified Stipulation.  If, upon rehearing, the Commission does not adopt the Stipulation in its entirety and without material modification, any Signatory Party may terminate and withdraw from the Stipulation.  Termination and withdrawal from the Stipulation shall be accomplished by filing a notice with the Commission, including</w:t>
      </w:r>
      <w:r w:rsidR="00510C67" w:rsidRPr="001C1668">
        <w:rPr>
          <w:rFonts w:ascii="Times New Roman" w:eastAsia="Times New Roman" w:hAnsi="Times New Roman" w:cs="Times New Roman"/>
          <w:sz w:val="24"/>
          <w:szCs w:val="24"/>
        </w:rPr>
        <w:t xml:space="preserve"> </w:t>
      </w:r>
      <w:r w:rsidRPr="001C1668">
        <w:rPr>
          <w:rFonts w:ascii="Times New Roman" w:eastAsia="Times New Roman" w:hAnsi="Times New Roman" w:cs="Times New Roman"/>
          <w:sz w:val="24"/>
          <w:szCs w:val="24"/>
        </w:rPr>
        <w:t>service to all Signatory Parties in this proceeding</w:t>
      </w:r>
      <w:r w:rsidR="006F694B" w:rsidRPr="001C1668">
        <w:rPr>
          <w:rFonts w:ascii="Times New Roman" w:eastAsia="Times New Roman" w:hAnsi="Times New Roman" w:cs="Times New Roman"/>
          <w:sz w:val="24"/>
          <w:szCs w:val="24"/>
        </w:rPr>
        <w:t>,</w:t>
      </w:r>
      <w:r w:rsidRPr="001C1668">
        <w:rPr>
          <w:rFonts w:ascii="Times New Roman" w:eastAsia="Times New Roman" w:hAnsi="Times New Roman" w:cs="Times New Roman"/>
          <w:sz w:val="24"/>
          <w:szCs w:val="24"/>
        </w:rPr>
        <w:t xml:space="preserve"> within thirty days of the Commission’s order or ruling on rehearing that does not adopt the Stipulation in its entirety and without material modification.  Signatory Parties to this Stipulation agree to not oppose the termination and withdrawal from the Stipulation by any other </w:t>
      </w:r>
      <w:r w:rsidR="006F694B" w:rsidRPr="001C1668">
        <w:rPr>
          <w:rFonts w:ascii="Times New Roman" w:eastAsia="Times New Roman" w:hAnsi="Times New Roman" w:cs="Times New Roman"/>
          <w:sz w:val="24"/>
          <w:szCs w:val="24"/>
        </w:rPr>
        <w:t xml:space="preserve">Signatory </w:t>
      </w:r>
      <w:r w:rsidRPr="001C1668">
        <w:rPr>
          <w:rFonts w:ascii="Times New Roman" w:eastAsia="Times New Roman" w:hAnsi="Times New Roman" w:cs="Times New Roman"/>
          <w:sz w:val="24"/>
          <w:szCs w:val="24"/>
        </w:rPr>
        <w:t>Party.  Upon the filing of a notice of termination and withdrawal, the Stipulation shall immediately become null and void.</w:t>
      </w:r>
    </w:p>
    <w:p w:rsidR="0032049C" w:rsidRPr="001C1668" w:rsidRDefault="00A001EC" w:rsidP="001C1668">
      <w:pPr>
        <w:spacing w:after="0" w:line="480" w:lineRule="auto"/>
        <w:ind w:right="100" w:firstLine="720"/>
        <w:jc w:val="both"/>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 xml:space="preserve">Prior to the filing of such a notice, the Signatory Party wishing to terminate agrees to work in good faith with the other Signatory Parties to achieve an outcome that substantially satisfies the intent of the Stipulation and, if a new agreement is reached that includes the Signatory Party wishing to terminate, then the new agreement shall be filed for Commission review and approval.  If the discussions to achieve an outcome that substantially satisfies the </w:t>
      </w:r>
      <w:r w:rsidRPr="001C1668">
        <w:rPr>
          <w:rFonts w:ascii="Times New Roman" w:eastAsia="Times New Roman" w:hAnsi="Times New Roman" w:cs="Times New Roman"/>
          <w:sz w:val="24"/>
          <w:szCs w:val="24"/>
        </w:rPr>
        <w:lastRenderedPageBreak/>
        <w:t>intent of the Stipulation are unsuccessful in reaching a new agreement that includes all Signatory Parties to the present Stipulation, the Commission will convene an evidentiary hearing such that</w:t>
      </w:r>
      <w:r w:rsidR="00DB1C37" w:rsidRPr="001C1668">
        <w:rPr>
          <w:rFonts w:ascii="Times New Roman" w:eastAsia="Times New Roman" w:hAnsi="Times New Roman" w:cs="Times New Roman"/>
          <w:sz w:val="24"/>
          <w:szCs w:val="24"/>
        </w:rPr>
        <w:t xml:space="preserve"> </w:t>
      </w:r>
      <w:r w:rsidRPr="001C1668">
        <w:rPr>
          <w:rFonts w:ascii="Times New Roman" w:eastAsia="Times New Roman" w:hAnsi="Times New Roman" w:cs="Times New Roman"/>
          <w:sz w:val="24"/>
          <w:szCs w:val="24"/>
        </w:rPr>
        <w:t xml:space="preserve">the Signatory Parties will be afforded the opportunity to present evidence through witnesses </w:t>
      </w:r>
      <w:r w:rsidR="00DB1C37" w:rsidRPr="001C1668">
        <w:rPr>
          <w:rFonts w:ascii="Times New Roman" w:eastAsia="Times New Roman" w:hAnsi="Times New Roman" w:cs="Times New Roman"/>
          <w:sz w:val="24"/>
          <w:szCs w:val="24"/>
        </w:rPr>
        <w:t>and cr</w:t>
      </w:r>
      <w:r w:rsidRPr="001C1668">
        <w:rPr>
          <w:rFonts w:ascii="Times New Roman" w:eastAsia="Times New Roman" w:hAnsi="Times New Roman" w:cs="Times New Roman"/>
          <w:sz w:val="24"/>
          <w:szCs w:val="24"/>
        </w:rPr>
        <w:t>oss-examination, present rebuttal testimony, and brief all issues that the Commission shall decide based upon the record and briefs as if this Stipulation had never been executed.</w:t>
      </w:r>
    </w:p>
    <w:p w:rsidR="0032049C" w:rsidRPr="001C1668" w:rsidRDefault="00A001EC" w:rsidP="001C1668">
      <w:pPr>
        <w:spacing w:after="0" w:line="480" w:lineRule="auto"/>
        <w:ind w:right="100" w:firstLine="720"/>
        <w:jc w:val="both"/>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WHEREAS, all of the related issues and concerns raised by the Signatory Parties have been addressed in the substantive provisions of this Stipulation and reflect, as a result of discussions and compromises, an overall reasonable resolution of all such issues; and</w:t>
      </w:r>
    </w:p>
    <w:p w:rsidR="0032049C" w:rsidRPr="001C1668" w:rsidRDefault="00A001EC" w:rsidP="001C1668">
      <w:pPr>
        <w:spacing w:after="0" w:line="480" w:lineRule="auto"/>
        <w:ind w:right="100" w:firstLine="720"/>
        <w:jc w:val="both"/>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 xml:space="preserve">WHEREAS, this Stipulation is the product of serious bargaining and negotiations among capable and knowledgeable </w:t>
      </w:r>
      <w:r w:rsidR="00BB3B39" w:rsidRPr="001C1668">
        <w:rPr>
          <w:rFonts w:ascii="Times New Roman" w:eastAsia="Times New Roman" w:hAnsi="Times New Roman" w:cs="Times New Roman"/>
          <w:sz w:val="24"/>
          <w:szCs w:val="24"/>
        </w:rPr>
        <w:t xml:space="preserve">Signatories </w:t>
      </w:r>
      <w:r w:rsidRPr="001C1668">
        <w:rPr>
          <w:rFonts w:ascii="Times New Roman" w:eastAsia="Times New Roman" w:hAnsi="Times New Roman" w:cs="Times New Roman"/>
          <w:sz w:val="24"/>
          <w:szCs w:val="24"/>
        </w:rPr>
        <w:t xml:space="preserve">Parties and is not intended to reflect the views or proposals that any individual </w:t>
      </w:r>
      <w:r w:rsidR="00BB3B39" w:rsidRPr="001C1668">
        <w:rPr>
          <w:rFonts w:ascii="Times New Roman" w:eastAsia="Times New Roman" w:hAnsi="Times New Roman" w:cs="Times New Roman"/>
          <w:sz w:val="24"/>
          <w:szCs w:val="24"/>
        </w:rPr>
        <w:t xml:space="preserve">Signatory </w:t>
      </w:r>
      <w:r w:rsidRPr="001C1668">
        <w:rPr>
          <w:rFonts w:ascii="Times New Roman" w:eastAsia="Times New Roman" w:hAnsi="Times New Roman" w:cs="Times New Roman"/>
          <w:sz w:val="24"/>
          <w:szCs w:val="24"/>
        </w:rPr>
        <w:t>Party might have advanced, acting unilaterally; and</w:t>
      </w:r>
    </w:p>
    <w:p w:rsidR="0032049C" w:rsidRPr="001C1668" w:rsidRDefault="00A001EC" w:rsidP="001C1668">
      <w:pPr>
        <w:spacing w:after="0" w:line="480" w:lineRule="auto"/>
        <w:ind w:right="100" w:firstLine="720"/>
        <w:jc w:val="both"/>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WHEREAS, this Stipulation represents an accommodation of the diverse interests represented by the Parties and is entitled to careful consideration by the Commission; and</w:t>
      </w:r>
    </w:p>
    <w:p w:rsidR="0032049C" w:rsidRPr="001C1668" w:rsidRDefault="00A001EC" w:rsidP="001C1668">
      <w:pPr>
        <w:spacing w:after="0" w:line="480" w:lineRule="auto"/>
        <w:ind w:right="100" w:firstLine="720"/>
        <w:jc w:val="both"/>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WHEREAS, this Stipulation represents a serious compromise of complex issues and involves substantial benefits that would not otherwise have been achievable; and</w:t>
      </w:r>
    </w:p>
    <w:p w:rsidR="0032049C" w:rsidRPr="001C1668" w:rsidRDefault="00A001EC" w:rsidP="001C1668">
      <w:pPr>
        <w:spacing w:after="0" w:line="480" w:lineRule="auto"/>
        <w:ind w:right="100" w:firstLine="720"/>
        <w:jc w:val="both"/>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WHEREAS, the Signatory Parties believe that the agreements herein represent a fair and reasonable solution to the issues raised in the case set forth above concerning Duke Energy Ohio’s Application to adjust Rider AMRP and for tariff approval;</w:t>
      </w:r>
    </w:p>
    <w:p w:rsidR="0032049C" w:rsidRPr="001C1668" w:rsidRDefault="00A001EC" w:rsidP="001C1668">
      <w:pPr>
        <w:spacing w:after="0" w:line="480" w:lineRule="auto"/>
        <w:ind w:right="100" w:firstLine="720"/>
        <w:rPr>
          <w:sz w:val="26"/>
          <w:szCs w:val="26"/>
        </w:rPr>
      </w:pPr>
      <w:r w:rsidRPr="001C1668">
        <w:rPr>
          <w:rFonts w:ascii="Times New Roman" w:eastAsia="Times New Roman" w:hAnsi="Times New Roman" w:cs="Times New Roman"/>
          <w:sz w:val="24"/>
          <w:szCs w:val="24"/>
        </w:rPr>
        <w:t>NOW, THEREFORE, it is agreed that:</w:t>
      </w:r>
    </w:p>
    <w:p w:rsidR="0032049C" w:rsidRPr="001C1668" w:rsidRDefault="00A001EC" w:rsidP="001C1668">
      <w:pPr>
        <w:spacing w:after="0" w:line="480" w:lineRule="auto"/>
        <w:ind w:right="100" w:firstLine="720"/>
        <w:jc w:val="both"/>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 xml:space="preserve">1.  Duke Energy Ohio shall receive, effective on May 1, </w:t>
      </w:r>
      <w:r w:rsidR="00A2300A" w:rsidRPr="001C1668">
        <w:rPr>
          <w:rFonts w:ascii="Times New Roman" w:eastAsia="Times New Roman" w:hAnsi="Times New Roman" w:cs="Times New Roman"/>
          <w:sz w:val="24"/>
          <w:szCs w:val="24"/>
        </w:rPr>
        <w:t>2014</w:t>
      </w:r>
      <w:r w:rsidRPr="001C1668">
        <w:rPr>
          <w:rFonts w:ascii="Times New Roman" w:eastAsia="Times New Roman" w:hAnsi="Times New Roman" w:cs="Times New Roman"/>
          <w:sz w:val="24"/>
          <w:szCs w:val="24"/>
        </w:rPr>
        <w:t>, an annualized revenue requirement under Rider AMRP of $</w:t>
      </w:r>
      <w:r w:rsidR="009A530B" w:rsidRPr="001C1668">
        <w:rPr>
          <w:rFonts w:ascii="Times New Roman" w:eastAsia="Times New Roman" w:hAnsi="Times New Roman" w:cs="Times New Roman"/>
          <w:sz w:val="24"/>
          <w:szCs w:val="24"/>
        </w:rPr>
        <w:t>19,5</w:t>
      </w:r>
      <w:r w:rsidR="007F48F4">
        <w:rPr>
          <w:rFonts w:ascii="Times New Roman" w:eastAsia="Times New Roman" w:hAnsi="Times New Roman" w:cs="Times New Roman"/>
          <w:sz w:val="24"/>
          <w:szCs w:val="24"/>
        </w:rPr>
        <w:t>8</w:t>
      </w:r>
      <w:r w:rsidR="009A530B" w:rsidRPr="001C1668">
        <w:rPr>
          <w:rFonts w:ascii="Times New Roman" w:eastAsia="Times New Roman" w:hAnsi="Times New Roman" w:cs="Times New Roman"/>
          <w:sz w:val="24"/>
          <w:szCs w:val="24"/>
        </w:rPr>
        <w:t>8,57</w:t>
      </w:r>
      <w:r w:rsidR="007F48F4">
        <w:rPr>
          <w:rFonts w:ascii="Times New Roman" w:eastAsia="Times New Roman" w:hAnsi="Times New Roman" w:cs="Times New Roman"/>
          <w:sz w:val="24"/>
          <w:szCs w:val="24"/>
        </w:rPr>
        <w:t>1</w:t>
      </w:r>
      <w:r w:rsidRPr="001C1668">
        <w:rPr>
          <w:rFonts w:ascii="Times New Roman" w:eastAsia="Times New Roman" w:hAnsi="Times New Roman" w:cs="Times New Roman"/>
          <w:sz w:val="24"/>
          <w:szCs w:val="24"/>
        </w:rPr>
        <w:t xml:space="preserve"> for the AMRP and $</w:t>
      </w:r>
      <w:r w:rsidR="009A530B" w:rsidRPr="001C1668">
        <w:rPr>
          <w:rFonts w:ascii="Times New Roman" w:eastAsia="Times New Roman" w:hAnsi="Times New Roman" w:cs="Times New Roman"/>
          <w:sz w:val="24"/>
          <w:szCs w:val="24"/>
        </w:rPr>
        <w:t>310,120</w:t>
      </w:r>
      <w:r w:rsidRPr="001C1668">
        <w:rPr>
          <w:rFonts w:ascii="Times New Roman" w:eastAsia="Times New Roman" w:hAnsi="Times New Roman" w:cs="Times New Roman"/>
          <w:sz w:val="24"/>
          <w:szCs w:val="24"/>
        </w:rPr>
        <w:t xml:space="preserve"> for the Riser </w:t>
      </w:r>
      <w:r w:rsidR="00302412">
        <w:rPr>
          <w:rFonts w:ascii="Times New Roman" w:eastAsia="Times New Roman" w:hAnsi="Times New Roman" w:cs="Times New Roman"/>
          <w:sz w:val="24"/>
          <w:szCs w:val="24"/>
        </w:rPr>
        <w:t>Replacement Program</w:t>
      </w:r>
      <w:r w:rsidRPr="001C1668">
        <w:rPr>
          <w:rFonts w:ascii="Times New Roman" w:eastAsia="Times New Roman" w:hAnsi="Times New Roman" w:cs="Times New Roman"/>
          <w:sz w:val="24"/>
          <w:szCs w:val="24"/>
        </w:rPr>
        <w:t>, for a total revenue requirement of $</w:t>
      </w:r>
      <w:r w:rsidR="009A530B" w:rsidRPr="001C1668">
        <w:rPr>
          <w:rFonts w:ascii="Times New Roman" w:eastAsia="Times New Roman" w:hAnsi="Times New Roman" w:cs="Times New Roman"/>
          <w:sz w:val="24"/>
          <w:szCs w:val="24"/>
        </w:rPr>
        <w:t>19,898</w:t>
      </w:r>
      <w:r w:rsidR="00B55003" w:rsidRPr="001C1668">
        <w:rPr>
          <w:rFonts w:ascii="Times New Roman" w:eastAsia="Times New Roman" w:hAnsi="Times New Roman" w:cs="Times New Roman"/>
          <w:sz w:val="24"/>
          <w:szCs w:val="24"/>
        </w:rPr>
        <w:t>,</w:t>
      </w:r>
      <w:r w:rsidR="009A530B" w:rsidRPr="001C1668">
        <w:rPr>
          <w:rFonts w:ascii="Times New Roman" w:eastAsia="Times New Roman" w:hAnsi="Times New Roman" w:cs="Times New Roman"/>
          <w:sz w:val="24"/>
          <w:szCs w:val="24"/>
        </w:rPr>
        <w:t>691,</w:t>
      </w:r>
      <w:r w:rsidRPr="001C1668">
        <w:rPr>
          <w:rFonts w:ascii="Times New Roman" w:eastAsia="Times New Roman" w:hAnsi="Times New Roman" w:cs="Times New Roman"/>
          <w:sz w:val="24"/>
          <w:szCs w:val="24"/>
        </w:rPr>
        <w:t xml:space="preserve"> as calculated on </w:t>
      </w:r>
      <w:r w:rsidRPr="001C1668">
        <w:rPr>
          <w:rFonts w:ascii="Times New Roman" w:eastAsia="Times New Roman" w:hAnsi="Times New Roman" w:cs="Times New Roman"/>
          <w:sz w:val="24"/>
          <w:szCs w:val="24"/>
        </w:rPr>
        <w:lastRenderedPageBreak/>
        <w:t>Attachment 1.  The class rates resulting from the above revenue requirement shall be:</w:t>
      </w:r>
    </w:p>
    <w:p w:rsidR="009A530B" w:rsidRPr="001C1668" w:rsidRDefault="00A001EC" w:rsidP="001C1668">
      <w:pPr>
        <w:tabs>
          <w:tab w:val="left" w:pos="5880"/>
        </w:tabs>
        <w:spacing w:after="0" w:line="480" w:lineRule="auto"/>
        <w:ind w:right="100" w:firstLine="72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Residential</w:t>
      </w:r>
      <w:r w:rsidRPr="001C1668">
        <w:rPr>
          <w:rFonts w:ascii="Times New Roman" w:eastAsia="Times New Roman" w:hAnsi="Times New Roman" w:cs="Times New Roman"/>
          <w:sz w:val="24"/>
          <w:szCs w:val="24"/>
        </w:rPr>
        <w:tab/>
        <w:t>$</w:t>
      </w:r>
      <w:r w:rsidR="009A530B" w:rsidRPr="001C1668">
        <w:rPr>
          <w:rFonts w:ascii="Times New Roman" w:eastAsia="Times New Roman" w:hAnsi="Times New Roman" w:cs="Times New Roman"/>
          <w:sz w:val="24"/>
          <w:szCs w:val="24"/>
        </w:rPr>
        <w:t>2.36</w:t>
      </w:r>
      <w:r w:rsidRPr="001C1668">
        <w:rPr>
          <w:rFonts w:ascii="Times New Roman" w:eastAsia="Times New Roman" w:hAnsi="Times New Roman" w:cs="Times New Roman"/>
          <w:sz w:val="24"/>
          <w:szCs w:val="24"/>
        </w:rPr>
        <w:t xml:space="preserve"> per month</w:t>
      </w:r>
      <w:r w:rsidR="009A530B" w:rsidRPr="001C1668">
        <w:rPr>
          <w:rStyle w:val="FootnoteReference"/>
          <w:rFonts w:ascii="Times New Roman" w:eastAsia="Times New Roman" w:hAnsi="Times New Roman" w:cs="Times New Roman"/>
          <w:sz w:val="24"/>
          <w:szCs w:val="24"/>
        </w:rPr>
        <w:footnoteReference w:id="3"/>
      </w:r>
      <w:r w:rsidRPr="001C1668">
        <w:rPr>
          <w:rFonts w:ascii="Times New Roman" w:eastAsia="Times New Roman" w:hAnsi="Times New Roman" w:cs="Times New Roman"/>
          <w:sz w:val="24"/>
          <w:szCs w:val="24"/>
        </w:rPr>
        <w:t xml:space="preserve"> </w:t>
      </w:r>
    </w:p>
    <w:p w:rsidR="009A530B" w:rsidRPr="001C1668" w:rsidRDefault="00A001EC" w:rsidP="001C1668">
      <w:pPr>
        <w:tabs>
          <w:tab w:val="left" w:pos="5880"/>
        </w:tabs>
        <w:spacing w:after="0" w:line="480" w:lineRule="auto"/>
        <w:ind w:right="100" w:firstLine="72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General Services and Firm Transportation</w:t>
      </w:r>
      <w:r w:rsidRPr="001C1668">
        <w:rPr>
          <w:rFonts w:ascii="Times New Roman" w:eastAsia="Times New Roman" w:hAnsi="Times New Roman" w:cs="Times New Roman"/>
          <w:sz w:val="24"/>
          <w:szCs w:val="24"/>
        </w:rPr>
        <w:tab/>
        <w:t>$</w:t>
      </w:r>
      <w:r w:rsidR="009A530B" w:rsidRPr="001C1668">
        <w:rPr>
          <w:rFonts w:ascii="Times New Roman" w:eastAsia="Times New Roman" w:hAnsi="Times New Roman" w:cs="Times New Roman"/>
          <w:sz w:val="24"/>
          <w:szCs w:val="24"/>
        </w:rPr>
        <w:t>21.32</w:t>
      </w:r>
      <w:r w:rsidRPr="001C1668">
        <w:rPr>
          <w:rFonts w:ascii="Times New Roman" w:eastAsia="Times New Roman" w:hAnsi="Times New Roman" w:cs="Times New Roman"/>
          <w:sz w:val="24"/>
          <w:szCs w:val="24"/>
        </w:rPr>
        <w:t xml:space="preserve"> per month </w:t>
      </w:r>
    </w:p>
    <w:p w:rsidR="0032049C" w:rsidRPr="001C1668" w:rsidRDefault="00A001EC" w:rsidP="001C1668">
      <w:pPr>
        <w:tabs>
          <w:tab w:val="left" w:pos="5880"/>
        </w:tabs>
        <w:spacing w:after="0" w:line="480" w:lineRule="auto"/>
        <w:ind w:right="100" w:firstLine="72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Interruptible Transportation</w:t>
      </w:r>
      <w:r w:rsidRPr="001C1668">
        <w:rPr>
          <w:rFonts w:ascii="Times New Roman" w:eastAsia="Times New Roman" w:hAnsi="Times New Roman" w:cs="Times New Roman"/>
          <w:sz w:val="24"/>
          <w:szCs w:val="24"/>
        </w:rPr>
        <w:tab/>
        <w:t>$.0</w:t>
      </w:r>
      <w:r w:rsidR="00F4186F">
        <w:rPr>
          <w:rFonts w:ascii="Times New Roman" w:eastAsia="Times New Roman" w:hAnsi="Times New Roman" w:cs="Times New Roman"/>
          <w:sz w:val="24"/>
          <w:szCs w:val="24"/>
        </w:rPr>
        <w:t>0</w:t>
      </w:r>
      <w:r w:rsidR="009A530B" w:rsidRPr="001C1668">
        <w:rPr>
          <w:rFonts w:ascii="Times New Roman" w:eastAsia="Times New Roman" w:hAnsi="Times New Roman" w:cs="Times New Roman"/>
          <w:sz w:val="24"/>
          <w:szCs w:val="24"/>
        </w:rPr>
        <w:t>8</w:t>
      </w:r>
      <w:r w:rsidRPr="001C1668">
        <w:rPr>
          <w:rFonts w:ascii="Times New Roman" w:eastAsia="Times New Roman" w:hAnsi="Times New Roman" w:cs="Times New Roman"/>
          <w:sz w:val="24"/>
          <w:szCs w:val="24"/>
        </w:rPr>
        <w:t xml:space="preserve"> </w:t>
      </w:r>
      <w:r w:rsidR="009A530B" w:rsidRPr="001C1668">
        <w:rPr>
          <w:rFonts w:ascii="Times New Roman" w:eastAsia="Times New Roman" w:hAnsi="Times New Roman" w:cs="Times New Roman"/>
          <w:sz w:val="24"/>
          <w:szCs w:val="24"/>
        </w:rPr>
        <w:t>p</w:t>
      </w:r>
      <w:r w:rsidRPr="001C1668">
        <w:rPr>
          <w:rFonts w:ascii="Times New Roman" w:eastAsia="Times New Roman" w:hAnsi="Times New Roman" w:cs="Times New Roman"/>
          <w:sz w:val="24"/>
          <w:szCs w:val="24"/>
        </w:rPr>
        <w:t>er CCF</w:t>
      </w:r>
    </w:p>
    <w:p w:rsidR="0032049C" w:rsidRPr="001C1668" w:rsidRDefault="00DB5D51" w:rsidP="001C1668">
      <w:pPr>
        <w:spacing w:after="0" w:line="480" w:lineRule="auto"/>
        <w:ind w:right="1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001EC" w:rsidRPr="001C1668">
        <w:rPr>
          <w:rFonts w:ascii="Times New Roman" w:eastAsia="Times New Roman" w:hAnsi="Times New Roman" w:cs="Times New Roman"/>
          <w:sz w:val="24"/>
          <w:szCs w:val="24"/>
        </w:rPr>
        <w:t>.  Duke Energy Ohio committed, in the 20</w:t>
      </w:r>
      <w:r w:rsidR="00615D92" w:rsidRPr="001C1668">
        <w:rPr>
          <w:rFonts w:ascii="Times New Roman" w:eastAsia="Times New Roman" w:hAnsi="Times New Roman" w:cs="Times New Roman"/>
          <w:sz w:val="24"/>
          <w:szCs w:val="24"/>
        </w:rPr>
        <w:t>1</w:t>
      </w:r>
      <w:r w:rsidR="003851B7" w:rsidRPr="001C1668">
        <w:rPr>
          <w:rFonts w:ascii="Times New Roman" w:eastAsia="Times New Roman" w:hAnsi="Times New Roman" w:cs="Times New Roman"/>
          <w:sz w:val="24"/>
          <w:szCs w:val="24"/>
        </w:rPr>
        <w:t>0</w:t>
      </w:r>
      <w:r w:rsidR="00A001EC" w:rsidRPr="001C1668">
        <w:rPr>
          <w:rFonts w:ascii="Times New Roman" w:eastAsia="Times New Roman" w:hAnsi="Times New Roman" w:cs="Times New Roman"/>
          <w:sz w:val="24"/>
          <w:szCs w:val="24"/>
        </w:rPr>
        <w:t xml:space="preserve"> Rider AMRP case (Case No. </w:t>
      </w:r>
      <w:r w:rsidR="00615D92" w:rsidRPr="001C1668">
        <w:rPr>
          <w:rFonts w:ascii="Times New Roman" w:eastAsia="Times New Roman" w:hAnsi="Times New Roman" w:cs="Times New Roman"/>
          <w:sz w:val="24"/>
          <w:szCs w:val="24"/>
        </w:rPr>
        <w:t>1</w:t>
      </w:r>
      <w:r w:rsidR="003851B7" w:rsidRPr="001C1668">
        <w:rPr>
          <w:rFonts w:ascii="Times New Roman" w:eastAsia="Times New Roman" w:hAnsi="Times New Roman" w:cs="Times New Roman"/>
          <w:sz w:val="24"/>
          <w:szCs w:val="24"/>
        </w:rPr>
        <w:t>0</w:t>
      </w:r>
      <w:r w:rsidR="00615D92" w:rsidRPr="001C1668">
        <w:rPr>
          <w:rFonts w:ascii="Times New Roman" w:eastAsia="Times New Roman" w:hAnsi="Times New Roman" w:cs="Times New Roman"/>
          <w:sz w:val="24"/>
          <w:szCs w:val="24"/>
        </w:rPr>
        <w:t>-</w:t>
      </w:r>
      <w:r w:rsidR="003851B7" w:rsidRPr="001C1668">
        <w:rPr>
          <w:rFonts w:ascii="Times New Roman" w:eastAsia="Times New Roman" w:hAnsi="Times New Roman" w:cs="Times New Roman"/>
          <w:sz w:val="24"/>
          <w:szCs w:val="24"/>
        </w:rPr>
        <w:t>2788</w:t>
      </w:r>
      <w:r w:rsidR="00A001EC" w:rsidRPr="001C1668">
        <w:rPr>
          <w:rFonts w:ascii="Times New Roman" w:eastAsia="Times New Roman" w:hAnsi="Times New Roman" w:cs="Times New Roman"/>
          <w:sz w:val="24"/>
          <w:szCs w:val="24"/>
        </w:rPr>
        <w:t xml:space="preserve">-GA- RDR, </w:t>
      </w:r>
      <w:r w:rsidR="00A001EC" w:rsidRPr="001C1668">
        <w:rPr>
          <w:rFonts w:ascii="Times New Roman" w:eastAsia="Times New Roman" w:hAnsi="Times New Roman" w:cs="Times New Roman"/>
          <w:i/>
          <w:sz w:val="24"/>
          <w:szCs w:val="24"/>
        </w:rPr>
        <w:t>et al.</w:t>
      </w:r>
      <w:r w:rsidR="00A001EC" w:rsidRPr="001C1668">
        <w:rPr>
          <w:rFonts w:ascii="Times New Roman" w:eastAsia="Times New Roman" w:hAnsi="Times New Roman" w:cs="Times New Roman"/>
          <w:sz w:val="24"/>
          <w:szCs w:val="24"/>
        </w:rPr>
        <w:t>), to provide its natural gas customers with guaranteed maintenance savings attributed to the AMRP on an annual basis.  For the 201</w:t>
      </w:r>
      <w:r w:rsidR="00615D92" w:rsidRPr="001C1668">
        <w:rPr>
          <w:rFonts w:ascii="Times New Roman" w:eastAsia="Times New Roman" w:hAnsi="Times New Roman" w:cs="Times New Roman"/>
          <w:sz w:val="24"/>
          <w:szCs w:val="24"/>
        </w:rPr>
        <w:t>3</w:t>
      </w:r>
      <w:r w:rsidR="00A001EC" w:rsidRPr="001C1668">
        <w:rPr>
          <w:rFonts w:ascii="Times New Roman" w:eastAsia="Times New Roman" w:hAnsi="Times New Roman" w:cs="Times New Roman"/>
          <w:sz w:val="24"/>
          <w:szCs w:val="24"/>
        </w:rPr>
        <w:t xml:space="preserve"> AMRP test year, the </w:t>
      </w:r>
      <w:r w:rsidR="00615D92" w:rsidRPr="001C1668">
        <w:rPr>
          <w:rFonts w:ascii="Times New Roman" w:eastAsia="Times New Roman" w:hAnsi="Times New Roman" w:cs="Times New Roman"/>
          <w:sz w:val="24"/>
          <w:szCs w:val="24"/>
        </w:rPr>
        <w:t xml:space="preserve">Stipulating </w:t>
      </w:r>
      <w:r w:rsidR="00A001EC" w:rsidRPr="001C1668">
        <w:rPr>
          <w:rFonts w:ascii="Times New Roman" w:eastAsia="Times New Roman" w:hAnsi="Times New Roman" w:cs="Times New Roman"/>
          <w:sz w:val="24"/>
          <w:szCs w:val="24"/>
        </w:rPr>
        <w:t>Parties agreed to apply, as savings, the amount of $</w:t>
      </w:r>
      <w:r w:rsidR="003851B7" w:rsidRPr="001C1668">
        <w:rPr>
          <w:rFonts w:ascii="Times New Roman" w:eastAsia="Times New Roman" w:hAnsi="Times New Roman" w:cs="Times New Roman"/>
          <w:sz w:val="24"/>
          <w:szCs w:val="24"/>
        </w:rPr>
        <w:t>73,082</w:t>
      </w:r>
      <w:r w:rsidR="00A001EC" w:rsidRPr="001C1668">
        <w:rPr>
          <w:rFonts w:ascii="Times New Roman" w:eastAsia="Times New Roman" w:hAnsi="Times New Roman" w:cs="Times New Roman"/>
          <w:sz w:val="24"/>
          <w:szCs w:val="24"/>
        </w:rPr>
        <w:t xml:space="preserve"> which is the difference between the</w:t>
      </w:r>
      <w:r w:rsidR="00252028" w:rsidRPr="001C1668">
        <w:rPr>
          <w:rFonts w:ascii="Times New Roman" w:eastAsia="Times New Roman" w:hAnsi="Times New Roman" w:cs="Times New Roman"/>
          <w:sz w:val="24"/>
          <w:szCs w:val="24"/>
        </w:rPr>
        <w:t xml:space="preserve"> </w:t>
      </w:r>
      <w:r w:rsidR="00A001EC" w:rsidRPr="001C1668">
        <w:rPr>
          <w:rFonts w:ascii="Times New Roman" w:eastAsia="Times New Roman" w:hAnsi="Times New Roman" w:cs="Times New Roman"/>
          <w:sz w:val="24"/>
          <w:szCs w:val="24"/>
        </w:rPr>
        <w:t>$</w:t>
      </w:r>
      <w:r w:rsidR="003851B7" w:rsidRPr="001C1668">
        <w:rPr>
          <w:rFonts w:ascii="Times New Roman" w:eastAsia="Times New Roman" w:hAnsi="Times New Roman" w:cs="Times New Roman"/>
          <w:sz w:val="24"/>
          <w:szCs w:val="24"/>
        </w:rPr>
        <w:t>690,220</w:t>
      </w:r>
      <w:r w:rsidR="00A001EC" w:rsidRPr="001C1668">
        <w:rPr>
          <w:rFonts w:ascii="Times New Roman" w:eastAsia="Times New Roman" w:hAnsi="Times New Roman" w:cs="Times New Roman"/>
          <w:sz w:val="24"/>
          <w:szCs w:val="24"/>
        </w:rPr>
        <w:t xml:space="preserve"> guaranteed level of savings stipulated in Case No. 10-2788-GA-RDR and the</w:t>
      </w:r>
      <w:r w:rsidR="00252028" w:rsidRPr="001C1668">
        <w:rPr>
          <w:rFonts w:ascii="Times New Roman" w:eastAsia="Times New Roman" w:hAnsi="Times New Roman" w:cs="Times New Roman"/>
          <w:sz w:val="24"/>
          <w:szCs w:val="24"/>
        </w:rPr>
        <w:t xml:space="preserve"> </w:t>
      </w:r>
      <w:r w:rsidR="00A001EC" w:rsidRPr="001C1668">
        <w:rPr>
          <w:rFonts w:ascii="Times New Roman" w:eastAsia="Times New Roman" w:hAnsi="Times New Roman" w:cs="Times New Roman"/>
          <w:sz w:val="24"/>
          <w:szCs w:val="24"/>
        </w:rPr>
        <w:t xml:space="preserve">$617,138 of savings included in </w:t>
      </w:r>
      <w:r w:rsidR="00F4186F">
        <w:rPr>
          <w:rFonts w:ascii="Times New Roman" w:eastAsia="Times New Roman" w:hAnsi="Times New Roman" w:cs="Times New Roman"/>
          <w:sz w:val="24"/>
          <w:szCs w:val="24"/>
        </w:rPr>
        <w:t xml:space="preserve">base rates in </w:t>
      </w:r>
      <w:r w:rsidR="00A001EC" w:rsidRPr="001C1668">
        <w:rPr>
          <w:rFonts w:ascii="Times New Roman" w:eastAsia="Times New Roman" w:hAnsi="Times New Roman" w:cs="Times New Roman"/>
          <w:sz w:val="24"/>
          <w:szCs w:val="24"/>
        </w:rPr>
        <w:t>Case No</w:t>
      </w:r>
      <w:r w:rsidR="00246FD9">
        <w:rPr>
          <w:rFonts w:ascii="Times New Roman" w:eastAsia="Times New Roman" w:hAnsi="Times New Roman" w:cs="Times New Roman"/>
          <w:sz w:val="24"/>
          <w:szCs w:val="24"/>
        </w:rPr>
        <w:t>.</w:t>
      </w:r>
      <w:r w:rsidR="003851B7" w:rsidRPr="001C1668">
        <w:rPr>
          <w:rFonts w:ascii="Times New Roman" w:eastAsia="Times New Roman" w:hAnsi="Times New Roman" w:cs="Times New Roman"/>
          <w:sz w:val="24"/>
          <w:szCs w:val="24"/>
        </w:rPr>
        <w:t xml:space="preserve"> </w:t>
      </w:r>
      <w:r w:rsidR="00A001EC" w:rsidRPr="001C1668">
        <w:rPr>
          <w:rFonts w:ascii="Times New Roman" w:eastAsia="Times New Roman" w:hAnsi="Times New Roman" w:cs="Times New Roman"/>
          <w:sz w:val="24"/>
          <w:szCs w:val="24"/>
        </w:rPr>
        <w:t>12-1685-GA-AIR.  For purposes of calculating the AMRP revenue requirement in these proceedings, the Parties agree that Duke Energy</w:t>
      </w:r>
      <w:r w:rsidR="00BC6470" w:rsidRPr="001C1668">
        <w:rPr>
          <w:rFonts w:ascii="Times New Roman" w:eastAsia="Times New Roman" w:hAnsi="Times New Roman" w:cs="Times New Roman"/>
          <w:sz w:val="24"/>
          <w:szCs w:val="24"/>
        </w:rPr>
        <w:t xml:space="preserve"> </w:t>
      </w:r>
      <w:r w:rsidR="00A001EC" w:rsidRPr="001C1668">
        <w:rPr>
          <w:rFonts w:ascii="Times New Roman" w:eastAsia="Times New Roman" w:hAnsi="Times New Roman" w:cs="Times New Roman"/>
          <w:sz w:val="24"/>
          <w:szCs w:val="24"/>
        </w:rPr>
        <w:t>Ohio did apply the savings of $</w:t>
      </w:r>
      <w:r w:rsidR="003851B7" w:rsidRPr="001C1668">
        <w:rPr>
          <w:rFonts w:ascii="Times New Roman" w:eastAsia="Times New Roman" w:hAnsi="Times New Roman" w:cs="Times New Roman"/>
          <w:sz w:val="24"/>
          <w:szCs w:val="24"/>
        </w:rPr>
        <w:t>73,082</w:t>
      </w:r>
      <w:r w:rsidR="00A001EC" w:rsidRPr="001C1668">
        <w:rPr>
          <w:rFonts w:ascii="Times New Roman" w:eastAsia="Times New Roman" w:hAnsi="Times New Roman" w:cs="Times New Roman"/>
          <w:sz w:val="24"/>
          <w:szCs w:val="24"/>
        </w:rPr>
        <w:t>.00 as part of the AMRP revenue requirement and, therefore, also as part of the total revenue requirement of $</w:t>
      </w:r>
      <w:r w:rsidR="00B55003" w:rsidRPr="001C1668">
        <w:rPr>
          <w:rFonts w:ascii="Times New Roman" w:eastAsia="Times New Roman" w:hAnsi="Times New Roman" w:cs="Times New Roman"/>
          <w:sz w:val="24"/>
          <w:szCs w:val="24"/>
        </w:rPr>
        <w:t>19,898,691</w:t>
      </w:r>
      <w:r w:rsidR="00A001EC" w:rsidRPr="001C1668">
        <w:rPr>
          <w:rFonts w:ascii="Times New Roman" w:eastAsia="Times New Roman" w:hAnsi="Times New Roman" w:cs="Times New Roman"/>
          <w:sz w:val="24"/>
          <w:szCs w:val="24"/>
        </w:rPr>
        <w:t xml:space="preserve">.  The </w:t>
      </w:r>
      <w:r w:rsidR="00BC6470" w:rsidRPr="001C1668">
        <w:rPr>
          <w:rFonts w:ascii="Times New Roman" w:eastAsia="Times New Roman" w:hAnsi="Times New Roman" w:cs="Times New Roman"/>
          <w:sz w:val="24"/>
          <w:szCs w:val="24"/>
        </w:rPr>
        <w:t>Stipulating Parties</w:t>
      </w:r>
      <w:r w:rsidR="00BC6470" w:rsidRPr="001C1668" w:rsidDel="00BC6470">
        <w:rPr>
          <w:rFonts w:ascii="Times New Roman" w:eastAsia="Times New Roman" w:hAnsi="Times New Roman" w:cs="Times New Roman"/>
          <w:sz w:val="24"/>
          <w:szCs w:val="24"/>
        </w:rPr>
        <w:t xml:space="preserve"> </w:t>
      </w:r>
      <w:r w:rsidR="00A001EC" w:rsidRPr="001C1668">
        <w:rPr>
          <w:rFonts w:ascii="Times New Roman" w:eastAsia="Times New Roman" w:hAnsi="Times New Roman" w:cs="Times New Roman"/>
          <w:sz w:val="24"/>
          <w:szCs w:val="24"/>
        </w:rPr>
        <w:t>further agree that the guaranteed savings for the 2014 and 2015 AMRP test years shall be the greater of $17</w:t>
      </w:r>
      <w:r w:rsidR="00F4186F">
        <w:rPr>
          <w:rFonts w:ascii="Times New Roman" w:eastAsia="Times New Roman" w:hAnsi="Times New Roman" w:cs="Times New Roman"/>
          <w:sz w:val="24"/>
          <w:szCs w:val="24"/>
        </w:rPr>
        <w:t>2,488</w:t>
      </w:r>
      <w:r>
        <w:rPr>
          <w:rFonts w:ascii="Times New Roman" w:eastAsia="Times New Roman" w:hAnsi="Times New Roman" w:cs="Times New Roman"/>
          <w:sz w:val="24"/>
          <w:szCs w:val="24"/>
        </w:rPr>
        <w:t xml:space="preserve"> </w:t>
      </w:r>
      <w:r w:rsidR="00A001EC" w:rsidRPr="001C1668">
        <w:rPr>
          <w:rFonts w:ascii="Times New Roman" w:eastAsia="Times New Roman" w:hAnsi="Times New Roman" w:cs="Times New Roman"/>
          <w:sz w:val="24"/>
          <w:szCs w:val="24"/>
        </w:rPr>
        <w:t>and $31</w:t>
      </w:r>
      <w:r w:rsidR="00F4186F">
        <w:rPr>
          <w:rFonts w:ascii="Times New Roman" w:eastAsia="Times New Roman" w:hAnsi="Times New Roman" w:cs="Times New Roman"/>
          <w:sz w:val="24"/>
          <w:szCs w:val="24"/>
        </w:rPr>
        <w:t>2,532</w:t>
      </w:r>
      <w:r w:rsidR="00BC6470" w:rsidRPr="001C1668">
        <w:rPr>
          <w:rFonts w:ascii="Times New Roman" w:eastAsia="Times New Roman" w:hAnsi="Times New Roman" w:cs="Times New Roman"/>
          <w:sz w:val="24"/>
          <w:szCs w:val="24"/>
        </w:rPr>
        <w:t>,</w:t>
      </w:r>
      <w:r w:rsidR="00A001EC" w:rsidRPr="001C1668">
        <w:rPr>
          <w:rFonts w:ascii="Times New Roman" w:eastAsia="Times New Roman" w:hAnsi="Times New Roman" w:cs="Times New Roman"/>
          <w:sz w:val="24"/>
          <w:szCs w:val="24"/>
        </w:rPr>
        <w:t xml:space="preserve"> respectively, or the actual savings for the test year.</w:t>
      </w:r>
    </w:p>
    <w:p w:rsidR="0032049C" w:rsidRPr="001C1668" w:rsidRDefault="00DB5D51" w:rsidP="001C1668">
      <w:pPr>
        <w:tabs>
          <w:tab w:val="left" w:pos="840"/>
        </w:tabs>
        <w:spacing w:after="0" w:line="480" w:lineRule="auto"/>
        <w:ind w:right="100"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3</w:t>
      </w:r>
      <w:r w:rsidR="00A001EC" w:rsidRPr="001C1668">
        <w:rPr>
          <w:rFonts w:ascii="Times New Roman" w:eastAsia="Times New Roman" w:hAnsi="Times New Roman" w:cs="Times New Roman"/>
          <w:sz w:val="24"/>
          <w:szCs w:val="24"/>
        </w:rPr>
        <w:t>.</w:t>
      </w:r>
      <w:r w:rsidR="00A001EC" w:rsidRPr="001C1668">
        <w:rPr>
          <w:rFonts w:ascii="Times New Roman" w:eastAsia="Times New Roman" w:hAnsi="Times New Roman" w:cs="Times New Roman"/>
          <w:sz w:val="24"/>
          <w:szCs w:val="24"/>
        </w:rPr>
        <w:tab/>
        <w:t xml:space="preserve">Duke Energy Ohio shall implement the new </w:t>
      </w:r>
      <w:r w:rsidR="00615D92" w:rsidRPr="001C1668">
        <w:rPr>
          <w:rFonts w:ascii="Times New Roman" w:eastAsia="Times New Roman" w:hAnsi="Times New Roman" w:cs="Times New Roman"/>
          <w:sz w:val="24"/>
          <w:szCs w:val="24"/>
        </w:rPr>
        <w:t xml:space="preserve">2014 </w:t>
      </w:r>
      <w:r w:rsidR="00A001EC" w:rsidRPr="001C1668">
        <w:rPr>
          <w:rFonts w:ascii="Times New Roman" w:eastAsia="Times New Roman" w:hAnsi="Times New Roman" w:cs="Times New Roman"/>
          <w:sz w:val="24"/>
          <w:szCs w:val="24"/>
        </w:rPr>
        <w:t>rates for Rider AMRP pursuant to the terms and conditions in the stipulation</w:t>
      </w:r>
      <w:r w:rsidR="00615D92" w:rsidRPr="001C1668">
        <w:rPr>
          <w:rFonts w:ascii="Times New Roman" w:eastAsia="Times New Roman" w:hAnsi="Times New Roman" w:cs="Times New Roman"/>
          <w:sz w:val="24"/>
          <w:szCs w:val="24"/>
        </w:rPr>
        <w:t>s</w:t>
      </w:r>
      <w:r w:rsidR="00A001EC" w:rsidRPr="001C1668">
        <w:rPr>
          <w:rFonts w:ascii="Times New Roman" w:eastAsia="Times New Roman" w:hAnsi="Times New Roman" w:cs="Times New Roman"/>
          <w:sz w:val="24"/>
          <w:szCs w:val="24"/>
        </w:rPr>
        <w:t xml:space="preserve"> in Case No</w:t>
      </w:r>
      <w:r w:rsidR="00615D92" w:rsidRPr="001C1668">
        <w:rPr>
          <w:rFonts w:ascii="Times New Roman" w:eastAsia="Times New Roman" w:hAnsi="Times New Roman" w:cs="Times New Roman"/>
          <w:sz w:val="24"/>
          <w:szCs w:val="24"/>
        </w:rPr>
        <w:t>s</w:t>
      </w:r>
      <w:r w:rsidR="00A001EC" w:rsidRPr="001C1668">
        <w:rPr>
          <w:rFonts w:ascii="Times New Roman" w:eastAsia="Times New Roman" w:hAnsi="Times New Roman" w:cs="Times New Roman"/>
          <w:sz w:val="24"/>
          <w:szCs w:val="24"/>
        </w:rPr>
        <w:t xml:space="preserve">. 07-589-GA-AIR, </w:t>
      </w:r>
      <w:r w:rsidR="00A001EC" w:rsidRPr="001C1668">
        <w:rPr>
          <w:rFonts w:ascii="Times New Roman" w:eastAsia="Times New Roman" w:hAnsi="Times New Roman" w:cs="Times New Roman"/>
          <w:i/>
          <w:sz w:val="24"/>
          <w:szCs w:val="24"/>
        </w:rPr>
        <w:t>et al.</w:t>
      </w:r>
      <w:r w:rsidR="00615D92" w:rsidRPr="001C1668">
        <w:rPr>
          <w:rFonts w:ascii="Times New Roman" w:eastAsia="Times New Roman" w:hAnsi="Times New Roman" w:cs="Times New Roman"/>
          <w:sz w:val="24"/>
          <w:szCs w:val="24"/>
        </w:rPr>
        <w:t xml:space="preserve">, and 12-1685-GA-AIR, </w:t>
      </w:r>
      <w:r w:rsidR="00615D92" w:rsidRPr="001C1668">
        <w:rPr>
          <w:rFonts w:ascii="Times New Roman" w:eastAsia="Times New Roman" w:hAnsi="Times New Roman" w:cs="Times New Roman"/>
          <w:i/>
          <w:sz w:val="24"/>
          <w:szCs w:val="24"/>
        </w:rPr>
        <w:t>et al.</w:t>
      </w:r>
    </w:p>
    <w:p w:rsidR="0032049C" w:rsidRPr="001C1668" w:rsidRDefault="00DB5D51" w:rsidP="001C1668">
      <w:pPr>
        <w:tabs>
          <w:tab w:val="left" w:pos="840"/>
        </w:tabs>
        <w:spacing w:after="0" w:line="480" w:lineRule="auto"/>
        <w:ind w:right="1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001EC" w:rsidRPr="001C1668">
        <w:rPr>
          <w:rFonts w:ascii="Times New Roman" w:eastAsia="Times New Roman" w:hAnsi="Times New Roman" w:cs="Times New Roman"/>
          <w:sz w:val="24"/>
          <w:szCs w:val="24"/>
        </w:rPr>
        <w:t>.</w:t>
      </w:r>
      <w:r w:rsidR="00A001EC" w:rsidRPr="001C1668">
        <w:rPr>
          <w:rFonts w:ascii="Times New Roman" w:eastAsia="Times New Roman" w:hAnsi="Times New Roman" w:cs="Times New Roman"/>
          <w:sz w:val="24"/>
          <w:szCs w:val="24"/>
        </w:rPr>
        <w:tab/>
        <w:t xml:space="preserve">The </w:t>
      </w:r>
      <w:r w:rsidR="00BC6470" w:rsidRPr="001C1668">
        <w:rPr>
          <w:rFonts w:ascii="Times New Roman" w:eastAsia="Times New Roman" w:hAnsi="Times New Roman" w:cs="Times New Roman"/>
          <w:sz w:val="24"/>
          <w:szCs w:val="24"/>
        </w:rPr>
        <w:t xml:space="preserve">Stipulating </w:t>
      </w:r>
      <w:r w:rsidR="00A001EC" w:rsidRPr="001C1668">
        <w:rPr>
          <w:rFonts w:ascii="Times New Roman" w:eastAsia="Times New Roman" w:hAnsi="Times New Roman" w:cs="Times New Roman"/>
          <w:sz w:val="24"/>
          <w:szCs w:val="24"/>
        </w:rPr>
        <w:t xml:space="preserve">Parties agree that this Stipulation shall be tendered to and filed with the Commission and offered into evidence as a joint exhibit, with each </w:t>
      </w:r>
      <w:r w:rsidR="00BC6470" w:rsidRPr="001C1668">
        <w:rPr>
          <w:rFonts w:ascii="Times New Roman" w:eastAsia="Times New Roman" w:hAnsi="Times New Roman" w:cs="Times New Roman"/>
          <w:sz w:val="24"/>
          <w:szCs w:val="24"/>
        </w:rPr>
        <w:t>Stipulating Part</w:t>
      </w:r>
      <w:r w:rsidR="00D54840">
        <w:rPr>
          <w:rFonts w:ascii="Times New Roman" w:eastAsia="Times New Roman" w:hAnsi="Times New Roman" w:cs="Times New Roman"/>
          <w:sz w:val="24"/>
          <w:szCs w:val="24"/>
        </w:rPr>
        <w:t>y</w:t>
      </w:r>
      <w:r w:rsidR="00BC6470" w:rsidRPr="001C1668" w:rsidDel="00BC6470">
        <w:rPr>
          <w:rFonts w:ascii="Times New Roman" w:eastAsia="Times New Roman" w:hAnsi="Times New Roman" w:cs="Times New Roman"/>
          <w:sz w:val="24"/>
          <w:szCs w:val="24"/>
        </w:rPr>
        <w:t xml:space="preserve"> </w:t>
      </w:r>
      <w:r w:rsidR="00A001EC" w:rsidRPr="001C1668">
        <w:rPr>
          <w:rFonts w:ascii="Times New Roman" w:eastAsia="Times New Roman" w:hAnsi="Times New Roman" w:cs="Times New Roman"/>
          <w:sz w:val="24"/>
          <w:szCs w:val="24"/>
        </w:rPr>
        <w:t>expressly stating its consent to and approval of this Stipulation in its entirety.</w:t>
      </w:r>
    </w:p>
    <w:p w:rsidR="0032049C" w:rsidRPr="001C1668" w:rsidRDefault="00DB5D51" w:rsidP="001C1668">
      <w:pPr>
        <w:tabs>
          <w:tab w:val="left" w:pos="840"/>
        </w:tabs>
        <w:spacing w:after="0" w:line="480" w:lineRule="auto"/>
        <w:ind w:right="1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001EC" w:rsidRPr="001C1668">
        <w:rPr>
          <w:rFonts w:ascii="Times New Roman" w:eastAsia="Times New Roman" w:hAnsi="Times New Roman" w:cs="Times New Roman"/>
          <w:sz w:val="24"/>
          <w:szCs w:val="24"/>
        </w:rPr>
        <w:t>.</w:t>
      </w:r>
      <w:r w:rsidR="00A001EC" w:rsidRPr="001C1668">
        <w:rPr>
          <w:rFonts w:ascii="Times New Roman" w:eastAsia="Times New Roman" w:hAnsi="Times New Roman" w:cs="Times New Roman"/>
          <w:sz w:val="24"/>
          <w:szCs w:val="24"/>
        </w:rPr>
        <w:tab/>
        <w:t xml:space="preserve">The </w:t>
      </w:r>
      <w:r w:rsidR="00BC6470" w:rsidRPr="001C1668">
        <w:rPr>
          <w:rFonts w:ascii="Times New Roman" w:eastAsia="Times New Roman" w:hAnsi="Times New Roman" w:cs="Times New Roman"/>
          <w:sz w:val="24"/>
          <w:szCs w:val="24"/>
        </w:rPr>
        <w:t>Stipulating Parties</w:t>
      </w:r>
      <w:r w:rsidR="00BC6470" w:rsidRPr="001C1668" w:rsidDel="00BC6470">
        <w:rPr>
          <w:rFonts w:ascii="Times New Roman" w:eastAsia="Times New Roman" w:hAnsi="Times New Roman" w:cs="Times New Roman"/>
          <w:sz w:val="24"/>
          <w:szCs w:val="24"/>
        </w:rPr>
        <w:t xml:space="preserve"> </w:t>
      </w:r>
      <w:r w:rsidR="00A001EC" w:rsidRPr="001C1668">
        <w:rPr>
          <w:rFonts w:ascii="Times New Roman" w:eastAsia="Times New Roman" w:hAnsi="Times New Roman" w:cs="Times New Roman"/>
          <w:sz w:val="24"/>
          <w:szCs w:val="24"/>
        </w:rPr>
        <w:t xml:space="preserve">expressly agree to waive cross-examination of any </w:t>
      </w:r>
      <w:r w:rsidR="00A001EC" w:rsidRPr="001C1668">
        <w:rPr>
          <w:rFonts w:ascii="Times New Roman" w:eastAsia="Times New Roman" w:hAnsi="Times New Roman" w:cs="Times New Roman"/>
          <w:sz w:val="24"/>
          <w:szCs w:val="24"/>
        </w:rPr>
        <w:lastRenderedPageBreak/>
        <w:t>witnesses who may offer testimony in support of this Stipulation.</w:t>
      </w:r>
    </w:p>
    <w:p w:rsidR="006C7960" w:rsidRDefault="00A001EC" w:rsidP="008D2381">
      <w:pPr>
        <w:spacing w:after="0" w:line="480" w:lineRule="auto"/>
        <w:ind w:right="100" w:firstLine="720"/>
        <w:jc w:val="both"/>
        <w:rPr>
          <w:sz w:val="26"/>
          <w:szCs w:val="26"/>
        </w:rPr>
      </w:pPr>
      <w:r w:rsidRPr="001C1668">
        <w:rPr>
          <w:rFonts w:ascii="Times New Roman" w:eastAsia="Times New Roman" w:hAnsi="Times New Roman" w:cs="Times New Roman"/>
          <w:sz w:val="24"/>
          <w:szCs w:val="24"/>
        </w:rPr>
        <w:t xml:space="preserve">IN WITNESS </w:t>
      </w:r>
      <w:r w:rsidR="00662694" w:rsidRPr="001C1668">
        <w:rPr>
          <w:rFonts w:ascii="Times New Roman" w:eastAsia="Times New Roman" w:hAnsi="Times New Roman" w:cs="Times New Roman"/>
          <w:sz w:val="24"/>
          <w:szCs w:val="24"/>
        </w:rPr>
        <w:t>WHEREOF</w:t>
      </w:r>
      <w:r w:rsidRPr="001C1668">
        <w:rPr>
          <w:rFonts w:ascii="Times New Roman" w:eastAsia="Times New Roman" w:hAnsi="Times New Roman" w:cs="Times New Roman"/>
          <w:sz w:val="24"/>
          <w:szCs w:val="24"/>
        </w:rPr>
        <w:t xml:space="preserve">, the undersigned parties agree to this Stipulation and Recommendation as of this </w:t>
      </w:r>
      <w:r w:rsidR="004B38C3">
        <w:rPr>
          <w:rFonts w:ascii="Times New Roman" w:eastAsia="Times New Roman" w:hAnsi="Times New Roman" w:cs="Times New Roman"/>
          <w:sz w:val="24"/>
          <w:szCs w:val="24"/>
        </w:rPr>
        <w:t>31st</w:t>
      </w:r>
      <w:r w:rsidR="004B38C3" w:rsidRPr="001C1668">
        <w:rPr>
          <w:rFonts w:ascii="Times New Roman" w:eastAsia="Times New Roman" w:hAnsi="Times New Roman" w:cs="Times New Roman"/>
          <w:sz w:val="24"/>
          <w:szCs w:val="24"/>
        </w:rPr>
        <w:t xml:space="preserve"> </w:t>
      </w:r>
      <w:r w:rsidRPr="001C1668">
        <w:rPr>
          <w:rFonts w:ascii="Times New Roman" w:eastAsia="Times New Roman" w:hAnsi="Times New Roman" w:cs="Times New Roman"/>
          <w:sz w:val="24"/>
          <w:szCs w:val="24"/>
        </w:rPr>
        <w:t xml:space="preserve">day of </w:t>
      </w:r>
      <w:r w:rsidR="00BC6470" w:rsidRPr="001C1668">
        <w:rPr>
          <w:rFonts w:ascii="Times New Roman" w:eastAsia="Times New Roman" w:hAnsi="Times New Roman" w:cs="Times New Roman"/>
          <w:sz w:val="24"/>
          <w:szCs w:val="24"/>
        </w:rPr>
        <w:t>March</w:t>
      </w:r>
      <w:r w:rsidRPr="001C1668">
        <w:rPr>
          <w:rFonts w:ascii="Times New Roman" w:eastAsia="Times New Roman" w:hAnsi="Times New Roman" w:cs="Times New Roman"/>
          <w:sz w:val="24"/>
          <w:szCs w:val="24"/>
        </w:rPr>
        <w:t>, 201</w:t>
      </w:r>
      <w:r w:rsidR="00BC6470" w:rsidRPr="001C1668">
        <w:rPr>
          <w:rFonts w:ascii="Times New Roman" w:eastAsia="Times New Roman" w:hAnsi="Times New Roman" w:cs="Times New Roman"/>
          <w:sz w:val="24"/>
          <w:szCs w:val="24"/>
        </w:rPr>
        <w:t>4</w:t>
      </w:r>
      <w:r w:rsidRPr="001C1668">
        <w:rPr>
          <w:rFonts w:ascii="Times New Roman" w:eastAsia="Times New Roman" w:hAnsi="Times New Roman" w:cs="Times New Roman"/>
          <w:sz w:val="24"/>
          <w:szCs w:val="24"/>
        </w:rPr>
        <w:t>.  The undersigned parties respectfully request the Commission to issue its Opinion and Order adopting</w:t>
      </w:r>
      <w:r w:rsidR="006C7960">
        <w:rPr>
          <w:rFonts w:ascii="Times New Roman" w:eastAsia="Times New Roman" w:hAnsi="Times New Roman" w:cs="Times New Roman"/>
          <w:sz w:val="24"/>
          <w:szCs w:val="24"/>
        </w:rPr>
        <w:t xml:space="preserve"> and approving this Stipulation.</w:t>
      </w:r>
    </w:p>
    <w:p w:rsidR="008D2381" w:rsidRDefault="008D2381" w:rsidP="008D2381">
      <w:pPr>
        <w:spacing w:after="0" w:line="480" w:lineRule="auto"/>
        <w:ind w:right="100"/>
        <w:jc w:val="both"/>
        <w:rPr>
          <w:sz w:val="26"/>
          <w:szCs w:val="26"/>
        </w:rPr>
      </w:pPr>
    </w:p>
    <w:p w:rsidR="008D2381" w:rsidRDefault="008D2381" w:rsidP="00A2300A">
      <w:pPr>
        <w:spacing w:after="0" w:line="480" w:lineRule="auto"/>
        <w:ind w:right="100"/>
        <w:rPr>
          <w:rFonts w:ascii="Times New Roman" w:eastAsia="Times New Roman" w:hAnsi="Times New Roman" w:cs="Times New Roman"/>
          <w:sz w:val="24"/>
          <w:szCs w:val="24"/>
        </w:rPr>
        <w:sectPr w:rsidR="008D2381" w:rsidSect="008D2381">
          <w:headerReference w:type="even" r:id="rId8"/>
          <w:headerReference w:type="default" r:id="rId9"/>
          <w:footerReference w:type="even" r:id="rId10"/>
          <w:footerReference w:type="default" r:id="rId11"/>
          <w:headerReference w:type="first" r:id="rId12"/>
          <w:footerReference w:type="first" r:id="rId13"/>
          <w:type w:val="evenPage"/>
          <w:pgSz w:w="12240" w:h="15840"/>
          <w:pgMar w:top="1440" w:right="1440" w:bottom="1530" w:left="1440" w:header="0" w:footer="614" w:gutter="0"/>
          <w:cols w:space="720"/>
          <w:titlePg/>
          <w:docGrid w:linePitch="299"/>
        </w:sectPr>
      </w:pPr>
    </w:p>
    <w:p w:rsidR="00A2300A" w:rsidRPr="008D2381" w:rsidRDefault="00A2300A" w:rsidP="00A2300A">
      <w:pPr>
        <w:spacing w:after="0" w:line="48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On Behalf of Duke Energy Ohio, Inc.</w:t>
      </w:r>
    </w:p>
    <w:p w:rsidR="00A2300A" w:rsidRPr="00662391" w:rsidRDefault="00A2300A" w:rsidP="00A2300A">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u w:val="single" w:color="000000"/>
        </w:rPr>
        <w:t xml:space="preserve">/s/ </w:t>
      </w:r>
      <w:r w:rsidR="00662391">
        <w:rPr>
          <w:rFonts w:ascii="Times New Roman" w:eastAsia="Times New Roman" w:hAnsi="Times New Roman" w:cs="Times New Roman"/>
          <w:sz w:val="24"/>
          <w:szCs w:val="24"/>
          <w:u w:val="single" w:color="000000"/>
        </w:rPr>
        <w:t xml:space="preserve">                                                     </w:t>
      </w:r>
    </w:p>
    <w:p w:rsidR="00A2300A" w:rsidRPr="001C1668" w:rsidRDefault="00A2300A" w:rsidP="00A2300A">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 xml:space="preserve">Amy B. Spiller </w:t>
      </w:r>
    </w:p>
    <w:p w:rsidR="00A2300A" w:rsidRPr="001C1668" w:rsidRDefault="00A2300A" w:rsidP="00A2300A">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Elizabeth H. Watts</w:t>
      </w:r>
    </w:p>
    <w:p w:rsidR="00A2300A" w:rsidRPr="001C1668" w:rsidRDefault="00A2300A" w:rsidP="00A2300A">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Jeanne W. Kingery</w:t>
      </w:r>
    </w:p>
    <w:p w:rsidR="00A2300A" w:rsidRPr="001C1668" w:rsidRDefault="00A2300A" w:rsidP="00A2300A">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Duke Energy Business Services LLC</w:t>
      </w:r>
    </w:p>
    <w:p w:rsidR="00A2300A" w:rsidRPr="001C1668" w:rsidRDefault="00A2300A" w:rsidP="00A2300A">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139 E. Fourth Street, 1303 Main</w:t>
      </w:r>
    </w:p>
    <w:p w:rsidR="00A2300A" w:rsidRPr="001C1668" w:rsidRDefault="00A2300A" w:rsidP="00302412">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Cincinnati, Ohio 45202</w:t>
      </w:r>
    </w:p>
    <w:p w:rsidR="00427091" w:rsidRDefault="00427091" w:rsidP="00427091">
      <w:pPr>
        <w:spacing w:after="0" w:line="240" w:lineRule="auto"/>
        <w:ind w:right="100"/>
        <w:rPr>
          <w:rFonts w:ascii="Times New Roman" w:eastAsia="Times New Roman" w:hAnsi="Times New Roman" w:cs="Times New Roman"/>
          <w:sz w:val="24"/>
          <w:szCs w:val="24"/>
        </w:rPr>
      </w:pPr>
    </w:p>
    <w:p w:rsidR="0032049C" w:rsidRPr="001C1668" w:rsidRDefault="00A001EC" w:rsidP="00427091">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On Behalf of Staff of the Public Utilities Commission of Ohio</w:t>
      </w:r>
    </w:p>
    <w:p w:rsidR="00302412" w:rsidRDefault="00302412" w:rsidP="001C1668">
      <w:pPr>
        <w:spacing w:after="0" w:line="240" w:lineRule="auto"/>
        <w:ind w:right="100"/>
        <w:rPr>
          <w:rFonts w:ascii="Times New Roman" w:eastAsia="Times New Roman" w:hAnsi="Times New Roman" w:cs="Times New Roman"/>
          <w:sz w:val="24"/>
          <w:szCs w:val="24"/>
          <w:u w:val="single" w:color="000000"/>
        </w:rPr>
      </w:pPr>
    </w:p>
    <w:p w:rsidR="00427091" w:rsidRDefault="00427091" w:rsidP="001C1668">
      <w:pPr>
        <w:spacing w:after="0" w:line="240" w:lineRule="auto"/>
        <w:ind w:right="100"/>
        <w:rPr>
          <w:rFonts w:ascii="Times New Roman" w:eastAsia="Times New Roman" w:hAnsi="Times New Roman" w:cs="Times New Roman"/>
          <w:sz w:val="24"/>
          <w:szCs w:val="24"/>
          <w:u w:val="single" w:color="000000"/>
        </w:rPr>
      </w:pPr>
    </w:p>
    <w:p w:rsidR="0032049C" w:rsidRPr="001C1668" w:rsidRDefault="00662391" w:rsidP="001C1668">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u w:val="single" w:color="000000"/>
        </w:rPr>
        <w:t xml:space="preserve">/s/ </w:t>
      </w:r>
      <w:r>
        <w:rPr>
          <w:rFonts w:ascii="Times New Roman" w:eastAsia="Times New Roman" w:hAnsi="Times New Roman" w:cs="Times New Roman"/>
          <w:sz w:val="24"/>
          <w:szCs w:val="24"/>
          <w:u w:val="single" w:color="000000"/>
        </w:rPr>
        <w:t xml:space="preserve">                                                     </w:t>
      </w:r>
    </w:p>
    <w:p w:rsidR="0032049C" w:rsidRPr="001C1668" w:rsidRDefault="00A001EC" w:rsidP="001C1668">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Steven L. Beeler</w:t>
      </w:r>
    </w:p>
    <w:p w:rsidR="00662694" w:rsidRPr="001C1668" w:rsidRDefault="00662694" w:rsidP="001C1668">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Thomas Lindgren</w:t>
      </w:r>
    </w:p>
    <w:p w:rsidR="0032049C" w:rsidRPr="001C1668" w:rsidRDefault="00A001EC" w:rsidP="001C1668">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Assistant Attorneys General</w:t>
      </w:r>
    </w:p>
    <w:p w:rsidR="0032049C" w:rsidRPr="001C1668" w:rsidRDefault="00A001EC" w:rsidP="001C1668">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180 E. Broad Street</w:t>
      </w:r>
    </w:p>
    <w:p w:rsidR="0032049C" w:rsidRPr="001C1668" w:rsidRDefault="00A001EC" w:rsidP="001C1668">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Columbus, Ohio 43215</w:t>
      </w:r>
    </w:p>
    <w:p w:rsidR="006C7960" w:rsidRDefault="006C7960" w:rsidP="003063E5">
      <w:pPr>
        <w:spacing w:after="0" w:line="240" w:lineRule="auto"/>
        <w:ind w:right="100"/>
        <w:rPr>
          <w:rFonts w:ascii="Times New Roman" w:eastAsia="Times New Roman" w:hAnsi="Times New Roman" w:cs="Times New Roman"/>
          <w:sz w:val="24"/>
          <w:szCs w:val="24"/>
        </w:rPr>
      </w:pPr>
    </w:p>
    <w:p w:rsidR="0032049C" w:rsidRPr="001C1668" w:rsidRDefault="00A001EC" w:rsidP="003063E5">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lastRenderedPageBreak/>
        <w:t>On Behalf of Office of the Ohio Consumers’ Counsel</w:t>
      </w:r>
    </w:p>
    <w:p w:rsidR="006C7960" w:rsidRDefault="006C7960" w:rsidP="001C1668">
      <w:pPr>
        <w:spacing w:after="0" w:line="240" w:lineRule="auto"/>
        <w:ind w:right="100"/>
        <w:rPr>
          <w:sz w:val="20"/>
          <w:szCs w:val="20"/>
        </w:rPr>
      </w:pPr>
    </w:p>
    <w:p w:rsidR="006C7960" w:rsidRDefault="006C7960" w:rsidP="001C1668">
      <w:pPr>
        <w:spacing w:after="0" w:line="240" w:lineRule="auto"/>
        <w:ind w:right="100"/>
        <w:rPr>
          <w:rFonts w:ascii="Times New Roman" w:eastAsia="Times New Roman" w:hAnsi="Times New Roman" w:cs="Times New Roman"/>
          <w:sz w:val="24"/>
          <w:szCs w:val="24"/>
          <w:u w:val="single" w:color="000000"/>
        </w:rPr>
      </w:pPr>
    </w:p>
    <w:p w:rsidR="0032049C" w:rsidRPr="001C1668" w:rsidRDefault="00662391" w:rsidP="001C1668">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u w:val="single" w:color="000000"/>
        </w:rPr>
        <w:t xml:space="preserve">/s/ </w:t>
      </w:r>
      <w:r>
        <w:rPr>
          <w:rFonts w:ascii="Times New Roman" w:eastAsia="Times New Roman" w:hAnsi="Times New Roman" w:cs="Times New Roman"/>
          <w:sz w:val="24"/>
          <w:szCs w:val="24"/>
          <w:u w:val="single" w:color="000000"/>
        </w:rPr>
        <w:t xml:space="preserve">                                                     </w:t>
      </w:r>
    </w:p>
    <w:p w:rsidR="0032049C" w:rsidRPr="001C1668" w:rsidRDefault="00A001EC" w:rsidP="001C1668">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Joseph P. Serio</w:t>
      </w:r>
    </w:p>
    <w:p w:rsidR="0032049C" w:rsidRPr="001C1668" w:rsidRDefault="00A001EC" w:rsidP="001C1668">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Assistant Consumers’ Counsel</w:t>
      </w:r>
    </w:p>
    <w:p w:rsidR="0032049C" w:rsidRPr="001C1668" w:rsidRDefault="00A001EC" w:rsidP="001C1668">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Office of the Ohio Consumers’ Counsel</w:t>
      </w:r>
    </w:p>
    <w:p w:rsidR="0032049C" w:rsidRPr="001C1668" w:rsidRDefault="00A001EC" w:rsidP="001C1668">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10 West Broad Street, Suite 1800</w:t>
      </w:r>
    </w:p>
    <w:p w:rsidR="003063E5" w:rsidRDefault="00A001EC" w:rsidP="00427091">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Columbus, Ohio 43215-3485</w:t>
      </w:r>
    </w:p>
    <w:p w:rsidR="008D2381" w:rsidRDefault="008D2381" w:rsidP="006C7960">
      <w:pPr>
        <w:spacing w:after="0" w:line="240" w:lineRule="auto"/>
        <w:ind w:right="100"/>
        <w:rPr>
          <w:rFonts w:ascii="Times New Roman" w:eastAsia="Times New Roman" w:hAnsi="Times New Roman" w:cs="Times New Roman"/>
          <w:sz w:val="24"/>
          <w:szCs w:val="24"/>
        </w:rPr>
      </w:pPr>
    </w:p>
    <w:p w:rsidR="008D2381" w:rsidRDefault="008D2381" w:rsidP="006C7960">
      <w:pPr>
        <w:spacing w:after="0" w:line="240" w:lineRule="auto"/>
        <w:ind w:right="100"/>
        <w:rPr>
          <w:rFonts w:ascii="Times New Roman" w:eastAsia="Times New Roman" w:hAnsi="Times New Roman" w:cs="Times New Roman"/>
          <w:sz w:val="24"/>
          <w:szCs w:val="24"/>
        </w:rPr>
      </w:pPr>
    </w:p>
    <w:p w:rsidR="008D2381" w:rsidRDefault="008D2381" w:rsidP="006C7960">
      <w:pPr>
        <w:spacing w:after="0" w:line="240" w:lineRule="auto"/>
        <w:ind w:right="100"/>
        <w:rPr>
          <w:rFonts w:ascii="Times New Roman" w:eastAsia="Times New Roman" w:hAnsi="Times New Roman" w:cs="Times New Roman"/>
          <w:sz w:val="24"/>
          <w:szCs w:val="24"/>
        </w:rPr>
      </w:pPr>
    </w:p>
    <w:p w:rsidR="008D2381" w:rsidRDefault="008D2381" w:rsidP="006C7960">
      <w:pPr>
        <w:spacing w:after="0" w:line="240" w:lineRule="auto"/>
        <w:ind w:right="100"/>
        <w:rPr>
          <w:rFonts w:ascii="Times New Roman" w:eastAsia="Times New Roman" w:hAnsi="Times New Roman" w:cs="Times New Roman"/>
          <w:sz w:val="24"/>
          <w:szCs w:val="24"/>
        </w:rPr>
      </w:pPr>
    </w:p>
    <w:p w:rsidR="008D2381" w:rsidRDefault="008D2381" w:rsidP="006C7960">
      <w:pPr>
        <w:spacing w:after="0" w:line="240" w:lineRule="auto"/>
        <w:ind w:right="100"/>
        <w:rPr>
          <w:rFonts w:ascii="Times New Roman" w:eastAsia="Times New Roman" w:hAnsi="Times New Roman" w:cs="Times New Roman"/>
          <w:sz w:val="24"/>
          <w:szCs w:val="24"/>
        </w:rPr>
      </w:pPr>
    </w:p>
    <w:p w:rsidR="00427091" w:rsidRDefault="00427091" w:rsidP="006C7960">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rPr>
        <w:t xml:space="preserve">On Behalf of Office of </w:t>
      </w:r>
      <w:r>
        <w:rPr>
          <w:rFonts w:ascii="Times New Roman" w:eastAsia="Times New Roman" w:hAnsi="Times New Roman" w:cs="Times New Roman"/>
          <w:sz w:val="24"/>
          <w:szCs w:val="24"/>
        </w:rPr>
        <w:t>OMA Energy Group</w:t>
      </w:r>
    </w:p>
    <w:p w:rsidR="006C7960" w:rsidRDefault="006C7960" w:rsidP="006C7960">
      <w:pPr>
        <w:spacing w:after="0" w:line="240" w:lineRule="auto"/>
        <w:ind w:right="100"/>
        <w:rPr>
          <w:rFonts w:ascii="Times New Roman" w:eastAsia="Times New Roman" w:hAnsi="Times New Roman" w:cs="Times New Roman"/>
          <w:sz w:val="24"/>
          <w:szCs w:val="24"/>
        </w:rPr>
      </w:pPr>
    </w:p>
    <w:p w:rsidR="006C7960" w:rsidRPr="006C7960" w:rsidRDefault="006C7960" w:rsidP="006C7960">
      <w:pPr>
        <w:spacing w:after="0" w:line="240" w:lineRule="auto"/>
        <w:ind w:right="100"/>
        <w:rPr>
          <w:rFonts w:ascii="Times New Roman" w:eastAsia="Times New Roman" w:hAnsi="Times New Roman" w:cs="Times New Roman"/>
          <w:sz w:val="24"/>
          <w:szCs w:val="24"/>
        </w:rPr>
      </w:pPr>
    </w:p>
    <w:p w:rsidR="00427091" w:rsidRPr="001C1668" w:rsidRDefault="00662391" w:rsidP="00427091">
      <w:pPr>
        <w:spacing w:after="0" w:line="240" w:lineRule="auto"/>
        <w:ind w:right="100"/>
        <w:rPr>
          <w:rFonts w:ascii="Times New Roman" w:eastAsia="Times New Roman" w:hAnsi="Times New Roman" w:cs="Times New Roman"/>
          <w:sz w:val="24"/>
          <w:szCs w:val="24"/>
        </w:rPr>
      </w:pPr>
      <w:r w:rsidRPr="001C1668">
        <w:rPr>
          <w:rFonts w:ascii="Times New Roman" w:eastAsia="Times New Roman" w:hAnsi="Times New Roman" w:cs="Times New Roman"/>
          <w:sz w:val="24"/>
          <w:szCs w:val="24"/>
          <w:u w:val="single" w:color="000000"/>
        </w:rPr>
        <w:t xml:space="preserve">/s/ </w:t>
      </w:r>
      <w:r>
        <w:rPr>
          <w:rFonts w:ascii="Times New Roman" w:eastAsia="Times New Roman" w:hAnsi="Times New Roman" w:cs="Times New Roman"/>
          <w:sz w:val="24"/>
          <w:szCs w:val="24"/>
          <w:u w:val="single" w:color="000000"/>
        </w:rPr>
        <w:t xml:space="preserve">                                                     </w:t>
      </w:r>
    </w:p>
    <w:p w:rsidR="00427091" w:rsidRDefault="00427091" w:rsidP="00246FD9">
      <w:pPr>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Kimberly W. Bojko</w:t>
      </w:r>
    </w:p>
    <w:p w:rsidR="00427091" w:rsidRDefault="00427091" w:rsidP="00246FD9">
      <w:pPr>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Rebecca L. Hussey</w:t>
      </w:r>
    </w:p>
    <w:p w:rsidR="00427091" w:rsidRDefault="00427091" w:rsidP="00246FD9">
      <w:pPr>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Mallory M. Mohler</w:t>
      </w:r>
    </w:p>
    <w:p w:rsidR="00427091" w:rsidRDefault="00427091" w:rsidP="00246FD9">
      <w:pPr>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Carpenter Lipps &amp; Leland LLP</w:t>
      </w:r>
    </w:p>
    <w:p w:rsidR="00427091" w:rsidRDefault="00427091" w:rsidP="00246FD9">
      <w:pPr>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280 North High Street, Suite 1300</w:t>
      </w:r>
    </w:p>
    <w:p w:rsidR="008D2381" w:rsidRDefault="008D2381" w:rsidP="00246FD9">
      <w:pPr>
        <w:spacing w:after="0" w:line="240" w:lineRule="auto"/>
        <w:ind w:right="100"/>
        <w:rPr>
          <w:rFonts w:ascii="Times New Roman" w:eastAsia="Times New Roman" w:hAnsi="Times New Roman" w:cs="Times New Roman"/>
          <w:sz w:val="24"/>
          <w:szCs w:val="24"/>
        </w:rPr>
        <w:sectPr w:rsidR="008D2381" w:rsidSect="008D2381">
          <w:type w:val="continuous"/>
          <w:pgSz w:w="12240" w:h="15840"/>
          <w:pgMar w:top="1440" w:right="1440" w:bottom="1530" w:left="1440" w:header="0" w:footer="614" w:gutter="0"/>
          <w:cols w:num="2" w:space="720"/>
          <w:titlePg/>
          <w:docGrid w:linePitch="299"/>
        </w:sectPr>
      </w:pPr>
      <w:r>
        <w:rPr>
          <w:rFonts w:ascii="Times New Roman" w:eastAsia="Times New Roman" w:hAnsi="Times New Roman" w:cs="Times New Roman"/>
          <w:sz w:val="24"/>
          <w:szCs w:val="24"/>
        </w:rPr>
        <w:t>Columbus, OH 4321</w:t>
      </w:r>
    </w:p>
    <w:p w:rsidR="000B4392" w:rsidRDefault="000B4392" w:rsidP="00246FD9">
      <w:pPr>
        <w:spacing w:after="0" w:line="240" w:lineRule="auto"/>
        <w:ind w:right="100"/>
        <w:rPr>
          <w:rFonts w:ascii="Times New Roman" w:eastAsia="Times New Roman" w:hAnsi="Times New Roman" w:cs="Times New Roman"/>
          <w:sz w:val="24"/>
          <w:szCs w:val="24"/>
        </w:rPr>
      </w:pPr>
    </w:p>
    <w:bookmarkStart w:id="0" w:name="_GoBack"/>
    <w:p w:rsidR="00427091" w:rsidRDefault="006C7960" w:rsidP="00246FD9">
      <w:pPr>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7456" w:dyaOrig="8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33pt;height:310.5pt" o:ole="">
            <v:imagedata r:id="rId14" o:title=""/>
          </v:shape>
          <o:OLEObject Type="Embed" ProgID="Excel.Sheet.12" ShapeID="_x0000_i1037" DrawAspect="Content" ObjectID="_1457791418" r:id="rId15"/>
        </w:object>
      </w:r>
      <w:bookmarkEnd w:id="0"/>
    </w:p>
    <w:sectPr w:rsidR="00427091" w:rsidSect="008D2381">
      <w:pgSz w:w="15840" w:h="12240" w:orient="landscape"/>
      <w:pgMar w:top="1440" w:right="1440" w:bottom="1440" w:left="1530" w:header="0" w:footer="61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598" w:rsidRDefault="005C1598">
      <w:pPr>
        <w:spacing w:after="0" w:line="240" w:lineRule="auto"/>
      </w:pPr>
      <w:r>
        <w:separator/>
      </w:r>
    </w:p>
  </w:endnote>
  <w:endnote w:type="continuationSeparator" w:id="0">
    <w:p w:rsidR="005C1598" w:rsidRDefault="005C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91" w:rsidRDefault="00B624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35C" w:rsidRPr="002C035C" w:rsidRDefault="002C035C" w:rsidP="002C035C">
    <w:pPr>
      <w:pStyle w:val="Footer"/>
      <w:jc w:val="center"/>
      <w:rPr>
        <w:rFonts w:ascii="Times New Roman" w:hAnsi="Times New Roman" w:cs="Times New Roman"/>
        <w:sz w:val="24"/>
        <w:szCs w:val="24"/>
      </w:rPr>
    </w:pPr>
    <w:r w:rsidRPr="002C035C">
      <w:rPr>
        <w:rFonts w:ascii="Times New Roman" w:hAnsi="Times New Roman" w:cs="Times New Roman"/>
        <w:sz w:val="24"/>
        <w:szCs w:val="24"/>
      </w:rPr>
      <w:t xml:space="preserve">Page </w:t>
    </w:r>
    <w:r w:rsidRPr="002C035C">
      <w:rPr>
        <w:rFonts w:ascii="Times New Roman" w:hAnsi="Times New Roman" w:cs="Times New Roman"/>
        <w:sz w:val="24"/>
        <w:szCs w:val="24"/>
      </w:rPr>
      <w:fldChar w:fldCharType="begin"/>
    </w:r>
    <w:r w:rsidRPr="002C035C">
      <w:rPr>
        <w:rFonts w:ascii="Times New Roman" w:hAnsi="Times New Roman" w:cs="Times New Roman"/>
        <w:sz w:val="24"/>
        <w:szCs w:val="24"/>
      </w:rPr>
      <w:instrText xml:space="preserve"> PAGE   \* MERGEFORMAT </w:instrText>
    </w:r>
    <w:r w:rsidRPr="002C035C">
      <w:rPr>
        <w:rFonts w:ascii="Times New Roman" w:hAnsi="Times New Roman" w:cs="Times New Roman"/>
        <w:sz w:val="24"/>
        <w:szCs w:val="24"/>
      </w:rPr>
      <w:fldChar w:fldCharType="separate"/>
    </w:r>
    <w:r w:rsidR="00B62491">
      <w:rPr>
        <w:rFonts w:ascii="Times New Roman" w:hAnsi="Times New Roman" w:cs="Times New Roman"/>
        <w:noProof/>
        <w:sz w:val="24"/>
        <w:szCs w:val="24"/>
      </w:rPr>
      <w:t>7</w:t>
    </w:r>
    <w:r w:rsidRPr="002C035C">
      <w:rPr>
        <w:rFonts w:ascii="Times New Roman" w:hAnsi="Times New Roman" w:cs="Times New Roman"/>
        <w:noProof/>
        <w:sz w:val="24"/>
        <w:szCs w:val="24"/>
      </w:rPr>
      <w:fldChar w:fldCharType="end"/>
    </w:r>
  </w:p>
  <w:p w:rsidR="0032049C" w:rsidRDefault="0032049C">
    <w:pPr>
      <w:spacing w:after="0"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91" w:rsidRDefault="00B62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598" w:rsidRDefault="005C1598">
      <w:pPr>
        <w:spacing w:after="0" w:line="240" w:lineRule="auto"/>
      </w:pPr>
      <w:r>
        <w:separator/>
      </w:r>
    </w:p>
  </w:footnote>
  <w:footnote w:type="continuationSeparator" w:id="0">
    <w:p w:rsidR="005C1598" w:rsidRDefault="005C1598">
      <w:pPr>
        <w:spacing w:after="0" w:line="240" w:lineRule="auto"/>
      </w:pPr>
      <w:r>
        <w:continuationSeparator/>
      </w:r>
    </w:p>
  </w:footnote>
  <w:footnote w:id="1">
    <w:p w:rsidR="003C6502" w:rsidRDefault="003C6502" w:rsidP="00662391">
      <w:pPr>
        <w:spacing w:before="44" w:after="0" w:line="240" w:lineRule="auto"/>
        <w:ind w:right="10"/>
        <w:jc w:val="both"/>
        <w:rPr>
          <w:rFonts w:ascii="Times New Roman" w:eastAsia="Times New Roman" w:hAnsi="Times New Roman" w:cs="Times New Roman"/>
          <w:sz w:val="20"/>
          <w:szCs w:val="20"/>
        </w:rPr>
      </w:pPr>
      <w:r>
        <w:rPr>
          <w:rStyle w:val="FootnoteReference"/>
        </w:rPr>
        <w:footnoteRef/>
      </w:r>
      <w: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Sta</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lic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Uti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io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urpo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p>
    <w:p w:rsidR="003C6502" w:rsidRDefault="003C6502" w:rsidP="003C6502">
      <w:pPr>
        <w:pStyle w:val="FootnoteText"/>
      </w:pPr>
      <w:r>
        <w:rPr>
          <w:rFonts w:ascii="Times New Roman" w:eastAsia="Times New Roman" w:hAnsi="Times New Roman" w:cs="Times New Roman"/>
        </w:rPr>
        <w:t>Sti</w:t>
      </w:r>
      <w:r>
        <w:rPr>
          <w:rFonts w:ascii="Times New Roman" w:eastAsia="Times New Roman" w:hAnsi="Times New Roman" w:cs="Times New Roman"/>
          <w:spacing w:val="1"/>
        </w:rPr>
        <w:t>p</w:t>
      </w:r>
      <w:r>
        <w:rPr>
          <w:rFonts w:ascii="Times New Roman" w:eastAsia="Times New Roman" w:hAnsi="Times New Roman" w:cs="Times New Roman"/>
          <w:spacing w:val="-1"/>
        </w:rPr>
        <w:t>u</w:t>
      </w:r>
      <w:r>
        <w:rPr>
          <w:rFonts w:ascii="Times New Roman" w:eastAsia="Times New Roman" w:hAnsi="Times New Roman" w:cs="Times New Roman"/>
        </w:rPr>
        <w:t>lati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1"/>
        </w:rPr>
        <w:t>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u</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rPr>
        <w:t>to O</w:t>
      </w:r>
      <w:r>
        <w:rPr>
          <w:rFonts w:ascii="Times New Roman" w:eastAsia="Times New Roman" w:hAnsi="Times New Roman" w:cs="Times New Roman"/>
          <w:spacing w:val="-1"/>
        </w:rPr>
        <w:t>h</w:t>
      </w:r>
      <w:r>
        <w:rPr>
          <w:rFonts w:ascii="Times New Roman" w:eastAsia="Times New Roman" w:hAnsi="Times New Roman" w:cs="Times New Roman"/>
        </w:rPr>
        <w:t xml:space="preserve">io </w:t>
      </w:r>
      <w:r>
        <w:rPr>
          <w:rFonts w:ascii="Times New Roman" w:eastAsia="Times New Roman" w:hAnsi="Times New Roman" w:cs="Times New Roman"/>
          <w:spacing w:val="-2"/>
        </w:rPr>
        <w:t>A</w:t>
      </w:r>
      <w:r>
        <w:rPr>
          <w:rFonts w:ascii="Times New Roman" w:eastAsia="Times New Roman" w:hAnsi="Times New Roman" w:cs="Times New Roman"/>
          <w:spacing w:val="4"/>
        </w:rPr>
        <w:t>d</w:t>
      </w:r>
      <w:r>
        <w:rPr>
          <w:rFonts w:ascii="Times New Roman" w:eastAsia="Times New Roman" w:hAnsi="Times New Roman" w:cs="Times New Roman"/>
          <w:spacing w:val="-1"/>
        </w:rPr>
        <w:t>m</w:t>
      </w:r>
      <w:r>
        <w:rPr>
          <w:rFonts w:ascii="Times New Roman" w:eastAsia="Times New Roman" w:hAnsi="Times New Roman" w:cs="Times New Roman"/>
          <w:spacing w:val="2"/>
        </w:rPr>
        <w:t>i</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r</w:t>
      </w:r>
      <w:r>
        <w:rPr>
          <w:rFonts w:ascii="Times New Roman" w:eastAsia="Times New Roman" w:hAnsi="Times New Roman" w:cs="Times New Roman"/>
        </w:rPr>
        <w:t>at</w:t>
      </w:r>
      <w:r>
        <w:rPr>
          <w:rFonts w:ascii="Times New Roman" w:eastAsia="Times New Roman" w:hAnsi="Times New Roman" w:cs="Times New Roman"/>
          <w:spacing w:val="2"/>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od</w:t>
      </w:r>
      <w:r>
        <w:rPr>
          <w:rFonts w:ascii="Times New Roman" w:eastAsia="Times New Roman" w:hAnsi="Times New Roman" w:cs="Times New Roman"/>
        </w:rPr>
        <w:t>e</w:t>
      </w:r>
      <w:r>
        <w:rPr>
          <w:rFonts w:ascii="Times New Roman" w:eastAsia="Times New Roman" w:hAnsi="Times New Roman" w:cs="Times New Roman"/>
          <w:spacing w:val="-3"/>
        </w:rPr>
        <w:t xml:space="preserve"> </w:t>
      </w:r>
      <w:r w:rsidR="0037554F">
        <w:rPr>
          <w:rFonts w:ascii="Times New Roman" w:eastAsia="Times New Roman" w:hAnsi="Times New Roman" w:cs="Times New Roman"/>
        </w:rPr>
        <w:t>Rules</w:t>
      </w:r>
      <w:r w:rsidR="0037554F">
        <w:rPr>
          <w:rFonts w:ascii="Times New Roman" w:eastAsia="Times New Roman" w:hAnsi="Times New Roman" w:cs="Times New Roman"/>
          <w:spacing w:val="-5"/>
        </w:rPr>
        <w:t xml:space="preserve"> </w:t>
      </w:r>
      <w:r>
        <w:rPr>
          <w:rFonts w:ascii="Times New Roman" w:eastAsia="Times New Roman" w:hAnsi="Times New Roman" w:cs="Times New Roman"/>
          <w:spacing w:val="1"/>
        </w:rPr>
        <w:t>4901</w:t>
      </w:r>
      <w:r>
        <w:rPr>
          <w:rFonts w:ascii="Times New Roman" w:eastAsia="Times New Roman" w:hAnsi="Times New Roman" w:cs="Times New Roman"/>
          <w:spacing w:val="-2"/>
        </w:rPr>
        <w:t>-</w:t>
      </w:r>
      <w:r>
        <w:rPr>
          <w:rFonts w:ascii="Times New Roman" w:eastAsia="Times New Roman" w:hAnsi="Times New Roman" w:cs="Times New Roman"/>
          <w:spacing w:val="1"/>
        </w:rPr>
        <w:t>1</w:t>
      </w:r>
      <w:r>
        <w:rPr>
          <w:rFonts w:ascii="Times New Roman" w:eastAsia="Times New Roman" w:hAnsi="Times New Roman" w:cs="Times New Roman"/>
          <w:spacing w:val="-2"/>
        </w:rPr>
        <w:t>-</w:t>
      </w:r>
      <w:r>
        <w:rPr>
          <w:rFonts w:ascii="Times New Roman" w:eastAsia="Times New Roman" w:hAnsi="Times New Roman" w:cs="Times New Roman"/>
          <w:spacing w:val="1"/>
        </w:rPr>
        <w:t>10(</w:t>
      </w:r>
      <w:r>
        <w:rPr>
          <w:rFonts w:ascii="Times New Roman" w:eastAsia="Times New Roman" w:hAnsi="Times New Roman" w:cs="Times New Roman"/>
          <w:spacing w:val="-1"/>
        </w:rPr>
        <w:t>C</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4</w:t>
      </w:r>
      <w:r>
        <w:rPr>
          <w:rFonts w:ascii="Times New Roman" w:eastAsia="Times New Roman" w:hAnsi="Times New Roman" w:cs="Times New Roman"/>
          <w:spacing w:val="-1"/>
        </w:rPr>
        <w:t>9</w:t>
      </w:r>
      <w:r>
        <w:rPr>
          <w:rFonts w:ascii="Times New Roman" w:eastAsia="Times New Roman" w:hAnsi="Times New Roman" w:cs="Times New Roman"/>
          <w:spacing w:val="1"/>
        </w:rPr>
        <w:t>01</w:t>
      </w:r>
      <w:r>
        <w:rPr>
          <w:rFonts w:ascii="Times New Roman" w:eastAsia="Times New Roman" w:hAnsi="Times New Roman" w:cs="Times New Roman"/>
          <w:spacing w:val="-1"/>
        </w:rPr>
        <w:t>-</w:t>
      </w:r>
      <w:r>
        <w:rPr>
          <w:rFonts w:ascii="Times New Roman" w:eastAsia="Times New Roman" w:hAnsi="Times New Roman" w:cs="Times New Roman"/>
          <w:spacing w:val="1"/>
        </w:rPr>
        <w:t>1</w:t>
      </w:r>
      <w:r>
        <w:rPr>
          <w:rFonts w:ascii="Times New Roman" w:eastAsia="Times New Roman" w:hAnsi="Times New Roman" w:cs="Times New Roman"/>
          <w:spacing w:val="-2"/>
        </w:rPr>
        <w:t>-</w:t>
      </w:r>
      <w:r>
        <w:rPr>
          <w:rFonts w:ascii="Times New Roman" w:eastAsia="Times New Roman" w:hAnsi="Times New Roman" w:cs="Times New Roman"/>
          <w:spacing w:val="1"/>
        </w:rPr>
        <w:t>30.</w:t>
      </w:r>
    </w:p>
  </w:footnote>
  <w:footnote w:id="2">
    <w:p w:rsidR="00510C67" w:rsidRPr="002C035C" w:rsidRDefault="00510C67" w:rsidP="00662391">
      <w:pPr>
        <w:pStyle w:val="FootnoteText"/>
        <w:jc w:val="both"/>
        <w:rPr>
          <w:rFonts w:ascii="Times New Roman" w:hAnsi="Times New Roman" w:cs="Times New Roman"/>
        </w:rPr>
      </w:pPr>
      <w:r w:rsidRPr="002C035C">
        <w:rPr>
          <w:rStyle w:val="FootnoteReference"/>
          <w:rFonts w:ascii="Times New Roman" w:hAnsi="Times New Roman" w:cs="Times New Roman"/>
        </w:rPr>
        <w:footnoteRef/>
      </w:r>
      <w:r w:rsidRPr="002C035C">
        <w:rPr>
          <w:rFonts w:ascii="Times New Roman" w:hAnsi="Times New Roman" w:cs="Times New Roman"/>
        </w:rPr>
        <w:t xml:space="preserve"> </w:t>
      </w:r>
      <w:r w:rsidRPr="002C035C">
        <w:rPr>
          <w:rFonts w:ascii="Times New Roman" w:eastAsia="Times New Roman" w:hAnsi="Times New Roman" w:cs="Times New Roman"/>
        </w:rPr>
        <w:t>A</w:t>
      </w:r>
      <w:r w:rsidRPr="002C035C">
        <w:rPr>
          <w:rFonts w:ascii="Times New Roman" w:eastAsia="Times New Roman" w:hAnsi="Times New Roman" w:cs="Times New Roman"/>
          <w:spacing w:val="1"/>
        </w:rPr>
        <w:t>n</w:t>
      </w:r>
      <w:r w:rsidRPr="002C035C">
        <w:rPr>
          <w:rFonts w:ascii="Times New Roman" w:eastAsia="Times New Roman" w:hAnsi="Times New Roman" w:cs="Times New Roman"/>
        </w:rPr>
        <w:t>y</w:t>
      </w:r>
      <w:r w:rsidRPr="002C035C">
        <w:rPr>
          <w:rFonts w:ascii="Times New Roman" w:eastAsia="Times New Roman" w:hAnsi="Times New Roman" w:cs="Times New Roman"/>
          <w:spacing w:val="-4"/>
        </w:rPr>
        <w:t xml:space="preserve"> </w:t>
      </w:r>
      <w:r w:rsidRPr="002C035C">
        <w:rPr>
          <w:rFonts w:ascii="Times New Roman" w:eastAsia="Times New Roman" w:hAnsi="Times New Roman" w:cs="Times New Roman"/>
        </w:rPr>
        <w:t>Si</w:t>
      </w:r>
      <w:r w:rsidRPr="002C035C">
        <w:rPr>
          <w:rFonts w:ascii="Times New Roman" w:eastAsia="Times New Roman" w:hAnsi="Times New Roman" w:cs="Times New Roman"/>
          <w:spacing w:val="1"/>
        </w:rPr>
        <w:t>g</w:t>
      </w:r>
      <w:r w:rsidRPr="002C035C">
        <w:rPr>
          <w:rFonts w:ascii="Times New Roman" w:eastAsia="Times New Roman" w:hAnsi="Times New Roman" w:cs="Times New Roman"/>
          <w:spacing w:val="-1"/>
        </w:rPr>
        <w:t>n</w:t>
      </w:r>
      <w:r w:rsidRPr="002C035C">
        <w:rPr>
          <w:rFonts w:ascii="Times New Roman" w:eastAsia="Times New Roman" w:hAnsi="Times New Roman" w:cs="Times New Roman"/>
        </w:rPr>
        <w:t>at</w:t>
      </w:r>
      <w:r w:rsidRPr="002C035C">
        <w:rPr>
          <w:rFonts w:ascii="Times New Roman" w:eastAsia="Times New Roman" w:hAnsi="Times New Roman" w:cs="Times New Roman"/>
          <w:spacing w:val="1"/>
        </w:rPr>
        <w:t>o</w:t>
      </w:r>
      <w:r w:rsidRPr="002C035C">
        <w:rPr>
          <w:rFonts w:ascii="Times New Roman" w:eastAsia="Times New Roman" w:hAnsi="Times New Roman" w:cs="Times New Roman"/>
          <w:spacing w:val="3"/>
        </w:rPr>
        <w:t>r</w:t>
      </w:r>
      <w:r w:rsidRPr="002C035C">
        <w:rPr>
          <w:rFonts w:ascii="Times New Roman" w:eastAsia="Times New Roman" w:hAnsi="Times New Roman" w:cs="Times New Roman"/>
        </w:rPr>
        <w:t>y</w:t>
      </w:r>
      <w:r w:rsidRPr="002C035C">
        <w:rPr>
          <w:rFonts w:ascii="Times New Roman" w:eastAsia="Times New Roman" w:hAnsi="Times New Roman" w:cs="Times New Roman"/>
          <w:spacing w:val="-11"/>
        </w:rPr>
        <w:t xml:space="preserve"> </w:t>
      </w:r>
      <w:r w:rsidRPr="002C035C">
        <w:rPr>
          <w:rFonts w:ascii="Times New Roman" w:eastAsia="Times New Roman" w:hAnsi="Times New Roman" w:cs="Times New Roman"/>
          <w:spacing w:val="2"/>
        </w:rPr>
        <w:t>P</w:t>
      </w:r>
      <w:r w:rsidRPr="002C035C">
        <w:rPr>
          <w:rFonts w:ascii="Times New Roman" w:eastAsia="Times New Roman" w:hAnsi="Times New Roman" w:cs="Times New Roman"/>
        </w:rPr>
        <w:t>a</w:t>
      </w:r>
      <w:r w:rsidRPr="002C035C">
        <w:rPr>
          <w:rFonts w:ascii="Times New Roman" w:eastAsia="Times New Roman" w:hAnsi="Times New Roman" w:cs="Times New Roman"/>
          <w:spacing w:val="1"/>
        </w:rPr>
        <w:t>r</w:t>
      </w:r>
      <w:r w:rsidRPr="002C035C">
        <w:rPr>
          <w:rFonts w:ascii="Times New Roman" w:eastAsia="Times New Roman" w:hAnsi="Times New Roman" w:cs="Times New Roman"/>
          <w:spacing w:val="2"/>
        </w:rPr>
        <w:t>t</w:t>
      </w:r>
      <w:r w:rsidRPr="002C035C">
        <w:rPr>
          <w:rFonts w:ascii="Times New Roman" w:eastAsia="Times New Roman" w:hAnsi="Times New Roman" w:cs="Times New Roman"/>
        </w:rPr>
        <w:t>y</w:t>
      </w:r>
      <w:r w:rsidRPr="002C035C">
        <w:rPr>
          <w:rFonts w:ascii="Times New Roman" w:eastAsia="Times New Roman" w:hAnsi="Times New Roman" w:cs="Times New Roman"/>
          <w:spacing w:val="-5"/>
        </w:rPr>
        <w:t xml:space="preserve"> </w:t>
      </w:r>
      <w:r w:rsidRPr="002C035C">
        <w:rPr>
          <w:rFonts w:ascii="Times New Roman" w:eastAsia="Times New Roman" w:hAnsi="Times New Roman" w:cs="Times New Roman"/>
          <w:spacing w:val="-1"/>
        </w:rPr>
        <w:t>h</w:t>
      </w:r>
      <w:r w:rsidRPr="002C035C">
        <w:rPr>
          <w:rFonts w:ascii="Times New Roman" w:eastAsia="Times New Roman" w:hAnsi="Times New Roman" w:cs="Times New Roman"/>
        </w:rPr>
        <w:t>as</w:t>
      </w:r>
      <w:r w:rsidRPr="002C035C">
        <w:rPr>
          <w:rFonts w:ascii="Times New Roman" w:eastAsia="Times New Roman" w:hAnsi="Times New Roman" w:cs="Times New Roman"/>
          <w:spacing w:val="-3"/>
        </w:rPr>
        <w:t xml:space="preserve"> </w:t>
      </w:r>
      <w:r w:rsidRPr="002C035C">
        <w:rPr>
          <w:rFonts w:ascii="Times New Roman" w:eastAsia="Times New Roman" w:hAnsi="Times New Roman" w:cs="Times New Roman"/>
          <w:spacing w:val="2"/>
        </w:rPr>
        <w:t>t</w:t>
      </w:r>
      <w:r w:rsidRPr="002C035C">
        <w:rPr>
          <w:rFonts w:ascii="Times New Roman" w:eastAsia="Times New Roman" w:hAnsi="Times New Roman" w:cs="Times New Roman"/>
          <w:spacing w:val="-1"/>
        </w:rPr>
        <w:t>h</w:t>
      </w:r>
      <w:r w:rsidRPr="002C035C">
        <w:rPr>
          <w:rFonts w:ascii="Times New Roman" w:eastAsia="Times New Roman" w:hAnsi="Times New Roman" w:cs="Times New Roman"/>
        </w:rPr>
        <w:t>e</w:t>
      </w:r>
      <w:r w:rsidRPr="002C035C">
        <w:rPr>
          <w:rFonts w:ascii="Times New Roman" w:eastAsia="Times New Roman" w:hAnsi="Times New Roman" w:cs="Times New Roman"/>
          <w:spacing w:val="-1"/>
        </w:rPr>
        <w:t xml:space="preserve"> </w:t>
      </w:r>
      <w:r w:rsidRPr="002C035C">
        <w:rPr>
          <w:rFonts w:ascii="Times New Roman" w:eastAsia="Times New Roman" w:hAnsi="Times New Roman" w:cs="Times New Roman"/>
          <w:spacing w:val="1"/>
        </w:rPr>
        <w:t>r</w:t>
      </w:r>
      <w:r w:rsidRPr="002C035C">
        <w:rPr>
          <w:rFonts w:ascii="Times New Roman" w:eastAsia="Times New Roman" w:hAnsi="Times New Roman" w:cs="Times New Roman"/>
        </w:rPr>
        <w:t>i</w:t>
      </w:r>
      <w:r w:rsidRPr="002C035C">
        <w:rPr>
          <w:rFonts w:ascii="Times New Roman" w:eastAsia="Times New Roman" w:hAnsi="Times New Roman" w:cs="Times New Roman"/>
          <w:spacing w:val="-1"/>
        </w:rPr>
        <w:t>g</w:t>
      </w:r>
      <w:r w:rsidRPr="002C035C">
        <w:rPr>
          <w:rFonts w:ascii="Times New Roman" w:eastAsia="Times New Roman" w:hAnsi="Times New Roman" w:cs="Times New Roman"/>
          <w:spacing w:val="1"/>
        </w:rPr>
        <w:t>h</w:t>
      </w:r>
      <w:r w:rsidRPr="002C035C">
        <w:rPr>
          <w:rFonts w:ascii="Times New Roman" w:eastAsia="Times New Roman" w:hAnsi="Times New Roman" w:cs="Times New Roman"/>
        </w:rPr>
        <w:t>t,</w:t>
      </w:r>
      <w:r w:rsidRPr="002C035C">
        <w:rPr>
          <w:rFonts w:ascii="Times New Roman" w:eastAsia="Times New Roman" w:hAnsi="Times New Roman" w:cs="Times New Roman"/>
          <w:spacing w:val="-3"/>
        </w:rPr>
        <w:t xml:space="preserve"> </w:t>
      </w:r>
      <w:r w:rsidRPr="002C035C">
        <w:rPr>
          <w:rFonts w:ascii="Times New Roman" w:eastAsia="Times New Roman" w:hAnsi="Times New Roman" w:cs="Times New Roman"/>
        </w:rPr>
        <w:t>at</w:t>
      </w:r>
      <w:r w:rsidRPr="002C035C">
        <w:rPr>
          <w:rFonts w:ascii="Times New Roman" w:eastAsia="Times New Roman" w:hAnsi="Times New Roman" w:cs="Times New Roman"/>
          <w:spacing w:val="-1"/>
        </w:rPr>
        <w:t xml:space="preserve"> </w:t>
      </w:r>
      <w:r w:rsidRPr="002C035C">
        <w:rPr>
          <w:rFonts w:ascii="Times New Roman" w:eastAsia="Times New Roman" w:hAnsi="Times New Roman" w:cs="Times New Roman"/>
        </w:rPr>
        <w:t>its</w:t>
      </w:r>
      <w:r w:rsidRPr="002C035C">
        <w:rPr>
          <w:rFonts w:ascii="Times New Roman" w:eastAsia="Times New Roman" w:hAnsi="Times New Roman" w:cs="Times New Roman"/>
          <w:spacing w:val="-2"/>
        </w:rPr>
        <w:t xml:space="preserve"> </w:t>
      </w:r>
      <w:r w:rsidRPr="002C035C">
        <w:rPr>
          <w:rFonts w:ascii="Times New Roman" w:eastAsia="Times New Roman" w:hAnsi="Times New Roman" w:cs="Times New Roman"/>
          <w:spacing w:val="-1"/>
        </w:rPr>
        <w:t>s</w:t>
      </w:r>
      <w:r w:rsidRPr="002C035C">
        <w:rPr>
          <w:rFonts w:ascii="Times New Roman" w:eastAsia="Times New Roman" w:hAnsi="Times New Roman" w:cs="Times New Roman"/>
          <w:spacing w:val="1"/>
        </w:rPr>
        <w:t>o</w:t>
      </w:r>
      <w:r w:rsidRPr="002C035C">
        <w:rPr>
          <w:rFonts w:ascii="Times New Roman" w:eastAsia="Times New Roman" w:hAnsi="Times New Roman" w:cs="Times New Roman"/>
        </w:rPr>
        <w:t>le</w:t>
      </w:r>
      <w:r w:rsidRPr="002C035C">
        <w:rPr>
          <w:rFonts w:ascii="Times New Roman" w:eastAsia="Times New Roman" w:hAnsi="Times New Roman" w:cs="Times New Roman"/>
          <w:spacing w:val="-2"/>
        </w:rPr>
        <w:t xml:space="preserve"> </w:t>
      </w:r>
      <w:r w:rsidRPr="002C035C">
        <w:rPr>
          <w:rFonts w:ascii="Times New Roman" w:eastAsia="Times New Roman" w:hAnsi="Times New Roman" w:cs="Times New Roman"/>
          <w:spacing w:val="1"/>
        </w:rPr>
        <w:t>d</w:t>
      </w:r>
      <w:r w:rsidRPr="002C035C">
        <w:rPr>
          <w:rFonts w:ascii="Times New Roman" w:eastAsia="Times New Roman" w:hAnsi="Times New Roman" w:cs="Times New Roman"/>
        </w:rPr>
        <w:t>i</w:t>
      </w:r>
      <w:r w:rsidRPr="002C035C">
        <w:rPr>
          <w:rFonts w:ascii="Times New Roman" w:eastAsia="Times New Roman" w:hAnsi="Times New Roman" w:cs="Times New Roman"/>
          <w:spacing w:val="-1"/>
        </w:rPr>
        <w:t>s</w:t>
      </w:r>
      <w:r w:rsidRPr="002C035C">
        <w:rPr>
          <w:rFonts w:ascii="Times New Roman" w:eastAsia="Times New Roman" w:hAnsi="Times New Roman" w:cs="Times New Roman"/>
        </w:rPr>
        <w:t>c</w:t>
      </w:r>
      <w:r w:rsidRPr="002C035C">
        <w:rPr>
          <w:rFonts w:ascii="Times New Roman" w:eastAsia="Times New Roman" w:hAnsi="Times New Roman" w:cs="Times New Roman"/>
          <w:spacing w:val="1"/>
        </w:rPr>
        <w:t>r</w:t>
      </w:r>
      <w:r w:rsidRPr="002C035C">
        <w:rPr>
          <w:rFonts w:ascii="Times New Roman" w:eastAsia="Times New Roman" w:hAnsi="Times New Roman" w:cs="Times New Roman"/>
        </w:rPr>
        <w:t>eti</w:t>
      </w:r>
      <w:r w:rsidRPr="002C035C">
        <w:rPr>
          <w:rFonts w:ascii="Times New Roman" w:eastAsia="Times New Roman" w:hAnsi="Times New Roman" w:cs="Times New Roman"/>
          <w:spacing w:val="4"/>
        </w:rPr>
        <w:t>o</w:t>
      </w:r>
      <w:r w:rsidRPr="002C035C">
        <w:rPr>
          <w:rFonts w:ascii="Times New Roman" w:eastAsia="Times New Roman" w:hAnsi="Times New Roman" w:cs="Times New Roman"/>
          <w:spacing w:val="-1"/>
        </w:rPr>
        <w:t>n</w:t>
      </w:r>
      <w:r w:rsidRPr="002C035C">
        <w:rPr>
          <w:rFonts w:ascii="Times New Roman" w:eastAsia="Times New Roman" w:hAnsi="Times New Roman" w:cs="Times New Roman"/>
        </w:rPr>
        <w:t>,</w:t>
      </w:r>
      <w:r w:rsidRPr="002C035C">
        <w:rPr>
          <w:rFonts w:ascii="Times New Roman" w:eastAsia="Times New Roman" w:hAnsi="Times New Roman" w:cs="Times New Roman"/>
          <w:spacing w:val="-7"/>
        </w:rPr>
        <w:t xml:space="preserve"> </w:t>
      </w:r>
      <w:r w:rsidRPr="002C035C">
        <w:rPr>
          <w:rFonts w:ascii="Times New Roman" w:eastAsia="Times New Roman" w:hAnsi="Times New Roman" w:cs="Times New Roman"/>
        </w:rPr>
        <w:t xml:space="preserve">to </w:t>
      </w:r>
      <w:r w:rsidRPr="002C035C">
        <w:rPr>
          <w:rFonts w:ascii="Times New Roman" w:eastAsia="Times New Roman" w:hAnsi="Times New Roman" w:cs="Times New Roman"/>
          <w:spacing w:val="1"/>
        </w:rPr>
        <w:t>d</w:t>
      </w:r>
      <w:r w:rsidRPr="002C035C">
        <w:rPr>
          <w:rFonts w:ascii="Times New Roman" w:eastAsia="Times New Roman" w:hAnsi="Times New Roman" w:cs="Times New Roman"/>
        </w:rPr>
        <w:t>ete</w:t>
      </w:r>
      <w:r w:rsidRPr="002C035C">
        <w:rPr>
          <w:rFonts w:ascii="Times New Roman" w:eastAsia="Times New Roman" w:hAnsi="Times New Roman" w:cs="Times New Roman"/>
          <w:spacing w:val="3"/>
        </w:rPr>
        <w:t>r</w:t>
      </w:r>
      <w:r w:rsidRPr="002C035C">
        <w:rPr>
          <w:rFonts w:ascii="Times New Roman" w:eastAsia="Times New Roman" w:hAnsi="Times New Roman" w:cs="Times New Roman"/>
          <w:spacing w:val="-4"/>
        </w:rPr>
        <w:t>m</w:t>
      </w:r>
      <w:r w:rsidRPr="002C035C">
        <w:rPr>
          <w:rFonts w:ascii="Times New Roman" w:eastAsia="Times New Roman" w:hAnsi="Times New Roman" w:cs="Times New Roman"/>
          <w:spacing w:val="2"/>
        </w:rPr>
        <w:t>i</w:t>
      </w:r>
      <w:r w:rsidRPr="002C035C">
        <w:rPr>
          <w:rFonts w:ascii="Times New Roman" w:eastAsia="Times New Roman" w:hAnsi="Times New Roman" w:cs="Times New Roman"/>
          <w:spacing w:val="-1"/>
        </w:rPr>
        <w:t>n</w:t>
      </w:r>
      <w:r w:rsidRPr="002C035C">
        <w:rPr>
          <w:rFonts w:ascii="Times New Roman" w:eastAsia="Times New Roman" w:hAnsi="Times New Roman" w:cs="Times New Roman"/>
        </w:rPr>
        <w:t>e</w:t>
      </w:r>
      <w:r w:rsidRPr="002C035C">
        <w:rPr>
          <w:rFonts w:ascii="Times New Roman" w:eastAsia="Times New Roman" w:hAnsi="Times New Roman" w:cs="Times New Roman"/>
          <w:spacing w:val="-5"/>
        </w:rPr>
        <w:t xml:space="preserve"> </w:t>
      </w:r>
      <w:r w:rsidRPr="002C035C">
        <w:rPr>
          <w:rFonts w:ascii="Times New Roman" w:eastAsia="Times New Roman" w:hAnsi="Times New Roman" w:cs="Times New Roman"/>
          <w:spacing w:val="-2"/>
        </w:rPr>
        <w:t>w</w:t>
      </w:r>
      <w:r w:rsidRPr="002C035C">
        <w:rPr>
          <w:rFonts w:ascii="Times New Roman" w:eastAsia="Times New Roman" w:hAnsi="Times New Roman" w:cs="Times New Roman"/>
          <w:spacing w:val="-1"/>
        </w:rPr>
        <w:t>h</w:t>
      </w:r>
      <w:r w:rsidRPr="002C035C">
        <w:rPr>
          <w:rFonts w:ascii="Times New Roman" w:eastAsia="Times New Roman" w:hAnsi="Times New Roman" w:cs="Times New Roman"/>
        </w:rPr>
        <w:t>at</w:t>
      </w:r>
      <w:r w:rsidRPr="002C035C">
        <w:rPr>
          <w:rFonts w:ascii="Times New Roman" w:eastAsia="Times New Roman" w:hAnsi="Times New Roman" w:cs="Times New Roman"/>
          <w:spacing w:val="-4"/>
        </w:rPr>
        <w:t xml:space="preserve"> </w:t>
      </w:r>
      <w:r w:rsidRPr="002C035C">
        <w:rPr>
          <w:rFonts w:ascii="Times New Roman" w:eastAsia="Times New Roman" w:hAnsi="Times New Roman" w:cs="Times New Roman"/>
        </w:rPr>
        <w:t>c</w:t>
      </w:r>
      <w:r w:rsidRPr="002C035C">
        <w:rPr>
          <w:rFonts w:ascii="Times New Roman" w:eastAsia="Times New Roman" w:hAnsi="Times New Roman" w:cs="Times New Roman"/>
          <w:spacing w:val="4"/>
        </w:rPr>
        <w:t>o</w:t>
      </w:r>
      <w:r w:rsidRPr="002C035C">
        <w:rPr>
          <w:rFonts w:ascii="Times New Roman" w:eastAsia="Times New Roman" w:hAnsi="Times New Roman" w:cs="Times New Roman"/>
          <w:spacing w:val="-1"/>
        </w:rPr>
        <w:t>ns</w:t>
      </w:r>
      <w:r w:rsidRPr="002C035C">
        <w:rPr>
          <w:rFonts w:ascii="Times New Roman" w:eastAsia="Times New Roman" w:hAnsi="Times New Roman" w:cs="Times New Roman"/>
        </w:rPr>
        <w:t>ti</w:t>
      </w:r>
      <w:r w:rsidRPr="002C035C">
        <w:rPr>
          <w:rFonts w:ascii="Times New Roman" w:eastAsia="Times New Roman" w:hAnsi="Times New Roman" w:cs="Times New Roman"/>
          <w:spacing w:val="2"/>
        </w:rPr>
        <w:t>t</w:t>
      </w:r>
      <w:r w:rsidRPr="002C035C">
        <w:rPr>
          <w:rFonts w:ascii="Times New Roman" w:eastAsia="Times New Roman" w:hAnsi="Times New Roman" w:cs="Times New Roman"/>
          <w:spacing w:val="-1"/>
        </w:rPr>
        <w:t>u</w:t>
      </w:r>
      <w:r w:rsidRPr="002C035C">
        <w:rPr>
          <w:rFonts w:ascii="Times New Roman" w:eastAsia="Times New Roman" w:hAnsi="Times New Roman" w:cs="Times New Roman"/>
        </w:rPr>
        <w:t>t</w:t>
      </w:r>
      <w:r w:rsidRPr="002C035C">
        <w:rPr>
          <w:rFonts w:ascii="Times New Roman" w:eastAsia="Times New Roman" w:hAnsi="Times New Roman" w:cs="Times New Roman"/>
          <w:spacing w:val="3"/>
        </w:rPr>
        <w:t>e</w:t>
      </w:r>
      <w:r w:rsidRPr="002C035C">
        <w:rPr>
          <w:rFonts w:ascii="Times New Roman" w:eastAsia="Times New Roman" w:hAnsi="Times New Roman" w:cs="Times New Roman"/>
        </w:rPr>
        <w:t>s</w:t>
      </w:r>
      <w:r w:rsidRPr="002C035C">
        <w:rPr>
          <w:rFonts w:ascii="Times New Roman" w:eastAsia="Times New Roman" w:hAnsi="Times New Roman" w:cs="Times New Roman"/>
          <w:spacing w:val="-9"/>
        </w:rPr>
        <w:t xml:space="preserve"> </w:t>
      </w:r>
      <w:r w:rsidRPr="002C035C">
        <w:rPr>
          <w:rFonts w:ascii="Times New Roman" w:eastAsia="Times New Roman" w:hAnsi="Times New Roman" w:cs="Times New Roman"/>
        </w:rPr>
        <w:t>a “</w:t>
      </w:r>
      <w:r w:rsidRPr="002C035C">
        <w:rPr>
          <w:rFonts w:ascii="Times New Roman" w:eastAsia="Times New Roman" w:hAnsi="Times New Roman" w:cs="Times New Roman"/>
          <w:spacing w:val="-1"/>
        </w:rPr>
        <w:t>m</w:t>
      </w:r>
      <w:r w:rsidRPr="002C035C">
        <w:rPr>
          <w:rFonts w:ascii="Times New Roman" w:eastAsia="Times New Roman" w:hAnsi="Times New Roman" w:cs="Times New Roman"/>
        </w:rPr>
        <w:t>ate</w:t>
      </w:r>
      <w:r w:rsidRPr="002C035C">
        <w:rPr>
          <w:rFonts w:ascii="Times New Roman" w:eastAsia="Times New Roman" w:hAnsi="Times New Roman" w:cs="Times New Roman"/>
          <w:spacing w:val="1"/>
        </w:rPr>
        <w:t>r</w:t>
      </w:r>
      <w:r w:rsidRPr="002C035C">
        <w:rPr>
          <w:rFonts w:ascii="Times New Roman" w:eastAsia="Times New Roman" w:hAnsi="Times New Roman" w:cs="Times New Roman"/>
        </w:rPr>
        <w:t>ial”</w:t>
      </w:r>
      <w:r w:rsidRPr="002C035C">
        <w:rPr>
          <w:rFonts w:ascii="Times New Roman" w:eastAsia="Times New Roman" w:hAnsi="Times New Roman" w:cs="Times New Roman"/>
          <w:spacing w:val="-7"/>
        </w:rPr>
        <w:t xml:space="preserve"> </w:t>
      </w:r>
      <w:r w:rsidRPr="002C035C">
        <w:rPr>
          <w:rFonts w:ascii="Times New Roman" w:eastAsia="Times New Roman" w:hAnsi="Times New Roman" w:cs="Times New Roman"/>
        </w:rPr>
        <w:t>c</w:t>
      </w:r>
      <w:r w:rsidRPr="002C035C">
        <w:rPr>
          <w:rFonts w:ascii="Times New Roman" w:eastAsia="Times New Roman" w:hAnsi="Times New Roman" w:cs="Times New Roman"/>
          <w:spacing w:val="-1"/>
        </w:rPr>
        <w:t>h</w:t>
      </w:r>
      <w:r w:rsidRPr="002C035C">
        <w:rPr>
          <w:rFonts w:ascii="Times New Roman" w:eastAsia="Times New Roman" w:hAnsi="Times New Roman" w:cs="Times New Roman"/>
          <w:spacing w:val="3"/>
        </w:rPr>
        <w:t>a</w:t>
      </w:r>
      <w:r w:rsidRPr="002C035C">
        <w:rPr>
          <w:rFonts w:ascii="Times New Roman" w:eastAsia="Times New Roman" w:hAnsi="Times New Roman" w:cs="Times New Roman"/>
          <w:spacing w:val="1"/>
        </w:rPr>
        <w:t>n</w:t>
      </w:r>
      <w:r w:rsidRPr="002C035C">
        <w:rPr>
          <w:rFonts w:ascii="Times New Roman" w:eastAsia="Times New Roman" w:hAnsi="Times New Roman" w:cs="Times New Roman"/>
          <w:spacing w:val="-1"/>
        </w:rPr>
        <w:t>g</w:t>
      </w:r>
      <w:r w:rsidRPr="002C035C">
        <w:rPr>
          <w:rFonts w:ascii="Times New Roman" w:eastAsia="Times New Roman" w:hAnsi="Times New Roman" w:cs="Times New Roman"/>
        </w:rPr>
        <w:t>e</w:t>
      </w:r>
      <w:r w:rsidRPr="002C035C">
        <w:rPr>
          <w:rFonts w:ascii="Times New Roman" w:eastAsia="Times New Roman" w:hAnsi="Times New Roman" w:cs="Times New Roman"/>
          <w:spacing w:val="-5"/>
        </w:rPr>
        <w:t xml:space="preserve"> </w:t>
      </w:r>
      <w:r w:rsidRPr="002C035C">
        <w:rPr>
          <w:rFonts w:ascii="Times New Roman" w:eastAsia="Times New Roman" w:hAnsi="Times New Roman" w:cs="Times New Roman"/>
          <w:spacing w:val="-2"/>
        </w:rPr>
        <w:t>f</w:t>
      </w:r>
      <w:r w:rsidRPr="002C035C">
        <w:rPr>
          <w:rFonts w:ascii="Times New Roman" w:eastAsia="Times New Roman" w:hAnsi="Times New Roman" w:cs="Times New Roman"/>
          <w:spacing w:val="1"/>
        </w:rPr>
        <w:t>o</w:t>
      </w:r>
      <w:r w:rsidRPr="002C035C">
        <w:rPr>
          <w:rFonts w:ascii="Times New Roman" w:eastAsia="Times New Roman" w:hAnsi="Times New Roman" w:cs="Times New Roman"/>
        </w:rPr>
        <w:t>r</w:t>
      </w:r>
      <w:r w:rsidRPr="002C035C">
        <w:rPr>
          <w:rFonts w:ascii="Times New Roman" w:eastAsia="Times New Roman" w:hAnsi="Times New Roman" w:cs="Times New Roman"/>
          <w:spacing w:val="-1"/>
        </w:rPr>
        <w:t xml:space="preserve"> </w:t>
      </w:r>
      <w:r w:rsidRPr="002C035C">
        <w:rPr>
          <w:rFonts w:ascii="Times New Roman" w:eastAsia="Times New Roman" w:hAnsi="Times New Roman" w:cs="Times New Roman"/>
        </w:rPr>
        <w:t>t</w:t>
      </w:r>
      <w:r w:rsidRPr="002C035C">
        <w:rPr>
          <w:rFonts w:ascii="Times New Roman" w:eastAsia="Times New Roman" w:hAnsi="Times New Roman" w:cs="Times New Roman"/>
          <w:spacing w:val="-1"/>
        </w:rPr>
        <w:t>h</w:t>
      </w:r>
      <w:r w:rsidRPr="002C035C">
        <w:rPr>
          <w:rFonts w:ascii="Times New Roman" w:eastAsia="Times New Roman" w:hAnsi="Times New Roman" w:cs="Times New Roman"/>
        </w:rPr>
        <w:t xml:space="preserve">e </w:t>
      </w:r>
      <w:r w:rsidRPr="002C035C">
        <w:rPr>
          <w:rFonts w:ascii="Times New Roman" w:eastAsia="Times New Roman" w:hAnsi="Times New Roman" w:cs="Times New Roman"/>
          <w:spacing w:val="1"/>
        </w:rPr>
        <w:t>p</w:t>
      </w:r>
      <w:r w:rsidRPr="002C035C">
        <w:rPr>
          <w:rFonts w:ascii="Times New Roman" w:eastAsia="Times New Roman" w:hAnsi="Times New Roman" w:cs="Times New Roman"/>
          <w:spacing w:val="-1"/>
        </w:rPr>
        <w:t>u</w:t>
      </w:r>
      <w:r w:rsidRPr="002C035C">
        <w:rPr>
          <w:rFonts w:ascii="Times New Roman" w:eastAsia="Times New Roman" w:hAnsi="Times New Roman" w:cs="Times New Roman"/>
          <w:spacing w:val="1"/>
        </w:rPr>
        <w:t>rpo</w:t>
      </w:r>
      <w:r w:rsidRPr="002C035C">
        <w:rPr>
          <w:rFonts w:ascii="Times New Roman" w:eastAsia="Times New Roman" w:hAnsi="Times New Roman" w:cs="Times New Roman"/>
          <w:spacing w:val="-1"/>
        </w:rPr>
        <w:t>s</w:t>
      </w:r>
      <w:r w:rsidRPr="002C035C">
        <w:rPr>
          <w:rFonts w:ascii="Times New Roman" w:eastAsia="Times New Roman" w:hAnsi="Times New Roman" w:cs="Times New Roman"/>
        </w:rPr>
        <w:t>es</w:t>
      </w:r>
      <w:r w:rsidRPr="002C035C">
        <w:rPr>
          <w:rFonts w:ascii="Times New Roman" w:eastAsia="Times New Roman" w:hAnsi="Times New Roman" w:cs="Times New Roman"/>
          <w:spacing w:val="-7"/>
        </w:rPr>
        <w:t xml:space="preserve"> </w:t>
      </w:r>
      <w:r w:rsidRPr="002C035C">
        <w:rPr>
          <w:rFonts w:ascii="Times New Roman" w:eastAsia="Times New Roman" w:hAnsi="Times New Roman" w:cs="Times New Roman"/>
          <w:spacing w:val="1"/>
        </w:rPr>
        <w:t>o</w:t>
      </w:r>
      <w:r w:rsidRPr="002C035C">
        <w:rPr>
          <w:rFonts w:ascii="Times New Roman" w:eastAsia="Times New Roman" w:hAnsi="Times New Roman" w:cs="Times New Roman"/>
        </w:rPr>
        <w:t>f</w:t>
      </w:r>
      <w:r w:rsidRPr="002C035C">
        <w:rPr>
          <w:rFonts w:ascii="Times New Roman" w:eastAsia="Times New Roman" w:hAnsi="Times New Roman" w:cs="Times New Roman"/>
          <w:spacing w:val="-3"/>
        </w:rPr>
        <w:t xml:space="preserve"> </w:t>
      </w:r>
      <w:r w:rsidRPr="002C035C">
        <w:rPr>
          <w:rFonts w:ascii="Times New Roman" w:eastAsia="Times New Roman" w:hAnsi="Times New Roman" w:cs="Times New Roman"/>
        </w:rPr>
        <w:t>t</w:t>
      </w:r>
      <w:r w:rsidRPr="002C035C">
        <w:rPr>
          <w:rFonts w:ascii="Times New Roman" w:eastAsia="Times New Roman" w:hAnsi="Times New Roman" w:cs="Times New Roman"/>
          <w:spacing w:val="-1"/>
        </w:rPr>
        <w:t>h</w:t>
      </w:r>
      <w:r w:rsidRPr="002C035C">
        <w:rPr>
          <w:rFonts w:ascii="Times New Roman" w:eastAsia="Times New Roman" w:hAnsi="Times New Roman" w:cs="Times New Roman"/>
        </w:rPr>
        <w:t>at</w:t>
      </w:r>
      <w:r w:rsidRPr="002C035C">
        <w:rPr>
          <w:rFonts w:ascii="Times New Roman" w:eastAsia="Times New Roman" w:hAnsi="Times New Roman" w:cs="Times New Roman"/>
          <w:spacing w:val="-3"/>
        </w:rPr>
        <w:t xml:space="preserve"> </w:t>
      </w:r>
      <w:r w:rsidRPr="002C035C">
        <w:rPr>
          <w:rFonts w:ascii="Times New Roman" w:eastAsia="Times New Roman" w:hAnsi="Times New Roman" w:cs="Times New Roman"/>
          <w:spacing w:val="2"/>
        </w:rPr>
        <w:t>P</w:t>
      </w:r>
      <w:r w:rsidRPr="002C035C">
        <w:rPr>
          <w:rFonts w:ascii="Times New Roman" w:eastAsia="Times New Roman" w:hAnsi="Times New Roman" w:cs="Times New Roman"/>
        </w:rPr>
        <w:t>a</w:t>
      </w:r>
      <w:r w:rsidRPr="002C035C">
        <w:rPr>
          <w:rFonts w:ascii="Times New Roman" w:eastAsia="Times New Roman" w:hAnsi="Times New Roman" w:cs="Times New Roman"/>
          <w:spacing w:val="1"/>
        </w:rPr>
        <w:t>r</w:t>
      </w:r>
      <w:r w:rsidRPr="002C035C">
        <w:rPr>
          <w:rFonts w:ascii="Times New Roman" w:eastAsia="Times New Roman" w:hAnsi="Times New Roman" w:cs="Times New Roman"/>
          <w:spacing w:val="2"/>
        </w:rPr>
        <w:t>t</w:t>
      </w:r>
      <w:r w:rsidRPr="002C035C">
        <w:rPr>
          <w:rFonts w:ascii="Times New Roman" w:eastAsia="Times New Roman" w:hAnsi="Times New Roman" w:cs="Times New Roman"/>
        </w:rPr>
        <w:t>y</w:t>
      </w:r>
      <w:r w:rsidRPr="002C035C">
        <w:rPr>
          <w:rFonts w:ascii="Times New Roman" w:eastAsia="Times New Roman" w:hAnsi="Times New Roman" w:cs="Times New Roman"/>
          <w:spacing w:val="-5"/>
        </w:rPr>
        <w:t xml:space="preserve"> </w:t>
      </w:r>
      <w:r w:rsidRPr="002C035C">
        <w:rPr>
          <w:rFonts w:ascii="Times New Roman" w:eastAsia="Times New Roman" w:hAnsi="Times New Roman" w:cs="Times New Roman"/>
          <w:spacing w:val="-2"/>
        </w:rPr>
        <w:t>w</w:t>
      </w:r>
      <w:r w:rsidRPr="002C035C">
        <w:rPr>
          <w:rFonts w:ascii="Times New Roman" w:eastAsia="Times New Roman" w:hAnsi="Times New Roman" w:cs="Times New Roman"/>
        </w:rPr>
        <w:t>i</w:t>
      </w:r>
      <w:r w:rsidRPr="002C035C">
        <w:rPr>
          <w:rFonts w:ascii="Times New Roman" w:eastAsia="Times New Roman" w:hAnsi="Times New Roman" w:cs="Times New Roman"/>
          <w:spacing w:val="2"/>
        </w:rPr>
        <w:t>t</w:t>
      </w:r>
      <w:r w:rsidRPr="002C035C">
        <w:rPr>
          <w:rFonts w:ascii="Times New Roman" w:eastAsia="Times New Roman" w:hAnsi="Times New Roman" w:cs="Times New Roman"/>
          <w:spacing w:val="-1"/>
        </w:rPr>
        <w:t>h</w:t>
      </w:r>
      <w:r w:rsidRPr="002C035C">
        <w:rPr>
          <w:rFonts w:ascii="Times New Roman" w:eastAsia="Times New Roman" w:hAnsi="Times New Roman" w:cs="Times New Roman"/>
          <w:spacing w:val="1"/>
        </w:rPr>
        <w:t>dr</w:t>
      </w:r>
      <w:r w:rsidRPr="002C035C">
        <w:rPr>
          <w:rFonts w:ascii="Times New Roman" w:eastAsia="Times New Roman" w:hAnsi="Times New Roman" w:cs="Times New Roman"/>
          <w:spacing w:val="3"/>
        </w:rPr>
        <w:t>a</w:t>
      </w:r>
      <w:r w:rsidRPr="002C035C">
        <w:rPr>
          <w:rFonts w:ascii="Times New Roman" w:eastAsia="Times New Roman" w:hAnsi="Times New Roman" w:cs="Times New Roman"/>
          <w:spacing w:val="-2"/>
        </w:rPr>
        <w:t>w</w:t>
      </w:r>
      <w:r w:rsidRPr="002C035C">
        <w:rPr>
          <w:rFonts w:ascii="Times New Roman" w:eastAsia="Times New Roman" w:hAnsi="Times New Roman" w:cs="Times New Roman"/>
          <w:spacing w:val="2"/>
        </w:rPr>
        <w:t>i</w:t>
      </w:r>
      <w:r w:rsidRPr="002C035C">
        <w:rPr>
          <w:rFonts w:ascii="Times New Roman" w:eastAsia="Times New Roman" w:hAnsi="Times New Roman" w:cs="Times New Roman"/>
          <w:spacing w:val="1"/>
        </w:rPr>
        <w:t>n</w:t>
      </w:r>
      <w:r w:rsidRPr="002C035C">
        <w:rPr>
          <w:rFonts w:ascii="Times New Roman" w:eastAsia="Times New Roman" w:hAnsi="Times New Roman" w:cs="Times New Roman"/>
        </w:rPr>
        <w:t>g</w:t>
      </w:r>
      <w:r w:rsidRPr="002C035C">
        <w:rPr>
          <w:rFonts w:ascii="Times New Roman" w:eastAsia="Times New Roman" w:hAnsi="Times New Roman" w:cs="Times New Roman"/>
          <w:spacing w:val="-11"/>
        </w:rPr>
        <w:t xml:space="preserve"> </w:t>
      </w:r>
      <w:r w:rsidRPr="002C035C">
        <w:rPr>
          <w:rFonts w:ascii="Times New Roman" w:eastAsia="Times New Roman" w:hAnsi="Times New Roman" w:cs="Times New Roman"/>
          <w:spacing w:val="-2"/>
        </w:rPr>
        <w:t>f</w:t>
      </w:r>
      <w:r w:rsidRPr="002C035C">
        <w:rPr>
          <w:rFonts w:ascii="Times New Roman" w:eastAsia="Times New Roman" w:hAnsi="Times New Roman" w:cs="Times New Roman"/>
          <w:spacing w:val="1"/>
        </w:rPr>
        <w:t>r</w:t>
      </w:r>
      <w:r w:rsidRPr="002C035C">
        <w:rPr>
          <w:rFonts w:ascii="Times New Roman" w:eastAsia="Times New Roman" w:hAnsi="Times New Roman" w:cs="Times New Roman"/>
          <w:spacing w:val="4"/>
        </w:rPr>
        <w:t>o</w:t>
      </w:r>
      <w:r w:rsidRPr="002C035C">
        <w:rPr>
          <w:rFonts w:ascii="Times New Roman" w:eastAsia="Times New Roman" w:hAnsi="Times New Roman" w:cs="Times New Roman"/>
        </w:rPr>
        <w:t>m</w:t>
      </w:r>
      <w:r w:rsidRPr="002C035C">
        <w:rPr>
          <w:rFonts w:ascii="Times New Roman" w:eastAsia="Times New Roman" w:hAnsi="Times New Roman" w:cs="Times New Roman"/>
          <w:spacing w:val="-5"/>
        </w:rPr>
        <w:t xml:space="preserve"> </w:t>
      </w:r>
      <w:r w:rsidRPr="002C035C">
        <w:rPr>
          <w:rFonts w:ascii="Times New Roman" w:eastAsia="Times New Roman" w:hAnsi="Times New Roman" w:cs="Times New Roman"/>
        </w:rPr>
        <w:t>t</w:t>
      </w:r>
      <w:r w:rsidRPr="002C035C">
        <w:rPr>
          <w:rFonts w:ascii="Times New Roman" w:eastAsia="Times New Roman" w:hAnsi="Times New Roman" w:cs="Times New Roman"/>
          <w:spacing w:val="-1"/>
        </w:rPr>
        <w:t>h</w:t>
      </w:r>
      <w:r w:rsidRPr="002C035C">
        <w:rPr>
          <w:rFonts w:ascii="Times New Roman" w:eastAsia="Times New Roman" w:hAnsi="Times New Roman" w:cs="Times New Roman"/>
        </w:rPr>
        <w:t>e</w:t>
      </w:r>
      <w:r w:rsidRPr="002C035C">
        <w:rPr>
          <w:rFonts w:ascii="Times New Roman" w:eastAsia="Times New Roman" w:hAnsi="Times New Roman" w:cs="Times New Roman"/>
          <w:spacing w:val="-1"/>
        </w:rPr>
        <w:t xml:space="preserve"> </w:t>
      </w:r>
      <w:r w:rsidRPr="002C035C">
        <w:rPr>
          <w:rFonts w:ascii="Times New Roman" w:eastAsia="Times New Roman" w:hAnsi="Times New Roman" w:cs="Times New Roman"/>
          <w:spacing w:val="2"/>
        </w:rPr>
        <w:t>S</w:t>
      </w:r>
      <w:r w:rsidRPr="002C035C">
        <w:rPr>
          <w:rFonts w:ascii="Times New Roman" w:eastAsia="Times New Roman" w:hAnsi="Times New Roman" w:cs="Times New Roman"/>
        </w:rPr>
        <w:t>ti</w:t>
      </w:r>
      <w:r w:rsidRPr="002C035C">
        <w:rPr>
          <w:rFonts w:ascii="Times New Roman" w:eastAsia="Times New Roman" w:hAnsi="Times New Roman" w:cs="Times New Roman"/>
          <w:spacing w:val="1"/>
        </w:rPr>
        <w:t>p</w:t>
      </w:r>
      <w:r w:rsidRPr="002C035C">
        <w:rPr>
          <w:rFonts w:ascii="Times New Roman" w:eastAsia="Times New Roman" w:hAnsi="Times New Roman" w:cs="Times New Roman"/>
          <w:spacing w:val="-1"/>
        </w:rPr>
        <w:t>u</w:t>
      </w:r>
      <w:r w:rsidRPr="002C035C">
        <w:rPr>
          <w:rFonts w:ascii="Times New Roman" w:eastAsia="Times New Roman" w:hAnsi="Times New Roman" w:cs="Times New Roman"/>
        </w:rPr>
        <w:t>lati</w:t>
      </w:r>
      <w:r w:rsidRPr="002C035C">
        <w:rPr>
          <w:rFonts w:ascii="Times New Roman" w:eastAsia="Times New Roman" w:hAnsi="Times New Roman" w:cs="Times New Roman"/>
          <w:spacing w:val="4"/>
        </w:rPr>
        <w:t>o</w:t>
      </w:r>
      <w:r w:rsidRPr="002C035C">
        <w:rPr>
          <w:rFonts w:ascii="Times New Roman" w:eastAsia="Times New Roman" w:hAnsi="Times New Roman" w:cs="Times New Roman"/>
          <w:spacing w:val="-1"/>
        </w:rPr>
        <w:t>n</w:t>
      </w:r>
      <w:r w:rsidRPr="002C035C">
        <w:rPr>
          <w:rFonts w:ascii="Times New Roman" w:eastAsia="Times New Roman" w:hAnsi="Times New Roman" w:cs="Times New Roman"/>
        </w:rPr>
        <w:t>.</w:t>
      </w:r>
    </w:p>
  </w:footnote>
  <w:footnote w:id="3">
    <w:p w:rsidR="009A530B" w:rsidRPr="001C1668" w:rsidRDefault="009A530B" w:rsidP="00662391">
      <w:pPr>
        <w:pStyle w:val="FootnoteText"/>
        <w:jc w:val="both"/>
        <w:rPr>
          <w:rFonts w:ascii="Times New Roman" w:hAnsi="Times New Roman" w:cs="Times New Roman"/>
        </w:rPr>
      </w:pPr>
      <w:r w:rsidRPr="001C1668">
        <w:rPr>
          <w:rStyle w:val="FootnoteReference"/>
          <w:rFonts w:ascii="Times New Roman" w:hAnsi="Times New Roman" w:cs="Times New Roman"/>
        </w:rPr>
        <w:footnoteRef/>
      </w:r>
      <w:r w:rsidRPr="001C1668">
        <w:rPr>
          <w:rFonts w:ascii="Times New Roman" w:hAnsi="Times New Roman" w:cs="Times New Roman"/>
        </w:rPr>
        <w:t xml:space="preserve"> Due to the agreed-up</w:t>
      </w:r>
      <w:r w:rsidR="0037554F">
        <w:rPr>
          <w:rFonts w:ascii="Times New Roman" w:hAnsi="Times New Roman" w:cs="Times New Roman"/>
        </w:rPr>
        <w:t>on</w:t>
      </w:r>
      <w:r w:rsidRPr="001C1668">
        <w:rPr>
          <w:rFonts w:ascii="Times New Roman" w:hAnsi="Times New Roman" w:cs="Times New Roman"/>
        </w:rPr>
        <w:t xml:space="preserve"> cap on residential rates under Rider AMRP, the actual residential rate will be $2.00 per month.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91" w:rsidRDefault="00B624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91" w:rsidRDefault="00B624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91" w:rsidRDefault="00B624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9C"/>
    <w:rsid w:val="000B4392"/>
    <w:rsid w:val="001C1668"/>
    <w:rsid w:val="00246FD9"/>
    <w:rsid w:val="00252028"/>
    <w:rsid w:val="002C035C"/>
    <w:rsid w:val="00302412"/>
    <w:rsid w:val="003063E5"/>
    <w:rsid w:val="00311979"/>
    <w:rsid w:val="0032049C"/>
    <w:rsid w:val="00372F19"/>
    <w:rsid w:val="0037554F"/>
    <w:rsid w:val="003851B7"/>
    <w:rsid w:val="003C6502"/>
    <w:rsid w:val="003D4507"/>
    <w:rsid w:val="00427091"/>
    <w:rsid w:val="00445272"/>
    <w:rsid w:val="004B38C3"/>
    <w:rsid w:val="00510C67"/>
    <w:rsid w:val="005308E1"/>
    <w:rsid w:val="005313CA"/>
    <w:rsid w:val="00573B81"/>
    <w:rsid w:val="00583502"/>
    <w:rsid w:val="005C1598"/>
    <w:rsid w:val="00615D92"/>
    <w:rsid w:val="00631798"/>
    <w:rsid w:val="00632675"/>
    <w:rsid w:val="00662391"/>
    <w:rsid w:val="00662694"/>
    <w:rsid w:val="006C7960"/>
    <w:rsid w:val="006E49BD"/>
    <w:rsid w:val="006F694B"/>
    <w:rsid w:val="007F48F4"/>
    <w:rsid w:val="00804222"/>
    <w:rsid w:val="00841B4E"/>
    <w:rsid w:val="008C7596"/>
    <w:rsid w:val="008D2381"/>
    <w:rsid w:val="008F34AC"/>
    <w:rsid w:val="00924BE4"/>
    <w:rsid w:val="009A530B"/>
    <w:rsid w:val="00A001EC"/>
    <w:rsid w:val="00A2300A"/>
    <w:rsid w:val="00B264F7"/>
    <w:rsid w:val="00B55003"/>
    <w:rsid w:val="00B62491"/>
    <w:rsid w:val="00BB3B39"/>
    <w:rsid w:val="00BC6470"/>
    <w:rsid w:val="00D54840"/>
    <w:rsid w:val="00DB1C37"/>
    <w:rsid w:val="00DB5D51"/>
    <w:rsid w:val="00DE0912"/>
    <w:rsid w:val="00ED3D77"/>
    <w:rsid w:val="00F4186F"/>
    <w:rsid w:val="00F83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2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C65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502"/>
    <w:rPr>
      <w:sz w:val="20"/>
      <w:szCs w:val="20"/>
    </w:rPr>
  </w:style>
  <w:style w:type="character" w:styleId="FootnoteReference">
    <w:name w:val="footnote reference"/>
    <w:basedOn w:val="DefaultParagraphFont"/>
    <w:uiPriority w:val="99"/>
    <w:semiHidden/>
    <w:unhideWhenUsed/>
    <w:rsid w:val="003C6502"/>
    <w:rPr>
      <w:vertAlign w:val="superscript"/>
    </w:rPr>
  </w:style>
  <w:style w:type="paragraph" w:styleId="BalloonText">
    <w:name w:val="Balloon Text"/>
    <w:basedOn w:val="Normal"/>
    <w:link w:val="BalloonTextChar"/>
    <w:uiPriority w:val="99"/>
    <w:semiHidden/>
    <w:unhideWhenUsed/>
    <w:rsid w:val="007F4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8F4"/>
    <w:rPr>
      <w:rFonts w:ascii="Tahoma" w:hAnsi="Tahoma" w:cs="Tahoma"/>
      <w:sz w:val="16"/>
      <w:szCs w:val="16"/>
    </w:rPr>
  </w:style>
  <w:style w:type="paragraph" w:styleId="Header">
    <w:name w:val="header"/>
    <w:basedOn w:val="Normal"/>
    <w:link w:val="HeaderChar"/>
    <w:uiPriority w:val="99"/>
    <w:unhideWhenUsed/>
    <w:rsid w:val="002C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35C"/>
  </w:style>
  <w:style w:type="paragraph" w:styleId="Footer">
    <w:name w:val="footer"/>
    <w:basedOn w:val="Normal"/>
    <w:link w:val="FooterChar"/>
    <w:uiPriority w:val="99"/>
    <w:unhideWhenUsed/>
    <w:rsid w:val="002C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2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C65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502"/>
    <w:rPr>
      <w:sz w:val="20"/>
      <w:szCs w:val="20"/>
    </w:rPr>
  </w:style>
  <w:style w:type="character" w:styleId="FootnoteReference">
    <w:name w:val="footnote reference"/>
    <w:basedOn w:val="DefaultParagraphFont"/>
    <w:uiPriority w:val="99"/>
    <w:semiHidden/>
    <w:unhideWhenUsed/>
    <w:rsid w:val="003C6502"/>
    <w:rPr>
      <w:vertAlign w:val="superscript"/>
    </w:rPr>
  </w:style>
  <w:style w:type="paragraph" w:styleId="BalloonText">
    <w:name w:val="Balloon Text"/>
    <w:basedOn w:val="Normal"/>
    <w:link w:val="BalloonTextChar"/>
    <w:uiPriority w:val="99"/>
    <w:semiHidden/>
    <w:unhideWhenUsed/>
    <w:rsid w:val="007F4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8F4"/>
    <w:rPr>
      <w:rFonts w:ascii="Tahoma" w:hAnsi="Tahoma" w:cs="Tahoma"/>
      <w:sz w:val="16"/>
      <w:szCs w:val="16"/>
    </w:rPr>
  </w:style>
  <w:style w:type="paragraph" w:styleId="Header">
    <w:name w:val="header"/>
    <w:basedOn w:val="Normal"/>
    <w:link w:val="HeaderChar"/>
    <w:uiPriority w:val="99"/>
    <w:unhideWhenUsed/>
    <w:rsid w:val="002C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35C"/>
  </w:style>
  <w:style w:type="paragraph" w:styleId="Footer">
    <w:name w:val="footer"/>
    <w:basedOn w:val="Normal"/>
    <w:link w:val="FooterChar"/>
    <w:uiPriority w:val="99"/>
    <w:unhideWhenUsed/>
    <w:rsid w:val="002C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1.xls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8FEEB-95E8-47EF-B6EA-FF8D751F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2014-03-31T20:32:00Z</dcterms:created>
  <dcterms:modified xsi:type="dcterms:W3CDTF">2014-03-31T21:17:00Z</dcterms:modified>
</cp:coreProperties>
</file>