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05B8C" w:rsidRPr="007D7D1C" w:rsidP="00905B8C" w14:paraId="59A46AE1" w14:textId="77777777">
      <w:pPr>
        <w:pStyle w:val="HTMLPreformatted"/>
        <w:jc w:val="center"/>
        <w:rPr>
          <w:rFonts w:ascii="Times New Roman" w:hAnsi="Times New Roman" w:cs="Times New Roman"/>
          <w:b/>
          <w:bCs/>
          <w:sz w:val="24"/>
          <w:szCs w:val="24"/>
        </w:rPr>
      </w:pPr>
      <w:bookmarkStart w:id="0" w:name="_GoBack"/>
      <w:bookmarkEnd w:id="0"/>
      <w:r w:rsidRPr="007D7D1C">
        <w:rPr>
          <w:rFonts w:ascii="Times New Roman" w:hAnsi="Times New Roman" w:cs="Times New Roman"/>
          <w:b/>
          <w:bCs/>
          <w:sz w:val="24"/>
          <w:szCs w:val="24"/>
        </w:rPr>
        <w:t>BEFORE</w:t>
      </w:r>
    </w:p>
    <w:p w:rsidR="00905B8C" w:rsidRPr="007D7D1C" w:rsidP="00905B8C" w14:paraId="13A528B6" w14:textId="77777777">
      <w:pPr>
        <w:pStyle w:val="HTMLPreformatted"/>
        <w:jc w:val="center"/>
        <w:rPr>
          <w:rFonts w:ascii="Times New Roman" w:hAnsi="Times New Roman" w:cs="Times New Roman"/>
          <w:sz w:val="24"/>
          <w:szCs w:val="24"/>
        </w:rPr>
      </w:pPr>
      <w:r w:rsidRPr="007D7D1C">
        <w:rPr>
          <w:rFonts w:ascii="Times New Roman" w:hAnsi="Times New Roman" w:cs="Times New Roman"/>
          <w:b/>
          <w:bCs/>
          <w:sz w:val="24"/>
          <w:szCs w:val="24"/>
        </w:rPr>
        <w:t>THE PUBLIC UTILITIES COMMISSION OF OHIO</w:t>
      </w:r>
    </w:p>
    <w:p w:rsidR="00905B8C" w:rsidRPr="007D7D1C" w:rsidP="00905B8C" w14:paraId="421781F8" w14:textId="77777777">
      <w:pPr>
        <w:pStyle w:val="HTMLPreformatted"/>
        <w:rPr>
          <w:rFonts w:ascii="Times New Roman" w:hAnsi="Times New Roman" w:cs="Times New Roman"/>
          <w:sz w:val="24"/>
          <w:szCs w:val="24"/>
        </w:rPr>
      </w:pPr>
    </w:p>
    <w:tbl>
      <w:tblPr>
        <w:tblW w:w="8730" w:type="dxa"/>
        <w:tblLook w:val="01E0"/>
      </w:tblPr>
      <w:tblGrid>
        <w:gridCol w:w="4230"/>
        <w:gridCol w:w="468"/>
        <w:gridCol w:w="4032"/>
      </w:tblGrid>
      <w:tr w14:paraId="5A8C48E6" w14:textId="77777777" w:rsidTr="00127DD7">
        <w:tblPrEx>
          <w:tblW w:w="8730" w:type="dxa"/>
          <w:tblLook w:val="01E0"/>
        </w:tblPrEx>
        <w:trPr>
          <w:trHeight w:val="807"/>
        </w:trPr>
        <w:tc>
          <w:tcPr>
            <w:tcW w:w="4230" w:type="dxa"/>
            <w:shd w:val="clear" w:color="auto" w:fill="auto"/>
          </w:tcPr>
          <w:p w:rsidR="00905B8C" w:rsidRPr="007D7D1C" w:rsidP="00127DD7" w14:paraId="1AE1D53F"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In the Matter of the Commission’s Investigation into PALMco Power OH, LLC, d/b/a Indra Energy and PALMco Energy OH, LLC d/b/a Indra Energy’s Compliance with the Ohio Administrative Code and Potential Remedial Action.</w:t>
            </w:r>
          </w:p>
          <w:p w:rsidR="00905B8C" w:rsidRPr="007D7D1C" w:rsidP="00127DD7" w14:paraId="64BE96AB" w14:textId="77777777">
            <w:pPr>
              <w:pStyle w:val="HTMLPreformatted"/>
              <w:rPr>
                <w:rFonts w:ascii="Times New Roman" w:hAnsi="Times New Roman" w:cs="Times New Roman"/>
                <w:sz w:val="24"/>
                <w:szCs w:val="24"/>
              </w:rPr>
            </w:pPr>
          </w:p>
        </w:tc>
        <w:tc>
          <w:tcPr>
            <w:tcW w:w="468" w:type="dxa"/>
            <w:shd w:val="clear" w:color="auto" w:fill="auto"/>
          </w:tcPr>
          <w:p w:rsidR="00905B8C" w:rsidRPr="007D7D1C" w:rsidP="00127DD7" w14:paraId="7EA71494"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905B8C" w:rsidRPr="007D7D1C" w:rsidP="00127DD7" w14:paraId="6ACD78A2"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905B8C" w:rsidRPr="007D7D1C" w:rsidP="00127DD7" w14:paraId="6799DD41"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905B8C" w:rsidRPr="007D7D1C" w:rsidP="00127DD7" w14:paraId="14C9F0F1"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905B8C" w:rsidRPr="007D7D1C" w:rsidP="00127DD7" w14:paraId="222CF75D"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905B8C" w:rsidRPr="007D7D1C" w:rsidP="00127DD7" w14:paraId="321A6BE6"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905B8C" w:rsidRPr="007D7D1C" w:rsidP="00127DD7" w14:paraId="3AAA2A7A"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tc>
        <w:tc>
          <w:tcPr>
            <w:tcW w:w="4032" w:type="dxa"/>
            <w:shd w:val="clear" w:color="auto" w:fill="auto"/>
          </w:tcPr>
          <w:p w:rsidR="00905B8C" w:rsidRPr="007D7D1C" w:rsidP="00127DD7" w14:paraId="2D2C4E95" w14:textId="77777777">
            <w:pPr>
              <w:pStyle w:val="HTMLPreformatted"/>
              <w:rPr>
                <w:rFonts w:ascii="Times New Roman" w:hAnsi="Times New Roman" w:cs="Times New Roman"/>
                <w:sz w:val="24"/>
                <w:szCs w:val="24"/>
              </w:rPr>
            </w:pPr>
          </w:p>
          <w:p w:rsidR="00905B8C" w:rsidRPr="007D7D1C" w:rsidP="00127DD7" w14:paraId="17CF6FD1" w14:textId="77777777">
            <w:pPr>
              <w:pStyle w:val="HTMLPreformatted"/>
              <w:rPr>
                <w:rFonts w:ascii="Times New Roman" w:hAnsi="Times New Roman" w:cs="Times New Roman"/>
                <w:sz w:val="24"/>
                <w:szCs w:val="24"/>
              </w:rPr>
            </w:pPr>
          </w:p>
          <w:p w:rsidR="00905B8C" w:rsidRPr="007D7D1C" w:rsidP="00127DD7" w14:paraId="0C01558F"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 xml:space="preserve">Case No. 19-2153-GE-COI </w:t>
            </w:r>
          </w:p>
          <w:p w:rsidR="00905B8C" w:rsidRPr="007D7D1C" w:rsidP="00127DD7" w14:paraId="2A3BFE01" w14:textId="77777777">
            <w:pPr>
              <w:pStyle w:val="HTMLPreformatted"/>
              <w:rPr>
                <w:rFonts w:ascii="Times New Roman" w:hAnsi="Times New Roman" w:cs="Times New Roman"/>
                <w:sz w:val="24"/>
                <w:szCs w:val="24"/>
              </w:rPr>
            </w:pPr>
          </w:p>
        </w:tc>
      </w:tr>
    </w:tbl>
    <w:p w:rsidR="00905B8C" w:rsidRPr="007D7D1C" w:rsidP="00905B8C" w14:paraId="52D585E8" w14:textId="77777777">
      <w:pPr>
        <w:pStyle w:val="HTMLPreformatted"/>
        <w:pBdr>
          <w:top w:val="single" w:sz="12" w:space="1" w:color="auto"/>
        </w:pBdr>
        <w:rPr>
          <w:rFonts w:ascii="Times New Roman" w:hAnsi="Times New Roman" w:cs="Times New Roman"/>
          <w:sz w:val="24"/>
          <w:szCs w:val="24"/>
        </w:rPr>
      </w:pPr>
    </w:p>
    <w:p w:rsidR="00905B8C" w:rsidRPr="007D7D1C" w:rsidP="00905B8C" w14:paraId="647EF3C4" w14:textId="77777777">
      <w:pPr>
        <w:jc w:val="center"/>
        <w:rPr>
          <w:b/>
          <w:bCs/>
          <w:szCs w:val="24"/>
        </w:rPr>
      </w:pPr>
      <w:r w:rsidRPr="007D7D1C">
        <w:rPr>
          <w:b/>
          <w:bCs/>
          <w:szCs w:val="24"/>
        </w:rPr>
        <w:t>MEMORANDUM CONTRA TO PALMCO’S MOTION TO STAY</w:t>
      </w:r>
    </w:p>
    <w:p w:rsidR="00905B8C" w:rsidRPr="007D7D1C" w:rsidP="00905B8C" w14:paraId="755A81EA" w14:textId="77777777">
      <w:pPr>
        <w:jc w:val="center"/>
        <w:rPr>
          <w:b/>
          <w:bCs/>
          <w:szCs w:val="24"/>
        </w:rPr>
      </w:pPr>
      <w:r w:rsidRPr="007D7D1C">
        <w:rPr>
          <w:b/>
          <w:bCs/>
          <w:szCs w:val="24"/>
        </w:rPr>
        <w:t>BY</w:t>
      </w:r>
    </w:p>
    <w:p w:rsidR="00905B8C" w:rsidRPr="007D7D1C" w:rsidP="00905B8C" w14:paraId="2C36D470" w14:textId="77777777">
      <w:pPr>
        <w:jc w:val="center"/>
        <w:rPr>
          <w:b/>
          <w:bCs/>
          <w:szCs w:val="24"/>
        </w:rPr>
      </w:pPr>
      <w:r w:rsidRPr="007D7D1C">
        <w:rPr>
          <w:b/>
          <w:bCs/>
          <w:szCs w:val="24"/>
        </w:rPr>
        <w:t>THE OFFICE OF THE OHIO CONSUMERS’ COUNSEL</w:t>
      </w:r>
    </w:p>
    <w:p w:rsidR="00905B8C" w:rsidRPr="007D7D1C" w:rsidP="00905B8C" w14:paraId="4E808BDA" w14:textId="77777777">
      <w:pPr>
        <w:pBdr>
          <w:bottom w:val="single" w:sz="12" w:space="1" w:color="auto"/>
        </w:pBdr>
        <w:tabs>
          <w:tab w:val="left" w:pos="4320"/>
        </w:tabs>
        <w:rPr>
          <w:szCs w:val="24"/>
        </w:rPr>
      </w:pPr>
    </w:p>
    <w:p w:rsidR="00905B8C" w:rsidRPr="007D7D1C" w:rsidP="00905B8C" w14:paraId="348208C1" w14:textId="77777777">
      <w:pPr>
        <w:pStyle w:val="BodyTextIndent3"/>
        <w:widowControl w:val="0"/>
        <w:spacing w:line="240" w:lineRule="auto"/>
        <w:ind w:right="-312" w:firstLine="0"/>
        <w:rPr>
          <w:szCs w:val="24"/>
        </w:rPr>
      </w:pPr>
    </w:p>
    <w:p w:rsidR="00905B8C" w:rsidRPr="007D7D1C" w:rsidP="00905B8C" w14:paraId="16D8A3F0" w14:textId="77777777">
      <w:pPr>
        <w:pStyle w:val="Footer"/>
        <w:tabs>
          <w:tab w:val="left" w:pos="4320"/>
          <w:tab w:val="clear" w:pos="8640"/>
        </w:tabs>
        <w:ind w:left="3600"/>
        <w:rPr>
          <w:sz w:val="24"/>
          <w:szCs w:val="24"/>
        </w:rPr>
      </w:pPr>
      <w:r w:rsidRPr="007D7D1C">
        <w:rPr>
          <w:sz w:val="24"/>
          <w:szCs w:val="24"/>
        </w:rPr>
        <w:t>Bruce Weston (0016973)</w:t>
      </w:r>
    </w:p>
    <w:p w:rsidR="00905B8C" w:rsidRPr="007D7D1C" w:rsidP="00905B8C" w14:paraId="1015EDA8" w14:textId="77777777">
      <w:pPr>
        <w:tabs>
          <w:tab w:val="left" w:pos="4320"/>
        </w:tabs>
        <w:ind w:left="3600"/>
        <w:rPr>
          <w:szCs w:val="24"/>
        </w:rPr>
      </w:pPr>
      <w:r w:rsidRPr="007D7D1C">
        <w:rPr>
          <w:szCs w:val="24"/>
        </w:rPr>
        <w:t>Ohio Consumers’ Counsel</w:t>
      </w:r>
    </w:p>
    <w:p w:rsidR="00905B8C" w:rsidRPr="007D7D1C" w:rsidP="00905B8C" w14:paraId="344AF3BD" w14:textId="77777777">
      <w:pPr>
        <w:tabs>
          <w:tab w:val="left" w:pos="4320"/>
        </w:tabs>
        <w:ind w:left="3600"/>
        <w:rPr>
          <w:szCs w:val="24"/>
        </w:rPr>
      </w:pPr>
    </w:p>
    <w:p w:rsidR="00905B8C" w:rsidRPr="007D7D1C" w:rsidP="00905B8C" w14:paraId="45B7945D" w14:textId="77777777">
      <w:pPr>
        <w:tabs>
          <w:tab w:val="left" w:pos="4320"/>
        </w:tabs>
        <w:ind w:left="3600"/>
        <w:rPr>
          <w:szCs w:val="24"/>
        </w:rPr>
      </w:pPr>
      <w:r w:rsidRPr="007D7D1C">
        <w:rPr>
          <w:szCs w:val="24"/>
        </w:rPr>
        <w:t xml:space="preserve">Angela D. O’Brien (0097579) </w:t>
      </w:r>
    </w:p>
    <w:p w:rsidR="00905B8C" w:rsidRPr="007D7D1C" w:rsidP="00905B8C" w14:paraId="2EC38B87" w14:textId="77777777">
      <w:pPr>
        <w:tabs>
          <w:tab w:val="left" w:pos="4320"/>
        </w:tabs>
        <w:ind w:left="3600"/>
        <w:rPr>
          <w:szCs w:val="24"/>
        </w:rPr>
      </w:pPr>
      <w:r w:rsidRPr="007D7D1C">
        <w:rPr>
          <w:szCs w:val="24"/>
        </w:rPr>
        <w:t>Counsel of Record</w:t>
      </w:r>
    </w:p>
    <w:p w:rsidR="00905B8C" w:rsidRPr="007D7D1C" w:rsidP="00905B8C" w14:paraId="1ECC886C" w14:textId="77777777">
      <w:pPr>
        <w:tabs>
          <w:tab w:val="left" w:pos="4320"/>
        </w:tabs>
        <w:ind w:left="3600"/>
        <w:rPr>
          <w:szCs w:val="24"/>
        </w:rPr>
      </w:pPr>
      <w:r w:rsidRPr="007D7D1C">
        <w:rPr>
          <w:szCs w:val="24"/>
        </w:rPr>
        <w:t>Christopher Healey (0086027)</w:t>
      </w:r>
    </w:p>
    <w:p w:rsidR="00905B8C" w:rsidRPr="007D7D1C" w:rsidP="00905B8C" w14:paraId="279A4A90" w14:textId="77777777">
      <w:pPr>
        <w:tabs>
          <w:tab w:val="left" w:pos="4320"/>
        </w:tabs>
        <w:ind w:left="3600"/>
        <w:rPr>
          <w:szCs w:val="24"/>
        </w:rPr>
      </w:pPr>
      <w:r w:rsidRPr="007D7D1C">
        <w:rPr>
          <w:szCs w:val="24"/>
        </w:rPr>
        <w:t>Assistant Consumers’ Counsel</w:t>
      </w:r>
    </w:p>
    <w:p w:rsidR="00905B8C" w:rsidRPr="007D7D1C" w:rsidP="00905B8C" w14:paraId="652B3A0C" w14:textId="77777777">
      <w:pPr>
        <w:tabs>
          <w:tab w:val="left" w:pos="4320"/>
        </w:tabs>
        <w:ind w:left="3600"/>
        <w:rPr>
          <w:szCs w:val="24"/>
        </w:rPr>
      </w:pPr>
    </w:p>
    <w:p w:rsidR="00905B8C" w:rsidRPr="007D7D1C" w:rsidP="00905B8C" w14:paraId="465EBFFE" w14:textId="77777777">
      <w:pPr>
        <w:ind w:left="3600"/>
        <w:rPr>
          <w:b/>
          <w:bCs/>
          <w:szCs w:val="24"/>
        </w:rPr>
      </w:pPr>
      <w:r w:rsidRPr="007D7D1C">
        <w:rPr>
          <w:b/>
          <w:bCs/>
          <w:szCs w:val="24"/>
        </w:rPr>
        <w:t>Office of the Ohio Consumers’ Counsel</w:t>
      </w:r>
    </w:p>
    <w:p w:rsidR="00905B8C" w:rsidRPr="007D7D1C" w:rsidP="00905B8C" w14:paraId="3BF840C0" w14:textId="77777777">
      <w:pPr>
        <w:ind w:left="3600"/>
        <w:rPr>
          <w:b/>
          <w:szCs w:val="24"/>
        </w:rPr>
      </w:pPr>
      <w:r w:rsidRPr="007D7D1C">
        <w:rPr>
          <w:szCs w:val="24"/>
        </w:rPr>
        <w:t>65 East State Street, 7th Floor</w:t>
      </w:r>
    </w:p>
    <w:p w:rsidR="00905B8C" w:rsidRPr="007D7D1C" w:rsidP="00905B8C" w14:paraId="3DD8D88C" w14:textId="77777777">
      <w:pPr>
        <w:ind w:left="3600"/>
        <w:rPr>
          <w:b/>
          <w:szCs w:val="24"/>
        </w:rPr>
      </w:pPr>
      <w:r w:rsidRPr="007D7D1C">
        <w:rPr>
          <w:szCs w:val="24"/>
        </w:rPr>
        <w:t>Columbus, Ohio 43215-4213</w:t>
      </w:r>
    </w:p>
    <w:p w:rsidR="00905B8C" w:rsidRPr="007D7D1C" w:rsidP="00905B8C" w14:paraId="42F841AF" w14:textId="77777777">
      <w:pPr>
        <w:autoSpaceDE w:val="0"/>
        <w:autoSpaceDN w:val="0"/>
        <w:adjustRightInd w:val="0"/>
        <w:ind w:left="3600"/>
        <w:rPr>
          <w:szCs w:val="24"/>
        </w:rPr>
      </w:pPr>
      <w:r w:rsidRPr="007D7D1C">
        <w:rPr>
          <w:szCs w:val="24"/>
        </w:rPr>
        <w:t>Telephone [O’Brien]: (614) 466-9531</w:t>
      </w:r>
    </w:p>
    <w:p w:rsidR="00905B8C" w:rsidRPr="007D7D1C" w:rsidP="00905B8C" w14:paraId="48FCB3B6" w14:textId="77777777">
      <w:pPr>
        <w:autoSpaceDE w:val="0"/>
        <w:autoSpaceDN w:val="0"/>
        <w:adjustRightInd w:val="0"/>
        <w:ind w:left="3600"/>
        <w:rPr>
          <w:szCs w:val="24"/>
        </w:rPr>
      </w:pPr>
      <w:r w:rsidRPr="007D7D1C">
        <w:rPr>
          <w:szCs w:val="24"/>
        </w:rPr>
        <w:t>Telephone [Healey]: (614) 466-9571</w:t>
      </w:r>
    </w:p>
    <w:p w:rsidR="00905B8C" w:rsidRPr="007D7D1C" w:rsidP="00905B8C" w14:paraId="21871E7E" w14:textId="77777777">
      <w:pPr>
        <w:rPr>
          <w:szCs w:val="24"/>
        </w:rPr>
      </w:pPr>
      <w:r w:rsidRPr="007D7D1C">
        <w:rPr>
          <w:szCs w:val="24"/>
        </w:rPr>
        <w:tab/>
      </w:r>
      <w:r w:rsidRPr="007D7D1C">
        <w:rPr>
          <w:szCs w:val="24"/>
        </w:rPr>
        <w:tab/>
      </w:r>
      <w:r w:rsidRPr="007D7D1C">
        <w:rPr>
          <w:szCs w:val="24"/>
        </w:rPr>
        <w:tab/>
      </w:r>
      <w:r w:rsidRPr="007D7D1C">
        <w:rPr>
          <w:szCs w:val="24"/>
        </w:rPr>
        <w:tab/>
      </w:r>
      <w:r w:rsidRPr="007D7D1C">
        <w:rPr>
          <w:szCs w:val="24"/>
        </w:rPr>
        <w:tab/>
      </w:r>
      <w:hyperlink r:id="rId6" w:history="1">
        <w:r w:rsidRPr="007D7D1C">
          <w:rPr>
            <w:rStyle w:val="Hyperlink"/>
            <w:szCs w:val="24"/>
          </w:rPr>
          <w:t>angela.obrien@occ.ohio.gov</w:t>
        </w:r>
      </w:hyperlink>
      <w:r w:rsidRPr="007D7D1C">
        <w:rPr>
          <w:szCs w:val="24"/>
        </w:rPr>
        <w:t xml:space="preserve"> </w:t>
      </w:r>
    </w:p>
    <w:p w:rsidR="00905B8C" w:rsidRPr="007D7D1C" w:rsidP="00905B8C" w14:paraId="57A9854A" w14:textId="77777777">
      <w:pPr>
        <w:rPr>
          <w:szCs w:val="24"/>
        </w:rPr>
      </w:pPr>
      <w:r w:rsidRPr="007D7D1C">
        <w:rPr>
          <w:szCs w:val="24"/>
        </w:rPr>
        <w:tab/>
      </w:r>
      <w:r w:rsidRPr="007D7D1C">
        <w:rPr>
          <w:szCs w:val="24"/>
        </w:rPr>
        <w:tab/>
      </w:r>
      <w:r w:rsidRPr="007D7D1C">
        <w:rPr>
          <w:szCs w:val="24"/>
        </w:rPr>
        <w:tab/>
      </w:r>
      <w:r w:rsidRPr="007D7D1C">
        <w:rPr>
          <w:szCs w:val="24"/>
        </w:rPr>
        <w:tab/>
      </w:r>
      <w:r w:rsidRPr="007D7D1C">
        <w:rPr>
          <w:szCs w:val="24"/>
        </w:rPr>
        <w:tab/>
      </w:r>
      <w:hyperlink r:id="rId7" w:history="1">
        <w:r w:rsidRPr="007D7D1C">
          <w:rPr>
            <w:rStyle w:val="Hyperlink"/>
            <w:szCs w:val="24"/>
          </w:rPr>
          <w:t>christopher.healey@occ.ohio.gov</w:t>
        </w:r>
      </w:hyperlink>
    </w:p>
    <w:p w:rsidR="00905B8C" w:rsidRPr="007D7D1C" w:rsidP="00905B8C" w14:paraId="1D6B4698" w14:textId="77777777">
      <w:pPr>
        <w:ind w:left="3600"/>
        <w:rPr>
          <w:szCs w:val="24"/>
        </w:rPr>
      </w:pPr>
      <w:r w:rsidRPr="007D7D1C">
        <w:rPr>
          <w:szCs w:val="24"/>
        </w:rPr>
        <w:t>(willing to accept service by e-mail)</w:t>
      </w:r>
    </w:p>
    <w:p w:rsidR="00905B8C" w:rsidRPr="007D7D1C" w:rsidP="00905B8C" w14:paraId="377FFF79" w14:textId="77777777">
      <w:pPr>
        <w:rPr>
          <w:szCs w:val="24"/>
        </w:rPr>
      </w:pPr>
    </w:p>
    <w:p w:rsidR="00905B8C" w:rsidRPr="007D7D1C" w:rsidP="00905B8C" w14:paraId="44789F05" w14:textId="77777777">
      <w:pPr>
        <w:ind w:left="2880" w:firstLine="720"/>
        <w:rPr>
          <w:szCs w:val="24"/>
        </w:rPr>
      </w:pPr>
      <w:r w:rsidRPr="007D7D1C">
        <w:rPr>
          <w:szCs w:val="24"/>
        </w:rPr>
        <w:t>Kimberly W. Bojko (0069402)</w:t>
      </w:r>
    </w:p>
    <w:p w:rsidR="00905B8C" w:rsidRPr="007D7D1C" w:rsidP="00905B8C" w14:paraId="62796964" w14:textId="77777777">
      <w:pPr>
        <w:ind w:left="2880" w:firstLine="720"/>
        <w:rPr>
          <w:szCs w:val="24"/>
        </w:rPr>
      </w:pPr>
      <w:r w:rsidRPr="007D7D1C">
        <w:rPr>
          <w:szCs w:val="24"/>
        </w:rPr>
        <w:t>Carpenter Lipps &amp; Leland LLP</w:t>
      </w:r>
    </w:p>
    <w:p w:rsidR="00905B8C" w:rsidRPr="007D7D1C" w:rsidP="00905B8C" w14:paraId="66CD14B7" w14:textId="77777777">
      <w:pPr>
        <w:ind w:left="2880" w:firstLine="720"/>
        <w:rPr>
          <w:szCs w:val="24"/>
        </w:rPr>
      </w:pPr>
      <w:r w:rsidRPr="007D7D1C">
        <w:rPr>
          <w:szCs w:val="24"/>
        </w:rPr>
        <w:t>280 Plaza, Suite 1300</w:t>
      </w:r>
    </w:p>
    <w:p w:rsidR="00905B8C" w:rsidRPr="007D7D1C" w:rsidP="00905B8C" w14:paraId="64A0A631" w14:textId="77777777">
      <w:pPr>
        <w:ind w:left="2880" w:firstLine="720"/>
        <w:rPr>
          <w:szCs w:val="24"/>
        </w:rPr>
      </w:pPr>
      <w:r w:rsidRPr="007D7D1C">
        <w:rPr>
          <w:szCs w:val="24"/>
        </w:rPr>
        <w:t>280 North High Street</w:t>
      </w:r>
    </w:p>
    <w:p w:rsidR="00905B8C" w:rsidRPr="007D7D1C" w:rsidP="00905B8C" w14:paraId="02148D5B" w14:textId="77777777">
      <w:pPr>
        <w:ind w:left="2880" w:firstLine="720"/>
        <w:rPr>
          <w:szCs w:val="24"/>
        </w:rPr>
      </w:pPr>
      <w:r w:rsidRPr="007D7D1C">
        <w:rPr>
          <w:szCs w:val="24"/>
        </w:rPr>
        <w:t>Columbus, Ohio 43215</w:t>
      </w:r>
    </w:p>
    <w:p w:rsidR="00905B8C" w:rsidRPr="007D7D1C" w:rsidP="00905B8C" w14:paraId="697F9095" w14:textId="77777777">
      <w:pPr>
        <w:ind w:left="2880" w:firstLine="720"/>
        <w:rPr>
          <w:szCs w:val="24"/>
        </w:rPr>
      </w:pPr>
      <w:hyperlink r:id="rId8" w:history="1">
        <w:r w:rsidRPr="007D7D1C" w:rsidR="00421546">
          <w:rPr>
            <w:rStyle w:val="Hyperlink"/>
            <w:szCs w:val="24"/>
          </w:rPr>
          <w:t>bojko@carpenterlipps.com</w:t>
        </w:r>
      </w:hyperlink>
      <w:r w:rsidRPr="007D7D1C" w:rsidR="00421546">
        <w:rPr>
          <w:szCs w:val="24"/>
        </w:rPr>
        <w:t xml:space="preserve"> </w:t>
      </w:r>
    </w:p>
    <w:p w:rsidR="00905B8C" w:rsidRPr="007D7D1C" w:rsidP="00905B8C" w14:paraId="5DDA8AA2" w14:textId="77777777">
      <w:pPr>
        <w:ind w:left="2880" w:firstLine="720"/>
        <w:rPr>
          <w:szCs w:val="24"/>
        </w:rPr>
      </w:pPr>
      <w:r w:rsidRPr="007D7D1C">
        <w:rPr>
          <w:szCs w:val="24"/>
        </w:rPr>
        <w:t>(willing to accept service by e-mail)</w:t>
      </w:r>
    </w:p>
    <w:p w:rsidR="00C45B48" w:rsidRPr="007D7D1C" w:rsidP="00C45B48" w14:paraId="514DF191" w14:textId="77777777">
      <w:pPr>
        <w:rPr>
          <w:szCs w:val="24"/>
        </w:rPr>
      </w:pPr>
    </w:p>
    <w:p w:rsidR="00905B8C" w:rsidRPr="007D7D1C" w:rsidP="00C45B48" w14:paraId="7957EC69" w14:textId="7D882F13">
      <w:pPr>
        <w:rPr>
          <w:i/>
          <w:iCs/>
          <w:szCs w:val="24"/>
        </w:rPr>
      </w:pPr>
      <w:r w:rsidRPr="007D7D1C">
        <w:rPr>
          <w:szCs w:val="24"/>
        </w:rPr>
        <w:t>August 1</w:t>
      </w:r>
      <w:r w:rsidRPr="007D7D1C" w:rsidR="00666E57">
        <w:rPr>
          <w:szCs w:val="24"/>
        </w:rPr>
        <w:t>8</w:t>
      </w:r>
      <w:r w:rsidRPr="007D7D1C">
        <w:rPr>
          <w:szCs w:val="24"/>
        </w:rPr>
        <w:t>, 2020</w:t>
      </w:r>
      <w:r w:rsidRPr="007D7D1C">
        <w:rPr>
          <w:szCs w:val="24"/>
        </w:rPr>
        <w:tab/>
      </w:r>
      <w:r w:rsidRPr="007D7D1C">
        <w:rPr>
          <w:szCs w:val="24"/>
        </w:rPr>
        <w:tab/>
      </w:r>
      <w:r w:rsidRPr="007D7D1C">
        <w:rPr>
          <w:szCs w:val="24"/>
        </w:rPr>
        <w:tab/>
      </w:r>
      <w:r w:rsidRPr="007D7D1C">
        <w:rPr>
          <w:i/>
          <w:iCs/>
          <w:szCs w:val="24"/>
        </w:rPr>
        <w:t>Special Counsel for</w:t>
      </w:r>
    </w:p>
    <w:p w:rsidR="00905B8C" w:rsidRPr="007D7D1C" w:rsidP="00905B8C" w14:paraId="3D156025" w14:textId="77777777">
      <w:pPr>
        <w:ind w:left="2880" w:firstLine="720"/>
        <w:rPr>
          <w:i/>
          <w:iCs/>
          <w:szCs w:val="24"/>
        </w:rPr>
      </w:pPr>
      <w:r w:rsidRPr="007D7D1C">
        <w:rPr>
          <w:i/>
          <w:iCs/>
          <w:szCs w:val="24"/>
        </w:rPr>
        <w:t>The Office of the Ohio Consumers’ Counsel</w:t>
      </w:r>
    </w:p>
    <w:p w:rsidR="00905B8C" w:rsidRPr="007D7D1C" w14:paraId="138EA8ED" w14:textId="77777777">
      <w:pPr>
        <w:pStyle w:val="HTMLPreformatted"/>
        <w:jc w:val="center"/>
        <w:rPr>
          <w:rFonts w:ascii="Times New Roman" w:hAnsi="Times New Roman" w:cs="Times New Roman"/>
          <w:b/>
          <w:bCs/>
          <w:sz w:val="24"/>
          <w:szCs w:val="24"/>
        </w:rPr>
      </w:pPr>
    </w:p>
    <w:p w:rsidR="00905B8C" w:rsidRPr="007D7D1C" w14:paraId="2C1C6D93" w14:textId="77777777">
      <w:pPr>
        <w:pStyle w:val="HTMLPreformatted"/>
        <w:jc w:val="center"/>
        <w:rPr>
          <w:rFonts w:ascii="Times New Roman" w:hAnsi="Times New Roman" w:cs="Times New Roman"/>
          <w:b/>
          <w:bCs/>
          <w:sz w:val="24"/>
          <w:szCs w:val="24"/>
        </w:rPr>
      </w:pPr>
    </w:p>
    <w:p w:rsidR="00905B8C" w:rsidRPr="007D7D1C" w14:paraId="31E5E967" w14:textId="62F3554E">
      <w:pPr>
        <w:pStyle w:val="HTMLPreformatted"/>
        <w:jc w:val="center"/>
        <w:rPr>
          <w:rFonts w:ascii="Times New Roman" w:hAnsi="Times New Roman" w:cs="Times New Roman"/>
          <w:b/>
          <w:bCs/>
          <w:sz w:val="24"/>
          <w:szCs w:val="24"/>
        </w:rPr>
        <w:sectPr w:rsidSect="00642405">
          <w:footerReference w:type="default" r:id="rId9"/>
          <w:pgSz w:w="12240" w:h="15840"/>
          <w:pgMar w:top="1440" w:right="1800" w:bottom="1440" w:left="1800" w:header="720" w:footer="720" w:gutter="0"/>
          <w:cols w:space="720"/>
          <w:titlePg/>
          <w:docGrid w:linePitch="65"/>
        </w:sectPr>
      </w:pPr>
    </w:p>
    <w:p w:rsidR="00D3722F" w14:paraId="113B8A04" w14:textId="69D9F928">
      <w:pPr>
        <w:pStyle w:val="HTMLPreformatted"/>
        <w:jc w:val="center"/>
        <w:rPr>
          <w:rFonts w:ascii="Times New Roman" w:hAnsi="Times New Roman" w:cs="Times New Roman"/>
          <w:b/>
          <w:bCs/>
          <w:sz w:val="24"/>
          <w:szCs w:val="24"/>
          <w:u w:val="single"/>
        </w:rPr>
      </w:pPr>
      <w:r w:rsidRPr="007D7D1C">
        <w:rPr>
          <w:rFonts w:ascii="Times New Roman" w:hAnsi="Times New Roman" w:cs="Times New Roman"/>
          <w:b/>
          <w:bCs/>
          <w:sz w:val="24"/>
          <w:szCs w:val="24"/>
          <w:u w:val="single"/>
        </w:rPr>
        <w:t>TABLE OF CONTENTS</w:t>
      </w:r>
    </w:p>
    <w:p w:rsidR="00B12ED8" w14:paraId="6A385024" w14:textId="190D8DF6">
      <w:pPr>
        <w:pStyle w:val="HTMLPreformatted"/>
        <w:jc w:val="center"/>
        <w:rPr>
          <w:rFonts w:ascii="Times New Roman" w:hAnsi="Times New Roman" w:cs="Times New Roman"/>
          <w:b/>
          <w:bCs/>
          <w:sz w:val="24"/>
          <w:szCs w:val="24"/>
          <w:u w:val="single"/>
        </w:rPr>
      </w:pPr>
    </w:p>
    <w:p w:rsidR="00B12ED8" w:rsidRPr="00B12ED8" w14:paraId="380BD2E9" w14:textId="58399D1A">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PAGE</w:t>
      </w:r>
    </w:p>
    <w:p w:rsidR="00D3722F" w:rsidRPr="007D7D1C" w14:paraId="3380B036" w14:textId="6AF4E9D9">
      <w:pPr>
        <w:pStyle w:val="HTMLPreformatted"/>
        <w:jc w:val="center"/>
        <w:rPr>
          <w:rFonts w:ascii="Times New Roman" w:hAnsi="Times New Roman" w:cs="Times New Roman"/>
          <w:b/>
          <w:bCs/>
          <w:sz w:val="24"/>
          <w:szCs w:val="24"/>
          <w:u w:val="single"/>
        </w:rPr>
      </w:pPr>
    </w:p>
    <w:p w:rsidR="00D3722F" w:rsidRPr="007D7D1C" w:rsidP="00D3722F" w14:paraId="50BC08B1" w14:textId="28DBC317">
      <w:pPr>
        <w:pStyle w:val="HTMLPreformatted"/>
        <w:jc w:val="right"/>
        <w:rPr>
          <w:rFonts w:ascii="Times New Roman" w:hAnsi="Times New Roman" w:cs="Times New Roman"/>
          <w:b/>
          <w:bCs/>
          <w:sz w:val="24"/>
          <w:szCs w:val="24"/>
        </w:rPr>
      </w:pPr>
    </w:p>
    <w:p w:rsidR="00CF3DA8" w14:paraId="097FA19C" w14:textId="6D5485C5">
      <w:pPr>
        <w:pStyle w:val="TOC1"/>
        <w:rPr>
          <w:rFonts w:asciiTheme="minorHAnsi" w:eastAsiaTheme="minorEastAsia" w:hAnsiTheme="minorHAnsi" w:cstheme="minorBidi"/>
          <w:noProof/>
          <w:sz w:val="22"/>
          <w:szCs w:val="22"/>
        </w:rPr>
      </w:pPr>
      <w:r>
        <w:rPr>
          <w:b/>
          <w:bCs/>
          <w:szCs w:val="24"/>
        </w:rPr>
        <w:fldChar w:fldCharType="begin"/>
      </w:r>
      <w:r>
        <w:rPr>
          <w:b/>
          <w:bCs/>
          <w:szCs w:val="24"/>
        </w:rPr>
        <w:instrText xml:space="preserve"> TOC \o "1-2" \h \z \u </w:instrText>
      </w:r>
      <w:r>
        <w:rPr>
          <w:b/>
          <w:bCs/>
          <w:szCs w:val="24"/>
        </w:rPr>
        <w:fldChar w:fldCharType="separate"/>
      </w:r>
      <w:hyperlink w:anchor="_Toc48662980" w:history="1">
        <w:r w:rsidRPr="005B755A">
          <w:rPr>
            <w:rStyle w:val="Hyperlink"/>
            <w:noProof/>
          </w:rPr>
          <w:t>I.</w:t>
        </w:r>
        <w:r>
          <w:rPr>
            <w:rFonts w:asciiTheme="minorHAnsi" w:eastAsiaTheme="minorEastAsia" w:hAnsiTheme="minorHAnsi" w:cstheme="minorBidi"/>
            <w:noProof/>
            <w:sz w:val="22"/>
            <w:szCs w:val="22"/>
          </w:rPr>
          <w:tab/>
        </w:r>
        <w:r w:rsidRPr="005B755A">
          <w:rPr>
            <w:rStyle w:val="Hyperlink"/>
            <w:noProof/>
          </w:rPr>
          <w:t>INTRODUCTION</w:t>
        </w:r>
        <w:r>
          <w:rPr>
            <w:noProof/>
            <w:webHidden/>
          </w:rPr>
          <w:tab/>
        </w:r>
        <w:r>
          <w:rPr>
            <w:noProof/>
            <w:webHidden/>
          </w:rPr>
          <w:fldChar w:fldCharType="begin"/>
        </w:r>
        <w:r>
          <w:rPr>
            <w:noProof/>
            <w:webHidden/>
          </w:rPr>
          <w:instrText xml:space="preserve"> PAGEREF _Toc48662980 \h </w:instrText>
        </w:r>
        <w:r>
          <w:rPr>
            <w:noProof/>
            <w:webHidden/>
          </w:rPr>
          <w:fldChar w:fldCharType="separate"/>
        </w:r>
        <w:r>
          <w:rPr>
            <w:noProof/>
            <w:webHidden/>
          </w:rPr>
          <w:t>1</w:t>
        </w:r>
        <w:r>
          <w:rPr>
            <w:noProof/>
            <w:webHidden/>
          </w:rPr>
          <w:fldChar w:fldCharType="end"/>
        </w:r>
      </w:hyperlink>
    </w:p>
    <w:p w:rsidR="00CF3DA8" w14:paraId="0067865D" w14:textId="403C3A0A">
      <w:pPr>
        <w:pStyle w:val="TOC1"/>
        <w:rPr>
          <w:rFonts w:asciiTheme="minorHAnsi" w:eastAsiaTheme="minorEastAsia" w:hAnsiTheme="minorHAnsi" w:cstheme="minorBidi"/>
          <w:noProof/>
          <w:sz w:val="22"/>
          <w:szCs w:val="22"/>
        </w:rPr>
      </w:pPr>
      <w:hyperlink w:anchor="_Toc48662981" w:history="1">
        <w:r w:rsidRPr="005B755A">
          <w:rPr>
            <w:rStyle w:val="Hyperlink"/>
            <w:noProof/>
          </w:rPr>
          <w:t>II.</w:t>
        </w:r>
        <w:r>
          <w:rPr>
            <w:rFonts w:asciiTheme="minorHAnsi" w:eastAsiaTheme="minorEastAsia" w:hAnsiTheme="minorHAnsi" w:cstheme="minorBidi"/>
            <w:noProof/>
            <w:sz w:val="22"/>
            <w:szCs w:val="22"/>
          </w:rPr>
          <w:tab/>
        </w:r>
        <w:r w:rsidRPr="005B755A">
          <w:rPr>
            <w:rStyle w:val="Hyperlink"/>
            <w:noProof/>
          </w:rPr>
          <w:t>ARGUMENT</w:t>
        </w:r>
        <w:r>
          <w:rPr>
            <w:noProof/>
            <w:webHidden/>
          </w:rPr>
          <w:tab/>
        </w:r>
        <w:r>
          <w:rPr>
            <w:noProof/>
            <w:webHidden/>
          </w:rPr>
          <w:fldChar w:fldCharType="begin"/>
        </w:r>
        <w:r>
          <w:rPr>
            <w:noProof/>
            <w:webHidden/>
          </w:rPr>
          <w:instrText xml:space="preserve"> PAGEREF _Toc48662981 \h </w:instrText>
        </w:r>
        <w:r>
          <w:rPr>
            <w:noProof/>
            <w:webHidden/>
          </w:rPr>
          <w:fldChar w:fldCharType="separate"/>
        </w:r>
        <w:r>
          <w:rPr>
            <w:noProof/>
            <w:webHidden/>
          </w:rPr>
          <w:t>2</w:t>
        </w:r>
        <w:r>
          <w:rPr>
            <w:noProof/>
            <w:webHidden/>
          </w:rPr>
          <w:fldChar w:fldCharType="end"/>
        </w:r>
      </w:hyperlink>
    </w:p>
    <w:p w:rsidR="00CF3DA8" w14:paraId="1E9A431A" w14:textId="36CEE3DE">
      <w:pPr>
        <w:pStyle w:val="TOC2"/>
        <w:tabs>
          <w:tab w:val="left" w:pos="1440"/>
          <w:tab w:val="right" w:leader="dot" w:pos="8630"/>
        </w:tabs>
        <w:rPr>
          <w:rFonts w:asciiTheme="minorHAnsi" w:eastAsiaTheme="minorEastAsia" w:hAnsiTheme="minorHAnsi" w:cstheme="minorBidi"/>
          <w:noProof/>
          <w:sz w:val="22"/>
          <w:szCs w:val="22"/>
        </w:rPr>
      </w:pPr>
      <w:hyperlink w:anchor="_Toc48662982" w:history="1">
        <w:r w:rsidRPr="005B755A">
          <w:rPr>
            <w:rStyle w:val="Hyperlink"/>
            <w:bCs/>
            <w:noProof/>
          </w:rPr>
          <w:t>A.</w:t>
        </w:r>
        <w:r>
          <w:rPr>
            <w:rFonts w:asciiTheme="minorHAnsi" w:eastAsiaTheme="minorEastAsia" w:hAnsiTheme="minorHAnsi" w:cstheme="minorBidi"/>
            <w:noProof/>
            <w:sz w:val="22"/>
            <w:szCs w:val="22"/>
          </w:rPr>
          <w:tab/>
        </w:r>
        <w:r w:rsidRPr="005B755A">
          <w:rPr>
            <w:rStyle w:val="Hyperlink"/>
            <w:noProof/>
          </w:rPr>
          <w:t>The PUCO has jurisdiction to investigate PALMco’s business</w:t>
        </w:r>
        <w:r w:rsidRPr="005B755A">
          <w:rPr>
            <w:rStyle w:val="Hyperlink"/>
            <w:bCs/>
            <w:noProof/>
          </w:rPr>
          <w:t xml:space="preserve"> </w:t>
        </w:r>
        <w:r w:rsidRPr="005B755A">
          <w:rPr>
            <w:rStyle w:val="Hyperlink"/>
            <w:noProof/>
          </w:rPr>
          <w:t>practices that resulted in unconscionable rates charged to customers while it operated as a competitive electric and natural gas supplier in Ohio. Thus, PALMco’s claim that the PUCO has no jurisdiction is unlikely to succeed on the merits and the PUCO should not stay the proceeding.</w:t>
        </w:r>
        <w:r>
          <w:rPr>
            <w:noProof/>
            <w:webHidden/>
          </w:rPr>
          <w:tab/>
        </w:r>
        <w:r>
          <w:rPr>
            <w:noProof/>
            <w:webHidden/>
          </w:rPr>
          <w:fldChar w:fldCharType="begin"/>
        </w:r>
        <w:r>
          <w:rPr>
            <w:noProof/>
            <w:webHidden/>
          </w:rPr>
          <w:instrText xml:space="preserve"> PAGEREF _Toc48662982 \h </w:instrText>
        </w:r>
        <w:r>
          <w:rPr>
            <w:noProof/>
            <w:webHidden/>
          </w:rPr>
          <w:fldChar w:fldCharType="separate"/>
        </w:r>
        <w:r>
          <w:rPr>
            <w:noProof/>
            <w:webHidden/>
          </w:rPr>
          <w:t>3</w:t>
        </w:r>
        <w:r>
          <w:rPr>
            <w:noProof/>
            <w:webHidden/>
          </w:rPr>
          <w:fldChar w:fldCharType="end"/>
        </w:r>
      </w:hyperlink>
    </w:p>
    <w:p w:rsidR="00CF3DA8" w14:paraId="1F0D0175" w14:textId="4A018855">
      <w:pPr>
        <w:pStyle w:val="TOC2"/>
        <w:tabs>
          <w:tab w:val="left" w:pos="1440"/>
          <w:tab w:val="right" w:leader="dot" w:pos="8630"/>
        </w:tabs>
        <w:rPr>
          <w:rFonts w:asciiTheme="minorHAnsi" w:eastAsiaTheme="minorEastAsia" w:hAnsiTheme="minorHAnsi" w:cstheme="minorBidi"/>
          <w:noProof/>
          <w:sz w:val="22"/>
          <w:szCs w:val="22"/>
        </w:rPr>
      </w:pPr>
      <w:hyperlink w:anchor="_Toc48662983" w:history="1">
        <w:r w:rsidRPr="005B755A">
          <w:rPr>
            <w:rStyle w:val="Hyperlink"/>
            <w:noProof/>
          </w:rPr>
          <w:t>B.</w:t>
        </w:r>
        <w:r>
          <w:rPr>
            <w:rFonts w:asciiTheme="minorHAnsi" w:eastAsiaTheme="minorEastAsia" w:hAnsiTheme="minorHAnsi" w:cstheme="minorBidi"/>
            <w:noProof/>
            <w:sz w:val="22"/>
            <w:szCs w:val="22"/>
          </w:rPr>
          <w:tab/>
        </w:r>
        <w:r w:rsidRPr="005B755A">
          <w:rPr>
            <w:rStyle w:val="Hyperlink"/>
            <w:noProof/>
          </w:rPr>
          <w:t>Proceeding with the second investigation of PALMco is in the public interest, whereas staying the proceeding would unfairly reward PALMco for its gamesmanship in this case.</w:t>
        </w:r>
        <w:r>
          <w:rPr>
            <w:noProof/>
            <w:webHidden/>
          </w:rPr>
          <w:tab/>
        </w:r>
        <w:r>
          <w:rPr>
            <w:noProof/>
            <w:webHidden/>
          </w:rPr>
          <w:fldChar w:fldCharType="begin"/>
        </w:r>
        <w:r>
          <w:rPr>
            <w:noProof/>
            <w:webHidden/>
          </w:rPr>
          <w:instrText xml:space="preserve"> PAGEREF _Toc48662983 \h </w:instrText>
        </w:r>
        <w:r>
          <w:rPr>
            <w:noProof/>
            <w:webHidden/>
          </w:rPr>
          <w:fldChar w:fldCharType="separate"/>
        </w:r>
        <w:r>
          <w:rPr>
            <w:noProof/>
            <w:webHidden/>
          </w:rPr>
          <w:t>6</w:t>
        </w:r>
        <w:r>
          <w:rPr>
            <w:noProof/>
            <w:webHidden/>
          </w:rPr>
          <w:fldChar w:fldCharType="end"/>
        </w:r>
      </w:hyperlink>
    </w:p>
    <w:p w:rsidR="00CF3DA8" w14:paraId="50FDB288" w14:textId="773601E8">
      <w:pPr>
        <w:pStyle w:val="TOC2"/>
        <w:tabs>
          <w:tab w:val="left" w:pos="1440"/>
          <w:tab w:val="right" w:leader="dot" w:pos="8630"/>
        </w:tabs>
        <w:rPr>
          <w:rFonts w:asciiTheme="minorHAnsi" w:eastAsiaTheme="minorEastAsia" w:hAnsiTheme="minorHAnsi" w:cstheme="minorBidi"/>
          <w:noProof/>
          <w:sz w:val="22"/>
          <w:szCs w:val="22"/>
        </w:rPr>
      </w:pPr>
      <w:hyperlink w:anchor="_Toc48662984" w:history="1">
        <w:r w:rsidRPr="005B755A">
          <w:rPr>
            <w:rStyle w:val="Hyperlink"/>
            <w:noProof/>
          </w:rPr>
          <w:t>C.</w:t>
        </w:r>
        <w:r>
          <w:rPr>
            <w:rFonts w:asciiTheme="minorHAnsi" w:eastAsiaTheme="minorEastAsia" w:hAnsiTheme="minorHAnsi" w:cstheme="minorBidi"/>
            <w:noProof/>
            <w:sz w:val="22"/>
            <w:szCs w:val="22"/>
          </w:rPr>
          <w:tab/>
        </w:r>
        <w:r w:rsidRPr="005B755A">
          <w:rPr>
            <w:rStyle w:val="Hyperlink"/>
            <w:noProof/>
          </w:rPr>
          <w:t>Any harm that PALMco suffers as a result of the PUCO’s investigation is of its own making because it engaged in the unlawful conduct while already under investigation by the PUCO. By contrast, innocent Ohio consumers will be harmed if the PUCO does not move forward with this case.</w:t>
        </w:r>
        <w:r>
          <w:rPr>
            <w:noProof/>
            <w:webHidden/>
          </w:rPr>
          <w:tab/>
        </w:r>
        <w:r>
          <w:rPr>
            <w:noProof/>
            <w:webHidden/>
          </w:rPr>
          <w:fldChar w:fldCharType="begin"/>
        </w:r>
        <w:r>
          <w:rPr>
            <w:noProof/>
            <w:webHidden/>
          </w:rPr>
          <w:instrText xml:space="preserve"> PAGEREF _Toc48662984 \h </w:instrText>
        </w:r>
        <w:r>
          <w:rPr>
            <w:noProof/>
            <w:webHidden/>
          </w:rPr>
          <w:fldChar w:fldCharType="separate"/>
        </w:r>
        <w:r>
          <w:rPr>
            <w:noProof/>
            <w:webHidden/>
          </w:rPr>
          <w:t>9</w:t>
        </w:r>
        <w:r>
          <w:rPr>
            <w:noProof/>
            <w:webHidden/>
          </w:rPr>
          <w:fldChar w:fldCharType="end"/>
        </w:r>
      </w:hyperlink>
    </w:p>
    <w:p w:rsidR="00CF3DA8" w14:paraId="2FB6DAC2" w14:textId="70689807">
      <w:pPr>
        <w:pStyle w:val="TOC1"/>
        <w:rPr>
          <w:rFonts w:asciiTheme="minorHAnsi" w:eastAsiaTheme="minorEastAsia" w:hAnsiTheme="minorHAnsi" w:cstheme="minorBidi"/>
          <w:noProof/>
          <w:sz w:val="22"/>
          <w:szCs w:val="22"/>
        </w:rPr>
      </w:pPr>
      <w:hyperlink w:anchor="_Toc48662985" w:history="1">
        <w:r w:rsidRPr="005B755A">
          <w:rPr>
            <w:rStyle w:val="Hyperlink"/>
            <w:noProof/>
          </w:rPr>
          <w:t>III.</w:t>
        </w:r>
        <w:r>
          <w:rPr>
            <w:rFonts w:asciiTheme="minorHAnsi" w:eastAsiaTheme="minorEastAsia" w:hAnsiTheme="minorHAnsi" w:cstheme="minorBidi"/>
            <w:noProof/>
            <w:sz w:val="22"/>
            <w:szCs w:val="22"/>
          </w:rPr>
          <w:tab/>
        </w:r>
        <w:r w:rsidRPr="005B755A">
          <w:rPr>
            <w:rStyle w:val="Hyperlink"/>
            <w:noProof/>
          </w:rPr>
          <w:t>CONCLUSION</w:t>
        </w:r>
        <w:r>
          <w:rPr>
            <w:noProof/>
            <w:webHidden/>
          </w:rPr>
          <w:tab/>
        </w:r>
        <w:r>
          <w:rPr>
            <w:noProof/>
            <w:webHidden/>
          </w:rPr>
          <w:fldChar w:fldCharType="begin"/>
        </w:r>
        <w:r>
          <w:rPr>
            <w:noProof/>
            <w:webHidden/>
          </w:rPr>
          <w:instrText xml:space="preserve"> PAGEREF _Toc48662985 \h </w:instrText>
        </w:r>
        <w:r>
          <w:rPr>
            <w:noProof/>
            <w:webHidden/>
          </w:rPr>
          <w:fldChar w:fldCharType="separate"/>
        </w:r>
        <w:r>
          <w:rPr>
            <w:noProof/>
            <w:webHidden/>
          </w:rPr>
          <w:t>10</w:t>
        </w:r>
        <w:r>
          <w:rPr>
            <w:noProof/>
            <w:webHidden/>
          </w:rPr>
          <w:fldChar w:fldCharType="end"/>
        </w:r>
      </w:hyperlink>
    </w:p>
    <w:p w:rsidR="00D3722F" w:rsidRPr="007D7D1C" w:rsidP="00D3722F" w14:paraId="752968A0" w14:textId="14F305AB">
      <w:pPr>
        <w:pStyle w:val="HTMLPreformatted"/>
        <w:jc w:val="right"/>
        <w:rPr>
          <w:rFonts w:ascii="Times New Roman" w:hAnsi="Times New Roman" w:cs="Times New Roman"/>
          <w:b/>
          <w:bCs/>
          <w:sz w:val="24"/>
          <w:szCs w:val="24"/>
        </w:rPr>
      </w:pPr>
      <w:r>
        <w:rPr>
          <w:rFonts w:ascii="Times New Roman" w:eastAsia="Times New Roman" w:hAnsi="Times New Roman" w:cs="Times New Roman"/>
          <w:b/>
          <w:bCs/>
          <w:sz w:val="24"/>
          <w:szCs w:val="24"/>
        </w:rPr>
        <w:fldChar w:fldCharType="end"/>
      </w:r>
    </w:p>
    <w:p w:rsidR="00D3722F" w:rsidRPr="007D7D1C" w14:paraId="5959245E" w14:textId="77777777">
      <w:pPr>
        <w:pStyle w:val="HTMLPreformatted"/>
        <w:jc w:val="center"/>
        <w:rPr>
          <w:rFonts w:ascii="Times New Roman" w:hAnsi="Times New Roman" w:cs="Times New Roman"/>
          <w:b/>
          <w:bCs/>
          <w:sz w:val="24"/>
          <w:szCs w:val="24"/>
        </w:rPr>
      </w:pPr>
    </w:p>
    <w:p w:rsidR="00D3722F" w:rsidRPr="007D7D1C" w14:paraId="7EB5C423" w14:textId="342A645D">
      <w:pPr>
        <w:pStyle w:val="HTMLPreformatted"/>
        <w:jc w:val="center"/>
        <w:rPr>
          <w:rFonts w:ascii="Times New Roman" w:hAnsi="Times New Roman" w:cs="Times New Roman"/>
          <w:b/>
          <w:bCs/>
          <w:sz w:val="24"/>
          <w:szCs w:val="24"/>
        </w:rPr>
        <w:sectPr w:rsidSect="00AB2013">
          <w:footerReference w:type="first" r:id="rId10"/>
          <w:pgSz w:w="12240" w:h="15840"/>
          <w:pgMar w:top="1440" w:right="1800" w:bottom="1440" w:left="1800" w:header="720" w:footer="720" w:gutter="0"/>
          <w:pgNumType w:fmt="lowerRoman" w:start="1"/>
          <w:cols w:space="720"/>
          <w:titlePg/>
          <w:docGrid w:linePitch="65"/>
        </w:sectPr>
      </w:pPr>
    </w:p>
    <w:p w:rsidR="00B52F65" w:rsidRPr="007D7D1C" w14:paraId="67FE2C81" w14:textId="51171CB9">
      <w:pPr>
        <w:pStyle w:val="HTMLPreformatted"/>
        <w:jc w:val="center"/>
        <w:rPr>
          <w:rFonts w:ascii="Times New Roman" w:hAnsi="Times New Roman" w:cs="Times New Roman"/>
          <w:b/>
          <w:bCs/>
          <w:sz w:val="24"/>
          <w:szCs w:val="24"/>
        </w:rPr>
      </w:pPr>
      <w:r w:rsidRPr="007D7D1C">
        <w:rPr>
          <w:rFonts w:ascii="Times New Roman" w:hAnsi="Times New Roman" w:cs="Times New Roman"/>
          <w:b/>
          <w:bCs/>
          <w:sz w:val="24"/>
          <w:szCs w:val="24"/>
        </w:rPr>
        <w:t>BEFORE</w:t>
      </w:r>
    </w:p>
    <w:p w:rsidR="00B52F65" w:rsidRPr="007D7D1C" w14:paraId="1CFE37BE" w14:textId="77777777">
      <w:pPr>
        <w:pStyle w:val="HTMLPreformatted"/>
        <w:jc w:val="center"/>
        <w:rPr>
          <w:rFonts w:ascii="Times New Roman" w:hAnsi="Times New Roman" w:cs="Times New Roman"/>
          <w:sz w:val="24"/>
          <w:szCs w:val="24"/>
        </w:rPr>
      </w:pPr>
      <w:r w:rsidRPr="007D7D1C">
        <w:rPr>
          <w:rFonts w:ascii="Times New Roman" w:hAnsi="Times New Roman" w:cs="Times New Roman"/>
          <w:b/>
          <w:bCs/>
          <w:sz w:val="24"/>
          <w:szCs w:val="24"/>
        </w:rPr>
        <w:t>THE PUBLIC UTILITIES COMMISSION OF OHIO</w:t>
      </w:r>
    </w:p>
    <w:p w:rsidR="00B52F65" w:rsidRPr="007D7D1C" w14:paraId="5FAD368F" w14:textId="77777777">
      <w:pPr>
        <w:pStyle w:val="HTMLPreformatted"/>
        <w:rPr>
          <w:rFonts w:ascii="Times New Roman" w:hAnsi="Times New Roman" w:cs="Times New Roman"/>
          <w:sz w:val="24"/>
          <w:szCs w:val="24"/>
        </w:rPr>
      </w:pPr>
    </w:p>
    <w:tbl>
      <w:tblPr>
        <w:tblW w:w="8730" w:type="dxa"/>
        <w:tblLook w:val="01E0"/>
      </w:tblPr>
      <w:tblGrid>
        <w:gridCol w:w="4230"/>
        <w:gridCol w:w="468"/>
        <w:gridCol w:w="4032"/>
      </w:tblGrid>
      <w:tr w14:paraId="7B857E98" w14:textId="77777777" w:rsidTr="00A46FA3">
        <w:tblPrEx>
          <w:tblW w:w="8730" w:type="dxa"/>
          <w:tblLook w:val="01E0"/>
        </w:tblPrEx>
        <w:trPr>
          <w:trHeight w:val="807"/>
        </w:trPr>
        <w:tc>
          <w:tcPr>
            <w:tcW w:w="4230" w:type="dxa"/>
            <w:shd w:val="clear" w:color="auto" w:fill="auto"/>
          </w:tcPr>
          <w:p w:rsidR="00B52F65" w:rsidRPr="007D7D1C" w:rsidP="0060598B" w14:paraId="1312F12E"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In the Matter of the</w:t>
            </w:r>
            <w:r w:rsidRPr="007D7D1C" w:rsidR="00C83423">
              <w:rPr>
                <w:rFonts w:ascii="Times New Roman" w:hAnsi="Times New Roman" w:cs="Times New Roman"/>
                <w:sz w:val="24"/>
                <w:szCs w:val="24"/>
              </w:rPr>
              <w:t xml:space="preserve"> Commission’s Investigation into PALMco Power OH, LLC, d</w:t>
            </w:r>
            <w:r w:rsidRPr="007D7D1C" w:rsidR="009B54A0">
              <w:rPr>
                <w:rFonts w:ascii="Times New Roman" w:hAnsi="Times New Roman" w:cs="Times New Roman"/>
                <w:sz w:val="24"/>
                <w:szCs w:val="24"/>
              </w:rPr>
              <w:t>/</w:t>
            </w:r>
            <w:r w:rsidRPr="007D7D1C" w:rsidR="00C83423">
              <w:rPr>
                <w:rFonts w:ascii="Times New Roman" w:hAnsi="Times New Roman" w:cs="Times New Roman"/>
                <w:sz w:val="24"/>
                <w:szCs w:val="24"/>
              </w:rPr>
              <w:t>b</w:t>
            </w:r>
            <w:r w:rsidRPr="007D7D1C" w:rsidR="009B54A0">
              <w:rPr>
                <w:rFonts w:ascii="Times New Roman" w:hAnsi="Times New Roman" w:cs="Times New Roman"/>
                <w:sz w:val="24"/>
                <w:szCs w:val="24"/>
              </w:rPr>
              <w:t>/</w:t>
            </w:r>
            <w:r w:rsidRPr="007D7D1C" w:rsidR="00C83423">
              <w:rPr>
                <w:rFonts w:ascii="Times New Roman" w:hAnsi="Times New Roman" w:cs="Times New Roman"/>
                <w:sz w:val="24"/>
                <w:szCs w:val="24"/>
              </w:rPr>
              <w:t>a Indra Energy and PALMco Energy OH, LLC d</w:t>
            </w:r>
            <w:r w:rsidRPr="007D7D1C" w:rsidR="009B54A0">
              <w:rPr>
                <w:rFonts w:ascii="Times New Roman" w:hAnsi="Times New Roman" w:cs="Times New Roman"/>
                <w:sz w:val="24"/>
                <w:szCs w:val="24"/>
              </w:rPr>
              <w:t>/</w:t>
            </w:r>
            <w:r w:rsidRPr="007D7D1C" w:rsidR="00C83423">
              <w:rPr>
                <w:rFonts w:ascii="Times New Roman" w:hAnsi="Times New Roman" w:cs="Times New Roman"/>
                <w:sz w:val="24"/>
                <w:szCs w:val="24"/>
              </w:rPr>
              <w:t>b</w:t>
            </w:r>
            <w:r w:rsidRPr="007D7D1C" w:rsidR="009B54A0">
              <w:rPr>
                <w:rFonts w:ascii="Times New Roman" w:hAnsi="Times New Roman" w:cs="Times New Roman"/>
                <w:sz w:val="24"/>
                <w:szCs w:val="24"/>
              </w:rPr>
              <w:t>/</w:t>
            </w:r>
            <w:r w:rsidRPr="007D7D1C" w:rsidR="00C83423">
              <w:rPr>
                <w:rFonts w:ascii="Times New Roman" w:hAnsi="Times New Roman" w:cs="Times New Roman"/>
                <w:sz w:val="24"/>
                <w:szCs w:val="24"/>
              </w:rPr>
              <w:t>a Indra Energy’s Compliance with the Ohio Administrative Code and Potential Remedial Action</w:t>
            </w:r>
            <w:r w:rsidRPr="007D7D1C" w:rsidR="00EC666F">
              <w:rPr>
                <w:rFonts w:ascii="Times New Roman" w:hAnsi="Times New Roman" w:cs="Times New Roman"/>
                <w:sz w:val="24"/>
                <w:szCs w:val="24"/>
              </w:rPr>
              <w:t>.</w:t>
            </w:r>
          </w:p>
          <w:p w:rsidR="0060598B" w:rsidRPr="007D7D1C" w:rsidP="0060598B" w14:paraId="58BB3465" w14:textId="77777777">
            <w:pPr>
              <w:pStyle w:val="HTMLPreformatted"/>
              <w:rPr>
                <w:rFonts w:ascii="Times New Roman" w:hAnsi="Times New Roman" w:cs="Times New Roman"/>
                <w:sz w:val="24"/>
                <w:szCs w:val="24"/>
              </w:rPr>
            </w:pPr>
          </w:p>
        </w:tc>
        <w:tc>
          <w:tcPr>
            <w:tcW w:w="468" w:type="dxa"/>
            <w:shd w:val="clear" w:color="auto" w:fill="auto"/>
          </w:tcPr>
          <w:p w:rsidR="00B52F65" w:rsidRPr="007D7D1C" w14:paraId="20D5F9DC"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B52F65" w:rsidRPr="007D7D1C" w14:paraId="4BDF275E"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B52F65" w:rsidRPr="007D7D1C" w14:paraId="4AF60EB3"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B52F65" w:rsidRPr="007D7D1C" w14:paraId="5C9EC2CA"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C83423" w:rsidRPr="007D7D1C" w14:paraId="51A3B073"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C83423" w:rsidRPr="007D7D1C" w14:paraId="0FB5094B"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p w:rsidR="00C83423" w:rsidRPr="007D7D1C" w14:paraId="2F3229BC"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w:t>
            </w:r>
          </w:p>
        </w:tc>
        <w:tc>
          <w:tcPr>
            <w:tcW w:w="4032" w:type="dxa"/>
            <w:shd w:val="clear" w:color="auto" w:fill="auto"/>
          </w:tcPr>
          <w:p w:rsidR="00B52F65" w:rsidRPr="007D7D1C" w14:paraId="3277E092" w14:textId="77777777">
            <w:pPr>
              <w:pStyle w:val="HTMLPreformatted"/>
              <w:rPr>
                <w:rFonts w:ascii="Times New Roman" w:hAnsi="Times New Roman" w:cs="Times New Roman"/>
                <w:sz w:val="24"/>
                <w:szCs w:val="24"/>
              </w:rPr>
            </w:pPr>
          </w:p>
          <w:p w:rsidR="00B52F65" w:rsidRPr="007D7D1C" w:rsidP="00C83423" w14:paraId="3BEF219F" w14:textId="77777777">
            <w:pPr>
              <w:pStyle w:val="HTMLPreformatted"/>
              <w:rPr>
                <w:rFonts w:ascii="Times New Roman" w:hAnsi="Times New Roman" w:cs="Times New Roman"/>
                <w:sz w:val="24"/>
                <w:szCs w:val="24"/>
              </w:rPr>
            </w:pPr>
          </w:p>
          <w:p w:rsidR="00C83423" w:rsidRPr="007D7D1C" w:rsidP="00C83423" w14:paraId="2308FEB2" w14:textId="77777777">
            <w:pPr>
              <w:pStyle w:val="HTMLPreformatted"/>
              <w:rPr>
                <w:rFonts w:ascii="Times New Roman" w:hAnsi="Times New Roman" w:cs="Times New Roman"/>
                <w:sz w:val="24"/>
                <w:szCs w:val="24"/>
              </w:rPr>
            </w:pPr>
            <w:r w:rsidRPr="007D7D1C">
              <w:rPr>
                <w:rFonts w:ascii="Times New Roman" w:hAnsi="Times New Roman" w:cs="Times New Roman"/>
                <w:sz w:val="24"/>
                <w:szCs w:val="24"/>
              </w:rPr>
              <w:t xml:space="preserve">Case No. 19-2153-GE-COI </w:t>
            </w:r>
          </w:p>
          <w:p w:rsidR="00C83423" w:rsidRPr="007D7D1C" w:rsidP="00C83423" w14:paraId="2B1FBC3F" w14:textId="77777777">
            <w:pPr>
              <w:pStyle w:val="HTMLPreformatted"/>
              <w:rPr>
                <w:rFonts w:ascii="Times New Roman" w:hAnsi="Times New Roman" w:cs="Times New Roman"/>
                <w:sz w:val="24"/>
                <w:szCs w:val="24"/>
              </w:rPr>
            </w:pPr>
          </w:p>
        </w:tc>
      </w:tr>
    </w:tbl>
    <w:p w:rsidR="00B52F65" w:rsidRPr="007D7D1C" w14:paraId="4B5698E2" w14:textId="77777777">
      <w:pPr>
        <w:pStyle w:val="HTMLPreformatted"/>
        <w:pBdr>
          <w:top w:val="single" w:sz="12" w:space="1" w:color="auto"/>
        </w:pBdr>
        <w:rPr>
          <w:rFonts w:ascii="Times New Roman" w:hAnsi="Times New Roman" w:cs="Times New Roman"/>
          <w:sz w:val="24"/>
          <w:szCs w:val="24"/>
        </w:rPr>
      </w:pPr>
    </w:p>
    <w:p w:rsidR="0034156F" w:rsidRPr="007D7D1C" w:rsidP="0034156F" w14:paraId="5434061E" w14:textId="77777777">
      <w:pPr>
        <w:jc w:val="center"/>
        <w:rPr>
          <w:b/>
          <w:bCs/>
          <w:szCs w:val="24"/>
        </w:rPr>
      </w:pPr>
      <w:r w:rsidRPr="007D7D1C">
        <w:rPr>
          <w:b/>
          <w:bCs/>
          <w:szCs w:val="24"/>
        </w:rPr>
        <w:t xml:space="preserve">MEMORANDUM CONTRA </w:t>
      </w:r>
      <w:r w:rsidRPr="007D7D1C" w:rsidR="00786590">
        <w:rPr>
          <w:b/>
          <w:bCs/>
          <w:szCs w:val="24"/>
        </w:rPr>
        <w:t xml:space="preserve">TO </w:t>
      </w:r>
      <w:r w:rsidRPr="007D7D1C" w:rsidR="00C83423">
        <w:rPr>
          <w:b/>
          <w:bCs/>
          <w:szCs w:val="24"/>
        </w:rPr>
        <w:t>PALMCO’S</w:t>
      </w:r>
      <w:r w:rsidRPr="007D7D1C" w:rsidR="00786590">
        <w:rPr>
          <w:b/>
          <w:bCs/>
          <w:szCs w:val="24"/>
        </w:rPr>
        <w:t xml:space="preserve"> M</w:t>
      </w:r>
      <w:r w:rsidRPr="007D7D1C">
        <w:rPr>
          <w:b/>
          <w:bCs/>
          <w:szCs w:val="24"/>
        </w:rPr>
        <w:t>OTION TO STAY</w:t>
      </w:r>
    </w:p>
    <w:p w:rsidR="0034156F" w:rsidRPr="007D7D1C" w:rsidP="0034156F" w14:paraId="6ADB9BF1" w14:textId="77777777">
      <w:pPr>
        <w:jc w:val="center"/>
        <w:rPr>
          <w:b/>
          <w:bCs/>
          <w:szCs w:val="24"/>
        </w:rPr>
      </w:pPr>
      <w:r w:rsidRPr="007D7D1C">
        <w:rPr>
          <w:b/>
          <w:bCs/>
          <w:szCs w:val="24"/>
        </w:rPr>
        <w:t>BY</w:t>
      </w:r>
    </w:p>
    <w:p w:rsidR="0034156F" w:rsidRPr="007D7D1C" w:rsidP="0034156F" w14:paraId="05FA4DBD" w14:textId="77777777">
      <w:pPr>
        <w:jc w:val="center"/>
        <w:rPr>
          <w:b/>
          <w:bCs/>
          <w:szCs w:val="24"/>
        </w:rPr>
      </w:pPr>
      <w:r w:rsidRPr="007D7D1C">
        <w:rPr>
          <w:b/>
          <w:bCs/>
          <w:szCs w:val="24"/>
        </w:rPr>
        <w:t>THE OFFICE OF THE OHIO CONSUMERS’ COUNSEL</w:t>
      </w:r>
    </w:p>
    <w:p w:rsidR="00B52F65" w:rsidRPr="007D7D1C" w14:paraId="6E84EF66" w14:textId="77777777">
      <w:pPr>
        <w:pBdr>
          <w:bottom w:val="single" w:sz="12" w:space="1" w:color="auto"/>
        </w:pBdr>
        <w:tabs>
          <w:tab w:val="left" w:pos="4320"/>
        </w:tabs>
        <w:rPr>
          <w:szCs w:val="24"/>
        </w:rPr>
      </w:pPr>
    </w:p>
    <w:p w:rsidR="0060598B" w:rsidRPr="007D7D1C" w:rsidP="00D971A3" w14:paraId="7CE10E8B" w14:textId="77777777">
      <w:pPr>
        <w:pStyle w:val="BodyTextIndent3"/>
        <w:widowControl w:val="0"/>
        <w:spacing w:line="240" w:lineRule="auto"/>
        <w:ind w:right="-312" w:firstLine="0"/>
        <w:rPr>
          <w:szCs w:val="24"/>
        </w:rPr>
      </w:pPr>
    </w:p>
    <w:p w:rsidR="00FD35F6" w:rsidRPr="007D7D1C" w:rsidP="00DD02C2" w14:paraId="60F7D950" w14:textId="77777777">
      <w:pPr>
        <w:pStyle w:val="Heading1"/>
        <w:numPr>
          <w:ilvl w:val="0"/>
          <w:numId w:val="15"/>
        </w:numPr>
        <w:ind w:left="720"/>
      </w:pPr>
      <w:bookmarkStart w:id="1" w:name="_Toc30075653"/>
      <w:bookmarkStart w:id="2" w:name="_Toc48209086"/>
      <w:bookmarkStart w:id="3" w:name="_Toc48662980"/>
      <w:r w:rsidRPr="007D7D1C">
        <w:t>INTRODUCTION</w:t>
      </w:r>
      <w:bookmarkEnd w:id="1"/>
      <w:bookmarkEnd w:id="2"/>
      <w:bookmarkEnd w:id="3"/>
    </w:p>
    <w:p w:rsidR="00832C7F" w:rsidRPr="007D7D1C" w:rsidP="002F6E07" w14:paraId="1F58C4C8" w14:textId="36B5F53B">
      <w:pPr>
        <w:pStyle w:val="BodyTextIndent3"/>
        <w:widowControl w:val="0"/>
        <w:spacing w:line="480" w:lineRule="auto"/>
        <w:rPr>
          <w:szCs w:val="24"/>
        </w:rPr>
      </w:pPr>
      <w:r w:rsidRPr="007D7D1C">
        <w:rPr>
          <w:szCs w:val="24"/>
        </w:rPr>
        <w:t xml:space="preserve">PALMco’s request to delay this proceeding is a tactic that works against consumers in this case and should not be enabled by the PUCO. </w:t>
      </w:r>
      <w:r w:rsidRPr="007D7D1C" w:rsidR="009E1C53">
        <w:rPr>
          <w:szCs w:val="24"/>
        </w:rPr>
        <w:t>PALMco</w:t>
      </w:r>
      <w:r w:rsidRPr="007D7D1C" w:rsidR="001E57DA">
        <w:rPr>
          <w:szCs w:val="24"/>
        </w:rPr>
        <w:t xml:space="preserve"> is a marketer that is being investigated a second time for </w:t>
      </w:r>
      <w:r w:rsidRPr="007D7D1C" w:rsidR="00F9588B">
        <w:rPr>
          <w:szCs w:val="24"/>
        </w:rPr>
        <w:t xml:space="preserve">allegedly misleading customers and charging unconscionable rates in violation of the PUCO’s rules, Ohio law, and PUCO precedent. </w:t>
      </w:r>
      <w:r w:rsidRPr="007D7D1C" w:rsidR="001E57DA">
        <w:rPr>
          <w:szCs w:val="24"/>
        </w:rPr>
        <w:t xml:space="preserve"> PALMco </w:t>
      </w:r>
      <w:r w:rsidRPr="007D7D1C" w:rsidR="009E1C53">
        <w:rPr>
          <w:szCs w:val="24"/>
        </w:rPr>
        <w:t>is</w:t>
      </w:r>
      <w:r w:rsidRPr="007D7D1C" w:rsidR="00077C3D">
        <w:rPr>
          <w:szCs w:val="24"/>
        </w:rPr>
        <w:t xml:space="preserve"> now</w:t>
      </w:r>
      <w:r w:rsidRPr="007D7D1C" w:rsidR="009E1C53">
        <w:rPr>
          <w:szCs w:val="24"/>
        </w:rPr>
        <w:t xml:space="preserve"> attempting to dodge the PUCO’s </w:t>
      </w:r>
      <w:r w:rsidRPr="007D7D1C" w:rsidR="009E1C53">
        <w:rPr>
          <w:i/>
          <w:iCs/>
          <w:szCs w:val="24"/>
        </w:rPr>
        <w:t xml:space="preserve">second </w:t>
      </w:r>
      <w:r w:rsidRPr="007D7D1C" w:rsidR="001E57DA">
        <w:rPr>
          <w:szCs w:val="24"/>
        </w:rPr>
        <w:t>investigation</w:t>
      </w:r>
      <w:r w:rsidRPr="007D7D1C" w:rsidR="00843D86">
        <w:rPr>
          <w:szCs w:val="24"/>
        </w:rPr>
        <w:t>.</w:t>
      </w:r>
      <w:r w:rsidRPr="007D7D1C" w:rsidR="001E57DA">
        <w:rPr>
          <w:i/>
          <w:iCs/>
          <w:szCs w:val="24"/>
        </w:rPr>
        <w:t xml:space="preserve"> </w:t>
      </w:r>
      <w:r w:rsidRPr="007D7D1C" w:rsidR="00123C40">
        <w:rPr>
          <w:szCs w:val="24"/>
        </w:rPr>
        <w:t xml:space="preserve">To that end, </w:t>
      </w:r>
      <w:r w:rsidRPr="007D7D1C" w:rsidR="009A7786">
        <w:rPr>
          <w:szCs w:val="24"/>
        </w:rPr>
        <w:t xml:space="preserve">PALMco </w:t>
      </w:r>
      <w:r w:rsidRPr="007D7D1C" w:rsidR="00077C3D">
        <w:rPr>
          <w:szCs w:val="24"/>
        </w:rPr>
        <w:t xml:space="preserve">has filed a </w:t>
      </w:r>
      <w:r w:rsidRPr="007D7D1C" w:rsidR="00C64048">
        <w:rPr>
          <w:szCs w:val="24"/>
        </w:rPr>
        <w:t>Complaint</w:t>
      </w:r>
      <w:r w:rsidRPr="007D7D1C" w:rsidR="00077C3D">
        <w:rPr>
          <w:szCs w:val="24"/>
        </w:rPr>
        <w:t xml:space="preserve"> </w:t>
      </w:r>
      <w:r w:rsidRPr="007D7D1C" w:rsidR="00C64048">
        <w:rPr>
          <w:szCs w:val="24"/>
        </w:rPr>
        <w:t>in</w:t>
      </w:r>
      <w:r w:rsidRPr="007D7D1C" w:rsidR="00077C3D">
        <w:rPr>
          <w:szCs w:val="24"/>
        </w:rPr>
        <w:t xml:space="preserve"> Prohibition with the</w:t>
      </w:r>
      <w:r w:rsidRPr="007D7D1C" w:rsidR="00AF11FB">
        <w:rPr>
          <w:szCs w:val="24"/>
        </w:rPr>
        <w:t xml:space="preserve"> Supreme Court of Ohio</w:t>
      </w:r>
      <w:r w:rsidRPr="007D7D1C" w:rsidR="009A7786">
        <w:rPr>
          <w:szCs w:val="24"/>
        </w:rPr>
        <w:t xml:space="preserve"> </w:t>
      </w:r>
      <w:r w:rsidRPr="007D7D1C" w:rsidR="00077C3D">
        <w:rPr>
          <w:szCs w:val="24"/>
        </w:rPr>
        <w:t xml:space="preserve">(“Court”) </w:t>
      </w:r>
      <w:r w:rsidRPr="007D7D1C" w:rsidR="009A7786">
        <w:rPr>
          <w:szCs w:val="24"/>
        </w:rPr>
        <w:t xml:space="preserve">challenging the PUCO’s jurisdiction </w:t>
      </w:r>
      <w:r w:rsidRPr="007D7D1C" w:rsidR="00064EF4">
        <w:rPr>
          <w:szCs w:val="24"/>
        </w:rPr>
        <w:t xml:space="preserve">to investigate </w:t>
      </w:r>
      <w:r w:rsidRPr="007D7D1C" w:rsidR="001E57DA">
        <w:rPr>
          <w:szCs w:val="24"/>
        </w:rPr>
        <w:t>it.</w:t>
      </w:r>
      <w:r>
        <w:rPr>
          <w:rStyle w:val="FootnoteReference"/>
          <w:szCs w:val="24"/>
        </w:rPr>
        <w:footnoteReference w:id="2"/>
      </w:r>
      <w:r w:rsidRPr="007D7D1C" w:rsidR="00A35919">
        <w:rPr>
          <w:szCs w:val="24"/>
        </w:rPr>
        <w:t xml:space="preserve"> </w:t>
      </w:r>
      <w:r w:rsidRPr="007D7D1C" w:rsidR="00F9588B">
        <w:rPr>
          <w:szCs w:val="24"/>
        </w:rPr>
        <w:t>While awaiting a Supreme Court ruling,</w:t>
      </w:r>
      <w:r w:rsidRPr="007D7D1C" w:rsidR="001E57DA">
        <w:rPr>
          <w:szCs w:val="24"/>
        </w:rPr>
        <w:t xml:space="preserve"> </w:t>
      </w:r>
      <w:r w:rsidRPr="007D7D1C" w:rsidR="00077C3D">
        <w:rPr>
          <w:szCs w:val="24"/>
        </w:rPr>
        <w:t>PALMco</w:t>
      </w:r>
      <w:r w:rsidRPr="007D7D1C" w:rsidR="001E57DA">
        <w:rPr>
          <w:szCs w:val="24"/>
        </w:rPr>
        <w:t xml:space="preserve"> seeks</w:t>
      </w:r>
      <w:r w:rsidRPr="007D7D1C" w:rsidR="00077C3D">
        <w:rPr>
          <w:szCs w:val="24"/>
        </w:rPr>
        <w:t xml:space="preserve"> to stay the PUCO</w:t>
      </w:r>
      <w:r w:rsidRPr="007D7D1C" w:rsidR="00D37A59">
        <w:rPr>
          <w:szCs w:val="24"/>
        </w:rPr>
        <w:t>’s</w:t>
      </w:r>
      <w:r w:rsidRPr="007D7D1C" w:rsidR="00077C3D">
        <w:rPr>
          <w:szCs w:val="24"/>
        </w:rPr>
        <w:t xml:space="preserve"> investigation</w:t>
      </w:r>
      <w:r w:rsidRPr="007D7D1C" w:rsidR="00A35919">
        <w:rPr>
          <w:szCs w:val="24"/>
        </w:rPr>
        <w:t xml:space="preserve"> (</w:t>
      </w:r>
      <w:r w:rsidRPr="007D7D1C" w:rsidR="00783940">
        <w:rPr>
          <w:szCs w:val="24"/>
        </w:rPr>
        <w:t>for an unknown period of time</w:t>
      </w:r>
      <w:r w:rsidRPr="007D7D1C" w:rsidR="00A35919">
        <w:rPr>
          <w:szCs w:val="24"/>
        </w:rPr>
        <w:t>)</w:t>
      </w:r>
      <w:r w:rsidRPr="007D7D1C" w:rsidR="00077C3D">
        <w:rPr>
          <w:szCs w:val="24"/>
        </w:rPr>
        <w:t xml:space="preserve"> </w:t>
      </w:r>
      <w:r w:rsidRPr="007D7D1C" w:rsidR="00D37A59">
        <w:rPr>
          <w:szCs w:val="24"/>
        </w:rPr>
        <w:t>until the Court rules</w:t>
      </w:r>
      <w:r w:rsidRPr="007D7D1C" w:rsidR="00783940">
        <w:rPr>
          <w:szCs w:val="24"/>
        </w:rPr>
        <w:t xml:space="preserve"> on the Complaint</w:t>
      </w:r>
      <w:r w:rsidRPr="007D7D1C" w:rsidR="001E57DA">
        <w:rPr>
          <w:szCs w:val="24"/>
        </w:rPr>
        <w:t xml:space="preserve"> (which could be many months)</w:t>
      </w:r>
      <w:r w:rsidRPr="007D7D1C" w:rsidR="00D37A59">
        <w:rPr>
          <w:szCs w:val="24"/>
        </w:rPr>
        <w:t>.</w:t>
      </w:r>
      <w:r w:rsidRPr="007D7D1C" w:rsidR="00AF11FB">
        <w:rPr>
          <w:szCs w:val="24"/>
        </w:rPr>
        <w:t xml:space="preserve"> </w:t>
      </w:r>
      <w:r w:rsidRPr="007D7D1C" w:rsidR="00D37A59">
        <w:rPr>
          <w:szCs w:val="24"/>
        </w:rPr>
        <w:t xml:space="preserve">The PUCO should deny </w:t>
      </w:r>
      <w:r w:rsidRPr="007D7D1C" w:rsidR="00AF11FB">
        <w:rPr>
          <w:szCs w:val="24"/>
        </w:rPr>
        <w:t xml:space="preserve">PALMco’s </w:t>
      </w:r>
      <w:r w:rsidRPr="007D7D1C" w:rsidR="00D37A59">
        <w:rPr>
          <w:szCs w:val="24"/>
        </w:rPr>
        <w:t>m</w:t>
      </w:r>
      <w:r w:rsidRPr="007D7D1C" w:rsidR="00AF11FB">
        <w:rPr>
          <w:szCs w:val="24"/>
        </w:rPr>
        <w:t>otion</w:t>
      </w:r>
      <w:r w:rsidRPr="007D7D1C" w:rsidR="00272FED">
        <w:rPr>
          <w:szCs w:val="24"/>
        </w:rPr>
        <w:t xml:space="preserve"> for stay</w:t>
      </w:r>
      <w:r w:rsidRPr="007D7D1C" w:rsidR="00AF11FB">
        <w:rPr>
          <w:szCs w:val="24"/>
        </w:rPr>
        <w:t xml:space="preserve"> </w:t>
      </w:r>
      <w:r w:rsidRPr="007D7D1C" w:rsidR="00D37A59">
        <w:rPr>
          <w:szCs w:val="24"/>
        </w:rPr>
        <w:t>and</w:t>
      </w:r>
      <w:r w:rsidRPr="007D7D1C">
        <w:rPr>
          <w:szCs w:val="24"/>
        </w:rPr>
        <w:t xml:space="preserve"> </w:t>
      </w:r>
      <w:r w:rsidRPr="007D7D1C" w:rsidR="00783940">
        <w:rPr>
          <w:szCs w:val="24"/>
        </w:rPr>
        <w:t xml:space="preserve">instead </w:t>
      </w:r>
      <w:r w:rsidRPr="007D7D1C">
        <w:rPr>
          <w:szCs w:val="24"/>
        </w:rPr>
        <w:t>establish a procedural schedule that provides</w:t>
      </w:r>
      <w:r w:rsidRPr="007D7D1C" w:rsidR="00064EF4">
        <w:rPr>
          <w:szCs w:val="24"/>
        </w:rPr>
        <w:t xml:space="preserve"> ample opportunity to develop the record</w:t>
      </w:r>
      <w:r w:rsidRPr="007D7D1C" w:rsidR="00783940">
        <w:rPr>
          <w:szCs w:val="24"/>
        </w:rPr>
        <w:t xml:space="preserve"> for consumer protection</w:t>
      </w:r>
      <w:r w:rsidRPr="007D7D1C" w:rsidR="00064EF4">
        <w:rPr>
          <w:szCs w:val="24"/>
        </w:rPr>
        <w:t>.</w:t>
      </w:r>
      <w:r w:rsidRPr="007D7D1C" w:rsidR="00D20044">
        <w:rPr>
          <w:szCs w:val="24"/>
        </w:rPr>
        <w:t xml:space="preserve"> </w:t>
      </w:r>
    </w:p>
    <w:p w:rsidR="002F6E07" w:rsidRPr="007D7D1C" w:rsidP="00666E57" w14:paraId="3BFCDFF5" w14:textId="40C90FEB">
      <w:pPr>
        <w:spacing w:line="480" w:lineRule="auto"/>
        <w:ind w:firstLine="720"/>
        <w:rPr>
          <w:color w:val="2E75B6"/>
          <w:szCs w:val="24"/>
        </w:rPr>
      </w:pPr>
      <w:r w:rsidRPr="007D7D1C">
        <w:rPr>
          <w:szCs w:val="24"/>
        </w:rPr>
        <w:t xml:space="preserve">The public interest weighs </w:t>
      </w:r>
      <w:r w:rsidRPr="007D7D1C" w:rsidR="00A35919">
        <w:rPr>
          <w:szCs w:val="24"/>
        </w:rPr>
        <w:t xml:space="preserve">heavily </w:t>
      </w:r>
      <w:r w:rsidRPr="007D7D1C">
        <w:rPr>
          <w:szCs w:val="24"/>
        </w:rPr>
        <w:t>in favor of moving</w:t>
      </w:r>
      <w:r w:rsidRPr="007D7D1C" w:rsidR="00F9588B">
        <w:rPr>
          <w:szCs w:val="24"/>
        </w:rPr>
        <w:t xml:space="preserve"> forward with</w:t>
      </w:r>
      <w:r w:rsidRPr="007D7D1C">
        <w:rPr>
          <w:szCs w:val="24"/>
        </w:rPr>
        <w:t xml:space="preserve"> this case to</w:t>
      </w:r>
      <w:r w:rsidRPr="007D7D1C" w:rsidR="00CC3AEB">
        <w:rPr>
          <w:szCs w:val="24"/>
        </w:rPr>
        <w:t xml:space="preserve"> </w:t>
      </w:r>
      <w:r w:rsidRPr="007D7D1C" w:rsidR="00F9588B">
        <w:rPr>
          <w:szCs w:val="24"/>
        </w:rPr>
        <w:t>bring some remedy to those customers who may have been injured by</w:t>
      </w:r>
      <w:r w:rsidRPr="007D7D1C" w:rsidR="00CC3AEB">
        <w:rPr>
          <w:szCs w:val="24"/>
        </w:rPr>
        <w:t xml:space="preserve"> PALMco between August 1, 2019 and December 10, 2019</w:t>
      </w:r>
      <w:r w:rsidRPr="007D7D1C" w:rsidR="00F9588B">
        <w:rPr>
          <w:szCs w:val="24"/>
        </w:rPr>
        <w:t xml:space="preserve">. </w:t>
      </w:r>
      <w:r w:rsidRPr="007D7D1C" w:rsidR="00123C40">
        <w:rPr>
          <w:szCs w:val="24"/>
        </w:rPr>
        <w:t xml:space="preserve">Denying PALMco’s </w:t>
      </w:r>
      <w:r w:rsidRPr="007D7D1C" w:rsidR="001C2751">
        <w:rPr>
          <w:szCs w:val="24"/>
        </w:rPr>
        <w:t>m</w:t>
      </w:r>
      <w:r w:rsidRPr="007D7D1C" w:rsidR="00123C40">
        <w:rPr>
          <w:szCs w:val="24"/>
        </w:rPr>
        <w:t>otion and moving forward with this proceeding</w:t>
      </w:r>
      <w:r w:rsidRPr="007D7D1C" w:rsidR="00863426">
        <w:rPr>
          <w:szCs w:val="24"/>
        </w:rPr>
        <w:t xml:space="preserve"> could</w:t>
      </w:r>
      <w:r w:rsidRPr="007D7D1C" w:rsidR="009D07AD">
        <w:rPr>
          <w:szCs w:val="24"/>
        </w:rPr>
        <w:t xml:space="preserve"> benefit customers by</w:t>
      </w:r>
      <w:r w:rsidRPr="007D7D1C" w:rsidR="00863426">
        <w:rPr>
          <w:szCs w:val="24"/>
        </w:rPr>
        <w:t xml:space="preserve"> expedit</w:t>
      </w:r>
      <w:r w:rsidRPr="007D7D1C" w:rsidR="009D07AD">
        <w:rPr>
          <w:szCs w:val="24"/>
        </w:rPr>
        <w:t>ing</w:t>
      </w:r>
      <w:r w:rsidRPr="007D7D1C" w:rsidR="00863426">
        <w:rPr>
          <w:szCs w:val="24"/>
        </w:rPr>
        <w:t xml:space="preserve"> potential refunds to PALMco’s former customers</w:t>
      </w:r>
      <w:r w:rsidRPr="007D7D1C" w:rsidR="00F9588B">
        <w:rPr>
          <w:szCs w:val="24"/>
        </w:rPr>
        <w:t xml:space="preserve"> who</w:t>
      </w:r>
      <w:r w:rsidRPr="007D7D1C" w:rsidR="001C2751">
        <w:rPr>
          <w:szCs w:val="24"/>
        </w:rPr>
        <w:t xml:space="preserve"> </w:t>
      </w:r>
      <w:r w:rsidRPr="007D7D1C" w:rsidR="00F9588B">
        <w:rPr>
          <w:szCs w:val="24"/>
        </w:rPr>
        <w:t>are particularly vulnerable in these difficult times</w:t>
      </w:r>
      <w:r w:rsidRPr="007D7D1C" w:rsidR="00656D54">
        <w:rPr>
          <w:szCs w:val="24"/>
        </w:rPr>
        <w:t xml:space="preserve"> </w:t>
      </w:r>
      <w:r w:rsidRPr="007D7D1C" w:rsidR="00F9588B">
        <w:rPr>
          <w:szCs w:val="24"/>
        </w:rPr>
        <w:t>caused by the coronavirus pandemic.</w:t>
      </w:r>
      <w:r w:rsidRPr="007D7D1C" w:rsidR="00656D54">
        <w:rPr>
          <w:szCs w:val="24"/>
        </w:rPr>
        <w:t xml:space="preserve"> </w:t>
      </w:r>
      <w:r w:rsidRPr="007D7D1C" w:rsidR="00783940">
        <w:rPr>
          <w:szCs w:val="24"/>
        </w:rPr>
        <w:t>In addition, m</w:t>
      </w:r>
      <w:r w:rsidRPr="007D7D1C" w:rsidR="001C2751">
        <w:rPr>
          <w:szCs w:val="24"/>
        </w:rPr>
        <w:t xml:space="preserve">oving forward will </w:t>
      </w:r>
      <w:r w:rsidRPr="007D7D1C" w:rsidR="00123C40">
        <w:rPr>
          <w:szCs w:val="24"/>
        </w:rPr>
        <w:t xml:space="preserve">send a </w:t>
      </w:r>
      <w:r w:rsidRPr="007D7D1C" w:rsidR="00D60537">
        <w:rPr>
          <w:szCs w:val="24"/>
        </w:rPr>
        <w:t xml:space="preserve">clear </w:t>
      </w:r>
      <w:r w:rsidRPr="007D7D1C" w:rsidR="00123C40">
        <w:rPr>
          <w:szCs w:val="24"/>
        </w:rPr>
        <w:t xml:space="preserve">message to </w:t>
      </w:r>
      <w:r w:rsidRPr="007D7D1C" w:rsidR="00863426">
        <w:rPr>
          <w:szCs w:val="24"/>
        </w:rPr>
        <w:t>other</w:t>
      </w:r>
      <w:r w:rsidRPr="007D7D1C" w:rsidR="001F195E">
        <w:rPr>
          <w:szCs w:val="24"/>
        </w:rPr>
        <w:t xml:space="preserve"> </w:t>
      </w:r>
      <w:r w:rsidRPr="007D7D1C" w:rsidR="00123C40">
        <w:rPr>
          <w:szCs w:val="24"/>
        </w:rPr>
        <w:t>suppliers</w:t>
      </w:r>
      <w:r w:rsidRPr="007D7D1C" w:rsidR="005C5BFE">
        <w:rPr>
          <w:szCs w:val="24"/>
        </w:rPr>
        <w:t xml:space="preserve"> in Ohio</w:t>
      </w:r>
      <w:r w:rsidRPr="007D7D1C" w:rsidR="00123C40">
        <w:rPr>
          <w:szCs w:val="24"/>
        </w:rPr>
        <w:t xml:space="preserve"> that the PUCO will not tolerate misleading</w:t>
      </w:r>
      <w:r w:rsidRPr="007D7D1C" w:rsidR="009D07AD">
        <w:rPr>
          <w:szCs w:val="24"/>
        </w:rPr>
        <w:t xml:space="preserve"> or deceptive</w:t>
      </w:r>
      <w:r w:rsidRPr="007D7D1C" w:rsidR="00123C40">
        <w:rPr>
          <w:szCs w:val="24"/>
        </w:rPr>
        <w:t xml:space="preserve"> business conduct and unconscionable </w:t>
      </w:r>
      <w:r w:rsidRPr="007D7D1C" w:rsidR="009D07AD">
        <w:rPr>
          <w:szCs w:val="24"/>
        </w:rPr>
        <w:t>acts</w:t>
      </w:r>
      <w:r w:rsidRPr="007D7D1C" w:rsidR="00123C40">
        <w:rPr>
          <w:szCs w:val="24"/>
        </w:rPr>
        <w:t>.</w:t>
      </w:r>
      <w:r w:rsidRPr="007D7D1C" w:rsidR="00783940">
        <w:rPr>
          <w:szCs w:val="24"/>
        </w:rPr>
        <w:t xml:space="preserve"> Proceeding with this case is also necessary to preserve evidence</w:t>
      </w:r>
      <w:r w:rsidRPr="007D7D1C" w:rsidR="00713E23">
        <w:rPr>
          <w:szCs w:val="24"/>
        </w:rPr>
        <w:t xml:space="preserve"> that may go stale or be destroyed when it is no longer protected by the PUCO’s record retention rules.</w:t>
      </w:r>
      <w:r w:rsidRPr="007D7D1C" w:rsidR="001D207F">
        <w:rPr>
          <w:szCs w:val="24"/>
        </w:rPr>
        <w:t xml:space="preserve"> </w:t>
      </w:r>
      <w:r w:rsidRPr="007D7D1C" w:rsidR="009D07AD">
        <w:rPr>
          <w:color w:val="2E75B6"/>
          <w:szCs w:val="24"/>
        </w:rPr>
        <w:t xml:space="preserve"> </w:t>
      </w:r>
      <w:r w:rsidRPr="007D7D1C" w:rsidR="00F46888">
        <w:rPr>
          <w:color w:val="2E75B6"/>
          <w:szCs w:val="24"/>
        </w:rPr>
        <w:tab/>
      </w:r>
    </w:p>
    <w:p w:rsidR="002F6E07" w:rsidRPr="007D7D1C" w:rsidP="004D156B" w14:paraId="7F445F19" w14:textId="7C8B4F29">
      <w:pPr>
        <w:ind w:firstLine="360"/>
        <w:rPr>
          <w:szCs w:val="24"/>
        </w:rPr>
      </w:pPr>
    </w:p>
    <w:p w:rsidR="00CE44C8" w:rsidRPr="007D7D1C" w:rsidP="00FB4D13" w14:paraId="635182CC" w14:textId="4C05A816">
      <w:pPr>
        <w:pStyle w:val="Heading1"/>
        <w:numPr>
          <w:ilvl w:val="0"/>
          <w:numId w:val="15"/>
        </w:numPr>
        <w:ind w:left="720"/>
      </w:pPr>
      <w:bookmarkStart w:id="4" w:name="_Toc48209087"/>
      <w:bookmarkStart w:id="5" w:name="_Toc48662981"/>
      <w:r w:rsidRPr="007D7D1C">
        <w:t>ARGUMENT</w:t>
      </w:r>
      <w:bookmarkEnd w:id="4"/>
      <w:bookmarkEnd w:id="5"/>
    </w:p>
    <w:p w:rsidR="00E743C5" w:rsidRPr="007D7D1C" w:rsidP="004D156B" w14:paraId="496F0733" w14:textId="7C749225">
      <w:pPr>
        <w:pStyle w:val="BodyTextIndent3"/>
        <w:widowControl w:val="0"/>
        <w:spacing w:line="480" w:lineRule="auto"/>
        <w:rPr>
          <w:szCs w:val="24"/>
        </w:rPr>
      </w:pPr>
      <w:r w:rsidRPr="007D7D1C">
        <w:rPr>
          <w:szCs w:val="24"/>
        </w:rPr>
        <w:t>PALMco acknowledges in its motion that the PUCO generally favors a four-factor test in determining whether it will grant a motion to stay a proceeding.</w:t>
      </w:r>
      <w:r>
        <w:rPr>
          <w:rStyle w:val="FootnoteReference"/>
          <w:szCs w:val="24"/>
        </w:rPr>
        <w:footnoteReference w:id="3"/>
      </w:r>
      <w:r w:rsidRPr="007D7D1C">
        <w:rPr>
          <w:szCs w:val="24"/>
        </w:rPr>
        <w:t xml:space="preserve"> These factors include: </w:t>
      </w:r>
    </w:p>
    <w:p w:rsidR="00E743C5" w:rsidRPr="007D7D1C" w:rsidP="004D156B" w14:paraId="100E291D" w14:textId="554439AA">
      <w:pPr>
        <w:pStyle w:val="ListParagraph"/>
        <w:ind w:left="1080"/>
      </w:pPr>
      <w:r w:rsidRPr="007D7D1C">
        <w:t xml:space="preserve">whether there has been a strong showing that the party seeking the stay is likely to prevail on the merits; whether the party seeking the stay has shown that it </w:t>
      </w:r>
      <w:r w:rsidR="00E248CF">
        <w:t>would</w:t>
      </w:r>
      <w:r w:rsidRPr="007D7D1C">
        <w:t xml:space="preserve"> suffer irreparable harm absent the stay; whether the stay would cause substantial harm to other parties; and where lies the public interest.</w:t>
      </w:r>
      <w:r>
        <w:rPr>
          <w:rStyle w:val="FootnoteReference"/>
        </w:rPr>
        <w:footnoteReference w:id="4"/>
      </w:r>
    </w:p>
    <w:p w:rsidR="00D05A72" w:rsidRPr="007D7D1C" w:rsidP="00D05A72" w14:paraId="3A56B85D" w14:textId="0CACCA34">
      <w:pPr>
        <w:rPr>
          <w:szCs w:val="24"/>
        </w:rPr>
      </w:pPr>
    </w:p>
    <w:p w:rsidR="007D6C58" w:rsidRPr="007D7D1C" w14:paraId="5BD5DAAC" w14:textId="4536AB10">
      <w:pPr>
        <w:pStyle w:val="BodyTextIndent3"/>
        <w:widowControl w:val="0"/>
        <w:spacing w:line="480" w:lineRule="auto"/>
        <w:ind w:firstLine="0"/>
        <w:rPr>
          <w:szCs w:val="24"/>
        </w:rPr>
      </w:pPr>
      <w:r w:rsidRPr="007D7D1C">
        <w:rPr>
          <w:szCs w:val="24"/>
        </w:rPr>
        <w:t xml:space="preserve">PALMco fails to establish that a stay of the proceedings is warranted under these factors. PALMco’s motion should be denied.  </w:t>
      </w:r>
    </w:p>
    <w:p w:rsidR="007D6C58" w:rsidRPr="007D7D1C" w14:paraId="33AE3D1C" w14:textId="77777777">
      <w:pPr>
        <w:rPr>
          <w:szCs w:val="24"/>
        </w:rPr>
      </w:pPr>
      <w:r w:rsidRPr="007D7D1C">
        <w:rPr>
          <w:szCs w:val="24"/>
        </w:rPr>
        <w:br w:type="page"/>
      </w:r>
    </w:p>
    <w:p w:rsidR="00C27227" w:rsidRPr="007D7D1C" w:rsidP="005609BA" w14:paraId="4913B515" w14:textId="14942EF5">
      <w:pPr>
        <w:pStyle w:val="Heading2"/>
        <w:rPr>
          <w:bCs/>
          <w:szCs w:val="24"/>
        </w:rPr>
      </w:pPr>
      <w:bookmarkStart w:id="6" w:name="_Toc48209088"/>
      <w:bookmarkStart w:id="7" w:name="_Toc48662982"/>
      <w:r w:rsidRPr="007D7D1C">
        <w:rPr>
          <w:szCs w:val="24"/>
        </w:rPr>
        <w:t>The PUCO has jurisdiction to investigate PALMco’s business</w:t>
      </w:r>
      <w:r w:rsidRPr="007D7D1C">
        <w:rPr>
          <w:bCs/>
          <w:szCs w:val="24"/>
        </w:rPr>
        <w:t xml:space="preserve"> </w:t>
      </w:r>
      <w:r w:rsidRPr="007D7D1C">
        <w:rPr>
          <w:szCs w:val="24"/>
        </w:rPr>
        <w:t>practices that resulted in</w:t>
      </w:r>
      <w:r w:rsidRPr="007D7D1C" w:rsidR="009D07AD">
        <w:rPr>
          <w:szCs w:val="24"/>
        </w:rPr>
        <w:t xml:space="preserve"> unconscionable </w:t>
      </w:r>
      <w:r w:rsidRPr="007D7D1C">
        <w:rPr>
          <w:szCs w:val="24"/>
        </w:rPr>
        <w:t>rates charged to customers while it operated as a competitive electric and natural gas supplier in Ohio.</w:t>
      </w:r>
      <w:r w:rsidRPr="007D7D1C" w:rsidR="004C2DDC">
        <w:rPr>
          <w:szCs w:val="24"/>
        </w:rPr>
        <w:t xml:space="preserve"> </w:t>
      </w:r>
      <w:r w:rsidRPr="007D7D1C" w:rsidR="00597439">
        <w:rPr>
          <w:szCs w:val="24"/>
        </w:rPr>
        <w:t>Thus, PALMco’s claim that the PUCO has no jurisdiction is unlikely to succeed on the merits and the PUCO should not stay the proceeding.</w:t>
      </w:r>
      <w:bookmarkEnd w:id="6"/>
      <w:bookmarkEnd w:id="7"/>
    </w:p>
    <w:p w:rsidR="002F6E07" w:rsidRPr="007D7D1C" w:rsidP="004D156B" w14:paraId="56489A13" w14:textId="2FC7A72B">
      <w:pPr>
        <w:pStyle w:val="BodyTextIndent3"/>
        <w:widowControl w:val="0"/>
        <w:spacing w:line="480" w:lineRule="auto"/>
        <w:rPr>
          <w:szCs w:val="24"/>
        </w:rPr>
      </w:pPr>
      <w:r w:rsidRPr="007D7D1C">
        <w:rPr>
          <w:szCs w:val="24"/>
        </w:rPr>
        <w:t>PALMco claim</w:t>
      </w:r>
      <w:r w:rsidRPr="007D7D1C" w:rsidR="004C2DDC">
        <w:rPr>
          <w:szCs w:val="24"/>
        </w:rPr>
        <w:t xml:space="preserve">s that a stay of the </w:t>
      </w:r>
      <w:r w:rsidRPr="007D7D1C" w:rsidR="00EC257D">
        <w:rPr>
          <w:szCs w:val="24"/>
        </w:rPr>
        <w:t>investigation</w:t>
      </w:r>
      <w:r w:rsidRPr="007D7D1C" w:rsidR="004C2DDC">
        <w:rPr>
          <w:szCs w:val="24"/>
        </w:rPr>
        <w:t xml:space="preserve"> is </w:t>
      </w:r>
      <w:r w:rsidRPr="007D7D1C" w:rsidR="00EC257D">
        <w:rPr>
          <w:szCs w:val="24"/>
        </w:rPr>
        <w:t>appropriate</w:t>
      </w:r>
      <w:r w:rsidRPr="007D7D1C" w:rsidR="004C2DDC">
        <w:rPr>
          <w:szCs w:val="24"/>
        </w:rPr>
        <w:t xml:space="preserve"> because</w:t>
      </w:r>
      <w:r w:rsidRPr="007D7D1C" w:rsidR="00FC07D3">
        <w:rPr>
          <w:szCs w:val="24"/>
        </w:rPr>
        <w:t xml:space="preserve"> it is likely to succeed on the merits of this case.</w:t>
      </w:r>
      <w:r w:rsidRPr="007D7D1C" w:rsidR="004C2DDC">
        <w:rPr>
          <w:szCs w:val="24"/>
        </w:rPr>
        <w:t xml:space="preserve"> </w:t>
      </w:r>
      <w:r w:rsidRPr="007D7D1C" w:rsidR="00FC07D3">
        <w:rPr>
          <w:szCs w:val="24"/>
        </w:rPr>
        <w:t>PALMco</w:t>
      </w:r>
      <w:r w:rsidRPr="007D7D1C" w:rsidR="00EC257D">
        <w:rPr>
          <w:szCs w:val="24"/>
        </w:rPr>
        <w:t xml:space="preserve"> claims that</w:t>
      </w:r>
      <w:r w:rsidRPr="007D7D1C" w:rsidR="004C2DDC">
        <w:rPr>
          <w:szCs w:val="24"/>
        </w:rPr>
        <w:t xml:space="preserve"> the PUCO has no jurisdiction </w:t>
      </w:r>
    </w:p>
    <w:p w:rsidR="002F6E07" w:rsidRPr="007D7D1C" w:rsidP="002F6E07" w14:paraId="4AA2CD95" w14:textId="75764BD8">
      <w:pPr>
        <w:pStyle w:val="BodyTextIndent3"/>
        <w:widowControl w:val="0"/>
        <w:spacing w:line="480" w:lineRule="auto"/>
        <w:ind w:firstLine="0"/>
        <w:rPr>
          <w:szCs w:val="24"/>
        </w:rPr>
      </w:pPr>
      <w:r w:rsidRPr="007D7D1C">
        <w:rPr>
          <w:szCs w:val="24"/>
        </w:rPr>
        <w:t xml:space="preserve">to investigate the rates </w:t>
      </w:r>
      <w:r w:rsidRPr="007D7D1C" w:rsidR="00FC07D3">
        <w:rPr>
          <w:szCs w:val="24"/>
        </w:rPr>
        <w:t>PALMco</w:t>
      </w:r>
      <w:r w:rsidRPr="007D7D1C">
        <w:rPr>
          <w:szCs w:val="24"/>
        </w:rPr>
        <w:t xml:space="preserve"> charged customers while it operated in Ohio.</w:t>
      </w:r>
      <w:r>
        <w:rPr>
          <w:rStyle w:val="FootnoteReference"/>
          <w:szCs w:val="24"/>
        </w:rPr>
        <w:footnoteReference w:id="5"/>
      </w:r>
      <w:r w:rsidRPr="007D7D1C">
        <w:rPr>
          <w:szCs w:val="24"/>
        </w:rPr>
        <w:t xml:space="preserve"> </w:t>
      </w:r>
      <w:r w:rsidRPr="007D7D1C" w:rsidR="0003538E">
        <w:rPr>
          <w:szCs w:val="24"/>
        </w:rPr>
        <w:t xml:space="preserve">PALMco </w:t>
      </w:r>
      <w:r w:rsidRPr="007D7D1C" w:rsidR="00FC07D3">
        <w:rPr>
          <w:szCs w:val="24"/>
        </w:rPr>
        <w:t>is wrong</w:t>
      </w:r>
      <w:r w:rsidRPr="007D7D1C" w:rsidR="00D60537">
        <w:rPr>
          <w:szCs w:val="24"/>
        </w:rPr>
        <w:t>. The PUCO should deny PALMco’s</w:t>
      </w:r>
      <w:r w:rsidRPr="007D7D1C">
        <w:rPr>
          <w:szCs w:val="24"/>
        </w:rPr>
        <w:t xml:space="preserve"> motion.</w:t>
      </w:r>
    </w:p>
    <w:p w:rsidR="00F9588B" w:rsidRPr="007D7D1C" w:rsidP="004C2DDC" w14:paraId="5733FEE4" w14:textId="77777777">
      <w:pPr>
        <w:pStyle w:val="BodyTextIndent3"/>
        <w:widowControl w:val="0"/>
        <w:spacing w:line="480" w:lineRule="auto"/>
        <w:rPr>
          <w:szCs w:val="24"/>
        </w:rPr>
      </w:pPr>
      <w:r w:rsidRPr="007D7D1C">
        <w:rPr>
          <w:szCs w:val="24"/>
        </w:rPr>
        <w:t>PALMco</w:t>
      </w:r>
      <w:r w:rsidRPr="007D7D1C" w:rsidR="00272FED">
        <w:rPr>
          <w:szCs w:val="24"/>
        </w:rPr>
        <w:t xml:space="preserve"> argues</w:t>
      </w:r>
      <w:r w:rsidRPr="007D7D1C" w:rsidR="00327465">
        <w:rPr>
          <w:szCs w:val="24"/>
        </w:rPr>
        <w:t xml:space="preserve"> that</w:t>
      </w:r>
      <w:r w:rsidRPr="007D7D1C" w:rsidR="00747A81">
        <w:rPr>
          <w:szCs w:val="24"/>
        </w:rPr>
        <w:t xml:space="preserve"> </w:t>
      </w:r>
      <w:r w:rsidRPr="007D7D1C" w:rsidR="00327465">
        <w:rPr>
          <w:szCs w:val="24"/>
        </w:rPr>
        <w:t xml:space="preserve">competitive electric and </w:t>
      </w:r>
      <w:r w:rsidRPr="007D7D1C" w:rsidR="003A0939">
        <w:rPr>
          <w:szCs w:val="24"/>
        </w:rPr>
        <w:t xml:space="preserve">natural </w:t>
      </w:r>
      <w:r w:rsidRPr="007D7D1C" w:rsidR="00327465">
        <w:rPr>
          <w:szCs w:val="24"/>
        </w:rPr>
        <w:t>gas rates should be regulated by the market, not the PUCO.</w:t>
      </w:r>
      <w:r w:rsidRPr="007D7D1C" w:rsidR="00F66835">
        <w:rPr>
          <w:szCs w:val="24"/>
        </w:rPr>
        <w:t xml:space="preserve"> </w:t>
      </w:r>
      <w:r w:rsidRPr="007D7D1C" w:rsidR="00D60537">
        <w:rPr>
          <w:szCs w:val="24"/>
        </w:rPr>
        <w:t>According to</w:t>
      </w:r>
      <w:r w:rsidRPr="007D7D1C" w:rsidR="00F66835">
        <w:rPr>
          <w:szCs w:val="24"/>
        </w:rPr>
        <w:t xml:space="preserve"> PALMco, </w:t>
      </w:r>
      <w:r w:rsidRPr="007D7D1C" w:rsidR="00187F7F">
        <w:rPr>
          <w:szCs w:val="24"/>
        </w:rPr>
        <w:t xml:space="preserve">a </w:t>
      </w:r>
      <w:r w:rsidRPr="007D7D1C" w:rsidR="00F66835">
        <w:rPr>
          <w:szCs w:val="24"/>
        </w:rPr>
        <w:t>competitive supplier should be able to</w:t>
      </w:r>
      <w:r w:rsidRPr="007D7D1C" w:rsidR="00747A81">
        <w:rPr>
          <w:szCs w:val="24"/>
        </w:rPr>
        <w:t xml:space="preserve"> charge customers whatever </w:t>
      </w:r>
      <w:r w:rsidRPr="007D7D1C" w:rsidR="00187F7F">
        <w:rPr>
          <w:szCs w:val="24"/>
        </w:rPr>
        <w:t>it</w:t>
      </w:r>
      <w:r w:rsidRPr="007D7D1C" w:rsidR="00272FED">
        <w:rPr>
          <w:szCs w:val="24"/>
        </w:rPr>
        <w:t xml:space="preserve"> wants</w:t>
      </w:r>
      <w:r w:rsidRPr="007D7D1C" w:rsidR="00F66835">
        <w:rPr>
          <w:szCs w:val="24"/>
        </w:rPr>
        <w:t>, even if the rates are s</w:t>
      </w:r>
      <w:r w:rsidRPr="007D7D1C" w:rsidR="00D60537">
        <w:rPr>
          <w:szCs w:val="24"/>
        </w:rPr>
        <w:t>everal times</w:t>
      </w:r>
      <w:r w:rsidRPr="007D7D1C" w:rsidR="00F66835">
        <w:rPr>
          <w:szCs w:val="24"/>
        </w:rPr>
        <w:t xml:space="preserve"> higher than the utili</w:t>
      </w:r>
      <w:r w:rsidRPr="007D7D1C" w:rsidR="00D60537">
        <w:rPr>
          <w:szCs w:val="24"/>
        </w:rPr>
        <w:t>ties’</w:t>
      </w:r>
      <w:r w:rsidRPr="007D7D1C" w:rsidR="00F66835">
        <w:rPr>
          <w:szCs w:val="24"/>
        </w:rPr>
        <w:t xml:space="preserve"> standard </w:t>
      </w:r>
      <w:r w:rsidRPr="007D7D1C" w:rsidR="00D06E91">
        <w:rPr>
          <w:szCs w:val="24"/>
        </w:rPr>
        <w:t xml:space="preserve">service </w:t>
      </w:r>
      <w:r w:rsidRPr="007D7D1C" w:rsidR="00F66835">
        <w:rPr>
          <w:szCs w:val="24"/>
        </w:rPr>
        <w:t>offer</w:t>
      </w:r>
      <w:r w:rsidRPr="007D7D1C" w:rsidR="00D06E91">
        <w:rPr>
          <w:szCs w:val="24"/>
        </w:rPr>
        <w:t xml:space="preserve"> rate</w:t>
      </w:r>
      <w:r w:rsidRPr="007D7D1C" w:rsidR="006E13BB">
        <w:rPr>
          <w:szCs w:val="24"/>
        </w:rPr>
        <w:t>s</w:t>
      </w:r>
      <w:r w:rsidRPr="007D7D1C" w:rsidR="00747A81">
        <w:rPr>
          <w:szCs w:val="24"/>
        </w:rPr>
        <w:t>.</w:t>
      </w:r>
      <w:r w:rsidRPr="007D7D1C" w:rsidR="001D207F">
        <w:rPr>
          <w:szCs w:val="24"/>
        </w:rPr>
        <w:t xml:space="preserve"> </w:t>
      </w:r>
    </w:p>
    <w:p w:rsidR="00EF6795" w:rsidRPr="007D7D1C" w:rsidP="004C2DDC" w14:paraId="62B59A4E" w14:textId="2330260A">
      <w:pPr>
        <w:pStyle w:val="BodyTextIndent3"/>
        <w:widowControl w:val="0"/>
        <w:spacing w:line="480" w:lineRule="auto"/>
        <w:rPr>
          <w:szCs w:val="24"/>
        </w:rPr>
      </w:pPr>
      <w:r w:rsidRPr="007D7D1C">
        <w:rPr>
          <w:szCs w:val="24"/>
        </w:rPr>
        <w:t>But</w:t>
      </w:r>
      <w:r w:rsidRPr="007D7D1C" w:rsidR="00747A81">
        <w:rPr>
          <w:szCs w:val="24"/>
        </w:rPr>
        <w:t xml:space="preserve"> </w:t>
      </w:r>
      <w:r w:rsidRPr="007D7D1C" w:rsidR="00F66835">
        <w:rPr>
          <w:szCs w:val="24"/>
        </w:rPr>
        <w:t xml:space="preserve">even assuming </w:t>
      </w:r>
      <w:r w:rsidRPr="007D7D1C" w:rsidR="00F66835">
        <w:rPr>
          <w:i/>
          <w:iCs/>
          <w:szCs w:val="24"/>
        </w:rPr>
        <w:t>arguendo</w:t>
      </w:r>
      <w:r w:rsidRPr="007D7D1C" w:rsidR="00F66835">
        <w:rPr>
          <w:szCs w:val="24"/>
        </w:rPr>
        <w:t xml:space="preserve"> that PALMco is correct</w:t>
      </w:r>
      <w:r w:rsidRPr="007D7D1C" w:rsidR="00EC257D">
        <w:rPr>
          <w:szCs w:val="24"/>
        </w:rPr>
        <w:t xml:space="preserve"> </w:t>
      </w:r>
      <w:r w:rsidRPr="007D7D1C" w:rsidR="00F66835">
        <w:rPr>
          <w:szCs w:val="24"/>
        </w:rPr>
        <w:t xml:space="preserve">that a competitive supplier can charge exorbitant rates (it </w:t>
      </w:r>
      <w:r w:rsidRPr="007D7D1C" w:rsidR="00EC257D">
        <w:rPr>
          <w:szCs w:val="24"/>
        </w:rPr>
        <w:t>cannot</w:t>
      </w:r>
      <w:r w:rsidRPr="007D7D1C" w:rsidR="00F66835">
        <w:rPr>
          <w:szCs w:val="24"/>
        </w:rPr>
        <w:t>)</w:t>
      </w:r>
      <w:r w:rsidRPr="007D7D1C" w:rsidR="00747A81">
        <w:rPr>
          <w:szCs w:val="24"/>
        </w:rPr>
        <w:t xml:space="preserve">, the PUCO </w:t>
      </w:r>
      <w:r w:rsidRPr="007D7D1C" w:rsidR="00F66835">
        <w:rPr>
          <w:szCs w:val="24"/>
        </w:rPr>
        <w:t>still has the unequivocal</w:t>
      </w:r>
      <w:r w:rsidRPr="007D7D1C" w:rsidR="00747A81">
        <w:rPr>
          <w:szCs w:val="24"/>
        </w:rPr>
        <w:t xml:space="preserve"> authority to regulate and investigate </w:t>
      </w:r>
      <w:r w:rsidRPr="007D7D1C">
        <w:rPr>
          <w:szCs w:val="24"/>
        </w:rPr>
        <w:t xml:space="preserve">a </w:t>
      </w:r>
      <w:r w:rsidRPr="007D7D1C" w:rsidR="00747A81">
        <w:rPr>
          <w:szCs w:val="24"/>
        </w:rPr>
        <w:t>competitive supplier</w:t>
      </w:r>
      <w:r w:rsidRPr="007D7D1C">
        <w:rPr>
          <w:szCs w:val="24"/>
        </w:rPr>
        <w:t>’s</w:t>
      </w:r>
      <w:r w:rsidRPr="007D7D1C" w:rsidR="00747A81">
        <w:rPr>
          <w:szCs w:val="24"/>
        </w:rPr>
        <w:t xml:space="preserve"> business </w:t>
      </w:r>
      <w:r w:rsidRPr="007D7D1C" w:rsidR="005E13FF">
        <w:rPr>
          <w:i/>
          <w:iCs/>
          <w:szCs w:val="24"/>
        </w:rPr>
        <w:t>conduct</w:t>
      </w:r>
      <w:r w:rsidRPr="007D7D1C" w:rsidR="00747A81">
        <w:rPr>
          <w:szCs w:val="24"/>
        </w:rPr>
        <w:t xml:space="preserve"> </w:t>
      </w:r>
      <w:r w:rsidRPr="007D7D1C" w:rsidR="00D06E91">
        <w:rPr>
          <w:szCs w:val="24"/>
        </w:rPr>
        <w:t>to determine if it is unfair, misleading, deceptive, and unconscionable.</w:t>
      </w:r>
      <w:r w:rsidRPr="007D7D1C" w:rsidR="001D207F">
        <w:rPr>
          <w:szCs w:val="24"/>
        </w:rPr>
        <w:t xml:space="preserve"> </w:t>
      </w:r>
      <w:r w:rsidRPr="007D7D1C" w:rsidR="00D06E91">
        <w:rPr>
          <w:szCs w:val="24"/>
        </w:rPr>
        <w:t>Misleading and deceiving customers and not providing them with sufficient information to make an informed decision that results in customers taking service from PALMco at unfair, excessive, and unconscionably high rates constitutes an unfair, misleading, deceptive, and unconscionable act and practice prohibited by Ohio law</w:t>
      </w:r>
      <w:r w:rsidRPr="007D7D1C" w:rsidR="00747A81">
        <w:rPr>
          <w:szCs w:val="24"/>
        </w:rPr>
        <w:t>.</w:t>
      </w:r>
      <w:r w:rsidRPr="007D7D1C" w:rsidR="00F66835">
        <w:rPr>
          <w:szCs w:val="24"/>
        </w:rPr>
        <w:t xml:space="preserve"> </w:t>
      </w:r>
      <w:r w:rsidRPr="007D7D1C" w:rsidR="009B7960">
        <w:rPr>
          <w:szCs w:val="24"/>
        </w:rPr>
        <w:t xml:space="preserve">For example, if PALMco did not provide customers with information to make informed choices or to understand </w:t>
      </w:r>
      <w:r w:rsidRPr="007D7D1C" w:rsidR="00B656D5">
        <w:rPr>
          <w:szCs w:val="24"/>
        </w:rPr>
        <w:t xml:space="preserve">that their monthly variable rates could be </w:t>
      </w:r>
      <w:r w:rsidRPr="007D7D1C" w:rsidR="00F66835">
        <w:rPr>
          <w:szCs w:val="24"/>
        </w:rPr>
        <w:t>several</w:t>
      </w:r>
      <w:r w:rsidRPr="007D7D1C" w:rsidR="00B656D5">
        <w:rPr>
          <w:szCs w:val="24"/>
        </w:rPr>
        <w:t xml:space="preserve"> times </w:t>
      </w:r>
      <w:r w:rsidRPr="007D7D1C" w:rsidR="00F66835">
        <w:rPr>
          <w:szCs w:val="24"/>
        </w:rPr>
        <w:t xml:space="preserve">higher than </w:t>
      </w:r>
      <w:r w:rsidRPr="007D7D1C" w:rsidR="00B656D5">
        <w:rPr>
          <w:szCs w:val="24"/>
        </w:rPr>
        <w:t>the utility’s standard</w:t>
      </w:r>
      <w:r w:rsidRPr="007D7D1C" w:rsidR="00EB2333">
        <w:rPr>
          <w:szCs w:val="24"/>
        </w:rPr>
        <w:t xml:space="preserve"> service</w:t>
      </w:r>
      <w:r w:rsidRPr="007D7D1C" w:rsidR="00B656D5">
        <w:rPr>
          <w:szCs w:val="24"/>
        </w:rPr>
        <w:t xml:space="preserve"> offer</w:t>
      </w:r>
      <w:r w:rsidRPr="007D7D1C" w:rsidR="009B7960">
        <w:rPr>
          <w:szCs w:val="24"/>
        </w:rPr>
        <w:t>,</w:t>
      </w:r>
      <w:r w:rsidRPr="007D7D1C" w:rsidR="00272FED">
        <w:rPr>
          <w:szCs w:val="24"/>
        </w:rPr>
        <w:t xml:space="preserve"> or if PALMco provided inaccurate market information,</w:t>
      </w:r>
      <w:r w:rsidRPr="007D7D1C" w:rsidR="009B7960">
        <w:rPr>
          <w:szCs w:val="24"/>
        </w:rPr>
        <w:t xml:space="preserve"> </w:t>
      </w:r>
      <w:r w:rsidRPr="007D7D1C" w:rsidR="00272FED">
        <w:rPr>
          <w:szCs w:val="24"/>
        </w:rPr>
        <w:t>it</w:t>
      </w:r>
      <w:r w:rsidRPr="007D7D1C" w:rsidR="009B7960">
        <w:rPr>
          <w:szCs w:val="24"/>
        </w:rPr>
        <w:t xml:space="preserve"> would be a violation of the PUCO’s rules.</w:t>
      </w:r>
      <w:r>
        <w:rPr>
          <w:rStyle w:val="FootnoteReference"/>
          <w:szCs w:val="24"/>
        </w:rPr>
        <w:footnoteReference w:id="6"/>
      </w:r>
      <w:r w:rsidRPr="007D7D1C" w:rsidR="00B656D5">
        <w:rPr>
          <w:szCs w:val="24"/>
        </w:rPr>
        <w:t xml:space="preserve"> If PALMco failed to provide customers with proper notification</w:t>
      </w:r>
      <w:r w:rsidRPr="007D7D1C" w:rsidR="00F66835">
        <w:rPr>
          <w:szCs w:val="24"/>
        </w:rPr>
        <w:t>s</w:t>
      </w:r>
      <w:r w:rsidRPr="007D7D1C" w:rsidR="00B656D5">
        <w:rPr>
          <w:szCs w:val="24"/>
        </w:rPr>
        <w:t xml:space="preserve"> that their fixed-rate contracts would automatically renew to unconscionably high monthly variable rate contracts, </w:t>
      </w:r>
      <w:r w:rsidRPr="007D7D1C" w:rsidR="00272FED">
        <w:rPr>
          <w:szCs w:val="24"/>
        </w:rPr>
        <w:t>it</w:t>
      </w:r>
      <w:r w:rsidRPr="007D7D1C" w:rsidR="00B656D5">
        <w:rPr>
          <w:szCs w:val="24"/>
        </w:rPr>
        <w:t xml:space="preserve"> would be a violation of the PUCO’s rules.</w:t>
      </w:r>
      <w:r>
        <w:rPr>
          <w:rStyle w:val="FootnoteReference"/>
          <w:szCs w:val="24"/>
        </w:rPr>
        <w:footnoteReference w:id="7"/>
      </w:r>
      <w:r w:rsidRPr="007D7D1C" w:rsidR="00B656D5">
        <w:rPr>
          <w:szCs w:val="24"/>
        </w:rPr>
        <w:t xml:space="preserve"> The</w:t>
      </w:r>
      <w:r w:rsidRPr="007D7D1C" w:rsidR="00F66835">
        <w:rPr>
          <w:szCs w:val="24"/>
        </w:rPr>
        <w:t>re is no question that the</w:t>
      </w:r>
      <w:r w:rsidRPr="007D7D1C" w:rsidR="00B656D5">
        <w:rPr>
          <w:szCs w:val="24"/>
        </w:rPr>
        <w:t xml:space="preserve"> PUCO has the authority </w:t>
      </w:r>
      <w:r w:rsidRPr="007D7D1C" w:rsidR="00EC257D">
        <w:rPr>
          <w:szCs w:val="24"/>
        </w:rPr>
        <w:t>under Ohio law</w:t>
      </w:r>
      <w:r>
        <w:rPr>
          <w:rStyle w:val="FootnoteReference"/>
          <w:szCs w:val="24"/>
        </w:rPr>
        <w:footnoteReference w:id="8"/>
      </w:r>
      <w:r w:rsidRPr="007D7D1C" w:rsidR="00EC257D">
        <w:rPr>
          <w:szCs w:val="24"/>
        </w:rPr>
        <w:t xml:space="preserve"> </w:t>
      </w:r>
      <w:r w:rsidRPr="007D7D1C" w:rsidR="00B656D5">
        <w:rPr>
          <w:szCs w:val="24"/>
        </w:rPr>
        <w:t xml:space="preserve">to investigate PALMco’s </w:t>
      </w:r>
      <w:r w:rsidRPr="007D7D1C" w:rsidR="005E13FF">
        <w:rPr>
          <w:szCs w:val="24"/>
        </w:rPr>
        <w:t>conduct</w:t>
      </w:r>
      <w:r w:rsidRPr="007D7D1C" w:rsidR="00B656D5">
        <w:rPr>
          <w:szCs w:val="24"/>
        </w:rPr>
        <w:t xml:space="preserve"> in this respect, and PALMco does not argue otherwise.</w:t>
      </w:r>
      <w:r w:rsidRPr="007D7D1C" w:rsidR="005E13FF">
        <w:rPr>
          <w:szCs w:val="24"/>
        </w:rPr>
        <w:t xml:space="preserve"> </w:t>
      </w:r>
    </w:p>
    <w:p w:rsidR="005E13FF" w:rsidRPr="007D7D1C" w:rsidP="00356C51" w14:paraId="6BED7F9F" w14:textId="1B45F80C">
      <w:pPr>
        <w:pStyle w:val="BodyTextIndent3"/>
        <w:widowControl w:val="0"/>
        <w:spacing w:line="480" w:lineRule="auto"/>
        <w:rPr>
          <w:szCs w:val="24"/>
        </w:rPr>
      </w:pPr>
      <w:r w:rsidRPr="007D7D1C">
        <w:rPr>
          <w:szCs w:val="24"/>
        </w:rPr>
        <w:t xml:space="preserve">PALMco claims that it did not engage in any marketing or solicitation </w:t>
      </w:r>
      <w:r w:rsidRPr="007D7D1C" w:rsidR="00773CC9">
        <w:rPr>
          <w:szCs w:val="24"/>
        </w:rPr>
        <w:t>practices during the relevant timeframe (August 1, 2019 to December 10, 2019).</w:t>
      </w:r>
      <w:r>
        <w:rPr>
          <w:rStyle w:val="FootnoteReference"/>
          <w:szCs w:val="24"/>
        </w:rPr>
        <w:footnoteReference w:id="9"/>
      </w:r>
      <w:r w:rsidRPr="007D7D1C" w:rsidR="00773CC9">
        <w:rPr>
          <w:szCs w:val="24"/>
        </w:rPr>
        <w:t xml:space="preserve"> </w:t>
      </w:r>
      <w:r w:rsidRPr="007D7D1C" w:rsidR="003B68A6">
        <w:rPr>
          <w:szCs w:val="24"/>
        </w:rPr>
        <w:t xml:space="preserve">However, even if PALMco </w:t>
      </w:r>
      <w:r w:rsidRPr="007D7D1C" w:rsidR="002455FE">
        <w:rPr>
          <w:szCs w:val="24"/>
        </w:rPr>
        <w:t>was not actively</w:t>
      </w:r>
      <w:r w:rsidRPr="007D7D1C" w:rsidR="003B68A6">
        <w:rPr>
          <w:szCs w:val="24"/>
        </w:rPr>
        <w:t xml:space="preserve"> solicit</w:t>
      </w:r>
      <w:r w:rsidRPr="007D7D1C" w:rsidR="002455FE">
        <w:rPr>
          <w:szCs w:val="24"/>
        </w:rPr>
        <w:t>ing</w:t>
      </w:r>
      <w:r w:rsidRPr="007D7D1C" w:rsidR="003B68A6">
        <w:rPr>
          <w:szCs w:val="24"/>
        </w:rPr>
        <w:t xml:space="preserve"> new customers during that timeframe,</w:t>
      </w:r>
      <w:r w:rsidRPr="007D7D1C" w:rsidR="00773CC9">
        <w:rPr>
          <w:szCs w:val="24"/>
        </w:rPr>
        <w:t xml:space="preserve"> PALMco </w:t>
      </w:r>
      <w:r w:rsidRPr="007D7D1C" w:rsidR="002455FE">
        <w:rPr>
          <w:szCs w:val="24"/>
        </w:rPr>
        <w:t xml:space="preserve">likely </w:t>
      </w:r>
      <w:r w:rsidRPr="007D7D1C" w:rsidR="00773CC9">
        <w:rPr>
          <w:szCs w:val="24"/>
        </w:rPr>
        <w:t>engage</w:t>
      </w:r>
      <w:r w:rsidRPr="007D7D1C" w:rsidR="003B68A6">
        <w:rPr>
          <w:szCs w:val="24"/>
        </w:rPr>
        <w:t>d</w:t>
      </w:r>
      <w:r w:rsidRPr="007D7D1C" w:rsidR="00773CC9">
        <w:rPr>
          <w:szCs w:val="24"/>
        </w:rPr>
        <w:t xml:space="preserve"> in other conduct (</w:t>
      </w:r>
      <w:r w:rsidRPr="007D7D1C" w:rsidR="00773CC9">
        <w:rPr>
          <w:i/>
          <w:iCs/>
          <w:szCs w:val="24"/>
        </w:rPr>
        <w:t>e.g.</w:t>
      </w:r>
      <w:r w:rsidRPr="007D7D1C" w:rsidR="00E170D0">
        <w:rPr>
          <w:szCs w:val="24"/>
        </w:rPr>
        <w:t>,</w:t>
      </w:r>
      <w:r w:rsidRPr="007D7D1C" w:rsidR="00773CC9">
        <w:rPr>
          <w:i/>
          <w:iCs/>
          <w:szCs w:val="24"/>
        </w:rPr>
        <w:t xml:space="preserve"> </w:t>
      </w:r>
      <w:r w:rsidRPr="007D7D1C" w:rsidR="00773CC9">
        <w:rPr>
          <w:szCs w:val="24"/>
        </w:rPr>
        <w:t>not</w:t>
      </w:r>
      <w:r w:rsidRPr="007D7D1C" w:rsidR="00272FED">
        <w:rPr>
          <w:szCs w:val="24"/>
        </w:rPr>
        <w:t xml:space="preserve"> properly</w:t>
      </w:r>
      <w:r w:rsidRPr="007D7D1C" w:rsidR="00773CC9">
        <w:rPr>
          <w:szCs w:val="24"/>
        </w:rPr>
        <w:t xml:space="preserve"> providing customers with information regarding monthly variable rates or contract renewals) in violation of the PUCO’s rules that resulted in </w:t>
      </w:r>
      <w:r w:rsidRPr="007D7D1C" w:rsidR="00272FED">
        <w:rPr>
          <w:szCs w:val="24"/>
        </w:rPr>
        <w:t>customers paying</w:t>
      </w:r>
      <w:r w:rsidRPr="007D7D1C" w:rsidR="00F60FAF">
        <w:rPr>
          <w:szCs w:val="24"/>
        </w:rPr>
        <w:t xml:space="preserve"> the</w:t>
      </w:r>
      <w:r w:rsidRPr="007D7D1C" w:rsidR="00272FED">
        <w:rPr>
          <w:szCs w:val="24"/>
        </w:rPr>
        <w:t xml:space="preserve"> </w:t>
      </w:r>
      <w:r w:rsidRPr="007D7D1C" w:rsidR="00773CC9">
        <w:rPr>
          <w:szCs w:val="24"/>
        </w:rPr>
        <w:t>unconscionable rates</w:t>
      </w:r>
      <w:r w:rsidRPr="007D7D1C" w:rsidR="00356C51">
        <w:rPr>
          <w:szCs w:val="24"/>
        </w:rPr>
        <w:t xml:space="preserve"> at issue in this case</w:t>
      </w:r>
      <w:r w:rsidRPr="007D7D1C" w:rsidR="00773CC9">
        <w:rPr>
          <w:szCs w:val="24"/>
        </w:rPr>
        <w:t>.</w:t>
      </w:r>
      <w:r w:rsidRPr="007D7D1C" w:rsidR="002455FE">
        <w:rPr>
          <w:szCs w:val="24"/>
        </w:rPr>
        <w:t xml:space="preserve"> That is what this case is about.</w:t>
      </w:r>
      <w:r w:rsidRPr="007D7D1C" w:rsidR="00773CC9">
        <w:rPr>
          <w:szCs w:val="24"/>
        </w:rPr>
        <w:t xml:space="preserve"> </w:t>
      </w:r>
      <w:r w:rsidRPr="007D7D1C" w:rsidR="00356C51">
        <w:rPr>
          <w:szCs w:val="24"/>
        </w:rPr>
        <w:t>Accordingly</w:t>
      </w:r>
      <w:r w:rsidRPr="007D7D1C" w:rsidR="00773CC9">
        <w:rPr>
          <w:szCs w:val="24"/>
        </w:rPr>
        <w:t xml:space="preserve">, </w:t>
      </w:r>
      <w:r w:rsidRPr="007D7D1C" w:rsidR="003D20C8">
        <w:rPr>
          <w:szCs w:val="24"/>
        </w:rPr>
        <w:t xml:space="preserve">PALMco’s </w:t>
      </w:r>
      <w:r w:rsidRPr="007D7D1C" w:rsidR="00773CC9">
        <w:rPr>
          <w:szCs w:val="24"/>
        </w:rPr>
        <w:t>claim</w:t>
      </w:r>
      <w:r w:rsidRPr="007D7D1C" w:rsidR="003D20C8">
        <w:rPr>
          <w:szCs w:val="24"/>
        </w:rPr>
        <w:t xml:space="preserve"> that the PUCO</w:t>
      </w:r>
      <w:r w:rsidRPr="007D7D1C" w:rsidR="00356C51">
        <w:rPr>
          <w:szCs w:val="24"/>
        </w:rPr>
        <w:t>’s investigation</w:t>
      </w:r>
      <w:r w:rsidRPr="007D7D1C" w:rsidR="003D20C8">
        <w:rPr>
          <w:szCs w:val="24"/>
        </w:rPr>
        <w:t xml:space="preserve"> is </w:t>
      </w:r>
      <w:r w:rsidRPr="007D7D1C" w:rsidR="00356C51">
        <w:rPr>
          <w:szCs w:val="24"/>
        </w:rPr>
        <w:t xml:space="preserve">an </w:t>
      </w:r>
      <w:r w:rsidRPr="007D7D1C" w:rsidR="002455FE">
        <w:rPr>
          <w:szCs w:val="24"/>
        </w:rPr>
        <w:t>unlawful</w:t>
      </w:r>
      <w:r w:rsidRPr="007D7D1C" w:rsidR="003D20C8">
        <w:rPr>
          <w:szCs w:val="24"/>
        </w:rPr>
        <w:t xml:space="preserve"> attempt to regulate competitive </w:t>
      </w:r>
      <w:r w:rsidRPr="007D7D1C" w:rsidR="003D20C8">
        <w:rPr>
          <w:i/>
          <w:iCs/>
          <w:szCs w:val="24"/>
        </w:rPr>
        <w:t>rates</w:t>
      </w:r>
      <w:r w:rsidRPr="007D7D1C" w:rsidR="00773CC9">
        <w:rPr>
          <w:szCs w:val="24"/>
        </w:rPr>
        <w:t xml:space="preserve"> </w:t>
      </w:r>
      <w:r w:rsidRPr="007D7D1C" w:rsidR="003A0939">
        <w:rPr>
          <w:szCs w:val="24"/>
        </w:rPr>
        <w:t xml:space="preserve">has </w:t>
      </w:r>
      <w:r w:rsidRPr="007D7D1C" w:rsidR="003B68A6">
        <w:rPr>
          <w:szCs w:val="24"/>
        </w:rPr>
        <w:t>little</w:t>
      </w:r>
      <w:r w:rsidRPr="007D7D1C" w:rsidR="003A0939">
        <w:rPr>
          <w:szCs w:val="24"/>
        </w:rPr>
        <w:t xml:space="preserve"> merit</w:t>
      </w:r>
      <w:r w:rsidRPr="007D7D1C" w:rsidR="003D20C8">
        <w:rPr>
          <w:szCs w:val="24"/>
        </w:rPr>
        <w:t>.</w:t>
      </w:r>
      <w:r w:rsidRPr="007D7D1C" w:rsidR="00356C51">
        <w:rPr>
          <w:szCs w:val="24"/>
        </w:rPr>
        <w:t xml:space="preserve"> PALMco’s motion should be denied.</w:t>
      </w:r>
    </w:p>
    <w:p w:rsidR="00EF6795" w:rsidRPr="007D7D1C" w:rsidP="00356C51" w14:paraId="1145D613" w14:textId="1E296765">
      <w:pPr>
        <w:pStyle w:val="BodyTextIndent3"/>
        <w:widowControl w:val="0"/>
        <w:spacing w:line="480" w:lineRule="auto"/>
        <w:rPr>
          <w:szCs w:val="24"/>
        </w:rPr>
      </w:pPr>
      <w:r w:rsidRPr="007D7D1C">
        <w:rPr>
          <w:szCs w:val="24"/>
        </w:rPr>
        <w:t>Further, even if the PUCO’s investigation w</w:t>
      </w:r>
      <w:r w:rsidRPr="007D7D1C" w:rsidR="00272FED">
        <w:rPr>
          <w:szCs w:val="24"/>
        </w:rPr>
        <w:t>as</w:t>
      </w:r>
      <w:r w:rsidRPr="007D7D1C">
        <w:rPr>
          <w:szCs w:val="24"/>
        </w:rPr>
        <w:t xml:space="preserve"> based solely on evidence of PALMco’s exorbitant rates charged to consumers, the PUCO would still have jurisdiction. Under R.C. 4928.10, the PUCO is required to adopt rules for electric marketers that “include a prohibition against unfair, deceptive, and unconscionable acts and practices in the marketing, solicitation, and sale of ... a competitive retail electric service and in the administration of any contract for service....” Applying this law, the PUCO could review the rates that a marketer charges and conclude that those rates are so high that to charge a customer such a rate would be an</w:t>
      </w:r>
      <w:r w:rsidRPr="007D7D1C" w:rsidR="007D554F">
        <w:rPr>
          <w:szCs w:val="24"/>
        </w:rPr>
        <w:t xml:space="preserve"> “unfair” and</w:t>
      </w:r>
      <w:r w:rsidRPr="007D7D1C">
        <w:rPr>
          <w:szCs w:val="24"/>
        </w:rPr>
        <w:t xml:space="preserve"> “unconscionable act” in the “sale of ... a competitive retail electric service.” For this independent reason, PALMco is unlikely to succeed on the merits of its claim that the PUCO lacks jurisdiction to perform this investigation.</w:t>
      </w:r>
    </w:p>
    <w:p w:rsidR="00EF6795" w:rsidRPr="007D7D1C" w:rsidP="000B5F86" w14:paraId="24C6550D" w14:textId="77777777">
      <w:pPr>
        <w:pStyle w:val="BodyTextIndent3"/>
        <w:widowControl w:val="0"/>
        <w:spacing w:line="480" w:lineRule="auto"/>
        <w:rPr>
          <w:szCs w:val="24"/>
        </w:rPr>
      </w:pPr>
      <w:r w:rsidRPr="007D7D1C">
        <w:rPr>
          <w:szCs w:val="24"/>
        </w:rPr>
        <w:t>PALMco also argues that a stay of the investigation is warranted because the</w:t>
      </w:r>
    </w:p>
    <w:p w:rsidR="00F9588B" w:rsidRPr="007D7D1C" w:rsidP="00EF6795" w14:paraId="534AC6DC" w14:textId="77777777">
      <w:pPr>
        <w:pStyle w:val="BodyTextIndent3"/>
        <w:widowControl w:val="0"/>
        <w:spacing w:line="480" w:lineRule="auto"/>
        <w:ind w:firstLine="0"/>
        <w:rPr>
          <w:szCs w:val="24"/>
        </w:rPr>
      </w:pPr>
      <w:r w:rsidRPr="007D7D1C">
        <w:rPr>
          <w:szCs w:val="24"/>
        </w:rPr>
        <w:t xml:space="preserve">PUCO’s </w:t>
      </w:r>
      <w:r w:rsidRPr="007D7D1C" w:rsidR="008C6259">
        <w:rPr>
          <w:szCs w:val="24"/>
        </w:rPr>
        <w:t xml:space="preserve">investigation in this case is barred by </w:t>
      </w:r>
      <w:r w:rsidRPr="007D7D1C" w:rsidR="008C6259">
        <w:rPr>
          <w:i/>
          <w:iCs/>
          <w:szCs w:val="24"/>
        </w:rPr>
        <w:t>res judicata</w:t>
      </w:r>
      <w:r w:rsidRPr="007D7D1C" w:rsidR="008C6259">
        <w:rPr>
          <w:szCs w:val="24"/>
        </w:rPr>
        <w:t>.</w:t>
      </w:r>
      <w:r>
        <w:rPr>
          <w:rStyle w:val="FootnoteReference"/>
          <w:szCs w:val="24"/>
        </w:rPr>
        <w:footnoteReference w:id="10"/>
      </w:r>
      <w:r w:rsidRPr="007D7D1C" w:rsidR="008C6259">
        <w:rPr>
          <w:szCs w:val="24"/>
        </w:rPr>
        <w:t xml:space="preserve"> PALMco</w:t>
      </w:r>
      <w:r w:rsidRPr="007D7D1C" w:rsidR="00356C51">
        <w:rPr>
          <w:szCs w:val="24"/>
        </w:rPr>
        <w:t xml:space="preserve"> asserts that</w:t>
      </w:r>
      <w:r w:rsidRPr="007D7D1C" w:rsidR="008C6259">
        <w:rPr>
          <w:szCs w:val="24"/>
        </w:rPr>
        <w:t xml:space="preserve"> </w:t>
      </w:r>
      <w:r w:rsidRPr="007D7D1C" w:rsidR="00A30E34">
        <w:rPr>
          <w:szCs w:val="24"/>
        </w:rPr>
        <w:t xml:space="preserve">its settlement with </w:t>
      </w:r>
      <w:r w:rsidRPr="007D7D1C" w:rsidR="008C6259">
        <w:rPr>
          <w:szCs w:val="24"/>
        </w:rPr>
        <w:t xml:space="preserve">the PUCO Staff resolving claims </w:t>
      </w:r>
      <w:r w:rsidRPr="007D7D1C" w:rsidR="00A30E34">
        <w:rPr>
          <w:szCs w:val="24"/>
        </w:rPr>
        <w:t>raised</w:t>
      </w:r>
      <w:r w:rsidRPr="007D7D1C" w:rsidR="008C6259">
        <w:rPr>
          <w:szCs w:val="24"/>
        </w:rPr>
        <w:t xml:space="preserve"> in Case No. 19-957-GE-COI </w:t>
      </w:r>
      <w:r w:rsidRPr="007D7D1C" w:rsidR="007D554F">
        <w:rPr>
          <w:szCs w:val="24"/>
        </w:rPr>
        <w:t xml:space="preserve">for a different time period </w:t>
      </w:r>
      <w:r w:rsidRPr="007D7D1C" w:rsidR="008C6259">
        <w:rPr>
          <w:szCs w:val="24"/>
        </w:rPr>
        <w:t>(the first investigation into PALMco’s</w:t>
      </w:r>
      <w:r w:rsidRPr="007D7D1C" w:rsidR="002455FE">
        <w:rPr>
          <w:szCs w:val="24"/>
        </w:rPr>
        <w:t xml:space="preserve"> deceptive</w:t>
      </w:r>
      <w:r w:rsidRPr="007D7D1C" w:rsidR="008C6259">
        <w:rPr>
          <w:szCs w:val="24"/>
        </w:rPr>
        <w:t xml:space="preserve"> business practices</w:t>
      </w:r>
      <w:r w:rsidRPr="007D7D1C" w:rsidR="00590F04">
        <w:rPr>
          <w:szCs w:val="24"/>
        </w:rPr>
        <w:t xml:space="preserve"> (“PALMco I”)</w:t>
      </w:r>
      <w:r w:rsidRPr="007D7D1C" w:rsidR="008C6259">
        <w:rPr>
          <w:szCs w:val="24"/>
        </w:rPr>
        <w:t xml:space="preserve">) bars the PUCO’s investigation in this case. That argument fails too. </w:t>
      </w:r>
      <w:r w:rsidRPr="007D7D1C" w:rsidR="00590F04">
        <w:rPr>
          <w:szCs w:val="24"/>
        </w:rPr>
        <w:t>PALMco I</w:t>
      </w:r>
      <w:r w:rsidRPr="007D7D1C" w:rsidR="00E27B53">
        <w:rPr>
          <w:szCs w:val="24"/>
        </w:rPr>
        <w:t xml:space="preserve"> concerned customer complaints regarding PALMco’s egregious conduct occurring between December 1, 2018 through April 15, 2019.</w:t>
      </w:r>
      <w:r>
        <w:rPr>
          <w:rStyle w:val="FootnoteReference"/>
          <w:szCs w:val="24"/>
        </w:rPr>
        <w:footnoteReference w:id="11"/>
      </w:r>
      <w:r w:rsidRPr="007D7D1C" w:rsidR="008C6259">
        <w:rPr>
          <w:szCs w:val="24"/>
        </w:rPr>
        <w:t xml:space="preserve"> </w:t>
      </w:r>
    </w:p>
    <w:p w:rsidR="00F51566" w:rsidRPr="007D7D1C" w:rsidP="004D156B" w14:paraId="3F324C2D" w14:textId="00C6522A">
      <w:pPr>
        <w:pStyle w:val="BodyTextIndent3"/>
        <w:widowControl w:val="0"/>
        <w:spacing w:line="480" w:lineRule="auto"/>
        <w:rPr>
          <w:szCs w:val="24"/>
        </w:rPr>
      </w:pPr>
      <w:r w:rsidRPr="007D7D1C">
        <w:rPr>
          <w:szCs w:val="24"/>
        </w:rPr>
        <w:t xml:space="preserve">This </w:t>
      </w:r>
      <w:r w:rsidRPr="007D7D1C">
        <w:rPr>
          <w:i/>
          <w:iCs/>
          <w:szCs w:val="24"/>
        </w:rPr>
        <w:t>second</w:t>
      </w:r>
      <w:r w:rsidRPr="007D7D1C">
        <w:rPr>
          <w:szCs w:val="24"/>
        </w:rPr>
        <w:t xml:space="preserve"> investigation</w:t>
      </w:r>
      <w:r w:rsidRPr="007D7D1C" w:rsidR="00A30E34">
        <w:rPr>
          <w:szCs w:val="24"/>
        </w:rPr>
        <w:t xml:space="preserve"> (“PALMco 2”)</w:t>
      </w:r>
      <w:r w:rsidRPr="007D7D1C">
        <w:rPr>
          <w:szCs w:val="24"/>
        </w:rPr>
        <w:t xml:space="preserve"> concerns </w:t>
      </w:r>
      <w:r w:rsidRPr="007D7D1C" w:rsidR="00802CF1">
        <w:rPr>
          <w:szCs w:val="24"/>
        </w:rPr>
        <w:t xml:space="preserve">separate </w:t>
      </w:r>
      <w:r w:rsidRPr="007D7D1C">
        <w:rPr>
          <w:szCs w:val="24"/>
        </w:rPr>
        <w:t xml:space="preserve">customer complaints regarding PALMco’s </w:t>
      </w:r>
      <w:r w:rsidRPr="007D7D1C">
        <w:rPr>
          <w:i/>
          <w:iCs/>
          <w:szCs w:val="24"/>
        </w:rPr>
        <w:t>additional</w:t>
      </w:r>
      <w:r w:rsidRPr="007D7D1C">
        <w:rPr>
          <w:szCs w:val="24"/>
        </w:rPr>
        <w:t xml:space="preserve"> egregious conduct occurring between August 1, 2019 through December 10, 2019. </w:t>
      </w:r>
      <w:r w:rsidRPr="007D7D1C" w:rsidR="00356C51">
        <w:rPr>
          <w:szCs w:val="24"/>
        </w:rPr>
        <w:t>T</w:t>
      </w:r>
      <w:r w:rsidRPr="007D7D1C" w:rsidR="00590F04">
        <w:rPr>
          <w:szCs w:val="24"/>
        </w:rPr>
        <w:t>here are separate claims</w:t>
      </w:r>
      <w:r w:rsidRPr="007D7D1C" w:rsidR="00802CF1">
        <w:rPr>
          <w:szCs w:val="24"/>
        </w:rPr>
        <w:t xml:space="preserve">, </w:t>
      </w:r>
      <w:r w:rsidRPr="007D7D1C" w:rsidR="00590F04">
        <w:rPr>
          <w:szCs w:val="24"/>
        </w:rPr>
        <w:t>separate issues of fact,</w:t>
      </w:r>
      <w:r w:rsidRPr="007D7D1C" w:rsidR="00802CF1">
        <w:rPr>
          <w:szCs w:val="24"/>
        </w:rPr>
        <w:t xml:space="preserve"> and separate issues of law. Thus,</w:t>
      </w:r>
      <w:r w:rsidRPr="007D7D1C" w:rsidR="00590F04">
        <w:rPr>
          <w:szCs w:val="24"/>
        </w:rPr>
        <w:t xml:space="preserve"> </w:t>
      </w:r>
      <w:r w:rsidRPr="007D7D1C" w:rsidR="00590F04">
        <w:rPr>
          <w:i/>
          <w:iCs/>
          <w:szCs w:val="24"/>
        </w:rPr>
        <w:t xml:space="preserve">res judicata </w:t>
      </w:r>
      <w:r w:rsidRPr="007D7D1C" w:rsidR="00590F04">
        <w:rPr>
          <w:szCs w:val="24"/>
        </w:rPr>
        <w:t xml:space="preserve">does not bar the PUCO’s investigation </w:t>
      </w:r>
      <w:r w:rsidRPr="007D7D1C" w:rsidR="002455FE">
        <w:rPr>
          <w:szCs w:val="24"/>
        </w:rPr>
        <w:t xml:space="preserve">of the customer complaints </w:t>
      </w:r>
      <w:r w:rsidRPr="007D7D1C" w:rsidR="00590F04">
        <w:rPr>
          <w:szCs w:val="24"/>
        </w:rPr>
        <w:t xml:space="preserve">in PALMco 2. </w:t>
      </w:r>
      <w:r w:rsidRPr="007D7D1C" w:rsidR="003A0939">
        <w:rPr>
          <w:szCs w:val="24"/>
        </w:rPr>
        <w:t>Indeed</w:t>
      </w:r>
      <w:r w:rsidRPr="007D7D1C" w:rsidR="00590F04">
        <w:rPr>
          <w:szCs w:val="24"/>
        </w:rPr>
        <w:t>, nothing in PALMco’s settlement with</w:t>
      </w:r>
      <w:r w:rsidRPr="007D7D1C" w:rsidR="00597439">
        <w:rPr>
          <w:szCs w:val="24"/>
        </w:rPr>
        <w:t xml:space="preserve"> the</w:t>
      </w:r>
      <w:r w:rsidRPr="007D7D1C" w:rsidR="00590F04">
        <w:rPr>
          <w:szCs w:val="24"/>
        </w:rPr>
        <w:t xml:space="preserve"> PUCO Staff in PALMco I authorized PALMco to </w:t>
      </w:r>
      <w:r w:rsidRPr="007D7D1C" w:rsidR="007D554F">
        <w:rPr>
          <w:szCs w:val="24"/>
        </w:rPr>
        <w:t>continue to engage in deceptive, misleading, and unconscionable acts and practices or to violate the law and PUCO rules additional times in different ways</w:t>
      </w:r>
      <w:r w:rsidRPr="007D7D1C" w:rsidR="00590F04">
        <w:rPr>
          <w:szCs w:val="24"/>
        </w:rPr>
        <w:t xml:space="preserve">. </w:t>
      </w:r>
      <w:r w:rsidRPr="007D7D1C" w:rsidR="002455FE">
        <w:rPr>
          <w:szCs w:val="24"/>
        </w:rPr>
        <w:t xml:space="preserve">PALMco’s suggestion </w:t>
      </w:r>
      <w:r w:rsidRPr="007D7D1C" w:rsidR="007D554F">
        <w:rPr>
          <w:szCs w:val="24"/>
        </w:rPr>
        <w:t>that once a regulated entity settles a case about certain rule violations, it could never be accused of additional rule violations at a later time concerning different customers</w:t>
      </w:r>
      <w:r w:rsidRPr="007D7D1C" w:rsidR="002455FE">
        <w:rPr>
          <w:szCs w:val="24"/>
        </w:rPr>
        <w:t xml:space="preserve"> is </w:t>
      </w:r>
      <w:r w:rsidRPr="007D7D1C" w:rsidR="007D554F">
        <w:rPr>
          <w:szCs w:val="24"/>
        </w:rPr>
        <w:t>absurd</w:t>
      </w:r>
      <w:r w:rsidRPr="007D7D1C" w:rsidR="002455FE">
        <w:rPr>
          <w:szCs w:val="24"/>
        </w:rPr>
        <w:t xml:space="preserve">. </w:t>
      </w:r>
      <w:r w:rsidRPr="007D7D1C" w:rsidR="00C408F8">
        <w:rPr>
          <w:szCs w:val="24"/>
        </w:rPr>
        <w:t xml:space="preserve">More fundamentally, even where </w:t>
      </w:r>
      <w:r w:rsidRPr="007D7D1C" w:rsidR="00C408F8">
        <w:rPr>
          <w:i/>
          <w:szCs w:val="24"/>
        </w:rPr>
        <w:t>res judicata</w:t>
      </w:r>
      <w:r w:rsidRPr="007D7D1C" w:rsidR="00C408F8">
        <w:rPr>
          <w:szCs w:val="24"/>
        </w:rPr>
        <w:t xml:space="preserve"> applies, it </w:t>
      </w:r>
      <w:r w:rsidRPr="007D7D1C" w:rsidR="00CF7026">
        <w:rPr>
          <w:szCs w:val="24"/>
        </w:rPr>
        <w:t xml:space="preserve">is an affirmative defense and </w:t>
      </w:r>
      <w:r w:rsidRPr="007D7D1C" w:rsidR="00C408F8">
        <w:rPr>
          <w:szCs w:val="24"/>
        </w:rPr>
        <w:t>does not divest the PUCO of jurisdiction.</w:t>
      </w:r>
      <w:r>
        <w:rPr>
          <w:rStyle w:val="FootnoteReference"/>
          <w:szCs w:val="24"/>
        </w:rPr>
        <w:footnoteReference w:id="12"/>
      </w:r>
      <w:r w:rsidRPr="007D7D1C" w:rsidR="00C408F8">
        <w:rPr>
          <w:szCs w:val="24"/>
        </w:rPr>
        <w:t xml:space="preserve"> </w:t>
      </w:r>
      <w:r w:rsidRPr="007D7D1C" w:rsidR="002455FE">
        <w:rPr>
          <w:szCs w:val="24"/>
        </w:rPr>
        <w:t>Accordingly, PALMco’s motion</w:t>
      </w:r>
      <w:r w:rsidRPr="007D7D1C" w:rsidR="007D554F">
        <w:rPr>
          <w:szCs w:val="24"/>
        </w:rPr>
        <w:t xml:space="preserve"> to stay the proceeding</w:t>
      </w:r>
      <w:r w:rsidRPr="007D7D1C" w:rsidR="002455FE">
        <w:rPr>
          <w:szCs w:val="24"/>
        </w:rPr>
        <w:t xml:space="preserve"> should be denied.</w:t>
      </w:r>
    </w:p>
    <w:p w:rsidR="00C27227" w:rsidRPr="007D7D1C" w:rsidP="00D5634D" w14:paraId="07A139CF" w14:textId="083BFD32">
      <w:pPr>
        <w:pStyle w:val="Heading2"/>
        <w:rPr>
          <w:szCs w:val="24"/>
        </w:rPr>
      </w:pPr>
      <w:bookmarkStart w:id="8" w:name="_Toc48209089"/>
      <w:bookmarkStart w:id="9" w:name="_Toc48662983"/>
      <w:r w:rsidRPr="007D7D1C">
        <w:rPr>
          <w:rStyle w:val="Heading2Char"/>
          <w:b/>
          <w:szCs w:val="24"/>
        </w:rPr>
        <w:t>Proceeding with the</w:t>
      </w:r>
      <w:r w:rsidRPr="007D7D1C" w:rsidR="00AF1EFB">
        <w:rPr>
          <w:rStyle w:val="Heading2Char"/>
          <w:b/>
          <w:szCs w:val="24"/>
        </w:rPr>
        <w:t xml:space="preserve"> second</w:t>
      </w:r>
      <w:r w:rsidRPr="007D7D1C">
        <w:rPr>
          <w:rStyle w:val="Heading2Char"/>
          <w:b/>
          <w:szCs w:val="24"/>
        </w:rPr>
        <w:t xml:space="preserve"> investigation of PALMco is in the public</w:t>
      </w:r>
      <w:r w:rsidRPr="007D7D1C">
        <w:rPr>
          <w:szCs w:val="24"/>
        </w:rPr>
        <w:t xml:space="preserve"> </w:t>
      </w:r>
      <w:r w:rsidRPr="007D7D1C">
        <w:rPr>
          <w:rStyle w:val="Heading2Char"/>
          <w:b/>
          <w:szCs w:val="24"/>
        </w:rPr>
        <w:t>interest</w:t>
      </w:r>
      <w:r w:rsidRPr="007D7D1C" w:rsidR="00CF711A">
        <w:rPr>
          <w:rStyle w:val="Heading2Char"/>
          <w:b/>
          <w:szCs w:val="24"/>
        </w:rPr>
        <w:t>, whereas s</w:t>
      </w:r>
      <w:r w:rsidRPr="007D7D1C" w:rsidR="000E0CA7">
        <w:rPr>
          <w:rStyle w:val="Heading2Char"/>
          <w:b/>
          <w:szCs w:val="24"/>
        </w:rPr>
        <w:t xml:space="preserve">taying the proceeding would unfairly </w:t>
      </w:r>
      <w:r w:rsidRPr="007D7D1C">
        <w:rPr>
          <w:rStyle w:val="Heading2Char"/>
          <w:b/>
          <w:szCs w:val="24"/>
        </w:rPr>
        <w:t>reward</w:t>
      </w:r>
      <w:r w:rsidRPr="007D7D1C" w:rsidR="00E6631D">
        <w:rPr>
          <w:rStyle w:val="Heading2Char"/>
          <w:b/>
          <w:szCs w:val="24"/>
        </w:rPr>
        <w:t xml:space="preserve"> </w:t>
      </w:r>
      <w:r w:rsidRPr="007D7D1C">
        <w:rPr>
          <w:rStyle w:val="Heading2Char"/>
          <w:b/>
          <w:szCs w:val="24"/>
        </w:rPr>
        <w:t xml:space="preserve">PALMco for its </w:t>
      </w:r>
      <w:r w:rsidRPr="007D7D1C" w:rsidR="002455FE">
        <w:rPr>
          <w:rStyle w:val="Heading2Char"/>
          <w:b/>
          <w:szCs w:val="24"/>
        </w:rPr>
        <w:t>gamesmanship in this case</w:t>
      </w:r>
      <w:r w:rsidRPr="007D7D1C">
        <w:rPr>
          <w:rStyle w:val="Heading2Char"/>
          <w:b/>
          <w:szCs w:val="24"/>
        </w:rPr>
        <w:t>.</w:t>
      </w:r>
      <w:bookmarkEnd w:id="8"/>
      <w:bookmarkEnd w:id="9"/>
    </w:p>
    <w:p w:rsidR="00930AC2" w:rsidRPr="007D7D1C" w:rsidP="00B22108" w14:paraId="055EFC5D" w14:textId="41D6C836">
      <w:pPr>
        <w:pStyle w:val="BodyTextIndent3"/>
        <w:widowControl w:val="0"/>
        <w:spacing w:line="480" w:lineRule="auto"/>
        <w:rPr>
          <w:szCs w:val="24"/>
        </w:rPr>
      </w:pPr>
      <w:r w:rsidRPr="007D7D1C">
        <w:rPr>
          <w:szCs w:val="24"/>
        </w:rPr>
        <w:t xml:space="preserve">PALMco claims that </w:t>
      </w:r>
      <w:r w:rsidRPr="007D7D1C" w:rsidR="00CF711A">
        <w:rPr>
          <w:szCs w:val="24"/>
        </w:rPr>
        <w:t xml:space="preserve">no one would be harmed by staying the proceeding </w:t>
      </w:r>
      <w:r w:rsidRPr="007D7D1C" w:rsidR="00386066">
        <w:rPr>
          <w:szCs w:val="24"/>
        </w:rPr>
        <w:t>because it no longer does business in Ohio</w:t>
      </w:r>
      <w:r w:rsidRPr="007D7D1C" w:rsidR="003B68A6">
        <w:rPr>
          <w:szCs w:val="24"/>
        </w:rPr>
        <w:t>.</w:t>
      </w:r>
      <w:r>
        <w:rPr>
          <w:rStyle w:val="FootnoteReference"/>
          <w:szCs w:val="24"/>
        </w:rPr>
        <w:footnoteReference w:id="13"/>
      </w:r>
      <w:r w:rsidRPr="007D7D1C" w:rsidR="00CF711A">
        <w:rPr>
          <w:szCs w:val="24"/>
        </w:rPr>
        <w:t xml:space="preserve"> </w:t>
      </w:r>
      <w:r w:rsidRPr="007D7D1C" w:rsidR="00C64048">
        <w:rPr>
          <w:szCs w:val="24"/>
        </w:rPr>
        <w:t>That argument should be rejected. T</w:t>
      </w:r>
      <w:r w:rsidRPr="007D7D1C" w:rsidR="00CF711A">
        <w:rPr>
          <w:szCs w:val="24"/>
        </w:rPr>
        <w:t xml:space="preserve">he public interest </w:t>
      </w:r>
      <w:r w:rsidRPr="007D7D1C" w:rsidR="00B22108">
        <w:rPr>
          <w:szCs w:val="24"/>
        </w:rPr>
        <w:t>weighs heavily in favor of</w:t>
      </w:r>
      <w:r w:rsidRPr="007D7D1C" w:rsidR="003A0939">
        <w:rPr>
          <w:szCs w:val="24"/>
        </w:rPr>
        <w:t xml:space="preserve"> </w:t>
      </w:r>
      <w:r w:rsidRPr="007D7D1C" w:rsidR="00CF711A">
        <w:rPr>
          <w:szCs w:val="24"/>
        </w:rPr>
        <w:t>moving forward with this</w:t>
      </w:r>
      <w:r w:rsidRPr="007D7D1C" w:rsidR="003A0939">
        <w:rPr>
          <w:szCs w:val="24"/>
        </w:rPr>
        <w:t xml:space="preserve"> case so that any consumers harmed within the relevant timeframe </w:t>
      </w:r>
      <w:r w:rsidRPr="007D7D1C">
        <w:rPr>
          <w:szCs w:val="24"/>
        </w:rPr>
        <w:t>can receive an appropriate refund as the PUCO Staff recommended in its Notice of Probable Non-Compliance. Moving forward with this proceeding is also necessary to send a message to other</w:t>
      </w:r>
      <w:r w:rsidRPr="007D7D1C" w:rsidR="002455FE">
        <w:rPr>
          <w:szCs w:val="24"/>
        </w:rPr>
        <w:t xml:space="preserve"> bad actor</w:t>
      </w:r>
      <w:r w:rsidRPr="007D7D1C">
        <w:rPr>
          <w:szCs w:val="24"/>
        </w:rPr>
        <w:t xml:space="preserve"> suppliers that the PUCO will not tolerate </w:t>
      </w:r>
      <w:r w:rsidRPr="007D7D1C" w:rsidR="007D554F">
        <w:rPr>
          <w:szCs w:val="24"/>
        </w:rPr>
        <w:t>unconscionable, deceptive, and misleading tactics to enroll and serve customers</w:t>
      </w:r>
      <w:r w:rsidRPr="007D7D1C">
        <w:rPr>
          <w:szCs w:val="24"/>
        </w:rPr>
        <w:t>.</w:t>
      </w:r>
    </w:p>
    <w:p w:rsidR="00CF3DA8" w:rsidP="00B22108" w14:paraId="6585FA9A" w14:textId="77777777">
      <w:pPr>
        <w:pStyle w:val="BodyTextIndent3"/>
        <w:widowControl w:val="0"/>
        <w:spacing w:line="480" w:lineRule="auto"/>
        <w:rPr>
          <w:szCs w:val="24"/>
        </w:rPr>
      </w:pPr>
      <w:r w:rsidRPr="007D7D1C">
        <w:rPr>
          <w:szCs w:val="24"/>
        </w:rPr>
        <w:t>Further, it is unclear when the Court will rule on PALMco’s Complaint.</w:t>
      </w:r>
      <w:r w:rsidRPr="007D7D1C" w:rsidR="00E007F2">
        <w:rPr>
          <w:szCs w:val="24"/>
        </w:rPr>
        <w:t xml:space="preserve"> It could be months before the Court</w:t>
      </w:r>
      <w:r w:rsidRPr="007D7D1C" w:rsidR="007D554F">
        <w:rPr>
          <w:szCs w:val="24"/>
        </w:rPr>
        <w:t xml:space="preserve"> renders its decision</w:t>
      </w:r>
      <w:r w:rsidRPr="007D7D1C" w:rsidR="00E007F2">
        <w:rPr>
          <w:szCs w:val="24"/>
        </w:rPr>
        <w:t xml:space="preserve">. And in the </w:t>
      </w:r>
      <w:r w:rsidRPr="007D7D1C" w:rsidR="00802CF1">
        <w:rPr>
          <w:szCs w:val="24"/>
        </w:rPr>
        <w:t>meantime</w:t>
      </w:r>
      <w:r w:rsidRPr="007D7D1C" w:rsidR="00E007F2">
        <w:rPr>
          <w:szCs w:val="24"/>
        </w:rPr>
        <w:t>, evidence relevant to the issues in th</w:t>
      </w:r>
      <w:r w:rsidRPr="007D7D1C" w:rsidR="00802CF1">
        <w:rPr>
          <w:szCs w:val="24"/>
        </w:rPr>
        <w:t>is</w:t>
      </w:r>
      <w:r w:rsidRPr="007D7D1C" w:rsidR="00E007F2">
        <w:rPr>
          <w:szCs w:val="24"/>
        </w:rPr>
        <w:t xml:space="preserve"> investigation could be destroyed</w:t>
      </w:r>
      <w:r w:rsidRPr="007D7D1C" w:rsidR="002455FE">
        <w:rPr>
          <w:szCs w:val="24"/>
        </w:rPr>
        <w:t xml:space="preserve"> or</w:t>
      </w:r>
      <w:r w:rsidRPr="007D7D1C" w:rsidR="00E007F2">
        <w:rPr>
          <w:szCs w:val="24"/>
        </w:rPr>
        <w:t xml:space="preserve"> lost, </w:t>
      </w:r>
      <w:r w:rsidRPr="007D7D1C" w:rsidR="006849B3">
        <w:rPr>
          <w:szCs w:val="24"/>
        </w:rPr>
        <w:t xml:space="preserve">impeding OCC’s ability to present </w:t>
      </w:r>
      <w:r w:rsidRPr="007D7D1C" w:rsidR="00B07533">
        <w:rPr>
          <w:szCs w:val="24"/>
        </w:rPr>
        <w:t>its</w:t>
      </w:r>
      <w:r w:rsidRPr="007D7D1C" w:rsidR="006849B3">
        <w:rPr>
          <w:szCs w:val="24"/>
        </w:rPr>
        <w:t xml:space="preserve"> case for consumer protection. </w:t>
      </w:r>
      <w:r w:rsidRPr="007D7D1C" w:rsidR="00766F20">
        <w:rPr>
          <w:szCs w:val="24"/>
        </w:rPr>
        <w:t>While the</w:t>
      </w:r>
      <w:r w:rsidRPr="007D7D1C" w:rsidR="006849B3">
        <w:rPr>
          <w:szCs w:val="24"/>
        </w:rPr>
        <w:t xml:space="preserve"> PUCO’s rules generally require competitive suppliers to retain records for no less than two years</w:t>
      </w:r>
      <w:r w:rsidRPr="007D7D1C" w:rsidR="008D29A2">
        <w:rPr>
          <w:szCs w:val="24"/>
        </w:rPr>
        <w:t>,</w:t>
      </w:r>
      <w:r>
        <w:rPr>
          <w:rStyle w:val="FootnoteReference"/>
          <w:szCs w:val="24"/>
        </w:rPr>
        <w:footnoteReference w:id="14"/>
      </w:r>
      <w:r w:rsidRPr="007D7D1C" w:rsidR="008D29A2">
        <w:rPr>
          <w:szCs w:val="24"/>
        </w:rPr>
        <w:t xml:space="preserve"> some records</w:t>
      </w:r>
      <w:r w:rsidRPr="007D7D1C" w:rsidR="00FE5C4A">
        <w:rPr>
          <w:szCs w:val="24"/>
        </w:rPr>
        <w:t>,</w:t>
      </w:r>
      <w:r w:rsidRPr="007D7D1C" w:rsidR="008D29A2">
        <w:rPr>
          <w:szCs w:val="24"/>
        </w:rPr>
        <w:t xml:space="preserve"> </w:t>
      </w:r>
    </w:p>
    <w:p w:rsidR="00CF3DA8" w14:paraId="722F136E" w14:textId="77777777">
      <w:pPr>
        <w:rPr>
          <w:szCs w:val="24"/>
        </w:rPr>
      </w:pPr>
      <w:r>
        <w:rPr>
          <w:szCs w:val="24"/>
        </w:rPr>
        <w:br w:type="page"/>
      </w:r>
    </w:p>
    <w:p w:rsidR="00F9588B" w:rsidRPr="007D7D1C" w:rsidP="00CF3DA8" w14:paraId="1D22A8AF" w14:textId="5FEBBFEF">
      <w:pPr>
        <w:pStyle w:val="BodyTextIndent3"/>
        <w:widowControl w:val="0"/>
        <w:spacing w:line="480" w:lineRule="auto"/>
        <w:ind w:firstLine="0"/>
        <w:rPr>
          <w:szCs w:val="24"/>
        </w:rPr>
      </w:pPr>
      <w:r w:rsidRPr="007D7D1C">
        <w:rPr>
          <w:szCs w:val="24"/>
        </w:rPr>
        <w:t>including</w:t>
      </w:r>
      <w:r w:rsidRPr="007D7D1C" w:rsidR="008D29A2">
        <w:rPr>
          <w:szCs w:val="24"/>
        </w:rPr>
        <w:t xml:space="preserve"> </w:t>
      </w:r>
      <w:r w:rsidRPr="007D7D1C" w:rsidR="00766F20">
        <w:rPr>
          <w:szCs w:val="24"/>
        </w:rPr>
        <w:t>enrollment</w:t>
      </w:r>
      <w:r w:rsidRPr="007D7D1C" w:rsidR="00FE5C4A">
        <w:rPr>
          <w:szCs w:val="24"/>
        </w:rPr>
        <w:t>/</w:t>
      </w:r>
      <w:r w:rsidRPr="007D7D1C" w:rsidR="00766F20">
        <w:rPr>
          <w:szCs w:val="24"/>
        </w:rPr>
        <w:t xml:space="preserve">third party verification audio </w:t>
      </w:r>
      <w:r w:rsidRPr="007D7D1C" w:rsidR="008D29A2">
        <w:rPr>
          <w:szCs w:val="24"/>
        </w:rPr>
        <w:t>recordings</w:t>
      </w:r>
      <w:r w:rsidRPr="007D7D1C" w:rsidR="00693F7D">
        <w:rPr>
          <w:szCs w:val="24"/>
        </w:rPr>
        <w:t xml:space="preserve"> and customer complaint records</w:t>
      </w:r>
      <w:r w:rsidRPr="007D7D1C" w:rsidR="00FE5C4A">
        <w:rPr>
          <w:szCs w:val="24"/>
        </w:rPr>
        <w:t>,</w:t>
      </w:r>
      <w:r w:rsidRPr="007D7D1C" w:rsidR="008D29A2">
        <w:rPr>
          <w:szCs w:val="24"/>
        </w:rPr>
        <w:t xml:space="preserve"> may be disposed of after only one year.</w:t>
      </w:r>
      <w:r>
        <w:rPr>
          <w:rStyle w:val="FootnoteReference"/>
          <w:szCs w:val="24"/>
        </w:rPr>
        <w:footnoteReference w:id="15"/>
      </w:r>
      <w:r w:rsidRPr="007D7D1C" w:rsidR="00766F20">
        <w:rPr>
          <w:szCs w:val="24"/>
        </w:rPr>
        <w:t xml:space="preserve"> </w:t>
      </w:r>
    </w:p>
    <w:p w:rsidR="00C64048" w:rsidRPr="007D7D1C" w:rsidP="00B22108" w14:paraId="28043FBF" w14:textId="76BBC933">
      <w:pPr>
        <w:pStyle w:val="BodyTextIndent3"/>
        <w:widowControl w:val="0"/>
        <w:spacing w:line="480" w:lineRule="auto"/>
        <w:rPr>
          <w:szCs w:val="24"/>
        </w:rPr>
      </w:pPr>
      <w:r w:rsidRPr="007D7D1C">
        <w:rPr>
          <w:szCs w:val="24"/>
        </w:rPr>
        <w:t>This investigation concerns customer complaints between August 1, 2019 through December 10, 2019, so a</w:t>
      </w:r>
      <w:r w:rsidRPr="007D7D1C" w:rsidR="00766F20">
        <w:rPr>
          <w:szCs w:val="24"/>
        </w:rPr>
        <w:t>s it stands PALMco may have already disposed of relevant information related to this investigation.</w:t>
      </w:r>
      <w:r w:rsidRPr="007D7D1C" w:rsidR="00693F7D">
        <w:rPr>
          <w:szCs w:val="24"/>
        </w:rPr>
        <w:t xml:space="preserve"> The PUCO has jurisdiction to investigate PALMco in this case. Staying this proceeding </w:t>
      </w:r>
      <w:r w:rsidRPr="007D7D1C">
        <w:rPr>
          <w:szCs w:val="24"/>
        </w:rPr>
        <w:t>for an unknown period of time</w:t>
      </w:r>
      <w:r w:rsidRPr="007D7D1C" w:rsidR="00693F7D">
        <w:rPr>
          <w:szCs w:val="24"/>
        </w:rPr>
        <w:t xml:space="preserve"> pending the Court’s decision on PALMco’s Complaint </w:t>
      </w:r>
      <w:r w:rsidRPr="007D7D1C">
        <w:rPr>
          <w:szCs w:val="24"/>
        </w:rPr>
        <w:t>could do</w:t>
      </w:r>
      <w:r w:rsidRPr="007D7D1C" w:rsidR="00693F7D">
        <w:rPr>
          <w:szCs w:val="24"/>
        </w:rPr>
        <w:t xml:space="preserve"> great harm </w:t>
      </w:r>
      <w:r w:rsidRPr="007D7D1C">
        <w:rPr>
          <w:szCs w:val="24"/>
        </w:rPr>
        <w:t xml:space="preserve">to </w:t>
      </w:r>
      <w:r w:rsidRPr="007D7D1C" w:rsidR="00693F7D">
        <w:rPr>
          <w:szCs w:val="24"/>
        </w:rPr>
        <w:t xml:space="preserve">OCC’s ability to gather evidence to present its case for </w:t>
      </w:r>
      <w:r w:rsidRPr="007D7D1C" w:rsidR="00B07533">
        <w:rPr>
          <w:szCs w:val="24"/>
        </w:rPr>
        <w:t>consumers</w:t>
      </w:r>
      <w:r w:rsidRPr="007D7D1C" w:rsidR="00CF7026">
        <w:rPr>
          <w:szCs w:val="24"/>
        </w:rPr>
        <w:t>, especially given PALMco’s delay</w:t>
      </w:r>
      <w:r w:rsidRPr="007D7D1C" w:rsidR="00B035B1">
        <w:rPr>
          <w:szCs w:val="24"/>
        </w:rPr>
        <w:t xml:space="preserve"> tactics and outright refusal to provide</w:t>
      </w:r>
      <w:r w:rsidRPr="007D7D1C" w:rsidR="00CF7026">
        <w:rPr>
          <w:szCs w:val="24"/>
        </w:rPr>
        <w:t xml:space="preserve"> discovery to OCC to date</w:t>
      </w:r>
      <w:r w:rsidRPr="007D7D1C" w:rsidR="00693F7D">
        <w:rPr>
          <w:szCs w:val="24"/>
        </w:rPr>
        <w:t>.</w:t>
      </w:r>
      <w:r w:rsidRPr="007D7D1C" w:rsidR="001D207F">
        <w:rPr>
          <w:szCs w:val="24"/>
        </w:rPr>
        <w:t xml:space="preserve"> </w:t>
      </w:r>
    </w:p>
    <w:p w:rsidR="00214E2C" w:rsidRPr="007D7D1C" w:rsidP="00C27227" w14:paraId="460E528F" w14:textId="58EBE7F0">
      <w:pPr>
        <w:pStyle w:val="BodyTextIndent3"/>
        <w:widowControl w:val="0"/>
        <w:spacing w:line="480" w:lineRule="auto"/>
        <w:rPr>
          <w:szCs w:val="24"/>
        </w:rPr>
      </w:pPr>
      <w:r w:rsidRPr="007D7D1C">
        <w:rPr>
          <w:szCs w:val="24"/>
        </w:rPr>
        <w:t xml:space="preserve">PALMco </w:t>
      </w:r>
      <w:r w:rsidRPr="007D7D1C" w:rsidR="00F01FEE">
        <w:rPr>
          <w:szCs w:val="24"/>
        </w:rPr>
        <w:t>also claims that a stay is proper because it</w:t>
      </w:r>
      <w:r w:rsidRPr="007D7D1C" w:rsidR="000E1025">
        <w:rPr>
          <w:szCs w:val="24"/>
        </w:rPr>
        <w:t xml:space="preserve"> has addressed all outstanding discovery requests.</w:t>
      </w:r>
      <w:r>
        <w:rPr>
          <w:rStyle w:val="FootnoteReference"/>
          <w:szCs w:val="24"/>
        </w:rPr>
        <w:footnoteReference w:id="16"/>
      </w:r>
      <w:r w:rsidRPr="007D7D1C" w:rsidR="000E1025">
        <w:rPr>
          <w:szCs w:val="24"/>
        </w:rPr>
        <w:t xml:space="preserve"> </w:t>
      </w:r>
      <w:r w:rsidRPr="007D7D1C" w:rsidR="00693F7D">
        <w:rPr>
          <w:szCs w:val="24"/>
        </w:rPr>
        <w:t>That claim is also false</w:t>
      </w:r>
      <w:r w:rsidRPr="007D7D1C" w:rsidR="00B22108">
        <w:rPr>
          <w:szCs w:val="24"/>
        </w:rPr>
        <w:t>.</w:t>
      </w:r>
      <w:r w:rsidRPr="007D7D1C" w:rsidR="000E1025">
        <w:rPr>
          <w:szCs w:val="24"/>
        </w:rPr>
        <w:t xml:space="preserve"> Asserting its lawful right to discovery under </w:t>
      </w:r>
      <w:r w:rsidRPr="007D7D1C" w:rsidR="00B22108">
        <w:rPr>
          <w:szCs w:val="24"/>
        </w:rPr>
        <w:t xml:space="preserve">Ohio Adm. Code </w:t>
      </w:r>
      <w:r w:rsidRPr="007D7D1C" w:rsidR="0003258D">
        <w:rPr>
          <w:szCs w:val="24"/>
        </w:rPr>
        <w:t xml:space="preserve">4901-1-16(H), OCC served discovery requests on PALMco early in this case on January 14, 2020 and February 14, 2020. </w:t>
      </w:r>
      <w:r w:rsidRPr="007D7D1C" w:rsidR="00693F7D">
        <w:rPr>
          <w:szCs w:val="24"/>
        </w:rPr>
        <w:t>But in</w:t>
      </w:r>
      <w:r w:rsidRPr="007D7D1C" w:rsidR="0003258D">
        <w:rPr>
          <w:szCs w:val="24"/>
        </w:rPr>
        <w:t xml:space="preserve"> defiance of the PUCO’s rules, PALMco flatly refused to respond to </w:t>
      </w:r>
      <w:r w:rsidRPr="007D7D1C" w:rsidR="0003258D">
        <w:rPr>
          <w:i/>
          <w:iCs/>
          <w:szCs w:val="24"/>
        </w:rPr>
        <w:t>any</w:t>
      </w:r>
      <w:r w:rsidRPr="007D7D1C" w:rsidR="0003258D">
        <w:rPr>
          <w:szCs w:val="24"/>
        </w:rPr>
        <w:t xml:space="preserve"> of OCC’s discovery, prompting OCC to file two separate Motions to Compel.</w:t>
      </w:r>
      <w:r>
        <w:rPr>
          <w:rStyle w:val="FootnoteReference"/>
          <w:szCs w:val="24"/>
        </w:rPr>
        <w:footnoteReference w:id="17"/>
      </w:r>
      <w:r w:rsidRPr="007D7D1C" w:rsidR="00693F7D">
        <w:rPr>
          <w:szCs w:val="24"/>
        </w:rPr>
        <w:t xml:space="preserve"> And when the PUCO granted OCC’s Motions to Compel and ordered PALMco to respond to OCC’s discovery,</w:t>
      </w:r>
      <w:r>
        <w:rPr>
          <w:rStyle w:val="FootnoteReference"/>
          <w:szCs w:val="24"/>
        </w:rPr>
        <w:footnoteReference w:id="18"/>
      </w:r>
      <w:r w:rsidRPr="007D7D1C" w:rsidR="00693F7D">
        <w:rPr>
          <w:szCs w:val="24"/>
        </w:rPr>
        <w:t xml:space="preserve"> PALMco defied </w:t>
      </w:r>
      <w:r w:rsidRPr="007D7D1C" w:rsidR="00FE5C4A">
        <w:rPr>
          <w:szCs w:val="24"/>
        </w:rPr>
        <w:t>the PUCO’s</w:t>
      </w:r>
      <w:r w:rsidRPr="007D7D1C" w:rsidR="00693F7D">
        <w:rPr>
          <w:szCs w:val="24"/>
        </w:rPr>
        <w:t xml:space="preserve"> order too</w:t>
      </w:r>
      <w:r w:rsidRPr="007D7D1C">
        <w:rPr>
          <w:szCs w:val="24"/>
        </w:rPr>
        <w:t>, prompting OCC to file a Motion for Sanctions</w:t>
      </w:r>
      <w:r w:rsidRPr="007D7D1C" w:rsidR="00B07533">
        <w:rPr>
          <w:szCs w:val="24"/>
        </w:rPr>
        <w:t xml:space="preserve"> and Forfeitures</w:t>
      </w:r>
      <w:r>
        <w:rPr>
          <w:rStyle w:val="FootnoteReference"/>
          <w:szCs w:val="24"/>
        </w:rPr>
        <w:footnoteReference w:id="19"/>
      </w:r>
      <w:r w:rsidRPr="007D7D1C" w:rsidR="00693F7D">
        <w:rPr>
          <w:szCs w:val="24"/>
        </w:rPr>
        <w:t xml:space="preserve"> </w:t>
      </w:r>
      <w:r w:rsidRPr="007D7D1C">
        <w:rPr>
          <w:szCs w:val="24"/>
        </w:rPr>
        <w:t>(which is still under consideration</w:t>
      </w:r>
      <w:r w:rsidRPr="007D7D1C" w:rsidR="00FE5C4A">
        <w:rPr>
          <w:szCs w:val="24"/>
        </w:rPr>
        <w:t xml:space="preserve"> by the </w:t>
      </w:r>
      <w:r w:rsidRPr="007D7D1C" w:rsidR="00CF7026">
        <w:rPr>
          <w:szCs w:val="24"/>
        </w:rPr>
        <w:t>PUCO</w:t>
      </w:r>
      <w:r w:rsidRPr="007D7D1C" w:rsidR="00FE5C4A">
        <w:rPr>
          <w:szCs w:val="24"/>
        </w:rPr>
        <w:t>)</w:t>
      </w:r>
      <w:r w:rsidRPr="007D7D1C">
        <w:rPr>
          <w:szCs w:val="24"/>
        </w:rPr>
        <w:t>.</w:t>
      </w:r>
      <w:r w:rsidRPr="007D7D1C" w:rsidR="001D207F">
        <w:rPr>
          <w:szCs w:val="24"/>
        </w:rPr>
        <w:t xml:space="preserve"> </w:t>
      </w:r>
    </w:p>
    <w:p w:rsidR="002F6E07" w:rsidRPr="007D7D1C" w:rsidP="007D6C58" w14:paraId="47E46989" w14:textId="248BEB3F">
      <w:pPr>
        <w:pStyle w:val="BodyTextIndent3"/>
        <w:widowControl w:val="0"/>
        <w:spacing w:line="480" w:lineRule="auto"/>
        <w:rPr>
          <w:szCs w:val="24"/>
        </w:rPr>
      </w:pPr>
      <w:r w:rsidRPr="007D7D1C">
        <w:rPr>
          <w:szCs w:val="24"/>
        </w:rPr>
        <w:t xml:space="preserve">Following a status conference with </w:t>
      </w:r>
      <w:r w:rsidRPr="007D7D1C" w:rsidR="00B07533">
        <w:rPr>
          <w:szCs w:val="24"/>
        </w:rPr>
        <w:t xml:space="preserve">the </w:t>
      </w:r>
      <w:r w:rsidRPr="007D7D1C">
        <w:rPr>
          <w:szCs w:val="24"/>
        </w:rPr>
        <w:t>Attorney Examiners in this cas</w:t>
      </w:r>
      <w:r w:rsidRPr="007D7D1C" w:rsidR="00214E2C">
        <w:rPr>
          <w:szCs w:val="24"/>
        </w:rPr>
        <w:t xml:space="preserve">e on July 23, 2020, PALMco </w:t>
      </w:r>
      <w:r w:rsidRPr="007D7D1C" w:rsidR="00FE5C4A">
        <w:rPr>
          <w:szCs w:val="24"/>
        </w:rPr>
        <w:t xml:space="preserve">finally </w:t>
      </w:r>
      <w:r w:rsidRPr="007D7D1C" w:rsidR="00214E2C">
        <w:rPr>
          <w:szCs w:val="24"/>
        </w:rPr>
        <w:t>produced some</w:t>
      </w:r>
      <w:r w:rsidRPr="007D7D1C" w:rsidR="00B035B1">
        <w:rPr>
          <w:szCs w:val="24"/>
        </w:rPr>
        <w:t xml:space="preserve"> (but not all)</w:t>
      </w:r>
      <w:r w:rsidRPr="007D7D1C" w:rsidR="00214E2C">
        <w:rPr>
          <w:szCs w:val="24"/>
        </w:rPr>
        <w:t xml:space="preserve"> discovery responsive to OCC’s January and February discovery requests</w:t>
      </w:r>
      <w:r w:rsidRPr="007D7D1C" w:rsidR="00FE5C4A">
        <w:rPr>
          <w:szCs w:val="24"/>
        </w:rPr>
        <w:t xml:space="preserve"> on July 31, 2020.</w:t>
      </w:r>
      <w:r w:rsidRPr="007D7D1C" w:rsidR="00214E2C">
        <w:rPr>
          <w:szCs w:val="24"/>
        </w:rPr>
        <w:t xml:space="preserve"> </w:t>
      </w:r>
      <w:r w:rsidRPr="007D7D1C" w:rsidR="00B035B1">
        <w:rPr>
          <w:szCs w:val="24"/>
        </w:rPr>
        <w:t>N</w:t>
      </w:r>
      <w:r w:rsidRPr="007D7D1C" w:rsidR="00FE5C4A">
        <w:rPr>
          <w:szCs w:val="24"/>
        </w:rPr>
        <w:t xml:space="preserve">ot surprisingly, </w:t>
      </w:r>
      <w:r w:rsidRPr="007D7D1C" w:rsidR="00B035B1">
        <w:rPr>
          <w:szCs w:val="24"/>
        </w:rPr>
        <w:t xml:space="preserve">the production that </w:t>
      </w:r>
      <w:r w:rsidRPr="007D7D1C" w:rsidR="00FE5C4A">
        <w:rPr>
          <w:szCs w:val="24"/>
        </w:rPr>
        <w:t>PALMco</w:t>
      </w:r>
      <w:r w:rsidRPr="007D7D1C" w:rsidR="00B035B1">
        <w:rPr>
          <w:szCs w:val="24"/>
        </w:rPr>
        <w:t xml:space="preserve"> did make</w:t>
      </w:r>
      <w:r w:rsidRPr="007D7D1C" w:rsidR="00214E2C">
        <w:rPr>
          <w:szCs w:val="24"/>
        </w:rPr>
        <w:t xml:space="preserve"> </w:t>
      </w:r>
      <w:r w:rsidRPr="007D7D1C" w:rsidR="00FE5C4A">
        <w:rPr>
          <w:szCs w:val="24"/>
        </w:rPr>
        <w:t>was</w:t>
      </w:r>
      <w:r w:rsidRPr="007D7D1C" w:rsidR="00214E2C">
        <w:rPr>
          <w:szCs w:val="24"/>
        </w:rPr>
        <w:t xml:space="preserve"> deficient.</w:t>
      </w:r>
      <w:r w:rsidRPr="007D7D1C" w:rsidR="00B3405A">
        <w:rPr>
          <w:szCs w:val="24"/>
        </w:rPr>
        <w:t xml:space="preserve"> Among other baseless objections,</w:t>
      </w:r>
      <w:r w:rsidRPr="007D7D1C" w:rsidR="00214E2C">
        <w:rPr>
          <w:szCs w:val="24"/>
        </w:rPr>
        <w:t xml:space="preserve"> </w:t>
      </w:r>
      <w:r w:rsidRPr="007D7D1C" w:rsidR="00B3405A">
        <w:rPr>
          <w:szCs w:val="24"/>
        </w:rPr>
        <w:t>PALMco claims that it cannot provide responses to many of OCC’s requests</w:t>
      </w:r>
      <w:r w:rsidRPr="007D7D1C" w:rsidR="00D83023">
        <w:rPr>
          <w:szCs w:val="24"/>
        </w:rPr>
        <w:t xml:space="preserve"> (which were served in January and February)</w:t>
      </w:r>
      <w:r w:rsidRPr="007D7D1C" w:rsidR="00B3405A">
        <w:rPr>
          <w:szCs w:val="24"/>
        </w:rPr>
        <w:t xml:space="preserve"> because it is not willing to return to its offices in </w:t>
      </w:r>
    </w:p>
    <w:p w:rsidR="00FB4D13" w:rsidRPr="007D7D1C" w:rsidP="002F6E07" w14:paraId="2E821F6D" w14:textId="5CBC8919">
      <w:pPr>
        <w:pStyle w:val="BodyTextIndent3"/>
        <w:widowControl w:val="0"/>
        <w:spacing w:line="480" w:lineRule="auto"/>
        <w:ind w:firstLine="0"/>
        <w:rPr>
          <w:szCs w:val="24"/>
        </w:rPr>
      </w:pPr>
      <w:r w:rsidRPr="007D7D1C">
        <w:rPr>
          <w:szCs w:val="24"/>
        </w:rPr>
        <w:t>Brooklyn, N</w:t>
      </w:r>
      <w:r w:rsidRPr="007D7D1C" w:rsidR="00802CF1">
        <w:rPr>
          <w:szCs w:val="24"/>
        </w:rPr>
        <w:t>ew York</w:t>
      </w:r>
      <w:r w:rsidRPr="007D7D1C" w:rsidR="00D83023">
        <w:rPr>
          <w:szCs w:val="24"/>
        </w:rPr>
        <w:t xml:space="preserve"> for fear of</w:t>
      </w:r>
      <w:r w:rsidRPr="007D7D1C" w:rsidR="00C12110">
        <w:rPr>
          <w:szCs w:val="24"/>
        </w:rPr>
        <w:t xml:space="preserve"> the coronavirus</w:t>
      </w:r>
      <w:r w:rsidRPr="007D7D1C">
        <w:rPr>
          <w:szCs w:val="24"/>
        </w:rPr>
        <w:t xml:space="preserve">. PALMco also cites the </w:t>
      </w:r>
      <w:r w:rsidRPr="007D7D1C" w:rsidR="00C12110">
        <w:rPr>
          <w:szCs w:val="24"/>
        </w:rPr>
        <w:t>coronavirus</w:t>
      </w:r>
      <w:r w:rsidRPr="007D7D1C">
        <w:rPr>
          <w:szCs w:val="24"/>
        </w:rPr>
        <w:t xml:space="preserve"> pandemic as a reason to stay this proceeding.</w:t>
      </w:r>
      <w:r>
        <w:rPr>
          <w:rStyle w:val="FootnoteReference"/>
          <w:szCs w:val="24"/>
        </w:rPr>
        <w:footnoteReference w:id="20"/>
      </w:r>
    </w:p>
    <w:p w:rsidR="007D6C58" w:rsidRPr="007D7D1C" w:rsidP="005961A7" w14:paraId="108A64EF" w14:textId="14937372">
      <w:pPr>
        <w:pStyle w:val="BodyTextIndent3"/>
        <w:widowControl w:val="0"/>
        <w:spacing w:line="480" w:lineRule="auto"/>
        <w:rPr>
          <w:szCs w:val="24"/>
        </w:rPr>
      </w:pPr>
      <w:r w:rsidRPr="007D7D1C">
        <w:rPr>
          <w:szCs w:val="24"/>
        </w:rPr>
        <w:t>Th</w:t>
      </w:r>
      <w:r w:rsidRPr="007D7D1C" w:rsidR="00D83023">
        <w:rPr>
          <w:szCs w:val="24"/>
        </w:rPr>
        <w:t xml:space="preserve">e </w:t>
      </w:r>
      <w:r w:rsidRPr="007D7D1C" w:rsidR="004F7F38">
        <w:rPr>
          <w:szCs w:val="24"/>
        </w:rPr>
        <w:t xml:space="preserve">coronavirus </w:t>
      </w:r>
      <w:r w:rsidRPr="007D7D1C" w:rsidR="00221A61">
        <w:rPr>
          <w:szCs w:val="24"/>
        </w:rPr>
        <w:t xml:space="preserve">pandemic </w:t>
      </w:r>
      <w:r w:rsidRPr="007D7D1C" w:rsidR="00D83023">
        <w:rPr>
          <w:szCs w:val="24"/>
        </w:rPr>
        <w:t xml:space="preserve">does not </w:t>
      </w:r>
      <w:r w:rsidRPr="007D7D1C" w:rsidR="00221A61">
        <w:rPr>
          <w:szCs w:val="24"/>
        </w:rPr>
        <w:t>pre</w:t>
      </w:r>
      <w:r w:rsidRPr="007D7D1C" w:rsidR="00D83023">
        <w:rPr>
          <w:szCs w:val="24"/>
        </w:rPr>
        <w:t>vent PALMco</w:t>
      </w:r>
      <w:r w:rsidRPr="007D7D1C" w:rsidR="00221A61">
        <w:rPr>
          <w:szCs w:val="24"/>
        </w:rPr>
        <w:t xml:space="preserve"> from participating in this proceeding or answering OCC’s discovery</w:t>
      </w:r>
      <w:r w:rsidRPr="007D7D1C">
        <w:rPr>
          <w:szCs w:val="24"/>
        </w:rPr>
        <w:t xml:space="preserve">. </w:t>
      </w:r>
      <w:r w:rsidRPr="007D7D1C" w:rsidR="00D83023">
        <w:rPr>
          <w:szCs w:val="24"/>
        </w:rPr>
        <w:t>To restate the obvious</w:t>
      </w:r>
      <w:r w:rsidRPr="007D7D1C">
        <w:rPr>
          <w:szCs w:val="24"/>
        </w:rPr>
        <w:t xml:space="preserve">, OCC served its discovery on PALMco in January and February, </w:t>
      </w:r>
      <w:r w:rsidRPr="007D7D1C">
        <w:rPr>
          <w:i/>
          <w:iCs/>
          <w:szCs w:val="24"/>
        </w:rPr>
        <w:t>over a month before</w:t>
      </w:r>
      <w:r w:rsidRPr="007D7D1C">
        <w:rPr>
          <w:szCs w:val="24"/>
        </w:rPr>
        <w:t xml:space="preserve"> states began issuing stay</w:t>
      </w:r>
      <w:r w:rsidRPr="007D7D1C" w:rsidR="00EB2333">
        <w:rPr>
          <w:szCs w:val="24"/>
        </w:rPr>
        <w:t>-</w:t>
      </w:r>
      <w:r w:rsidRPr="007D7D1C">
        <w:rPr>
          <w:szCs w:val="24"/>
        </w:rPr>
        <w:t>at</w:t>
      </w:r>
      <w:r w:rsidRPr="007D7D1C" w:rsidR="00EB2333">
        <w:rPr>
          <w:szCs w:val="24"/>
        </w:rPr>
        <w:t>-</w:t>
      </w:r>
      <w:r w:rsidRPr="007D7D1C">
        <w:rPr>
          <w:szCs w:val="24"/>
        </w:rPr>
        <w:t xml:space="preserve">home orders related to the pandemic. PALMco </w:t>
      </w:r>
      <w:r w:rsidRPr="007D7D1C" w:rsidR="00D83023">
        <w:rPr>
          <w:szCs w:val="24"/>
        </w:rPr>
        <w:t xml:space="preserve">also </w:t>
      </w:r>
      <w:r w:rsidRPr="007D7D1C">
        <w:rPr>
          <w:szCs w:val="24"/>
        </w:rPr>
        <w:t>cites no state or local executive orders or restrictions that</w:t>
      </w:r>
      <w:r w:rsidRPr="007D7D1C" w:rsidR="00D83023">
        <w:rPr>
          <w:szCs w:val="24"/>
        </w:rPr>
        <w:t xml:space="preserve"> currently</w:t>
      </w:r>
      <w:r w:rsidRPr="007D7D1C">
        <w:rPr>
          <w:szCs w:val="24"/>
        </w:rPr>
        <w:t xml:space="preserve"> preclude it from </w:t>
      </w:r>
      <w:r w:rsidRPr="007D7D1C" w:rsidR="00D83023">
        <w:rPr>
          <w:szCs w:val="24"/>
        </w:rPr>
        <w:t>returning to</w:t>
      </w:r>
      <w:r w:rsidRPr="007D7D1C">
        <w:rPr>
          <w:szCs w:val="24"/>
        </w:rPr>
        <w:t xml:space="preserve"> its offices in Brooklyn. </w:t>
      </w:r>
      <w:r w:rsidRPr="007D7D1C" w:rsidR="00D83023">
        <w:rPr>
          <w:szCs w:val="24"/>
        </w:rPr>
        <w:t>To the contrary</w:t>
      </w:r>
      <w:r w:rsidRPr="007D7D1C">
        <w:rPr>
          <w:szCs w:val="24"/>
        </w:rPr>
        <w:t>, New York Governor Andrew Cuomo</w:t>
      </w:r>
      <w:r w:rsidRPr="007D7D1C" w:rsidR="00267202">
        <w:rPr>
          <w:szCs w:val="24"/>
        </w:rPr>
        <w:t xml:space="preserve"> recently announced that due to the decline in </w:t>
      </w:r>
      <w:r w:rsidRPr="007D7D1C" w:rsidR="00C12110">
        <w:rPr>
          <w:szCs w:val="24"/>
        </w:rPr>
        <w:t>coronavirus</w:t>
      </w:r>
      <w:r w:rsidRPr="007D7D1C" w:rsidR="00B035B1">
        <w:rPr>
          <w:szCs w:val="24"/>
        </w:rPr>
        <w:t xml:space="preserve"> </w:t>
      </w:r>
      <w:r w:rsidRPr="007D7D1C" w:rsidR="00267202">
        <w:rPr>
          <w:szCs w:val="24"/>
        </w:rPr>
        <w:t>cases in New York, schoolchildren throughout the state</w:t>
      </w:r>
      <w:r w:rsidRPr="007D7D1C" w:rsidR="00D83023">
        <w:rPr>
          <w:szCs w:val="24"/>
        </w:rPr>
        <w:t xml:space="preserve"> (which includes Brooklyn)</w:t>
      </w:r>
      <w:r w:rsidRPr="007D7D1C" w:rsidR="00267202">
        <w:rPr>
          <w:szCs w:val="24"/>
        </w:rPr>
        <w:t xml:space="preserve"> may return to in-person classes.</w:t>
      </w:r>
      <w:r>
        <w:rPr>
          <w:rStyle w:val="FootnoteReference"/>
          <w:szCs w:val="24"/>
        </w:rPr>
        <w:footnoteReference w:id="21"/>
      </w:r>
      <w:r w:rsidRPr="007D7D1C" w:rsidR="00C12110">
        <w:rPr>
          <w:szCs w:val="24"/>
        </w:rPr>
        <w:t xml:space="preserve"> </w:t>
      </w:r>
      <w:r w:rsidRPr="007D7D1C" w:rsidR="00CF7026">
        <w:rPr>
          <w:szCs w:val="24"/>
        </w:rPr>
        <w:t>I</w:t>
      </w:r>
      <w:r w:rsidRPr="007D7D1C" w:rsidR="00267202">
        <w:rPr>
          <w:szCs w:val="24"/>
        </w:rPr>
        <w:t xml:space="preserve">f </w:t>
      </w:r>
      <w:r w:rsidRPr="007D7D1C" w:rsidR="00783940">
        <w:rPr>
          <w:iCs/>
          <w:szCs w:val="24"/>
        </w:rPr>
        <w:t>children</w:t>
      </w:r>
      <w:r w:rsidRPr="007D7D1C" w:rsidR="00783940">
        <w:rPr>
          <w:szCs w:val="24"/>
        </w:rPr>
        <w:t xml:space="preserve"> </w:t>
      </w:r>
      <w:r w:rsidRPr="007D7D1C" w:rsidR="00D83023">
        <w:rPr>
          <w:szCs w:val="24"/>
        </w:rPr>
        <w:t xml:space="preserve">can attend </w:t>
      </w:r>
      <w:r w:rsidRPr="007D7D1C" w:rsidR="00783940">
        <w:rPr>
          <w:szCs w:val="24"/>
        </w:rPr>
        <w:t>school in-person in Brooklyn, PALMco</w:t>
      </w:r>
      <w:r w:rsidRPr="007D7D1C" w:rsidR="00B035B1">
        <w:rPr>
          <w:szCs w:val="24"/>
        </w:rPr>
        <w:t>’s employees can return to work</w:t>
      </w:r>
      <w:r w:rsidRPr="007D7D1C" w:rsidR="00C12110">
        <w:rPr>
          <w:szCs w:val="24"/>
        </w:rPr>
        <w:t>. At</w:t>
      </w:r>
      <w:r w:rsidRPr="007D7D1C" w:rsidR="00B035B1">
        <w:rPr>
          <w:szCs w:val="24"/>
        </w:rPr>
        <w:t xml:space="preserve"> a minimum, PALMco could</w:t>
      </w:r>
      <w:r w:rsidRPr="007D7D1C" w:rsidR="00783940">
        <w:rPr>
          <w:szCs w:val="24"/>
        </w:rPr>
        <w:t xml:space="preserve"> </w:t>
      </w:r>
      <w:r w:rsidRPr="007D7D1C" w:rsidR="00CF7026">
        <w:rPr>
          <w:szCs w:val="24"/>
        </w:rPr>
        <w:t>send a limited number of individuals to</w:t>
      </w:r>
      <w:r w:rsidRPr="007D7D1C" w:rsidR="00783940">
        <w:rPr>
          <w:szCs w:val="24"/>
        </w:rPr>
        <w:t xml:space="preserve"> its offices</w:t>
      </w:r>
      <w:r w:rsidRPr="007D7D1C" w:rsidR="00D83023">
        <w:rPr>
          <w:szCs w:val="24"/>
        </w:rPr>
        <w:t xml:space="preserve"> in Brooklyn</w:t>
      </w:r>
      <w:r w:rsidRPr="007D7D1C" w:rsidR="00CF7026">
        <w:rPr>
          <w:szCs w:val="24"/>
        </w:rPr>
        <w:t xml:space="preserve"> for a brief period, while maintaining best practices for social distancing and safety,</w:t>
      </w:r>
      <w:r w:rsidRPr="007D7D1C" w:rsidR="00783940">
        <w:rPr>
          <w:szCs w:val="24"/>
        </w:rPr>
        <w:t xml:space="preserve"> to access information to </w:t>
      </w:r>
      <w:r w:rsidRPr="007D7D1C" w:rsidR="00B035B1">
        <w:rPr>
          <w:szCs w:val="24"/>
        </w:rPr>
        <w:t>respond to discovery requests</w:t>
      </w:r>
      <w:r w:rsidRPr="007D7D1C" w:rsidR="00783940">
        <w:rPr>
          <w:szCs w:val="24"/>
        </w:rPr>
        <w:t>. T</w:t>
      </w:r>
      <w:r w:rsidRPr="007D7D1C" w:rsidR="00FB4D13">
        <w:rPr>
          <w:szCs w:val="24"/>
        </w:rPr>
        <w:t xml:space="preserve">he PUCO should not reward PALMco for </w:t>
      </w:r>
    </w:p>
    <w:p w:rsidR="007D6C58" w:rsidRPr="007D7D1C" w14:paraId="7276C308" w14:textId="77777777">
      <w:pPr>
        <w:rPr>
          <w:szCs w:val="24"/>
        </w:rPr>
      </w:pPr>
      <w:r w:rsidRPr="007D7D1C">
        <w:rPr>
          <w:szCs w:val="24"/>
        </w:rPr>
        <w:br w:type="page"/>
      </w:r>
    </w:p>
    <w:p w:rsidR="00FB4D13" w:rsidRPr="007D7D1C" w:rsidP="007D6C58" w14:paraId="50FC6C84" w14:textId="284ECF63">
      <w:pPr>
        <w:pStyle w:val="BodyTextIndent3"/>
        <w:widowControl w:val="0"/>
        <w:spacing w:line="480" w:lineRule="auto"/>
        <w:ind w:firstLine="0"/>
        <w:rPr>
          <w:szCs w:val="24"/>
        </w:rPr>
      </w:pPr>
      <w:r w:rsidRPr="007D7D1C">
        <w:rPr>
          <w:szCs w:val="24"/>
        </w:rPr>
        <w:t>its abject gamesmanship</w:t>
      </w:r>
      <w:r w:rsidRPr="007D7D1C" w:rsidR="00783940">
        <w:rPr>
          <w:szCs w:val="24"/>
        </w:rPr>
        <w:t xml:space="preserve"> (which began long before the </w:t>
      </w:r>
      <w:r w:rsidRPr="007D7D1C" w:rsidR="00C12110">
        <w:rPr>
          <w:szCs w:val="24"/>
        </w:rPr>
        <w:t>coronavirus</w:t>
      </w:r>
      <w:r w:rsidRPr="007D7D1C" w:rsidR="00B035B1">
        <w:rPr>
          <w:szCs w:val="24"/>
        </w:rPr>
        <w:t xml:space="preserve"> </w:t>
      </w:r>
      <w:r w:rsidRPr="007D7D1C" w:rsidR="00783940">
        <w:rPr>
          <w:szCs w:val="24"/>
        </w:rPr>
        <w:t>pandemic)</w:t>
      </w:r>
      <w:r w:rsidRPr="007D7D1C">
        <w:rPr>
          <w:szCs w:val="24"/>
        </w:rPr>
        <w:t xml:space="preserve"> by granting its request to stay the procedural schedule.</w:t>
      </w:r>
    </w:p>
    <w:p w:rsidR="00D83023" w:rsidRPr="007D7D1C" w:rsidP="00D5634D" w14:paraId="7EDBEE93" w14:textId="0BD718BD">
      <w:pPr>
        <w:pStyle w:val="Heading2"/>
        <w:rPr>
          <w:szCs w:val="24"/>
        </w:rPr>
      </w:pPr>
      <w:bookmarkStart w:id="10" w:name="_Toc48209090"/>
      <w:bookmarkStart w:id="11" w:name="_Toc48662984"/>
      <w:r w:rsidRPr="007D7D1C">
        <w:rPr>
          <w:rStyle w:val="Heading2Char"/>
          <w:b/>
          <w:szCs w:val="24"/>
        </w:rPr>
        <w:t>Any harm that PALMco suffers as a result of the PUCO’s</w:t>
      </w:r>
      <w:r w:rsidRPr="007D7D1C">
        <w:rPr>
          <w:szCs w:val="24"/>
        </w:rPr>
        <w:t xml:space="preserve"> </w:t>
      </w:r>
      <w:r w:rsidRPr="007D7D1C">
        <w:rPr>
          <w:rStyle w:val="Heading2Char"/>
          <w:b/>
          <w:szCs w:val="24"/>
        </w:rPr>
        <w:t xml:space="preserve">investigation is of its own making because it engaged in the unlawful conduct while already under investigation by the PUCO. By contrast, </w:t>
      </w:r>
      <w:r w:rsidRPr="007D7D1C" w:rsidR="00B07533">
        <w:rPr>
          <w:rStyle w:val="Heading2Char"/>
          <w:b/>
          <w:szCs w:val="24"/>
        </w:rPr>
        <w:t xml:space="preserve">innocent </w:t>
      </w:r>
      <w:r w:rsidRPr="007D7D1C">
        <w:rPr>
          <w:rStyle w:val="Heading2Char"/>
          <w:b/>
          <w:szCs w:val="24"/>
        </w:rPr>
        <w:t>Ohio consumers will be harmed if the PUCO does not move forward with this case.</w:t>
      </w:r>
      <w:bookmarkEnd w:id="10"/>
      <w:bookmarkEnd w:id="11"/>
    </w:p>
    <w:p w:rsidR="003550D6" w:rsidRPr="007D7D1C" w:rsidP="003550D6" w14:paraId="324637EC" w14:textId="17C4F10A">
      <w:pPr>
        <w:pStyle w:val="BodyTextIndent3"/>
        <w:widowControl w:val="0"/>
        <w:spacing w:line="480" w:lineRule="auto"/>
        <w:rPr>
          <w:szCs w:val="24"/>
        </w:rPr>
      </w:pPr>
      <w:r w:rsidRPr="007D7D1C">
        <w:rPr>
          <w:szCs w:val="24"/>
        </w:rPr>
        <w:t>PALMco complains in its motion that it suffers harm every time it has to expend its resources on litigation in this proceeding.</w:t>
      </w:r>
      <w:r>
        <w:rPr>
          <w:rStyle w:val="FootnoteReference"/>
          <w:szCs w:val="24"/>
        </w:rPr>
        <w:footnoteReference w:id="22"/>
      </w:r>
      <w:r w:rsidRPr="007D7D1C">
        <w:rPr>
          <w:szCs w:val="24"/>
        </w:rPr>
        <w:t xml:space="preserve"> But that is no reason for the PUCO to stay the proceedings</w:t>
      </w:r>
      <w:r w:rsidRPr="007D7D1C" w:rsidR="00455D7B">
        <w:rPr>
          <w:szCs w:val="24"/>
        </w:rPr>
        <w:t xml:space="preserve"> in this case</w:t>
      </w:r>
      <w:r w:rsidRPr="007D7D1C" w:rsidR="006E6205">
        <w:rPr>
          <w:szCs w:val="24"/>
        </w:rPr>
        <w:t xml:space="preserve">. The PUCO should instead consider the interests of the consumers that PALMco </w:t>
      </w:r>
      <w:r w:rsidRPr="007D7D1C" w:rsidR="00B035B1">
        <w:rPr>
          <w:szCs w:val="24"/>
        </w:rPr>
        <w:t>misled and deceived</w:t>
      </w:r>
      <w:r w:rsidRPr="007D7D1C" w:rsidR="00B07533">
        <w:rPr>
          <w:szCs w:val="24"/>
        </w:rPr>
        <w:t>, while it was a</w:t>
      </w:r>
      <w:r w:rsidRPr="007D7D1C" w:rsidR="006E6205">
        <w:rPr>
          <w:szCs w:val="24"/>
        </w:rPr>
        <w:t xml:space="preserve">lready being investigated by the PUCO for unlawful business conduct. </w:t>
      </w:r>
      <w:r w:rsidRPr="007D7D1C" w:rsidR="00455D7B">
        <w:rPr>
          <w:szCs w:val="24"/>
        </w:rPr>
        <w:t xml:space="preserve">The consumers PALMco </w:t>
      </w:r>
      <w:r w:rsidRPr="007D7D1C" w:rsidR="00B035B1">
        <w:rPr>
          <w:szCs w:val="24"/>
        </w:rPr>
        <w:t xml:space="preserve">misled and deceived </w:t>
      </w:r>
      <w:r w:rsidRPr="007D7D1C" w:rsidR="006E6205">
        <w:rPr>
          <w:szCs w:val="24"/>
        </w:rPr>
        <w:t xml:space="preserve">will be best served </w:t>
      </w:r>
      <w:r w:rsidRPr="007D7D1C" w:rsidR="00455D7B">
        <w:rPr>
          <w:szCs w:val="24"/>
        </w:rPr>
        <w:t>by moving this case forward.</w:t>
      </w:r>
    </w:p>
    <w:p w:rsidR="00180342" w:rsidRPr="007D7D1C" w:rsidP="003550D6" w14:paraId="4ADC15BA" w14:textId="4EBADCBC">
      <w:pPr>
        <w:pStyle w:val="BodyTextIndent3"/>
        <w:widowControl w:val="0"/>
        <w:spacing w:line="480" w:lineRule="auto"/>
        <w:rPr>
          <w:b/>
          <w:bCs/>
          <w:szCs w:val="24"/>
        </w:rPr>
      </w:pPr>
      <w:r w:rsidRPr="007D7D1C">
        <w:rPr>
          <w:szCs w:val="24"/>
        </w:rPr>
        <w:t xml:space="preserve">PALMco states that it “has upheld its end the bargain” regarding its settlement with the PUCO Staff in the PALMco I investigation. But </w:t>
      </w:r>
      <w:r w:rsidRPr="007D7D1C" w:rsidR="00455D7B">
        <w:rPr>
          <w:szCs w:val="24"/>
        </w:rPr>
        <w:t xml:space="preserve">the “bargain” PALMco struck with the PUCO Staff did </w:t>
      </w:r>
      <w:r w:rsidRPr="007D7D1C" w:rsidR="00455D7B">
        <w:rPr>
          <w:i/>
          <w:iCs/>
          <w:szCs w:val="24"/>
        </w:rPr>
        <w:t>not</w:t>
      </w:r>
      <w:r w:rsidRPr="007D7D1C" w:rsidR="00455D7B">
        <w:rPr>
          <w:szCs w:val="24"/>
        </w:rPr>
        <w:t xml:space="preserve"> include</w:t>
      </w:r>
      <w:r w:rsidRPr="007D7D1C">
        <w:rPr>
          <w:szCs w:val="24"/>
        </w:rPr>
        <w:t xml:space="preserve"> </w:t>
      </w:r>
      <w:r w:rsidRPr="007D7D1C" w:rsidR="00455D7B">
        <w:rPr>
          <w:szCs w:val="24"/>
        </w:rPr>
        <w:t xml:space="preserve">a license to continue </w:t>
      </w:r>
      <w:r w:rsidRPr="007D7D1C" w:rsidR="003A3C4D">
        <w:rPr>
          <w:szCs w:val="24"/>
        </w:rPr>
        <w:t xml:space="preserve">violating the PUCO’s rules, PUCO precedent, and Ohio law and </w:t>
      </w:r>
      <w:r w:rsidRPr="007D7D1C" w:rsidR="00455D7B">
        <w:rPr>
          <w:szCs w:val="24"/>
        </w:rPr>
        <w:t>abusing Ohio consumers</w:t>
      </w:r>
      <w:r w:rsidRPr="007D7D1C">
        <w:rPr>
          <w:szCs w:val="24"/>
        </w:rPr>
        <w:t>.</w:t>
      </w:r>
      <w:r w:rsidRPr="007D7D1C" w:rsidR="008348D1">
        <w:rPr>
          <w:szCs w:val="24"/>
        </w:rPr>
        <w:t xml:space="preserve"> Nothing in the settlement authorized PALMco to </w:t>
      </w:r>
      <w:r w:rsidRPr="007D7D1C" w:rsidR="003A3C4D">
        <w:rPr>
          <w:szCs w:val="24"/>
        </w:rPr>
        <w:t>continue to mislead and deceive its customers and engage in unfair and unconscionable acts, including charging unfair and unconscionable rates to customers.</w:t>
      </w:r>
      <w:r w:rsidRPr="007D7D1C">
        <w:rPr>
          <w:szCs w:val="24"/>
        </w:rPr>
        <w:t xml:space="preserve"> Th</w:t>
      </w:r>
      <w:r w:rsidRPr="007D7D1C" w:rsidR="008348D1">
        <w:rPr>
          <w:szCs w:val="24"/>
        </w:rPr>
        <w:t xml:space="preserve">at is why the PUCO Staff issued its Notice of Probable Non-Compliance and requested a second investigation. And the PUCO Staff should be commended for doing so. </w:t>
      </w:r>
      <w:r w:rsidRPr="007D7D1C" w:rsidR="001C7F34">
        <w:rPr>
          <w:szCs w:val="24"/>
        </w:rPr>
        <w:t>Customer complaints regarding</w:t>
      </w:r>
      <w:r w:rsidRPr="007D7D1C" w:rsidR="008348D1">
        <w:rPr>
          <w:szCs w:val="24"/>
        </w:rPr>
        <w:t xml:space="preserve"> </w:t>
      </w:r>
      <w:r w:rsidRPr="007D7D1C" w:rsidR="008348D1">
        <w:rPr>
          <w:i/>
          <w:iCs/>
          <w:szCs w:val="24"/>
        </w:rPr>
        <w:t>PALMco’s</w:t>
      </w:r>
      <w:r w:rsidRPr="007D7D1C" w:rsidR="008348D1">
        <w:rPr>
          <w:szCs w:val="24"/>
        </w:rPr>
        <w:t xml:space="preserve"> </w:t>
      </w:r>
      <w:r w:rsidRPr="007D7D1C" w:rsidR="003A3C4D">
        <w:rPr>
          <w:szCs w:val="24"/>
        </w:rPr>
        <w:t xml:space="preserve">unconscionable </w:t>
      </w:r>
      <w:r w:rsidRPr="007D7D1C" w:rsidR="008348D1">
        <w:rPr>
          <w:szCs w:val="24"/>
        </w:rPr>
        <w:t xml:space="preserve">conduct – not the PUCO Staff’s and not OCC’s – precipitated this investigation. PALMco cannot now cry foul </w:t>
      </w:r>
      <w:r w:rsidRPr="007D7D1C" w:rsidR="001C7F34">
        <w:rPr>
          <w:szCs w:val="24"/>
        </w:rPr>
        <w:t>because it is being required to account for its</w:t>
      </w:r>
      <w:r w:rsidRPr="007D7D1C" w:rsidR="00455D7B">
        <w:rPr>
          <w:szCs w:val="24"/>
        </w:rPr>
        <w:t xml:space="preserve"> bad behavior</w:t>
      </w:r>
      <w:r w:rsidRPr="007D7D1C" w:rsidR="001C7F34">
        <w:rPr>
          <w:szCs w:val="24"/>
        </w:rPr>
        <w:t>.</w:t>
      </w:r>
      <w:r w:rsidRPr="007D7D1C" w:rsidR="001D207F">
        <w:rPr>
          <w:szCs w:val="24"/>
        </w:rPr>
        <w:t xml:space="preserve"> </w:t>
      </w:r>
    </w:p>
    <w:p w:rsidR="001C7F34" w:rsidRPr="007D7D1C" w:rsidP="001C7F34" w14:paraId="783A54DD" w14:textId="4B22B9C7">
      <w:pPr>
        <w:pStyle w:val="BodyTextIndent3"/>
        <w:widowControl w:val="0"/>
        <w:spacing w:line="480" w:lineRule="auto"/>
        <w:ind w:firstLine="0"/>
        <w:rPr>
          <w:szCs w:val="24"/>
        </w:rPr>
      </w:pPr>
      <w:r w:rsidRPr="007D7D1C">
        <w:rPr>
          <w:szCs w:val="24"/>
        </w:rPr>
        <w:tab/>
        <w:t>PALMco’s former customers, Ohio consumers, and Ohio</w:t>
      </w:r>
      <w:r w:rsidRPr="007D7D1C" w:rsidR="003A3C4D">
        <w:rPr>
          <w:szCs w:val="24"/>
        </w:rPr>
        <w:t>’s competitive market</w:t>
      </w:r>
      <w:r w:rsidRPr="007D7D1C">
        <w:rPr>
          <w:szCs w:val="24"/>
        </w:rPr>
        <w:t xml:space="preserve"> in general will be harmed if the PUCO grants PALMco’s motion and stays this investigation. PALMco should be required to answer for its </w:t>
      </w:r>
      <w:r w:rsidRPr="007D7D1C" w:rsidR="003A3C4D">
        <w:rPr>
          <w:szCs w:val="24"/>
        </w:rPr>
        <w:t xml:space="preserve">violations of the PUCO’s rules, PUCO precedent, and Ohio law, as well as </w:t>
      </w:r>
      <w:r w:rsidRPr="007D7D1C" w:rsidR="009D10C6">
        <w:rPr>
          <w:szCs w:val="24"/>
        </w:rPr>
        <w:t>its</w:t>
      </w:r>
      <w:r w:rsidRPr="007D7D1C" w:rsidR="003A3C4D">
        <w:rPr>
          <w:szCs w:val="24"/>
        </w:rPr>
        <w:t xml:space="preserve"> </w:t>
      </w:r>
      <w:r w:rsidRPr="007D7D1C">
        <w:rPr>
          <w:szCs w:val="24"/>
        </w:rPr>
        <w:t>mistreatment of Ohio consumers</w:t>
      </w:r>
      <w:r w:rsidRPr="007D7D1C" w:rsidR="003A3C4D">
        <w:rPr>
          <w:szCs w:val="24"/>
        </w:rPr>
        <w:t>,</w:t>
      </w:r>
      <w:r w:rsidRPr="007D7D1C" w:rsidR="00455D7B">
        <w:rPr>
          <w:szCs w:val="24"/>
        </w:rPr>
        <w:t xml:space="preserve"> without undue delay</w:t>
      </w:r>
      <w:r w:rsidRPr="007D7D1C">
        <w:rPr>
          <w:szCs w:val="24"/>
        </w:rPr>
        <w:t>. The PUCO should deny PALMco’s motion</w:t>
      </w:r>
      <w:r w:rsidRPr="007D7D1C" w:rsidR="003A3C4D">
        <w:rPr>
          <w:szCs w:val="24"/>
        </w:rPr>
        <w:t xml:space="preserve"> to stay the proceeding</w:t>
      </w:r>
      <w:r w:rsidRPr="007D7D1C">
        <w:rPr>
          <w:szCs w:val="24"/>
        </w:rPr>
        <w:t>.</w:t>
      </w:r>
    </w:p>
    <w:p w:rsidR="001D207F" w:rsidRPr="007D7D1C" w:rsidP="001D207F" w14:paraId="0E3DDDEA" w14:textId="77777777">
      <w:pPr>
        <w:pStyle w:val="BodyTextIndent3"/>
        <w:widowControl w:val="0"/>
        <w:spacing w:line="240" w:lineRule="auto"/>
        <w:ind w:firstLine="0"/>
        <w:rPr>
          <w:szCs w:val="24"/>
        </w:rPr>
      </w:pPr>
    </w:p>
    <w:p w:rsidR="00BB5292" w:rsidRPr="007D7D1C" w:rsidP="00DD02C2" w14:paraId="70D68962" w14:textId="77777777">
      <w:pPr>
        <w:pStyle w:val="Heading1"/>
      </w:pPr>
      <w:bookmarkStart w:id="12" w:name="_Toc30075659"/>
      <w:bookmarkStart w:id="13" w:name="_Toc48209091"/>
      <w:bookmarkStart w:id="14" w:name="_Toc48662985"/>
      <w:r w:rsidRPr="007D7D1C">
        <w:t>I</w:t>
      </w:r>
      <w:r w:rsidRPr="007D7D1C" w:rsidR="00B24940">
        <w:t>II</w:t>
      </w:r>
      <w:r w:rsidRPr="007D7D1C" w:rsidR="00F25517">
        <w:t>.</w:t>
      </w:r>
      <w:r w:rsidRPr="007D7D1C" w:rsidR="00F25517">
        <w:tab/>
        <w:t>CONCLUSION</w:t>
      </w:r>
      <w:bookmarkEnd w:id="12"/>
      <w:bookmarkEnd w:id="13"/>
      <w:bookmarkEnd w:id="14"/>
    </w:p>
    <w:p w:rsidR="00A37654" w:rsidRPr="007D7D1C" w:rsidP="00A37654" w14:paraId="71617267" w14:textId="1CD98509">
      <w:pPr>
        <w:spacing w:line="480" w:lineRule="auto"/>
        <w:ind w:firstLine="720"/>
        <w:rPr>
          <w:szCs w:val="24"/>
        </w:rPr>
      </w:pPr>
      <w:r w:rsidRPr="007D7D1C">
        <w:rPr>
          <w:szCs w:val="24"/>
        </w:rPr>
        <w:t>PALMco’s motion to stay the proceeding should be denied. The PUCO has jurisdiction to investigate PALMco’s business practices</w:t>
      </w:r>
      <w:r w:rsidRPr="007D7D1C" w:rsidR="003A3C4D">
        <w:rPr>
          <w:szCs w:val="24"/>
        </w:rPr>
        <w:t xml:space="preserve"> </w:t>
      </w:r>
      <w:r w:rsidRPr="007D7D1C">
        <w:rPr>
          <w:szCs w:val="24"/>
        </w:rPr>
        <w:t xml:space="preserve">that resulted in Ohio consumers paying </w:t>
      </w:r>
      <w:r w:rsidRPr="007D7D1C" w:rsidR="003A3C4D">
        <w:rPr>
          <w:szCs w:val="24"/>
        </w:rPr>
        <w:t xml:space="preserve">unfair and </w:t>
      </w:r>
      <w:r w:rsidRPr="007D7D1C">
        <w:rPr>
          <w:szCs w:val="24"/>
        </w:rPr>
        <w:t>unconscionable rates for competitive natural gas and electric services</w:t>
      </w:r>
      <w:r w:rsidRPr="007D7D1C" w:rsidR="003A3C4D">
        <w:rPr>
          <w:szCs w:val="24"/>
        </w:rPr>
        <w:t xml:space="preserve"> to</w:t>
      </w:r>
      <w:r w:rsidRPr="007D7D1C" w:rsidR="00EB2333">
        <w:rPr>
          <w:szCs w:val="24"/>
        </w:rPr>
        <w:t xml:space="preserve"> make certain </w:t>
      </w:r>
      <w:r w:rsidRPr="007D7D1C" w:rsidR="003A3C4D">
        <w:rPr>
          <w:szCs w:val="24"/>
        </w:rPr>
        <w:t xml:space="preserve">that PALMco </w:t>
      </w:r>
      <w:r w:rsidRPr="007D7D1C" w:rsidR="009D10C6">
        <w:rPr>
          <w:szCs w:val="24"/>
        </w:rPr>
        <w:t>complied with</w:t>
      </w:r>
      <w:r w:rsidRPr="007D7D1C" w:rsidR="003A3C4D">
        <w:rPr>
          <w:szCs w:val="24"/>
        </w:rPr>
        <w:t xml:space="preserve"> PUCO rules and Ohio law and </w:t>
      </w:r>
      <w:r w:rsidRPr="007D7D1C" w:rsidR="009D10C6">
        <w:rPr>
          <w:szCs w:val="24"/>
        </w:rPr>
        <w:t xml:space="preserve">did </w:t>
      </w:r>
      <w:r w:rsidRPr="007D7D1C" w:rsidR="003A3C4D">
        <w:rPr>
          <w:szCs w:val="24"/>
        </w:rPr>
        <w:t>not mislead or deceiv</w:t>
      </w:r>
      <w:r w:rsidRPr="007D7D1C" w:rsidR="00187F7F">
        <w:rPr>
          <w:szCs w:val="24"/>
        </w:rPr>
        <w:t>e</w:t>
      </w:r>
      <w:r w:rsidRPr="007D7D1C" w:rsidR="003A3C4D">
        <w:rPr>
          <w:szCs w:val="24"/>
        </w:rPr>
        <w:t xml:space="preserve"> customers</w:t>
      </w:r>
      <w:r w:rsidRPr="007D7D1C">
        <w:rPr>
          <w:szCs w:val="24"/>
        </w:rPr>
        <w:t>.</w:t>
      </w:r>
      <w:r w:rsidRPr="007D7D1C" w:rsidR="009D10C6">
        <w:rPr>
          <w:szCs w:val="24"/>
        </w:rPr>
        <w:t xml:space="preserve"> Therefore</w:t>
      </w:r>
      <w:r w:rsidRPr="007D7D1C">
        <w:rPr>
          <w:szCs w:val="24"/>
        </w:rPr>
        <w:t xml:space="preserve">, the PUCO should </w:t>
      </w:r>
      <w:r w:rsidRPr="007D7D1C" w:rsidR="003A3C4D">
        <w:rPr>
          <w:szCs w:val="24"/>
        </w:rPr>
        <w:t>deny PALMco</w:t>
      </w:r>
      <w:r w:rsidRPr="007D7D1C" w:rsidR="00187F7F">
        <w:rPr>
          <w:szCs w:val="24"/>
        </w:rPr>
        <w:t>’s</w:t>
      </w:r>
      <w:r w:rsidRPr="007D7D1C" w:rsidR="003A3C4D">
        <w:rPr>
          <w:szCs w:val="24"/>
        </w:rPr>
        <w:t xml:space="preserve"> motion for stay</w:t>
      </w:r>
      <w:r w:rsidRPr="007D7D1C" w:rsidR="00187F7F">
        <w:rPr>
          <w:szCs w:val="24"/>
        </w:rPr>
        <w:t>,</w:t>
      </w:r>
      <w:r w:rsidRPr="007D7D1C" w:rsidR="003A3C4D">
        <w:rPr>
          <w:szCs w:val="24"/>
        </w:rPr>
        <w:t xml:space="preserve"> </w:t>
      </w:r>
      <w:r w:rsidRPr="007D7D1C">
        <w:rPr>
          <w:szCs w:val="24"/>
        </w:rPr>
        <w:t>move forward with this proceeding</w:t>
      </w:r>
      <w:r w:rsidRPr="007D7D1C" w:rsidR="00187F7F">
        <w:rPr>
          <w:szCs w:val="24"/>
        </w:rPr>
        <w:t>,</w:t>
      </w:r>
      <w:r w:rsidRPr="007D7D1C">
        <w:rPr>
          <w:szCs w:val="24"/>
        </w:rPr>
        <w:t xml:space="preserve"> and establish a new procedural schedule that allows </w:t>
      </w:r>
      <w:r w:rsidRPr="007D7D1C" w:rsidR="003A3C4D">
        <w:rPr>
          <w:szCs w:val="24"/>
        </w:rPr>
        <w:t xml:space="preserve">ample discovery and a </w:t>
      </w:r>
      <w:r w:rsidRPr="007D7D1C">
        <w:rPr>
          <w:szCs w:val="24"/>
        </w:rPr>
        <w:t>full development of the record</w:t>
      </w:r>
      <w:r w:rsidRPr="007D7D1C" w:rsidR="00263DBB">
        <w:rPr>
          <w:szCs w:val="24"/>
        </w:rPr>
        <w:t xml:space="preserve"> for consumer protection</w:t>
      </w:r>
      <w:r w:rsidRPr="007D7D1C">
        <w:rPr>
          <w:szCs w:val="24"/>
        </w:rPr>
        <w:t>.</w:t>
      </w:r>
    </w:p>
    <w:p w:rsidR="00B52F65" w:rsidRPr="007D7D1C" w:rsidP="00A37654" w14:paraId="426ED8B9" w14:textId="77777777">
      <w:pPr>
        <w:spacing w:line="480" w:lineRule="auto"/>
        <w:ind w:left="2880" w:firstLine="720"/>
        <w:rPr>
          <w:szCs w:val="24"/>
        </w:rPr>
      </w:pPr>
      <w:r w:rsidRPr="007D7D1C">
        <w:rPr>
          <w:szCs w:val="24"/>
        </w:rPr>
        <w:t>Respectfully submitted,</w:t>
      </w:r>
    </w:p>
    <w:p w:rsidR="00B52F65" w:rsidRPr="007D7D1C" w:rsidP="006A37D6" w14:paraId="317CFC10" w14:textId="77777777">
      <w:pPr>
        <w:pStyle w:val="Footer"/>
        <w:tabs>
          <w:tab w:val="left" w:pos="4320"/>
          <w:tab w:val="clear" w:pos="8640"/>
        </w:tabs>
        <w:ind w:left="3600"/>
        <w:rPr>
          <w:sz w:val="24"/>
          <w:szCs w:val="24"/>
        </w:rPr>
      </w:pPr>
      <w:r w:rsidRPr="007D7D1C">
        <w:rPr>
          <w:sz w:val="24"/>
          <w:szCs w:val="24"/>
        </w:rPr>
        <w:t>Bruce Weston (0016973)</w:t>
      </w:r>
    </w:p>
    <w:p w:rsidR="00B52F65" w:rsidRPr="007D7D1C" w:rsidP="00B52F65" w14:paraId="22DEB6E6" w14:textId="77777777">
      <w:pPr>
        <w:tabs>
          <w:tab w:val="left" w:pos="4320"/>
        </w:tabs>
        <w:ind w:left="3600"/>
        <w:rPr>
          <w:szCs w:val="24"/>
        </w:rPr>
      </w:pPr>
      <w:r w:rsidRPr="007D7D1C">
        <w:rPr>
          <w:szCs w:val="24"/>
        </w:rPr>
        <w:t>Ohio Consumers’ Counsel</w:t>
      </w:r>
    </w:p>
    <w:p w:rsidR="00B52F65" w:rsidRPr="007D7D1C" w:rsidP="00B52F65" w14:paraId="551B5B2A" w14:textId="77777777">
      <w:pPr>
        <w:tabs>
          <w:tab w:val="left" w:pos="4320"/>
        </w:tabs>
        <w:ind w:left="3600"/>
        <w:rPr>
          <w:szCs w:val="24"/>
        </w:rPr>
      </w:pPr>
    </w:p>
    <w:p w:rsidR="00B52F65" w:rsidRPr="007D7D1C" w:rsidP="00B52F65" w14:paraId="15852A49" w14:textId="77777777">
      <w:pPr>
        <w:tabs>
          <w:tab w:val="left" w:pos="4320"/>
        </w:tabs>
        <w:ind w:left="3600"/>
        <w:rPr>
          <w:i/>
          <w:szCs w:val="24"/>
          <w:u w:val="single"/>
        </w:rPr>
      </w:pPr>
      <w:r w:rsidRPr="007D7D1C">
        <w:rPr>
          <w:i/>
          <w:szCs w:val="24"/>
          <w:u w:val="single"/>
        </w:rPr>
        <w:t>/s/ Angela</w:t>
      </w:r>
      <w:r w:rsidRPr="007D7D1C" w:rsidR="001A7091">
        <w:rPr>
          <w:i/>
          <w:szCs w:val="24"/>
          <w:u w:val="single"/>
        </w:rPr>
        <w:t xml:space="preserve"> D.</w:t>
      </w:r>
      <w:r w:rsidRPr="007D7D1C">
        <w:rPr>
          <w:i/>
          <w:szCs w:val="24"/>
          <w:u w:val="single"/>
        </w:rPr>
        <w:t xml:space="preserve"> O’Brien</w:t>
      </w:r>
      <w:r w:rsidRPr="007D7D1C">
        <w:rPr>
          <w:i/>
          <w:szCs w:val="24"/>
          <w:u w:val="single"/>
        </w:rPr>
        <w:tab/>
      </w:r>
      <w:r w:rsidRPr="007D7D1C">
        <w:rPr>
          <w:i/>
          <w:szCs w:val="24"/>
          <w:u w:val="single"/>
        </w:rPr>
        <w:tab/>
      </w:r>
      <w:r w:rsidRPr="007D7D1C">
        <w:rPr>
          <w:i/>
          <w:szCs w:val="24"/>
          <w:u w:val="single"/>
        </w:rPr>
        <w:tab/>
      </w:r>
    </w:p>
    <w:p w:rsidR="00B52F65" w:rsidRPr="007D7D1C" w:rsidP="00B52F65" w14:paraId="30B3E5B2" w14:textId="77777777">
      <w:pPr>
        <w:tabs>
          <w:tab w:val="left" w:pos="4320"/>
        </w:tabs>
        <w:ind w:left="3600"/>
        <w:rPr>
          <w:szCs w:val="24"/>
        </w:rPr>
      </w:pPr>
      <w:r w:rsidRPr="007D7D1C">
        <w:rPr>
          <w:szCs w:val="24"/>
        </w:rPr>
        <w:t xml:space="preserve">Angela </w:t>
      </w:r>
      <w:r w:rsidRPr="007D7D1C" w:rsidR="001A7091">
        <w:rPr>
          <w:szCs w:val="24"/>
        </w:rPr>
        <w:t xml:space="preserve">D. </w:t>
      </w:r>
      <w:r w:rsidRPr="007D7D1C">
        <w:rPr>
          <w:szCs w:val="24"/>
        </w:rPr>
        <w:t xml:space="preserve">O’Brien (0097579) </w:t>
      </w:r>
    </w:p>
    <w:p w:rsidR="00731B26" w:rsidRPr="007D7D1C" w:rsidP="00731B26" w14:paraId="007FB9D4" w14:textId="77777777">
      <w:pPr>
        <w:tabs>
          <w:tab w:val="left" w:pos="4320"/>
        </w:tabs>
        <w:ind w:left="3600"/>
        <w:rPr>
          <w:szCs w:val="24"/>
        </w:rPr>
      </w:pPr>
      <w:r w:rsidRPr="007D7D1C">
        <w:rPr>
          <w:szCs w:val="24"/>
        </w:rPr>
        <w:t>Counsel of Record</w:t>
      </w:r>
    </w:p>
    <w:p w:rsidR="00731B26" w:rsidRPr="007D7D1C" w:rsidP="00731B26" w14:paraId="3F08BD87" w14:textId="77777777">
      <w:pPr>
        <w:tabs>
          <w:tab w:val="left" w:pos="4320"/>
        </w:tabs>
        <w:ind w:left="3600"/>
        <w:rPr>
          <w:szCs w:val="24"/>
        </w:rPr>
      </w:pPr>
      <w:r w:rsidRPr="007D7D1C">
        <w:rPr>
          <w:szCs w:val="24"/>
        </w:rPr>
        <w:t>Christopher Healey (0086027)</w:t>
      </w:r>
    </w:p>
    <w:p w:rsidR="00731B26" w:rsidRPr="007D7D1C" w:rsidP="00731B26" w14:paraId="4D5BB0C5" w14:textId="77777777">
      <w:pPr>
        <w:tabs>
          <w:tab w:val="left" w:pos="4320"/>
        </w:tabs>
        <w:ind w:left="3600"/>
        <w:rPr>
          <w:szCs w:val="24"/>
        </w:rPr>
      </w:pPr>
      <w:r w:rsidRPr="007D7D1C">
        <w:rPr>
          <w:szCs w:val="24"/>
        </w:rPr>
        <w:t>Assistant Consumers’ Counsel</w:t>
      </w:r>
    </w:p>
    <w:p w:rsidR="009D274E" w:rsidRPr="007D7D1C" w:rsidP="00731B26" w14:paraId="51995ADE" w14:textId="77777777">
      <w:pPr>
        <w:tabs>
          <w:tab w:val="left" w:pos="4320"/>
        </w:tabs>
        <w:ind w:left="3600"/>
        <w:rPr>
          <w:szCs w:val="24"/>
        </w:rPr>
      </w:pPr>
    </w:p>
    <w:p w:rsidR="00731B26" w:rsidRPr="007D7D1C" w:rsidP="009D274E" w14:paraId="033FE6AC" w14:textId="77777777">
      <w:pPr>
        <w:ind w:left="3600"/>
        <w:rPr>
          <w:b/>
          <w:bCs/>
          <w:szCs w:val="24"/>
        </w:rPr>
      </w:pPr>
      <w:r w:rsidRPr="007D7D1C">
        <w:rPr>
          <w:b/>
          <w:bCs/>
          <w:szCs w:val="24"/>
        </w:rPr>
        <w:t>Office of the Ohio Consumers’ Counsel</w:t>
      </w:r>
    </w:p>
    <w:p w:rsidR="00731B26" w:rsidRPr="007D7D1C" w:rsidP="009D274E" w14:paraId="4580F6CD" w14:textId="77777777">
      <w:pPr>
        <w:ind w:left="3600"/>
        <w:rPr>
          <w:b/>
          <w:szCs w:val="24"/>
        </w:rPr>
      </w:pPr>
      <w:r w:rsidRPr="007D7D1C">
        <w:rPr>
          <w:szCs w:val="24"/>
        </w:rPr>
        <w:t>65 East State Street, 7th Floor</w:t>
      </w:r>
    </w:p>
    <w:p w:rsidR="00731B26" w:rsidRPr="007D7D1C" w:rsidP="009D274E" w14:paraId="7F88F7A7" w14:textId="77777777">
      <w:pPr>
        <w:ind w:left="3600"/>
        <w:rPr>
          <w:b/>
          <w:szCs w:val="24"/>
        </w:rPr>
      </w:pPr>
      <w:r w:rsidRPr="007D7D1C">
        <w:rPr>
          <w:szCs w:val="24"/>
        </w:rPr>
        <w:t>Columbus, Ohio 43215-4213</w:t>
      </w:r>
    </w:p>
    <w:p w:rsidR="00731B26" w:rsidRPr="007D7D1C" w:rsidP="00731B26" w14:paraId="4491C910" w14:textId="77777777">
      <w:pPr>
        <w:autoSpaceDE w:val="0"/>
        <w:autoSpaceDN w:val="0"/>
        <w:adjustRightInd w:val="0"/>
        <w:ind w:left="3600"/>
        <w:rPr>
          <w:szCs w:val="24"/>
        </w:rPr>
      </w:pPr>
      <w:r w:rsidRPr="007D7D1C">
        <w:rPr>
          <w:szCs w:val="24"/>
        </w:rPr>
        <w:t>Telephone [O’Brien]: (614) 466-9531</w:t>
      </w:r>
    </w:p>
    <w:p w:rsidR="00D60C2A" w:rsidRPr="007D7D1C" w:rsidP="00731B26" w14:paraId="27DB4D58" w14:textId="77777777">
      <w:pPr>
        <w:autoSpaceDE w:val="0"/>
        <w:autoSpaceDN w:val="0"/>
        <w:adjustRightInd w:val="0"/>
        <w:ind w:left="3600"/>
        <w:rPr>
          <w:szCs w:val="24"/>
        </w:rPr>
      </w:pPr>
      <w:r w:rsidRPr="007D7D1C">
        <w:rPr>
          <w:szCs w:val="24"/>
        </w:rPr>
        <w:t>Telephone [Healey]: (614) 466-9571</w:t>
      </w:r>
    </w:p>
    <w:p w:rsidR="00731B26" w:rsidRPr="007D7D1C" w:rsidP="00731B26" w14:paraId="2332FD57" w14:textId="77777777">
      <w:pPr>
        <w:rPr>
          <w:szCs w:val="24"/>
        </w:rPr>
      </w:pPr>
      <w:r w:rsidRPr="007D7D1C">
        <w:rPr>
          <w:szCs w:val="24"/>
        </w:rPr>
        <w:tab/>
      </w:r>
      <w:r w:rsidRPr="007D7D1C">
        <w:rPr>
          <w:szCs w:val="24"/>
        </w:rPr>
        <w:tab/>
      </w:r>
      <w:r w:rsidRPr="007D7D1C">
        <w:rPr>
          <w:szCs w:val="24"/>
        </w:rPr>
        <w:tab/>
      </w:r>
      <w:r w:rsidRPr="007D7D1C">
        <w:rPr>
          <w:szCs w:val="24"/>
        </w:rPr>
        <w:tab/>
      </w:r>
      <w:r w:rsidRPr="007D7D1C">
        <w:rPr>
          <w:szCs w:val="24"/>
        </w:rPr>
        <w:tab/>
      </w:r>
      <w:hyperlink r:id="rId6" w:history="1">
        <w:r w:rsidRPr="007D7D1C">
          <w:rPr>
            <w:rStyle w:val="Hyperlink"/>
            <w:szCs w:val="24"/>
          </w:rPr>
          <w:t>angela.obrien@occ.ohio.gov</w:t>
        </w:r>
      </w:hyperlink>
      <w:r w:rsidRPr="007D7D1C">
        <w:rPr>
          <w:szCs w:val="24"/>
        </w:rPr>
        <w:t xml:space="preserve"> </w:t>
      </w:r>
    </w:p>
    <w:p w:rsidR="00D60C2A" w:rsidRPr="007D7D1C" w:rsidP="00731B26" w14:paraId="762DBA4F" w14:textId="1A019E4D">
      <w:pPr>
        <w:rPr>
          <w:szCs w:val="24"/>
        </w:rPr>
      </w:pPr>
      <w:r w:rsidRPr="007D7D1C">
        <w:rPr>
          <w:szCs w:val="24"/>
        </w:rPr>
        <w:tab/>
      </w:r>
      <w:r w:rsidRPr="007D7D1C">
        <w:rPr>
          <w:szCs w:val="24"/>
        </w:rPr>
        <w:tab/>
      </w:r>
      <w:r w:rsidRPr="007D7D1C">
        <w:rPr>
          <w:szCs w:val="24"/>
        </w:rPr>
        <w:tab/>
      </w:r>
      <w:r w:rsidRPr="007D7D1C">
        <w:rPr>
          <w:szCs w:val="24"/>
        </w:rPr>
        <w:tab/>
      </w:r>
      <w:r w:rsidRPr="007D7D1C">
        <w:rPr>
          <w:szCs w:val="24"/>
        </w:rPr>
        <w:tab/>
      </w:r>
      <w:hyperlink r:id="rId7" w:history="1">
        <w:r w:rsidRPr="007D7D1C" w:rsidR="001D207F">
          <w:rPr>
            <w:rStyle w:val="Hyperlink"/>
            <w:szCs w:val="24"/>
          </w:rPr>
          <w:t>christopher.healey@occ.ohio.gov</w:t>
        </w:r>
      </w:hyperlink>
    </w:p>
    <w:p w:rsidR="00F44221" w:rsidRPr="007D7D1C" w:rsidP="00731B26" w14:paraId="53516262" w14:textId="77777777">
      <w:pPr>
        <w:ind w:left="3600"/>
        <w:rPr>
          <w:szCs w:val="24"/>
        </w:rPr>
      </w:pPr>
      <w:r w:rsidRPr="007D7D1C">
        <w:rPr>
          <w:szCs w:val="24"/>
        </w:rPr>
        <w:t>(willing to accept service by e-mail)</w:t>
      </w:r>
    </w:p>
    <w:p w:rsidR="00731B26" w:rsidRPr="007D7D1C" w:rsidP="00646111" w14:paraId="743822D7" w14:textId="77777777">
      <w:pPr>
        <w:rPr>
          <w:szCs w:val="24"/>
        </w:rPr>
      </w:pPr>
    </w:p>
    <w:p w:rsidR="00731B26" w:rsidRPr="007D7D1C" w:rsidP="00731B26" w14:paraId="289D78C2" w14:textId="77777777">
      <w:pPr>
        <w:ind w:left="2880" w:firstLine="720"/>
        <w:rPr>
          <w:szCs w:val="24"/>
        </w:rPr>
      </w:pPr>
      <w:r w:rsidRPr="007D7D1C">
        <w:rPr>
          <w:szCs w:val="24"/>
        </w:rPr>
        <w:t>Kimberly W. Bojko (0069402)</w:t>
      </w:r>
    </w:p>
    <w:p w:rsidR="00731B26" w:rsidRPr="007D7D1C" w:rsidP="00731B26" w14:paraId="3C2E7E9F" w14:textId="77777777">
      <w:pPr>
        <w:ind w:left="2880" w:firstLine="720"/>
        <w:rPr>
          <w:szCs w:val="24"/>
        </w:rPr>
      </w:pPr>
      <w:r w:rsidRPr="007D7D1C">
        <w:rPr>
          <w:szCs w:val="24"/>
        </w:rPr>
        <w:t>Carpenter Lipps &amp; Leland LLP</w:t>
      </w:r>
    </w:p>
    <w:p w:rsidR="00731B26" w:rsidRPr="007D7D1C" w:rsidP="00731B26" w14:paraId="5EBC72ED" w14:textId="77777777">
      <w:pPr>
        <w:ind w:left="2880" w:firstLine="720"/>
        <w:rPr>
          <w:szCs w:val="24"/>
        </w:rPr>
      </w:pPr>
      <w:r w:rsidRPr="007D7D1C">
        <w:rPr>
          <w:szCs w:val="24"/>
        </w:rPr>
        <w:t>280 Plaza, Suite 1300</w:t>
      </w:r>
    </w:p>
    <w:p w:rsidR="00731B26" w:rsidRPr="007D7D1C" w:rsidP="00731B26" w14:paraId="7E91CDC7" w14:textId="77777777">
      <w:pPr>
        <w:ind w:left="2880" w:firstLine="720"/>
        <w:rPr>
          <w:szCs w:val="24"/>
        </w:rPr>
      </w:pPr>
      <w:r w:rsidRPr="007D7D1C">
        <w:rPr>
          <w:szCs w:val="24"/>
        </w:rPr>
        <w:t>280 North High Street</w:t>
      </w:r>
    </w:p>
    <w:p w:rsidR="00731B26" w:rsidRPr="007D7D1C" w:rsidP="00731B26" w14:paraId="3A9049C6" w14:textId="77777777">
      <w:pPr>
        <w:ind w:left="2880" w:firstLine="720"/>
        <w:rPr>
          <w:szCs w:val="24"/>
        </w:rPr>
      </w:pPr>
      <w:r w:rsidRPr="007D7D1C">
        <w:rPr>
          <w:szCs w:val="24"/>
        </w:rPr>
        <w:t>Columbus, Ohio 43215</w:t>
      </w:r>
    </w:p>
    <w:p w:rsidR="00731B26" w:rsidRPr="007D7D1C" w:rsidP="00731B26" w14:paraId="4C6AFBC8" w14:textId="77777777">
      <w:pPr>
        <w:ind w:left="2880" w:firstLine="720"/>
        <w:rPr>
          <w:szCs w:val="24"/>
        </w:rPr>
      </w:pPr>
      <w:hyperlink r:id="rId8" w:history="1">
        <w:r w:rsidRPr="007D7D1C" w:rsidR="00F25517">
          <w:rPr>
            <w:rStyle w:val="Hyperlink"/>
            <w:szCs w:val="24"/>
          </w:rPr>
          <w:t>bojko@carpenterlipps.com</w:t>
        </w:r>
      </w:hyperlink>
      <w:r w:rsidRPr="007D7D1C" w:rsidR="00F25517">
        <w:rPr>
          <w:szCs w:val="24"/>
        </w:rPr>
        <w:t xml:space="preserve"> </w:t>
      </w:r>
    </w:p>
    <w:p w:rsidR="00731B26" w:rsidRPr="007D7D1C" w:rsidP="00731B26" w14:paraId="3F4A131B" w14:textId="77777777">
      <w:pPr>
        <w:ind w:left="2880" w:firstLine="720"/>
        <w:rPr>
          <w:szCs w:val="24"/>
        </w:rPr>
      </w:pPr>
      <w:r w:rsidRPr="007D7D1C">
        <w:rPr>
          <w:szCs w:val="24"/>
        </w:rPr>
        <w:t>(willing to accept service by e-mail)</w:t>
      </w:r>
    </w:p>
    <w:p w:rsidR="00731B26" w:rsidRPr="007D7D1C" w:rsidP="00731B26" w14:paraId="17CBB86B" w14:textId="77777777">
      <w:pPr>
        <w:ind w:left="4320"/>
        <w:rPr>
          <w:szCs w:val="24"/>
        </w:rPr>
      </w:pPr>
    </w:p>
    <w:p w:rsidR="00731B26" w:rsidRPr="007D7D1C" w:rsidP="00731B26" w14:paraId="7D6EB0E4" w14:textId="77777777">
      <w:pPr>
        <w:ind w:left="2880" w:firstLine="720"/>
        <w:rPr>
          <w:i/>
          <w:iCs/>
          <w:szCs w:val="24"/>
        </w:rPr>
      </w:pPr>
      <w:r w:rsidRPr="007D7D1C">
        <w:rPr>
          <w:i/>
          <w:iCs/>
          <w:szCs w:val="24"/>
        </w:rPr>
        <w:t>Special Counsel for</w:t>
      </w:r>
    </w:p>
    <w:p w:rsidR="00731B26" w:rsidRPr="007D7D1C" w:rsidP="00731B26" w14:paraId="1A851ABC" w14:textId="77777777">
      <w:pPr>
        <w:ind w:left="2880" w:firstLine="720"/>
        <w:rPr>
          <w:i/>
          <w:iCs/>
          <w:szCs w:val="24"/>
        </w:rPr>
      </w:pPr>
      <w:r w:rsidRPr="007D7D1C">
        <w:rPr>
          <w:i/>
          <w:iCs/>
          <w:szCs w:val="24"/>
        </w:rPr>
        <w:t>The Office of the Ohio Consumers’ Counsel</w:t>
      </w:r>
    </w:p>
    <w:p w:rsidR="00731B26" w:rsidRPr="007D7D1C" w:rsidP="00B52F65" w14:paraId="7F5F542B" w14:textId="77777777">
      <w:pPr>
        <w:tabs>
          <w:tab w:val="left" w:pos="4320"/>
        </w:tabs>
        <w:ind w:left="3600"/>
        <w:rPr>
          <w:szCs w:val="24"/>
        </w:rPr>
      </w:pPr>
    </w:p>
    <w:p w:rsidR="00B52F65" w:rsidRPr="007D7D1C" w:rsidP="00B52F65" w14:paraId="072CE678" w14:textId="77777777">
      <w:pPr>
        <w:rPr>
          <w:szCs w:val="24"/>
        </w:rPr>
      </w:pPr>
    </w:p>
    <w:p w:rsidR="0089543E" w:rsidRPr="007D7D1C" w14:paraId="60922BFC" w14:textId="77777777">
      <w:pPr>
        <w:rPr>
          <w:szCs w:val="24"/>
        </w:rPr>
      </w:pPr>
      <w:r w:rsidRPr="007D7D1C">
        <w:rPr>
          <w:szCs w:val="24"/>
        </w:rPr>
        <w:br w:type="page"/>
      </w:r>
    </w:p>
    <w:p w:rsidR="00B52F65" w:rsidRPr="007D7D1C" w:rsidP="00F90B18" w14:paraId="62AE4AB2" w14:textId="77777777">
      <w:pPr>
        <w:jc w:val="center"/>
        <w:rPr>
          <w:b/>
          <w:bCs/>
          <w:szCs w:val="24"/>
          <w:u w:val="single"/>
        </w:rPr>
      </w:pPr>
      <w:r w:rsidRPr="007D7D1C">
        <w:rPr>
          <w:b/>
          <w:bCs/>
          <w:szCs w:val="24"/>
          <w:u w:val="single"/>
        </w:rPr>
        <w:t>CERTIFICATE OF SERVICE</w:t>
      </w:r>
    </w:p>
    <w:p w:rsidR="00731B26" w:rsidRPr="007D7D1C" w:rsidP="00731B26" w14:paraId="53747AEF" w14:textId="77777777">
      <w:pPr>
        <w:jc w:val="center"/>
        <w:rPr>
          <w:szCs w:val="24"/>
        </w:rPr>
      </w:pPr>
    </w:p>
    <w:p w:rsidR="00B52F65" w:rsidRPr="007D7D1C" w:rsidP="0059283C" w14:paraId="369D0EB9" w14:textId="029B054C">
      <w:pPr>
        <w:spacing w:line="480" w:lineRule="auto"/>
        <w:ind w:firstLine="720"/>
        <w:rPr>
          <w:i/>
          <w:iCs/>
          <w:szCs w:val="24"/>
        </w:rPr>
      </w:pPr>
      <w:r w:rsidRPr="007D7D1C">
        <w:rPr>
          <w:szCs w:val="24"/>
        </w:rPr>
        <w:t>I hereby certify that a copy of this</w:t>
      </w:r>
      <w:r w:rsidRPr="007D7D1C" w:rsidR="00731B26">
        <w:rPr>
          <w:szCs w:val="24"/>
        </w:rPr>
        <w:t xml:space="preserve"> </w:t>
      </w:r>
      <w:r w:rsidRPr="007D7D1C" w:rsidR="0081674B">
        <w:rPr>
          <w:szCs w:val="24"/>
        </w:rPr>
        <w:t xml:space="preserve">Memorandum Contra </w:t>
      </w:r>
      <w:r w:rsidRPr="007D7D1C" w:rsidR="00263DBB">
        <w:rPr>
          <w:szCs w:val="24"/>
        </w:rPr>
        <w:t>PALMco’s Motion to Stay</w:t>
      </w:r>
      <w:r w:rsidRPr="007D7D1C" w:rsidR="00DE0CA9">
        <w:rPr>
          <w:szCs w:val="24"/>
        </w:rPr>
        <w:t xml:space="preserve"> </w:t>
      </w:r>
      <w:r w:rsidRPr="007D7D1C">
        <w:rPr>
          <w:szCs w:val="24"/>
        </w:rPr>
        <w:t xml:space="preserve">was served on the persons stated below via electronic transmission, this </w:t>
      </w:r>
      <w:r w:rsidRPr="007D7D1C" w:rsidR="00263DBB">
        <w:rPr>
          <w:szCs w:val="24"/>
        </w:rPr>
        <w:t>1</w:t>
      </w:r>
      <w:r w:rsidRPr="007D7D1C" w:rsidR="006A122C">
        <w:rPr>
          <w:szCs w:val="24"/>
        </w:rPr>
        <w:t>8</w:t>
      </w:r>
      <w:r w:rsidRPr="007D7D1C" w:rsidR="00263DBB">
        <w:rPr>
          <w:szCs w:val="24"/>
          <w:vertAlign w:val="superscript"/>
        </w:rPr>
        <w:t>th</w:t>
      </w:r>
      <w:r w:rsidRPr="007D7D1C" w:rsidR="00D107F1">
        <w:rPr>
          <w:szCs w:val="24"/>
        </w:rPr>
        <w:t xml:space="preserve"> </w:t>
      </w:r>
      <w:r w:rsidRPr="007D7D1C">
        <w:rPr>
          <w:szCs w:val="24"/>
        </w:rPr>
        <w:t>day of</w:t>
      </w:r>
      <w:r w:rsidRPr="007D7D1C" w:rsidR="00A10E45">
        <w:rPr>
          <w:szCs w:val="24"/>
        </w:rPr>
        <w:t xml:space="preserve"> </w:t>
      </w:r>
      <w:r w:rsidRPr="007D7D1C" w:rsidR="00263DBB">
        <w:rPr>
          <w:szCs w:val="24"/>
        </w:rPr>
        <w:t>August</w:t>
      </w:r>
      <w:r w:rsidRPr="007D7D1C">
        <w:rPr>
          <w:szCs w:val="24"/>
        </w:rPr>
        <w:t xml:space="preserve"> 20</w:t>
      </w:r>
      <w:r w:rsidRPr="007D7D1C" w:rsidR="00805F1D">
        <w:rPr>
          <w:szCs w:val="24"/>
        </w:rPr>
        <w:t>20</w:t>
      </w:r>
      <w:r w:rsidRPr="007D7D1C">
        <w:rPr>
          <w:szCs w:val="24"/>
        </w:rPr>
        <w:t>.</w:t>
      </w:r>
    </w:p>
    <w:p w:rsidR="00B52F65" w:rsidRPr="007D7D1C" w14:paraId="424A9843" w14:textId="77777777">
      <w:pPr>
        <w:spacing w:line="480" w:lineRule="atLeast"/>
        <w:rPr>
          <w:szCs w:val="24"/>
        </w:rPr>
      </w:pPr>
    </w:p>
    <w:p w:rsidR="00B52F65" w:rsidRPr="007D7D1C" w14:paraId="42C02000" w14:textId="77777777">
      <w:pPr>
        <w:tabs>
          <w:tab w:val="left" w:pos="4320"/>
        </w:tabs>
        <w:rPr>
          <w:i/>
          <w:szCs w:val="24"/>
          <w:u w:val="single"/>
        </w:rPr>
      </w:pPr>
      <w:r w:rsidRPr="007D7D1C">
        <w:rPr>
          <w:szCs w:val="24"/>
        </w:rPr>
        <w:tab/>
      </w:r>
      <w:r w:rsidRPr="007D7D1C">
        <w:rPr>
          <w:i/>
          <w:iCs/>
          <w:szCs w:val="24"/>
          <w:u w:val="single"/>
        </w:rPr>
        <w:t>/s/</w:t>
      </w:r>
      <w:r w:rsidRPr="007D7D1C">
        <w:rPr>
          <w:szCs w:val="24"/>
          <w:u w:val="single"/>
        </w:rPr>
        <w:t xml:space="preserve"> </w:t>
      </w:r>
      <w:r w:rsidRPr="007D7D1C">
        <w:rPr>
          <w:i/>
          <w:szCs w:val="24"/>
          <w:u w:val="single"/>
        </w:rPr>
        <w:t xml:space="preserve">Angela </w:t>
      </w:r>
      <w:r w:rsidRPr="007D7D1C" w:rsidR="00B559AA">
        <w:rPr>
          <w:i/>
          <w:szCs w:val="24"/>
          <w:u w:val="single"/>
        </w:rPr>
        <w:t xml:space="preserve">D. </w:t>
      </w:r>
      <w:r w:rsidRPr="007D7D1C">
        <w:rPr>
          <w:i/>
          <w:szCs w:val="24"/>
          <w:u w:val="single"/>
        </w:rPr>
        <w:t>O’Brien</w:t>
      </w:r>
      <w:r w:rsidRPr="007D7D1C">
        <w:rPr>
          <w:i/>
          <w:szCs w:val="24"/>
          <w:u w:val="single"/>
        </w:rPr>
        <w:tab/>
      </w:r>
      <w:r w:rsidRPr="007D7D1C">
        <w:rPr>
          <w:i/>
          <w:szCs w:val="24"/>
          <w:u w:val="single"/>
        </w:rPr>
        <w:tab/>
      </w:r>
    </w:p>
    <w:p w:rsidR="00B52F65" w:rsidRPr="007D7D1C" w14:paraId="5F987BC9" w14:textId="77777777">
      <w:pPr>
        <w:tabs>
          <w:tab w:val="left" w:pos="4320"/>
        </w:tabs>
        <w:rPr>
          <w:szCs w:val="24"/>
        </w:rPr>
      </w:pPr>
      <w:r w:rsidRPr="007D7D1C">
        <w:rPr>
          <w:szCs w:val="24"/>
        </w:rPr>
        <w:tab/>
        <w:t xml:space="preserve">Angela </w:t>
      </w:r>
      <w:r w:rsidRPr="007D7D1C" w:rsidR="00B559AA">
        <w:rPr>
          <w:szCs w:val="24"/>
        </w:rPr>
        <w:t xml:space="preserve">D. </w:t>
      </w:r>
      <w:r w:rsidRPr="007D7D1C">
        <w:rPr>
          <w:szCs w:val="24"/>
        </w:rPr>
        <w:t>O’Brien</w:t>
      </w:r>
    </w:p>
    <w:p w:rsidR="00B52F65" w:rsidRPr="007D7D1C" w14:paraId="77D1BB69" w14:textId="77777777">
      <w:pPr>
        <w:tabs>
          <w:tab w:val="left" w:pos="4320"/>
        </w:tabs>
        <w:rPr>
          <w:szCs w:val="24"/>
        </w:rPr>
      </w:pPr>
      <w:r w:rsidRPr="007D7D1C">
        <w:rPr>
          <w:szCs w:val="24"/>
        </w:rPr>
        <w:tab/>
        <w:t>Assistant Consumers’ Counsel</w:t>
      </w:r>
    </w:p>
    <w:p w:rsidR="0000110D" w:rsidRPr="007D7D1C" w14:paraId="440FB2D7" w14:textId="77777777">
      <w:pPr>
        <w:tabs>
          <w:tab w:val="left" w:pos="4320"/>
        </w:tabs>
        <w:rPr>
          <w:szCs w:val="24"/>
        </w:rPr>
      </w:pPr>
    </w:p>
    <w:p w:rsidR="00B52F65" w:rsidRPr="007D7D1C" w14:paraId="294CBA26" w14:textId="77777777">
      <w:pPr>
        <w:pStyle w:val="CommentSubject"/>
        <w:rPr>
          <w:szCs w:val="24"/>
        </w:rPr>
      </w:pPr>
    </w:p>
    <w:p w:rsidR="005B331B" w:rsidRPr="007D7D1C" w:rsidP="0060598B" w14:paraId="7F8E07B0" w14:textId="77777777">
      <w:pPr>
        <w:rPr>
          <w:szCs w:val="24"/>
        </w:rPr>
      </w:pPr>
      <w:r w:rsidRPr="007D7D1C">
        <w:rPr>
          <w:szCs w:val="24"/>
        </w:rPr>
        <w:t>The PUCO’s e-filing system will electronically serve notice of the filing of this document on the following parties:</w:t>
      </w:r>
    </w:p>
    <w:p w:rsidR="00DE0CA9" w:rsidRPr="007D7D1C" w:rsidP="0060598B" w14:paraId="06C9DA82" w14:textId="77777777">
      <w:pPr>
        <w:rPr>
          <w:szCs w:val="24"/>
        </w:rPr>
      </w:pPr>
    </w:p>
    <w:p w:rsidR="001D207F" w:rsidRPr="007D7D1C" w:rsidP="001D207F" w14:paraId="46F438A9" w14:textId="77777777">
      <w:pPr>
        <w:jc w:val="center"/>
        <w:rPr>
          <w:b/>
          <w:szCs w:val="24"/>
          <w:u w:val="single"/>
        </w:rPr>
      </w:pPr>
      <w:r w:rsidRPr="007D7D1C">
        <w:rPr>
          <w:b/>
          <w:szCs w:val="24"/>
          <w:u w:val="single"/>
        </w:rPr>
        <w:t>SERVICE LIST</w:t>
      </w:r>
    </w:p>
    <w:p w:rsidR="001D207F" w:rsidRPr="007D7D1C" w:rsidP="001D207F" w14:paraId="222E993E" w14:textId="77777777">
      <w:pPr>
        <w:jc w:val="center"/>
        <w:rPr>
          <w:b/>
          <w:szCs w:val="24"/>
          <w:u w:val="single"/>
        </w:rPr>
      </w:pPr>
    </w:p>
    <w:p w:rsidR="001D207F" w:rsidRPr="007D7D1C" w:rsidP="001D207F" w14:paraId="70B99DF0" w14:textId="77777777">
      <w:pPr>
        <w:jc w:val="center"/>
        <w:rPr>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6"/>
        <w:gridCol w:w="4414"/>
      </w:tblGrid>
      <w:tr w14:paraId="06C5FE30" w14:textId="77777777" w:rsidTr="00127DD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97" w:type="dxa"/>
            <w:tcBorders>
              <w:top w:val="nil"/>
              <w:left w:val="nil"/>
              <w:bottom w:val="nil"/>
              <w:right w:val="nil"/>
            </w:tcBorders>
            <w:shd w:val="clear" w:color="auto" w:fill="auto"/>
          </w:tcPr>
          <w:p w:rsidR="001D207F" w:rsidRPr="007D7D1C" w:rsidP="001D207F" w14:paraId="1BECE5CB" w14:textId="77777777">
            <w:pPr>
              <w:rPr>
                <w:color w:val="0000FF"/>
                <w:szCs w:val="24"/>
                <w:u w:val="single"/>
              </w:rPr>
            </w:pPr>
            <w:hyperlink r:id="rId11" w:history="1">
              <w:r w:rsidRPr="007D7D1C" w:rsidR="00421546">
                <w:rPr>
                  <w:color w:val="0000FF"/>
                  <w:szCs w:val="24"/>
                  <w:u w:val="single"/>
                </w:rPr>
                <w:t>jodi.bair@ohioattorneygeneral.gov</w:t>
              </w:r>
            </w:hyperlink>
          </w:p>
          <w:p w:rsidR="001D207F" w:rsidRPr="007D7D1C" w:rsidP="001D207F" w14:paraId="6A385BE9" w14:textId="77777777">
            <w:pPr>
              <w:rPr>
                <w:color w:val="0000FF"/>
                <w:szCs w:val="24"/>
                <w:u w:val="single"/>
              </w:rPr>
            </w:pPr>
          </w:p>
          <w:p w:rsidR="001D207F" w:rsidRPr="007D7D1C" w:rsidP="001D207F" w14:paraId="0F2AD835" w14:textId="77777777">
            <w:pPr>
              <w:rPr>
                <w:szCs w:val="24"/>
              </w:rPr>
            </w:pPr>
            <w:r w:rsidRPr="007D7D1C">
              <w:rPr>
                <w:szCs w:val="24"/>
              </w:rPr>
              <w:t>Attorney Examiners:</w:t>
            </w:r>
          </w:p>
          <w:p w:rsidR="001D207F" w:rsidRPr="007D7D1C" w:rsidP="001D207F" w14:paraId="79B52591" w14:textId="77777777">
            <w:pPr>
              <w:rPr>
                <w:szCs w:val="24"/>
              </w:rPr>
            </w:pPr>
          </w:p>
          <w:p w:rsidR="001D207F" w:rsidRPr="007D7D1C" w:rsidP="001D207F" w14:paraId="356F3459" w14:textId="77777777">
            <w:pPr>
              <w:rPr>
                <w:szCs w:val="24"/>
              </w:rPr>
            </w:pPr>
            <w:hyperlink r:id="rId12" w:history="1">
              <w:r w:rsidRPr="007D7D1C" w:rsidR="00421546">
                <w:rPr>
                  <w:color w:val="0000FF"/>
                  <w:szCs w:val="24"/>
                  <w:u w:val="single"/>
                </w:rPr>
                <w:t>Gregory.price@puco.ohio.gov</w:t>
              </w:r>
            </w:hyperlink>
          </w:p>
          <w:p w:rsidR="001D207F" w:rsidRPr="007D7D1C" w:rsidP="001D207F" w14:paraId="0637F9CD" w14:textId="77777777">
            <w:pPr>
              <w:rPr>
                <w:szCs w:val="24"/>
              </w:rPr>
            </w:pPr>
            <w:hyperlink r:id="rId13" w:history="1">
              <w:r w:rsidRPr="007D7D1C" w:rsidR="00421546">
                <w:rPr>
                  <w:color w:val="0000FF"/>
                  <w:szCs w:val="24"/>
                  <w:u w:val="single"/>
                </w:rPr>
                <w:t>Anna.sanyal@puco.ohio.gov</w:t>
              </w:r>
            </w:hyperlink>
          </w:p>
          <w:p w:rsidR="001D207F" w:rsidRPr="007D7D1C" w:rsidP="001D207F" w14:paraId="6C5DB915" w14:textId="77777777">
            <w:pPr>
              <w:rPr>
                <w:szCs w:val="24"/>
              </w:rPr>
            </w:pPr>
          </w:p>
        </w:tc>
        <w:tc>
          <w:tcPr>
            <w:tcW w:w="4459" w:type="dxa"/>
            <w:tcBorders>
              <w:top w:val="nil"/>
              <w:left w:val="nil"/>
              <w:bottom w:val="nil"/>
              <w:right w:val="nil"/>
            </w:tcBorders>
            <w:shd w:val="clear" w:color="auto" w:fill="auto"/>
          </w:tcPr>
          <w:p w:rsidR="001D207F" w:rsidRPr="007D7D1C" w:rsidP="001D207F" w14:paraId="629258BB" w14:textId="77777777">
            <w:pPr>
              <w:autoSpaceDE w:val="0"/>
              <w:autoSpaceDN w:val="0"/>
              <w:adjustRightInd w:val="0"/>
              <w:ind w:left="1296"/>
              <w:rPr>
                <w:szCs w:val="24"/>
              </w:rPr>
            </w:pPr>
            <w:hyperlink r:id="rId14" w:history="1">
              <w:r w:rsidRPr="007D7D1C" w:rsidR="00421546">
                <w:rPr>
                  <w:color w:val="0000FF"/>
                  <w:szCs w:val="24"/>
                  <w:u w:val="single"/>
                </w:rPr>
                <w:t>whitt@whitt-sturtevant.com</w:t>
              </w:r>
            </w:hyperlink>
          </w:p>
          <w:p w:rsidR="001D207F" w:rsidRPr="007D7D1C" w:rsidP="001D207F" w14:paraId="2362F2C0" w14:textId="24ADD997">
            <w:pPr>
              <w:autoSpaceDE w:val="0"/>
              <w:autoSpaceDN w:val="0"/>
              <w:adjustRightInd w:val="0"/>
              <w:ind w:left="1296"/>
              <w:rPr>
                <w:color w:val="0000FF"/>
                <w:szCs w:val="24"/>
                <w:u w:val="single"/>
              </w:rPr>
            </w:pPr>
            <w:hyperlink r:id="rId15" w:history="1">
              <w:r w:rsidRPr="007D7D1C" w:rsidR="00421546">
                <w:rPr>
                  <w:color w:val="0000FF"/>
                  <w:szCs w:val="24"/>
                  <w:u w:val="single"/>
                </w:rPr>
                <w:t>fykes@whitt-sturtevant.com</w:t>
              </w:r>
            </w:hyperlink>
          </w:p>
          <w:p w:rsidR="007D7D1C" w:rsidP="001D207F" w14:paraId="3C81480D" w14:textId="354CCF1B">
            <w:pPr>
              <w:autoSpaceDE w:val="0"/>
              <w:autoSpaceDN w:val="0"/>
              <w:adjustRightInd w:val="0"/>
              <w:ind w:left="1296"/>
              <w:rPr>
                <w:rStyle w:val="Hyperlink"/>
                <w:szCs w:val="24"/>
              </w:rPr>
            </w:pPr>
            <w:hyperlink r:id="rId16" w:history="1">
              <w:r w:rsidRPr="007D7D1C" w:rsidR="00421546">
                <w:rPr>
                  <w:rStyle w:val="Hyperlink"/>
                  <w:szCs w:val="24"/>
                </w:rPr>
                <w:t>mmcguire@HuntonAK.com</w:t>
              </w:r>
            </w:hyperlink>
          </w:p>
          <w:p w:rsidR="00B12ED8" w:rsidP="001D207F" w14:paraId="5EB20C0F" w14:textId="1DB00F7B">
            <w:pPr>
              <w:autoSpaceDE w:val="0"/>
              <w:autoSpaceDN w:val="0"/>
              <w:adjustRightInd w:val="0"/>
              <w:ind w:left="1296"/>
              <w:rPr>
                <w:rFonts w:ascii="TimesNewRoman" w:hAnsi="TimesNewRoman" w:cs="TimesNewRoman"/>
                <w:szCs w:val="24"/>
              </w:rPr>
            </w:pPr>
            <w:hyperlink r:id="rId17" w:history="1">
              <w:r w:rsidRPr="009E6694" w:rsidR="00421546">
                <w:rPr>
                  <w:rStyle w:val="Hyperlink"/>
                  <w:rFonts w:ascii="TimesNewRoman" w:hAnsi="TimesNewRoman" w:cs="TimesNewRoman"/>
                  <w:szCs w:val="24"/>
                </w:rPr>
                <w:t>cpardo@HuntonAK.com</w:t>
              </w:r>
            </w:hyperlink>
          </w:p>
          <w:p w:rsidR="00B12ED8" w:rsidRPr="007D7D1C" w:rsidP="001D207F" w14:paraId="44CB1983" w14:textId="77777777">
            <w:pPr>
              <w:autoSpaceDE w:val="0"/>
              <w:autoSpaceDN w:val="0"/>
              <w:adjustRightInd w:val="0"/>
              <w:ind w:left="1296"/>
              <w:rPr>
                <w:szCs w:val="24"/>
              </w:rPr>
            </w:pPr>
          </w:p>
          <w:p w:rsidR="007D7D1C" w:rsidRPr="007D7D1C" w:rsidP="001D207F" w14:paraId="2AE4BEDA" w14:textId="77777777">
            <w:pPr>
              <w:autoSpaceDE w:val="0"/>
              <w:autoSpaceDN w:val="0"/>
              <w:adjustRightInd w:val="0"/>
              <w:ind w:left="1296"/>
              <w:rPr>
                <w:szCs w:val="24"/>
              </w:rPr>
            </w:pPr>
          </w:p>
          <w:p w:rsidR="001D207F" w:rsidRPr="007D7D1C" w:rsidP="001D207F" w14:paraId="26076A0C" w14:textId="77777777">
            <w:pPr>
              <w:autoSpaceDE w:val="0"/>
              <w:autoSpaceDN w:val="0"/>
              <w:adjustRightInd w:val="0"/>
              <w:ind w:left="1296"/>
              <w:rPr>
                <w:szCs w:val="24"/>
              </w:rPr>
            </w:pPr>
          </w:p>
          <w:p w:rsidR="001D207F" w:rsidRPr="007D7D1C" w:rsidP="001D207F" w14:paraId="057C0DFA" w14:textId="77777777">
            <w:pPr>
              <w:ind w:left="1416"/>
              <w:jc w:val="both"/>
              <w:rPr>
                <w:szCs w:val="24"/>
              </w:rPr>
            </w:pPr>
            <w:r w:rsidRPr="007D7D1C">
              <w:rPr>
                <w:szCs w:val="24"/>
              </w:rPr>
              <w:t xml:space="preserve"> </w:t>
            </w:r>
          </w:p>
          <w:p w:rsidR="001D207F" w:rsidRPr="007D7D1C" w:rsidP="001D207F" w14:paraId="0330EB78" w14:textId="77777777">
            <w:pPr>
              <w:rPr>
                <w:b/>
                <w:szCs w:val="24"/>
                <w:u w:val="single"/>
              </w:rPr>
            </w:pPr>
          </w:p>
        </w:tc>
      </w:tr>
    </w:tbl>
    <w:p w:rsidR="00B52F65" w:rsidRPr="007D7D1C" w14:paraId="718D7596" w14:textId="77777777">
      <w:pPr>
        <w:pStyle w:val="CommentText"/>
        <w:jc w:val="center"/>
        <w:rPr>
          <w:b/>
          <w:u w:val="single"/>
        </w:rPr>
      </w:pPr>
    </w:p>
    <w:p w:rsidR="00B52F65" w:rsidRPr="007D7D1C" w14:paraId="5AE4E42A" w14:textId="77777777">
      <w:pPr>
        <w:pStyle w:val="CommentText"/>
        <w:jc w:val="center"/>
        <w:rPr>
          <w:b/>
          <w:u w:val="single"/>
        </w:rPr>
      </w:pPr>
    </w:p>
    <w:sectPr w:rsidSect="002F6E07">
      <w:footerReference w:type="first" r:id="rId18"/>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56356"/>
      <w:docPartObj>
        <w:docPartGallery w:val="Page Numbers (Bottom of Page)"/>
        <w:docPartUnique/>
      </w:docPartObj>
    </w:sdtPr>
    <w:sdtEndPr>
      <w:rPr>
        <w:noProof/>
        <w:sz w:val="24"/>
        <w:szCs w:val="24"/>
      </w:rPr>
    </w:sdtEndPr>
    <w:sdtContent>
      <w:p w:rsidR="001D207F" w:rsidRPr="001D207F" w14:paraId="7DBA036B" w14:textId="0AFBF8D3">
        <w:pPr>
          <w:pStyle w:val="Footer"/>
          <w:jc w:val="center"/>
          <w:rPr>
            <w:sz w:val="24"/>
            <w:szCs w:val="24"/>
          </w:rPr>
        </w:pPr>
        <w:r w:rsidRPr="001D207F">
          <w:rPr>
            <w:sz w:val="24"/>
            <w:szCs w:val="24"/>
          </w:rPr>
          <w:fldChar w:fldCharType="begin"/>
        </w:r>
        <w:r w:rsidRPr="001D207F">
          <w:rPr>
            <w:sz w:val="24"/>
            <w:szCs w:val="24"/>
          </w:rPr>
          <w:instrText xml:space="preserve"> PAGE   \* MERGEFORMAT </w:instrText>
        </w:r>
        <w:r w:rsidRPr="001D207F">
          <w:rPr>
            <w:sz w:val="24"/>
            <w:szCs w:val="24"/>
          </w:rPr>
          <w:fldChar w:fldCharType="separate"/>
        </w:r>
        <w:r w:rsidRPr="001D207F">
          <w:rPr>
            <w:noProof/>
            <w:sz w:val="24"/>
            <w:szCs w:val="24"/>
          </w:rPr>
          <w:t>2</w:t>
        </w:r>
        <w:r w:rsidRPr="001D207F">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49506236"/>
      <w:docPartObj>
        <w:docPartGallery w:val="Page Numbers (Bottom of Page)"/>
        <w:docPartUnique/>
      </w:docPartObj>
    </w:sdtPr>
    <w:sdtEndPr>
      <w:rPr>
        <w:noProof/>
        <w:sz w:val="24"/>
        <w:szCs w:val="24"/>
      </w:rPr>
    </w:sdtEndPr>
    <w:sdtContent>
      <w:p w:rsidR="002F6E07" w:rsidRPr="002F6E07" w14:paraId="0246EA33" w14:textId="33354FEA">
        <w:pPr>
          <w:pStyle w:val="Footer"/>
          <w:jc w:val="center"/>
          <w:rPr>
            <w:sz w:val="24"/>
            <w:szCs w:val="24"/>
          </w:rPr>
        </w:pPr>
        <w:r w:rsidRPr="002F6E07">
          <w:rPr>
            <w:sz w:val="24"/>
            <w:szCs w:val="24"/>
          </w:rPr>
          <w:fldChar w:fldCharType="begin"/>
        </w:r>
        <w:r w:rsidRPr="002F6E07">
          <w:rPr>
            <w:sz w:val="24"/>
            <w:szCs w:val="24"/>
          </w:rPr>
          <w:instrText xml:space="preserve"> PAGE   \* MERGEFORMAT </w:instrText>
        </w:r>
        <w:r w:rsidRPr="002F6E07">
          <w:rPr>
            <w:sz w:val="24"/>
            <w:szCs w:val="24"/>
          </w:rPr>
          <w:fldChar w:fldCharType="separate"/>
        </w:r>
        <w:r w:rsidRPr="002F6E07">
          <w:rPr>
            <w:noProof/>
            <w:sz w:val="24"/>
            <w:szCs w:val="24"/>
          </w:rPr>
          <w:t>2</w:t>
        </w:r>
        <w:r w:rsidRPr="002F6E07">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4633140"/>
      <w:docPartObj>
        <w:docPartGallery w:val="Page Numbers (Bottom of Page)"/>
        <w:docPartUnique/>
      </w:docPartObj>
    </w:sdtPr>
    <w:sdtEndPr>
      <w:rPr>
        <w:noProof/>
        <w:sz w:val="24"/>
        <w:szCs w:val="24"/>
      </w:rPr>
    </w:sdtEndPr>
    <w:sdtContent>
      <w:p w:rsidR="002F6E07" w:rsidRPr="002F6E07" w14:paraId="6E8F4612" w14:textId="114D039B">
        <w:pPr>
          <w:pStyle w:val="Footer"/>
          <w:jc w:val="center"/>
          <w:rPr>
            <w:sz w:val="24"/>
            <w:szCs w:val="24"/>
          </w:rPr>
        </w:pPr>
        <w:r w:rsidRPr="002F6E07">
          <w:rPr>
            <w:sz w:val="24"/>
            <w:szCs w:val="24"/>
          </w:rPr>
          <w:fldChar w:fldCharType="begin"/>
        </w:r>
        <w:r w:rsidRPr="002F6E07">
          <w:rPr>
            <w:sz w:val="24"/>
            <w:szCs w:val="24"/>
          </w:rPr>
          <w:instrText xml:space="preserve"> PAGE   \* MERGEFORMAT </w:instrText>
        </w:r>
        <w:r w:rsidRPr="002F6E07">
          <w:rPr>
            <w:sz w:val="24"/>
            <w:szCs w:val="24"/>
          </w:rPr>
          <w:fldChar w:fldCharType="separate"/>
        </w:r>
        <w:r w:rsidRPr="002F6E07">
          <w:rPr>
            <w:noProof/>
            <w:sz w:val="24"/>
            <w:szCs w:val="24"/>
          </w:rPr>
          <w:t>2</w:t>
        </w:r>
        <w:r w:rsidRPr="002F6E07">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21546" w14:paraId="42A3A854" w14:textId="77777777">
      <w:r>
        <w:separator/>
      </w:r>
    </w:p>
  </w:footnote>
  <w:footnote w:type="continuationSeparator" w:id="1">
    <w:p w:rsidR="00421546" w14:paraId="35CF282E" w14:textId="77777777">
      <w:r>
        <w:continuationSeparator/>
      </w:r>
    </w:p>
  </w:footnote>
  <w:footnote w:id="2">
    <w:p w:rsidR="00B93819" w:rsidRPr="00B93819" w:rsidP="007D7D1C" w14:paraId="3648E5EF" w14:textId="23BC31DA">
      <w:pPr>
        <w:pStyle w:val="FootnoteText"/>
        <w:spacing w:after="120"/>
      </w:pPr>
      <w:r>
        <w:rPr>
          <w:rStyle w:val="FootnoteReference"/>
        </w:rPr>
        <w:footnoteRef/>
      </w:r>
      <w:r>
        <w:t xml:space="preserve"> </w:t>
      </w:r>
      <w:r w:rsidRPr="00923E34">
        <w:rPr>
          <w:i/>
          <w:iCs/>
        </w:rPr>
        <w:t>See</w:t>
      </w:r>
      <w:r>
        <w:t xml:space="preserve"> </w:t>
      </w:r>
      <w:r>
        <w:rPr>
          <w:i/>
        </w:rPr>
        <w:t>State Ex Rel. PALMco Energy OH, LLC and PALMco Power OH, LLC v. PUCO</w:t>
      </w:r>
      <w:r>
        <w:t>, Case No. 20-0564, Complaint for Writ of Prohibition (April 28, 2020)</w:t>
      </w:r>
      <w:r w:rsidR="00272FED">
        <w:t xml:space="preserve"> (“Complaint”)</w:t>
      </w:r>
      <w:r>
        <w:t>.</w:t>
      </w:r>
    </w:p>
  </w:footnote>
  <w:footnote w:id="3">
    <w:p w:rsidR="00843D86" w:rsidP="007D7D1C" w14:paraId="4376C417" w14:textId="1D22CED6">
      <w:pPr>
        <w:pStyle w:val="FootnoteText"/>
        <w:spacing w:after="120"/>
      </w:pPr>
      <w:r>
        <w:rPr>
          <w:rStyle w:val="FootnoteReference"/>
        </w:rPr>
        <w:footnoteRef/>
      </w:r>
      <w:r>
        <w:t xml:space="preserve"> Motion Memo in Support, at 5.</w:t>
      </w:r>
    </w:p>
  </w:footnote>
  <w:footnote w:id="4">
    <w:p w:rsidR="00E743C5" w:rsidRPr="00E743C5" w:rsidP="007D7D1C" w14:paraId="58780BB6" w14:textId="77777777">
      <w:pPr>
        <w:pStyle w:val="FootnoteText"/>
        <w:spacing w:after="120"/>
      </w:pPr>
      <w:r>
        <w:rPr>
          <w:rStyle w:val="FootnoteReference"/>
        </w:rPr>
        <w:footnoteRef/>
      </w:r>
      <w:r>
        <w:t xml:space="preserve"> </w:t>
      </w:r>
      <w:r>
        <w:rPr>
          <w:i/>
          <w:iCs/>
        </w:rPr>
        <w:t>In the Matter of the Complaint of the Northeast Ohio Public Energy Council v. The Ohio Edison Company and The Cleveland Electric Illuminating Company</w:t>
      </w:r>
      <w:r>
        <w:t>, Case No. 09-423-EL-CSS (July 8, 2009), at ¶6.</w:t>
      </w:r>
    </w:p>
  </w:footnote>
  <w:footnote w:id="5">
    <w:p w:rsidR="003550D6" w:rsidP="007D7D1C" w14:paraId="440BF566" w14:textId="24FB25A7">
      <w:pPr>
        <w:pStyle w:val="FootnoteText"/>
        <w:spacing w:after="120"/>
      </w:pPr>
      <w:r>
        <w:rPr>
          <w:rStyle w:val="FootnoteReference"/>
        </w:rPr>
        <w:footnoteRef/>
      </w:r>
      <w:r>
        <w:t xml:space="preserve"> Motion</w:t>
      </w:r>
      <w:r w:rsidR="005779E4">
        <w:t xml:space="preserve"> Memo in Support</w:t>
      </w:r>
      <w:r>
        <w:t xml:space="preserve"> at 7-8. </w:t>
      </w:r>
    </w:p>
  </w:footnote>
  <w:footnote w:id="6">
    <w:p w:rsidR="00E248CF" w:rsidP="00E248CF" w14:paraId="32EDD6F8" w14:textId="3CA2238B">
      <w:pPr>
        <w:pStyle w:val="FootnoteText"/>
        <w:spacing w:after="120"/>
      </w:pPr>
      <w:r>
        <w:rPr>
          <w:rStyle w:val="FootnoteReference"/>
        </w:rPr>
        <w:footnoteRef/>
      </w:r>
      <w:r>
        <w:t xml:space="preserve"> PUCO Staff Letter and Notice of Probable Non-Compliance, (Dec. 16, 2019).</w:t>
      </w:r>
    </w:p>
  </w:footnote>
  <w:footnote w:id="7">
    <w:p w:rsidR="003550D6" w:rsidRPr="003D20C8" w:rsidP="007D7D1C" w14:paraId="7340310D" w14:textId="7C46D401">
      <w:pPr>
        <w:pStyle w:val="FootnoteText"/>
        <w:spacing w:after="120"/>
      </w:pPr>
      <w:r>
        <w:rPr>
          <w:rStyle w:val="FootnoteReference"/>
        </w:rPr>
        <w:footnoteRef/>
      </w:r>
      <w:r>
        <w:t xml:space="preserve"> </w:t>
      </w:r>
      <w:r>
        <w:rPr>
          <w:i/>
          <w:iCs/>
        </w:rPr>
        <w:t xml:space="preserve">See e.g. </w:t>
      </w:r>
      <w:r>
        <w:t>Ohio Adm. Code 4901:1-21-11(G); Ohio Adm. Code 4901:1-29-10(G).</w:t>
      </w:r>
    </w:p>
  </w:footnote>
  <w:footnote w:id="8">
    <w:p w:rsidR="003550D6" w:rsidRPr="003B68A6" w:rsidP="007D7D1C" w14:paraId="16043C7F" w14:textId="4440216D">
      <w:pPr>
        <w:pStyle w:val="FootnoteText"/>
        <w:spacing w:after="120"/>
      </w:pPr>
      <w:r>
        <w:rPr>
          <w:rStyle w:val="FootnoteReference"/>
        </w:rPr>
        <w:footnoteRef/>
      </w:r>
      <w:r>
        <w:t xml:space="preserve"> </w:t>
      </w:r>
      <w:r>
        <w:rPr>
          <w:i/>
          <w:iCs/>
        </w:rPr>
        <w:t xml:space="preserve">See e.g. </w:t>
      </w:r>
      <w:r>
        <w:t>R.C. 4928.10; Ohio Adm. Code 4901:1-21-03(A); 4901:1-21-11(A); 4901:1-29-03(A); and 4901:1-29-10(A).</w:t>
      </w:r>
    </w:p>
  </w:footnote>
  <w:footnote w:id="9">
    <w:p w:rsidR="003550D6" w:rsidP="007D7D1C" w14:paraId="59544BF9" w14:textId="6B4F1E33">
      <w:pPr>
        <w:pStyle w:val="FootnoteText"/>
        <w:spacing w:after="120"/>
      </w:pPr>
      <w:r>
        <w:rPr>
          <w:rStyle w:val="FootnoteReference"/>
        </w:rPr>
        <w:footnoteRef/>
      </w:r>
      <w:r>
        <w:t xml:space="preserve"> Motion Memo in Support, at 8.</w:t>
      </w:r>
    </w:p>
  </w:footnote>
  <w:footnote w:id="10">
    <w:p w:rsidR="003550D6" w:rsidP="007D7D1C" w14:paraId="460C4CE3" w14:textId="55466EEE">
      <w:pPr>
        <w:pStyle w:val="FootnoteText"/>
        <w:spacing w:after="120"/>
      </w:pPr>
      <w:r>
        <w:rPr>
          <w:rStyle w:val="FootnoteReference"/>
        </w:rPr>
        <w:footnoteRef/>
      </w:r>
      <w:r>
        <w:t xml:space="preserve"> Motion Memo in Support, at 8.</w:t>
      </w:r>
    </w:p>
  </w:footnote>
  <w:footnote w:id="11">
    <w:p w:rsidR="003550D6" w:rsidP="007D7D1C" w14:paraId="3977A142" w14:textId="0A1A8997">
      <w:pPr>
        <w:pStyle w:val="FootnoteText"/>
        <w:spacing w:after="120"/>
      </w:pPr>
      <w:r>
        <w:rPr>
          <w:rStyle w:val="FootnoteReference"/>
        </w:rPr>
        <w:footnoteRef/>
      </w:r>
      <w:r>
        <w:t xml:space="preserve"> Case No. 19-957-GE-COI, Entry (April 17, 2019), at ¶8. </w:t>
      </w:r>
    </w:p>
  </w:footnote>
  <w:footnote w:id="12">
    <w:p w:rsidR="007D554F" w:rsidRPr="00C408F8" w:rsidP="007D7D1C" w14:paraId="1859E42C" w14:textId="7178CE06">
      <w:pPr>
        <w:pStyle w:val="FootnoteText"/>
        <w:spacing w:after="120"/>
      </w:pPr>
      <w:r>
        <w:rPr>
          <w:rStyle w:val="FootnoteReference"/>
        </w:rPr>
        <w:footnoteRef/>
      </w:r>
      <w:r>
        <w:t xml:space="preserve"> </w:t>
      </w:r>
      <w:r>
        <w:rPr>
          <w:i/>
        </w:rPr>
        <w:t>See In re Ohio Power Co.</w:t>
      </w:r>
      <w:r>
        <w:t>, 144 Ohio St.3d 1, 6 (2015).</w:t>
      </w:r>
    </w:p>
  </w:footnote>
  <w:footnote w:id="13">
    <w:p w:rsidR="003550D6" w:rsidP="007D7D1C" w14:paraId="381586E2" w14:textId="4284B078">
      <w:pPr>
        <w:pStyle w:val="FootnoteText"/>
        <w:spacing w:after="120"/>
      </w:pPr>
      <w:r>
        <w:rPr>
          <w:rStyle w:val="FootnoteReference"/>
        </w:rPr>
        <w:footnoteRef/>
      </w:r>
      <w:r>
        <w:t xml:space="preserve"> Motion Memo in Support, at 9-10.</w:t>
      </w:r>
    </w:p>
  </w:footnote>
  <w:footnote w:id="14">
    <w:p w:rsidR="003550D6" w:rsidP="007D7D1C" w14:paraId="4FC33042" w14:textId="7772C1D5">
      <w:pPr>
        <w:pStyle w:val="FootnoteText"/>
        <w:spacing w:after="120"/>
      </w:pPr>
      <w:r>
        <w:rPr>
          <w:rStyle w:val="FootnoteReference"/>
        </w:rPr>
        <w:footnoteRef/>
      </w:r>
      <w:r>
        <w:t xml:space="preserve"> </w:t>
      </w:r>
      <w:r>
        <w:rPr>
          <w:i/>
          <w:iCs/>
        </w:rPr>
        <w:t>See e.g.</w:t>
      </w:r>
      <w:r>
        <w:t xml:space="preserve"> Ohio Adm. Code 4901:1-21-04(B); Ohio Adm. Code 4901:1-29-04(B). </w:t>
      </w:r>
    </w:p>
  </w:footnote>
  <w:footnote w:id="15">
    <w:p w:rsidR="003550D6" w:rsidP="007D7D1C" w14:paraId="5EF3A82A" w14:textId="08830B35">
      <w:pPr>
        <w:spacing w:after="120"/>
      </w:pPr>
      <w:r w:rsidRPr="008D29A2">
        <w:rPr>
          <w:rStyle w:val="FootnoteReference"/>
          <w:sz w:val="20"/>
        </w:rPr>
        <w:footnoteRef/>
      </w:r>
      <w:r w:rsidRPr="008D29A2">
        <w:rPr>
          <w:sz w:val="20"/>
        </w:rPr>
        <w:t xml:space="preserve"> </w:t>
      </w:r>
      <w:r w:rsidRPr="008D29A2">
        <w:rPr>
          <w:i/>
          <w:iCs/>
          <w:sz w:val="20"/>
        </w:rPr>
        <w:t xml:space="preserve">See e.g. </w:t>
      </w:r>
      <w:r w:rsidRPr="008D29A2">
        <w:rPr>
          <w:sz w:val="20"/>
        </w:rPr>
        <w:t>Ohio Adm. Code 4901:1-21-06(D)(1)(h)(iv)</w:t>
      </w:r>
      <w:r>
        <w:rPr>
          <w:sz w:val="20"/>
        </w:rPr>
        <w:t xml:space="preserve">, </w:t>
      </w:r>
      <w:r w:rsidRPr="008D29A2">
        <w:rPr>
          <w:sz w:val="20"/>
        </w:rPr>
        <w:t>4901:1-21-06(D)(2)(b)(ii)</w:t>
      </w:r>
      <w:r>
        <w:rPr>
          <w:sz w:val="20"/>
        </w:rPr>
        <w:t xml:space="preserve">, </w:t>
      </w:r>
      <w:r w:rsidRPr="008D29A2">
        <w:rPr>
          <w:sz w:val="20"/>
        </w:rPr>
        <w:t>4901:1-21-06(D)(3)(f)</w:t>
      </w:r>
      <w:r>
        <w:rPr>
          <w:sz w:val="20"/>
        </w:rPr>
        <w:t xml:space="preserve">, </w:t>
      </w:r>
      <w:r w:rsidRPr="008D29A2">
        <w:rPr>
          <w:sz w:val="20"/>
        </w:rPr>
        <w:t>4901:1-21-08(B)(5)</w:t>
      </w:r>
      <w:r w:rsidR="00786D32">
        <w:rPr>
          <w:sz w:val="20"/>
        </w:rPr>
        <w:t xml:space="preserve">; 4901:1-29-06(D)(6)(b)(iv); </w:t>
      </w:r>
      <w:r w:rsidR="00B07533">
        <w:rPr>
          <w:sz w:val="20"/>
        </w:rPr>
        <w:t xml:space="preserve">and </w:t>
      </w:r>
      <w:r w:rsidR="00786D32">
        <w:rPr>
          <w:sz w:val="20"/>
        </w:rPr>
        <w:t>4901:1-2</w:t>
      </w:r>
      <w:r w:rsidR="00B07533">
        <w:rPr>
          <w:sz w:val="20"/>
        </w:rPr>
        <w:t>9</w:t>
      </w:r>
      <w:r w:rsidR="00786D32">
        <w:rPr>
          <w:sz w:val="20"/>
        </w:rPr>
        <w:t>-06(E)(2)</w:t>
      </w:r>
      <w:r w:rsidR="006E13BB">
        <w:rPr>
          <w:sz w:val="20"/>
        </w:rPr>
        <w:t>(b).</w:t>
      </w:r>
      <w:r>
        <w:t xml:space="preserve"> </w:t>
      </w:r>
    </w:p>
  </w:footnote>
  <w:footnote w:id="16">
    <w:p w:rsidR="003550D6" w:rsidP="007D7D1C" w14:paraId="10F0E8B9" w14:textId="2651A96D">
      <w:pPr>
        <w:pStyle w:val="FootnoteText"/>
        <w:spacing w:after="120"/>
      </w:pPr>
      <w:r>
        <w:rPr>
          <w:rStyle w:val="FootnoteReference"/>
        </w:rPr>
        <w:footnoteRef/>
      </w:r>
      <w:r>
        <w:t xml:space="preserve"> Motion, at 1-2; Motion Memo in Support, at 1. </w:t>
      </w:r>
    </w:p>
  </w:footnote>
  <w:footnote w:id="17">
    <w:p w:rsidR="003550D6" w:rsidRPr="00693F7D" w:rsidP="007D7D1C" w14:paraId="3A0A26B6" w14:textId="25DD84C7">
      <w:pPr>
        <w:pStyle w:val="FootnoteText"/>
        <w:spacing w:after="120"/>
      </w:pPr>
      <w:r>
        <w:rPr>
          <w:rStyle w:val="FootnoteReference"/>
        </w:rPr>
        <w:footnoteRef/>
      </w:r>
      <w:r>
        <w:t xml:space="preserve"> </w:t>
      </w:r>
      <w:r>
        <w:rPr>
          <w:i/>
          <w:iCs/>
        </w:rPr>
        <w:t xml:space="preserve">See </w:t>
      </w:r>
      <w:r>
        <w:t>OCC Motion to Compel Discovery (February 14, 2020) and OCC Motion to Compel Discovery (March 17, 2020).</w:t>
      </w:r>
    </w:p>
  </w:footnote>
  <w:footnote w:id="18">
    <w:p w:rsidR="003550D6" w:rsidP="007D7D1C" w14:paraId="56CF2866" w14:textId="3E3B9964">
      <w:pPr>
        <w:pStyle w:val="FootnoteText"/>
        <w:spacing w:after="120"/>
      </w:pPr>
      <w:r>
        <w:rPr>
          <w:rStyle w:val="FootnoteReference"/>
        </w:rPr>
        <w:footnoteRef/>
      </w:r>
      <w:r>
        <w:t xml:space="preserve"> Entry (April 6, 2020).</w:t>
      </w:r>
    </w:p>
  </w:footnote>
  <w:footnote w:id="19">
    <w:p w:rsidR="003550D6" w:rsidP="007D7D1C" w14:paraId="15EEFED8" w14:textId="0F7855AB">
      <w:pPr>
        <w:pStyle w:val="FootnoteText"/>
        <w:spacing w:after="120"/>
      </w:pPr>
      <w:r>
        <w:rPr>
          <w:rStyle w:val="FootnoteReference"/>
        </w:rPr>
        <w:footnoteRef/>
      </w:r>
      <w:r>
        <w:t xml:space="preserve"> OCC Motion for Sanctions and Forfeitures (May 7, 2020). </w:t>
      </w:r>
    </w:p>
  </w:footnote>
  <w:footnote w:id="20">
    <w:p w:rsidR="00B24940" w:rsidP="007D7D1C" w14:paraId="599795AF" w14:textId="167B276A">
      <w:pPr>
        <w:pStyle w:val="FootnoteText"/>
        <w:spacing w:after="120"/>
      </w:pPr>
      <w:r>
        <w:rPr>
          <w:rStyle w:val="FootnoteReference"/>
        </w:rPr>
        <w:footnoteRef/>
      </w:r>
      <w:r>
        <w:t xml:space="preserve"> Motion Memo in Support, at 10. </w:t>
      </w:r>
    </w:p>
  </w:footnote>
  <w:footnote w:id="21">
    <w:p w:rsidR="003550D6" w:rsidP="007D7D1C" w14:paraId="34DA2D81" w14:textId="5D24013F">
      <w:pPr>
        <w:pStyle w:val="FootnoteText"/>
        <w:spacing w:after="120"/>
      </w:pPr>
      <w:r>
        <w:rPr>
          <w:rStyle w:val="FootnoteReference"/>
        </w:rPr>
        <w:footnoteRef/>
      </w:r>
      <w:r>
        <w:t xml:space="preserve"> </w:t>
      </w:r>
      <w:hyperlink r:id="rId1" w:history="1">
        <w:r w:rsidRPr="00320C1D">
          <w:rPr>
            <w:rStyle w:val="Hyperlink"/>
          </w:rPr>
          <w:t>https://www.cnn.com/2020/08/07/us/new-york-schools-reopen-cuomo/index.html</w:t>
        </w:r>
      </w:hyperlink>
      <w:r w:rsidR="00936A2E">
        <w:rPr>
          <w:rStyle w:val="Hyperlink"/>
          <w:u w:val="none"/>
        </w:rPr>
        <w:t>.</w:t>
      </w:r>
    </w:p>
  </w:footnote>
  <w:footnote w:id="22">
    <w:p w:rsidR="003550D6" w:rsidP="007D7D1C" w14:paraId="31107605" w14:textId="77777777">
      <w:pPr>
        <w:pStyle w:val="FootnoteText"/>
        <w:spacing w:after="120"/>
      </w:pPr>
      <w:r>
        <w:rPr>
          <w:rStyle w:val="FootnoteReference"/>
        </w:rPr>
        <w:footnoteRef/>
      </w:r>
      <w:r>
        <w:t xml:space="preserve"> Motion Memo in Support, at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13817"/>
    <w:multiLevelType w:val="hybridMultilevel"/>
    <w:tmpl w:val="453EDB8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84020EB"/>
    <w:multiLevelType w:val="hybridMultilevel"/>
    <w:tmpl w:val="B79C8FE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F805C31"/>
    <w:multiLevelType w:val="hybridMultilevel"/>
    <w:tmpl w:val="4874126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3D9325B"/>
    <w:multiLevelType w:val="hybridMultilevel"/>
    <w:tmpl w:val="A208BD22"/>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946555C"/>
    <w:multiLevelType w:val="hybridMultilevel"/>
    <w:tmpl w:val="610EBC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3A3595C"/>
    <w:multiLevelType w:val="hybridMultilevel"/>
    <w:tmpl w:val="D0C0038C"/>
    <w:lvl w:ilvl="0">
      <w:start w:val="1"/>
      <w:numFmt w:val="upperRoman"/>
      <w:lvlText w:val="%1."/>
      <w:lvlJc w:val="left"/>
      <w:pPr>
        <w:ind w:left="1080" w:hanging="72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046284"/>
    <w:multiLevelType w:val="hybridMultilevel"/>
    <w:tmpl w:val="4C5E314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FF0C59"/>
    <w:multiLevelType w:val="hybridMultilevel"/>
    <w:tmpl w:val="6CE4FD2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D4F4496"/>
    <w:multiLevelType w:val="hybridMultilevel"/>
    <w:tmpl w:val="32E6EAA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5F0B67DB"/>
    <w:multiLevelType w:val="hybridMultilevel"/>
    <w:tmpl w:val="7EA640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61BD4E0D"/>
    <w:multiLevelType w:val="hybridMultilevel"/>
    <w:tmpl w:val="7C344D0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nsid w:val="7528443C"/>
    <w:multiLevelType w:val="hybridMultilevel"/>
    <w:tmpl w:val="D8D269EC"/>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8">
    <w:nsid w:val="794F198A"/>
    <w:multiLevelType w:val="hybridMultilevel"/>
    <w:tmpl w:val="6CE4FD2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FC56CD2"/>
    <w:multiLevelType w:val="hybridMultilevel"/>
    <w:tmpl w:val="9E582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15"/>
  </w:num>
  <w:num w:numId="4">
    <w:abstractNumId w:val="13"/>
  </w:num>
  <w:num w:numId="5">
    <w:abstractNumId w:val="2"/>
  </w:num>
  <w:num w:numId="6">
    <w:abstractNumId w:val="17"/>
  </w:num>
  <w:num w:numId="7">
    <w:abstractNumId w:val="5"/>
  </w:num>
  <w:num w:numId="8">
    <w:abstractNumId w:val="12"/>
  </w:num>
  <w:num w:numId="9">
    <w:abstractNumId w:val="7"/>
  </w:num>
  <w:num w:numId="10">
    <w:abstractNumId w:val="0"/>
  </w:num>
  <w:num w:numId="11">
    <w:abstractNumId w:val="9"/>
  </w:num>
  <w:num w:numId="12">
    <w:abstractNumId w:val="3"/>
  </w:num>
  <w:num w:numId="13">
    <w:abstractNumId w:val="18"/>
  </w:num>
  <w:num w:numId="14">
    <w:abstractNumId w:val="8"/>
  </w:num>
  <w:num w:numId="15">
    <w:abstractNumId w:val="6"/>
  </w:num>
  <w:num w:numId="16">
    <w:abstractNumId w:val="16"/>
  </w:num>
  <w:num w:numId="17">
    <w:abstractNumId w:val="14"/>
  </w:num>
  <w:num w:numId="18">
    <w:abstractNumId w:val="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09"/>
    <w:rsid w:val="0000110D"/>
    <w:rsid w:val="000039FF"/>
    <w:rsid w:val="00016647"/>
    <w:rsid w:val="000202BF"/>
    <w:rsid w:val="00022148"/>
    <w:rsid w:val="00027501"/>
    <w:rsid w:val="0003258D"/>
    <w:rsid w:val="00034CD8"/>
    <w:rsid w:val="0003538E"/>
    <w:rsid w:val="000524E0"/>
    <w:rsid w:val="000578A2"/>
    <w:rsid w:val="000635F2"/>
    <w:rsid w:val="00064EF4"/>
    <w:rsid w:val="0006609A"/>
    <w:rsid w:val="00066CF9"/>
    <w:rsid w:val="000671F2"/>
    <w:rsid w:val="000725E8"/>
    <w:rsid w:val="00077C3D"/>
    <w:rsid w:val="00091197"/>
    <w:rsid w:val="00091BC7"/>
    <w:rsid w:val="000925F8"/>
    <w:rsid w:val="000A05C4"/>
    <w:rsid w:val="000A0D13"/>
    <w:rsid w:val="000A3B40"/>
    <w:rsid w:val="000A3CAF"/>
    <w:rsid w:val="000A469D"/>
    <w:rsid w:val="000B1BB1"/>
    <w:rsid w:val="000B5F86"/>
    <w:rsid w:val="000B7ED7"/>
    <w:rsid w:val="000C49E0"/>
    <w:rsid w:val="000C7CFE"/>
    <w:rsid w:val="000E0CA7"/>
    <w:rsid w:val="000E1025"/>
    <w:rsid w:val="000E3CF4"/>
    <w:rsid w:val="000E6C64"/>
    <w:rsid w:val="000F0366"/>
    <w:rsid w:val="000F389B"/>
    <w:rsid w:val="000F5572"/>
    <w:rsid w:val="001017FF"/>
    <w:rsid w:val="00106466"/>
    <w:rsid w:val="001077B5"/>
    <w:rsid w:val="00107DE7"/>
    <w:rsid w:val="00110037"/>
    <w:rsid w:val="001101EE"/>
    <w:rsid w:val="00114114"/>
    <w:rsid w:val="001151B9"/>
    <w:rsid w:val="001233CD"/>
    <w:rsid w:val="001239CE"/>
    <w:rsid w:val="00123C40"/>
    <w:rsid w:val="00124E2D"/>
    <w:rsid w:val="00127DD7"/>
    <w:rsid w:val="00131AF0"/>
    <w:rsid w:val="00131EDB"/>
    <w:rsid w:val="00134990"/>
    <w:rsid w:val="00136F13"/>
    <w:rsid w:val="001467EE"/>
    <w:rsid w:val="00151C2D"/>
    <w:rsid w:val="00153F28"/>
    <w:rsid w:val="00157499"/>
    <w:rsid w:val="00160EA7"/>
    <w:rsid w:val="00162941"/>
    <w:rsid w:val="00163C30"/>
    <w:rsid w:val="00165BE8"/>
    <w:rsid w:val="00170460"/>
    <w:rsid w:val="00174D12"/>
    <w:rsid w:val="00176BBB"/>
    <w:rsid w:val="00180342"/>
    <w:rsid w:val="001836F7"/>
    <w:rsid w:val="00187F7F"/>
    <w:rsid w:val="0019196D"/>
    <w:rsid w:val="001941E0"/>
    <w:rsid w:val="001948AF"/>
    <w:rsid w:val="001974F7"/>
    <w:rsid w:val="001A32B9"/>
    <w:rsid w:val="001A5616"/>
    <w:rsid w:val="001A7091"/>
    <w:rsid w:val="001A7452"/>
    <w:rsid w:val="001B2ADD"/>
    <w:rsid w:val="001B409B"/>
    <w:rsid w:val="001B5B8B"/>
    <w:rsid w:val="001C2403"/>
    <w:rsid w:val="001C2751"/>
    <w:rsid w:val="001C5EA5"/>
    <w:rsid w:val="001C7F34"/>
    <w:rsid w:val="001D207F"/>
    <w:rsid w:val="001D3793"/>
    <w:rsid w:val="001E57DA"/>
    <w:rsid w:val="001E73A3"/>
    <w:rsid w:val="001F195E"/>
    <w:rsid w:val="001F372C"/>
    <w:rsid w:val="0020516E"/>
    <w:rsid w:val="00206E19"/>
    <w:rsid w:val="00210D25"/>
    <w:rsid w:val="00214E2C"/>
    <w:rsid w:val="00216EDE"/>
    <w:rsid w:val="002205C9"/>
    <w:rsid w:val="00220694"/>
    <w:rsid w:val="00221A61"/>
    <w:rsid w:val="00225741"/>
    <w:rsid w:val="00225943"/>
    <w:rsid w:val="00231BA4"/>
    <w:rsid w:val="00240621"/>
    <w:rsid w:val="002422D0"/>
    <w:rsid w:val="0024468E"/>
    <w:rsid w:val="002455FE"/>
    <w:rsid w:val="00247F58"/>
    <w:rsid w:val="00257B31"/>
    <w:rsid w:val="00260432"/>
    <w:rsid w:val="002622B5"/>
    <w:rsid w:val="00262528"/>
    <w:rsid w:val="00263991"/>
    <w:rsid w:val="00263DBB"/>
    <w:rsid w:val="00267202"/>
    <w:rsid w:val="00267DB6"/>
    <w:rsid w:val="00272A47"/>
    <w:rsid w:val="00272FED"/>
    <w:rsid w:val="00274DC4"/>
    <w:rsid w:val="002750A5"/>
    <w:rsid w:val="00276DF1"/>
    <w:rsid w:val="002803A7"/>
    <w:rsid w:val="00290FBE"/>
    <w:rsid w:val="0029380D"/>
    <w:rsid w:val="00294557"/>
    <w:rsid w:val="00295113"/>
    <w:rsid w:val="002954E0"/>
    <w:rsid w:val="002957C4"/>
    <w:rsid w:val="002A2129"/>
    <w:rsid w:val="002A4452"/>
    <w:rsid w:val="002A715F"/>
    <w:rsid w:val="002B08BF"/>
    <w:rsid w:val="002B3605"/>
    <w:rsid w:val="002B69CC"/>
    <w:rsid w:val="002C2434"/>
    <w:rsid w:val="002C40AA"/>
    <w:rsid w:val="002C4F13"/>
    <w:rsid w:val="002D185D"/>
    <w:rsid w:val="002E1127"/>
    <w:rsid w:val="002E17C2"/>
    <w:rsid w:val="002E4553"/>
    <w:rsid w:val="002F3162"/>
    <w:rsid w:val="002F59DA"/>
    <w:rsid w:val="002F5E90"/>
    <w:rsid w:val="002F6E07"/>
    <w:rsid w:val="0030206E"/>
    <w:rsid w:val="0030616B"/>
    <w:rsid w:val="003122E4"/>
    <w:rsid w:val="00320C1D"/>
    <w:rsid w:val="0032713F"/>
    <w:rsid w:val="00327465"/>
    <w:rsid w:val="00331C9C"/>
    <w:rsid w:val="003346CD"/>
    <w:rsid w:val="00337645"/>
    <w:rsid w:val="00337FD0"/>
    <w:rsid w:val="00340F51"/>
    <w:rsid w:val="0034156F"/>
    <w:rsid w:val="00343486"/>
    <w:rsid w:val="00344050"/>
    <w:rsid w:val="00344F44"/>
    <w:rsid w:val="0035237D"/>
    <w:rsid w:val="003550D6"/>
    <w:rsid w:val="00356C51"/>
    <w:rsid w:val="00362EB8"/>
    <w:rsid w:val="00365412"/>
    <w:rsid w:val="003837A6"/>
    <w:rsid w:val="00386066"/>
    <w:rsid w:val="00391638"/>
    <w:rsid w:val="00397CD8"/>
    <w:rsid w:val="00397F54"/>
    <w:rsid w:val="003A0939"/>
    <w:rsid w:val="003A2920"/>
    <w:rsid w:val="003A30E5"/>
    <w:rsid w:val="003A3C4D"/>
    <w:rsid w:val="003A42F4"/>
    <w:rsid w:val="003B1A4B"/>
    <w:rsid w:val="003B68A6"/>
    <w:rsid w:val="003C67FD"/>
    <w:rsid w:val="003D20C8"/>
    <w:rsid w:val="003D4842"/>
    <w:rsid w:val="003D715D"/>
    <w:rsid w:val="003E2634"/>
    <w:rsid w:val="003F1EB8"/>
    <w:rsid w:val="003F44AC"/>
    <w:rsid w:val="003F4844"/>
    <w:rsid w:val="003F7530"/>
    <w:rsid w:val="00400B5C"/>
    <w:rsid w:val="00412346"/>
    <w:rsid w:val="00413A2B"/>
    <w:rsid w:val="0041483E"/>
    <w:rsid w:val="00415B1A"/>
    <w:rsid w:val="004172B8"/>
    <w:rsid w:val="00417BBC"/>
    <w:rsid w:val="00421546"/>
    <w:rsid w:val="00424A92"/>
    <w:rsid w:val="004317F7"/>
    <w:rsid w:val="00435C69"/>
    <w:rsid w:val="00446002"/>
    <w:rsid w:val="004535A2"/>
    <w:rsid w:val="0045416D"/>
    <w:rsid w:val="00455D7B"/>
    <w:rsid w:val="00457D1C"/>
    <w:rsid w:val="004603BD"/>
    <w:rsid w:val="00463BF8"/>
    <w:rsid w:val="004719C4"/>
    <w:rsid w:val="00473351"/>
    <w:rsid w:val="004829D6"/>
    <w:rsid w:val="00484B09"/>
    <w:rsid w:val="0049109A"/>
    <w:rsid w:val="0049214A"/>
    <w:rsid w:val="004A22C8"/>
    <w:rsid w:val="004A3D04"/>
    <w:rsid w:val="004A62F4"/>
    <w:rsid w:val="004A66B6"/>
    <w:rsid w:val="004A6984"/>
    <w:rsid w:val="004A6EE2"/>
    <w:rsid w:val="004B1662"/>
    <w:rsid w:val="004B17F3"/>
    <w:rsid w:val="004B69AE"/>
    <w:rsid w:val="004B7901"/>
    <w:rsid w:val="004C070C"/>
    <w:rsid w:val="004C0B58"/>
    <w:rsid w:val="004C1B77"/>
    <w:rsid w:val="004C2DDC"/>
    <w:rsid w:val="004D156B"/>
    <w:rsid w:val="004D4C9B"/>
    <w:rsid w:val="004E1D79"/>
    <w:rsid w:val="004E40CC"/>
    <w:rsid w:val="004E44F4"/>
    <w:rsid w:val="004E7041"/>
    <w:rsid w:val="004E7DFC"/>
    <w:rsid w:val="004F3288"/>
    <w:rsid w:val="004F73E5"/>
    <w:rsid w:val="004F79C1"/>
    <w:rsid w:val="004F7F38"/>
    <w:rsid w:val="00500B79"/>
    <w:rsid w:val="00501550"/>
    <w:rsid w:val="00501992"/>
    <w:rsid w:val="00503056"/>
    <w:rsid w:val="00511807"/>
    <w:rsid w:val="00511FA9"/>
    <w:rsid w:val="00513F29"/>
    <w:rsid w:val="00526FC5"/>
    <w:rsid w:val="005356D7"/>
    <w:rsid w:val="00543D32"/>
    <w:rsid w:val="00544F0C"/>
    <w:rsid w:val="0054563D"/>
    <w:rsid w:val="00553AEB"/>
    <w:rsid w:val="005547C6"/>
    <w:rsid w:val="005609BA"/>
    <w:rsid w:val="0056206C"/>
    <w:rsid w:val="005625E7"/>
    <w:rsid w:val="005637DC"/>
    <w:rsid w:val="00566CF1"/>
    <w:rsid w:val="0056762E"/>
    <w:rsid w:val="00577318"/>
    <w:rsid w:val="005779E4"/>
    <w:rsid w:val="00577C6E"/>
    <w:rsid w:val="00586ED4"/>
    <w:rsid w:val="00590F04"/>
    <w:rsid w:val="0059231F"/>
    <w:rsid w:val="0059283C"/>
    <w:rsid w:val="00593F41"/>
    <w:rsid w:val="00594E90"/>
    <w:rsid w:val="005961A7"/>
    <w:rsid w:val="00597439"/>
    <w:rsid w:val="005A19C2"/>
    <w:rsid w:val="005A4C7E"/>
    <w:rsid w:val="005A6DBC"/>
    <w:rsid w:val="005B331B"/>
    <w:rsid w:val="005B6B86"/>
    <w:rsid w:val="005B755A"/>
    <w:rsid w:val="005C5BFE"/>
    <w:rsid w:val="005D3F48"/>
    <w:rsid w:val="005D4737"/>
    <w:rsid w:val="005E13FF"/>
    <w:rsid w:val="005F1B61"/>
    <w:rsid w:val="005F1BA0"/>
    <w:rsid w:val="005F2298"/>
    <w:rsid w:val="00603277"/>
    <w:rsid w:val="00604FA0"/>
    <w:rsid w:val="0060598B"/>
    <w:rsid w:val="00606D17"/>
    <w:rsid w:val="00611649"/>
    <w:rsid w:val="00614222"/>
    <w:rsid w:val="00614F1F"/>
    <w:rsid w:val="00615CAC"/>
    <w:rsid w:val="00615F55"/>
    <w:rsid w:val="00623BD0"/>
    <w:rsid w:val="006309C5"/>
    <w:rsid w:val="006357DA"/>
    <w:rsid w:val="006416B6"/>
    <w:rsid w:val="00641FA9"/>
    <w:rsid w:val="00642405"/>
    <w:rsid w:val="0064320C"/>
    <w:rsid w:val="006453F7"/>
    <w:rsid w:val="00646111"/>
    <w:rsid w:val="006479C0"/>
    <w:rsid w:val="006511C0"/>
    <w:rsid w:val="0065689A"/>
    <w:rsid w:val="00656D54"/>
    <w:rsid w:val="00661295"/>
    <w:rsid w:val="006629C4"/>
    <w:rsid w:val="00665C0A"/>
    <w:rsid w:val="00666E57"/>
    <w:rsid w:val="006672FD"/>
    <w:rsid w:val="00670895"/>
    <w:rsid w:val="00677B52"/>
    <w:rsid w:val="00683224"/>
    <w:rsid w:val="00683EF1"/>
    <w:rsid w:val="006849B3"/>
    <w:rsid w:val="006859F7"/>
    <w:rsid w:val="00685CF7"/>
    <w:rsid w:val="00687B8B"/>
    <w:rsid w:val="00690646"/>
    <w:rsid w:val="006917C6"/>
    <w:rsid w:val="0069222E"/>
    <w:rsid w:val="00693F7D"/>
    <w:rsid w:val="00694B2A"/>
    <w:rsid w:val="006A122C"/>
    <w:rsid w:val="006A1716"/>
    <w:rsid w:val="006A3710"/>
    <w:rsid w:val="006A37D6"/>
    <w:rsid w:val="006B3CF6"/>
    <w:rsid w:val="006B450E"/>
    <w:rsid w:val="006B478B"/>
    <w:rsid w:val="006B764D"/>
    <w:rsid w:val="006C2ACB"/>
    <w:rsid w:val="006C6FFD"/>
    <w:rsid w:val="006D3179"/>
    <w:rsid w:val="006D4759"/>
    <w:rsid w:val="006D5580"/>
    <w:rsid w:val="006E13BB"/>
    <w:rsid w:val="006E3D2D"/>
    <w:rsid w:val="006E569F"/>
    <w:rsid w:val="006E6205"/>
    <w:rsid w:val="006E6D5D"/>
    <w:rsid w:val="006F076B"/>
    <w:rsid w:val="006F29E2"/>
    <w:rsid w:val="006F5202"/>
    <w:rsid w:val="00700FB1"/>
    <w:rsid w:val="0070178C"/>
    <w:rsid w:val="007115BE"/>
    <w:rsid w:val="00711BAE"/>
    <w:rsid w:val="00713E23"/>
    <w:rsid w:val="00716257"/>
    <w:rsid w:val="007212A9"/>
    <w:rsid w:val="00721F9A"/>
    <w:rsid w:val="00731B26"/>
    <w:rsid w:val="007320F8"/>
    <w:rsid w:val="0073422D"/>
    <w:rsid w:val="0073453E"/>
    <w:rsid w:val="00747A81"/>
    <w:rsid w:val="007528C2"/>
    <w:rsid w:val="0076595D"/>
    <w:rsid w:val="00766074"/>
    <w:rsid w:val="00766F20"/>
    <w:rsid w:val="00773CC9"/>
    <w:rsid w:val="00775A93"/>
    <w:rsid w:val="0077658D"/>
    <w:rsid w:val="00782AB2"/>
    <w:rsid w:val="00783940"/>
    <w:rsid w:val="00785146"/>
    <w:rsid w:val="00786590"/>
    <w:rsid w:val="00786D32"/>
    <w:rsid w:val="00791135"/>
    <w:rsid w:val="007912E0"/>
    <w:rsid w:val="00791807"/>
    <w:rsid w:val="007A7029"/>
    <w:rsid w:val="007A7105"/>
    <w:rsid w:val="007B068C"/>
    <w:rsid w:val="007B390B"/>
    <w:rsid w:val="007B3AF6"/>
    <w:rsid w:val="007C14AA"/>
    <w:rsid w:val="007C560A"/>
    <w:rsid w:val="007D295A"/>
    <w:rsid w:val="007D470F"/>
    <w:rsid w:val="007D543C"/>
    <w:rsid w:val="007D554F"/>
    <w:rsid w:val="007D5AE5"/>
    <w:rsid w:val="007D6C58"/>
    <w:rsid w:val="007D7D1C"/>
    <w:rsid w:val="007E2879"/>
    <w:rsid w:val="007E4AE3"/>
    <w:rsid w:val="007F08CC"/>
    <w:rsid w:val="007F2CC1"/>
    <w:rsid w:val="007F48D4"/>
    <w:rsid w:val="008001E5"/>
    <w:rsid w:val="00802CF1"/>
    <w:rsid w:val="00804E49"/>
    <w:rsid w:val="00805AD1"/>
    <w:rsid w:val="00805F1D"/>
    <w:rsid w:val="0080746E"/>
    <w:rsid w:val="00807AD7"/>
    <w:rsid w:val="008103EE"/>
    <w:rsid w:val="00810BAE"/>
    <w:rsid w:val="00812AC8"/>
    <w:rsid w:val="00813CC3"/>
    <w:rsid w:val="00814057"/>
    <w:rsid w:val="008141BB"/>
    <w:rsid w:val="008148F4"/>
    <w:rsid w:val="00814CE1"/>
    <w:rsid w:val="0081674B"/>
    <w:rsid w:val="00820F8F"/>
    <w:rsid w:val="00822497"/>
    <w:rsid w:val="00822AAC"/>
    <w:rsid w:val="00823B23"/>
    <w:rsid w:val="0082794D"/>
    <w:rsid w:val="008310ED"/>
    <w:rsid w:val="00832191"/>
    <w:rsid w:val="0083259F"/>
    <w:rsid w:val="00832C7F"/>
    <w:rsid w:val="008348D1"/>
    <w:rsid w:val="0083591F"/>
    <w:rsid w:val="00837DD4"/>
    <w:rsid w:val="00843D86"/>
    <w:rsid w:val="00851376"/>
    <w:rsid w:val="00854068"/>
    <w:rsid w:val="00861214"/>
    <w:rsid w:val="00863426"/>
    <w:rsid w:val="0086369F"/>
    <w:rsid w:val="0086417B"/>
    <w:rsid w:val="00864D76"/>
    <w:rsid w:val="00865ACA"/>
    <w:rsid w:val="008673F7"/>
    <w:rsid w:val="00887AF3"/>
    <w:rsid w:val="008904E7"/>
    <w:rsid w:val="00891815"/>
    <w:rsid w:val="0089369B"/>
    <w:rsid w:val="00894375"/>
    <w:rsid w:val="0089543E"/>
    <w:rsid w:val="00897771"/>
    <w:rsid w:val="008A0C72"/>
    <w:rsid w:val="008A5565"/>
    <w:rsid w:val="008A66E7"/>
    <w:rsid w:val="008A7147"/>
    <w:rsid w:val="008B68AF"/>
    <w:rsid w:val="008C52F2"/>
    <w:rsid w:val="008C5BBE"/>
    <w:rsid w:val="008C6259"/>
    <w:rsid w:val="008C6A81"/>
    <w:rsid w:val="008D156B"/>
    <w:rsid w:val="008D29A2"/>
    <w:rsid w:val="008D33BD"/>
    <w:rsid w:val="008D5052"/>
    <w:rsid w:val="008D5D9E"/>
    <w:rsid w:val="008E047C"/>
    <w:rsid w:val="008E0F30"/>
    <w:rsid w:val="008F18E5"/>
    <w:rsid w:val="008F6A9C"/>
    <w:rsid w:val="008F7E3B"/>
    <w:rsid w:val="00901A0A"/>
    <w:rsid w:val="00901A32"/>
    <w:rsid w:val="00903CA0"/>
    <w:rsid w:val="00905B8C"/>
    <w:rsid w:val="0091218E"/>
    <w:rsid w:val="0091434C"/>
    <w:rsid w:val="009151CC"/>
    <w:rsid w:val="009178AF"/>
    <w:rsid w:val="00923E34"/>
    <w:rsid w:val="00926762"/>
    <w:rsid w:val="00930AC2"/>
    <w:rsid w:val="00935393"/>
    <w:rsid w:val="009355FB"/>
    <w:rsid w:val="00936654"/>
    <w:rsid w:val="00936819"/>
    <w:rsid w:val="00936A2E"/>
    <w:rsid w:val="00940257"/>
    <w:rsid w:val="0094339C"/>
    <w:rsid w:val="009472C8"/>
    <w:rsid w:val="00950F66"/>
    <w:rsid w:val="0095154B"/>
    <w:rsid w:val="00952D50"/>
    <w:rsid w:val="00953F6A"/>
    <w:rsid w:val="00962186"/>
    <w:rsid w:val="00962A84"/>
    <w:rsid w:val="009679FE"/>
    <w:rsid w:val="00972433"/>
    <w:rsid w:val="00973CAE"/>
    <w:rsid w:val="00975160"/>
    <w:rsid w:val="00984CE1"/>
    <w:rsid w:val="0098629F"/>
    <w:rsid w:val="0099289D"/>
    <w:rsid w:val="00995401"/>
    <w:rsid w:val="009A4FA3"/>
    <w:rsid w:val="009A7786"/>
    <w:rsid w:val="009B4E2A"/>
    <w:rsid w:val="009B54A0"/>
    <w:rsid w:val="009B7960"/>
    <w:rsid w:val="009C7F6C"/>
    <w:rsid w:val="009D07AD"/>
    <w:rsid w:val="009D084F"/>
    <w:rsid w:val="009D10C6"/>
    <w:rsid w:val="009D274E"/>
    <w:rsid w:val="009D2D53"/>
    <w:rsid w:val="009E015E"/>
    <w:rsid w:val="009E09EC"/>
    <w:rsid w:val="009E1C53"/>
    <w:rsid w:val="009E6694"/>
    <w:rsid w:val="009F54E7"/>
    <w:rsid w:val="00A001C4"/>
    <w:rsid w:val="00A044B5"/>
    <w:rsid w:val="00A1018F"/>
    <w:rsid w:val="00A10D8D"/>
    <w:rsid w:val="00A10E45"/>
    <w:rsid w:val="00A157AA"/>
    <w:rsid w:val="00A15EEC"/>
    <w:rsid w:val="00A1707B"/>
    <w:rsid w:val="00A23E08"/>
    <w:rsid w:val="00A25065"/>
    <w:rsid w:val="00A267FA"/>
    <w:rsid w:val="00A30E34"/>
    <w:rsid w:val="00A31B5F"/>
    <w:rsid w:val="00A35919"/>
    <w:rsid w:val="00A359A7"/>
    <w:rsid w:val="00A37654"/>
    <w:rsid w:val="00A46FA3"/>
    <w:rsid w:val="00A5238F"/>
    <w:rsid w:val="00A53528"/>
    <w:rsid w:val="00A53900"/>
    <w:rsid w:val="00A567AB"/>
    <w:rsid w:val="00A571F3"/>
    <w:rsid w:val="00A64A19"/>
    <w:rsid w:val="00A65C52"/>
    <w:rsid w:val="00A706F6"/>
    <w:rsid w:val="00A709F3"/>
    <w:rsid w:val="00A7519A"/>
    <w:rsid w:val="00A75845"/>
    <w:rsid w:val="00A76714"/>
    <w:rsid w:val="00A85684"/>
    <w:rsid w:val="00A94909"/>
    <w:rsid w:val="00A94F44"/>
    <w:rsid w:val="00AA31FB"/>
    <w:rsid w:val="00AA7BFC"/>
    <w:rsid w:val="00AB2013"/>
    <w:rsid w:val="00AB4CFB"/>
    <w:rsid w:val="00AC4753"/>
    <w:rsid w:val="00AC5D23"/>
    <w:rsid w:val="00AC71FF"/>
    <w:rsid w:val="00AD45A5"/>
    <w:rsid w:val="00AE551A"/>
    <w:rsid w:val="00AF11FB"/>
    <w:rsid w:val="00AF1EB7"/>
    <w:rsid w:val="00AF1EFB"/>
    <w:rsid w:val="00AF2BFD"/>
    <w:rsid w:val="00AF2D1E"/>
    <w:rsid w:val="00AF4ED6"/>
    <w:rsid w:val="00AF7FF1"/>
    <w:rsid w:val="00B01B51"/>
    <w:rsid w:val="00B035B1"/>
    <w:rsid w:val="00B05B8A"/>
    <w:rsid w:val="00B07533"/>
    <w:rsid w:val="00B12DCB"/>
    <w:rsid w:val="00B12ED8"/>
    <w:rsid w:val="00B14A80"/>
    <w:rsid w:val="00B160ED"/>
    <w:rsid w:val="00B22108"/>
    <w:rsid w:val="00B24940"/>
    <w:rsid w:val="00B3405A"/>
    <w:rsid w:val="00B379B2"/>
    <w:rsid w:val="00B42956"/>
    <w:rsid w:val="00B44311"/>
    <w:rsid w:val="00B44F6F"/>
    <w:rsid w:val="00B52F65"/>
    <w:rsid w:val="00B530FD"/>
    <w:rsid w:val="00B559AA"/>
    <w:rsid w:val="00B610EB"/>
    <w:rsid w:val="00B6184C"/>
    <w:rsid w:val="00B6528E"/>
    <w:rsid w:val="00B656D5"/>
    <w:rsid w:val="00B65A3A"/>
    <w:rsid w:val="00B65FA1"/>
    <w:rsid w:val="00B720BD"/>
    <w:rsid w:val="00B761A7"/>
    <w:rsid w:val="00B8248B"/>
    <w:rsid w:val="00B8388D"/>
    <w:rsid w:val="00B8545A"/>
    <w:rsid w:val="00B86E90"/>
    <w:rsid w:val="00B87DBE"/>
    <w:rsid w:val="00B93819"/>
    <w:rsid w:val="00B9438A"/>
    <w:rsid w:val="00B958B3"/>
    <w:rsid w:val="00BA4A41"/>
    <w:rsid w:val="00BA4DC1"/>
    <w:rsid w:val="00BB5292"/>
    <w:rsid w:val="00BB6F7A"/>
    <w:rsid w:val="00BC300C"/>
    <w:rsid w:val="00BC5A8B"/>
    <w:rsid w:val="00BC5B2C"/>
    <w:rsid w:val="00BC7D43"/>
    <w:rsid w:val="00BD6A6D"/>
    <w:rsid w:val="00BE3175"/>
    <w:rsid w:val="00BE7BD8"/>
    <w:rsid w:val="00BF33A8"/>
    <w:rsid w:val="00BF3703"/>
    <w:rsid w:val="00C00484"/>
    <w:rsid w:val="00C004D0"/>
    <w:rsid w:val="00C01F43"/>
    <w:rsid w:val="00C05B26"/>
    <w:rsid w:val="00C0712A"/>
    <w:rsid w:val="00C12096"/>
    <w:rsid w:val="00C12110"/>
    <w:rsid w:val="00C14D2E"/>
    <w:rsid w:val="00C158A5"/>
    <w:rsid w:val="00C20A2A"/>
    <w:rsid w:val="00C27227"/>
    <w:rsid w:val="00C34CF9"/>
    <w:rsid w:val="00C35C7E"/>
    <w:rsid w:val="00C408F8"/>
    <w:rsid w:val="00C417D8"/>
    <w:rsid w:val="00C41C2B"/>
    <w:rsid w:val="00C45B48"/>
    <w:rsid w:val="00C50C5C"/>
    <w:rsid w:val="00C50CDA"/>
    <w:rsid w:val="00C5249B"/>
    <w:rsid w:val="00C55244"/>
    <w:rsid w:val="00C616A6"/>
    <w:rsid w:val="00C635CD"/>
    <w:rsid w:val="00C64048"/>
    <w:rsid w:val="00C65EDA"/>
    <w:rsid w:val="00C82B81"/>
    <w:rsid w:val="00C83423"/>
    <w:rsid w:val="00C8566B"/>
    <w:rsid w:val="00C870BA"/>
    <w:rsid w:val="00C87E9D"/>
    <w:rsid w:val="00C9264C"/>
    <w:rsid w:val="00C94C4B"/>
    <w:rsid w:val="00C95C1A"/>
    <w:rsid w:val="00CA32FB"/>
    <w:rsid w:val="00CA57EB"/>
    <w:rsid w:val="00CA6832"/>
    <w:rsid w:val="00CA705B"/>
    <w:rsid w:val="00CB0190"/>
    <w:rsid w:val="00CB2035"/>
    <w:rsid w:val="00CC1C0B"/>
    <w:rsid w:val="00CC1D7D"/>
    <w:rsid w:val="00CC3AEB"/>
    <w:rsid w:val="00CC4FD4"/>
    <w:rsid w:val="00CD75C5"/>
    <w:rsid w:val="00CE436B"/>
    <w:rsid w:val="00CE44C8"/>
    <w:rsid w:val="00CE7CA5"/>
    <w:rsid w:val="00CF1DA3"/>
    <w:rsid w:val="00CF3DA8"/>
    <w:rsid w:val="00CF7026"/>
    <w:rsid w:val="00CF711A"/>
    <w:rsid w:val="00D027E9"/>
    <w:rsid w:val="00D03BB2"/>
    <w:rsid w:val="00D05A72"/>
    <w:rsid w:val="00D06E91"/>
    <w:rsid w:val="00D107F1"/>
    <w:rsid w:val="00D11A0D"/>
    <w:rsid w:val="00D124EB"/>
    <w:rsid w:val="00D1456D"/>
    <w:rsid w:val="00D17567"/>
    <w:rsid w:val="00D20044"/>
    <w:rsid w:val="00D25518"/>
    <w:rsid w:val="00D30B26"/>
    <w:rsid w:val="00D3334C"/>
    <w:rsid w:val="00D33DF5"/>
    <w:rsid w:val="00D33FB3"/>
    <w:rsid w:val="00D3722F"/>
    <w:rsid w:val="00D37A59"/>
    <w:rsid w:val="00D40CF0"/>
    <w:rsid w:val="00D41CB6"/>
    <w:rsid w:val="00D433C4"/>
    <w:rsid w:val="00D43A89"/>
    <w:rsid w:val="00D50ABF"/>
    <w:rsid w:val="00D53D56"/>
    <w:rsid w:val="00D55AE1"/>
    <w:rsid w:val="00D5634D"/>
    <w:rsid w:val="00D57EC3"/>
    <w:rsid w:val="00D60537"/>
    <w:rsid w:val="00D60C2A"/>
    <w:rsid w:val="00D632C5"/>
    <w:rsid w:val="00D6368F"/>
    <w:rsid w:val="00D676C0"/>
    <w:rsid w:val="00D730F0"/>
    <w:rsid w:val="00D75E84"/>
    <w:rsid w:val="00D81FCA"/>
    <w:rsid w:val="00D83023"/>
    <w:rsid w:val="00D8459E"/>
    <w:rsid w:val="00D86024"/>
    <w:rsid w:val="00D87DDD"/>
    <w:rsid w:val="00D907E6"/>
    <w:rsid w:val="00D90FA2"/>
    <w:rsid w:val="00D93FD7"/>
    <w:rsid w:val="00D9444E"/>
    <w:rsid w:val="00D971A3"/>
    <w:rsid w:val="00DA00B6"/>
    <w:rsid w:val="00DA0E95"/>
    <w:rsid w:val="00DA3795"/>
    <w:rsid w:val="00DB1705"/>
    <w:rsid w:val="00DB184A"/>
    <w:rsid w:val="00DB2B65"/>
    <w:rsid w:val="00DB3016"/>
    <w:rsid w:val="00DB4CC0"/>
    <w:rsid w:val="00DB56AA"/>
    <w:rsid w:val="00DB5F23"/>
    <w:rsid w:val="00DB6309"/>
    <w:rsid w:val="00DC19F4"/>
    <w:rsid w:val="00DC6D4F"/>
    <w:rsid w:val="00DD02C2"/>
    <w:rsid w:val="00DD1844"/>
    <w:rsid w:val="00DE0CA9"/>
    <w:rsid w:val="00DE1752"/>
    <w:rsid w:val="00E007F2"/>
    <w:rsid w:val="00E06BA8"/>
    <w:rsid w:val="00E12185"/>
    <w:rsid w:val="00E170D0"/>
    <w:rsid w:val="00E17410"/>
    <w:rsid w:val="00E17C85"/>
    <w:rsid w:val="00E2159F"/>
    <w:rsid w:val="00E23820"/>
    <w:rsid w:val="00E248CF"/>
    <w:rsid w:val="00E27AA1"/>
    <w:rsid w:val="00E27B53"/>
    <w:rsid w:val="00E30D7C"/>
    <w:rsid w:val="00E30EE1"/>
    <w:rsid w:val="00E37730"/>
    <w:rsid w:val="00E44A9D"/>
    <w:rsid w:val="00E46092"/>
    <w:rsid w:val="00E523E3"/>
    <w:rsid w:val="00E56741"/>
    <w:rsid w:val="00E56A22"/>
    <w:rsid w:val="00E6143F"/>
    <w:rsid w:val="00E62A10"/>
    <w:rsid w:val="00E6570A"/>
    <w:rsid w:val="00E6631D"/>
    <w:rsid w:val="00E66563"/>
    <w:rsid w:val="00E677AC"/>
    <w:rsid w:val="00E67DCE"/>
    <w:rsid w:val="00E70DD9"/>
    <w:rsid w:val="00E70F0F"/>
    <w:rsid w:val="00E743C5"/>
    <w:rsid w:val="00E801AD"/>
    <w:rsid w:val="00E81D7C"/>
    <w:rsid w:val="00E83D81"/>
    <w:rsid w:val="00E87065"/>
    <w:rsid w:val="00E87E9F"/>
    <w:rsid w:val="00E91CFF"/>
    <w:rsid w:val="00E94024"/>
    <w:rsid w:val="00E94132"/>
    <w:rsid w:val="00E97B5E"/>
    <w:rsid w:val="00EB1762"/>
    <w:rsid w:val="00EB201B"/>
    <w:rsid w:val="00EB2333"/>
    <w:rsid w:val="00EB5DBE"/>
    <w:rsid w:val="00EC257D"/>
    <w:rsid w:val="00EC666F"/>
    <w:rsid w:val="00ED2A94"/>
    <w:rsid w:val="00ED3B89"/>
    <w:rsid w:val="00ED5996"/>
    <w:rsid w:val="00ED5E6B"/>
    <w:rsid w:val="00EE569C"/>
    <w:rsid w:val="00EF0788"/>
    <w:rsid w:val="00EF26A6"/>
    <w:rsid w:val="00EF6795"/>
    <w:rsid w:val="00F00B2B"/>
    <w:rsid w:val="00F00D8C"/>
    <w:rsid w:val="00F011FA"/>
    <w:rsid w:val="00F01FEE"/>
    <w:rsid w:val="00F021F2"/>
    <w:rsid w:val="00F02AFA"/>
    <w:rsid w:val="00F10AC4"/>
    <w:rsid w:val="00F14EEF"/>
    <w:rsid w:val="00F16104"/>
    <w:rsid w:val="00F1618B"/>
    <w:rsid w:val="00F22F03"/>
    <w:rsid w:val="00F25517"/>
    <w:rsid w:val="00F2572A"/>
    <w:rsid w:val="00F26293"/>
    <w:rsid w:val="00F363B6"/>
    <w:rsid w:val="00F43C31"/>
    <w:rsid w:val="00F441D6"/>
    <w:rsid w:val="00F44221"/>
    <w:rsid w:val="00F46888"/>
    <w:rsid w:val="00F472C0"/>
    <w:rsid w:val="00F50D0C"/>
    <w:rsid w:val="00F51566"/>
    <w:rsid w:val="00F546E6"/>
    <w:rsid w:val="00F55C88"/>
    <w:rsid w:val="00F60FAF"/>
    <w:rsid w:val="00F66835"/>
    <w:rsid w:val="00F71EC7"/>
    <w:rsid w:val="00F82A93"/>
    <w:rsid w:val="00F83AF2"/>
    <w:rsid w:val="00F84EA6"/>
    <w:rsid w:val="00F90B18"/>
    <w:rsid w:val="00F90D4B"/>
    <w:rsid w:val="00F95497"/>
    <w:rsid w:val="00F9588B"/>
    <w:rsid w:val="00FA01A4"/>
    <w:rsid w:val="00FA05CA"/>
    <w:rsid w:val="00FB24E3"/>
    <w:rsid w:val="00FB4AE9"/>
    <w:rsid w:val="00FB4D13"/>
    <w:rsid w:val="00FC07D3"/>
    <w:rsid w:val="00FC12A1"/>
    <w:rsid w:val="00FC554D"/>
    <w:rsid w:val="00FD0DAE"/>
    <w:rsid w:val="00FD22D2"/>
    <w:rsid w:val="00FD2EE5"/>
    <w:rsid w:val="00FD35F6"/>
    <w:rsid w:val="00FD466F"/>
    <w:rsid w:val="00FD573C"/>
    <w:rsid w:val="00FD7B83"/>
    <w:rsid w:val="00FE0569"/>
    <w:rsid w:val="00FE1341"/>
    <w:rsid w:val="00FE26E6"/>
    <w:rsid w:val="00FE3472"/>
    <w:rsid w:val="00FE5C4A"/>
    <w:rsid w:val="00FE69C2"/>
    <w:rsid w:val="00FF3586"/>
    <w:rsid w:val="00FF7F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B8C"/>
    <w:rPr>
      <w:sz w:val="24"/>
    </w:rPr>
  </w:style>
  <w:style w:type="paragraph" w:styleId="Heading1">
    <w:name w:val="heading 1"/>
    <w:basedOn w:val="Normal"/>
    <w:next w:val="Normal"/>
    <w:link w:val="Heading1Char"/>
    <w:qFormat/>
    <w:rsid w:val="00F1618B"/>
    <w:pPr>
      <w:keepNext/>
      <w:spacing w:after="240"/>
      <w:ind w:left="720" w:hanging="720"/>
      <w:outlineLvl w:val="0"/>
    </w:pPr>
    <w:rPr>
      <w:b/>
      <w:szCs w:val="24"/>
    </w:rPr>
  </w:style>
  <w:style w:type="paragraph" w:styleId="Heading2">
    <w:name w:val="heading 2"/>
    <w:basedOn w:val="Normal"/>
    <w:next w:val="Normal"/>
    <w:link w:val="Heading2Char"/>
    <w:autoRedefine/>
    <w:qFormat/>
    <w:rsid w:val="00D5634D"/>
    <w:pPr>
      <w:keepNext/>
      <w:numPr>
        <w:numId w:val="20"/>
      </w:numPr>
      <w:spacing w:after="240"/>
      <w:ind w:left="1440" w:hanging="720"/>
      <w:outlineLvl w:val="1"/>
    </w:pPr>
    <w:rPr>
      <w:b/>
    </w:rPr>
  </w:style>
  <w:style w:type="paragraph" w:styleId="Heading3">
    <w:name w:val="heading 3"/>
    <w:basedOn w:val="Normal"/>
    <w:next w:val="Normal"/>
    <w:qFormat/>
    <w:rsid w:val="002B69CC"/>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6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2B69CC"/>
    <w:pPr>
      <w:tabs>
        <w:tab w:val="center" w:pos="4320"/>
        <w:tab w:val="right" w:pos="8640"/>
      </w:tabs>
    </w:pPr>
    <w:rPr>
      <w:sz w:val="20"/>
    </w:rPr>
  </w:style>
  <w:style w:type="character" w:styleId="Hyperlink">
    <w:name w:val="Hyperlink"/>
    <w:uiPriority w:val="99"/>
    <w:rsid w:val="002B69CC"/>
    <w:rPr>
      <w:color w:val="0000FF"/>
      <w:u w:val="single"/>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qFormat/>
    <w:rsid w:val="002B69CC"/>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sid w:val="002B69CC"/>
    <w:rPr>
      <w:vertAlign w:val="superscript"/>
    </w:rPr>
  </w:style>
  <w:style w:type="paragraph" w:styleId="BodyTextIndent">
    <w:name w:val="Body Text Indent"/>
    <w:basedOn w:val="Normal"/>
    <w:rsid w:val="002B69CC"/>
    <w:pPr>
      <w:spacing w:line="480" w:lineRule="auto"/>
      <w:ind w:firstLine="720"/>
    </w:pPr>
  </w:style>
  <w:style w:type="paragraph" w:styleId="BodyTextIndent3">
    <w:name w:val="Body Text Indent 3"/>
    <w:basedOn w:val="Normal"/>
    <w:link w:val="BodyTextIndent3Char"/>
    <w:rsid w:val="002B69CC"/>
    <w:pPr>
      <w:spacing w:line="480" w:lineRule="atLeast"/>
      <w:ind w:firstLine="720"/>
    </w:pPr>
  </w:style>
  <w:style w:type="paragraph" w:styleId="BodyTextIndent2">
    <w:name w:val="Body Text Indent 2"/>
    <w:basedOn w:val="Normal"/>
    <w:rsid w:val="002B69CC"/>
    <w:pPr>
      <w:tabs>
        <w:tab w:val="left" w:pos="720"/>
      </w:tabs>
      <w:spacing w:before="240" w:after="240"/>
      <w:ind w:left="1464" w:hanging="744"/>
    </w:pPr>
  </w:style>
  <w:style w:type="character" w:styleId="PageNumber">
    <w:name w:val="page number"/>
    <w:basedOn w:val="DefaultParagraphFont"/>
    <w:rsid w:val="002B69CC"/>
  </w:style>
  <w:style w:type="paragraph" w:styleId="BodyText">
    <w:name w:val="Body Text"/>
    <w:basedOn w:val="Normal"/>
    <w:rsid w:val="002B69CC"/>
    <w:pPr>
      <w:jc w:val="both"/>
    </w:pPr>
  </w:style>
  <w:style w:type="paragraph" w:styleId="BlockText">
    <w:name w:val="Block Text"/>
    <w:basedOn w:val="Normal"/>
    <w:rsid w:val="002B69CC"/>
    <w:pPr>
      <w:ind w:left="1440" w:right="720"/>
    </w:pPr>
  </w:style>
  <w:style w:type="paragraph" w:styleId="EndnoteText">
    <w:name w:val="endnote text"/>
    <w:basedOn w:val="Normal"/>
    <w:semiHidden/>
    <w:rsid w:val="002B69CC"/>
    <w:rPr>
      <w:sz w:val="20"/>
    </w:rPr>
  </w:style>
  <w:style w:type="character" w:styleId="EndnoteReference">
    <w:name w:val="endnote reference"/>
    <w:semiHidden/>
    <w:rsid w:val="002B69CC"/>
    <w:rPr>
      <w:vertAlign w:val="superscript"/>
    </w:rPr>
  </w:style>
  <w:style w:type="paragraph" w:styleId="BodyText2">
    <w:name w:val="Body Text 2"/>
    <w:basedOn w:val="Normal"/>
    <w:rsid w:val="002B69CC"/>
    <w:pPr>
      <w:spacing w:line="480" w:lineRule="auto"/>
      <w:ind w:right="1440"/>
    </w:pPr>
  </w:style>
  <w:style w:type="paragraph" w:styleId="Header">
    <w:name w:val="header"/>
    <w:basedOn w:val="Normal"/>
    <w:link w:val="HeaderChar"/>
    <w:uiPriority w:val="99"/>
    <w:rsid w:val="002B69CC"/>
    <w:pPr>
      <w:tabs>
        <w:tab w:val="center" w:pos="4320"/>
        <w:tab w:val="right" w:pos="8640"/>
      </w:tabs>
    </w:pPr>
  </w:style>
  <w:style w:type="paragraph" w:styleId="BalloonText">
    <w:name w:val="Balloon Text"/>
    <w:basedOn w:val="Normal"/>
    <w:semiHidden/>
    <w:rsid w:val="002B69CC"/>
    <w:rPr>
      <w:rFonts w:ascii="Lucida Grande" w:hAnsi="Lucida Grande"/>
      <w:sz w:val="18"/>
      <w:szCs w:val="18"/>
    </w:rPr>
  </w:style>
  <w:style w:type="character" w:styleId="CommentReference">
    <w:name w:val="annotation reference"/>
    <w:semiHidden/>
    <w:rsid w:val="002B69CC"/>
    <w:rPr>
      <w:sz w:val="18"/>
    </w:rPr>
  </w:style>
  <w:style w:type="paragraph" w:styleId="CommentText">
    <w:name w:val="annotation text"/>
    <w:basedOn w:val="Normal"/>
    <w:link w:val="CommentTextChar"/>
    <w:semiHidden/>
    <w:rsid w:val="002B69CC"/>
    <w:rPr>
      <w:szCs w:val="24"/>
    </w:rPr>
  </w:style>
  <w:style w:type="paragraph" w:styleId="CommentSubject">
    <w:name w:val="annotation subject"/>
    <w:basedOn w:val="CommentText"/>
    <w:next w:val="CommentText"/>
    <w:semiHidden/>
    <w:rsid w:val="002B69CC"/>
    <w:rPr>
      <w:szCs w:val="20"/>
    </w:rPr>
  </w:style>
  <w:style w:type="character" w:styleId="FollowedHyperlink">
    <w:name w:val="FollowedHyperlink"/>
    <w:rsid w:val="002B69CC"/>
    <w:rPr>
      <w:color w:val="800080"/>
      <w:u w:val="single"/>
    </w:rPr>
  </w:style>
  <w:style w:type="character" w:customStyle="1" w:styleId="term1">
    <w:name w:val="term1"/>
    <w:rsid w:val="002B69CC"/>
    <w:rPr>
      <w:b/>
      <w:bCs/>
    </w:rPr>
  </w:style>
  <w:style w:type="table" w:styleId="TableGrid">
    <w:name w:val="Table Grid"/>
    <w:basedOn w:val="TableNormal"/>
    <w:rsid w:val="002B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2B69CC"/>
    <w:pPr>
      <w:suppressAutoHyphens/>
      <w:spacing w:line="480" w:lineRule="atLeast"/>
      <w:ind w:firstLine="720"/>
    </w:pPr>
    <w:rPr>
      <w:lang w:eastAsia="ar-SA"/>
    </w:rPr>
  </w:style>
  <w:style w:type="character" w:customStyle="1" w:styleId="UnresolvedMention1">
    <w:name w:val="Unresolved Mention1"/>
    <w:uiPriority w:val="99"/>
    <w:semiHidden/>
    <w:unhideWhenUsed/>
    <w:rsid w:val="004535A2"/>
    <w:rPr>
      <w:color w:val="808080"/>
      <w:shd w:val="clear" w:color="auto" w:fill="E6E6E6"/>
    </w:rPr>
  </w:style>
  <w:style w:type="character" w:customStyle="1" w:styleId="FooterChar">
    <w:name w:val="Footer Char"/>
    <w:link w:val="Footer"/>
    <w:uiPriority w:val="99"/>
    <w:rsid w:val="004535A2"/>
  </w:style>
  <w:style w:type="character" w:customStyle="1" w:styleId="UnresolvedMention2">
    <w:name w:val="Unresolved Mention2"/>
    <w:basedOn w:val="DefaultParagraphFont"/>
    <w:rsid w:val="006511C0"/>
    <w:rPr>
      <w:color w:val="605E5C"/>
      <w:shd w:val="clear" w:color="auto" w:fill="E1DFDD"/>
    </w:rPr>
  </w:style>
  <w:style w:type="character" w:customStyle="1" w:styleId="HeaderChar">
    <w:name w:val="Header Char"/>
    <w:basedOn w:val="DefaultParagraphFont"/>
    <w:link w:val="Header"/>
    <w:uiPriority w:val="99"/>
    <w:rsid w:val="006859F7"/>
    <w:rPr>
      <w:sz w:val="24"/>
    </w:rPr>
  </w:style>
  <w:style w:type="paragraph" w:styleId="ListParagraph">
    <w:name w:val="List Paragraph"/>
    <w:basedOn w:val="Normal"/>
    <w:uiPriority w:val="34"/>
    <w:qFormat/>
    <w:rsid w:val="006859F7"/>
    <w:pPr>
      <w:ind w:left="720"/>
      <w:contextualSpacing/>
    </w:pPr>
    <w:rPr>
      <w:szCs w:val="24"/>
      <w:lang w:bidi="en-US"/>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rsid w:val="006859F7"/>
  </w:style>
  <w:style w:type="character" w:customStyle="1" w:styleId="HTMLPreformattedChar">
    <w:name w:val="HTML Preformatted Char"/>
    <w:basedOn w:val="DefaultParagraphFont"/>
    <w:link w:val="HTMLPreformatted"/>
    <w:rsid w:val="000F0366"/>
    <w:rPr>
      <w:rFonts w:ascii="Courier New" w:eastAsia="Courier New" w:hAnsi="Courier New" w:cs="Courier New"/>
    </w:rPr>
  </w:style>
  <w:style w:type="character" w:customStyle="1" w:styleId="Heading1Char">
    <w:name w:val="Heading 1 Char"/>
    <w:basedOn w:val="DefaultParagraphFont"/>
    <w:link w:val="Heading1"/>
    <w:rsid w:val="00F1618B"/>
    <w:rPr>
      <w:b/>
      <w:sz w:val="24"/>
      <w:szCs w:val="24"/>
    </w:rPr>
  </w:style>
  <w:style w:type="paragraph" w:styleId="TOC2">
    <w:name w:val="toc 2"/>
    <w:basedOn w:val="Normal"/>
    <w:next w:val="Normal"/>
    <w:autoRedefine/>
    <w:uiPriority w:val="39"/>
    <w:qFormat/>
    <w:rsid w:val="00DD02C2"/>
    <w:pPr>
      <w:spacing w:after="240"/>
      <w:ind w:left="1440" w:hanging="720"/>
    </w:pPr>
  </w:style>
  <w:style w:type="paragraph" w:styleId="TOC1">
    <w:name w:val="toc 1"/>
    <w:basedOn w:val="Normal"/>
    <w:next w:val="Normal"/>
    <w:autoRedefine/>
    <w:uiPriority w:val="39"/>
    <w:rsid w:val="00331C9C"/>
    <w:pPr>
      <w:tabs>
        <w:tab w:val="decimal" w:leader="dot" w:pos="8640"/>
      </w:tabs>
      <w:spacing w:after="240"/>
      <w:ind w:left="720" w:hanging="720"/>
    </w:pPr>
  </w:style>
  <w:style w:type="character" w:customStyle="1" w:styleId="Heading2Char">
    <w:name w:val="Heading 2 Char"/>
    <w:basedOn w:val="DefaultParagraphFont"/>
    <w:link w:val="Heading2"/>
    <w:rsid w:val="00D5634D"/>
    <w:rPr>
      <w:b/>
      <w:sz w:val="24"/>
    </w:rPr>
  </w:style>
  <w:style w:type="character" w:customStyle="1" w:styleId="UnresolvedMention3">
    <w:name w:val="Unresolved Mention3"/>
    <w:basedOn w:val="DefaultParagraphFont"/>
    <w:rsid w:val="00D60C2A"/>
    <w:rPr>
      <w:color w:val="605E5C"/>
      <w:shd w:val="clear" w:color="auto" w:fill="E1DFDD"/>
    </w:rPr>
  </w:style>
  <w:style w:type="paragraph" w:styleId="TOC3">
    <w:name w:val="toc 3"/>
    <w:basedOn w:val="Normal"/>
    <w:next w:val="Normal"/>
    <w:autoRedefine/>
    <w:semiHidden/>
    <w:unhideWhenUsed/>
    <w:qFormat/>
    <w:rsid w:val="00DD02C2"/>
    <w:pPr>
      <w:spacing w:after="240"/>
      <w:ind w:left="2160" w:hanging="720"/>
    </w:pPr>
  </w:style>
  <w:style w:type="character" w:customStyle="1" w:styleId="CommentTextChar">
    <w:name w:val="Comment Text Char"/>
    <w:basedOn w:val="DefaultParagraphFont"/>
    <w:link w:val="CommentText"/>
    <w:semiHidden/>
    <w:rsid w:val="00DE0CA9"/>
    <w:rPr>
      <w:sz w:val="24"/>
      <w:szCs w:val="24"/>
    </w:rPr>
  </w:style>
  <w:style w:type="character" w:customStyle="1" w:styleId="BodyTextIndent3Char">
    <w:name w:val="Body Text Indent 3 Char"/>
    <w:basedOn w:val="DefaultParagraphFont"/>
    <w:link w:val="BodyTextIndent3"/>
    <w:rsid w:val="004C1B77"/>
    <w:rPr>
      <w:sz w:val="24"/>
    </w:rPr>
  </w:style>
  <w:style w:type="character" w:customStyle="1" w:styleId="UnresolvedMention4">
    <w:name w:val="Unresolved Mention4"/>
    <w:basedOn w:val="DefaultParagraphFont"/>
    <w:rsid w:val="00267202"/>
    <w:rPr>
      <w:color w:val="605E5C"/>
      <w:shd w:val="clear" w:color="auto" w:fill="E1DFDD"/>
    </w:rPr>
  </w:style>
  <w:style w:type="character" w:customStyle="1" w:styleId="UnresolvedMention5">
    <w:name w:val="Unresolved Mention5"/>
    <w:basedOn w:val="DefaultParagraphFont"/>
    <w:uiPriority w:val="99"/>
    <w:semiHidden/>
    <w:unhideWhenUsed/>
    <w:rsid w:val="001D2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mailto:jodi.bair@ohioattorneygeneral.gov" TargetMode="External" /><Relationship Id="rId12" Type="http://schemas.openxmlformats.org/officeDocument/2006/relationships/hyperlink" Target="mailto:Gregory.price@puco.ohio.gov" TargetMode="External" /><Relationship Id="rId13" Type="http://schemas.openxmlformats.org/officeDocument/2006/relationships/hyperlink" Target="mailto:Anna.sanyal@puco.ohio.gov" TargetMode="External" /><Relationship Id="rId14" Type="http://schemas.openxmlformats.org/officeDocument/2006/relationships/hyperlink" Target="mailto:whitt@whitt-sturtevant.com" TargetMode="External" /><Relationship Id="rId15" Type="http://schemas.openxmlformats.org/officeDocument/2006/relationships/hyperlink" Target="mailto:fykes@whitt-sturtevant.com" TargetMode="External" /><Relationship Id="rId16" Type="http://schemas.openxmlformats.org/officeDocument/2006/relationships/hyperlink" Target="mailto:mmcguire@HuntonAK.com" TargetMode="External" /><Relationship Id="rId17" Type="http://schemas.openxmlformats.org/officeDocument/2006/relationships/hyperlink" Target="mailto:cpardo@HuntonAK.com" TargetMode="Externa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christopher.healey@occ.ohio.gov" TargetMode="External" /><Relationship Id="rId8" Type="http://schemas.openxmlformats.org/officeDocument/2006/relationships/hyperlink" Target="mailto:bojko@carpenterlipps.com" TargetMode="Externa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cnn.com/2020/08/07/us/new-york-schools-reopen-cuomo/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21D5-E014-4EB9-B138-26E793CD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2928</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2020-08-18T21:10:42Z</dcterms:created>
  <dcterms:modified xsi:type="dcterms:W3CDTF">2020-08-18T21:10:42Z</dcterms:modified>
</cp:coreProperties>
</file>