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2C" w:rsidRPr="00C64966" w:rsidRDefault="0031302C" w:rsidP="0031302C">
      <w:pPr>
        <w:spacing w:after="0" w:line="240" w:lineRule="auto"/>
        <w:jc w:val="center"/>
        <w:rPr>
          <w:rFonts w:ascii="Times New Roman" w:hAnsi="Times New Roman"/>
          <w:b/>
          <w:bCs/>
          <w:sz w:val="24"/>
          <w:szCs w:val="24"/>
        </w:rPr>
      </w:pPr>
      <w:bookmarkStart w:id="0" w:name="_GoBack"/>
      <w:bookmarkEnd w:id="0"/>
      <w:r w:rsidRPr="00C64966">
        <w:rPr>
          <w:rFonts w:ascii="Times New Roman" w:hAnsi="Times New Roman"/>
          <w:b/>
          <w:bCs/>
          <w:sz w:val="24"/>
          <w:szCs w:val="24"/>
        </w:rPr>
        <w:t xml:space="preserve">Before the </w:t>
      </w:r>
    </w:p>
    <w:p w:rsidR="0031302C" w:rsidRPr="00C64966" w:rsidRDefault="0031302C" w:rsidP="0031302C">
      <w:pPr>
        <w:spacing w:after="0" w:line="240" w:lineRule="auto"/>
        <w:jc w:val="center"/>
        <w:rPr>
          <w:rFonts w:ascii="Times New Roman" w:hAnsi="Times New Roman"/>
          <w:b/>
          <w:bCs/>
          <w:sz w:val="24"/>
          <w:szCs w:val="24"/>
        </w:rPr>
      </w:pPr>
      <w:r w:rsidRPr="00C64966">
        <w:rPr>
          <w:rFonts w:ascii="Times New Roman" w:hAnsi="Times New Roman"/>
          <w:b/>
          <w:bCs/>
          <w:sz w:val="24"/>
          <w:szCs w:val="24"/>
        </w:rPr>
        <w:t>Federal Communications Commission</w:t>
      </w:r>
    </w:p>
    <w:p w:rsidR="0031302C" w:rsidRPr="00C64966" w:rsidRDefault="0031302C" w:rsidP="0031302C">
      <w:pPr>
        <w:spacing w:after="0" w:line="240" w:lineRule="auto"/>
        <w:jc w:val="center"/>
        <w:rPr>
          <w:rFonts w:ascii="Times New Roman" w:hAnsi="Times New Roman"/>
          <w:b/>
          <w:bCs/>
          <w:sz w:val="24"/>
          <w:szCs w:val="24"/>
        </w:rPr>
      </w:pPr>
      <w:r w:rsidRPr="00C64966">
        <w:rPr>
          <w:rFonts w:ascii="Times New Roman" w:hAnsi="Times New Roman"/>
          <w:b/>
          <w:bCs/>
          <w:sz w:val="24"/>
          <w:szCs w:val="24"/>
        </w:rPr>
        <w:t>Washington, D.C.</w:t>
      </w:r>
    </w:p>
    <w:p w:rsidR="0031302C" w:rsidRPr="00C64966" w:rsidRDefault="0031302C" w:rsidP="0031302C">
      <w:pPr>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788"/>
        <w:gridCol w:w="360"/>
        <w:gridCol w:w="4428"/>
      </w:tblGrid>
      <w:tr w:rsidR="0031302C" w:rsidRPr="00C64966" w:rsidTr="00113641">
        <w:tc>
          <w:tcPr>
            <w:tcW w:w="4788" w:type="dxa"/>
          </w:tcPr>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In the Matter of</w:t>
            </w:r>
            <w:r w:rsidRPr="00C64966">
              <w:rPr>
                <w:rFonts w:ascii="Times New Roman" w:hAnsi="Times New Roman"/>
                <w:b/>
                <w:sz w:val="24"/>
                <w:szCs w:val="24"/>
              </w:rPr>
              <w:tab/>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Connect America Fund</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A National Broadband Plan of Our Future</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Pr>
                <w:rFonts w:ascii="Times New Roman" w:hAnsi="Times New Roman"/>
                <w:b/>
                <w:sz w:val="24"/>
                <w:szCs w:val="24"/>
              </w:rPr>
              <w:t>Establishing J</w:t>
            </w:r>
            <w:r w:rsidRPr="00C64966">
              <w:rPr>
                <w:rFonts w:ascii="Times New Roman" w:hAnsi="Times New Roman"/>
                <w:b/>
                <w:sz w:val="24"/>
                <w:szCs w:val="24"/>
              </w:rPr>
              <w:t>ust and Reasonable Rates for Local Exchange Carriers</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High-Cost Universal Service Support</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Developing a Uni</w:t>
            </w:r>
            <w:r>
              <w:rPr>
                <w:rFonts w:ascii="Times New Roman" w:hAnsi="Times New Roman"/>
                <w:b/>
                <w:sz w:val="24"/>
                <w:szCs w:val="24"/>
              </w:rPr>
              <w:t>fied Intercarrier Compensation R</w:t>
            </w:r>
            <w:r w:rsidRPr="00C64966">
              <w:rPr>
                <w:rFonts w:ascii="Times New Roman" w:hAnsi="Times New Roman"/>
                <w:b/>
                <w:sz w:val="24"/>
                <w:szCs w:val="24"/>
              </w:rPr>
              <w:t>egime</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sz w:val="24"/>
                <w:szCs w:val="24"/>
              </w:rPr>
            </w:pPr>
            <w:r w:rsidRPr="00C64966">
              <w:rPr>
                <w:rFonts w:ascii="Times New Roman" w:hAnsi="Times New Roman"/>
                <w:b/>
                <w:sz w:val="24"/>
                <w:szCs w:val="24"/>
              </w:rPr>
              <w:t xml:space="preserve">Federal-State Joint Board on </w:t>
            </w:r>
            <w:r>
              <w:rPr>
                <w:rFonts w:ascii="Times New Roman" w:hAnsi="Times New Roman"/>
                <w:b/>
                <w:sz w:val="24"/>
                <w:szCs w:val="24"/>
              </w:rPr>
              <w:t>U</w:t>
            </w:r>
            <w:r w:rsidRPr="00C64966">
              <w:rPr>
                <w:rFonts w:ascii="Times New Roman" w:hAnsi="Times New Roman"/>
                <w:b/>
                <w:sz w:val="24"/>
                <w:szCs w:val="24"/>
              </w:rPr>
              <w:t>niversal Service</w:t>
            </w:r>
          </w:p>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sz w:val="24"/>
                <w:szCs w:val="24"/>
              </w:rPr>
              <w:t>Lifeline and Link-Up</w:t>
            </w:r>
          </w:p>
        </w:tc>
        <w:tc>
          <w:tcPr>
            <w:tcW w:w="360" w:type="dxa"/>
          </w:tcPr>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31302C" w:rsidRPr="00C64966" w:rsidRDefault="0031302C" w:rsidP="00113641">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tc>
        <w:tc>
          <w:tcPr>
            <w:tcW w:w="4428" w:type="dxa"/>
          </w:tcPr>
          <w:p w:rsidR="0031302C" w:rsidRPr="00C64966" w:rsidRDefault="0031302C" w:rsidP="00113641">
            <w:pPr>
              <w:spacing w:after="0" w:line="240" w:lineRule="auto"/>
              <w:rPr>
                <w:rFonts w:ascii="Times New Roman" w:hAnsi="Times New Roman"/>
                <w:b/>
                <w:sz w:val="24"/>
                <w:szCs w:val="24"/>
              </w:rPr>
            </w:pP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WC Docket No. 10-90</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proofErr w:type="spellStart"/>
            <w:r w:rsidRPr="00C64966">
              <w:rPr>
                <w:rFonts w:ascii="Times New Roman" w:hAnsi="Times New Roman"/>
                <w:b/>
                <w:bCs/>
                <w:sz w:val="24"/>
                <w:szCs w:val="24"/>
              </w:rPr>
              <w:t>GN</w:t>
            </w:r>
            <w:proofErr w:type="spellEnd"/>
            <w:r w:rsidRPr="00C64966">
              <w:rPr>
                <w:rFonts w:ascii="Times New Roman" w:hAnsi="Times New Roman"/>
                <w:b/>
                <w:bCs/>
                <w:sz w:val="24"/>
                <w:szCs w:val="24"/>
              </w:rPr>
              <w:t xml:space="preserve"> Docket No. 09-51</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WC Docket No. 07-135</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WC Docket No. 05-337</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CC Docket No. 01-92</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CC Docket No. 96-45</w:t>
            </w: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p>
          <w:p w:rsidR="0031302C" w:rsidRPr="00C64966" w:rsidRDefault="0031302C" w:rsidP="00113641">
            <w:pPr>
              <w:spacing w:after="0" w:line="240" w:lineRule="auto"/>
              <w:rPr>
                <w:rFonts w:ascii="Times New Roman" w:hAnsi="Times New Roman"/>
                <w:b/>
                <w:bCs/>
                <w:sz w:val="24"/>
                <w:szCs w:val="24"/>
              </w:rPr>
            </w:pPr>
            <w:r w:rsidRPr="00C64966">
              <w:rPr>
                <w:rFonts w:ascii="Times New Roman" w:hAnsi="Times New Roman"/>
                <w:b/>
                <w:bCs/>
                <w:sz w:val="24"/>
                <w:szCs w:val="24"/>
              </w:rPr>
              <w:t>WC Docket No. 03-109</w:t>
            </w:r>
          </w:p>
        </w:tc>
      </w:tr>
      <w:tr w:rsidR="0031302C" w:rsidRPr="00C64966" w:rsidTr="00113641">
        <w:tc>
          <w:tcPr>
            <w:tcW w:w="4788" w:type="dxa"/>
          </w:tcPr>
          <w:p w:rsidR="0031302C" w:rsidRPr="00C64966" w:rsidRDefault="0031302C" w:rsidP="00113641">
            <w:pPr>
              <w:spacing w:after="0" w:line="240" w:lineRule="auto"/>
              <w:rPr>
                <w:rFonts w:ascii="Times New Roman" w:hAnsi="Times New Roman"/>
                <w:b/>
                <w:sz w:val="24"/>
                <w:szCs w:val="24"/>
              </w:rPr>
            </w:pPr>
          </w:p>
        </w:tc>
        <w:tc>
          <w:tcPr>
            <w:tcW w:w="360" w:type="dxa"/>
          </w:tcPr>
          <w:p w:rsidR="0031302C" w:rsidRPr="00C64966" w:rsidRDefault="0031302C" w:rsidP="00113641">
            <w:pPr>
              <w:spacing w:after="0" w:line="240" w:lineRule="auto"/>
              <w:jc w:val="center"/>
              <w:rPr>
                <w:rFonts w:ascii="Times New Roman" w:hAnsi="Times New Roman"/>
                <w:b/>
                <w:bCs/>
                <w:sz w:val="24"/>
                <w:szCs w:val="24"/>
              </w:rPr>
            </w:pPr>
          </w:p>
        </w:tc>
        <w:tc>
          <w:tcPr>
            <w:tcW w:w="4428" w:type="dxa"/>
          </w:tcPr>
          <w:p w:rsidR="0031302C" w:rsidRPr="00C64966" w:rsidRDefault="0031302C" w:rsidP="00113641">
            <w:pPr>
              <w:spacing w:after="0" w:line="240" w:lineRule="auto"/>
              <w:rPr>
                <w:rFonts w:ascii="Times New Roman" w:hAnsi="Times New Roman"/>
                <w:b/>
                <w:sz w:val="24"/>
                <w:szCs w:val="24"/>
              </w:rPr>
            </w:pPr>
          </w:p>
        </w:tc>
      </w:tr>
    </w:tbl>
    <w:p w:rsidR="0031302C" w:rsidRPr="00C64966" w:rsidRDefault="0031302C" w:rsidP="0031302C">
      <w:pPr>
        <w:spacing w:after="0" w:line="240" w:lineRule="auto"/>
        <w:jc w:val="center"/>
        <w:rPr>
          <w:rFonts w:ascii="Times New Roman" w:hAnsi="Times New Roman"/>
          <w:b/>
          <w:bCs/>
          <w:sz w:val="24"/>
          <w:szCs w:val="24"/>
        </w:rPr>
      </w:pPr>
    </w:p>
    <w:p w:rsidR="0031302C" w:rsidRPr="00C64966" w:rsidRDefault="0031302C" w:rsidP="0031302C">
      <w:pPr>
        <w:spacing w:line="240" w:lineRule="auto"/>
        <w:rPr>
          <w:rFonts w:ascii="Times New Roman" w:hAnsi="Times New Roman"/>
          <w:b/>
          <w:sz w:val="24"/>
          <w:szCs w:val="24"/>
        </w:rPr>
      </w:pPr>
    </w:p>
    <w:p w:rsidR="0031302C" w:rsidRDefault="0031302C" w:rsidP="0031302C">
      <w:pPr>
        <w:pBdr>
          <w:top w:val="single" w:sz="12" w:space="1" w:color="auto"/>
          <w:bottom w:val="single" w:sz="12" w:space="1" w:color="auto"/>
        </w:pBdr>
        <w:spacing w:after="240" w:line="240" w:lineRule="auto"/>
        <w:jc w:val="center"/>
        <w:rPr>
          <w:rFonts w:ascii="Times New Roman" w:hAnsi="Times New Roman"/>
          <w:b/>
          <w:sz w:val="28"/>
          <w:szCs w:val="28"/>
        </w:rPr>
      </w:pPr>
    </w:p>
    <w:p w:rsidR="0031302C" w:rsidRDefault="0031302C" w:rsidP="0031302C">
      <w:pPr>
        <w:pBdr>
          <w:top w:val="single" w:sz="12" w:space="1" w:color="auto"/>
          <w:bottom w:val="single" w:sz="12" w:space="1" w:color="auto"/>
        </w:pBdr>
        <w:spacing w:after="240" w:line="240" w:lineRule="auto"/>
        <w:jc w:val="center"/>
        <w:rPr>
          <w:rFonts w:ascii="Times New Roman" w:hAnsi="Times New Roman"/>
          <w:b/>
          <w:sz w:val="24"/>
          <w:szCs w:val="24"/>
        </w:rPr>
      </w:pPr>
      <w:r w:rsidRPr="0031302C">
        <w:rPr>
          <w:rFonts w:ascii="Times New Roman" w:hAnsi="Times New Roman"/>
          <w:b/>
          <w:sz w:val="28"/>
          <w:szCs w:val="28"/>
        </w:rPr>
        <w:t>COMMENTS</w:t>
      </w:r>
      <w:r w:rsidRPr="00C64966">
        <w:rPr>
          <w:rFonts w:ascii="Times New Roman" w:hAnsi="Times New Roman"/>
          <w:b/>
          <w:sz w:val="24"/>
          <w:szCs w:val="24"/>
        </w:rPr>
        <w:br/>
        <w:t>SUBMITTED ON BEHALF OF</w:t>
      </w:r>
      <w:r w:rsidRPr="00C64966">
        <w:rPr>
          <w:rFonts w:ascii="Times New Roman" w:hAnsi="Times New Roman"/>
          <w:b/>
          <w:sz w:val="24"/>
          <w:szCs w:val="24"/>
        </w:rPr>
        <w:br/>
        <w:t>THE PUBLIC UTILITIES COMMISSION OF OHIO</w:t>
      </w:r>
    </w:p>
    <w:p w:rsidR="0031302C" w:rsidRDefault="0031302C" w:rsidP="0031302C">
      <w:pPr>
        <w:pBdr>
          <w:top w:val="single" w:sz="12" w:space="1" w:color="auto"/>
          <w:bottom w:val="single" w:sz="12" w:space="1" w:color="auto"/>
        </w:pBdr>
        <w:spacing w:after="24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Default="0031302C" w:rsidP="007A047B">
      <w:pPr>
        <w:spacing w:after="0" w:line="240" w:lineRule="auto"/>
        <w:jc w:val="center"/>
        <w:rPr>
          <w:rFonts w:ascii="Times New Roman" w:hAnsi="Times New Roman"/>
          <w:b/>
          <w:bCs/>
          <w:sz w:val="24"/>
          <w:szCs w:val="24"/>
        </w:rPr>
      </w:pPr>
    </w:p>
    <w:p w:rsidR="0031302C" w:rsidRPr="0031302C" w:rsidRDefault="0031302C" w:rsidP="007A047B">
      <w:pPr>
        <w:spacing w:after="0" w:line="240" w:lineRule="auto"/>
        <w:jc w:val="center"/>
        <w:rPr>
          <w:rFonts w:ascii="Times New Roman" w:hAnsi="Times New Roman"/>
          <w:bCs/>
          <w:sz w:val="24"/>
          <w:szCs w:val="24"/>
        </w:rPr>
      </w:pPr>
      <w:r w:rsidRPr="0031302C">
        <w:rPr>
          <w:rFonts w:ascii="Times New Roman" w:hAnsi="Times New Roman"/>
          <w:bCs/>
          <w:sz w:val="24"/>
          <w:szCs w:val="24"/>
        </w:rPr>
        <w:t>April 18, 2011</w:t>
      </w:r>
    </w:p>
    <w:p w:rsidR="0031302C" w:rsidRDefault="0031302C" w:rsidP="007A047B">
      <w:pPr>
        <w:spacing w:after="0" w:line="240" w:lineRule="auto"/>
        <w:jc w:val="center"/>
        <w:rPr>
          <w:rFonts w:ascii="Times New Roman" w:hAnsi="Times New Roman"/>
          <w:b/>
          <w:bCs/>
          <w:sz w:val="24"/>
          <w:szCs w:val="24"/>
        </w:rPr>
        <w:sectPr w:rsidR="0031302C" w:rsidSect="0031302C">
          <w:headerReference w:type="default" r:id="rId9"/>
          <w:footerReference w:type="default" r:id="rId10"/>
          <w:pgSz w:w="12240" w:h="15840"/>
          <w:pgMar w:top="1440" w:right="1440" w:bottom="1440" w:left="1440" w:header="720" w:footer="720" w:gutter="0"/>
          <w:cols w:space="720"/>
          <w:titlePg/>
          <w:docGrid w:linePitch="360"/>
        </w:sectPr>
      </w:pPr>
    </w:p>
    <w:p w:rsidR="005D1DA3" w:rsidRPr="005D1DA3" w:rsidRDefault="005D1DA3">
      <w:pPr>
        <w:pStyle w:val="TOC1"/>
        <w:rPr>
          <w:bCs/>
          <w:sz w:val="24"/>
          <w:szCs w:val="24"/>
        </w:rPr>
      </w:pPr>
      <w:r>
        <w:rPr>
          <w:bCs/>
          <w:sz w:val="24"/>
          <w:szCs w:val="24"/>
        </w:rPr>
        <w:lastRenderedPageBreak/>
        <w:t>TABLE OF ACRONYMS</w:t>
      </w:r>
      <w:r>
        <w:rPr>
          <w:bCs/>
          <w:sz w:val="24"/>
          <w:szCs w:val="24"/>
        </w:rPr>
        <w:tab/>
        <w:t>iv</w:t>
      </w:r>
    </w:p>
    <w:p w:rsidR="00763772" w:rsidRDefault="00841D47">
      <w:pPr>
        <w:pStyle w:val="TOC1"/>
        <w:rPr>
          <w:rFonts w:asciiTheme="minorHAnsi" w:eastAsiaTheme="minorEastAsia" w:hAnsiTheme="minorHAnsi" w:cstheme="minorBidi"/>
          <w:noProof/>
          <w:sz w:val="22"/>
        </w:rPr>
      </w:pPr>
      <w:r w:rsidRPr="005821DB">
        <w:rPr>
          <w:b/>
          <w:bCs/>
          <w:sz w:val="24"/>
          <w:szCs w:val="24"/>
        </w:rPr>
        <w:fldChar w:fldCharType="begin"/>
      </w:r>
      <w:r w:rsidR="00FC0358" w:rsidRPr="005821DB">
        <w:rPr>
          <w:b/>
          <w:bCs/>
          <w:sz w:val="24"/>
          <w:szCs w:val="24"/>
        </w:rPr>
        <w:instrText xml:space="preserve"> TOC \o "1-5" \u </w:instrText>
      </w:r>
      <w:r w:rsidRPr="005821DB">
        <w:rPr>
          <w:b/>
          <w:bCs/>
          <w:sz w:val="24"/>
          <w:szCs w:val="24"/>
        </w:rPr>
        <w:fldChar w:fldCharType="separate"/>
      </w:r>
      <w:r w:rsidR="00763772">
        <w:rPr>
          <w:noProof/>
        </w:rPr>
        <w:t>INTRODUCTION AND SUMMARY</w:t>
      </w:r>
      <w:r w:rsidR="00763772">
        <w:rPr>
          <w:noProof/>
        </w:rPr>
        <w:tab/>
      </w:r>
      <w:r w:rsidR="00763772">
        <w:rPr>
          <w:noProof/>
        </w:rPr>
        <w:fldChar w:fldCharType="begin"/>
      </w:r>
      <w:r w:rsidR="00763772">
        <w:rPr>
          <w:noProof/>
        </w:rPr>
        <w:instrText xml:space="preserve"> PAGEREF _Toc290892247 \h </w:instrText>
      </w:r>
      <w:r w:rsidR="00763772">
        <w:rPr>
          <w:noProof/>
        </w:rPr>
      </w:r>
      <w:r w:rsidR="00763772">
        <w:rPr>
          <w:noProof/>
        </w:rPr>
        <w:fldChar w:fldCharType="separate"/>
      </w:r>
      <w:r w:rsidR="00F7169C">
        <w:rPr>
          <w:noProof/>
        </w:rPr>
        <w:t>1</w:t>
      </w:r>
      <w:r w:rsidR="00763772">
        <w:rPr>
          <w:noProof/>
        </w:rPr>
        <w:fldChar w:fldCharType="end"/>
      </w:r>
    </w:p>
    <w:p w:rsidR="00763772" w:rsidRDefault="00763772">
      <w:pPr>
        <w:pStyle w:val="TOC1"/>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_Toc290892248 \h </w:instrText>
      </w:r>
      <w:r>
        <w:rPr>
          <w:noProof/>
        </w:rPr>
      </w:r>
      <w:r>
        <w:rPr>
          <w:noProof/>
        </w:rPr>
        <w:fldChar w:fldCharType="separate"/>
      </w:r>
      <w:r w:rsidR="00F7169C">
        <w:rPr>
          <w:noProof/>
        </w:rPr>
        <w:t>2</w:t>
      </w:r>
      <w:r>
        <w:rPr>
          <w:noProof/>
        </w:rPr>
        <w:fldChar w:fldCharType="end"/>
      </w:r>
    </w:p>
    <w:p w:rsidR="00763772" w:rsidRDefault="00763772">
      <w:pPr>
        <w:pStyle w:val="TOC2"/>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LEGAL AUTHORITY TO SUPPORT BROADBAND</w:t>
      </w:r>
      <w:r>
        <w:rPr>
          <w:noProof/>
        </w:rPr>
        <w:tab/>
      </w:r>
      <w:r>
        <w:rPr>
          <w:noProof/>
        </w:rPr>
        <w:fldChar w:fldCharType="begin"/>
      </w:r>
      <w:r>
        <w:rPr>
          <w:noProof/>
        </w:rPr>
        <w:instrText xml:space="preserve"> PAGEREF _Toc290892249 \h </w:instrText>
      </w:r>
      <w:r>
        <w:rPr>
          <w:noProof/>
        </w:rPr>
      </w:r>
      <w:r>
        <w:rPr>
          <w:noProof/>
        </w:rPr>
        <w:fldChar w:fldCharType="separate"/>
      </w:r>
      <w:r w:rsidR="00F7169C">
        <w:rPr>
          <w:noProof/>
        </w:rPr>
        <w:t>2</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Additional Section 254(b) Principle</w:t>
      </w:r>
      <w:r>
        <w:rPr>
          <w:noProof/>
        </w:rPr>
        <w:tab/>
      </w:r>
      <w:r>
        <w:rPr>
          <w:noProof/>
        </w:rPr>
        <w:fldChar w:fldCharType="begin"/>
      </w:r>
      <w:r>
        <w:rPr>
          <w:noProof/>
        </w:rPr>
        <w:instrText xml:space="preserve"> PAGEREF _Toc290892250 \h </w:instrText>
      </w:r>
      <w:r>
        <w:rPr>
          <w:noProof/>
        </w:rPr>
      </w:r>
      <w:r>
        <w:rPr>
          <w:noProof/>
        </w:rPr>
        <w:fldChar w:fldCharType="separate"/>
      </w:r>
      <w:r w:rsidR="00F7169C">
        <w:rPr>
          <w:noProof/>
        </w:rPr>
        <w:t>2</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Commission Authority to Support Broadband</w:t>
      </w:r>
      <w:r>
        <w:rPr>
          <w:noProof/>
        </w:rPr>
        <w:tab/>
      </w:r>
      <w:r>
        <w:rPr>
          <w:noProof/>
        </w:rPr>
        <w:fldChar w:fldCharType="begin"/>
      </w:r>
      <w:r>
        <w:rPr>
          <w:noProof/>
        </w:rPr>
        <w:instrText xml:space="preserve"> PAGEREF _Toc290892251 \h </w:instrText>
      </w:r>
      <w:r>
        <w:rPr>
          <w:noProof/>
        </w:rPr>
      </w:r>
      <w:r>
        <w:rPr>
          <w:noProof/>
        </w:rPr>
        <w:fldChar w:fldCharType="separate"/>
      </w:r>
      <w:r w:rsidR="00F7169C">
        <w:rPr>
          <w:noProof/>
        </w:rPr>
        <w:t>4</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Section 254</w:t>
      </w:r>
      <w:r>
        <w:rPr>
          <w:noProof/>
        </w:rPr>
        <w:tab/>
      </w:r>
      <w:r>
        <w:rPr>
          <w:noProof/>
        </w:rPr>
        <w:fldChar w:fldCharType="begin"/>
      </w:r>
      <w:r>
        <w:rPr>
          <w:noProof/>
        </w:rPr>
        <w:instrText xml:space="preserve"> PAGEREF _Toc290892252 \h </w:instrText>
      </w:r>
      <w:r>
        <w:rPr>
          <w:noProof/>
        </w:rPr>
      </w:r>
      <w:r>
        <w:rPr>
          <w:noProof/>
        </w:rPr>
        <w:fldChar w:fldCharType="separate"/>
      </w:r>
      <w:r w:rsidR="00F7169C">
        <w:rPr>
          <w:noProof/>
        </w:rPr>
        <w:t>4</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Section 706</w:t>
      </w:r>
      <w:r>
        <w:rPr>
          <w:noProof/>
        </w:rPr>
        <w:tab/>
      </w:r>
      <w:r>
        <w:rPr>
          <w:noProof/>
        </w:rPr>
        <w:fldChar w:fldCharType="begin"/>
      </w:r>
      <w:r>
        <w:rPr>
          <w:noProof/>
        </w:rPr>
        <w:instrText xml:space="preserve"> PAGEREF _Toc290892253 \h </w:instrText>
      </w:r>
      <w:r>
        <w:rPr>
          <w:noProof/>
        </w:rPr>
      </w:r>
      <w:r>
        <w:rPr>
          <w:noProof/>
        </w:rPr>
        <w:fldChar w:fldCharType="separate"/>
      </w:r>
      <w:r w:rsidR="00F7169C">
        <w:rPr>
          <w:noProof/>
        </w:rPr>
        <w:t>7</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Conditional Support</w:t>
      </w:r>
      <w:r>
        <w:rPr>
          <w:noProof/>
        </w:rPr>
        <w:tab/>
      </w:r>
      <w:r>
        <w:rPr>
          <w:noProof/>
        </w:rPr>
        <w:fldChar w:fldCharType="begin"/>
      </w:r>
      <w:r>
        <w:rPr>
          <w:noProof/>
        </w:rPr>
        <w:instrText xml:space="preserve"> PAGEREF _Toc290892254 \h </w:instrText>
      </w:r>
      <w:r>
        <w:rPr>
          <w:noProof/>
        </w:rPr>
      </w:r>
      <w:r>
        <w:rPr>
          <w:noProof/>
        </w:rPr>
        <w:fldChar w:fldCharType="separate"/>
      </w:r>
      <w:r w:rsidR="00F7169C">
        <w:rPr>
          <w:noProof/>
        </w:rPr>
        <w:t>8</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Classifying Interconnected VoIP</w:t>
      </w:r>
      <w:r>
        <w:rPr>
          <w:noProof/>
        </w:rPr>
        <w:tab/>
      </w:r>
      <w:r>
        <w:rPr>
          <w:noProof/>
        </w:rPr>
        <w:fldChar w:fldCharType="begin"/>
      </w:r>
      <w:r>
        <w:rPr>
          <w:noProof/>
        </w:rPr>
        <w:instrText xml:space="preserve"> PAGEREF _Toc290892255 \h </w:instrText>
      </w:r>
      <w:r>
        <w:rPr>
          <w:noProof/>
        </w:rPr>
      </w:r>
      <w:r>
        <w:rPr>
          <w:noProof/>
        </w:rPr>
        <w:fldChar w:fldCharType="separate"/>
      </w:r>
      <w:r w:rsidR="00F7169C">
        <w:rPr>
          <w:noProof/>
        </w:rPr>
        <w:t>9</w:t>
      </w:r>
      <w:r>
        <w:rPr>
          <w:noProof/>
        </w:rPr>
        <w:fldChar w:fldCharType="end"/>
      </w:r>
    </w:p>
    <w:p w:rsidR="00763772" w:rsidRDefault="00763772">
      <w:pPr>
        <w:pStyle w:val="TOC2"/>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NEAR-TERM REFORMS</w:t>
      </w:r>
      <w:r>
        <w:rPr>
          <w:noProof/>
        </w:rPr>
        <w:tab/>
      </w:r>
      <w:r>
        <w:rPr>
          <w:noProof/>
        </w:rPr>
        <w:fldChar w:fldCharType="begin"/>
      </w:r>
      <w:r>
        <w:rPr>
          <w:noProof/>
        </w:rPr>
        <w:instrText xml:space="preserve"> PAGEREF _Toc290892256 \h </w:instrText>
      </w:r>
      <w:r>
        <w:rPr>
          <w:noProof/>
        </w:rPr>
      </w:r>
      <w:r>
        <w:rPr>
          <w:noProof/>
        </w:rPr>
        <w:fldChar w:fldCharType="separate"/>
      </w:r>
      <w:r w:rsidR="00F7169C">
        <w:rPr>
          <w:noProof/>
        </w:rPr>
        <w:t>10</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Rationalizing Loop Support, Local Switching Support, and Interstate Common Line Support</w:t>
      </w:r>
      <w:r>
        <w:rPr>
          <w:noProof/>
        </w:rPr>
        <w:tab/>
      </w:r>
      <w:r>
        <w:rPr>
          <w:noProof/>
        </w:rPr>
        <w:fldChar w:fldCharType="begin"/>
      </w:r>
      <w:r>
        <w:rPr>
          <w:noProof/>
        </w:rPr>
        <w:instrText xml:space="preserve"> PAGEREF _Toc290892257 \h </w:instrText>
      </w:r>
      <w:r>
        <w:rPr>
          <w:noProof/>
        </w:rPr>
      </w:r>
      <w:r>
        <w:rPr>
          <w:noProof/>
        </w:rPr>
        <w:fldChar w:fldCharType="separate"/>
      </w:r>
      <w:r w:rsidR="00F7169C">
        <w:rPr>
          <w:noProof/>
        </w:rPr>
        <w:t>11</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Modification of High-Cost Loop Support</w:t>
      </w:r>
      <w:r>
        <w:rPr>
          <w:noProof/>
        </w:rPr>
        <w:tab/>
      </w:r>
      <w:r>
        <w:rPr>
          <w:noProof/>
        </w:rPr>
        <w:fldChar w:fldCharType="begin"/>
      </w:r>
      <w:r>
        <w:rPr>
          <w:noProof/>
        </w:rPr>
        <w:instrText xml:space="preserve"> PAGEREF _Toc290892258 \h </w:instrText>
      </w:r>
      <w:r>
        <w:rPr>
          <w:noProof/>
        </w:rPr>
      </w:r>
      <w:r>
        <w:rPr>
          <w:noProof/>
        </w:rPr>
        <w:fldChar w:fldCharType="separate"/>
      </w:r>
      <w:r w:rsidR="00F7169C">
        <w:rPr>
          <w:noProof/>
        </w:rPr>
        <w:t>12</w:t>
      </w:r>
      <w:r>
        <w:rPr>
          <w:noProof/>
        </w:rPr>
        <w:fldChar w:fldCharType="end"/>
      </w:r>
    </w:p>
    <w:p w:rsidR="00763772" w:rsidRDefault="00763772">
      <w:pPr>
        <w:pStyle w:val="TOC3"/>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Local Switching Support</w:t>
      </w:r>
      <w:r>
        <w:rPr>
          <w:noProof/>
        </w:rPr>
        <w:tab/>
      </w:r>
      <w:r>
        <w:rPr>
          <w:noProof/>
        </w:rPr>
        <w:fldChar w:fldCharType="begin"/>
      </w:r>
      <w:r>
        <w:rPr>
          <w:noProof/>
        </w:rPr>
        <w:instrText xml:space="preserve"> PAGEREF _Toc290892259 \h </w:instrText>
      </w:r>
      <w:r>
        <w:rPr>
          <w:noProof/>
        </w:rPr>
      </w:r>
      <w:r>
        <w:rPr>
          <w:noProof/>
        </w:rPr>
        <w:fldChar w:fldCharType="separate"/>
      </w:r>
      <w:r w:rsidR="00F7169C">
        <w:rPr>
          <w:noProof/>
        </w:rPr>
        <w:t>16</w:t>
      </w:r>
      <w:r>
        <w:rPr>
          <w:noProof/>
        </w:rPr>
        <w:fldChar w:fldCharType="end"/>
      </w:r>
    </w:p>
    <w:p w:rsidR="00763772" w:rsidRDefault="00763772">
      <w:pPr>
        <w:pStyle w:val="TOC3"/>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Corporate Operations Expenses</w:t>
      </w:r>
      <w:r>
        <w:rPr>
          <w:noProof/>
        </w:rPr>
        <w:tab/>
      </w:r>
      <w:r>
        <w:rPr>
          <w:noProof/>
        </w:rPr>
        <w:fldChar w:fldCharType="begin"/>
      </w:r>
      <w:r>
        <w:rPr>
          <w:noProof/>
        </w:rPr>
        <w:instrText xml:space="preserve"> PAGEREF _Toc290892260 \h </w:instrText>
      </w:r>
      <w:r>
        <w:rPr>
          <w:noProof/>
        </w:rPr>
      </w:r>
      <w:r>
        <w:rPr>
          <w:noProof/>
        </w:rPr>
        <w:fldChar w:fldCharType="separate"/>
      </w:r>
      <w:r w:rsidR="00F7169C">
        <w:rPr>
          <w:noProof/>
        </w:rPr>
        <w:t>20</w:t>
      </w:r>
      <w:r>
        <w:rPr>
          <w:noProof/>
        </w:rPr>
        <w:fldChar w:fldCharType="end"/>
      </w:r>
    </w:p>
    <w:p w:rsidR="00763772" w:rsidRDefault="00763772">
      <w:pPr>
        <w:pStyle w:val="TOC3"/>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Limits on Total per Line High-cost Support</w:t>
      </w:r>
      <w:r>
        <w:rPr>
          <w:noProof/>
        </w:rPr>
        <w:tab/>
      </w:r>
      <w:r>
        <w:rPr>
          <w:noProof/>
        </w:rPr>
        <w:fldChar w:fldCharType="begin"/>
      </w:r>
      <w:r>
        <w:rPr>
          <w:noProof/>
        </w:rPr>
        <w:instrText xml:space="preserve"> PAGEREF _Toc290892261 \h </w:instrText>
      </w:r>
      <w:r>
        <w:rPr>
          <w:noProof/>
        </w:rPr>
      </w:r>
      <w:r>
        <w:rPr>
          <w:noProof/>
        </w:rPr>
        <w:fldChar w:fldCharType="separate"/>
      </w:r>
      <w:r w:rsidR="00F7169C">
        <w:rPr>
          <w:noProof/>
        </w:rPr>
        <w:t>21</w:t>
      </w:r>
      <w:r>
        <w:rPr>
          <w:noProof/>
        </w:rPr>
        <w:fldChar w:fldCharType="end"/>
      </w:r>
    </w:p>
    <w:p w:rsidR="00763772" w:rsidRDefault="00763772">
      <w:pPr>
        <w:pStyle w:val="TOC3"/>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Rationalizing Competitive ETC Support through Elimination of the Identical Support Rule.</w:t>
      </w:r>
      <w:r>
        <w:rPr>
          <w:noProof/>
        </w:rPr>
        <w:tab/>
      </w:r>
      <w:r>
        <w:rPr>
          <w:noProof/>
        </w:rPr>
        <w:fldChar w:fldCharType="begin"/>
      </w:r>
      <w:r>
        <w:rPr>
          <w:noProof/>
        </w:rPr>
        <w:instrText xml:space="preserve"> PAGEREF _Toc290892262 \h </w:instrText>
      </w:r>
      <w:r>
        <w:rPr>
          <w:noProof/>
        </w:rPr>
      </w:r>
      <w:r>
        <w:rPr>
          <w:noProof/>
        </w:rPr>
        <w:fldChar w:fldCharType="separate"/>
      </w:r>
      <w:r w:rsidR="00F7169C">
        <w:rPr>
          <w:noProof/>
        </w:rPr>
        <w:t>24</w:t>
      </w:r>
      <w:r>
        <w:rPr>
          <w:noProof/>
        </w:rPr>
        <w:fldChar w:fldCharType="end"/>
      </w:r>
    </w:p>
    <w:p w:rsidR="00763772" w:rsidRDefault="00763772">
      <w:pPr>
        <w:pStyle w:val="TOC3"/>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CAF Phase I</w:t>
      </w:r>
      <w:r>
        <w:rPr>
          <w:noProof/>
        </w:rPr>
        <w:tab/>
      </w:r>
      <w:r>
        <w:rPr>
          <w:noProof/>
        </w:rPr>
        <w:fldChar w:fldCharType="begin"/>
      </w:r>
      <w:r>
        <w:rPr>
          <w:noProof/>
        </w:rPr>
        <w:instrText xml:space="preserve"> PAGEREF _Toc290892263 \h </w:instrText>
      </w:r>
      <w:r>
        <w:rPr>
          <w:noProof/>
        </w:rPr>
      </w:r>
      <w:r>
        <w:rPr>
          <w:noProof/>
        </w:rPr>
        <w:fldChar w:fldCharType="separate"/>
      </w:r>
      <w:r w:rsidR="00F7169C">
        <w:rPr>
          <w:noProof/>
        </w:rPr>
        <w:t>28</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Legal Authority to Establish a Competitive Process for CAF</w:t>
      </w:r>
      <w:r>
        <w:rPr>
          <w:noProof/>
        </w:rPr>
        <w:tab/>
      </w:r>
      <w:r>
        <w:rPr>
          <w:noProof/>
        </w:rPr>
        <w:fldChar w:fldCharType="begin"/>
      </w:r>
      <w:r>
        <w:rPr>
          <w:noProof/>
        </w:rPr>
        <w:instrText xml:space="preserve"> PAGEREF _Toc290892264 \h </w:instrText>
      </w:r>
      <w:r>
        <w:rPr>
          <w:noProof/>
        </w:rPr>
      </w:r>
      <w:r>
        <w:rPr>
          <w:noProof/>
        </w:rPr>
        <w:fldChar w:fldCharType="separate"/>
      </w:r>
      <w:r w:rsidR="00F7169C">
        <w:rPr>
          <w:noProof/>
        </w:rPr>
        <w:t>28</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Overall Design of Phase I CAF</w:t>
      </w:r>
      <w:r>
        <w:rPr>
          <w:noProof/>
        </w:rPr>
        <w:tab/>
      </w:r>
      <w:r>
        <w:rPr>
          <w:noProof/>
        </w:rPr>
        <w:fldChar w:fldCharType="begin"/>
      </w:r>
      <w:r>
        <w:rPr>
          <w:noProof/>
        </w:rPr>
        <w:instrText xml:space="preserve"> PAGEREF _Toc290892265 \h </w:instrText>
      </w:r>
      <w:r>
        <w:rPr>
          <w:noProof/>
        </w:rPr>
      </w:r>
      <w:r>
        <w:rPr>
          <w:noProof/>
        </w:rPr>
        <w:fldChar w:fldCharType="separate"/>
      </w:r>
      <w:r w:rsidR="00F7169C">
        <w:rPr>
          <w:noProof/>
        </w:rPr>
        <w:t>29</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One CAF Provider per Unserved Area</w:t>
      </w:r>
      <w:r>
        <w:rPr>
          <w:noProof/>
        </w:rPr>
        <w:tab/>
      </w:r>
      <w:r>
        <w:rPr>
          <w:noProof/>
        </w:rPr>
        <w:fldChar w:fldCharType="begin"/>
      </w:r>
      <w:r>
        <w:rPr>
          <w:noProof/>
        </w:rPr>
        <w:instrText xml:space="preserve"> PAGEREF _Toc290892266 \h </w:instrText>
      </w:r>
      <w:r>
        <w:rPr>
          <w:noProof/>
        </w:rPr>
      </w:r>
      <w:r>
        <w:rPr>
          <w:noProof/>
        </w:rPr>
        <w:fldChar w:fldCharType="separate"/>
      </w:r>
      <w:r w:rsidR="00F7169C">
        <w:rPr>
          <w:noProof/>
        </w:rPr>
        <w:t>31</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lastRenderedPageBreak/>
        <w:t>iv.</w:t>
      </w:r>
      <w:r>
        <w:rPr>
          <w:rFonts w:asciiTheme="minorHAnsi" w:eastAsiaTheme="minorEastAsia" w:hAnsiTheme="minorHAnsi" w:cstheme="minorBidi"/>
          <w:noProof/>
          <w:sz w:val="22"/>
        </w:rPr>
        <w:tab/>
      </w:r>
      <w:r>
        <w:rPr>
          <w:noProof/>
        </w:rPr>
        <w:t>Identifying Unserved Areas Eligible for Support – Offering Support by Census Block</w:t>
      </w:r>
      <w:r>
        <w:rPr>
          <w:noProof/>
        </w:rPr>
        <w:tab/>
      </w:r>
      <w:r>
        <w:rPr>
          <w:noProof/>
        </w:rPr>
        <w:fldChar w:fldCharType="begin"/>
      </w:r>
      <w:r>
        <w:rPr>
          <w:noProof/>
        </w:rPr>
        <w:instrText xml:space="preserve"> PAGEREF _Toc290892267 \h </w:instrText>
      </w:r>
      <w:r>
        <w:rPr>
          <w:noProof/>
        </w:rPr>
      </w:r>
      <w:r>
        <w:rPr>
          <w:noProof/>
        </w:rPr>
        <w:fldChar w:fldCharType="separate"/>
      </w:r>
      <w:r w:rsidR="00F7169C">
        <w:rPr>
          <w:noProof/>
        </w:rPr>
        <w:t>32</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Public Interest Obligations for Phase I CAF</w:t>
      </w:r>
      <w:r>
        <w:rPr>
          <w:noProof/>
        </w:rPr>
        <w:tab/>
      </w:r>
      <w:r>
        <w:rPr>
          <w:noProof/>
        </w:rPr>
        <w:fldChar w:fldCharType="begin"/>
      </w:r>
      <w:r>
        <w:rPr>
          <w:noProof/>
        </w:rPr>
        <w:instrText xml:space="preserve"> PAGEREF _Toc290892268 \h </w:instrText>
      </w:r>
      <w:r>
        <w:rPr>
          <w:noProof/>
        </w:rPr>
      </w:r>
      <w:r>
        <w:rPr>
          <w:noProof/>
        </w:rPr>
        <w:fldChar w:fldCharType="separate"/>
      </w:r>
      <w:r w:rsidR="00F7169C">
        <w:rPr>
          <w:noProof/>
        </w:rPr>
        <w:t>33</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vi.</w:t>
      </w:r>
      <w:r>
        <w:rPr>
          <w:rFonts w:asciiTheme="minorHAnsi" w:eastAsiaTheme="minorEastAsia" w:hAnsiTheme="minorHAnsi" w:cstheme="minorBidi"/>
          <w:noProof/>
          <w:sz w:val="22"/>
        </w:rPr>
        <w:tab/>
      </w:r>
      <w:r>
        <w:rPr>
          <w:noProof/>
        </w:rPr>
        <w:t>Support Eligibility Requirements – ETC Designation and Service Area</w:t>
      </w:r>
      <w:r>
        <w:rPr>
          <w:noProof/>
        </w:rPr>
        <w:tab/>
      </w:r>
      <w:r>
        <w:rPr>
          <w:noProof/>
        </w:rPr>
        <w:fldChar w:fldCharType="begin"/>
      </w:r>
      <w:r>
        <w:rPr>
          <w:noProof/>
        </w:rPr>
        <w:instrText xml:space="preserve"> PAGEREF _Toc290892269 \h </w:instrText>
      </w:r>
      <w:r>
        <w:rPr>
          <w:noProof/>
        </w:rPr>
      </w:r>
      <w:r>
        <w:rPr>
          <w:noProof/>
        </w:rPr>
        <w:fldChar w:fldCharType="separate"/>
      </w:r>
      <w:r w:rsidR="00F7169C">
        <w:rPr>
          <w:noProof/>
        </w:rPr>
        <w:t>35</w:t>
      </w:r>
      <w:r>
        <w:rPr>
          <w:noProof/>
        </w:rPr>
        <w:fldChar w:fldCharType="end"/>
      </w:r>
    </w:p>
    <w:p w:rsidR="00763772" w:rsidRDefault="00763772">
      <w:pPr>
        <w:pStyle w:val="TOC3"/>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Competitive Award Process</w:t>
      </w:r>
      <w:r>
        <w:rPr>
          <w:noProof/>
        </w:rPr>
        <w:tab/>
      </w:r>
      <w:r>
        <w:rPr>
          <w:noProof/>
        </w:rPr>
        <w:fldChar w:fldCharType="begin"/>
      </w:r>
      <w:r>
        <w:rPr>
          <w:noProof/>
        </w:rPr>
        <w:instrText xml:space="preserve"> PAGEREF _Toc290892270 \h </w:instrText>
      </w:r>
      <w:r>
        <w:rPr>
          <w:noProof/>
        </w:rPr>
      </w:r>
      <w:r>
        <w:rPr>
          <w:noProof/>
        </w:rPr>
        <w:fldChar w:fldCharType="separate"/>
      </w:r>
      <w:r w:rsidR="00F7169C">
        <w:rPr>
          <w:noProof/>
        </w:rPr>
        <w:t>36</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 xml:space="preserve"> Auction Process</w:t>
      </w:r>
      <w:r>
        <w:rPr>
          <w:noProof/>
        </w:rPr>
        <w:tab/>
      </w:r>
      <w:r>
        <w:rPr>
          <w:noProof/>
        </w:rPr>
        <w:fldChar w:fldCharType="begin"/>
      </w:r>
      <w:r>
        <w:rPr>
          <w:noProof/>
        </w:rPr>
        <w:instrText xml:space="preserve"> PAGEREF _Toc290892271 \h </w:instrText>
      </w:r>
      <w:r>
        <w:rPr>
          <w:noProof/>
        </w:rPr>
      </w:r>
      <w:r>
        <w:rPr>
          <w:noProof/>
        </w:rPr>
        <w:fldChar w:fldCharType="separate"/>
      </w:r>
      <w:r w:rsidR="00F7169C">
        <w:rPr>
          <w:noProof/>
        </w:rPr>
        <w:t>36</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Basic Auction Design</w:t>
      </w:r>
      <w:r>
        <w:rPr>
          <w:noProof/>
        </w:rPr>
        <w:tab/>
      </w:r>
      <w:r>
        <w:rPr>
          <w:noProof/>
        </w:rPr>
        <w:fldChar w:fldCharType="begin"/>
      </w:r>
      <w:r>
        <w:rPr>
          <w:noProof/>
        </w:rPr>
        <w:instrText xml:space="preserve"> PAGEREF _Toc290892272 \h </w:instrText>
      </w:r>
      <w:r>
        <w:rPr>
          <w:noProof/>
        </w:rPr>
      </w:r>
      <w:r>
        <w:rPr>
          <w:noProof/>
        </w:rPr>
        <w:fldChar w:fldCharType="separate"/>
      </w:r>
      <w:r w:rsidR="00F7169C">
        <w:rPr>
          <w:noProof/>
        </w:rPr>
        <w:t>37</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Bidding Process</w:t>
      </w:r>
      <w:r>
        <w:rPr>
          <w:noProof/>
        </w:rPr>
        <w:tab/>
      </w:r>
      <w:r>
        <w:rPr>
          <w:noProof/>
        </w:rPr>
        <w:fldChar w:fldCharType="begin"/>
      </w:r>
      <w:r>
        <w:rPr>
          <w:noProof/>
        </w:rPr>
        <w:instrText xml:space="preserve"> PAGEREF _Toc290892273 \h </w:instrText>
      </w:r>
      <w:r>
        <w:rPr>
          <w:noProof/>
        </w:rPr>
      </w:r>
      <w:r>
        <w:rPr>
          <w:noProof/>
        </w:rPr>
        <w:fldChar w:fldCharType="separate"/>
      </w:r>
      <w:r w:rsidR="00F7169C">
        <w:rPr>
          <w:noProof/>
        </w:rPr>
        <w:t>38</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Reserve Prices</w:t>
      </w:r>
      <w:r>
        <w:rPr>
          <w:noProof/>
        </w:rPr>
        <w:tab/>
      </w:r>
      <w:r>
        <w:rPr>
          <w:noProof/>
        </w:rPr>
        <w:fldChar w:fldCharType="begin"/>
      </w:r>
      <w:r>
        <w:rPr>
          <w:noProof/>
        </w:rPr>
        <w:instrText xml:space="preserve"> PAGEREF _Toc290892274 \h </w:instrText>
      </w:r>
      <w:r>
        <w:rPr>
          <w:noProof/>
        </w:rPr>
      </w:r>
      <w:r>
        <w:rPr>
          <w:noProof/>
        </w:rPr>
        <w:fldChar w:fldCharType="separate"/>
      </w:r>
      <w:r w:rsidR="00F7169C">
        <w:rPr>
          <w:noProof/>
        </w:rPr>
        <w:t>39</w:t>
      </w:r>
      <w:r>
        <w:rPr>
          <w:noProof/>
        </w:rPr>
        <w:fldChar w:fldCharType="end"/>
      </w:r>
    </w:p>
    <w:p w:rsidR="00763772" w:rsidRDefault="00763772">
      <w:pPr>
        <w:pStyle w:val="TOC2"/>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LONG-TERM VISION FOR THE CONNECT AMERICA FUND</w:t>
      </w:r>
      <w:r>
        <w:rPr>
          <w:noProof/>
        </w:rPr>
        <w:tab/>
      </w:r>
      <w:r>
        <w:rPr>
          <w:noProof/>
        </w:rPr>
        <w:fldChar w:fldCharType="begin"/>
      </w:r>
      <w:r>
        <w:rPr>
          <w:noProof/>
        </w:rPr>
        <w:instrText xml:space="preserve"> PAGEREF _Toc290892275 \h </w:instrText>
      </w:r>
      <w:r>
        <w:rPr>
          <w:noProof/>
        </w:rPr>
      </w:r>
      <w:r>
        <w:rPr>
          <w:noProof/>
        </w:rPr>
        <w:fldChar w:fldCharType="separate"/>
      </w:r>
      <w:r w:rsidR="00F7169C">
        <w:rPr>
          <w:noProof/>
        </w:rPr>
        <w:t>41</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Supported Providers</w:t>
      </w:r>
      <w:r>
        <w:rPr>
          <w:noProof/>
        </w:rPr>
        <w:tab/>
      </w:r>
      <w:r>
        <w:rPr>
          <w:noProof/>
        </w:rPr>
        <w:fldChar w:fldCharType="begin"/>
      </w:r>
      <w:r>
        <w:rPr>
          <w:noProof/>
        </w:rPr>
        <w:instrText xml:space="preserve"> PAGEREF _Toc290892276 \h </w:instrText>
      </w:r>
      <w:r>
        <w:rPr>
          <w:noProof/>
        </w:rPr>
      </w:r>
      <w:r>
        <w:rPr>
          <w:noProof/>
        </w:rPr>
        <w:fldChar w:fldCharType="separate"/>
      </w:r>
      <w:r w:rsidR="00F7169C">
        <w:rPr>
          <w:noProof/>
        </w:rPr>
        <w:t>41</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Alternative Approaches for Targeting and Distribution of CAF Funds</w:t>
      </w:r>
      <w:r>
        <w:rPr>
          <w:noProof/>
        </w:rPr>
        <w:tab/>
      </w:r>
      <w:r>
        <w:rPr>
          <w:noProof/>
        </w:rPr>
        <w:fldChar w:fldCharType="begin"/>
      </w:r>
      <w:r>
        <w:rPr>
          <w:noProof/>
        </w:rPr>
        <w:instrText xml:space="preserve"> PAGEREF _Toc290892277 \h </w:instrText>
      </w:r>
      <w:r>
        <w:rPr>
          <w:noProof/>
        </w:rPr>
      </w:r>
      <w:r>
        <w:rPr>
          <w:noProof/>
        </w:rPr>
        <w:fldChar w:fldCharType="separate"/>
      </w:r>
      <w:r w:rsidR="00F7169C">
        <w:rPr>
          <w:noProof/>
        </w:rPr>
        <w:t>43</w:t>
      </w:r>
      <w:r>
        <w:rPr>
          <w:noProof/>
        </w:rPr>
        <w:fldChar w:fldCharType="end"/>
      </w:r>
    </w:p>
    <w:p w:rsidR="00763772" w:rsidRDefault="00763772">
      <w:pPr>
        <w:pStyle w:val="TOC2"/>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CONCEPTS TO GUIDE INTERCARRIER COMPENSATION REFORM</w:t>
      </w:r>
      <w:r>
        <w:rPr>
          <w:noProof/>
        </w:rPr>
        <w:tab/>
      </w:r>
      <w:r>
        <w:rPr>
          <w:noProof/>
        </w:rPr>
        <w:fldChar w:fldCharType="begin"/>
      </w:r>
      <w:r>
        <w:rPr>
          <w:noProof/>
        </w:rPr>
        <w:instrText xml:space="preserve"> PAGEREF _Toc290892278 \h </w:instrText>
      </w:r>
      <w:r>
        <w:rPr>
          <w:noProof/>
        </w:rPr>
      </w:r>
      <w:r>
        <w:rPr>
          <w:noProof/>
        </w:rPr>
        <w:fldChar w:fldCharType="separate"/>
      </w:r>
      <w:r w:rsidR="00F7169C">
        <w:rPr>
          <w:noProof/>
        </w:rPr>
        <w:t>45</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Criteria to Guide Sustainable Reform</w:t>
      </w:r>
      <w:r>
        <w:rPr>
          <w:noProof/>
        </w:rPr>
        <w:tab/>
      </w:r>
      <w:r>
        <w:rPr>
          <w:noProof/>
        </w:rPr>
        <w:fldChar w:fldCharType="begin"/>
      </w:r>
      <w:r>
        <w:rPr>
          <w:noProof/>
        </w:rPr>
        <w:instrText xml:space="preserve"> PAGEREF _Toc290892279 \h </w:instrText>
      </w:r>
      <w:r>
        <w:rPr>
          <w:noProof/>
        </w:rPr>
      </w:r>
      <w:r>
        <w:rPr>
          <w:noProof/>
        </w:rPr>
        <w:fldChar w:fldCharType="separate"/>
      </w:r>
      <w:r w:rsidR="00F7169C">
        <w:rPr>
          <w:noProof/>
        </w:rPr>
        <w:t>45</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Intercarrier Compensation Methodology for All-IP Networks</w:t>
      </w:r>
      <w:r>
        <w:rPr>
          <w:noProof/>
        </w:rPr>
        <w:tab/>
      </w:r>
      <w:r>
        <w:rPr>
          <w:noProof/>
        </w:rPr>
        <w:fldChar w:fldCharType="begin"/>
      </w:r>
      <w:r>
        <w:rPr>
          <w:noProof/>
        </w:rPr>
        <w:instrText xml:space="preserve"> PAGEREF _Toc290892280 \h </w:instrText>
      </w:r>
      <w:r>
        <w:rPr>
          <w:noProof/>
        </w:rPr>
      </w:r>
      <w:r>
        <w:rPr>
          <w:noProof/>
        </w:rPr>
        <w:fldChar w:fldCharType="separate"/>
      </w:r>
      <w:r w:rsidR="00F7169C">
        <w:rPr>
          <w:noProof/>
        </w:rPr>
        <w:t>46</w:t>
      </w:r>
      <w:r>
        <w:rPr>
          <w:noProof/>
        </w:rPr>
        <w:fldChar w:fldCharType="end"/>
      </w:r>
    </w:p>
    <w:p w:rsidR="00763772" w:rsidRDefault="00763772">
      <w:pPr>
        <w:pStyle w:val="TOC2"/>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LEGAL AUTHORITY TO ACCOMPLISH COMPREHENSIVE REFORM</w:t>
      </w:r>
      <w:r>
        <w:rPr>
          <w:noProof/>
        </w:rPr>
        <w:tab/>
      </w:r>
      <w:r>
        <w:rPr>
          <w:noProof/>
        </w:rPr>
        <w:fldChar w:fldCharType="begin"/>
      </w:r>
      <w:r>
        <w:rPr>
          <w:noProof/>
        </w:rPr>
        <w:instrText xml:space="preserve"> PAGEREF _Toc290892281 \h </w:instrText>
      </w:r>
      <w:r>
        <w:rPr>
          <w:noProof/>
        </w:rPr>
      </w:r>
      <w:r>
        <w:rPr>
          <w:noProof/>
        </w:rPr>
        <w:fldChar w:fldCharType="separate"/>
      </w:r>
      <w:r w:rsidR="00F7169C">
        <w:rPr>
          <w:noProof/>
        </w:rPr>
        <w:t>48</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Sections 201 and 332</w:t>
      </w:r>
      <w:r>
        <w:rPr>
          <w:noProof/>
        </w:rPr>
        <w:tab/>
      </w:r>
      <w:r>
        <w:rPr>
          <w:noProof/>
        </w:rPr>
        <w:fldChar w:fldCharType="begin"/>
      </w:r>
      <w:r>
        <w:rPr>
          <w:noProof/>
        </w:rPr>
        <w:instrText xml:space="preserve"> PAGEREF _Toc290892282 \h </w:instrText>
      </w:r>
      <w:r>
        <w:rPr>
          <w:noProof/>
        </w:rPr>
      </w:r>
      <w:r>
        <w:rPr>
          <w:noProof/>
        </w:rPr>
        <w:fldChar w:fldCharType="separate"/>
      </w:r>
      <w:r w:rsidR="00F7169C">
        <w:rPr>
          <w:noProof/>
        </w:rPr>
        <w:t>48</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Section 251(b)(5)</w:t>
      </w:r>
      <w:r>
        <w:rPr>
          <w:noProof/>
        </w:rPr>
        <w:tab/>
      </w:r>
      <w:r>
        <w:rPr>
          <w:noProof/>
        </w:rPr>
        <w:fldChar w:fldCharType="begin"/>
      </w:r>
      <w:r>
        <w:rPr>
          <w:noProof/>
        </w:rPr>
        <w:instrText xml:space="preserve"> PAGEREF _Toc290892283 \h </w:instrText>
      </w:r>
      <w:r>
        <w:rPr>
          <w:noProof/>
        </w:rPr>
      </w:r>
      <w:r>
        <w:rPr>
          <w:noProof/>
        </w:rPr>
        <w:fldChar w:fldCharType="separate"/>
      </w:r>
      <w:r w:rsidR="00F7169C">
        <w:rPr>
          <w:noProof/>
        </w:rPr>
        <w:t>51</w:t>
      </w:r>
      <w:r>
        <w:rPr>
          <w:noProof/>
        </w:rPr>
        <w:fldChar w:fldCharType="end"/>
      </w:r>
    </w:p>
    <w:p w:rsidR="00763772" w:rsidRDefault="00763772">
      <w:pPr>
        <w:pStyle w:val="TOC2"/>
        <w:rPr>
          <w:rFonts w:asciiTheme="minorHAnsi" w:eastAsiaTheme="minorEastAsia" w:hAnsiTheme="minorHAnsi" w:cstheme="minorBidi"/>
          <w:noProof/>
          <w:sz w:val="22"/>
        </w:rPr>
      </w:pPr>
      <w:r>
        <w:rPr>
          <w:noProof/>
        </w:rPr>
        <w:t>VI.</w:t>
      </w:r>
      <w:r>
        <w:rPr>
          <w:rFonts w:asciiTheme="minorHAnsi" w:eastAsiaTheme="minorEastAsia" w:hAnsiTheme="minorHAnsi" w:cstheme="minorBidi"/>
          <w:noProof/>
          <w:sz w:val="22"/>
        </w:rPr>
        <w:tab/>
      </w:r>
      <w:r>
        <w:rPr>
          <w:noProof/>
        </w:rPr>
        <w:t>SELECTING THE PATH TO MODERNIZE EXISTING RULES AND ADVANCE IP NETWORKS</w:t>
      </w:r>
      <w:r>
        <w:rPr>
          <w:noProof/>
        </w:rPr>
        <w:tab/>
      </w:r>
      <w:r>
        <w:rPr>
          <w:noProof/>
        </w:rPr>
        <w:fldChar w:fldCharType="begin"/>
      </w:r>
      <w:r>
        <w:rPr>
          <w:noProof/>
        </w:rPr>
        <w:instrText xml:space="preserve"> PAGEREF _Toc290892284 \h </w:instrText>
      </w:r>
      <w:r>
        <w:rPr>
          <w:noProof/>
        </w:rPr>
      </w:r>
      <w:r>
        <w:rPr>
          <w:noProof/>
        </w:rPr>
        <w:fldChar w:fldCharType="separate"/>
      </w:r>
      <w:r w:rsidR="00F7169C">
        <w:rPr>
          <w:noProof/>
        </w:rPr>
        <w:t>53</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Reform Based on Existing Jurisdictional Framework</w:t>
      </w:r>
      <w:r>
        <w:rPr>
          <w:noProof/>
        </w:rPr>
        <w:tab/>
      </w:r>
      <w:r>
        <w:rPr>
          <w:noProof/>
        </w:rPr>
        <w:fldChar w:fldCharType="begin"/>
      </w:r>
      <w:r>
        <w:rPr>
          <w:noProof/>
        </w:rPr>
        <w:instrText xml:space="preserve"> PAGEREF _Toc290892285 \h </w:instrText>
      </w:r>
      <w:r>
        <w:rPr>
          <w:noProof/>
        </w:rPr>
      </w:r>
      <w:r>
        <w:rPr>
          <w:noProof/>
        </w:rPr>
        <w:fldChar w:fldCharType="separate"/>
      </w:r>
      <w:r w:rsidR="00F7169C">
        <w:rPr>
          <w:noProof/>
        </w:rPr>
        <w:t>53</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Reforms Undertaken by the FCC</w:t>
      </w:r>
      <w:r>
        <w:rPr>
          <w:noProof/>
        </w:rPr>
        <w:tab/>
      </w:r>
      <w:r>
        <w:rPr>
          <w:noProof/>
        </w:rPr>
        <w:fldChar w:fldCharType="begin"/>
      </w:r>
      <w:r>
        <w:rPr>
          <w:noProof/>
        </w:rPr>
        <w:instrText xml:space="preserve"> PAGEREF _Toc290892286 \h </w:instrText>
      </w:r>
      <w:r>
        <w:rPr>
          <w:noProof/>
        </w:rPr>
      </w:r>
      <w:r>
        <w:rPr>
          <w:noProof/>
        </w:rPr>
        <w:fldChar w:fldCharType="separate"/>
      </w:r>
      <w:r w:rsidR="00F7169C">
        <w:rPr>
          <w:noProof/>
        </w:rPr>
        <w:t>53</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lastRenderedPageBreak/>
        <w:t>ii.</w:t>
      </w:r>
      <w:r>
        <w:rPr>
          <w:rFonts w:asciiTheme="minorHAnsi" w:eastAsiaTheme="minorEastAsia" w:hAnsiTheme="minorHAnsi" w:cstheme="minorBidi"/>
          <w:noProof/>
          <w:sz w:val="22"/>
        </w:rPr>
        <w:tab/>
      </w:r>
      <w:r>
        <w:rPr>
          <w:noProof/>
        </w:rPr>
        <w:t>Reforms Undertaken by the States</w:t>
      </w:r>
      <w:r>
        <w:rPr>
          <w:noProof/>
        </w:rPr>
        <w:tab/>
      </w:r>
      <w:r>
        <w:rPr>
          <w:noProof/>
        </w:rPr>
        <w:fldChar w:fldCharType="begin"/>
      </w:r>
      <w:r>
        <w:rPr>
          <w:noProof/>
        </w:rPr>
        <w:instrText xml:space="preserve"> PAGEREF _Toc290892287 \h </w:instrText>
      </w:r>
      <w:r>
        <w:rPr>
          <w:noProof/>
        </w:rPr>
      </w:r>
      <w:r>
        <w:rPr>
          <w:noProof/>
        </w:rPr>
        <w:fldChar w:fldCharType="separate"/>
      </w:r>
      <w:r w:rsidR="00F7169C">
        <w:rPr>
          <w:noProof/>
        </w:rPr>
        <w:t>55</w:t>
      </w:r>
      <w:r>
        <w:rPr>
          <w:noProof/>
        </w:rPr>
        <w:fldChar w:fldCharType="end"/>
      </w:r>
    </w:p>
    <w:p w:rsidR="00763772" w:rsidRDefault="00763772">
      <w:pPr>
        <w:pStyle w:val="TOC4"/>
        <w:tabs>
          <w:tab w:val="left" w:pos="288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Reform Based on the 1996 Act Framework</w:t>
      </w:r>
      <w:r>
        <w:rPr>
          <w:noProof/>
        </w:rPr>
        <w:tab/>
      </w:r>
      <w:r>
        <w:rPr>
          <w:noProof/>
        </w:rPr>
        <w:fldChar w:fldCharType="begin"/>
      </w:r>
      <w:r>
        <w:rPr>
          <w:noProof/>
        </w:rPr>
        <w:instrText xml:space="preserve"> PAGEREF _Toc290892288 \h </w:instrText>
      </w:r>
      <w:r>
        <w:rPr>
          <w:noProof/>
        </w:rPr>
      </w:r>
      <w:r>
        <w:rPr>
          <w:noProof/>
        </w:rPr>
        <w:fldChar w:fldCharType="separate"/>
      </w:r>
      <w:r w:rsidR="00F7169C">
        <w:rPr>
          <w:noProof/>
        </w:rPr>
        <w:t>58</w:t>
      </w:r>
      <w:r>
        <w:rPr>
          <w:noProof/>
        </w:rPr>
        <w:fldChar w:fldCharType="end"/>
      </w:r>
    </w:p>
    <w:p w:rsidR="00763772" w:rsidRDefault="00763772">
      <w:pPr>
        <w:pStyle w:val="TOC2"/>
        <w:rPr>
          <w:rFonts w:asciiTheme="minorHAnsi" w:eastAsiaTheme="minorEastAsia" w:hAnsiTheme="minorHAnsi" w:cstheme="minorBidi"/>
          <w:noProof/>
          <w:sz w:val="22"/>
        </w:rPr>
      </w:pPr>
      <w:r>
        <w:rPr>
          <w:noProof/>
        </w:rPr>
        <w:t>VII.</w:t>
      </w:r>
      <w:r>
        <w:rPr>
          <w:rFonts w:asciiTheme="minorHAnsi" w:eastAsiaTheme="minorEastAsia" w:hAnsiTheme="minorHAnsi" w:cstheme="minorBidi"/>
          <w:noProof/>
          <w:sz w:val="22"/>
        </w:rPr>
        <w:tab/>
      </w:r>
      <w:r>
        <w:rPr>
          <w:noProof/>
        </w:rPr>
        <w:t>DEVELOPING A RECOVERY MECHANISM</w:t>
      </w:r>
      <w:r>
        <w:rPr>
          <w:noProof/>
        </w:rPr>
        <w:tab/>
      </w:r>
      <w:r>
        <w:rPr>
          <w:noProof/>
        </w:rPr>
        <w:fldChar w:fldCharType="begin"/>
      </w:r>
      <w:r>
        <w:rPr>
          <w:noProof/>
        </w:rPr>
        <w:instrText xml:space="preserve"> PAGEREF _Toc290892289 \h </w:instrText>
      </w:r>
      <w:r>
        <w:rPr>
          <w:noProof/>
        </w:rPr>
      </w:r>
      <w:r>
        <w:rPr>
          <w:noProof/>
        </w:rPr>
        <w:fldChar w:fldCharType="separate"/>
      </w:r>
      <w:r w:rsidR="00F7169C">
        <w:rPr>
          <w:noProof/>
        </w:rPr>
        <w:t>59</w:t>
      </w:r>
      <w:r>
        <w:rPr>
          <w:noProof/>
        </w:rPr>
        <w:fldChar w:fldCharType="end"/>
      </w:r>
    </w:p>
    <w:p w:rsidR="00763772" w:rsidRDefault="00763772">
      <w:pPr>
        <w:pStyle w:val="TOC3"/>
        <w:rPr>
          <w:rFonts w:asciiTheme="minorHAnsi" w:eastAsiaTheme="minorEastAsia" w:hAnsiTheme="minorHAnsi" w:cstheme="minorBidi"/>
          <w:noProof/>
          <w:sz w:val="22"/>
        </w:rPr>
      </w:pPr>
      <w:r w:rsidRPr="00F21BCA">
        <w:rPr>
          <w:rFonts w:eastAsia="TimesNewRoman"/>
          <w:noProof/>
        </w:rPr>
        <w:t>A.</w:t>
      </w:r>
      <w:r>
        <w:rPr>
          <w:rFonts w:asciiTheme="minorHAnsi" w:eastAsiaTheme="minorEastAsia" w:hAnsiTheme="minorHAnsi" w:cstheme="minorBidi"/>
          <w:noProof/>
          <w:sz w:val="22"/>
        </w:rPr>
        <w:tab/>
      </w:r>
      <w:r w:rsidRPr="00F21BCA">
        <w:rPr>
          <w:rFonts w:eastAsia="TimesNewRoman"/>
          <w:noProof/>
        </w:rPr>
        <w:t>Determining the Type and Amount of Recovery</w:t>
      </w:r>
      <w:r>
        <w:rPr>
          <w:noProof/>
        </w:rPr>
        <w:tab/>
      </w:r>
      <w:r>
        <w:rPr>
          <w:noProof/>
        </w:rPr>
        <w:fldChar w:fldCharType="begin"/>
      </w:r>
      <w:r>
        <w:rPr>
          <w:noProof/>
        </w:rPr>
        <w:instrText xml:space="preserve"> PAGEREF _Toc290892290 \h </w:instrText>
      </w:r>
      <w:r>
        <w:rPr>
          <w:noProof/>
        </w:rPr>
      </w:r>
      <w:r>
        <w:rPr>
          <w:noProof/>
        </w:rPr>
        <w:fldChar w:fldCharType="separate"/>
      </w:r>
      <w:r w:rsidR="00F7169C">
        <w:rPr>
          <w:noProof/>
        </w:rPr>
        <w:t>60</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Criteria for Recovery from the CAF</w:t>
      </w:r>
      <w:r>
        <w:rPr>
          <w:noProof/>
        </w:rPr>
        <w:tab/>
      </w:r>
      <w:r>
        <w:rPr>
          <w:noProof/>
        </w:rPr>
        <w:fldChar w:fldCharType="begin"/>
      </w:r>
      <w:r>
        <w:rPr>
          <w:noProof/>
        </w:rPr>
        <w:instrText xml:space="preserve"> PAGEREF _Toc290892291 \h </w:instrText>
      </w:r>
      <w:r>
        <w:rPr>
          <w:noProof/>
        </w:rPr>
      </w:r>
      <w:r>
        <w:rPr>
          <w:noProof/>
        </w:rPr>
        <w:fldChar w:fldCharType="separate"/>
      </w:r>
      <w:r w:rsidR="00F7169C">
        <w:rPr>
          <w:noProof/>
        </w:rPr>
        <w:t>61</w:t>
      </w:r>
      <w:r>
        <w:rPr>
          <w:noProof/>
        </w:rPr>
        <w:fldChar w:fldCharType="end"/>
      </w:r>
    </w:p>
    <w:p w:rsidR="00763772" w:rsidRDefault="00763772">
      <w:pPr>
        <w:pStyle w:val="TOC2"/>
        <w:rPr>
          <w:rFonts w:asciiTheme="minorHAnsi" w:eastAsiaTheme="minorEastAsia" w:hAnsiTheme="minorHAnsi" w:cstheme="minorBidi"/>
          <w:noProof/>
          <w:sz w:val="22"/>
        </w:rPr>
      </w:pPr>
      <w:r>
        <w:rPr>
          <w:noProof/>
        </w:rPr>
        <w:t>VIII.</w:t>
      </w:r>
      <w:r>
        <w:rPr>
          <w:rFonts w:asciiTheme="minorHAnsi" w:eastAsiaTheme="minorEastAsia" w:hAnsiTheme="minorHAnsi" w:cstheme="minorBidi"/>
          <w:noProof/>
          <w:sz w:val="22"/>
        </w:rPr>
        <w:tab/>
      </w:r>
      <w:r>
        <w:rPr>
          <w:noProof/>
        </w:rPr>
        <w:t>INTERCONNECTION AND RELATED ISSUES</w:t>
      </w:r>
      <w:r>
        <w:rPr>
          <w:noProof/>
        </w:rPr>
        <w:tab/>
      </w:r>
      <w:r>
        <w:rPr>
          <w:noProof/>
        </w:rPr>
        <w:fldChar w:fldCharType="begin"/>
      </w:r>
      <w:r>
        <w:rPr>
          <w:noProof/>
        </w:rPr>
        <w:instrText xml:space="preserve"> PAGEREF _Toc290892292 \h </w:instrText>
      </w:r>
      <w:r>
        <w:rPr>
          <w:noProof/>
        </w:rPr>
      </w:r>
      <w:r>
        <w:rPr>
          <w:noProof/>
        </w:rPr>
        <w:fldChar w:fldCharType="separate"/>
      </w:r>
      <w:r w:rsidR="00F7169C">
        <w:rPr>
          <w:noProof/>
        </w:rPr>
        <w:t>62</w:t>
      </w:r>
      <w:r>
        <w:rPr>
          <w:noProof/>
        </w:rPr>
        <w:fldChar w:fldCharType="end"/>
      </w:r>
    </w:p>
    <w:p w:rsidR="00763772" w:rsidRDefault="00763772">
      <w:pPr>
        <w:pStyle w:val="TOC3"/>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IP-to-IP Interconnection</w:t>
      </w:r>
      <w:r>
        <w:rPr>
          <w:noProof/>
        </w:rPr>
        <w:tab/>
      </w:r>
      <w:r>
        <w:rPr>
          <w:noProof/>
        </w:rPr>
        <w:fldChar w:fldCharType="begin"/>
      </w:r>
      <w:r>
        <w:rPr>
          <w:noProof/>
        </w:rPr>
        <w:instrText xml:space="preserve"> PAGEREF _Toc290892293 \h </w:instrText>
      </w:r>
      <w:r>
        <w:rPr>
          <w:noProof/>
        </w:rPr>
      </w:r>
      <w:r>
        <w:rPr>
          <w:noProof/>
        </w:rPr>
        <w:fldChar w:fldCharType="separate"/>
      </w:r>
      <w:r w:rsidR="00F7169C">
        <w:rPr>
          <w:noProof/>
        </w:rPr>
        <w:t>63</w:t>
      </w:r>
      <w:r>
        <w:rPr>
          <w:noProof/>
        </w:rPr>
        <w:fldChar w:fldCharType="end"/>
      </w:r>
    </w:p>
    <w:p w:rsidR="00763772" w:rsidRDefault="00763772">
      <w:pPr>
        <w:pStyle w:val="TOC3"/>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Points of Interconnection and Network Edges</w:t>
      </w:r>
      <w:r>
        <w:rPr>
          <w:noProof/>
        </w:rPr>
        <w:tab/>
      </w:r>
      <w:r>
        <w:rPr>
          <w:noProof/>
        </w:rPr>
        <w:fldChar w:fldCharType="begin"/>
      </w:r>
      <w:r>
        <w:rPr>
          <w:noProof/>
        </w:rPr>
        <w:instrText xml:space="preserve"> PAGEREF _Toc290892294 \h </w:instrText>
      </w:r>
      <w:r>
        <w:rPr>
          <w:noProof/>
        </w:rPr>
      </w:r>
      <w:r>
        <w:rPr>
          <w:noProof/>
        </w:rPr>
        <w:fldChar w:fldCharType="separate"/>
      </w:r>
      <w:r w:rsidR="00F7169C">
        <w:rPr>
          <w:noProof/>
        </w:rPr>
        <w:t>64</w:t>
      </w:r>
      <w:r>
        <w:rPr>
          <w:noProof/>
        </w:rPr>
        <w:fldChar w:fldCharType="end"/>
      </w:r>
    </w:p>
    <w:p w:rsidR="00763772" w:rsidRDefault="00763772">
      <w:pPr>
        <w:pStyle w:val="TOC3"/>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Mandatory Points of Interconnection</w:t>
      </w:r>
      <w:r>
        <w:rPr>
          <w:noProof/>
        </w:rPr>
        <w:tab/>
      </w:r>
      <w:r>
        <w:rPr>
          <w:noProof/>
        </w:rPr>
        <w:fldChar w:fldCharType="begin"/>
      </w:r>
      <w:r>
        <w:rPr>
          <w:noProof/>
        </w:rPr>
        <w:instrText xml:space="preserve"> PAGEREF _Toc290892295 \h </w:instrText>
      </w:r>
      <w:r>
        <w:rPr>
          <w:noProof/>
        </w:rPr>
      </w:r>
      <w:r>
        <w:rPr>
          <w:noProof/>
        </w:rPr>
        <w:fldChar w:fldCharType="separate"/>
      </w:r>
      <w:r w:rsidR="00F7169C">
        <w:rPr>
          <w:noProof/>
        </w:rPr>
        <w:t>67</w:t>
      </w:r>
      <w:r>
        <w:rPr>
          <w:noProof/>
        </w:rPr>
        <w:fldChar w:fldCharType="end"/>
      </w:r>
    </w:p>
    <w:p w:rsidR="00763772" w:rsidRDefault="00763772">
      <w:pPr>
        <w:pStyle w:val="TOC3"/>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Transiting</w:t>
      </w:r>
      <w:r>
        <w:rPr>
          <w:noProof/>
        </w:rPr>
        <w:tab/>
      </w:r>
      <w:r>
        <w:rPr>
          <w:noProof/>
        </w:rPr>
        <w:fldChar w:fldCharType="begin"/>
      </w:r>
      <w:r>
        <w:rPr>
          <w:noProof/>
        </w:rPr>
        <w:instrText xml:space="preserve"> PAGEREF _Toc290892296 \h </w:instrText>
      </w:r>
      <w:r>
        <w:rPr>
          <w:noProof/>
        </w:rPr>
      </w:r>
      <w:r>
        <w:rPr>
          <w:noProof/>
        </w:rPr>
        <w:fldChar w:fldCharType="separate"/>
      </w:r>
      <w:r w:rsidR="00F7169C">
        <w:rPr>
          <w:noProof/>
        </w:rPr>
        <w:t>69</w:t>
      </w:r>
      <w:r>
        <w:rPr>
          <w:noProof/>
        </w:rPr>
        <w:fldChar w:fldCharType="end"/>
      </w:r>
    </w:p>
    <w:p w:rsidR="00763772" w:rsidRDefault="00763772">
      <w:pPr>
        <w:pStyle w:val="TOC3"/>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Remaining Technical Issues</w:t>
      </w:r>
      <w:r>
        <w:rPr>
          <w:noProof/>
        </w:rPr>
        <w:tab/>
      </w:r>
      <w:r>
        <w:rPr>
          <w:noProof/>
        </w:rPr>
        <w:fldChar w:fldCharType="begin"/>
      </w:r>
      <w:r>
        <w:rPr>
          <w:noProof/>
        </w:rPr>
        <w:instrText xml:space="preserve"> PAGEREF _Toc290892297 \h </w:instrText>
      </w:r>
      <w:r>
        <w:rPr>
          <w:noProof/>
        </w:rPr>
      </w:r>
      <w:r>
        <w:rPr>
          <w:noProof/>
        </w:rPr>
        <w:fldChar w:fldCharType="separate"/>
      </w:r>
      <w:r w:rsidR="00F7169C">
        <w:rPr>
          <w:noProof/>
        </w:rPr>
        <w:t>70</w:t>
      </w:r>
      <w:r>
        <w:rPr>
          <w:noProof/>
        </w:rPr>
        <w:fldChar w:fldCharType="end"/>
      </w:r>
    </w:p>
    <w:p w:rsidR="00763772" w:rsidRDefault="00763772">
      <w:pPr>
        <w:pStyle w:val="TOC1"/>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_Toc290892298 \h </w:instrText>
      </w:r>
      <w:r>
        <w:rPr>
          <w:noProof/>
        </w:rPr>
      </w:r>
      <w:r>
        <w:rPr>
          <w:noProof/>
        </w:rPr>
        <w:fldChar w:fldCharType="separate"/>
      </w:r>
      <w:r w:rsidR="00F7169C">
        <w:rPr>
          <w:noProof/>
        </w:rPr>
        <w:t>73</w:t>
      </w:r>
      <w:r>
        <w:rPr>
          <w:noProof/>
        </w:rPr>
        <w:fldChar w:fldCharType="end"/>
      </w:r>
    </w:p>
    <w:p w:rsidR="0031302C" w:rsidRDefault="00841D47" w:rsidP="007A047B">
      <w:pPr>
        <w:spacing w:after="0" w:line="240" w:lineRule="auto"/>
        <w:jc w:val="center"/>
        <w:rPr>
          <w:rFonts w:ascii="Times New Roman" w:hAnsi="Times New Roman"/>
          <w:b/>
          <w:bCs/>
          <w:sz w:val="24"/>
          <w:szCs w:val="24"/>
        </w:rPr>
        <w:sectPr w:rsidR="0031302C" w:rsidSect="003D4EE2">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r w:rsidRPr="005821DB">
        <w:rPr>
          <w:rFonts w:ascii="Times New Roman" w:hAnsi="Times New Roman"/>
          <w:b/>
          <w:bCs/>
          <w:sz w:val="24"/>
          <w:szCs w:val="24"/>
        </w:rPr>
        <w:fldChar w:fldCharType="end"/>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lastRenderedPageBreak/>
        <w:t>ARF</w:t>
      </w:r>
      <w:proofErr w:type="spellEnd"/>
      <w:r>
        <w:rPr>
          <w:rFonts w:ascii="Times New Roman" w:hAnsi="Times New Roman"/>
          <w:sz w:val="26"/>
          <w:szCs w:val="26"/>
        </w:rPr>
        <w:tab/>
      </w:r>
      <w:r w:rsidRPr="008A7B35">
        <w:rPr>
          <w:rFonts w:ascii="Times New Roman" w:hAnsi="Times New Roman"/>
          <w:sz w:val="26"/>
          <w:szCs w:val="26"/>
        </w:rPr>
        <w:t>Access Reform Fund</w:t>
      </w:r>
    </w:p>
    <w:p w:rsidR="005D1DA3" w:rsidRPr="006106DB"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BIP</w:t>
      </w:r>
      <w:proofErr w:type="spellEnd"/>
      <w:r w:rsidRPr="006106DB">
        <w:rPr>
          <w:rFonts w:ascii="Times New Roman" w:hAnsi="Times New Roman"/>
          <w:sz w:val="26"/>
          <w:szCs w:val="26"/>
        </w:rPr>
        <w:tab/>
        <w:t>Broadband Initiatives Program</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CAF</w:t>
      </w:r>
      <w:proofErr w:type="spellEnd"/>
      <w:r>
        <w:rPr>
          <w:rFonts w:ascii="Times New Roman" w:hAnsi="Times New Roman"/>
          <w:sz w:val="26"/>
          <w:szCs w:val="26"/>
        </w:rPr>
        <w:tab/>
      </w:r>
      <w:r w:rsidRPr="006106DB">
        <w:rPr>
          <w:rFonts w:ascii="Times New Roman" w:hAnsi="Times New Roman"/>
          <w:sz w:val="26"/>
          <w:szCs w:val="26"/>
        </w:rPr>
        <w:t>Connect America Fund</w:t>
      </w:r>
    </w:p>
    <w:p w:rsidR="005D1DA3" w:rsidRPr="006106DB"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CETC</w:t>
      </w:r>
      <w:proofErr w:type="spellEnd"/>
      <w:r w:rsidRPr="006106DB">
        <w:rPr>
          <w:rFonts w:ascii="Times New Roman" w:hAnsi="Times New Roman"/>
          <w:sz w:val="26"/>
          <w:szCs w:val="26"/>
        </w:rPr>
        <w:tab/>
        <w:t xml:space="preserve">Competitive Eligible Telecommunications Carriers </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CLEC</w:t>
      </w:r>
      <w:proofErr w:type="spellEnd"/>
      <w:r w:rsidRPr="006106DB">
        <w:rPr>
          <w:rFonts w:ascii="Times New Roman" w:hAnsi="Times New Roman"/>
          <w:sz w:val="26"/>
          <w:szCs w:val="26"/>
        </w:rPr>
        <w:tab/>
        <w:t>Competitive Local Exchange Carriers</w:t>
      </w:r>
    </w:p>
    <w:p w:rsidR="005D1DA3" w:rsidRDefault="005D1DA3" w:rsidP="005411C0">
      <w:pPr>
        <w:spacing w:after="240" w:line="240" w:lineRule="auto"/>
        <w:ind w:left="1440" w:hanging="1440"/>
        <w:rPr>
          <w:rFonts w:ascii="Times New Roman" w:hAnsi="Times New Roman"/>
          <w:sz w:val="26"/>
          <w:szCs w:val="26"/>
        </w:rPr>
      </w:pPr>
      <w:proofErr w:type="spellStart"/>
      <w:r w:rsidRPr="008A7B35">
        <w:rPr>
          <w:rFonts w:ascii="Times New Roman" w:hAnsi="Times New Roman"/>
          <w:sz w:val="26"/>
          <w:szCs w:val="26"/>
        </w:rPr>
        <w:t>CMRS</w:t>
      </w:r>
      <w:proofErr w:type="spellEnd"/>
      <w:r w:rsidRPr="008A7B35">
        <w:rPr>
          <w:rFonts w:ascii="Times New Roman" w:hAnsi="Times New Roman"/>
          <w:sz w:val="26"/>
          <w:szCs w:val="26"/>
        </w:rPr>
        <w:tab/>
        <w:t xml:space="preserve">Commercial Mobile Radio Service </w:t>
      </w:r>
    </w:p>
    <w:p w:rsidR="005D1DA3" w:rsidRDefault="005D1DA3" w:rsidP="005411C0">
      <w:pPr>
        <w:spacing w:after="240" w:line="240" w:lineRule="auto"/>
        <w:ind w:left="1440" w:hanging="1440"/>
        <w:rPr>
          <w:rFonts w:ascii="Times New Roman" w:hAnsi="Times New Roman"/>
          <w:sz w:val="26"/>
          <w:szCs w:val="26"/>
        </w:rPr>
      </w:pPr>
      <w:r w:rsidRPr="006106DB">
        <w:rPr>
          <w:rFonts w:ascii="Times New Roman" w:hAnsi="Times New Roman"/>
          <w:sz w:val="26"/>
          <w:szCs w:val="26"/>
        </w:rPr>
        <w:t>COE</w:t>
      </w:r>
      <w:r w:rsidRPr="006106DB">
        <w:rPr>
          <w:rFonts w:ascii="Times New Roman" w:hAnsi="Times New Roman"/>
          <w:sz w:val="26"/>
          <w:szCs w:val="26"/>
        </w:rPr>
        <w:tab/>
        <w:t xml:space="preserve">Corporate Operations Expenses </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COLR</w:t>
      </w:r>
      <w:proofErr w:type="spellEnd"/>
      <w:r w:rsidRPr="006106DB">
        <w:rPr>
          <w:rFonts w:ascii="Times New Roman" w:hAnsi="Times New Roman"/>
          <w:sz w:val="26"/>
          <w:szCs w:val="26"/>
        </w:rPr>
        <w:tab/>
        <w:t>Carrier of Last Resort</w:t>
      </w:r>
    </w:p>
    <w:p w:rsidR="005D1DA3" w:rsidRDefault="005D1DA3" w:rsidP="005411C0">
      <w:pPr>
        <w:spacing w:after="240" w:line="240" w:lineRule="auto"/>
        <w:ind w:left="1440" w:hanging="1440"/>
        <w:rPr>
          <w:rFonts w:ascii="Times New Roman" w:hAnsi="Times New Roman"/>
          <w:sz w:val="26"/>
          <w:szCs w:val="26"/>
        </w:rPr>
      </w:pPr>
      <w:r>
        <w:rPr>
          <w:rFonts w:ascii="Times New Roman" w:hAnsi="Times New Roman"/>
          <w:sz w:val="26"/>
          <w:szCs w:val="26"/>
        </w:rPr>
        <w:t>DSL</w:t>
      </w:r>
      <w:r>
        <w:rPr>
          <w:rFonts w:ascii="Times New Roman" w:hAnsi="Times New Roman"/>
          <w:sz w:val="26"/>
          <w:szCs w:val="26"/>
        </w:rPr>
        <w:tab/>
      </w:r>
      <w:r w:rsidRPr="006106DB">
        <w:rPr>
          <w:rFonts w:ascii="Times New Roman" w:hAnsi="Times New Roman"/>
          <w:sz w:val="26"/>
          <w:szCs w:val="26"/>
        </w:rPr>
        <w:t>Digital Subscriber Line</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ETC</w:t>
      </w:r>
      <w:proofErr w:type="spellEnd"/>
      <w:r>
        <w:rPr>
          <w:rFonts w:ascii="Times New Roman" w:hAnsi="Times New Roman"/>
          <w:sz w:val="26"/>
          <w:szCs w:val="26"/>
        </w:rPr>
        <w:tab/>
      </w:r>
      <w:r w:rsidRPr="006106DB">
        <w:rPr>
          <w:rFonts w:ascii="Times New Roman" w:hAnsi="Times New Roman"/>
          <w:sz w:val="26"/>
          <w:szCs w:val="26"/>
        </w:rPr>
        <w:t>Eligible Telecommunications Carriers</w:t>
      </w:r>
    </w:p>
    <w:p w:rsidR="005D1DA3" w:rsidRDefault="005D1DA3" w:rsidP="005411C0">
      <w:pPr>
        <w:spacing w:after="240" w:line="240" w:lineRule="auto"/>
        <w:ind w:left="1440" w:hanging="1440"/>
        <w:rPr>
          <w:rFonts w:ascii="Times New Roman" w:hAnsi="Times New Roman"/>
          <w:sz w:val="26"/>
          <w:szCs w:val="26"/>
        </w:rPr>
      </w:pPr>
      <w:r w:rsidRPr="006106DB">
        <w:rPr>
          <w:rFonts w:ascii="Times New Roman" w:hAnsi="Times New Roman"/>
          <w:sz w:val="26"/>
          <w:szCs w:val="26"/>
        </w:rPr>
        <w:t xml:space="preserve">FCC </w:t>
      </w:r>
      <w:r>
        <w:rPr>
          <w:rFonts w:ascii="Times New Roman" w:hAnsi="Times New Roman"/>
          <w:sz w:val="26"/>
          <w:szCs w:val="26"/>
        </w:rPr>
        <w:tab/>
      </w:r>
      <w:r w:rsidRPr="006106DB">
        <w:rPr>
          <w:rFonts w:ascii="Times New Roman" w:hAnsi="Times New Roman"/>
          <w:sz w:val="26"/>
          <w:szCs w:val="26"/>
        </w:rPr>
        <w:t>Federal Communications Commission</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HCLS</w:t>
      </w:r>
      <w:proofErr w:type="spellEnd"/>
      <w:r>
        <w:rPr>
          <w:rFonts w:ascii="Times New Roman" w:hAnsi="Times New Roman"/>
          <w:sz w:val="26"/>
          <w:szCs w:val="26"/>
        </w:rPr>
        <w:tab/>
      </w:r>
      <w:r w:rsidRPr="006106DB">
        <w:rPr>
          <w:rFonts w:ascii="Times New Roman" w:hAnsi="Times New Roman"/>
          <w:sz w:val="26"/>
          <w:szCs w:val="26"/>
        </w:rPr>
        <w:t xml:space="preserve">High-Cost Loop Support </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IAS</w:t>
      </w:r>
      <w:proofErr w:type="spellEnd"/>
      <w:r w:rsidRPr="006106DB">
        <w:rPr>
          <w:rFonts w:ascii="Times New Roman" w:hAnsi="Times New Roman"/>
          <w:sz w:val="26"/>
          <w:szCs w:val="26"/>
        </w:rPr>
        <w:tab/>
        <w:t xml:space="preserve">Interstate Access Support </w:t>
      </w:r>
    </w:p>
    <w:p w:rsidR="005D1DA3" w:rsidRDefault="005D1DA3" w:rsidP="005411C0">
      <w:pPr>
        <w:spacing w:after="240" w:line="240" w:lineRule="auto"/>
        <w:ind w:left="1440" w:hanging="1440"/>
        <w:rPr>
          <w:rFonts w:ascii="Times New Roman" w:hAnsi="Times New Roman"/>
          <w:sz w:val="26"/>
          <w:szCs w:val="26"/>
        </w:rPr>
      </w:pPr>
      <w:r>
        <w:rPr>
          <w:rFonts w:ascii="Times New Roman" w:hAnsi="Times New Roman"/>
          <w:sz w:val="26"/>
          <w:szCs w:val="26"/>
        </w:rPr>
        <w:t>ICC</w:t>
      </w:r>
      <w:r>
        <w:rPr>
          <w:rFonts w:ascii="Times New Roman" w:hAnsi="Times New Roman"/>
          <w:sz w:val="26"/>
          <w:szCs w:val="26"/>
        </w:rPr>
        <w:tab/>
        <w:t>Intercarrier Compensation</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ILEC</w:t>
      </w:r>
      <w:proofErr w:type="spellEnd"/>
      <w:r w:rsidRPr="006106DB">
        <w:rPr>
          <w:rFonts w:ascii="Times New Roman" w:hAnsi="Times New Roman"/>
          <w:sz w:val="26"/>
          <w:szCs w:val="26"/>
        </w:rPr>
        <w:tab/>
        <w:t>Incumbent Local Exchange Carrier</w:t>
      </w:r>
    </w:p>
    <w:p w:rsidR="005D1DA3" w:rsidRPr="008A7B35" w:rsidRDefault="005D1DA3" w:rsidP="005411C0">
      <w:pPr>
        <w:spacing w:after="240" w:line="240" w:lineRule="auto"/>
        <w:ind w:left="1440" w:hanging="1440"/>
        <w:rPr>
          <w:rFonts w:ascii="Times New Roman" w:hAnsi="Times New Roman"/>
          <w:sz w:val="26"/>
          <w:szCs w:val="26"/>
        </w:rPr>
      </w:pPr>
      <w:proofErr w:type="spellStart"/>
      <w:r w:rsidRPr="008A7B35">
        <w:rPr>
          <w:rFonts w:ascii="Times New Roman" w:hAnsi="Times New Roman"/>
          <w:sz w:val="26"/>
          <w:szCs w:val="26"/>
        </w:rPr>
        <w:t>IXC</w:t>
      </w:r>
      <w:proofErr w:type="spellEnd"/>
      <w:r w:rsidRPr="008A7B35">
        <w:rPr>
          <w:rFonts w:ascii="Times New Roman" w:hAnsi="Times New Roman"/>
          <w:sz w:val="26"/>
          <w:szCs w:val="26"/>
        </w:rPr>
        <w:tab/>
        <w:t>interexchange carrier</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LSS</w:t>
      </w:r>
      <w:proofErr w:type="spellEnd"/>
      <w:r>
        <w:rPr>
          <w:rFonts w:ascii="Times New Roman" w:hAnsi="Times New Roman"/>
          <w:sz w:val="26"/>
          <w:szCs w:val="26"/>
        </w:rPr>
        <w:tab/>
      </w:r>
      <w:r w:rsidRPr="006106DB">
        <w:rPr>
          <w:rFonts w:ascii="Times New Roman" w:hAnsi="Times New Roman"/>
          <w:sz w:val="26"/>
          <w:szCs w:val="26"/>
        </w:rPr>
        <w:t>Local Switching Support</w:t>
      </w:r>
    </w:p>
    <w:p w:rsidR="00020BEF" w:rsidRDefault="00020BEF" w:rsidP="005411C0">
      <w:pPr>
        <w:spacing w:after="240" w:line="240" w:lineRule="auto"/>
        <w:ind w:left="1440" w:hanging="1440"/>
        <w:rPr>
          <w:rFonts w:ascii="Times New Roman" w:hAnsi="Times New Roman"/>
          <w:sz w:val="26"/>
          <w:szCs w:val="26"/>
        </w:rPr>
      </w:pPr>
      <w:r>
        <w:rPr>
          <w:rFonts w:ascii="Times New Roman" w:hAnsi="Times New Roman"/>
          <w:sz w:val="26"/>
          <w:szCs w:val="26"/>
        </w:rPr>
        <w:t>MTA</w:t>
      </w:r>
      <w:r>
        <w:rPr>
          <w:rFonts w:ascii="Times New Roman" w:hAnsi="Times New Roman"/>
          <w:sz w:val="26"/>
          <w:szCs w:val="26"/>
        </w:rPr>
        <w:tab/>
        <w:t>Major Trading Area</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NACPL</w:t>
      </w:r>
      <w:proofErr w:type="spellEnd"/>
      <w:r w:rsidRPr="006106DB">
        <w:rPr>
          <w:rFonts w:ascii="Times New Roman" w:hAnsi="Times New Roman"/>
          <w:sz w:val="26"/>
          <w:szCs w:val="26"/>
        </w:rPr>
        <w:tab/>
        <w:t>National Average Cost Per-Loop</w:t>
      </w:r>
    </w:p>
    <w:p w:rsidR="00680F40" w:rsidRDefault="00680F40"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NANP</w:t>
      </w:r>
      <w:proofErr w:type="spellEnd"/>
      <w:r>
        <w:rPr>
          <w:rFonts w:ascii="Times New Roman" w:hAnsi="Times New Roman"/>
          <w:sz w:val="26"/>
          <w:szCs w:val="26"/>
        </w:rPr>
        <w:tab/>
      </w:r>
      <w:r w:rsidR="0057714D" w:rsidRPr="00C5554A">
        <w:rPr>
          <w:rFonts w:ascii="Times New Roman" w:hAnsi="Times New Roman"/>
          <w:sz w:val="26"/>
          <w:szCs w:val="26"/>
        </w:rPr>
        <w:t>North American Number Plan</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NBP</w:t>
      </w:r>
      <w:proofErr w:type="spellEnd"/>
      <w:r>
        <w:rPr>
          <w:rFonts w:ascii="Times New Roman" w:hAnsi="Times New Roman"/>
          <w:sz w:val="26"/>
          <w:szCs w:val="26"/>
        </w:rPr>
        <w:tab/>
        <w:t>National Broadband Plan</w:t>
      </w:r>
    </w:p>
    <w:p w:rsidR="005D1DA3" w:rsidRDefault="005D1DA3" w:rsidP="005411C0">
      <w:pPr>
        <w:spacing w:after="240" w:line="240" w:lineRule="auto"/>
        <w:ind w:left="1440" w:hanging="1440"/>
        <w:rPr>
          <w:rFonts w:ascii="Times New Roman" w:hAnsi="Times New Roman"/>
          <w:sz w:val="26"/>
          <w:szCs w:val="26"/>
        </w:rPr>
      </w:pPr>
      <w:r>
        <w:rPr>
          <w:rFonts w:ascii="Times New Roman" w:hAnsi="Times New Roman"/>
          <w:sz w:val="26"/>
          <w:szCs w:val="26"/>
        </w:rPr>
        <w:t>NPRM</w:t>
      </w:r>
      <w:r>
        <w:rPr>
          <w:rFonts w:ascii="Times New Roman" w:hAnsi="Times New Roman"/>
          <w:sz w:val="26"/>
          <w:szCs w:val="26"/>
        </w:rPr>
        <w:tab/>
        <w:t>Notice of Proposed Rulemaking</w:t>
      </w:r>
    </w:p>
    <w:p w:rsidR="005D1DA3" w:rsidRDefault="005D1DA3" w:rsidP="005411C0">
      <w:pPr>
        <w:spacing w:after="240" w:line="240" w:lineRule="auto"/>
        <w:ind w:left="1440" w:hanging="1440"/>
        <w:rPr>
          <w:rFonts w:ascii="Times New Roman" w:hAnsi="Times New Roman"/>
          <w:sz w:val="26"/>
          <w:szCs w:val="26"/>
        </w:rPr>
      </w:pPr>
      <w:r w:rsidRPr="008A7B35">
        <w:rPr>
          <w:rFonts w:ascii="Times New Roman" w:hAnsi="Times New Roman"/>
          <w:sz w:val="26"/>
          <w:szCs w:val="26"/>
        </w:rPr>
        <w:t>POI</w:t>
      </w:r>
      <w:r w:rsidRPr="008A7B35">
        <w:rPr>
          <w:rFonts w:ascii="Times New Roman" w:hAnsi="Times New Roman"/>
          <w:sz w:val="26"/>
          <w:szCs w:val="26"/>
        </w:rPr>
        <w:tab/>
        <w:t xml:space="preserve">Points of Interconnection </w:t>
      </w:r>
    </w:p>
    <w:p w:rsidR="005D1DA3" w:rsidRDefault="005D1DA3" w:rsidP="005411C0">
      <w:pPr>
        <w:spacing w:after="240" w:line="240" w:lineRule="auto"/>
        <w:ind w:left="1440" w:hanging="1440"/>
        <w:rPr>
          <w:rFonts w:ascii="Times New Roman" w:hAnsi="Times New Roman"/>
          <w:sz w:val="26"/>
          <w:szCs w:val="26"/>
        </w:rPr>
      </w:pPr>
      <w:r w:rsidRPr="006106DB">
        <w:rPr>
          <w:rFonts w:ascii="Times New Roman" w:hAnsi="Times New Roman"/>
          <w:sz w:val="26"/>
          <w:szCs w:val="26"/>
        </w:rPr>
        <w:t>POLR</w:t>
      </w:r>
      <w:r w:rsidRPr="006106DB">
        <w:rPr>
          <w:rFonts w:ascii="Times New Roman" w:hAnsi="Times New Roman"/>
          <w:sz w:val="26"/>
          <w:szCs w:val="26"/>
        </w:rPr>
        <w:tab/>
        <w:t xml:space="preserve">Provider </w:t>
      </w:r>
      <w:r>
        <w:rPr>
          <w:rFonts w:ascii="Times New Roman" w:hAnsi="Times New Roman"/>
          <w:sz w:val="26"/>
          <w:szCs w:val="26"/>
        </w:rPr>
        <w:t>o</w:t>
      </w:r>
      <w:r w:rsidRPr="006106DB">
        <w:rPr>
          <w:rFonts w:ascii="Times New Roman" w:hAnsi="Times New Roman"/>
          <w:sz w:val="26"/>
          <w:szCs w:val="26"/>
        </w:rPr>
        <w:t xml:space="preserve">f Last Resort </w:t>
      </w:r>
    </w:p>
    <w:p w:rsidR="00680F40" w:rsidRPr="00C5554A" w:rsidRDefault="00680F40"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lastRenderedPageBreak/>
        <w:t>PSTN</w:t>
      </w:r>
      <w:proofErr w:type="spellEnd"/>
      <w:r>
        <w:rPr>
          <w:rFonts w:ascii="Times New Roman" w:hAnsi="Times New Roman"/>
          <w:sz w:val="26"/>
          <w:szCs w:val="26"/>
        </w:rPr>
        <w:tab/>
      </w:r>
      <w:r w:rsidR="0057714D" w:rsidRPr="00C5554A">
        <w:rPr>
          <w:rFonts w:ascii="Times New Roman" w:hAnsi="Times New Roman"/>
          <w:sz w:val="26"/>
          <w:szCs w:val="26"/>
        </w:rPr>
        <w:t>Public Switched Telephone Network</w:t>
      </w:r>
    </w:p>
    <w:p w:rsidR="005D1DA3" w:rsidRDefault="005D1DA3" w:rsidP="005411C0">
      <w:pPr>
        <w:spacing w:after="240" w:line="240" w:lineRule="auto"/>
        <w:ind w:left="1440" w:hanging="1440"/>
        <w:rPr>
          <w:rFonts w:ascii="Times New Roman" w:hAnsi="Times New Roman"/>
          <w:sz w:val="26"/>
          <w:szCs w:val="26"/>
        </w:rPr>
      </w:pPr>
      <w:r>
        <w:rPr>
          <w:rFonts w:ascii="Times New Roman" w:hAnsi="Times New Roman"/>
          <w:sz w:val="26"/>
          <w:szCs w:val="26"/>
        </w:rPr>
        <w:t>PUCO</w:t>
      </w:r>
      <w:r>
        <w:rPr>
          <w:rFonts w:ascii="Times New Roman" w:hAnsi="Times New Roman"/>
          <w:sz w:val="26"/>
          <w:szCs w:val="26"/>
        </w:rPr>
        <w:tab/>
        <w:t>Public Utilities Commission of Ohio</w:t>
      </w:r>
    </w:p>
    <w:p w:rsidR="005D1DA3"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ROFR</w:t>
      </w:r>
      <w:proofErr w:type="spellEnd"/>
      <w:r>
        <w:rPr>
          <w:rFonts w:ascii="Times New Roman" w:hAnsi="Times New Roman"/>
          <w:sz w:val="26"/>
          <w:szCs w:val="26"/>
        </w:rPr>
        <w:tab/>
      </w:r>
      <w:r w:rsidRPr="006106DB">
        <w:rPr>
          <w:rFonts w:ascii="Times New Roman" w:hAnsi="Times New Roman"/>
          <w:sz w:val="26"/>
          <w:szCs w:val="26"/>
        </w:rPr>
        <w:t>Right of First Refusal</w:t>
      </w:r>
    </w:p>
    <w:p w:rsidR="005D1DA3" w:rsidRDefault="005D1DA3" w:rsidP="005411C0">
      <w:pPr>
        <w:spacing w:after="240" w:line="240" w:lineRule="auto"/>
        <w:ind w:left="1440" w:hanging="1440"/>
        <w:rPr>
          <w:rFonts w:ascii="Times New Roman" w:hAnsi="Times New Roman"/>
          <w:sz w:val="26"/>
          <w:szCs w:val="26"/>
        </w:rPr>
      </w:pPr>
      <w:proofErr w:type="spellStart"/>
      <w:r w:rsidRPr="006106DB">
        <w:rPr>
          <w:rFonts w:ascii="Times New Roman" w:hAnsi="Times New Roman"/>
          <w:sz w:val="26"/>
          <w:szCs w:val="26"/>
        </w:rPr>
        <w:t>RUS</w:t>
      </w:r>
      <w:proofErr w:type="spellEnd"/>
      <w:r w:rsidRPr="006106DB">
        <w:rPr>
          <w:rFonts w:ascii="Times New Roman" w:hAnsi="Times New Roman"/>
          <w:sz w:val="26"/>
          <w:szCs w:val="26"/>
        </w:rPr>
        <w:tab/>
        <w:t>Rural Utilities Service</w:t>
      </w:r>
    </w:p>
    <w:p w:rsidR="005D1DA3" w:rsidRPr="006106DB" w:rsidRDefault="005D1DA3" w:rsidP="005411C0">
      <w:pPr>
        <w:spacing w:after="240" w:line="240" w:lineRule="auto"/>
        <w:ind w:left="1440" w:hanging="1440"/>
        <w:rPr>
          <w:rFonts w:ascii="Times New Roman" w:hAnsi="Times New Roman"/>
          <w:sz w:val="26"/>
          <w:szCs w:val="26"/>
        </w:rPr>
      </w:pPr>
      <w:proofErr w:type="spellStart"/>
      <w:r>
        <w:rPr>
          <w:rFonts w:ascii="Times New Roman" w:hAnsi="Times New Roman"/>
          <w:sz w:val="26"/>
          <w:szCs w:val="26"/>
        </w:rPr>
        <w:t>SLC</w:t>
      </w:r>
      <w:proofErr w:type="spellEnd"/>
      <w:r>
        <w:rPr>
          <w:rFonts w:ascii="Times New Roman" w:hAnsi="Times New Roman"/>
          <w:sz w:val="26"/>
          <w:szCs w:val="26"/>
        </w:rPr>
        <w:tab/>
      </w:r>
      <w:r w:rsidRPr="008A7B35">
        <w:rPr>
          <w:rFonts w:ascii="Times New Roman" w:hAnsi="Times New Roman"/>
          <w:sz w:val="26"/>
          <w:szCs w:val="26"/>
        </w:rPr>
        <w:t>Subscriber Line Charge</w:t>
      </w:r>
    </w:p>
    <w:p w:rsidR="005D1DA3" w:rsidRDefault="005D1DA3" w:rsidP="005411C0">
      <w:pPr>
        <w:spacing w:after="240" w:line="240" w:lineRule="auto"/>
        <w:ind w:left="1440" w:hanging="1440"/>
        <w:rPr>
          <w:rFonts w:ascii="Times New Roman" w:hAnsi="Times New Roman"/>
          <w:sz w:val="26"/>
          <w:szCs w:val="26"/>
        </w:rPr>
      </w:pPr>
      <w:r>
        <w:rPr>
          <w:rFonts w:ascii="Times New Roman" w:hAnsi="Times New Roman"/>
          <w:sz w:val="26"/>
          <w:szCs w:val="26"/>
        </w:rPr>
        <w:t>USF</w:t>
      </w:r>
      <w:r>
        <w:rPr>
          <w:rFonts w:ascii="Times New Roman" w:hAnsi="Times New Roman"/>
          <w:sz w:val="26"/>
          <w:szCs w:val="26"/>
        </w:rPr>
        <w:tab/>
        <w:t>Universal Service Fund</w:t>
      </w:r>
    </w:p>
    <w:p w:rsidR="005D1DA3" w:rsidRDefault="005D1DA3" w:rsidP="005411C0">
      <w:pPr>
        <w:spacing w:after="240" w:line="240" w:lineRule="auto"/>
        <w:ind w:left="1440" w:hanging="1440"/>
        <w:rPr>
          <w:rFonts w:ascii="Times New Roman" w:hAnsi="Times New Roman"/>
          <w:sz w:val="26"/>
          <w:szCs w:val="26"/>
        </w:rPr>
      </w:pPr>
      <w:r w:rsidRPr="006106DB">
        <w:rPr>
          <w:rFonts w:ascii="Times New Roman" w:hAnsi="Times New Roman"/>
          <w:sz w:val="26"/>
          <w:szCs w:val="26"/>
        </w:rPr>
        <w:t>VoIP</w:t>
      </w:r>
      <w:r w:rsidRPr="006106DB">
        <w:rPr>
          <w:rFonts w:ascii="Times New Roman" w:hAnsi="Times New Roman"/>
          <w:sz w:val="26"/>
          <w:szCs w:val="26"/>
        </w:rPr>
        <w:tab/>
      </w:r>
      <w:r>
        <w:rPr>
          <w:rFonts w:ascii="Times New Roman" w:hAnsi="Times New Roman"/>
          <w:sz w:val="26"/>
          <w:szCs w:val="26"/>
        </w:rPr>
        <w:t>V</w:t>
      </w:r>
      <w:r w:rsidRPr="006106DB">
        <w:rPr>
          <w:rFonts w:ascii="Times New Roman" w:hAnsi="Times New Roman"/>
          <w:sz w:val="26"/>
          <w:szCs w:val="26"/>
        </w:rPr>
        <w:t xml:space="preserve">oice over Internet </w:t>
      </w:r>
      <w:r>
        <w:rPr>
          <w:rFonts w:ascii="Times New Roman" w:hAnsi="Times New Roman"/>
          <w:sz w:val="26"/>
          <w:szCs w:val="26"/>
        </w:rPr>
        <w:t>P</w:t>
      </w:r>
      <w:r w:rsidRPr="006106DB">
        <w:rPr>
          <w:rFonts w:ascii="Times New Roman" w:hAnsi="Times New Roman"/>
          <w:sz w:val="26"/>
          <w:szCs w:val="26"/>
        </w:rPr>
        <w:t>rotocol</w:t>
      </w:r>
    </w:p>
    <w:p w:rsidR="005411C0" w:rsidRPr="006106DB" w:rsidRDefault="005411C0" w:rsidP="005411C0">
      <w:pPr>
        <w:spacing w:after="240" w:line="240" w:lineRule="auto"/>
        <w:ind w:left="1440" w:hanging="1440"/>
        <w:rPr>
          <w:rFonts w:ascii="Times New Roman" w:hAnsi="Times New Roman"/>
          <w:sz w:val="26"/>
          <w:szCs w:val="26"/>
        </w:rPr>
      </w:pPr>
    </w:p>
    <w:p w:rsidR="005411C0" w:rsidRDefault="005411C0" w:rsidP="007A047B">
      <w:pPr>
        <w:spacing w:after="0" w:line="240" w:lineRule="auto"/>
        <w:jc w:val="center"/>
        <w:rPr>
          <w:rFonts w:ascii="Times New Roman" w:hAnsi="Times New Roman"/>
          <w:b/>
          <w:bCs/>
          <w:sz w:val="24"/>
          <w:szCs w:val="24"/>
        </w:rPr>
        <w:sectPr w:rsidR="005411C0" w:rsidSect="003D4EE2">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cols w:space="720"/>
          <w:titlePg/>
          <w:docGrid w:linePitch="360"/>
        </w:sectPr>
      </w:pPr>
    </w:p>
    <w:p w:rsidR="005840C4" w:rsidRPr="00C64966" w:rsidRDefault="005840C4" w:rsidP="005840C4">
      <w:pPr>
        <w:spacing w:after="0" w:line="240" w:lineRule="auto"/>
        <w:jc w:val="center"/>
        <w:rPr>
          <w:rFonts w:ascii="Times New Roman" w:hAnsi="Times New Roman"/>
          <w:b/>
          <w:bCs/>
          <w:sz w:val="24"/>
          <w:szCs w:val="24"/>
        </w:rPr>
      </w:pPr>
      <w:r w:rsidRPr="00C64966">
        <w:rPr>
          <w:rFonts w:ascii="Times New Roman" w:hAnsi="Times New Roman"/>
          <w:b/>
          <w:bCs/>
          <w:sz w:val="24"/>
          <w:szCs w:val="24"/>
        </w:rPr>
        <w:lastRenderedPageBreak/>
        <w:t xml:space="preserve">Before the </w:t>
      </w:r>
    </w:p>
    <w:p w:rsidR="005840C4" w:rsidRPr="00C64966" w:rsidRDefault="005840C4" w:rsidP="005840C4">
      <w:pPr>
        <w:spacing w:after="0" w:line="240" w:lineRule="auto"/>
        <w:jc w:val="center"/>
        <w:rPr>
          <w:rFonts w:ascii="Times New Roman" w:hAnsi="Times New Roman"/>
          <w:b/>
          <w:bCs/>
          <w:sz w:val="24"/>
          <w:szCs w:val="24"/>
        </w:rPr>
      </w:pPr>
      <w:r w:rsidRPr="00C64966">
        <w:rPr>
          <w:rFonts w:ascii="Times New Roman" w:hAnsi="Times New Roman"/>
          <w:b/>
          <w:bCs/>
          <w:sz w:val="24"/>
          <w:szCs w:val="24"/>
        </w:rPr>
        <w:t>Federal Communications Commission</w:t>
      </w:r>
    </w:p>
    <w:p w:rsidR="005840C4" w:rsidRPr="00C64966" w:rsidRDefault="005840C4" w:rsidP="005840C4">
      <w:pPr>
        <w:spacing w:after="0" w:line="240" w:lineRule="auto"/>
        <w:jc w:val="center"/>
        <w:rPr>
          <w:rFonts w:ascii="Times New Roman" w:hAnsi="Times New Roman"/>
          <w:b/>
          <w:bCs/>
          <w:sz w:val="24"/>
          <w:szCs w:val="24"/>
        </w:rPr>
      </w:pPr>
      <w:r w:rsidRPr="00C64966">
        <w:rPr>
          <w:rFonts w:ascii="Times New Roman" w:hAnsi="Times New Roman"/>
          <w:b/>
          <w:bCs/>
          <w:sz w:val="24"/>
          <w:szCs w:val="24"/>
        </w:rPr>
        <w:t>Washington, D.C.</w:t>
      </w:r>
    </w:p>
    <w:p w:rsidR="005840C4" w:rsidRPr="00C64966" w:rsidRDefault="005840C4" w:rsidP="005840C4">
      <w:pPr>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788"/>
        <w:gridCol w:w="360"/>
        <w:gridCol w:w="4428"/>
      </w:tblGrid>
      <w:tr w:rsidR="005840C4" w:rsidRPr="00C64966" w:rsidTr="00F907DB">
        <w:tc>
          <w:tcPr>
            <w:tcW w:w="4788" w:type="dxa"/>
          </w:tcPr>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In the Matter of</w:t>
            </w:r>
            <w:r w:rsidRPr="00C64966">
              <w:rPr>
                <w:rFonts w:ascii="Times New Roman" w:hAnsi="Times New Roman"/>
                <w:b/>
                <w:sz w:val="24"/>
                <w:szCs w:val="24"/>
              </w:rPr>
              <w:tab/>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Connect America Fund</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A National Broadband Plan of Our Future</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Pr>
                <w:rFonts w:ascii="Times New Roman" w:hAnsi="Times New Roman"/>
                <w:b/>
                <w:sz w:val="24"/>
                <w:szCs w:val="24"/>
              </w:rPr>
              <w:t>Establishing J</w:t>
            </w:r>
            <w:r w:rsidRPr="00C64966">
              <w:rPr>
                <w:rFonts w:ascii="Times New Roman" w:hAnsi="Times New Roman"/>
                <w:b/>
                <w:sz w:val="24"/>
                <w:szCs w:val="24"/>
              </w:rPr>
              <w:t>ust and Reasonable Rates for Local Exchange Carriers</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High-Cost Universal Service Support</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Developing a Uni</w:t>
            </w:r>
            <w:r>
              <w:rPr>
                <w:rFonts w:ascii="Times New Roman" w:hAnsi="Times New Roman"/>
                <w:b/>
                <w:sz w:val="24"/>
                <w:szCs w:val="24"/>
              </w:rPr>
              <w:t>fied Intercarrier Compensation R</w:t>
            </w:r>
            <w:r w:rsidRPr="00C64966">
              <w:rPr>
                <w:rFonts w:ascii="Times New Roman" w:hAnsi="Times New Roman"/>
                <w:b/>
                <w:sz w:val="24"/>
                <w:szCs w:val="24"/>
              </w:rPr>
              <w:t>egime</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sz w:val="24"/>
                <w:szCs w:val="24"/>
              </w:rPr>
            </w:pPr>
            <w:r w:rsidRPr="00C64966">
              <w:rPr>
                <w:rFonts w:ascii="Times New Roman" w:hAnsi="Times New Roman"/>
                <w:b/>
                <w:sz w:val="24"/>
                <w:szCs w:val="24"/>
              </w:rPr>
              <w:t xml:space="preserve">Federal-State Joint Board on </w:t>
            </w:r>
            <w:r>
              <w:rPr>
                <w:rFonts w:ascii="Times New Roman" w:hAnsi="Times New Roman"/>
                <w:b/>
                <w:sz w:val="24"/>
                <w:szCs w:val="24"/>
              </w:rPr>
              <w:t>U</w:t>
            </w:r>
            <w:r w:rsidRPr="00C64966">
              <w:rPr>
                <w:rFonts w:ascii="Times New Roman" w:hAnsi="Times New Roman"/>
                <w:b/>
                <w:sz w:val="24"/>
                <w:szCs w:val="24"/>
              </w:rPr>
              <w:t>niversal Service</w:t>
            </w:r>
          </w:p>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sz w:val="24"/>
                <w:szCs w:val="24"/>
              </w:rPr>
              <w:t>Lifeline and Link-Up</w:t>
            </w:r>
          </w:p>
        </w:tc>
        <w:tc>
          <w:tcPr>
            <w:tcW w:w="360" w:type="dxa"/>
          </w:tcPr>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p w:rsidR="005840C4" w:rsidRPr="00C64966" w:rsidRDefault="005840C4" w:rsidP="00F907DB">
            <w:pPr>
              <w:spacing w:after="0" w:line="240" w:lineRule="auto"/>
              <w:jc w:val="center"/>
              <w:rPr>
                <w:rFonts w:ascii="Times New Roman" w:hAnsi="Times New Roman"/>
                <w:b/>
                <w:bCs/>
                <w:sz w:val="24"/>
                <w:szCs w:val="24"/>
              </w:rPr>
            </w:pPr>
            <w:r w:rsidRPr="00C64966">
              <w:rPr>
                <w:rFonts w:ascii="Times New Roman" w:hAnsi="Times New Roman"/>
                <w:b/>
                <w:bCs/>
                <w:sz w:val="24"/>
                <w:szCs w:val="24"/>
              </w:rPr>
              <w:t>:</w:t>
            </w:r>
          </w:p>
        </w:tc>
        <w:tc>
          <w:tcPr>
            <w:tcW w:w="4428" w:type="dxa"/>
          </w:tcPr>
          <w:p w:rsidR="005840C4" w:rsidRPr="00C64966" w:rsidRDefault="005840C4" w:rsidP="00F907DB">
            <w:pPr>
              <w:spacing w:after="0" w:line="240" w:lineRule="auto"/>
              <w:rPr>
                <w:rFonts w:ascii="Times New Roman" w:hAnsi="Times New Roman"/>
                <w:b/>
                <w:sz w:val="24"/>
                <w:szCs w:val="24"/>
              </w:rPr>
            </w:pP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WC Docket No. 10-90</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proofErr w:type="spellStart"/>
            <w:r w:rsidRPr="00C64966">
              <w:rPr>
                <w:rFonts w:ascii="Times New Roman" w:hAnsi="Times New Roman"/>
                <w:b/>
                <w:bCs/>
                <w:sz w:val="24"/>
                <w:szCs w:val="24"/>
              </w:rPr>
              <w:t>GN</w:t>
            </w:r>
            <w:proofErr w:type="spellEnd"/>
            <w:r w:rsidRPr="00C64966">
              <w:rPr>
                <w:rFonts w:ascii="Times New Roman" w:hAnsi="Times New Roman"/>
                <w:b/>
                <w:bCs/>
                <w:sz w:val="24"/>
                <w:szCs w:val="24"/>
              </w:rPr>
              <w:t xml:space="preserve"> Docket No. 09-51</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WC Docket No. 07-135</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WC Docket No. 05-337</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CC Docket No. 01-92</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CC Docket No. 96-45</w:t>
            </w: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p>
          <w:p w:rsidR="005840C4" w:rsidRPr="00C64966" w:rsidRDefault="005840C4" w:rsidP="00F907DB">
            <w:pPr>
              <w:spacing w:after="0" w:line="240" w:lineRule="auto"/>
              <w:rPr>
                <w:rFonts w:ascii="Times New Roman" w:hAnsi="Times New Roman"/>
                <w:b/>
                <w:bCs/>
                <w:sz w:val="24"/>
                <w:szCs w:val="24"/>
              </w:rPr>
            </w:pPr>
            <w:r w:rsidRPr="00C64966">
              <w:rPr>
                <w:rFonts w:ascii="Times New Roman" w:hAnsi="Times New Roman"/>
                <w:b/>
                <w:bCs/>
                <w:sz w:val="24"/>
                <w:szCs w:val="24"/>
              </w:rPr>
              <w:t>WC Docket No. 03-109</w:t>
            </w:r>
          </w:p>
        </w:tc>
      </w:tr>
      <w:tr w:rsidR="005840C4" w:rsidRPr="00C64966" w:rsidTr="00F907DB">
        <w:tc>
          <w:tcPr>
            <w:tcW w:w="4788" w:type="dxa"/>
          </w:tcPr>
          <w:p w:rsidR="005840C4" w:rsidRPr="00C64966" w:rsidRDefault="005840C4" w:rsidP="00F907DB">
            <w:pPr>
              <w:spacing w:after="0" w:line="240" w:lineRule="auto"/>
              <w:rPr>
                <w:rFonts w:ascii="Times New Roman" w:hAnsi="Times New Roman"/>
                <w:b/>
                <w:sz w:val="24"/>
                <w:szCs w:val="24"/>
              </w:rPr>
            </w:pPr>
          </w:p>
        </w:tc>
        <w:tc>
          <w:tcPr>
            <w:tcW w:w="360" w:type="dxa"/>
          </w:tcPr>
          <w:p w:rsidR="005840C4" w:rsidRPr="00C64966" w:rsidRDefault="005840C4" w:rsidP="00F907DB">
            <w:pPr>
              <w:spacing w:after="0" w:line="240" w:lineRule="auto"/>
              <w:jc w:val="center"/>
              <w:rPr>
                <w:rFonts w:ascii="Times New Roman" w:hAnsi="Times New Roman"/>
                <w:b/>
                <w:bCs/>
                <w:sz w:val="24"/>
                <w:szCs w:val="24"/>
              </w:rPr>
            </w:pPr>
          </w:p>
        </w:tc>
        <w:tc>
          <w:tcPr>
            <w:tcW w:w="4428" w:type="dxa"/>
          </w:tcPr>
          <w:p w:rsidR="005840C4" w:rsidRPr="00C64966" w:rsidRDefault="005840C4" w:rsidP="00F907DB">
            <w:pPr>
              <w:spacing w:after="0" w:line="240" w:lineRule="auto"/>
              <w:rPr>
                <w:rFonts w:ascii="Times New Roman" w:hAnsi="Times New Roman"/>
                <w:b/>
                <w:sz w:val="24"/>
                <w:szCs w:val="24"/>
              </w:rPr>
            </w:pPr>
          </w:p>
        </w:tc>
      </w:tr>
    </w:tbl>
    <w:p w:rsidR="005840C4" w:rsidRPr="00C64966" w:rsidRDefault="005840C4" w:rsidP="005840C4">
      <w:pPr>
        <w:spacing w:line="240" w:lineRule="auto"/>
        <w:rPr>
          <w:rFonts w:ascii="Times New Roman" w:hAnsi="Times New Roman"/>
          <w:b/>
          <w:sz w:val="24"/>
          <w:szCs w:val="24"/>
        </w:rPr>
      </w:pPr>
    </w:p>
    <w:p w:rsidR="005840C4" w:rsidRDefault="005840C4" w:rsidP="005840C4">
      <w:pPr>
        <w:pBdr>
          <w:top w:val="single" w:sz="12" w:space="1" w:color="auto"/>
          <w:bottom w:val="single" w:sz="12" w:space="1" w:color="auto"/>
        </w:pBdr>
        <w:spacing w:line="240" w:lineRule="auto"/>
        <w:jc w:val="center"/>
        <w:rPr>
          <w:rFonts w:ascii="Times New Roman" w:hAnsi="Times New Roman"/>
          <w:b/>
          <w:sz w:val="24"/>
          <w:szCs w:val="24"/>
        </w:rPr>
      </w:pPr>
      <w:r w:rsidRPr="00700544">
        <w:rPr>
          <w:rFonts w:ascii="Times New Roman" w:hAnsi="Times New Roman"/>
          <w:b/>
          <w:sz w:val="28"/>
          <w:szCs w:val="28"/>
        </w:rPr>
        <w:t>COMMENTS</w:t>
      </w:r>
      <w:r w:rsidRPr="00C64966">
        <w:rPr>
          <w:rFonts w:ascii="Times New Roman" w:hAnsi="Times New Roman"/>
          <w:b/>
          <w:sz w:val="24"/>
          <w:szCs w:val="24"/>
        </w:rPr>
        <w:br/>
      </w:r>
      <w:r w:rsidRPr="00700544">
        <w:rPr>
          <w:rFonts w:ascii="Times New Roman" w:hAnsi="Times New Roman"/>
          <w:b/>
          <w:sz w:val="28"/>
          <w:szCs w:val="28"/>
        </w:rPr>
        <w:t>SUBMITTED ON BEHALF OF</w:t>
      </w:r>
      <w:r w:rsidRPr="00C64966">
        <w:rPr>
          <w:rFonts w:ascii="Times New Roman" w:hAnsi="Times New Roman"/>
          <w:b/>
          <w:sz w:val="24"/>
          <w:szCs w:val="24"/>
        </w:rPr>
        <w:br/>
      </w:r>
      <w:r w:rsidRPr="00700544">
        <w:rPr>
          <w:rFonts w:ascii="Times New Roman" w:hAnsi="Times New Roman"/>
          <w:b/>
          <w:sz w:val="28"/>
          <w:szCs w:val="28"/>
        </w:rPr>
        <w:t>THE PUBLIC UTILITIES COMMISSION OF OHIO</w:t>
      </w:r>
    </w:p>
    <w:p w:rsidR="005840C4" w:rsidRPr="00C64966" w:rsidRDefault="005840C4" w:rsidP="005840C4">
      <w:pPr>
        <w:pStyle w:val="Heading1"/>
      </w:pPr>
      <w:bookmarkStart w:id="1" w:name="_Toc289070718"/>
      <w:bookmarkStart w:id="2" w:name="_Toc290279140"/>
      <w:bookmarkStart w:id="3" w:name="_Toc290892247"/>
      <w:r w:rsidRPr="00C64966">
        <w:t>INTRODUCTION AND SUMMARY</w:t>
      </w:r>
      <w:bookmarkEnd w:id="1"/>
      <w:bookmarkEnd w:id="2"/>
      <w:bookmarkEnd w:id="3"/>
    </w:p>
    <w:p w:rsidR="005840C4" w:rsidRDefault="005840C4" w:rsidP="005840C4">
      <w:pPr>
        <w:pStyle w:val="Textstyle"/>
      </w:pPr>
      <w:r w:rsidRPr="007A047B">
        <w:tab/>
        <w:t xml:space="preserve">On February 9, 2011, the Federal Communications Commission (FCC) released a Notice of Proposed Rulemaking and Further Notice of Proposed Rulemaking (collectively, NPRM) intended to facilitate the modernization and streamlining of the FCC’s universal service fund and </w:t>
      </w:r>
      <w:proofErr w:type="spellStart"/>
      <w:r w:rsidRPr="007A047B">
        <w:t>intercarrier</w:t>
      </w:r>
      <w:proofErr w:type="spellEnd"/>
      <w:r w:rsidRPr="007A047B">
        <w:t xml:space="preserve"> compensation policies with the </w:t>
      </w:r>
      <w:r>
        <w:t>stated</w:t>
      </w:r>
      <w:r w:rsidRPr="007A047B">
        <w:t xml:space="preserve"> goal of bringing “affordable wired and wireless broadband – and the jobs and investment they </w:t>
      </w:r>
      <w:r w:rsidRPr="007A047B">
        <w:lastRenderedPageBreak/>
        <w:t>spur – to all Americans while combating waste and inefficiency.” </w:t>
      </w:r>
      <w:r w:rsidRPr="007A047B">
        <w:rPr>
          <w:rStyle w:val="FootnoteReference"/>
          <w:rFonts w:eastAsiaTheme="majorEastAsia"/>
        </w:rPr>
        <w:footnoteReference w:id="1"/>
      </w:r>
      <w:r w:rsidRPr="007A047B">
        <w:t xml:space="preserve">  Following four core principles,</w:t>
      </w:r>
      <w:r w:rsidRPr="007A047B">
        <w:rPr>
          <w:rStyle w:val="FootnoteReference"/>
          <w:rFonts w:eastAsiaTheme="majorEastAsia"/>
        </w:rPr>
        <w:footnoteReference w:id="2"/>
      </w:r>
      <w:r w:rsidRPr="007A047B">
        <w:t xml:space="preserve"> the NPRM proposes several near-term and long-term reforms designed to achieve this goal.  </w:t>
      </w:r>
      <w:r>
        <w:t>The FCC established two comment cycles for the NPRM.  Comments regarding the issues raised in Section XV of the NPRM were due by April 1, 2011, with comments for all other sections due by April 18, 2011</w:t>
      </w:r>
      <w:r w:rsidR="003D4E42">
        <w:t xml:space="preserve">.  </w:t>
      </w:r>
      <w:r>
        <w:t>The Public Utilities Commission of Ohio (Ohio Commission)</w:t>
      </w:r>
      <w:r w:rsidRPr="007A047B">
        <w:t xml:space="preserve"> </w:t>
      </w:r>
      <w:r>
        <w:t xml:space="preserve">previously filed comments pertaining to </w:t>
      </w:r>
      <w:r w:rsidRPr="007A047B">
        <w:t>Section XV</w:t>
      </w:r>
      <w:r>
        <w:t>.  The Ohio</w:t>
      </w:r>
      <w:r w:rsidRPr="007A047B">
        <w:t xml:space="preserve"> </w:t>
      </w:r>
      <w:r>
        <w:t xml:space="preserve">Commission is pleased to now submit its comments concerning the </w:t>
      </w:r>
      <w:proofErr w:type="spellStart"/>
      <w:r>
        <w:t>NPRM’s</w:t>
      </w:r>
      <w:proofErr w:type="spellEnd"/>
      <w:r>
        <w:t xml:space="preserve"> remain</w:t>
      </w:r>
      <w:r w:rsidR="00930230">
        <w:softHyphen/>
      </w:r>
      <w:r>
        <w:t xml:space="preserve">ing sections for consideration by the FCC.  </w:t>
      </w:r>
      <w:r w:rsidRPr="007A047B">
        <w:t xml:space="preserve"> </w:t>
      </w:r>
    </w:p>
    <w:p w:rsidR="005840C4" w:rsidRDefault="005840C4" w:rsidP="005840C4">
      <w:pPr>
        <w:pStyle w:val="Heading1"/>
      </w:pPr>
      <w:bookmarkStart w:id="4" w:name="_Toc290279141"/>
      <w:bookmarkStart w:id="5" w:name="_Toc290892248"/>
      <w:r w:rsidRPr="00810C12">
        <w:t>DISCUSSION</w:t>
      </w:r>
      <w:bookmarkEnd w:id="4"/>
      <w:bookmarkEnd w:id="5"/>
    </w:p>
    <w:p w:rsidR="005840C4" w:rsidRDefault="00FC0358" w:rsidP="00FC0358">
      <w:pPr>
        <w:pStyle w:val="Heading2"/>
      </w:pPr>
      <w:bookmarkStart w:id="6" w:name="_Toc290279142"/>
      <w:bookmarkStart w:id="7" w:name="_Toc290892249"/>
      <w:r>
        <w:t>I.</w:t>
      </w:r>
      <w:r>
        <w:tab/>
      </w:r>
      <w:r w:rsidR="005840C4">
        <w:t>LEGAL AUTHORITY TO SUPPORT BROADBAND</w:t>
      </w:r>
      <w:bookmarkEnd w:id="6"/>
      <w:bookmarkEnd w:id="7"/>
    </w:p>
    <w:p w:rsidR="005840C4" w:rsidRPr="00C260DA" w:rsidRDefault="00FC0358" w:rsidP="00FC0358">
      <w:pPr>
        <w:pStyle w:val="Heading3"/>
      </w:pPr>
      <w:bookmarkStart w:id="8" w:name="_Toc290279143"/>
      <w:bookmarkStart w:id="9" w:name="_Toc290892250"/>
      <w:r>
        <w:t>A.</w:t>
      </w:r>
      <w:r>
        <w:tab/>
      </w:r>
      <w:r w:rsidR="005840C4" w:rsidRPr="00C260DA">
        <w:t>Additional Section 254(b) Principle</w:t>
      </w:r>
      <w:bookmarkEnd w:id="8"/>
      <w:bookmarkEnd w:id="9"/>
    </w:p>
    <w:p w:rsidR="005840C4" w:rsidRPr="00C260DA" w:rsidRDefault="005840C4" w:rsidP="005840C4">
      <w:pPr>
        <w:pStyle w:val="Textstyle"/>
      </w:pPr>
      <w:r>
        <w:tab/>
      </w:r>
      <w:r w:rsidRPr="00C260DA">
        <w:t>As the FCC points out in the NPRM, Section 254(b) of the Act requires that the FCC base its universal service policies on six enumerated principles.</w:t>
      </w:r>
      <w:r w:rsidRPr="00C260DA">
        <w:rPr>
          <w:rStyle w:val="FootnoteReference"/>
          <w:rFonts w:eastAsiaTheme="majorEastAsia"/>
        </w:rPr>
        <w:footnoteReference w:id="3"/>
      </w:r>
      <w:r w:rsidRPr="00C260DA">
        <w:t xml:space="preserve">  Recently, </w:t>
      </w:r>
      <w:r>
        <w:t xml:space="preserve">under </w:t>
      </w:r>
      <w:r>
        <w:lastRenderedPageBreak/>
        <w:t>Section 254(b</w:t>
      </w:r>
      <w:proofErr w:type="gramStart"/>
      <w:r>
        <w:t>)(</w:t>
      </w:r>
      <w:proofErr w:type="gramEnd"/>
      <w:r>
        <w:t xml:space="preserve">7), </w:t>
      </w:r>
      <w:r w:rsidRPr="00C260DA">
        <w:t>the Federal-State Joint Board on Universal Service (Joint Board) recom</w:t>
      </w:r>
      <w:r w:rsidR="00930230">
        <w:softHyphen/>
      </w:r>
      <w:r w:rsidRPr="00C260DA">
        <w:t>mended adoption of an additional principal “that universal service support should be directed where possible to networks that provide advance services, as well as voice services.”</w:t>
      </w:r>
      <w:r w:rsidRPr="00C260DA">
        <w:rPr>
          <w:rStyle w:val="FootnoteReference"/>
          <w:rFonts w:eastAsiaTheme="majorEastAsia"/>
        </w:rPr>
        <w:footnoteReference w:id="4"/>
      </w:r>
      <w:r w:rsidRPr="00C260DA">
        <w:t xml:space="preserve">  Additional principles must be necessary and appropriate for the protection of the public interest, convenience, and necessity and consistent with </w:t>
      </w:r>
      <w:r>
        <w:t>the</w:t>
      </w:r>
      <w:r w:rsidRPr="00C260DA">
        <w:t xml:space="preserve"> Act.</w:t>
      </w:r>
      <w:r w:rsidRPr="00C260DA">
        <w:rPr>
          <w:rStyle w:val="FootnoteReference"/>
          <w:rFonts w:eastAsiaTheme="majorEastAsia"/>
        </w:rPr>
        <w:footnoteReference w:id="5"/>
      </w:r>
      <w:r w:rsidRPr="00C260DA">
        <w:t xml:space="preserve">  The prin</w:t>
      </w:r>
      <w:r w:rsidR="00930230">
        <w:softHyphen/>
      </w:r>
      <w:r w:rsidRPr="00C260DA">
        <w:t xml:space="preserve">ciple set forth by the Joint Board meets this test.  </w:t>
      </w:r>
    </w:p>
    <w:p w:rsidR="005840C4" w:rsidRPr="00C260DA" w:rsidRDefault="005840C4" w:rsidP="005840C4">
      <w:pPr>
        <w:pStyle w:val="Textstyle"/>
      </w:pPr>
      <w:r>
        <w:tab/>
      </w:r>
      <w:r w:rsidRPr="00C260DA">
        <w:t>The Ohio Commission shares the FCC’s belief that the principle proposed by the Joint Board strikes a reasonable balance between the dual goals of preserving and advanc</w:t>
      </w:r>
      <w:r w:rsidR="00930230">
        <w:softHyphen/>
      </w:r>
      <w:r w:rsidRPr="00C260DA">
        <w:t>ing universal service, consistent with  section 254(b)(5) of the Act</w:t>
      </w:r>
      <w:r>
        <w:t>,</w:t>
      </w:r>
      <w:r w:rsidRPr="00C260DA">
        <w:t xml:space="preserve"> and increasing access to advanced telecommunications and information services consistent with section 254(b)(3)</w:t>
      </w:r>
      <w:r>
        <w:t>.</w:t>
      </w:r>
      <w:r w:rsidRPr="00C260DA">
        <w:t xml:space="preserve">  Additionally, the Ohio Commission agrees that adopting this </w:t>
      </w:r>
      <w:r>
        <w:t xml:space="preserve">additional </w:t>
      </w:r>
      <w:r w:rsidRPr="00C260DA">
        <w:t>prin</w:t>
      </w:r>
      <w:r w:rsidR="00930230">
        <w:softHyphen/>
      </w:r>
      <w:r w:rsidRPr="00C260DA">
        <w:t>cip</w:t>
      </w:r>
      <w:r w:rsidR="00010401">
        <w:t>le</w:t>
      </w:r>
      <w:r w:rsidRPr="00C260DA">
        <w:t xml:space="preserve"> will further clarify federal universal service objectives.</w:t>
      </w:r>
      <w:r w:rsidRPr="00C260DA">
        <w:rPr>
          <w:rStyle w:val="FootnoteReference"/>
          <w:rFonts w:eastAsiaTheme="majorEastAsia"/>
        </w:rPr>
        <w:footnoteReference w:id="6"/>
      </w:r>
      <w:r w:rsidRPr="00C260DA">
        <w:t xml:space="preserve">  As such, the Ohio Commis</w:t>
      </w:r>
      <w:r w:rsidR="00930230">
        <w:softHyphen/>
      </w:r>
      <w:r w:rsidRPr="00C260DA">
        <w:t xml:space="preserve">sion believes that the proposed principle is not only consistent with section 254, but is also necessary and appropriate for the protection of the public interest, convenience and necessity and should be adopted by the FCC.  </w:t>
      </w:r>
    </w:p>
    <w:p w:rsidR="005840C4" w:rsidRPr="00C260DA" w:rsidRDefault="00FC0358" w:rsidP="00FC0358">
      <w:pPr>
        <w:pStyle w:val="Heading3"/>
      </w:pPr>
      <w:bookmarkStart w:id="10" w:name="_Toc290279144"/>
      <w:bookmarkStart w:id="11" w:name="_Toc290892251"/>
      <w:r>
        <w:lastRenderedPageBreak/>
        <w:t>B.</w:t>
      </w:r>
      <w:r>
        <w:tab/>
      </w:r>
      <w:r w:rsidR="005840C4" w:rsidRPr="00C260DA">
        <w:t>Commission Authority to Support Broadband</w:t>
      </w:r>
      <w:bookmarkEnd w:id="10"/>
      <w:bookmarkEnd w:id="11"/>
    </w:p>
    <w:p w:rsidR="005840C4" w:rsidRPr="00C260DA" w:rsidRDefault="00490216" w:rsidP="00490216">
      <w:pPr>
        <w:pStyle w:val="Heading4"/>
      </w:pPr>
      <w:bookmarkStart w:id="12" w:name="_Toc290279145"/>
      <w:bookmarkStart w:id="13" w:name="_Toc290892252"/>
      <w:r>
        <w:t>i.</w:t>
      </w:r>
      <w:r>
        <w:tab/>
      </w:r>
      <w:r w:rsidR="005840C4" w:rsidRPr="00C260DA">
        <w:t>Section 254</w:t>
      </w:r>
      <w:bookmarkEnd w:id="12"/>
      <w:bookmarkEnd w:id="13"/>
    </w:p>
    <w:p w:rsidR="005840C4" w:rsidRPr="00C260DA" w:rsidRDefault="005840C4" w:rsidP="005840C4">
      <w:pPr>
        <w:pStyle w:val="Textstyle"/>
      </w:pPr>
      <w:r>
        <w:tab/>
      </w:r>
      <w:r w:rsidRPr="00C260DA">
        <w:t>The FCC seeks comment on its authority under section 254 to support broadband services.</w:t>
      </w:r>
      <w:r w:rsidRPr="00C260DA">
        <w:rPr>
          <w:rStyle w:val="FootnoteReference"/>
          <w:rFonts w:eastAsiaTheme="majorEastAsia"/>
        </w:rPr>
        <w:footnoteReference w:id="7"/>
      </w:r>
      <w:r w:rsidRPr="00C260DA">
        <w:t xml:space="preserve">  In support of this authority, the FCC notes that section 254(b) requires that it promote access to “advanced telecommunications and information services,” which, accord</w:t>
      </w:r>
      <w:r w:rsidR="00930230">
        <w:softHyphen/>
      </w:r>
      <w:r w:rsidRPr="00C260DA">
        <w:t>ing to the FCC, requires supporting broadband networks.</w:t>
      </w:r>
      <w:r w:rsidRPr="00C260DA">
        <w:rPr>
          <w:rStyle w:val="FootnoteReference"/>
          <w:rFonts w:eastAsiaTheme="majorEastAsia"/>
        </w:rPr>
        <w:footnoteReference w:id="8"/>
      </w:r>
      <w:r w:rsidRPr="00C260DA">
        <w:t xml:space="preserve">  While section 254(c</w:t>
      </w:r>
      <w:proofErr w:type="gramStart"/>
      <w:r w:rsidRPr="00C260DA">
        <w:t>)(</w:t>
      </w:r>
      <w:proofErr w:type="gramEnd"/>
      <w:r w:rsidRPr="00C260DA">
        <w:t>1) defines “universal service” as “an evolving level of telecommunications services, the FCC asserts that Congress “expressly contemplated that this definition would evolve over time based on ‘advances in telecommunications and information technologies and ser</w:t>
      </w:r>
      <w:r w:rsidR="00930230">
        <w:softHyphen/>
      </w:r>
      <w:r w:rsidRPr="00C260DA">
        <w:t>vices.’”</w:t>
      </w:r>
      <w:r w:rsidRPr="00C260DA">
        <w:rPr>
          <w:rStyle w:val="FootnoteReference"/>
          <w:rFonts w:eastAsiaTheme="majorEastAsia"/>
        </w:rPr>
        <w:footnoteReference w:id="9"/>
      </w:r>
      <w:r w:rsidRPr="00C260DA">
        <w:t xml:space="preserve">  The FCC further notes that section 254(c</w:t>
      </w:r>
      <w:proofErr w:type="gramStart"/>
      <w:r w:rsidRPr="00C260DA">
        <w:t>)(</w:t>
      </w:r>
      <w:proofErr w:type="gramEnd"/>
      <w:r w:rsidRPr="00C260DA">
        <w:t>2) does not limit the Joint Board to telecommunications services in making recommendations to the FCC regarding the defini</w:t>
      </w:r>
      <w:r w:rsidR="00930230">
        <w:softHyphen/>
      </w:r>
      <w:r w:rsidRPr="00C260DA">
        <w:t>tion of supported services.</w:t>
      </w:r>
      <w:r w:rsidRPr="00C260DA">
        <w:rPr>
          <w:rStyle w:val="FootnoteReference"/>
          <w:rFonts w:eastAsiaTheme="majorEastAsia"/>
        </w:rPr>
        <w:footnoteReference w:id="10"/>
      </w:r>
      <w:r w:rsidRPr="00C260DA">
        <w:t xml:space="preserve">  Nonetheless, the FCC</w:t>
      </w:r>
      <w:r>
        <w:t xml:space="preserve"> has stated that its</w:t>
      </w:r>
      <w:r w:rsidRPr="00C260DA">
        <w:t xml:space="preserve"> authority to support broadband service under section 254 is ambiguous.</w:t>
      </w:r>
      <w:r w:rsidRPr="00C260DA">
        <w:rPr>
          <w:rStyle w:val="FootnoteReference"/>
          <w:rFonts w:eastAsiaTheme="majorEastAsia"/>
        </w:rPr>
        <w:footnoteReference w:id="11"/>
      </w:r>
    </w:p>
    <w:p w:rsidR="005840C4" w:rsidRPr="00C260DA" w:rsidRDefault="005840C4" w:rsidP="005840C4">
      <w:pPr>
        <w:pStyle w:val="Textstyle"/>
      </w:pPr>
      <w:r>
        <w:tab/>
      </w:r>
      <w:r w:rsidRPr="00C260DA">
        <w:t>Section 254(c</w:t>
      </w:r>
      <w:proofErr w:type="gramStart"/>
      <w:r w:rsidRPr="00C260DA">
        <w:t>)(</w:t>
      </w:r>
      <w:proofErr w:type="gramEnd"/>
      <w:r w:rsidRPr="00C260DA">
        <w:t>1) sets forth four requirements that a telecommunications service must meet to be a supported service.</w:t>
      </w:r>
      <w:r w:rsidRPr="00C260DA">
        <w:rPr>
          <w:rStyle w:val="FootnoteReference"/>
          <w:rFonts w:eastAsiaTheme="majorEastAsia"/>
        </w:rPr>
        <w:footnoteReference w:id="12"/>
      </w:r>
      <w:r w:rsidRPr="00C260DA">
        <w:t xml:space="preserve">  If the FCC’s argument that section 254 encom</w:t>
      </w:r>
      <w:r w:rsidR="00930230">
        <w:softHyphen/>
      </w:r>
      <w:r w:rsidRPr="00C260DA">
        <w:t xml:space="preserve">passes more than simply telecommunications services is accepted, the Ohio Commission </w:t>
      </w:r>
      <w:r w:rsidRPr="00C260DA">
        <w:lastRenderedPageBreak/>
        <w:t>believes that broadband service likely meets the section 254(c)(1) four-part test.  This has been recognized by the Ohio Commission in prior comments.</w:t>
      </w:r>
      <w:r w:rsidRPr="00C260DA">
        <w:rPr>
          <w:rStyle w:val="FootnoteReference"/>
          <w:rFonts w:eastAsiaTheme="majorEastAsia"/>
        </w:rPr>
        <w:footnoteReference w:id="13"/>
      </w:r>
      <w:r w:rsidRPr="00C260DA">
        <w:t xml:space="preserve">  Nevertheless, the FCC’s interpretation of its authority to support broadband service under section 254 is not a set</w:t>
      </w:r>
      <w:r w:rsidR="00930230">
        <w:softHyphen/>
      </w:r>
      <w:r w:rsidRPr="00C260DA">
        <w:t xml:space="preserve">tled matter.  As the Ohio Commission </w:t>
      </w:r>
      <w:r>
        <w:t xml:space="preserve">has </w:t>
      </w:r>
      <w:r w:rsidRPr="00C260DA">
        <w:t>also recognized, the result of maintaining the classification of broadband service as a Title I information service will be time consum</w:t>
      </w:r>
      <w:r w:rsidR="00930230">
        <w:softHyphen/>
      </w:r>
      <w:r w:rsidRPr="00C260DA">
        <w:t>ing litigation that threatens the Congress’ overall goal to universally deploy and fund this service.</w:t>
      </w:r>
      <w:r w:rsidRPr="00C260DA">
        <w:rPr>
          <w:rStyle w:val="FootnoteReference"/>
          <w:rFonts w:eastAsiaTheme="majorEastAsia"/>
        </w:rPr>
        <w:footnoteReference w:id="14"/>
      </w:r>
      <w:r w:rsidRPr="00C260DA">
        <w:t xml:space="preserve">  In the wake of the </w:t>
      </w:r>
      <w:r w:rsidRPr="00C260DA">
        <w:rPr>
          <w:i/>
        </w:rPr>
        <w:t>Comcast</w:t>
      </w:r>
      <w:r w:rsidRPr="00C260DA">
        <w:t xml:space="preserve"> decision,</w:t>
      </w:r>
      <w:r w:rsidRPr="00EA6AC4">
        <w:rPr>
          <w:rStyle w:val="FootnoteReference"/>
          <w:rFonts w:eastAsiaTheme="majorEastAsia"/>
        </w:rPr>
        <w:t xml:space="preserve"> </w:t>
      </w:r>
      <w:r w:rsidRPr="00C260DA">
        <w:rPr>
          <w:rStyle w:val="FootnoteReference"/>
          <w:rFonts w:eastAsiaTheme="majorEastAsia"/>
        </w:rPr>
        <w:footnoteReference w:id="15"/>
      </w:r>
      <w:r w:rsidRPr="00C260DA">
        <w:t xml:space="preserve"> it will be difficult for the FCC to pro</w:t>
      </w:r>
      <w:r w:rsidR="00930230">
        <w:softHyphen/>
      </w:r>
      <w:r w:rsidRPr="00C260DA">
        <w:t>vide support for broadband services through its Title I ancillary authority, whether it is reasonably ancillary to section 254(b) or section 706, as this authority will frequently be called into question.  Consequently, the Ohio Commission reiterates its belief that reclassify</w:t>
      </w:r>
      <w:r w:rsidR="00930230">
        <w:softHyphen/>
      </w:r>
      <w:r w:rsidRPr="00C260DA">
        <w:t>ing broadband service as a Title II telecommunications service with forbear</w:t>
      </w:r>
      <w:r w:rsidR="00930230">
        <w:softHyphen/>
      </w:r>
      <w:r w:rsidRPr="00C260DA">
        <w:t>ances is the most efficient way for the FCC to achieve the Congress</w:t>
      </w:r>
      <w:r>
        <w:t>ional</w:t>
      </w:r>
      <w:r w:rsidRPr="00C260DA">
        <w:t xml:space="preserve"> goals related to the National Broadband Plan (</w:t>
      </w:r>
      <w:proofErr w:type="spellStart"/>
      <w:r w:rsidRPr="00C260DA">
        <w:t>NBP</w:t>
      </w:r>
      <w:proofErr w:type="spellEnd"/>
      <w:r w:rsidRPr="00C260DA">
        <w:t>).</w:t>
      </w:r>
      <w:r>
        <w:t xml:space="preserve">  </w:t>
      </w:r>
    </w:p>
    <w:p w:rsidR="005840C4" w:rsidRPr="00C260DA" w:rsidRDefault="005840C4" w:rsidP="005840C4">
      <w:pPr>
        <w:pStyle w:val="Textstyle"/>
      </w:pPr>
      <w:r>
        <w:tab/>
      </w:r>
      <w:r w:rsidRPr="00C260DA">
        <w:t>As the FCC points out, section 254(e) limits universal service support to eligible telecommunications carriers (</w:t>
      </w:r>
      <w:proofErr w:type="spellStart"/>
      <w:r w:rsidRPr="00C260DA">
        <w:t>ETC</w:t>
      </w:r>
      <w:proofErr w:type="spellEnd"/>
      <w:r w:rsidRPr="00C260DA">
        <w:t>) designated as such pursuant to section 214(e).</w:t>
      </w:r>
      <w:r w:rsidRPr="00C260DA">
        <w:rPr>
          <w:rStyle w:val="FootnoteReference"/>
          <w:rFonts w:eastAsiaTheme="majorEastAsia"/>
        </w:rPr>
        <w:footnoteReference w:id="16"/>
      </w:r>
      <w:r w:rsidRPr="00C260DA">
        <w:t xml:space="preserve"> </w:t>
      </w:r>
      <w:r>
        <w:t xml:space="preserve"> </w:t>
      </w:r>
      <w:r w:rsidRPr="00C260DA">
        <w:t xml:space="preserve">As </w:t>
      </w:r>
      <w:r w:rsidRPr="00C260DA">
        <w:lastRenderedPageBreak/>
        <w:t>such, section 254(e) establishes a second restraint on the FCC’s ability to provide support for broadband service.  It is not sufficient for the service itself to be designated as a sup</w:t>
      </w:r>
      <w:r w:rsidR="00930230">
        <w:softHyphen/>
      </w:r>
      <w:r w:rsidRPr="00C260DA">
        <w:t>ported service.  In addition, the provider of the supported service – and the recipient of the support – must be eligible to receive the support.  As this requirement operates independ</w:t>
      </w:r>
      <w:r w:rsidR="00930230">
        <w:softHyphen/>
      </w:r>
      <w:r w:rsidRPr="00C260DA">
        <w:t xml:space="preserve">ent of section 254(c), the justification for supporting broadband service is not relevant to who receives that support.  Whether authority for support is found in section 254(c) or from some other source, all recipients of this support, including all broadband service providers who receive support, must be designated as </w:t>
      </w:r>
      <w:proofErr w:type="spellStart"/>
      <w:r w:rsidRPr="00C260DA">
        <w:t>ETCs</w:t>
      </w:r>
      <w:proofErr w:type="spellEnd"/>
      <w:r w:rsidRPr="00C260DA">
        <w:t xml:space="preserve">.  </w:t>
      </w:r>
    </w:p>
    <w:p w:rsidR="005840C4" w:rsidRPr="00C260DA" w:rsidRDefault="005840C4" w:rsidP="005840C4">
      <w:pPr>
        <w:pStyle w:val="Textstyle"/>
      </w:pPr>
      <w:r>
        <w:tab/>
      </w:r>
      <w:r w:rsidRPr="00C260DA">
        <w:t xml:space="preserve">Authority to designate a carrier or service provider as an </w:t>
      </w:r>
      <w:proofErr w:type="spellStart"/>
      <w:r w:rsidRPr="00C260DA">
        <w:t>ETC</w:t>
      </w:r>
      <w:proofErr w:type="spellEnd"/>
      <w:r w:rsidRPr="00C260DA">
        <w:t xml:space="preserve"> is granted to the states.</w:t>
      </w:r>
      <w:r w:rsidRPr="00C260DA">
        <w:rPr>
          <w:rStyle w:val="FootnoteReference"/>
          <w:rFonts w:eastAsiaTheme="majorEastAsia"/>
        </w:rPr>
        <w:footnoteReference w:id="17"/>
      </w:r>
      <w:r w:rsidRPr="00C260DA">
        <w:t xml:space="preserve">  If a state does not act under this authority, the FCC may designate </w:t>
      </w:r>
      <w:proofErr w:type="spellStart"/>
      <w:r w:rsidRPr="00C260DA">
        <w:t>ETC</w:t>
      </w:r>
      <w:proofErr w:type="spellEnd"/>
      <w:r w:rsidRPr="00C260DA">
        <w:t xml:space="preserve"> status.</w:t>
      </w:r>
      <w:r w:rsidRPr="00C260DA">
        <w:rPr>
          <w:rStyle w:val="FootnoteReference"/>
          <w:rFonts w:eastAsiaTheme="majorEastAsia"/>
        </w:rPr>
        <w:footnoteReference w:id="18"/>
      </w:r>
      <w:r w:rsidRPr="00C260DA">
        <w:t xml:space="preserve">  Expanding the number of supported services to include broadband service in no way abro</w:t>
      </w:r>
      <w:r w:rsidR="00930230">
        <w:softHyphen/>
      </w:r>
      <w:r w:rsidRPr="00C260DA">
        <w:t>gates the states’ authority to designate carriers and service providers as eligible to receive broadband service support even if a particular state does not otherwise have author</w:t>
      </w:r>
      <w:r w:rsidR="00930230">
        <w:softHyphen/>
      </w:r>
      <w:r w:rsidRPr="00C260DA">
        <w:t xml:space="preserve">ity over broadband service providers.  Consequently, the FCC should continue to recognize the </w:t>
      </w:r>
      <w:r>
        <w:t xml:space="preserve">important </w:t>
      </w:r>
      <w:r w:rsidRPr="00C260DA">
        <w:t>role of the states in designating those carriers and service provid</w:t>
      </w:r>
      <w:r w:rsidR="00930230">
        <w:softHyphen/>
      </w:r>
      <w:r w:rsidRPr="00C260DA">
        <w:t xml:space="preserve">ers eligible to receive universal service support regardless of the service being supported or the classification of that service.  </w:t>
      </w:r>
    </w:p>
    <w:p w:rsidR="005840C4" w:rsidRPr="00C260DA" w:rsidRDefault="00490216" w:rsidP="00490216">
      <w:pPr>
        <w:pStyle w:val="Heading4"/>
      </w:pPr>
      <w:bookmarkStart w:id="14" w:name="_Toc290279146"/>
      <w:bookmarkStart w:id="15" w:name="_Toc290892253"/>
      <w:proofErr w:type="gramStart"/>
      <w:r>
        <w:lastRenderedPageBreak/>
        <w:t>ii.</w:t>
      </w:r>
      <w:r>
        <w:tab/>
      </w:r>
      <w:r w:rsidR="005840C4" w:rsidRPr="00C260DA">
        <w:t>Section</w:t>
      </w:r>
      <w:proofErr w:type="gramEnd"/>
      <w:r w:rsidR="005840C4" w:rsidRPr="00C260DA">
        <w:t xml:space="preserve"> 706</w:t>
      </w:r>
      <w:bookmarkEnd w:id="14"/>
      <w:bookmarkEnd w:id="15"/>
    </w:p>
    <w:p w:rsidR="005840C4" w:rsidRPr="00C260DA" w:rsidRDefault="005840C4" w:rsidP="005840C4">
      <w:pPr>
        <w:pStyle w:val="Textstyle"/>
      </w:pPr>
      <w:r>
        <w:tab/>
      </w:r>
      <w:r w:rsidRPr="00C260DA">
        <w:t>The FCC seeks comment on whether sections 706(a) and</w:t>
      </w:r>
      <w:r>
        <w:t xml:space="preserve"> (b) of the Act, either alone or</w:t>
      </w:r>
      <w:r w:rsidRPr="00C260DA">
        <w:t xml:space="preserve"> in concert with sections 254 and 214, </w:t>
      </w:r>
      <w:proofErr w:type="gramStart"/>
      <w:r w:rsidRPr="00C260DA">
        <w:t>grant</w:t>
      </w:r>
      <w:proofErr w:type="gramEnd"/>
      <w:r w:rsidRPr="00C260DA">
        <w:t xml:space="preserve"> it authority to provide universal sup</w:t>
      </w:r>
      <w:r w:rsidR="00930230">
        <w:softHyphen/>
      </w:r>
      <w:r w:rsidRPr="00C260DA">
        <w:t>port for broadband information services.</w:t>
      </w:r>
      <w:r w:rsidRPr="00C260DA">
        <w:rPr>
          <w:rStyle w:val="FootnoteReference"/>
          <w:rFonts w:eastAsiaTheme="majorEastAsia"/>
        </w:rPr>
        <w:footnoteReference w:id="19"/>
      </w:r>
      <w:r>
        <w:t xml:space="preserve"> </w:t>
      </w:r>
      <w:r w:rsidRPr="00C260DA">
        <w:t xml:space="preserve"> As the b</w:t>
      </w:r>
      <w:r w:rsidR="00F907DB">
        <w:t xml:space="preserve">asis of this authority, the FCC </w:t>
      </w:r>
      <w:r w:rsidRPr="00C260DA">
        <w:t>points to the charges set forth in paragraphs (a) and (b) of section 706.</w:t>
      </w:r>
      <w:r w:rsidRPr="00C260DA">
        <w:rPr>
          <w:rStyle w:val="FootnoteReference"/>
          <w:rFonts w:eastAsiaTheme="majorEastAsia"/>
        </w:rPr>
        <w:footnoteReference w:id="20"/>
      </w:r>
      <w:r w:rsidRPr="00C260DA">
        <w:t xml:space="preserve">  The Ohio Commis</w:t>
      </w:r>
      <w:r w:rsidR="00930230">
        <w:softHyphen/>
      </w:r>
      <w:r w:rsidRPr="00C260DA">
        <w:t>sion agrees that providing universal service support for broadband service deploy</w:t>
      </w:r>
      <w:r w:rsidR="00930230">
        <w:softHyphen/>
      </w:r>
      <w:r w:rsidRPr="00C260DA">
        <w:t>ment would “remove barriers to infrastructure investment” as required in section 706(b) and believes that providing support under authority granted in section 706 is con</w:t>
      </w:r>
      <w:r w:rsidR="00930230">
        <w:softHyphen/>
      </w:r>
      <w:r w:rsidRPr="00C260DA">
        <w:t>sistent with both the definition of universal service in section 254(c) and the support limita</w:t>
      </w:r>
      <w:r w:rsidR="00930230">
        <w:softHyphen/>
      </w:r>
      <w:r w:rsidRPr="00C260DA">
        <w:t>tions set forth in section 254(e).</w:t>
      </w:r>
      <w:r w:rsidRPr="00C260DA">
        <w:rPr>
          <w:rStyle w:val="FootnoteReference"/>
          <w:rFonts w:eastAsiaTheme="majorEastAsia"/>
        </w:rPr>
        <w:t xml:space="preserve"> </w:t>
      </w:r>
      <w:r w:rsidRPr="00C260DA">
        <w:rPr>
          <w:rStyle w:val="FootnoteReference"/>
          <w:rFonts w:eastAsiaTheme="majorEastAsia"/>
        </w:rPr>
        <w:footnoteReference w:id="21"/>
      </w:r>
      <w:r w:rsidRPr="00C260DA">
        <w:t xml:space="preserve">  Nonetheless, the Ohio Commission believe</w:t>
      </w:r>
      <w:r>
        <w:t>s</w:t>
      </w:r>
      <w:r w:rsidRPr="00C260DA">
        <w:t xml:space="preserve"> that the FCC’s authority to provide universal service support for broadband service is </w:t>
      </w:r>
      <w:r>
        <w:t xml:space="preserve">far from </w:t>
      </w:r>
      <w:r w:rsidRPr="00C260DA">
        <w:t>clear.  Paragraph (c</w:t>
      </w:r>
      <w:proofErr w:type="gramStart"/>
      <w:r w:rsidRPr="00C260DA">
        <w:t>)(</w:t>
      </w:r>
      <w:proofErr w:type="gramEnd"/>
      <w:r w:rsidRPr="00C260DA">
        <w:t xml:space="preserve">1) of section 706 defines advanced telecommunications capability as “high speed, </w:t>
      </w:r>
      <w:r w:rsidR="00841D47" w:rsidRPr="00841D47">
        <w:t>switched</w:t>
      </w:r>
      <w:r w:rsidRPr="00C260DA">
        <w:t>, broadband telecommunications capability that enables users to origi</w:t>
      </w:r>
      <w:r w:rsidR="00930230">
        <w:softHyphen/>
      </w:r>
      <w:r w:rsidRPr="00C260DA">
        <w:t>nate and receive high-quality voice, data, graphic and video using any technology,” without regard to any transmission media or technology.</w:t>
      </w:r>
      <w:r w:rsidRPr="00C260DA">
        <w:rPr>
          <w:rStyle w:val="FootnoteReference"/>
          <w:rFonts w:eastAsiaTheme="majorEastAsia"/>
        </w:rPr>
        <w:footnoteReference w:id="22"/>
      </w:r>
      <w:r w:rsidRPr="00C260DA">
        <w:t xml:space="preserve">  Not all </w:t>
      </w:r>
      <w:r w:rsidR="003E18D4">
        <w:t>high-speed, switched</w:t>
      </w:r>
      <w:r w:rsidR="005B3F1F">
        <w:t>,</w:t>
      </w:r>
      <w:r w:rsidR="003E18D4">
        <w:t xml:space="preserve"> </w:t>
      </w:r>
      <w:r w:rsidRPr="00C260DA">
        <w:t>broad</w:t>
      </w:r>
      <w:r w:rsidR="00930230">
        <w:softHyphen/>
      </w:r>
      <w:r w:rsidRPr="00C260DA">
        <w:t xml:space="preserve">band </w:t>
      </w:r>
      <w:r w:rsidR="005B3F1F">
        <w:lastRenderedPageBreak/>
        <w:t>capabilities</w:t>
      </w:r>
      <w:r w:rsidR="005B3F1F" w:rsidRPr="00C260DA">
        <w:t xml:space="preserve"> </w:t>
      </w:r>
      <w:r w:rsidR="005B3F1F">
        <w:t>are</w:t>
      </w:r>
      <w:r w:rsidR="005B3F1F" w:rsidRPr="00C260DA">
        <w:t xml:space="preserve"> </w:t>
      </w:r>
      <w:r w:rsidR="003E18D4">
        <w:t>telecommunications</w:t>
      </w:r>
      <w:r w:rsidR="00DC6DC2">
        <w:t xml:space="preserve"> as presently </w:t>
      </w:r>
      <w:r w:rsidR="005B3F1F">
        <w:t>recognized</w:t>
      </w:r>
      <w:r w:rsidR="009649BF">
        <w:t>.</w:t>
      </w:r>
      <w:r w:rsidR="003E18D4">
        <w:rPr>
          <w:rStyle w:val="FootnoteReference"/>
        </w:rPr>
        <w:footnoteReference w:id="23"/>
      </w:r>
      <w:r w:rsidRPr="00C260DA">
        <w:t xml:space="preserve">  Those </w:t>
      </w:r>
      <w:r w:rsidR="003E18D4">
        <w:t xml:space="preserve">high-speed, switched, </w:t>
      </w:r>
      <w:r w:rsidR="003E18D4" w:rsidRPr="00C260DA">
        <w:t>broad</w:t>
      </w:r>
      <w:r w:rsidR="003E18D4">
        <w:softHyphen/>
      </w:r>
      <w:r w:rsidR="003E18D4" w:rsidRPr="00C260DA">
        <w:t xml:space="preserve">band </w:t>
      </w:r>
      <w:r w:rsidR="005B3F1F">
        <w:t>capabilities</w:t>
      </w:r>
      <w:r w:rsidR="005B3F1F" w:rsidRPr="00C260DA">
        <w:t xml:space="preserve"> </w:t>
      </w:r>
      <w:r w:rsidR="00F83606">
        <w:t>that</w:t>
      </w:r>
      <w:r w:rsidR="003E18D4">
        <w:t xml:space="preserve"> are telecommunications </w:t>
      </w:r>
      <w:r w:rsidRPr="00C260DA">
        <w:t>meet the definition of advanced telecommunica</w:t>
      </w:r>
      <w:r w:rsidR="00C5554A">
        <w:softHyphen/>
      </w:r>
      <w:r w:rsidRPr="00C260DA">
        <w:t>tions capability set forth in section 706(c</w:t>
      </w:r>
      <w:proofErr w:type="gramStart"/>
      <w:r w:rsidRPr="00C260DA">
        <w:t>)(</w:t>
      </w:r>
      <w:proofErr w:type="gramEnd"/>
      <w:r w:rsidRPr="00C260DA">
        <w:t xml:space="preserve">1).  </w:t>
      </w:r>
      <w:r w:rsidR="00F83606">
        <w:t>However, b</w:t>
      </w:r>
      <w:r w:rsidRPr="00C260DA">
        <w:t xml:space="preserve">roadband </w:t>
      </w:r>
      <w:r w:rsidR="005B3F1F">
        <w:t>capabilities</w:t>
      </w:r>
      <w:r w:rsidR="005B3F1F" w:rsidRPr="00C260DA">
        <w:t xml:space="preserve"> </w:t>
      </w:r>
      <w:r w:rsidR="00F83606">
        <w:t xml:space="preserve">that are not telecommunications </w:t>
      </w:r>
      <w:r w:rsidR="007838B2">
        <w:t>have not yet been recognized as meeting</w:t>
      </w:r>
      <w:r w:rsidRPr="00C260DA">
        <w:t xml:space="preserve"> this definition.  The Ohio Commis</w:t>
      </w:r>
      <w:r w:rsidR="00C5554A">
        <w:softHyphen/>
      </w:r>
      <w:r w:rsidRPr="00C260DA">
        <w:t>sion does not believe that the FCC can separate the authority granted in sections 706(a) and (b) from the scope of that authority as defined in section 706(c)(1).  Conse</w:t>
      </w:r>
      <w:r w:rsidR="00C5554A">
        <w:softHyphen/>
      </w:r>
      <w:r w:rsidRPr="00C260DA">
        <w:t>quently, in the Ohio Commis</w:t>
      </w:r>
      <w:r w:rsidR="00F907DB">
        <w:softHyphen/>
      </w:r>
      <w:r w:rsidRPr="00C260DA">
        <w:t>sion’s opinion, the FCC</w:t>
      </w:r>
      <w:r w:rsidR="000A55C0">
        <w:t>’s</w:t>
      </w:r>
      <w:r w:rsidRPr="00C260DA">
        <w:t xml:space="preserve"> authority to provide support </w:t>
      </w:r>
      <w:r w:rsidR="00F83606">
        <w:t xml:space="preserve">for all </w:t>
      </w:r>
      <w:r w:rsidRPr="00C260DA">
        <w:t>broadband services</w:t>
      </w:r>
      <w:r w:rsidR="000A55C0">
        <w:t xml:space="preserve"> is open to challenge to the extent that it solely relies upon section 706 for this authority</w:t>
      </w:r>
      <w:r w:rsidR="00F83606">
        <w:t>, unless the FCC also reclassifies broadband service as a Title II telecom</w:t>
      </w:r>
      <w:r w:rsidR="00C5554A">
        <w:softHyphen/>
      </w:r>
      <w:r w:rsidR="00F83606">
        <w:t>munications service</w:t>
      </w:r>
      <w:r w:rsidRPr="00C260DA">
        <w:t>.  Accordingly, to the extent that the FCC chooses to base its authority on section 706, the Ohio Commission recommends that it do so in con</w:t>
      </w:r>
      <w:r w:rsidR="00F907DB">
        <w:softHyphen/>
      </w:r>
      <w:r w:rsidRPr="00C260DA">
        <w:t>cert with sections 254 and 214.</w:t>
      </w:r>
    </w:p>
    <w:p w:rsidR="005840C4" w:rsidRPr="00810C12" w:rsidRDefault="00490216" w:rsidP="00490216">
      <w:pPr>
        <w:pStyle w:val="Heading4"/>
      </w:pPr>
      <w:bookmarkStart w:id="16" w:name="_Toc290279147"/>
      <w:bookmarkStart w:id="17" w:name="_Toc290892254"/>
      <w:proofErr w:type="gramStart"/>
      <w:r>
        <w:t>iii.</w:t>
      </w:r>
      <w:r>
        <w:tab/>
      </w:r>
      <w:r w:rsidR="005840C4" w:rsidRPr="00810C12">
        <w:t>Conditional</w:t>
      </w:r>
      <w:proofErr w:type="gramEnd"/>
      <w:r w:rsidR="005840C4" w:rsidRPr="00810C12">
        <w:t xml:space="preserve"> Support</w:t>
      </w:r>
      <w:bookmarkEnd w:id="16"/>
      <w:bookmarkEnd w:id="17"/>
    </w:p>
    <w:p w:rsidR="005840C4" w:rsidRPr="00C260DA" w:rsidRDefault="005840C4" w:rsidP="005840C4">
      <w:pPr>
        <w:pStyle w:val="Textstyle"/>
      </w:pPr>
      <w:r>
        <w:tab/>
      </w:r>
      <w:r w:rsidRPr="00C260DA">
        <w:t>The Ohio Commission agrees with the FCC that neither it nor the FCC is prohib</w:t>
      </w:r>
      <w:r w:rsidR="00930230">
        <w:softHyphen/>
      </w:r>
      <w:r w:rsidRPr="00C260DA">
        <w:t xml:space="preserve">ited from imposing additional eligibility conditions on </w:t>
      </w:r>
      <w:proofErr w:type="spellStart"/>
      <w:r w:rsidRPr="00C260DA">
        <w:t>ETCs</w:t>
      </w:r>
      <w:proofErr w:type="spellEnd"/>
      <w:r w:rsidRPr="00C260DA">
        <w:t xml:space="preserve"> as part of the designation process under section 214(e).</w:t>
      </w:r>
      <w:r w:rsidRPr="00C260DA">
        <w:rPr>
          <w:rStyle w:val="FootnoteReference"/>
          <w:rFonts w:eastAsiaTheme="majorEastAsia"/>
        </w:rPr>
        <w:footnoteReference w:id="24"/>
      </w:r>
      <w:r w:rsidRPr="00C260DA">
        <w:t xml:space="preserve">  The Ohio Commission has done so when designating carri</w:t>
      </w:r>
      <w:r w:rsidR="00930230">
        <w:softHyphen/>
      </w:r>
      <w:r w:rsidRPr="00C260DA">
        <w:t xml:space="preserve">ers and service providers as </w:t>
      </w:r>
      <w:proofErr w:type="spellStart"/>
      <w:r w:rsidRPr="00C260DA">
        <w:t>ETCs</w:t>
      </w:r>
      <w:proofErr w:type="spellEnd"/>
      <w:r w:rsidRPr="00C260DA">
        <w:t xml:space="preserve"> for purposes of providing Lifeline service.  Further</w:t>
      </w:r>
      <w:r w:rsidR="00930230">
        <w:softHyphen/>
      </w:r>
      <w:r w:rsidRPr="00C260DA">
        <w:t xml:space="preserve">more, the FCC’s established precedent of requiring rural carriers that receive </w:t>
      </w:r>
      <w:r w:rsidRPr="00C260DA">
        <w:lastRenderedPageBreak/>
        <w:t xml:space="preserve">high-cost loop support to build infrastructure capable of supporting both voice services and advanced services under the FCC’s “no barriers’ policy provides a solid foundation imposing additional conditions as part of the </w:t>
      </w:r>
      <w:proofErr w:type="spellStart"/>
      <w:r w:rsidRPr="00C260DA">
        <w:t>ETC</w:t>
      </w:r>
      <w:proofErr w:type="spellEnd"/>
      <w:r w:rsidRPr="00C260DA">
        <w:t xml:space="preserve"> designation process</w:t>
      </w:r>
      <w:r w:rsidR="003D4E42" w:rsidRPr="00C260DA">
        <w:t xml:space="preserve">.  </w:t>
      </w:r>
      <w:r w:rsidRPr="00C260DA">
        <w:t xml:space="preserve">As such, the Ohio Commission agrees that it would be a logical extension of the “no barriers” policy to require that carriers receive high-cost or </w:t>
      </w:r>
      <w:r>
        <w:t>Connect America Fund (</w:t>
      </w:r>
      <w:proofErr w:type="spellStart"/>
      <w:r w:rsidRPr="00C260DA">
        <w:t>CAF</w:t>
      </w:r>
      <w:proofErr w:type="spellEnd"/>
      <w:r>
        <w:t>)</w:t>
      </w:r>
      <w:r w:rsidRPr="00C260DA">
        <w:t xml:space="preserve"> support invest in modern broadband-capable networks.  </w:t>
      </w:r>
    </w:p>
    <w:p w:rsidR="005840C4" w:rsidRPr="00C260DA" w:rsidRDefault="004B5B10" w:rsidP="00490216">
      <w:pPr>
        <w:pStyle w:val="Heading4"/>
      </w:pPr>
      <w:bookmarkStart w:id="18" w:name="_Toc290279149"/>
      <w:bookmarkStart w:id="19" w:name="_Toc290892255"/>
      <w:r>
        <w:t>i</w:t>
      </w:r>
      <w:r w:rsidR="00490216">
        <w:t>v.</w:t>
      </w:r>
      <w:r w:rsidR="00490216">
        <w:tab/>
      </w:r>
      <w:r w:rsidR="005840C4" w:rsidRPr="00C260DA">
        <w:t>Classifying Interconnected VoIP</w:t>
      </w:r>
      <w:bookmarkEnd w:id="18"/>
      <w:bookmarkEnd w:id="19"/>
    </w:p>
    <w:p w:rsidR="005840C4" w:rsidRDefault="005840C4" w:rsidP="005840C4">
      <w:pPr>
        <w:pStyle w:val="Textstyle"/>
      </w:pPr>
      <w:r>
        <w:tab/>
      </w:r>
      <w:r>
        <w:tab/>
      </w:r>
      <w:r w:rsidRPr="00C260DA">
        <w:t xml:space="preserve">The FCC seeks comment as to whether it should classify interconnected </w:t>
      </w:r>
      <w:r>
        <w:t>voice over Internet protocol (</w:t>
      </w:r>
      <w:r w:rsidRPr="00C260DA">
        <w:t>VoIP</w:t>
      </w:r>
      <w:r>
        <w:t>)</w:t>
      </w:r>
      <w:r w:rsidRPr="00C260DA">
        <w:t xml:space="preserve"> service as a telecommunications service or an infor</w:t>
      </w:r>
      <w:r w:rsidR="00930230">
        <w:softHyphen/>
      </w:r>
      <w:r w:rsidRPr="00C260DA">
        <w:t>mation service.  The Ohio Commission has long held that interconnected VoIP service should be classified as a telecommunications service.</w:t>
      </w:r>
      <w:r w:rsidRPr="00C260DA">
        <w:rPr>
          <w:rStyle w:val="FootnoteReference"/>
          <w:rFonts w:eastAsiaTheme="majorEastAsia"/>
        </w:rPr>
        <w:footnoteReference w:id="25"/>
      </w:r>
      <w:r w:rsidRPr="00C260DA">
        <w:t xml:space="preserve">  In taking this position, the Ohio Commission </w:t>
      </w:r>
      <w:r>
        <w:t xml:space="preserve">has </w:t>
      </w:r>
      <w:r w:rsidRPr="00C260DA">
        <w:t>recommended a four part test to determine those VoIP services that should be classified as a telecommunications service.</w:t>
      </w:r>
      <w:r w:rsidRPr="00C260DA">
        <w:rPr>
          <w:rStyle w:val="FootnoteReference"/>
          <w:rFonts w:eastAsiaTheme="majorEastAsia"/>
        </w:rPr>
        <w:footnoteReference w:id="26"/>
      </w:r>
      <w:r>
        <w:t xml:space="preserve">  The</w:t>
      </w:r>
      <w:r w:rsidRPr="00C260DA">
        <w:t xml:space="preserve"> Ohio Commission reaffirms this position and believes that classifying qualifying interconnected VoIP services as telecom</w:t>
      </w:r>
      <w:r w:rsidR="00930230">
        <w:softHyphen/>
      </w:r>
      <w:r w:rsidRPr="00C260DA">
        <w:t>munications services would better enable the FCC to provide universal service support to broadband networks used to provide interconnected VoIP.</w:t>
      </w:r>
    </w:p>
    <w:p w:rsidR="005840C4" w:rsidRPr="00810C12" w:rsidRDefault="00FC0358" w:rsidP="00FC0358">
      <w:pPr>
        <w:pStyle w:val="Heading2"/>
      </w:pPr>
      <w:bookmarkStart w:id="20" w:name="_Toc290279150"/>
      <w:bookmarkStart w:id="21" w:name="_Toc290892256"/>
      <w:r>
        <w:lastRenderedPageBreak/>
        <w:t>II.</w:t>
      </w:r>
      <w:r>
        <w:tab/>
      </w:r>
      <w:r w:rsidR="005840C4">
        <w:t>NEAR-TERM REFORMS</w:t>
      </w:r>
      <w:bookmarkEnd w:id="20"/>
      <w:bookmarkEnd w:id="21"/>
    </w:p>
    <w:p w:rsidR="005840C4" w:rsidRDefault="005840C4" w:rsidP="005840C4">
      <w:pPr>
        <w:pStyle w:val="Textstyle"/>
      </w:pPr>
      <w:r>
        <w:tab/>
        <w:t xml:space="preserve">Pursuant to </w:t>
      </w:r>
      <w:r w:rsidRPr="007A047B">
        <w:t>its long-term vision</w:t>
      </w:r>
      <w:r>
        <w:t>,</w:t>
      </w:r>
      <w:r w:rsidRPr="007A047B">
        <w:t xml:space="preserve"> the FCC </w:t>
      </w:r>
      <w:r>
        <w:t>has proposed</w:t>
      </w:r>
      <w:r w:rsidRPr="007A047B">
        <w:t xml:space="preserve"> to transform the existing high-cost fund int</w:t>
      </w:r>
      <w:r>
        <w:t xml:space="preserve">o the </w:t>
      </w:r>
      <w:proofErr w:type="spellStart"/>
      <w:r>
        <w:t>CAF</w:t>
      </w:r>
      <w:proofErr w:type="spellEnd"/>
      <w:r>
        <w:t xml:space="preserve"> to promote and support broadband deployment and service.</w:t>
      </w:r>
      <w:r>
        <w:rPr>
          <w:rStyle w:val="FootnoteReference"/>
          <w:rFonts w:eastAsiaTheme="majorEastAsia"/>
        </w:rPr>
        <w:footnoteReference w:id="27"/>
      </w:r>
      <w:r>
        <w:t xml:space="preserve">  In t</w:t>
      </w:r>
      <w:r w:rsidRPr="007A047B">
        <w:t xml:space="preserve">he </w:t>
      </w:r>
      <w:r>
        <w:t>near</w:t>
      </w:r>
      <w:r w:rsidRPr="007A047B">
        <w:t xml:space="preserve"> term</w:t>
      </w:r>
      <w:r>
        <w:t xml:space="preserve">, </w:t>
      </w:r>
      <w:r w:rsidRPr="007A047B">
        <w:t xml:space="preserve">FCC </w:t>
      </w:r>
      <w:r>
        <w:t>has proposed</w:t>
      </w:r>
      <w:r w:rsidRPr="007A047B">
        <w:t xml:space="preserve"> reforms to </w:t>
      </w:r>
      <w:r>
        <w:t xml:space="preserve">its exiting high-cost program to </w:t>
      </w:r>
      <w:r w:rsidRPr="007A047B">
        <w:t>eliminate waste and inefficiency, improve incentives for rational investment and operation by com</w:t>
      </w:r>
      <w:r w:rsidR="00930230">
        <w:softHyphen/>
      </w:r>
      <w:r w:rsidRPr="007A047B">
        <w:t>panies operating in rural areas and set rate-of-return companies on the path to incentive-based regulation.</w:t>
      </w:r>
      <w:r w:rsidRPr="007A047B">
        <w:rPr>
          <w:rStyle w:val="FootnoteReference"/>
          <w:rFonts w:eastAsiaTheme="majorEastAsia"/>
        </w:rPr>
        <w:footnoteReference w:id="28"/>
      </w:r>
      <w:r w:rsidRPr="007A047B">
        <w:t xml:space="preserve">  </w:t>
      </w:r>
      <w:r>
        <w:t xml:space="preserve"> </w:t>
      </w:r>
    </w:p>
    <w:p w:rsidR="005840C4" w:rsidRDefault="005840C4" w:rsidP="005840C4">
      <w:pPr>
        <w:pStyle w:val="Textstyle"/>
      </w:pPr>
      <w:r>
        <w:tab/>
      </w:r>
      <w:r w:rsidRPr="009C377D">
        <w:t>Among the FCC’s proposals are modifying high-cost loop support (</w:t>
      </w:r>
      <w:proofErr w:type="spellStart"/>
      <w:r w:rsidRPr="009C377D">
        <w:t>HCLS</w:t>
      </w:r>
      <w:proofErr w:type="spellEnd"/>
      <w:r w:rsidRPr="009C377D">
        <w:t>) reimburse</w:t>
      </w:r>
      <w:r w:rsidR="00930230">
        <w:softHyphen/>
      </w:r>
      <w:r w:rsidRPr="009C377D">
        <w:t>ment percentages and eliminating loop support known as “safety net”; eliminat</w:t>
      </w:r>
      <w:r w:rsidR="00930230">
        <w:softHyphen/>
      </w:r>
      <w:r w:rsidRPr="009C377D">
        <w:t>ing local switching support (</w:t>
      </w:r>
      <w:proofErr w:type="spellStart"/>
      <w:r w:rsidRPr="009C377D">
        <w:t>LSS</w:t>
      </w:r>
      <w:proofErr w:type="spellEnd"/>
      <w:r w:rsidRPr="009C377D">
        <w:t>) as a separate funding mechanism;  eliminating the reim</w:t>
      </w:r>
      <w:r w:rsidR="00930230">
        <w:softHyphen/>
      </w:r>
      <w:r w:rsidRPr="009C377D">
        <w:t>bursement of corporate operations expenses (COE);</w:t>
      </w:r>
      <w:r>
        <w:t xml:space="preserve"> </w:t>
      </w:r>
      <w:r w:rsidRPr="009C377D">
        <w:t>imposing caps on reimbursable capital and operating costs; capping total high-cost support at $3,000 per line per year ($250 per line per month); and, eliminating Interstate Access Support (</w:t>
      </w:r>
      <w:proofErr w:type="spellStart"/>
      <w:r w:rsidRPr="009C377D">
        <w:t>IAS</w:t>
      </w:r>
      <w:proofErr w:type="spellEnd"/>
      <w:r w:rsidRPr="009C377D">
        <w:t>) over a “few years” and “rationalize” competitive eligible telecommunications carriers (</w:t>
      </w:r>
      <w:proofErr w:type="spellStart"/>
      <w:r w:rsidRPr="009C377D">
        <w:t>CETC</w:t>
      </w:r>
      <w:proofErr w:type="spellEnd"/>
      <w:r w:rsidRPr="009C377D">
        <w:t>) sup</w:t>
      </w:r>
      <w:r w:rsidR="00930230">
        <w:softHyphen/>
      </w:r>
      <w:r w:rsidRPr="009C377D">
        <w:t xml:space="preserve">port over five years, eliminating the identical support rules not later than 2016. </w:t>
      </w:r>
      <w:r w:rsidRPr="009C377D">
        <w:rPr>
          <w:rStyle w:val="FootnoteReference"/>
          <w:rFonts w:eastAsiaTheme="majorEastAsia"/>
        </w:rPr>
        <w:footnoteReference w:id="29"/>
      </w:r>
      <w:r w:rsidRPr="009C377D">
        <w:t xml:space="preserve">  </w:t>
      </w:r>
      <w:r>
        <w:t>The Ohio Commission appreciates the FCC’s effort to ensure that the size of the universal ser</w:t>
      </w:r>
      <w:r w:rsidR="00930230">
        <w:softHyphen/>
      </w:r>
      <w:r>
        <w:t>vice fund is controlled, and it generally supports the FCC in this regard.</w:t>
      </w:r>
    </w:p>
    <w:p w:rsidR="005840C4" w:rsidRPr="009974C8" w:rsidRDefault="00FC0358" w:rsidP="00FC0358">
      <w:pPr>
        <w:pStyle w:val="Heading3"/>
      </w:pPr>
      <w:bookmarkStart w:id="22" w:name="_Toc290279151"/>
      <w:bookmarkStart w:id="23" w:name="_Toc290892257"/>
      <w:r>
        <w:lastRenderedPageBreak/>
        <w:t>A.</w:t>
      </w:r>
      <w:r>
        <w:tab/>
      </w:r>
      <w:r w:rsidR="005840C4" w:rsidRPr="009974C8">
        <w:t>Rationalizing Loop Support, Local Switching Support, and Inter</w:t>
      </w:r>
      <w:r w:rsidR="00930230" w:rsidRPr="009974C8">
        <w:softHyphen/>
      </w:r>
      <w:r w:rsidR="005840C4" w:rsidRPr="009974C8">
        <w:t>state Common Line Support</w:t>
      </w:r>
      <w:bookmarkEnd w:id="22"/>
      <w:bookmarkEnd w:id="23"/>
    </w:p>
    <w:p w:rsidR="005840C4" w:rsidRDefault="005840C4" w:rsidP="005840C4">
      <w:pPr>
        <w:pStyle w:val="Textstyle"/>
      </w:pPr>
      <w:r>
        <w:tab/>
      </w:r>
      <w:r w:rsidRPr="009C377D">
        <w:t xml:space="preserve">The FCC recognizes that some of the changes </w:t>
      </w:r>
      <w:r>
        <w:t xml:space="preserve">it has proposed </w:t>
      </w:r>
      <w:r w:rsidRPr="009C377D">
        <w:t>could impact firms that receive public funding from other governmental agencies, such as Rural Utilities Ser</w:t>
      </w:r>
      <w:r w:rsidR="00930230">
        <w:softHyphen/>
      </w:r>
      <w:r w:rsidRPr="009C377D">
        <w:t>vice (</w:t>
      </w:r>
      <w:proofErr w:type="spellStart"/>
      <w:r w:rsidRPr="009C377D">
        <w:t>RUS</w:t>
      </w:r>
      <w:proofErr w:type="spellEnd"/>
      <w:r w:rsidRPr="009C377D">
        <w:t>)</w:t>
      </w:r>
      <w:r>
        <w:t>,</w:t>
      </w:r>
      <w:r w:rsidRPr="009C377D">
        <w:t xml:space="preserve"> a department of the U</w:t>
      </w:r>
      <w:r>
        <w:t xml:space="preserve">nited </w:t>
      </w:r>
      <w:r w:rsidRPr="009C377D">
        <w:t>S</w:t>
      </w:r>
      <w:r>
        <w:t xml:space="preserve">tates </w:t>
      </w:r>
      <w:r w:rsidRPr="009C377D">
        <w:t>D</w:t>
      </w:r>
      <w:r>
        <w:t xml:space="preserve">epartment of </w:t>
      </w:r>
      <w:r w:rsidRPr="009C377D">
        <w:t>A</w:t>
      </w:r>
      <w:r>
        <w:t>griculture</w:t>
      </w:r>
      <w:r w:rsidRPr="009C377D">
        <w:t>.</w:t>
      </w:r>
      <w:r>
        <w:rPr>
          <w:rStyle w:val="FootnoteReference"/>
          <w:rFonts w:eastAsiaTheme="majorEastAsia"/>
        </w:rPr>
        <w:footnoteReference w:id="30"/>
      </w:r>
      <w:r w:rsidRPr="009C377D">
        <w:t xml:space="preserve">  </w:t>
      </w:r>
      <w:r>
        <w:t xml:space="preserve">As such, </w:t>
      </w:r>
      <w:r w:rsidR="00915341">
        <w:t>to the extent</w:t>
      </w:r>
      <w:r w:rsidR="00915341" w:rsidRPr="009C377D">
        <w:t xml:space="preserve"> </w:t>
      </w:r>
      <w:r w:rsidRPr="009C377D">
        <w:t xml:space="preserve">these proposals in the aggregate would impact company cash flows </w:t>
      </w:r>
      <w:r w:rsidR="00915341">
        <w:t>to</w:t>
      </w:r>
      <w:r w:rsidR="00915341" w:rsidRPr="009C377D">
        <w:t xml:space="preserve"> </w:t>
      </w:r>
      <w:r w:rsidRPr="009C377D">
        <w:t xml:space="preserve">repay outstanding </w:t>
      </w:r>
      <w:proofErr w:type="gramStart"/>
      <w:r w:rsidRPr="009C377D">
        <w:t>loans</w:t>
      </w:r>
      <w:r w:rsidR="00915341">
        <w:t>,</w:t>
      </w:r>
      <w:proofErr w:type="gramEnd"/>
      <w:r w:rsidR="00915341">
        <w:t xml:space="preserve"> the FCC seeks comment regarding</w:t>
      </w:r>
      <w:r>
        <w:t xml:space="preserve"> </w:t>
      </w:r>
      <w:r w:rsidRPr="009C377D">
        <w:t xml:space="preserve">how </w:t>
      </w:r>
      <w:r w:rsidR="00915341">
        <w:t>it</w:t>
      </w:r>
      <w:r w:rsidRPr="009C377D">
        <w:t xml:space="preserve"> </w:t>
      </w:r>
      <w:r>
        <w:t xml:space="preserve">should </w:t>
      </w:r>
      <w:r w:rsidRPr="009C377D">
        <w:t>take that into account while balancing its commitment to fiscal responsibility</w:t>
      </w:r>
      <w:r>
        <w:t>.</w:t>
      </w:r>
      <w:r>
        <w:rPr>
          <w:rStyle w:val="FootnoteReference"/>
          <w:rFonts w:eastAsiaTheme="majorEastAsia"/>
        </w:rPr>
        <w:footnoteReference w:id="31"/>
      </w:r>
      <w:r w:rsidRPr="009C377D">
        <w:t xml:space="preserve"> </w:t>
      </w:r>
      <w:r>
        <w:t xml:space="preserve"> </w:t>
      </w:r>
      <w:r w:rsidRPr="009C377D">
        <w:t>The Ohio Commission under</w:t>
      </w:r>
      <w:r w:rsidR="00C5554A">
        <w:softHyphen/>
      </w:r>
      <w:r w:rsidRPr="009C377D">
        <w:t xml:space="preserve">stands </w:t>
      </w:r>
      <w:r>
        <w:t xml:space="preserve">the </w:t>
      </w:r>
      <w:r w:rsidRPr="009C377D">
        <w:t xml:space="preserve">problem </w:t>
      </w:r>
      <w:r>
        <w:t xml:space="preserve">this presents </w:t>
      </w:r>
      <w:r w:rsidRPr="009C377D">
        <w:t>for many</w:t>
      </w:r>
      <w:r>
        <w:t xml:space="preserve"> </w:t>
      </w:r>
      <w:r w:rsidRPr="009C377D">
        <w:t xml:space="preserve">rural </w:t>
      </w:r>
      <w:r w:rsidRPr="00CC09E8">
        <w:t>incumbent local exchange carriers (ILECs)</w:t>
      </w:r>
      <w:r w:rsidRPr="009C377D">
        <w:t xml:space="preserve">.  </w:t>
      </w:r>
      <w:r>
        <w:t>In Ohio, many</w:t>
      </w:r>
      <w:r w:rsidRPr="009C377D">
        <w:t xml:space="preserve"> rural carriers have received </w:t>
      </w:r>
      <w:proofErr w:type="spellStart"/>
      <w:r w:rsidRPr="009C377D">
        <w:t>RUS</w:t>
      </w:r>
      <w:proofErr w:type="spellEnd"/>
      <w:r w:rsidRPr="009C377D">
        <w:t xml:space="preserve"> loans through the Broadband Initiatives Program (</w:t>
      </w:r>
      <w:proofErr w:type="spellStart"/>
      <w:r w:rsidRPr="009C377D">
        <w:t>BIP</w:t>
      </w:r>
      <w:proofErr w:type="spellEnd"/>
      <w:r w:rsidRPr="009C377D">
        <w:t>)</w:t>
      </w:r>
      <w:r>
        <w:rPr>
          <w:rStyle w:val="FootnoteReference"/>
          <w:rFonts w:eastAsiaTheme="majorEastAsia"/>
        </w:rPr>
        <w:footnoteReference w:id="32"/>
      </w:r>
      <w:r w:rsidRPr="009C377D">
        <w:t xml:space="preserve"> </w:t>
      </w:r>
      <w:r>
        <w:t>as well as</w:t>
      </w:r>
      <w:r w:rsidRPr="009C377D">
        <w:t xml:space="preserve"> </w:t>
      </w:r>
      <w:r>
        <w:t xml:space="preserve">the </w:t>
      </w:r>
      <w:r w:rsidRPr="009C377D">
        <w:t xml:space="preserve">more traditional </w:t>
      </w:r>
      <w:proofErr w:type="spellStart"/>
      <w:r w:rsidRPr="009C377D">
        <w:t>RUS</w:t>
      </w:r>
      <w:proofErr w:type="spellEnd"/>
      <w:r w:rsidRPr="009C377D">
        <w:t xml:space="preserve"> loans or other loans over the years.  </w:t>
      </w:r>
      <w:r>
        <w:t>Through these programs, these</w:t>
      </w:r>
      <w:r w:rsidRPr="009C377D">
        <w:t xml:space="preserve"> </w:t>
      </w:r>
      <w:proofErr w:type="gramStart"/>
      <w:r w:rsidRPr="009C377D">
        <w:t>ILEC</w:t>
      </w:r>
      <w:r>
        <w:t>s</w:t>
      </w:r>
      <w:r w:rsidRPr="009C377D">
        <w:t xml:space="preserve">  have</w:t>
      </w:r>
      <w:proofErr w:type="gramEnd"/>
      <w:r w:rsidRPr="009C377D">
        <w:t xml:space="preserve"> received millions of</w:t>
      </w:r>
      <w:r>
        <w:t xml:space="preserve"> dollars for the deployment of b</w:t>
      </w:r>
      <w:r w:rsidRPr="009C377D">
        <w:t>roadband</w:t>
      </w:r>
      <w:r>
        <w:t xml:space="preserve"> service</w:t>
      </w:r>
      <w:r w:rsidRPr="009C377D">
        <w:t xml:space="preserve">.  </w:t>
      </w:r>
      <w:r>
        <w:t>As</w:t>
      </w:r>
      <w:r w:rsidRPr="009C377D">
        <w:t xml:space="preserve"> </w:t>
      </w:r>
      <w:r>
        <w:t xml:space="preserve">is expected </w:t>
      </w:r>
      <w:r w:rsidRPr="009C377D">
        <w:t>with any loan,</w:t>
      </w:r>
      <w:r>
        <w:t xml:space="preserve"> it is expected that these carriers</w:t>
      </w:r>
      <w:r w:rsidRPr="009C377D">
        <w:t xml:space="preserve"> </w:t>
      </w:r>
      <w:r>
        <w:t xml:space="preserve">will </w:t>
      </w:r>
      <w:r w:rsidRPr="009C377D">
        <w:t>repa</w:t>
      </w:r>
      <w:r>
        <w:t>y these loans.  In fact, approval for these loans is conditioned on a carrier’s ability to repay the loan after reviewing a carrier’s busi</w:t>
      </w:r>
      <w:r w:rsidR="00930230">
        <w:softHyphen/>
      </w:r>
      <w:r>
        <w:t>ness history and revenue forecast.</w:t>
      </w:r>
    </w:p>
    <w:p w:rsidR="005840C4" w:rsidRDefault="005840C4" w:rsidP="005840C4">
      <w:pPr>
        <w:pStyle w:val="Textstyle"/>
      </w:pPr>
      <w:r>
        <w:tab/>
        <w:t>R</w:t>
      </w:r>
      <w:r w:rsidRPr="009C377D">
        <w:t>ural ILECs receive rev</w:t>
      </w:r>
      <w:r>
        <w:t>enue from three primary sources:</w:t>
      </w:r>
      <w:r w:rsidRPr="009C377D">
        <w:t xml:space="preserve"> local end-users tele</w:t>
      </w:r>
      <w:r w:rsidR="00930230">
        <w:softHyphen/>
      </w:r>
      <w:r w:rsidRPr="009C377D">
        <w:t xml:space="preserve">phones rates, access revenues and Universal Service Funding support.  Each of these sources </w:t>
      </w:r>
      <w:r>
        <w:t>comprise</w:t>
      </w:r>
      <w:r w:rsidRPr="009C377D">
        <w:t xml:space="preserve"> approximately one</w:t>
      </w:r>
      <w:r>
        <w:t>-</w:t>
      </w:r>
      <w:r w:rsidRPr="009C377D">
        <w:t xml:space="preserve">third of </w:t>
      </w:r>
      <w:r>
        <w:t>a</w:t>
      </w:r>
      <w:r w:rsidRPr="009C377D">
        <w:t xml:space="preserve"> rural </w:t>
      </w:r>
      <w:proofErr w:type="spellStart"/>
      <w:r w:rsidRPr="009C377D">
        <w:t>ILEC</w:t>
      </w:r>
      <w:r>
        <w:t>’s</w:t>
      </w:r>
      <w:proofErr w:type="spellEnd"/>
      <w:r w:rsidRPr="009C377D">
        <w:t xml:space="preserve"> total telephone</w:t>
      </w:r>
      <w:r>
        <w:t xml:space="preserve"> service</w:t>
      </w:r>
      <w:r w:rsidRPr="009C377D">
        <w:t xml:space="preserve"> reve</w:t>
      </w:r>
      <w:r w:rsidR="00930230">
        <w:softHyphen/>
      </w:r>
      <w:r w:rsidRPr="009C377D">
        <w:lastRenderedPageBreak/>
        <w:t>nues.</w:t>
      </w:r>
      <w:r>
        <w:t xml:space="preserve">  I</w:t>
      </w:r>
      <w:r w:rsidRPr="009C377D">
        <w:t>t is quite possible</w:t>
      </w:r>
      <w:r>
        <w:t>, and perhaps even likely,</w:t>
      </w:r>
      <w:r w:rsidRPr="009C377D">
        <w:t xml:space="preserve"> that </w:t>
      </w:r>
      <w:r>
        <w:t xml:space="preserve">USF support funds are included in the total revenue calculation when evaluating a carrier’s ability to repay a </w:t>
      </w:r>
      <w:proofErr w:type="spellStart"/>
      <w:r>
        <w:t>BIP</w:t>
      </w:r>
      <w:proofErr w:type="spellEnd"/>
      <w:r>
        <w:t xml:space="preserve"> or tradi</w:t>
      </w:r>
      <w:r w:rsidR="00930230">
        <w:softHyphen/>
      </w:r>
      <w:r>
        <w:t xml:space="preserve">tional </w:t>
      </w:r>
      <w:proofErr w:type="spellStart"/>
      <w:r>
        <w:t>RUS</w:t>
      </w:r>
      <w:proofErr w:type="spellEnd"/>
      <w:r>
        <w:t xml:space="preserve"> loan.</w:t>
      </w:r>
      <w:r w:rsidRPr="009C377D">
        <w:t xml:space="preserve">  </w:t>
      </w:r>
      <w:r>
        <w:t xml:space="preserve">Consequently, the Ohio Commission does not believe that it </w:t>
      </w:r>
      <w:r w:rsidRPr="009C377D">
        <w:t>would be in the best interest</w:t>
      </w:r>
      <w:r>
        <w:t>s</w:t>
      </w:r>
      <w:r w:rsidRPr="009C377D">
        <w:t xml:space="preserve"> </w:t>
      </w:r>
      <w:proofErr w:type="gramStart"/>
      <w:r w:rsidRPr="009C377D">
        <w:t xml:space="preserve">of </w:t>
      </w:r>
      <w:r>
        <w:t xml:space="preserve"> the</w:t>
      </w:r>
      <w:proofErr w:type="gramEnd"/>
      <w:r>
        <w:t xml:space="preserve"> carriers that rely on these loans, the loan agents that provide the loans or the taxpayers who have provided the funding for these loans</w:t>
      </w:r>
      <w:r w:rsidRPr="009C377D">
        <w:t xml:space="preserve"> </w:t>
      </w:r>
      <w:r>
        <w:t>to eliminate USF support for the</w:t>
      </w:r>
      <w:r w:rsidRPr="009C377D">
        <w:t xml:space="preserve"> rural ILECs.  </w:t>
      </w:r>
      <w:r>
        <w:t>Otherwise</w:t>
      </w:r>
      <w:r w:rsidRPr="009C377D">
        <w:t xml:space="preserve">, </w:t>
      </w:r>
      <w:r>
        <w:t>it is unlikely that the</w:t>
      </w:r>
      <w:r w:rsidRPr="009C377D">
        <w:t xml:space="preserve"> rural ILECs w</w:t>
      </w:r>
      <w:r>
        <w:t xml:space="preserve">ould be </w:t>
      </w:r>
      <w:r w:rsidRPr="009C377D">
        <w:t>able</w:t>
      </w:r>
      <w:r>
        <w:t xml:space="preserve"> </w:t>
      </w:r>
      <w:r w:rsidRPr="009C377D">
        <w:t>to honor the</w:t>
      </w:r>
      <w:r>
        <w:t>ir</w:t>
      </w:r>
      <w:r w:rsidRPr="009C377D">
        <w:t xml:space="preserve"> loan commitments.  </w:t>
      </w:r>
      <w:r>
        <w:t xml:space="preserve">Such a scenario </w:t>
      </w:r>
      <w:r w:rsidRPr="009C377D">
        <w:t>would be devastating for the rural ILEC</w:t>
      </w:r>
      <w:r>
        <w:t>s</w:t>
      </w:r>
      <w:r w:rsidRPr="009C377D">
        <w:t xml:space="preserve"> and at the least problematic for </w:t>
      </w:r>
      <w:proofErr w:type="spellStart"/>
      <w:r w:rsidRPr="009C377D">
        <w:t>RUS</w:t>
      </w:r>
      <w:proofErr w:type="spellEnd"/>
      <w:r w:rsidRPr="009C377D">
        <w:t xml:space="preserve"> and the </w:t>
      </w:r>
      <w:r>
        <w:t>f</w:t>
      </w:r>
      <w:r w:rsidRPr="009C377D">
        <w:t xml:space="preserve">ederal </w:t>
      </w:r>
      <w:r>
        <w:t>g</w:t>
      </w:r>
      <w:r w:rsidRPr="009C377D">
        <w:t xml:space="preserve">overnment.  The </w:t>
      </w:r>
      <w:r>
        <w:t>Ohio Commis</w:t>
      </w:r>
      <w:r w:rsidR="00930230">
        <w:softHyphen/>
      </w:r>
      <w:r>
        <w:t xml:space="preserve">sion strongly urges the </w:t>
      </w:r>
      <w:r w:rsidRPr="009C377D">
        <w:t xml:space="preserve">FCC </w:t>
      </w:r>
      <w:r>
        <w:t>to carefully consider</w:t>
      </w:r>
      <w:r w:rsidRPr="009C377D">
        <w:t xml:space="preserve"> this significant predicament and</w:t>
      </w:r>
      <w:r>
        <w:t>,</w:t>
      </w:r>
      <w:r w:rsidRPr="009C377D">
        <w:t xml:space="preserve"> as necessary</w:t>
      </w:r>
      <w:r>
        <w:t xml:space="preserve">, to allow exceptions for the rural ILECs as the </w:t>
      </w:r>
      <w:proofErr w:type="spellStart"/>
      <w:r w:rsidRPr="009C377D">
        <w:t>CAF</w:t>
      </w:r>
      <w:proofErr w:type="spellEnd"/>
      <w:r w:rsidRPr="009C377D">
        <w:t xml:space="preserve"> </w:t>
      </w:r>
      <w:r>
        <w:t>is further devel</w:t>
      </w:r>
      <w:r w:rsidR="00930230">
        <w:softHyphen/>
      </w:r>
      <w:r>
        <w:t>oped</w:t>
      </w:r>
      <w:r w:rsidRPr="009C377D">
        <w:t xml:space="preserve">. </w:t>
      </w:r>
    </w:p>
    <w:p w:rsidR="005840C4" w:rsidRDefault="00FC0358" w:rsidP="00FC0358">
      <w:pPr>
        <w:pStyle w:val="Heading3"/>
      </w:pPr>
      <w:bookmarkStart w:id="24" w:name="_Toc290279152"/>
      <w:bookmarkStart w:id="25" w:name="_Toc290892258"/>
      <w:r>
        <w:t>B.</w:t>
      </w:r>
      <w:r>
        <w:tab/>
      </w:r>
      <w:r w:rsidR="005840C4" w:rsidRPr="00DF4C01">
        <w:t>Modification of High-Cost Loop Support</w:t>
      </w:r>
      <w:bookmarkEnd w:id="24"/>
      <w:bookmarkEnd w:id="25"/>
    </w:p>
    <w:p w:rsidR="005840C4" w:rsidRDefault="005840C4" w:rsidP="005840C4">
      <w:pPr>
        <w:pStyle w:val="Textstyle"/>
      </w:pPr>
      <w:r>
        <w:tab/>
      </w:r>
      <w:r w:rsidRPr="00DD5452">
        <w:t xml:space="preserve">The FCC </w:t>
      </w:r>
      <w:r>
        <w:t xml:space="preserve">has </w:t>
      </w:r>
      <w:r w:rsidRPr="00DD5452">
        <w:t>propos</w:t>
      </w:r>
      <w:r>
        <w:t>ed</w:t>
      </w:r>
      <w:r w:rsidRPr="00DD5452">
        <w:t xml:space="preserve"> reduc</w:t>
      </w:r>
      <w:r>
        <w:t>ing</w:t>
      </w:r>
      <w:r w:rsidRPr="00DD5452">
        <w:t xml:space="preserve"> the reimbursement percentages for </w:t>
      </w:r>
      <w:proofErr w:type="spellStart"/>
      <w:r w:rsidRPr="00DD5452">
        <w:t>HCLS</w:t>
      </w:r>
      <w:proofErr w:type="spellEnd"/>
      <w:r w:rsidRPr="00DD5452">
        <w:t xml:space="preserve"> to </w:t>
      </w:r>
      <w:r>
        <w:t>pro</w:t>
      </w:r>
      <w:r w:rsidR="00930230">
        <w:softHyphen/>
      </w:r>
      <w:r>
        <w:t>mote</w:t>
      </w:r>
      <w:r w:rsidRPr="00DD5452">
        <w:t xml:space="preserve"> a more equitable distribution of </w:t>
      </w:r>
      <w:r>
        <w:t xml:space="preserve">the limited </w:t>
      </w:r>
      <w:proofErr w:type="spellStart"/>
      <w:r>
        <w:t>HCLS</w:t>
      </w:r>
      <w:proofErr w:type="spellEnd"/>
      <w:r w:rsidRPr="00DD5452">
        <w:t xml:space="preserve"> funds.</w:t>
      </w:r>
      <w:r>
        <w:rPr>
          <w:rStyle w:val="FootnoteReference"/>
          <w:rFonts w:eastAsiaTheme="majorEastAsia"/>
        </w:rPr>
        <w:footnoteReference w:id="33"/>
      </w:r>
      <w:r w:rsidRPr="00DD5452">
        <w:t xml:space="preserve">  </w:t>
      </w:r>
      <w:r>
        <w:t>T</w:t>
      </w:r>
      <w:r w:rsidRPr="00DD5452">
        <w:t xml:space="preserve">he FCC </w:t>
      </w:r>
      <w:r>
        <w:t xml:space="preserve">notes </w:t>
      </w:r>
      <w:r w:rsidRPr="00DD5452">
        <w:t xml:space="preserve">that as some rural </w:t>
      </w:r>
      <w:r>
        <w:t>carriers</w:t>
      </w:r>
      <w:r w:rsidRPr="00DD5452">
        <w:t xml:space="preserve"> </w:t>
      </w:r>
      <w:r>
        <w:t xml:space="preserve">have </w:t>
      </w:r>
      <w:r w:rsidRPr="00DD5452">
        <w:t>experience</w:t>
      </w:r>
      <w:r>
        <w:t>d</w:t>
      </w:r>
      <w:r w:rsidRPr="00DD5452">
        <w:t xml:space="preserve"> an increase in access line loss, their investment</w:t>
      </w:r>
      <w:r>
        <w:t>s</w:t>
      </w:r>
      <w:r w:rsidRPr="00DD5452">
        <w:t xml:space="preserve"> in net plant </w:t>
      </w:r>
      <w:r>
        <w:t xml:space="preserve">have </w:t>
      </w:r>
      <w:r w:rsidRPr="00DD5452">
        <w:t>continue</w:t>
      </w:r>
      <w:r>
        <w:t>d</w:t>
      </w:r>
      <w:r w:rsidRPr="00DD5452">
        <w:t xml:space="preserve"> to increase</w:t>
      </w:r>
      <w:r>
        <w:t xml:space="preserve"> as well</w:t>
      </w:r>
      <w:r w:rsidRPr="00DD5452">
        <w:t>.</w:t>
      </w:r>
      <w:r>
        <w:rPr>
          <w:rStyle w:val="FootnoteReference"/>
          <w:rFonts w:eastAsiaTheme="majorEastAsia"/>
        </w:rPr>
        <w:footnoteReference w:id="34"/>
      </w:r>
      <w:r w:rsidRPr="00DD5452">
        <w:t xml:space="preserve">  </w:t>
      </w:r>
      <w:r>
        <w:t>The FCC</w:t>
      </w:r>
      <w:r w:rsidRPr="00DD5452">
        <w:t xml:space="preserve"> suggests</w:t>
      </w:r>
      <w:r>
        <w:t xml:space="preserve"> that this increased invest</w:t>
      </w:r>
      <w:r w:rsidR="00930230">
        <w:softHyphen/>
      </w:r>
      <w:r>
        <w:t>ment may not be</w:t>
      </w:r>
      <w:r w:rsidRPr="00DD5452">
        <w:t xml:space="preserve"> </w:t>
      </w:r>
      <w:r w:rsidRPr="00DD5452">
        <w:rPr>
          <w:i/>
        </w:rPr>
        <w:t>prudent</w:t>
      </w:r>
      <w:r w:rsidRPr="00DD5452">
        <w:t xml:space="preserve"> for a company that is losing customers.</w:t>
      </w:r>
      <w:r>
        <w:rPr>
          <w:rStyle w:val="FootnoteReference"/>
          <w:rFonts w:eastAsiaTheme="majorEastAsia"/>
        </w:rPr>
        <w:footnoteReference w:id="35"/>
      </w:r>
      <w:r w:rsidRPr="00DD5452">
        <w:t xml:space="preserve">  </w:t>
      </w:r>
      <w:r>
        <w:t xml:space="preserve">While the Ohio </w:t>
      </w:r>
      <w:r>
        <w:lastRenderedPageBreak/>
        <w:t>Commission appreciates the FCC’s position, it respectfully offers a different view for consid</w:t>
      </w:r>
      <w:r w:rsidR="00930230">
        <w:softHyphen/>
      </w:r>
      <w:r>
        <w:t xml:space="preserve">eration.  </w:t>
      </w:r>
    </w:p>
    <w:p w:rsidR="005840C4" w:rsidRDefault="005840C4" w:rsidP="005840C4">
      <w:pPr>
        <w:pStyle w:val="Textstyle"/>
      </w:pPr>
      <w:r>
        <w:tab/>
        <w:t>Clearly,</w:t>
      </w:r>
      <w:r w:rsidRPr="00DD5452">
        <w:t xml:space="preserve"> not all </w:t>
      </w:r>
      <w:r>
        <w:t>c</w:t>
      </w:r>
      <w:r w:rsidRPr="00DD5452">
        <w:t xml:space="preserve">arriers are alike.  </w:t>
      </w:r>
      <w:r>
        <w:t>Each</w:t>
      </w:r>
      <w:r w:rsidRPr="00DD5452">
        <w:t xml:space="preserve"> rural </w:t>
      </w:r>
      <w:proofErr w:type="spellStart"/>
      <w:r w:rsidRPr="00DD5452">
        <w:t>ILEC</w:t>
      </w:r>
      <w:proofErr w:type="spellEnd"/>
      <w:r w:rsidRPr="00DD5452">
        <w:t xml:space="preserve"> is different from </w:t>
      </w:r>
      <w:r>
        <w:t>all</w:t>
      </w:r>
      <w:r w:rsidRPr="00DD5452">
        <w:t xml:space="preserve"> other rural </w:t>
      </w:r>
      <w:r>
        <w:t xml:space="preserve">ILECs, which as a group are </w:t>
      </w:r>
      <w:r w:rsidRPr="00DD5452">
        <w:t xml:space="preserve">much different </w:t>
      </w:r>
      <w:r>
        <w:t>from</w:t>
      </w:r>
      <w:r w:rsidRPr="00DD5452">
        <w:t xml:space="preserve"> non-rural </w:t>
      </w:r>
      <w:r>
        <w:t>ILECs</w:t>
      </w:r>
      <w:r w:rsidRPr="00DD5452">
        <w:t xml:space="preserve">.  </w:t>
      </w:r>
      <w:r>
        <w:t>Several</w:t>
      </w:r>
      <w:r w:rsidRPr="00DD5452">
        <w:t xml:space="preserve"> years ago, many of these </w:t>
      </w:r>
      <w:r>
        <w:t>rural carriers</w:t>
      </w:r>
      <w:r w:rsidRPr="00DD5452">
        <w:t xml:space="preserve"> beg</w:t>
      </w:r>
      <w:r>
        <w:t>a</w:t>
      </w:r>
      <w:r w:rsidRPr="00DD5452">
        <w:t xml:space="preserve">n </w:t>
      </w:r>
      <w:r>
        <w:t xml:space="preserve">positioning themselves for a competitive market.  In an </w:t>
      </w:r>
      <w:r w:rsidRPr="00DD5452">
        <w:t xml:space="preserve">attempt </w:t>
      </w:r>
      <w:r>
        <w:t xml:space="preserve">to minimize </w:t>
      </w:r>
      <w:r w:rsidRPr="00DD5452">
        <w:t>th</w:t>
      </w:r>
      <w:r>
        <w:t>e number of customers leaving their networks</w:t>
      </w:r>
      <w:r w:rsidRPr="00DD5452">
        <w:t xml:space="preserve"> </w:t>
      </w:r>
      <w:r>
        <w:t>as well as to offset their expected corresponding revenue losses, these rural carriers invested in their net</w:t>
      </w:r>
      <w:r w:rsidR="00930230">
        <w:softHyphen/>
      </w:r>
      <w:r>
        <w:t>works to allow them to offer a variety of services and packages that they had not previ</w:t>
      </w:r>
      <w:r w:rsidR="00930230">
        <w:softHyphen/>
      </w:r>
      <w:r>
        <w:t xml:space="preserve">ously been able to make available.  In doing so, these carriers were able to </w:t>
      </w:r>
      <w:r w:rsidRPr="00DD5452">
        <w:t xml:space="preserve">remain focused on their provider of last resort </w:t>
      </w:r>
      <w:r>
        <w:t xml:space="preserve">(POLR) </w:t>
      </w:r>
      <w:r w:rsidRPr="00DD5452">
        <w:t>obligations</w:t>
      </w:r>
      <w:r>
        <w:t>.  Some of the smallest ILECs, however, have struggled with their POLR obligations as their customer levels and rev</w:t>
      </w:r>
      <w:r w:rsidR="00930230">
        <w:softHyphen/>
      </w:r>
      <w:r>
        <w:t>enues declined.</w:t>
      </w:r>
      <w:r w:rsidRPr="00DD5452">
        <w:t xml:space="preserve">  For </w:t>
      </w:r>
      <w:r>
        <w:t>all of the rural ILECs and specifically, the smallest ILECs</w:t>
      </w:r>
      <w:r w:rsidRPr="00DD5452">
        <w:t>, USF sup</w:t>
      </w:r>
      <w:r w:rsidR="00930230">
        <w:softHyphen/>
      </w:r>
      <w:r w:rsidRPr="00DD5452">
        <w:t xml:space="preserve">port </w:t>
      </w:r>
      <w:r>
        <w:t>is essential to</w:t>
      </w:r>
      <w:r w:rsidRPr="00DD5452">
        <w:t xml:space="preserve"> maintaining and improving their networks </w:t>
      </w:r>
      <w:r>
        <w:t>as well as</w:t>
      </w:r>
      <w:r w:rsidRPr="00DD5452">
        <w:t xml:space="preserve"> providing afford</w:t>
      </w:r>
      <w:r w:rsidR="00930230">
        <w:softHyphen/>
      </w:r>
      <w:r w:rsidRPr="00DD5452">
        <w:t>able service offerings</w:t>
      </w:r>
      <w:r>
        <w:t xml:space="preserve"> as the provider of last resort</w:t>
      </w:r>
      <w:r w:rsidRPr="00DD5452">
        <w:t xml:space="preserve">. </w:t>
      </w:r>
    </w:p>
    <w:p w:rsidR="005840C4" w:rsidRDefault="005840C4" w:rsidP="005840C4">
      <w:pPr>
        <w:pStyle w:val="Textstyle"/>
      </w:pPr>
      <w:r>
        <w:tab/>
        <w:t>I</w:t>
      </w:r>
      <w:r w:rsidRPr="00DD5452">
        <w:t>n today’s competitive telecommunications environment,</w:t>
      </w:r>
      <w:r>
        <w:t xml:space="preserve"> most ILECs</w:t>
      </w:r>
      <w:r w:rsidRPr="00DD5452">
        <w:t xml:space="preserve"> have lost a sizeable percentage of working loops to alternative and intermodal competitors</w:t>
      </w:r>
      <w:r>
        <w:t xml:space="preserve"> including those rural carriers that positioned themselves for competition</w:t>
      </w:r>
      <w:r w:rsidRPr="00DD5452">
        <w:t xml:space="preserve">.  </w:t>
      </w:r>
      <w:r>
        <w:t>I</w:t>
      </w:r>
      <w:r w:rsidRPr="00DD5452">
        <w:t>f</w:t>
      </w:r>
      <w:r>
        <w:t xml:space="preserve"> </w:t>
      </w:r>
      <w:r w:rsidRPr="00DD5452">
        <w:t xml:space="preserve">not for their </w:t>
      </w:r>
      <w:r w:rsidRPr="00DD5452">
        <w:rPr>
          <w:i/>
        </w:rPr>
        <w:t>prudent</w:t>
      </w:r>
      <w:r>
        <w:rPr>
          <w:i/>
        </w:rPr>
        <w:t xml:space="preserve"> </w:t>
      </w:r>
      <w:r>
        <w:t>network</w:t>
      </w:r>
      <w:r w:rsidRPr="00DD5452">
        <w:t xml:space="preserve"> investments</w:t>
      </w:r>
      <w:r>
        <w:t xml:space="preserve">, </w:t>
      </w:r>
      <w:r w:rsidRPr="00DD5452">
        <w:t>the</w:t>
      </w:r>
      <w:r>
        <w:t>se carriers</w:t>
      </w:r>
      <w:r w:rsidRPr="00DD5452">
        <w:t xml:space="preserve"> would be in a </w:t>
      </w:r>
      <w:r>
        <w:t xml:space="preserve">much </w:t>
      </w:r>
      <w:r w:rsidRPr="00DD5452">
        <w:t>wors</w:t>
      </w:r>
      <w:r>
        <w:t>e</w:t>
      </w:r>
      <w:r w:rsidRPr="00DD5452">
        <w:t xml:space="preserve"> </w:t>
      </w:r>
      <w:r>
        <w:t xml:space="preserve">financial </w:t>
      </w:r>
      <w:r w:rsidRPr="00DD5452">
        <w:t>predicament today</w:t>
      </w:r>
      <w:r>
        <w:t xml:space="preserve"> and some customers would simply not be served</w:t>
      </w:r>
      <w:r w:rsidRPr="00DD5452">
        <w:t xml:space="preserve">.  </w:t>
      </w:r>
      <w:r>
        <w:t>Because of the network improve</w:t>
      </w:r>
      <w:r w:rsidR="00930230">
        <w:softHyphen/>
      </w:r>
      <w:r>
        <w:t xml:space="preserve">ments made possible by USF funds, many rural ILECs are presently able </w:t>
      </w:r>
      <w:r w:rsidRPr="00DD5452">
        <w:t>to offset some lost revenue and access line loss</w:t>
      </w:r>
      <w:r>
        <w:t>es</w:t>
      </w:r>
      <w:r w:rsidRPr="00DD5452">
        <w:t xml:space="preserve"> </w:t>
      </w:r>
      <w:r>
        <w:t>through their</w:t>
      </w:r>
      <w:r w:rsidRPr="00DD5452">
        <w:t xml:space="preserve"> ability to provide all of their customers with</w:t>
      </w:r>
      <w:r>
        <w:t xml:space="preserve"> </w:t>
      </w:r>
      <w:r w:rsidRPr="00DD5452">
        <w:t xml:space="preserve">state-of-the-art </w:t>
      </w:r>
      <w:r>
        <w:t xml:space="preserve">service </w:t>
      </w:r>
      <w:r w:rsidRPr="00DD5452">
        <w:t>offerings, including broadband coverage</w:t>
      </w:r>
      <w:r>
        <w:t xml:space="preserve"> over their entire net</w:t>
      </w:r>
      <w:r w:rsidR="00930230">
        <w:softHyphen/>
      </w:r>
      <w:r>
        <w:lastRenderedPageBreak/>
        <w:t>work</w:t>
      </w:r>
      <w:r w:rsidRPr="00DD5452">
        <w:t>.  Th</w:t>
      </w:r>
      <w:r>
        <w:t xml:space="preserve">e Ohio Commission believes that this </w:t>
      </w:r>
      <w:r w:rsidRPr="00DD5452">
        <w:t xml:space="preserve">is precisely how the USF was intended to be used.  </w:t>
      </w:r>
    </w:p>
    <w:p w:rsidR="005840C4" w:rsidRDefault="005840C4" w:rsidP="005840C4">
      <w:pPr>
        <w:pStyle w:val="Textstyle"/>
      </w:pPr>
      <w:r>
        <w:tab/>
        <w:t xml:space="preserve">Ohio has experienced </w:t>
      </w:r>
      <w:r w:rsidRPr="00DD5452">
        <w:t>a 20 to 30 percent decrease in access lines over the last few years</w:t>
      </w:r>
      <w:r>
        <w:t xml:space="preserve"> according to the telecommunications industry.</w:t>
      </w:r>
      <w:r>
        <w:rPr>
          <w:rStyle w:val="FootnoteReference"/>
          <w:rFonts w:eastAsiaTheme="majorEastAsia"/>
        </w:rPr>
        <w:footnoteReference w:id="36"/>
      </w:r>
      <w:r w:rsidRPr="00DD5452">
        <w:t xml:space="preserve"> </w:t>
      </w:r>
      <w:r>
        <w:t xml:space="preserve"> Logically,</w:t>
      </w:r>
      <w:r w:rsidRPr="00DD5452">
        <w:t xml:space="preserve"> </w:t>
      </w:r>
      <w:r>
        <w:t>this results in</w:t>
      </w:r>
      <w:r w:rsidRPr="00DD5452">
        <w:t xml:space="preserve"> a correspond</w:t>
      </w:r>
      <w:r w:rsidR="00930230">
        <w:softHyphen/>
      </w:r>
      <w:r w:rsidRPr="00DD5452">
        <w:t>ing lo</w:t>
      </w:r>
      <w:r>
        <w:t>s</w:t>
      </w:r>
      <w:r w:rsidRPr="00DD5452">
        <w:t xml:space="preserve">s in revenue.  </w:t>
      </w:r>
      <w:r>
        <w:t xml:space="preserve">Nonetheless, most carriers have been able to continue to meet their POLR obligations as well as offer new and innovative </w:t>
      </w:r>
      <w:r w:rsidRPr="00DD5452">
        <w:t>services</w:t>
      </w:r>
      <w:r>
        <w:t>, including broad</w:t>
      </w:r>
      <w:r w:rsidR="00930230">
        <w:softHyphen/>
      </w:r>
      <w:r>
        <w:t>band,</w:t>
      </w:r>
      <w:r w:rsidRPr="00DD5452">
        <w:t xml:space="preserve"> to </w:t>
      </w:r>
      <w:r w:rsidRPr="00DD5452">
        <w:rPr>
          <w:i/>
        </w:rPr>
        <w:t>all</w:t>
      </w:r>
      <w:r w:rsidRPr="00DD5452">
        <w:t xml:space="preserve"> customers</w:t>
      </w:r>
      <w:r>
        <w:t xml:space="preserve"> due to their </w:t>
      </w:r>
      <w:r w:rsidRPr="00DD5452">
        <w:rPr>
          <w:i/>
        </w:rPr>
        <w:t>prudent</w:t>
      </w:r>
      <w:r w:rsidRPr="00DD5452">
        <w:t xml:space="preserve"> business decision</w:t>
      </w:r>
      <w:r>
        <w:t xml:space="preserve"> to invest in their respec</w:t>
      </w:r>
      <w:r w:rsidR="00C5554A">
        <w:softHyphen/>
      </w:r>
      <w:r>
        <w:t>tive networks</w:t>
      </w:r>
      <w:r w:rsidRPr="00DD5452">
        <w:t xml:space="preserve">.  </w:t>
      </w:r>
      <w:r>
        <w:t>As it</w:t>
      </w:r>
      <w:r w:rsidRPr="00DD5452">
        <w:t xml:space="preserve"> </w:t>
      </w:r>
      <w:r>
        <w:t xml:space="preserve">considers modifying </w:t>
      </w:r>
      <w:proofErr w:type="spellStart"/>
      <w:r>
        <w:t>HCLS</w:t>
      </w:r>
      <w:proofErr w:type="spellEnd"/>
      <w:r>
        <w:t>, the Ohio Commission strongly encourages the FCC to consider that rural carriers have invested in their networks, usu</w:t>
      </w:r>
      <w:r w:rsidR="00930230">
        <w:softHyphen/>
      </w:r>
      <w:r>
        <w:t>ally on a project-by-project basis, to meet their POLR obligations by maintaining the net</w:t>
      </w:r>
      <w:r w:rsidR="00930230">
        <w:softHyphen/>
      </w:r>
      <w:r>
        <w:t>work and making service available to all customers in their service territories,</w:t>
      </w:r>
      <w:r w:rsidRPr="00DD5452">
        <w:t xml:space="preserve"> </w:t>
      </w:r>
      <w:r>
        <w:t>e</w:t>
      </w:r>
      <w:r w:rsidRPr="00DD5452">
        <w:t xml:space="preserve">ven </w:t>
      </w:r>
      <w:r>
        <w:t xml:space="preserve">to </w:t>
      </w:r>
      <w:r w:rsidRPr="00DD5452">
        <w:t xml:space="preserve">those customers that have left </w:t>
      </w:r>
      <w:r>
        <w:t xml:space="preserve">the network for a competitor </w:t>
      </w:r>
      <w:r w:rsidRPr="00DD5452">
        <w:t xml:space="preserve">and may never return. </w:t>
      </w:r>
    </w:p>
    <w:p w:rsidR="005840C4" w:rsidRPr="00BF203F" w:rsidRDefault="005840C4" w:rsidP="005840C4">
      <w:pPr>
        <w:pStyle w:val="Textstyle"/>
      </w:pPr>
      <w:r>
        <w:tab/>
      </w:r>
      <w:r w:rsidRPr="00BF203F">
        <w:t xml:space="preserve">The FCC </w:t>
      </w:r>
      <w:r>
        <w:t xml:space="preserve">has </w:t>
      </w:r>
      <w:r w:rsidRPr="00BF203F">
        <w:t>propose</w:t>
      </w:r>
      <w:r>
        <w:t>d</w:t>
      </w:r>
      <w:r w:rsidRPr="00BF203F">
        <w:t xml:space="preserve"> to modify the distribution of </w:t>
      </w:r>
      <w:proofErr w:type="spellStart"/>
      <w:r w:rsidRPr="00BF203F">
        <w:t>HCLS</w:t>
      </w:r>
      <w:proofErr w:type="spellEnd"/>
      <w:r w:rsidRPr="00BF203F">
        <w:t xml:space="preserve"> funds by decreasing the current support percentages by ten percent, from 65</w:t>
      </w:r>
      <w:r>
        <w:t xml:space="preserve"> percent </w:t>
      </w:r>
      <w:r w:rsidRPr="00BF203F">
        <w:t>to 55</w:t>
      </w:r>
      <w:r>
        <w:t xml:space="preserve"> percent</w:t>
      </w:r>
      <w:r w:rsidRPr="00BF203F">
        <w:t xml:space="preserve">, for </w:t>
      </w:r>
      <w:r>
        <w:t xml:space="preserve">those </w:t>
      </w:r>
      <w:r w:rsidRPr="00BF203F">
        <w:t xml:space="preserve">carriers </w:t>
      </w:r>
      <w:r>
        <w:t>with</w:t>
      </w:r>
      <w:r w:rsidRPr="00BF203F">
        <w:t xml:space="preserve"> cost</w:t>
      </w:r>
      <w:r>
        <w:t>s</w:t>
      </w:r>
      <w:r w:rsidRPr="00BF203F">
        <w:t xml:space="preserve"> </w:t>
      </w:r>
      <w:r>
        <w:t>in excess of</w:t>
      </w:r>
      <w:r w:rsidRPr="00BF203F">
        <w:t xml:space="preserve"> </w:t>
      </w:r>
      <w:r>
        <w:t xml:space="preserve">115 percent of </w:t>
      </w:r>
      <w:r w:rsidRPr="00BF203F">
        <w:t xml:space="preserve">the National Average Cost </w:t>
      </w:r>
      <w:r>
        <w:t>P</w:t>
      </w:r>
      <w:r w:rsidRPr="00BF203F">
        <w:t>er-Loop (</w:t>
      </w:r>
      <w:proofErr w:type="spellStart"/>
      <w:r w:rsidRPr="00BF203F">
        <w:t>NACPL</w:t>
      </w:r>
      <w:proofErr w:type="spellEnd"/>
      <w:r w:rsidRPr="00BF203F">
        <w:t>) and from 75</w:t>
      </w:r>
      <w:r>
        <w:t xml:space="preserve"> percent</w:t>
      </w:r>
      <w:r w:rsidRPr="00BF203F">
        <w:t xml:space="preserve"> to 65</w:t>
      </w:r>
      <w:r>
        <w:t xml:space="preserve"> percent</w:t>
      </w:r>
      <w:r w:rsidRPr="00BF203F">
        <w:t xml:space="preserve"> for carriers </w:t>
      </w:r>
      <w:r>
        <w:t>with</w:t>
      </w:r>
      <w:r w:rsidRPr="00BF203F">
        <w:t xml:space="preserve"> cost</w:t>
      </w:r>
      <w:r>
        <w:t>s</w:t>
      </w:r>
      <w:r w:rsidRPr="00BF203F">
        <w:t xml:space="preserve"> </w:t>
      </w:r>
      <w:r>
        <w:t xml:space="preserve">in </w:t>
      </w:r>
      <w:r w:rsidRPr="00BF203F">
        <w:t>exce</w:t>
      </w:r>
      <w:r>
        <w:t>ss</w:t>
      </w:r>
      <w:r w:rsidRPr="00BF203F">
        <w:t xml:space="preserve"> </w:t>
      </w:r>
      <w:r>
        <w:t xml:space="preserve">of </w:t>
      </w:r>
      <w:r w:rsidRPr="00BF203F">
        <w:t>150</w:t>
      </w:r>
      <w:r>
        <w:t xml:space="preserve"> per</w:t>
      </w:r>
      <w:r w:rsidR="00930230">
        <w:softHyphen/>
      </w:r>
      <w:r>
        <w:t>cent</w:t>
      </w:r>
      <w:r w:rsidRPr="00BF203F">
        <w:t xml:space="preserve"> </w:t>
      </w:r>
      <w:r>
        <w:t xml:space="preserve">of </w:t>
      </w:r>
      <w:r w:rsidRPr="00BF203F">
        <w:t xml:space="preserve">the </w:t>
      </w:r>
      <w:proofErr w:type="spellStart"/>
      <w:r w:rsidRPr="00BF203F">
        <w:t>NACPL</w:t>
      </w:r>
      <w:proofErr w:type="spellEnd"/>
      <w:r w:rsidRPr="00BF203F">
        <w:t>.</w:t>
      </w:r>
      <w:r>
        <w:rPr>
          <w:rStyle w:val="FootnoteReference"/>
          <w:rFonts w:eastAsiaTheme="majorEastAsia"/>
        </w:rPr>
        <w:footnoteReference w:id="37"/>
      </w:r>
      <w:r w:rsidRPr="00BF203F">
        <w:t xml:space="preserve"> </w:t>
      </w:r>
      <w:r>
        <w:t xml:space="preserve"> </w:t>
      </w:r>
      <w:r w:rsidRPr="00BF203F">
        <w:t>Although the Ohio Commission understands the FCC</w:t>
      </w:r>
      <w:r>
        <w:t>’s</w:t>
      </w:r>
      <w:r w:rsidRPr="00BF203F">
        <w:t xml:space="preserve"> intent to encourage ILECs to “invest and expend funds more efficiently and effectively” with the </w:t>
      </w:r>
      <w:r w:rsidRPr="00BF203F">
        <w:lastRenderedPageBreak/>
        <w:t>“modest reduction</w:t>
      </w:r>
      <w:r>
        <w:t>,</w:t>
      </w:r>
      <w:r w:rsidRPr="00BF203F">
        <w:t>”</w:t>
      </w:r>
      <w:r>
        <w:rPr>
          <w:rStyle w:val="FootnoteReference"/>
          <w:rFonts w:eastAsiaTheme="majorEastAsia"/>
        </w:rPr>
        <w:footnoteReference w:id="38"/>
      </w:r>
      <w:r w:rsidRPr="00BF203F">
        <w:t xml:space="preserve"> </w:t>
      </w:r>
      <w:r>
        <w:t xml:space="preserve">it is the Ohio Commission’s belief </w:t>
      </w:r>
      <w:r w:rsidRPr="00BF203F">
        <w:t>that the proposal will not achieve the desired effect.  There is no reason to believe that reducing needed support w</w:t>
      </w:r>
      <w:r>
        <w:t>ill</w:t>
      </w:r>
      <w:r w:rsidRPr="00BF203F">
        <w:t xml:space="preserve"> make an </w:t>
      </w:r>
      <w:proofErr w:type="spellStart"/>
      <w:r w:rsidRPr="00BF203F">
        <w:t>ILEC</w:t>
      </w:r>
      <w:proofErr w:type="spellEnd"/>
      <w:r w:rsidRPr="00BF203F">
        <w:t xml:space="preserve"> more efficient than </w:t>
      </w:r>
      <w:r>
        <w:t>it</w:t>
      </w:r>
      <w:r w:rsidRPr="00BF203F">
        <w:t xml:space="preserve"> </w:t>
      </w:r>
      <w:r>
        <w:t>currently is</w:t>
      </w:r>
      <w:r w:rsidRPr="00BF203F">
        <w:t xml:space="preserve">.  </w:t>
      </w:r>
      <w:r>
        <w:t>Rather</w:t>
      </w:r>
      <w:r w:rsidRPr="00BF203F">
        <w:t xml:space="preserve">, the reduction </w:t>
      </w:r>
      <w:r>
        <w:t xml:space="preserve">may have the unintended consequence </w:t>
      </w:r>
      <w:r w:rsidRPr="00BF203F">
        <w:t xml:space="preserve">of causing undue financial hardship </w:t>
      </w:r>
      <w:r>
        <w:t>for</w:t>
      </w:r>
      <w:r w:rsidRPr="00BF203F">
        <w:t xml:space="preserve"> rural </w:t>
      </w:r>
      <w:r>
        <w:t>carriers</w:t>
      </w:r>
      <w:r w:rsidRPr="00BF203F">
        <w:t xml:space="preserve"> and their </w:t>
      </w:r>
      <w:r>
        <w:t>customers</w:t>
      </w:r>
      <w:r w:rsidRPr="00BF203F">
        <w:t xml:space="preserve"> while making only a diminutive impact on the overall amount of the funds to be repurposed to the </w:t>
      </w:r>
      <w:proofErr w:type="spellStart"/>
      <w:r w:rsidRPr="00BF203F">
        <w:t>CAF</w:t>
      </w:r>
      <w:proofErr w:type="spellEnd"/>
      <w:r w:rsidR="003D4E42" w:rsidRPr="00BF203F">
        <w:t xml:space="preserve">.  </w:t>
      </w:r>
      <w:r>
        <w:t>The Ohio Commission believes instead that</w:t>
      </w:r>
      <w:r w:rsidRPr="00BF203F">
        <w:t xml:space="preserve"> the FCC should </w:t>
      </w:r>
      <w:r>
        <w:t xml:space="preserve">instead </w:t>
      </w:r>
      <w:r w:rsidRPr="00BF203F">
        <w:t xml:space="preserve">consider reducing the threshold size for a qualifying </w:t>
      </w:r>
      <w:proofErr w:type="spellStart"/>
      <w:r w:rsidRPr="00BF203F">
        <w:t>ILEC</w:t>
      </w:r>
      <w:proofErr w:type="spellEnd"/>
      <w:r w:rsidRPr="00BF203F">
        <w:t xml:space="preserve"> from 200,000 working loops to a more reasonable </w:t>
      </w:r>
      <w:r>
        <w:t>number</w:t>
      </w:r>
      <w:r w:rsidRPr="00BF203F">
        <w:t xml:space="preserve"> that better reflects a rural carrier’s size.  In Ohio, there are 35 small rural ILECs with the largest having a total of 26,600 working loops</w:t>
      </w:r>
      <w:r>
        <w:t>.</w:t>
      </w:r>
      <w:r>
        <w:rPr>
          <w:rStyle w:val="FootnoteReference"/>
          <w:rFonts w:eastAsiaTheme="majorEastAsia"/>
        </w:rPr>
        <w:footnoteReference w:id="39"/>
      </w:r>
      <w:r w:rsidRPr="00BF203F">
        <w:t xml:space="preserve"> </w:t>
      </w:r>
      <w:r>
        <w:t xml:space="preserve"> T</w:t>
      </w:r>
      <w:r w:rsidRPr="00BF203F">
        <w:t xml:space="preserve">he next two largest rural ILECs </w:t>
      </w:r>
      <w:r>
        <w:t xml:space="preserve">each </w:t>
      </w:r>
      <w:r w:rsidRPr="00BF203F">
        <w:t>have 8,000 working loops and the remainder all have less than 5,000 working loops.</w:t>
      </w:r>
      <w:r>
        <w:rPr>
          <w:rStyle w:val="FootnoteReference"/>
          <w:rFonts w:eastAsiaTheme="majorEastAsia"/>
        </w:rPr>
        <w:footnoteReference w:id="40"/>
      </w:r>
      <w:r w:rsidRPr="00BF203F">
        <w:t xml:space="preserve">  Twenty-eight of those have fewer than 2,000 </w:t>
      </w:r>
      <w:r>
        <w:t>work</w:t>
      </w:r>
      <w:r w:rsidR="00930230">
        <w:softHyphen/>
      </w:r>
      <w:r>
        <w:t xml:space="preserve">ing loops </w:t>
      </w:r>
      <w:r w:rsidRPr="00BF203F">
        <w:t>and</w:t>
      </w:r>
      <w:r>
        <w:t>,</w:t>
      </w:r>
      <w:r w:rsidRPr="00BF203F">
        <w:t xml:space="preserve"> of those</w:t>
      </w:r>
      <w:r>
        <w:t>,</w:t>
      </w:r>
      <w:r w:rsidRPr="00BF203F">
        <w:t xml:space="preserve"> eleven have less than 1,000 working loops.</w:t>
      </w:r>
      <w:r>
        <w:rPr>
          <w:rStyle w:val="FootnoteReference"/>
          <w:rFonts w:eastAsiaTheme="majorEastAsia"/>
        </w:rPr>
        <w:footnoteReference w:id="41"/>
      </w:r>
      <w:r w:rsidRPr="00BF203F">
        <w:t xml:space="preserve"> </w:t>
      </w:r>
      <w:r>
        <w:t xml:space="preserve"> The Ohio Commis</w:t>
      </w:r>
      <w:r w:rsidR="00930230">
        <w:softHyphen/>
      </w:r>
      <w:r>
        <w:t>sion believes that t</w:t>
      </w:r>
      <w:r w:rsidRPr="00BF203F">
        <w:t>he FCC should reduce the threshold to a level that both pre</w:t>
      </w:r>
      <w:r w:rsidR="00930230">
        <w:softHyphen/>
      </w:r>
      <w:r w:rsidRPr="00BF203F">
        <w:t>serves the funding for the truly small rural carriers, at a holding company level, and pro</w:t>
      </w:r>
      <w:r w:rsidR="00930230">
        <w:softHyphen/>
      </w:r>
      <w:r w:rsidRPr="00BF203F">
        <w:t xml:space="preserve">vides the same percentage of </w:t>
      </w:r>
      <w:r>
        <w:t>funding</w:t>
      </w:r>
      <w:r w:rsidRPr="00BF203F">
        <w:t xml:space="preserve"> that FCC had calculated for repurposing to the </w:t>
      </w:r>
      <w:proofErr w:type="spellStart"/>
      <w:r w:rsidRPr="00BF203F">
        <w:t>CAF</w:t>
      </w:r>
      <w:proofErr w:type="spellEnd"/>
      <w:r w:rsidRPr="00BF203F">
        <w:t xml:space="preserve"> in its percentage reduction proposal in paragraph 180.</w:t>
      </w:r>
    </w:p>
    <w:p w:rsidR="005840C4" w:rsidRDefault="005840C4" w:rsidP="005840C4">
      <w:pPr>
        <w:pStyle w:val="Textstyle"/>
      </w:pPr>
      <w:r>
        <w:tab/>
        <w:t>T</w:t>
      </w:r>
      <w:r w:rsidRPr="00BF203F">
        <w:t xml:space="preserve">he FCC notes </w:t>
      </w:r>
      <w:r>
        <w:t xml:space="preserve">that for a </w:t>
      </w:r>
      <w:r w:rsidRPr="00BF203F">
        <w:t xml:space="preserve">carrier </w:t>
      </w:r>
      <w:r>
        <w:t>having</w:t>
      </w:r>
      <w:r w:rsidRPr="00BF203F">
        <w:t xml:space="preserve"> </w:t>
      </w:r>
      <w:r>
        <w:t>more than</w:t>
      </w:r>
      <w:r w:rsidRPr="00BF203F">
        <w:t xml:space="preserve"> 200,000 working loops</w:t>
      </w:r>
      <w:r>
        <w:t xml:space="preserve">, </w:t>
      </w:r>
      <w:r w:rsidRPr="00BF203F">
        <w:t>the cur</w:t>
      </w:r>
      <w:r w:rsidR="00930230">
        <w:softHyphen/>
      </w:r>
      <w:r w:rsidRPr="00BF203F">
        <w:t>rent reimbursement percentage is 10</w:t>
      </w:r>
      <w:r>
        <w:t xml:space="preserve"> percent</w:t>
      </w:r>
      <w:r w:rsidRPr="00BF203F">
        <w:t xml:space="preserve"> </w:t>
      </w:r>
      <w:r>
        <w:t>when the carrier’s</w:t>
      </w:r>
      <w:r w:rsidRPr="00BF203F">
        <w:t xml:space="preserve"> cost </w:t>
      </w:r>
      <w:r>
        <w:t xml:space="preserve">per </w:t>
      </w:r>
      <w:r w:rsidRPr="00BF203F">
        <w:t>loop exceeds 115</w:t>
      </w:r>
      <w:r>
        <w:t xml:space="preserve"> </w:t>
      </w:r>
      <w:r>
        <w:lastRenderedPageBreak/>
        <w:t xml:space="preserve">percent of the </w:t>
      </w:r>
      <w:proofErr w:type="spellStart"/>
      <w:r>
        <w:t>NACPL</w:t>
      </w:r>
      <w:proofErr w:type="spellEnd"/>
      <w:r>
        <w:t>.</w:t>
      </w:r>
      <w:r>
        <w:rPr>
          <w:rStyle w:val="FootnoteReference"/>
          <w:rFonts w:eastAsiaTheme="majorEastAsia"/>
        </w:rPr>
        <w:footnoteReference w:id="42"/>
      </w:r>
      <w:r w:rsidRPr="00BF203F">
        <w:t xml:space="preserve">  The FCC further </w:t>
      </w:r>
      <w:r>
        <w:t>notes</w:t>
      </w:r>
      <w:r w:rsidRPr="00BF203F">
        <w:t xml:space="preserve"> that there are no rural carriers with over 200,000 working loops currently receiving </w:t>
      </w:r>
      <w:proofErr w:type="spellStart"/>
      <w:r w:rsidRPr="00BF203F">
        <w:t>HCLS</w:t>
      </w:r>
      <w:proofErr w:type="spellEnd"/>
      <w:r>
        <w:t xml:space="preserve"> based on actual costs and asks if this </w:t>
      </w:r>
      <w:r w:rsidRPr="00BF203F">
        <w:t>threshold should be eliminated.</w:t>
      </w:r>
      <w:r>
        <w:rPr>
          <w:rStyle w:val="FootnoteReference"/>
          <w:rFonts w:eastAsiaTheme="majorEastAsia"/>
        </w:rPr>
        <w:footnoteReference w:id="43"/>
      </w:r>
      <w:r w:rsidRPr="00BF203F">
        <w:t xml:space="preserve">  </w:t>
      </w:r>
      <w:r>
        <w:t>T</w:t>
      </w:r>
      <w:r w:rsidRPr="00BF203F">
        <w:t>he Ohio Commission</w:t>
      </w:r>
      <w:r>
        <w:t xml:space="preserve"> agrees with this proposal and</w:t>
      </w:r>
      <w:r w:rsidRPr="00BF203F">
        <w:t xml:space="preserve"> believes </w:t>
      </w:r>
      <w:r>
        <w:t xml:space="preserve">that the threshold of more than </w:t>
      </w:r>
      <w:r w:rsidRPr="00BF203F">
        <w:t xml:space="preserve">200,000 working loops should be eliminated.  </w:t>
      </w:r>
      <w:r>
        <w:t>It makes little sense to continue</w:t>
      </w:r>
      <w:r w:rsidRPr="00BF203F">
        <w:t xml:space="preserve"> funding </w:t>
      </w:r>
      <w:r>
        <w:t xml:space="preserve">a </w:t>
      </w:r>
      <w:r w:rsidRPr="00BF203F">
        <w:t xml:space="preserve">program </w:t>
      </w:r>
      <w:r>
        <w:t xml:space="preserve">for which </w:t>
      </w:r>
      <w:r w:rsidRPr="00BF203F">
        <w:t>no carrier qualifie</w:t>
      </w:r>
      <w:r>
        <w:t>s</w:t>
      </w:r>
      <w:r w:rsidR="003D4E42" w:rsidRPr="00BF203F">
        <w:t xml:space="preserve">.  </w:t>
      </w:r>
      <w:r>
        <w:t>The idle</w:t>
      </w:r>
      <w:r w:rsidR="00930230">
        <w:softHyphen/>
      </w:r>
      <w:r>
        <w:t>ness of such funds serves no public purpose</w:t>
      </w:r>
      <w:r w:rsidRPr="00BF203F">
        <w:t xml:space="preserve">.   </w:t>
      </w:r>
    </w:p>
    <w:p w:rsidR="005840C4" w:rsidRDefault="00FC0358" w:rsidP="00FC0358">
      <w:pPr>
        <w:pStyle w:val="Heading3"/>
      </w:pPr>
      <w:bookmarkStart w:id="26" w:name="_Toc290279153"/>
      <w:bookmarkStart w:id="27" w:name="_Toc290892259"/>
      <w:r>
        <w:t>C.</w:t>
      </w:r>
      <w:r>
        <w:tab/>
      </w:r>
      <w:r w:rsidR="005840C4" w:rsidRPr="006C0533">
        <w:t>Local Switching Support</w:t>
      </w:r>
      <w:bookmarkEnd w:id="26"/>
      <w:bookmarkEnd w:id="27"/>
    </w:p>
    <w:p w:rsidR="005840C4" w:rsidRDefault="005840C4" w:rsidP="005840C4">
      <w:pPr>
        <w:pStyle w:val="Textstyle"/>
      </w:pPr>
      <w:r>
        <w:tab/>
      </w:r>
      <w:r w:rsidRPr="008E60DB">
        <w:t xml:space="preserve">The FCC </w:t>
      </w:r>
      <w:r>
        <w:t>has</w:t>
      </w:r>
      <w:r w:rsidRPr="008E60DB">
        <w:t xml:space="preserve"> propos</w:t>
      </w:r>
      <w:r>
        <w:t>ed</w:t>
      </w:r>
      <w:r w:rsidRPr="008E60DB">
        <w:t xml:space="preserve"> eliminat</w:t>
      </w:r>
      <w:r>
        <w:t>ing</w:t>
      </w:r>
      <w:r w:rsidRPr="008E60DB">
        <w:t xml:space="preserve"> </w:t>
      </w:r>
      <w:proofErr w:type="spellStart"/>
      <w:r w:rsidRPr="008E60DB">
        <w:t>LSS</w:t>
      </w:r>
      <w:proofErr w:type="spellEnd"/>
      <w:r w:rsidRPr="008E60DB">
        <w:t xml:space="preserve"> and u</w:t>
      </w:r>
      <w:r>
        <w:t>sing</w:t>
      </w:r>
      <w:r w:rsidRPr="008E60DB">
        <w:t xml:space="preserve"> the savings to direct support through the </w:t>
      </w:r>
      <w:proofErr w:type="spellStart"/>
      <w:r w:rsidRPr="008E60DB">
        <w:t>CAF</w:t>
      </w:r>
      <w:proofErr w:type="spellEnd"/>
      <w:r w:rsidRPr="008E60DB">
        <w:t xml:space="preserve"> to areas that are unserved</w:t>
      </w:r>
      <w:r>
        <w:t xml:space="preserve"> with broadband</w:t>
      </w:r>
      <w:r w:rsidRPr="008E60DB">
        <w:t>.</w:t>
      </w:r>
      <w:r>
        <w:rPr>
          <w:rStyle w:val="FootnoteReference"/>
          <w:rFonts w:eastAsiaTheme="majorEastAsia"/>
        </w:rPr>
        <w:footnoteReference w:id="44"/>
      </w:r>
      <w:r w:rsidRPr="008E60DB">
        <w:t xml:space="preserve">  </w:t>
      </w:r>
      <w:r>
        <w:t xml:space="preserve">The FCC points out that the </w:t>
      </w:r>
      <w:proofErr w:type="spellStart"/>
      <w:r>
        <w:t>LSS</w:t>
      </w:r>
      <w:proofErr w:type="spellEnd"/>
      <w:r>
        <w:t xml:space="preserve"> was created to ensure that small companies would be able to purchase expensive hardware-based switches.</w:t>
      </w:r>
      <w:r>
        <w:rPr>
          <w:rStyle w:val="FootnoteReference"/>
          <w:rFonts w:eastAsiaTheme="majorEastAsia"/>
        </w:rPr>
        <w:footnoteReference w:id="45"/>
      </w:r>
      <w:r w:rsidRPr="008E60DB">
        <w:t xml:space="preserve">  </w:t>
      </w:r>
      <w:r>
        <w:t>In the evolving IP-based environment, the need for these switches is becoming much less necessary as small carriers are purchasing smaller, cheaper soft switches.</w:t>
      </w:r>
      <w:r>
        <w:rPr>
          <w:rStyle w:val="FootnoteReference"/>
          <w:rFonts w:eastAsiaTheme="majorEastAsia"/>
        </w:rPr>
        <w:footnoteReference w:id="46"/>
      </w:r>
      <w:r>
        <w:t xml:space="preserve">  Furthermore, the only requirement that a carrier must meet to receive funding through </w:t>
      </w:r>
      <w:proofErr w:type="spellStart"/>
      <w:r>
        <w:t>LSS</w:t>
      </w:r>
      <w:proofErr w:type="spellEnd"/>
      <w:r>
        <w:t xml:space="preserve"> is having 50,000 or fewer access lines.</w:t>
      </w:r>
      <w:r>
        <w:rPr>
          <w:rStyle w:val="FootnoteReference"/>
          <w:rFonts w:eastAsiaTheme="majorEastAsia"/>
        </w:rPr>
        <w:footnoteReference w:id="47"/>
      </w:r>
      <w:r>
        <w:t xml:space="preserve">  There is no high-cost qualifying threshold.</w:t>
      </w:r>
      <w:r>
        <w:rPr>
          <w:rStyle w:val="FootnoteReference"/>
          <w:rFonts w:eastAsiaTheme="majorEastAsia"/>
        </w:rPr>
        <w:footnoteReference w:id="48"/>
      </w:r>
      <w:r>
        <w:t xml:space="preserve">  Consequently, the </w:t>
      </w:r>
      <w:r w:rsidRPr="008E60DB">
        <w:t xml:space="preserve">Ohio Commission believes that the FCC </w:t>
      </w:r>
      <w:r w:rsidRPr="008E60DB">
        <w:lastRenderedPageBreak/>
        <w:t xml:space="preserve">has </w:t>
      </w:r>
      <w:r>
        <w:t xml:space="preserve">raised </w:t>
      </w:r>
      <w:r w:rsidRPr="008E60DB">
        <w:t>a valid point</w:t>
      </w:r>
      <w:r>
        <w:t xml:space="preserve"> regarding </w:t>
      </w:r>
      <w:proofErr w:type="spellStart"/>
      <w:r>
        <w:t>LSS</w:t>
      </w:r>
      <w:proofErr w:type="spellEnd"/>
      <w:r w:rsidRPr="008E60DB">
        <w:t xml:space="preserve"> and </w:t>
      </w:r>
      <w:r>
        <w:t xml:space="preserve">it </w:t>
      </w:r>
      <w:r w:rsidRPr="008E60DB">
        <w:t xml:space="preserve">agrees that the fundamental reason for </w:t>
      </w:r>
      <w:proofErr w:type="spellStart"/>
      <w:r w:rsidRPr="008E60DB">
        <w:t>LSS</w:t>
      </w:r>
      <w:proofErr w:type="spellEnd"/>
      <w:r w:rsidRPr="008E60DB">
        <w:t xml:space="preserve"> no longer matches reality or the original intent</w:t>
      </w:r>
      <w:r>
        <w:t xml:space="preserve"> of the program for the largest of the rural ILECs</w:t>
      </w:r>
      <w:r w:rsidRPr="008E60DB">
        <w:t xml:space="preserve">. </w:t>
      </w:r>
      <w:r>
        <w:t xml:space="preserve"> As noted above, the only qualifying threshold for a carrier to receive </w:t>
      </w:r>
      <w:proofErr w:type="spellStart"/>
      <w:r>
        <w:t>LSS</w:t>
      </w:r>
      <w:proofErr w:type="spellEnd"/>
      <w:r>
        <w:t xml:space="preserve"> sup</w:t>
      </w:r>
      <w:r w:rsidR="00930230">
        <w:softHyphen/>
      </w:r>
      <w:r>
        <w:t xml:space="preserve">port is having </w:t>
      </w:r>
      <w:r w:rsidR="00317509">
        <w:t xml:space="preserve">fewer </w:t>
      </w:r>
      <w:r>
        <w:t>than 50,000 access lines in a study area.</w:t>
      </w:r>
      <w:r w:rsidRPr="008E60DB">
        <w:t xml:space="preserve"> </w:t>
      </w:r>
      <w:r>
        <w:t xml:space="preserve"> The Ohio Commission believes that this threshold is too large and should be modified.</w:t>
      </w:r>
      <w:r w:rsidR="002B71BA">
        <w:rPr>
          <w:rStyle w:val="FootnoteReference"/>
        </w:rPr>
        <w:footnoteReference w:id="49"/>
      </w:r>
      <w:r>
        <w:t xml:space="preserve">  Because of their size, the truly rural carriers still have the same economic burdens, regardless of the switch technol</w:t>
      </w:r>
      <w:r w:rsidR="00930230">
        <w:softHyphen/>
      </w:r>
      <w:r>
        <w:t>ogy that they employ.  Additionally, the public expects these rural carriers to pro</w:t>
      </w:r>
      <w:r w:rsidR="00C5554A">
        <w:softHyphen/>
      </w:r>
      <w:r>
        <w:t>vide the same advanced and enhanced services as their larger counterparts as well as their competi</w:t>
      </w:r>
      <w:r w:rsidR="00930230">
        <w:softHyphen/>
      </w:r>
      <w:r>
        <w:t>tors.  For these reasons,</w:t>
      </w:r>
      <w:r w:rsidRPr="008E60DB">
        <w:t xml:space="preserve"> </w:t>
      </w:r>
      <w:r>
        <w:t xml:space="preserve">the Ohio Commission believes that </w:t>
      </w:r>
      <w:r w:rsidRPr="008E60DB">
        <w:t xml:space="preserve">there is still </w:t>
      </w:r>
      <w:r>
        <w:t xml:space="preserve">a very real </w:t>
      </w:r>
      <w:r w:rsidRPr="008E60DB">
        <w:t xml:space="preserve">need </w:t>
      </w:r>
      <w:r>
        <w:t>to continue</w:t>
      </w:r>
      <w:r w:rsidRPr="008E60DB">
        <w:t xml:space="preserve"> the </w:t>
      </w:r>
      <w:r>
        <w:t xml:space="preserve">funding provided by </w:t>
      </w:r>
      <w:proofErr w:type="spellStart"/>
      <w:r>
        <w:t>LSS</w:t>
      </w:r>
      <w:proofErr w:type="spellEnd"/>
      <w:r>
        <w:t>.</w:t>
      </w:r>
      <w:r w:rsidRPr="008E60DB">
        <w:t xml:space="preserve">  </w:t>
      </w:r>
    </w:p>
    <w:p w:rsidR="005840C4" w:rsidRPr="008E60DB" w:rsidRDefault="005840C4" w:rsidP="005840C4">
      <w:pPr>
        <w:pStyle w:val="Textstyle"/>
        <w:rPr>
          <w:b/>
        </w:rPr>
      </w:pPr>
      <w:r>
        <w:tab/>
        <w:t xml:space="preserve">While </w:t>
      </w:r>
      <w:r w:rsidRPr="008E60DB">
        <w:t xml:space="preserve">a percentage of </w:t>
      </w:r>
      <w:r>
        <w:t>the funding</w:t>
      </w:r>
      <w:r w:rsidRPr="008E60DB">
        <w:t xml:space="preserve"> that go</w:t>
      </w:r>
      <w:r>
        <w:t>es</w:t>
      </w:r>
      <w:r w:rsidRPr="008E60DB">
        <w:t xml:space="preserve"> to the </w:t>
      </w:r>
      <w:proofErr w:type="spellStart"/>
      <w:r w:rsidRPr="008E60DB">
        <w:t>LSS</w:t>
      </w:r>
      <w:proofErr w:type="spellEnd"/>
      <w:r w:rsidRPr="008E60DB">
        <w:t xml:space="preserve"> could be repurposed to the </w:t>
      </w:r>
      <w:proofErr w:type="spellStart"/>
      <w:r w:rsidRPr="008E60DB">
        <w:t>CAF</w:t>
      </w:r>
      <w:proofErr w:type="spellEnd"/>
      <w:r>
        <w:t xml:space="preserve">, this should only happen following a reform of </w:t>
      </w:r>
      <w:proofErr w:type="spellStart"/>
      <w:r w:rsidRPr="008E60DB">
        <w:t>LSS</w:t>
      </w:r>
      <w:proofErr w:type="spellEnd"/>
      <w:r w:rsidRPr="008E60DB">
        <w:t xml:space="preserve">.  The Ohio Commission agrees that the current </w:t>
      </w:r>
      <w:proofErr w:type="spellStart"/>
      <w:r w:rsidRPr="008E60DB">
        <w:t>LSS</w:t>
      </w:r>
      <w:proofErr w:type="spellEnd"/>
      <w:r w:rsidRPr="008E60DB">
        <w:t xml:space="preserve"> funding eligibility criteria lack</w:t>
      </w:r>
      <w:r>
        <w:t xml:space="preserve">s the </w:t>
      </w:r>
      <w:r w:rsidRPr="008E60DB">
        <w:t xml:space="preserve">cost calculations </w:t>
      </w:r>
      <w:r>
        <w:t xml:space="preserve">necessary to determine actual </w:t>
      </w:r>
      <w:r w:rsidRPr="008E60DB">
        <w:t xml:space="preserve">funding </w:t>
      </w:r>
      <w:r>
        <w:t>requirements</w:t>
      </w:r>
      <w:r w:rsidRPr="008E60DB">
        <w:t xml:space="preserve">.  </w:t>
      </w:r>
      <w:r>
        <w:t>F</w:t>
      </w:r>
      <w:r w:rsidRPr="008E60DB">
        <w:t>or this reason</w:t>
      </w:r>
      <w:r>
        <w:t>,</w:t>
      </w:r>
      <w:r w:rsidRPr="008E60DB">
        <w:t xml:space="preserve"> the </w:t>
      </w:r>
      <w:proofErr w:type="spellStart"/>
      <w:r w:rsidRPr="008E60DB">
        <w:t>LSS</w:t>
      </w:r>
      <w:proofErr w:type="spellEnd"/>
      <w:r w:rsidRPr="008E60DB">
        <w:t xml:space="preserve"> should be reform</w:t>
      </w:r>
      <w:r>
        <w:t>ed</w:t>
      </w:r>
      <w:r w:rsidRPr="008E60DB">
        <w:t xml:space="preserve"> to include a new “high-cost qualifying threshold</w:t>
      </w:r>
      <w:r>
        <w:t>.</w:t>
      </w:r>
      <w:r w:rsidRPr="008E60DB">
        <w:t xml:space="preserve">”  </w:t>
      </w:r>
      <w:r>
        <w:t>Given</w:t>
      </w:r>
      <w:r w:rsidRPr="008E60DB">
        <w:t xml:space="preserve"> the FCC’s discussion in para</w:t>
      </w:r>
      <w:r w:rsidR="00930230">
        <w:softHyphen/>
      </w:r>
      <w:r w:rsidRPr="008E60DB">
        <w:t>graphs</w:t>
      </w:r>
      <w:r>
        <w:t xml:space="preserve"> 186 through 193</w:t>
      </w:r>
      <w:r w:rsidRPr="008E60DB">
        <w:t xml:space="preserve">, it appears that companies </w:t>
      </w:r>
      <w:r>
        <w:t xml:space="preserve">receiving funding through </w:t>
      </w:r>
      <w:proofErr w:type="spellStart"/>
      <w:r>
        <w:t>LSS</w:t>
      </w:r>
      <w:proofErr w:type="spellEnd"/>
      <w:r>
        <w:t xml:space="preserve"> </w:t>
      </w:r>
      <w:r w:rsidRPr="008E60DB">
        <w:t>have followed the FCC</w:t>
      </w:r>
      <w:r>
        <w:t>’s</w:t>
      </w:r>
      <w:r w:rsidRPr="008E60DB">
        <w:t xml:space="preserve"> rules in </w:t>
      </w:r>
      <w:r>
        <w:t>qualifying for support</w:t>
      </w:r>
      <w:r w:rsidRPr="008E60DB">
        <w:t xml:space="preserve"> on a multiple study areas bas</w:t>
      </w:r>
      <w:r>
        <w:t>i</w:t>
      </w:r>
      <w:r w:rsidRPr="008E60DB">
        <w:t xml:space="preserve">s.  </w:t>
      </w:r>
      <w:r>
        <w:t>As such, t</w:t>
      </w:r>
      <w:r w:rsidRPr="008E60DB">
        <w:t xml:space="preserve">he Ohio Commission disagrees with the </w:t>
      </w:r>
      <w:r>
        <w:t>implication</w:t>
      </w:r>
      <w:r w:rsidRPr="008E60DB">
        <w:t xml:space="preserve"> that these companies</w:t>
      </w:r>
      <w:r>
        <w:t xml:space="preserve"> are </w:t>
      </w:r>
      <w:r>
        <w:lastRenderedPageBreak/>
        <w:t>some</w:t>
      </w:r>
      <w:r w:rsidR="00930230">
        <w:softHyphen/>
      </w:r>
      <w:r>
        <w:t xml:space="preserve">how </w:t>
      </w:r>
      <w:proofErr w:type="gramStart"/>
      <w:r>
        <w:t>gaming</w:t>
      </w:r>
      <w:proofErr w:type="gramEnd"/>
      <w:r>
        <w:t xml:space="preserve"> the system by </w:t>
      </w:r>
      <w:r w:rsidRPr="008E60DB">
        <w:t>choos</w:t>
      </w:r>
      <w:r>
        <w:t>ing</w:t>
      </w:r>
      <w:r w:rsidRPr="008E60DB">
        <w:t xml:space="preserve"> to operate through multiple study areas</w:t>
      </w:r>
      <w:r>
        <w:t xml:space="preserve">. </w:t>
      </w:r>
      <w:r w:rsidRPr="008E60DB">
        <w:t xml:space="preserve"> It </w:t>
      </w:r>
      <w:r>
        <w:t>is</w:t>
      </w:r>
      <w:r w:rsidRPr="008E60DB">
        <w:t xml:space="preserve"> well understood that </w:t>
      </w:r>
      <w:r>
        <w:t>ILECs</w:t>
      </w:r>
      <w:r w:rsidRPr="008E60DB">
        <w:t xml:space="preserve"> do not choose their services areas.  </w:t>
      </w:r>
      <w:r>
        <w:t>I</w:t>
      </w:r>
      <w:r w:rsidRPr="008E60DB">
        <w:t>n Ohio</w:t>
      </w:r>
      <w:r>
        <w:t>, as in most states,</w:t>
      </w:r>
      <w:r w:rsidRPr="008E60DB">
        <w:t xml:space="preserve"> </w:t>
      </w:r>
      <w:r>
        <w:t>ILECs</w:t>
      </w:r>
      <w:r w:rsidRPr="008E60DB">
        <w:t xml:space="preserve"> still have </w:t>
      </w:r>
      <w:r>
        <w:t>POLR</w:t>
      </w:r>
      <w:r w:rsidRPr="008E60DB">
        <w:t xml:space="preserve"> requirements and cannot </w:t>
      </w:r>
      <w:r>
        <w:t xml:space="preserve">simply </w:t>
      </w:r>
      <w:r w:rsidRPr="008E60DB">
        <w:t xml:space="preserve">choose to </w:t>
      </w:r>
      <w:r>
        <w:t>modify their respective</w:t>
      </w:r>
      <w:r w:rsidRPr="008E60DB">
        <w:t xml:space="preserve"> service areas.  </w:t>
      </w:r>
      <w:r>
        <w:t>Given</w:t>
      </w:r>
      <w:r w:rsidRPr="008E60DB">
        <w:t xml:space="preserve"> that, it </w:t>
      </w:r>
      <w:r>
        <w:t xml:space="preserve">would seem clear that the problem with </w:t>
      </w:r>
      <w:proofErr w:type="spellStart"/>
      <w:r>
        <w:t>LSS</w:t>
      </w:r>
      <w:proofErr w:type="spellEnd"/>
      <w:r>
        <w:t xml:space="preserve"> is not with the carriers</w:t>
      </w:r>
      <w:r w:rsidRPr="008E60DB">
        <w:t xml:space="preserve">, but </w:t>
      </w:r>
      <w:r>
        <w:t xml:space="preserve">instead results from </w:t>
      </w:r>
      <w:r w:rsidRPr="008E60DB">
        <w:t>the lack of a reasonable</w:t>
      </w:r>
      <w:r>
        <w:t xml:space="preserve"> high-cost</w:t>
      </w:r>
      <w:r w:rsidRPr="008E60DB">
        <w:t xml:space="preserve"> threshold</w:t>
      </w:r>
      <w:r>
        <w:t>.  Accord</w:t>
      </w:r>
      <w:r w:rsidR="00930230">
        <w:softHyphen/>
      </w:r>
      <w:r>
        <w:t xml:space="preserve">ingly, the Ohio Commission recommends that the FCC not fully eliminate </w:t>
      </w:r>
      <w:proofErr w:type="spellStart"/>
      <w:r>
        <w:t>LSS</w:t>
      </w:r>
      <w:proofErr w:type="spellEnd"/>
      <w:r>
        <w:t xml:space="preserve">, but rather amend its rules to establish a reasonable high-cost threshold.  This will ensure that small carriers who truly rely on </w:t>
      </w:r>
      <w:proofErr w:type="spellStart"/>
      <w:r>
        <w:t>LSS</w:t>
      </w:r>
      <w:proofErr w:type="spellEnd"/>
      <w:r>
        <w:t xml:space="preserve"> continue to receive needed support while also provid</w:t>
      </w:r>
      <w:r w:rsidR="00930230">
        <w:softHyphen/>
      </w:r>
      <w:r>
        <w:t xml:space="preserve">ing a savings that can be directed to the </w:t>
      </w:r>
      <w:proofErr w:type="spellStart"/>
      <w:r>
        <w:t>CAF</w:t>
      </w:r>
      <w:proofErr w:type="spellEnd"/>
      <w:r w:rsidRPr="008E60DB">
        <w:t xml:space="preserve">.  </w:t>
      </w:r>
    </w:p>
    <w:p w:rsidR="005840C4" w:rsidRDefault="005840C4" w:rsidP="005840C4">
      <w:pPr>
        <w:pStyle w:val="Textstyle"/>
      </w:pPr>
      <w:r>
        <w:tab/>
      </w:r>
      <w:r w:rsidRPr="008E60DB">
        <w:t xml:space="preserve">The FCC seeks comment on how swiftly </w:t>
      </w:r>
      <w:proofErr w:type="spellStart"/>
      <w:r w:rsidRPr="008E60DB">
        <w:t>LSS</w:t>
      </w:r>
      <w:proofErr w:type="spellEnd"/>
      <w:r w:rsidRPr="008E60DB">
        <w:t xml:space="preserve"> should be eliminated.</w:t>
      </w:r>
      <w:r>
        <w:rPr>
          <w:rStyle w:val="FootnoteReference"/>
          <w:rFonts w:eastAsiaTheme="majorEastAsia"/>
        </w:rPr>
        <w:footnoteReference w:id="50"/>
      </w:r>
      <w:r w:rsidRPr="008E60DB">
        <w:t xml:space="preserve">  </w:t>
      </w:r>
      <w:r>
        <w:t>Specifi</w:t>
      </w:r>
      <w:r w:rsidR="00930230">
        <w:softHyphen/>
      </w:r>
      <w:r>
        <w:t>cally, t</w:t>
      </w:r>
      <w:r w:rsidRPr="008E60DB">
        <w:t>he FCC ask</w:t>
      </w:r>
      <w:r>
        <w:t>s</w:t>
      </w:r>
      <w:r w:rsidRPr="008E60DB">
        <w:t xml:space="preserve"> if </w:t>
      </w:r>
      <w:proofErr w:type="spellStart"/>
      <w:r w:rsidRPr="008E60DB">
        <w:t>LSS</w:t>
      </w:r>
      <w:proofErr w:type="spellEnd"/>
      <w:r w:rsidRPr="008E60DB">
        <w:t xml:space="preserve"> should be eliminated in one year or should </w:t>
      </w:r>
      <w:r>
        <w:t xml:space="preserve">it be eliminated over a </w:t>
      </w:r>
      <w:r w:rsidRPr="008E60DB">
        <w:t>transition</w:t>
      </w:r>
      <w:r>
        <w:t xml:space="preserve">al </w:t>
      </w:r>
      <w:r w:rsidRPr="008E60DB">
        <w:t>period, such as three years.</w:t>
      </w:r>
      <w:r>
        <w:rPr>
          <w:rStyle w:val="FootnoteReference"/>
          <w:rFonts w:eastAsiaTheme="majorEastAsia"/>
        </w:rPr>
        <w:footnoteReference w:id="51"/>
      </w:r>
      <w:r>
        <w:t xml:space="preserve"> </w:t>
      </w:r>
      <w:r w:rsidRPr="008E60DB">
        <w:t xml:space="preserve"> The FCC also asks if the eliminated or the transition period should be base on the specified number of lines at the holding com</w:t>
      </w:r>
      <w:r w:rsidR="00930230">
        <w:softHyphen/>
      </w:r>
      <w:r w:rsidRPr="008E60DB">
        <w:t>pany level.</w:t>
      </w:r>
      <w:r>
        <w:rPr>
          <w:rStyle w:val="FootnoteReference"/>
          <w:rFonts w:eastAsiaTheme="majorEastAsia"/>
        </w:rPr>
        <w:footnoteReference w:id="52"/>
      </w:r>
      <w:r w:rsidRPr="008E60DB">
        <w:t xml:space="preserve">  As discussed above</w:t>
      </w:r>
      <w:r>
        <w:t>,</w:t>
      </w:r>
      <w:r w:rsidRPr="008E60DB">
        <w:t xml:space="preserve"> the Ohio Commission believe</w:t>
      </w:r>
      <w:r>
        <w:t>s</w:t>
      </w:r>
      <w:r w:rsidRPr="008E60DB">
        <w:t xml:space="preserve"> that </w:t>
      </w:r>
      <w:proofErr w:type="spellStart"/>
      <w:r w:rsidRPr="008E60DB">
        <w:t>LSS</w:t>
      </w:r>
      <w:proofErr w:type="spellEnd"/>
      <w:r w:rsidRPr="008E60DB">
        <w:t xml:space="preserve"> should </w:t>
      </w:r>
      <w:r>
        <w:t xml:space="preserve">be </w:t>
      </w:r>
      <w:r w:rsidRPr="008E60DB">
        <w:t>reformed</w:t>
      </w:r>
      <w:r>
        <w:t xml:space="preserve"> – not eliminated</w:t>
      </w:r>
      <w:r w:rsidRPr="008E60DB">
        <w:t xml:space="preserve">. </w:t>
      </w:r>
      <w:r>
        <w:t xml:space="preserve"> I</w:t>
      </w:r>
      <w:r w:rsidRPr="008E60DB">
        <w:t>f</w:t>
      </w:r>
      <w:r>
        <w:t>, however,</w:t>
      </w:r>
      <w:r w:rsidRPr="008E60DB">
        <w:t xml:space="preserve"> the FCC chooses to move forward with the elimina</w:t>
      </w:r>
      <w:r w:rsidR="00930230">
        <w:softHyphen/>
      </w:r>
      <w:r w:rsidRPr="008E60DB">
        <w:t>t</w:t>
      </w:r>
      <w:r>
        <w:t xml:space="preserve">ion of </w:t>
      </w:r>
      <w:proofErr w:type="spellStart"/>
      <w:r>
        <w:t>LSS</w:t>
      </w:r>
      <w:proofErr w:type="spellEnd"/>
      <w:r>
        <w:t>,</w:t>
      </w:r>
      <w:r w:rsidRPr="008E60DB">
        <w:t xml:space="preserve"> the Ohio Commission strongly recommends that the </w:t>
      </w:r>
      <w:r>
        <w:t>funding previ</w:t>
      </w:r>
      <w:r w:rsidR="00930230">
        <w:softHyphen/>
      </w:r>
      <w:r>
        <w:t xml:space="preserve">ously provided through </w:t>
      </w:r>
      <w:proofErr w:type="spellStart"/>
      <w:r w:rsidRPr="008E60DB">
        <w:t>LSS</w:t>
      </w:r>
      <w:proofErr w:type="spellEnd"/>
      <w:r w:rsidRPr="008E60DB">
        <w:t xml:space="preserve"> be repurposed to the </w:t>
      </w:r>
      <w:proofErr w:type="spellStart"/>
      <w:r w:rsidRPr="008E60DB">
        <w:t>CAF</w:t>
      </w:r>
      <w:proofErr w:type="spellEnd"/>
      <w:r w:rsidRPr="008E60DB">
        <w:t xml:space="preserve"> using a transition mechanism that include</w:t>
      </w:r>
      <w:r>
        <w:t>s</w:t>
      </w:r>
      <w:r w:rsidRPr="008E60DB">
        <w:t xml:space="preserve"> a revision to the study</w:t>
      </w:r>
      <w:r>
        <w:t>-</w:t>
      </w:r>
      <w:r w:rsidRPr="008E60DB">
        <w:t>area threshold.  The Ohio Commission suggest</w:t>
      </w:r>
      <w:r>
        <w:t>s</w:t>
      </w:r>
      <w:r w:rsidRPr="008E60DB">
        <w:t xml:space="preserve"> that the first step </w:t>
      </w:r>
      <w:r>
        <w:t xml:space="preserve">would be </w:t>
      </w:r>
      <w:r w:rsidRPr="008E60DB">
        <w:t>to revise the study</w:t>
      </w:r>
      <w:r>
        <w:t>-</w:t>
      </w:r>
      <w:r w:rsidRPr="008E60DB">
        <w:t>area calculation by</w:t>
      </w:r>
      <w:r>
        <w:t xml:space="preserve"> continuing to </w:t>
      </w:r>
      <w:r w:rsidRPr="008E60DB">
        <w:t>provid</w:t>
      </w:r>
      <w:r>
        <w:t>e</w:t>
      </w:r>
      <w:r w:rsidRPr="008E60DB">
        <w:t xml:space="preserve"> </w:t>
      </w:r>
      <w:proofErr w:type="spellStart"/>
      <w:r w:rsidRPr="008E60DB">
        <w:t>LSS</w:t>
      </w:r>
      <w:proofErr w:type="spellEnd"/>
      <w:r w:rsidRPr="008E60DB">
        <w:t xml:space="preserve"> </w:t>
      </w:r>
      <w:r>
        <w:t xml:space="preserve">for </w:t>
      </w:r>
      <w:r>
        <w:lastRenderedPageBreak/>
        <w:t xml:space="preserve">those companies that have less than 50,000 access lines at the holding company level for each state </w:t>
      </w:r>
      <w:r w:rsidRPr="008E60DB">
        <w:t xml:space="preserve">during </w:t>
      </w:r>
      <w:r>
        <w:t>the</w:t>
      </w:r>
      <w:r w:rsidRPr="008E60DB">
        <w:t xml:space="preserve"> transition period</w:t>
      </w:r>
      <w:r>
        <w:t xml:space="preserve">. </w:t>
      </w:r>
      <w:r w:rsidRPr="008E60DB">
        <w:t xml:space="preserve"> </w:t>
      </w:r>
      <w:r>
        <w:t xml:space="preserve">Doing so will provide </w:t>
      </w:r>
      <w:r w:rsidRPr="008E60DB">
        <w:t xml:space="preserve">those </w:t>
      </w:r>
      <w:r>
        <w:t xml:space="preserve">carriers </w:t>
      </w:r>
      <w:r w:rsidRPr="008E60DB">
        <w:t xml:space="preserve">that truly </w:t>
      </w:r>
      <w:r>
        <w:t xml:space="preserve">rely on </w:t>
      </w:r>
      <w:proofErr w:type="spellStart"/>
      <w:r>
        <w:t>LSS</w:t>
      </w:r>
      <w:proofErr w:type="spellEnd"/>
      <w:r w:rsidRPr="008E60DB">
        <w:t xml:space="preserve"> </w:t>
      </w:r>
      <w:r>
        <w:t xml:space="preserve">with funding during a </w:t>
      </w:r>
      <w:r w:rsidRPr="008E60DB">
        <w:t xml:space="preserve">transition period </w:t>
      </w:r>
      <w:r>
        <w:t xml:space="preserve">yet also incent these same carriers to </w:t>
      </w:r>
      <w:r w:rsidRPr="008E60DB">
        <w:t xml:space="preserve">wean </w:t>
      </w:r>
      <w:r>
        <w:t xml:space="preserve">themselves from </w:t>
      </w:r>
      <w:r w:rsidRPr="008E60DB">
        <w:t>th</w:t>
      </w:r>
      <w:r>
        <w:t>is</w:t>
      </w:r>
      <w:r w:rsidRPr="008E60DB">
        <w:t xml:space="preserve"> support</w:t>
      </w:r>
      <w:r>
        <w:t xml:space="preserve"> mechanism</w:t>
      </w:r>
      <w:r w:rsidRPr="008E60DB">
        <w:t>.  The Ohio Commission suggest</w:t>
      </w:r>
      <w:r>
        <w:t>s</w:t>
      </w:r>
      <w:r w:rsidRPr="008E60DB">
        <w:t xml:space="preserve"> that the </w:t>
      </w:r>
      <w:r>
        <w:t xml:space="preserve">FCC immediately implement a new </w:t>
      </w:r>
      <w:r w:rsidRPr="008E60DB">
        <w:t>study</w:t>
      </w:r>
      <w:r>
        <w:t>-</w:t>
      </w:r>
      <w:r w:rsidRPr="008E60DB">
        <w:t xml:space="preserve">area </w:t>
      </w:r>
      <w:r>
        <w:t>threshold, but refrain from establishing</w:t>
      </w:r>
      <w:r w:rsidRPr="008E60DB">
        <w:t xml:space="preserve"> an end date </w:t>
      </w:r>
      <w:r>
        <w:t>for</w:t>
      </w:r>
      <w:r w:rsidRPr="008E60DB">
        <w:t xml:space="preserve"> the transition period until a final determination has been made concerning the full </w:t>
      </w:r>
      <w:r>
        <w:t xml:space="preserve">implementation of the </w:t>
      </w:r>
      <w:proofErr w:type="spellStart"/>
      <w:r w:rsidRPr="008E60DB">
        <w:t>CAF</w:t>
      </w:r>
      <w:proofErr w:type="spellEnd"/>
      <w:r w:rsidRPr="008E60DB">
        <w:t xml:space="preserve"> or </w:t>
      </w:r>
      <w:r>
        <w:t xml:space="preserve">for </w:t>
      </w:r>
      <w:r w:rsidRPr="008E60DB">
        <w:t>no less than seven years</w:t>
      </w:r>
      <w:r>
        <w:t>, whichever is greater.</w:t>
      </w:r>
      <w:r w:rsidRPr="008E60DB">
        <w:t xml:space="preserve"> </w:t>
      </w:r>
    </w:p>
    <w:p w:rsidR="005840C4" w:rsidRPr="00C43900" w:rsidRDefault="005840C4" w:rsidP="005840C4">
      <w:pPr>
        <w:pStyle w:val="Textstyle"/>
      </w:pPr>
      <w:r w:rsidRPr="00C43900">
        <w:tab/>
        <w:t>Alternative</w:t>
      </w:r>
      <w:r>
        <w:t>ly,</w:t>
      </w:r>
      <w:r w:rsidRPr="00C43900">
        <w:t xml:space="preserve"> the FCC </w:t>
      </w:r>
      <w:r>
        <w:t xml:space="preserve">has </w:t>
      </w:r>
      <w:r w:rsidRPr="00C43900">
        <w:t>propose</w:t>
      </w:r>
      <w:r>
        <w:t>d</w:t>
      </w:r>
      <w:r w:rsidRPr="00C43900">
        <w:t xml:space="preserve"> combin</w:t>
      </w:r>
      <w:r>
        <w:t>ing</w:t>
      </w:r>
      <w:r w:rsidRPr="00C43900">
        <w:t xml:space="preserve"> </w:t>
      </w:r>
      <w:proofErr w:type="spellStart"/>
      <w:r w:rsidRPr="00C43900">
        <w:t>LSS</w:t>
      </w:r>
      <w:proofErr w:type="spellEnd"/>
      <w:r w:rsidRPr="00C43900">
        <w:t xml:space="preserve"> and </w:t>
      </w:r>
      <w:proofErr w:type="spellStart"/>
      <w:r w:rsidRPr="00C43900">
        <w:t>HCLS</w:t>
      </w:r>
      <w:proofErr w:type="spellEnd"/>
      <w:r w:rsidRPr="00C43900">
        <w:t xml:space="preserve"> into one high-cost mechanism.</w:t>
      </w:r>
      <w:r>
        <w:rPr>
          <w:rStyle w:val="FootnoteReference"/>
          <w:rFonts w:eastAsiaTheme="majorEastAsia"/>
        </w:rPr>
        <w:footnoteReference w:id="53"/>
      </w:r>
      <w:r w:rsidRPr="00C43900">
        <w:t xml:space="preserve">  The FCC asserts that it may be appropriate to merge the two support mecha</w:t>
      </w:r>
      <w:r w:rsidR="00930230">
        <w:softHyphen/>
      </w:r>
      <w:r w:rsidRPr="00C43900">
        <w:t xml:space="preserve">nisms since conventional telecommunications network architecture </w:t>
      </w:r>
      <w:r>
        <w:t>is</w:t>
      </w:r>
      <w:r w:rsidRPr="00C43900">
        <w:t xml:space="preserve"> evolving toward an IP</w:t>
      </w:r>
      <w:r>
        <w:t>-based</w:t>
      </w:r>
      <w:r w:rsidRPr="00C43900">
        <w:t xml:space="preserve"> environment.</w:t>
      </w:r>
      <w:r>
        <w:rPr>
          <w:rStyle w:val="FootnoteReference"/>
          <w:rFonts w:eastAsiaTheme="majorEastAsia"/>
        </w:rPr>
        <w:footnoteReference w:id="54"/>
      </w:r>
      <w:r w:rsidRPr="00C43900">
        <w:t xml:space="preserve">  </w:t>
      </w:r>
      <w:r>
        <w:t>D</w:t>
      </w:r>
      <w:r w:rsidRPr="00C43900">
        <w:t xml:space="preserve">oing so, may </w:t>
      </w:r>
      <w:r>
        <w:t>reduce</w:t>
      </w:r>
      <w:r w:rsidRPr="00C43900">
        <w:t xml:space="preserve"> incentives for carriers to design network architecture or to classify equipment in a way merely </w:t>
      </w:r>
      <w:r>
        <w:t xml:space="preserve">to </w:t>
      </w:r>
      <w:r w:rsidRPr="00C43900">
        <w:t>maximize high-cost support</w:t>
      </w:r>
      <w:r>
        <w:t>.</w:t>
      </w:r>
      <w:r>
        <w:rPr>
          <w:rStyle w:val="FootnoteReference"/>
          <w:rFonts w:eastAsiaTheme="majorEastAsia"/>
        </w:rPr>
        <w:footnoteReference w:id="55"/>
      </w:r>
      <w:r>
        <w:t xml:space="preserve"> </w:t>
      </w:r>
      <w:r w:rsidRPr="00C43900">
        <w:t xml:space="preserve"> The Ohio Commission agree</w:t>
      </w:r>
      <w:r>
        <w:t>s</w:t>
      </w:r>
      <w:r w:rsidRPr="00C43900">
        <w:t xml:space="preserve"> that combining the two mechanisms would </w:t>
      </w:r>
      <w:r>
        <w:t>provide little</w:t>
      </w:r>
      <w:r w:rsidRPr="00C43900">
        <w:t xml:space="preserve"> incent</w:t>
      </w:r>
      <w:r>
        <w:t>ive for</w:t>
      </w:r>
      <w:r w:rsidRPr="00C43900">
        <w:t xml:space="preserve"> </w:t>
      </w:r>
      <w:proofErr w:type="spellStart"/>
      <w:r w:rsidRPr="00C43900">
        <w:t>LSS</w:t>
      </w:r>
      <w:proofErr w:type="spellEnd"/>
      <w:r w:rsidRPr="00C43900">
        <w:t xml:space="preserve"> supported carriers to become more efficient in designing </w:t>
      </w:r>
      <w:r>
        <w:t xml:space="preserve">their </w:t>
      </w:r>
      <w:r w:rsidRPr="00C43900">
        <w:t>networks.  Th</w:t>
      </w:r>
      <w:r>
        <w:t xml:space="preserve">is </w:t>
      </w:r>
      <w:r w:rsidRPr="00C43900">
        <w:t xml:space="preserve">is </w:t>
      </w:r>
      <w:r>
        <w:t xml:space="preserve">due to the fact that, </w:t>
      </w:r>
      <w:r w:rsidRPr="00C43900">
        <w:t>going forward</w:t>
      </w:r>
      <w:r>
        <w:t>,</w:t>
      </w:r>
      <w:r w:rsidRPr="00C43900">
        <w:t xml:space="preserve"> it is </w:t>
      </w:r>
      <w:r>
        <w:t>likely</w:t>
      </w:r>
      <w:r w:rsidRPr="00C43900">
        <w:t xml:space="preserve"> that engineering prac</w:t>
      </w:r>
      <w:r w:rsidR="00C5554A">
        <w:softHyphen/>
      </w:r>
      <w:r w:rsidRPr="00C43900">
        <w:t xml:space="preserve">tices will continue to dictate that forward looking network designs be IP based.  This is equally true with or without </w:t>
      </w:r>
      <w:proofErr w:type="spellStart"/>
      <w:r w:rsidRPr="00C43900">
        <w:t>LSS</w:t>
      </w:r>
      <w:proofErr w:type="spellEnd"/>
      <w:r w:rsidRPr="00C43900">
        <w:t xml:space="preserve"> funding.  Therefore, if given a choice</w:t>
      </w:r>
      <w:r>
        <w:t xml:space="preserve">, a carrier </w:t>
      </w:r>
      <w:r w:rsidRPr="00C43900">
        <w:t xml:space="preserve">would </w:t>
      </w:r>
      <w:r>
        <w:t xml:space="preserve">have </w:t>
      </w:r>
      <w:r w:rsidRPr="00C43900">
        <w:t xml:space="preserve">an incentive to classify equipment </w:t>
      </w:r>
      <w:r>
        <w:t xml:space="preserve">in a manner that </w:t>
      </w:r>
      <w:r w:rsidRPr="00C43900">
        <w:t>maximize</w:t>
      </w:r>
      <w:r>
        <w:t>s</w:t>
      </w:r>
      <w:r w:rsidRPr="00C43900">
        <w:t xml:space="preserve"> high-cost support.  Further</w:t>
      </w:r>
      <w:r>
        <w:t>more</w:t>
      </w:r>
      <w:r w:rsidRPr="00C43900">
        <w:t xml:space="preserve">, it </w:t>
      </w:r>
      <w:r>
        <w:t xml:space="preserve">does not </w:t>
      </w:r>
      <w:r w:rsidRPr="00C43900">
        <w:t xml:space="preserve">make sense to combine the </w:t>
      </w:r>
      <w:proofErr w:type="spellStart"/>
      <w:r>
        <w:t>LSS</w:t>
      </w:r>
      <w:proofErr w:type="spellEnd"/>
      <w:r>
        <w:t xml:space="preserve"> and </w:t>
      </w:r>
      <w:proofErr w:type="spellStart"/>
      <w:r>
        <w:t>HCLS</w:t>
      </w:r>
      <w:proofErr w:type="spellEnd"/>
      <w:r>
        <w:t xml:space="preserve"> </w:t>
      </w:r>
      <w:r w:rsidRPr="00C43900">
        <w:t xml:space="preserve">mechanisms in the </w:t>
      </w:r>
      <w:r w:rsidRPr="00C43900">
        <w:lastRenderedPageBreak/>
        <w:t xml:space="preserve">near term to simply </w:t>
      </w:r>
      <w:r>
        <w:t xml:space="preserve">later </w:t>
      </w:r>
      <w:r w:rsidRPr="00C43900">
        <w:t xml:space="preserve">eliminate the </w:t>
      </w:r>
      <w:proofErr w:type="spellStart"/>
      <w:r w:rsidRPr="00C43900">
        <w:t>LSS</w:t>
      </w:r>
      <w:proofErr w:type="spellEnd"/>
      <w:r w:rsidRPr="00C43900">
        <w:t xml:space="preserve"> portion of the </w:t>
      </w:r>
      <w:r>
        <w:t>combined mechanism due to a lack of need</w:t>
      </w:r>
      <w:r w:rsidRPr="00C43900">
        <w:t xml:space="preserve">.  If the FCC </w:t>
      </w:r>
      <w:r>
        <w:t>proceeds with</w:t>
      </w:r>
      <w:r w:rsidRPr="00C43900">
        <w:t xml:space="preserve"> combin</w:t>
      </w:r>
      <w:r>
        <w:t>ing</w:t>
      </w:r>
      <w:r w:rsidRPr="00C43900">
        <w:t xml:space="preserve"> the </w:t>
      </w:r>
      <w:proofErr w:type="spellStart"/>
      <w:r>
        <w:t>LSS</w:t>
      </w:r>
      <w:proofErr w:type="spellEnd"/>
      <w:r>
        <w:t xml:space="preserve"> and </w:t>
      </w:r>
      <w:proofErr w:type="spellStart"/>
      <w:r>
        <w:t>HCLS</w:t>
      </w:r>
      <w:proofErr w:type="spellEnd"/>
      <w:r>
        <w:t xml:space="preserve"> </w:t>
      </w:r>
      <w:r w:rsidRPr="00C43900">
        <w:t>mechanism</w:t>
      </w:r>
      <w:r>
        <w:t>s, the Ohio Commission recommends that</w:t>
      </w:r>
      <w:r w:rsidRPr="00C43900">
        <w:t xml:space="preserve"> it do so only after </w:t>
      </w:r>
      <w:r>
        <w:t xml:space="preserve">creating an </w:t>
      </w:r>
      <w:proofErr w:type="spellStart"/>
      <w:r w:rsidRPr="00C43900">
        <w:t>LSS</w:t>
      </w:r>
      <w:proofErr w:type="spellEnd"/>
      <w:r w:rsidRPr="00C43900">
        <w:t xml:space="preserve"> </w:t>
      </w:r>
      <w:r>
        <w:t xml:space="preserve">high-cost </w:t>
      </w:r>
      <w:r w:rsidRPr="00C43900">
        <w:t>thresh</w:t>
      </w:r>
      <w:r w:rsidR="00930230">
        <w:softHyphen/>
      </w:r>
      <w:r w:rsidRPr="00C43900">
        <w:t xml:space="preserve">old and then only for the transition period </w:t>
      </w:r>
      <w:r>
        <w:t>following</w:t>
      </w:r>
      <w:r w:rsidRPr="00C43900">
        <w:t xml:space="preserve"> which</w:t>
      </w:r>
      <w:r>
        <w:t xml:space="preserve"> </w:t>
      </w:r>
      <w:proofErr w:type="spellStart"/>
      <w:r>
        <w:t>LSS</w:t>
      </w:r>
      <w:proofErr w:type="spellEnd"/>
      <w:r w:rsidRPr="00C43900">
        <w:t xml:space="preserve"> would be </w:t>
      </w:r>
      <w:r>
        <w:t>removed from the combined mechanism</w:t>
      </w:r>
      <w:r w:rsidRPr="00C43900">
        <w:t xml:space="preserve">.  </w:t>
      </w:r>
    </w:p>
    <w:p w:rsidR="005840C4" w:rsidRPr="00C43900" w:rsidRDefault="00FC0358" w:rsidP="00FC0358">
      <w:pPr>
        <w:pStyle w:val="Heading3"/>
      </w:pPr>
      <w:bookmarkStart w:id="28" w:name="_Toc290279154"/>
      <w:bookmarkStart w:id="29" w:name="_Toc290892260"/>
      <w:r>
        <w:t>D.</w:t>
      </w:r>
      <w:r>
        <w:tab/>
      </w:r>
      <w:r w:rsidR="005840C4" w:rsidRPr="002A061B">
        <w:t>Corporate Operations Expenses</w:t>
      </w:r>
      <w:bookmarkEnd w:id="28"/>
      <w:bookmarkEnd w:id="29"/>
    </w:p>
    <w:p w:rsidR="005840C4" w:rsidRDefault="005840C4" w:rsidP="005840C4">
      <w:pPr>
        <w:pStyle w:val="Textstyle"/>
      </w:pPr>
      <w:r>
        <w:tab/>
      </w:r>
      <w:r w:rsidRPr="00C43900">
        <w:t xml:space="preserve">The FCC seeks comments on the elimination of support for “corporate operations expenses” (COE) available to carriers </w:t>
      </w:r>
      <w:r>
        <w:t xml:space="preserve">through </w:t>
      </w:r>
      <w:proofErr w:type="spellStart"/>
      <w:r>
        <w:t>HCLS</w:t>
      </w:r>
      <w:proofErr w:type="spellEnd"/>
      <w:r>
        <w:t xml:space="preserve">, </w:t>
      </w:r>
      <w:proofErr w:type="spellStart"/>
      <w:r>
        <w:t>LSS</w:t>
      </w:r>
      <w:proofErr w:type="spellEnd"/>
      <w:r>
        <w:t xml:space="preserve"> and </w:t>
      </w:r>
      <w:proofErr w:type="spellStart"/>
      <w:r>
        <w:t>ICLS</w:t>
      </w:r>
      <w:proofErr w:type="spellEnd"/>
      <w:r w:rsidRPr="00C43900">
        <w:t>.</w:t>
      </w:r>
      <w:r>
        <w:rPr>
          <w:rStyle w:val="FootnoteReference"/>
          <w:rFonts w:eastAsiaTheme="majorEastAsia"/>
        </w:rPr>
        <w:footnoteReference w:id="56"/>
      </w:r>
      <w:r w:rsidRPr="00C43900">
        <w:t xml:space="preserve">  </w:t>
      </w:r>
      <w:r>
        <w:t>At the</w:t>
      </w:r>
      <w:r w:rsidRPr="00C43900">
        <w:t xml:space="preserve"> very least</w:t>
      </w:r>
      <w:r>
        <w:t>, the Ohio Commission believes that</w:t>
      </w:r>
      <w:r w:rsidRPr="00C43900">
        <w:t xml:space="preserve"> the FCC should place limits on the COE component of the </w:t>
      </w:r>
      <w:proofErr w:type="spellStart"/>
      <w:r w:rsidRPr="00C43900">
        <w:t>LSS</w:t>
      </w:r>
      <w:proofErr w:type="spellEnd"/>
      <w:r w:rsidR="003D4E42" w:rsidRPr="00C43900">
        <w:t xml:space="preserve">.  </w:t>
      </w:r>
      <w:r>
        <w:t>T</w:t>
      </w:r>
      <w:r w:rsidRPr="00C43900">
        <w:t>he FCC points out th</w:t>
      </w:r>
      <w:r>
        <w:t>at</w:t>
      </w:r>
      <w:r w:rsidRPr="00C43900">
        <w:t xml:space="preserve"> COE</w:t>
      </w:r>
      <w:r>
        <w:t xml:space="preserve">  includes expenses</w:t>
      </w:r>
      <w:r w:rsidRPr="00C43900">
        <w:t xml:space="preserve"> for </w:t>
      </w:r>
      <w:r>
        <w:t xml:space="preserve">overall </w:t>
      </w:r>
      <w:r w:rsidRPr="00C43900">
        <w:t>administrati</w:t>
      </w:r>
      <w:r>
        <w:t xml:space="preserve">on and management, accounting and </w:t>
      </w:r>
      <w:r w:rsidRPr="00C43900">
        <w:t>financial service</w:t>
      </w:r>
      <w:r>
        <w:t>s</w:t>
      </w:r>
      <w:r w:rsidRPr="00C43900">
        <w:t xml:space="preserve">, legal services </w:t>
      </w:r>
      <w:r>
        <w:t>and public relations.</w:t>
      </w:r>
      <w:r>
        <w:rPr>
          <w:rStyle w:val="FootnoteReference"/>
          <w:rFonts w:eastAsiaTheme="majorEastAsia"/>
        </w:rPr>
        <w:footnoteReference w:id="57"/>
      </w:r>
      <w:proofErr w:type="gramStart"/>
      <w:r>
        <w:t xml:space="preserve"> </w:t>
      </w:r>
      <w:r w:rsidRPr="00C43900">
        <w:t xml:space="preserve">  </w:t>
      </w:r>
      <w:proofErr w:type="gramEnd"/>
      <w:r w:rsidRPr="00C43900">
        <w:t xml:space="preserve">With respect to </w:t>
      </w:r>
      <w:proofErr w:type="spellStart"/>
      <w:r w:rsidRPr="00C43900">
        <w:t>HCLS</w:t>
      </w:r>
      <w:proofErr w:type="spellEnd"/>
      <w:r w:rsidRPr="00C43900">
        <w:t>, the FCC estimates t</w:t>
      </w:r>
      <w:r>
        <w:t>he 2011</w:t>
      </w:r>
      <w:r w:rsidRPr="00C43900">
        <w:t xml:space="preserve"> support </w:t>
      </w:r>
      <w:r>
        <w:t xml:space="preserve">level </w:t>
      </w:r>
      <w:r w:rsidRPr="00C43900">
        <w:t>at approximately 13</w:t>
      </w:r>
      <w:r>
        <w:t xml:space="preserve"> per</w:t>
      </w:r>
      <w:r w:rsidR="00930230">
        <w:softHyphen/>
      </w:r>
      <w:r>
        <w:t>cent</w:t>
      </w:r>
      <w:r w:rsidRPr="00C43900">
        <w:t xml:space="preserve"> of the </w:t>
      </w:r>
      <w:proofErr w:type="spellStart"/>
      <w:r w:rsidRPr="00C43900">
        <w:t>HCLS</w:t>
      </w:r>
      <w:proofErr w:type="spellEnd"/>
      <w:r w:rsidRPr="00C43900">
        <w:t xml:space="preserve"> fund</w:t>
      </w:r>
      <w:r>
        <w:t xml:space="preserve">, </w:t>
      </w:r>
      <w:r w:rsidRPr="00C43900">
        <w:t xml:space="preserve">but does not provide </w:t>
      </w:r>
      <w:r>
        <w:t>corresponding</w:t>
      </w:r>
      <w:r w:rsidRPr="00C43900">
        <w:t xml:space="preserve"> percentage</w:t>
      </w:r>
      <w:r>
        <w:t>s</w:t>
      </w:r>
      <w:r w:rsidRPr="00C43900">
        <w:t xml:space="preserve"> for </w:t>
      </w:r>
      <w:proofErr w:type="spellStart"/>
      <w:r w:rsidRPr="00C43900">
        <w:t>LSS</w:t>
      </w:r>
      <w:proofErr w:type="spellEnd"/>
      <w:r w:rsidRPr="00C43900">
        <w:t xml:space="preserve"> or </w:t>
      </w:r>
      <w:proofErr w:type="spellStart"/>
      <w:r w:rsidRPr="00C43900">
        <w:t>ICLS</w:t>
      </w:r>
      <w:proofErr w:type="spellEnd"/>
      <w:r w:rsidRPr="00C43900">
        <w:t>.</w:t>
      </w:r>
      <w:r>
        <w:rPr>
          <w:rStyle w:val="FootnoteReference"/>
          <w:rFonts w:eastAsiaTheme="majorEastAsia"/>
        </w:rPr>
        <w:footnoteReference w:id="58"/>
      </w:r>
      <w:r w:rsidRPr="00C43900">
        <w:t xml:space="preserve"> </w:t>
      </w:r>
      <w:r>
        <w:t xml:space="preserve"> Unlike </w:t>
      </w:r>
      <w:proofErr w:type="spellStart"/>
      <w:r>
        <w:t>HCLS</w:t>
      </w:r>
      <w:proofErr w:type="spellEnd"/>
      <w:r>
        <w:t xml:space="preserve">, </w:t>
      </w:r>
      <w:proofErr w:type="spellStart"/>
      <w:r>
        <w:t>LSS</w:t>
      </w:r>
      <w:proofErr w:type="spellEnd"/>
      <w:r>
        <w:t xml:space="preserve"> and </w:t>
      </w:r>
      <w:proofErr w:type="spellStart"/>
      <w:r>
        <w:t>ICLS</w:t>
      </w:r>
      <w:proofErr w:type="spellEnd"/>
      <w:r>
        <w:t xml:space="preserve"> are not capped.</w:t>
      </w:r>
      <w:r>
        <w:rPr>
          <w:rStyle w:val="FootnoteReference"/>
          <w:rFonts w:eastAsiaTheme="majorEastAsia"/>
        </w:rPr>
        <w:footnoteReference w:id="59"/>
      </w:r>
      <w:r>
        <w:t xml:space="preserve">  As such, it is logical to </w:t>
      </w:r>
      <w:r w:rsidRPr="00C43900">
        <w:t xml:space="preserve">assume </w:t>
      </w:r>
      <w:r>
        <w:t xml:space="preserve">that an equal or </w:t>
      </w:r>
      <w:r w:rsidRPr="00C43900">
        <w:t xml:space="preserve">greater </w:t>
      </w:r>
      <w:r>
        <w:t>amount</w:t>
      </w:r>
      <w:r w:rsidRPr="00C43900">
        <w:t xml:space="preserve"> </w:t>
      </w:r>
      <w:r>
        <w:t xml:space="preserve">of </w:t>
      </w:r>
      <w:proofErr w:type="spellStart"/>
      <w:r>
        <w:t>LSS</w:t>
      </w:r>
      <w:proofErr w:type="spellEnd"/>
      <w:r>
        <w:t xml:space="preserve"> and </w:t>
      </w:r>
      <w:proofErr w:type="spellStart"/>
      <w:r>
        <w:t>ICLS</w:t>
      </w:r>
      <w:proofErr w:type="spellEnd"/>
      <w:r>
        <w:t xml:space="preserve"> are attributable to COE than the 13 per</w:t>
      </w:r>
      <w:r w:rsidR="00930230">
        <w:softHyphen/>
      </w:r>
      <w:r>
        <w:t xml:space="preserve">cent of </w:t>
      </w:r>
      <w:proofErr w:type="spellStart"/>
      <w:r>
        <w:t>HCLS</w:t>
      </w:r>
      <w:proofErr w:type="spellEnd"/>
      <w:r>
        <w:t>.  As such, t</w:t>
      </w:r>
      <w:r w:rsidRPr="00C43900">
        <w:t xml:space="preserve">he Ohio Commission believes that COE should be </w:t>
      </w:r>
      <w:r>
        <w:t xml:space="preserve">reformed and </w:t>
      </w:r>
      <w:r w:rsidRPr="00C43900">
        <w:t xml:space="preserve">treated </w:t>
      </w:r>
      <w:r>
        <w:t xml:space="preserve">in the same manner as that recommended by the Ohio Commission for </w:t>
      </w:r>
      <w:proofErr w:type="spellStart"/>
      <w:r w:rsidRPr="00C43900">
        <w:t>LSS</w:t>
      </w:r>
      <w:proofErr w:type="spellEnd"/>
      <w:r w:rsidR="003D4E42" w:rsidRPr="00C43900">
        <w:t xml:space="preserve">.  </w:t>
      </w:r>
      <w:r>
        <w:lastRenderedPageBreak/>
        <w:t>Further</w:t>
      </w:r>
      <w:r w:rsidRPr="00C43900">
        <w:t xml:space="preserve">, </w:t>
      </w:r>
      <w:r>
        <w:t xml:space="preserve">to the extent that </w:t>
      </w:r>
      <w:r w:rsidRPr="00C43900">
        <w:t xml:space="preserve">COE </w:t>
      </w:r>
      <w:r>
        <w:t xml:space="preserve">is not eliminated or repurposed, its recovery should be capped and limited to </w:t>
      </w:r>
      <w:r w:rsidRPr="00C43900">
        <w:t>prudent facility joint expenses</w:t>
      </w:r>
      <w:r>
        <w:t xml:space="preserve"> that are</w:t>
      </w:r>
      <w:r w:rsidRPr="00C43900">
        <w:t xml:space="preserve"> directly attributable </w:t>
      </w:r>
      <w:r>
        <w:t xml:space="preserve">to the </w:t>
      </w:r>
      <w:r w:rsidRPr="00C43900">
        <w:t>deploy</w:t>
      </w:r>
      <w:r>
        <w:t>ment</w:t>
      </w:r>
      <w:r w:rsidRPr="00C43900">
        <w:t xml:space="preserve"> and maintenance </w:t>
      </w:r>
      <w:r>
        <w:t xml:space="preserve">telecommunications networks </w:t>
      </w:r>
      <w:r w:rsidRPr="00C43900">
        <w:t xml:space="preserve">at the corporate level and not </w:t>
      </w:r>
      <w:r>
        <w:t xml:space="preserve">to </w:t>
      </w:r>
      <w:r w:rsidRPr="00C43900">
        <w:t>common overhead expenses</w:t>
      </w:r>
      <w:r>
        <w:t>.</w:t>
      </w:r>
    </w:p>
    <w:p w:rsidR="005840C4" w:rsidRPr="00E93B37" w:rsidRDefault="00FC0358" w:rsidP="00FC0358">
      <w:pPr>
        <w:pStyle w:val="Heading3"/>
      </w:pPr>
      <w:bookmarkStart w:id="30" w:name="_Toc290279155"/>
      <w:bookmarkStart w:id="31" w:name="_Toc290892261"/>
      <w:r>
        <w:t>E.</w:t>
      </w:r>
      <w:r>
        <w:tab/>
      </w:r>
      <w:r w:rsidR="005840C4" w:rsidRPr="00E93B37">
        <w:t>Limits on Total per Line High-cost Support</w:t>
      </w:r>
      <w:bookmarkEnd w:id="30"/>
      <w:bookmarkEnd w:id="31"/>
    </w:p>
    <w:p w:rsidR="005840C4" w:rsidRDefault="005840C4" w:rsidP="005840C4">
      <w:pPr>
        <w:pStyle w:val="Textstyle"/>
      </w:pPr>
      <w:r>
        <w:tab/>
      </w:r>
      <w:r w:rsidRPr="00E93B37">
        <w:t xml:space="preserve">The FCC </w:t>
      </w:r>
      <w:r>
        <w:t>has</w:t>
      </w:r>
      <w:r w:rsidRPr="00E93B37">
        <w:t xml:space="preserve"> propos</w:t>
      </w:r>
      <w:r>
        <w:t>ed</w:t>
      </w:r>
      <w:r w:rsidRPr="00E93B37">
        <w:t xml:space="preserve"> t</w:t>
      </w:r>
      <w:r>
        <w:t>he</w:t>
      </w:r>
      <w:r w:rsidRPr="00E93B37">
        <w:t xml:space="preserve"> adopt</w:t>
      </w:r>
      <w:r>
        <w:t>ion of</w:t>
      </w:r>
      <w:r w:rsidRPr="00E93B37">
        <w:t xml:space="preserve"> a cap on total support per line for all com</w:t>
      </w:r>
      <w:r w:rsidR="00930230">
        <w:softHyphen/>
      </w:r>
      <w:r w:rsidRPr="00E93B37">
        <w:t>panies operating in the continental United States.</w:t>
      </w:r>
      <w:r>
        <w:rPr>
          <w:rStyle w:val="FootnoteReference"/>
          <w:rFonts w:eastAsiaTheme="majorEastAsia"/>
        </w:rPr>
        <w:footnoteReference w:id="60"/>
      </w:r>
      <w:r w:rsidRPr="00E93B37">
        <w:t xml:space="preserve"> </w:t>
      </w:r>
      <w:r>
        <w:t xml:space="preserve"> </w:t>
      </w:r>
      <w:r w:rsidRPr="00E93B37">
        <w:t xml:space="preserve">Currently, </w:t>
      </w:r>
      <w:r>
        <w:t>while capped in the aggre</w:t>
      </w:r>
      <w:r w:rsidR="00930230">
        <w:softHyphen/>
      </w:r>
      <w:r>
        <w:t xml:space="preserve">gate, </w:t>
      </w:r>
      <w:r w:rsidRPr="00E93B37">
        <w:t xml:space="preserve">there is no limit on </w:t>
      </w:r>
      <w:r>
        <w:t xml:space="preserve">the amount of </w:t>
      </w:r>
      <w:proofErr w:type="spellStart"/>
      <w:r>
        <w:t>HCLS</w:t>
      </w:r>
      <w:proofErr w:type="spellEnd"/>
      <w:r>
        <w:t xml:space="preserve"> that ILECs may receive.</w:t>
      </w:r>
      <w:r>
        <w:rPr>
          <w:rStyle w:val="FootnoteReference"/>
          <w:rFonts w:eastAsiaTheme="majorEastAsia"/>
        </w:rPr>
        <w:footnoteReference w:id="61"/>
      </w:r>
      <w:proofErr w:type="gramStart"/>
      <w:r>
        <w:t xml:space="preserve">   </w:t>
      </w:r>
      <w:proofErr w:type="gramEnd"/>
      <w:r>
        <w:t xml:space="preserve">Furthermore, neither </w:t>
      </w:r>
      <w:proofErr w:type="spellStart"/>
      <w:r>
        <w:t>LSS</w:t>
      </w:r>
      <w:proofErr w:type="spellEnd"/>
      <w:r>
        <w:t xml:space="preserve"> nor </w:t>
      </w:r>
      <w:proofErr w:type="spellStart"/>
      <w:r>
        <w:t>ICLS</w:t>
      </w:r>
      <w:proofErr w:type="spellEnd"/>
      <w:r>
        <w:t xml:space="preserve"> is capped in the aggregate or on an </w:t>
      </w:r>
      <w:proofErr w:type="spellStart"/>
      <w:r>
        <w:t>ILEC</w:t>
      </w:r>
      <w:proofErr w:type="spellEnd"/>
      <w:r>
        <w:t>-specific basis.</w:t>
      </w:r>
      <w:r>
        <w:rPr>
          <w:rStyle w:val="FootnoteReference"/>
          <w:rFonts w:eastAsiaTheme="majorEastAsia"/>
        </w:rPr>
        <w:footnoteReference w:id="62"/>
      </w:r>
      <w:r>
        <w:t xml:space="preserve">  Of the </w:t>
      </w:r>
      <w:r w:rsidRPr="00E93B37">
        <w:t xml:space="preserve">1,442 ILECs </w:t>
      </w:r>
      <w:r>
        <w:t xml:space="preserve">that </w:t>
      </w:r>
      <w:r w:rsidRPr="00E93B37">
        <w:t xml:space="preserve">receive </w:t>
      </w:r>
      <w:r>
        <w:t xml:space="preserve">high-cost universal </w:t>
      </w:r>
      <w:r w:rsidRPr="00E93B37">
        <w:t>support, fewer than 20 carriers receive sup</w:t>
      </w:r>
      <w:r w:rsidR="00930230">
        <w:softHyphen/>
      </w:r>
      <w:r w:rsidRPr="00E93B37">
        <w:t>port of more that $250 per line per month.</w:t>
      </w:r>
      <w:r>
        <w:rPr>
          <w:rStyle w:val="FootnoteReference"/>
          <w:rFonts w:eastAsiaTheme="majorEastAsia"/>
        </w:rPr>
        <w:footnoteReference w:id="63"/>
      </w:r>
      <w:r w:rsidRPr="00E93B37">
        <w:t xml:space="preserve">  </w:t>
      </w:r>
      <w:r>
        <w:t xml:space="preserve">While </w:t>
      </w:r>
      <w:r w:rsidRPr="00E93B37">
        <w:rPr>
          <w:i/>
        </w:rPr>
        <w:t xml:space="preserve">some </w:t>
      </w:r>
      <w:r w:rsidRPr="00E93B37">
        <w:t xml:space="preserve">rural ILECs with fewer than 500 </w:t>
      </w:r>
      <w:r>
        <w:t>access lines</w:t>
      </w:r>
      <w:r w:rsidRPr="00E93B37">
        <w:t xml:space="preserve"> receive USF support for working loops, switching, and other cost</w:t>
      </w:r>
      <w:r>
        <w:t>s</w:t>
      </w:r>
      <w:r w:rsidRPr="00E93B37">
        <w:t xml:space="preserve"> </w:t>
      </w:r>
      <w:r>
        <w:t xml:space="preserve">that </w:t>
      </w:r>
      <w:r w:rsidRPr="00E93B37">
        <w:t>rang</w:t>
      </w:r>
      <w:r>
        <w:t>es</w:t>
      </w:r>
      <w:r w:rsidRPr="00E93B37">
        <w:t xml:space="preserve"> between $8,000 and $23,000 per </w:t>
      </w:r>
      <w:r>
        <w:t>line</w:t>
      </w:r>
      <w:r w:rsidRPr="00E93B37">
        <w:t xml:space="preserve"> per </w:t>
      </w:r>
      <w:r>
        <w:t>year</w:t>
      </w:r>
      <w:r w:rsidRPr="00E93B37">
        <w:t>.</w:t>
      </w:r>
      <w:r>
        <w:t xml:space="preserve">  T</w:t>
      </w:r>
      <w:r w:rsidRPr="00E93B37">
        <w:t xml:space="preserve">he </w:t>
      </w:r>
      <w:r w:rsidRPr="00E93B37">
        <w:rPr>
          <w:i/>
        </w:rPr>
        <w:t>average</w:t>
      </w:r>
      <w:r w:rsidRPr="00E93B37">
        <w:t xml:space="preserve"> amount </w:t>
      </w:r>
      <w:r>
        <w:t>of USF sup</w:t>
      </w:r>
      <w:r w:rsidR="00930230">
        <w:softHyphen/>
      </w:r>
      <w:r>
        <w:t xml:space="preserve">port received by </w:t>
      </w:r>
      <w:r w:rsidRPr="00E93B37">
        <w:t xml:space="preserve">rural ILECs with fewer than 500 </w:t>
      </w:r>
      <w:r>
        <w:t>access lines</w:t>
      </w:r>
      <w:r w:rsidRPr="00E93B37">
        <w:t xml:space="preserve"> is $1,148 per line annu</w:t>
      </w:r>
      <w:r w:rsidR="00930230">
        <w:softHyphen/>
      </w:r>
      <w:r w:rsidRPr="00E93B37">
        <w:t>ally.</w:t>
      </w:r>
      <w:r>
        <w:rPr>
          <w:rStyle w:val="FootnoteReference"/>
          <w:rFonts w:eastAsiaTheme="majorEastAsia"/>
        </w:rPr>
        <w:footnoteReference w:id="64"/>
      </w:r>
      <w:r w:rsidRPr="00E93B37">
        <w:t xml:space="preserve">  </w:t>
      </w:r>
      <w:r>
        <w:t xml:space="preserve">Given this backdrop and </w:t>
      </w:r>
      <w:r w:rsidRPr="00E93B37">
        <w:t>the FCC</w:t>
      </w:r>
      <w:r>
        <w:t>’s acknowledged</w:t>
      </w:r>
      <w:r w:rsidRPr="00E93B37">
        <w:t xml:space="preserve"> recogni</w:t>
      </w:r>
      <w:r>
        <w:t>tion</w:t>
      </w:r>
      <w:r w:rsidRPr="00E93B37">
        <w:t xml:space="preserve"> that rural carriers </w:t>
      </w:r>
      <w:r>
        <w:t>may be subject to</w:t>
      </w:r>
      <w:r w:rsidRPr="00E93B37">
        <w:t xml:space="preserve"> unique circumstances in high-cost areas that justify higher levels of sup</w:t>
      </w:r>
      <w:r w:rsidR="00930230">
        <w:softHyphen/>
      </w:r>
      <w:r w:rsidRPr="00E93B37">
        <w:t>port</w:t>
      </w:r>
      <w:r>
        <w:t xml:space="preserve">, the FCC nonetheless asks </w:t>
      </w:r>
      <w:r w:rsidRPr="00E93B37">
        <w:t>whether it would be consistent with fiscally responsi</w:t>
      </w:r>
      <w:r w:rsidR="00930230">
        <w:softHyphen/>
      </w:r>
      <w:r w:rsidRPr="00E93B37">
        <w:lastRenderedPageBreak/>
        <w:t xml:space="preserve">ble universal service reform to continue to have </w:t>
      </w:r>
      <w:r w:rsidRPr="001A3C62">
        <w:t>American consumers and small busi</w:t>
      </w:r>
      <w:r w:rsidR="00930230">
        <w:softHyphen/>
      </w:r>
      <w:r w:rsidRPr="001A3C62">
        <w:t>nesses</w:t>
      </w:r>
      <w:r>
        <w:t xml:space="preserve">, whose contributions support universal service, </w:t>
      </w:r>
      <w:r w:rsidRPr="00E93B37">
        <w:t xml:space="preserve">pay </w:t>
      </w:r>
      <w:r>
        <w:t>to fund</w:t>
      </w:r>
      <w:r w:rsidRPr="00E93B37">
        <w:t xml:space="preserve"> support levels of more than $250 per month.</w:t>
      </w:r>
      <w:r>
        <w:rPr>
          <w:rStyle w:val="FootnoteReference"/>
          <w:rFonts w:eastAsiaTheme="majorEastAsia"/>
        </w:rPr>
        <w:footnoteReference w:id="65"/>
      </w:r>
      <w:r w:rsidRPr="00E93B37">
        <w:t xml:space="preserve">  </w:t>
      </w:r>
    </w:p>
    <w:p w:rsidR="005840C4" w:rsidRPr="00E93B37" w:rsidRDefault="005840C4" w:rsidP="005840C4">
      <w:pPr>
        <w:pStyle w:val="Textstyle"/>
      </w:pPr>
      <w:r>
        <w:tab/>
      </w:r>
      <w:r w:rsidRPr="00E93B37">
        <w:t xml:space="preserve">The Ohio Commission fully appreciates the </w:t>
      </w:r>
      <w:r>
        <w:t xml:space="preserve">positive impact of the </w:t>
      </w:r>
      <w:r w:rsidRPr="00E93B37">
        <w:t xml:space="preserve">USF for </w:t>
      </w:r>
      <w:r>
        <w:t xml:space="preserve">the </w:t>
      </w:r>
      <w:r w:rsidRPr="00E93B37">
        <w:t>citi</w:t>
      </w:r>
      <w:r w:rsidR="00930230">
        <w:softHyphen/>
      </w:r>
      <w:r w:rsidRPr="00E93B37">
        <w:t xml:space="preserve">zens </w:t>
      </w:r>
      <w:r>
        <w:t>of this country, and particularly Ohioans</w:t>
      </w:r>
      <w:r w:rsidRPr="00E93B37">
        <w:t>.  Without USF</w:t>
      </w:r>
      <w:r>
        <w:t xml:space="preserve"> support</w:t>
      </w:r>
      <w:r w:rsidRPr="00E93B37">
        <w:t xml:space="preserve"> it </w:t>
      </w:r>
      <w:r>
        <w:t>is</w:t>
      </w:r>
      <w:r w:rsidRPr="00E93B37">
        <w:t xml:space="preserve"> difficult to envision how thousands of </w:t>
      </w:r>
      <w:r>
        <w:t xml:space="preserve">Ohio’s </w:t>
      </w:r>
      <w:r w:rsidRPr="00E93B37">
        <w:t xml:space="preserve">rural </w:t>
      </w:r>
      <w:r>
        <w:t>customers</w:t>
      </w:r>
      <w:r w:rsidRPr="00E93B37">
        <w:t xml:space="preserve"> would have </w:t>
      </w:r>
      <w:r>
        <w:t xml:space="preserve">been able to obtain the most </w:t>
      </w:r>
      <w:r w:rsidRPr="00E93B37">
        <w:t xml:space="preserve">basic </w:t>
      </w:r>
      <w:r>
        <w:t xml:space="preserve">of </w:t>
      </w:r>
      <w:r w:rsidRPr="00E93B37">
        <w:t xml:space="preserve">telephone </w:t>
      </w:r>
      <w:r>
        <w:t xml:space="preserve">services.  Through USF these customers have access to an array of services including </w:t>
      </w:r>
      <w:r w:rsidRPr="00E93B37">
        <w:t>quality local and toll voice</w:t>
      </w:r>
      <w:r>
        <w:t xml:space="preserve"> service</w:t>
      </w:r>
      <w:r w:rsidRPr="00E93B37">
        <w:t xml:space="preserve">, DSL </w:t>
      </w:r>
      <w:r>
        <w:t>b</w:t>
      </w:r>
      <w:r w:rsidRPr="00E93B37">
        <w:t xml:space="preserve">roadband, </w:t>
      </w:r>
      <w:r>
        <w:t xml:space="preserve">and </w:t>
      </w:r>
      <w:r w:rsidRPr="00E93B37">
        <w:t>vertical services</w:t>
      </w:r>
      <w:r>
        <w:t>, all at affordable rates.</w:t>
      </w:r>
      <w:r>
        <w:rPr>
          <w:rStyle w:val="FootnoteReference"/>
          <w:rFonts w:eastAsiaTheme="majorEastAsia"/>
        </w:rPr>
        <w:footnoteReference w:id="66"/>
      </w:r>
      <w:r>
        <w:t xml:space="preserve"> </w:t>
      </w:r>
      <w:r w:rsidRPr="00E93B37">
        <w:t xml:space="preserve"> </w:t>
      </w:r>
      <w:r>
        <w:t>While</w:t>
      </w:r>
      <w:r w:rsidRPr="00E93B37">
        <w:t xml:space="preserve"> regulators </w:t>
      </w:r>
      <w:r>
        <w:t xml:space="preserve">may not have anticipated </w:t>
      </w:r>
      <w:r w:rsidRPr="00E93B37">
        <w:t xml:space="preserve">USF </w:t>
      </w:r>
      <w:r>
        <w:t>reach</w:t>
      </w:r>
      <w:r w:rsidR="00930230">
        <w:softHyphen/>
      </w:r>
      <w:r>
        <w:t>ing its</w:t>
      </w:r>
      <w:r w:rsidRPr="00E93B37">
        <w:t xml:space="preserve"> current level of support, </w:t>
      </w:r>
      <w:r>
        <w:t>the fact that it has demonstrates that USF high-cost sup</w:t>
      </w:r>
      <w:r w:rsidR="00930230">
        <w:softHyphen/>
      </w:r>
      <w:r>
        <w:t>port</w:t>
      </w:r>
      <w:r w:rsidRPr="00E93B37">
        <w:t xml:space="preserve"> has accomplished exactly what regulators and Congress intended.  Based on current market practices, it is clear that </w:t>
      </w:r>
      <w:r>
        <w:t>the</w:t>
      </w:r>
      <w:r w:rsidRPr="00E93B37">
        <w:t xml:space="preserve"> large telecommunications carrier</w:t>
      </w:r>
      <w:r>
        <w:t>s</w:t>
      </w:r>
      <w:r w:rsidRPr="00E93B37">
        <w:t xml:space="preserve"> ha</w:t>
      </w:r>
      <w:r>
        <w:t xml:space="preserve">ve no </w:t>
      </w:r>
      <w:r w:rsidRPr="00E93B37">
        <w:t xml:space="preserve">interest in servicing </w:t>
      </w:r>
      <w:r>
        <w:t>this country’s</w:t>
      </w:r>
      <w:r w:rsidRPr="00E93B37">
        <w:t xml:space="preserve"> rural </w:t>
      </w:r>
      <w:r>
        <w:t>customers</w:t>
      </w:r>
      <w:r w:rsidRPr="00E93B37">
        <w:t xml:space="preserve">, </w:t>
      </w:r>
      <w:r>
        <w:t xml:space="preserve">particularly those </w:t>
      </w:r>
      <w:r w:rsidRPr="00E93B37">
        <w:t xml:space="preserve">in high-cost markets.  </w:t>
      </w:r>
      <w:r>
        <w:t>Cer</w:t>
      </w:r>
      <w:r w:rsidR="00930230">
        <w:softHyphen/>
      </w:r>
      <w:r>
        <w:t>tainly</w:t>
      </w:r>
      <w:r w:rsidRPr="00E93B37">
        <w:t xml:space="preserve"> some </w:t>
      </w:r>
      <w:r>
        <w:t xml:space="preserve">large carriers </w:t>
      </w:r>
      <w:r w:rsidRPr="00E93B37">
        <w:t>may wish to “cherry-pi</w:t>
      </w:r>
      <w:r>
        <w:t>ck</w:t>
      </w:r>
      <w:r w:rsidRPr="00E93B37">
        <w:t xml:space="preserve">” the best customers from </w:t>
      </w:r>
      <w:r>
        <w:t xml:space="preserve">the </w:t>
      </w:r>
      <w:r w:rsidRPr="00E93B37">
        <w:t>rural ILECs; however</w:t>
      </w:r>
      <w:r>
        <w:t>,</w:t>
      </w:r>
      <w:r w:rsidRPr="00E93B37">
        <w:t xml:space="preserve"> the Ohio Commission is not aware of a single </w:t>
      </w:r>
      <w:r>
        <w:t>large</w:t>
      </w:r>
      <w:r w:rsidRPr="00E93B37">
        <w:t xml:space="preserve"> carrier willing to serve all rural customers</w:t>
      </w:r>
      <w:r>
        <w:t xml:space="preserve"> at affordable, reasonable rates</w:t>
      </w:r>
      <w:r w:rsidRPr="00E93B37">
        <w:t xml:space="preserve">.  </w:t>
      </w:r>
      <w:r>
        <w:t>In Ohio, n</w:t>
      </w:r>
      <w:r w:rsidRPr="00E93B37">
        <w:t>o</w:t>
      </w:r>
      <w:r>
        <w:t>ne of the</w:t>
      </w:r>
      <w:r w:rsidRPr="00E93B37">
        <w:t xml:space="preserve"> </w:t>
      </w:r>
      <w:r>
        <w:t>competing carriers</w:t>
      </w:r>
      <w:r w:rsidRPr="00E93B37">
        <w:t xml:space="preserve"> </w:t>
      </w:r>
      <w:r>
        <w:t>have proven</w:t>
      </w:r>
      <w:r w:rsidRPr="00E93B37">
        <w:t xml:space="preserve"> willing to take on the </w:t>
      </w:r>
      <w:r>
        <w:t>POLR</w:t>
      </w:r>
      <w:r w:rsidRPr="00E93B37">
        <w:t xml:space="preserve"> obligations </w:t>
      </w:r>
      <w:r>
        <w:t xml:space="preserve">presently met by the small, rural ILECs who, over many generations, have </w:t>
      </w:r>
      <w:r w:rsidRPr="00E93B37">
        <w:t xml:space="preserve"> built business</w:t>
      </w:r>
      <w:r>
        <w:t>es</w:t>
      </w:r>
      <w:r w:rsidRPr="00E93B37">
        <w:t xml:space="preserve"> serving the</w:t>
      </w:r>
      <w:r>
        <w:t>ir communi</w:t>
      </w:r>
      <w:r w:rsidR="00930230">
        <w:softHyphen/>
      </w:r>
      <w:r>
        <w:t>ties by making service available to those</w:t>
      </w:r>
      <w:r w:rsidRPr="00E93B37">
        <w:t xml:space="preserve"> least </w:t>
      </w:r>
      <w:r>
        <w:t>likely</w:t>
      </w:r>
      <w:r w:rsidRPr="00E93B37">
        <w:t xml:space="preserve"> to receive telecommunications ser</w:t>
      </w:r>
      <w:r w:rsidR="00930230">
        <w:softHyphen/>
      </w:r>
      <w:r w:rsidRPr="00E93B37">
        <w:lastRenderedPageBreak/>
        <w:t xml:space="preserve">vice </w:t>
      </w:r>
      <w:r>
        <w:t xml:space="preserve">otherwise. </w:t>
      </w:r>
      <w:r w:rsidRPr="00E93B37">
        <w:t xml:space="preserve"> </w:t>
      </w:r>
      <w:r>
        <w:t>As</w:t>
      </w:r>
      <w:r w:rsidRPr="00E93B37">
        <w:t xml:space="preserve"> regulators and elected officials shift </w:t>
      </w:r>
      <w:r>
        <w:t xml:space="preserve">their </w:t>
      </w:r>
      <w:r w:rsidRPr="00E93B37">
        <w:t>focus from traditional tele</w:t>
      </w:r>
      <w:r w:rsidR="00930230">
        <w:softHyphen/>
      </w:r>
      <w:r w:rsidRPr="00E93B37">
        <w:t>phone service to broadband service</w:t>
      </w:r>
      <w:r>
        <w:t>, it is possible that</w:t>
      </w:r>
      <w:r w:rsidRPr="00E93B37">
        <w:t xml:space="preserve"> alternative </w:t>
      </w:r>
      <w:r>
        <w:t xml:space="preserve">service </w:t>
      </w:r>
      <w:r w:rsidRPr="00E93B37">
        <w:t xml:space="preserve">providers will </w:t>
      </w:r>
      <w:r>
        <w:t xml:space="preserve">endeavor </w:t>
      </w:r>
      <w:r w:rsidRPr="00E93B37">
        <w:t>to serve all</w:t>
      </w:r>
      <w:r>
        <w:t xml:space="preserve"> customers.</w:t>
      </w:r>
      <w:r w:rsidRPr="00E93B37">
        <w:t xml:space="preserve">  </w:t>
      </w:r>
      <w:r>
        <w:t xml:space="preserve">It is unlikely, </w:t>
      </w:r>
      <w:proofErr w:type="gramStart"/>
      <w:r>
        <w:t>though,</w:t>
      </w:r>
      <w:proofErr w:type="gramEnd"/>
      <w:r>
        <w:t xml:space="preserve"> that these providers will voluntar</w:t>
      </w:r>
      <w:r w:rsidR="00930230">
        <w:softHyphen/>
      </w:r>
      <w:r>
        <w:t>ily assume the POLR obligations traditionally met by the rural ILECs or provide service at affordable reasonable rates</w:t>
      </w:r>
      <w:r w:rsidR="003D4E42">
        <w:t xml:space="preserve">. </w:t>
      </w:r>
      <w:r w:rsidR="003D4E42" w:rsidRPr="00E93B37">
        <w:t xml:space="preserve"> </w:t>
      </w:r>
      <w:r w:rsidRPr="00E93B37">
        <w:t xml:space="preserve">That being said, the Ohio Commission </w:t>
      </w:r>
      <w:r>
        <w:t>strongly believes</w:t>
      </w:r>
      <w:r w:rsidRPr="00E93B37">
        <w:t xml:space="preserve"> that consumers and small businesses</w:t>
      </w:r>
      <w:r>
        <w:t>,</w:t>
      </w:r>
      <w:r w:rsidRPr="00E93B37">
        <w:t xml:space="preserve"> as well as all other consumers that contribute to the USF</w:t>
      </w:r>
      <w:r>
        <w:t>,</w:t>
      </w:r>
      <w:r w:rsidRPr="00E93B37">
        <w:t xml:space="preserve"> have received a fair and reasonable return on </w:t>
      </w:r>
      <w:r>
        <w:t xml:space="preserve">their collective </w:t>
      </w:r>
      <w:r w:rsidRPr="00E93B37">
        <w:t>investment</w:t>
      </w:r>
      <w:r>
        <w:t xml:space="preserve"> in univer</w:t>
      </w:r>
      <w:r w:rsidR="00930230">
        <w:softHyphen/>
      </w:r>
      <w:r>
        <w:t>sal service</w:t>
      </w:r>
      <w:r w:rsidRPr="00E93B37">
        <w:t>.  The</w:t>
      </w:r>
      <w:r>
        <w:t xml:space="preserve">y </w:t>
      </w:r>
      <w:r w:rsidRPr="00E93B37">
        <w:t xml:space="preserve">should </w:t>
      </w:r>
      <w:r>
        <w:t xml:space="preserve">receive no less from </w:t>
      </w:r>
      <w:r w:rsidRPr="00E93B37">
        <w:t xml:space="preserve">the </w:t>
      </w:r>
      <w:proofErr w:type="spellStart"/>
      <w:r w:rsidRPr="00E93B37">
        <w:t>CAF</w:t>
      </w:r>
      <w:proofErr w:type="spellEnd"/>
      <w:r w:rsidRPr="00E93B37">
        <w:t xml:space="preserve">.  </w:t>
      </w:r>
      <w:r>
        <w:t>Accordingly, t</w:t>
      </w:r>
      <w:r w:rsidRPr="00E93B37">
        <w:t>he Ohio Commis</w:t>
      </w:r>
      <w:r w:rsidR="00930230">
        <w:softHyphen/>
      </w:r>
      <w:r w:rsidRPr="00E93B37">
        <w:t xml:space="preserve">sion </w:t>
      </w:r>
      <w:r>
        <w:t>recommends</w:t>
      </w:r>
      <w:r w:rsidRPr="00E93B37">
        <w:t xml:space="preserve"> that the funding mechanism be capped at levels </w:t>
      </w:r>
      <w:r>
        <w:t>sufficient to</w:t>
      </w:r>
      <w:r w:rsidRPr="00E93B37">
        <w:t xml:space="preserve"> provide the support </w:t>
      </w:r>
      <w:r>
        <w:t xml:space="preserve">necessary for </w:t>
      </w:r>
      <w:r w:rsidRPr="00E93B37">
        <w:t xml:space="preserve">every rural </w:t>
      </w:r>
      <w:r w:rsidR="003D4E42" w:rsidRPr="00E93B37">
        <w:t>carrier</w:t>
      </w:r>
      <w:r w:rsidRPr="00E93B37">
        <w:t xml:space="preserve"> to </w:t>
      </w:r>
      <w:r>
        <w:t>continue to make available</w:t>
      </w:r>
      <w:r w:rsidRPr="00E93B37">
        <w:t xml:space="preserve"> quality ser</w:t>
      </w:r>
      <w:r w:rsidR="00930230">
        <w:softHyphen/>
      </w:r>
      <w:r w:rsidRPr="00E93B37">
        <w:t xml:space="preserve">vices </w:t>
      </w:r>
      <w:r>
        <w:t>at affordable prices to</w:t>
      </w:r>
      <w:r w:rsidRPr="00E93B37">
        <w:t xml:space="preserve"> meet the needs of </w:t>
      </w:r>
      <w:r>
        <w:t>all customers</w:t>
      </w:r>
      <w:r w:rsidRPr="00E93B37">
        <w:t xml:space="preserve">.       </w:t>
      </w:r>
      <w:r w:rsidRPr="00E93B37">
        <w:tab/>
      </w:r>
    </w:p>
    <w:p w:rsidR="005840C4" w:rsidRDefault="005840C4" w:rsidP="005840C4">
      <w:pPr>
        <w:pStyle w:val="Texc"/>
      </w:pPr>
      <w:r w:rsidRPr="00E93B37">
        <w:t xml:space="preserve">The FCC seeks comments on whether an </w:t>
      </w:r>
      <w:proofErr w:type="spellStart"/>
      <w:r w:rsidRPr="00E93B37">
        <w:t>ILEC</w:t>
      </w:r>
      <w:proofErr w:type="spellEnd"/>
      <w:r w:rsidRPr="00E93B37">
        <w:t xml:space="preserve"> whose current per-line sup</w:t>
      </w:r>
      <w:r w:rsidR="00930230">
        <w:softHyphen/>
      </w:r>
      <w:r w:rsidRPr="00E93B37">
        <w:t>port is above a proposed cap should be able to make a showing that additional support is in the public interest</w:t>
      </w:r>
      <w:r>
        <w:t xml:space="preserve"> and </w:t>
      </w:r>
      <w:r w:rsidRPr="00E93B37">
        <w:t xml:space="preserve">if </w:t>
      </w:r>
      <w:r>
        <w:t xml:space="preserve">such </w:t>
      </w:r>
      <w:r w:rsidRPr="00E93B37">
        <w:t>a showing is permitted</w:t>
      </w:r>
      <w:r>
        <w:t>,</w:t>
      </w:r>
      <w:r w:rsidRPr="00E93B37">
        <w:t xml:space="preserve"> should </w:t>
      </w:r>
      <w:r>
        <w:t>it</w:t>
      </w:r>
      <w:r w:rsidRPr="00E93B37">
        <w:t xml:space="preserve"> include the supporting docu</w:t>
      </w:r>
      <w:r w:rsidR="00C5554A">
        <w:softHyphen/>
      </w:r>
      <w:r w:rsidRPr="00E93B37">
        <w:t xml:space="preserve">ments and studies </w:t>
      </w:r>
      <w:r>
        <w:t xml:space="preserve">that the FCC has </w:t>
      </w:r>
      <w:r w:rsidRPr="00E93B37">
        <w:t xml:space="preserve">as is outlined in the prescriptive list of criteria </w:t>
      </w:r>
      <w:r>
        <w:t>set forth in</w:t>
      </w:r>
      <w:r w:rsidRPr="00E93B37">
        <w:t xml:space="preserve"> par</w:t>
      </w:r>
      <w:r>
        <w:t>agraph</w:t>
      </w:r>
      <w:r w:rsidRPr="00E93B37">
        <w:t xml:space="preserve"> 214</w:t>
      </w:r>
      <w:r>
        <w:t>.</w:t>
      </w:r>
      <w:r>
        <w:rPr>
          <w:rStyle w:val="FootnoteReference"/>
          <w:rFonts w:eastAsiaTheme="majorEastAsia"/>
        </w:rPr>
        <w:footnoteReference w:id="67"/>
      </w:r>
      <w:r w:rsidRPr="00E93B37">
        <w:t xml:space="preserve">  </w:t>
      </w:r>
      <w:r>
        <w:t xml:space="preserve">Rather than </w:t>
      </w:r>
      <w:r w:rsidRPr="00E93B37">
        <w:t>comment</w:t>
      </w:r>
      <w:r>
        <w:t>ing</w:t>
      </w:r>
      <w:r w:rsidRPr="00E93B37">
        <w:t xml:space="preserve"> on each </w:t>
      </w:r>
      <w:r>
        <w:t xml:space="preserve">of </w:t>
      </w:r>
      <w:r w:rsidR="003D4E42">
        <w:t>these criterions</w:t>
      </w:r>
      <w:proofErr w:type="gramStart"/>
      <w:r>
        <w:t xml:space="preserve">, </w:t>
      </w:r>
      <w:r w:rsidRPr="00E93B37">
        <w:t xml:space="preserve"> the</w:t>
      </w:r>
      <w:proofErr w:type="gramEnd"/>
      <w:r w:rsidRPr="00E93B37">
        <w:t xml:space="preserve"> Ohio Commission</w:t>
      </w:r>
      <w:r>
        <w:t>’s</w:t>
      </w:r>
      <w:r w:rsidRPr="00E93B37">
        <w:t xml:space="preserve"> comments </w:t>
      </w:r>
      <w:r>
        <w:t>speak to</w:t>
      </w:r>
      <w:r w:rsidRPr="00E93B37">
        <w:t xml:space="preserve"> the reasonableness and rational</w:t>
      </w:r>
      <w:r>
        <w:t>e</w:t>
      </w:r>
      <w:r w:rsidRPr="00E93B37">
        <w:t xml:space="preserve"> for requiring the docu</w:t>
      </w:r>
      <w:r w:rsidR="00930230">
        <w:softHyphen/>
      </w:r>
      <w:r w:rsidRPr="00E93B37">
        <w:t xml:space="preserve">mentation.  </w:t>
      </w:r>
      <w:r>
        <w:t xml:space="preserve">The Ohio Commission believes that </w:t>
      </w:r>
      <w:r w:rsidRPr="00E93B37">
        <w:t xml:space="preserve">it is good public policy to allow an </w:t>
      </w:r>
      <w:proofErr w:type="spellStart"/>
      <w:r w:rsidRPr="00E93B37">
        <w:t>ILEC</w:t>
      </w:r>
      <w:proofErr w:type="spellEnd"/>
      <w:r w:rsidRPr="00E93B37">
        <w:t xml:space="preserve"> whose per-line support </w:t>
      </w:r>
      <w:r>
        <w:t>requirements are</w:t>
      </w:r>
      <w:r w:rsidRPr="00E93B37">
        <w:t xml:space="preserve"> higher than the proposed cap to demon</w:t>
      </w:r>
      <w:r w:rsidR="00930230">
        <w:softHyphen/>
      </w:r>
      <w:r w:rsidRPr="00E93B37">
        <w:t xml:space="preserve">strate a need for </w:t>
      </w:r>
      <w:r>
        <w:t>support</w:t>
      </w:r>
      <w:r w:rsidRPr="00E93B37">
        <w:t xml:space="preserve">.  </w:t>
      </w:r>
      <w:r>
        <w:t>While a</w:t>
      </w:r>
      <w:r w:rsidRPr="00E93B37">
        <w:t>nything that the FCC can do to prevent unneeded fund</w:t>
      </w:r>
      <w:r w:rsidR="00930230">
        <w:softHyphen/>
      </w:r>
      <w:r w:rsidRPr="00E93B37">
        <w:lastRenderedPageBreak/>
        <w:t>ing is clearly going to be in the public interest</w:t>
      </w:r>
      <w:r>
        <w:t xml:space="preserve">, </w:t>
      </w:r>
      <w:r w:rsidRPr="00E93B37">
        <w:t xml:space="preserve">the FCC should use caution and weigh the necessity of requiring the </w:t>
      </w:r>
      <w:r>
        <w:t>proposed</w:t>
      </w:r>
      <w:r w:rsidRPr="00E93B37">
        <w:t xml:space="preserve"> documentation </w:t>
      </w:r>
      <w:r>
        <w:t>against</w:t>
      </w:r>
      <w:r w:rsidRPr="00E93B37">
        <w:t xml:space="preserve"> the cost </w:t>
      </w:r>
      <w:r>
        <w:t>to</w:t>
      </w:r>
      <w:r w:rsidRPr="00E93B37">
        <w:t xml:space="preserve"> </w:t>
      </w:r>
      <w:r>
        <w:t xml:space="preserve">be incurred by the </w:t>
      </w:r>
      <w:r w:rsidRPr="00E93B37">
        <w:t xml:space="preserve">small rural carriers </w:t>
      </w:r>
      <w:r>
        <w:t xml:space="preserve">to provide this documentation.  Rural ILECs will undoubtedly incur additional costs associated with documentation, studies and consulting.  As this will only add to a rural </w:t>
      </w:r>
      <w:proofErr w:type="spellStart"/>
      <w:r>
        <w:t>ILEC’s</w:t>
      </w:r>
      <w:proofErr w:type="spellEnd"/>
      <w:r>
        <w:t xml:space="preserve"> support requirement, the Ohio Commission believes that there must be a clearly demonstrated benefit before placing this additional burden on these carriers.</w:t>
      </w:r>
    </w:p>
    <w:p w:rsidR="005840C4" w:rsidRPr="00ED556C" w:rsidRDefault="00FC0358" w:rsidP="00FC0358">
      <w:pPr>
        <w:pStyle w:val="Heading3"/>
      </w:pPr>
      <w:bookmarkStart w:id="32" w:name="_Toc290279156"/>
      <w:bookmarkStart w:id="33" w:name="_Toc290892262"/>
      <w:r>
        <w:t>F.</w:t>
      </w:r>
      <w:r>
        <w:tab/>
      </w:r>
      <w:r w:rsidR="005840C4" w:rsidRPr="00ED556C">
        <w:t xml:space="preserve">Rationalizing Competitive </w:t>
      </w:r>
      <w:proofErr w:type="spellStart"/>
      <w:r w:rsidR="005840C4" w:rsidRPr="00ED556C">
        <w:t>ETC</w:t>
      </w:r>
      <w:proofErr w:type="spellEnd"/>
      <w:r w:rsidR="005840C4" w:rsidRPr="00ED556C">
        <w:t xml:space="preserve"> Support through Elimination of the Identical Support Rule.</w:t>
      </w:r>
      <w:bookmarkEnd w:id="32"/>
      <w:bookmarkEnd w:id="33"/>
    </w:p>
    <w:p w:rsidR="00177654" w:rsidRDefault="005840C4" w:rsidP="005840C4">
      <w:pPr>
        <w:pStyle w:val="Textstyle"/>
      </w:pPr>
      <w:r>
        <w:tab/>
        <w:t>T</w:t>
      </w:r>
      <w:r w:rsidRPr="00ED556C">
        <w:t xml:space="preserve">he FCC </w:t>
      </w:r>
      <w:r>
        <w:t xml:space="preserve">has </w:t>
      </w:r>
      <w:r w:rsidRPr="00ED556C">
        <w:t>propose</w:t>
      </w:r>
      <w:r>
        <w:t>d</w:t>
      </w:r>
      <w:r w:rsidRPr="00ED556C">
        <w:t xml:space="preserve"> to eliminate the identical support rule</w:t>
      </w:r>
      <w:r>
        <w:t xml:space="preserve">.  The rule requires that competitive eligible telecommunications carriers (competitive </w:t>
      </w:r>
      <w:proofErr w:type="spellStart"/>
      <w:r>
        <w:t>ETCs</w:t>
      </w:r>
      <w:proofErr w:type="spellEnd"/>
      <w:r>
        <w:t xml:space="preserve">) receive the same level of support as incumbent </w:t>
      </w:r>
      <w:proofErr w:type="spellStart"/>
      <w:r>
        <w:t>ETCs</w:t>
      </w:r>
      <w:proofErr w:type="spellEnd"/>
      <w:r w:rsidRPr="00ED556C">
        <w:t>.</w:t>
      </w:r>
      <w:r>
        <w:rPr>
          <w:rStyle w:val="FootnoteReference"/>
          <w:rFonts w:eastAsiaTheme="majorEastAsia"/>
        </w:rPr>
        <w:footnoteReference w:id="68"/>
      </w:r>
      <w:r w:rsidRPr="00ED556C">
        <w:t xml:space="preserve">  </w:t>
      </w:r>
      <w:r>
        <w:t>A</w:t>
      </w:r>
      <w:r w:rsidRPr="00ED556C">
        <w:t>ccording to the FCC</w:t>
      </w:r>
      <w:r>
        <w:t>, this rule</w:t>
      </w:r>
      <w:r w:rsidRPr="00ED556C">
        <w:t xml:space="preserve"> “no longer adequately furthers the universal service principles in sections 254(b)</w:t>
      </w:r>
      <w:r>
        <w:t>.</w:t>
      </w:r>
      <w:r w:rsidRPr="00ED556C">
        <w:t>”</w:t>
      </w:r>
      <w:r>
        <w:rPr>
          <w:rStyle w:val="FootnoteReference"/>
          <w:rFonts w:eastAsiaTheme="majorEastAsia"/>
        </w:rPr>
        <w:footnoteReference w:id="69"/>
      </w:r>
      <w:r w:rsidRPr="00ED556C">
        <w:t xml:space="preserve">  </w:t>
      </w:r>
      <w:r>
        <w:t>In past com</w:t>
      </w:r>
      <w:r w:rsidR="00930230">
        <w:softHyphen/>
      </w:r>
      <w:r w:rsidR="00177654">
        <w:t>-</w:t>
      </w:r>
      <w:r w:rsidR="00177654">
        <w:br/>
      </w:r>
      <w:r w:rsidR="00177654">
        <w:br w:type="page"/>
      </w:r>
    </w:p>
    <w:p w:rsidR="005840C4" w:rsidRPr="00ED556C" w:rsidRDefault="005840C4" w:rsidP="005840C4">
      <w:pPr>
        <w:pStyle w:val="Textstyle"/>
      </w:pPr>
      <w:proofErr w:type="spellStart"/>
      <w:proofErr w:type="gramStart"/>
      <w:r>
        <w:lastRenderedPageBreak/>
        <w:t>ments</w:t>
      </w:r>
      <w:proofErr w:type="spellEnd"/>
      <w:proofErr w:type="gramEnd"/>
      <w:r>
        <w:t>, t</w:t>
      </w:r>
      <w:r w:rsidRPr="00ED556C">
        <w:t>he Ohio Commission has</w:t>
      </w:r>
      <w:r>
        <w:t xml:space="preserve"> </w:t>
      </w:r>
      <w:r w:rsidRPr="00ED556C">
        <w:t>call</w:t>
      </w:r>
      <w:r>
        <w:t>ed</w:t>
      </w:r>
      <w:r w:rsidRPr="00ED556C">
        <w:t xml:space="preserve"> for the elimination of the rule</w:t>
      </w:r>
      <w:r>
        <w:t xml:space="preserve"> and accordingly supports the FCC’s proposal</w:t>
      </w:r>
      <w:r w:rsidRPr="00ED556C">
        <w:t>.</w:t>
      </w:r>
      <w:r>
        <w:rPr>
          <w:rStyle w:val="FootnoteReference"/>
          <w:rFonts w:eastAsiaTheme="majorEastAsia"/>
        </w:rPr>
        <w:footnoteReference w:id="70"/>
      </w:r>
    </w:p>
    <w:p w:rsidR="00177654" w:rsidRDefault="005840C4" w:rsidP="005840C4">
      <w:pPr>
        <w:pStyle w:val="Textstyle"/>
      </w:pPr>
      <w:r>
        <w:tab/>
      </w:r>
      <w:r w:rsidRPr="00ED556C">
        <w:t>In 2007</w:t>
      </w:r>
      <w:r>
        <w:t>, the Ohio Commission</w:t>
      </w:r>
      <w:r w:rsidRPr="00ED556C">
        <w:t xml:space="preserve"> reported that </w:t>
      </w:r>
      <w:r>
        <w:t>s</w:t>
      </w:r>
      <w:r w:rsidRPr="00ED556C">
        <w:t xml:space="preserve">tate </w:t>
      </w:r>
      <w:r>
        <w:t>c</w:t>
      </w:r>
      <w:r w:rsidRPr="00ED556C">
        <w:t xml:space="preserve">ommissions, incumbent </w:t>
      </w:r>
      <w:proofErr w:type="spellStart"/>
      <w:r w:rsidRPr="00ED556C">
        <w:t>wire</w:t>
      </w:r>
      <w:r w:rsidR="00930230">
        <w:softHyphen/>
      </w:r>
      <w:r w:rsidRPr="00ED556C">
        <w:t>line</w:t>
      </w:r>
      <w:proofErr w:type="spellEnd"/>
      <w:r w:rsidRPr="00ED556C">
        <w:t xml:space="preserve"> carriers, and even some wireless carriers </w:t>
      </w:r>
      <w:r>
        <w:t>support the</w:t>
      </w:r>
      <w:r w:rsidRPr="00ED556C">
        <w:t xml:space="preserve"> eliminat</w:t>
      </w:r>
      <w:r>
        <w:t xml:space="preserve">ion of </w:t>
      </w:r>
      <w:r w:rsidRPr="00ED556C">
        <w:t>the identical sup</w:t>
      </w:r>
      <w:r w:rsidR="00930230">
        <w:softHyphen/>
      </w:r>
      <w:r w:rsidRPr="00ED556C">
        <w:t>port rule</w:t>
      </w:r>
      <w:r>
        <w:t>.</w:t>
      </w:r>
      <w:r>
        <w:rPr>
          <w:rStyle w:val="FootnoteReference"/>
          <w:rFonts w:eastAsiaTheme="majorEastAsia"/>
        </w:rPr>
        <w:footnoteReference w:id="71"/>
      </w:r>
      <w:r w:rsidRPr="00ED556C">
        <w:t xml:space="preserve"> </w:t>
      </w:r>
      <w:r w:rsidRPr="00ED556C">
        <w:rPr>
          <w:i/>
        </w:rPr>
        <w:t xml:space="preserve"> </w:t>
      </w:r>
      <w:r>
        <w:t>At that time, the Ohio Commission noted</w:t>
      </w:r>
      <w:r w:rsidRPr="00ED556C">
        <w:t xml:space="preserve"> that many proponents </w:t>
      </w:r>
      <w:r>
        <w:t>of</w:t>
      </w:r>
      <w:r w:rsidRPr="00ED556C">
        <w:t xml:space="preserve"> the </w:t>
      </w:r>
      <w:r>
        <w:t>identi</w:t>
      </w:r>
      <w:r w:rsidR="00930230">
        <w:softHyphen/>
      </w:r>
      <w:r>
        <w:t xml:space="preserve">cal support </w:t>
      </w:r>
      <w:r w:rsidRPr="00ED556C">
        <w:t xml:space="preserve">rule </w:t>
      </w:r>
      <w:r>
        <w:t xml:space="preserve">were </w:t>
      </w:r>
      <w:r w:rsidRPr="00ED556C">
        <w:t xml:space="preserve">simply </w:t>
      </w:r>
      <w:r>
        <w:t xml:space="preserve">the </w:t>
      </w:r>
      <w:r w:rsidRPr="00ED556C">
        <w:t>benefi</w:t>
      </w:r>
      <w:r>
        <w:t xml:space="preserve">ciaries of a significant </w:t>
      </w:r>
      <w:r w:rsidRPr="00ED556C">
        <w:t>windfall.</w:t>
      </w:r>
      <w:r>
        <w:rPr>
          <w:rStyle w:val="FootnoteReference"/>
          <w:rFonts w:eastAsiaTheme="majorEastAsia"/>
        </w:rPr>
        <w:footnoteReference w:id="72"/>
      </w:r>
      <w:r w:rsidRPr="00ED556C">
        <w:t xml:space="preserve">  </w:t>
      </w:r>
      <w:r>
        <w:t>T</w:t>
      </w:r>
      <w:r w:rsidRPr="00ED556C">
        <w:t>he arguments for continuing the rule centered on the sensitivity of technolog</w:t>
      </w:r>
      <w:r>
        <w:t>ical and competitive neutral</w:t>
      </w:r>
      <w:r w:rsidR="00930230">
        <w:softHyphen/>
      </w:r>
      <w:r>
        <w:t xml:space="preserve">ity, contending that </w:t>
      </w:r>
      <w:r w:rsidRPr="00ED556C">
        <w:t>“all else being equal</w:t>
      </w:r>
      <w:r>
        <w:t>,</w:t>
      </w:r>
      <w:r w:rsidRPr="00ED556C">
        <w:t>” the amount of support should not differ</w:t>
      </w:r>
      <w:r>
        <w:t xml:space="preserve"> based on the</w:t>
      </w:r>
      <w:r w:rsidRPr="00ED556C">
        <w:t xml:space="preserve"> technology or </w:t>
      </w:r>
      <w:r>
        <w:t xml:space="preserve">a carrier’s status as an </w:t>
      </w:r>
      <w:proofErr w:type="spellStart"/>
      <w:r>
        <w:t>ILEC</w:t>
      </w:r>
      <w:proofErr w:type="spellEnd"/>
      <w:r>
        <w:t xml:space="preserve"> or competitive local exchange </w:t>
      </w:r>
      <w:r w:rsidR="00177654">
        <w:br/>
      </w:r>
      <w:r w:rsidR="00177654">
        <w:br w:type="page"/>
      </w:r>
    </w:p>
    <w:p w:rsidR="005840C4" w:rsidRDefault="005840C4" w:rsidP="005840C4">
      <w:pPr>
        <w:pStyle w:val="Textstyle"/>
      </w:pPr>
      <w:proofErr w:type="gramStart"/>
      <w:r>
        <w:lastRenderedPageBreak/>
        <w:t>carriers</w:t>
      </w:r>
      <w:proofErr w:type="gramEnd"/>
      <w:r>
        <w:t xml:space="preserve"> (</w:t>
      </w:r>
      <w:proofErr w:type="spellStart"/>
      <w:r w:rsidRPr="00F57E96">
        <w:t>CLEC</w:t>
      </w:r>
      <w:proofErr w:type="spellEnd"/>
      <w:r w:rsidRPr="00F57E96">
        <w:t>).</w:t>
      </w:r>
      <w:r w:rsidRPr="00F57E96">
        <w:rPr>
          <w:rStyle w:val="FootnoteReference"/>
          <w:rFonts w:eastAsiaTheme="majorEastAsia"/>
        </w:rPr>
        <w:footnoteReference w:id="73"/>
      </w:r>
      <w:r w:rsidRPr="00ED556C">
        <w:t xml:space="preserve">  </w:t>
      </w:r>
      <w:r>
        <w:t xml:space="preserve">As was pointed out then, </w:t>
      </w:r>
      <w:r w:rsidRPr="00ED556C">
        <w:t>“all else is never equal</w:t>
      </w:r>
      <w:r>
        <w:t>.</w:t>
      </w:r>
      <w:r w:rsidRPr="00ED556C">
        <w:t>”</w:t>
      </w:r>
      <w:r>
        <w:rPr>
          <w:rStyle w:val="FootnoteReference"/>
          <w:rFonts w:eastAsiaTheme="majorEastAsia"/>
        </w:rPr>
        <w:footnoteReference w:id="74"/>
      </w:r>
      <w:r w:rsidRPr="00ED556C">
        <w:t xml:space="preserve">  </w:t>
      </w:r>
      <w:r>
        <w:t>Unlike competi</w:t>
      </w:r>
      <w:r w:rsidR="00930230">
        <w:softHyphen/>
      </w:r>
      <w:r>
        <w:t>tive ETCs, incumbent ETCs, particularly</w:t>
      </w:r>
      <w:r w:rsidRPr="00ED556C">
        <w:t xml:space="preserve"> </w:t>
      </w:r>
      <w:r>
        <w:t xml:space="preserve">the </w:t>
      </w:r>
      <w:r w:rsidRPr="00ED556C">
        <w:t>rural ILEC</w:t>
      </w:r>
      <w:r>
        <w:t>s,</w:t>
      </w:r>
      <w:r w:rsidRPr="00ED556C">
        <w:t xml:space="preserve"> have various regulatory bur</w:t>
      </w:r>
      <w:r w:rsidR="00930230">
        <w:softHyphen/>
      </w:r>
      <w:r w:rsidRPr="00ED556C">
        <w:t>dens</w:t>
      </w:r>
      <w:r>
        <w:t xml:space="preserve"> including POLR and interconnection obligations.</w:t>
      </w:r>
      <w:r w:rsidRPr="00ED556C">
        <w:t xml:space="preserve">  </w:t>
      </w:r>
      <w:r>
        <w:t xml:space="preserve">Furthermore, from experience, the Ohio Commission knows the </w:t>
      </w:r>
      <w:r w:rsidRPr="00ED556C">
        <w:t>difficulties that rural ILECs have in negotiat</w:t>
      </w:r>
      <w:r>
        <w:t>ing</w:t>
      </w:r>
      <w:r w:rsidRPr="00ED556C">
        <w:t xml:space="preserve"> traffic terminat</w:t>
      </w:r>
      <w:r>
        <w:t>ion</w:t>
      </w:r>
      <w:r w:rsidRPr="00ED556C">
        <w:t xml:space="preserve"> agreements with wireless carriers and transit traffic providers</w:t>
      </w:r>
      <w:r>
        <w:t xml:space="preserve"> as well </w:t>
      </w:r>
      <w:proofErr w:type="gramStart"/>
      <w:r>
        <w:t xml:space="preserve">as </w:t>
      </w:r>
      <w:r w:rsidRPr="00ED556C">
        <w:t xml:space="preserve"> in</w:t>
      </w:r>
      <w:proofErr w:type="gramEnd"/>
      <w:r w:rsidRPr="00ED556C">
        <w:t xml:space="preserve"> collecting fees for terminated traffic.  Clearly all things are not equal.  </w:t>
      </w:r>
    </w:p>
    <w:p w:rsidR="005840C4" w:rsidRPr="00ED556C" w:rsidRDefault="005840C4" w:rsidP="005840C4">
      <w:pPr>
        <w:pStyle w:val="Textstyle"/>
      </w:pPr>
      <w:r>
        <w:tab/>
        <w:t xml:space="preserve">The Ohio Commission has further noted </w:t>
      </w:r>
      <w:r w:rsidRPr="00ED556C">
        <w:t>that at some point</w:t>
      </w:r>
      <w:r>
        <w:t>,</w:t>
      </w:r>
      <w:r w:rsidRPr="00ED556C">
        <w:t xml:space="preserve"> the vast majority of calls</w:t>
      </w:r>
      <w:r>
        <w:t xml:space="preserve">, be they </w:t>
      </w:r>
      <w:r w:rsidRPr="00ED556C">
        <w:t xml:space="preserve">wireline or wireless </w:t>
      </w:r>
      <w:r>
        <w:t xml:space="preserve">in origin, </w:t>
      </w:r>
      <w:r w:rsidRPr="00ED556C">
        <w:t xml:space="preserve">depend on </w:t>
      </w:r>
      <w:r>
        <w:t>an</w:t>
      </w:r>
      <w:r w:rsidRPr="00ED556C">
        <w:t xml:space="preserve"> ILEC</w:t>
      </w:r>
      <w:r>
        <w:t>’</w:t>
      </w:r>
      <w:r w:rsidRPr="00ED556C">
        <w:t>s network.</w:t>
      </w:r>
      <w:r>
        <w:rPr>
          <w:rStyle w:val="FootnoteReference"/>
          <w:rFonts w:eastAsiaTheme="majorEastAsia"/>
        </w:rPr>
        <w:footnoteReference w:id="75"/>
      </w:r>
      <w:r w:rsidRPr="00ED556C">
        <w:t xml:space="preserve">  </w:t>
      </w:r>
      <w:r>
        <w:t>Conse</w:t>
      </w:r>
      <w:r w:rsidR="00930230">
        <w:softHyphen/>
      </w:r>
      <w:r>
        <w:t xml:space="preserve">quently, </w:t>
      </w:r>
      <w:r w:rsidRPr="00ED556C">
        <w:t xml:space="preserve">if </w:t>
      </w:r>
      <w:r>
        <w:t>an</w:t>
      </w:r>
      <w:r w:rsidRPr="00ED556C">
        <w:t xml:space="preserve"> ILEC receiv</w:t>
      </w:r>
      <w:r>
        <w:t>es</w:t>
      </w:r>
      <w:r w:rsidRPr="00ED556C">
        <w:t xml:space="preserve"> high-cost support</w:t>
      </w:r>
      <w:r>
        <w:t>,</w:t>
      </w:r>
      <w:r w:rsidRPr="00ED556C">
        <w:t xml:space="preserve"> then part of the efficiency that </w:t>
      </w:r>
      <w:r>
        <w:t>a competi</w:t>
      </w:r>
      <w:r w:rsidR="00930230">
        <w:softHyphen/>
      </w:r>
      <w:r>
        <w:t>tive ETC</w:t>
      </w:r>
      <w:r w:rsidRPr="00ED556C">
        <w:t xml:space="preserve"> experience</w:t>
      </w:r>
      <w:r>
        <w:t>s</w:t>
      </w:r>
      <w:r w:rsidRPr="00ED556C">
        <w:t xml:space="preserve"> would be as a direct result of the high-cost support afforded to the ILEC.</w:t>
      </w:r>
      <w:r>
        <w:rPr>
          <w:rStyle w:val="FootnoteReference"/>
          <w:rFonts w:eastAsiaTheme="majorEastAsia"/>
        </w:rPr>
        <w:footnoteReference w:id="76"/>
      </w:r>
      <w:r w:rsidRPr="00ED556C">
        <w:t xml:space="preserve">  </w:t>
      </w:r>
      <w:r>
        <w:t>It makes little sense, then, to provide a competitive ETC with the same level of support that has been provided to an incumbent ETC, i.e., the ILEC, when the competi</w:t>
      </w:r>
      <w:r w:rsidR="00930230">
        <w:softHyphen/>
      </w:r>
      <w:r>
        <w:t xml:space="preserve">tive ETC has already benefitted from the support provided to the incumbent ETC.  </w:t>
      </w:r>
      <w:r w:rsidRPr="00ED556C">
        <w:t>The Ohio Commission supports and encourages the eliminati</w:t>
      </w:r>
      <w:r>
        <w:t xml:space="preserve">on </w:t>
      </w:r>
      <w:proofErr w:type="gramStart"/>
      <w:r>
        <w:t xml:space="preserve">of </w:t>
      </w:r>
      <w:r w:rsidRPr="00ED556C">
        <w:t xml:space="preserve"> the</w:t>
      </w:r>
      <w:proofErr w:type="gramEnd"/>
      <w:r w:rsidRPr="00ED556C">
        <w:t xml:space="preserve"> identical support rule.         </w:t>
      </w:r>
    </w:p>
    <w:p w:rsidR="005840C4" w:rsidRDefault="005840C4" w:rsidP="005840C4">
      <w:pPr>
        <w:pStyle w:val="Textstyle"/>
      </w:pPr>
      <w:r w:rsidRPr="00ED556C">
        <w:tab/>
        <w:t>The FCC seeks comments on two high-level approaches to rationalizing funding for competitive ETC</w:t>
      </w:r>
      <w:r>
        <w:t>s</w:t>
      </w:r>
      <w:r w:rsidRPr="00ED556C">
        <w:t>.</w:t>
      </w:r>
      <w:r>
        <w:rPr>
          <w:rStyle w:val="FootnoteReference"/>
          <w:rFonts w:eastAsiaTheme="majorEastAsia"/>
        </w:rPr>
        <w:footnoteReference w:id="77"/>
      </w:r>
      <w:r w:rsidRPr="00ED556C">
        <w:t xml:space="preserve">  </w:t>
      </w:r>
      <w:r>
        <w:t xml:space="preserve">Specifically, the FCC has proposed </w:t>
      </w:r>
      <w:r w:rsidRPr="00ED556C">
        <w:t>redirecting all available competi</w:t>
      </w:r>
      <w:r w:rsidR="00930230">
        <w:softHyphen/>
      </w:r>
      <w:r w:rsidRPr="00ED556C">
        <w:t xml:space="preserve">tive ETC funding to the CAF </w:t>
      </w:r>
      <w:r>
        <w:t xml:space="preserve">over a five-year period </w:t>
      </w:r>
      <w:r w:rsidRPr="00ED556C">
        <w:t xml:space="preserve">for redistribution through </w:t>
      </w:r>
      <w:r w:rsidRPr="00ED556C">
        <w:lastRenderedPageBreak/>
        <w:t>new market-driven funding mechanisms to provide support for mobile and fixed broad</w:t>
      </w:r>
      <w:r w:rsidR="00930230">
        <w:softHyphen/>
      </w:r>
      <w:r w:rsidRPr="00ED556C">
        <w:t>band.</w:t>
      </w:r>
      <w:r>
        <w:rPr>
          <w:rStyle w:val="FootnoteReference"/>
          <w:rFonts w:eastAsiaTheme="majorEastAsia"/>
        </w:rPr>
        <w:footnoteReference w:id="78"/>
      </w:r>
      <w:r w:rsidRPr="00ED556C">
        <w:t xml:space="preserve">  Second, </w:t>
      </w:r>
      <w:r>
        <w:t>the FCC</w:t>
      </w:r>
      <w:r w:rsidRPr="00ED556C">
        <w:t xml:space="preserve"> </w:t>
      </w:r>
      <w:r>
        <w:t>has proposed</w:t>
      </w:r>
      <w:r w:rsidRPr="00ED556C">
        <w:t xml:space="preserve"> generally redirecting available </w:t>
      </w:r>
      <w:r>
        <w:t xml:space="preserve">competitive </w:t>
      </w:r>
      <w:r w:rsidRPr="00ED556C">
        <w:t xml:space="preserve">ETC support to </w:t>
      </w:r>
      <w:r>
        <w:t xml:space="preserve">the </w:t>
      </w:r>
      <w:r w:rsidRPr="00ED556C">
        <w:t>CAF to be distributed through new mechanism</w:t>
      </w:r>
      <w:r>
        <w:t>s</w:t>
      </w:r>
      <w:r w:rsidRPr="00ED556C">
        <w:t xml:space="preserve"> over five years, but allow</w:t>
      </w:r>
      <w:r w:rsidR="00930230">
        <w:softHyphen/>
      </w:r>
      <w:r w:rsidRPr="00ED556C">
        <w:t>ing individual mobile providers to demonstrate that some level of continuing support under the current high-cost program is necessary on a transitional basis.</w:t>
      </w:r>
      <w:r>
        <w:rPr>
          <w:rStyle w:val="FootnoteReference"/>
          <w:rFonts w:eastAsiaTheme="majorEastAsia"/>
        </w:rPr>
        <w:footnoteReference w:id="79"/>
      </w:r>
      <w:r>
        <w:t xml:space="preserve">  As it has previ</w:t>
      </w:r>
      <w:r w:rsidR="00930230">
        <w:softHyphen/>
      </w:r>
      <w:r>
        <w:t>ously expressed, t</w:t>
      </w:r>
      <w:r w:rsidRPr="00ED556C">
        <w:t xml:space="preserve">he Ohio Commission </w:t>
      </w:r>
      <w:r>
        <w:t>strongly believes that</w:t>
      </w:r>
      <w:r w:rsidRPr="00ED556C">
        <w:t xml:space="preserve"> </w:t>
      </w:r>
      <w:r>
        <w:t xml:space="preserve">the identical support rule </w:t>
      </w:r>
      <w:r w:rsidRPr="00ED556C">
        <w:t>should be eliminated</w:t>
      </w:r>
      <w:r>
        <w:rPr>
          <w:rStyle w:val="FootnoteReference"/>
          <w:rFonts w:eastAsiaTheme="majorEastAsia"/>
        </w:rPr>
        <w:footnoteReference w:id="80"/>
      </w:r>
      <w:r w:rsidRPr="00ED556C">
        <w:t xml:space="preserve"> and the </w:t>
      </w:r>
      <w:r>
        <w:t xml:space="preserve">reclaimed funds </w:t>
      </w:r>
      <w:r w:rsidRPr="00ED556C">
        <w:t>repurposed for the CAF</w:t>
      </w:r>
      <w:r w:rsidR="003D4E42">
        <w:t xml:space="preserve">.  </w:t>
      </w:r>
      <w:r>
        <w:t xml:space="preserve">Additionally, the Ohio Commission recommends that there not be any </w:t>
      </w:r>
      <w:r w:rsidRPr="00ED556C">
        <w:t>transition period</w:t>
      </w:r>
      <w:r>
        <w:t xml:space="preserve"> for eliminating competitive ETC support.  If</w:t>
      </w:r>
      <w:r w:rsidRPr="00ED556C">
        <w:t>, however</w:t>
      </w:r>
      <w:r>
        <w:t xml:space="preserve">, </w:t>
      </w:r>
      <w:r w:rsidRPr="00ED556C">
        <w:t xml:space="preserve">the FCC </w:t>
      </w:r>
      <w:r>
        <w:t>elects to establish a transition period, i</w:t>
      </w:r>
      <w:r w:rsidRPr="00ED556C">
        <w:t xml:space="preserve">t should </w:t>
      </w:r>
      <w:r>
        <w:t>extend for</w:t>
      </w:r>
      <w:r w:rsidRPr="00ED556C">
        <w:t xml:space="preserve"> </w:t>
      </w:r>
      <w:r>
        <w:t xml:space="preserve">no more than </w:t>
      </w:r>
      <w:r w:rsidRPr="00ED556C">
        <w:t>three years</w:t>
      </w:r>
      <w:r>
        <w:t xml:space="preserve">, with a shorter period for those competitive </w:t>
      </w:r>
      <w:r w:rsidRPr="00ED556C">
        <w:t>ETC</w:t>
      </w:r>
      <w:r>
        <w:t xml:space="preserve">s that are </w:t>
      </w:r>
      <w:r w:rsidRPr="00ED556C">
        <w:t>unwilling or unable to meet the additional support criteria</w:t>
      </w:r>
      <w:r>
        <w:t xml:space="preserve"> that the FCC has proposed for the ILECs</w:t>
      </w:r>
      <w:r w:rsidRPr="00ED556C">
        <w:t>.</w:t>
      </w:r>
      <w:r>
        <w:rPr>
          <w:rStyle w:val="FootnoteReference"/>
          <w:rFonts w:eastAsiaTheme="majorEastAsia"/>
        </w:rPr>
        <w:footnoteReference w:id="81"/>
      </w:r>
      <w:r w:rsidRPr="00ED556C">
        <w:t xml:space="preserve">  </w:t>
      </w:r>
    </w:p>
    <w:p w:rsidR="005840C4" w:rsidRDefault="005840C4" w:rsidP="005840C4">
      <w:pPr>
        <w:pStyle w:val="Textstyle"/>
      </w:pPr>
      <w:r>
        <w:tab/>
        <w:t xml:space="preserve">The Ohio Commission questions to what extent </w:t>
      </w:r>
      <w:r w:rsidRPr="00ED556C">
        <w:t xml:space="preserve">wireless carriers actually </w:t>
      </w:r>
      <w:r>
        <w:t xml:space="preserve">require </w:t>
      </w:r>
      <w:r w:rsidRPr="00ED556C">
        <w:t xml:space="preserve">support.  </w:t>
      </w:r>
      <w:r>
        <w:t>T</w:t>
      </w:r>
      <w:r w:rsidRPr="00ED556C">
        <w:t xml:space="preserve">here are unserved areas </w:t>
      </w:r>
      <w:r>
        <w:t>with</w:t>
      </w:r>
      <w:r w:rsidRPr="00ED556C">
        <w:t>in the United States</w:t>
      </w:r>
      <w:r>
        <w:t xml:space="preserve">, </w:t>
      </w:r>
      <w:r w:rsidRPr="00ED556C">
        <w:t>and in Ohio</w:t>
      </w:r>
      <w:r>
        <w:t>,</w:t>
      </w:r>
      <w:r w:rsidRPr="00ED556C">
        <w:t xml:space="preserve"> where </w:t>
      </w:r>
      <w:r>
        <w:t>a busi</w:t>
      </w:r>
      <w:r w:rsidR="00930230">
        <w:softHyphen/>
      </w:r>
      <w:r>
        <w:t xml:space="preserve">ness case cannot be made for </w:t>
      </w:r>
      <w:r w:rsidRPr="00ED556C">
        <w:t>deploying wireless or wireline broadband network</w:t>
      </w:r>
      <w:r>
        <w:t xml:space="preserve"> is diffi</w:t>
      </w:r>
      <w:r w:rsidR="00930230">
        <w:softHyphen/>
      </w:r>
      <w:r>
        <w:t>cult to make</w:t>
      </w:r>
      <w:r w:rsidRPr="00ED556C">
        <w:t xml:space="preserve">.  </w:t>
      </w:r>
      <w:r>
        <w:t>It is questionable, though, whether this will always be the case.  Comment</w:t>
      </w:r>
      <w:r w:rsidR="00930230">
        <w:softHyphen/>
      </w:r>
      <w:r>
        <w:t>ing on the proposed AT&amp;T/T-Mobile merger, an AT&amp;T representative indicated that “</w:t>
      </w:r>
      <w:r w:rsidRPr="00ED556C">
        <w:t xml:space="preserve">as part of the deal, it would expand its next-generation wireless service, known as 4G, to </w:t>
      </w:r>
      <w:r w:rsidRPr="00ED556C">
        <w:lastRenderedPageBreak/>
        <w:t>46.5 million more customers than planned</w:t>
      </w:r>
      <w:r>
        <w:t xml:space="preserve"> – </w:t>
      </w:r>
      <w:r w:rsidRPr="00ED556C">
        <w:t>among them, T-Mobile's 34 million subscrib</w:t>
      </w:r>
      <w:r w:rsidR="00930230">
        <w:softHyphen/>
      </w:r>
      <w:r w:rsidRPr="00ED556C">
        <w:t xml:space="preserve">ers.  The service would reach </w:t>
      </w:r>
      <w:r w:rsidRPr="00ED556C">
        <w:rPr>
          <w:i/>
        </w:rPr>
        <w:t>95% of the U.S. population, including rural communi</w:t>
      </w:r>
      <w:r w:rsidR="00930230">
        <w:rPr>
          <w:i/>
        </w:rPr>
        <w:softHyphen/>
      </w:r>
      <w:r w:rsidRPr="00ED556C">
        <w:rPr>
          <w:i/>
        </w:rPr>
        <w:t>ties and small towns</w:t>
      </w:r>
      <w:r w:rsidRPr="00ED556C">
        <w:t xml:space="preserve">, thus helping achieve goals set by </w:t>
      </w:r>
      <w:r>
        <w:t xml:space="preserve">[President] </w:t>
      </w:r>
      <w:r w:rsidRPr="00ED556C">
        <w:t xml:space="preserve">Obama and Federal Communications Commission to connect </w:t>
      </w:r>
      <w:r>
        <w:t>‘</w:t>
      </w:r>
      <w:r w:rsidRPr="00ED556C">
        <w:t>every part of America to the digital age</w:t>
      </w:r>
      <w:r>
        <w:t>.’</w:t>
      </w:r>
      <w:r w:rsidRPr="00ED556C">
        <w:t>"</w:t>
      </w:r>
      <w:r>
        <w:rPr>
          <w:rStyle w:val="FootnoteReference"/>
          <w:rFonts w:eastAsiaTheme="majorEastAsia"/>
        </w:rPr>
        <w:footnoteReference w:id="82"/>
      </w:r>
      <w:r w:rsidRPr="00ED556C">
        <w:t xml:space="preserve">  </w:t>
      </w:r>
      <w:r>
        <w:t>Perhaps</w:t>
      </w:r>
      <w:r w:rsidRPr="00ED556C">
        <w:t xml:space="preserve"> the FCC </w:t>
      </w:r>
      <w:r>
        <w:t>sh</w:t>
      </w:r>
      <w:r w:rsidRPr="00ED556C">
        <w:t xml:space="preserve">ould allow the market to reduce </w:t>
      </w:r>
      <w:r>
        <w:t>the “</w:t>
      </w:r>
      <w:r w:rsidRPr="00ED556C">
        <w:t>digital divide</w:t>
      </w:r>
      <w:r>
        <w:t>”</w:t>
      </w:r>
      <w:r w:rsidRPr="00ED556C">
        <w:t xml:space="preserve"> or </w:t>
      </w:r>
      <w:r>
        <w:t>possi</w:t>
      </w:r>
      <w:r w:rsidR="00930230">
        <w:softHyphen/>
      </w:r>
      <w:r>
        <w:t>bly</w:t>
      </w:r>
      <w:r w:rsidRPr="00ED556C">
        <w:t xml:space="preserve"> </w:t>
      </w:r>
      <w:r>
        <w:t xml:space="preserve">even </w:t>
      </w:r>
      <w:r w:rsidRPr="00ED556C">
        <w:t>requir</w:t>
      </w:r>
      <w:r>
        <w:t xml:space="preserve">e the large carriers such as AT&amp;T </w:t>
      </w:r>
      <w:r w:rsidRPr="00ED556C">
        <w:t xml:space="preserve">to serve </w:t>
      </w:r>
      <w:r>
        <w:t>presently</w:t>
      </w:r>
      <w:r w:rsidRPr="00ED556C">
        <w:t xml:space="preserve"> unserved areas as a condition of </w:t>
      </w:r>
      <w:r>
        <w:t xml:space="preserve">their pending </w:t>
      </w:r>
      <w:r w:rsidRPr="00ED556C">
        <w:t xml:space="preserve">merger approvals.  </w:t>
      </w:r>
      <w:r>
        <w:t xml:space="preserve">Such an approach would allow the reclaimed competitive </w:t>
      </w:r>
      <w:r w:rsidRPr="00ED556C">
        <w:t xml:space="preserve">ETC high-cost </w:t>
      </w:r>
      <w:r>
        <w:t xml:space="preserve">support </w:t>
      </w:r>
      <w:r w:rsidRPr="00ED556C">
        <w:t>to</w:t>
      </w:r>
      <w:r>
        <w:t xml:space="preserve"> be applied toward deploying and </w:t>
      </w:r>
      <w:r w:rsidRPr="00ED556C">
        <w:t>provid</w:t>
      </w:r>
      <w:r w:rsidR="00930230">
        <w:softHyphen/>
      </w:r>
      <w:r w:rsidRPr="00ED556C">
        <w:t xml:space="preserve">ing telephone and broadband services to the </w:t>
      </w:r>
      <w:r>
        <w:t>highest</w:t>
      </w:r>
      <w:r w:rsidRPr="00ED556C">
        <w:t>-cost areas.</w:t>
      </w:r>
    </w:p>
    <w:p w:rsidR="005840C4" w:rsidRPr="00294FB2" w:rsidRDefault="00FC0358" w:rsidP="00FC0358">
      <w:pPr>
        <w:pStyle w:val="Heading3"/>
      </w:pPr>
      <w:bookmarkStart w:id="34" w:name="_Toc290279157"/>
      <w:bookmarkStart w:id="35" w:name="_Toc290892263"/>
      <w:r>
        <w:t>G.</w:t>
      </w:r>
      <w:r>
        <w:tab/>
      </w:r>
      <w:r w:rsidR="005840C4" w:rsidRPr="00294FB2">
        <w:t>CAF Phase I</w:t>
      </w:r>
      <w:bookmarkEnd w:id="34"/>
      <w:bookmarkEnd w:id="35"/>
      <w:r w:rsidR="005840C4" w:rsidRPr="00294FB2">
        <w:t xml:space="preserve"> </w:t>
      </w:r>
    </w:p>
    <w:p w:rsidR="005840C4" w:rsidRPr="00294FB2" w:rsidRDefault="00490216" w:rsidP="00490216">
      <w:pPr>
        <w:pStyle w:val="Heading4"/>
      </w:pPr>
      <w:bookmarkStart w:id="36" w:name="_Toc290279158"/>
      <w:bookmarkStart w:id="37" w:name="_Toc290892264"/>
      <w:r>
        <w:t>i.</w:t>
      </w:r>
      <w:r>
        <w:tab/>
      </w:r>
      <w:r w:rsidR="005840C4" w:rsidRPr="00294FB2">
        <w:t>Legal Authority to Establish a Competitive Process for CAF</w:t>
      </w:r>
      <w:bookmarkEnd w:id="36"/>
      <w:bookmarkEnd w:id="37"/>
    </w:p>
    <w:p w:rsidR="005840C4" w:rsidRPr="00AE4FCA" w:rsidRDefault="005840C4" w:rsidP="005840C4">
      <w:pPr>
        <w:pStyle w:val="Textstyle"/>
      </w:pPr>
      <w:r w:rsidRPr="00AE4FCA">
        <w:tab/>
        <w:t>The FCC seeks comment on its authority to establish a program under which non-recurring support would be provided, based on a competitive bidding process, to a single entity to deploy and provide broadband service.</w:t>
      </w:r>
      <w:r w:rsidRPr="00AE4FCA">
        <w:rPr>
          <w:rStyle w:val="FootnoteReference"/>
          <w:rFonts w:eastAsiaTheme="majorEastAsia"/>
        </w:rPr>
        <w:footnoteReference w:id="83"/>
      </w:r>
      <w:r w:rsidRPr="00AE4FCA">
        <w:t xml:space="preserve">  In the </w:t>
      </w:r>
      <w:r w:rsidRPr="00AE4FCA">
        <w:rPr>
          <w:i/>
        </w:rPr>
        <w:t>Universal Service First Report and Order</w:t>
      </w:r>
      <w:r w:rsidRPr="00AE4FCA">
        <w:t>, the Joint Board’s concluded “that competitive bidding is consistent with sec</w:t>
      </w:r>
      <w:r w:rsidR="00930230">
        <w:softHyphen/>
      </w:r>
      <w:r w:rsidRPr="00AE4FCA">
        <w:t>tion 254 and comports with the intent of the 1996 Act to rely on market forces to mini</w:t>
      </w:r>
      <w:r w:rsidR="00930230">
        <w:softHyphen/>
      </w:r>
      <w:r w:rsidRPr="00AE4FCA">
        <w:t>mize regulations.”</w:t>
      </w:r>
      <w:r w:rsidRPr="00AE4FCA">
        <w:rPr>
          <w:rStyle w:val="FootnoteReference"/>
          <w:rFonts w:eastAsiaTheme="majorEastAsia"/>
        </w:rPr>
        <w:footnoteReference w:id="84"/>
      </w:r>
      <w:r w:rsidRPr="00AE4FCA">
        <w:t xml:space="preserve">  The Ohio Commission agrees with the Joint Board’s conclusion.  </w:t>
      </w:r>
      <w:r w:rsidRPr="00AE4FCA">
        <w:lastRenderedPageBreak/>
        <w:t xml:space="preserve">The Ohio Commission also agrees with the FCC, that much has changed since the FCC’s initial determination </w:t>
      </w:r>
      <w:r>
        <w:t>declining</w:t>
      </w:r>
      <w:r w:rsidRPr="00AE4FCA">
        <w:t xml:space="preserve"> to adopt competitive bidding due to a lack of competition in a significant number of rural, insular, or high-cost areas.</w:t>
      </w:r>
      <w:r w:rsidRPr="00AE4FCA">
        <w:rPr>
          <w:rStyle w:val="FootnoteReference"/>
          <w:rFonts w:eastAsiaTheme="majorEastAsia"/>
        </w:rPr>
        <w:footnoteReference w:id="85"/>
      </w:r>
      <w:r w:rsidRPr="00AE4FCA">
        <w:t xml:space="preserve">  With the advent of cable and wireless internet, the Ohio Commission believe</w:t>
      </w:r>
      <w:r>
        <w:t>s</w:t>
      </w:r>
      <w:r w:rsidRPr="00AE4FCA">
        <w:t xml:space="preserve"> that using a competitive bidding pro</w:t>
      </w:r>
      <w:r w:rsidR="00930230">
        <w:softHyphen/>
      </w:r>
      <w:r w:rsidRPr="00AE4FCA">
        <w:t>cess</w:t>
      </w:r>
      <w:r>
        <w:t xml:space="preserve"> will yield best results</w:t>
      </w:r>
      <w:r w:rsidRPr="00AE4FCA">
        <w:t xml:space="preserve">.  As such the Ohio Commission believes it is appropriate at this time to use a competitive </w:t>
      </w:r>
      <w:r>
        <w:t xml:space="preserve">bidding </w:t>
      </w:r>
      <w:r w:rsidRPr="00AE4FCA">
        <w:t xml:space="preserve">process for awarding non-recurring support to a single entity to deploy and provide broadband service in this first phase of the CAF.   </w:t>
      </w:r>
    </w:p>
    <w:p w:rsidR="005840C4" w:rsidRPr="00E27D97" w:rsidRDefault="00490216" w:rsidP="00490216">
      <w:pPr>
        <w:pStyle w:val="Heading4"/>
      </w:pPr>
      <w:bookmarkStart w:id="38" w:name="_Toc290279159"/>
      <w:bookmarkStart w:id="39" w:name="_Toc290892265"/>
      <w:proofErr w:type="gramStart"/>
      <w:r>
        <w:t>ii.</w:t>
      </w:r>
      <w:r>
        <w:tab/>
      </w:r>
      <w:r w:rsidR="005840C4" w:rsidRPr="00E27D97">
        <w:t>Overall</w:t>
      </w:r>
      <w:proofErr w:type="gramEnd"/>
      <w:r w:rsidR="005840C4" w:rsidRPr="00E27D97">
        <w:t xml:space="preserve"> Design of Phase I CAF</w:t>
      </w:r>
      <w:bookmarkEnd w:id="38"/>
      <w:bookmarkEnd w:id="39"/>
    </w:p>
    <w:p w:rsidR="005840C4" w:rsidRPr="00AE4FCA" w:rsidRDefault="005840C4" w:rsidP="005840C4">
      <w:pPr>
        <w:pStyle w:val="Textstyle"/>
      </w:pPr>
      <w:r w:rsidRPr="00AE4FCA">
        <w:tab/>
        <w:t>The FCC asks whether it should limit eligibility for CAF support in this first phase to states that have engaged in access charge reform and/or prioritize support to states that have established high-cost universal or other broadband support mechanisms.</w:t>
      </w:r>
      <w:r w:rsidRPr="00AE4FCA">
        <w:rPr>
          <w:rStyle w:val="FootnoteReference"/>
          <w:rFonts w:eastAsiaTheme="majorEastAsia"/>
        </w:rPr>
        <w:footnoteReference w:id="86"/>
      </w:r>
      <w:r w:rsidRPr="00AE4FCA">
        <w:t xml:space="preserve">  In past comments the Ohio Commission supported the concept that all states would be entitled to a base funding level.</w:t>
      </w:r>
      <w:r w:rsidRPr="00AE4FCA">
        <w:rPr>
          <w:rStyle w:val="FootnoteReference"/>
          <w:rFonts w:eastAsiaTheme="majorEastAsia"/>
        </w:rPr>
        <w:footnoteReference w:id="87"/>
      </w:r>
      <w:r w:rsidRPr="00AE4FCA">
        <w:t xml:space="preserve">  Ohio has already begun its own initiative towards the goal set forth in the CAF through Connect Ohio, a public-private partnership that will expand broad</w:t>
      </w:r>
      <w:r w:rsidR="00930230">
        <w:softHyphen/>
      </w:r>
      <w:r w:rsidRPr="00AE4FCA">
        <w:t>band services across the state by working with local communities and service provid</w:t>
      </w:r>
      <w:r w:rsidR="00930230">
        <w:softHyphen/>
      </w:r>
      <w:r w:rsidRPr="00AE4FCA">
        <w:t>ers to identify and fill gaps in broadband access</w:t>
      </w:r>
      <w:r w:rsidR="003D4E42" w:rsidRPr="00AE4FCA">
        <w:t xml:space="preserve">.  </w:t>
      </w:r>
      <w:r w:rsidRPr="00AE4FCA">
        <w:t xml:space="preserve">As discussed in greater detail </w:t>
      </w:r>
      <w:r w:rsidRPr="00AE4FCA">
        <w:lastRenderedPageBreak/>
        <w:t xml:space="preserve">later in these comments, the Ohio Commission initiated intrastate access charge reform when it opened an investigation into the matter on </w:t>
      </w:r>
      <w:r>
        <w:t>November 3</w:t>
      </w:r>
      <w:r w:rsidRPr="00AE4FCA">
        <w:t>, 2010.</w:t>
      </w:r>
      <w:r w:rsidRPr="00AE4FCA">
        <w:rPr>
          <w:rStyle w:val="FootnoteReference"/>
          <w:rFonts w:eastAsiaTheme="majorEastAsia"/>
        </w:rPr>
        <w:footnoteReference w:id="88"/>
      </w:r>
      <w:r w:rsidRPr="00AE4FCA">
        <w:t xml:space="preserve"> </w:t>
      </w:r>
      <w:r w:rsidR="00010401">
        <w:t xml:space="preserve"> </w:t>
      </w:r>
      <w:r w:rsidRPr="00AE4FCA">
        <w:t>However, many states like Ohio that do not have a state universal service fund  nonetheless provide broad</w:t>
      </w:r>
      <w:r w:rsidR="00930230">
        <w:softHyphen/>
      </w:r>
      <w:r w:rsidRPr="00AE4FCA">
        <w:t>band support and should be given the opportunity to obtain funds during the first phase of the CAF implementation</w:t>
      </w:r>
      <w:r w:rsidR="003D4E42" w:rsidRPr="00AE4FCA">
        <w:t xml:space="preserve">.  </w:t>
      </w:r>
      <w:r>
        <w:t>In other words, the present availability of</w:t>
      </w:r>
      <w:r w:rsidRPr="00AE4FCA">
        <w:t xml:space="preserve"> a state-spon</w:t>
      </w:r>
      <w:r w:rsidR="00930230">
        <w:softHyphen/>
      </w:r>
      <w:r w:rsidRPr="00AE4FCA">
        <w:t xml:space="preserve">sored initiative or support fund should not be the determining factor of whether a state is eligible to receive support.  </w:t>
      </w:r>
    </w:p>
    <w:p w:rsidR="00826E9A" w:rsidRDefault="005840C4" w:rsidP="005840C4">
      <w:pPr>
        <w:pStyle w:val="Textstyle"/>
      </w:pPr>
      <w:r w:rsidRPr="00AE4FCA">
        <w:tab/>
        <w:t>In addition, the FCC seeks comment on it</w:t>
      </w:r>
      <w:r>
        <w:t>s</w:t>
      </w:r>
      <w:r w:rsidRPr="00AE4FCA">
        <w:t xml:space="preserve"> proposal to allow satellite broadband providers to partner with terrestrial broadband providers that bid for support, but not per</w:t>
      </w:r>
      <w:r w:rsidR="00930230">
        <w:softHyphen/>
      </w:r>
      <w:r w:rsidRPr="00AE4FCA">
        <w:t>mit satellite broadband providers to bid for their own support.</w:t>
      </w:r>
      <w:r w:rsidRPr="00AE4FCA">
        <w:rPr>
          <w:rStyle w:val="FootnoteReference"/>
          <w:rFonts w:eastAsiaTheme="majorEastAsia"/>
        </w:rPr>
        <w:footnoteReference w:id="89"/>
      </w:r>
      <w:r w:rsidRPr="00AE4FCA">
        <w:t xml:space="preserve">  In prior comments, the Ohio Commission agreed with the NBP’s principle that eligibility for obtaining support under the CAF should be technology neutral.</w:t>
      </w:r>
      <w:r w:rsidRPr="00AE4FCA">
        <w:rPr>
          <w:rStyle w:val="FootnoteReference"/>
          <w:rFonts w:eastAsiaTheme="majorEastAsia"/>
        </w:rPr>
        <w:footnoteReference w:id="90"/>
      </w:r>
      <w:r w:rsidRPr="00AE4FCA">
        <w:t xml:space="preserve">  As such, the Ohio Commission disag</w:t>
      </w:r>
      <w:r>
        <w:t xml:space="preserve">rees with this FCC proposal.  </w:t>
      </w:r>
      <w:r w:rsidRPr="00AE4FCA">
        <w:t>Although the Ohio Commission’s prior comments regarding technol</w:t>
      </w:r>
      <w:r w:rsidR="00930230">
        <w:softHyphen/>
      </w:r>
      <w:r w:rsidRPr="00AE4FCA">
        <w:t>ogy-neutrality pertained largely to the NBP cost model, the Ohio Commission none</w:t>
      </w:r>
      <w:r w:rsidR="00930230">
        <w:softHyphen/>
      </w:r>
      <w:r w:rsidRPr="00AE4FCA">
        <w:t xml:space="preserve">theless believes the same argument </w:t>
      </w:r>
      <w:r>
        <w:t>holds</w:t>
      </w:r>
      <w:r w:rsidRPr="00AE4FCA">
        <w:t xml:space="preserve"> for including satellite broadband providers </w:t>
      </w:r>
      <w:r w:rsidR="00826E9A">
        <w:br w:type="page"/>
      </w:r>
    </w:p>
    <w:p w:rsidR="005840C4" w:rsidRPr="00AE4FCA" w:rsidRDefault="005840C4" w:rsidP="005840C4">
      <w:pPr>
        <w:pStyle w:val="Textstyle"/>
      </w:pPr>
      <w:proofErr w:type="gramStart"/>
      <w:r>
        <w:lastRenderedPageBreak/>
        <w:t>in</w:t>
      </w:r>
      <w:proofErr w:type="gramEnd"/>
      <w:r w:rsidRPr="00AE4FCA">
        <w:t xml:space="preserve"> the bidding process </w:t>
      </w:r>
      <w:r>
        <w:t>of</w:t>
      </w:r>
      <w:r w:rsidRPr="00AE4FCA">
        <w:t xml:space="preserve"> the first phase of the CAF.</w:t>
      </w:r>
      <w:r w:rsidRPr="00AE4FCA">
        <w:rPr>
          <w:rStyle w:val="FootnoteReference"/>
          <w:rFonts w:eastAsiaTheme="majorEastAsia"/>
        </w:rPr>
        <w:footnoteReference w:id="91"/>
      </w:r>
      <w:r w:rsidRPr="00AE4FCA">
        <w:t xml:space="preserve">  The Ohio Commission maintains that categorically excluding any broadband provider from the bidding process raises ques</w:t>
      </w:r>
      <w:r w:rsidR="00930230">
        <w:softHyphen/>
      </w:r>
      <w:r w:rsidRPr="00AE4FCA">
        <w:t>tions about whether the most efficient provider will be selected to provide broadband service at the lowest cost and would contradict the NBP’s stated principle of technology-neutrality.</w:t>
      </w:r>
      <w:r w:rsidRPr="00AE4FCA">
        <w:rPr>
          <w:rStyle w:val="FootnoteReference"/>
          <w:rFonts w:eastAsiaTheme="majorEastAsia"/>
        </w:rPr>
        <w:footnoteReference w:id="92"/>
      </w:r>
      <w:r w:rsidRPr="00AE4FCA">
        <w:t xml:space="preserve">  Satellite broadband providers should be </w:t>
      </w:r>
      <w:r>
        <w:t>permitted</w:t>
      </w:r>
      <w:r w:rsidRPr="00AE4FCA">
        <w:t xml:space="preserve"> to bid on their own as well as in partnership with a terrestrial broadband provider.</w:t>
      </w:r>
    </w:p>
    <w:p w:rsidR="005840C4" w:rsidRPr="00E27D97" w:rsidRDefault="00490216" w:rsidP="00490216">
      <w:pPr>
        <w:pStyle w:val="Heading4"/>
      </w:pPr>
      <w:bookmarkStart w:id="40" w:name="_Toc290279160"/>
      <w:bookmarkStart w:id="41" w:name="_Toc290892266"/>
      <w:r>
        <w:t>iii.</w:t>
      </w:r>
      <w:r>
        <w:tab/>
      </w:r>
      <w:r w:rsidR="005840C4" w:rsidRPr="00E27D97">
        <w:t>One CAF Provider per Unserved Area</w:t>
      </w:r>
      <w:bookmarkEnd w:id="40"/>
      <w:bookmarkEnd w:id="41"/>
    </w:p>
    <w:p w:rsidR="005840C4" w:rsidRPr="00AE4FCA" w:rsidRDefault="005840C4" w:rsidP="005840C4">
      <w:pPr>
        <w:pStyle w:val="Textstyle"/>
      </w:pPr>
      <w:r>
        <w:tab/>
      </w:r>
      <w:r w:rsidRPr="00AE4FCA">
        <w:t xml:space="preserve">The FCC has proposed permitting only one service provider per supported area to receive CAF support during the initial phase of the CAF, but to </w:t>
      </w:r>
      <w:r w:rsidR="00010401">
        <w:t xml:space="preserve">also </w:t>
      </w:r>
      <w:r w:rsidRPr="00AE4FCA">
        <w:t>allow the subsidized pro</w:t>
      </w:r>
      <w:r w:rsidR="00930230">
        <w:softHyphen/>
      </w:r>
      <w:r w:rsidRPr="00AE4FCA">
        <w:t>vider to partner with others to satisfy the public interest obligations associated with the CAF.</w:t>
      </w:r>
      <w:r w:rsidRPr="00AE4FCA">
        <w:rPr>
          <w:rStyle w:val="FootnoteReference"/>
          <w:rFonts w:eastAsiaTheme="majorEastAsia"/>
        </w:rPr>
        <w:footnoteReference w:id="93"/>
      </w:r>
      <w:r w:rsidRPr="00AE4FCA">
        <w:t xml:space="preserve">  The Ohio Commission agrees that only one provider in </w:t>
      </w:r>
      <w:proofErr w:type="gramStart"/>
      <w:r w:rsidRPr="00AE4FCA">
        <w:t>any  supported</w:t>
      </w:r>
      <w:proofErr w:type="gramEnd"/>
      <w:r w:rsidRPr="00AE4FCA">
        <w:t xml:space="preserve"> area should receive support during the first phase of the CAF.  As expressed in past com</w:t>
      </w:r>
      <w:r w:rsidR="00930230">
        <w:softHyphen/>
      </w:r>
      <w:r w:rsidRPr="00AE4FCA">
        <w:t>ments, the Ohio</w:t>
      </w:r>
      <w:r>
        <w:t xml:space="preserve"> Commission</w:t>
      </w:r>
      <w:r w:rsidRPr="00AE4FCA">
        <w:t xml:space="preserve"> has long held that it makes little business sense to provide multiple high-cost subsidies in those areas in which a business case cannot </w:t>
      </w:r>
      <w:r>
        <w:t xml:space="preserve">even </w:t>
      </w:r>
      <w:r w:rsidRPr="00AE4FCA">
        <w:t>be made for offering service without a single subsidy.</w:t>
      </w:r>
      <w:r w:rsidRPr="00AE4FCA">
        <w:rPr>
          <w:rStyle w:val="FootnoteReference"/>
          <w:rFonts w:eastAsiaTheme="majorEastAsia"/>
        </w:rPr>
        <w:footnoteReference w:id="94"/>
      </w:r>
      <w:r w:rsidRPr="00AE4FCA">
        <w:t xml:space="preserve">  As stated by former Chairman Martin, it </w:t>
      </w:r>
      <w:r w:rsidRPr="00AE4FCA">
        <w:lastRenderedPageBreak/>
        <w:t>makes little sense to provide support for multiple suppliers of a service in markets that are “prohibitively expensive for even one carrier.”</w:t>
      </w:r>
      <w:r w:rsidRPr="00AE4FCA">
        <w:rPr>
          <w:rStyle w:val="FootnoteReference"/>
          <w:rFonts w:eastAsiaTheme="majorEastAsia"/>
        </w:rPr>
        <w:footnoteReference w:id="95"/>
      </w:r>
      <w:r w:rsidRPr="00AE4FCA">
        <w:t xml:space="preserve">  </w:t>
      </w:r>
    </w:p>
    <w:p w:rsidR="005840C4" w:rsidRDefault="00490216" w:rsidP="00490216">
      <w:pPr>
        <w:pStyle w:val="Heading4"/>
      </w:pPr>
      <w:bookmarkStart w:id="42" w:name="_Toc290279161"/>
      <w:bookmarkStart w:id="43" w:name="_Toc290892267"/>
      <w:r>
        <w:t>iv.</w:t>
      </w:r>
      <w:r>
        <w:tab/>
      </w:r>
      <w:r w:rsidR="005840C4" w:rsidRPr="00E27D97">
        <w:t>Identifying Unserved Areas Eligible for Support – Offering Support by Census Block</w:t>
      </w:r>
      <w:bookmarkEnd w:id="42"/>
      <w:bookmarkEnd w:id="43"/>
    </w:p>
    <w:p w:rsidR="005840C4" w:rsidRPr="00AE4FCA" w:rsidRDefault="005840C4" w:rsidP="005840C4">
      <w:pPr>
        <w:pStyle w:val="Textstyle"/>
      </w:pPr>
      <w:r w:rsidRPr="00AE4FCA">
        <w:tab/>
        <w:t>The FCC seeks comment on its proposal that geographic areas for a competitive bidding process should be based on census blocks, which bidders could aggregate together as part of a package bid to cover larger areas.</w:t>
      </w:r>
      <w:r w:rsidRPr="00AE4FCA">
        <w:rPr>
          <w:rStyle w:val="FootnoteReference"/>
          <w:rFonts w:eastAsiaTheme="majorEastAsia"/>
        </w:rPr>
        <w:footnoteReference w:id="96"/>
      </w:r>
      <w:r w:rsidRPr="00AE4FCA">
        <w:t xml:space="preserve">  In prior comments regarding reverse auctions, the Ohio Commission generally agreed with the FCC’s tentative conclu</w:t>
      </w:r>
      <w:r w:rsidR="00930230">
        <w:softHyphen/>
      </w:r>
      <w:r w:rsidRPr="00AE4FCA">
        <w:t>sion that the wireline ILEC’s study area was the appropriate area on which to base reverse auctions.</w:t>
      </w:r>
      <w:r w:rsidRPr="00AE4FCA">
        <w:rPr>
          <w:rStyle w:val="FootnoteReference"/>
          <w:rFonts w:eastAsiaTheme="majorEastAsia"/>
        </w:rPr>
        <w:footnoteReference w:id="97"/>
      </w:r>
      <w:r w:rsidRPr="00AE4FCA">
        <w:t xml:space="preserve">  As stated in those comments, the Ohio Commission believes that disaggre</w:t>
      </w:r>
      <w:r w:rsidR="00930230">
        <w:softHyphen/>
      </w:r>
      <w:r w:rsidRPr="00AE4FCA">
        <w:t>gation into smaller areas, such as census blocks, in many instances, will only add cost and delays and increase the opportunity for bidders to engage in “cream skimming” or structure their bid so as to maximize their opportunity for a windfall.</w:t>
      </w:r>
      <w:r w:rsidRPr="00AE4FCA">
        <w:rPr>
          <w:rStyle w:val="FootnoteReference"/>
          <w:rFonts w:eastAsiaTheme="majorEastAsia"/>
        </w:rPr>
        <w:footnoteReference w:id="98"/>
      </w:r>
      <w:r w:rsidRPr="00AE4FCA">
        <w:t xml:space="preserve">  However, the Ohio Commission indicated its belief that there is a benefit in identifying subsets of a </w:t>
      </w:r>
      <w:r w:rsidRPr="00AE4FCA">
        <w:lastRenderedPageBreak/>
        <w:t>larger ILEC’s service territory.</w:t>
      </w:r>
      <w:r w:rsidRPr="00AE4FCA">
        <w:rPr>
          <w:rStyle w:val="FootnoteReference"/>
          <w:rFonts w:eastAsiaTheme="majorEastAsia"/>
        </w:rPr>
        <w:footnoteReference w:id="99"/>
      </w:r>
      <w:r w:rsidRPr="00AE4FCA">
        <w:t xml:space="preserve">  In Ohio, a</w:t>
      </w:r>
      <w:r>
        <w:t xml:space="preserve"> large</w:t>
      </w:r>
      <w:r w:rsidRPr="00AE4FCA">
        <w:t xml:space="preserve"> ILEC serve</w:t>
      </w:r>
      <w:r>
        <w:t>s</w:t>
      </w:r>
      <w:r w:rsidRPr="00AE4FCA">
        <w:t xml:space="preserve"> both large urban and rural areas.  In such diverse areas, it may be exceedingly difficult to develop a comprehensive bid that does not eliminate some smaller, but highly efficient providers from the bidding process.</w:t>
      </w:r>
      <w:r w:rsidRPr="00AE4FCA">
        <w:rPr>
          <w:rStyle w:val="FootnoteReference"/>
          <w:rFonts w:eastAsiaTheme="majorEastAsia"/>
        </w:rPr>
        <w:footnoteReference w:id="100"/>
      </w:r>
      <w:r w:rsidRPr="00AE4FCA">
        <w:t xml:space="preserve">  For such instances, the Ohio Commission encourages the FCC to permit the states to make reasonable subdivisions as necessary.      </w:t>
      </w:r>
    </w:p>
    <w:p w:rsidR="005840C4" w:rsidRPr="00E27D97" w:rsidRDefault="00490216" w:rsidP="00490216">
      <w:pPr>
        <w:pStyle w:val="Heading4"/>
      </w:pPr>
      <w:bookmarkStart w:id="44" w:name="_Toc290279162"/>
      <w:bookmarkStart w:id="45" w:name="_Toc290892268"/>
      <w:proofErr w:type="gramStart"/>
      <w:r>
        <w:t>v</w:t>
      </w:r>
      <w:proofErr w:type="gramEnd"/>
      <w:r>
        <w:t>.</w:t>
      </w:r>
      <w:r>
        <w:tab/>
      </w:r>
      <w:r w:rsidR="005840C4" w:rsidRPr="00E27D97">
        <w:t>Public Interest Obligations for Phase I CAF</w:t>
      </w:r>
      <w:bookmarkEnd w:id="44"/>
      <w:bookmarkEnd w:id="45"/>
    </w:p>
    <w:p w:rsidR="005840C4" w:rsidRPr="00AE4FCA" w:rsidRDefault="005840C4" w:rsidP="005840C4">
      <w:pPr>
        <w:pStyle w:val="Textstyle"/>
      </w:pPr>
      <w:r w:rsidRPr="00AE4FCA">
        <w:tab/>
        <w:t>The FCC has proposed employing an FCC-established coverage requirement.</w:t>
      </w:r>
      <w:r w:rsidRPr="00AE4FCA">
        <w:rPr>
          <w:rStyle w:val="FootnoteReference"/>
          <w:rFonts w:eastAsiaTheme="majorEastAsia"/>
        </w:rPr>
        <w:footnoteReference w:id="101"/>
      </w:r>
      <w:r w:rsidRPr="00AE4FCA">
        <w:t xml:space="preserve">  Alternatively, it has proposed allowing bidder-established coverage requirements.</w:t>
      </w:r>
      <w:r w:rsidRPr="00AE4FCA">
        <w:rPr>
          <w:rStyle w:val="FootnoteReference"/>
          <w:rFonts w:eastAsiaTheme="majorEastAsia"/>
        </w:rPr>
        <w:footnoteReference w:id="102"/>
      </w:r>
      <w:r w:rsidRPr="00AE4FCA">
        <w:t xml:space="preserve">  The Ohio Commission does not support either of the FCC’s proposals.  The Ohio Commis</w:t>
      </w:r>
      <w:r w:rsidR="00930230">
        <w:softHyphen/>
      </w:r>
      <w:r w:rsidRPr="00AE4FCA">
        <w:t>sion believes that any ETC receiving CAF support should be required to provide service to all customers with in the supported area.  Regardless of the service area, the Ohio Commis</w:t>
      </w:r>
      <w:r w:rsidR="00930230">
        <w:softHyphen/>
      </w:r>
      <w:r w:rsidRPr="00AE4FCA">
        <w:t>sion believes when submitting a bid, the bidder should be required to commit to providing service throughout that area under the same rates, terms, and conditions.</w:t>
      </w:r>
      <w:r w:rsidRPr="00AE4FCA">
        <w:rPr>
          <w:rStyle w:val="FootnoteReference"/>
          <w:rFonts w:eastAsiaTheme="majorEastAsia"/>
        </w:rPr>
        <w:footnoteReference w:id="103"/>
      </w:r>
      <w:r w:rsidRPr="00AE4FCA">
        <w:t xml:space="preserve">  </w:t>
      </w:r>
    </w:p>
    <w:p w:rsidR="005840C4" w:rsidRPr="00AE4FCA" w:rsidRDefault="005840C4" w:rsidP="005840C4">
      <w:pPr>
        <w:pStyle w:val="Textstyle"/>
      </w:pPr>
      <w:r w:rsidRPr="00AE4FCA">
        <w:tab/>
        <w:t xml:space="preserve">The FCC has proposed that </w:t>
      </w:r>
      <w:r>
        <w:t xml:space="preserve">support </w:t>
      </w:r>
      <w:r w:rsidRPr="00AE4FCA">
        <w:t xml:space="preserve">recipients be required to deploy broadband networks with speeds of at least 4Mbps (actual) downstream and 1 Mbps (actual) upstream during the first phase of the CAF, with the possibility of requiring  alternative </w:t>
      </w:r>
      <w:r w:rsidRPr="00AE4FCA">
        <w:lastRenderedPageBreak/>
        <w:t>speeds, such as 3 Mbps (actual) downstream and 768 kbps (actual) upstream.</w:t>
      </w:r>
      <w:r w:rsidRPr="00AE4FCA">
        <w:rPr>
          <w:rStyle w:val="FootnoteReference"/>
          <w:rFonts w:eastAsiaTheme="majorEastAsia"/>
        </w:rPr>
        <w:footnoteReference w:id="104"/>
      </w:r>
      <w:r w:rsidRPr="00AE4FCA">
        <w:t xml:space="preserve">  As the Ohio Commission pointed out in </w:t>
      </w:r>
      <w:r>
        <w:t xml:space="preserve">its July 2010 </w:t>
      </w:r>
      <w:r w:rsidRPr="00AE4FCA">
        <w:t>comments, many Ohio broadband provid</w:t>
      </w:r>
      <w:r w:rsidR="00930230">
        <w:softHyphen/>
      </w:r>
      <w:r w:rsidRPr="00AE4FCA">
        <w:t xml:space="preserve">ers would not meet these </w:t>
      </w:r>
      <w:r>
        <w:t xml:space="preserve">higher </w:t>
      </w:r>
      <w:r w:rsidRPr="00AE4FCA">
        <w:t>minimum speed thresholds.</w:t>
      </w:r>
      <w:r w:rsidRPr="00AE4FCA">
        <w:rPr>
          <w:rStyle w:val="FootnoteReference"/>
          <w:rFonts w:eastAsiaTheme="majorEastAsia"/>
        </w:rPr>
        <w:footnoteReference w:id="105"/>
      </w:r>
      <w:r w:rsidRPr="00AE4FCA">
        <w:t xml:space="preserve">  For many Ohioans access to terrestrial fixed broadband is only available through DSL service, which is likely to provide </w:t>
      </w:r>
      <w:r>
        <w:t xml:space="preserve">basic service with </w:t>
      </w:r>
      <w:r w:rsidRPr="00AE4FCA">
        <w:t>slower download and upload speeds.</w:t>
      </w:r>
      <w:r w:rsidRPr="00AE4FCA">
        <w:rPr>
          <w:rStyle w:val="FootnoteReference"/>
          <w:rFonts w:eastAsiaTheme="majorEastAsia"/>
        </w:rPr>
        <w:footnoteReference w:id="106"/>
      </w:r>
      <w:r w:rsidRPr="00AE4FCA">
        <w:t xml:space="preserve"> </w:t>
      </w:r>
      <w:r w:rsidR="00010401">
        <w:t xml:space="preserve"> </w:t>
      </w:r>
      <w:r>
        <w:t>While the Ohio Commis</w:t>
      </w:r>
      <w:r w:rsidR="00930230">
        <w:softHyphen/>
      </w:r>
      <w:r>
        <w:t>sion does not believe that it is in the position to propose any one speed over another, it nonetheless recognizes that advocating for the higher speed would classify more of Ohio as unserved and make Ohio eligible for more first phase CAF support.  How</w:t>
      </w:r>
      <w:r w:rsidR="00930230">
        <w:softHyphen/>
      </w:r>
      <w:r>
        <w:t>ever, the Ohio Commission is mindful of the FCC’s goal to control the size of the CAF</w:t>
      </w:r>
      <w:r w:rsidR="003D4E42">
        <w:t xml:space="preserve">.  </w:t>
      </w:r>
      <w:r w:rsidR="001D739B">
        <w:t>However</w:t>
      </w:r>
      <w:r>
        <w:t xml:space="preserve">, the Ohio Commission </w:t>
      </w:r>
      <w:r w:rsidR="001D739B">
        <w:t>remains</w:t>
      </w:r>
      <w:r>
        <w:t xml:space="preserve"> concerned </w:t>
      </w:r>
      <w:r w:rsidR="001D739B">
        <w:t xml:space="preserve">that </w:t>
      </w:r>
      <w:r>
        <w:t>Ohio carriers that have used existing legacy high-cost support to deploy broadband net</w:t>
      </w:r>
      <w:r w:rsidR="00930230">
        <w:softHyphen/>
      </w:r>
      <w:r>
        <w:t>works</w:t>
      </w:r>
      <w:r w:rsidR="001D739B">
        <w:t xml:space="preserve">, which </w:t>
      </w:r>
      <w:r>
        <w:t>meet the pro</w:t>
      </w:r>
      <w:r w:rsidR="00C5554A">
        <w:softHyphen/>
      </w:r>
      <w:r>
        <w:t>posed speed of 4 mbps downstream and 1 mbps upstream at a 100% availability rate in their service areas</w:t>
      </w:r>
      <w:r w:rsidR="001D739B">
        <w:t>,</w:t>
      </w:r>
      <w:r>
        <w:t xml:space="preserve"> continu</w:t>
      </w:r>
      <w:r w:rsidR="001D739B">
        <w:t>e</w:t>
      </w:r>
      <w:r>
        <w:t xml:space="preserve"> to receive support to maintain these networks.</w:t>
      </w:r>
      <w:r>
        <w:rPr>
          <w:rStyle w:val="FootnoteReference"/>
          <w:rFonts w:eastAsiaTheme="majorEastAsia"/>
        </w:rPr>
        <w:footnoteReference w:id="107"/>
      </w:r>
      <w:r>
        <w:t xml:space="preserve">  As sup</w:t>
      </w:r>
      <w:r w:rsidR="00C5554A">
        <w:softHyphen/>
      </w:r>
      <w:r>
        <w:t>port is diverted away from existing high-cost programs to the CAF, it is essential that these carriers maintain support for their networks.</w:t>
      </w:r>
    </w:p>
    <w:p w:rsidR="005840C4" w:rsidRPr="00E27D97" w:rsidRDefault="00490216" w:rsidP="00490216">
      <w:pPr>
        <w:pStyle w:val="Heading4"/>
      </w:pPr>
      <w:bookmarkStart w:id="46" w:name="_Toc290279163"/>
      <w:bookmarkStart w:id="47" w:name="_Toc290892269"/>
      <w:r>
        <w:lastRenderedPageBreak/>
        <w:t>vi.</w:t>
      </w:r>
      <w:r>
        <w:tab/>
      </w:r>
      <w:r w:rsidR="005840C4" w:rsidRPr="00E27D97">
        <w:t>Support Eligibility Requirements – ETC Designa</w:t>
      </w:r>
      <w:r w:rsidR="00930230">
        <w:softHyphen/>
      </w:r>
      <w:r w:rsidR="005840C4" w:rsidRPr="00E27D97">
        <w:t>tion and Service Area</w:t>
      </w:r>
      <w:bookmarkEnd w:id="46"/>
      <w:bookmarkEnd w:id="47"/>
    </w:p>
    <w:p w:rsidR="005840C4" w:rsidRPr="00AE4FCA" w:rsidRDefault="005840C4" w:rsidP="005840C4">
      <w:pPr>
        <w:pStyle w:val="Textstyle"/>
      </w:pPr>
      <w:r w:rsidRPr="00AE4FCA">
        <w:tab/>
        <w:t>The FCC asks whether service providers that have applied for designation as ETCs in the relevant area should be permitted to participate in a reverse auction prior to receiv</w:t>
      </w:r>
      <w:r w:rsidR="00930230">
        <w:softHyphen/>
      </w:r>
      <w:r w:rsidRPr="00AE4FCA">
        <w:t xml:space="preserve">ing ETC designation or alternatively, </w:t>
      </w:r>
      <w:r w:rsidR="0012655B">
        <w:t>whether they should be permitted to</w:t>
      </w:r>
      <w:r w:rsidRPr="00AE4FCA">
        <w:t xml:space="preserve"> apply for ETC status on a contingency basis.</w:t>
      </w:r>
      <w:r w:rsidRPr="00AE4FCA">
        <w:rPr>
          <w:rStyle w:val="FootnoteReference"/>
          <w:rFonts w:eastAsiaTheme="majorEastAsia"/>
        </w:rPr>
        <w:footnoteReference w:id="108"/>
      </w:r>
      <w:r w:rsidRPr="00AE4FCA">
        <w:t xml:space="preserve">  With regard to its alternative proposal, the FCC states that applicants could identify areas for which they will seek designation only if they win support for those areas.</w:t>
      </w:r>
      <w:r w:rsidRPr="00AE4FCA">
        <w:rPr>
          <w:rStyle w:val="FootnoteReference"/>
          <w:rFonts w:eastAsiaTheme="majorEastAsia"/>
        </w:rPr>
        <w:footnoteReference w:id="109"/>
      </w:r>
      <w:r w:rsidRPr="00AE4FCA">
        <w:t xml:space="preserve">  In support for this proposal, the FCC indicated that applicants filing a conditional application would be protected from finding themselves designated as an ETC in areas where they do not win support.</w:t>
      </w:r>
      <w:r w:rsidRPr="00AE4FCA">
        <w:rPr>
          <w:rStyle w:val="FootnoteReference"/>
          <w:rFonts w:eastAsiaTheme="majorEastAsia"/>
        </w:rPr>
        <w:footnoteReference w:id="110"/>
      </w:r>
      <w:proofErr w:type="gramStart"/>
      <w:r w:rsidRPr="00AE4FCA">
        <w:t xml:space="preserve">    </w:t>
      </w:r>
      <w:proofErr w:type="gramEnd"/>
      <w:r w:rsidRPr="00AE4FCA">
        <w:t>The Ohio Commission supports the alternative proposal and agrees with the FCC’s underlying reasoning for it.  As the FCC is undoubtedly aware, the Ohio Commission had elected, for public interest and other rea</w:t>
      </w:r>
      <w:r w:rsidR="00930230">
        <w:softHyphen/>
      </w:r>
      <w:r w:rsidRPr="00AE4FCA">
        <w:t>sons, not to designate competitive carriers and service providers as ETC for the pur</w:t>
      </w:r>
      <w:r w:rsidR="00930230">
        <w:softHyphen/>
      </w:r>
      <w:r w:rsidRPr="00AE4FCA">
        <w:t>pose of receiving high-cost support.</w:t>
      </w:r>
      <w:r w:rsidRPr="00AE4FCA">
        <w:rPr>
          <w:rStyle w:val="FootnoteReference"/>
          <w:rFonts w:eastAsiaTheme="majorEastAsia"/>
        </w:rPr>
        <w:footnoteReference w:id="111"/>
      </w:r>
      <w:r w:rsidRPr="00AE4FCA">
        <w:t xml:space="preserve">  Since there must be multiple bidders to conduct an auction, states like Ohio that </w:t>
      </w:r>
      <w:proofErr w:type="gramStart"/>
      <w:r w:rsidRPr="00AE4FCA">
        <w:t>have</w:t>
      </w:r>
      <w:proofErr w:type="gramEnd"/>
      <w:r w:rsidRPr="00AE4FCA">
        <w:t xml:space="preserve"> not designated multiple high-cost ETCs in a high-cost area may not be able to adequately conduct reverse auctions during the first phase of the CAF.  By requiring ETC designation before a service provider may bid in a reverse auction, the FCC effectively </w:t>
      </w:r>
      <w:r>
        <w:t>limits</w:t>
      </w:r>
      <w:r w:rsidRPr="00AE4FCA">
        <w:t xml:space="preserve"> the number of potential bidders to one for states like </w:t>
      </w:r>
      <w:r w:rsidRPr="00AE4FCA">
        <w:lastRenderedPageBreak/>
        <w:t xml:space="preserve">Ohio and thereby, </w:t>
      </w:r>
      <w:r>
        <w:t>renders</w:t>
      </w:r>
      <w:r w:rsidRPr="00AE4FCA">
        <w:t xml:space="preserve"> reverse auctions ineffective.</w:t>
      </w:r>
      <w:r w:rsidRPr="00AE4FCA">
        <w:rPr>
          <w:rStyle w:val="FootnoteReference"/>
          <w:rFonts w:eastAsiaTheme="majorEastAsia"/>
        </w:rPr>
        <w:footnoteReference w:id="112"/>
      </w:r>
      <w:r w:rsidRPr="00AE4FCA">
        <w:t xml:space="preserve">  As such, the Ohio Commission encourages the FCC adopt its alternative proposal to require ETC designation only after the service provider has won the reverse auction.        </w:t>
      </w:r>
    </w:p>
    <w:p w:rsidR="005840C4" w:rsidRPr="00B21DB8" w:rsidRDefault="00474422" w:rsidP="00FC0358">
      <w:pPr>
        <w:pStyle w:val="Heading3"/>
        <w:rPr>
          <w:szCs w:val="26"/>
        </w:rPr>
      </w:pPr>
      <w:bookmarkStart w:id="48" w:name="_Toc290279164"/>
      <w:bookmarkStart w:id="49" w:name="_Toc290892270"/>
      <w:r>
        <w:t>H.</w:t>
      </w:r>
      <w:r>
        <w:tab/>
      </w:r>
      <w:r w:rsidR="005840C4" w:rsidRPr="00B21DB8">
        <w:t>Competitive Award Process</w:t>
      </w:r>
      <w:bookmarkEnd w:id="48"/>
      <w:bookmarkEnd w:id="49"/>
    </w:p>
    <w:p w:rsidR="005840C4" w:rsidRPr="009974C8" w:rsidRDefault="00490216" w:rsidP="00490216">
      <w:pPr>
        <w:pStyle w:val="Heading4"/>
        <w:rPr>
          <w:szCs w:val="26"/>
        </w:rPr>
      </w:pPr>
      <w:bookmarkStart w:id="50" w:name="_Toc290892271"/>
      <w:r>
        <w:t>i.</w:t>
      </w:r>
      <w:r>
        <w:tab/>
      </w:r>
      <w:r w:rsidR="005840C4">
        <w:t xml:space="preserve"> </w:t>
      </w:r>
      <w:bookmarkStart w:id="51" w:name="_Toc290279165"/>
      <w:r w:rsidR="005840C4">
        <w:t>Auction Process</w:t>
      </w:r>
      <w:bookmarkEnd w:id="51"/>
      <w:bookmarkEnd w:id="50"/>
      <w:r w:rsidR="005840C4">
        <w:tab/>
      </w:r>
    </w:p>
    <w:p w:rsidR="005840C4" w:rsidRPr="0042098A" w:rsidRDefault="005840C4" w:rsidP="005840C4">
      <w:pPr>
        <w:pStyle w:val="Textstyle"/>
      </w:pPr>
      <w:r>
        <w:tab/>
      </w:r>
      <w:r w:rsidRPr="00C64966">
        <w:t xml:space="preserve">In Section </w:t>
      </w:r>
      <w:r>
        <w:t>VI</w:t>
      </w:r>
      <w:r w:rsidRPr="00C64966">
        <w:t xml:space="preserve"> of the NPRM, the FCC</w:t>
      </w:r>
      <w:r>
        <w:t xml:space="preserve"> proposes rules for and seeks comment regard</w:t>
      </w:r>
      <w:r w:rsidR="00930230">
        <w:softHyphen/>
      </w:r>
      <w:r>
        <w:t>ing a competitive award process, including the application and bidding processes</w:t>
      </w:r>
      <w:r w:rsidRPr="00C64966">
        <w:t>.</w:t>
      </w:r>
      <w:r w:rsidRPr="00C64966">
        <w:rPr>
          <w:b/>
        </w:rPr>
        <w:t xml:space="preserve">  </w:t>
      </w:r>
      <w:r>
        <w:t>The</w:t>
      </w:r>
      <w:r w:rsidRPr="0042098A">
        <w:t xml:space="preserve"> FCC proposes rules that establish a basic framework for conducting </w:t>
      </w:r>
      <w:r>
        <w:t>an auction; how</w:t>
      </w:r>
      <w:r w:rsidR="00930230">
        <w:softHyphen/>
      </w:r>
      <w:r>
        <w:t>ever, the FCC notes that the rules, by themselves, do not necessarily establish the specific procedures that will govern any auction process.</w:t>
      </w:r>
      <w:r>
        <w:rPr>
          <w:rStyle w:val="FootnoteReference"/>
          <w:rFonts w:eastAsiaTheme="majorEastAsia"/>
          <w:szCs w:val="24"/>
        </w:rPr>
        <w:footnoteReference w:id="113"/>
      </w:r>
      <w:r>
        <w:t xml:space="preserve">  </w:t>
      </w:r>
      <w:r w:rsidRPr="0042098A">
        <w:t xml:space="preserve">Instead, the </w:t>
      </w:r>
      <w:r>
        <w:t>FCC</w:t>
      </w:r>
      <w:r w:rsidRPr="0042098A">
        <w:t xml:space="preserve"> envisions that after establishing the proposed program and auction rules, </w:t>
      </w:r>
      <w:r>
        <w:t>it</w:t>
      </w:r>
      <w:r w:rsidRPr="0042098A">
        <w:t xml:space="preserve"> will release a Public Notice announc</w:t>
      </w:r>
      <w:r w:rsidR="00930230">
        <w:softHyphen/>
      </w:r>
      <w:r w:rsidRPr="0042098A">
        <w:t>ing an auction date, identify areas that are eligible for support, and seek</w:t>
      </w:r>
      <w:r>
        <w:t>ing</w:t>
      </w:r>
      <w:r w:rsidRPr="0042098A">
        <w:t xml:space="preserve"> com</w:t>
      </w:r>
      <w:r w:rsidR="00930230">
        <w:softHyphen/>
      </w:r>
      <w:r w:rsidRPr="0042098A">
        <w:t xml:space="preserve">ment on </w:t>
      </w:r>
      <w:r>
        <w:t xml:space="preserve">the </w:t>
      </w:r>
      <w:r w:rsidRPr="0042098A">
        <w:t>specific auction procedures to be used</w:t>
      </w:r>
      <w:r>
        <w:t>.</w:t>
      </w:r>
      <w:r>
        <w:rPr>
          <w:rStyle w:val="FootnoteReference"/>
          <w:rFonts w:eastAsiaTheme="majorEastAsia"/>
          <w:szCs w:val="24"/>
        </w:rPr>
        <w:footnoteReference w:id="114"/>
      </w:r>
      <w:r>
        <w:t xml:space="preserve">  </w:t>
      </w:r>
      <w:r w:rsidRPr="0042098A">
        <w:t xml:space="preserve">The Ohio Commission recognizes the need for better structure regarding </w:t>
      </w:r>
      <w:r>
        <w:t xml:space="preserve">the </w:t>
      </w:r>
      <w:r w:rsidRPr="0042098A">
        <w:t>competitive bidding process and supports the FCC’s efforts to ensure that certain information is gathered before</w:t>
      </w:r>
      <w:r>
        <w:t xml:space="preserve"> and after the actual bid</w:t>
      </w:r>
      <w:r w:rsidR="00930230">
        <w:softHyphen/>
      </w:r>
      <w:r>
        <w:t>ding</w:t>
      </w:r>
      <w:r w:rsidRPr="0042098A">
        <w:t xml:space="preserve"> occurs. </w:t>
      </w:r>
    </w:p>
    <w:p w:rsidR="005840C4" w:rsidRDefault="005840C4" w:rsidP="005840C4">
      <w:pPr>
        <w:pStyle w:val="Textstyle"/>
      </w:pPr>
      <w:r>
        <w:lastRenderedPageBreak/>
        <w:tab/>
        <w:t>Under its proposed rules</w:t>
      </w:r>
      <w:r w:rsidRPr="0042098A">
        <w:t xml:space="preserve">, </w:t>
      </w:r>
      <w:r>
        <w:t>the FCC recommends a two-stage application process generally modeled after the rules that govern its spectrum license auctions.</w:t>
      </w:r>
      <w:r>
        <w:rPr>
          <w:rStyle w:val="FootnoteReference"/>
          <w:rFonts w:eastAsiaTheme="majorEastAsia"/>
          <w:szCs w:val="24"/>
        </w:rPr>
        <w:footnoteReference w:id="115"/>
      </w:r>
      <w:r>
        <w:t xml:space="preserve">  The first stage requires that entities interested in participating in an auction submit a detailed pre-auction “short form” application,</w:t>
      </w:r>
      <w:r>
        <w:rPr>
          <w:rStyle w:val="FootnoteReference"/>
          <w:rFonts w:eastAsiaTheme="majorEastAsia"/>
          <w:szCs w:val="24"/>
        </w:rPr>
        <w:footnoteReference w:id="116"/>
      </w:r>
      <w:r>
        <w:t xml:space="preserve"> while the second stage requires the FCC to conduct an extensive review of the winning bidders’ qualifications through a “long-form” applica</w:t>
      </w:r>
      <w:r w:rsidR="00930230">
        <w:softHyphen/>
      </w:r>
      <w:r>
        <w:t>tion.</w:t>
      </w:r>
      <w:r>
        <w:rPr>
          <w:rStyle w:val="FootnoteReference"/>
          <w:rFonts w:eastAsiaTheme="majorEastAsia"/>
          <w:szCs w:val="24"/>
        </w:rPr>
        <w:footnoteReference w:id="117"/>
      </w:r>
      <w:r>
        <w:t xml:space="preserve">  </w:t>
      </w:r>
      <w:r w:rsidRPr="0062471E">
        <w:t xml:space="preserve">The Ohio Commission </w:t>
      </w:r>
      <w:r>
        <w:t xml:space="preserve">believes that the proposed two-stage process will </w:t>
      </w:r>
      <w:r w:rsidRPr="0062471E">
        <w:t xml:space="preserve">provide </w:t>
      </w:r>
      <w:r>
        <w:t>a more advanced framework that will procure essential information from both the poten</w:t>
      </w:r>
      <w:r w:rsidR="00930230">
        <w:softHyphen/>
      </w:r>
      <w:r>
        <w:t>tial bidders and the eventual winning bidders, which, in the Ohio Commission’s opinion, is vital to conducting a successful auction process.  Therefore, as noted above, the Ohio Commission supports the FCC’s effort to implement a more structured auction process.</w:t>
      </w:r>
    </w:p>
    <w:p w:rsidR="005840C4" w:rsidRPr="00B21DB8" w:rsidRDefault="00490216" w:rsidP="00490216">
      <w:pPr>
        <w:pStyle w:val="Heading4"/>
      </w:pPr>
      <w:bookmarkStart w:id="52" w:name="_Toc290279166"/>
      <w:bookmarkStart w:id="53" w:name="_Toc290892272"/>
      <w:r>
        <w:t>ii.</w:t>
      </w:r>
      <w:r>
        <w:tab/>
      </w:r>
      <w:r w:rsidR="005840C4" w:rsidRPr="00B21DB8">
        <w:t>Basic Auction Design</w:t>
      </w:r>
      <w:bookmarkEnd w:id="52"/>
      <w:bookmarkEnd w:id="53"/>
      <w:r w:rsidR="005840C4" w:rsidRPr="00B21DB8">
        <w:tab/>
      </w:r>
    </w:p>
    <w:p w:rsidR="005840C4" w:rsidRDefault="005840C4" w:rsidP="005840C4">
      <w:pPr>
        <w:pStyle w:val="Textstyle"/>
      </w:pPr>
      <w:r>
        <w:tab/>
        <w:t>The FCC also seeks comment on the best specific auction design to maximize the deployment of broadband to housing units without broadband service.</w:t>
      </w:r>
      <w:r>
        <w:rPr>
          <w:rStyle w:val="FootnoteReference"/>
          <w:rFonts w:eastAsiaTheme="majorEastAsia"/>
          <w:szCs w:val="24"/>
        </w:rPr>
        <w:footnoteReference w:id="118"/>
      </w:r>
      <w:r>
        <w:t xml:space="preserve">  The FCC notes that a reverse auction offers a relatively quick, simple, and transparent method for select</w:t>
      </w:r>
      <w:r w:rsidR="00930230">
        <w:softHyphen/>
      </w:r>
      <w:r>
        <w:t>ing services providers for the lowest subsidy amount and establishing the level of support these providers will receive.</w:t>
      </w:r>
      <w:r>
        <w:rPr>
          <w:rStyle w:val="FootnoteReference"/>
          <w:rFonts w:eastAsiaTheme="majorEastAsia"/>
          <w:szCs w:val="24"/>
        </w:rPr>
        <w:footnoteReference w:id="119"/>
      </w:r>
      <w:r>
        <w:t xml:space="preserve">  In prior comments</w:t>
      </w:r>
      <w:r w:rsidRPr="00C54CEE">
        <w:t>, the Ohio Commission has support</w:t>
      </w:r>
      <w:r>
        <w:t xml:space="preserve">ed </w:t>
      </w:r>
      <w:r>
        <w:lastRenderedPageBreak/>
        <w:t>the use of reverse auctions</w:t>
      </w:r>
      <w:r w:rsidRPr="00C54CEE">
        <w:t xml:space="preserve"> and believes</w:t>
      </w:r>
      <w:r>
        <w:t xml:space="preserve"> </w:t>
      </w:r>
      <w:r w:rsidRPr="00C54CEE">
        <w:t>that, in</w:t>
      </w:r>
      <w:r>
        <w:t xml:space="preserve"> appropriate geographic areas,</w:t>
      </w:r>
      <w:r w:rsidRPr="00C54CEE">
        <w:t xml:space="preserve"> the use of such a market mechanism could be beneficial</w:t>
      </w:r>
      <w:r>
        <w:t xml:space="preserve"> </w:t>
      </w:r>
      <w:r w:rsidRPr="00C54CEE">
        <w:t>in determining supported entities and sup</w:t>
      </w:r>
      <w:r w:rsidR="00930230">
        <w:softHyphen/>
      </w:r>
      <w:r w:rsidRPr="00C54CEE">
        <w:t>port levels.</w:t>
      </w:r>
      <w:r>
        <w:rPr>
          <w:rStyle w:val="FootnoteReference"/>
          <w:rFonts w:eastAsiaTheme="majorEastAsia"/>
          <w:szCs w:val="24"/>
        </w:rPr>
        <w:footnoteReference w:id="120"/>
      </w:r>
      <w:r w:rsidR="003D4E42" w:rsidRPr="006638AE">
        <w:t xml:space="preserve"> </w:t>
      </w:r>
      <w:r w:rsidR="003D4E42">
        <w:t xml:space="preserve"> </w:t>
      </w:r>
      <w:r>
        <w:t>Additionally, the</w:t>
      </w:r>
      <w:r w:rsidRPr="00C54CEE">
        <w:t xml:space="preserve"> Ohio Commission</w:t>
      </w:r>
      <w:r>
        <w:t xml:space="preserve"> has previously recommended </w:t>
      </w:r>
      <w:r w:rsidRPr="00C54CEE">
        <w:t xml:space="preserve">that the FCC </w:t>
      </w:r>
      <w:r>
        <w:t>consider</w:t>
      </w:r>
      <w:r w:rsidRPr="00C54CEE">
        <w:t xml:space="preserve"> the cost of conducting </w:t>
      </w:r>
      <w:r>
        <w:t>a</w:t>
      </w:r>
      <w:r w:rsidRPr="00C54CEE">
        <w:t xml:space="preserve"> reverse auction into its</w:t>
      </w:r>
      <w:r>
        <w:t xml:space="preserve"> </w:t>
      </w:r>
      <w:r w:rsidRPr="00C54CEE">
        <w:t>decision to hold such an a</w:t>
      </w:r>
      <w:r>
        <w:t>uction.</w:t>
      </w:r>
      <w:r>
        <w:rPr>
          <w:rStyle w:val="FootnoteReference"/>
          <w:rFonts w:eastAsiaTheme="majorEastAsia"/>
          <w:szCs w:val="24"/>
        </w:rPr>
        <w:footnoteReference w:id="121"/>
      </w:r>
      <w:r>
        <w:t xml:space="preserve">  Furthermore, in</w:t>
      </w:r>
      <w:r w:rsidRPr="00C54CEE">
        <w:t xml:space="preserve"> </w:t>
      </w:r>
      <w:r>
        <w:t xml:space="preserve">those </w:t>
      </w:r>
      <w:r w:rsidRPr="00C54CEE">
        <w:t xml:space="preserve">areas where </w:t>
      </w:r>
      <w:r>
        <w:t>a single</w:t>
      </w:r>
      <w:r w:rsidRPr="00C54CEE">
        <w:t xml:space="preserve"> carrier or provider is undoubtedly</w:t>
      </w:r>
      <w:r>
        <w:t xml:space="preserve"> </w:t>
      </w:r>
      <w:r w:rsidRPr="00C54CEE">
        <w:t>dominant, the</w:t>
      </w:r>
      <w:r>
        <w:t xml:space="preserve"> Ohio Commission recommends that the</w:t>
      </w:r>
      <w:r w:rsidRPr="00C54CEE">
        <w:t xml:space="preserve"> FCC </w:t>
      </w:r>
      <w:r>
        <w:t xml:space="preserve">take steps to </w:t>
      </w:r>
      <w:r w:rsidRPr="00C54CEE">
        <w:t>ensure that the costs of conducting a reverse auction do not outweigh its benefits since the</w:t>
      </w:r>
      <w:r>
        <w:t xml:space="preserve"> </w:t>
      </w:r>
      <w:r w:rsidRPr="00C54CEE">
        <w:t>outcome of the auction would not l</w:t>
      </w:r>
      <w:r>
        <w:t>ikely be in doubt.</w:t>
      </w:r>
      <w:r>
        <w:rPr>
          <w:rStyle w:val="FootnoteReference"/>
          <w:rFonts w:eastAsiaTheme="majorEastAsia"/>
          <w:szCs w:val="24"/>
        </w:rPr>
        <w:footnoteReference w:id="122"/>
      </w:r>
      <w:r>
        <w:t xml:space="preserve">  Nonetheless, the Ohio Commission believes that a reverse auction is the best design available to maximize the deployment of broad</w:t>
      </w:r>
      <w:r w:rsidR="00930230">
        <w:softHyphen/>
      </w:r>
      <w:r>
        <w:t>band services to unserved areas.</w:t>
      </w:r>
    </w:p>
    <w:p w:rsidR="005840C4" w:rsidRPr="000D736B" w:rsidRDefault="00490216" w:rsidP="00490216">
      <w:pPr>
        <w:pStyle w:val="Heading4"/>
      </w:pPr>
      <w:bookmarkStart w:id="54" w:name="_Toc290279167"/>
      <w:bookmarkStart w:id="55" w:name="_Toc290892273"/>
      <w:proofErr w:type="gramStart"/>
      <w:r>
        <w:t>iii.</w:t>
      </w:r>
      <w:r>
        <w:tab/>
      </w:r>
      <w:r w:rsidR="005840C4" w:rsidRPr="000D736B">
        <w:t>Bidding</w:t>
      </w:r>
      <w:proofErr w:type="gramEnd"/>
      <w:r w:rsidR="005840C4" w:rsidRPr="000D736B">
        <w:t xml:space="preserve"> Process</w:t>
      </w:r>
      <w:bookmarkEnd w:id="54"/>
      <w:bookmarkEnd w:id="55"/>
    </w:p>
    <w:p w:rsidR="005840C4" w:rsidRPr="000D736B" w:rsidRDefault="005840C4" w:rsidP="005840C4">
      <w:pPr>
        <w:pStyle w:val="Textstyle"/>
      </w:pPr>
      <w:r>
        <w:tab/>
      </w:r>
      <w:r w:rsidRPr="000D736B">
        <w:t xml:space="preserve">The FCC </w:t>
      </w:r>
      <w:r w:rsidRPr="00763110">
        <w:t xml:space="preserve">seeks comment on </w:t>
      </w:r>
      <w:r w:rsidRPr="000D736B">
        <w:t xml:space="preserve">whether </w:t>
      </w:r>
      <w:r>
        <w:t>its</w:t>
      </w:r>
      <w:r w:rsidRPr="000D736B">
        <w:t xml:space="preserve"> proposal </w:t>
      </w:r>
      <w:r>
        <w:t>to</w:t>
      </w:r>
      <w:r w:rsidRPr="000D736B">
        <w:t xml:space="preserve"> </w:t>
      </w:r>
      <w:r>
        <w:t xml:space="preserve">establish </w:t>
      </w:r>
      <w:r w:rsidRPr="000D736B">
        <w:t xml:space="preserve">minimum coverage </w:t>
      </w:r>
      <w:r>
        <w:t xml:space="preserve">requirements for support recipients </w:t>
      </w:r>
      <w:r w:rsidRPr="000D736B">
        <w:t xml:space="preserve">should be used </w:t>
      </w:r>
      <w:r>
        <w:t>rather than</w:t>
      </w:r>
      <w:r w:rsidRPr="000D736B">
        <w:t xml:space="preserve"> allowing bidders to estab</w:t>
      </w:r>
      <w:r w:rsidR="00930230">
        <w:softHyphen/>
      </w:r>
      <w:r w:rsidRPr="000D736B">
        <w:t>lish their own coverage requirements by specifying the number of housing units to be passed in areas on which they bid.</w:t>
      </w:r>
      <w:r>
        <w:rPr>
          <w:rStyle w:val="FootnoteReference"/>
          <w:rFonts w:eastAsiaTheme="majorEastAsia"/>
          <w:szCs w:val="24"/>
        </w:rPr>
        <w:footnoteReference w:id="123"/>
      </w:r>
      <w:r>
        <w:t xml:space="preserve">  The Ohio Commission recommends that the FCC adopt its proposal to establish minimum coverage requirements.  Allowing bidders to estab</w:t>
      </w:r>
      <w:r w:rsidR="00930230">
        <w:softHyphen/>
      </w:r>
      <w:r>
        <w:t xml:space="preserve">lish their own coverage requirements would often result in a waste of time and </w:t>
      </w:r>
      <w:r>
        <w:lastRenderedPageBreak/>
        <w:t xml:space="preserve">resources if the FCC could ultimately reject a bidder’s coverage requirement only to impose its own level of minimum coverage.  While allowing bidders to establish their own coverage requirements may take advantage of economies of scale, the end result may be the subsidization of facilities in an area that is already served.  Although the FCC alluded to the fact that a bidder’s own coverage area would probably be smaller than its minimum coverage area, the possibility of a bidder selecting a larger area is still possible and in turn could lead to </w:t>
      </w:r>
      <w:r w:rsidRPr="007562F1">
        <w:t>overlap</w:t>
      </w:r>
      <w:r>
        <w:t xml:space="preserve"> in coverage</w:t>
      </w:r>
      <w:r w:rsidRPr="007562F1">
        <w:t xml:space="preserve"> and </w:t>
      </w:r>
      <w:r>
        <w:t xml:space="preserve">additional </w:t>
      </w:r>
      <w:r w:rsidRPr="007562F1">
        <w:t>expenses</w:t>
      </w:r>
      <w:r>
        <w:t>.</w:t>
      </w:r>
      <w:r>
        <w:rPr>
          <w:rStyle w:val="FootnoteReference"/>
          <w:rFonts w:eastAsiaTheme="majorEastAsia"/>
          <w:szCs w:val="24"/>
        </w:rPr>
        <w:footnoteReference w:id="124"/>
      </w:r>
      <w:r>
        <w:t xml:space="preserve">  Consistent with its prior comments, the Ohio Commission strongly believes that service providers that submit a bid for a given area must stand ready to serve any customer within that area who requests service.</w:t>
      </w:r>
      <w:r w:rsidR="00ED19A2">
        <w:rPr>
          <w:rStyle w:val="FootnoteReference"/>
        </w:rPr>
        <w:footnoteReference w:id="125"/>
      </w:r>
    </w:p>
    <w:p w:rsidR="005840C4" w:rsidRPr="009D6767" w:rsidRDefault="00490216" w:rsidP="00490216">
      <w:pPr>
        <w:pStyle w:val="Heading4"/>
      </w:pPr>
      <w:bookmarkStart w:id="56" w:name="_Toc290279168"/>
      <w:bookmarkStart w:id="57" w:name="_Toc290892274"/>
      <w:r>
        <w:t>iv.</w:t>
      </w:r>
      <w:r>
        <w:tab/>
      </w:r>
      <w:r w:rsidR="005840C4">
        <w:t>Reserve P</w:t>
      </w:r>
      <w:r w:rsidR="005840C4" w:rsidRPr="009D6767">
        <w:t>rices</w:t>
      </w:r>
      <w:bookmarkEnd w:id="56"/>
      <w:bookmarkEnd w:id="57"/>
    </w:p>
    <w:p w:rsidR="005840C4" w:rsidRDefault="005840C4" w:rsidP="005840C4">
      <w:pPr>
        <w:pStyle w:val="Textstyle"/>
      </w:pPr>
      <w:r>
        <w:tab/>
        <w:t>Lastly, the FCC has proposed that it reserve the discretion, prior to an auction, to establish area-specific reserve prices, separate and apart from any maximum opening bids, and to elect whether or not to disclose those reserves before opening bids.</w:t>
      </w:r>
      <w:r>
        <w:rPr>
          <w:rStyle w:val="FootnoteReference"/>
          <w:rFonts w:eastAsiaTheme="majorEastAsia"/>
          <w:szCs w:val="24"/>
        </w:rPr>
        <w:footnoteReference w:id="126"/>
      </w:r>
      <w:r>
        <w:t xml:space="preserve">  The Ohio Commission agrees that the FCC may reserve discretion regarding the disclosure of reserve prices and suggests, as it has in the past, </w:t>
      </w:r>
      <w:r w:rsidRPr="00D57E01">
        <w:t>that the reserve price</w:t>
      </w:r>
      <w:r>
        <w:t xml:space="preserve"> </w:t>
      </w:r>
      <w:r w:rsidRPr="00D57E01">
        <w:t>not be revealed prior to bidding, if it at all.</w:t>
      </w:r>
      <w:r>
        <w:rPr>
          <w:rStyle w:val="FootnoteReference"/>
          <w:rFonts w:eastAsiaTheme="majorEastAsia"/>
          <w:szCs w:val="24"/>
        </w:rPr>
        <w:footnoteReference w:id="127"/>
      </w:r>
      <w:r w:rsidRPr="00D57E01">
        <w:t xml:space="preserve"> </w:t>
      </w:r>
      <w:r w:rsidR="00CF4AC4">
        <w:t xml:space="preserve"> </w:t>
      </w:r>
      <w:r>
        <w:t>The</w:t>
      </w:r>
      <w:r w:rsidRPr="00D57E01">
        <w:t xml:space="preserve"> Ohio Commission</w:t>
      </w:r>
      <w:r>
        <w:t xml:space="preserve"> believes that if the reserve price is </w:t>
      </w:r>
      <w:r>
        <w:lastRenderedPageBreak/>
        <w:t xml:space="preserve">disclosed prior to the bidding process, then bidding may be </w:t>
      </w:r>
      <w:r w:rsidRPr="00D57E01">
        <w:t xml:space="preserve">discouraged or </w:t>
      </w:r>
      <w:r>
        <w:t>excessive</w:t>
      </w:r>
      <w:r w:rsidRPr="00D57E01">
        <w:t xml:space="preserve"> sup</w:t>
      </w:r>
      <w:r w:rsidR="00930230">
        <w:softHyphen/>
      </w:r>
      <w:r w:rsidRPr="00D57E01">
        <w:t>port may be</w:t>
      </w:r>
      <w:r>
        <w:t xml:space="preserve"> allocated to a particular area.</w:t>
      </w:r>
      <w:r>
        <w:rPr>
          <w:rStyle w:val="FootnoteReference"/>
          <w:rFonts w:eastAsiaTheme="majorEastAsia"/>
          <w:szCs w:val="24"/>
        </w:rPr>
        <w:footnoteReference w:id="128"/>
      </w:r>
      <w:r>
        <w:t xml:space="preserve">  </w:t>
      </w:r>
    </w:p>
    <w:p w:rsidR="005840C4" w:rsidRDefault="005840C4" w:rsidP="005840C4">
      <w:pPr>
        <w:pStyle w:val="Textstyle"/>
      </w:pPr>
      <w:r>
        <w:tab/>
        <w:t>As the Ohio Commission has noted in prior comments, if the reserve price is dis</w:t>
      </w:r>
      <w:r w:rsidR="00930230">
        <w:softHyphen/>
      </w:r>
      <w:r>
        <w:t>closed, bidding may be discouraged to the point that there are no bidders or no acceptable bids.</w:t>
      </w:r>
      <w:r>
        <w:rPr>
          <w:rStyle w:val="FootnoteReference"/>
          <w:rFonts w:eastAsiaTheme="majorEastAsia"/>
          <w:szCs w:val="24"/>
        </w:rPr>
        <w:footnoteReference w:id="129"/>
      </w:r>
      <w:r>
        <w:t xml:space="preserve">  If this happens, support should be provided to the ILEC with the carrier of last resort (COLR) obligation for the area in question.  While the right of first refusal (ROFR) is designed to allow ILECS with the COLR obligation for voice service to receive CAF support without a competitive bidding process, it must also allow for the possibility that an ILEC could refuse CAF support.  This approach, however, may render the FCC’s pro</w:t>
      </w:r>
      <w:r w:rsidR="00930230">
        <w:softHyphen/>
      </w:r>
      <w:r>
        <w:t>posal to establish a ROFR</w:t>
      </w:r>
      <w:r>
        <w:rPr>
          <w:rStyle w:val="FootnoteReference"/>
          <w:rFonts w:eastAsiaTheme="majorEastAsia"/>
          <w:szCs w:val="24"/>
        </w:rPr>
        <w:footnoteReference w:id="130"/>
      </w:r>
      <w:r>
        <w:t xml:space="preserve"> meaningless unless support is provided for costs above the reserve.  As such, the FCC encourages the FCC to allow for an adjustment of the bench</w:t>
      </w:r>
      <w:r w:rsidR="00930230">
        <w:softHyphen/>
      </w:r>
      <w:r>
        <w:t>mark as suggested in the NPRM.</w:t>
      </w:r>
      <w:r>
        <w:rPr>
          <w:rStyle w:val="FootnoteReference"/>
          <w:rFonts w:eastAsiaTheme="majorEastAsia"/>
          <w:szCs w:val="24"/>
        </w:rPr>
        <w:footnoteReference w:id="131"/>
      </w:r>
      <w:r>
        <w:t xml:space="preserve">  </w:t>
      </w:r>
    </w:p>
    <w:p w:rsidR="005840C4" w:rsidRDefault="005840C4" w:rsidP="005840C4">
      <w:pPr>
        <w:pStyle w:val="Textstyle"/>
      </w:pPr>
      <w:r>
        <w:tab/>
        <w:t>If the COLR obligation is extended to the ILEC where an auction has proven unsuccess</w:t>
      </w:r>
      <w:r w:rsidR="00930230">
        <w:softHyphen/>
      </w:r>
      <w:r>
        <w:t xml:space="preserve">ful, the Ohio Commission recommends that the FCC also impose a broadband POLR obligation on the ILEC as a default.  This would result in the lowest incremental cost </w:t>
      </w:r>
      <w:r w:rsidRPr="00136BDF">
        <w:t xml:space="preserve">and be the most efficient means for deploying broadband and allocating support </w:t>
      </w:r>
      <w:r w:rsidRPr="00136BDF">
        <w:lastRenderedPageBreak/>
        <w:t>where there may be no other bidders since the ILEC has, among other advantages, an exist</w:t>
      </w:r>
      <w:r w:rsidR="00930230">
        <w:softHyphen/>
      </w:r>
      <w:r w:rsidRPr="00136BDF">
        <w:t>ing network upon which to build and access to rights-of-way.</w:t>
      </w:r>
      <w:r>
        <w:rPr>
          <w:rStyle w:val="FootnoteReference"/>
          <w:rFonts w:eastAsiaTheme="majorEastAsia"/>
        </w:rPr>
        <w:footnoteReference w:id="132"/>
      </w:r>
    </w:p>
    <w:p w:rsidR="005840C4" w:rsidRDefault="00FC0358" w:rsidP="00FC0358">
      <w:pPr>
        <w:pStyle w:val="Heading2"/>
      </w:pPr>
      <w:bookmarkStart w:id="58" w:name="_Toc290279172"/>
      <w:bookmarkStart w:id="59" w:name="_Toc290892275"/>
      <w:r>
        <w:t>III.</w:t>
      </w:r>
      <w:r>
        <w:tab/>
      </w:r>
      <w:r w:rsidR="005840C4" w:rsidRPr="00C07F91">
        <w:t>L</w:t>
      </w:r>
      <w:r w:rsidR="005840C4">
        <w:t xml:space="preserve">ONG-TERM </w:t>
      </w:r>
      <w:r w:rsidR="005840C4" w:rsidRPr="00C07F91">
        <w:t>V</w:t>
      </w:r>
      <w:r w:rsidR="005840C4">
        <w:t>ISION FOR</w:t>
      </w:r>
      <w:r w:rsidR="005840C4" w:rsidRPr="00C07F91">
        <w:t xml:space="preserve"> </w:t>
      </w:r>
      <w:r w:rsidR="005840C4">
        <w:t>THE</w:t>
      </w:r>
      <w:r w:rsidR="005840C4" w:rsidRPr="00C07F91">
        <w:t xml:space="preserve"> C</w:t>
      </w:r>
      <w:r w:rsidR="005840C4">
        <w:t xml:space="preserve">ONNECT </w:t>
      </w:r>
      <w:r w:rsidR="005840C4" w:rsidRPr="00C07F91">
        <w:t>A</w:t>
      </w:r>
      <w:r w:rsidR="005840C4">
        <w:t>MERICA</w:t>
      </w:r>
      <w:r w:rsidR="005840C4" w:rsidRPr="00C07F91">
        <w:t xml:space="preserve"> F</w:t>
      </w:r>
      <w:r w:rsidR="005840C4">
        <w:t>UND</w:t>
      </w:r>
      <w:bookmarkEnd w:id="58"/>
      <w:bookmarkEnd w:id="59"/>
    </w:p>
    <w:p w:rsidR="005840C4" w:rsidRPr="00A74ACF" w:rsidRDefault="00FC0358" w:rsidP="00FC0358">
      <w:pPr>
        <w:pStyle w:val="Heading3"/>
      </w:pPr>
      <w:bookmarkStart w:id="60" w:name="_Toc290279173"/>
      <w:bookmarkStart w:id="61" w:name="_Toc290892276"/>
      <w:r>
        <w:t>A.</w:t>
      </w:r>
      <w:r>
        <w:tab/>
      </w:r>
      <w:r w:rsidR="005840C4" w:rsidRPr="00A74ACF">
        <w:t>Supported Providers</w:t>
      </w:r>
      <w:bookmarkEnd w:id="60"/>
      <w:bookmarkEnd w:id="61"/>
    </w:p>
    <w:p w:rsidR="005840C4" w:rsidRPr="00C07F91" w:rsidRDefault="005840C4" w:rsidP="005840C4">
      <w:pPr>
        <w:pStyle w:val="Textstyle"/>
      </w:pPr>
      <w:r w:rsidRPr="00C07F91">
        <w:tab/>
        <w:t xml:space="preserve">The FCC has proposed that, </w:t>
      </w:r>
      <w:r>
        <w:t xml:space="preserve">during the second stage of its </w:t>
      </w:r>
      <w:r w:rsidRPr="00C07F91">
        <w:t>comprehensive reform package, all funding to provide ongoing support to enable Americans to access robust, affordable IP-based networks capable of providing both high-quality voice service and broadband internet access service be provided throug</w:t>
      </w:r>
      <w:r>
        <w:t>h the CAF</w:t>
      </w:r>
      <w:r w:rsidRPr="00C07F91">
        <w:t>.</w:t>
      </w:r>
      <w:r w:rsidRPr="00C07F91">
        <w:rPr>
          <w:rStyle w:val="FootnoteReference"/>
          <w:rFonts w:eastAsiaTheme="majorEastAsia"/>
        </w:rPr>
        <w:footnoteReference w:id="133"/>
      </w:r>
      <w:r w:rsidRPr="00C07F91">
        <w:t xml:space="preserve">  In furtherance of this proposal, the FCC seeks comment on how many providers the CAF should support and on alternative approaches for determining appropriate amounts of ongoing CAF support that would replace all existing high-cost funding.</w:t>
      </w:r>
      <w:r w:rsidRPr="00C07F91">
        <w:rPr>
          <w:rStyle w:val="FootnoteReference"/>
          <w:rFonts w:eastAsiaTheme="majorEastAsia"/>
        </w:rPr>
        <w:footnoteReference w:id="134"/>
      </w:r>
      <w:r w:rsidRPr="00C07F91">
        <w:t xml:space="preserve">  Specifically, the FCC asks whether there should be at most one subsidized provider of broadband service per geographic area regardless of whether provided through a fixed or mobile network.</w:t>
      </w:r>
      <w:r w:rsidRPr="00C07F91">
        <w:rPr>
          <w:rStyle w:val="FootnoteReference"/>
          <w:rFonts w:eastAsiaTheme="majorEastAsia"/>
        </w:rPr>
        <w:footnoteReference w:id="135"/>
      </w:r>
      <w:proofErr w:type="gramStart"/>
      <w:r>
        <w:t xml:space="preserve"> </w:t>
      </w:r>
      <w:proofErr w:type="gramEnd"/>
      <w:r w:rsidRPr="00C07F91">
        <w:t>The Ohio Commis</w:t>
      </w:r>
      <w:r w:rsidR="00930230">
        <w:softHyphen/>
      </w:r>
      <w:r w:rsidRPr="00C07F91">
        <w:t>sion believes that limiting support to one provider per high-cost area will ultimately result in reducing the total amount of funding required through the CAF, which, in turn, will place less of a</w:t>
      </w:r>
      <w:r>
        <w:t xml:space="preserve"> financial burden on consumers.</w:t>
      </w:r>
      <w:r w:rsidRPr="00C07F91">
        <w:t xml:space="preserve">  Subsidizing two or more service providers in a geographic area where a business case cannot be made for providing broadband </w:t>
      </w:r>
      <w:r w:rsidRPr="00C07F91">
        <w:lastRenderedPageBreak/>
        <w:t>makes little sense when the goal is to support affordable service.  Alternatively, limiting support to only one service provider per unserved high-cost area would aid in achieving this objective as providers would be required to compete for the available support</w:t>
      </w:r>
      <w:r>
        <w:t>.</w:t>
      </w:r>
      <w:r w:rsidRPr="00C07F91">
        <w:t xml:space="preserve">  Although the Ohio Commission has previously recommended that broadband support lev</w:t>
      </w:r>
      <w:r w:rsidR="00930230">
        <w:softHyphen/>
      </w:r>
      <w:r w:rsidRPr="00C07F91">
        <w:t>els be determined using a “cost/cost” model rather than a “cost/revenue model,” it also recognizes that some portion of the incremental revenue associated with providing sup</w:t>
      </w:r>
      <w:r w:rsidR="00930230">
        <w:softHyphen/>
      </w:r>
      <w:r w:rsidRPr="00C07F91">
        <w:t xml:space="preserve">port to only one service in a high-cost area should reduce the bid amounts received by the FCC through a competitive bidding process.  </w:t>
      </w:r>
      <w:r>
        <w:t xml:space="preserve">Accordingly, </w:t>
      </w:r>
      <w:r w:rsidRPr="00C07F91">
        <w:t>the Ohio Commission opposes proposals to support</w:t>
      </w:r>
      <w:r>
        <w:t>, in a given area,</w:t>
      </w:r>
      <w:r w:rsidRPr="00C07F91">
        <w:t xml:space="preserve"> both fixed and mobile broadband networks under the CAF.</w:t>
      </w:r>
      <w:r w:rsidRPr="00C07F91">
        <w:rPr>
          <w:rStyle w:val="FootnoteReference"/>
          <w:rFonts w:eastAsiaTheme="majorEastAsia"/>
        </w:rPr>
        <w:footnoteReference w:id="136"/>
      </w:r>
      <w:r>
        <w:t xml:space="preserve">  To be clear, it is the Ohio Commission’s position that support in a given geo</w:t>
      </w:r>
      <w:r w:rsidR="00930230">
        <w:softHyphen/>
      </w:r>
      <w:r>
        <w:t>graphic area should be limited to only one service provider without regard to one net</w:t>
      </w:r>
      <w:r w:rsidR="00930230">
        <w:softHyphen/>
      </w:r>
      <w:r>
        <w:t>work platform or technology over another.</w:t>
      </w:r>
      <w:r>
        <w:rPr>
          <w:rStyle w:val="FootnoteReference"/>
          <w:rFonts w:eastAsiaTheme="majorEastAsia"/>
        </w:rPr>
        <w:footnoteReference w:id="137"/>
      </w:r>
    </w:p>
    <w:p w:rsidR="005840C4" w:rsidRPr="00C07F91" w:rsidRDefault="005840C4" w:rsidP="005840C4">
      <w:pPr>
        <w:pStyle w:val="Textstyle"/>
      </w:pPr>
      <w:r>
        <w:tab/>
      </w:r>
      <w:r w:rsidRPr="00C07F91">
        <w:t>The FCC seeks comment on whether any funding is appropriate in area</w:t>
      </w:r>
      <w:r>
        <w:t>s</w:t>
      </w:r>
      <w:r w:rsidRPr="00C07F91">
        <w:t xml:space="preserve"> </w:t>
      </w:r>
      <w:r>
        <w:t>where</w:t>
      </w:r>
      <w:r w:rsidRPr="00C07F91">
        <w:t xml:space="preserve"> both high-quality voice and broadband Internet access service are provided by a carrier or service provider without the assistance of universal service support.</w:t>
      </w:r>
      <w:r w:rsidRPr="00C07F91">
        <w:rPr>
          <w:rStyle w:val="FootnoteReference"/>
          <w:rFonts w:eastAsiaTheme="majorEastAsia"/>
        </w:rPr>
        <w:footnoteReference w:id="138"/>
      </w:r>
      <w:r w:rsidRPr="00C07F91">
        <w:t xml:space="preserve"> </w:t>
      </w:r>
      <w:r>
        <w:t xml:space="preserve"> </w:t>
      </w:r>
      <w:r w:rsidRPr="00C07F91">
        <w:t>The Ohio Commis</w:t>
      </w:r>
      <w:r w:rsidR="00930230">
        <w:softHyphen/>
      </w:r>
      <w:r w:rsidRPr="00C07F91">
        <w:t>sion does not believe CAF support</w:t>
      </w:r>
      <w:r>
        <w:t xml:space="preserve"> should be provided</w:t>
      </w:r>
      <w:r w:rsidRPr="00C07F91">
        <w:t xml:space="preserve"> in areas where the exist</w:t>
      </w:r>
      <w:r w:rsidR="00930230">
        <w:softHyphen/>
      </w:r>
      <w:r w:rsidRPr="00C07F91">
        <w:t xml:space="preserve">ing carriers or service providers have previously made business cases for offering service without universal service support.  </w:t>
      </w:r>
      <w:r>
        <w:t>To do so</w:t>
      </w:r>
      <w:r w:rsidRPr="00C07F91">
        <w:t xml:space="preserve"> would have the detrimental effect of increas</w:t>
      </w:r>
      <w:r w:rsidR="00930230">
        <w:softHyphen/>
      </w:r>
      <w:r w:rsidRPr="00C07F91">
        <w:lastRenderedPageBreak/>
        <w:t>ing the size of the CAF, and corresponding burden on consumers, while creating an un</w:t>
      </w:r>
      <w:r w:rsidR="00C5554A">
        <w:softHyphen/>
      </w:r>
      <w:r w:rsidRPr="00C07F91">
        <w:t>equal playing field between service providers.</w:t>
      </w:r>
      <w:r>
        <w:t xml:space="preserve">  </w:t>
      </w:r>
      <w:r w:rsidRPr="00C07F91">
        <w:t>The incumbent provider’s business case to offer service would undoubtedly be harmed as a certain percentage of the provider’s custom</w:t>
      </w:r>
      <w:r w:rsidR="00C5554A">
        <w:softHyphen/>
      </w:r>
      <w:r w:rsidRPr="00C07F91">
        <w:t>ers would defect to the CAF-supported competitor.  Nonetheless, the Ohio Commis</w:t>
      </w:r>
      <w:r w:rsidR="00930230">
        <w:softHyphen/>
      </w:r>
      <w:r w:rsidRPr="00C07F91">
        <w:t>sion does not believe</w:t>
      </w:r>
      <w:r>
        <w:t xml:space="preserve"> that</w:t>
      </w:r>
      <w:r w:rsidRPr="00C07F91">
        <w:t xml:space="preserve"> the existence of unsubsidized broadband service today </w:t>
      </w:r>
      <w:r>
        <w:t>serves as any</w:t>
      </w:r>
      <w:r w:rsidRPr="00C07F91">
        <w:t xml:space="preserve"> reliable indicator that future funding will not be necessary.</w:t>
      </w:r>
      <w:r w:rsidRPr="00C07F91">
        <w:rPr>
          <w:rStyle w:val="FootnoteReference"/>
          <w:rFonts w:eastAsiaTheme="majorEastAsia"/>
        </w:rPr>
        <w:footnoteReference w:id="139"/>
      </w:r>
      <w:r w:rsidRPr="00C07F91">
        <w:t xml:space="preserve">  </w:t>
      </w:r>
    </w:p>
    <w:p w:rsidR="005840C4" w:rsidRPr="00144FF0" w:rsidRDefault="00FC0358" w:rsidP="00FC0358">
      <w:pPr>
        <w:pStyle w:val="Heading3"/>
      </w:pPr>
      <w:bookmarkStart w:id="62" w:name="_Toc290279174"/>
      <w:bookmarkStart w:id="63" w:name="_Toc290892277"/>
      <w:r>
        <w:t>B.</w:t>
      </w:r>
      <w:r>
        <w:tab/>
      </w:r>
      <w:r w:rsidR="005840C4" w:rsidRPr="00144FF0">
        <w:t xml:space="preserve">Alternative </w:t>
      </w:r>
      <w:r w:rsidR="005840C4">
        <w:t>A</w:t>
      </w:r>
      <w:r w:rsidR="005840C4" w:rsidRPr="00144FF0">
        <w:t xml:space="preserve">pproaches for </w:t>
      </w:r>
      <w:r w:rsidR="005840C4">
        <w:t>T</w:t>
      </w:r>
      <w:r w:rsidR="005840C4" w:rsidRPr="00144FF0">
        <w:t xml:space="preserve">argeting and Distribution of CAF </w:t>
      </w:r>
      <w:r w:rsidR="005840C4">
        <w:t>F</w:t>
      </w:r>
      <w:r w:rsidR="005840C4" w:rsidRPr="00144FF0">
        <w:t>unds</w:t>
      </w:r>
      <w:bookmarkEnd w:id="62"/>
      <w:bookmarkEnd w:id="63"/>
    </w:p>
    <w:p w:rsidR="005840C4" w:rsidRPr="00C07F91" w:rsidRDefault="005840C4" w:rsidP="005840C4">
      <w:pPr>
        <w:pStyle w:val="Textstyle"/>
      </w:pPr>
      <w:r w:rsidRPr="00C07F91">
        <w:tab/>
        <w:t xml:space="preserve">The FCC notes that the NBP recommended that by 2020, all existing high-cost </w:t>
      </w:r>
      <w:proofErr w:type="gramStart"/>
      <w:r w:rsidRPr="00C07F91">
        <w:t>sup</w:t>
      </w:r>
      <w:r w:rsidR="00930230">
        <w:softHyphen/>
      </w:r>
      <w:r w:rsidRPr="00C07F91">
        <w:t>port  be</w:t>
      </w:r>
      <w:proofErr w:type="gramEnd"/>
      <w:r w:rsidRPr="00C07F91">
        <w:t xml:space="preserve"> replaced by CAF support.</w:t>
      </w:r>
      <w:r w:rsidRPr="00C07F91">
        <w:rPr>
          <w:rStyle w:val="FootnoteReference"/>
          <w:rFonts w:eastAsiaTheme="majorEastAsia"/>
        </w:rPr>
        <w:footnoteReference w:id="140"/>
      </w:r>
      <w:r w:rsidRPr="00C07F91">
        <w:t xml:space="preserve">  Accordingly, the FCC seeks comment on alterna</w:t>
      </w:r>
      <w:r w:rsidR="00930230">
        <w:softHyphen/>
      </w:r>
      <w:r w:rsidRPr="00C07F91">
        <w:t xml:space="preserve">tive approaches for determining ongoing CAF support. </w:t>
      </w:r>
      <w:r>
        <w:t xml:space="preserve"> </w:t>
      </w:r>
      <w:r w:rsidRPr="00C07F91">
        <w:t>Specifically, the FCC pro</w:t>
      </w:r>
      <w:r w:rsidR="00930230">
        <w:softHyphen/>
      </w:r>
      <w:r w:rsidRPr="00C07F91">
        <w:t>posed using a competitive bidding mechanism to award funding to one provider per geo</w:t>
      </w:r>
      <w:r w:rsidR="00C5554A">
        <w:softHyphen/>
      </w:r>
      <w:r w:rsidRPr="00C07F91">
        <w:t>graphic area in all areas designated to receive CAF sup</w:t>
      </w:r>
      <w:r w:rsidR="00930230">
        <w:softHyphen/>
      </w:r>
      <w:r w:rsidRPr="00C07F91">
        <w:t>port.</w:t>
      </w:r>
      <w:r w:rsidRPr="00C07F91">
        <w:rPr>
          <w:rStyle w:val="FootnoteReference"/>
          <w:rFonts w:eastAsiaTheme="majorEastAsia"/>
        </w:rPr>
        <w:footnoteReference w:id="141"/>
      </w:r>
      <w:r w:rsidRPr="00C07F91">
        <w:t xml:space="preserve">  The Ohio Commission has previously expressed its support for the use of reverse auctions to determine recipi</w:t>
      </w:r>
      <w:r w:rsidR="00C5554A">
        <w:softHyphen/>
      </w:r>
      <w:r w:rsidRPr="00C07F91">
        <w:t>ents of one-time CAF support for the purpose of deploying broadband service in unserved areas.</w:t>
      </w:r>
      <w:r w:rsidRPr="00C07F91">
        <w:rPr>
          <w:rStyle w:val="FootnoteReference"/>
          <w:rFonts w:eastAsiaTheme="majorEastAsia"/>
        </w:rPr>
        <w:footnoteReference w:id="142"/>
      </w:r>
      <w:r w:rsidRPr="00C07F91">
        <w:t xml:space="preserve">  Consistent with this position, the Ohio Commis</w:t>
      </w:r>
      <w:r w:rsidR="00930230">
        <w:softHyphen/>
      </w:r>
      <w:r w:rsidRPr="00C07F91">
        <w:t>sion generally believes that a competitive bidding process to determine recipients of ongo</w:t>
      </w:r>
      <w:r w:rsidR="00930230">
        <w:softHyphen/>
      </w:r>
      <w:r w:rsidRPr="00C07F91">
        <w:t>ing CAF support is appropri</w:t>
      </w:r>
      <w:r w:rsidR="00C5554A">
        <w:softHyphen/>
      </w:r>
      <w:r w:rsidRPr="00C07F91">
        <w:t>ate and would lead to a re</w:t>
      </w:r>
      <w:r>
        <w:t>duction in the size of the CAF.</w:t>
      </w:r>
      <w:r w:rsidRPr="00C07F91">
        <w:t xml:space="preserve">  Nonetheless, the Ohio </w:t>
      </w:r>
      <w:r w:rsidRPr="00C07F91">
        <w:lastRenderedPageBreak/>
        <w:t>Commission not</w:t>
      </w:r>
      <w:r>
        <w:t>es that</w:t>
      </w:r>
      <w:r w:rsidRPr="00C07F91">
        <w:t xml:space="preserve"> competitive bidding </w:t>
      </w:r>
      <w:r>
        <w:t>may not</w:t>
      </w:r>
      <w:r w:rsidRPr="00C07F91">
        <w:t xml:space="preserve"> always</w:t>
      </w:r>
      <w:r>
        <w:t xml:space="preserve"> be</w:t>
      </w:r>
      <w:r w:rsidRPr="00C07F91">
        <w:t xml:space="preserve"> in the best public interest</w:t>
      </w:r>
      <w:r>
        <w:t xml:space="preserve"> where small, rural ILECs are involved</w:t>
      </w:r>
      <w:r w:rsidRPr="00C07F91">
        <w:t>.  For instance, the Ohio Com</w:t>
      </w:r>
      <w:r w:rsidR="00930230">
        <w:softHyphen/>
      </w:r>
      <w:r w:rsidRPr="00C07F91">
        <w:t>mission does not favor competitive bidding in those areas where a small, rural ILEC would be at an inher</w:t>
      </w:r>
      <w:r w:rsidR="00C5554A">
        <w:softHyphen/>
      </w:r>
      <w:r w:rsidRPr="00C07F91">
        <w:t>ent disadvantage when competing against large ILECs and inter</w:t>
      </w:r>
      <w:r w:rsidR="00930230">
        <w:softHyphen/>
      </w:r>
      <w:r w:rsidRPr="00C07F91">
        <w:t>modal competitors such as cable TV providers</w:t>
      </w:r>
      <w:r w:rsidR="003D4E42" w:rsidRPr="00C07F91">
        <w:t xml:space="preserve">.  </w:t>
      </w:r>
      <w:r>
        <w:t>As such, the Ohio Commission supports the FCC’s previously discussed ROFR approach.</w:t>
      </w:r>
    </w:p>
    <w:p w:rsidR="005840C4" w:rsidRPr="00C07F91" w:rsidRDefault="005840C4" w:rsidP="005840C4">
      <w:pPr>
        <w:pStyle w:val="Textstyle"/>
      </w:pPr>
      <w:r w:rsidRPr="00C07F91">
        <w:tab/>
        <w:t xml:space="preserve">The FCC has proposed use </w:t>
      </w:r>
      <w:r>
        <w:t xml:space="preserve">of </w:t>
      </w:r>
      <w:r w:rsidRPr="00C07F91">
        <w:t>a green-field, “scorched node” approach in develop</w:t>
      </w:r>
      <w:r w:rsidR="00930230">
        <w:softHyphen/>
      </w:r>
      <w:r w:rsidRPr="00C07F91">
        <w:t>ing a broadband cost model if it adopts the ROFR in all areas, followed by competitive bidding where necessary, as an alternative in determining CAF support.</w:t>
      </w:r>
      <w:r w:rsidRPr="00C07F91">
        <w:rPr>
          <w:rStyle w:val="FootnoteReference"/>
          <w:rFonts w:eastAsiaTheme="majorEastAsia"/>
        </w:rPr>
        <w:footnoteReference w:id="143"/>
      </w:r>
      <w:r w:rsidRPr="00C07F91">
        <w:t xml:space="preserve">  Specifically, the FCC asks whether revenues, as well as cost should be considered in </w:t>
      </w:r>
      <w:r>
        <w:t xml:space="preserve">determining CAF support and </w:t>
      </w:r>
      <w:r w:rsidRPr="00C07F91">
        <w:t>seeks comment on possible difficulties in accurately estimating and model</w:t>
      </w:r>
      <w:r w:rsidR="00930230">
        <w:softHyphen/>
      </w:r>
      <w:r w:rsidRPr="00C07F91">
        <w:t>ing revenues.</w:t>
      </w:r>
      <w:r w:rsidRPr="00C07F91">
        <w:rPr>
          <w:rStyle w:val="FootnoteReference"/>
          <w:rFonts w:eastAsiaTheme="majorEastAsia"/>
        </w:rPr>
        <w:footnoteReference w:id="144"/>
      </w:r>
      <w:r w:rsidRPr="00C07F91">
        <w:t xml:space="preserve">  The Ohio Commission reiterates its position set forth </w:t>
      </w:r>
      <w:r>
        <w:t xml:space="preserve">in </w:t>
      </w:r>
      <w:r w:rsidRPr="00C07F91">
        <w:t xml:space="preserve">prior </w:t>
      </w:r>
      <w:proofErr w:type="gramStart"/>
      <w:r w:rsidRPr="00C07F91">
        <w:t>com</w:t>
      </w:r>
      <w:r w:rsidR="00930230">
        <w:softHyphen/>
      </w:r>
      <w:r w:rsidRPr="00C07F91">
        <w:t>ments  that</w:t>
      </w:r>
      <w:proofErr w:type="gramEnd"/>
      <w:r w:rsidRPr="00C07F91">
        <w:t xml:space="preserve"> there are several problems associated with estimating and modeling rev</w:t>
      </w:r>
      <w:r w:rsidR="00930230">
        <w:softHyphen/>
      </w:r>
      <w:r w:rsidRPr="00C07F91">
        <w:t>enues</w:t>
      </w:r>
      <w:r>
        <w:t>:</w:t>
      </w:r>
      <w:r w:rsidRPr="00C07F91">
        <w:rPr>
          <w:rStyle w:val="FootnoteReference"/>
          <w:rFonts w:eastAsiaTheme="majorEastAsia"/>
        </w:rPr>
        <w:footnoteReference w:id="145"/>
      </w:r>
      <w:r w:rsidRPr="00C07F91">
        <w:t xml:space="preserve">  </w:t>
      </w:r>
    </w:p>
    <w:p w:rsidR="00353012" w:rsidRDefault="005840C4" w:rsidP="0020061F">
      <w:pPr>
        <w:pStyle w:val="Blockquote"/>
      </w:pPr>
      <w:r w:rsidRPr="00C07F91">
        <w:t>Such revenues must include not only revenue for voice ser</w:t>
      </w:r>
      <w:r w:rsidR="00930230">
        <w:softHyphen/>
      </w:r>
      <w:r w:rsidRPr="00C07F91">
        <w:t>vice, but also for other services such as internet access and cable TV, including programming revenue.  In other words, much of the revenue would not be directly attributable to broad</w:t>
      </w:r>
      <w:r w:rsidR="00930230">
        <w:softHyphen/>
      </w:r>
      <w:r w:rsidRPr="00C07F91">
        <w:t>band service itself, but would be a by-product of other ser</w:t>
      </w:r>
      <w:r w:rsidR="00930230">
        <w:softHyphen/>
      </w:r>
      <w:r w:rsidRPr="00C07F91">
        <w:t>vices which rely on the underlying broadband availability.  Of course, there would be varying levels of demand for these applications driven in large part, one may presume, by promo</w:t>
      </w:r>
      <w:r w:rsidR="00930230">
        <w:softHyphen/>
      </w:r>
      <w:r w:rsidRPr="00C07F91">
        <w:t>tional offerings</w:t>
      </w:r>
      <w:r w:rsidR="003D4E42" w:rsidRPr="00C07F91">
        <w:t xml:space="preserve">.  </w:t>
      </w:r>
      <w:r w:rsidRPr="00C07F91">
        <w:t xml:space="preserve">Using a cost/revenue model, it would </w:t>
      </w:r>
      <w:r w:rsidR="00353012">
        <w:br/>
      </w:r>
      <w:r w:rsidR="00353012">
        <w:br w:type="page"/>
      </w:r>
    </w:p>
    <w:p w:rsidR="005840C4" w:rsidRPr="00C07F91" w:rsidRDefault="005840C4" w:rsidP="0020061F">
      <w:pPr>
        <w:pStyle w:val="Blockquote"/>
      </w:pPr>
      <w:proofErr w:type="gramStart"/>
      <w:r w:rsidRPr="00C07F91">
        <w:lastRenderedPageBreak/>
        <w:t>be</w:t>
      </w:r>
      <w:proofErr w:type="gramEnd"/>
      <w:r w:rsidRPr="00C07F91">
        <w:t xml:space="preserve"> difficult to account for price fluctuations that result from these promotional offerings</w:t>
      </w:r>
      <w:r w:rsidR="003D4E42" w:rsidRPr="00C07F91">
        <w:t xml:space="preserve">.  </w:t>
      </w:r>
      <w:r w:rsidRPr="00C07F91">
        <w:t>Estimating the demand for each application further adds an additional level of complexity</w:t>
      </w:r>
      <w:r w:rsidR="003D4E42" w:rsidRPr="00C07F91">
        <w:t xml:space="preserve">.  </w:t>
      </w:r>
      <w:r w:rsidRPr="00C07F91">
        <w:t>For instance, several factors such as the minimum number of channels that must be purchased will affect the calculation of costs and revenues for video service.  As one might expect, then, revenue would fluctuate over time as services, service offer</w:t>
      </w:r>
      <w:r w:rsidR="00930230">
        <w:softHyphen/>
      </w:r>
      <w:r w:rsidRPr="00C07F91">
        <w:t>ings and technologies change causing difficulty and unrelia</w:t>
      </w:r>
      <w:r w:rsidR="00930230">
        <w:softHyphen/>
      </w:r>
      <w:r w:rsidRPr="00C07F91">
        <w:t>bility in its estimation using a cost/revenue model.</w:t>
      </w:r>
      <w:r w:rsidRPr="00C07F91">
        <w:rPr>
          <w:rStyle w:val="FootnoteReference"/>
          <w:rFonts w:eastAsiaTheme="majorEastAsia"/>
        </w:rPr>
        <w:footnoteReference w:id="146"/>
      </w:r>
    </w:p>
    <w:p w:rsidR="005840C4" w:rsidRDefault="005840C4" w:rsidP="005840C4">
      <w:pPr>
        <w:pStyle w:val="Textstyle"/>
      </w:pPr>
      <w:r w:rsidRPr="00C07F91">
        <w:t xml:space="preserve">Further, using a cost/revenue model would provide little or no incentive for a carrier to maximize revenue. </w:t>
      </w:r>
      <w:r>
        <w:t xml:space="preserve"> </w:t>
      </w:r>
      <w:r w:rsidRPr="00C07F91">
        <w:t>“Since support would only be provided in those areas where no busi</w:t>
      </w:r>
      <w:r w:rsidR="00930230">
        <w:softHyphen/>
      </w:r>
      <w:r w:rsidRPr="00C07F91">
        <w:t>ness case can be made for offering broadband service, it is a reasonable assumption that a carrier’s revenue for that area will not, in the long term, exceed its costs, otherwise sup</w:t>
      </w:r>
      <w:r w:rsidR="00930230">
        <w:softHyphen/>
      </w:r>
      <w:r w:rsidRPr="00C07F91">
        <w:t xml:space="preserve">port would not be necessary. </w:t>
      </w:r>
      <w:r>
        <w:t xml:space="preserve"> </w:t>
      </w:r>
      <w:r w:rsidRPr="00C07F91">
        <w:t>Since increased revenue would actually reduce the amount of support a carrier receives, there may be an incentive to actually keep revenue down so as not to jeopardize the carrier’s support level.</w:t>
      </w:r>
      <w:r>
        <w:t xml:space="preserve"> </w:t>
      </w:r>
      <w:r w:rsidRPr="00C07F91">
        <w:t xml:space="preserve"> This result runs counter to the NBP’s goal of keeping high-cost support in check.”</w:t>
      </w:r>
      <w:r w:rsidRPr="00C07F91">
        <w:rPr>
          <w:rStyle w:val="FootnoteReference"/>
          <w:rFonts w:eastAsiaTheme="majorEastAsia"/>
        </w:rPr>
        <w:footnoteReference w:id="147"/>
      </w:r>
      <w:r>
        <w:t xml:space="preserve">  Therefore, the Ohio Commission recommends using the </w:t>
      </w:r>
      <w:r w:rsidR="0012655B">
        <w:t>“</w:t>
      </w:r>
      <w:r>
        <w:t>cost/cost” approach in establishing CAF support.</w:t>
      </w:r>
    </w:p>
    <w:p w:rsidR="005840C4" w:rsidRPr="00181AF6" w:rsidRDefault="00FC0358" w:rsidP="00FC0358">
      <w:pPr>
        <w:pStyle w:val="Heading2"/>
      </w:pPr>
      <w:bookmarkStart w:id="64" w:name="_Toc290892278"/>
      <w:r>
        <w:t>IV.</w:t>
      </w:r>
      <w:r>
        <w:tab/>
      </w:r>
      <w:r w:rsidR="005840C4" w:rsidRPr="00181AF6">
        <w:t>C</w:t>
      </w:r>
      <w:r w:rsidR="005840C4">
        <w:t>ONCEPTS TO GUIDE INTERCARRIER COMPENSATION REFORM</w:t>
      </w:r>
      <w:bookmarkEnd w:id="64"/>
    </w:p>
    <w:p w:rsidR="005840C4" w:rsidRPr="003F1E89" w:rsidRDefault="00FC0358" w:rsidP="00FC0358">
      <w:pPr>
        <w:pStyle w:val="Heading3"/>
      </w:pPr>
      <w:bookmarkStart w:id="65" w:name="_Toc290892279"/>
      <w:r>
        <w:t>A.</w:t>
      </w:r>
      <w:r>
        <w:tab/>
      </w:r>
      <w:r w:rsidR="005840C4">
        <w:t>Criteria</w:t>
      </w:r>
      <w:r w:rsidR="005840C4" w:rsidRPr="003F1E89">
        <w:t xml:space="preserve"> to Guide Sustainable Reform</w:t>
      </w:r>
      <w:bookmarkEnd w:id="65"/>
    </w:p>
    <w:p w:rsidR="005840C4" w:rsidRPr="003F1E89" w:rsidRDefault="005840C4" w:rsidP="005840C4">
      <w:pPr>
        <w:pStyle w:val="Textstyle"/>
      </w:pPr>
      <w:r>
        <w:tab/>
        <w:t>The Ohio Commission</w:t>
      </w:r>
      <w:r w:rsidRPr="003F1E89">
        <w:t xml:space="preserve"> </w:t>
      </w:r>
      <w:r>
        <w:t>believes there are four key elements to successfully reform intercarrier compensation</w:t>
      </w:r>
      <w:r w:rsidRPr="003F1E89">
        <w:t xml:space="preserve">: </w:t>
      </w:r>
      <w:r>
        <w:t xml:space="preserve"> </w:t>
      </w:r>
      <w:r w:rsidRPr="003F1E89">
        <w:t xml:space="preserve">a) </w:t>
      </w:r>
      <w:r>
        <w:t xml:space="preserve">a </w:t>
      </w:r>
      <w:r w:rsidRPr="003F1E89">
        <w:t>transition from a per-minute rate to a capacity-based [</w:t>
      </w:r>
      <w:r w:rsidRPr="002D5831">
        <w:rPr>
          <w:i/>
        </w:rPr>
        <w:t>i.e</w:t>
      </w:r>
      <w:r w:rsidRPr="003F1E89">
        <w:t xml:space="preserve">. bandwidth-based] rate; b) </w:t>
      </w:r>
      <w:r>
        <w:t xml:space="preserve">the use of a </w:t>
      </w:r>
      <w:r w:rsidRPr="003F1E89">
        <w:t xml:space="preserve">cost-based unified rate that is </w:t>
      </w:r>
      <w:r w:rsidR="00646FE3">
        <w:t xml:space="preserve">both </w:t>
      </w:r>
      <w:r w:rsidRPr="003F1E89">
        <w:t xml:space="preserve">competitively </w:t>
      </w:r>
      <w:r w:rsidRPr="003F1E89">
        <w:lastRenderedPageBreak/>
        <w:t xml:space="preserve">and technologically neutral </w:t>
      </w:r>
      <w:r>
        <w:t>and</w:t>
      </w:r>
      <w:r w:rsidRPr="003F1E89">
        <w:t xml:space="preserve"> does not distinguish between </w:t>
      </w:r>
      <w:r>
        <w:t xml:space="preserve">the </w:t>
      </w:r>
      <w:r w:rsidRPr="003F1E89">
        <w:t xml:space="preserve">provider originating traffic, </w:t>
      </w:r>
      <w:r>
        <w:t xml:space="preserve">the </w:t>
      </w:r>
      <w:r w:rsidRPr="003F1E89">
        <w:t xml:space="preserve">technology or </w:t>
      </w:r>
      <w:r>
        <w:t xml:space="preserve">the </w:t>
      </w:r>
      <w:r w:rsidRPr="003F1E89">
        <w:t xml:space="preserve">jurisdiction of traffic; c) </w:t>
      </w:r>
      <w:r>
        <w:t>a</w:t>
      </w:r>
      <w:r w:rsidRPr="003F1E89">
        <w:t xml:space="preserve"> rate </w:t>
      </w:r>
      <w:r>
        <w:t xml:space="preserve">design that </w:t>
      </w:r>
      <w:r w:rsidRPr="003F1E89">
        <w:t>recover</w:t>
      </w:r>
      <w:r>
        <w:t>s</w:t>
      </w:r>
      <w:r w:rsidRPr="003F1E89">
        <w:t xml:space="preserve"> the carri</w:t>
      </w:r>
      <w:r w:rsidR="00930230">
        <w:softHyphen/>
      </w:r>
      <w:r w:rsidRPr="003F1E89">
        <w:t>ers</w:t>
      </w:r>
      <w:r>
        <w:t>’</w:t>
      </w:r>
      <w:r w:rsidRPr="003F1E89">
        <w:t xml:space="preserve"> costs for providing transport and termination o telecommunications traffic; and d) </w:t>
      </w:r>
      <w:r>
        <w:t xml:space="preserve">predictability in the </w:t>
      </w:r>
      <w:r w:rsidRPr="003F1E89">
        <w:t xml:space="preserve">transition over a reasonable period of time. </w:t>
      </w:r>
    </w:p>
    <w:p w:rsidR="005840C4" w:rsidRPr="003F1E89" w:rsidRDefault="00FC0358" w:rsidP="00FC0358">
      <w:pPr>
        <w:pStyle w:val="Heading3"/>
      </w:pPr>
      <w:bookmarkStart w:id="66" w:name="_Toc290892280"/>
      <w:r>
        <w:t>B.</w:t>
      </w:r>
      <w:r>
        <w:tab/>
      </w:r>
      <w:r w:rsidR="005840C4" w:rsidRPr="003F1E89">
        <w:t>Intercarrier Compensation Methodology for All-IP Networks</w:t>
      </w:r>
      <w:bookmarkEnd w:id="66"/>
    </w:p>
    <w:p w:rsidR="00F907DB" w:rsidRDefault="005840C4" w:rsidP="005840C4">
      <w:pPr>
        <w:pStyle w:val="Textstyle"/>
      </w:pPr>
      <w:r>
        <w:tab/>
      </w:r>
      <w:r w:rsidRPr="003F1E89">
        <w:t xml:space="preserve">The FCC seeks comment on possible intercarrier compensation </w:t>
      </w:r>
      <w:r>
        <w:t>arrangements</w:t>
      </w:r>
      <w:r w:rsidRPr="003F1E89">
        <w:t xml:space="preserve"> that it might adopt as an end-point for comprehensive reform.</w:t>
      </w:r>
      <w:r w:rsidRPr="003F1E89">
        <w:rPr>
          <w:rStyle w:val="FootnoteReference"/>
          <w:rFonts w:eastAsiaTheme="majorEastAsia"/>
        </w:rPr>
        <w:footnoteReference w:id="148"/>
      </w:r>
      <w:r w:rsidRPr="003F1E89">
        <w:t xml:space="preserve">  Specifically, the FCC seeks comment on the merits of </w:t>
      </w:r>
      <w:r>
        <w:t>a</w:t>
      </w:r>
      <w:r w:rsidRPr="003F1E89">
        <w:t xml:space="preserve"> bill-and-keep </w:t>
      </w:r>
      <w:r>
        <w:t>arrangement</w:t>
      </w:r>
      <w:r w:rsidRPr="003F1E89">
        <w:t>.</w:t>
      </w:r>
      <w:r w:rsidRPr="003F1E89">
        <w:rPr>
          <w:rStyle w:val="FootnoteReference"/>
          <w:rFonts w:eastAsiaTheme="majorEastAsia"/>
        </w:rPr>
        <w:footnoteReference w:id="149"/>
      </w:r>
      <w:r w:rsidRPr="003F1E89">
        <w:t xml:space="preserve">  Although </w:t>
      </w:r>
      <w:r>
        <w:t>a</w:t>
      </w:r>
      <w:r w:rsidRPr="003F1E89">
        <w:t xml:space="preserve"> bill-and-keep </w:t>
      </w:r>
      <w:r>
        <w:t>arrange</w:t>
      </w:r>
      <w:r w:rsidR="00930230">
        <w:softHyphen/>
      </w:r>
      <w:r>
        <w:t>ment</w:t>
      </w:r>
      <w:r w:rsidRPr="003F1E89">
        <w:t xml:space="preserve"> seems to offer a simplified framework for reform, it involves a myriad of problems.  As a threshold matter, the Ohio Commission believes</w:t>
      </w:r>
      <w:r>
        <w:t>,</w:t>
      </w:r>
      <w:r w:rsidRPr="003F1E89">
        <w:t xml:space="preserve"> as it has expressed in prior comments, that </w:t>
      </w:r>
      <w:r>
        <w:t>a</w:t>
      </w:r>
      <w:r w:rsidRPr="003F1E89">
        <w:t xml:space="preserve"> bill-and-keep </w:t>
      </w:r>
      <w:r>
        <w:t>arrangement</w:t>
      </w:r>
      <w:r w:rsidRPr="003F1E89">
        <w:t xml:space="preserve"> is, in fact, a rate setting process.  As the FCC is well aware, responsibility for establishing rates is reserved to states under the Act.</w:t>
      </w:r>
      <w:r w:rsidRPr="003F1E89">
        <w:rPr>
          <w:rStyle w:val="FootnoteReference"/>
          <w:rFonts w:eastAsiaTheme="majorEastAsia"/>
        </w:rPr>
        <w:footnoteReference w:id="150"/>
      </w:r>
      <w:r w:rsidRPr="003F1E89">
        <w:t xml:space="preserve">  Consequently, the Ohio Commission does not believe that the FCC has authority </w:t>
      </w:r>
      <w:r w:rsidR="00F907DB">
        <w:br w:type="page"/>
      </w:r>
    </w:p>
    <w:p w:rsidR="005840C4" w:rsidRPr="003F1E89" w:rsidRDefault="005840C4" w:rsidP="005840C4">
      <w:pPr>
        <w:pStyle w:val="Textstyle"/>
      </w:pPr>
      <w:r w:rsidRPr="003F1E89">
        <w:lastRenderedPageBreak/>
        <w:t xml:space="preserve">to mandate that any carrier or service provider adopt </w:t>
      </w:r>
      <w:r>
        <w:t>a</w:t>
      </w:r>
      <w:r w:rsidRPr="003F1E89">
        <w:t xml:space="preserve"> bill-and-keep </w:t>
      </w:r>
      <w:r>
        <w:t>arrangement</w:t>
      </w:r>
      <w:r w:rsidRPr="003F1E89">
        <w:t>.</w:t>
      </w:r>
      <w:r w:rsidRPr="003F1E89">
        <w:rPr>
          <w:rStyle w:val="FootnoteReference"/>
          <w:rFonts w:eastAsiaTheme="majorEastAsia"/>
        </w:rPr>
        <w:footnoteReference w:id="151"/>
      </w:r>
      <w:r w:rsidRPr="003F1E89">
        <w:t xml:space="preserve"> </w:t>
      </w:r>
      <w:r>
        <w:t xml:space="preserve"> None</w:t>
      </w:r>
      <w:r w:rsidR="00930230">
        <w:softHyphen/>
      </w:r>
      <w:r>
        <w:t>theless, a</w:t>
      </w:r>
      <w:r w:rsidRPr="003F1E89">
        <w:t xml:space="preserve"> bill-and-keep arrangement should always </w:t>
      </w:r>
      <w:r>
        <w:t xml:space="preserve">be </w:t>
      </w:r>
      <w:r w:rsidRPr="003F1E89">
        <w:t xml:space="preserve">an option left for the carrier’s negotiations. </w:t>
      </w:r>
    </w:p>
    <w:p w:rsidR="005840C4" w:rsidRPr="003F1E89" w:rsidRDefault="005840C4" w:rsidP="005840C4">
      <w:pPr>
        <w:pStyle w:val="Textstyle"/>
      </w:pPr>
      <w:r>
        <w:tab/>
      </w:r>
      <w:r w:rsidRPr="003F1E89">
        <w:t xml:space="preserve">In its </w:t>
      </w:r>
      <w:r w:rsidRPr="003F1E89">
        <w:rPr>
          <w:i/>
        </w:rPr>
        <w:t>First Report and Order Decision</w:t>
      </w:r>
      <w:r w:rsidRPr="003F1E89">
        <w:t xml:space="preserve">, the FCC acknowledged that traffic balance is a critical aspect of </w:t>
      </w:r>
      <w:r>
        <w:t>any</w:t>
      </w:r>
      <w:r w:rsidRPr="003F1E89">
        <w:t xml:space="preserve"> bill and keep </w:t>
      </w:r>
      <w:r>
        <w:t>arrangement</w:t>
      </w:r>
      <w:r w:rsidRPr="003F1E89">
        <w:t>.</w:t>
      </w:r>
      <w:r w:rsidRPr="003F1E89">
        <w:rPr>
          <w:rStyle w:val="FootnoteReference"/>
          <w:rFonts w:eastAsiaTheme="majorEastAsia"/>
        </w:rPr>
        <w:footnoteReference w:id="152"/>
      </w:r>
      <w:r w:rsidRPr="003F1E89">
        <w:t xml:space="preserve">  If traffic is not in balance, under </w:t>
      </w:r>
      <w:r>
        <w:t>such an arrangement</w:t>
      </w:r>
      <w:r w:rsidRPr="003F1E89">
        <w:t xml:space="preserve"> a unified reciprocal compensation rate may be necessary. </w:t>
      </w:r>
      <w:r>
        <w:t xml:space="preserve"> </w:t>
      </w:r>
      <w:r w:rsidRPr="003F1E89">
        <w:t xml:space="preserve">This is true not only for traditional wireline networks, but for all IP-networks as well, without regard to whether the traffic is VoIP traffic or another type of IP-based traffic. </w:t>
      </w:r>
      <w:r>
        <w:t xml:space="preserve"> </w:t>
      </w:r>
      <w:r w:rsidRPr="003F1E89">
        <w:t>Further</w:t>
      </w:r>
      <w:r w:rsidR="00930230">
        <w:softHyphen/>
      </w:r>
      <w:r w:rsidRPr="003F1E89">
        <w:t xml:space="preserve">more, under </w:t>
      </w:r>
      <w:r>
        <w:t xml:space="preserve">a bill-and-keep arrangement, </w:t>
      </w:r>
      <w:r w:rsidRPr="003F1E89">
        <w:t>it is unclear how reciprocal compensa</w:t>
      </w:r>
      <w:r w:rsidR="00930230">
        <w:softHyphen/>
      </w:r>
      <w:r w:rsidRPr="003F1E89">
        <w:t xml:space="preserve">tion would operate for a transit traffic provider(s) involved in the completion of the traffic routing to the destination or for traffic between a LEC and </w:t>
      </w:r>
      <w:r>
        <w:t>interexchange carrier (</w:t>
      </w:r>
      <w:r w:rsidRPr="003F1E89">
        <w:t>IXC</w:t>
      </w:r>
      <w:r>
        <w:t>).</w:t>
      </w:r>
      <w:r w:rsidRPr="003F1E89">
        <w:t xml:space="preserve">  Finally, adopting </w:t>
      </w:r>
      <w:r>
        <w:t>a</w:t>
      </w:r>
      <w:r w:rsidRPr="003F1E89">
        <w:t xml:space="preserve"> bill-and-keep </w:t>
      </w:r>
      <w:r>
        <w:t>arrangement</w:t>
      </w:r>
      <w:r w:rsidRPr="003F1E89">
        <w:t xml:space="preserve"> would lead to unnecessary disputes between interconnecting carriers when deciding on the appropriate points of interconnec</w:t>
      </w:r>
      <w:r w:rsidR="00930230">
        <w:softHyphen/>
      </w:r>
      <w:r w:rsidRPr="003F1E89">
        <w:t xml:space="preserve">tion (POI) as well as diminish the value of long-established interconnection arrangements </w:t>
      </w:r>
      <w:r>
        <w:t xml:space="preserve">that were agreed upon using </w:t>
      </w:r>
      <w:r w:rsidRPr="003F1E89">
        <w:t xml:space="preserve">different economic factors.  In the Ohio Commission’s </w:t>
      </w:r>
      <w:r w:rsidRPr="003F1E89">
        <w:lastRenderedPageBreak/>
        <w:t>estima</w:t>
      </w:r>
      <w:r w:rsidR="00930230">
        <w:softHyphen/>
      </w:r>
      <w:r w:rsidRPr="003F1E89">
        <w:t>tion, such an outcome will have stifling effect on the FCC’s goal of increasing broad</w:t>
      </w:r>
      <w:r w:rsidR="00930230">
        <w:softHyphen/>
      </w:r>
      <w:r w:rsidRPr="003F1E89">
        <w:t>band deployment as carriers will be apprehensive to invest in and extend their facili</w:t>
      </w:r>
      <w:r w:rsidR="00930230">
        <w:softHyphen/>
      </w:r>
      <w:r w:rsidRPr="003F1E89">
        <w:t>ties if they do not believe that they will be able to adequately recover their costs.</w:t>
      </w:r>
    </w:p>
    <w:p w:rsidR="005840C4" w:rsidRDefault="005840C4" w:rsidP="005840C4">
      <w:pPr>
        <w:pStyle w:val="Textstyle"/>
      </w:pPr>
      <w:r>
        <w:tab/>
      </w:r>
      <w:r w:rsidRPr="003F1E89">
        <w:t xml:space="preserve">As an alternative to bill-and-keep, the Ohio Commission recommends that the FCC consider a flat-rate </w:t>
      </w:r>
      <w:r>
        <w:t>pricing arrangement</w:t>
      </w:r>
      <w:r w:rsidRPr="003F1E89">
        <w:t>.  As carriers transition from the public switch network to IP-based networks and customers move to bundled service</w:t>
      </w:r>
      <w:r>
        <w:t>s</w:t>
      </w:r>
      <w:r w:rsidRPr="003F1E89">
        <w:t xml:space="preserve"> markets, the focus will shift to the capacity available on the network and the capacity required by every interconnecting carrier.  Accordingly, a flat-rate </w:t>
      </w:r>
      <w:r>
        <w:t>arrangement</w:t>
      </w:r>
      <w:r w:rsidRPr="003F1E89">
        <w:t xml:space="preserve"> based on capacity</w:t>
      </w:r>
      <w:r w:rsidRPr="003F1E89">
        <w:rPr>
          <w:rStyle w:val="FootnoteReference"/>
          <w:rFonts w:eastAsiaTheme="majorEastAsia"/>
        </w:rPr>
        <w:footnoteReference w:id="153"/>
      </w:r>
      <w:r>
        <w:t xml:space="preserve"> enjoys support</w:t>
      </w:r>
      <w:r w:rsidRPr="003F1E89">
        <w:t xml:space="preserve"> from both a policy and technical perspective </w:t>
      </w:r>
      <w:r>
        <w:t>where</w:t>
      </w:r>
      <w:r w:rsidRPr="003F1E89">
        <w:t xml:space="preserve"> it comports with the cost recovery req</w:t>
      </w:r>
      <w:r>
        <w:t>uirements of section 252(d)(2).</w:t>
      </w:r>
      <w:r w:rsidRPr="003F1E89">
        <w:t xml:space="preserve">  Additionally, a flat-rate capacity-based reciprocal compensation </w:t>
      </w:r>
      <w:r>
        <w:t>arrangement</w:t>
      </w:r>
      <w:r w:rsidRPr="003F1E89">
        <w:t xml:space="preserve"> would be easier for carriers and service providers to administer and would provide the incentives necessary for carriers to move to all-IP networks.</w:t>
      </w:r>
      <w:r>
        <w:t xml:space="preserve"> </w:t>
      </w:r>
      <w:r w:rsidRPr="003F1E89">
        <w:t xml:space="preserve"> The Ohio Commission believes that, the FCC has the jurisdiction to </w:t>
      </w:r>
      <w:r>
        <w:t>establish</w:t>
      </w:r>
      <w:r w:rsidRPr="003F1E89">
        <w:t xml:space="preserve"> the pricing methodology (i.e. flat-rated capacity-based methodology), </w:t>
      </w:r>
      <w:r>
        <w:t>while leaving the task of establishing rates to</w:t>
      </w:r>
      <w:r w:rsidRPr="003F1E89">
        <w:t xml:space="preserve"> the states.</w:t>
      </w:r>
    </w:p>
    <w:p w:rsidR="005840C4" w:rsidRPr="00634931" w:rsidRDefault="00FC0358" w:rsidP="00FC0358">
      <w:pPr>
        <w:pStyle w:val="Heading2"/>
      </w:pPr>
      <w:bookmarkStart w:id="67" w:name="_Toc290279175"/>
      <w:bookmarkStart w:id="68" w:name="_Toc290892281"/>
      <w:r>
        <w:t>V.</w:t>
      </w:r>
      <w:r>
        <w:tab/>
      </w:r>
      <w:r w:rsidR="005840C4" w:rsidRPr="00634931">
        <w:t>LEGAL AUTHORITY TO ACCOMPLISH COMPREHENSIVE REFORM</w:t>
      </w:r>
      <w:bookmarkEnd w:id="67"/>
      <w:bookmarkEnd w:id="68"/>
    </w:p>
    <w:p w:rsidR="005840C4" w:rsidRPr="00634931" w:rsidRDefault="00FC0358" w:rsidP="00FC0358">
      <w:pPr>
        <w:pStyle w:val="Heading3"/>
      </w:pPr>
      <w:bookmarkStart w:id="69" w:name="_Toc290279176"/>
      <w:bookmarkStart w:id="70" w:name="_Toc290892282"/>
      <w:r>
        <w:t>A.</w:t>
      </w:r>
      <w:r>
        <w:tab/>
      </w:r>
      <w:r w:rsidR="005840C4" w:rsidRPr="00634931">
        <w:t>Sections 201 and 332</w:t>
      </w:r>
      <w:bookmarkEnd w:id="69"/>
      <w:bookmarkEnd w:id="70"/>
    </w:p>
    <w:p w:rsidR="005840C4" w:rsidRPr="00634931" w:rsidRDefault="005840C4" w:rsidP="005840C4">
      <w:pPr>
        <w:pStyle w:val="Textstyle"/>
      </w:pPr>
      <w:r w:rsidRPr="00634931">
        <w:tab/>
        <w:t xml:space="preserve">The FCC </w:t>
      </w:r>
      <w:r>
        <w:t>requests comments on its</w:t>
      </w:r>
      <w:r w:rsidRPr="00634931">
        <w:t xml:space="preserve"> authority under sections 201 and 332 of the Act to take measure</w:t>
      </w:r>
      <w:r>
        <w:t>s</w:t>
      </w:r>
      <w:r w:rsidRPr="00634931">
        <w:t xml:space="preserve"> to reduce wireless termination charges for both intrastate and inter</w:t>
      </w:r>
      <w:r w:rsidR="00930230">
        <w:softHyphen/>
      </w:r>
      <w:r w:rsidRPr="00634931">
        <w:lastRenderedPageBreak/>
        <w:t>state traffic.  Section 201(a) of the Act establishes the common carrier obligations of both wireline and wireless carrier, while section 201(1) requires that all charges be “just and reasonable.”</w:t>
      </w:r>
      <w:r w:rsidRPr="00634931">
        <w:rPr>
          <w:rStyle w:val="FootnoteReference"/>
          <w:rFonts w:eastAsiaTheme="majorEastAsia"/>
        </w:rPr>
        <w:footnoteReference w:id="154"/>
      </w:r>
      <w:r w:rsidRPr="00634931">
        <w:t xml:space="preserve">  Section 332 of the Act applies exclusively to mobile services.  Specifi</w:t>
      </w:r>
      <w:r w:rsidR="00930230">
        <w:softHyphen/>
      </w:r>
      <w:r w:rsidRPr="00634931">
        <w:t>cally, section 332(c)(3)(A) preempts the states from regulating “the entry of or the rates charges by any commercial mobile radio service.”</w:t>
      </w:r>
      <w:r w:rsidRPr="00634931">
        <w:rPr>
          <w:rStyle w:val="FootnoteReference"/>
          <w:rFonts w:eastAsiaTheme="majorEastAsia"/>
        </w:rPr>
        <w:footnoteReference w:id="155"/>
      </w:r>
      <w:r>
        <w:t xml:space="preserve">  </w:t>
      </w:r>
      <w:r w:rsidRPr="00634931">
        <w:t xml:space="preserve">Relying almost exclusively on a single footnote found in </w:t>
      </w:r>
      <w:r w:rsidRPr="00634931">
        <w:rPr>
          <w:i/>
        </w:rPr>
        <w:t>Iowa Utilities Board v. FCC</w:t>
      </w:r>
      <w:r w:rsidRPr="00634931">
        <w:t>,</w:t>
      </w:r>
      <w:r w:rsidRPr="00634931">
        <w:rPr>
          <w:rStyle w:val="FootnoteReference"/>
          <w:rFonts w:eastAsiaTheme="majorEastAsia"/>
        </w:rPr>
        <w:footnoteReference w:id="156"/>
      </w:r>
      <w:r w:rsidRPr="00634931">
        <w:t xml:space="preserve"> the FCC argues that these sec</w:t>
      </w:r>
      <w:r w:rsidR="00930230">
        <w:softHyphen/>
      </w:r>
      <w:r w:rsidRPr="00634931">
        <w:t xml:space="preserve">tions grant </w:t>
      </w:r>
      <w:r>
        <w:t>it</w:t>
      </w:r>
      <w:r w:rsidRPr="00634931">
        <w:t xml:space="preserve"> authority to reduce wireless termination charges.  In this footnote, the Eighth Circuit Court reasoned that since section 152(b) of the Act</w:t>
      </w:r>
      <w:r w:rsidRPr="00634931">
        <w:rPr>
          <w:rStyle w:val="FootnoteReference"/>
          <w:rFonts w:eastAsiaTheme="majorEastAsia"/>
        </w:rPr>
        <w:footnoteReference w:id="157"/>
      </w:r>
      <w:r w:rsidRPr="00634931">
        <w:t xml:space="preserve"> was amended to pre</w:t>
      </w:r>
      <w:r w:rsidR="00930230">
        <w:softHyphen/>
      </w:r>
      <w:r w:rsidRPr="00634931">
        <w:t xml:space="preserve">clude state regulation of commercial mobile radio service (CMRS), </w:t>
      </w:r>
      <w:r w:rsidRPr="003D4E42">
        <w:rPr>
          <w:i/>
        </w:rPr>
        <w:t>i.e.</w:t>
      </w:r>
      <w:r w:rsidRPr="00634931">
        <w:t>, wireless, rates through its exemption of section 332(c)(3)(A), and because section 332(c)(1)(B) grants the FCC authority to require LECs to interconnect with wireless service providers, the provisions of  rules 51.701</w:t>
      </w:r>
      <w:r w:rsidR="003D4E42" w:rsidRPr="00634931">
        <w:t xml:space="preserve">.  </w:t>
      </w:r>
      <w:r w:rsidRPr="00634931">
        <w:t>51.703, 51.709(b), 51.711(a)(1) and 51.715(d) “remain in full force and effect with respect to the CMRS providers.”  The FCC interprets the Iowa Utilities Board Court’s interpretation of the 332(c)(3)(A) exemption as sufficient to pro</w:t>
      </w:r>
      <w:r w:rsidR="00930230">
        <w:softHyphen/>
      </w:r>
      <w:r w:rsidRPr="00634931">
        <w:t xml:space="preserve">vide exercise its authority under section 201 to ensure that intrastate wireless access </w:t>
      </w:r>
      <w:r w:rsidRPr="00634931">
        <w:lastRenderedPageBreak/>
        <w:t>termina</w:t>
      </w:r>
      <w:r w:rsidR="00930230">
        <w:softHyphen/>
      </w:r>
      <w:r w:rsidRPr="00634931">
        <w:t>tion charges are “just and reasonable” as required by section 201(b).  The Ohio Commission respectfully disagrees.</w:t>
      </w:r>
    </w:p>
    <w:p w:rsidR="005840C4" w:rsidRPr="00634931" w:rsidRDefault="005840C4" w:rsidP="005840C4">
      <w:pPr>
        <w:pStyle w:val="Textstyle"/>
      </w:pPr>
      <w:r w:rsidRPr="00634931">
        <w:tab/>
      </w:r>
      <w:r>
        <w:t>Notwithstanding the</w:t>
      </w:r>
      <w:r w:rsidRPr="00634931">
        <w:t xml:space="preserve"> Court’s reasoning in footnote 21, </w:t>
      </w:r>
      <w:r>
        <w:t xml:space="preserve">the </w:t>
      </w:r>
      <w:r>
        <w:rPr>
          <w:i/>
        </w:rPr>
        <w:t>Iowa Utilities Board</w:t>
      </w:r>
      <w:r>
        <w:t xml:space="preserve"> deci</w:t>
      </w:r>
      <w:r w:rsidR="00930230">
        <w:softHyphen/>
      </w:r>
      <w:r>
        <w:t xml:space="preserve">sion, in the main, </w:t>
      </w:r>
      <w:r w:rsidRPr="00634931">
        <w:t xml:space="preserve">stands for the proposition that the FCC </w:t>
      </w:r>
      <w:r>
        <w:t>lacks</w:t>
      </w:r>
      <w:r w:rsidRPr="00634931">
        <w:t xml:space="preserve"> authority to set prices pursuant to the local competition provisions of section 252.</w:t>
      </w:r>
      <w:r w:rsidRPr="00634931">
        <w:rPr>
          <w:rStyle w:val="FootnoteReference"/>
          <w:rFonts w:eastAsiaTheme="majorEastAsia"/>
        </w:rPr>
        <w:footnoteReference w:id="158"/>
      </w:r>
      <w:r w:rsidRPr="00634931">
        <w:t xml:space="preserve">  The Ohio Commission recognizes that </w:t>
      </w:r>
      <w:r w:rsidR="001D739B">
        <w:t xml:space="preserve">while </w:t>
      </w:r>
      <w:r w:rsidRPr="00634931">
        <w:t xml:space="preserve">section 152 </w:t>
      </w:r>
      <w:r w:rsidR="001D739B">
        <w:t xml:space="preserve">may </w:t>
      </w:r>
      <w:r w:rsidRPr="00634931">
        <w:t>preserve state preemption found in section 332(c)(3)(A)</w:t>
      </w:r>
      <w:r>
        <w:t xml:space="preserve">, </w:t>
      </w:r>
      <w:r w:rsidR="001D739B">
        <w:t xml:space="preserve">that preemption applies only to the regulation of </w:t>
      </w:r>
      <w:r w:rsidRPr="00634931">
        <w:t xml:space="preserve"> </w:t>
      </w:r>
      <w:r w:rsidRPr="00634931">
        <w:rPr>
          <w:i/>
        </w:rPr>
        <w:t>retail</w:t>
      </w:r>
      <w:r w:rsidRPr="00634931">
        <w:t xml:space="preserve"> rates</w:t>
      </w:r>
      <w:r w:rsidR="001D739B">
        <w:t xml:space="preserve"> and not to </w:t>
      </w:r>
      <w:r w:rsidRPr="00634931">
        <w:t xml:space="preserve"> access or other non-retail rates.  </w:t>
      </w:r>
      <w:r>
        <w:t>The language supports such a result:</w:t>
      </w:r>
      <w:r w:rsidRPr="00634931">
        <w:t xml:space="preserve"> </w:t>
      </w:r>
    </w:p>
    <w:p w:rsidR="005840C4" w:rsidRPr="00634931" w:rsidRDefault="005840C4" w:rsidP="005840C4">
      <w:pPr>
        <w:pStyle w:val="Blockquote"/>
      </w:pPr>
      <w:r>
        <w:t>…</w:t>
      </w:r>
      <w:r w:rsidRPr="00634931">
        <w:t>shall exempt providers of commercial mobile radio Ser</w:t>
      </w:r>
      <w:r w:rsidR="00930230">
        <w:softHyphen/>
      </w:r>
      <w:r w:rsidRPr="00634931">
        <w:t>vices</w:t>
      </w:r>
      <w:r>
        <w:t xml:space="preserve"> </w:t>
      </w:r>
      <w:r w:rsidRPr="00634931">
        <w:t>(where such services are a substitute for land line tele</w:t>
      </w:r>
      <w:r w:rsidR="00930230">
        <w:softHyphen/>
      </w:r>
      <w:r w:rsidRPr="00634931">
        <w:t>phone exchange service for a substantial</w:t>
      </w:r>
      <w:r>
        <w:t xml:space="preserve"> </w:t>
      </w:r>
      <w:r w:rsidRPr="00634931">
        <w:t>portion of the communi</w:t>
      </w:r>
      <w:r w:rsidR="00930230">
        <w:softHyphen/>
      </w:r>
      <w:r w:rsidRPr="00634931">
        <w:t>cations within such State) from</w:t>
      </w:r>
      <w:r>
        <w:t xml:space="preserve"> </w:t>
      </w:r>
      <w:r w:rsidRPr="00634931">
        <w:t>the requirements</w:t>
      </w:r>
      <w:r>
        <w:t xml:space="preserve"> </w:t>
      </w:r>
      <w:r w:rsidRPr="00634931">
        <w:t>imposed by a State commission on all</w:t>
      </w:r>
      <w:r>
        <w:t xml:space="preserve"> </w:t>
      </w:r>
      <w:r w:rsidRPr="00634931">
        <w:t>providers of telecommuni</w:t>
      </w:r>
      <w:r w:rsidR="00930230">
        <w:softHyphen/>
      </w:r>
      <w:r w:rsidRPr="00634931">
        <w:t xml:space="preserve">cations service necessary to </w:t>
      </w:r>
      <w:r>
        <w:t>e</w:t>
      </w:r>
      <w:r w:rsidRPr="00634931">
        <w:t>nsure universal</w:t>
      </w:r>
      <w:r>
        <w:t xml:space="preserve"> </w:t>
      </w:r>
      <w:r w:rsidRPr="00634931">
        <w:t>availa</w:t>
      </w:r>
      <w:r w:rsidR="00930230">
        <w:softHyphen/>
      </w:r>
      <w:r w:rsidRPr="00634931">
        <w:t>bility of telecommunications service at affordable rates.</w:t>
      </w:r>
      <w:r w:rsidRPr="00634931">
        <w:rPr>
          <w:rStyle w:val="FootnoteReference"/>
          <w:rFonts w:eastAsiaTheme="majorEastAsia"/>
        </w:rPr>
        <w:footnoteReference w:id="159"/>
      </w:r>
    </w:p>
    <w:p w:rsidR="005840C4" w:rsidRPr="00634931" w:rsidRDefault="005840C4" w:rsidP="005840C4">
      <w:pPr>
        <w:pStyle w:val="Textstyle"/>
      </w:pPr>
      <w:r>
        <w:tab/>
      </w:r>
      <w:r w:rsidRPr="00634931">
        <w:t xml:space="preserve">Discussing wireless service in terms of a substitute for wireline service </w:t>
      </w:r>
      <w:r>
        <w:t>for pur</w:t>
      </w:r>
      <w:r w:rsidR="00930230">
        <w:softHyphen/>
      </w:r>
      <w:r>
        <w:t xml:space="preserve">poses of universal availability at affordable rates </w:t>
      </w:r>
      <w:r w:rsidRPr="00634931">
        <w:t>implies a customer perspective</w:t>
      </w:r>
      <w:r>
        <w:t xml:space="preserve"> and thus</w:t>
      </w:r>
      <w:r w:rsidRPr="00634931">
        <w:t xml:space="preserve"> that the rates at issue in this section are </w:t>
      </w:r>
      <w:r>
        <w:t>retail</w:t>
      </w:r>
      <w:r w:rsidRPr="00634931">
        <w:t xml:space="preserve"> rates.  Accordingly, the Ohio Commission does not believe that section 332(c)(3)(A) is intended to nor does it apply to intrastate wire</w:t>
      </w:r>
      <w:r w:rsidR="00930230">
        <w:softHyphen/>
      </w:r>
      <w:r w:rsidRPr="00634931">
        <w:t xml:space="preserve">less access rates.  This </w:t>
      </w:r>
      <w:r>
        <w:t>notwithstanding</w:t>
      </w:r>
      <w:r w:rsidRPr="00634931">
        <w:t>, the Ohio Commission takes no issue with outcome resulting from the Iowa Utilities Board Court’s determination as the rules pre</w:t>
      </w:r>
      <w:r w:rsidR="00930230">
        <w:softHyphen/>
      </w:r>
      <w:r w:rsidRPr="00634931">
        <w:t xml:space="preserve">served by the </w:t>
      </w:r>
      <w:r w:rsidRPr="006D4B4D">
        <w:rPr>
          <w:i/>
        </w:rPr>
        <w:t>Iowa Utilities Board</w:t>
      </w:r>
      <w:r>
        <w:t xml:space="preserve"> </w:t>
      </w:r>
      <w:r w:rsidRPr="00634931">
        <w:t xml:space="preserve">Court simply establish the criteria and parameters by </w:t>
      </w:r>
      <w:r w:rsidRPr="00634931">
        <w:lastRenderedPageBreak/>
        <w:t xml:space="preserve">which the states may establish </w:t>
      </w:r>
      <w:r>
        <w:t xml:space="preserve">access </w:t>
      </w:r>
      <w:r w:rsidRPr="00634931">
        <w:t xml:space="preserve">rates. </w:t>
      </w:r>
      <w:r>
        <w:t xml:space="preserve"> Accordingly, the Ohio Commission does not believe that the argument propounded by the FCC in the NPRM to reduce wireless termina</w:t>
      </w:r>
      <w:r w:rsidR="00930230">
        <w:softHyphen/>
      </w:r>
      <w:r>
        <w:t>tion charges is persuasive.</w:t>
      </w:r>
    </w:p>
    <w:p w:rsidR="005840C4" w:rsidRPr="00634931" w:rsidRDefault="00FC0358" w:rsidP="00FC0358">
      <w:pPr>
        <w:pStyle w:val="Heading3"/>
      </w:pPr>
      <w:bookmarkStart w:id="71" w:name="_Toc290279177"/>
      <w:bookmarkStart w:id="72" w:name="_Toc290892283"/>
      <w:r>
        <w:t>B.</w:t>
      </w:r>
      <w:r>
        <w:tab/>
      </w:r>
      <w:r w:rsidR="005840C4" w:rsidRPr="00634931">
        <w:t>Section 251(b)(5)</w:t>
      </w:r>
      <w:bookmarkEnd w:id="71"/>
      <w:bookmarkEnd w:id="72"/>
    </w:p>
    <w:p w:rsidR="005840C4" w:rsidRPr="00634931" w:rsidRDefault="005840C4" w:rsidP="005840C4">
      <w:pPr>
        <w:pStyle w:val="Textstyle"/>
      </w:pPr>
      <w:r w:rsidRPr="00634931">
        <w:tab/>
        <w:t>The FCC seeks comment on its authority to determine a methodology for establish</w:t>
      </w:r>
      <w:r w:rsidR="00930230">
        <w:softHyphen/>
      </w:r>
      <w:r w:rsidRPr="00634931">
        <w:t>ing rates for all telecommunications traffic (intrastate, interstate, reciprocal compen</w:t>
      </w:r>
      <w:r w:rsidR="00930230">
        <w:softHyphen/>
      </w:r>
      <w:r w:rsidRPr="00634931">
        <w:t>sation and wireless).</w:t>
      </w:r>
      <w:r w:rsidRPr="00634931">
        <w:rPr>
          <w:rStyle w:val="FootnoteReference"/>
          <w:rFonts w:eastAsiaTheme="majorEastAsia"/>
        </w:rPr>
        <w:footnoteReference w:id="160"/>
      </w:r>
      <w:r w:rsidRPr="00634931">
        <w:t xml:space="preserve">  The FCC believes that it has authority to determine a method</w:t>
      </w:r>
      <w:r w:rsidR="00930230">
        <w:softHyphen/>
      </w:r>
      <w:r w:rsidRPr="00634931">
        <w:t>ology for establishing the rates applicable to the exchange of reciprocal compensa</w:t>
      </w:r>
      <w:r w:rsidR="00930230">
        <w:softHyphen/>
      </w:r>
      <w:r w:rsidRPr="00634931">
        <w:t>tion traffic</w:t>
      </w:r>
      <w:r>
        <w:t xml:space="preserve"> </w:t>
      </w:r>
      <w:r w:rsidRPr="00634931">
        <w:t>and, accordingly, states that it could apply section 251(b)(5) of the Act to all telecommunications traffic exchanged with LECs, including intrastate and inter</w:t>
      </w:r>
      <w:r w:rsidR="00930230">
        <w:softHyphen/>
      </w:r>
      <w:r w:rsidRPr="00634931">
        <w:t>state access traffic.</w:t>
      </w:r>
      <w:r w:rsidRPr="00634931">
        <w:rPr>
          <w:rStyle w:val="FootnoteReference"/>
          <w:rFonts w:eastAsiaTheme="majorEastAsia"/>
        </w:rPr>
        <w:footnoteReference w:id="161"/>
      </w:r>
      <w:r w:rsidRPr="00634931">
        <w:t xml:space="preserve">  </w:t>
      </w:r>
    </w:p>
    <w:p w:rsidR="005840C4" w:rsidRPr="00634931" w:rsidRDefault="005840C4" w:rsidP="005840C4">
      <w:pPr>
        <w:pStyle w:val="Textstyle"/>
      </w:pPr>
      <w:r w:rsidRPr="00634931">
        <w:tab/>
        <w:t>Section 251(b)(5) requires all LECs “to establish reciprocal compensation arrange</w:t>
      </w:r>
      <w:r w:rsidR="00930230">
        <w:softHyphen/>
      </w:r>
      <w:r w:rsidRPr="00634931">
        <w:t>ments for the transport and termination of telecommunications.”</w:t>
      </w:r>
      <w:r w:rsidRPr="00634931">
        <w:rPr>
          <w:rStyle w:val="FootnoteReference"/>
          <w:rFonts w:eastAsiaTheme="majorEastAsia"/>
        </w:rPr>
        <w:footnoteReference w:id="162"/>
      </w:r>
      <w:r w:rsidRPr="00634931">
        <w:t xml:space="preserve">  The FCC contends that the Act broadly defines “telecommunications”</w:t>
      </w:r>
      <w:r w:rsidRPr="00634931">
        <w:rPr>
          <w:rStyle w:val="FootnoteReference"/>
          <w:rFonts w:eastAsiaTheme="majorEastAsia"/>
        </w:rPr>
        <w:footnoteReference w:id="163"/>
      </w:r>
      <w:r w:rsidRPr="00634931">
        <w:t xml:space="preserve"> and, had Congress intended to exclude certain types of telecommunications from the reciprocal compensation frame</w:t>
      </w:r>
      <w:r w:rsidR="00930230">
        <w:softHyphen/>
      </w:r>
      <w:r w:rsidRPr="00634931">
        <w:t xml:space="preserve">work, it could have used a more restrictive term to define the traffic subject to section </w:t>
      </w:r>
      <w:r w:rsidRPr="00634931">
        <w:lastRenderedPageBreak/>
        <w:t>251(b)(5).</w:t>
      </w:r>
      <w:r w:rsidRPr="00634931">
        <w:rPr>
          <w:rStyle w:val="FootnoteReference"/>
          <w:rFonts w:eastAsiaTheme="majorEastAsia"/>
        </w:rPr>
        <w:footnoteReference w:id="164"/>
      </w:r>
      <w:r w:rsidRPr="00634931">
        <w:t xml:space="preserve">  In its </w:t>
      </w:r>
      <w:r w:rsidRPr="00634931">
        <w:rPr>
          <w:i/>
        </w:rPr>
        <w:t>2008 Order and ICC/USF FNPRM</w:t>
      </w:r>
      <w:r w:rsidRPr="00634931">
        <w:t>, the FCC concluded that because Congress used the broad term “telecommunications,” section 251(b)(5) is not limited only to the transport of certain types of telecommunications traffic.</w:t>
      </w:r>
      <w:r w:rsidRPr="00634931">
        <w:rPr>
          <w:rStyle w:val="FootnoteReference"/>
          <w:rFonts w:eastAsiaTheme="majorEastAsia"/>
        </w:rPr>
        <w:footnoteReference w:id="165"/>
      </w:r>
      <w:r w:rsidRPr="00634931">
        <w:t xml:space="preserve">  In its Order, the FCC concluded that section 252(b)(5) is not limited to traffic exchanged between LECs.</w:t>
      </w:r>
      <w:r w:rsidRPr="00634931">
        <w:rPr>
          <w:rStyle w:val="FootnoteReference"/>
          <w:rFonts w:eastAsiaTheme="majorEastAsia"/>
        </w:rPr>
        <w:footnoteReference w:id="166"/>
      </w:r>
      <w:r w:rsidRPr="00634931">
        <w:t xml:space="preserve">  Accordingly, the FCC contends that it could apply the duty to provide recipro</w:t>
      </w:r>
      <w:r w:rsidR="00930230">
        <w:softHyphen/>
      </w:r>
      <w:r w:rsidRPr="00634931">
        <w:t>cal compensation under section 251(b)(5) to all telecommunications traffic exchanged with LECs</w:t>
      </w:r>
      <w:r w:rsidR="003D4E42" w:rsidRPr="00634931">
        <w:t xml:space="preserve">.  </w:t>
      </w:r>
      <w:r w:rsidRPr="00634931">
        <w:t>The FCC further contends that section 251(g)</w:t>
      </w:r>
      <w:r>
        <w:t xml:space="preserve"> </w:t>
      </w:r>
      <w:r w:rsidRPr="00634931">
        <w:t>authorizes it to apply the sec</w:t>
      </w:r>
      <w:r w:rsidR="00930230">
        <w:softHyphen/>
      </w:r>
      <w:r w:rsidRPr="00634931">
        <w:t>tion 251(b)(5) framework to all telecommunications, including access traffic.</w:t>
      </w:r>
      <w:r w:rsidRPr="00634931">
        <w:rPr>
          <w:rStyle w:val="FootnoteReference"/>
          <w:rFonts w:eastAsiaTheme="majorEastAsia"/>
        </w:rPr>
        <w:footnoteReference w:id="167"/>
      </w:r>
      <w:r w:rsidRPr="00634931">
        <w:t xml:space="preserve">  Pursuant to this section 251(b)(5) authority, augmented by section 251(g), the FCC claims that it has authority impose </w:t>
      </w:r>
      <w:r>
        <w:t xml:space="preserve">a </w:t>
      </w:r>
      <w:r w:rsidRPr="00634931">
        <w:t xml:space="preserve">bill-and-keep pricing arrangement for all </w:t>
      </w:r>
      <w:r>
        <w:t>access</w:t>
      </w:r>
      <w:r w:rsidRPr="00634931">
        <w:t xml:space="preserve"> traffic.</w:t>
      </w:r>
      <w:r w:rsidRPr="00634931">
        <w:rPr>
          <w:rStyle w:val="FootnoteReference"/>
          <w:rFonts w:eastAsiaTheme="majorEastAsia"/>
        </w:rPr>
        <w:footnoteReference w:id="168"/>
      </w:r>
      <w:r w:rsidRPr="00634931">
        <w:t xml:space="preserve">  The FCC points to the Supreme Court’s </w:t>
      </w:r>
      <w:r w:rsidRPr="00F251CC">
        <w:rPr>
          <w:i/>
        </w:rPr>
        <w:t>AT&amp;T v. Iowa Utilities Board</w:t>
      </w:r>
      <w:r w:rsidRPr="00634931">
        <w:t xml:space="preserve"> </w:t>
      </w:r>
      <w:r>
        <w:t xml:space="preserve">holding </w:t>
      </w:r>
      <w:r w:rsidRPr="00634931" w:rsidDel="00A25EBF">
        <w:rPr>
          <w:rStyle w:val="FootnoteReference"/>
          <w:rFonts w:eastAsiaTheme="majorEastAsia"/>
        </w:rPr>
        <w:t xml:space="preserve"> </w:t>
      </w:r>
      <w:r>
        <w:t>as granting authority to impose a bill-and-keep pricing arrangement.</w:t>
      </w:r>
      <w:r w:rsidRPr="00A25EBF">
        <w:rPr>
          <w:rStyle w:val="FootnoteReference"/>
          <w:rFonts w:eastAsiaTheme="majorEastAsia"/>
        </w:rPr>
        <w:t xml:space="preserve"> </w:t>
      </w:r>
      <w:r w:rsidRPr="00634931">
        <w:rPr>
          <w:rStyle w:val="FootnoteReference"/>
          <w:rFonts w:eastAsiaTheme="majorEastAsia"/>
        </w:rPr>
        <w:footnoteReference w:id="169"/>
      </w:r>
    </w:p>
    <w:p w:rsidR="005840C4" w:rsidRPr="00634931" w:rsidRDefault="005840C4" w:rsidP="005840C4">
      <w:pPr>
        <w:pStyle w:val="Textstyle"/>
      </w:pPr>
      <w:r w:rsidRPr="00634931">
        <w:tab/>
        <w:t>As explained in its recently</w:t>
      </w:r>
      <w:r>
        <w:t>-</w:t>
      </w:r>
      <w:r w:rsidRPr="00634931">
        <w:t xml:space="preserve">filed comments pertaining to Section XV of this NPRM, the Ohio Commission agrees that the FCC has the authority to bring intrastate access traffic under the section 251(b)(5) framework; however, authority for establishing </w:t>
      </w:r>
      <w:r w:rsidRPr="00634931">
        <w:lastRenderedPageBreak/>
        <w:t xml:space="preserve">the actual rates is </w:t>
      </w:r>
      <w:r>
        <w:t xml:space="preserve">still </w:t>
      </w:r>
      <w:r w:rsidRPr="00634931">
        <w:t xml:space="preserve">reserved </w:t>
      </w:r>
      <w:r>
        <w:t>to</w:t>
      </w:r>
      <w:r w:rsidRPr="00634931">
        <w:t xml:space="preserve"> the states under section 252 of the Act.</w:t>
      </w:r>
      <w:r w:rsidRPr="00634931">
        <w:rPr>
          <w:rStyle w:val="FootnoteReference"/>
          <w:rFonts w:eastAsiaTheme="majorEastAsia"/>
        </w:rPr>
        <w:footnoteReference w:id="170"/>
      </w:r>
      <w:r w:rsidRPr="00634931">
        <w:t xml:space="preserve">  The jurisdic</w:t>
      </w:r>
      <w:r w:rsidR="00930230">
        <w:softHyphen/>
      </w:r>
      <w:r w:rsidRPr="00634931">
        <w:t xml:space="preserve">tion recognized by the Court in </w:t>
      </w:r>
      <w:r w:rsidRPr="00634931">
        <w:rPr>
          <w:i/>
        </w:rPr>
        <w:t>Iowa Utilities Board</w:t>
      </w:r>
      <w:r w:rsidRPr="00634931">
        <w:t xml:space="preserve"> is the jurisdiction to establish a </w:t>
      </w:r>
      <w:r w:rsidRPr="003922AD">
        <w:rPr>
          <w:i/>
        </w:rPr>
        <w:t>pric</w:t>
      </w:r>
      <w:r w:rsidR="00930230">
        <w:rPr>
          <w:i/>
        </w:rPr>
        <w:softHyphen/>
      </w:r>
      <w:r w:rsidRPr="003922AD">
        <w:rPr>
          <w:i/>
        </w:rPr>
        <w:t>ing methodology</w:t>
      </w:r>
      <w:r w:rsidRPr="00634931">
        <w:t>, which would include the parameters and criteria for establishing rates, but not the actual rates themselves</w:t>
      </w:r>
      <w:r w:rsidR="003D4E42" w:rsidRPr="00634931">
        <w:t xml:space="preserve">.  </w:t>
      </w:r>
      <w:r w:rsidRPr="00634931">
        <w:t>Accordingly, the FCC may determine the parameters and criteria by which the states may establish intrastate access rates.  Nonetheless, as rate determination is reserved for the states, the FCC may not impose a bill-and-keep pric</w:t>
      </w:r>
      <w:r w:rsidR="00930230">
        <w:softHyphen/>
      </w:r>
      <w:r w:rsidRPr="00634931">
        <w:t xml:space="preserve">ing arrangement, which is a form of rate setting under any pricing methodology that </w:t>
      </w:r>
      <w:r w:rsidR="00F92167">
        <w:t>the FCC</w:t>
      </w:r>
      <w:r w:rsidR="00F92167" w:rsidRPr="00634931">
        <w:t xml:space="preserve"> </w:t>
      </w:r>
      <w:r w:rsidRPr="00634931">
        <w:t>may adopt.</w:t>
      </w:r>
      <w:r w:rsidRPr="00634931">
        <w:rPr>
          <w:rStyle w:val="FootnoteReference"/>
          <w:rFonts w:eastAsiaTheme="majorEastAsia"/>
        </w:rPr>
        <w:footnoteReference w:id="171"/>
      </w:r>
      <w:r w:rsidRPr="00634931">
        <w:t xml:space="preserve">   </w:t>
      </w:r>
    </w:p>
    <w:p w:rsidR="005840C4" w:rsidRDefault="00FC0358" w:rsidP="00FC0358">
      <w:pPr>
        <w:pStyle w:val="Heading2"/>
      </w:pPr>
      <w:bookmarkStart w:id="73" w:name="_Toc290279178"/>
      <w:bookmarkStart w:id="74" w:name="_Toc290892284"/>
      <w:r>
        <w:t>VI.</w:t>
      </w:r>
      <w:r>
        <w:tab/>
      </w:r>
      <w:r w:rsidR="005840C4" w:rsidRPr="00181AF6">
        <w:t>S</w:t>
      </w:r>
      <w:r w:rsidR="005840C4">
        <w:t>ELECTING THE PATH TO MODERNIZE EXISTING RULES AND ADVANCE IP NETWORKS</w:t>
      </w:r>
      <w:bookmarkEnd w:id="73"/>
      <w:bookmarkEnd w:id="74"/>
    </w:p>
    <w:p w:rsidR="005840C4" w:rsidRPr="003F1E89" w:rsidRDefault="00FC0358" w:rsidP="00FC0358">
      <w:pPr>
        <w:pStyle w:val="Heading3"/>
      </w:pPr>
      <w:bookmarkStart w:id="75" w:name="_Toc290279179"/>
      <w:bookmarkStart w:id="76" w:name="_Toc290892285"/>
      <w:r>
        <w:t>A.</w:t>
      </w:r>
      <w:r>
        <w:tab/>
      </w:r>
      <w:r w:rsidR="005840C4" w:rsidRPr="003F1E89">
        <w:t>Reform Based on Existing Jurisdictional Framework</w:t>
      </w:r>
      <w:bookmarkEnd w:id="75"/>
      <w:bookmarkEnd w:id="76"/>
    </w:p>
    <w:p w:rsidR="005840C4" w:rsidRPr="003F1E89" w:rsidRDefault="00490216" w:rsidP="00490216">
      <w:pPr>
        <w:pStyle w:val="Heading4"/>
      </w:pPr>
      <w:bookmarkStart w:id="77" w:name="_Toc290279180"/>
      <w:bookmarkStart w:id="78" w:name="_Toc290892286"/>
      <w:r>
        <w:t>i.</w:t>
      </w:r>
      <w:r>
        <w:tab/>
      </w:r>
      <w:r w:rsidR="005840C4" w:rsidRPr="003F1E89">
        <w:t>Reforms Undertaken by the FCC</w:t>
      </w:r>
      <w:bookmarkEnd w:id="77"/>
      <w:bookmarkEnd w:id="78"/>
    </w:p>
    <w:p w:rsidR="005840C4" w:rsidRPr="003F1E89" w:rsidRDefault="005840C4" w:rsidP="005840C4">
      <w:pPr>
        <w:pStyle w:val="Textstyle"/>
        <w:rPr>
          <w:rFonts w:eastAsia="TimesNewRoman"/>
        </w:rPr>
      </w:pPr>
      <w:r>
        <w:tab/>
      </w:r>
      <w:r w:rsidRPr="003F1E89">
        <w:t xml:space="preserve">The FCC has proposed </w:t>
      </w:r>
      <w:r>
        <w:rPr>
          <w:rFonts w:eastAsia="TimesNewRoman"/>
        </w:rPr>
        <w:t>elimination of</w:t>
      </w:r>
      <w:r w:rsidRPr="003F1E89">
        <w:rPr>
          <w:rFonts w:eastAsia="TimesNewRoman"/>
        </w:rPr>
        <w:t xml:space="preserve"> per-minute rates, including any necessary cost or revenue recovery that might be provided through the CAF, before it implements the long-term CAF reform.</w:t>
      </w:r>
      <w:r w:rsidRPr="003F1E89">
        <w:rPr>
          <w:rStyle w:val="FootnoteReference"/>
          <w:rFonts w:eastAsia="TimesNewRoman"/>
        </w:rPr>
        <w:footnoteReference w:id="172"/>
      </w:r>
      <w:r w:rsidRPr="003F1E89">
        <w:rPr>
          <w:rFonts w:eastAsia="TimesNewRoman"/>
        </w:rPr>
        <w:t xml:space="preserve">  In addition, the FCC has proposed creating a new methodol</w:t>
      </w:r>
      <w:r w:rsidR="00930230">
        <w:rPr>
          <w:rFonts w:eastAsia="TimesNewRoman"/>
        </w:rPr>
        <w:softHyphen/>
      </w:r>
      <w:r w:rsidRPr="003F1E89">
        <w:rPr>
          <w:rFonts w:eastAsia="TimesNewRoman"/>
        </w:rPr>
        <w:t>ogy for reciprocal compensation, without change to the scope of traffic encom</w:t>
      </w:r>
      <w:r w:rsidR="00930230">
        <w:rPr>
          <w:rFonts w:eastAsia="TimesNewRoman"/>
        </w:rPr>
        <w:softHyphen/>
      </w:r>
      <w:r w:rsidRPr="003F1E89">
        <w:rPr>
          <w:rFonts w:eastAsia="TimesNewRoman"/>
        </w:rPr>
        <w:lastRenderedPageBreak/>
        <w:t>passed by the reciprocal compensation framework.</w:t>
      </w:r>
      <w:r w:rsidRPr="003F1E89">
        <w:rPr>
          <w:rStyle w:val="FootnoteReference"/>
          <w:rFonts w:eastAsia="TimesNewRoman"/>
        </w:rPr>
        <w:footnoteReference w:id="173"/>
      </w:r>
      <w:r w:rsidRPr="003F1E89">
        <w:rPr>
          <w:rFonts w:eastAsia="TimesNewRoman"/>
        </w:rPr>
        <w:t xml:space="preserve">  </w:t>
      </w:r>
      <w:r>
        <w:rPr>
          <w:rFonts w:eastAsia="TimesNewRoman"/>
        </w:rPr>
        <w:t>For reasons discussed later in these comments, t</w:t>
      </w:r>
      <w:r w:rsidRPr="003F1E89">
        <w:rPr>
          <w:rFonts w:eastAsia="TimesNewRoman"/>
        </w:rPr>
        <w:t>he Ohio Commission supports both proposals</w:t>
      </w:r>
      <w:r>
        <w:rPr>
          <w:rFonts w:eastAsia="TimesNewRoman"/>
        </w:rPr>
        <w:t>.</w:t>
      </w:r>
      <w:r w:rsidRPr="003F1E89">
        <w:rPr>
          <w:rFonts w:eastAsia="TimesNewRoman"/>
        </w:rPr>
        <w:t xml:space="preserve">   </w:t>
      </w:r>
    </w:p>
    <w:p w:rsidR="005840C4" w:rsidRPr="003F1E89" w:rsidRDefault="005840C4" w:rsidP="005840C4">
      <w:pPr>
        <w:pStyle w:val="Textstyle"/>
        <w:rPr>
          <w:rFonts w:eastAsia="TimesNewRoman"/>
        </w:rPr>
      </w:pPr>
      <w:r>
        <w:rPr>
          <w:rFonts w:eastAsia="TimesNewRoman"/>
        </w:rPr>
        <w:tab/>
      </w:r>
      <w:r w:rsidRPr="003F1E89">
        <w:rPr>
          <w:rFonts w:eastAsia="TimesNewRoman"/>
        </w:rPr>
        <w:t xml:space="preserve">The FCC asks whether the transition for wireless termination charges should be subject to distinct transition timing so that the resulting cost savings gained by wireless ETCs is realized in parallel with the elimination of competitive ETC support.  It is unclear to the Ohio Commission what reciprocal compensation rate would apply once the wireless carrier is transitioned or whether the FCC would be able to establish </w:t>
      </w:r>
      <w:r w:rsidR="004875BD">
        <w:rPr>
          <w:rFonts w:eastAsia="TimesNewRoman"/>
        </w:rPr>
        <w:t>the pricing methodology</w:t>
      </w:r>
      <w:r w:rsidRPr="003F1E89">
        <w:rPr>
          <w:rFonts w:eastAsia="TimesNewRoman"/>
        </w:rPr>
        <w:t xml:space="preserve"> early in the transition period as it has proposed.  </w:t>
      </w:r>
    </w:p>
    <w:p w:rsidR="005840C4" w:rsidRPr="003F1E89" w:rsidRDefault="005840C4" w:rsidP="005840C4">
      <w:pPr>
        <w:pStyle w:val="Textstyle"/>
        <w:rPr>
          <w:rFonts w:eastAsia="TimesNewRoman"/>
        </w:rPr>
      </w:pPr>
      <w:r>
        <w:rPr>
          <w:rFonts w:eastAsia="TimesNewRoman"/>
        </w:rPr>
        <w:tab/>
      </w:r>
      <w:r w:rsidRPr="003F1E89">
        <w:rPr>
          <w:rFonts w:eastAsia="TimesNewRoman"/>
        </w:rPr>
        <w:t>The FCC points out that the timing of the transition could vary depending upon the type of terminating carrier, given that some carriers’ rates are higher at the outset.</w:t>
      </w:r>
      <w:r w:rsidRPr="003F1E89">
        <w:rPr>
          <w:rStyle w:val="FootnoteReference"/>
          <w:rFonts w:eastAsia="TimesNewRoman"/>
        </w:rPr>
        <w:footnoteReference w:id="174"/>
      </w:r>
      <w:r w:rsidRPr="003F1E89">
        <w:rPr>
          <w:rFonts w:eastAsia="TimesNewRoman"/>
        </w:rPr>
        <w:t xml:space="preserve">  Specifi</w:t>
      </w:r>
      <w:r w:rsidR="00930230">
        <w:rPr>
          <w:rFonts w:eastAsia="TimesNewRoman"/>
        </w:rPr>
        <w:softHyphen/>
      </w:r>
      <w:r w:rsidRPr="003F1E89">
        <w:rPr>
          <w:rFonts w:eastAsia="TimesNewRoman"/>
        </w:rPr>
        <w:t xml:space="preserve">cally, rate-of-return </w:t>
      </w:r>
      <w:r w:rsidR="003D4E42" w:rsidRPr="003F1E89">
        <w:rPr>
          <w:rFonts w:eastAsia="TimesNewRoman"/>
        </w:rPr>
        <w:t>carriers’</w:t>
      </w:r>
      <w:r w:rsidRPr="003F1E89">
        <w:rPr>
          <w:rFonts w:eastAsia="TimesNewRoman"/>
        </w:rPr>
        <w:t xml:space="preserve"> access rates are higher than those of price-cap carri</w:t>
      </w:r>
      <w:r w:rsidR="00930230">
        <w:rPr>
          <w:rFonts w:eastAsia="TimesNewRoman"/>
        </w:rPr>
        <w:softHyphen/>
      </w:r>
      <w:r w:rsidRPr="003F1E89">
        <w:rPr>
          <w:rFonts w:eastAsia="TimesNewRoman"/>
        </w:rPr>
        <w:t>ers.</w:t>
      </w:r>
      <w:r w:rsidRPr="003F1E89">
        <w:rPr>
          <w:rStyle w:val="FootnoteReference"/>
          <w:rFonts w:eastAsia="TimesNewRoman"/>
        </w:rPr>
        <w:footnoteReference w:id="175"/>
      </w:r>
      <w:r w:rsidRPr="003F1E89">
        <w:rPr>
          <w:rFonts w:eastAsia="TimesNewRoman"/>
        </w:rPr>
        <w:t xml:space="preserve">  Accordingly, the FCC asks how it should administer the transition of the rate-of-return carriers.</w:t>
      </w:r>
      <w:r w:rsidRPr="003F1E89">
        <w:rPr>
          <w:rStyle w:val="FootnoteReference"/>
          <w:rFonts w:eastAsia="TimesNewRoman"/>
        </w:rPr>
        <w:footnoteReference w:id="176"/>
      </w:r>
      <w:r>
        <w:rPr>
          <w:rFonts w:eastAsia="TimesNewRoman"/>
        </w:rPr>
        <w:t xml:space="preserve"> </w:t>
      </w:r>
      <w:r w:rsidRPr="003F1E89">
        <w:rPr>
          <w:rFonts w:eastAsia="TimesNewRoman"/>
        </w:rPr>
        <w:t xml:space="preserve"> The Ohio Commission recommends that within the first phase of the transition period, the FCC should adopt a new cost-based pricing methodology for recipro</w:t>
      </w:r>
      <w:r w:rsidR="00930230">
        <w:rPr>
          <w:rFonts w:eastAsia="TimesNewRoman"/>
        </w:rPr>
        <w:softHyphen/>
      </w:r>
      <w:r w:rsidRPr="003F1E89">
        <w:rPr>
          <w:rFonts w:eastAsia="TimesNewRoman"/>
        </w:rPr>
        <w:t xml:space="preserve">cal compensation that would ultimately implemented by the states to </w:t>
      </w:r>
      <w:r>
        <w:rPr>
          <w:rFonts w:eastAsia="TimesNewRoman"/>
        </w:rPr>
        <w:t>establish a</w:t>
      </w:r>
      <w:r w:rsidRPr="003F1E89">
        <w:rPr>
          <w:rFonts w:eastAsia="TimesNewRoman"/>
        </w:rPr>
        <w:t xml:space="preserve"> </w:t>
      </w:r>
      <w:r w:rsidRPr="003F1E89">
        <w:t>unified intercarr</w:t>
      </w:r>
      <w:r>
        <w:t>ier compensation rate on a per-</w:t>
      </w:r>
      <w:r w:rsidRPr="003F1E89">
        <w:t>provider basis in each state.</w:t>
      </w:r>
      <w:r w:rsidRPr="003F1E89">
        <w:rPr>
          <w:rFonts w:eastAsia="TimesNewRoman"/>
        </w:rPr>
        <w:t xml:space="preserve">  This is neces</w:t>
      </w:r>
      <w:r w:rsidR="00930230">
        <w:rPr>
          <w:rFonts w:eastAsia="TimesNewRoman"/>
        </w:rPr>
        <w:softHyphen/>
      </w:r>
      <w:r w:rsidRPr="003F1E89">
        <w:rPr>
          <w:rFonts w:eastAsia="TimesNewRoman"/>
        </w:rPr>
        <w:t>sary to determine the am</w:t>
      </w:r>
      <w:r>
        <w:rPr>
          <w:rFonts w:eastAsia="TimesNewRoman"/>
        </w:rPr>
        <w:t>ount of access revenue recovery</w:t>
      </w:r>
      <w:r w:rsidRPr="003F1E89">
        <w:rPr>
          <w:rFonts w:eastAsia="TimesNewRoman"/>
        </w:rPr>
        <w:t xml:space="preserve"> to be addressed during the transi</w:t>
      </w:r>
      <w:r w:rsidR="00930230">
        <w:rPr>
          <w:rFonts w:eastAsia="TimesNewRoman"/>
        </w:rPr>
        <w:softHyphen/>
      </w:r>
      <w:r w:rsidRPr="003F1E89">
        <w:rPr>
          <w:rFonts w:eastAsia="TimesNewRoman"/>
        </w:rPr>
        <w:t>tion period and will be discussed in greater detail later in these comments.</w:t>
      </w:r>
    </w:p>
    <w:p w:rsidR="005840C4" w:rsidRPr="00181AF6" w:rsidRDefault="00490216" w:rsidP="00490216">
      <w:pPr>
        <w:pStyle w:val="Heading4"/>
        <w:rPr>
          <w:rFonts w:eastAsia="TimesNewRoman"/>
        </w:rPr>
      </w:pPr>
      <w:bookmarkStart w:id="79" w:name="_Toc290279181"/>
      <w:bookmarkStart w:id="80" w:name="_Toc290892287"/>
      <w:r>
        <w:lastRenderedPageBreak/>
        <w:t>ii.</w:t>
      </w:r>
      <w:r>
        <w:tab/>
      </w:r>
      <w:r w:rsidR="005840C4" w:rsidRPr="00181AF6">
        <w:t>Reforms Undertaken by the States</w:t>
      </w:r>
      <w:bookmarkEnd w:id="79"/>
      <w:bookmarkEnd w:id="80"/>
    </w:p>
    <w:p w:rsidR="005840C4" w:rsidRPr="003F1E89" w:rsidRDefault="005840C4" w:rsidP="005840C4">
      <w:pPr>
        <w:pStyle w:val="Textstyle"/>
      </w:pPr>
      <w:r>
        <w:tab/>
      </w:r>
      <w:r w:rsidRPr="003F1E89">
        <w:t xml:space="preserve">The FCC acknowledges that some </w:t>
      </w:r>
      <w:r w:rsidRPr="003F1E89">
        <w:rPr>
          <w:rFonts w:eastAsia="TimesNewRoman"/>
        </w:rPr>
        <w:t>states have undertaken access charge reform using various approaches to account for the unique characteristics of their respective states and the impact each state’s local consumers in setting a glide path for reform.</w:t>
      </w:r>
      <w:r w:rsidRPr="003F1E89">
        <w:rPr>
          <w:rStyle w:val="FootnoteReference"/>
          <w:rFonts w:eastAsia="TimesNewRoman"/>
        </w:rPr>
        <w:footnoteReference w:id="177"/>
      </w:r>
      <w:r w:rsidRPr="003F1E89">
        <w:rPr>
          <w:rFonts w:eastAsia="TimesNewRoman"/>
        </w:rPr>
        <w:t xml:space="preserve">  </w:t>
      </w:r>
      <w:r w:rsidRPr="003F1E89">
        <w:t>On Nov. 3, 2010, the Ohio Commission undertook access charge reform when it opened an investigation into the matter pursuant to the state's recently-enacted telecommunica</w:t>
      </w:r>
      <w:r w:rsidR="00930230">
        <w:softHyphen/>
      </w:r>
      <w:r w:rsidRPr="003F1E89">
        <w:t>tions reform law.</w:t>
      </w:r>
      <w:r w:rsidRPr="003F1E89">
        <w:rPr>
          <w:rStyle w:val="FootnoteReference"/>
          <w:rFonts w:eastAsiaTheme="majorEastAsia"/>
        </w:rPr>
        <w:footnoteReference w:id="178"/>
      </w:r>
      <w:r w:rsidRPr="003F1E89">
        <w:t xml:space="preserve"> </w:t>
      </w:r>
      <w:r>
        <w:t xml:space="preserve"> </w:t>
      </w:r>
      <w:r w:rsidRPr="003F1E89">
        <w:t>This law authorizes the Ohio Commission to reduce ILEC intrastate switched access rates on a revenue-neutral basis under terms and condi</w:t>
      </w:r>
      <w:r w:rsidR="00930230">
        <w:softHyphen/>
      </w:r>
      <w:r w:rsidRPr="003F1E89">
        <w:t>tions that it estab</w:t>
      </w:r>
      <w:r w:rsidR="00C5554A">
        <w:softHyphen/>
      </w:r>
      <w:r w:rsidRPr="003F1E89">
        <w:t>lishes.</w:t>
      </w:r>
      <w:r w:rsidRPr="003F1E89">
        <w:rPr>
          <w:rStyle w:val="FootnoteReference"/>
          <w:rFonts w:eastAsiaTheme="majorEastAsia"/>
        </w:rPr>
        <w:footnoteReference w:id="179"/>
      </w:r>
      <w:r w:rsidRPr="003F1E89">
        <w:t xml:space="preserve"> </w:t>
      </w:r>
      <w:r>
        <w:t xml:space="preserve"> </w:t>
      </w:r>
      <w:r w:rsidRPr="003F1E89">
        <w:t xml:space="preserve">As part of the investigation, the Ohio </w:t>
      </w:r>
      <w:r>
        <w:t>C</w:t>
      </w:r>
      <w:r w:rsidRPr="003F1E89">
        <w:t xml:space="preserve">ommission </w:t>
      </w:r>
      <w:r>
        <w:t xml:space="preserve">has </w:t>
      </w:r>
      <w:r w:rsidRPr="003F1E89">
        <w:t xml:space="preserve">issued a staff-proposed reform plan for comment by all stakeholders. </w:t>
      </w:r>
    </w:p>
    <w:p w:rsidR="005840C4" w:rsidRPr="003F1E89" w:rsidRDefault="005840C4" w:rsidP="005840C4">
      <w:pPr>
        <w:pStyle w:val="Textstyle"/>
      </w:pPr>
      <w:r>
        <w:tab/>
      </w:r>
      <w:r w:rsidRPr="003F1E89">
        <w:t>Under the Ohio staff’s proposed reform plan, the intrastate access rates for each ILEC</w:t>
      </w:r>
      <w:r>
        <w:t xml:space="preserve"> </w:t>
      </w:r>
      <w:r w:rsidRPr="003F1E89">
        <w:t>whose rates are not presently at parity with its interstate access rates (eligible ILECs)</w:t>
      </w:r>
      <w:r>
        <w:rPr>
          <w:rStyle w:val="FootnoteReference"/>
          <w:rFonts w:eastAsiaTheme="majorEastAsia"/>
        </w:rPr>
        <w:t xml:space="preserve"> </w:t>
      </w:r>
      <w:r w:rsidRPr="003F1E89">
        <w:t xml:space="preserve">would be reduced to a level that does </w:t>
      </w:r>
      <w:r>
        <w:t xml:space="preserve">not </w:t>
      </w:r>
      <w:r w:rsidRPr="003F1E89">
        <w:t>exceed its interstate access rates as of the effective date of the reform plan.</w:t>
      </w:r>
      <w:r w:rsidRPr="003F1E89">
        <w:rPr>
          <w:rStyle w:val="FootnoteReference"/>
          <w:rFonts w:eastAsiaTheme="majorEastAsia"/>
        </w:rPr>
        <w:footnoteReference w:id="180"/>
      </w:r>
      <w:r w:rsidRPr="003F1E89">
        <w:t xml:space="preserve">  Additionally, the proposed plan would establish an intrastate access reform fund (ARF) from which eligible ILECs would be entitled to receive monthly disbursements to offset the reduction in the intrastate access rates.</w:t>
      </w:r>
      <w:r w:rsidRPr="003F1E89">
        <w:rPr>
          <w:rStyle w:val="FootnoteReference"/>
          <w:rFonts w:eastAsiaTheme="majorEastAsia"/>
        </w:rPr>
        <w:footnoteReference w:id="181"/>
      </w:r>
      <w:r w:rsidRPr="003F1E89">
        <w:t xml:space="preserve">  </w:t>
      </w:r>
      <w:r w:rsidRPr="003F1E89">
        <w:lastRenderedPageBreak/>
        <w:t xml:space="preserve">Support for the ARF would be received through mandatory monthly contributions paid by ILECs, CLECs, wireless service providers, telephone toll providers </w:t>
      </w:r>
      <w:r w:rsidRPr="003D4E42">
        <w:rPr>
          <w:i/>
        </w:rPr>
        <w:t>(i.e.</w:t>
      </w:r>
      <w:r w:rsidRPr="003F1E89">
        <w:t>, IXCs) and carriers providing telecommunications service to providers of interconnected voice-over-Internet-protocol services.</w:t>
      </w:r>
      <w:r w:rsidRPr="003F1E89">
        <w:rPr>
          <w:rStyle w:val="FootnoteReference"/>
          <w:rFonts w:eastAsiaTheme="majorEastAsia"/>
        </w:rPr>
        <w:footnoteReference w:id="182"/>
      </w:r>
      <w:r w:rsidRPr="003F1E89">
        <w:t xml:space="preserve">  The contribution amount would be</w:t>
      </w:r>
      <w:r w:rsidRPr="003F1E89">
        <w:rPr>
          <w:rFonts w:eastAsia="TimesNewRoman"/>
        </w:rPr>
        <w:t xml:space="preserve"> </w:t>
      </w:r>
      <w:r w:rsidRPr="003F1E89">
        <w:t xml:space="preserve">based on </w:t>
      </w:r>
      <w:r>
        <w:t>each contrib</w:t>
      </w:r>
      <w:r w:rsidR="00930230">
        <w:softHyphen/>
      </w:r>
      <w:r>
        <w:t>uting carrier’s</w:t>
      </w:r>
      <w:r w:rsidRPr="003F1E89">
        <w:t xml:space="preserve"> intrastate retail telecommunications revenue.</w:t>
      </w:r>
      <w:r w:rsidRPr="003F1E89">
        <w:rPr>
          <w:rStyle w:val="FootnoteReference"/>
          <w:rFonts w:eastAsiaTheme="majorEastAsia"/>
        </w:rPr>
        <w:footnoteReference w:id="183"/>
      </w:r>
      <w:r w:rsidRPr="003F1E89">
        <w:t xml:space="preserve">  Over time, the size of the ARF would decrease through a biennial recalculation until the a final non-appealable deci</w:t>
      </w:r>
      <w:r w:rsidR="00930230">
        <w:softHyphen/>
      </w:r>
      <w:r w:rsidRPr="003F1E89">
        <w:t>sion reforming the intercarrier  system is rec</w:t>
      </w:r>
      <w:r>
        <w:t>eived from the FCC or the Ohio C</w:t>
      </w:r>
      <w:r w:rsidRPr="003F1E89">
        <w:t>ommis</w:t>
      </w:r>
      <w:r w:rsidR="00930230">
        <w:softHyphen/>
      </w:r>
      <w:r w:rsidRPr="003F1E89">
        <w:t>sion establishes a state high cost support fund pursuant to Ohio law, whichever occurs earlier.</w:t>
      </w:r>
      <w:r w:rsidRPr="003F1E89">
        <w:rPr>
          <w:rStyle w:val="FootnoteReference"/>
          <w:rFonts w:eastAsiaTheme="majorEastAsia"/>
        </w:rPr>
        <w:footnoteReference w:id="184"/>
      </w:r>
      <w:r w:rsidRPr="003F1E89">
        <w:t xml:space="preserve">  In recalculating the size of the ARF for price cap eligible ILECs, a reduc</w:t>
      </w:r>
      <w:r w:rsidR="00930230">
        <w:softHyphen/>
      </w:r>
      <w:r w:rsidRPr="003F1E89">
        <w:t>tion by $0.50 per access line served by the eligible ILEC as of the end of year preced</w:t>
      </w:r>
      <w:r w:rsidR="00930230">
        <w:softHyphen/>
      </w:r>
      <w:r w:rsidRPr="003F1E89">
        <w:t>ing the recalculation, which may be recovered through an end-user fee, as well as any projected change in access revenue based on changes in both access rates and access minutes would be taken into account.</w:t>
      </w:r>
      <w:r w:rsidRPr="003F1E89">
        <w:rPr>
          <w:rStyle w:val="FootnoteReference"/>
          <w:rFonts w:eastAsiaTheme="majorEastAsia"/>
        </w:rPr>
        <w:footnoteReference w:id="185"/>
      </w:r>
      <w:r w:rsidRPr="003F1E89">
        <w:t xml:space="preserve">  In recalculating the ARF size </w:t>
      </w:r>
      <w:r w:rsidR="004875BD">
        <w:t xml:space="preserve">for </w:t>
      </w:r>
      <w:r w:rsidRPr="003F1E89">
        <w:t>non-price cap eligible ILECs, the percentage change of access line served by the eligible ILEC as of the end of year preceding the recalculation as well as any projected change in access revenue based on changes in access rates only while maintaining the level of access minutes at the 2009 level would be taken into consideration.</w:t>
      </w:r>
      <w:r w:rsidRPr="003F1E89">
        <w:rPr>
          <w:rStyle w:val="FootnoteReference"/>
          <w:rFonts w:eastAsiaTheme="majorEastAsia"/>
        </w:rPr>
        <w:footnoteReference w:id="186"/>
      </w:r>
      <w:r>
        <w:t xml:space="preserve"> </w:t>
      </w:r>
      <w:r w:rsidRPr="003F1E89">
        <w:t xml:space="preserve"> Earlier this year, the Ohio Commission </w:t>
      </w:r>
      <w:r w:rsidRPr="003F1E89">
        <w:lastRenderedPageBreak/>
        <w:t>requested and received comments and reply comments from inter</w:t>
      </w:r>
      <w:r w:rsidR="00930230">
        <w:softHyphen/>
      </w:r>
      <w:r w:rsidRPr="003F1E89">
        <w:t xml:space="preserve">ested stakeholders. </w:t>
      </w:r>
      <w:r>
        <w:t xml:space="preserve"> </w:t>
      </w:r>
      <w:r w:rsidRPr="003F1E89">
        <w:t>Rele</w:t>
      </w:r>
      <w:r w:rsidR="00C5554A">
        <w:softHyphen/>
      </w:r>
      <w:r w:rsidRPr="003F1E89">
        <w:t>vant data has since been requested from all eligible and contrib</w:t>
      </w:r>
      <w:r w:rsidR="00930230">
        <w:softHyphen/>
      </w:r>
      <w:r w:rsidRPr="003F1E89">
        <w:t>uting carriers.  Foll</w:t>
      </w:r>
      <w:r>
        <w:t>ow</w:t>
      </w:r>
      <w:r w:rsidR="00C5554A">
        <w:softHyphen/>
      </w:r>
      <w:r>
        <w:t>ing the filing of this data, i</w:t>
      </w:r>
      <w:r w:rsidRPr="003F1E89">
        <w:t>nterested parties will be afforded an oppor</w:t>
      </w:r>
      <w:r w:rsidR="00930230">
        <w:softHyphen/>
      </w:r>
      <w:r w:rsidRPr="003F1E89">
        <w:t xml:space="preserve">tunity to file supplemental and reply comments. </w:t>
      </w:r>
    </w:p>
    <w:p w:rsidR="005840C4" w:rsidRPr="003F1E89" w:rsidRDefault="005840C4" w:rsidP="005840C4">
      <w:pPr>
        <w:pStyle w:val="Textstyle"/>
      </w:pPr>
      <w:r>
        <w:tab/>
      </w:r>
      <w:r w:rsidRPr="003F1E89">
        <w:t xml:space="preserve">The Ohio Commission strongly believes that the FCC, in collaboration with the states regarding </w:t>
      </w:r>
      <w:r w:rsidR="004875BD">
        <w:t xml:space="preserve">reform of </w:t>
      </w:r>
      <w:r w:rsidRPr="003F1E89">
        <w:t xml:space="preserve">intrastate access rates, should </w:t>
      </w:r>
      <w:r>
        <w:t>establish</w:t>
      </w:r>
      <w:r w:rsidRPr="003F1E89">
        <w:t xml:space="preserve"> the general parameters of the transi</w:t>
      </w:r>
      <w:r w:rsidR="00930230">
        <w:softHyphen/>
      </w:r>
      <w:r w:rsidRPr="003F1E89">
        <w:t>tion period and encourage the states to reduce their intrastate access rates to mirror the interstate access rates during the initial transition phase.  As intrastate access rates are reduced mechanisms to offset this reduction will most certainly be introduced.  However, the Ohio</w:t>
      </w:r>
      <w:r>
        <w:t xml:space="preserve"> C</w:t>
      </w:r>
      <w:r w:rsidRPr="003F1E89">
        <w:t>ommission does not believe that a mandatory interstate subscriber line charge (SLC) is the appropriate mechanism to offset the reduced  revenues that will result from intrast</w:t>
      </w:r>
      <w:r>
        <w:t>ate access reform.</w:t>
      </w:r>
      <w:r w:rsidRPr="003F1E89">
        <w:t xml:space="preserve">  The implementation of such a mechanism will </w:t>
      </w:r>
      <w:r>
        <w:t>only</w:t>
      </w:r>
      <w:r w:rsidRPr="003F1E89">
        <w:t xml:space="preserve"> shift </w:t>
      </w:r>
      <w:r>
        <w:t>intra</w:t>
      </w:r>
      <w:r w:rsidR="00930230">
        <w:softHyphen/>
      </w:r>
      <w:r>
        <w:t xml:space="preserve">state revenue to </w:t>
      </w:r>
      <w:r w:rsidRPr="003F1E89">
        <w:t>the interstate side.</w:t>
      </w:r>
      <w:r>
        <w:t xml:space="preserve">  </w:t>
      </w:r>
      <w:r w:rsidRPr="003F1E89">
        <w:t xml:space="preserve">While this approach should be an option for states to consider, it should not be mandated.  Instead, states should </w:t>
      </w:r>
      <w:r w:rsidR="004875BD">
        <w:t>maintain</w:t>
      </w:r>
      <w:r w:rsidRPr="003F1E89">
        <w:t xml:space="preserve"> the flexibil</w:t>
      </w:r>
      <w:r w:rsidR="00C5554A">
        <w:softHyphen/>
      </w:r>
      <w:r w:rsidRPr="003F1E89">
        <w:t>ity to decide how and to what extent reduced intrastate access reven</w:t>
      </w:r>
      <w:r>
        <w:t>ues are recovered.  The Ohio C</w:t>
      </w:r>
      <w:r w:rsidRPr="003F1E89">
        <w:t>ommission</w:t>
      </w:r>
      <w:r>
        <w:t xml:space="preserve"> believes</w:t>
      </w:r>
      <w:r w:rsidRPr="003F1E89">
        <w:t xml:space="preserve"> that clear direction from the FCC on universal service fund and intercarrier compensation reform </w:t>
      </w:r>
      <w:r>
        <w:t xml:space="preserve">may </w:t>
      </w:r>
      <w:r w:rsidRPr="003F1E89">
        <w:t>provide the best encouragement for states to initiate intrastate access reform</w:t>
      </w:r>
      <w:r w:rsidR="003D4E42" w:rsidRPr="003F1E89">
        <w:t xml:space="preserve">.  </w:t>
      </w:r>
      <w:r w:rsidRPr="003F1E89">
        <w:t>Therefore, clarity with regard to the phases, sequenc</w:t>
      </w:r>
      <w:r w:rsidR="00C5554A">
        <w:softHyphen/>
      </w:r>
      <w:r w:rsidRPr="003F1E89">
        <w:t xml:space="preserve">ing and timing of the transition period will be of great importance to this process. </w:t>
      </w:r>
    </w:p>
    <w:p w:rsidR="005840C4" w:rsidRPr="003F1E89" w:rsidRDefault="00490216" w:rsidP="00490216">
      <w:pPr>
        <w:pStyle w:val="Heading4"/>
      </w:pPr>
      <w:bookmarkStart w:id="81" w:name="_Toc290279182"/>
      <w:bookmarkStart w:id="82" w:name="_Toc290892288"/>
      <w:r>
        <w:lastRenderedPageBreak/>
        <w:t>iii.</w:t>
      </w:r>
      <w:r>
        <w:tab/>
      </w:r>
      <w:r w:rsidR="005840C4" w:rsidRPr="003F1E89">
        <w:t>Reform Based on the 1996 Act Framework</w:t>
      </w:r>
      <w:bookmarkEnd w:id="81"/>
      <w:bookmarkEnd w:id="82"/>
    </w:p>
    <w:p w:rsidR="005840C4" w:rsidRPr="003F1E89" w:rsidRDefault="005840C4" w:rsidP="005840C4">
      <w:pPr>
        <w:pStyle w:val="Textstyle"/>
      </w:pPr>
      <w:r w:rsidRPr="003F1E89">
        <w:tab/>
        <w:t>The FCC has proposed using the mechanism established in section 251 to work with the states on intercarrier compensation reform.</w:t>
      </w:r>
      <w:r w:rsidRPr="003F1E89">
        <w:rPr>
          <w:rStyle w:val="FootnoteReference"/>
          <w:rFonts w:eastAsiaTheme="majorEastAsia"/>
        </w:rPr>
        <w:footnoteReference w:id="187"/>
      </w:r>
      <w:r w:rsidRPr="003F1E89">
        <w:t xml:space="preserve">  Specifically, the FCC would bring all traffic within the section 251(b)(5) reciprocal compensation framework at the begin</w:t>
      </w:r>
      <w:r w:rsidR="00930230">
        <w:softHyphen/>
      </w:r>
      <w:r w:rsidRPr="003F1E89">
        <w:t>ning of the transition while setting a glide path toward the elimination of per-minute charges.</w:t>
      </w:r>
      <w:r w:rsidRPr="003F1E89">
        <w:rPr>
          <w:rStyle w:val="FootnoteReference"/>
          <w:rFonts w:eastAsiaTheme="majorEastAsia"/>
        </w:rPr>
        <w:footnoteReference w:id="188"/>
      </w:r>
      <w:r w:rsidRPr="003F1E89">
        <w:t xml:space="preserve">  The FCC would then adopt a pricing methodology that would be imple</w:t>
      </w:r>
      <w:r w:rsidR="00930230">
        <w:softHyphen/>
      </w:r>
      <w:r w:rsidRPr="003F1E89">
        <w:t>mented by the states.</w:t>
      </w:r>
      <w:r w:rsidRPr="003F1E89">
        <w:rPr>
          <w:rStyle w:val="FootnoteReference"/>
          <w:rFonts w:eastAsiaTheme="majorEastAsia"/>
        </w:rPr>
        <w:footnoteReference w:id="189"/>
      </w:r>
      <w:r w:rsidRPr="003F1E89">
        <w:t xml:space="preserve">  Recognizing the FCC’s authority under section 251, the Ohio </w:t>
      </w:r>
      <w:r>
        <w:t>C</w:t>
      </w:r>
      <w:r w:rsidRPr="003F1E89">
        <w:t xml:space="preserve">ommission believes that the emphasis under the FCC’s proposal should be placed </w:t>
      </w:r>
      <w:r>
        <w:t xml:space="preserve">on </w:t>
      </w:r>
      <w:r w:rsidRPr="003F1E89">
        <w:t xml:space="preserve">section 251(d)(3), which preserves states access regulation. </w:t>
      </w:r>
      <w:r>
        <w:t xml:space="preserve"> </w:t>
      </w:r>
      <w:r w:rsidRPr="003F1E89">
        <w:t>While all traffic would be subject to the section 251(b)(5) framework and the pricing methodology adopted by the FCC, states would establish rates for traffic pursuant to this methodology</w:t>
      </w:r>
      <w:r>
        <w:t xml:space="preserve"> </w:t>
      </w:r>
      <w:r w:rsidRPr="003F1E89">
        <w:t xml:space="preserve">while retaining their regulatory jurisdiction of (local and intrastate) traffic </w:t>
      </w:r>
      <w:r w:rsidR="004875BD">
        <w:t xml:space="preserve">of all carriers </w:t>
      </w:r>
      <w:r w:rsidRPr="003F1E89">
        <w:t>as it is today.  Additionally, in setting a glide path toward the elimination of per-minute charges, the FCC should, as a first step, ensure that the states are given sufficient time to reduce intra</w:t>
      </w:r>
      <w:r w:rsidR="00C5554A">
        <w:softHyphen/>
      </w:r>
      <w:r w:rsidRPr="003F1E89">
        <w:t xml:space="preserve">state access rates to mirror interstate rates. </w:t>
      </w:r>
    </w:p>
    <w:p w:rsidR="005840C4" w:rsidRPr="003F1E89" w:rsidRDefault="005840C4" w:rsidP="005840C4">
      <w:pPr>
        <w:pStyle w:val="Textstyle"/>
        <w:rPr>
          <w:rFonts w:eastAsia="TimesNewRoman"/>
        </w:rPr>
      </w:pPr>
      <w:r w:rsidRPr="003F1E89">
        <w:tab/>
        <w:t>The FCC asks how rate reductions should be structured and implemented if all traf</w:t>
      </w:r>
      <w:r w:rsidR="00930230">
        <w:softHyphen/>
      </w:r>
      <w:r w:rsidRPr="003F1E89">
        <w:t>fic is brought under the section 251(b)(5) framework, suggesting that the reductions may be negotiated by the carriers and providers.</w:t>
      </w:r>
      <w:r w:rsidRPr="003F1E89">
        <w:rPr>
          <w:rStyle w:val="FootnoteReference"/>
          <w:rFonts w:eastAsiaTheme="majorEastAsia"/>
        </w:rPr>
        <w:footnoteReference w:id="190"/>
      </w:r>
      <w:r w:rsidRPr="003F1E89">
        <w:t xml:space="preserve">  The Ohio Commission does not </w:t>
      </w:r>
      <w:r w:rsidRPr="003F1E89">
        <w:lastRenderedPageBreak/>
        <w:t>believe that simply leaving reductions to the negotiations of carrier</w:t>
      </w:r>
      <w:r>
        <w:t>s</w:t>
      </w:r>
      <w:r w:rsidRPr="003F1E89">
        <w:t xml:space="preserve"> and provide</w:t>
      </w:r>
      <w:r>
        <w:t>r</w:t>
      </w:r>
      <w:r w:rsidRPr="003F1E89">
        <w:t xml:space="preserve">s would be productive. </w:t>
      </w:r>
      <w:r>
        <w:t xml:space="preserve"> </w:t>
      </w:r>
      <w:r w:rsidRPr="003F1E89">
        <w:t>While carriers and provider</w:t>
      </w:r>
      <w:r>
        <w:t>s</w:t>
      </w:r>
      <w:r w:rsidRPr="003F1E89">
        <w:t xml:space="preserve"> should have the option to negotiate reduc</w:t>
      </w:r>
      <w:r w:rsidR="00930230">
        <w:softHyphen/>
      </w:r>
      <w:r w:rsidRPr="003F1E89">
        <w:t xml:space="preserve">tions, doing so may not be practical. </w:t>
      </w:r>
      <w:r>
        <w:t xml:space="preserve"> </w:t>
      </w:r>
      <w:r w:rsidRPr="003F1E89">
        <w:t>As the FCC is well aware, section 252(i) requires local exchange carriers to make any interconnection, service or network element provided under an agreement approved pursuant to section 252 available to any requesting telecommu</w:t>
      </w:r>
      <w:r w:rsidR="00930230">
        <w:softHyphen/>
      </w:r>
      <w:r w:rsidRPr="003F1E89">
        <w:t>nications carrier upon the same terms and conditions as those provided in the agreement.</w:t>
      </w:r>
      <w:r w:rsidRPr="003F1E89">
        <w:rPr>
          <w:rStyle w:val="FootnoteReference"/>
          <w:rFonts w:eastAsiaTheme="majorEastAsia"/>
        </w:rPr>
        <w:footnoteReference w:id="191"/>
      </w:r>
      <w:r w:rsidRPr="003F1E89">
        <w:t xml:space="preserve">  The Ohio Commission believes that </w:t>
      </w:r>
      <w:r>
        <w:t>]\the FCC’s proposal to leave reduc</w:t>
      </w:r>
      <w:r w:rsidR="00930230">
        <w:softHyphen/>
      </w:r>
      <w:r>
        <w:t xml:space="preserve">tions to the negotiation process </w:t>
      </w:r>
      <w:r w:rsidRPr="003F1E89">
        <w:t>would act as a disincentive to negotiate access rate reduc</w:t>
      </w:r>
      <w:r w:rsidR="00930230">
        <w:softHyphen/>
      </w:r>
      <w:r w:rsidRPr="003F1E89">
        <w:t>tions.  Instead, the Ohio Commission recommends that the FCC adopt its alternative pro</w:t>
      </w:r>
      <w:r w:rsidR="00930230">
        <w:softHyphen/>
      </w:r>
      <w:r w:rsidRPr="003F1E89">
        <w:t xml:space="preserve">posal to establish a default glide path for access rate reductions that </w:t>
      </w:r>
      <w:r>
        <w:t>establishes a</w:t>
      </w:r>
      <w:r w:rsidRPr="003F1E89">
        <w:t xml:space="preserve"> timeframe for gradual rate reduction using a mechanism such as the proposed percentage per year for certain number of years.</w:t>
      </w:r>
      <w:r w:rsidRPr="003F1E89">
        <w:rPr>
          <w:rStyle w:val="FootnoteReference"/>
          <w:rFonts w:eastAsiaTheme="majorEastAsia"/>
        </w:rPr>
        <w:footnoteReference w:id="192"/>
      </w:r>
    </w:p>
    <w:p w:rsidR="005840C4" w:rsidRPr="003F1E89" w:rsidRDefault="00FC0358" w:rsidP="00FC0358">
      <w:pPr>
        <w:pStyle w:val="Heading2"/>
      </w:pPr>
      <w:bookmarkStart w:id="83" w:name="_Toc290279183"/>
      <w:bookmarkStart w:id="84" w:name="_Toc290892289"/>
      <w:r>
        <w:t>VII.</w:t>
      </w:r>
      <w:r>
        <w:tab/>
      </w:r>
      <w:r w:rsidR="005840C4">
        <w:t>DEVELOPING A RECOVERY MECHANISM</w:t>
      </w:r>
      <w:bookmarkEnd w:id="83"/>
      <w:bookmarkEnd w:id="84"/>
    </w:p>
    <w:p w:rsidR="005840C4" w:rsidRDefault="005840C4" w:rsidP="005840C4">
      <w:pPr>
        <w:pStyle w:val="Textstyle"/>
        <w:rPr>
          <w:rFonts w:eastAsia="TimesNewRoman"/>
        </w:rPr>
      </w:pPr>
      <w:r>
        <w:tab/>
      </w:r>
      <w:r w:rsidRPr="003F1E89">
        <w:t>As the FCC</w:t>
      </w:r>
      <w:r>
        <w:t xml:space="preserve"> correctly</w:t>
      </w:r>
      <w:r w:rsidRPr="003F1E89">
        <w:t xml:space="preserve"> notes, the </w:t>
      </w:r>
      <w:r w:rsidRPr="003F1E89">
        <w:rPr>
          <w:rFonts w:eastAsia="TimesNewRoman"/>
        </w:rPr>
        <w:t>telecommunications industry is transitioning from the public switch network to all-IP networks that provide an array of services, regulated and non-regulated alike.</w:t>
      </w:r>
      <w:r w:rsidRPr="003F1E89">
        <w:rPr>
          <w:rStyle w:val="FootnoteReference"/>
          <w:rFonts w:eastAsia="TimesNewRoman"/>
        </w:rPr>
        <w:footnoteReference w:id="193"/>
      </w:r>
      <w:r w:rsidRPr="003F1E89">
        <w:rPr>
          <w:rFonts w:eastAsia="TimesNewRoman"/>
        </w:rPr>
        <w:t xml:space="preserve"> </w:t>
      </w:r>
      <w:r>
        <w:rPr>
          <w:rFonts w:eastAsia="TimesNewRoman"/>
        </w:rPr>
        <w:t xml:space="preserve"> In this environment,</w:t>
      </w:r>
      <w:r w:rsidRPr="003F1E89">
        <w:rPr>
          <w:rFonts w:eastAsia="TimesNewRoman"/>
        </w:rPr>
        <w:t xml:space="preserve"> non-regulated services have become an  increasingly important source of revenues that derived from these multi-purpose net</w:t>
      </w:r>
      <w:r w:rsidR="00930230">
        <w:rPr>
          <w:rFonts w:eastAsia="TimesNewRoman"/>
        </w:rPr>
        <w:softHyphen/>
      </w:r>
      <w:r w:rsidRPr="003F1E89">
        <w:rPr>
          <w:rFonts w:eastAsia="TimesNewRoman"/>
        </w:rPr>
        <w:lastRenderedPageBreak/>
        <w:t>works.</w:t>
      </w:r>
      <w:r w:rsidRPr="003F1E89">
        <w:rPr>
          <w:rStyle w:val="FootnoteReference"/>
          <w:rFonts w:eastAsia="TimesNewRoman"/>
        </w:rPr>
        <w:footnoteReference w:id="194"/>
      </w:r>
      <w:r w:rsidRPr="003F1E89">
        <w:rPr>
          <w:rFonts w:eastAsia="TimesNewRoman"/>
        </w:rPr>
        <w:t xml:space="preserve">  As such, the Ohio Commission agrees that any analysis </w:t>
      </w:r>
      <w:r>
        <w:rPr>
          <w:rFonts w:eastAsia="TimesNewRoman"/>
        </w:rPr>
        <w:t>regarding</w:t>
      </w:r>
      <w:r w:rsidRPr="003F1E89">
        <w:rPr>
          <w:rFonts w:eastAsia="TimesNewRoman"/>
        </w:rPr>
        <w:t xml:space="preserve"> reductions in intercarrier compensation should encompass more than a voice-centric approach.</w:t>
      </w:r>
      <w:r w:rsidRPr="003F1E89">
        <w:rPr>
          <w:rStyle w:val="FootnoteReference"/>
          <w:rFonts w:eastAsia="TimesNewRoman"/>
        </w:rPr>
        <w:footnoteReference w:id="195"/>
      </w:r>
      <w:r w:rsidRPr="003F1E89">
        <w:rPr>
          <w:rFonts w:eastAsia="TimesNewRoman"/>
        </w:rPr>
        <w:t xml:space="preserve">  Con</w:t>
      </w:r>
      <w:r w:rsidR="00930230">
        <w:rPr>
          <w:rFonts w:eastAsia="TimesNewRoman"/>
        </w:rPr>
        <w:softHyphen/>
      </w:r>
      <w:r w:rsidRPr="003F1E89">
        <w:rPr>
          <w:rFonts w:eastAsia="TimesNewRoman"/>
        </w:rPr>
        <w:t>sistent with the National broadband Plan, recovery objectives should focus on providing incentives for carriers to transition to broadband while ensuring that these carriers retain the ability to provide voice service.</w:t>
      </w:r>
    </w:p>
    <w:p w:rsidR="005840C4" w:rsidRPr="00FC0358" w:rsidRDefault="00FC0358" w:rsidP="00FC0358">
      <w:pPr>
        <w:pStyle w:val="Heading3"/>
        <w:rPr>
          <w:rFonts w:eastAsia="TimesNewRoman"/>
        </w:rPr>
      </w:pPr>
      <w:bookmarkStart w:id="85" w:name="_Toc290279184"/>
      <w:bookmarkStart w:id="86" w:name="_Toc290892290"/>
      <w:r>
        <w:rPr>
          <w:rFonts w:eastAsia="TimesNewRoman"/>
        </w:rPr>
        <w:t>A.</w:t>
      </w:r>
      <w:r>
        <w:rPr>
          <w:rFonts w:eastAsia="TimesNewRoman"/>
        </w:rPr>
        <w:tab/>
      </w:r>
      <w:r w:rsidR="005840C4" w:rsidRPr="00FC0358">
        <w:rPr>
          <w:rFonts w:eastAsia="TimesNewRoman"/>
        </w:rPr>
        <w:t>Determining the Type and Amount of Recovery</w:t>
      </w:r>
      <w:bookmarkEnd w:id="85"/>
      <w:bookmarkEnd w:id="86"/>
    </w:p>
    <w:p w:rsidR="005840C4" w:rsidRPr="003F1E89" w:rsidRDefault="005840C4" w:rsidP="005840C4">
      <w:pPr>
        <w:pStyle w:val="Textstyle"/>
        <w:rPr>
          <w:rFonts w:eastAsia="TimesNewRoman"/>
        </w:rPr>
      </w:pPr>
      <w:r>
        <w:rPr>
          <w:rFonts w:eastAsia="TimesNewRoman"/>
        </w:rPr>
        <w:tab/>
      </w:r>
      <w:r w:rsidRPr="003F1E89">
        <w:rPr>
          <w:rFonts w:eastAsia="TimesNewRoman"/>
        </w:rPr>
        <w:t>In determining the type and amount of any potential recovery for t</w:t>
      </w:r>
      <w:r>
        <w:rPr>
          <w:rFonts w:eastAsia="TimesNewRoman"/>
        </w:rPr>
        <w:t>he</w:t>
      </w:r>
      <w:r w:rsidRPr="003F1E89">
        <w:rPr>
          <w:rFonts w:eastAsia="TimesNewRoman"/>
        </w:rPr>
        <w:t xml:space="preserve"> reduced access revenue, the FCC discusses two alternative approaches</w:t>
      </w:r>
      <w:r>
        <w:rPr>
          <w:rFonts w:eastAsia="TimesNewRoman"/>
        </w:rPr>
        <w:t>:</w:t>
      </w:r>
      <w:r w:rsidRPr="003F1E89">
        <w:rPr>
          <w:rFonts w:eastAsia="TimesNewRoman"/>
        </w:rPr>
        <w:t xml:space="preserve"> “cost recovery” and “reve</w:t>
      </w:r>
      <w:r w:rsidR="00930230">
        <w:rPr>
          <w:rFonts w:eastAsia="TimesNewRoman"/>
        </w:rPr>
        <w:softHyphen/>
      </w:r>
      <w:r w:rsidRPr="003F1E89">
        <w:rPr>
          <w:rFonts w:eastAsia="TimesNewRoman"/>
        </w:rPr>
        <w:t>nue recovery.”</w:t>
      </w:r>
      <w:r w:rsidRPr="003F1E89">
        <w:rPr>
          <w:rStyle w:val="FootnoteReference"/>
          <w:rFonts w:eastAsia="TimesNewRoman"/>
        </w:rPr>
        <w:footnoteReference w:id="196"/>
      </w:r>
      <w:r>
        <w:rPr>
          <w:rFonts w:eastAsia="TimesNewRoman"/>
        </w:rPr>
        <w:t xml:space="preserve"> </w:t>
      </w:r>
      <w:r w:rsidRPr="003F1E89">
        <w:rPr>
          <w:rFonts w:eastAsia="TimesNewRoman"/>
        </w:rPr>
        <w:t xml:space="preserve"> For purposes of the transition period, the Ohio Commission </w:t>
      </w:r>
      <w:r>
        <w:rPr>
          <w:rFonts w:eastAsia="TimesNewRoman"/>
        </w:rPr>
        <w:t>believes that</w:t>
      </w:r>
      <w:r w:rsidRPr="003F1E89">
        <w:rPr>
          <w:rFonts w:eastAsia="TimesNewRoman"/>
        </w:rPr>
        <w:t xml:space="preserve"> the “cost recovery” approach </w:t>
      </w:r>
      <w:r>
        <w:rPr>
          <w:rFonts w:eastAsia="TimesNewRoman"/>
        </w:rPr>
        <w:t>is overly</w:t>
      </w:r>
      <w:r w:rsidRPr="003F1E89">
        <w:rPr>
          <w:rFonts w:eastAsia="TimesNewRoman"/>
        </w:rPr>
        <w:t xml:space="preserve"> complicated and, if adopted, </w:t>
      </w:r>
      <w:r>
        <w:rPr>
          <w:rFonts w:eastAsia="TimesNewRoman"/>
        </w:rPr>
        <w:t>would</w:t>
      </w:r>
      <w:r w:rsidRPr="003F1E89">
        <w:rPr>
          <w:rFonts w:eastAsia="TimesNewRoman"/>
        </w:rPr>
        <w:t xml:space="preserve"> require addressing several highly contested subjects such as cost standards</w:t>
      </w:r>
      <w:r w:rsidR="00646FE3">
        <w:rPr>
          <w:rFonts w:eastAsia="TimesNewRoman"/>
        </w:rPr>
        <w:t>,</w:t>
      </w:r>
      <w:r w:rsidRPr="003F1E89">
        <w:rPr>
          <w:rStyle w:val="FootnoteReference"/>
          <w:rFonts w:eastAsia="TimesNewRoman"/>
        </w:rPr>
        <w:footnoteReference w:id="197"/>
      </w:r>
      <w:r w:rsidRPr="003F1E89">
        <w:rPr>
          <w:rFonts w:eastAsia="TimesNewRoman"/>
        </w:rPr>
        <w:t xml:space="preserve"> network platform and its associated cost,</w:t>
      </w:r>
      <w:r w:rsidRPr="003F1E89">
        <w:rPr>
          <w:rStyle w:val="FootnoteReference"/>
          <w:rFonts w:eastAsia="TimesNewRoman"/>
        </w:rPr>
        <w:footnoteReference w:id="198"/>
      </w:r>
      <w:r>
        <w:rPr>
          <w:rFonts w:eastAsia="TimesNewRoman"/>
        </w:rPr>
        <w:t xml:space="preserve"> and cost model.</w:t>
      </w:r>
      <w:r w:rsidRPr="003F1E89">
        <w:rPr>
          <w:rFonts w:eastAsia="TimesNewRoman"/>
        </w:rPr>
        <w:t xml:space="preserve">  Each of </w:t>
      </w:r>
      <w:r>
        <w:rPr>
          <w:rFonts w:eastAsia="TimesNewRoman"/>
        </w:rPr>
        <w:t xml:space="preserve">these </w:t>
      </w:r>
      <w:r w:rsidRPr="003F1E89">
        <w:rPr>
          <w:rFonts w:eastAsia="TimesNewRoman"/>
        </w:rPr>
        <w:t>controversial  issues must be resolved and implemented during the transition period.</w:t>
      </w:r>
    </w:p>
    <w:p w:rsidR="005840C4" w:rsidRPr="003F1E89" w:rsidRDefault="005840C4" w:rsidP="005840C4">
      <w:pPr>
        <w:pStyle w:val="Textstyle"/>
        <w:rPr>
          <w:rFonts w:eastAsia="TimesNewRoman"/>
        </w:rPr>
      </w:pPr>
      <w:r>
        <w:rPr>
          <w:rFonts w:eastAsia="TimesNewRoman"/>
        </w:rPr>
        <w:tab/>
        <w:t>The Ohio C</w:t>
      </w:r>
      <w:r w:rsidRPr="003F1E89">
        <w:rPr>
          <w:rFonts w:eastAsia="TimesNewRoman"/>
        </w:rPr>
        <w:t>ommission is of the opinion that the “revenue recovery” approach is the more administratively practical approach for purposes of a transition period</w:t>
      </w:r>
      <w:r>
        <w:rPr>
          <w:rFonts w:eastAsia="TimesNewRoman"/>
        </w:rPr>
        <w:t>,</w:t>
      </w:r>
      <w:r w:rsidRPr="003F1E89">
        <w:rPr>
          <w:rFonts w:eastAsia="TimesNewRoman"/>
        </w:rPr>
        <w:t xml:space="preserve"> and </w:t>
      </w:r>
      <w:r>
        <w:rPr>
          <w:rFonts w:eastAsia="TimesNewRoman"/>
        </w:rPr>
        <w:t xml:space="preserve">one that </w:t>
      </w:r>
      <w:r w:rsidRPr="003F1E89">
        <w:rPr>
          <w:rFonts w:eastAsia="TimesNewRoman"/>
        </w:rPr>
        <w:t xml:space="preserve">provides the FCC with more flexibility to consider different aspects of the </w:t>
      </w:r>
      <w:r w:rsidRPr="003F1E89">
        <w:rPr>
          <w:rFonts w:eastAsia="TimesNewRoman"/>
        </w:rPr>
        <w:lastRenderedPageBreak/>
        <w:t>telecommuni</w:t>
      </w:r>
      <w:r w:rsidR="00930230">
        <w:rPr>
          <w:rFonts w:eastAsia="TimesNewRoman"/>
        </w:rPr>
        <w:softHyphen/>
      </w:r>
      <w:r w:rsidRPr="003F1E89">
        <w:rPr>
          <w:rFonts w:eastAsia="TimesNewRoman"/>
        </w:rPr>
        <w:t>cations market and its dynamics as it determines the appropriate access reduc</w:t>
      </w:r>
      <w:r w:rsidR="00930230">
        <w:rPr>
          <w:rFonts w:eastAsia="TimesNewRoman"/>
        </w:rPr>
        <w:softHyphen/>
      </w:r>
      <w:r w:rsidRPr="003F1E89">
        <w:rPr>
          <w:rFonts w:eastAsia="TimesNewRoman"/>
        </w:rPr>
        <w:t>tion recovery method.</w:t>
      </w:r>
      <w:r w:rsidRPr="003F1E89">
        <w:rPr>
          <w:rStyle w:val="FootnoteReference"/>
          <w:rFonts w:eastAsia="TimesNewRoman"/>
        </w:rPr>
        <w:footnoteReference w:id="199"/>
      </w:r>
      <w:r w:rsidRPr="003F1E89">
        <w:rPr>
          <w:rFonts w:eastAsia="TimesNewRoman"/>
        </w:rPr>
        <w:t xml:space="preserve">  As recognized by the FCC and noted above, the Ohio Commis</w:t>
      </w:r>
      <w:r w:rsidR="00930230">
        <w:rPr>
          <w:rFonts w:eastAsia="TimesNewRoman"/>
        </w:rPr>
        <w:softHyphen/>
      </w:r>
      <w:r w:rsidRPr="003F1E89">
        <w:rPr>
          <w:rFonts w:eastAsia="TimesNewRoman"/>
        </w:rPr>
        <w:t xml:space="preserve">sion has opened an intrastate access proceeding </w:t>
      </w:r>
      <w:r>
        <w:rPr>
          <w:rFonts w:eastAsia="TimesNewRoman"/>
        </w:rPr>
        <w:t>to address these</w:t>
      </w:r>
      <w:r w:rsidRPr="003F1E89">
        <w:rPr>
          <w:rFonts w:eastAsia="TimesNewRoman"/>
        </w:rPr>
        <w:t xml:space="preserve"> same issues</w:t>
      </w:r>
      <w:r w:rsidR="003D4E42">
        <w:rPr>
          <w:rFonts w:eastAsia="TimesNewRoman"/>
        </w:rPr>
        <w:t xml:space="preserve">.  </w:t>
      </w:r>
      <w:r>
        <w:rPr>
          <w:rFonts w:eastAsia="TimesNewRoman"/>
        </w:rPr>
        <w:t>Accordingly, the Ohio C</w:t>
      </w:r>
      <w:r w:rsidRPr="003F1E89">
        <w:rPr>
          <w:rFonts w:eastAsia="TimesNewRoman"/>
        </w:rPr>
        <w:t>ommission may at this time only provide limited input on this aspect of the recovery mechanism.  Nonetheless, the Ohio Commission encourages the FCC adopt a recovery mechanism and set a glide path that preserves state regulatory author</w:t>
      </w:r>
      <w:r w:rsidR="00930230">
        <w:rPr>
          <w:rFonts w:eastAsia="TimesNewRoman"/>
        </w:rPr>
        <w:softHyphen/>
      </w:r>
      <w:r w:rsidRPr="003F1E89">
        <w:rPr>
          <w:rFonts w:eastAsia="TimesNewRoman"/>
        </w:rPr>
        <w:t>ity over traffic and revenue and provide the states with the needed flexibility to imple</w:t>
      </w:r>
      <w:r w:rsidR="00C5554A">
        <w:rPr>
          <w:rFonts w:eastAsia="TimesNewRoman"/>
        </w:rPr>
        <w:softHyphen/>
      </w:r>
      <w:r w:rsidRPr="003F1E89">
        <w:rPr>
          <w:rFonts w:eastAsia="TimesNewRoman"/>
        </w:rPr>
        <w:t xml:space="preserve">ment the FCC’s reforms.   </w:t>
      </w:r>
    </w:p>
    <w:p w:rsidR="005840C4" w:rsidRPr="00181AF6" w:rsidRDefault="00FC0358" w:rsidP="00FC0358">
      <w:pPr>
        <w:pStyle w:val="Heading3"/>
      </w:pPr>
      <w:bookmarkStart w:id="87" w:name="_Toc290279185"/>
      <w:bookmarkStart w:id="88" w:name="_Toc290892291"/>
      <w:r>
        <w:t>B.</w:t>
      </w:r>
      <w:r>
        <w:tab/>
      </w:r>
      <w:r w:rsidR="005840C4" w:rsidRPr="00181AF6">
        <w:t>Criteria for Recovery from the CAF</w:t>
      </w:r>
      <w:bookmarkEnd w:id="87"/>
      <w:bookmarkEnd w:id="88"/>
    </w:p>
    <w:p w:rsidR="005840C4" w:rsidRPr="003F1E89" w:rsidRDefault="005840C4" w:rsidP="005840C4">
      <w:pPr>
        <w:pStyle w:val="Textstyle"/>
        <w:rPr>
          <w:rFonts w:eastAsia="TimesNewRoman"/>
        </w:rPr>
      </w:pPr>
      <w:r>
        <w:tab/>
      </w:r>
      <w:r w:rsidRPr="003F1E89">
        <w:t xml:space="preserve">For the purposes of </w:t>
      </w:r>
      <w:r>
        <w:t>long-term reform, the Ohio C</w:t>
      </w:r>
      <w:r w:rsidRPr="003F1E89">
        <w:t>ommission recommends that under competitive bidding</w:t>
      </w:r>
      <w:r w:rsidR="0012655B">
        <w:t>,</w:t>
      </w:r>
      <w:r w:rsidRPr="003F1E89">
        <w:t xml:space="preserve"> </w:t>
      </w:r>
      <w:r w:rsidRPr="003F1E89">
        <w:rPr>
          <w:rFonts w:eastAsia="TimesNewRoman"/>
        </w:rPr>
        <w:t>all bids should include all explicit universal service support necessary to provide affordable service in a particular geographic area.  Such a require</w:t>
      </w:r>
      <w:r w:rsidR="00930230">
        <w:rPr>
          <w:rFonts w:eastAsia="TimesNewRoman"/>
        </w:rPr>
        <w:softHyphen/>
      </w:r>
      <w:r w:rsidRPr="003F1E89">
        <w:rPr>
          <w:rFonts w:eastAsia="TimesNewRoman"/>
        </w:rPr>
        <w:t>ment will eliminate the need for separate universal service funding mechanisms to address recovery for intercarrier compensation</w:t>
      </w:r>
      <w:r>
        <w:rPr>
          <w:rFonts w:eastAsia="TimesNewRoman"/>
        </w:rPr>
        <w:t xml:space="preserve"> reform.</w:t>
      </w:r>
      <w:r w:rsidRPr="003F1E89">
        <w:rPr>
          <w:rFonts w:eastAsia="TimesNewRoman"/>
        </w:rPr>
        <w:t xml:space="preserve">  Similarly, under a right of first refusal, funding should include all explicit universal service support necessary to provide affordable service in a particular geographic area. </w:t>
      </w:r>
      <w:r>
        <w:rPr>
          <w:rFonts w:eastAsia="TimesNewRoman"/>
        </w:rPr>
        <w:t xml:space="preserve"> </w:t>
      </w:r>
      <w:r w:rsidRPr="003F1E89">
        <w:rPr>
          <w:rFonts w:eastAsia="TimesNewRoman"/>
        </w:rPr>
        <w:t xml:space="preserve">The Ohio Commission believes that the recovery mechanisms adopted as part of the transition period should be eliminated at the end of this period should the </w:t>
      </w:r>
      <w:r>
        <w:rPr>
          <w:rFonts w:eastAsia="TimesNewRoman"/>
        </w:rPr>
        <w:t xml:space="preserve">FCC </w:t>
      </w:r>
      <w:r w:rsidRPr="003F1E89">
        <w:rPr>
          <w:rFonts w:eastAsia="TimesNewRoman"/>
        </w:rPr>
        <w:t xml:space="preserve">require </w:t>
      </w:r>
      <w:r w:rsidRPr="003F1E89">
        <w:t xml:space="preserve">competitive bidders to </w:t>
      </w:r>
      <w:r w:rsidRPr="003F1E89">
        <w:rPr>
          <w:rFonts w:eastAsia="TimesNewRoman"/>
        </w:rPr>
        <w:t xml:space="preserve">include all explicit universal service support necessary to provide affordable service in their bids. </w:t>
      </w:r>
    </w:p>
    <w:p w:rsidR="005840C4" w:rsidRPr="003F1E89" w:rsidRDefault="005840C4" w:rsidP="005840C4">
      <w:pPr>
        <w:pStyle w:val="Textstyle"/>
        <w:rPr>
          <w:rFonts w:eastAsia="TimesNewRoman"/>
        </w:rPr>
      </w:pPr>
      <w:r>
        <w:rPr>
          <w:rFonts w:eastAsia="TimesNewRoman"/>
        </w:rPr>
        <w:lastRenderedPageBreak/>
        <w:tab/>
        <w:t>The</w:t>
      </w:r>
      <w:r w:rsidRPr="003F1E89">
        <w:rPr>
          <w:rFonts w:eastAsia="TimesNewRoman"/>
        </w:rPr>
        <w:t xml:space="preserve"> Ohio </w:t>
      </w:r>
      <w:r>
        <w:rPr>
          <w:rFonts w:eastAsia="TimesNewRoman"/>
        </w:rPr>
        <w:t>C</w:t>
      </w:r>
      <w:r w:rsidRPr="003F1E89">
        <w:rPr>
          <w:rFonts w:eastAsia="TimesNewRoman"/>
        </w:rPr>
        <w:t>ommission</w:t>
      </w:r>
      <w:r>
        <w:rPr>
          <w:rFonts w:eastAsia="TimesNewRoman"/>
        </w:rPr>
        <w:t xml:space="preserve"> recommends</w:t>
      </w:r>
      <w:r w:rsidRPr="003F1E89">
        <w:rPr>
          <w:rFonts w:eastAsia="TimesNewRoman"/>
        </w:rPr>
        <w:t xml:space="preserve"> that the FCC establish a clear transition period that ends prior to any competitive bidding or recognition of a right of first refusal.  To ensure that providers adhere to the established transition period, those carriers that have not reduced all of their intercarrier compensation rates prior to any competitive bid</w:t>
      </w:r>
      <w:r w:rsidR="00930230">
        <w:rPr>
          <w:rFonts w:eastAsia="TimesNewRoman"/>
        </w:rPr>
        <w:softHyphen/>
      </w:r>
      <w:r w:rsidRPr="003F1E89">
        <w:rPr>
          <w:rFonts w:eastAsia="TimesNewRoman"/>
        </w:rPr>
        <w:t>ding or recognition of a right of first refusal, should, as a condition of receiving new CAF support, be required to reduce all rates to the a rate levels anticipated at the end of the transi</w:t>
      </w:r>
      <w:r w:rsidR="00930230">
        <w:rPr>
          <w:rFonts w:eastAsia="TimesNewRoman"/>
        </w:rPr>
        <w:softHyphen/>
      </w:r>
      <w:r w:rsidRPr="003F1E89">
        <w:rPr>
          <w:rFonts w:eastAsia="TimesNewRoman"/>
        </w:rPr>
        <w:t xml:space="preserve">tion period. </w:t>
      </w:r>
      <w:r>
        <w:rPr>
          <w:rFonts w:eastAsia="TimesNewRoman"/>
        </w:rPr>
        <w:t xml:space="preserve"> </w:t>
      </w:r>
      <w:r w:rsidRPr="003F1E89">
        <w:rPr>
          <w:rFonts w:eastAsia="TimesNewRoman"/>
        </w:rPr>
        <w:t xml:space="preserve">Furthermore, the Ohio Commission recommends that these carriers not be permitted to include the support that they would otherwise have been eligible to receive had they timely reduced the rates in the bidding price. </w:t>
      </w:r>
      <w:r>
        <w:rPr>
          <w:rFonts w:eastAsia="TimesNewRoman"/>
        </w:rPr>
        <w:t xml:space="preserve"> </w:t>
      </w:r>
      <w:r w:rsidRPr="003F1E89">
        <w:rPr>
          <w:rFonts w:eastAsia="TimesNewRoman"/>
        </w:rPr>
        <w:t xml:space="preserve">The Ohio Commission believes that this approach provides a sufficient enforcement </w:t>
      </w:r>
      <w:r>
        <w:rPr>
          <w:rFonts w:eastAsia="TimesNewRoman"/>
        </w:rPr>
        <w:t>mechanism and an</w:t>
      </w:r>
      <w:r w:rsidRPr="003F1E89">
        <w:rPr>
          <w:rFonts w:eastAsia="TimesNewRoman"/>
        </w:rPr>
        <w:t xml:space="preserve"> incentive for all carriers to follow the established process. </w:t>
      </w:r>
    </w:p>
    <w:p w:rsidR="005840C4" w:rsidRDefault="00FC0358" w:rsidP="00FC0358">
      <w:pPr>
        <w:pStyle w:val="Heading2"/>
      </w:pPr>
      <w:bookmarkStart w:id="89" w:name="_Toc290279186"/>
      <w:bookmarkStart w:id="90" w:name="_Toc290892292"/>
      <w:r>
        <w:t>VIII.</w:t>
      </w:r>
      <w:r>
        <w:tab/>
      </w:r>
      <w:r w:rsidR="005840C4" w:rsidRPr="006865A8">
        <w:t>I</w:t>
      </w:r>
      <w:r w:rsidR="005840C4">
        <w:t>NTERCONNECTION AND RELATED ISSUES</w:t>
      </w:r>
      <w:bookmarkEnd w:id="89"/>
      <w:bookmarkEnd w:id="90"/>
    </w:p>
    <w:p w:rsidR="005840C4" w:rsidRDefault="005840C4" w:rsidP="005840C4">
      <w:pPr>
        <w:pStyle w:val="Textstyle"/>
      </w:pPr>
      <w:r w:rsidRPr="006865A8">
        <w:tab/>
        <w:t>The FCC seeks comment on interconnection-related issues including steps to pro</w:t>
      </w:r>
      <w:r w:rsidR="00930230">
        <w:softHyphen/>
      </w:r>
      <w:r w:rsidRPr="006865A8">
        <w:t>mote IP-to-IP interconnection, network edges and points of interconnection (POIs), transit</w:t>
      </w:r>
      <w:r w:rsidR="00930230">
        <w:softHyphen/>
      </w:r>
      <w:r w:rsidRPr="006865A8">
        <w:t>ing and disputes concerning technical issues in intercarrier compensation rules and carrier practices.</w:t>
      </w:r>
      <w:r w:rsidRPr="006865A8">
        <w:rPr>
          <w:rStyle w:val="FootnoteReference"/>
          <w:rFonts w:eastAsiaTheme="majorEastAsia"/>
        </w:rPr>
        <w:footnoteReference w:id="200"/>
      </w:r>
      <w:r w:rsidRPr="006865A8">
        <w:t xml:space="preserve">  With regard to these issues, the FCC asks if </w:t>
      </w:r>
      <w:r>
        <w:t>they</w:t>
      </w:r>
      <w:r w:rsidRPr="006865A8">
        <w:t xml:space="preserve"> should be addressed as part of comprehensive intercarrier compensation reform and, if so, </w:t>
      </w:r>
      <w:r>
        <w:t>how</w:t>
      </w:r>
      <w:r w:rsidRPr="006865A8">
        <w:t xml:space="preserve"> and </w:t>
      </w:r>
      <w:r>
        <w:t xml:space="preserve">when this should </w:t>
      </w:r>
      <w:r w:rsidRPr="006865A8">
        <w:t>be accomplished.</w:t>
      </w:r>
      <w:r w:rsidRPr="006865A8">
        <w:rPr>
          <w:rStyle w:val="FootnoteReference"/>
          <w:rFonts w:eastAsiaTheme="majorEastAsia"/>
        </w:rPr>
        <w:footnoteReference w:id="201"/>
      </w:r>
    </w:p>
    <w:p w:rsidR="005840C4" w:rsidRDefault="00490216" w:rsidP="00FC0358">
      <w:pPr>
        <w:pStyle w:val="Heading3"/>
      </w:pPr>
      <w:bookmarkStart w:id="91" w:name="_Toc290279187"/>
      <w:bookmarkStart w:id="92" w:name="_Toc290892293"/>
      <w:r>
        <w:lastRenderedPageBreak/>
        <w:t>A.</w:t>
      </w:r>
      <w:r>
        <w:tab/>
      </w:r>
      <w:r w:rsidR="005840C4" w:rsidRPr="006865A8">
        <w:t>IP-to-IP Interconnection</w:t>
      </w:r>
      <w:bookmarkEnd w:id="91"/>
      <w:bookmarkEnd w:id="92"/>
    </w:p>
    <w:p w:rsidR="005840C4" w:rsidRDefault="005840C4" w:rsidP="005840C4">
      <w:pPr>
        <w:pStyle w:val="Textstyle"/>
      </w:pPr>
      <w:r>
        <w:tab/>
      </w:r>
      <w:r w:rsidRPr="006865A8">
        <w:t>With regard to interconnection for IP-to-IP traffic, the FCC notes that, historically, there have not been rules governing IP interconnection for the exchange of Internet traf</w:t>
      </w:r>
      <w:r w:rsidR="00930230">
        <w:softHyphen/>
      </w:r>
      <w:r w:rsidRPr="006865A8">
        <w:t>fic.</w:t>
      </w:r>
      <w:r w:rsidRPr="006865A8">
        <w:rPr>
          <w:rStyle w:val="FootnoteReference"/>
          <w:rFonts w:eastAsiaTheme="majorEastAsia"/>
        </w:rPr>
        <w:footnoteReference w:id="202"/>
      </w:r>
      <w:r w:rsidRPr="006865A8">
        <w:t xml:space="preserve">  The FCC posits that as networks evolve, it makes little sense for providers to main</w:t>
      </w:r>
      <w:r w:rsidR="00930230">
        <w:softHyphen/>
      </w:r>
      <w:r w:rsidRPr="006865A8">
        <w:t>tain different interconnection arrangements for the exchange of VoIP and other forms of internet traffic.</w:t>
      </w:r>
      <w:r w:rsidRPr="006865A8">
        <w:rPr>
          <w:rStyle w:val="FootnoteReference"/>
          <w:rFonts w:eastAsiaTheme="majorEastAsia"/>
        </w:rPr>
        <w:footnoteReference w:id="203"/>
      </w:r>
      <w:r w:rsidRPr="006865A8">
        <w:t xml:space="preserve">  The Ohio Commission agrees with the FCC that it makes lit</w:t>
      </w:r>
      <w:r w:rsidR="00930230">
        <w:softHyphen/>
      </w:r>
      <w:r w:rsidRPr="006865A8">
        <w:t>tle sense for carriers to maintain different interconnection agreements based on the type of traffic exchanged by telecommunication carriers.</w:t>
      </w:r>
      <w:r w:rsidRPr="006865A8">
        <w:rPr>
          <w:rStyle w:val="FootnoteReference"/>
          <w:rFonts w:eastAsiaTheme="majorEastAsia"/>
        </w:rPr>
        <w:footnoteReference w:id="204"/>
      </w:r>
      <w:r w:rsidRPr="006865A8">
        <w:t xml:space="preserve">  As discussed more fully in </w:t>
      </w:r>
      <w:r>
        <w:t>its recent Section XV comments,</w:t>
      </w:r>
      <w:r w:rsidRPr="006865A8">
        <w:t xml:space="preserve"> the Ohio Commission agrees that interconnected VoIP traf</w:t>
      </w:r>
      <w:r w:rsidR="00930230">
        <w:softHyphen/>
      </w:r>
      <w:r w:rsidRPr="006865A8">
        <w:t>fic should be classified as “telecommunications” traffic and, as such, may be brought under the existing section 251(b)(5) framework, which requires the establishment of recipro</w:t>
      </w:r>
      <w:r w:rsidR="00930230">
        <w:softHyphen/>
      </w:r>
      <w:r w:rsidRPr="006865A8">
        <w:t>cal compensation arrangements for the transport and termination of telecommunica</w:t>
      </w:r>
      <w:r w:rsidR="00930230">
        <w:softHyphen/>
      </w:r>
      <w:r w:rsidRPr="006865A8">
        <w:t>tions traffic.</w:t>
      </w:r>
      <w:r>
        <w:rPr>
          <w:rStyle w:val="FootnoteReference"/>
          <w:rFonts w:eastAsiaTheme="majorEastAsia"/>
        </w:rPr>
        <w:footnoteReference w:id="205"/>
      </w:r>
      <w:r w:rsidRPr="006865A8">
        <w:t xml:space="preserve">  Thus, using the existing framework of the Act, carriers should be able to negotiate one interconnection agreement to cover all telecommunica</w:t>
      </w:r>
      <w:r w:rsidR="00930230">
        <w:softHyphen/>
      </w:r>
      <w:r w:rsidRPr="006865A8">
        <w:t xml:space="preserve">tions traffic exchanged between the parties, regardless of technology used.   </w:t>
      </w:r>
    </w:p>
    <w:p w:rsidR="005840C4" w:rsidRDefault="005840C4" w:rsidP="005840C4">
      <w:pPr>
        <w:pStyle w:val="Textstyle"/>
      </w:pPr>
      <w:r>
        <w:tab/>
      </w:r>
      <w:r w:rsidR="003D4E42" w:rsidRPr="006865A8">
        <w:t xml:space="preserve">Having one, as opposed to multiple, interconnection agreement is not only a better use of the parties’ resources, but also provides a mechanism whereby disputes between the parties can </w:t>
      </w:r>
      <w:r w:rsidR="003D4E42">
        <w:t>be efficiently resolved.</w:t>
      </w:r>
      <w:r w:rsidR="003D4E42" w:rsidRPr="006865A8">
        <w:t xml:space="preserve">  </w:t>
      </w:r>
      <w:r w:rsidRPr="006865A8">
        <w:t xml:space="preserve">As the FCC is aware, in the years following the </w:t>
      </w:r>
      <w:r w:rsidRPr="006865A8">
        <w:lastRenderedPageBreak/>
        <w:t>passage of the Act, state commissions have been involved in numerous disputes regard</w:t>
      </w:r>
      <w:r w:rsidR="00930230">
        <w:softHyphen/>
      </w:r>
      <w:r w:rsidRPr="006865A8">
        <w:t>ing the establishment of interconnection agreements and have ac</w:t>
      </w:r>
      <w:r>
        <w:t>ted within the Act’s timeframes</w:t>
      </w:r>
      <w:r w:rsidRPr="006865A8">
        <w:t xml:space="preserve"> to expeditiously resolve these disputes.</w:t>
      </w:r>
      <w:r>
        <w:rPr>
          <w:rStyle w:val="FootnoteReference"/>
          <w:rFonts w:eastAsiaTheme="majorEastAsia"/>
        </w:rPr>
        <w:footnoteReference w:id="206"/>
      </w:r>
      <w:r w:rsidRPr="006865A8">
        <w:t xml:space="preserve">  If this process had not been in place, the FCC and the courts would have been overwhelmed with complaints and litiga</w:t>
      </w:r>
      <w:r w:rsidR="00930230">
        <w:softHyphen/>
      </w:r>
      <w:r w:rsidRPr="006865A8">
        <w:t>tion that would have taken much longer to resolve.  Th</w:t>
      </w:r>
      <w:r>
        <w:t>is would have</w:t>
      </w:r>
      <w:r w:rsidRPr="006865A8">
        <w:t xml:space="preserve"> result</w:t>
      </w:r>
      <w:r>
        <w:t xml:space="preserve">ed in </w:t>
      </w:r>
      <w:r w:rsidRPr="006865A8">
        <w:t>competi</w:t>
      </w:r>
      <w:r w:rsidR="00930230">
        <w:softHyphen/>
      </w:r>
      <w:r w:rsidRPr="006865A8">
        <w:t xml:space="preserve">tive barriers </w:t>
      </w:r>
      <w:r>
        <w:t>to</w:t>
      </w:r>
      <w:r w:rsidRPr="006865A8">
        <w:t xml:space="preserve"> new entrants</w:t>
      </w:r>
      <w:r>
        <w:t xml:space="preserve"> delaying their entrance into</w:t>
      </w:r>
      <w:r w:rsidRPr="006865A8">
        <w:t xml:space="preserve"> the marketplace.  Since the FCC has appropriately defined</w:t>
      </w:r>
      <w:r>
        <w:t xml:space="preserve"> </w:t>
      </w:r>
      <w:r w:rsidRPr="006865A8">
        <w:t xml:space="preserve">interconnected VoIP </w:t>
      </w:r>
      <w:r>
        <w:t xml:space="preserve">traffic </w:t>
      </w:r>
      <w:r w:rsidRPr="006865A8">
        <w:t>as telecommunications traffic</w:t>
      </w:r>
      <w:r>
        <w:t xml:space="preserve">, </w:t>
      </w:r>
      <w:r w:rsidR="0012655B">
        <w:t>t</w:t>
      </w:r>
      <w:r w:rsidRPr="006865A8">
        <w:t xml:space="preserve">he Ohio Commission believes that the current regulatory structure </w:t>
      </w:r>
      <w:r>
        <w:t xml:space="preserve">should </w:t>
      </w:r>
      <w:r w:rsidRPr="006865A8">
        <w:t>govern these forms of telecommunications traffic</w:t>
      </w:r>
      <w:r>
        <w:t>.</w:t>
      </w:r>
      <w:r w:rsidRPr="009C6379">
        <w:rPr>
          <w:rStyle w:val="FootnoteReference"/>
          <w:rFonts w:eastAsiaTheme="majorEastAsia"/>
        </w:rPr>
        <w:t xml:space="preserve"> </w:t>
      </w:r>
      <w:r>
        <w:rPr>
          <w:rStyle w:val="FootnoteReference"/>
          <w:rFonts w:eastAsiaTheme="majorEastAsia"/>
        </w:rPr>
        <w:footnoteReference w:id="207"/>
      </w:r>
      <w:r>
        <w:t xml:space="preserve"> </w:t>
      </w:r>
    </w:p>
    <w:p w:rsidR="005840C4" w:rsidDel="00ED2629" w:rsidRDefault="00490216" w:rsidP="00FC0358">
      <w:pPr>
        <w:pStyle w:val="Heading3"/>
      </w:pPr>
      <w:bookmarkStart w:id="93" w:name="_Toc290279188"/>
      <w:bookmarkStart w:id="94" w:name="_Toc290892294"/>
      <w:r>
        <w:t>B.</w:t>
      </w:r>
      <w:r>
        <w:tab/>
      </w:r>
      <w:r w:rsidR="005840C4" w:rsidRPr="006865A8" w:rsidDel="00ED2629">
        <w:t>Points of Interconnection and Network Edges</w:t>
      </w:r>
      <w:bookmarkEnd w:id="93"/>
      <w:bookmarkEnd w:id="94"/>
    </w:p>
    <w:p w:rsidR="005840C4" w:rsidDel="00ED2629" w:rsidRDefault="005840C4" w:rsidP="005840C4">
      <w:pPr>
        <w:pStyle w:val="Textstyle"/>
      </w:pPr>
      <w:r w:rsidDel="00ED2629">
        <w:tab/>
      </w:r>
      <w:r w:rsidRPr="006865A8" w:rsidDel="00ED2629">
        <w:t xml:space="preserve">The FCC seeks comment on treating traffic under a bill-and-keep </w:t>
      </w:r>
      <w:r>
        <w:t>arrangement</w:t>
      </w:r>
      <w:r w:rsidRPr="006865A8" w:rsidDel="00ED2629">
        <w:t xml:space="preserve"> for purposes of intercarrier compensation.</w:t>
      </w:r>
      <w:r>
        <w:rPr>
          <w:rStyle w:val="FootnoteReference"/>
          <w:rFonts w:eastAsiaTheme="majorEastAsia"/>
        </w:rPr>
        <w:footnoteReference w:id="208"/>
      </w:r>
      <w:r w:rsidDel="00ED2629">
        <w:t xml:space="preserve"> </w:t>
      </w:r>
      <w:r>
        <w:t xml:space="preserve"> </w:t>
      </w:r>
      <w:r w:rsidDel="00ED2629">
        <w:t>B</w:t>
      </w:r>
      <w:r w:rsidRPr="006865A8" w:rsidDel="00ED2629">
        <w:t xml:space="preserve">ill-and-keep </w:t>
      </w:r>
      <w:r w:rsidDel="00ED2629">
        <w:t>arrangements</w:t>
      </w:r>
      <w:r w:rsidRPr="006865A8" w:rsidDel="00ED2629">
        <w:t xml:space="preserve"> typically assume a network “</w:t>
      </w:r>
      <w:r w:rsidRPr="00B626DC" w:rsidDel="00ED2629">
        <w:t>edge” or</w:t>
      </w:r>
      <w:r w:rsidRPr="006865A8" w:rsidDel="00ED2629">
        <w:t xml:space="preserve"> a point beyond which terminating carriers cannot charge other carriers to transport and terminate their traffic and originating carriers must perform all network functions necessary to deliver their traffic to the network edge of the terminating pro</w:t>
      </w:r>
      <w:r w:rsidR="00930230">
        <w:softHyphen/>
      </w:r>
      <w:r w:rsidRPr="006865A8" w:rsidDel="00ED2629">
        <w:lastRenderedPageBreak/>
        <w:t>vider.</w:t>
      </w:r>
      <w:r>
        <w:rPr>
          <w:rStyle w:val="FootnoteReference"/>
          <w:rFonts w:eastAsiaTheme="majorEastAsia"/>
        </w:rPr>
        <w:footnoteReference w:id="209"/>
      </w:r>
      <w:r w:rsidRPr="006865A8" w:rsidDel="00ED2629">
        <w:t xml:space="preserve">  The FCC specifically asks whether the network edge concept should be addressed as part of its comprehensive intercarrier compensation reform.  Additionally, if the FCC adopts </w:t>
      </w:r>
      <w:r w:rsidDel="00ED2629">
        <w:t>a</w:t>
      </w:r>
      <w:r w:rsidRPr="006865A8" w:rsidDel="00ED2629">
        <w:t xml:space="preserve"> bill and keep </w:t>
      </w:r>
      <w:r w:rsidDel="00ED2629">
        <w:t>arrangement</w:t>
      </w:r>
      <w:r w:rsidRPr="006865A8" w:rsidDel="00ED2629">
        <w:t xml:space="preserve"> as part of this concept, what specific network facilities, functions and services would be subject to that</w:t>
      </w:r>
      <w:r w:rsidDel="00ED2629">
        <w:t xml:space="preserve"> arrangement</w:t>
      </w:r>
      <w:r w:rsidRPr="006865A8" w:rsidDel="00ED2629">
        <w:t>.</w:t>
      </w:r>
      <w:r>
        <w:rPr>
          <w:rStyle w:val="FootnoteReference"/>
          <w:rFonts w:eastAsiaTheme="majorEastAsia"/>
        </w:rPr>
        <w:footnoteReference w:id="210"/>
      </w:r>
      <w:r>
        <w:t xml:space="preserve"> </w:t>
      </w:r>
      <w:r w:rsidRPr="006865A8" w:rsidDel="00ED2629">
        <w:t xml:space="preserve"> Furthermore, the FCC notes that the question of mandatory POIs has been raised previously with it find</w:t>
      </w:r>
      <w:r w:rsidR="00930230">
        <w:softHyphen/>
      </w:r>
      <w:r w:rsidRPr="006865A8" w:rsidDel="00ED2629">
        <w:t>ing that CLECs have the option to interconnect at a single POI per LATA.  Accord</w:t>
      </w:r>
      <w:r w:rsidR="00930230">
        <w:softHyphen/>
      </w:r>
      <w:r w:rsidRPr="006865A8" w:rsidDel="00ED2629">
        <w:t>ingly, the FCC asks whether such a requirement is affected by the transition from circuit-switched to IP-based networks as well as the extent to which the location of a POI should be defined in a competitively neutral location for all networks.</w:t>
      </w:r>
      <w:r>
        <w:rPr>
          <w:rStyle w:val="FootnoteReference"/>
          <w:rFonts w:eastAsiaTheme="majorEastAsia"/>
        </w:rPr>
        <w:footnoteReference w:id="211"/>
      </w:r>
    </w:p>
    <w:p w:rsidR="005840C4" w:rsidDel="00ED2629" w:rsidRDefault="005840C4" w:rsidP="005840C4">
      <w:pPr>
        <w:pStyle w:val="Textstyle"/>
      </w:pPr>
      <w:r w:rsidDel="00ED2629">
        <w:tab/>
      </w:r>
      <w:r w:rsidRPr="006865A8" w:rsidDel="00ED2629">
        <w:t>The Ohio Commission notes that the FCC has previously requested comment on the concept of a network edge.</w:t>
      </w:r>
      <w:r>
        <w:rPr>
          <w:rStyle w:val="FootnoteReference"/>
          <w:rFonts w:eastAsiaTheme="majorEastAsia"/>
        </w:rPr>
        <w:footnoteReference w:id="212"/>
      </w:r>
      <w:r w:rsidRPr="006865A8" w:rsidDel="00ED2629">
        <w:t xml:space="preserve">  In its comments regarding the Missoula Plan, the Ohio Commission </w:t>
      </w:r>
      <w:r w:rsidDel="00ED2629">
        <w:t>stated that the Plan’s</w:t>
      </w:r>
      <w:r w:rsidRPr="006865A8" w:rsidDel="00ED2629">
        <w:t xml:space="preserve"> proposed edge</w:t>
      </w:r>
      <w:r w:rsidDel="00ED2629">
        <w:t xml:space="preserve"> for network interconnection was a</w:t>
      </w:r>
      <w:r w:rsidRPr="006865A8" w:rsidDel="00ED2629">
        <w:t xml:space="preserve"> con</w:t>
      </w:r>
      <w:r w:rsidR="00930230">
        <w:softHyphen/>
      </w:r>
      <w:r w:rsidRPr="006865A8" w:rsidDel="00ED2629">
        <w:t>cept</w:t>
      </w:r>
      <w:r w:rsidDel="00ED2629">
        <w:t>, which if adopted, would</w:t>
      </w:r>
      <w:r w:rsidRPr="006865A8" w:rsidDel="00ED2629">
        <w:t xml:space="preserve"> </w:t>
      </w:r>
      <w:r w:rsidDel="00ED2629">
        <w:t>give</w:t>
      </w:r>
      <w:r w:rsidRPr="006865A8" w:rsidDel="00ED2629">
        <w:t xml:space="preserve"> an ILEC the unilateral right to designate a</w:t>
      </w:r>
      <w:r w:rsidDel="00ED2629">
        <w:t xml:space="preserve"> network</w:t>
      </w:r>
      <w:r w:rsidRPr="006865A8" w:rsidDel="00ED2629">
        <w:t xml:space="preserve"> edge without regard to the impact </w:t>
      </w:r>
      <w:r w:rsidDel="00ED2629">
        <w:t>on</w:t>
      </w:r>
      <w:r w:rsidRPr="006865A8" w:rsidDel="00ED2629">
        <w:t xml:space="preserve"> the network o</w:t>
      </w:r>
      <w:r w:rsidDel="00ED2629">
        <w:t>f</w:t>
      </w:r>
      <w:r w:rsidRPr="006865A8" w:rsidDel="00ED2629">
        <w:t xml:space="preserve"> its competitors, the efficient use of network resources or the associated increase in costs of interconnection to be born by the </w:t>
      </w:r>
      <w:r w:rsidRPr="006865A8" w:rsidDel="00ED2629">
        <w:lastRenderedPageBreak/>
        <w:t>competitor.</w:t>
      </w:r>
      <w:r>
        <w:rPr>
          <w:rStyle w:val="FootnoteReference"/>
          <w:rFonts w:eastAsiaTheme="majorEastAsia"/>
        </w:rPr>
        <w:footnoteReference w:id="213"/>
      </w:r>
      <w:r w:rsidRPr="006865A8" w:rsidDel="00ED2629">
        <w:t xml:space="preserve">  As it did then, the Ohio Commission believes that such a proposal is incon</w:t>
      </w:r>
      <w:r w:rsidR="00930230">
        <w:softHyphen/>
      </w:r>
      <w:r w:rsidRPr="006865A8" w:rsidDel="00ED2629">
        <w:t>sistent with section 251, paragraphs (a) and (c)(2) of the Act and will result in the construction of additional unecono</w:t>
      </w:r>
      <w:r w:rsidDel="00ED2629">
        <w:t xml:space="preserve">mic facilities by all carriers </w:t>
      </w:r>
      <w:r w:rsidRPr="006865A8" w:rsidDel="00ED2629">
        <w:t>that replicate</w:t>
      </w:r>
      <w:r w:rsidDel="00ED2629">
        <w:t>s</w:t>
      </w:r>
      <w:r w:rsidRPr="006865A8" w:rsidDel="00ED2629">
        <w:t xml:space="preserve"> the ILEC network.  Additionally, applying the concept of a network edge in the context of interconnec</w:t>
      </w:r>
      <w:r w:rsidR="00930230">
        <w:softHyphen/>
      </w:r>
      <w:r w:rsidRPr="006865A8" w:rsidDel="00ED2629">
        <w:t>tion would likely generate numerous disputes regarding the multitude of exist</w:t>
      </w:r>
      <w:r w:rsidR="00930230">
        <w:softHyphen/>
      </w:r>
      <w:r w:rsidRPr="006865A8" w:rsidDel="00ED2629">
        <w:t>ing interconnection agreements.  Furthermore, the network edge concept does not provide any overriding benefit to justify departing from the well-established interconnec</w:t>
      </w:r>
      <w:r w:rsidR="00930230">
        <w:softHyphen/>
      </w:r>
      <w:r w:rsidRPr="006865A8" w:rsidDel="00ED2629">
        <w:t xml:space="preserve">tion standards that have been adopted and refined over the </w:t>
      </w:r>
      <w:r w:rsidDel="00ED2629">
        <w:t xml:space="preserve">last 15-plus </w:t>
      </w:r>
      <w:r w:rsidRPr="006865A8" w:rsidDel="00ED2629">
        <w:t xml:space="preserve">years.  </w:t>
      </w:r>
    </w:p>
    <w:p w:rsidR="005840C4" w:rsidDel="00ED2629" w:rsidRDefault="005840C4" w:rsidP="005840C4">
      <w:pPr>
        <w:pStyle w:val="Textstyle"/>
      </w:pPr>
      <w:r w:rsidDel="00ED2629">
        <w:tab/>
      </w:r>
      <w:r w:rsidRPr="006865A8" w:rsidDel="00ED2629">
        <w:t>Since the network edge concept has not been proven to be an effective form of intercon</w:t>
      </w:r>
      <w:r w:rsidR="00930230">
        <w:softHyphen/>
      </w:r>
      <w:r w:rsidRPr="006865A8" w:rsidDel="00ED2629">
        <w:t>nection in a circuit switched environment, the Ohio Commission sees little reason to recommend it for an IP environment.  Once again, the Ohio Commission recommends that the existing interconnection standards remain in place regardless of the technology used by the parties.  Even i</w:t>
      </w:r>
      <w:r w:rsidDel="00ED2629">
        <w:t>f the parties agree to a bill-</w:t>
      </w:r>
      <w:r w:rsidRPr="006865A8" w:rsidDel="00ED2629">
        <w:t>and</w:t>
      </w:r>
      <w:r w:rsidDel="00ED2629">
        <w:t>-keep arrangement</w:t>
      </w:r>
      <w:r w:rsidRPr="006865A8" w:rsidDel="00ED2629">
        <w:t xml:space="preserve">, the network edge concept is not necessary to that form of compensation.  Both the FCC and the Ohio Commission presently </w:t>
      </w:r>
      <w:r>
        <w:t>allow</w:t>
      </w:r>
      <w:r w:rsidRPr="006865A8" w:rsidDel="00ED2629">
        <w:t xml:space="preserve"> parties to mutually agree to use </w:t>
      </w:r>
      <w:r w:rsidDel="00ED2629">
        <w:t>a</w:t>
      </w:r>
      <w:r w:rsidRPr="006865A8" w:rsidDel="00ED2629">
        <w:t xml:space="preserve"> bill-and-keep </w:t>
      </w:r>
      <w:r w:rsidDel="00ED2629">
        <w:t>arrangement</w:t>
      </w:r>
      <w:r w:rsidRPr="006865A8" w:rsidDel="00ED2629">
        <w:t xml:space="preserve"> for the compensation of 251(b)(5) traffic without mandating the network edge concept.  To date, the Ohio Commission is unaware of any difficulties that the network edge con</w:t>
      </w:r>
      <w:r w:rsidR="00930230">
        <w:softHyphen/>
      </w:r>
      <w:r w:rsidRPr="006865A8" w:rsidDel="00ED2629">
        <w:t xml:space="preserve">cept may have prevented.  As the Ohio Commission has previously noted, the network </w:t>
      </w:r>
      <w:r w:rsidRPr="006865A8" w:rsidDel="00ED2629">
        <w:lastRenderedPageBreak/>
        <w:t>edge concept is a solution in search of a problem and its use should not be required by the FCC.</w:t>
      </w:r>
      <w:r>
        <w:rPr>
          <w:rStyle w:val="FootnoteReference"/>
          <w:rFonts w:eastAsiaTheme="majorEastAsia"/>
        </w:rPr>
        <w:footnoteReference w:id="214"/>
      </w:r>
    </w:p>
    <w:p w:rsidR="005840C4" w:rsidRDefault="00490216" w:rsidP="00FC0358">
      <w:pPr>
        <w:pStyle w:val="Heading3"/>
      </w:pPr>
      <w:bookmarkStart w:id="95" w:name="_Toc290279189"/>
      <w:bookmarkStart w:id="96" w:name="_Toc290892295"/>
      <w:r>
        <w:t>C.</w:t>
      </w:r>
      <w:r>
        <w:tab/>
      </w:r>
      <w:r w:rsidR="005840C4" w:rsidRPr="006865A8">
        <w:t xml:space="preserve">Mandatory Points of </w:t>
      </w:r>
      <w:r w:rsidR="005840C4" w:rsidRPr="00B626DC">
        <w:t>Interconnection</w:t>
      </w:r>
      <w:bookmarkEnd w:id="95"/>
      <w:bookmarkEnd w:id="96"/>
    </w:p>
    <w:p w:rsidR="005840C4" w:rsidRDefault="005840C4" w:rsidP="005840C4">
      <w:pPr>
        <w:pStyle w:val="Textstyle"/>
      </w:pPr>
      <w:r>
        <w:tab/>
      </w:r>
      <w:r w:rsidRPr="006865A8">
        <w:t>The FCC notes that the issue of mandatory points of interconnection (POI) has been raised with some support in prior proceedings and revisits this issue in the context of an IP network.</w:t>
      </w:r>
      <w:r>
        <w:rPr>
          <w:rStyle w:val="FootnoteReference"/>
          <w:rFonts w:eastAsiaTheme="majorEastAsia"/>
        </w:rPr>
        <w:footnoteReference w:id="215"/>
      </w:r>
      <w:r w:rsidRPr="006865A8">
        <w:t xml:space="preserve">  Some parties, including ILECs, have argued that carriers should be required to establish a minimum number of physical POIs, or, alternatively, to establish a physical POI in the geographic area it intends to serve.</w:t>
      </w:r>
      <w:r>
        <w:rPr>
          <w:rStyle w:val="FootnoteReference"/>
          <w:rFonts w:eastAsiaTheme="majorEastAsia"/>
        </w:rPr>
        <w:footnoteReference w:id="216"/>
      </w:r>
      <w:r w:rsidRPr="006865A8">
        <w:t xml:space="preserve">  The FCC notes that it has inter</w:t>
      </w:r>
      <w:r w:rsidR="00930230">
        <w:softHyphen/>
      </w:r>
      <w:r w:rsidRPr="006865A8">
        <w:t>preted section 251(c)(2)(B) of the Act to allow CLECs the option to interconnect at a sin</w:t>
      </w:r>
      <w:r w:rsidR="00930230">
        <w:softHyphen/>
      </w:r>
      <w:r w:rsidRPr="006865A8">
        <w:t>gle POI per LATA.</w:t>
      </w:r>
      <w:r>
        <w:rPr>
          <w:rStyle w:val="FootnoteReference"/>
          <w:rFonts w:eastAsiaTheme="majorEastAsia"/>
        </w:rPr>
        <w:footnoteReference w:id="217"/>
      </w:r>
      <w:r w:rsidRPr="006865A8">
        <w:t xml:space="preserve">  The FCC asks whether the transition from circuit-switched to IP networks may affect its rules concerning POIs and, if so, whether the POI should be located where interconnecting carriers have competitive alternatives to transport traffic to the terminating carrier’s network.</w:t>
      </w:r>
      <w:r>
        <w:rPr>
          <w:rStyle w:val="FootnoteReference"/>
          <w:rFonts w:eastAsiaTheme="majorEastAsia"/>
        </w:rPr>
        <w:footnoteReference w:id="218"/>
      </w:r>
    </w:p>
    <w:p w:rsidR="005840C4" w:rsidRDefault="005840C4" w:rsidP="005840C4">
      <w:pPr>
        <w:pStyle w:val="Textstyle"/>
      </w:pPr>
      <w:r>
        <w:tab/>
      </w:r>
      <w:r w:rsidRPr="006865A8">
        <w:t xml:space="preserve">As the Ohio Commission advocated in prior comments, the FCC should continue to require, at a minimum, one POI per LATA as the general default rule, but should also require additional POIs as traffic to specific switching routing points within the LATA </w:t>
      </w:r>
      <w:r w:rsidRPr="006865A8">
        <w:lastRenderedPageBreak/>
        <w:t>exceeds certain capacity thresholds.</w:t>
      </w:r>
      <w:r>
        <w:rPr>
          <w:rStyle w:val="FootnoteReference"/>
          <w:rFonts w:eastAsiaTheme="majorEastAsia"/>
        </w:rPr>
        <w:footnoteReference w:id="219"/>
      </w:r>
      <w:r w:rsidRPr="006865A8">
        <w:t xml:space="preserve">  Additionally, the Ohio Commission recom</w:t>
      </w:r>
      <w:r w:rsidR="00930230">
        <w:softHyphen/>
      </w:r>
      <w:r w:rsidRPr="006865A8">
        <w:t>mended that the carriers retain the ability to negotiate a mutually agreed upon location for the required POI(s) as well as the establishment of interconnection facilitie</w:t>
      </w:r>
      <w:r>
        <w:t>s.</w:t>
      </w:r>
      <w:r>
        <w:rPr>
          <w:rStyle w:val="FootnoteReference"/>
          <w:rFonts w:eastAsiaTheme="majorEastAsia"/>
        </w:rPr>
        <w:footnoteReference w:id="220"/>
      </w:r>
      <w:r w:rsidRPr="006865A8">
        <w:t xml:space="preserve">  In the Ohio Commission’s opinion, these existing interconnection requirements allow for effi</w:t>
      </w:r>
      <w:r w:rsidR="00930230">
        <w:softHyphen/>
      </w:r>
      <w:r w:rsidRPr="006865A8">
        <w:t>cient interconnection arrangements without the need</w:t>
      </w:r>
      <w:r>
        <w:t xml:space="preserve"> to duplicate the ILEC network.</w:t>
      </w:r>
      <w:r w:rsidRPr="006865A8">
        <w:t xml:space="preserve">  Unlike the network edge concept, the requirement of a mandatory POI per LATA has served the carriers well over the last 15-plus years and should be retained in an IP environ</w:t>
      </w:r>
      <w:r w:rsidR="00930230">
        <w:softHyphen/>
      </w:r>
      <w:r w:rsidRPr="006865A8">
        <w:t>ment.  Furthermore, since the parties have the ability to negotiate a mutually agreed upon location for the required POI(s), a</w:t>
      </w:r>
      <w:r>
        <w:t>n interconnecting provider</w:t>
      </w:r>
      <w:r w:rsidRPr="006865A8">
        <w:t xml:space="preserve"> can use a POI where it is able to use competitive alternatives to transport traffic to the terminating car</w:t>
      </w:r>
      <w:r w:rsidR="00930230">
        <w:softHyphen/>
      </w:r>
      <w:r w:rsidRPr="006865A8">
        <w:t>rier’s network</w:t>
      </w:r>
      <w:r>
        <w:t>.</w:t>
      </w:r>
      <w:r>
        <w:rPr>
          <w:rStyle w:val="FootnoteReference"/>
          <w:rFonts w:eastAsiaTheme="majorEastAsia"/>
        </w:rPr>
        <w:footnoteReference w:id="221"/>
      </w:r>
      <w:r>
        <w:t xml:space="preserve">  For example, c</w:t>
      </w:r>
      <w:r w:rsidRPr="006865A8">
        <w:t xml:space="preserve">ompanies such as Neutral </w:t>
      </w:r>
      <w:r>
        <w:t>T</w:t>
      </w:r>
      <w:r w:rsidRPr="006865A8">
        <w:t>andem and Level 3 have devel</w:t>
      </w:r>
      <w:r w:rsidR="00930230">
        <w:softHyphen/>
      </w:r>
      <w:r w:rsidRPr="006865A8">
        <w:t>oped a market as “carriers’ carriers” who provide competitive transport and termina</w:t>
      </w:r>
      <w:r w:rsidR="00930230">
        <w:softHyphen/>
      </w:r>
      <w:r w:rsidRPr="006865A8">
        <w:t>tion traffic for CLECs.  Accordingly, the Ohio Commission does not believe that existing interconnection agreements should be modified or additional POIs mandated.  Rather, current interconnection standards should be used with t</w:t>
      </w:r>
      <w:r>
        <w:t xml:space="preserve">hose </w:t>
      </w:r>
      <w:r w:rsidRPr="006865A8">
        <w:t>carriers, whether cir</w:t>
      </w:r>
      <w:r w:rsidR="00930230">
        <w:softHyphen/>
      </w:r>
      <w:r w:rsidRPr="006865A8">
        <w:t>cuit-switch or IP, continuing to have the option to negotiate further alternatives.</w:t>
      </w:r>
    </w:p>
    <w:p w:rsidR="005840C4" w:rsidRDefault="00490216" w:rsidP="00FC0358">
      <w:pPr>
        <w:pStyle w:val="Heading3"/>
      </w:pPr>
      <w:bookmarkStart w:id="97" w:name="_Toc290279190"/>
      <w:bookmarkStart w:id="98" w:name="_Toc290892296"/>
      <w:r>
        <w:lastRenderedPageBreak/>
        <w:t>D.</w:t>
      </w:r>
      <w:r>
        <w:tab/>
      </w:r>
      <w:r w:rsidR="005840C4" w:rsidRPr="006865A8">
        <w:t>Transiting</w:t>
      </w:r>
      <w:bookmarkEnd w:id="97"/>
      <w:bookmarkEnd w:id="98"/>
    </w:p>
    <w:p w:rsidR="005840C4" w:rsidRDefault="005840C4" w:rsidP="005840C4">
      <w:pPr>
        <w:pStyle w:val="Textstyle"/>
      </w:pPr>
      <w:r>
        <w:tab/>
      </w:r>
      <w:r w:rsidRPr="006865A8">
        <w:t>As the FCC explained, transiting occurs when two carriers that are not directly inter</w:t>
      </w:r>
      <w:r w:rsidR="00930230">
        <w:softHyphen/>
      </w:r>
      <w:r w:rsidRPr="006865A8">
        <w:t xml:space="preserve">connected exchange non-access traffic by routing the traffic through an </w:t>
      </w:r>
      <w:r>
        <w:t>intermediate carrier’s network.</w:t>
      </w:r>
      <w:r>
        <w:rPr>
          <w:rStyle w:val="FootnoteReference"/>
          <w:rFonts w:eastAsiaTheme="majorEastAsia"/>
        </w:rPr>
        <w:footnoteReference w:id="222"/>
      </w:r>
      <w:r w:rsidRPr="006865A8">
        <w:t xml:space="preserve"> </w:t>
      </w:r>
      <w:r>
        <w:t xml:space="preserve"> </w:t>
      </w:r>
      <w:r w:rsidRPr="006865A8">
        <w:t>The FCC has previously sought and received comment on whether there is a statutory obligation to provide transit under the Act, and if so what rules should the Commission adopt to advance the goals of the Act.</w:t>
      </w:r>
      <w:r>
        <w:rPr>
          <w:rStyle w:val="FootnoteReference"/>
          <w:rFonts w:eastAsiaTheme="majorEastAsia"/>
        </w:rPr>
        <w:footnoteReference w:id="223"/>
      </w:r>
      <w:r w:rsidRPr="006865A8">
        <w:t xml:space="preserve">  </w:t>
      </w:r>
      <w:r>
        <w:t>R</w:t>
      </w:r>
      <w:r w:rsidRPr="00B626DC">
        <w:t>ecent</w:t>
      </w:r>
      <w:r w:rsidRPr="006865A8">
        <w:t xml:space="preserve"> comments indicate that a competitive market for transit services exists.</w:t>
      </w:r>
      <w:r>
        <w:rPr>
          <w:rStyle w:val="FootnoteReference"/>
          <w:rFonts w:eastAsiaTheme="majorEastAsia"/>
        </w:rPr>
        <w:footnoteReference w:id="224"/>
      </w:r>
      <w:r>
        <w:t xml:space="preserve"> </w:t>
      </w:r>
      <w:r w:rsidRPr="006865A8">
        <w:t xml:space="preserve"> The FCC now asks for comment to refresh the record on whether there is a need for the FCC to regulate transit service and whether it has authority to do so</w:t>
      </w:r>
      <w:r w:rsidR="003D4E42" w:rsidRPr="006865A8">
        <w:t xml:space="preserve">.  </w:t>
      </w:r>
      <w:r>
        <w:rPr>
          <w:rStyle w:val="FootnoteReference"/>
          <w:rFonts w:eastAsiaTheme="majorEastAsia"/>
        </w:rPr>
        <w:footnoteReference w:id="225"/>
      </w:r>
    </w:p>
    <w:p w:rsidR="005840C4" w:rsidRDefault="005840C4" w:rsidP="005840C4">
      <w:pPr>
        <w:pStyle w:val="Textstyle"/>
      </w:pPr>
      <w:r>
        <w:tab/>
        <w:t>T</w:t>
      </w:r>
      <w:r w:rsidRPr="006865A8">
        <w:t>he Ohio Commission has previously commented on the FCC’s authori</w:t>
      </w:r>
      <w:r>
        <w:t>ty to regu</w:t>
      </w:r>
      <w:r w:rsidR="00930230">
        <w:softHyphen/>
      </w:r>
      <w:r>
        <w:t>late transit services</w:t>
      </w:r>
      <w:r w:rsidRPr="006865A8">
        <w:t xml:space="preserve"> </w:t>
      </w:r>
      <w:r>
        <w:t xml:space="preserve"> and stated its belief that </w:t>
      </w:r>
      <w:r w:rsidRPr="006865A8">
        <w:t>transit traffic is a statutory obligation</w:t>
      </w:r>
      <w:r>
        <w:t xml:space="preserve"> of all carriers</w:t>
      </w:r>
      <w:r w:rsidRPr="006865A8">
        <w:t xml:space="preserve"> under the Act as “indirect” interconnection pursuant to </w:t>
      </w:r>
      <w:r>
        <w:t xml:space="preserve">paragraphs </w:t>
      </w:r>
      <w:r w:rsidRPr="006865A8">
        <w:t>(a)(1) and(b)(5)</w:t>
      </w:r>
      <w:r>
        <w:t xml:space="preserve"> of section 251</w:t>
      </w:r>
      <w:r w:rsidRPr="006865A8">
        <w:t>.</w:t>
      </w:r>
      <w:r>
        <w:rPr>
          <w:rStyle w:val="FootnoteReference"/>
          <w:rFonts w:eastAsiaTheme="majorEastAsia"/>
        </w:rPr>
        <w:footnoteReference w:id="226"/>
      </w:r>
      <w:r w:rsidRPr="006865A8">
        <w:t xml:space="preserve">  The Act applies to all interconnection agreements and, as such, it is appropriate for the FCC to affirm that transit traffic is an obligation of all </w:t>
      </w:r>
      <w:r>
        <w:t>carri</w:t>
      </w:r>
      <w:r w:rsidR="00930230">
        <w:softHyphen/>
      </w:r>
      <w:r>
        <w:t>ers</w:t>
      </w:r>
      <w:r w:rsidRPr="006865A8">
        <w:t xml:space="preserve"> under section</w:t>
      </w:r>
      <w:r>
        <w:t xml:space="preserve"> </w:t>
      </w:r>
      <w:r w:rsidR="003D4E42" w:rsidRPr="006865A8">
        <w:t>251</w:t>
      </w:r>
      <w:r w:rsidR="003D4E42" w:rsidRPr="00BA6A62">
        <w:t xml:space="preserve"> as</w:t>
      </w:r>
      <w:r w:rsidRPr="00BA6A62">
        <w:t xml:space="preserve"> well as require carriers that originate and terminate traffic </w:t>
      </w:r>
      <w:r>
        <w:t xml:space="preserve">to </w:t>
      </w:r>
      <w:r w:rsidRPr="00BA6A62">
        <w:t xml:space="preserve">enter into compensation agreements that set forth the rates and terms and conditions for carrying such traffic.  The Ohio Commission has adopted a </w:t>
      </w:r>
      <w:r>
        <w:t xml:space="preserve">similar </w:t>
      </w:r>
      <w:r w:rsidRPr="00BA6A62">
        <w:t xml:space="preserve">rule requiring </w:t>
      </w:r>
      <w:r>
        <w:t>c</w:t>
      </w:r>
      <w:r w:rsidRPr="00BA6A62">
        <w:t xml:space="preserve">arriers </w:t>
      </w:r>
      <w:r w:rsidRPr="00BA6A62">
        <w:lastRenderedPageBreak/>
        <w:t xml:space="preserve">that originate and terminate traffic in a transit traffic arrangement </w:t>
      </w:r>
      <w:r>
        <w:t xml:space="preserve">to </w:t>
      </w:r>
      <w:r w:rsidRPr="00BA6A62">
        <w:t>establish a transport and termination agreement.</w:t>
      </w:r>
      <w:r>
        <w:rPr>
          <w:rStyle w:val="FootnoteReference"/>
          <w:rFonts w:eastAsiaTheme="majorEastAsia"/>
        </w:rPr>
        <w:footnoteReference w:id="227"/>
      </w:r>
      <w:r w:rsidRPr="00BA6A62">
        <w:t xml:space="preserve"> </w:t>
      </w:r>
      <w:r>
        <w:t xml:space="preserve"> </w:t>
      </w:r>
      <w:r w:rsidRPr="006865A8">
        <w:t xml:space="preserve">While the Ohio Commission acknowledges that the transit market may have become more competitive in recent years, it does not believe that such competition overrides the Act’s requirement to establish interconnection agreements for transit traffic.  Regardless of whether a carrier or service provider uses a competitive option or an ILEC for transit services, </w:t>
      </w:r>
      <w:r>
        <w:t xml:space="preserve">paragraphs (a)(1) and (b)(5) of section </w:t>
      </w:r>
      <w:r w:rsidRPr="006865A8">
        <w:t xml:space="preserve">251 </w:t>
      </w:r>
      <w:r>
        <w:t xml:space="preserve"> require </w:t>
      </w:r>
      <w:r w:rsidRPr="006865A8">
        <w:t>the establishment of a compensation agreement that sets forth the rates and terms and condi</w:t>
      </w:r>
      <w:r w:rsidR="00930230">
        <w:softHyphen/>
      </w:r>
      <w:r w:rsidRPr="006865A8">
        <w:t>tions of service.</w:t>
      </w:r>
    </w:p>
    <w:p w:rsidR="005840C4" w:rsidRDefault="00490216" w:rsidP="00FC0358">
      <w:pPr>
        <w:pStyle w:val="Heading3"/>
      </w:pPr>
      <w:bookmarkStart w:id="99" w:name="_Toc290279191"/>
      <w:bookmarkStart w:id="100" w:name="_Toc290892297"/>
      <w:r>
        <w:t>E.</w:t>
      </w:r>
      <w:r>
        <w:tab/>
      </w:r>
      <w:r w:rsidR="005840C4" w:rsidRPr="006865A8">
        <w:t>Remaining Technical Issues</w:t>
      </w:r>
      <w:bookmarkEnd w:id="99"/>
      <w:bookmarkEnd w:id="100"/>
    </w:p>
    <w:p w:rsidR="005840C4" w:rsidRDefault="005840C4" w:rsidP="005840C4">
      <w:pPr>
        <w:pStyle w:val="Textstyle"/>
      </w:pPr>
      <w:r>
        <w:tab/>
      </w:r>
      <w:r w:rsidRPr="006865A8">
        <w:t>In addition to the issues raised above, the FCC seeks comment on various tech</w:t>
      </w:r>
      <w:r w:rsidR="00930230">
        <w:softHyphen/>
      </w:r>
      <w:r w:rsidRPr="006865A8">
        <w:t>nical issues pertaining to its intercarrier compensation rules and carrier practices.  Specifi</w:t>
      </w:r>
      <w:r w:rsidR="00930230">
        <w:softHyphen/>
      </w:r>
      <w:r w:rsidRPr="006865A8">
        <w:t>cally, the FCC seeks comment on the elimination of the intra</w:t>
      </w:r>
      <w:r w:rsidR="00DC6DC2">
        <w:t>-</w:t>
      </w:r>
      <w:r w:rsidRPr="006865A8">
        <w:t>MTA</w:t>
      </w:r>
      <w:r w:rsidR="00646FE3">
        <w:t xml:space="preserve"> (</w:t>
      </w:r>
      <w:r w:rsidR="00DC6DC2">
        <w:t xml:space="preserve">i.e., </w:t>
      </w:r>
      <w:r w:rsidR="00646FE3">
        <w:t>Major Trading Area)</w:t>
      </w:r>
      <w:r w:rsidRPr="006865A8">
        <w:t xml:space="preserve"> rule used by wireless carriers and LECs when exchanging reciprocal compensation traffic; disputes regarding the proper rating and routing of traffic; and, the effect of the FCC’s proposals on existing interconnection agreements.</w:t>
      </w:r>
      <w:r>
        <w:rPr>
          <w:rStyle w:val="FootnoteReference"/>
          <w:rFonts w:eastAsiaTheme="majorEastAsia"/>
        </w:rPr>
        <w:footnoteReference w:id="228"/>
      </w:r>
      <w:r w:rsidRPr="006865A8">
        <w:t xml:space="preserve">  </w:t>
      </w:r>
    </w:p>
    <w:p w:rsidR="005840C4" w:rsidRDefault="005840C4" w:rsidP="005840C4">
      <w:pPr>
        <w:pStyle w:val="Textstyle"/>
      </w:pPr>
      <w:r>
        <w:tab/>
      </w:r>
      <w:r w:rsidRPr="006865A8">
        <w:t>Consistent with previous comments, the Ohio Commission supports eliminating the existing “carve-out” of commercial mobile radio service (CMRS) originated intraMTA</w:t>
      </w:r>
      <w:r>
        <w:t xml:space="preserve"> </w:t>
      </w:r>
      <w:r w:rsidRPr="006865A8">
        <w:t>reciprocal compensation traffic from other LEC originated traffic.</w:t>
      </w:r>
      <w:r>
        <w:rPr>
          <w:rStyle w:val="FootnoteReference"/>
          <w:rFonts w:eastAsiaTheme="majorEastAsia"/>
        </w:rPr>
        <w:footnoteReference w:id="229"/>
      </w:r>
      <w:r w:rsidRPr="006865A8">
        <w:t xml:space="preserve">  As th</w:t>
      </w:r>
      <w:r>
        <w:t xml:space="preserve">e </w:t>
      </w:r>
      <w:r>
        <w:lastRenderedPageBreak/>
        <w:t>Ohio Commission has observed,</w:t>
      </w:r>
      <w:r w:rsidRPr="006865A8">
        <w:t xml:space="preserve"> </w:t>
      </w:r>
      <w:r w:rsidRPr="00B626DC">
        <w:t>it</w:t>
      </w:r>
      <w:r w:rsidRPr="006865A8">
        <w:t xml:space="preserve"> would be more equitable for the FCC </w:t>
      </w:r>
      <w:r>
        <w:t xml:space="preserve">to </w:t>
      </w:r>
      <w:r w:rsidRPr="006865A8">
        <w:t xml:space="preserve">determine that wireline local calling areas are the appropriate geographic scope for the exchange of local traffic subject to reciprocal compensation, since those </w:t>
      </w:r>
      <w:r w:rsidR="00DC6DC2">
        <w:t xml:space="preserve">MTA </w:t>
      </w:r>
      <w:r w:rsidRPr="006865A8">
        <w:t>areas are much larger than the local calling areas currently authorized by state commissions for the exchange of wireline traffic.</w:t>
      </w:r>
      <w:r>
        <w:rPr>
          <w:rStyle w:val="FootnoteReference"/>
          <w:rFonts w:eastAsiaTheme="majorEastAsia"/>
        </w:rPr>
        <w:footnoteReference w:id="230"/>
      </w:r>
      <w:r w:rsidRPr="006865A8">
        <w:t xml:space="preserve">  Accordingly, the Ohio Commission does not believe that the CMRS carve out is warranted and encourages the FCC to eliminate it.</w:t>
      </w:r>
      <w:r>
        <w:t xml:space="preserve">  </w:t>
      </w:r>
    </w:p>
    <w:p w:rsidR="005840C4" w:rsidRDefault="005840C4" w:rsidP="005840C4">
      <w:pPr>
        <w:pStyle w:val="Textstyle"/>
      </w:pPr>
      <w:r>
        <w:tab/>
      </w:r>
      <w:r w:rsidRPr="006865A8">
        <w:t>Issues regarding the proper rating and routing of traffic have developed because the current system encourages some carriers to engage in arbitrage opportunities due to the classification of various types of traffic</w:t>
      </w:r>
      <w:r>
        <w:t xml:space="preserve"> and to obtain telephone numbers that do not relate to the actual geographic end points of the traffic in order to receive intercarrier compen</w:t>
      </w:r>
      <w:r w:rsidR="00930230">
        <w:softHyphen/>
      </w:r>
      <w:r>
        <w:t>sation that would not otherwise apply to such traffic.  This practice is commonly known in the industry as obtaining “virtual” NXX codes/telephone numbers.</w:t>
      </w:r>
      <w:r>
        <w:rPr>
          <w:rStyle w:val="FootnoteReference"/>
          <w:rFonts w:eastAsiaTheme="majorEastAsia"/>
        </w:rPr>
        <w:footnoteReference w:id="231"/>
      </w:r>
      <w:r>
        <w:t xml:space="preserve"> </w:t>
      </w:r>
      <w:r w:rsidRPr="006865A8">
        <w:t xml:space="preserve"> In its com</w:t>
      </w:r>
      <w:r w:rsidR="00930230">
        <w:softHyphen/>
      </w:r>
      <w:r w:rsidRPr="006865A8">
        <w:t>ments pertaining to Section XV of the NPRM, the Ohio Commission supported the FCC’s effort to curb such arbitrage opportunities and suggested additional steps the FCC could take to assist in this regard.</w:t>
      </w:r>
      <w:r>
        <w:rPr>
          <w:rStyle w:val="FootnoteReference"/>
          <w:rFonts w:eastAsiaTheme="majorEastAsia"/>
        </w:rPr>
        <w:footnoteReference w:id="232"/>
      </w:r>
      <w:r w:rsidRPr="006865A8">
        <w:t xml:space="preserve">  As alluded to it those comments, should the FCC adopts a uniform regime for intercarrier compensation, such opportunities would likely be eliminated.</w:t>
      </w:r>
      <w:r>
        <w:rPr>
          <w:rStyle w:val="FootnoteReference"/>
          <w:rFonts w:eastAsiaTheme="majorEastAsia"/>
        </w:rPr>
        <w:footnoteReference w:id="233"/>
      </w:r>
      <w:r w:rsidRPr="006865A8">
        <w:t xml:space="preserve">  To the extent that the scope of Section XV and the comments provided in response are insufficient to elim</w:t>
      </w:r>
      <w:r>
        <w:t xml:space="preserve">inate arbitrage opportunities, </w:t>
      </w:r>
      <w:r w:rsidRPr="006865A8">
        <w:t xml:space="preserve">the Ohio Commission </w:t>
      </w:r>
      <w:r w:rsidRPr="006865A8">
        <w:lastRenderedPageBreak/>
        <w:t xml:space="preserve">recommends that all traffic be rated based on its actual geographic end points rather than relying exclusively upon the telephone number associated with it.  </w:t>
      </w:r>
      <w:r>
        <w:t xml:space="preserve"> </w:t>
      </w:r>
    </w:p>
    <w:p w:rsidR="005840C4" w:rsidRDefault="005840C4" w:rsidP="005840C4">
      <w:pPr>
        <w:pStyle w:val="Textstyle"/>
      </w:pPr>
      <w:r>
        <w:tab/>
      </w:r>
      <w:r w:rsidRPr="006865A8">
        <w:t>The FCC seeks comment on the effect of its proposed intercarrier compensation reforms on certain types of interconnection agreements.</w:t>
      </w:r>
      <w:r w:rsidRPr="006865A8">
        <w:rPr>
          <w:rStyle w:val="FootnoteReference"/>
          <w:rFonts w:eastAsiaTheme="majorEastAsia"/>
        </w:rPr>
        <w:footnoteReference w:id="234"/>
      </w:r>
      <w:r w:rsidRPr="006865A8">
        <w:t xml:space="preserve">  The FCC states that it does not intend for these reforms to disturb the processes established by section 252 of the Act and asks whether such reforms would constitute a change in law that would trigger the change of law provisions found in many interconnection agreements that allow for renegotia</w:t>
      </w:r>
      <w:r w:rsidR="00930230">
        <w:softHyphen/>
      </w:r>
      <w:r w:rsidRPr="006865A8">
        <w:t>tion or some other mechanism to resolve disputes about new agreement language implementing new rules.</w:t>
      </w:r>
      <w:r w:rsidRPr="006865A8">
        <w:rPr>
          <w:rStyle w:val="FootnoteReference"/>
          <w:rFonts w:eastAsiaTheme="majorEastAsia"/>
        </w:rPr>
        <w:footnoteReference w:id="235"/>
      </w:r>
      <w:r w:rsidRPr="006865A8">
        <w:t xml:space="preserve">  The Ohio Commission appreciates that the FCC does not intend to disturb the processes established by section 252 of the Act as that sec</w:t>
      </w:r>
      <w:r w:rsidR="00930230">
        <w:softHyphen/>
      </w:r>
      <w:r w:rsidRPr="006865A8">
        <w:t>tion governs the negotiation, arbitration and approval of interconnection agreements and provides states with a significant role in this process.</w:t>
      </w:r>
      <w:r w:rsidRPr="006865A8">
        <w:rPr>
          <w:rStyle w:val="FootnoteReference"/>
          <w:rFonts w:eastAsiaTheme="majorEastAsia"/>
        </w:rPr>
        <w:footnoteReference w:id="236"/>
      </w:r>
      <w:r w:rsidRPr="006865A8">
        <w:t xml:space="preserve">  Nonetheless, the Ohio Commis</w:t>
      </w:r>
      <w:r w:rsidR="00930230">
        <w:softHyphen/>
      </w:r>
      <w:r w:rsidRPr="006865A8">
        <w:t>sion believes that it is likely that the FCC’s proposed reforms would result in a change in law triggering, as</w:t>
      </w:r>
      <w:r>
        <w:t xml:space="preserve"> past</w:t>
      </w:r>
      <w:r w:rsidRPr="006865A8">
        <w:t xml:space="preserve"> reforms have, </w:t>
      </w:r>
      <w:r>
        <w:t>change-in-law</w:t>
      </w:r>
      <w:r w:rsidRPr="006865A8">
        <w:t xml:space="preserve"> provisions that require the renegotia</w:t>
      </w:r>
      <w:r w:rsidR="00930230">
        <w:softHyphen/>
      </w:r>
      <w:r w:rsidRPr="006865A8">
        <w:t>tion of interconnection agreements.  The Ohio Commission has experience</w:t>
      </w:r>
      <w:r>
        <w:t xml:space="preserve"> </w:t>
      </w:r>
      <w:r w:rsidRPr="006865A8">
        <w:t>with such</w:t>
      </w:r>
      <w:r>
        <w:t xml:space="preserve"> mat</w:t>
      </w:r>
      <w:r w:rsidR="00930230">
        <w:softHyphen/>
      </w:r>
      <w:r>
        <w:t xml:space="preserve">ters </w:t>
      </w:r>
      <w:r w:rsidRPr="006865A8">
        <w:t>and recommends using existing dispute resolution processes</w:t>
      </w:r>
      <w:r>
        <w:t xml:space="preserve"> to</w:t>
      </w:r>
      <w:r w:rsidRPr="006865A8">
        <w:t>, facilitate the renegoti</w:t>
      </w:r>
      <w:r w:rsidR="00930230">
        <w:softHyphen/>
      </w:r>
      <w:r w:rsidRPr="006865A8">
        <w:t>ation of existing interconnection agreements</w:t>
      </w:r>
      <w:r>
        <w:t xml:space="preserve"> where necessary</w:t>
      </w:r>
      <w:r w:rsidRPr="006865A8">
        <w:t>.</w:t>
      </w:r>
    </w:p>
    <w:p w:rsidR="005840C4" w:rsidRDefault="005840C4" w:rsidP="005840C4">
      <w:pPr>
        <w:pStyle w:val="Heading1"/>
      </w:pPr>
      <w:r>
        <w:br w:type="page"/>
      </w:r>
    </w:p>
    <w:p w:rsidR="005840C4" w:rsidRDefault="005840C4" w:rsidP="005840C4">
      <w:pPr>
        <w:pStyle w:val="Heading1"/>
        <w:rPr>
          <w:sz w:val="26"/>
          <w:szCs w:val="26"/>
        </w:rPr>
      </w:pPr>
      <w:bookmarkStart w:id="101" w:name="_Toc290279192"/>
      <w:bookmarkStart w:id="102" w:name="_Toc290892298"/>
      <w:r w:rsidRPr="00634931">
        <w:lastRenderedPageBreak/>
        <w:t>CONCLUSION</w:t>
      </w:r>
      <w:bookmarkEnd w:id="101"/>
      <w:bookmarkEnd w:id="102"/>
    </w:p>
    <w:p w:rsidR="005840C4" w:rsidRDefault="005840C4" w:rsidP="005840C4">
      <w:pPr>
        <w:pStyle w:val="Textstyle"/>
      </w:pPr>
      <w:r>
        <w:tab/>
        <w:t>The Ohio Commission appreciates the FCC’s effort to reform the intercarrier compen</w:t>
      </w:r>
      <w:r w:rsidR="00930230">
        <w:softHyphen/>
      </w:r>
      <w:r>
        <w:t>sation system and universal service high-cost reform.  Clearly, addressing these issues is of utmost importance in pursuing the objectives of the National Broadband Plan,  in facilitating the transition to IP-based networks and in protecting our nation’s small, rural carriers that have often been at the forefront of technology and innovation.  In pursu</w:t>
      </w:r>
      <w:r w:rsidR="00930230">
        <w:softHyphen/>
      </w:r>
      <w:r>
        <w:t>ing reform, the Ohio Commission encourages the FCC to be mindful of these carri</w:t>
      </w:r>
      <w:r w:rsidR="00930230">
        <w:softHyphen/>
      </w:r>
      <w:r>
        <w:t>ers and the states’ role in determining the access rates that will affect them.  The Ohio Com</w:t>
      </w:r>
      <w:r w:rsidR="00930230">
        <w:softHyphen/>
      </w:r>
      <w:r>
        <w:t>mission appreciates the opportunity to comment in this proceeding.</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5840C4" w:rsidRPr="007A78D7" w:rsidRDefault="005840C4" w:rsidP="005840C4">
      <w:pPr>
        <w:tabs>
          <w:tab w:val="left" w:pos="9360"/>
        </w:tabs>
        <w:spacing w:after="0" w:line="240" w:lineRule="auto"/>
        <w:ind w:left="4320"/>
        <w:rPr>
          <w:rFonts w:ascii="Times New Roman" w:hAnsi="Times New Roman"/>
          <w:sz w:val="26"/>
          <w:szCs w:val="26"/>
        </w:rPr>
      </w:pPr>
    </w:p>
    <w:p w:rsidR="005840C4" w:rsidRPr="007A78D7" w:rsidRDefault="005840C4" w:rsidP="005840C4">
      <w:pPr>
        <w:tabs>
          <w:tab w:val="left" w:pos="9360"/>
        </w:tabs>
        <w:spacing w:after="0" w:line="240" w:lineRule="auto"/>
        <w:ind w:left="4320"/>
        <w:rPr>
          <w:rFonts w:ascii="Times New Roman" w:hAnsi="Times New Roman"/>
          <w:sz w:val="26"/>
          <w:szCs w:val="26"/>
        </w:rPr>
      </w:pPr>
    </w:p>
    <w:p w:rsidR="005840C4" w:rsidRPr="007A78D7" w:rsidRDefault="005840C4" w:rsidP="005840C4">
      <w:pPr>
        <w:tabs>
          <w:tab w:val="left" w:pos="9360"/>
        </w:tabs>
        <w:spacing w:after="0" w:line="240" w:lineRule="auto"/>
        <w:ind w:left="4320"/>
        <w:rPr>
          <w:rFonts w:ascii="Brush Script MT" w:hAnsi="Brush Script MT"/>
          <w:sz w:val="36"/>
          <w:szCs w:val="36"/>
          <w:u w:val="single"/>
        </w:rPr>
      </w:pPr>
      <w:r>
        <w:rPr>
          <w:rFonts w:ascii="Brush Script MT" w:hAnsi="Brush Script MT"/>
          <w:sz w:val="36"/>
          <w:szCs w:val="36"/>
          <w:u w:val="single"/>
        </w:rPr>
        <w:t>/s/ William L. Wright</w:t>
      </w:r>
      <w:r w:rsidRPr="007A78D7">
        <w:rPr>
          <w:rFonts w:ascii="Brush Script MT" w:hAnsi="Brush Script MT"/>
          <w:sz w:val="36"/>
          <w:szCs w:val="36"/>
          <w:u w:val="single"/>
        </w:rPr>
        <w:tab/>
      </w:r>
    </w:p>
    <w:p w:rsidR="005840C4" w:rsidRPr="007A78D7" w:rsidRDefault="005840C4" w:rsidP="005840C4">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William L. Wright</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5840C4" w:rsidRPr="00177654" w:rsidRDefault="00F7169C" w:rsidP="005840C4">
      <w:pPr>
        <w:tabs>
          <w:tab w:val="left" w:pos="9360"/>
        </w:tabs>
        <w:spacing w:after="0" w:line="240" w:lineRule="auto"/>
        <w:ind w:left="4320"/>
        <w:rPr>
          <w:rFonts w:ascii="Times New Roman" w:hAnsi="Times New Roman"/>
          <w:sz w:val="26"/>
          <w:szCs w:val="26"/>
        </w:rPr>
      </w:pPr>
      <w:hyperlink r:id="rId19" w:history="1">
        <w:r w:rsidR="005840C4" w:rsidRPr="00177654">
          <w:rPr>
            <w:rStyle w:val="Hyperlink"/>
            <w:rFonts w:ascii="Times New Roman" w:eastAsiaTheme="majorEastAsia" w:hAnsi="Times New Roman"/>
            <w:sz w:val="26"/>
            <w:szCs w:val="26"/>
          </w:rPr>
          <w:t>william.wright@puc.state.oh.us</w:t>
        </w:r>
      </w:hyperlink>
    </w:p>
    <w:p w:rsidR="005840C4" w:rsidRPr="007A78D7" w:rsidRDefault="005840C4" w:rsidP="005840C4">
      <w:pPr>
        <w:tabs>
          <w:tab w:val="left" w:pos="9360"/>
        </w:tabs>
        <w:spacing w:after="0" w:line="240" w:lineRule="auto"/>
        <w:ind w:left="4320"/>
        <w:rPr>
          <w:rFonts w:ascii="Times New Roman" w:hAnsi="Times New Roman"/>
          <w:sz w:val="26"/>
          <w:szCs w:val="26"/>
        </w:rPr>
      </w:pPr>
    </w:p>
    <w:p w:rsidR="005840C4" w:rsidRPr="007A78D7" w:rsidRDefault="00177654" w:rsidP="005840C4">
      <w:pPr>
        <w:tabs>
          <w:tab w:val="left" w:pos="9360"/>
        </w:tabs>
        <w:spacing w:after="0" w:line="240" w:lineRule="auto"/>
        <w:ind w:left="4320"/>
        <w:rPr>
          <w:rFonts w:ascii="Times New Roman" w:hAnsi="Times New Roman"/>
          <w:sz w:val="26"/>
          <w:szCs w:val="26"/>
        </w:rPr>
      </w:pPr>
      <w:r>
        <w:rPr>
          <w:rFonts w:ascii="Times New Roman" w:hAnsi="Times New Roman"/>
          <w:sz w:val="26"/>
          <w:szCs w:val="26"/>
        </w:rPr>
        <w:t>Attorney</w:t>
      </w:r>
      <w:r w:rsidRPr="007A78D7">
        <w:rPr>
          <w:rFonts w:ascii="Times New Roman" w:hAnsi="Times New Roman"/>
          <w:sz w:val="26"/>
          <w:szCs w:val="26"/>
        </w:rPr>
        <w:t xml:space="preserve"> </w:t>
      </w:r>
      <w:r w:rsidR="005840C4" w:rsidRPr="007A78D7">
        <w:rPr>
          <w:rFonts w:ascii="Times New Roman" w:hAnsi="Times New Roman"/>
          <w:sz w:val="26"/>
          <w:szCs w:val="26"/>
        </w:rPr>
        <w:t xml:space="preserve">for </w:t>
      </w:r>
    </w:p>
    <w:p w:rsidR="005840C4" w:rsidRPr="007A78D7" w:rsidRDefault="005840C4" w:rsidP="005840C4">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5840C4" w:rsidRPr="007A78D7" w:rsidRDefault="005840C4" w:rsidP="005840C4">
      <w:pPr>
        <w:tabs>
          <w:tab w:val="left" w:pos="9360"/>
        </w:tabs>
        <w:spacing w:after="0" w:line="240" w:lineRule="auto"/>
        <w:ind w:left="4320"/>
        <w:rPr>
          <w:rFonts w:ascii="Times New Roman" w:hAnsi="Times New Roman"/>
          <w:sz w:val="26"/>
          <w:szCs w:val="26"/>
        </w:rPr>
      </w:pPr>
    </w:p>
    <w:p w:rsidR="005840C4" w:rsidRDefault="005840C4" w:rsidP="005840C4">
      <w:pPr>
        <w:pStyle w:val="Textstyle"/>
      </w:pPr>
    </w:p>
    <w:p w:rsidR="005840C4" w:rsidRPr="00570D1F" w:rsidRDefault="005840C4" w:rsidP="005840C4">
      <w:pPr>
        <w:pStyle w:val="Textstyle"/>
      </w:pPr>
      <w:r>
        <w:t>Dated:  April 18, 2011</w:t>
      </w:r>
    </w:p>
    <w:p w:rsidR="005840C4" w:rsidRDefault="005840C4" w:rsidP="005840C4"/>
    <w:p w:rsidR="0027735A" w:rsidRPr="00570D1F" w:rsidRDefault="0027735A" w:rsidP="005840C4">
      <w:pPr>
        <w:pStyle w:val="Heading1"/>
      </w:pPr>
    </w:p>
    <w:sectPr w:rsidR="0027735A" w:rsidRPr="00570D1F" w:rsidSect="003D4EE2">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54" w:rsidRDefault="00177654" w:rsidP="007A047B">
      <w:pPr>
        <w:spacing w:after="0" w:line="240" w:lineRule="auto"/>
      </w:pPr>
      <w:r>
        <w:separator/>
      </w:r>
    </w:p>
  </w:endnote>
  <w:endnote w:type="continuationSeparator" w:id="0">
    <w:p w:rsidR="00177654" w:rsidRDefault="00177654" w:rsidP="007A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335021"/>
      <w:docPartObj>
        <w:docPartGallery w:val="Page Numbers (Bottom of Page)"/>
        <w:docPartUnique/>
      </w:docPartObj>
    </w:sdtPr>
    <w:sdtEndPr>
      <w:rPr>
        <w:rFonts w:ascii="Times New Roman" w:hAnsi="Times New Roman"/>
        <w:sz w:val="24"/>
        <w:szCs w:val="24"/>
      </w:rPr>
    </w:sdtEndPr>
    <w:sdtContent>
      <w:p w:rsidR="00177654" w:rsidRPr="0031302C" w:rsidRDefault="00177654">
        <w:pPr>
          <w:pStyle w:val="Footer"/>
          <w:jc w:val="center"/>
          <w:rPr>
            <w:rFonts w:ascii="Times New Roman" w:hAnsi="Times New Roman"/>
            <w:sz w:val="24"/>
            <w:szCs w:val="24"/>
          </w:rPr>
        </w:pPr>
        <w:r w:rsidRPr="0031302C">
          <w:rPr>
            <w:rFonts w:ascii="Times New Roman" w:hAnsi="Times New Roman"/>
            <w:sz w:val="24"/>
            <w:szCs w:val="24"/>
          </w:rPr>
          <w:fldChar w:fldCharType="begin"/>
        </w:r>
        <w:r w:rsidRPr="0031302C">
          <w:rPr>
            <w:rFonts w:ascii="Times New Roman" w:hAnsi="Times New Roman"/>
            <w:sz w:val="24"/>
            <w:szCs w:val="24"/>
          </w:rPr>
          <w:instrText xml:space="preserve"> PAGE   \* MERGEFORMAT </w:instrText>
        </w:r>
        <w:r w:rsidRPr="0031302C">
          <w:rPr>
            <w:rFonts w:ascii="Times New Roman" w:hAnsi="Times New Roman"/>
            <w:sz w:val="24"/>
            <w:szCs w:val="24"/>
          </w:rPr>
          <w:fldChar w:fldCharType="separate"/>
        </w:r>
        <w:r>
          <w:rPr>
            <w:rFonts w:ascii="Times New Roman" w:hAnsi="Times New Roman"/>
            <w:noProof/>
            <w:sz w:val="24"/>
            <w:szCs w:val="24"/>
          </w:rPr>
          <w:t>2</w:t>
        </w:r>
        <w:r w:rsidRPr="0031302C">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40144"/>
      <w:docPartObj>
        <w:docPartGallery w:val="Page Numbers (Bottom of Page)"/>
        <w:docPartUnique/>
      </w:docPartObj>
    </w:sdtPr>
    <w:sdtEndPr>
      <w:rPr>
        <w:rFonts w:ascii="Times New Roman" w:hAnsi="Times New Roman"/>
        <w:sz w:val="24"/>
        <w:szCs w:val="24"/>
      </w:rPr>
    </w:sdtEndPr>
    <w:sdtContent>
      <w:p w:rsidR="00177654" w:rsidRPr="0031302C" w:rsidRDefault="00177654">
        <w:pPr>
          <w:pStyle w:val="Footer"/>
          <w:jc w:val="center"/>
          <w:rPr>
            <w:rFonts w:ascii="Times New Roman" w:hAnsi="Times New Roman"/>
            <w:sz w:val="24"/>
            <w:szCs w:val="24"/>
          </w:rPr>
        </w:pPr>
        <w:r w:rsidRPr="0031302C">
          <w:rPr>
            <w:rFonts w:ascii="Times New Roman" w:hAnsi="Times New Roman"/>
            <w:sz w:val="24"/>
            <w:szCs w:val="24"/>
          </w:rPr>
          <w:fldChar w:fldCharType="begin"/>
        </w:r>
        <w:r w:rsidRPr="0031302C">
          <w:rPr>
            <w:rFonts w:ascii="Times New Roman" w:hAnsi="Times New Roman"/>
            <w:sz w:val="24"/>
            <w:szCs w:val="24"/>
          </w:rPr>
          <w:instrText xml:space="preserve"> PAGE   \* MERGEFORMAT </w:instrText>
        </w:r>
        <w:r w:rsidRPr="0031302C">
          <w:rPr>
            <w:rFonts w:ascii="Times New Roman" w:hAnsi="Times New Roman"/>
            <w:sz w:val="24"/>
            <w:szCs w:val="24"/>
          </w:rPr>
          <w:fldChar w:fldCharType="separate"/>
        </w:r>
        <w:r w:rsidR="00F7169C">
          <w:rPr>
            <w:rFonts w:ascii="Times New Roman" w:hAnsi="Times New Roman"/>
            <w:noProof/>
            <w:sz w:val="24"/>
            <w:szCs w:val="24"/>
          </w:rPr>
          <w:t>iii</w:t>
        </w:r>
        <w:r w:rsidRPr="0031302C">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20522"/>
      <w:docPartObj>
        <w:docPartGallery w:val="Page Numbers (Bottom of Page)"/>
        <w:docPartUnique/>
      </w:docPartObj>
    </w:sdtPr>
    <w:sdtEndPr>
      <w:rPr>
        <w:rFonts w:ascii="Times New Roman" w:hAnsi="Times New Roman"/>
        <w:noProof/>
        <w:sz w:val="24"/>
        <w:szCs w:val="24"/>
      </w:rPr>
    </w:sdtEndPr>
    <w:sdtContent>
      <w:p w:rsidR="00177654" w:rsidRPr="00EB65D1" w:rsidRDefault="00177654" w:rsidP="00EB65D1">
        <w:pPr>
          <w:pStyle w:val="Footer"/>
          <w:jc w:val="center"/>
          <w:rPr>
            <w:rFonts w:ascii="Times New Roman" w:hAnsi="Times New Roman"/>
            <w:sz w:val="24"/>
            <w:szCs w:val="24"/>
          </w:rPr>
        </w:pPr>
        <w:r w:rsidRPr="00EB65D1">
          <w:rPr>
            <w:rFonts w:ascii="Times New Roman" w:hAnsi="Times New Roman"/>
            <w:sz w:val="24"/>
            <w:szCs w:val="24"/>
          </w:rPr>
          <w:fldChar w:fldCharType="begin"/>
        </w:r>
        <w:r w:rsidRPr="00EB65D1">
          <w:rPr>
            <w:rFonts w:ascii="Times New Roman" w:hAnsi="Times New Roman"/>
            <w:sz w:val="24"/>
            <w:szCs w:val="24"/>
          </w:rPr>
          <w:instrText xml:space="preserve"> PAGE   \* MERGEFORMAT </w:instrText>
        </w:r>
        <w:r w:rsidRPr="00EB65D1">
          <w:rPr>
            <w:rFonts w:ascii="Times New Roman" w:hAnsi="Times New Roman"/>
            <w:sz w:val="24"/>
            <w:szCs w:val="24"/>
          </w:rPr>
          <w:fldChar w:fldCharType="separate"/>
        </w:r>
        <w:r w:rsidR="00F7169C">
          <w:rPr>
            <w:rFonts w:ascii="Times New Roman" w:hAnsi="Times New Roman"/>
            <w:noProof/>
            <w:sz w:val="24"/>
            <w:szCs w:val="24"/>
          </w:rPr>
          <w:t>i</w:t>
        </w:r>
        <w:r w:rsidRPr="00EB65D1">
          <w:rPr>
            <w:rFonts w:ascii="Times New Roman" w:hAnsi="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28369"/>
      <w:docPartObj>
        <w:docPartGallery w:val="Page Numbers (Bottom of Page)"/>
        <w:docPartUnique/>
      </w:docPartObj>
    </w:sdtPr>
    <w:sdtEndPr>
      <w:rPr>
        <w:rFonts w:ascii="Times New Roman" w:hAnsi="Times New Roman"/>
        <w:sz w:val="24"/>
        <w:szCs w:val="24"/>
      </w:rPr>
    </w:sdtEndPr>
    <w:sdtContent>
      <w:p w:rsidR="00177654" w:rsidRPr="0031302C" w:rsidRDefault="00177654">
        <w:pPr>
          <w:pStyle w:val="Footer"/>
          <w:jc w:val="center"/>
          <w:rPr>
            <w:rFonts w:ascii="Times New Roman" w:hAnsi="Times New Roman"/>
            <w:sz w:val="24"/>
            <w:szCs w:val="24"/>
          </w:rPr>
        </w:pPr>
        <w:r w:rsidRPr="0031302C">
          <w:rPr>
            <w:rFonts w:ascii="Times New Roman" w:hAnsi="Times New Roman"/>
            <w:sz w:val="24"/>
            <w:szCs w:val="24"/>
          </w:rPr>
          <w:fldChar w:fldCharType="begin"/>
        </w:r>
        <w:r w:rsidRPr="0031302C">
          <w:rPr>
            <w:rFonts w:ascii="Times New Roman" w:hAnsi="Times New Roman"/>
            <w:sz w:val="24"/>
            <w:szCs w:val="24"/>
          </w:rPr>
          <w:instrText xml:space="preserve"> PAGE   \* MERGEFORMAT </w:instrText>
        </w:r>
        <w:r w:rsidRPr="0031302C">
          <w:rPr>
            <w:rFonts w:ascii="Times New Roman" w:hAnsi="Times New Roman"/>
            <w:sz w:val="24"/>
            <w:szCs w:val="24"/>
          </w:rPr>
          <w:fldChar w:fldCharType="separate"/>
        </w:r>
        <w:r w:rsidR="00F7169C">
          <w:rPr>
            <w:rFonts w:ascii="Times New Roman" w:hAnsi="Times New Roman"/>
            <w:noProof/>
            <w:sz w:val="24"/>
            <w:szCs w:val="24"/>
          </w:rPr>
          <w:t>v</w:t>
        </w:r>
        <w:r w:rsidRPr="0031302C">
          <w:rPr>
            <w:rFonts w:ascii="Times New Roman" w:hAnsi="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1849"/>
      <w:docPartObj>
        <w:docPartGallery w:val="Page Numbers (Bottom of Page)"/>
        <w:docPartUnique/>
      </w:docPartObj>
    </w:sdtPr>
    <w:sdtEndPr>
      <w:rPr>
        <w:rFonts w:ascii="Times New Roman" w:hAnsi="Times New Roman"/>
        <w:noProof/>
        <w:sz w:val="24"/>
        <w:szCs w:val="24"/>
      </w:rPr>
    </w:sdtEndPr>
    <w:sdtContent>
      <w:p w:rsidR="00177654" w:rsidRPr="00EB65D1" w:rsidRDefault="00177654" w:rsidP="00EB65D1">
        <w:pPr>
          <w:pStyle w:val="Footer"/>
          <w:jc w:val="center"/>
          <w:rPr>
            <w:rFonts w:ascii="Times New Roman" w:hAnsi="Times New Roman"/>
            <w:sz w:val="24"/>
            <w:szCs w:val="24"/>
          </w:rPr>
        </w:pPr>
        <w:r w:rsidRPr="00EB65D1">
          <w:rPr>
            <w:rFonts w:ascii="Times New Roman" w:hAnsi="Times New Roman"/>
            <w:sz w:val="24"/>
            <w:szCs w:val="24"/>
          </w:rPr>
          <w:fldChar w:fldCharType="begin"/>
        </w:r>
        <w:r w:rsidRPr="00EB65D1">
          <w:rPr>
            <w:rFonts w:ascii="Times New Roman" w:hAnsi="Times New Roman"/>
            <w:sz w:val="24"/>
            <w:szCs w:val="24"/>
          </w:rPr>
          <w:instrText xml:space="preserve"> PAGE   \* MERGEFORMAT </w:instrText>
        </w:r>
        <w:r w:rsidRPr="00EB65D1">
          <w:rPr>
            <w:rFonts w:ascii="Times New Roman" w:hAnsi="Times New Roman"/>
            <w:sz w:val="24"/>
            <w:szCs w:val="24"/>
          </w:rPr>
          <w:fldChar w:fldCharType="separate"/>
        </w:r>
        <w:r w:rsidR="00F7169C">
          <w:rPr>
            <w:rFonts w:ascii="Times New Roman" w:hAnsi="Times New Roman"/>
            <w:noProof/>
            <w:sz w:val="24"/>
            <w:szCs w:val="24"/>
          </w:rPr>
          <w:t>iv</w:t>
        </w:r>
        <w:r w:rsidRPr="00EB65D1">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55574"/>
      <w:docPartObj>
        <w:docPartGallery w:val="Page Numbers (Bottom of Page)"/>
        <w:docPartUnique/>
      </w:docPartObj>
    </w:sdtPr>
    <w:sdtEndPr>
      <w:rPr>
        <w:rFonts w:ascii="Times New Roman" w:hAnsi="Times New Roman"/>
        <w:sz w:val="24"/>
        <w:szCs w:val="24"/>
      </w:rPr>
    </w:sdtEndPr>
    <w:sdtContent>
      <w:p w:rsidR="00177654" w:rsidRPr="0031302C" w:rsidRDefault="00177654">
        <w:pPr>
          <w:pStyle w:val="Footer"/>
          <w:jc w:val="center"/>
          <w:rPr>
            <w:rFonts w:ascii="Times New Roman" w:hAnsi="Times New Roman"/>
            <w:sz w:val="24"/>
            <w:szCs w:val="24"/>
          </w:rPr>
        </w:pPr>
        <w:r w:rsidRPr="0031302C">
          <w:rPr>
            <w:rFonts w:ascii="Times New Roman" w:hAnsi="Times New Roman"/>
            <w:sz w:val="24"/>
            <w:szCs w:val="24"/>
          </w:rPr>
          <w:fldChar w:fldCharType="begin"/>
        </w:r>
        <w:r w:rsidRPr="0031302C">
          <w:rPr>
            <w:rFonts w:ascii="Times New Roman" w:hAnsi="Times New Roman"/>
            <w:sz w:val="24"/>
            <w:szCs w:val="24"/>
          </w:rPr>
          <w:instrText xml:space="preserve"> PAGE   \* MERGEFORMAT </w:instrText>
        </w:r>
        <w:r w:rsidRPr="0031302C">
          <w:rPr>
            <w:rFonts w:ascii="Times New Roman" w:hAnsi="Times New Roman"/>
            <w:sz w:val="24"/>
            <w:szCs w:val="24"/>
          </w:rPr>
          <w:fldChar w:fldCharType="separate"/>
        </w:r>
        <w:r w:rsidR="00F7169C">
          <w:rPr>
            <w:rFonts w:ascii="Times New Roman" w:hAnsi="Times New Roman"/>
            <w:noProof/>
            <w:sz w:val="24"/>
            <w:szCs w:val="24"/>
          </w:rPr>
          <w:t>73</w:t>
        </w:r>
        <w:r w:rsidRPr="0031302C">
          <w:rPr>
            <w:rFonts w:ascii="Times New Roman" w:hAnsi="Times New Roman"/>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3D4EE2" w:rsidRDefault="00177654" w:rsidP="003D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54" w:rsidRDefault="00177654" w:rsidP="007A047B">
      <w:pPr>
        <w:spacing w:after="0" w:line="240" w:lineRule="auto"/>
      </w:pPr>
      <w:r>
        <w:separator/>
      </w:r>
    </w:p>
  </w:footnote>
  <w:footnote w:type="continuationSeparator" w:id="0">
    <w:p w:rsidR="00177654" w:rsidRDefault="00177654" w:rsidP="007A047B">
      <w:pPr>
        <w:spacing w:after="0" w:line="240" w:lineRule="auto"/>
      </w:pPr>
      <w:r>
        <w:continuationSeparator/>
      </w:r>
    </w:p>
  </w:footnote>
  <w:footnote w:id="1">
    <w:p w:rsidR="00177654" w:rsidRDefault="00177654" w:rsidP="005B3F1F">
      <w:pPr>
        <w:pStyle w:val="FootnoteText"/>
        <w:spacing w:after="0"/>
      </w:pPr>
      <w:r w:rsidRPr="00664A24">
        <w:rPr>
          <w:rStyle w:val="FootnoteReference"/>
          <w:rFonts w:eastAsiaTheme="majorEastAsia"/>
        </w:rPr>
        <w:footnoteRef/>
      </w:r>
      <w:r>
        <w:t xml:space="preserve"> </w:t>
      </w:r>
      <w:r>
        <w:tab/>
      </w:r>
      <w:r>
        <w:tab/>
      </w:r>
      <w:r w:rsidRPr="00664A24">
        <w:t xml:space="preserve">Federal Communications Commission, </w:t>
      </w:r>
      <w:r w:rsidRPr="00664A24">
        <w:rPr>
          <w:i/>
        </w:rPr>
        <w:t>FCC Proposes Modernizing and Streamlin</w:t>
      </w:r>
      <w:r>
        <w:rPr>
          <w:i/>
        </w:rPr>
        <w:softHyphen/>
      </w:r>
      <w:r w:rsidRPr="00664A24">
        <w:rPr>
          <w:i/>
        </w:rPr>
        <w:t>ing Universal Service</w:t>
      </w:r>
      <w:r w:rsidRPr="00664A24">
        <w:t xml:space="preserve"> (News Release) (rel. February 8, 2011).</w:t>
      </w:r>
    </w:p>
    <w:p w:rsidR="00177654" w:rsidRPr="00664A24" w:rsidRDefault="00177654" w:rsidP="005B3F1F">
      <w:pPr>
        <w:pStyle w:val="FootnoteText"/>
        <w:spacing w:after="0"/>
      </w:pPr>
    </w:p>
  </w:footnote>
  <w:footnote w:id="2">
    <w:p w:rsidR="00177654" w:rsidRDefault="00177654" w:rsidP="005840C4">
      <w:pPr>
        <w:pStyle w:val="FootnoteText"/>
      </w:pPr>
      <w:r w:rsidRPr="00664A24">
        <w:rPr>
          <w:rStyle w:val="FootnoteReference"/>
          <w:rFonts w:eastAsiaTheme="majorEastAsia"/>
        </w:rPr>
        <w:footnoteRef/>
      </w:r>
      <w:r w:rsidRPr="00664A24">
        <w:t xml:space="preserve"> </w:t>
      </w:r>
      <w:r>
        <w:tab/>
      </w:r>
      <w:r>
        <w:tab/>
      </w:r>
      <w:r w:rsidRPr="00123964">
        <w:rPr>
          <w:i/>
        </w:rPr>
        <w:t>See In the Matter of Connect America Fund, A National Broadband Plan for Our Future, Establishing Just and Reasonable Rates for Local Exchange Carriers, High-Cost Uni</w:t>
      </w:r>
      <w:r>
        <w:rPr>
          <w:i/>
        </w:rPr>
        <w:softHyphen/>
      </w:r>
      <w:r w:rsidRPr="00123964">
        <w:rPr>
          <w:i/>
        </w:rPr>
        <w:t>versal Service Support, Developing and Unified Intercarrier Compensation Regime, Fed</w:t>
      </w:r>
      <w:r>
        <w:rPr>
          <w:i/>
        </w:rPr>
        <w:softHyphen/>
      </w:r>
      <w:r w:rsidRPr="00123964">
        <w:rPr>
          <w:i/>
        </w:rPr>
        <w:t>eral State Joint Board on Universal Service, Lifeline and Link-Up</w:t>
      </w:r>
      <w:r w:rsidRPr="00664A24">
        <w:t>, WC Docket No. 10-50, GN Docket No. 09-51, WC Docket No. 07-135, WC Docket No. 05-337, CC Docket No. 01-92, CC Docket No. 96-45, WC Docket No. 03-109 (Notice of Proposed Rule</w:t>
      </w:r>
      <w:r>
        <w:softHyphen/>
      </w:r>
      <w:r w:rsidRPr="00664A24">
        <w:t>making and Further Notice of Proposed Rulemaking at 7</w:t>
      </w:r>
      <w:r>
        <w:t>-</w:t>
      </w:r>
      <w:r w:rsidRPr="00664A24">
        <w:t xml:space="preserve">8, ¶ 10) (rel. February 9, 2011) (NPRM).  The four principles include modernizing </w:t>
      </w:r>
      <w:r>
        <w:t>the FCC’s universal service fund (</w:t>
      </w:r>
      <w:r w:rsidRPr="00664A24">
        <w:t>USF</w:t>
      </w:r>
      <w:r>
        <w:t>)</w:t>
      </w:r>
      <w:r w:rsidRPr="00664A24">
        <w:t xml:space="preserve"> and </w:t>
      </w:r>
      <w:r>
        <w:t>intercarrier compensation (ICC) system</w:t>
      </w:r>
      <w:r w:rsidRPr="00664A24">
        <w:t xml:space="preserve"> for broadband; exercising fiscal responsibility to control the size of the USF; requiring accountability of companies receiv</w:t>
      </w:r>
      <w:r>
        <w:softHyphen/>
      </w:r>
      <w:r w:rsidRPr="00664A24">
        <w:t>ing support</w:t>
      </w:r>
      <w:r>
        <w:t>,</w:t>
      </w:r>
      <w:r w:rsidRPr="00664A24">
        <w:t xml:space="preserve"> and</w:t>
      </w:r>
      <w:r>
        <w:t>;</w:t>
      </w:r>
      <w:r w:rsidRPr="00664A24">
        <w:t xml:space="preserve"> transitioning to market-driven policies.</w:t>
      </w:r>
    </w:p>
  </w:footnote>
  <w:footnote w:id="3">
    <w:p w:rsidR="00177654" w:rsidRDefault="00177654" w:rsidP="005840C4">
      <w:pPr>
        <w:pStyle w:val="FootnoteText"/>
      </w:pPr>
      <w:r>
        <w:rPr>
          <w:rStyle w:val="FootnoteReference"/>
          <w:rFonts w:eastAsiaTheme="majorEastAsia"/>
        </w:rPr>
        <w:footnoteRef/>
      </w:r>
      <w:r>
        <w:t xml:space="preserve"> </w:t>
      </w:r>
      <w:r>
        <w:tab/>
      </w:r>
      <w:r>
        <w:tab/>
      </w:r>
      <w:r w:rsidRPr="00D10EAC">
        <w:rPr>
          <w:i/>
        </w:rPr>
        <w:t>Id.</w:t>
      </w:r>
      <w:r>
        <w:t xml:space="preserve"> at 22, ¶ 56.</w:t>
      </w:r>
    </w:p>
  </w:footnote>
  <w:footnote w:id="4">
    <w:p w:rsidR="00177654" w:rsidRDefault="00177654" w:rsidP="005840C4">
      <w:pPr>
        <w:pStyle w:val="FootnoteText"/>
      </w:pPr>
      <w:r>
        <w:rPr>
          <w:rStyle w:val="FootnoteReference"/>
          <w:rFonts w:eastAsiaTheme="majorEastAsia"/>
        </w:rPr>
        <w:footnoteRef/>
      </w:r>
      <w:r>
        <w:t xml:space="preserve"> </w:t>
      </w:r>
      <w:r>
        <w:tab/>
      </w:r>
      <w:r>
        <w:tab/>
        <w:t>NPRM at 22, ¶ 55.</w:t>
      </w:r>
    </w:p>
  </w:footnote>
  <w:footnote w:id="5">
    <w:p w:rsidR="00177654" w:rsidRDefault="00177654" w:rsidP="005840C4">
      <w:pPr>
        <w:pStyle w:val="FootnoteText"/>
      </w:pPr>
      <w:r>
        <w:rPr>
          <w:rStyle w:val="FootnoteReference"/>
          <w:rFonts w:eastAsiaTheme="majorEastAsia"/>
        </w:rPr>
        <w:footnoteRef/>
      </w:r>
      <w:r>
        <w:t xml:space="preserve"> </w:t>
      </w:r>
      <w:r>
        <w:tab/>
      </w:r>
      <w:r>
        <w:tab/>
        <w:t>47 U.S.C. 254(b)(7) (2010).</w:t>
      </w:r>
    </w:p>
  </w:footnote>
  <w:footnote w:id="6">
    <w:p w:rsidR="00177654" w:rsidRPr="005759CF" w:rsidRDefault="00177654" w:rsidP="005840C4">
      <w:pPr>
        <w:pStyle w:val="FootnoteText"/>
      </w:pPr>
      <w:r>
        <w:rPr>
          <w:rStyle w:val="FootnoteReference"/>
          <w:rFonts w:eastAsiaTheme="majorEastAsia"/>
        </w:rPr>
        <w:footnoteRef/>
      </w:r>
      <w:r>
        <w:t xml:space="preserve"> </w:t>
      </w:r>
      <w:r>
        <w:tab/>
      </w:r>
      <w:r>
        <w:tab/>
      </w:r>
      <w:r w:rsidRPr="000605B2">
        <w:rPr>
          <w:i/>
        </w:rPr>
        <w:t>See</w:t>
      </w:r>
      <w:r>
        <w:t xml:space="preserve"> </w:t>
      </w:r>
      <w:r w:rsidRPr="00CF61F4">
        <w:t>NPRM</w:t>
      </w:r>
      <w:r>
        <w:t xml:space="preserve"> at 23, ¶ 59.</w:t>
      </w:r>
    </w:p>
  </w:footnote>
  <w:footnote w:id="7">
    <w:p w:rsidR="00177654" w:rsidRDefault="00177654" w:rsidP="005840C4">
      <w:pPr>
        <w:pStyle w:val="FootnoteText"/>
      </w:pPr>
      <w:r>
        <w:rPr>
          <w:rStyle w:val="FootnoteReference"/>
          <w:rFonts w:eastAsiaTheme="majorEastAsia"/>
        </w:rPr>
        <w:footnoteRef/>
      </w:r>
      <w:r>
        <w:t xml:space="preserve"> </w:t>
      </w:r>
      <w:r>
        <w:tab/>
      </w:r>
      <w:r>
        <w:tab/>
        <w:t>NPRM at 24, ¶ 61.</w:t>
      </w:r>
    </w:p>
  </w:footnote>
  <w:footnote w:id="8">
    <w:p w:rsidR="00177654" w:rsidRDefault="00177654" w:rsidP="005840C4">
      <w:pPr>
        <w:pStyle w:val="FootnoteText"/>
      </w:pPr>
      <w:r>
        <w:rPr>
          <w:rStyle w:val="FootnoteReference"/>
          <w:rFonts w:eastAsiaTheme="majorEastAsia"/>
        </w:rPr>
        <w:footnoteRef/>
      </w:r>
      <w:r>
        <w:t xml:space="preserve"> </w:t>
      </w:r>
      <w:r>
        <w:tab/>
      </w:r>
      <w:r>
        <w:tab/>
      </w:r>
      <w:r w:rsidRPr="00372196">
        <w:rPr>
          <w:i/>
        </w:rPr>
        <w:t>Id</w:t>
      </w:r>
      <w:r w:rsidRPr="00CC09E8">
        <w:t>.</w:t>
      </w:r>
    </w:p>
  </w:footnote>
  <w:footnote w:id="9">
    <w:p w:rsidR="00177654" w:rsidRDefault="00177654" w:rsidP="005840C4">
      <w:pPr>
        <w:pStyle w:val="FootnoteText"/>
      </w:pPr>
      <w:r>
        <w:rPr>
          <w:rStyle w:val="FootnoteReference"/>
          <w:rFonts w:eastAsiaTheme="majorEastAsia"/>
        </w:rPr>
        <w:footnoteRef/>
      </w:r>
      <w:r>
        <w:t xml:space="preserve"> </w:t>
      </w:r>
      <w:r>
        <w:tab/>
      </w:r>
      <w:r>
        <w:tab/>
      </w:r>
      <w:r w:rsidRPr="00372196">
        <w:rPr>
          <w:i/>
        </w:rPr>
        <w:t>Id</w:t>
      </w:r>
      <w:r w:rsidRPr="00CC09E8">
        <w:t>.</w:t>
      </w:r>
    </w:p>
  </w:footnote>
  <w:footnote w:id="10">
    <w:p w:rsidR="00177654" w:rsidRDefault="00177654" w:rsidP="005840C4">
      <w:pPr>
        <w:pStyle w:val="FootnoteText"/>
      </w:pPr>
      <w:r>
        <w:rPr>
          <w:rStyle w:val="FootnoteReference"/>
          <w:rFonts w:eastAsiaTheme="majorEastAsia"/>
        </w:rPr>
        <w:footnoteRef/>
      </w:r>
      <w:r w:rsidRPr="00CC09E8">
        <w:t xml:space="preserve"> </w:t>
      </w:r>
      <w:r>
        <w:tab/>
      </w:r>
      <w:r>
        <w:tab/>
      </w:r>
      <w:r w:rsidRPr="00372196">
        <w:rPr>
          <w:i/>
        </w:rPr>
        <w:t>Id</w:t>
      </w:r>
      <w:r>
        <w:t>.</w:t>
      </w:r>
    </w:p>
  </w:footnote>
  <w:footnote w:id="11">
    <w:p w:rsidR="00177654" w:rsidRDefault="00177654" w:rsidP="005840C4">
      <w:pPr>
        <w:pStyle w:val="FootnoteText"/>
      </w:pPr>
      <w:r>
        <w:rPr>
          <w:rStyle w:val="FootnoteReference"/>
          <w:rFonts w:eastAsiaTheme="majorEastAsia"/>
        </w:rPr>
        <w:footnoteRef/>
      </w:r>
      <w:r>
        <w:t xml:space="preserve"> </w:t>
      </w:r>
      <w:r>
        <w:tab/>
      </w:r>
      <w:r>
        <w:tab/>
      </w:r>
      <w:r w:rsidRPr="000605B2">
        <w:rPr>
          <w:i/>
        </w:rPr>
        <w:t>See</w:t>
      </w:r>
      <w:r>
        <w:t xml:space="preserve"> </w:t>
      </w:r>
      <w:r>
        <w:rPr>
          <w:i/>
        </w:rPr>
        <w:t>id</w:t>
      </w:r>
      <w:r>
        <w:t>. at 23, ¶ 59</w:t>
      </w:r>
      <w:r w:rsidRPr="00CC09E8">
        <w:t>.</w:t>
      </w:r>
    </w:p>
  </w:footnote>
  <w:footnote w:id="12">
    <w:p w:rsidR="00177654" w:rsidRDefault="00177654" w:rsidP="005840C4">
      <w:pPr>
        <w:pStyle w:val="FootnoteText"/>
      </w:pPr>
      <w:r>
        <w:rPr>
          <w:rStyle w:val="FootnoteReference"/>
          <w:rFonts w:eastAsiaTheme="majorEastAsia"/>
        </w:rPr>
        <w:footnoteRef/>
      </w:r>
      <w:r>
        <w:t xml:space="preserve"> </w:t>
      </w:r>
      <w:r>
        <w:tab/>
      </w:r>
      <w:r>
        <w:tab/>
        <w:t>47 U.S.C. 254(c)(1)(A)(B)(C)(D) (2010).</w:t>
      </w:r>
    </w:p>
  </w:footnote>
  <w:footnote w:id="13">
    <w:p w:rsidR="00177654" w:rsidRDefault="00177654" w:rsidP="005840C4">
      <w:pPr>
        <w:pStyle w:val="FootnoteText"/>
      </w:pPr>
      <w:r>
        <w:rPr>
          <w:rStyle w:val="FootnoteReference"/>
          <w:rFonts w:eastAsiaTheme="majorEastAsia"/>
        </w:rPr>
        <w:footnoteRef/>
      </w:r>
      <w:r>
        <w:t xml:space="preserve"> </w:t>
      </w:r>
      <w:r>
        <w:tab/>
      </w:r>
      <w:r>
        <w:tab/>
      </w:r>
      <w:r w:rsidRPr="00EA6AC4">
        <w:rPr>
          <w:i/>
        </w:rPr>
        <w:t>See In the Matter of Framework for Broadband Internet Service</w:t>
      </w:r>
      <w:r>
        <w:t>, GN Docket No. 10-127 (Comments Submitted on Behalf of the Public Utilities Commission of Ohio at 5) (filed July 14, 2010) (Third-Way Comments).  “[T]he FCC, in all probability, has author</w:t>
      </w:r>
      <w:r>
        <w:softHyphen/>
        <w:t>ity to provide Universal Service Fund (USF) support for broadband Internet service under its current classification of broadband service as a Title I information service by way of Sec</w:t>
      </w:r>
      <w:r>
        <w:softHyphen/>
        <w:t>tions 254 and 214 of the [Act].”</w:t>
      </w:r>
    </w:p>
  </w:footnote>
  <w:footnote w:id="14">
    <w:p w:rsidR="00177654" w:rsidRDefault="00177654" w:rsidP="005840C4">
      <w:pPr>
        <w:pStyle w:val="FootnoteText"/>
      </w:pPr>
      <w:r>
        <w:rPr>
          <w:rStyle w:val="FootnoteReference"/>
          <w:rFonts w:eastAsiaTheme="majorEastAsia"/>
        </w:rPr>
        <w:footnoteRef/>
      </w:r>
      <w:r>
        <w:t xml:space="preserve"> </w:t>
      </w:r>
      <w:r>
        <w:tab/>
      </w:r>
      <w:r>
        <w:tab/>
      </w:r>
      <w:r w:rsidRPr="00897D88">
        <w:rPr>
          <w:i/>
        </w:rPr>
        <w:t>See id</w:t>
      </w:r>
      <w:r>
        <w:t>.</w:t>
      </w:r>
    </w:p>
  </w:footnote>
  <w:footnote w:id="15">
    <w:p w:rsidR="00177654" w:rsidRDefault="00177654" w:rsidP="005840C4">
      <w:pPr>
        <w:pStyle w:val="FootnoteText"/>
      </w:pPr>
      <w:r>
        <w:rPr>
          <w:rStyle w:val="FootnoteReference"/>
          <w:rFonts w:eastAsiaTheme="majorEastAsia"/>
        </w:rPr>
        <w:footnoteRef/>
      </w:r>
      <w:r>
        <w:t xml:space="preserve"> </w:t>
      </w:r>
      <w:r>
        <w:tab/>
      </w:r>
      <w:r>
        <w:tab/>
      </w:r>
      <w:r w:rsidRPr="00EA6AC4">
        <w:rPr>
          <w:i/>
        </w:rPr>
        <w:t>See</w:t>
      </w:r>
      <w:r>
        <w:t xml:space="preserve"> </w:t>
      </w:r>
      <w:r w:rsidRPr="00EA6AC4">
        <w:rPr>
          <w:i/>
        </w:rPr>
        <w:t>Comcast Corp. v. FCC</w:t>
      </w:r>
      <w:r>
        <w:t xml:space="preserve">, </w:t>
      </w:r>
      <w:r w:rsidRPr="00392F62">
        <w:rPr>
          <w:i/>
        </w:rPr>
        <w:t>et. al</w:t>
      </w:r>
      <w:r>
        <w:t>,  600 F.3d 642 (D.C. Cir. 2010).</w:t>
      </w:r>
    </w:p>
  </w:footnote>
  <w:footnote w:id="16">
    <w:p w:rsidR="00177654" w:rsidRDefault="00177654" w:rsidP="005840C4">
      <w:pPr>
        <w:pStyle w:val="FootnoteText"/>
      </w:pPr>
      <w:r>
        <w:rPr>
          <w:rStyle w:val="FootnoteReference"/>
          <w:rFonts w:eastAsiaTheme="majorEastAsia"/>
        </w:rPr>
        <w:footnoteRef/>
      </w:r>
      <w:r>
        <w:t xml:space="preserve"> </w:t>
      </w:r>
      <w:r>
        <w:tab/>
      </w:r>
      <w:r>
        <w:tab/>
        <w:t>NPRM at 25, ¶ 62; 47 U.S.C. 254(e), 214(e) (2010).</w:t>
      </w:r>
    </w:p>
  </w:footnote>
  <w:footnote w:id="17">
    <w:p w:rsidR="00177654" w:rsidRDefault="00177654" w:rsidP="005840C4">
      <w:pPr>
        <w:pStyle w:val="FootnoteText"/>
      </w:pPr>
      <w:r>
        <w:rPr>
          <w:rStyle w:val="FootnoteReference"/>
          <w:rFonts w:eastAsiaTheme="majorEastAsia"/>
        </w:rPr>
        <w:footnoteRef/>
      </w:r>
      <w:r>
        <w:t xml:space="preserve"> </w:t>
      </w:r>
      <w:r>
        <w:tab/>
      </w:r>
      <w:r>
        <w:tab/>
        <w:t>47 U.S.C. 214(e)(2) (2010).</w:t>
      </w:r>
    </w:p>
  </w:footnote>
  <w:footnote w:id="18">
    <w:p w:rsidR="00177654" w:rsidRDefault="00177654" w:rsidP="005840C4">
      <w:pPr>
        <w:pStyle w:val="FootnoteText"/>
      </w:pPr>
      <w:r>
        <w:rPr>
          <w:rStyle w:val="FootnoteReference"/>
          <w:rFonts w:eastAsiaTheme="majorEastAsia"/>
        </w:rPr>
        <w:footnoteRef/>
      </w:r>
      <w:r>
        <w:t xml:space="preserve"> </w:t>
      </w:r>
      <w:r>
        <w:tab/>
      </w:r>
      <w:r>
        <w:tab/>
      </w:r>
      <w:r>
        <w:rPr>
          <w:i/>
        </w:rPr>
        <w:t>Id</w:t>
      </w:r>
      <w:r>
        <w:t xml:space="preserve">.  </w:t>
      </w:r>
    </w:p>
  </w:footnote>
  <w:footnote w:id="19">
    <w:p w:rsidR="00177654" w:rsidRDefault="00177654" w:rsidP="005840C4">
      <w:pPr>
        <w:pStyle w:val="FootnoteText"/>
      </w:pPr>
      <w:r>
        <w:rPr>
          <w:rStyle w:val="FootnoteReference"/>
          <w:rFonts w:eastAsiaTheme="majorEastAsia"/>
        </w:rPr>
        <w:footnoteRef/>
      </w:r>
      <w:r>
        <w:t xml:space="preserve"> </w:t>
      </w:r>
      <w:r>
        <w:tab/>
      </w:r>
      <w:r>
        <w:tab/>
        <w:t>NPRM at 26, ¶ 66.</w:t>
      </w:r>
    </w:p>
  </w:footnote>
  <w:footnote w:id="20">
    <w:p w:rsidR="00177654" w:rsidRDefault="00177654" w:rsidP="005840C4">
      <w:pPr>
        <w:pStyle w:val="FootnoteText"/>
      </w:pPr>
      <w:r>
        <w:rPr>
          <w:rStyle w:val="FootnoteReference"/>
          <w:rFonts w:eastAsiaTheme="majorEastAsia"/>
        </w:rPr>
        <w:footnoteRef/>
      </w:r>
      <w:r>
        <w:t xml:space="preserve"> </w:t>
      </w:r>
      <w:r>
        <w:tab/>
      </w:r>
      <w:r>
        <w:tab/>
      </w:r>
      <w:r>
        <w:rPr>
          <w:i/>
        </w:rPr>
        <w:t>Id</w:t>
      </w:r>
      <w:r>
        <w:t>. at ¶ 6.  Paragraph (a) of section 706 states that the FCC “shall encour</w:t>
      </w:r>
      <w:r>
        <w:softHyphen/>
        <w:t>age the deployment on a reasonable and timely basis of advanced telecommunications capabil</w:t>
      </w:r>
      <w:r>
        <w:softHyphen/>
        <w:t>ity to all Americans…by utilizing…methods that remove barriers to infrastructure investment” while paragraph (b) states that the FCC “shall take immediate action to acceler</w:t>
      </w:r>
      <w:r>
        <w:softHyphen/>
        <w:t>ate deployment of such capability by removing barriers to infrastructure invest</w:t>
      </w:r>
      <w:r>
        <w:softHyphen/>
        <w:t>ment and by promoting competition in the telecommunications market” if it finds that advanced telecommunications capability is not be deployed in a reasonable and timely man</w:t>
      </w:r>
      <w:r>
        <w:softHyphen/>
        <w:t>ner.   47 U.S.C. 706 (a)(b) (2010).</w:t>
      </w:r>
    </w:p>
  </w:footnote>
  <w:footnote w:id="21">
    <w:p w:rsidR="00177654" w:rsidRDefault="00177654" w:rsidP="005840C4">
      <w:pPr>
        <w:pStyle w:val="FootnoteText"/>
      </w:pPr>
      <w:r>
        <w:rPr>
          <w:rStyle w:val="FootnoteReference"/>
          <w:rFonts w:eastAsiaTheme="majorEastAsia"/>
        </w:rPr>
        <w:footnoteRef/>
      </w:r>
      <w:r>
        <w:t xml:space="preserve"> </w:t>
      </w:r>
      <w:r>
        <w:tab/>
      </w:r>
      <w:r>
        <w:tab/>
      </w:r>
      <w:r w:rsidRPr="00EA6AC4">
        <w:rPr>
          <w:i/>
        </w:rPr>
        <w:t>See</w:t>
      </w:r>
      <w:r>
        <w:t xml:space="preserve"> NPRM at 26, ¶ 67.</w:t>
      </w:r>
    </w:p>
  </w:footnote>
  <w:footnote w:id="22">
    <w:p w:rsidR="00177654" w:rsidRDefault="00177654" w:rsidP="005840C4">
      <w:pPr>
        <w:pStyle w:val="FootnoteText"/>
      </w:pPr>
      <w:r>
        <w:rPr>
          <w:rStyle w:val="FootnoteReference"/>
          <w:rFonts w:eastAsiaTheme="majorEastAsia"/>
        </w:rPr>
        <w:footnoteRef/>
      </w:r>
      <w:r>
        <w:t xml:space="preserve"> </w:t>
      </w:r>
      <w:r>
        <w:tab/>
      </w:r>
      <w:r>
        <w:tab/>
        <w:t>47 U.S.C. 706(c)(1) (2010).</w:t>
      </w:r>
    </w:p>
  </w:footnote>
  <w:footnote w:id="23">
    <w:p w:rsidR="00177654" w:rsidRDefault="00177654">
      <w:pPr>
        <w:pStyle w:val="FootnoteText"/>
      </w:pPr>
      <w:r>
        <w:rPr>
          <w:rStyle w:val="FootnoteReference"/>
        </w:rPr>
        <w:footnoteRef/>
      </w:r>
      <w:r>
        <w:t xml:space="preserve"> </w:t>
      </w:r>
      <w:r>
        <w:tab/>
      </w:r>
      <w:r>
        <w:tab/>
        <w:t>See 47 U.S.C. 153(53) (2010).  “Telecommunications” is defined as the transmis</w:t>
      </w:r>
      <w:r>
        <w:softHyphen/>
        <w:t>sion, between or among points specified by the user, of information of the user’s choos</w:t>
      </w:r>
      <w:r>
        <w:softHyphen/>
        <w:t xml:space="preserve">ing, without change in the form or content of the information as sent and received.  </w:t>
      </w:r>
    </w:p>
  </w:footnote>
  <w:footnote w:id="24">
    <w:p w:rsidR="00177654" w:rsidRDefault="00177654" w:rsidP="005840C4">
      <w:pPr>
        <w:pStyle w:val="FootnoteText"/>
      </w:pPr>
      <w:r>
        <w:rPr>
          <w:rStyle w:val="FootnoteReference"/>
          <w:rFonts w:eastAsiaTheme="majorEastAsia"/>
        </w:rPr>
        <w:footnoteRef/>
      </w:r>
      <w:r>
        <w:t xml:space="preserve"> </w:t>
      </w:r>
      <w:r>
        <w:tab/>
      </w:r>
      <w:r>
        <w:tab/>
      </w:r>
      <w:r w:rsidRPr="00EA6AC4">
        <w:rPr>
          <w:i/>
        </w:rPr>
        <w:t>See</w:t>
      </w:r>
      <w:r>
        <w:t xml:space="preserve"> NPRM at 28, ¶ 71.</w:t>
      </w:r>
    </w:p>
  </w:footnote>
  <w:footnote w:id="25">
    <w:p w:rsidR="00177654" w:rsidRDefault="00177654" w:rsidP="005840C4">
      <w:pPr>
        <w:pStyle w:val="FootnoteText"/>
      </w:pPr>
      <w:r>
        <w:rPr>
          <w:rStyle w:val="FootnoteReference"/>
          <w:rFonts w:eastAsiaTheme="majorEastAsia"/>
        </w:rPr>
        <w:footnoteRef/>
      </w:r>
      <w:r>
        <w:t xml:space="preserve"> </w:t>
      </w:r>
      <w:r>
        <w:tab/>
      </w:r>
      <w:r>
        <w:tab/>
      </w:r>
      <w:r w:rsidRPr="000E0A40">
        <w:rPr>
          <w:i/>
        </w:rPr>
        <w:t>See In the Matter of</w:t>
      </w:r>
      <w:r w:rsidRPr="000E0A40">
        <w:t xml:space="preserve"> </w:t>
      </w:r>
      <w:r w:rsidRPr="000E0A40">
        <w:rPr>
          <w:i/>
        </w:rPr>
        <w:t xml:space="preserve">IP Enabled Services, </w:t>
      </w:r>
      <w:r w:rsidRPr="000E0A40">
        <w:t xml:space="preserve">WC Docket No. 04-36 </w:t>
      </w:r>
      <w:r w:rsidRPr="000E0A40">
        <w:rPr>
          <w:i/>
        </w:rPr>
        <w:t xml:space="preserve">(Comments of the Public Utilities </w:t>
      </w:r>
      <w:r w:rsidRPr="000E0A40">
        <w:t>Commission of Ohio at 4) (filed May 28, 2004).</w:t>
      </w:r>
      <w:r w:rsidRPr="00CC09E8">
        <w:rPr>
          <w:b/>
        </w:rPr>
        <w:t xml:space="preserve"> </w:t>
      </w:r>
    </w:p>
  </w:footnote>
  <w:footnote w:id="26">
    <w:p w:rsidR="00177654" w:rsidRDefault="00177654" w:rsidP="005840C4">
      <w:pPr>
        <w:pStyle w:val="FootnoteText"/>
      </w:pPr>
      <w:r>
        <w:rPr>
          <w:rStyle w:val="FootnoteReference"/>
          <w:rFonts w:eastAsiaTheme="majorEastAsia"/>
        </w:rPr>
        <w:footnoteRef/>
      </w:r>
      <w:r>
        <w:t xml:space="preserve"> </w:t>
      </w:r>
      <w:r>
        <w:tab/>
      </w:r>
      <w:r>
        <w:tab/>
      </w:r>
      <w:r w:rsidRPr="00CC09E8">
        <w:rPr>
          <w:i/>
        </w:rPr>
        <w:t>See</w:t>
      </w:r>
      <w:r>
        <w:t xml:space="preserve"> </w:t>
      </w:r>
      <w:r w:rsidRPr="00A00295">
        <w:rPr>
          <w:i/>
        </w:rPr>
        <w:t>i</w:t>
      </w:r>
      <w:r>
        <w:rPr>
          <w:i/>
        </w:rPr>
        <w:t>d</w:t>
      </w:r>
      <w:r>
        <w:t>.  In order to determine when a particular service is a telecommunications service, the Ohio Commission recommends the following factors be used: (1) the provider offers fee-based voice telephony to mass market, either stand-alone basis or bundled with other services, that is a functional substitute to local telephone service; (2) the service transmits infor</w:t>
      </w:r>
      <w:r>
        <w:softHyphen/>
        <w:t>mation of the user’s choosing by originating or terminating calls over the PSTN; (3) the infor</w:t>
      </w:r>
      <w:r>
        <w:softHyphen/>
        <w:t>mation is received without a net change in form or content; and (4) the NANP is used to route the call.</w:t>
      </w:r>
    </w:p>
  </w:footnote>
  <w:footnote w:id="27">
    <w:p w:rsidR="00177654" w:rsidRPr="00591F07" w:rsidRDefault="00177654" w:rsidP="005840C4">
      <w:pPr>
        <w:pStyle w:val="FootnoteText"/>
      </w:pPr>
      <w:r>
        <w:rPr>
          <w:rStyle w:val="FootnoteReference"/>
          <w:rFonts w:eastAsiaTheme="majorEastAsia"/>
        </w:rPr>
        <w:footnoteRef/>
      </w:r>
      <w:r>
        <w:t xml:space="preserve"> </w:t>
      </w:r>
      <w:r>
        <w:tab/>
      </w:r>
      <w:r>
        <w:tab/>
        <w:t>NPRM at 56, ¶ 157.</w:t>
      </w:r>
    </w:p>
  </w:footnote>
  <w:footnote w:id="28">
    <w:p w:rsidR="00177654" w:rsidRPr="00591F07" w:rsidRDefault="00177654" w:rsidP="005840C4">
      <w:pPr>
        <w:pStyle w:val="FootnoteText"/>
      </w:pPr>
      <w:r>
        <w:rPr>
          <w:rStyle w:val="FootnoteReference"/>
          <w:rFonts w:eastAsiaTheme="majorEastAsia"/>
        </w:rPr>
        <w:footnoteRef/>
      </w:r>
      <w:r>
        <w:t xml:space="preserve"> </w:t>
      </w:r>
      <w:r>
        <w:tab/>
      </w:r>
      <w:r>
        <w:tab/>
      </w:r>
      <w:r w:rsidRPr="00CC09E8">
        <w:rPr>
          <w:i/>
        </w:rPr>
        <w:t>Id</w:t>
      </w:r>
      <w:r>
        <w:t>.</w:t>
      </w:r>
    </w:p>
  </w:footnote>
  <w:footnote w:id="29">
    <w:p w:rsidR="00177654" w:rsidRDefault="00177654" w:rsidP="005840C4">
      <w:pPr>
        <w:pStyle w:val="FootnoteText"/>
      </w:pPr>
      <w:r>
        <w:rPr>
          <w:rStyle w:val="FootnoteReference"/>
          <w:rFonts w:eastAsiaTheme="majorEastAsia"/>
        </w:rPr>
        <w:footnoteRef/>
      </w:r>
      <w:r>
        <w:t xml:space="preserve"> </w:t>
      </w:r>
      <w:r>
        <w:tab/>
      </w:r>
      <w:r>
        <w:tab/>
      </w:r>
      <w:r>
        <w:rPr>
          <w:i/>
        </w:rPr>
        <w:t>Id</w:t>
      </w:r>
      <w:r>
        <w:t>. at ¶¶ 158, 160.</w:t>
      </w:r>
    </w:p>
  </w:footnote>
  <w:footnote w:id="30">
    <w:p w:rsidR="00177654" w:rsidRPr="009C377D" w:rsidRDefault="00177654" w:rsidP="005840C4">
      <w:pPr>
        <w:pStyle w:val="FootnoteText"/>
      </w:pPr>
      <w:r>
        <w:rPr>
          <w:rStyle w:val="FootnoteReference"/>
          <w:rFonts w:eastAsiaTheme="majorEastAsia"/>
        </w:rPr>
        <w:footnoteRef/>
      </w:r>
      <w:r>
        <w:t xml:space="preserve"> </w:t>
      </w:r>
      <w:r>
        <w:tab/>
      </w:r>
      <w:r>
        <w:tab/>
      </w:r>
      <w:r w:rsidRPr="00CC09E8">
        <w:rPr>
          <w:i/>
        </w:rPr>
        <w:t>See</w:t>
      </w:r>
      <w:r>
        <w:t xml:space="preserve"> </w:t>
      </w:r>
      <w:r w:rsidR="00F7169C">
        <w:t xml:space="preserve">NPRM </w:t>
      </w:r>
      <w:r>
        <w:t>at 57, ¶ 163.</w:t>
      </w:r>
    </w:p>
  </w:footnote>
  <w:footnote w:id="31">
    <w:p w:rsidR="00177654" w:rsidRPr="00454AB7" w:rsidRDefault="00177654" w:rsidP="005840C4">
      <w:pPr>
        <w:pStyle w:val="FootnoteText"/>
      </w:pPr>
      <w:r>
        <w:rPr>
          <w:rStyle w:val="FootnoteReference"/>
          <w:rFonts w:eastAsiaTheme="majorEastAsia"/>
        </w:rPr>
        <w:footnoteRef/>
      </w:r>
      <w:r>
        <w:t xml:space="preserve"> </w:t>
      </w:r>
      <w:r>
        <w:tab/>
      </w:r>
      <w:r>
        <w:tab/>
      </w:r>
      <w:r w:rsidRPr="00CC09E8">
        <w:rPr>
          <w:i/>
        </w:rPr>
        <w:t>Id</w:t>
      </w:r>
      <w:r>
        <w:t>.</w:t>
      </w:r>
    </w:p>
  </w:footnote>
  <w:footnote w:id="32">
    <w:p w:rsidR="00177654" w:rsidRPr="00454AB7" w:rsidRDefault="00177654" w:rsidP="005840C4">
      <w:pPr>
        <w:pStyle w:val="FootnoteText"/>
      </w:pPr>
      <w:r>
        <w:rPr>
          <w:rStyle w:val="FootnoteReference"/>
          <w:rFonts w:eastAsiaTheme="majorEastAsia"/>
        </w:rPr>
        <w:footnoteRef/>
      </w:r>
      <w:r>
        <w:t xml:space="preserve"> </w:t>
      </w:r>
      <w:r>
        <w:tab/>
      </w:r>
      <w:r>
        <w:tab/>
        <w:t>The Broadband Initiative Program (BIP) was created in response to the American Recovery Act of 2009 and is administered by RUS.</w:t>
      </w:r>
    </w:p>
  </w:footnote>
  <w:footnote w:id="33">
    <w:p w:rsidR="00177654" w:rsidRPr="00DD5452" w:rsidRDefault="00177654" w:rsidP="005840C4">
      <w:pPr>
        <w:pStyle w:val="FootnoteText"/>
      </w:pPr>
      <w:r>
        <w:rPr>
          <w:rStyle w:val="FootnoteReference"/>
          <w:rFonts w:eastAsiaTheme="majorEastAsia"/>
        </w:rPr>
        <w:footnoteRef/>
      </w:r>
      <w:r>
        <w:tab/>
      </w:r>
      <w:r>
        <w:tab/>
        <w:t>NPRM at 62, ¶175.</w:t>
      </w:r>
    </w:p>
  </w:footnote>
  <w:footnote w:id="34">
    <w:p w:rsidR="00177654" w:rsidRPr="00810B43" w:rsidRDefault="00177654" w:rsidP="005840C4">
      <w:pPr>
        <w:pStyle w:val="FootnoteText"/>
      </w:pPr>
      <w:r>
        <w:rPr>
          <w:rStyle w:val="FootnoteReference"/>
          <w:rFonts w:eastAsiaTheme="majorEastAsia"/>
        </w:rPr>
        <w:footnoteRef/>
      </w:r>
      <w:r>
        <w:t xml:space="preserve"> </w:t>
      </w:r>
      <w:r>
        <w:tab/>
      </w:r>
      <w:r>
        <w:tab/>
      </w:r>
      <w:r w:rsidRPr="00A00295">
        <w:rPr>
          <w:i/>
        </w:rPr>
        <w:t>Id.</w:t>
      </w:r>
      <w:r>
        <w:t xml:space="preserve"> at 63, ¶ 178.</w:t>
      </w:r>
    </w:p>
  </w:footnote>
  <w:footnote w:id="35">
    <w:p w:rsidR="00177654" w:rsidRPr="00BC38A3" w:rsidRDefault="00177654" w:rsidP="005840C4">
      <w:pPr>
        <w:pStyle w:val="FootnoteText"/>
      </w:pPr>
      <w:r>
        <w:rPr>
          <w:rStyle w:val="FootnoteReference"/>
          <w:rFonts w:eastAsiaTheme="majorEastAsia"/>
        </w:rPr>
        <w:footnoteRef/>
      </w:r>
      <w:r>
        <w:t xml:space="preserve"> </w:t>
      </w:r>
      <w:r>
        <w:tab/>
      </w:r>
      <w:r>
        <w:tab/>
      </w:r>
      <w:r w:rsidRPr="00CC09E8">
        <w:rPr>
          <w:i/>
        </w:rPr>
        <w:t>Id</w:t>
      </w:r>
      <w:r>
        <w:t>.</w:t>
      </w:r>
    </w:p>
  </w:footnote>
  <w:footnote w:id="36">
    <w:p w:rsidR="00177654" w:rsidRPr="005E2A6B" w:rsidRDefault="00177654" w:rsidP="005840C4">
      <w:pPr>
        <w:pStyle w:val="FootnoteText"/>
      </w:pPr>
      <w:r>
        <w:rPr>
          <w:rStyle w:val="FootnoteReference"/>
          <w:rFonts w:eastAsiaTheme="majorEastAsia"/>
        </w:rPr>
        <w:footnoteRef/>
      </w:r>
      <w:r>
        <w:t xml:space="preserve"> </w:t>
      </w:r>
      <w:r>
        <w:tab/>
      </w:r>
      <w:r>
        <w:tab/>
      </w:r>
      <w:r w:rsidRPr="00F01248">
        <w:rPr>
          <w:i/>
        </w:rPr>
        <w:t>See</w:t>
      </w:r>
      <w:r w:rsidRPr="00F01248">
        <w:t xml:space="preserve"> Ohio Telecom Association, </w:t>
      </w:r>
      <w:r w:rsidRPr="00F01248">
        <w:rPr>
          <w:i/>
        </w:rPr>
        <w:t>Membership Directory,</w:t>
      </w:r>
      <w:r w:rsidRPr="00F01248">
        <w:t xml:space="preserve"> 2007-2010 (OTA Member</w:t>
      </w:r>
      <w:r w:rsidRPr="00F01248">
        <w:softHyphen/>
        <w:t>ship Directory).</w:t>
      </w:r>
      <w:r>
        <w:t xml:space="preserve">  </w:t>
      </w:r>
    </w:p>
  </w:footnote>
  <w:footnote w:id="37">
    <w:p w:rsidR="00177654" w:rsidRPr="00BF203F" w:rsidRDefault="00177654" w:rsidP="005840C4">
      <w:pPr>
        <w:pStyle w:val="FootnoteText"/>
      </w:pPr>
      <w:r>
        <w:rPr>
          <w:rStyle w:val="FootnoteReference"/>
          <w:rFonts w:eastAsiaTheme="majorEastAsia"/>
        </w:rPr>
        <w:footnoteRef/>
      </w:r>
      <w:r>
        <w:t xml:space="preserve"> </w:t>
      </w:r>
      <w:r>
        <w:tab/>
      </w:r>
      <w:r>
        <w:tab/>
        <w:t>NPRM at 66, ¶ 180.</w:t>
      </w:r>
    </w:p>
  </w:footnote>
  <w:footnote w:id="38">
    <w:p w:rsidR="00177654" w:rsidRDefault="00177654" w:rsidP="005840C4">
      <w:pPr>
        <w:pStyle w:val="FootnoteText"/>
      </w:pPr>
      <w:r>
        <w:rPr>
          <w:rStyle w:val="FootnoteReference"/>
          <w:rFonts w:eastAsiaTheme="majorEastAsia"/>
        </w:rPr>
        <w:footnoteRef/>
      </w:r>
      <w:r>
        <w:t xml:space="preserve"> </w:t>
      </w:r>
      <w:r>
        <w:tab/>
      </w:r>
      <w:r>
        <w:tab/>
        <w:t>NPRM at 66, ¶ 180</w:t>
      </w:r>
      <w:r w:rsidRPr="009E4045">
        <w:rPr>
          <w:i/>
        </w:rPr>
        <w:t>.</w:t>
      </w:r>
    </w:p>
  </w:footnote>
  <w:footnote w:id="39">
    <w:p w:rsidR="00177654" w:rsidRPr="00BC3FC7" w:rsidRDefault="00177654" w:rsidP="005840C4">
      <w:pPr>
        <w:pStyle w:val="FootnoteText"/>
      </w:pPr>
      <w:r>
        <w:rPr>
          <w:rStyle w:val="FootnoteReference"/>
          <w:rFonts w:eastAsiaTheme="majorEastAsia"/>
        </w:rPr>
        <w:footnoteRef/>
      </w:r>
      <w:r>
        <w:t xml:space="preserve"> </w:t>
      </w:r>
      <w:r>
        <w:tab/>
      </w:r>
      <w:r>
        <w:tab/>
      </w:r>
      <w:r w:rsidRPr="00F01248">
        <w:t>2010 OTA Membership Directory.</w:t>
      </w:r>
    </w:p>
  </w:footnote>
  <w:footnote w:id="40">
    <w:p w:rsidR="00177654" w:rsidRPr="00BC3FC7" w:rsidRDefault="00177654" w:rsidP="005840C4">
      <w:pPr>
        <w:pStyle w:val="FootnoteText"/>
      </w:pPr>
      <w:r>
        <w:rPr>
          <w:rStyle w:val="FootnoteReference"/>
          <w:rFonts w:eastAsiaTheme="majorEastAsia"/>
        </w:rPr>
        <w:footnoteRef/>
      </w:r>
      <w:r>
        <w:t xml:space="preserve"> </w:t>
      </w:r>
      <w:r>
        <w:tab/>
      </w:r>
      <w:r>
        <w:tab/>
      </w:r>
      <w:r w:rsidRPr="00E947D7">
        <w:rPr>
          <w:i/>
        </w:rPr>
        <w:t>Id</w:t>
      </w:r>
      <w:r>
        <w:t>.</w:t>
      </w:r>
    </w:p>
  </w:footnote>
  <w:footnote w:id="41">
    <w:p w:rsidR="00177654" w:rsidRPr="00BC3FC7" w:rsidRDefault="00177654" w:rsidP="005840C4">
      <w:pPr>
        <w:pStyle w:val="FootnoteText"/>
      </w:pPr>
      <w:r>
        <w:rPr>
          <w:rStyle w:val="FootnoteReference"/>
          <w:rFonts w:eastAsiaTheme="majorEastAsia"/>
        </w:rPr>
        <w:footnoteRef/>
      </w:r>
      <w:r>
        <w:t xml:space="preserve"> </w:t>
      </w:r>
      <w:r>
        <w:tab/>
      </w:r>
      <w:r>
        <w:tab/>
      </w:r>
      <w:r w:rsidRPr="00E947D7">
        <w:rPr>
          <w:i/>
        </w:rPr>
        <w:t>Id</w:t>
      </w:r>
      <w:r>
        <w:t>.</w:t>
      </w:r>
    </w:p>
  </w:footnote>
  <w:footnote w:id="42">
    <w:p w:rsidR="00177654" w:rsidRDefault="00177654" w:rsidP="005840C4">
      <w:pPr>
        <w:pStyle w:val="FootnoteText"/>
      </w:pPr>
      <w:r>
        <w:rPr>
          <w:rStyle w:val="FootnoteReference"/>
          <w:rFonts w:eastAsiaTheme="majorEastAsia"/>
        </w:rPr>
        <w:footnoteRef/>
      </w:r>
      <w:r>
        <w:t xml:space="preserve"> </w:t>
      </w:r>
      <w:r>
        <w:tab/>
      </w:r>
      <w:r>
        <w:tab/>
        <w:t>NPRM at 66, ¶181.</w:t>
      </w:r>
    </w:p>
  </w:footnote>
  <w:footnote w:id="43">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w:t>
      </w:r>
    </w:p>
  </w:footnote>
  <w:footnote w:id="44">
    <w:p w:rsidR="00177654" w:rsidRDefault="00177654" w:rsidP="005840C4">
      <w:pPr>
        <w:pStyle w:val="FootnoteText"/>
      </w:pPr>
      <w:r>
        <w:rPr>
          <w:rStyle w:val="FootnoteReference"/>
          <w:rFonts w:eastAsiaTheme="majorEastAsia"/>
        </w:rPr>
        <w:footnoteRef/>
      </w:r>
      <w:r>
        <w:t xml:space="preserve"> </w:t>
      </w:r>
      <w:r>
        <w:tab/>
      </w:r>
      <w:r>
        <w:tab/>
      </w:r>
      <w:r>
        <w:rPr>
          <w:i/>
        </w:rPr>
        <w:t>Id</w:t>
      </w:r>
      <w:r>
        <w:t>. at 68-69, ¶¶ 186, 190.</w:t>
      </w:r>
    </w:p>
  </w:footnote>
  <w:footnote w:id="45">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 xml:space="preserve"> at 68, ¶ 187.</w:t>
      </w:r>
    </w:p>
  </w:footnote>
  <w:footnote w:id="46">
    <w:p w:rsidR="00177654" w:rsidRDefault="00177654" w:rsidP="005840C4">
      <w:pPr>
        <w:pStyle w:val="FootnoteText"/>
      </w:pPr>
      <w:r>
        <w:rPr>
          <w:rStyle w:val="FootnoteReference"/>
          <w:rFonts w:eastAsiaTheme="majorEastAsia"/>
        </w:rPr>
        <w:footnoteRef/>
      </w:r>
      <w:r>
        <w:t xml:space="preserve"> </w:t>
      </w:r>
      <w:r>
        <w:tab/>
      </w:r>
      <w:r>
        <w:tab/>
      </w:r>
      <w:r>
        <w:rPr>
          <w:i/>
        </w:rPr>
        <w:t xml:space="preserve">See </w:t>
      </w:r>
      <w:r w:rsidRPr="00841D47">
        <w:rPr>
          <w:i/>
        </w:rPr>
        <w:t>Id.</w:t>
      </w:r>
    </w:p>
  </w:footnote>
  <w:footnote w:id="47">
    <w:p w:rsidR="00177654" w:rsidRDefault="00177654" w:rsidP="005840C4">
      <w:pPr>
        <w:pStyle w:val="FootnoteText"/>
      </w:pPr>
      <w:r>
        <w:rPr>
          <w:rStyle w:val="FootnoteReference"/>
          <w:rFonts w:eastAsiaTheme="majorEastAsia"/>
        </w:rPr>
        <w:footnoteRef/>
      </w:r>
      <w:r>
        <w:t xml:space="preserve"> </w:t>
      </w:r>
      <w:r>
        <w:tab/>
      </w:r>
      <w:r>
        <w:tab/>
      </w:r>
      <w:r w:rsidRPr="00E947D7">
        <w:rPr>
          <w:i/>
        </w:rPr>
        <w:t>See</w:t>
      </w:r>
      <w:r>
        <w:t xml:space="preserve"> </w:t>
      </w:r>
      <w:r>
        <w:rPr>
          <w:i/>
        </w:rPr>
        <w:t>i</w:t>
      </w:r>
      <w:r w:rsidRPr="00E947D7">
        <w:rPr>
          <w:i/>
        </w:rPr>
        <w:t>d</w:t>
      </w:r>
      <w:r>
        <w:t xml:space="preserve"> at ¶ 188.</w:t>
      </w:r>
    </w:p>
  </w:footnote>
  <w:footnote w:id="48">
    <w:p w:rsidR="00177654" w:rsidRDefault="00177654" w:rsidP="005840C4">
      <w:pPr>
        <w:pStyle w:val="FootnoteText"/>
      </w:pPr>
      <w:r>
        <w:rPr>
          <w:rStyle w:val="FootnoteReference"/>
          <w:rFonts w:eastAsiaTheme="majorEastAsia"/>
        </w:rPr>
        <w:footnoteRef/>
      </w:r>
      <w:r>
        <w:t xml:space="preserve">  </w:t>
      </w:r>
      <w:r>
        <w:tab/>
      </w:r>
      <w:r>
        <w:tab/>
      </w:r>
      <w:r w:rsidRPr="00E947D7">
        <w:rPr>
          <w:i/>
        </w:rPr>
        <w:t xml:space="preserve">See </w:t>
      </w:r>
      <w:r>
        <w:rPr>
          <w:i/>
        </w:rPr>
        <w:t>i</w:t>
      </w:r>
      <w:r w:rsidRPr="00E947D7">
        <w:rPr>
          <w:i/>
        </w:rPr>
        <w:t>d</w:t>
      </w:r>
      <w:r>
        <w:rPr>
          <w:i/>
        </w:rPr>
        <w:t>.</w:t>
      </w:r>
      <w:r>
        <w:t xml:space="preserve"> at 69, ¶ 189.</w:t>
      </w:r>
    </w:p>
  </w:footnote>
  <w:footnote w:id="49">
    <w:p w:rsidR="00177654" w:rsidRDefault="00177654">
      <w:pPr>
        <w:pStyle w:val="FootnoteText"/>
      </w:pPr>
      <w:r>
        <w:rPr>
          <w:rStyle w:val="FootnoteReference"/>
        </w:rPr>
        <w:footnoteRef/>
      </w:r>
      <w:r>
        <w:t xml:space="preserve"> </w:t>
      </w:r>
      <w:r>
        <w:tab/>
      </w:r>
      <w:r>
        <w:tab/>
        <w:t>In prior comments, the Ohio Commission suggested that 10,000 or less subscrib</w:t>
      </w:r>
      <w:r>
        <w:softHyphen/>
        <w:t xml:space="preserve">ers as the appropriate threshold for applying the principal of competitive neutrality.   </w:t>
      </w:r>
      <w:r w:rsidRPr="009F618B">
        <w:rPr>
          <w:i/>
        </w:rPr>
        <w:t>See In the Matter of Connect America Fund, A National Broadband Plan for Our Future, high-Cost Universal Service Support</w:t>
      </w:r>
      <w:r>
        <w:t>, WC Docket No. 10-90, GN Docket No. 09-51, WC Docket No. 05-337 (Comments Submitted on Behalf of the Public Utilities Commis</w:t>
      </w:r>
      <w:r>
        <w:softHyphen/>
        <w:t xml:space="preserve">sion of Ohio at 12) (filed July 19, 2010) (NBP Comments).  </w:t>
      </w:r>
    </w:p>
  </w:footnote>
  <w:footnote w:id="50">
    <w:p w:rsidR="00177654" w:rsidRDefault="00177654" w:rsidP="005840C4">
      <w:pPr>
        <w:pStyle w:val="FootnoteText"/>
      </w:pPr>
      <w:r>
        <w:rPr>
          <w:rStyle w:val="FootnoteReference"/>
          <w:rFonts w:eastAsiaTheme="majorEastAsia"/>
        </w:rPr>
        <w:footnoteRef/>
      </w:r>
      <w:r>
        <w:t xml:space="preserve"> </w:t>
      </w:r>
      <w:r>
        <w:tab/>
      </w:r>
      <w:r>
        <w:tab/>
        <w:t>NPRM at 69, ¶ 190.</w:t>
      </w:r>
    </w:p>
  </w:footnote>
  <w:footnote w:id="51">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w:t>
      </w:r>
    </w:p>
  </w:footnote>
  <w:footnote w:id="52">
    <w:p w:rsidR="00177654" w:rsidRDefault="00177654" w:rsidP="005840C4">
      <w:pPr>
        <w:pStyle w:val="FootnoteText"/>
      </w:pPr>
      <w:r>
        <w:rPr>
          <w:rStyle w:val="FootnoteReference"/>
          <w:rFonts w:eastAsiaTheme="majorEastAsia"/>
        </w:rPr>
        <w:footnoteRef/>
      </w:r>
      <w:r>
        <w:t xml:space="preserve"> </w:t>
      </w:r>
      <w:r>
        <w:tab/>
      </w:r>
      <w:r>
        <w:tab/>
      </w:r>
      <w:r w:rsidRPr="00A00295">
        <w:rPr>
          <w:i/>
        </w:rPr>
        <w:t>Id.</w:t>
      </w:r>
    </w:p>
  </w:footnote>
  <w:footnote w:id="53">
    <w:p w:rsidR="00177654" w:rsidRDefault="00177654" w:rsidP="005840C4">
      <w:pPr>
        <w:pStyle w:val="FootnoteText"/>
      </w:pPr>
      <w:r>
        <w:rPr>
          <w:rStyle w:val="FootnoteReference"/>
          <w:rFonts w:eastAsiaTheme="majorEastAsia"/>
        </w:rPr>
        <w:footnoteRef/>
      </w:r>
      <w:r>
        <w:t xml:space="preserve"> </w:t>
      </w:r>
      <w:r>
        <w:tab/>
      </w:r>
      <w:r>
        <w:tab/>
        <w:t>NPRM at 69, ¶ 191.</w:t>
      </w:r>
    </w:p>
  </w:footnote>
  <w:footnote w:id="54">
    <w:p w:rsidR="00177654" w:rsidRDefault="00177654" w:rsidP="005840C4">
      <w:pPr>
        <w:pStyle w:val="FootnoteText"/>
      </w:pPr>
      <w:r>
        <w:rPr>
          <w:rStyle w:val="FootnoteReference"/>
          <w:rFonts w:eastAsiaTheme="majorEastAsia"/>
        </w:rPr>
        <w:footnoteRef/>
      </w:r>
      <w:r>
        <w:t xml:space="preserve"> </w:t>
      </w:r>
      <w:r>
        <w:tab/>
      </w:r>
      <w:r>
        <w:tab/>
      </w:r>
      <w:r w:rsidRPr="00FD6B36">
        <w:rPr>
          <w:i/>
        </w:rPr>
        <w:t>See id</w:t>
      </w:r>
      <w:r w:rsidRPr="00E947D7">
        <w:t>.</w:t>
      </w:r>
    </w:p>
  </w:footnote>
  <w:footnote w:id="55">
    <w:p w:rsidR="00177654" w:rsidRDefault="00177654" w:rsidP="005840C4">
      <w:pPr>
        <w:pStyle w:val="FootnoteText"/>
      </w:pPr>
      <w:r>
        <w:rPr>
          <w:rStyle w:val="FootnoteReference"/>
          <w:rFonts w:eastAsiaTheme="majorEastAsia"/>
        </w:rPr>
        <w:footnoteRef/>
      </w:r>
      <w:r>
        <w:t xml:space="preserve"> </w:t>
      </w:r>
      <w:r>
        <w:tab/>
      </w:r>
      <w:r>
        <w:tab/>
      </w:r>
      <w:r w:rsidRPr="00A00295">
        <w:rPr>
          <w:i/>
        </w:rPr>
        <w:t>Id.</w:t>
      </w:r>
    </w:p>
  </w:footnote>
  <w:footnote w:id="56">
    <w:p w:rsidR="00177654" w:rsidRDefault="00177654" w:rsidP="005840C4">
      <w:pPr>
        <w:pStyle w:val="FootnoteText"/>
      </w:pPr>
      <w:r>
        <w:rPr>
          <w:rStyle w:val="FootnoteReference"/>
          <w:rFonts w:eastAsiaTheme="majorEastAsia"/>
        </w:rPr>
        <w:footnoteRef/>
      </w:r>
      <w:r>
        <w:t xml:space="preserve"> </w:t>
      </w:r>
      <w:r>
        <w:tab/>
      </w:r>
      <w:r>
        <w:tab/>
        <w:t>NPRM at 71, ¶ 198.</w:t>
      </w:r>
    </w:p>
  </w:footnote>
  <w:footnote w:id="57">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 at 70, ¶ 195.</w:t>
      </w:r>
    </w:p>
  </w:footnote>
  <w:footnote w:id="58">
    <w:p w:rsidR="00177654" w:rsidRDefault="00177654" w:rsidP="005840C4">
      <w:pPr>
        <w:pStyle w:val="FootnoteText"/>
      </w:pPr>
      <w:r>
        <w:rPr>
          <w:rStyle w:val="FootnoteReference"/>
          <w:rFonts w:eastAsiaTheme="majorEastAsia"/>
        </w:rPr>
        <w:footnoteRef/>
      </w:r>
      <w:r>
        <w:t xml:space="preserve"> </w:t>
      </w:r>
      <w:r>
        <w:tab/>
      </w:r>
      <w:r>
        <w:tab/>
      </w:r>
      <w:r>
        <w:rPr>
          <w:i/>
        </w:rPr>
        <w:t xml:space="preserve">See </w:t>
      </w:r>
      <w:r w:rsidRPr="00A00295">
        <w:rPr>
          <w:i/>
        </w:rPr>
        <w:t xml:space="preserve">id. </w:t>
      </w:r>
      <w:r>
        <w:t>at 70, ¶ 196.</w:t>
      </w:r>
    </w:p>
  </w:footnote>
  <w:footnote w:id="59">
    <w:p w:rsidR="00177654" w:rsidRDefault="00177654" w:rsidP="005840C4">
      <w:pPr>
        <w:pStyle w:val="FootnoteText"/>
      </w:pPr>
      <w:r>
        <w:rPr>
          <w:rStyle w:val="FootnoteReference"/>
          <w:rFonts w:eastAsiaTheme="majorEastAsia"/>
        </w:rPr>
        <w:footnoteRef/>
      </w:r>
      <w:r>
        <w:t xml:space="preserve"> </w:t>
      </w:r>
      <w:r>
        <w:tab/>
      </w:r>
      <w:r>
        <w:tab/>
      </w:r>
      <w:r w:rsidRPr="00B87135">
        <w:rPr>
          <w:i/>
        </w:rPr>
        <w:t>See id.</w:t>
      </w:r>
    </w:p>
  </w:footnote>
  <w:footnote w:id="60">
    <w:p w:rsidR="00177654" w:rsidRDefault="00177654" w:rsidP="005840C4">
      <w:pPr>
        <w:pStyle w:val="FootnoteText"/>
      </w:pPr>
      <w:r>
        <w:rPr>
          <w:rStyle w:val="FootnoteReference"/>
          <w:rFonts w:eastAsiaTheme="majorEastAsia"/>
        </w:rPr>
        <w:footnoteRef/>
      </w:r>
      <w:r>
        <w:t xml:space="preserve"> </w:t>
      </w:r>
      <w:r>
        <w:tab/>
      </w:r>
      <w:r>
        <w:tab/>
        <w:t>NPRM at 73, ¶ 208.</w:t>
      </w:r>
    </w:p>
  </w:footnote>
  <w:footnote w:id="61">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 at ¶ 209.</w:t>
      </w:r>
    </w:p>
  </w:footnote>
  <w:footnote w:id="62">
    <w:p w:rsidR="00177654" w:rsidRDefault="00177654" w:rsidP="005840C4">
      <w:pPr>
        <w:pStyle w:val="FootnoteText"/>
      </w:pPr>
      <w:r>
        <w:rPr>
          <w:rStyle w:val="FootnoteReference"/>
          <w:rFonts w:eastAsiaTheme="majorEastAsia"/>
        </w:rPr>
        <w:footnoteRef/>
      </w:r>
      <w:r>
        <w:t xml:space="preserve"> </w:t>
      </w:r>
      <w:r>
        <w:tab/>
      </w:r>
      <w:r>
        <w:tab/>
      </w:r>
      <w:r w:rsidRPr="00E947D7">
        <w:rPr>
          <w:i/>
        </w:rPr>
        <w:t>Id</w:t>
      </w:r>
      <w:r>
        <w:t>.</w:t>
      </w:r>
    </w:p>
  </w:footnote>
  <w:footnote w:id="63">
    <w:p w:rsidR="00177654" w:rsidRDefault="00177654" w:rsidP="005840C4">
      <w:pPr>
        <w:pStyle w:val="FootnoteText"/>
      </w:pPr>
      <w:r>
        <w:rPr>
          <w:rStyle w:val="FootnoteReference"/>
          <w:rFonts w:eastAsiaTheme="majorEastAsia"/>
        </w:rPr>
        <w:footnoteRef/>
      </w:r>
      <w:r>
        <w:t xml:space="preserve"> </w:t>
      </w:r>
      <w:r>
        <w:tab/>
      </w:r>
      <w:r>
        <w:tab/>
      </w:r>
      <w:r w:rsidRPr="00A00295">
        <w:rPr>
          <w:i/>
        </w:rPr>
        <w:t>Id.</w:t>
      </w:r>
    </w:p>
  </w:footnote>
  <w:footnote w:id="64">
    <w:p w:rsidR="00177654" w:rsidRDefault="00177654" w:rsidP="005840C4">
      <w:pPr>
        <w:pStyle w:val="FootnoteText"/>
      </w:pPr>
      <w:r>
        <w:rPr>
          <w:rStyle w:val="FootnoteReference"/>
          <w:rFonts w:eastAsiaTheme="majorEastAsia"/>
        </w:rPr>
        <w:footnoteRef/>
      </w:r>
      <w:r>
        <w:t xml:space="preserve"> </w:t>
      </w:r>
      <w:r>
        <w:tab/>
      </w:r>
      <w:r>
        <w:tab/>
      </w:r>
      <w:r>
        <w:rPr>
          <w:i/>
        </w:rPr>
        <w:t>Id</w:t>
      </w:r>
      <w:r>
        <w:t>. at 74, ¶ 210.</w:t>
      </w:r>
    </w:p>
  </w:footnote>
  <w:footnote w:id="65">
    <w:p w:rsidR="00177654" w:rsidRDefault="00177654" w:rsidP="005840C4">
      <w:pPr>
        <w:pStyle w:val="FootnoteText"/>
      </w:pPr>
      <w:r>
        <w:rPr>
          <w:rStyle w:val="FootnoteReference"/>
          <w:rFonts w:eastAsiaTheme="majorEastAsia"/>
        </w:rPr>
        <w:footnoteRef/>
      </w:r>
      <w:r>
        <w:t xml:space="preserve"> </w:t>
      </w:r>
      <w:r>
        <w:tab/>
      </w:r>
      <w:r>
        <w:tab/>
        <w:t>NPRM at 74, ¶ 210</w:t>
      </w:r>
      <w:r w:rsidRPr="00E947D7">
        <w:t>.</w:t>
      </w:r>
    </w:p>
  </w:footnote>
  <w:footnote w:id="66">
    <w:p w:rsidR="00177654" w:rsidRDefault="00177654" w:rsidP="005840C4">
      <w:pPr>
        <w:pStyle w:val="FootnoteText"/>
      </w:pPr>
      <w:r>
        <w:rPr>
          <w:rStyle w:val="FootnoteReference"/>
          <w:rFonts w:eastAsiaTheme="majorEastAsia"/>
        </w:rPr>
        <w:footnoteRef/>
      </w:r>
      <w:r>
        <w:t xml:space="preserve"> </w:t>
      </w:r>
      <w:r>
        <w:tab/>
      </w:r>
      <w:r>
        <w:tab/>
        <w:t>Ohio Commission staff survey of small LEC websites conducted March 29, 2011.</w:t>
      </w:r>
    </w:p>
  </w:footnote>
  <w:footnote w:id="67">
    <w:p w:rsidR="00177654" w:rsidRDefault="00177654" w:rsidP="005840C4">
      <w:pPr>
        <w:pStyle w:val="FootnoteText"/>
      </w:pPr>
      <w:r>
        <w:rPr>
          <w:rStyle w:val="FootnoteReference"/>
          <w:rFonts w:eastAsiaTheme="majorEastAsia"/>
        </w:rPr>
        <w:footnoteRef/>
      </w:r>
      <w:r>
        <w:t xml:space="preserve"> </w:t>
      </w:r>
      <w:r>
        <w:tab/>
      </w:r>
      <w:r>
        <w:tab/>
        <w:t>NPRM at 75, ¶ 214.</w:t>
      </w:r>
    </w:p>
  </w:footnote>
  <w:footnote w:id="68">
    <w:p w:rsidR="00177654" w:rsidRDefault="00177654" w:rsidP="005840C4">
      <w:pPr>
        <w:pStyle w:val="FootnoteText"/>
      </w:pPr>
      <w:r>
        <w:rPr>
          <w:rStyle w:val="FootnoteReference"/>
          <w:rFonts w:eastAsiaTheme="majorEastAsia"/>
        </w:rPr>
        <w:footnoteRef/>
      </w:r>
      <w:r>
        <w:t xml:space="preserve"> </w:t>
      </w:r>
      <w:r>
        <w:tab/>
      </w:r>
      <w:r>
        <w:tab/>
      </w:r>
      <w:r>
        <w:rPr>
          <w:i/>
        </w:rPr>
        <w:t xml:space="preserve">See </w:t>
      </w:r>
      <w:r>
        <w:t>NPRM at 85, ¶ 242.</w:t>
      </w:r>
    </w:p>
  </w:footnote>
  <w:footnote w:id="69">
    <w:p w:rsidR="00177654" w:rsidRDefault="00177654" w:rsidP="005840C4">
      <w:pPr>
        <w:pStyle w:val="FootnoteText"/>
      </w:pPr>
      <w:r>
        <w:rPr>
          <w:rStyle w:val="FootnoteReference"/>
          <w:rFonts w:eastAsiaTheme="majorEastAsia"/>
        </w:rPr>
        <w:footnoteRef/>
      </w:r>
      <w:r>
        <w:t xml:space="preserve"> </w:t>
      </w:r>
      <w:r>
        <w:tab/>
      </w:r>
      <w:r>
        <w:tab/>
      </w:r>
      <w:r w:rsidRPr="00D269A1">
        <w:rPr>
          <w:i/>
        </w:rPr>
        <w:t>Id.</w:t>
      </w:r>
      <w:r>
        <w:t xml:space="preserve"> at 88, ¶ 247.</w:t>
      </w:r>
    </w:p>
  </w:footnote>
  <w:footnote w:id="70">
    <w:p w:rsidR="00177654" w:rsidRDefault="00177654" w:rsidP="005840C4">
      <w:pPr>
        <w:pStyle w:val="FootnoteText"/>
      </w:pPr>
      <w:r w:rsidRPr="00D269A1">
        <w:rPr>
          <w:rStyle w:val="FootnoteReference"/>
          <w:rFonts w:eastAsiaTheme="majorEastAsia"/>
          <w:szCs w:val="24"/>
        </w:rPr>
        <w:footnoteRef/>
      </w:r>
      <w:r>
        <w:t xml:space="preserve"> </w:t>
      </w:r>
      <w:r>
        <w:tab/>
      </w:r>
      <w:r>
        <w:tab/>
      </w:r>
      <w:r w:rsidRPr="003922AD">
        <w:rPr>
          <w:i/>
        </w:rPr>
        <w:t>See</w:t>
      </w:r>
      <w:r>
        <w:rPr>
          <w:i/>
        </w:rPr>
        <w:t>, e.g.,</w:t>
      </w:r>
      <w:r w:rsidRPr="003922AD">
        <w:rPr>
          <w:i/>
        </w:rPr>
        <w:t xml:space="preserve"> </w:t>
      </w:r>
      <w:r w:rsidRPr="00744828">
        <w:rPr>
          <w:i/>
        </w:rPr>
        <w:t>In the Matter of Notice of Proposed Rulemaking Regarding an Interim Cap on High-Cost Universal Service</w:t>
      </w:r>
      <w:r w:rsidRPr="00744828">
        <w:rPr>
          <w:i/>
          <w:szCs w:val="24"/>
        </w:rPr>
        <w:t xml:space="preserve"> Support for Competitive Eligible Telecommunications Carriers</w:t>
      </w:r>
      <w:r w:rsidRPr="00744828">
        <w:rPr>
          <w:szCs w:val="24"/>
        </w:rPr>
        <w:t>, WC Docket No. 05-337, CC Docket No. 96-45, (Reply Comments of the Public Utilities Commission of Ohio at 3-6) (filed July 10, 2007) (Interim Ca</w:t>
      </w:r>
      <w:r>
        <w:rPr>
          <w:szCs w:val="24"/>
        </w:rPr>
        <w:t>p</w:t>
      </w:r>
      <w:r w:rsidRPr="00744828">
        <w:rPr>
          <w:szCs w:val="24"/>
        </w:rPr>
        <w:t xml:space="preserve"> Comments)</w:t>
      </w:r>
      <w:r>
        <w:rPr>
          <w:szCs w:val="24"/>
        </w:rPr>
        <w:t>;</w:t>
      </w:r>
      <w:r w:rsidRPr="00744828">
        <w:rPr>
          <w:szCs w:val="24"/>
        </w:rPr>
        <w:t xml:space="preserve"> </w:t>
      </w:r>
      <w:r w:rsidRPr="008E31B6">
        <w:rPr>
          <w:i/>
          <w:szCs w:val="24"/>
        </w:rPr>
        <w:t>In the Matter of High Cost Universal Service Support, Federal-State Joint Board on Universal Service</w:t>
      </w:r>
      <w:r>
        <w:rPr>
          <w:szCs w:val="24"/>
        </w:rPr>
        <w:t xml:space="preserve">, WC Docket No. 05-337, CC Docket No. 96-45 (Comments of The Public Utilities Commission of </w:t>
      </w:r>
      <w:r w:rsidRPr="00744828">
        <w:rPr>
          <w:szCs w:val="24"/>
        </w:rPr>
        <w:t>Ohio</w:t>
      </w:r>
      <w:r>
        <w:rPr>
          <w:szCs w:val="24"/>
        </w:rPr>
        <w:t xml:space="preserve"> Regarding High-Cost Universal Service Reform at 3-5)</w:t>
      </w:r>
      <w:r w:rsidRPr="00744828">
        <w:rPr>
          <w:szCs w:val="24"/>
        </w:rPr>
        <w:t xml:space="preserve"> </w:t>
      </w:r>
      <w:r>
        <w:rPr>
          <w:szCs w:val="24"/>
        </w:rPr>
        <w:t>(filed April 18, 2008) (</w:t>
      </w:r>
      <w:r w:rsidRPr="00744828">
        <w:rPr>
          <w:szCs w:val="24"/>
        </w:rPr>
        <w:t>Identical Support Comments</w:t>
      </w:r>
      <w:r>
        <w:rPr>
          <w:szCs w:val="24"/>
        </w:rPr>
        <w:t xml:space="preserve">); </w:t>
      </w:r>
      <w:r w:rsidRPr="003922AD">
        <w:rPr>
          <w:i/>
        </w:rPr>
        <w:t>In the Matter of High-Cost Universal Service Support, Federal-State Joint Board on Universal Service, Lifeline and Link-Up, Universal Service Contribution Methodol</w:t>
      </w:r>
      <w:r>
        <w:rPr>
          <w:i/>
        </w:rPr>
        <w:softHyphen/>
      </w:r>
      <w:r w:rsidRPr="003922AD">
        <w:rPr>
          <w:i/>
        </w:rPr>
        <w:t>ogy, Numbering Resource Optimization, Implementation of the Local Competi</w:t>
      </w:r>
      <w:r>
        <w:rPr>
          <w:i/>
        </w:rPr>
        <w:softHyphen/>
      </w:r>
      <w:r w:rsidRPr="003922AD">
        <w:rPr>
          <w:i/>
        </w:rPr>
        <w:t>tion Provisions of the Telecommunications Act of 1996, Developing a Unified Intercar</w:t>
      </w:r>
      <w:r>
        <w:rPr>
          <w:i/>
        </w:rPr>
        <w:softHyphen/>
      </w:r>
      <w:r w:rsidRPr="003922AD">
        <w:rPr>
          <w:i/>
        </w:rPr>
        <w:t>rier Compensation Regime,  Intercarrier Compensation for IP-Bound Traffic, IP-Enabled Ser</w:t>
      </w:r>
      <w:r>
        <w:rPr>
          <w:i/>
        </w:rPr>
        <w:softHyphen/>
      </w:r>
      <w:r w:rsidRPr="003922AD">
        <w:rPr>
          <w:i/>
        </w:rPr>
        <w:t>vices</w:t>
      </w:r>
      <w:r>
        <w:t>, WC Docket No. 05-337, CC Docket No. 96-45, WC Docket No. 03-109, WC Docket No. 06-122, CC Docket No. 99-200, CC Docket No. 96-98, CC Docket No. 01-92, CC Docket No. 99-68, WC Docket No. 04-36 (Comments Submitted on Behalf of the Pub</w:t>
      </w:r>
      <w:r>
        <w:softHyphen/>
        <w:t>lic Utilities Commission of Ohio at 3 - 5) (filed November 26, 2008) (Comprehensive Reform Comments).</w:t>
      </w:r>
      <w:r w:rsidRPr="00744828">
        <w:rPr>
          <w:szCs w:val="24"/>
        </w:rPr>
        <w:t xml:space="preserve">  </w:t>
      </w:r>
    </w:p>
  </w:footnote>
  <w:footnote w:id="71">
    <w:p w:rsidR="00177654" w:rsidRDefault="00177654" w:rsidP="005840C4">
      <w:pPr>
        <w:pStyle w:val="FootnoteText"/>
      </w:pPr>
      <w:r>
        <w:rPr>
          <w:rStyle w:val="FootnoteReference"/>
          <w:rFonts w:eastAsiaTheme="majorEastAsia"/>
        </w:rPr>
        <w:footnoteRef/>
      </w:r>
      <w:r>
        <w:t xml:space="preserve"> </w:t>
      </w:r>
      <w:r>
        <w:tab/>
      </w:r>
      <w:r>
        <w:tab/>
        <w:t>Interim Cap</w:t>
      </w:r>
      <w:r w:rsidRPr="00ED556C">
        <w:t xml:space="preserve"> Comments at </w:t>
      </w:r>
      <w:r>
        <w:t>3-</w:t>
      </w:r>
      <w:r w:rsidRPr="00ED556C">
        <w:t>4</w:t>
      </w:r>
      <w:r>
        <w:t>.</w:t>
      </w:r>
    </w:p>
  </w:footnote>
  <w:footnote w:id="72">
    <w:p w:rsidR="00177654" w:rsidRDefault="00177654" w:rsidP="005840C4">
      <w:pPr>
        <w:pStyle w:val="FootnoteText"/>
      </w:pPr>
      <w:r>
        <w:rPr>
          <w:rStyle w:val="FootnoteReference"/>
          <w:rFonts w:eastAsiaTheme="majorEastAsia"/>
        </w:rPr>
        <w:footnoteRef/>
      </w:r>
      <w:r>
        <w:t xml:space="preserve"> </w:t>
      </w:r>
      <w:r>
        <w:tab/>
      </w:r>
      <w:r>
        <w:tab/>
      </w:r>
      <w:r w:rsidRPr="003922AD">
        <w:rPr>
          <w:i/>
        </w:rPr>
        <w:t xml:space="preserve">See </w:t>
      </w:r>
      <w:r>
        <w:rPr>
          <w:i/>
        </w:rPr>
        <w:t>id.</w:t>
      </w:r>
    </w:p>
  </w:footnote>
  <w:footnote w:id="73">
    <w:p w:rsidR="00177654" w:rsidRDefault="00177654" w:rsidP="005840C4">
      <w:pPr>
        <w:pStyle w:val="FootnoteText"/>
      </w:pPr>
      <w:r>
        <w:rPr>
          <w:rStyle w:val="FootnoteReference"/>
          <w:rFonts w:eastAsiaTheme="majorEastAsia"/>
        </w:rPr>
        <w:footnoteRef/>
      </w:r>
      <w:r>
        <w:t xml:space="preserve"> </w:t>
      </w:r>
      <w:r>
        <w:tab/>
      </w:r>
      <w:r>
        <w:tab/>
        <w:t>Interim Cap</w:t>
      </w:r>
      <w:r w:rsidRPr="00ED556C">
        <w:t xml:space="preserve"> Comments at </w:t>
      </w:r>
      <w:r>
        <w:t>3-</w:t>
      </w:r>
      <w:r w:rsidRPr="00ED556C">
        <w:t>4</w:t>
      </w:r>
      <w:r>
        <w:t>.</w:t>
      </w:r>
    </w:p>
  </w:footnote>
  <w:footnote w:id="74">
    <w:p w:rsidR="00177654" w:rsidRDefault="00177654" w:rsidP="005840C4">
      <w:pPr>
        <w:pStyle w:val="FootnoteText"/>
      </w:pPr>
      <w:r>
        <w:rPr>
          <w:rStyle w:val="FootnoteReference"/>
          <w:rFonts w:eastAsiaTheme="majorEastAsia"/>
        </w:rPr>
        <w:footnoteRef/>
      </w:r>
      <w:r>
        <w:t xml:space="preserve"> </w:t>
      </w:r>
      <w:r>
        <w:tab/>
      </w:r>
      <w:r>
        <w:tab/>
      </w:r>
      <w:r w:rsidRPr="00177654">
        <w:rPr>
          <w:i/>
        </w:rPr>
        <w:t>Id</w:t>
      </w:r>
      <w:r>
        <w:t>.</w:t>
      </w:r>
    </w:p>
  </w:footnote>
  <w:footnote w:id="75">
    <w:p w:rsidR="00177654" w:rsidRDefault="00177654" w:rsidP="005840C4">
      <w:pPr>
        <w:pStyle w:val="FootnoteText"/>
      </w:pPr>
      <w:r>
        <w:rPr>
          <w:rStyle w:val="FootnoteReference"/>
          <w:rFonts w:eastAsiaTheme="majorEastAsia"/>
        </w:rPr>
        <w:footnoteRef/>
      </w:r>
      <w:r>
        <w:t xml:space="preserve"> </w:t>
      </w:r>
      <w:r>
        <w:tab/>
      </w:r>
      <w:r>
        <w:tab/>
      </w:r>
      <w:r w:rsidRPr="00F01248">
        <w:rPr>
          <w:i/>
        </w:rPr>
        <w:t>See</w:t>
      </w:r>
      <w:r w:rsidRPr="00F01248">
        <w:t xml:space="preserve"> </w:t>
      </w:r>
      <w:r w:rsidRPr="008E31B6">
        <w:rPr>
          <w:i/>
        </w:rPr>
        <w:t>id</w:t>
      </w:r>
      <w:r>
        <w:t>. at 4</w:t>
      </w:r>
      <w:r w:rsidRPr="00F01248">
        <w:t>; Identical Support Comments</w:t>
      </w:r>
      <w:r>
        <w:t xml:space="preserve"> at 4-5</w:t>
      </w:r>
      <w:r w:rsidRPr="00F01248">
        <w:t>.</w:t>
      </w:r>
    </w:p>
  </w:footnote>
  <w:footnote w:id="76">
    <w:p w:rsidR="00177654" w:rsidRDefault="00177654" w:rsidP="005840C4">
      <w:pPr>
        <w:pStyle w:val="FootnoteText"/>
      </w:pPr>
      <w:r>
        <w:rPr>
          <w:rStyle w:val="FootnoteReference"/>
          <w:rFonts w:eastAsiaTheme="majorEastAsia"/>
        </w:rPr>
        <w:footnoteRef/>
      </w:r>
      <w:r>
        <w:t xml:space="preserve"> </w:t>
      </w:r>
      <w:r>
        <w:tab/>
      </w:r>
      <w:r>
        <w:tab/>
      </w:r>
      <w:r w:rsidRPr="008E31B6">
        <w:rPr>
          <w:i/>
        </w:rPr>
        <w:t>See</w:t>
      </w:r>
      <w:r>
        <w:rPr>
          <w:i/>
        </w:rPr>
        <w:t xml:space="preserve"> id</w:t>
      </w:r>
      <w:r>
        <w:t>.</w:t>
      </w:r>
    </w:p>
  </w:footnote>
  <w:footnote w:id="77">
    <w:p w:rsidR="00177654" w:rsidRDefault="00177654" w:rsidP="005840C4">
      <w:pPr>
        <w:pStyle w:val="FootnoteText"/>
      </w:pPr>
      <w:r>
        <w:rPr>
          <w:rStyle w:val="FootnoteReference"/>
          <w:rFonts w:eastAsiaTheme="majorEastAsia"/>
        </w:rPr>
        <w:footnoteRef/>
      </w:r>
      <w:r>
        <w:t xml:space="preserve"> </w:t>
      </w:r>
      <w:r>
        <w:tab/>
      </w:r>
      <w:r>
        <w:tab/>
        <w:t>NPRM at 85, ¶ 242.</w:t>
      </w:r>
    </w:p>
  </w:footnote>
  <w:footnote w:id="78">
    <w:p w:rsidR="00177654" w:rsidRDefault="00177654" w:rsidP="005840C4">
      <w:pPr>
        <w:pStyle w:val="FootnoteText"/>
      </w:pPr>
      <w:r>
        <w:rPr>
          <w:rStyle w:val="FootnoteReference"/>
          <w:rFonts w:eastAsiaTheme="majorEastAsia"/>
        </w:rPr>
        <w:footnoteRef/>
      </w:r>
      <w:r>
        <w:t xml:space="preserve"> </w:t>
      </w:r>
      <w:r>
        <w:tab/>
      </w:r>
      <w:r>
        <w:tab/>
        <w:t>NPRM at 85, ¶ 242.</w:t>
      </w:r>
    </w:p>
  </w:footnote>
  <w:footnote w:id="79">
    <w:p w:rsidR="00177654" w:rsidRDefault="00177654" w:rsidP="005840C4">
      <w:pPr>
        <w:pStyle w:val="FootnoteText"/>
      </w:pPr>
      <w:r>
        <w:rPr>
          <w:rStyle w:val="FootnoteReference"/>
          <w:rFonts w:eastAsiaTheme="majorEastAsia"/>
        </w:rPr>
        <w:footnoteRef/>
      </w:r>
      <w:r>
        <w:t xml:space="preserve"> </w:t>
      </w:r>
      <w:r>
        <w:tab/>
      </w:r>
      <w:r>
        <w:tab/>
      </w:r>
      <w:r>
        <w:rPr>
          <w:i/>
        </w:rPr>
        <w:t>Id</w:t>
      </w:r>
      <w:r w:rsidRPr="00D72D84">
        <w:t>.</w:t>
      </w:r>
    </w:p>
  </w:footnote>
  <w:footnote w:id="80">
    <w:p w:rsidR="00177654" w:rsidRDefault="00177654" w:rsidP="005840C4">
      <w:pPr>
        <w:pStyle w:val="FootnoteText"/>
      </w:pPr>
      <w:r>
        <w:rPr>
          <w:rStyle w:val="FootnoteReference"/>
          <w:rFonts w:eastAsiaTheme="majorEastAsia"/>
        </w:rPr>
        <w:footnoteRef/>
      </w:r>
      <w:r>
        <w:t xml:space="preserve"> </w:t>
      </w:r>
      <w:r>
        <w:tab/>
      </w:r>
      <w:r>
        <w:tab/>
      </w:r>
      <w:r w:rsidRPr="00B87135">
        <w:rPr>
          <w:i/>
        </w:rPr>
        <w:t>See</w:t>
      </w:r>
      <w:r>
        <w:t xml:space="preserve"> Interim Cap Comments at 3-6; Identical Support Comments at 3-5.</w:t>
      </w:r>
    </w:p>
  </w:footnote>
  <w:footnote w:id="81">
    <w:p w:rsidR="00177654" w:rsidRDefault="00177654" w:rsidP="005840C4">
      <w:pPr>
        <w:pStyle w:val="FootnoteText"/>
      </w:pPr>
      <w:r>
        <w:rPr>
          <w:rStyle w:val="FootnoteReference"/>
          <w:rFonts w:eastAsiaTheme="majorEastAsia"/>
        </w:rPr>
        <w:footnoteRef/>
      </w:r>
      <w:r>
        <w:t xml:space="preserve"> </w:t>
      </w:r>
      <w:r>
        <w:tab/>
      </w:r>
      <w:r>
        <w:tab/>
      </w:r>
      <w:r w:rsidRPr="00D72D84">
        <w:rPr>
          <w:i/>
        </w:rPr>
        <w:t>See</w:t>
      </w:r>
      <w:r>
        <w:t xml:space="preserve"> NPRM at 75, ¶ 214.</w:t>
      </w:r>
    </w:p>
  </w:footnote>
  <w:footnote w:id="82">
    <w:p w:rsidR="00177654" w:rsidRDefault="00177654" w:rsidP="005840C4">
      <w:pPr>
        <w:pStyle w:val="FootnoteText"/>
      </w:pPr>
      <w:r>
        <w:rPr>
          <w:rStyle w:val="FootnoteReference"/>
          <w:rFonts w:eastAsiaTheme="majorEastAsia"/>
        </w:rPr>
        <w:footnoteRef/>
      </w:r>
      <w:r>
        <w:t xml:space="preserve"> </w:t>
      </w:r>
      <w:r>
        <w:tab/>
      </w:r>
      <w:r>
        <w:tab/>
      </w:r>
      <w:r w:rsidRPr="00ED556C">
        <w:t xml:space="preserve"> Jim Puzzanghera, </w:t>
      </w:r>
      <w:r>
        <w:t xml:space="preserve"> </w:t>
      </w:r>
      <w:r w:rsidRPr="00BB7CE1">
        <w:rPr>
          <w:i/>
        </w:rPr>
        <w:t>AT&amp;T Merger Puts Obama in a Bind</w:t>
      </w:r>
      <w:r>
        <w:t xml:space="preserve">, L.A. Times, </w:t>
      </w:r>
      <w:r w:rsidRPr="00ED556C">
        <w:t>March 22, 2011</w:t>
      </w:r>
      <w:r>
        <w:t xml:space="preserve"> available at </w:t>
      </w:r>
      <w:r w:rsidRPr="003744AC">
        <w:t>http://articles.latimes.com/2011/mar/22/business/la-fi-obama-att-20110322</w:t>
      </w:r>
      <w:r>
        <w:t>.</w:t>
      </w:r>
    </w:p>
  </w:footnote>
  <w:footnote w:id="83">
    <w:p w:rsidR="00177654" w:rsidRDefault="00177654" w:rsidP="005840C4">
      <w:pPr>
        <w:pStyle w:val="FootnoteText"/>
      </w:pPr>
      <w:r>
        <w:rPr>
          <w:rStyle w:val="FootnoteReference"/>
          <w:rFonts w:eastAsiaTheme="majorEastAsia"/>
        </w:rPr>
        <w:footnoteRef/>
      </w:r>
      <w:r>
        <w:t xml:space="preserve"> </w:t>
      </w:r>
      <w:r>
        <w:tab/>
      </w:r>
      <w:r>
        <w:tab/>
        <w:t>NPRM at 91, ¶ 262.</w:t>
      </w:r>
    </w:p>
  </w:footnote>
  <w:footnote w:id="84">
    <w:p w:rsidR="00177654" w:rsidRDefault="00177654" w:rsidP="005840C4">
      <w:pPr>
        <w:pStyle w:val="FootnoteText"/>
      </w:pPr>
      <w:r>
        <w:rPr>
          <w:rStyle w:val="FootnoteReference"/>
          <w:rFonts w:eastAsiaTheme="majorEastAsia"/>
        </w:rPr>
        <w:footnoteRef/>
      </w:r>
      <w:r>
        <w:t xml:space="preserve"> </w:t>
      </w:r>
      <w:r>
        <w:tab/>
      </w:r>
      <w:r>
        <w:tab/>
      </w:r>
      <w:r w:rsidRPr="008E31B6">
        <w:rPr>
          <w:i/>
        </w:rPr>
        <w:t>Id.</w:t>
      </w:r>
    </w:p>
  </w:footnote>
  <w:footnote w:id="85">
    <w:p w:rsidR="00177654" w:rsidRDefault="00177654" w:rsidP="005840C4">
      <w:pPr>
        <w:pStyle w:val="FootnoteText"/>
      </w:pPr>
      <w:r>
        <w:rPr>
          <w:rStyle w:val="FootnoteReference"/>
          <w:rFonts w:eastAsiaTheme="majorEastAsia"/>
        </w:rPr>
        <w:footnoteRef/>
      </w:r>
      <w:r>
        <w:t xml:space="preserve"> </w:t>
      </w:r>
      <w:r>
        <w:tab/>
      </w:r>
      <w:r>
        <w:tab/>
        <w:t>NPRM at 91, ¶ 263.</w:t>
      </w:r>
    </w:p>
  </w:footnote>
  <w:footnote w:id="86">
    <w:p w:rsidR="00177654" w:rsidRDefault="00177654" w:rsidP="005840C4">
      <w:pPr>
        <w:pStyle w:val="FootnoteText"/>
      </w:pPr>
      <w:r>
        <w:rPr>
          <w:rStyle w:val="FootnoteReference"/>
          <w:rFonts w:eastAsiaTheme="majorEastAsia"/>
        </w:rPr>
        <w:footnoteRef/>
      </w:r>
      <w:r>
        <w:t xml:space="preserve"> </w:t>
      </w:r>
      <w:r>
        <w:tab/>
      </w:r>
      <w:r>
        <w:tab/>
      </w:r>
      <w:r>
        <w:rPr>
          <w:i/>
        </w:rPr>
        <w:t>Id</w:t>
      </w:r>
      <w:r>
        <w:t>. at 93, ¶ 270.</w:t>
      </w:r>
    </w:p>
  </w:footnote>
  <w:footnote w:id="87">
    <w:p w:rsidR="00177654" w:rsidRPr="003C0C5B" w:rsidRDefault="00177654" w:rsidP="005840C4">
      <w:pPr>
        <w:pStyle w:val="FootnoteText"/>
      </w:pPr>
      <w:r>
        <w:rPr>
          <w:rStyle w:val="FootnoteReference"/>
          <w:rFonts w:eastAsiaTheme="majorEastAsia"/>
        </w:rPr>
        <w:footnoteRef/>
      </w:r>
      <w:r>
        <w:t xml:space="preserve"> </w:t>
      </w:r>
      <w:r>
        <w:tab/>
      </w:r>
      <w:r>
        <w:tab/>
      </w:r>
      <w:r w:rsidRPr="00294FB2">
        <w:rPr>
          <w:i/>
        </w:rPr>
        <w:t>See In the Matter of High-Cost Universal Service Support</w:t>
      </w:r>
      <w:r>
        <w:t xml:space="preserve">, </w:t>
      </w:r>
      <w:r>
        <w:rPr>
          <w:i/>
        </w:rPr>
        <w:t xml:space="preserve">Federal-State Joint Board on Universal Service, </w:t>
      </w:r>
      <w:r>
        <w:t>WC Docket No. 05-337, CC Docket No. 96-45 (Comments of the Public Utilities Commission of Ohio Regarding High-Cost Universal Service Reform at 8)(filed April 22, 2008) (Ohio Commission High-Cost Universal Reform Com</w:t>
      </w:r>
      <w:r>
        <w:softHyphen/>
        <w:t>ments).</w:t>
      </w:r>
    </w:p>
  </w:footnote>
  <w:footnote w:id="88">
    <w:p w:rsidR="00177654" w:rsidRPr="007C463A" w:rsidRDefault="00177654" w:rsidP="005840C4">
      <w:pPr>
        <w:pStyle w:val="FootnoteText"/>
      </w:pPr>
      <w:r>
        <w:rPr>
          <w:rStyle w:val="FootnoteReference"/>
          <w:rFonts w:eastAsiaTheme="majorEastAsia"/>
        </w:rPr>
        <w:footnoteRef/>
      </w:r>
      <w:r>
        <w:t xml:space="preserve"> </w:t>
      </w:r>
      <w:r>
        <w:tab/>
      </w:r>
      <w:r>
        <w:tab/>
      </w:r>
      <w:r w:rsidRPr="00897D88">
        <w:rPr>
          <w:i/>
        </w:rPr>
        <w:t>See In the Matter of the Commission Investigation into Intrastate Carrier Access Reform Pursuant to Senate Bill 16</w:t>
      </w:r>
      <w:r w:rsidRPr="00372196">
        <w:t>2</w:t>
      </w:r>
      <w:r>
        <w:t>, Case No. 10-2387-TP-COI (Entry) (November 3, 2010).</w:t>
      </w:r>
    </w:p>
  </w:footnote>
  <w:footnote w:id="89">
    <w:p w:rsidR="00177654" w:rsidRDefault="00177654" w:rsidP="005840C4">
      <w:pPr>
        <w:pStyle w:val="FootnoteText"/>
      </w:pPr>
      <w:r>
        <w:rPr>
          <w:rStyle w:val="FootnoteReference"/>
          <w:rFonts w:eastAsiaTheme="majorEastAsia"/>
        </w:rPr>
        <w:footnoteRef/>
      </w:r>
      <w:r>
        <w:t xml:space="preserve"> </w:t>
      </w:r>
      <w:r>
        <w:tab/>
      </w:r>
      <w:r>
        <w:tab/>
      </w:r>
      <w:r w:rsidRPr="00372196">
        <w:t>NPRM</w:t>
      </w:r>
      <w:r>
        <w:t xml:space="preserve"> at 93, ¶ 272.</w:t>
      </w:r>
    </w:p>
  </w:footnote>
  <w:footnote w:id="90">
    <w:p w:rsidR="00177654" w:rsidRDefault="00177654" w:rsidP="005840C4">
      <w:pPr>
        <w:pStyle w:val="FootnoteText"/>
      </w:pPr>
      <w:r>
        <w:rPr>
          <w:rStyle w:val="FootnoteReference"/>
          <w:rFonts w:eastAsiaTheme="majorEastAsia"/>
        </w:rPr>
        <w:footnoteRef/>
      </w:r>
      <w:r>
        <w:t xml:space="preserve"> </w:t>
      </w:r>
      <w:r>
        <w:tab/>
      </w:r>
      <w:r>
        <w:tab/>
      </w:r>
      <w:r w:rsidRPr="009F618B">
        <w:rPr>
          <w:i/>
        </w:rPr>
        <w:t xml:space="preserve">See </w:t>
      </w:r>
      <w:r>
        <w:t>NBP Comments at 11.</w:t>
      </w:r>
    </w:p>
  </w:footnote>
  <w:footnote w:id="91">
    <w:p w:rsidR="00177654" w:rsidRDefault="00177654" w:rsidP="005840C4">
      <w:pPr>
        <w:pStyle w:val="FootnoteText"/>
      </w:pPr>
      <w:r>
        <w:rPr>
          <w:rStyle w:val="FootnoteReference"/>
          <w:rFonts w:eastAsiaTheme="majorEastAsia"/>
        </w:rPr>
        <w:footnoteRef/>
      </w:r>
      <w:r>
        <w:t xml:space="preserve"> </w:t>
      </w:r>
      <w:r>
        <w:tab/>
      </w:r>
      <w:r>
        <w:tab/>
      </w:r>
      <w:proofErr w:type="spellStart"/>
      <w:r>
        <w:t>NBP</w:t>
      </w:r>
      <w:proofErr w:type="spellEnd"/>
      <w:r>
        <w:t xml:space="preserve"> Comments at 11</w:t>
      </w:r>
      <w:proofErr w:type="gramStart"/>
      <w:r w:rsidRPr="00841D47">
        <w:rPr>
          <w:i/>
        </w:rPr>
        <w:t>.</w:t>
      </w:r>
      <w:r>
        <w:t xml:space="preserve"> </w:t>
      </w:r>
      <w:proofErr w:type="gramEnd"/>
      <w:r>
        <w:t>The Ohio Commission pointed out that “today’s cutting-edge technology will likely seem antiquated at the end of [the ten-year transition] period as advancements are made in the deployment and delivery of broadband service.  Such advances will most likely certainly include satellite service.”</w:t>
      </w:r>
    </w:p>
  </w:footnote>
  <w:footnote w:id="92">
    <w:p w:rsidR="00177654" w:rsidRDefault="00177654" w:rsidP="005840C4">
      <w:pPr>
        <w:pStyle w:val="FootnoteText"/>
      </w:pPr>
      <w:r>
        <w:rPr>
          <w:rStyle w:val="FootnoteReference"/>
          <w:rFonts w:eastAsiaTheme="majorEastAsia"/>
        </w:rPr>
        <w:footnoteRef/>
      </w:r>
      <w:r>
        <w:t xml:space="preserve"> </w:t>
      </w:r>
      <w:r>
        <w:tab/>
      </w:r>
      <w:r>
        <w:tab/>
      </w:r>
      <w:r>
        <w:rPr>
          <w:i/>
        </w:rPr>
        <w:t>Id</w:t>
      </w:r>
      <w:r>
        <w:t xml:space="preserve">. </w:t>
      </w:r>
    </w:p>
  </w:footnote>
  <w:footnote w:id="93">
    <w:p w:rsidR="00177654" w:rsidRDefault="00177654" w:rsidP="005840C4">
      <w:pPr>
        <w:pStyle w:val="FootnoteText"/>
      </w:pPr>
      <w:r>
        <w:rPr>
          <w:rStyle w:val="FootnoteReference"/>
          <w:rFonts w:eastAsiaTheme="majorEastAsia"/>
        </w:rPr>
        <w:footnoteRef/>
      </w:r>
      <w:r>
        <w:t xml:space="preserve"> </w:t>
      </w:r>
      <w:r>
        <w:tab/>
      </w:r>
      <w:r>
        <w:tab/>
        <w:t>NPRM at 95, ¶ 282.</w:t>
      </w:r>
    </w:p>
  </w:footnote>
  <w:footnote w:id="94">
    <w:p w:rsidR="00177654" w:rsidRDefault="00177654" w:rsidP="005840C4">
      <w:pPr>
        <w:pStyle w:val="FootnoteText"/>
      </w:pPr>
      <w:r>
        <w:rPr>
          <w:rStyle w:val="FootnoteReference"/>
          <w:rFonts w:eastAsiaTheme="majorEastAsia"/>
        </w:rPr>
        <w:footnoteRef/>
      </w:r>
      <w:r>
        <w:t xml:space="preserve"> </w:t>
      </w:r>
      <w:r>
        <w:tab/>
      </w:r>
      <w:r>
        <w:tab/>
      </w:r>
      <w:r w:rsidRPr="00A45C60">
        <w:rPr>
          <w:i/>
        </w:rPr>
        <w:t>In the Matter of Universal Service Reform, Mobility Fund</w:t>
      </w:r>
      <w:r>
        <w:t>, WT Docket No. 10-208  (Comments Submitted on Behalf of the Public Utilities Commission of Ohio at 9) (filed December 15, 2010) (Mobility Fund Comments).</w:t>
      </w:r>
    </w:p>
  </w:footnote>
  <w:footnote w:id="95">
    <w:p w:rsidR="00177654" w:rsidRDefault="00177654" w:rsidP="005840C4">
      <w:pPr>
        <w:pStyle w:val="FootnoteText"/>
        <w:spacing w:after="0"/>
      </w:pPr>
      <w:r>
        <w:rPr>
          <w:rStyle w:val="FootnoteReference"/>
          <w:rFonts w:eastAsiaTheme="majorEastAsia"/>
        </w:rPr>
        <w:footnoteRef/>
      </w:r>
      <w:r>
        <w:t xml:space="preserve"> </w:t>
      </w:r>
      <w:r>
        <w:tab/>
      </w:r>
      <w:r>
        <w:tab/>
        <w:t>FCC Chairman Martin’s reply to Representative Edward J. Markey’s April 2, 2007 letter regarding Universal Service issues.  Both Representative Markey’s letter and Chairman Martin’s reply are available at:</w:t>
      </w:r>
    </w:p>
    <w:p w:rsidR="00177654" w:rsidRDefault="00177654" w:rsidP="005840C4">
      <w:pPr>
        <w:pStyle w:val="FootnoteText"/>
      </w:pPr>
      <w:r>
        <w:tab/>
      </w:r>
      <w:hyperlink r:id="rId1" w:history="1">
        <w:r w:rsidRPr="00096A56">
          <w:rPr>
            <w:rStyle w:val="Hyperlink"/>
            <w:rFonts w:eastAsiaTheme="majorEastAsia"/>
          </w:rPr>
          <w:t>http://markey.house.gov/index.php?option=com_content&amp;task=view&amp;id=2825&amp;Itemid=46</w:t>
        </w:r>
      </w:hyperlink>
      <w:r>
        <w:t xml:space="preserve">.  </w:t>
      </w:r>
    </w:p>
  </w:footnote>
  <w:footnote w:id="96">
    <w:p w:rsidR="00177654" w:rsidRDefault="00177654" w:rsidP="005840C4">
      <w:pPr>
        <w:pStyle w:val="FootnoteText"/>
      </w:pPr>
      <w:r>
        <w:rPr>
          <w:rStyle w:val="FootnoteReference"/>
          <w:rFonts w:eastAsiaTheme="majorEastAsia"/>
        </w:rPr>
        <w:footnoteRef/>
      </w:r>
      <w:r>
        <w:t xml:space="preserve"> </w:t>
      </w:r>
      <w:r>
        <w:tab/>
      </w:r>
      <w:r>
        <w:tab/>
        <w:t>NPRM at 98, ¶ 294.</w:t>
      </w:r>
    </w:p>
  </w:footnote>
  <w:footnote w:id="97">
    <w:p w:rsidR="00177654" w:rsidRDefault="00177654" w:rsidP="005840C4">
      <w:pPr>
        <w:pStyle w:val="FootnoteText"/>
      </w:pPr>
      <w:r>
        <w:rPr>
          <w:rStyle w:val="FootnoteReference"/>
          <w:rFonts w:eastAsiaTheme="majorEastAsia"/>
        </w:rPr>
        <w:footnoteRef/>
      </w:r>
      <w:r>
        <w:t xml:space="preserve"> </w:t>
      </w:r>
      <w:r>
        <w:tab/>
      </w:r>
      <w:r>
        <w:tab/>
      </w:r>
      <w:r w:rsidRPr="002D5831">
        <w:rPr>
          <w:i/>
        </w:rPr>
        <w:t>High-Cost Universal Service Support, Federal-State Joint on Universal Service</w:t>
      </w:r>
      <w:r>
        <w:t>, WC Docket No. 05-337, CC Docket No. 96-45 (Comments of the Public Utilities Commis</w:t>
      </w:r>
      <w:r>
        <w:softHyphen/>
        <w:t xml:space="preserve">sion of Ohio Regarding Reverse Auctions at 6, § D) (filed April 17, 2007) (Reverse Auction Comments). </w:t>
      </w:r>
    </w:p>
  </w:footnote>
  <w:footnote w:id="98">
    <w:p w:rsidR="00177654" w:rsidRDefault="00177654" w:rsidP="005840C4">
      <w:pPr>
        <w:pStyle w:val="FootnoteText"/>
      </w:pPr>
      <w:r>
        <w:rPr>
          <w:rStyle w:val="FootnoteReference"/>
          <w:rFonts w:eastAsiaTheme="majorEastAsia"/>
        </w:rPr>
        <w:footnoteRef/>
      </w:r>
      <w:r>
        <w:t xml:space="preserve"> </w:t>
      </w:r>
      <w:r>
        <w:tab/>
      </w:r>
      <w:r>
        <w:tab/>
      </w:r>
      <w:r w:rsidRPr="00B96048">
        <w:rPr>
          <w:i/>
        </w:rPr>
        <w:t>Id.</w:t>
      </w:r>
    </w:p>
  </w:footnote>
  <w:footnote w:id="99">
    <w:p w:rsidR="00177654" w:rsidRDefault="00177654" w:rsidP="005840C4">
      <w:pPr>
        <w:pStyle w:val="FootnoteText"/>
      </w:pPr>
      <w:r>
        <w:rPr>
          <w:rStyle w:val="FootnoteReference"/>
          <w:rFonts w:eastAsiaTheme="majorEastAsia"/>
        </w:rPr>
        <w:footnoteRef/>
      </w:r>
      <w:r>
        <w:t xml:space="preserve"> </w:t>
      </w:r>
      <w:r>
        <w:tab/>
      </w:r>
      <w:r>
        <w:tab/>
      </w:r>
      <w:r w:rsidR="00353012">
        <w:t>Reverse Auction Comments at 6, § D</w:t>
      </w:r>
      <w:r w:rsidRPr="00B96048">
        <w:rPr>
          <w:i/>
        </w:rPr>
        <w:t>.</w:t>
      </w:r>
    </w:p>
  </w:footnote>
  <w:footnote w:id="100">
    <w:p w:rsidR="00177654"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101">
    <w:p w:rsidR="00177654" w:rsidRDefault="00177654" w:rsidP="005840C4">
      <w:pPr>
        <w:pStyle w:val="FootnoteText"/>
      </w:pPr>
      <w:r>
        <w:rPr>
          <w:rStyle w:val="FootnoteReference"/>
          <w:rFonts w:eastAsiaTheme="majorEastAsia"/>
        </w:rPr>
        <w:footnoteRef/>
      </w:r>
      <w:r>
        <w:t xml:space="preserve"> </w:t>
      </w:r>
      <w:r>
        <w:tab/>
      </w:r>
      <w:r>
        <w:tab/>
        <w:t>NPRM at 103, ¶ 310.</w:t>
      </w:r>
    </w:p>
  </w:footnote>
  <w:footnote w:id="102">
    <w:p w:rsidR="00177654" w:rsidRDefault="00177654" w:rsidP="005840C4">
      <w:pPr>
        <w:pStyle w:val="FootnoteText"/>
      </w:pPr>
      <w:r>
        <w:rPr>
          <w:rStyle w:val="FootnoteReference"/>
          <w:rFonts w:eastAsiaTheme="majorEastAsia"/>
        </w:rPr>
        <w:footnoteRef/>
      </w:r>
      <w:r>
        <w:t xml:space="preserve"> </w:t>
      </w:r>
      <w:r>
        <w:tab/>
      </w:r>
      <w:r>
        <w:tab/>
      </w:r>
      <w:r w:rsidRPr="00294FB2">
        <w:rPr>
          <w:i/>
        </w:rPr>
        <w:t>Id</w:t>
      </w:r>
      <w:r>
        <w:t>.</w:t>
      </w:r>
    </w:p>
  </w:footnote>
  <w:footnote w:id="103">
    <w:p w:rsidR="00177654" w:rsidRDefault="00177654" w:rsidP="005840C4">
      <w:pPr>
        <w:pStyle w:val="FootnoteText"/>
      </w:pPr>
      <w:r>
        <w:rPr>
          <w:rStyle w:val="FootnoteReference"/>
          <w:rFonts w:eastAsiaTheme="majorEastAsia"/>
        </w:rPr>
        <w:footnoteRef/>
      </w:r>
      <w:r>
        <w:t xml:space="preserve"> </w:t>
      </w:r>
      <w:r>
        <w:tab/>
      </w:r>
      <w:r>
        <w:tab/>
        <w:t>Reverse Auction Comments at 7.</w:t>
      </w:r>
    </w:p>
  </w:footnote>
  <w:footnote w:id="104">
    <w:p w:rsidR="00177654" w:rsidRDefault="00177654" w:rsidP="005840C4">
      <w:pPr>
        <w:pStyle w:val="FootnoteText"/>
      </w:pPr>
      <w:r>
        <w:rPr>
          <w:rStyle w:val="FootnoteReference"/>
          <w:rFonts w:eastAsiaTheme="majorEastAsia"/>
        </w:rPr>
        <w:footnoteRef/>
      </w:r>
      <w:r>
        <w:t xml:space="preserve"> </w:t>
      </w:r>
      <w:r>
        <w:tab/>
      </w:r>
      <w:r>
        <w:tab/>
        <w:t>NPRM at 103, ¶ 311.</w:t>
      </w:r>
    </w:p>
  </w:footnote>
  <w:footnote w:id="105">
    <w:p w:rsidR="00177654" w:rsidRDefault="00177654" w:rsidP="005840C4">
      <w:pPr>
        <w:pStyle w:val="FootnoteText"/>
      </w:pPr>
      <w:r>
        <w:rPr>
          <w:rStyle w:val="FootnoteReference"/>
          <w:rFonts w:eastAsiaTheme="majorEastAsia"/>
        </w:rPr>
        <w:footnoteRef/>
      </w:r>
      <w:r>
        <w:t xml:space="preserve"> </w:t>
      </w:r>
      <w:r>
        <w:tab/>
      </w:r>
      <w:r>
        <w:tab/>
        <w:t>NBP Comments at 3.</w:t>
      </w:r>
    </w:p>
  </w:footnote>
  <w:footnote w:id="106">
    <w:p w:rsidR="00177654" w:rsidRDefault="00177654" w:rsidP="005840C4">
      <w:pPr>
        <w:pStyle w:val="FootnoteText"/>
      </w:pPr>
      <w:r>
        <w:rPr>
          <w:rStyle w:val="FootnoteReference"/>
          <w:rFonts w:eastAsiaTheme="majorEastAsia"/>
        </w:rPr>
        <w:footnoteRef/>
      </w:r>
      <w:r>
        <w:t xml:space="preserve"> </w:t>
      </w:r>
      <w:r>
        <w:tab/>
      </w:r>
      <w:r>
        <w:tab/>
      </w:r>
      <w:r w:rsidRPr="00294FB2">
        <w:rPr>
          <w:i/>
        </w:rPr>
        <w:t>Id</w:t>
      </w:r>
      <w:r>
        <w:t>.</w:t>
      </w:r>
    </w:p>
  </w:footnote>
  <w:footnote w:id="107">
    <w:p w:rsidR="00177654" w:rsidRDefault="00177654" w:rsidP="005840C4">
      <w:pPr>
        <w:pStyle w:val="FootnoteText"/>
      </w:pPr>
      <w:r>
        <w:rPr>
          <w:rStyle w:val="FootnoteReference"/>
          <w:rFonts w:eastAsiaTheme="majorEastAsia"/>
        </w:rPr>
        <w:footnoteRef/>
      </w:r>
      <w:r>
        <w:t xml:space="preserve"> </w:t>
      </w:r>
      <w:r>
        <w:tab/>
      </w:r>
      <w:r>
        <w:tab/>
      </w:r>
      <w:r w:rsidRPr="00294FB2">
        <w:rPr>
          <w:i/>
        </w:rPr>
        <w:t>Id</w:t>
      </w:r>
      <w:r>
        <w:t>. at 5.</w:t>
      </w:r>
    </w:p>
  </w:footnote>
  <w:footnote w:id="108">
    <w:p w:rsidR="00177654" w:rsidRDefault="00177654" w:rsidP="005840C4">
      <w:pPr>
        <w:pStyle w:val="FootnoteText"/>
      </w:pPr>
      <w:r>
        <w:rPr>
          <w:rStyle w:val="FootnoteReference"/>
          <w:rFonts w:eastAsiaTheme="majorEastAsia"/>
        </w:rPr>
        <w:footnoteRef/>
      </w:r>
      <w:r>
        <w:t xml:space="preserve"> </w:t>
      </w:r>
      <w:r>
        <w:tab/>
      </w:r>
      <w:r>
        <w:tab/>
        <w:t>NPRM at 105, ¶ 319.</w:t>
      </w:r>
    </w:p>
  </w:footnote>
  <w:footnote w:id="109">
    <w:p w:rsidR="00177654" w:rsidRDefault="00177654" w:rsidP="005840C4">
      <w:pPr>
        <w:pStyle w:val="FootnoteText"/>
      </w:pPr>
      <w:r>
        <w:rPr>
          <w:rStyle w:val="FootnoteReference"/>
          <w:rFonts w:eastAsiaTheme="majorEastAsia"/>
        </w:rPr>
        <w:footnoteRef/>
      </w:r>
      <w:r>
        <w:t xml:space="preserve"> </w:t>
      </w:r>
      <w:r>
        <w:tab/>
      </w:r>
      <w:r>
        <w:tab/>
      </w:r>
      <w:r w:rsidRPr="00294FB2">
        <w:rPr>
          <w:i/>
        </w:rPr>
        <w:t>Id</w:t>
      </w:r>
      <w:r>
        <w:t>.</w:t>
      </w:r>
    </w:p>
  </w:footnote>
  <w:footnote w:id="110">
    <w:p w:rsidR="00177654" w:rsidRDefault="00177654" w:rsidP="005840C4">
      <w:pPr>
        <w:pStyle w:val="FootnoteText"/>
      </w:pPr>
      <w:r>
        <w:rPr>
          <w:rStyle w:val="FootnoteReference"/>
          <w:rFonts w:eastAsiaTheme="majorEastAsia"/>
        </w:rPr>
        <w:footnoteRef/>
      </w:r>
      <w:r>
        <w:t xml:space="preserve"> </w:t>
      </w:r>
      <w:r>
        <w:tab/>
      </w:r>
      <w:r>
        <w:tab/>
      </w:r>
      <w:r w:rsidRPr="00294FB2">
        <w:rPr>
          <w:i/>
        </w:rPr>
        <w:t>Id</w:t>
      </w:r>
      <w:r>
        <w:t>.</w:t>
      </w:r>
    </w:p>
  </w:footnote>
  <w:footnote w:id="111">
    <w:p w:rsidR="00177654" w:rsidRDefault="00177654" w:rsidP="005840C4">
      <w:pPr>
        <w:pStyle w:val="FootnoteText"/>
      </w:pPr>
      <w:r>
        <w:rPr>
          <w:rStyle w:val="FootnoteReference"/>
          <w:rFonts w:eastAsiaTheme="majorEastAsia"/>
        </w:rPr>
        <w:footnoteRef/>
      </w:r>
      <w:r>
        <w:t xml:space="preserve"> </w:t>
      </w:r>
      <w:r>
        <w:tab/>
      </w:r>
      <w:r>
        <w:tab/>
        <w:t>Mobility Fund Comments at 9.</w:t>
      </w:r>
    </w:p>
  </w:footnote>
  <w:footnote w:id="112">
    <w:p w:rsidR="00177654" w:rsidRDefault="00177654" w:rsidP="005840C4">
      <w:pPr>
        <w:pStyle w:val="FootnoteText"/>
      </w:pPr>
      <w:r>
        <w:rPr>
          <w:rStyle w:val="FootnoteReference"/>
          <w:rFonts w:eastAsiaTheme="majorEastAsia"/>
        </w:rPr>
        <w:footnoteRef/>
      </w:r>
      <w:r>
        <w:t xml:space="preserve"> </w:t>
      </w:r>
      <w:r>
        <w:tab/>
      </w:r>
      <w:r>
        <w:tab/>
      </w:r>
      <w:r w:rsidR="00353012">
        <w:t>Mobility Fund Comments at 9.</w:t>
      </w:r>
      <w:r>
        <w:t xml:space="preserve">  </w:t>
      </w:r>
    </w:p>
  </w:footnote>
  <w:footnote w:id="113">
    <w:p w:rsidR="00177654" w:rsidRPr="009A0CAC" w:rsidRDefault="00177654" w:rsidP="005840C4">
      <w:pPr>
        <w:pStyle w:val="FootnoteText"/>
      </w:pPr>
      <w:r w:rsidRPr="009A0CAC">
        <w:rPr>
          <w:rStyle w:val="FootnoteReference"/>
          <w:rFonts w:eastAsiaTheme="majorEastAsia"/>
        </w:rPr>
        <w:footnoteRef/>
      </w:r>
      <w:r w:rsidRPr="009A0CAC">
        <w:t xml:space="preserve"> </w:t>
      </w:r>
      <w:r>
        <w:tab/>
      </w:r>
      <w:r>
        <w:tab/>
      </w:r>
      <w:r w:rsidRPr="009A0CAC">
        <w:t>NPRM at 107, ¶ 325.</w:t>
      </w:r>
    </w:p>
  </w:footnote>
  <w:footnote w:id="114">
    <w:p w:rsidR="00177654" w:rsidRPr="009A0CAC" w:rsidRDefault="00177654" w:rsidP="005840C4">
      <w:pPr>
        <w:pStyle w:val="FootnoteText"/>
      </w:pPr>
      <w:r w:rsidRPr="009A0CAC">
        <w:rPr>
          <w:rStyle w:val="FootnoteReference"/>
          <w:rFonts w:eastAsiaTheme="majorEastAsia"/>
        </w:rPr>
        <w:footnoteRef/>
      </w:r>
      <w:r w:rsidRPr="009A0CAC">
        <w:t xml:space="preserve"> </w:t>
      </w:r>
      <w:r>
        <w:tab/>
      </w:r>
      <w:r>
        <w:tab/>
      </w:r>
      <w:r w:rsidRPr="00372196">
        <w:rPr>
          <w:i/>
        </w:rPr>
        <w:t>Id</w:t>
      </w:r>
      <w:r w:rsidRPr="009A0CAC">
        <w:t>.</w:t>
      </w:r>
    </w:p>
  </w:footnote>
  <w:footnote w:id="115">
    <w:p w:rsidR="00177654" w:rsidRDefault="00177654" w:rsidP="005840C4">
      <w:pPr>
        <w:pStyle w:val="FootnoteText"/>
      </w:pPr>
      <w:r w:rsidRPr="009A0CAC">
        <w:rPr>
          <w:rStyle w:val="FootnoteReference"/>
          <w:rFonts w:eastAsiaTheme="majorEastAsia"/>
        </w:rPr>
        <w:footnoteRef/>
      </w:r>
      <w:r w:rsidRPr="009A0CAC">
        <w:t xml:space="preserve"> </w:t>
      </w:r>
      <w:r>
        <w:tab/>
      </w:r>
      <w:r>
        <w:tab/>
      </w:r>
      <w:r w:rsidR="00353012" w:rsidRPr="009A0CAC">
        <w:t xml:space="preserve">NPRM at 107, </w:t>
      </w:r>
      <w:r w:rsidRPr="009A0CAC">
        <w:t>¶ 326.</w:t>
      </w:r>
    </w:p>
  </w:footnote>
  <w:footnote w:id="116">
    <w:p w:rsidR="00177654" w:rsidRDefault="00177654" w:rsidP="005840C4">
      <w:pPr>
        <w:pStyle w:val="FootnoteText"/>
      </w:pPr>
      <w:r>
        <w:rPr>
          <w:rStyle w:val="FootnoteReference"/>
          <w:rFonts w:eastAsiaTheme="majorEastAsia"/>
        </w:rPr>
        <w:footnoteRef/>
      </w:r>
      <w:r>
        <w:t xml:space="preserve"> </w:t>
      </w:r>
      <w:r>
        <w:tab/>
      </w:r>
      <w:r>
        <w:tab/>
      </w:r>
      <w:r w:rsidRPr="00372196">
        <w:rPr>
          <w:i/>
        </w:rPr>
        <w:t>Id</w:t>
      </w:r>
      <w:r w:rsidRPr="002300B3">
        <w:t>.</w:t>
      </w:r>
    </w:p>
  </w:footnote>
  <w:footnote w:id="117">
    <w:p w:rsidR="00177654"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118">
    <w:p w:rsidR="00177654" w:rsidRPr="00D2210E" w:rsidRDefault="00177654" w:rsidP="005840C4">
      <w:pPr>
        <w:pStyle w:val="FootnoteText"/>
      </w:pPr>
      <w:r w:rsidRPr="00D2210E">
        <w:rPr>
          <w:rStyle w:val="FootnoteReference"/>
          <w:rFonts w:eastAsiaTheme="majorEastAsia"/>
        </w:rPr>
        <w:footnoteRef/>
      </w:r>
      <w:r w:rsidRPr="00D2210E">
        <w:t xml:space="preserve"> </w:t>
      </w:r>
      <w:r>
        <w:tab/>
      </w:r>
      <w:r>
        <w:tab/>
      </w:r>
      <w:r w:rsidRPr="00372196">
        <w:rPr>
          <w:i/>
        </w:rPr>
        <w:t>Id</w:t>
      </w:r>
      <w:r>
        <w:t>.</w:t>
      </w:r>
      <w:r w:rsidRPr="00D2210E">
        <w:t xml:space="preserve"> at 108, ¶ 331.</w:t>
      </w:r>
    </w:p>
  </w:footnote>
  <w:footnote w:id="119">
    <w:p w:rsidR="00177654" w:rsidRDefault="00177654" w:rsidP="005840C4">
      <w:pPr>
        <w:pStyle w:val="FootnoteText"/>
      </w:pPr>
      <w:r w:rsidRPr="00D2210E">
        <w:rPr>
          <w:rStyle w:val="FootnoteReference"/>
          <w:rFonts w:eastAsiaTheme="majorEastAsia"/>
        </w:rPr>
        <w:footnoteRef/>
      </w:r>
      <w:r w:rsidRPr="00D2210E">
        <w:t xml:space="preserve"> </w:t>
      </w:r>
      <w:r>
        <w:tab/>
      </w:r>
      <w:r>
        <w:tab/>
      </w:r>
      <w:r w:rsidRPr="00372196">
        <w:rPr>
          <w:i/>
        </w:rPr>
        <w:t>Id</w:t>
      </w:r>
      <w:r w:rsidRPr="00D2210E">
        <w:t>.</w:t>
      </w:r>
    </w:p>
  </w:footnote>
  <w:footnote w:id="120">
    <w:p w:rsidR="00177654" w:rsidRDefault="00177654" w:rsidP="005840C4">
      <w:pPr>
        <w:pStyle w:val="FootnoteText"/>
      </w:pPr>
      <w:r>
        <w:rPr>
          <w:rStyle w:val="FootnoteReference"/>
          <w:rFonts w:eastAsiaTheme="majorEastAsia"/>
        </w:rPr>
        <w:footnoteRef/>
      </w:r>
      <w:r>
        <w:t xml:space="preserve"> </w:t>
      </w:r>
      <w:r>
        <w:tab/>
      </w:r>
      <w:r>
        <w:tab/>
        <w:t>NBP Comments</w:t>
      </w:r>
      <w:r w:rsidRPr="00664A24">
        <w:t xml:space="preserve"> at </w:t>
      </w:r>
      <w:r>
        <w:t>13</w:t>
      </w:r>
      <w:r w:rsidRPr="00664A24">
        <w:t>.</w:t>
      </w:r>
    </w:p>
  </w:footnote>
  <w:footnote w:id="121">
    <w:p w:rsidR="00177654" w:rsidRDefault="00177654" w:rsidP="005840C4">
      <w:pPr>
        <w:pStyle w:val="FootnoteText"/>
      </w:pPr>
      <w:r>
        <w:rPr>
          <w:rStyle w:val="FootnoteReference"/>
          <w:rFonts w:eastAsiaTheme="majorEastAsia"/>
        </w:rPr>
        <w:footnoteRef/>
      </w:r>
      <w:r>
        <w:t xml:space="preserve"> </w:t>
      </w:r>
      <w:r>
        <w:tab/>
      </w:r>
      <w:r>
        <w:tab/>
      </w:r>
      <w:r w:rsidRPr="002E17B8">
        <w:rPr>
          <w:i/>
        </w:rPr>
        <w:t>Id</w:t>
      </w:r>
      <w:r>
        <w:t>.</w:t>
      </w:r>
    </w:p>
  </w:footnote>
  <w:footnote w:id="122">
    <w:p w:rsidR="00177654" w:rsidRDefault="00177654" w:rsidP="005840C4">
      <w:pPr>
        <w:pStyle w:val="FootnoteText"/>
      </w:pPr>
      <w:r w:rsidRPr="00D2210E">
        <w:rPr>
          <w:rStyle w:val="FootnoteReference"/>
          <w:rFonts w:eastAsiaTheme="majorEastAsia"/>
        </w:rPr>
        <w:footnoteRef/>
      </w:r>
      <w:r w:rsidRPr="00D2210E">
        <w:t xml:space="preserve"> </w:t>
      </w:r>
      <w:r>
        <w:tab/>
      </w:r>
      <w:r>
        <w:tab/>
      </w:r>
      <w:r w:rsidRPr="00D2210E">
        <w:rPr>
          <w:i/>
        </w:rPr>
        <w:t>Id.</w:t>
      </w:r>
      <w:r w:rsidRPr="00D2210E">
        <w:t xml:space="preserve"> at 13-14.</w:t>
      </w:r>
    </w:p>
  </w:footnote>
  <w:footnote w:id="123">
    <w:p w:rsidR="00177654" w:rsidRDefault="00177654" w:rsidP="005840C4">
      <w:pPr>
        <w:pStyle w:val="FootnoteText"/>
      </w:pPr>
      <w:r>
        <w:rPr>
          <w:rStyle w:val="FootnoteReference"/>
          <w:rFonts w:eastAsiaTheme="majorEastAsia"/>
        </w:rPr>
        <w:footnoteRef/>
      </w:r>
      <w:r>
        <w:t xml:space="preserve"> </w:t>
      </w:r>
      <w:r>
        <w:tab/>
      </w:r>
      <w:r>
        <w:tab/>
        <w:t>NPRM at 108, ¶ 332.</w:t>
      </w:r>
    </w:p>
  </w:footnote>
  <w:footnote w:id="124">
    <w:p w:rsidR="00177654" w:rsidRDefault="00177654" w:rsidP="005840C4">
      <w:pPr>
        <w:pStyle w:val="FootnoteText"/>
      </w:pPr>
      <w:r>
        <w:rPr>
          <w:rStyle w:val="FootnoteReference"/>
          <w:rFonts w:eastAsiaTheme="majorEastAsia"/>
        </w:rPr>
        <w:footnoteRef/>
      </w:r>
      <w:r>
        <w:t xml:space="preserve"> </w:t>
      </w:r>
      <w:r>
        <w:tab/>
      </w:r>
      <w:r>
        <w:tab/>
      </w:r>
      <w:r>
        <w:rPr>
          <w:i/>
        </w:rPr>
        <w:t xml:space="preserve">See </w:t>
      </w:r>
      <w:r w:rsidR="00353012">
        <w:t>NPRM at 108, ¶ 332.</w:t>
      </w:r>
      <w:r>
        <w:t xml:space="preserve"> </w:t>
      </w:r>
    </w:p>
  </w:footnote>
  <w:footnote w:id="125">
    <w:p w:rsidR="00177654" w:rsidRDefault="00177654" w:rsidP="00ED19A2">
      <w:pPr>
        <w:pStyle w:val="FootnoteText"/>
      </w:pPr>
      <w:r>
        <w:rPr>
          <w:rStyle w:val="FootnoteReference"/>
        </w:rPr>
        <w:footnoteRef/>
      </w:r>
      <w:r>
        <w:t xml:space="preserve"> </w:t>
      </w:r>
      <w:r>
        <w:tab/>
      </w:r>
      <w:r>
        <w:tab/>
        <w:t xml:space="preserve">Comprehensive Reform Comments at 30. </w:t>
      </w:r>
    </w:p>
  </w:footnote>
  <w:footnote w:id="126">
    <w:p w:rsidR="00177654" w:rsidRPr="002D538F" w:rsidRDefault="00177654" w:rsidP="005840C4">
      <w:pPr>
        <w:pStyle w:val="FootnoteText"/>
      </w:pPr>
      <w:r w:rsidRPr="002D538F">
        <w:rPr>
          <w:rStyle w:val="FootnoteReference"/>
          <w:rFonts w:eastAsiaTheme="majorEastAsia"/>
        </w:rPr>
        <w:footnoteRef/>
      </w:r>
      <w:r w:rsidRPr="002D538F">
        <w:t xml:space="preserve"> </w:t>
      </w:r>
      <w:r>
        <w:tab/>
      </w:r>
      <w:r>
        <w:tab/>
      </w:r>
      <w:r w:rsidRPr="00841D47">
        <w:t>NPRM</w:t>
      </w:r>
      <w:r w:rsidRPr="002D538F">
        <w:t xml:space="preserve"> at 110, ¶ 342.</w:t>
      </w:r>
    </w:p>
  </w:footnote>
  <w:footnote w:id="127">
    <w:p w:rsidR="00177654" w:rsidRPr="00D2210E" w:rsidRDefault="00177654" w:rsidP="005840C4">
      <w:pPr>
        <w:pStyle w:val="FootnoteText"/>
      </w:pPr>
      <w:r w:rsidRPr="00D2210E">
        <w:rPr>
          <w:rStyle w:val="FootnoteReference"/>
          <w:rFonts w:eastAsiaTheme="majorEastAsia"/>
        </w:rPr>
        <w:footnoteRef/>
      </w:r>
      <w:r w:rsidRPr="00D2210E">
        <w:rPr>
          <w:i/>
        </w:rPr>
        <w:t xml:space="preserve"> </w:t>
      </w:r>
      <w:r>
        <w:rPr>
          <w:i/>
        </w:rPr>
        <w:tab/>
      </w:r>
      <w:r>
        <w:rPr>
          <w:i/>
        </w:rPr>
        <w:tab/>
      </w:r>
      <w:proofErr w:type="spellStart"/>
      <w:r w:rsidRPr="00447100">
        <w:t>NBP</w:t>
      </w:r>
      <w:proofErr w:type="spellEnd"/>
      <w:r w:rsidRPr="00447100">
        <w:t xml:space="preserve"> Comments</w:t>
      </w:r>
      <w:r>
        <w:t xml:space="preserve"> </w:t>
      </w:r>
      <w:r w:rsidRPr="00D2210E">
        <w:t>at 14.</w:t>
      </w:r>
    </w:p>
  </w:footnote>
  <w:footnote w:id="128">
    <w:p w:rsidR="00177654" w:rsidRPr="002E123B" w:rsidRDefault="00177654" w:rsidP="005840C4">
      <w:pPr>
        <w:pStyle w:val="FootnoteText"/>
      </w:pPr>
      <w:r w:rsidRPr="00D2210E">
        <w:rPr>
          <w:rStyle w:val="FootnoteReference"/>
          <w:rFonts w:eastAsiaTheme="majorEastAsia"/>
        </w:rPr>
        <w:footnoteRef/>
      </w:r>
      <w:r w:rsidRPr="00D2210E">
        <w:t xml:space="preserve"> </w:t>
      </w:r>
      <w:r>
        <w:tab/>
      </w:r>
      <w:r>
        <w:tab/>
      </w:r>
      <w:proofErr w:type="spellStart"/>
      <w:r w:rsidR="00353012" w:rsidRPr="00447100">
        <w:t>NBP</w:t>
      </w:r>
      <w:proofErr w:type="spellEnd"/>
      <w:r w:rsidR="00353012" w:rsidRPr="00447100">
        <w:t xml:space="preserve"> Comments</w:t>
      </w:r>
      <w:r w:rsidR="00353012">
        <w:t xml:space="preserve"> </w:t>
      </w:r>
      <w:r w:rsidR="00353012" w:rsidRPr="00D2210E">
        <w:t>at 14</w:t>
      </w:r>
      <w:r w:rsidR="00353012">
        <w:t>.</w:t>
      </w:r>
    </w:p>
  </w:footnote>
  <w:footnote w:id="129">
    <w:p w:rsidR="00177654" w:rsidRDefault="00177654" w:rsidP="005840C4">
      <w:pPr>
        <w:pStyle w:val="FootnoteText"/>
      </w:pPr>
      <w:r>
        <w:rPr>
          <w:rStyle w:val="FootnoteReference"/>
          <w:rFonts w:eastAsiaTheme="majorEastAsia"/>
        </w:rPr>
        <w:footnoteRef/>
      </w:r>
      <w:r>
        <w:t xml:space="preserve"> </w:t>
      </w:r>
      <w:r>
        <w:tab/>
      </w:r>
      <w:r>
        <w:tab/>
      </w:r>
      <w:r>
        <w:rPr>
          <w:i/>
        </w:rPr>
        <w:t>Id</w:t>
      </w:r>
      <w:r w:rsidRPr="00447100">
        <w:t>.</w:t>
      </w:r>
      <w:r>
        <w:t xml:space="preserve"> </w:t>
      </w:r>
    </w:p>
  </w:footnote>
  <w:footnote w:id="130">
    <w:p w:rsidR="00177654" w:rsidRDefault="00177654" w:rsidP="005840C4">
      <w:pPr>
        <w:pStyle w:val="FootnoteText"/>
      </w:pPr>
      <w:r>
        <w:rPr>
          <w:rStyle w:val="FootnoteReference"/>
          <w:rFonts w:eastAsiaTheme="majorEastAsia"/>
        </w:rPr>
        <w:footnoteRef/>
      </w:r>
      <w:r>
        <w:t xml:space="preserve"> </w:t>
      </w:r>
      <w:r>
        <w:tab/>
      </w:r>
      <w:r>
        <w:tab/>
      </w:r>
      <w:r w:rsidRPr="005E6227">
        <w:rPr>
          <w:i/>
        </w:rPr>
        <w:t>See</w:t>
      </w:r>
      <w:r>
        <w:t xml:space="preserve"> NPRM at 131, ¶ 431.</w:t>
      </w:r>
    </w:p>
  </w:footnote>
  <w:footnote w:id="131">
    <w:p w:rsidR="00177654" w:rsidRDefault="00177654" w:rsidP="005840C4">
      <w:pPr>
        <w:pStyle w:val="FootnoteText"/>
      </w:pPr>
      <w:r>
        <w:rPr>
          <w:rStyle w:val="FootnoteReference"/>
          <w:rFonts w:eastAsiaTheme="majorEastAsia"/>
        </w:rPr>
        <w:footnoteRef/>
      </w:r>
      <w:r>
        <w:tab/>
      </w:r>
      <w:r>
        <w:tab/>
      </w:r>
      <w:r w:rsidRPr="00447100">
        <w:rPr>
          <w:i/>
        </w:rPr>
        <w:t>See</w:t>
      </w:r>
      <w:r>
        <w:t xml:space="preserve"> </w:t>
      </w:r>
      <w:r>
        <w:rPr>
          <w:i/>
        </w:rPr>
        <w:t>id</w:t>
      </w:r>
      <w:r>
        <w:t>. at 132, ¶ 432.</w:t>
      </w:r>
    </w:p>
  </w:footnote>
  <w:footnote w:id="132">
    <w:p w:rsidR="00177654" w:rsidRDefault="00177654" w:rsidP="005840C4">
      <w:pPr>
        <w:pStyle w:val="FootnoteText"/>
      </w:pPr>
      <w:r>
        <w:rPr>
          <w:rStyle w:val="FootnoteReference"/>
          <w:rFonts w:eastAsiaTheme="majorEastAsia"/>
        </w:rPr>
        <w:footnoteRef/>
      </w:r>
      <w:r>
        <w:t xml:space="preserve"> </w:t>
      </w:r>
      <w:r>
        <w:tab/>
      </w:r>
      <w:r>
        <w:tab/>
        <w:t>NBP Comments</w:t>
      </w:r>
      <w:r w:rsidRPr="00A50AA9">
        <w:t xml:space="preserve"> at 14-15.</w:t>
      </w:r>
    </w:p>
  </w:footnote>
  <w:footnote w:id="133">
    <w:p w:rsidR="00177654" w:rsidRDefault="00177654" w:rsidP="005840C4">
      <w:pPr>
        <w:pStyle w:val="FootnoteText"/>
      </w:pPr>
      <w:r>
        <w:rPr>
          <w:rStyle w:val="FootnoteReference"/>
          <w:rFonts w:eastAsiaTheme="majorEastAsia"/>
        </w:rPr>
        <w:footnoteRef/>
      </w:r>
      <w:r>
        <w:t xml:space="preserve"> </w:t>
      </w:r>
      <w:r>
        <w:tab/>
      </w:r>
      <w:r>
        <w:tab/>
        <w:t xml:space="preserve">NPRM at 124, </w:t>
      </w:r>
      <w:r w:rsidRPr="004A0EC2">
        <w:rPr>
          <w:rFonts w:eastAsia="TimesNewRoman" w:cs="TimesNewRoman"/>
        </w:rPr>
        <w:t>¶ 398.</w:t>
      </w:r>
    </w:p>
  </w:footnote>
  <w:footnote w:id="134">
    <w:p w:rsidR="00177654" w:rsidRDefault="00177654" w:rsidP="005840C4">
      <w:pPr>
        <w:pStyle w:val="FootnoteText"/>
      </w:pPr>
      <w:r>
        <w:rPr>
          <w:rStyle w:val="FootnoteReference"/>
          <w:rFonts w:eastAsiaTheme="majorEastAsia"/>
        </w:rPr>
        <w:footnoteRef/>
      </w:r>
      <w:r>
        <w:t xml:space="preserve"> </w:t>
      </w:r>
      <w:r>
        <w:tab/>
      </w:r>
      <w:r>
        <w:tab/>
      </w:r>
      <w:r w:rsidRPr="00144FF0">
        <w:rPr>
          <w:i/>
        </w:rPr>
        <w:t>Id</w:t>
      </w:r>
      <w:r>
        <w:t xml:space="preserve">. at </w:t>
      </w:r>
      <w:r w:rsidRPr="004A0EC2">
        <w:rPr>
          <w:rFonts w:eastAsia="TimesNewRoman" w:cs="TimesNewRoman"/>
        </w:rPr>
        <w:t>¶</w:t>
      </w:r>
      <w:r>
        <w:rPr>
          <w:rFonts w:eastAsia="TimesNewRoman" w:cs="TimesNewRoman"/>
        </w:rPr>
        <w:t xml:space="preserve"> 399.</w:t>
      </w:r>
    </w:p>
  </w:footnote>
  <w:footnote w:id="135">
    <w:p w:rsidR="00177654" w:rsidRDefault="00177654" w:rsidP="005840C4">
      <w:pPr>
        <w:pStyle w:val="FootnoteText"/>
      </w:pPr>
      <w:r>
        <w:rPr>
          <w:rStyle w:val="FootnoteReference"/>
          <w:rFonts w:eastAsiaTheme="majorEastAsia"/>
        </w:rPr>
        <w:footnoteRef/>
      </w:r>
      <w:r>
        <w:t xml:space="preserve"> </w:t>
      </w:r>
      <w:r>
        <w:tab/>
      </w:r>
      <w:r>
        <w:tab/>
      </w:r>
      <w:r w:rsidRPr="00144FF0">
        <w:rPr>
          <w:i/>
        </w:rPr>
        <w:t>Id</w:t>
      </w:r>
      <w:r>
        <w:t xml:space="preserve">. at </w:t>
      </w:r>
      <w:r w:rsidRPr="004A0EC2">
        <w:rPr>
          <w:rFonts w:eastAsia="TimesNewRoman" w:cs="TimesNewRoman"/>
        </w:rPr>
        <w:t>¶</w:t>
      </w:r>
      <w:r>
        <w:rPr>
          <w:rFonts w:eastAsia="TimesNewRoman" w:cs="TimesNewRoman"/>
        </w:rPr>
        <w:t xml:space="preserve"> 402.</w:t>
      </w:r>
    </w:p>
  </w:footnote>
  <w:footnote w:id="136">
    <w:p w:rsidR="00177654" w:rsidRDefault="00177654" w:rsidP="005840C4">
      <w:pPr>
        <w:pStyle w:val="FootnoteText"/>
      </w:pPr>
      <w:r>
        <w:rPr>
          <w:rStyle w:val="FootnoteReference"/>
          <w:rFonts w:eastAsiaTheme="majorEastAsia"/>
        </w:rPr>
        <w:footnoteRef/>
      </w:r>
      <w:r>
        <w:t xml:space="preserve"> </w:t>
      </w:r>
      <w:r>
        <w:tab/>
      </w:r>
      <w:r>
        <w:tab/>
      </w:r>
      <w:r w:rsidRPr="00144FF0">
        <w:rPr>
          <w:i/>
        </w:rPr>
        <w:t xml:space="preserve">See </w:t>
      </w:r>
      <w:r w:rsidR="00353012">
        <w:t xml:space="preserve">NPRM </w:t>
      </w:r>
      <w:r>
        <w:t xml:space="preserve">at 124-125, </w:t>
      </w:r>
      <w:r w:rsidRPr="004A0EC2">
        <w:rPr>
          <w:rFonts w:eastAsia="TimesNewRoman" w:cs="TimesNewRoman"/>
        </w:rPr>
        <w:t>¶</w:t>
      </w:r>
      <w:r>
        <w:rPr>
          <w:rFonts w:eastAsia="TimesNewRoman" w:cs="TimesNewRoman"/>
        </w:rPr>
        <w:t xml:space="preserve"> 403.</w:t>
      </w:r>
    </w:p>
  </w:footnote>
  <w:footnote w:id="137">
    <w:p w:rsidR="00177654" w:rsidRDefault="00177654" w:rsidP="005840C4">
      <w:pPr>
        <w:pStyle w:val="FootnoteText"/>
      </w:pPr>
      <w:r>
        <w:rPr>
          <w:rStyle w:val="FootnoteReference"/>
          <w:rFonts w:eastAsiaTheme="majorEastAsia"/>
        </w:rPr>
        <w:footnoteRef/>
      </w:r>
      <w:r>
        <w:t xml:space="preserve"> </w:t>
      </w:r>
      <w:r>
        <w:tab/>
      </w:r>
      <w:r>
        <w:tab/>
      </w:r>
      <w:r w:rsidRPr="00B96048">
        <w:t>The Ohio Commission believes that support should be provided on a technology-neutral basis and should not favor fixed or mobile technology over the other.</w:t>
      </w:r>
    </w:p>
  </w:footnote>
  <w:footnote w:id="138">
    <w:p w:rsidR="00177654" w:rsidRDefault="00177654" w:rsidP="005840C4">
      <w:pPr>
        <w:pStyle w:val="FootnoteText"/>
      </w:pPr>
      <w:r>
        <w:rPr>
          <w:rStyle w:val="FootnoteReference"/>
          <w:rFonts w:eastAsiaTheme="majorEastAsia"/>
        </w:rPr>
        <w:footnoteRef/>
      </w:r>
      <w:r>
        <w:t xml:space="preserve"> </w:t>
      </w:r>
      <w:r>
        <w:tab/>
      </w:r>
      <w:r>
        <w:tab/>
      </w:r>
      <w:r w:rsidR="00353012">
        <w:rPr>
          <w:i/>
        </w:rPr>
        <w:t>Id</w:t>
      </w:r>
      <w:r w:rsidR="00353012">
        <w:t>.</w:t>
      </w:r>
      <w:r>
        <w:t xml:space="preserve"> at 126, </w:t>
      </w:r>
      <w:r w:rsidRPr="004A0EC2">
        <w:rPr>
          <w:rFonts w:eastAsia="TimesNewRoman" w:cs="TimesNewRoman"/>
        </w:rPr>
        <w:t>¶</w:t>
      </w:r>
      <w:r>
        <w:rPr>
          <w:rFonts w:eastAsia="TimesNewRoman" w:cs="TimesNewRoman"/>
        </w:rPr>
        <w:t xml:space="preserve"> 409.</w:t>
      </w:r>
    </w:p>
  </w:footnote>
  <w:footnote w:id="139">
    <w:p w:rsidR="00177654" w:rsidRDefault="00177654" w:rsidP="005840C4">
      <w:pPr>
        <w:pStyle w:val="FootnoteText"/>
      </w:pPr>
      <w:r>
        <w:rPr>
          <w:rStyle w:val="FootnoteReference"/>
          <w:rFonts w:eastAsiaTheme="majorEastAsia"/>
        </w:rPr>
        <w:footnoteRef/>
      </w:r>
      <w:r>
        <w:t xml:space="preserve"> </w:t>
      </w:r>
      <w:r>
        <w:tab/>
      </w:r>
      <w:r>
        <w:tab/>
      </w:r>
      <w:r w:rsidRPr="002D5831">
        <w:rPr>
          <w:i/>
        </w:rPr>
        <w:t>See</w:t>
      </w:r>
      <w:r w:rsidR="00353012">
        <w:rPr>
          <w:i/>
        </w:rPr>
        <w:t xml:space="preserve"> </w:t>
      </w:r>
      <w:r w:rsidR="00353012">
        <w:t xml:space="preserve">NPRM at 126, </w:t>
      </w:r>
      <w:r w:rsidR="00353012" w:rsidRPr="004A0EC2">
        <w:rPr>
          <w:rFonts w:eastAsia="TimesNewRoman" w:cs="TimesNewRoman"/>
        </w:rPr>
        <w:t>¶</w:t>
      </w:r>
      <w:r w:rsidR="00353012">
        <w:rPr>
          <w:rFonts w:eastAsia="TimesNewRoman" w:cs="TimesNewRoman"/>
        </w:rPr>
        <w:t xml:space="preserve"> 409</w:t>
      </w:r>
      <w:r w:rsidRPr="00B96048">
        <w:rPr>
          <w:i/>
        </w:rPr>
        <w:t>.</w:t>
      </w:r>
    </w:p>
  </w:footnote>
  <w:footnote w:id="140">
    <w:p w:rsidR="00177654" w:rsidRDefault="00177654" w:rsidP="005840C4">
      <w:pPr>
        <w:pStyle w:val="FootnoteText"/>
      </w:pPr>
      <w:r>
        <w:rPr>
          <w:rStyle w:val="FootnoteReference"/>
          <w:rFonts w:eastAsiaTheme="majorEastAsia"/>
        </w:rPr>
        <w:footnoteRef/>
      </w:r>
      <w:r>
        <w:t xml:space="preserve"> </w:t>
      </w:r>
      <w:r>
        <w:tab/>
      </w:r>
      <w:r>
        <w:tab/>
      </w:r>
      <w:r w:rsidRPr="00144FF0">
        <w:rPr>
          <w:i/>
        </w:rPr>
        <w:t>Id</w:t>
      </w:r>
      <w:r>
        <w:t xml:space="preserve"> at 128, ¶ 417.</w:t>
      </w:r>
    </w:p>
  </w:footnote>
  <w:footnote w:id="141">
    <w:p w:rsidR="00177654" w:rsidRDefault="00177654" w:rsidP="005840C4">
      <w:pPr>
        <w:pStyle w:val="FootnoteText"/>
      </w:pPr>
      <w:r>
        <w:rPr>
          <w:rStyle w:val="FootnoteReference"/>
          <w:rFonts w:eastAsiaTheme="majorEastAsia"/>
        </w:rPr>
        <w:footnoteRef/>
      </w:r>
      <w:r>
        <w:t xml:space="preserve"> </w:t>
      </w:r>
      <w:r>
        <w:tab/>
      </w:r>
      <w:r>
        <w:tab/>
      </w:r>
      <w:r w:rsidRPr="00144FF0">
        <w:rPr>
          <w:i/>
        </w:rPr>
        <w:t>Id</w:t>
      </w:r>
      <w:r>
        <w:t>. at ¶ 418.</w:t>
      </w:r>
    </w:p>
  </w:footnote>
  <w:footnote w:id="142">
    <w:p w:rsidR="00177654" w:rsidRDefault="00177654" w:rsidP="005840C4">
      <w:pPr>
        <w:pStyle w:val="FootnoteText"/>
      </w:pPr>
      <w:r>
        <w:rPr>
          <w:rStyle w:val="FootnoteReference"/>
          <w:rFonts w:eastAsiaTheme="majorEastAsia"/>
        </w:rPr>
        <w:footnoteRef/>
      </w:r>
      <w:r>
        <w:t xml:space="preserve"> </w:t>
      </w:r>
      <w:r>
        <w:tab/>
      </w:r>
      <w:r>
        <w:tab/>
      </w:r>
      <w:r w:rsidRPr="00BF4733">
        <w:rPr>
          <w:i/>
        </w:rPr>
        <w:t>See, e.g</w:t>
      </w:r>
      <w:r>
        <w:rPr>
          <w:i/>
        </w:rPr>
        <w:t>.</w:t>
      </w:r>
      <w:r w:rsidRPr="00BF4733">
        <w:rPr>
          <w:i/>
        </w:rPr>
        <w:t>,</w:t>
      </w:r>
      <w:r w:rsidRPr="00BF4733">
        <w:t xml:space="preserve"> NBP Comments at 13.</w:t>
      </w:r>
    </w:p>
  </w:footnote>
  <w:footnote w:id="143">
    <w:p w:rsidR="00177654" w:rsidRDefault="00177654" w:rsidP="005840C4">
      <w:pPr>
        <w:pStyle w:val="FootnoteText"/>
      </w:pPr>
      <w:r>
        <w:rPr>
          <w:rStyle w:val="FootnoteReference"/>
          <w:rFonts w:eastAsiaTheme="majorEastAsia"/>
        </w:rPr>
        <w:footnoteRef/>
      </w:r>
      <w:r>
        <w:t xml:space="preserve"> </w:t>
      </w:r>
      <w:r>
        <w:tab/>
      </w:r>
      <w:r>
        <w:tab/>
      </w:r>
      <w:r w:rsidRPr="00144FF0">
        <w:rPr>
          <w:i/>
        </w:rPr>
        <w:t xml:space="preserve">See </w:t>
      </w:r>
      <w:r>
        <w:t>NPRM at 134, ¶ 438.</w:t>
      </w:r>
    </w:p>
  </w:footnote>
  <w:footnote w:id="144">
    <w:p w:rsidR="00177654" w:rsidRDefault="00177654" w:rsidP="005840C4">
      <w:pPr>
        <w:pStyle w:val="FootnoteText"/>
      </w:pPr>
      <w:r>
        <w:rPr>
          <w:rStyle w:val="FootnoteReference"/>
          <w:rFonts w:eastAsiaTheme="majorEastAsia"/>
        </w:rPr>
        <w:footnoteRef/>
      </w:r>
      <w:r>
        <w:t xml:space="preserve"> </w:t>
      </w:r>
      <w:r>
        <w:tab/>
      </w:r>
      <w:r>
        <w:tab/>
      </w:r>
      <w:r w:rsidRPr="00144FF0">
        <w:rPr>
          <w:i/>
        </w:rPr>
        <w:t>See id</w:t>
      </w:r>
      <w:r>
        <w:t xml:space="preserve"> at ¶ 439.</w:t>
      </w:r>
    </w:p>
  </w:footnote>
  <w:footnote w:id="145">
    <w:p w:rsidR="00177654" w:rsidRDefault="00177654" w:rsidP="005840C4">
      <w:pPr>
        <w:pStyle w:val="FootnoteText"/>
      </w:pPr>
      <w:r>
        <w:rPr>
          <w:rStyle w:val="FootnoteReference"/>
          <w:rFonts w:eastAsiaTheme="majorEastAsia"/>
        </w:rPr>
        <w:footnoteRef/>
      </w:r>
      <w:r>
        <w:t xml:space="preserve"> </w:t>
      </w:r>
      <w:r>
        <w:tab/>
      </w:r>
      <w:r>
        <w:tab/>
        <w:t>NBP Comments at 9.</w:t>
      </w:r>
    </w:p>
  </w:footnote>
  <w:footnote w:id="146">
    <w:p w:rsidR="00177654" w:rsidRDefault="00177654" w:rsidP="005840C4">
      <w:pPr>
        <w:pStyle w:val="FootnoteText"/>
      </w:pPr>
      <w:r>
        <w:rPr>
          <w:rStyle w:val="FootnoteReference"/>
          <w:rFonts w:eastAsiaTheme="majorEastAsia"/>
        </w:rPr>
        <w:footnoteRef/>
      </w:r>
      <w:r>
        <w:t xml:space="preserve"> </w:t>
      </w:r>
      <w:r>
        <w:tab/>
      </w:r>
      <w:r>
        <w:tab/>
      </w:r>
      <w:proofErr w:type="spellStart"/>
      <w:r w:rsidR="00353012">
        <w:t>NBP</w:t>
      </w:r>
      <w:proofErr w:type="spellEnd"/>
      <w:r w:rsidR="00353012">
        <w:t xml:space="preserve"> Comments at 9.</w:t>
      </w:r>
    </w:p>
  </w:footnote>
  <w:footnote w:id="147">
    <w:p w:rsidR="00177654" w:rsidRDefault="00177654" w:rsidP="005840C4">
      <w:pPr>
        <w:pStyle w:val="FootnoteText"/>
      </w:pPr>
      <w:r>
        <w:rPr>
          <w:rStyle w:val="FootnoteReference"/>
          <w:rFonts w:eastAsiaTheme="majorEastAsia"/>
        </w:rPr>
        <w:footnoteRef/>
      </w:r>
      <w:r>
        <w:t xml:space="preserve"> </w:t>
      </w:r>
      <w:r>
        <w:tab/>
      </w:r>
      <w:r>
        <w:tab/>
      </w:r>
      <w:r w:rsidRPr="00F251CC">
        <w:rPr>
          <w:i/>
        </w:rPr>
        <w:t>Id</w:t>
      </w:r>
      <w:r>
        <w:t>. at 10.</w:t>
      </w:r>
    </w:p>
  </w:footnote>
  <w:footnote w:id="148">
    <w:p w:rsidR="00177654" w:rsidRDefault="00177654" w:rsidP="005840C4">
      <w:pPr>
        <w:pStyle w:val="FootnoteText"/>
      </w:pPr>
      <w:r>
        <w:rPr>
          <w:rStyle w:val="FootnoteReference"/>
          <w:rFonts w:eastAsiaTheme="majorEastAsia"/>
        </w:rPr>
        <w:footnoteRef/>
      </w:r>
      <w:r>
        <w:t xml:space="preserve"> </w:t>
      </w:r>
      <w:r>
        <w:tab/>
      </w:r>
      <w:r>
        <w:tab/>
        <w:t>NPRM at 164, ¶ 529.</w:t>
      </w:r>
    </w:p>
  </w:footnote>
  <w:footnote w:id="149">
    <w:p w:rsidR="00177654" w:rsidRDefault="00177654" w:rsidP="005840C4">
      <w:pPr>
        <w:pStyle w:val="FootnoteText"/>
      </w:pPr>
      <w:r>
        <w:rPr>
          <w:rStyle w:val="FootnoteReference"/>
          <w:rFonts w:eastAsiaTheme="majorEastAsia"/>
        </w:rPr>
        <w:footnoteRef/>
      </w:r>
      <w:r>
        <w:t xml:space="preserve"> </w:t>
      </w:r>
      <w:r>
        <w:tab/>
      </w:r>
      <w:r>
        <w:tab/>
      </w:r>
      <w:r w:rsidRPr="00D72D84">
        <w:rPr>
          <w:i/>
        </w:rPr>
        <w:t>Id</w:t>
      </w:r>
      <w:r>
        <w:t>. at 165, ¶ 530.</w:t>
      </w:r>
    </w:p>
  </w:footnote>
  <w:footnote w:id="150">
    <w:p w:rsidR="00177654" w:rsidRDefault="00177654" w:rsidP="005840C4">
      <w:pPr>
        <w:pStyle w:val="FootnoteText"/>
      </w:pPr>
      <w:r>
        <w:rPr>
          <w:rStyle w:val="FootnoteReference"/>
          <w:rFonts w:eastAsiaTheme="majorEastAsia"/>
        </w:rPr>
        <w:footnoteRef/>
      </w:r>
      <w:r>
        <w:t xml:space="preserve"> </w:t>
      </w:r>
      <w:r>
        <w:tab/>
      </w:r>
      <w:r>
        <w:tab/>
      </w:r>
      <w:r w:rsidRPr="00D72D84">
        <w:rPr>
          <w:i/>
        </w:rPr>
        <w:t>See</w:t>
      </w:r>
      <w:r>
        <w:t xml:space="preserve"> 47 U.S.C. § 252 (2010).</w:t>
      </w:r>
    </w:p>
  </w:footnote>
  <w:footnote w:id="151">
    <w:p w:rsidR="00177654" w:rsidRDefault="00177654" w:rsidP="005840C4">
      <w:pPr>
        <w:pStyle w:val="FootnoteText"/>
      </w:pPr>
      <w:r>
        <w:rPr>
          <w:rStyle w:val="FootnoteReference"/>
          <w:rFonts w:eastAsiaTheme="majorEastAsia"/>
        </w:rPr>
        <w:footnoteRef/>
      </w:r>
      <w:r>
        <w:t xml:space="preserve"> </w:t>
      </w:r>
      <w:r>
        <w:tab/>
      </w:r>
      <w:r>
        <w:tab/>
      </w:r>
      <w:r w:rsidRPr="002D5831">
        <w:rPr>
          <w:i/>
        </w:rPr>
        <w:t>See In the Matter of Connect America Fund, A National Broadband Plan for Our Future, Establishing Just and Reasonable Rates for Local Exchange Carriers, High-Cost Uni</w:t>
      </w:r>
      <w:r>
        <w:rPr>
          <w:i/>
        </w:rPr>
        <w:softHyphen/>
      </w:r>
      <w:r w:rsidRPr="002D5831">
        <w:rPr>
          <w:i/>
        </w:rPr>
        <w:t>versal Service Support, Developing and Unified Intercarrier Compensation Regime, Fed</w:t>
      </w:r>
      <w:r>
        <w:rPr>
          <w:i/>
        </w:rPr>
        <w:softHyphen/>
      </w:r>
      <w:r w:rsidRPr="002D5831">
        <w:rPr>
          <w:i/>
        </w:rPr>
        <w:t>eral State Joint Board on Universal Service, Lifeline and Link-Up</w:t>
      </w:r>
      <w:r w:rsidRPr="00664A24">
        <w:t>, WC Docket No. 10-50, GN Docket No. 09-51, WC Docket No. 07-135, WC Docket No. 05-337, CC Docket No. 01-92, CC Docket No. 96-45, WC Docket No. 03-109</w:t>
      </w:r>
      <w:r>
        <w:t xml:space="preserve"> (Comments Submitted on Behalf of the Public Utilities Commission of Ohio at 5) (filed March 31, 2011) (Sec</w:t>
      </w:r>
      <w:r>
        <w:softHyphen/>
        <w:t>tion XV Comments).</w:t>
      </w:r>
    </w:p>
  </w:footnote>
  <w:footnote w:id="152">
    <w:p w:rsidR="00177654" w:rsidRDefault="00177654" w:rsidP="005840C4">
      <w:pPr>
        <w:pStyle w:val="FootnoteText"/>
      </w:pPr>
      <w:r>
        <w:rPr>
          <w:rStyle w:val="FootnoteReference"/>
          <w:rFonts w:eastAsiaTheme="majorEastAsia"/>
        </w:rPr>
        <w:footnoteRef/>
      </w:r>
      <w:r>
        <w:t xml:space="preserve"> </w:t>
      </w:r>
      <w:r>
        <w:tab/>
      </w:r>
      <w:r>
        <w:tab/>
      </w:r>
      <w:r w:rsidRPr="00020BEF">
        <w:rPr>
          <w:i/>
        </w:rPr>
        <w:t xml:space="preserve">In the Matter of </w:t>
      </w:r>
      <w:r>
        <w:rPr>
          <w:i/>
        </w:rPr>
        <w:t>I</w:t>
      </w:r>
      <w:r w:rsidRPr="00020BEF">
        <w:rPr>
          <w:i/>
        </w:rPr>
        <w:t>mplementation of Local Competition Provisions in the Telecommunications Act of 1996, Interconnection Between Local Exchange Carriers and Commercial Mobile Radio Service Providers</w:t>
      </w:r>
      <w:r>
        <w:t xml:space="preserve">, CC Docket No. 96-98, CC Docket No. 95-185 </w:t>
      </w:r>
      <w:r w:rsidRPr="00020BEF">
        <w:t>(First Report and Order Decision at 63 – 64, ¶¶128-130</w:t>
      </w:r>
      <w:r w:rsidRPr="009649BF">
        <w:t>) (rel. August 8, 1996).</w:t>
      </w:r>
      <w:r>
        <w:t xml:space="preserve">  </w:t>
      </w:r>
    </w:p>
  </w:footnote>
  <w:footnote w:id="153">
    <w:p w:rsidR="00177654" w:rsidRDefault="00177654" w:rsidP="005840C4">
      <w:pPr>
        <w:pStyle w:val="FootnoteText"/>
      </w:pPr>
      <w:r>
        <w:rPr>
          <w:rStyle w:val="FootnoteReference"/>
          <w:rFonts w:eastAsiaTheme="majorEastAsia"/>
        </w:rPr>
        <w:footnoteRef/>
      </w:r>
      <w:r>
        <w:t xml:space="preserve"> </w:t>
      </w:r>
      <w:r>
        <w:tab/>
      </w:r>
      <w:r>
        <w:tab/>
      </w:r>
      <w:r w:rsidRPr="00020BEF">
        <w:t>As an example, a carrier or service provider could charge a flat-fee for a certain amount of bandwidth much like the data plans mobile service providers offer to their custom</w:t>
      </w:r>
      <w:r w:rsidRPr="00020BEF">
        <w:softHyphen/>
        <w:t>ers.</w:t>
      </w:r>
    </w:p>
  </w:footnote>
  <w:footnote w:id="154">
    <w:p w:rsidR="00177654" w:rsidRDefault="00177654" w:rsidP="005840C4">
      <w:pPr>
        <w:pStyle w:val="FootnoteText"/>
      </w:pPr>
      <w:r>
        <w:rPr>
          <w:rStyle w:val="FootnoteReference"/>
          <w:rFonts w:eastAsiaTheme="majorEastAsia"/>
        </w:rPr>
        <w:footnoteRef/>
      </w:r>
      <w:r>
        <w:t xml:space="preserve"> </w:t>
      </w:r>
      <w:r>
        <w:tab/>
      </w:r>
      <w:r>
        <w:tab/>
        <w:t>47 U.S.C. § 201 (2010).</w:t>
      </w:r>
    </w:p>
  </w:footnote>
  <w:footnote w:id="155">
    <w:p w:rsidR="00177654" w:rsidRDefault="00177654" w:rsidP="005840C4">
      <w:pPr>
        <w:pStyle w:val="FootnoteText"/>
      </w:pPr>
      <w:r>
        <w:rPr>
          <w:rStyle w:val="FootnoteReference"/>
          <w:rFonts w:eastAsiaTheme="majorEastAsia"/>
        </w:rPr>
        <w:footnoteRef/>
      </w:r>
      <w:r>
        <w:t xml:space="preserve"> </w:t>
      </w:r>
      <w:r>
        <w:tab/>
      </w:r>
      <w:r>
        <w:tab/>
        <w:t>47 U.S.C. § 332(c)(3)(A) (2010).</w:t>
      </w:r>
    </w:p>
  </w:footnote>
  <w:footnote w:id="156">
    <w:p w:rsidR="00177654" w:rsidRDefault="00177654" w:rsidP="005840C4">
      <w:pPr>
        <w:pStyle w:val="FootnoteText"/>
      </w:pPr>
      <w:r>
        <w:rPr>
          <w:rStyle w:val="FootnoteReference"/>
          <w:rFonts w:eastAsiaTheme="majorEastAsia"/>
        </w:rPr>
        <w:footnoteRef/>
      </w:r>
      <w:r>
        <w:t xml:space="preserve"> </w:t>
      </w:r>
      <w:r>
        <w:tab/>
      </w:r>
      <w:r>
        <w:tab/>
      </w:r>
      <w:r w:rsidRPr="0036690A">
        <w:rPr>
          <w:i/>
        </w:rPr>
        <w:t>See Iowa Utils. Bd. v. FCC</w:t>
      </w:r>
      <w:r>
        <w:t>, 120 F.3d 753, 800 n. 21(8</w:t>
      </w:r>
      <w:r w:rsidRPr="0036690A">
        <w:rPr>
          <w:vertAlign w:val="superscript"/>
        </w:rPr>
        <w:t>th</w:t>
      </w:r>
      <w:r>
        <w:t xml:space="preserve"> Cir., 1997).</w:t>
      </w:r>
    </w:p>
  </w:footnote>
  <w:footnote w:id="157">
    <w:p w:rsidR="00177654" w:rsidRDefault="00177654" w:rsidP="005840C4">
      <w:pPr>
        <w:pStyle w:val="FootnoteText"/>
      </w:pPr>
      <w:r>
        <w:rPr>
          <w:rStyle w:val="FootnoteReference"/>
          <w:rFonts w:eastAsiaTheme="majorEastAsia"/>
        </w:rPr>
        <w:footnoteRef/>
      </w:r>
      <w:r>
        <w:t xml:space="preserve"> </w:t>
      </w:r>
      <w:r>
        <w:tab/>
      </w:r>
      <w:r>
        <w:tab/>
        <w:t>Section 152(b) states that except as provided in section 332, among others, nothing in that chapter “shall be construed to apply or to give the Commission jurisdic</w:t>
      </w:r>
      <w:r>
        <w:softHyphen/>
        <w:t>tion with respect to (1) charges, classifications, practices, services, facilities, or regula</w:t>
      </w:r>
      <w:r>
        <w:softHyphen/>
        <w:t>tions for or in connection with intrastate communication service by wire or radio of any car</w:t>
      </w:r>
      <w:r>
        <w:softHyphen/>
        <w:t>rier.”</w:t>
      </w:r>
    </w:p>
  </w:footnote>
  <w:footnote w:id="158">
    <w:p w:rsidR="00177654" w:rsidRDefault="00177654" w:rsidP="005840C4">
      <w:pPr>
        <w:pStyle w:val="FootnoteText"/>
      </w:pPr>
      <w:r>
        <w:rPr>
          <w:rStyle w:val="FootnoteReference"/>
          <w:rFonts w:eastAsiaTheme="majorEastAsia"/>
        </w:rPr>
        <w:footnoteRef/>
      </w:r>
      <w:r>
        <w:t xml:space="preserve"> </w:t>
      </w:r>
      <w:r>
        <w:tab/>
      </w:r>
      <w:r>
        <w:tab/>
      </w:r>
      <w:r w:rsidRPr="00217240">
        <w:rPr>
          <w:i/>
        </w:rPr>
        <w:t>See</w:t>
      </w:r>
      <w:r>
        <w:t xml:space="preserve"> </w:t>
      </w:r>
      <w:r w:rsidRPr="00F251CC">
        <w:rPr>
          <w:i/>
        </w:rPr>
        <w:t>Iowa Utils. Bd</w:t>
      </w:r>
      <w:r>
        <w:t>. at 797.</w:t>
      </w:r>
    </w:p>
  </w:footnote>
  <w:footnote w:id="159">
    <w:p w:rsidR="00177654" w:rsidRDefault="00177654" w:rsidP="005840C4">
      <w:pPr>
        <w:pStyle w:val="FootnoteText"/>
      </w:pPr>
      <w:r>
        <w:rPr>
          <w:rStyle w:val="FootnoteReference"/>
          <w:rFonts w:eastAsiaTheme="majorEastAsia"/>
        </w:rPr>
        <w:footnoteRef/>
      </w:r>
      <w:r>
        <w:t xml:space="preserve"> </w:t>
      </w:r>
      <w:r>
        <w:tab/>
      </w:r>
      <w:r>
        <w:tab/>
        <w:t>47 U.S.C. § 332(c)(3)(A ) (2010).</w:t>
      </w:r>
    </w:p>
  </w:footnote>
  <w:footnote w:id="160">
    <w:p w:rsidR="00177654" w:rsidRDefault="00177654" w:rsidP="005840C4">
      <w:pPr>
        <w:pStyle w:val="FootnoteText"/>
      </w:pPr>
      <w:r>
        <w:rPr>
          <w:rStyle w:val="FootnoteReference"/>
          <w:rFonts w:eastAsiaTheme="majorEastAsia"/>
        </w:rPr>
        <w:footnoteRef/>
      </w:r>
      <w:r>
        <w:t xml:space="preserve"> </w:t>
      </w:r>
      <w:r>
        <w:tab/>
      </w:r>
      <w:r>
        <w:tab/>
        <w:t>NPRM at 158, ¶ 512.</w:t>
      </w:r>
    </w:p>
  </w:footnote>
  <w:footnote w:id="161">
    <w:p w:rsidR="00177654" w:rsidRDefault="00177654" w:rsidP="005840C4">
      <w:pPr>
        <w:pStyle w:val="FootnoteText"/>
      </w:pPr>
      <w:r>
        <w:rPr>
          <w:rStyle w:val="FootnoteReference"/>
          <w:rFonts w:eastAsiaTheme="majorEastAsia"/>
        </w:rPr>
        <w:footnoteRef/>
      </w:r>
      <w:r>
        <w:t xml:space="preserve"> </w:t>
      </w:r>
      <w:r>
        <w:tab/>
      </w:r>
      <w:r>
        <w:tab/>
      </w:r>
      <w:r w:rsidRPr="00AD1922">
        <w:rPr>
          <w:i/>
        </w:rPr>
        <w:t>Id</w:t>
      </w:r>
      <w:r>
        <w:t>.</w:t>
      </w:r>
    </w:p>
  </w:footnote>
  <w:footnote w:id="162">
    <w:p w:rsidR="00177654" w:rsidRDefault="00177654" w:rsidP="005840C4">
      <w:pPr>
        <w:pStyle w:val="FootnoteText"/>
      </w:pPr>
      <w:r>
        <w:rPr>
          <w:rStyle w:val="FootnoteReference"/>
          <w:rFonts w:eastAsiaTheme="majorEastAsia"/>
        </w:rPr>
        <w:footnoteRef/>
      </w:r>
      <w:r>
        <w:t xml:space="preserve"> </w:t>
      </w:r>
      <w:r>
        <w:tab/>
      </w:r>
      <w:r>
        <w:tab/>
        <w:t>47 U.S.C. §251(b)(5) (2010).</w:t>
      </w:r>
    </w:p>
  </w:footnote>
  <w:footnote w:id="163">
    <w:p w:rsidR="00177654" w:rsidRDefault="00177654" w:rsidP="005840C4">
      <w:pPr>
        <w:pStyle w:val="FootnoteText"/>
      </w:pPr>
      <w:r>
        <w:rPr>
          <w:rStyle w:val="FootnoteReference"/>
          <w:rFonts w:eastAsiaTheme="majorEastAsia"/>
        </w:rPr>
        <w:footnoteRef/>
      </w:r>
      <w:r>
        <w:t xml:space="preserve"> </w:t>
      </w:r>
      <w:r>
        <w:tab/>
      </w:r>
      <w:r>
        <w:tab/>
        <w:t>47 U.S.C. §153(43) (2010).  The term “telecommunications” means the transmis</w:t>
      </w:r>
      <w:r>
        <w:softHyphen/>
        <w:t>sion, between or among points specified by the user, of information of the user’s choos</w:t>
      </w:r>
      <w:r>
        <w:softHyphen/>
        <w:t>ing, without change in the form or content of the information as sent and received.</w:t>
      </w:r>
    </w:p>
  </w:footnote>
  <w:footnote w:id="164">
    <w:p w:rsidR="00177654" w:rsidRDefault="00177654" w:rsidP="005840C4">
      <w:pPr>
        <w:pStyle w:val="FootnoteText"/>
      </w:pPr>
      <w:r>
        <w:rPr>
          <w:rStyle w:val="FootnoteReference"/>
          <w:rFonts w:eastAsiaTheme="majorEastAsia"/>
        </w:rPr>
        <w:footnoteRef/>
      </w:r>
      <w:r>
        <w:tab/>
      </w:r>
      <w:r>
        <w:tab/>
        <w:t>NPRM at 159, ¶ 513.</w:t>
      </w:r>
    </w:p>
  </w:footnote>
  <w:footnote w:id="165">
    <w:p w:rsidR="00177654" w:rsidRDefault="00177654" w:rsidP="005840C4">
      <w:pPr>
        <w:pStyle w:val="FootnoteText"/>
      </w:pPr>
      <w:r>
        <w:rPr>
          <w:rStyle w:val="FootnoteReference"/>
          <w:rFonts w:eastAsiaTheme="majorEastAsia"/>
        </w:rPr>
        <w:footnoteRef/>
      </w:r>
      <w:r>
        <w:t xml:space="preserve"> </w:t>
      </w:r>
      <w:r>
        <w:tab/>
      </w:r>
      <w:r>
        <w:tab/>
      </w:r>
      <w:r w:rsidRPr="00AD1922">
        <w:rPr>
          <w:i/>
        </w:rPr>
        <w:t>Id</w:t>
      </w:r>
      <w:r>
        <w:t xml:space="preserve">. </w:t>
      </w:r>
    </w:p>
  </w:footnote>
  <w:footnote w:id="166">
    <w:p w:rsidR="00177654" w:rsidRDefault="00177654" w:rsidP="005840C4">
      <w:pPr>
        <w:pStyle w:val="FootnoteText"/>
      </w:pPr>
      <w:r>
        <w:rPr>
          <w:rStyle w:val="FootnoteReference"/>
          <w:rFonts w:eastAsiaTheme="majorEastAsia"/>
        </w:rPr>
        <w:footnoteRef/>
      </w:r>
      <w:r>
        <w:t xml:space="preserve"> </w:t>
      </w:r>
      <w:r>
        <w:tab/>
      </w:r>
      <w:r>
        <w:tab/>
      </w:r>
      <w:r w:rsidRPr="00AD1922">
        <w:rPr>
          <w:i/>
        </w:rPr>
        <w:t>Id</w:t>
      </w:r>
      <w:r>
        <w:t>.</w:t>
      </w:r>
    </w:p>
  </w:footnote>
  <w:footnote w:id="167">
    <w:p w:rsidR="00177654" w:rsidRDefault="00177654" w:rsidP="005840C4">
      <w:pPr>
        <w:pStyle w:val="FootnoteText"/>
      </w:pPr>
      <w:r>
        <w:rPr>
          <w:rStyle w:val="FootnoteReference"/>
          <w:rFonts w:eastAsiaTheme="majorEastAsia"/>
        </w:rPr>
        <w:footnoteRef/>
      </w:r>
      <w:r>
        <w:t xml:space="preserve"> </w:t>
      </w:r>
      <w:r>
        <w:tab/>
      </w:r>
      <w:r>
        <w:tab/>
      </w:r>
      <w:r>
        <w:rPr>
          <w:i/>
        </w:rPr>
        <w:t>Id</w:t>
      </w:r>
      <w:r>
        <w:t>. at ¶ 514.</w:t>
      </w:r>
    </w:p>
  </w:footnote>
  <w:footnote w:id="168">
    <w:p w:rsidR="00177654" w:rsidRDefault="00177654" w:rsidP="005840C4">
      <w:pPr>
        <w:pStyle w:val="FootnoteText"/>
      </w:pPr>
      <w:r>
        <w:rPr>
          <w:rStyle w:val="FootnoteReference"/>
          <w:rFonts w:eastAsiaTheme="majorEastAsia"/>
        </w:rPr>
        <w:footnoteRef/>
      </w:r>
      <w:r>
        <w:t xml:space="preserve"> </w:t>
      </w:r>
      <w:r>
        <w:tab/>
      </w:r>
      <w:r>
        <w:tab/>
      </w:r>
      <w:r w:rsidRPr="00634931">
        <w:rPr>
          <w:i/>
        </w:rPr>
        <w:t>Id</w:t>
      </w:r>
      <w:r>
        <w:t>. at 160, ¶ 516.</w:t>
      </w:r>
    </w:p>
  </w:footnote>
  <w:footnote w:id="169">
    <w:p w:rsidR="00177654" w:rsidRDefault="00177654" w:rsidP="005840C4">
      <w:pPr>
        <w:pStyle w:val="FootnoteText"/>
      </w:pPr>
      <w:r>
        <w:rPr>
          <w:rStyle w:val="FootnoteReference"/>
          <w:rFonts w:eastAsiaTheme="majorEastAsia"/>
        </w:rPr>
        <w:footnoteRef/>
      </w:r>
      <w:r>
        <w:t xml:space="preserve"> </w:t>
      </w:r>
      <w:r>
        <w:tab/>
      </w:r>
      <w:r>
        <w:tab/>
      </w:r>
      <w:r w:rsidRPr="00B96048">
        <w:rPr>
          <w:i/>
        </w:rPr>
        <w:t>Id.</w:t>
      </w:r>
      <w:r>
        <w:t xml:space="preserve"> at 160, ¶ 516 citing </w:t>
      </w:r>
      <w:r w:rsidRPr="002077AC">
        <w:rPr>
          <w:i/>
        </w:rPr>
        <w:t>AT&amp;T v. Iowa Utils. Bd</w:t>
      </w:r>
      <w:r>
        <w:t>. 525 U.S. 366, 385 (1999).</w:t>
      </w:r>
    </w:p>
  </w:footnote>
  <w:footnote w:id="170">
    <w:p w:rsidR="00177654" w:rsidRDefault="00177654" w:rsidP="005840C4">
      <w:pPr>
        <w:pStyle w:val="FootnoteText"/>
      </w:pPr>
      <w:r>
        <w:rPr>
          <w:rStyle w:val="FootnoteReference"/>
          <w:rFonts w:eastAsiaTheme="majorEastAsia"/>
        </w:rPr>
        <w:footnoteRef/>
      </w:r>
      <w:r>
        <w:t xml:space="preserve"> </w:t>
      </w:r>
      <w:r>
        <w:tab/>
      </w:r>
      <w:r>
        <w:tab/>
      </w:r>
      <w:r w:rsidRPr="00F251CC">
        <w:rPr>
          <w:i/>
        </w:rPr>
        <w:t>See</w:t>
      </w:r>
      <w:r>
        <w:t xml:space="preserve"> Section XV Comments at 8-9.</w:t>
      </w:r>
    </w:p>
  </w:footnote>
  <w:footnote w:id="171">
    <w:p w:rsidR="00177654" w:rsidRDefault="00177654" w:rsidP="005840C4">
      <w:pPr>
        <w:pStyle w:val="FootnoteText"/>
      </w:pPr>
      <w:r>
        <w:rPr>
          <w:rStyle w:val="FootnoteReference"/>
          <w:rFonts w:eastAsiaTheme="majorEastAsia"/>
        </w:rPr>
        <w:footnoteRef/>
      </w:r>
      <w:r>
        <w:t xml:space="preserve"> </w:t>
      </w:r>
      <w:r>
        <w:tab/>
      </w:r>
      <w:r>
        <w:tab/>
      </w:r>
      <w:r w:rsidRPr="00F251CC">
        <w:rPr>
          <w:i/>
        </w:rPr>
        <w:t>See id</w:t>
      </w:r>
      <w:r>
        <w:t>.</w:t>
      </w:r>
    </w:p>
  </w:footnote>
  <w:footnote w:id="172">
    <w:p w:rsidR="00177654" w:rsidRDefault="00177654" w:rsidP="005840C4">
      <w:pPr>
        <w:pStyle w:val="FootnoteText"/>
      </w:pPr>
      <w:r>
        <w:rPr>
          <w:rStyle w:val="FootnoteReference"/>
          <w:rFonts w:eastAsiaTheme="majorEastAsia"/>
        </w:rPr>
        <w:footnoteRef/>
      </w:r>
      <w:r>
        <w:t xml:space="preserve"> </w:t>
      </w:r>
      <w:r>
        <w:tab/>
      </w:r>
      <w:r>
        <w:tab/>
        <w:t>NPRM at 168-169, ¶¶ 538, 540.</w:t>
      </w:r>
    </w:p>
  </w:footnote>
  <w:footnote w:id="173">
    <w:p w:rsidR="00177654" w:rsidRDefault="00177654" w:rsidP="005840C4">
      <w:pPr>
        <w:pStyle w:val="FootnoteText"/>
      </w:pPr>
      <w:r>
        <w:rPr>
          <w:rStyle w:val="FootnoteReference"/>
          <w:rFonts w:eastAsiaTheme="majorEastAsia"/>
        </w:rPr>
        <w:footnoteRef/>
      </w:r>
      <w:r>
        <w:t xml:space="preserve"> </w:t>
      </w:r>
      <w:r>
        <w:tab/>
      </w:r>
      <w:r>
        <w:tab/>
      </w:r>
      <w:r w:rsidR="00353012">
        <w:t xml:space="preserve">NPRM at 168-169, </w:t>
      </w:r>
      <w:r>
        <w:t>¶ 538.</w:t>
      </w:r>
    </w:p>
  </w:footnote>
  <w:footnote w:id="174">
    <w:p w:rsidR="00177654" w:rsidRDefault="00177654" w:rsidP="005840C4">
      <w:pPr>
        <w:pStyle w:val="FootnoteText"/>
      </w:pPr>
      <w:r>
        <w:rPr>
          <w:rStyle w:val="FootnoteReference"/>
          <w:rFonts w:eastAsiaTheme="majorEastAsia"/>
        </w:rPr>
        <w:footnoteRef/>
      </w:r>
      <w:r>
        <w:t xml:space="preserve"> </w:t>
      </w:r>
      <w:r>
        <w:tab/>
      </w:r>
      <w:r>
        <w:tab/>
      </w:r>
      <w:r w:rsidRPr="00D72D84">
        <w:rPr>
          <w:i/>
        </w:rPr>
        <w:t>Id</w:t>
      </w:r>
      <w:r>
        <w:t>. at 170, ¶ 542.</w:t>
      </w:r>
    </w:p>
  </w:footnote>
  <w:footnote w:id="175">
    <w:p w:rsidR="00177654" w:rsidRDefault="00177654" w:rsidP="005840C4">
      <w:pPr>
        <w:pStyle w:val="FootnoteText"/>
      </w:pPr>
      <w:r>
        <w:rPr>
          <w:rStyle w:val="FootnoteReference"/>
          <w:rFonts w:eastAsiaTheme="majorEastAsia"/>
        </w:rPr>
        <w:footnoteRef/>
      </w:r>
      <w:r>
        <w:t xml:space="preserve"> </w:t>
      </w:r>
      <w:r>
        <w:tab/>
      </w:r>
      <w:r>
        <w:tab/>
      </w:r>
      <w:r w:rsidRPr="00F251CC">
        <w:rPr>
          <w:i/>
        </w:rPr>
        <w:t xml:space="preserve">See </w:t>
      </w:r>
      <w:r w:rsidRPr="00B96048">
        <w:rPr>
          <w:i/>
        </w:rPr>
        <w:t>id.</w:t>
      </w:r>
      <w:r>
        <w:t xml:space="preserve"> at 170, ¶ 542 </w:t>
      </w:r>
    </w:p>
  </w:footnote>
  <w:footnote w:id="176">
    <w:p w:rsidR="00177654" w:rsidRDefault="00177654" w:rsidP="005840C4">
      <w:pPr>
        <w:pStyle w:val="FootnoteText"/>
      </w:pPr>
      <w:r>
        <w:rPr>
          <w:rStyle w:val="FootnoteReference"/>
          <w:rFonts w:eastAsiaTheme="majorEastAsia"/>
        </w:rPr>
        <w:footnoteRef/>
      </w:r>
      <w:r>
        <w:t xml:space="preserve"> </w:t>
      </w:r>
      <w:r>
        <w:tab/>
      </w:r>
      <w:r>
        <w:tab/>
      </w:r>
      <w:r w:rsidRPr="00F251CC">
        <w:rPr>
          <w:i/>
        </w:rPr>
        <w:t>See id</w:t>
      </w:r>
      <w:r>
        <w:t>.</w:t>
      </w:r>
    </w:p>
  </w:footnote>
  <w:footnote w:id="177">
    <w:p w:rsidR="00177654" w:rsidRDefault="00177654" w:rsidP="005840C4">
      <w:pPr>
        <w:pStyle w:val="FootnoteText"/>
      </w:pPr>
      <w:r>
        <w:rPr>
          <w:rStyle w:val="FootnoteReference"/>
          <w:rFonts w:eastAsiaTheme="majorEastAsia"/>
        </w:rPr>
        <w:footnoteRef/>
      </w:r>
      <w:r>
        <w:t xml:space="preserve"> </w:t>
      </w:r>
      <w:r>
        <w:tab/>
      </w:r>
      <w:r>
        <w:tab/>
      </w:r>
      <w:r w:rsidR="00353012">
        <w:t xml:space="preserve">NPRM at 170, </w:t>
      </w:r>
      <w:r>
        <w:t>¶ 543.</w:t>
      </w:r>
    </w:p>
  </w:footnote>
  <w:footnote w:id="178">
    <w:p w:rsidR="00177654" w:rsidRDefault="00177654" w:rsidP="001C54D8">
      <w:pPr>
        <w:pStyle w:val="FootnoteText"/>
      </w:pPr>
      <w:r>
        <w:rPr>
          <w:rStyle w:val="FootnoteReference"/>
          <w:rFonts w:eastAsiaTheme="majorEastAsia"/>
        </w:rPr>
        <w:footnoteRef/>
      </w:r>
      <w:r>
        <w:t xml:space="preserve"> </w:t>
      </w:r>
      <w:r>
        <w:tab/>
      </w:r>
      <w:r>
        <w:tab/>
      </w:r>
      <w:r w:rsidRPr="001C54D8">
        <w:rPr>
          <w:i/>
        </w:rPr>
        <w:t>See</w:t>
      </w:r>
      <w:r w:rsidRPr="001C54D8">
        <w:t xml:space="preserve"> Sub. S.B. 162 (2009) codified at </w:t>
      </w:r>
      <w:r>
        <w:t>Ohio Rev. Code Ann.</w:t>
      </w:r>
      <w:r w:rsidRPr="001C54D8">
        <w:t xml:space="preserve"> §</w:t>
      </w:r>
      <w:r>
        <w:t xml:space="preserve"> </w:t>
      </w:r>
      <w:r w:rsidRPr="001C54D8">
        <w:t>4927</w:t>
      </w:r>
      <w:r>
        <w:t>.15(C)</w:t>
      </w:r>
      <w:r w:rsidRPr="001C54D8">
        <w:t>.</w:t>
      </w:r>
    </w:p>
  </w:footnote>
  <w:footnote w:id="179">
    <w:p w:rsidR="00177654" w:rsidRDefault="00177654" w:rsidP="005840C4">
      <w:pPr>
        <w:pStyle w:val="FootnoteText"/>
      </w:pPr>
      <w:r>
        <w:rPr>
          <w:rStyle w:val="FootnoteReference"/>
          <w:rFonts w:eastAsiaTheme="majorEastAsia"/>
        </w:rPr>
        <w:footnoteRef/>
      </w:r>
      <w:r>
        <w:t xml:space="preserve"> </w:t>
      </w:r>
      <w:r>
        <w:tab/>
      </w:r>
      <w:r>
        <w:tab/>
        <w:t>Ohio Rev. Code Ann. § 4927.15(B) (West 2011).</w:t>
      </w:r>
    </w:p>
  </w:footnote>
  <w:footnote w:id="180">
    <w:p w:rsidR="00177654" w:rsidRDefault="00177654" w:rsidP="005840C4">
      <w:pPr>
        <w:pStyle w:val="FootnoteText"/>
      </w:pPr>
      <w:r>
        <w:rPr>
          <w:rStyle w:val="FootnoteReference"/>
          <w:rFonts w:eastAsiaTheme="majorEastAsia"/>
        </w:rPr>
        <w:footnoteRef/>
      </w:r>
      <w:r>
        <w:t xml:space="preserve"> </w:t>
      </w:r>
      <w:r>
        <w:tab/>
      </w:r>
      <w:r>
        <w:tab/>
      </w:r>
      <w:r w:rsidRPr="00D62F57">
        <w:rPr>
          <w:i/>
        </w:rPr>
        <w:t>In the Matter of Intrastate Carrier Access Reform Pursuant to S.B. 162</w:t>
      </w:r>
      <w:r>
        <w:t>, Case No. 10-2387-TP-COI (Entry at App. A) (issued November 3, 2010) (Ohio Commission Staff Plan).</w:t>
      </w:r>
    </w:p>
  </w:footnote>
  <w:footnote w:id="181">
    <w:p w:rsidR="00177654" w:rsidRDefault="00177654" w:rsidP="005840C4">
      <w:pPr>
        <w:pStyle w:val="FootnoteText"/>
      </w:pPr>
      <w:r>
        <w:rPr>
          <w:rStyle w:val="FootnoteReference"/>
          <w:rFonts w:eastAsiaTheme="majorEastAsia"/>
        </w:rPr>
        <w:footnoteRef/>
      </w:r>
      <w:r>
        <w:t xml:space="preserve"> </w:t>
      </w:r>
      <w:r>
        <w:tab/>
      </w:r>
      <w:r>
        <w:tab/>
        <w:t>Ohio Commission Staff Plan.</w:t>
      </w:r>
    </w:p>
  </w:footnote>
  <w:footnote w:id="182">
    <w:p w:rsidR="00177654" w:rsidRDefault="00177654" w:rsidP="005840C4">
      <w:pPr>
        <w:pStyle w:val="FootnoteText"/>
      </w:pPr>
      <w:r>
        <w:rPr>
          <w:rStyle w:val="FootnoteReference"/>
          <w:rFonts w:eastAsiaTheme="majorEastAsia"/>
        </w:rPr>
        <w:footnoteRef/>
      </w:r>
      <w:r>
        <w:t xml:space="preserve"> </w:t>
      </w:r>
      <w:r>
        <w:tab/>
      </w:r>
      <w:r>
        <w:tab/>
      </w:r>
      <w:r w:rsidR="00353012">
        <w:t>Ohio Commission Staff Plan.</w:t>
      </w:r>
    </w:p>
  </w:footnote>
  <w:footnote w:id="183">
    <w:p w:rsidR="00177654" w:rsidRDefault="00177654" w:rsidP="005840C4">
      <w:pPr>
        <w:pStyle w:val="FootnoteText"/>
      </w:pPr>
      <w:r>
        <w:rPr>
          <w:rStyle w:val="FootnoteReference"/>
          <w:rFonts w:eastAsiaTheme="majorEastAsia"/>
        </w:rPr>
        <w:footnoteRef/>
      </w:r>
      <w:r>
        <w:t xml:space="preserve"> </w:t>
      </w:r>
      <w:r>
        <w:tab/>
      </w:r>
      <w:r>
        <w:tab/>
      </w:r>
      <w:r w:rsidRPr="00D62F57">
        <w:rPr>
          <w:i/>
        </w:rPr>
        <w:t>Id</w:t>
      </w:r>
      <w:r>
        <w:t>.</w:t>
      </w:r>
    </w:p>
  </w:footnote>
  <w:footnote w:id="184">
    <w:p w:rsidR="00177654" w:rsidRDefault="00177654" w:rsidP="005840C4">
      <w:pPr>
        <w:pStyle w:val="FootnoteText"/>
      </w:pPr>
      <w:r>
        <w:rPr>
          <w:rStyle w:val="FootnoteReference"/>
          <w:rFonts w:eastAsiaTheme="majorEastAsia"/>
        </w:rPr>
        <w:footnoteRef/>
      </w:r>
      <w:r>
        <w:t xml:space="preserve"> </w:t>
      </w:r>
      <w:r>
        <w:tab/>
      </w:r>
      <w:r>
        <w:tab/>
      </w:r>
      <w:r w:rsidRPr="00B573E4">
        <w:rPr>
          <w:i/>
        </w:rPr>
        <w:t>Id</w:t>
      </w:r>
      <w:r>
        <w:t xml:space="preserve">.;  </w:t>
      </w:r>
      <w:r>
        <w:rPr>
          <w:i/>
        </w:rPr>
        <w:t>s</w:t>
      </w:r>
      <w:r w:rsidRPr="00D62F57">
        <w:rPr>
          <w:i/>
        </w:rPr>
        <w:t>ee</w:t>
      </w:r>
      <w:r>
        <w:t xml:space="preserve"> Ohio Rev. Code Ann. § 4927.15(c) (West 2011).</w:t>
      </w:r>
    </w:p>
  </w:footnote>
  <w:footnote w:id="185">
    <w:p w:rsidR="00177654" w:rsidRDefault="00177654" w:rsidP="005840C4">
      <w:pPr>
        <w:pStyle w:val="FootnoteText"/>
      </w:pPr>
      <w:r>
        <w:rPr>
          <w:rStyle w:val="FootnoteReference"/>
          <w:rFonts w:eastAsiaTheme="majorEastAsia"/>
        </w:rPr>
        <w:footnoteRef/>
      </w:r>
      <w:r>
        <w:t xml:space="preserve"> </w:t>
      </w:r>
      <w:r>
        <w:tab/>
      </w:r>
      <w:r>
        <w:tab/>
        <w:t>Ohio Commission Staff Plan.</w:t>
      </w:r>
    </w:p>
  </w:footnote>
  <w:footnote w:id="186">
    <w:p w:rsidR="00177654"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187">
    <w:p w:rsidR="00177654" w:rsidRDefault="00177654" w:rsidP="005840C4">
      <w:pPr>
        <w:pStyle w:val="FootnoteText"/>
      </w:pPr>
      <w:r>
        <w:rPr>
          <w:rStyle w:val="FootnoteReference"/>
          <w:rFonts w:eastAsiaTheme="majorEastAsia"/>
        </w:rPr>
        <w:footnoteRef/>
      </w:r>
      <w:r>
        <w:t xml:space="preserve"> </w:t>
      </w:r>
      <w:r>
        <w:tab/>
      </w:r>
      <w:r>
        <w:tab/>
        <w:t>NPRM at 173, ¶ 550.</w:t>
      </w:r>
    </w:p>
  </w:footnote>
  <w:footnote w:id="188">
    <w:p w:rsidR="00177654" w:rsidRDefault="00177654" w:rsidP="005840C4">
      <w:pPr>
        <w:pStyle w:val="FootnoteText"/>
      </w:pPr>
      <w:r>
        <w:rPr>
          <w:rStyle w:val="FootnoteReference"/>
          <w:rFonts w:eastAsiaTheme="majorEastAsia"/>
        </w:rPr>
        <w:footnoteRef/>
      </w:r>
      <w:r>
        <w:t xml:space="preserve"> </w:t>
      </w:r>
      <w:r>
        <w:tab/>
      </w:r>
      <w:r>
        <w:tab/>
      </w:r>
      <w:r w:rsidRPr="00F251CC">
        <w:rPr>
          <w:i/>
        </w:rPr>
        <w:t>See id</w:t>
      </w:r>
      <w:r>
        <w:t xml:space="preserve">.  </w:t>
      </w:r>
    </w:p>
  </w:footnote>
  <w:footnote w:id="189">
    <w:p w:rsidR="00177654" w:rsidRDefault="00177654" w:rsidP="005840C4">
      <w:pPr>
        <w:pStyle w:val="FootnoteText"/>
      </w:pPr>
      <w:r>
        <w:rPr>
          <w:rStyle w:val="FootnoteReference"/>
          <w:rFonts w:eastAsiaTheme="majorEastAsia"/>
        </w:rPr>
        <w:footnoteRef/>
      </w:r>
      <w:r>
        <w:t xml:space="preserve"> </w:t>
      </w:r>
      <w:r>
        <w:tab/>
      </w:r>
      <w:r>
        <w:tab/>
      </w:r>
      <w:r w:rsidRPr="00D62F57">
        <w:rPr>
          <w:i/>
        </w:rPr>
        <w:t>Id</w:t>
      </w:r>
      <w:r>
        <w:t>.</w:t>
      </w:r>
    </w:p>
  </w:footnote>
  <w:footnote w:id="190">
    <w:p w:rsidR="00177654" w:rsidRDefault="00177654" w:rsidP="005840C4">
      <w:pPr>
        <w:pStyle w:val="FootnoteText"/>
      </w:pPr>
      <w:r>
        <w:rPr>
          <w:rStyle w:val="FootnoteReference"/>
          <w:rFonts w:eastAsiaTheme="majorEastAsia"/>
        </w:rPr>
        <w:footnoteRef/>
      </w:r>
      <w:r>
        <w:t xml:space="preserve"> </w:t>
      </w:r>
      <w:r>
        <w:tab/>
      </w:r>
      <w:r>
        <w:tab/>
      </w:r>
      <w:r w:rsidRPr="00D62F57">
        <w:rPr>
          <w:i/>
        </w:rPr>
        <w:t xml:space="preserve">See </w:t>
      </w:r>
      <w:r w:rsidRPr="00B573E4">
        <w:rPr>
          <w:i/>
        </w:rPr>
        <w:t>id.</w:t>
      </w:r>
      <w:r>
        <w:t xml:space="preserve"> at 174, ¶ 554.</w:t>
      </w:r>
    </w:p>
  </w:footnote>
  <w:footnote w:id="191">
    <w:p w:rsidR="00177654" w:rsidRDefault="00177654" w:rsidP="005840C4">
      <w:pPr>
        <w:pStyle w:val="FootnoteText"/>
      </w:pPr>
      <w:r>
        <w:rPr>
          <w:rStyle w:val="FootnoteReference"/>
          <w:rFonts w:eastAsiaTheme="majorEastAsia"/>
        </w:rPr>
        <w:footnoteRef/>
      </w:r>
      <w:r>
        <w:t xml:space="preserve"> </w:t>
      </w:r>
      <w:r>
        <w:tab/>
      </w:r>
      <w:r>
        <w:tab/>
        <w:t>47 U.S.C. § 252(i) (2010).</w:t>
      </w:r>
    </w:p>
  </w:footnote>
  <w:footnote w:id="192">
    <w:p w:rsidR="00177654" w:rsidRDefault="00177654" w:rsidP="005840C4">
      <w:pPr>
        <w:pStyle w:val="FootnoteText"/>
      </w:pPr>
      <w:r>
        <w:rPr>
          <w:rStyle w:val="FootnoteReference"/>
          <w:rFonts w:eastAsiaTheme="majorEastAsia"/>
        </w:rPr>
        <w:footnoteRef/>
      </w:r>
      <w:r>
        <w:t xml:space="preserve"> </w:t>
      </w:r>
      <w:r>
        <w:tab/>
      </w:r>
      <w:r>
        <w:tab/>
      </w:r>
      <w:r w:rsidRPr="00D62F57">
        <w:rPr>
          <w:i/>
        </w:rPr>
        <w:t xml:space="preserve">See </w:t>
      </w:r>
      <w:r>
        <w:t>NPRM  at 174, ¶ 554.</w:t>
      </w:r>
    </w:p>
  </w:footnote>
  <w:footnote w:id="193">
    <w:p w:rsidR="00177654" w:rsidRDefault="00177654" w:rsidP="005840C4">
      <w:pPr>
        <w:pStyle w:val="FootnoteText"/>
      </w:pPr>
      <w:r>
        <w:rPr>
          <w:rStyle w:val="FootnoteReference"/>
          <w:rFonts w:eastAsiaTheme="majorEastAsia"/>
        </w:rPr>
        <w:footnoteRef/>
      </w:r>
      <w:r>
        <w:t xml:space="preserve"> </w:t>
      </w:r>
      <w:r>
        <w:tab/>
      </w:r>
      <w:r>
        <w:tab/>
      </w:r>
      <w:r w:rsidRPr="00BA33B5">
        <w:rPr>
          <w:i/>
        </w:rPr>
        <w:t xml:space="preserve">See </w:t>
      </w:r>
      <w:r>
        <w:rPr>
          <w:i/>
        </w:rPr>
        <w:t>id</w:t>
      </w:r>
      <w:r>
        <w:t>. at 176, ¶ 531.</w:t>
      </w:r>
    </w:p>
  </w:footnote>
  <w:footnote w:id="194">
    <w:p w:rsidR="00177654" w:rsidRDefault="00177654" w:rsidP="005840C4">
      <w:pPr>
        <w:pStyle w:val="FootnoteText"/>
      </w:pPr>
      <w:r>
        <w:rPr>
          <w:rStyle w:val="FootnoteReference"/>
          <w:rFonts w:eastAsiaTheme="majorEastAsia"/>
        </w:rPr>
        <w:footnoteRef/>
      </w:r>
      <w:r>
        <w:t xml:space="preserve"> </w:t>
      </w:r>
      <w:r>
        <w:tab/>
      </w:r>
      <w:r>
        <w:tab/>
      </w:r>
      <w:r w:rsidR="00353012">
        <w:t>NPRM at 176, ¶ 531</w:t>
      </w:r>
      <w:r>
        <w:t>.</w:t>
      </w:r>
    </w:p>
  </w:footnote>
  <w:footnote w:id="195">
    <w:p w:rsidR="00177654" w:rsidRDefault="00177654" w:rsidP="005840C4">
      <w:pPr>
        <w:pStyle w:val="FootnoteText"/>
      </w:pPr>
      <w:r>
        <w:rPr>
          <w:rStyle w:val="FootnoteReference"/>
          <w:rFonts w:eastAsiaTheme="majorEastAsia"/>
        </w:rPr>
        <w:footnoteRef/>
      </w:r>
      <w:r>
        <w:t xml:space="preserve"> </w:t>
      </w:r>
      <w:r>
        <w:tab/>
      </w:r>
      <w:r>
        <w:tab/>
      </w:r>
      <w:r w:rsidRPr="00F251CC">
        <w:rPr>
          <w:i/>
        </w:rPr>
        <w:t>See id</w:t>
      </w:r>
      <w:r w:rsidRPr="00BA33B5">
        <w:t>.</w:t>
      </w:r>
    </w:p>
  </w:footnote>
  <w:footnote w:id="196">
    <w:p w:rsidR="00177654" w:rsidRDefault="00177654" w:rsidP="005840C4">
      <w:pPr>
        <w:pStyle w:val="FootnoteText"/>
      </w:pPr>
      <w:r>
        <w:rPr>
          <w:rStyle w:val="FootnoteReference"/>
          <w:rFonts w:eastAsiaTheme="majorEastAsia"/>
        </w:rPr>
        <w:footnoteRef/>
      </w:r>
      <w:r>
        <w:t xml:space="preserve"> </w:t>
      </w:r>
      <w:r>
        <w:tab/>
      </w:r>
      <w:r>
        <w:tab/>
      </w:r>
      <w:r w:rsidRPr="00B573E4">
        <w:rPr>
          <w:i/>
        </w:rPr>
        <w:t>Id</w:t>
      </w:r>
      <w:r>
        <w:t>. at 177-180, ¶¶ 564-572.</w:t>
      </w:r>
    </w:p>
  </w:footnote>
  <w:footnote w:id="197">
    <w:p w:rsidR="00177654" w:rsidRDefault="00177654" w:rsidP="005840C4">
      <w:pPr>
        <w:pStyle w:val="FootnoteText"/>
      </w:pPr>
      <w:r>
        <w:rPr>
          <w:rStyle w:val="FootnoteReference"/>
          <w:rFonts w:eastAsiaTheme="majorEastAsia"/>
        </w:rPr>
        <w:footnoteRef/>
      </w:r>
      <w:r w:rsidR="00353012">
        <w:tab/>
      </w:r>
      <w:r w:rsidR="00353012">
        <w:tab/>
      </w:r>
      <w:r>
        <w:t>Incremental v. average cost.</w:t>
      </w:r>
    </w:p>
  </w:footnote>
  <w:footnote w:id="198">
    <w:p w:rsidR="00177654" w:rsidRDefault="00177654" w:rsidP="005840C4">
      <w:pPr>
        <w:pStyle w:val="FootnoteText"/>
      </w:pPr>
      <w:r>
        <w:rPr>
          <w:rStyle w:val="FootnoteReference"/>
          <w:rFonts w:eastAsiaTheme="majorEastAsia"/>
        </w:rPr>
        <w:footnoteRef/>
      </w:r>
      <w:r>
        <w:t xml:space="preserve"> </w:t>
      </w:r>
      <w:r>
        <w:tab/>
      </w:r>
      <w:r>
        <w:tab/>
        <w:t>A hybrid of IP and circuit switched networks v. an all IP network.</w:t>
      </w:r>
    </w:p>
  </w:footnote>
  <w:footnote w:id="199">
    <w:p w:rsidR="00177654" w:rsidRDefault="00177654" w:rsidP="005840C4">
      <w:pPr>
        <w:pStyle w:val="FootnoteText"/>
      </w:pPr>
      <w:r>
        <w:rPr>
          <w:rStyle w:val="FootnoteReference"/>
          <w:rFonts w:eastAsiaTheme="majorEastAsia"/>
        </w:rPr>
        <w:footnoteRef/>
      </w:r>
      <w:r>
        <w:t xml:space="preserve"> </w:t>
      </w:r>
      <w:r>
        <w:tab/>
      </w:r>
      <w:r>
        <w:tab/>
        <w:t>NPRM at 178-180, ¶¶ 567-572.</w:t>
      </w:r>
    </w:p>
  </w:footnote>
  <w:footnote w:id="200">
    <w:p w:rsidR="00177654" w:rsidRDefault="00177654" w:rsidP="005840C4">
      <w:pPr>
        <w:pStyle w:val="FootnoteText"/>
      </w:pPr>
      <w:r>
        <w:rPr>
          <w:rStyle w:val="FootnoteReference"/>
          <w:rFonts w:eastAsiaTheme="majorEastAsia"/>
        </w:rPr>
        <w:footnoteRef/>
      </w:r>
      <w:r>
        <w:t xml:space="preserve"> </w:t>
      </w:r>
      <w:r>
        <w:tab/>
      </w:r>
      <w:r>
        <w:tab/>
      </w:r>
      <w:r w:rsidR="00353012">
        <w:t xml:space="preserve">NPRM </w:t>
      </w:r>
      <w:r>
        <w:t>at 220, ¶ 678.</w:t>
      </w:r>
    </w:p>
  </w:footnote>
  <w:footnote w:id="201">
    <w:p w:rsidR="00177654" w:rsidRDefault="00177654" w:rsidP="005840C4">
      <w:pPr>
        <w:pStyle w:val="FootnoteText"/>
      </w:pPr>
      <w:r>
        <w:rPr>
          <w:rStyle w:val="FootnoteReference"/>
          <w:rFonts w:eastAsiaTheme="majorEastAsia"/>
        </w:rPr>
        <w:footnoteRef/>
      </w:r>
      <w:r>
        <w:t xml:space="preserve"> </w:t>
      </w:r>
      <w:r>
        <w:tab/>
      </w:r>
      <w:r>
        <w:tab/>
      </w:r>
      <w:r w:rsidRPr="00BA33B5">
        <w:rPr>
          <w:i/>
        </w:rPr>
        <w:t>Id</w:t>
      </w:r>
      <w:r>
        <w:t>.</w:t>
      </w:r>
    </w:p>
  </w:footnote>
  <w:footnote w:id="202">
    <w:p w:rsidR="00177654" w:rsidRDefault="00177654" w:rsidP="005840C4">
      <w:pPr>
        <w:pStyle w:val="FootnoteText"/>
      </w:pPr>
      <w:r>
        <w:rPr>
          <w:rStyle w:val="FootnoteReference"/>
          <w:rFonts w:eastAsiaTheme="majorEastAsia"/>
        </w:rPr>
        <w:footnoteRef/>
      </w:r>
      <w:r>
        <w:t xml:space="preserve"> </w:t>
      </w:r>
      <w:r>
        <w:tab/>
      </w:r>
      <w:r>
        <w:tab/>
      </w:r>
      <w:r w:rsidR="00353012">
        <w:t xml:space="preserve">NPRM at 220, </w:t>
      </w:r>
      <w:r>
        <w:t>¶ 679.</w:t>
      </w:r>
    </w:p>
  </w:footnote>
  <w:footnote w:id="203">
    <w:p w:rsidR="00177654" w:rsidRDefault="00177654" w:rsidP="005840C4">
      <w:pPr>
        <w:pStyle w:val="FootnoteText"/>
      </w:pPr>
      <w:r>
        <w:rPr>
          <w:rStyle w:val="FootnoteReference"/>
          <w:rFonts w:eastAsiaTheme="majorEastAsia"/>
        </w:rPr>
        <w:footnoteRef/>
      </w:r>
      <w:r>
        <w:t xml:space="preserve"> </w:t>
      </w:r>
      <w:r>
        <w:tab/>
      </w:r>
      <w:r>
        <w:tab/>
      </w:r>
      <w:r w:rsidRPr="00F251CC">
        <w:rPr>
          <w:i/>
        </w:rPr>
        <w:t>Id</w:t>
      </w:r>
      <w:r>
        <w:t>.</w:t>
      </w:r>
    </w:p>
  </w:footnote>
  <w:footnote w:id="204">
    <w:p w:rsidR="00177654" w:rsidRPr="00F907DB" w:rsidRDefault="00177654" w:rsidP="005840C4">
      <w:pPr>
        <w:pStyle w:val="FootnoteText"/>
      </w:pPr>
      <w:r>
        <w:rPr>
          <w:rStyle w:val="FootnoteReference"/>
          <w:rFonts w:eastAsiaTheme="majorEastAsia"/>
        </w:rPr>
        <w:footnoteRef/>
      </w:r>
      <w:r>
        <w:t xml:space="preserve"> </w:t>
      </w:r>
      <w:r>
        <w:tab/>
      </w:r>
      <w:r>
        <w:tab/>
      </w:r>
      <w:r>
        <w:rPr>
          <w:i/>
        </w:rPr>
        <w:t>See</w:t>
      </w:r>
      <w:r>
        <w:t xml:space="preserve"> </w:t>
      </w:r>
      <w:r w:rsidRPr="00B573E4">
        <w:rPr>
          <w:i/>
        </w:rPr>
        <w:t>id</w:t>
      </w:r>
      <w:r>
        <w:t>. at 220, ¶ 679.</w:t>
      </w:r>
    </w:p>
  </w:footnote>
  <w:footnote w:id="205">
    <w:p w:rsidR="00177654" w:rsidRPr="001A2F10" w:rsidRDefault="00177654" w:rsidP="005840C4">
      <w:pPr>
        <w:pStyle w:val="FootnoteText"/>
      </w:pPr>
      <w:r>
        <w:rPr>
          <w:rStyle w:val="FootnoteReference"/>
          <w:rFonts w:eastAsiaTheme="majorEastAsia"/>
        </w:rPr>
        <w:footnoteRef/>
      </w:r>
      <w:r>
        <w:t xml:space="preserve"> </w:t>
      </w:r>
      <w:r>
        <w:tab/>
      </w:r>
      <w:r>
        <w:tab/>
      </w:r>
      <w:r>
        <w:rPr>
          <w:i/>
        </w:rPr>
        <w:t>See</w:t>
      </w:r>
      <w:r>
        <w:t xml:space="preserve"> Section XV Comments at 5-7.</w:t>
      </w:r>
    </w:p>
  </w:footnote>
  <w:footnote w:id="206">
    <w:p w:rsidR="00177654" w:rsidRPr="001A2F10" w:rsidRDefault="00177654" w:rsidP="005840C4">
      <w:pPr>
        <w:pStyle w:val="FootnoteText"/>
      </w:pPr>
      <w:r>
        <w:rPr>
          <w:rStyle w:val="FootnoteReference"/>
          <w:rFonts w:eastAsiaTheme="majorEastAsia"/>
        </w:rPr>
        <w:footnoteRef/>
      </w:r>
      <w:r>
        <w:t xml:space="preserve"> </w:t>
      </w:r>
      <w:r>
        <w:tab/>
      </w:r>
      <w:r>
        <w:tab/>
      </w:r>
      <w:r>
        <w:rPr>
          <w:i/>
        </w:rPr>
        <w:t>See, e.g., In the Matter of the Establishment of Terms and Conditions of an Intercon</w:t>
      </w:r>
      <w:r>
        <w:rPr>
          <w:i/>
        </w:rPr>
        <w:softHyphen/>
        <w:t>nection Agreement Amendment Pursuant to the Federal Communications Commis</w:t>
      </w:r>
      <w:r>
        <w:rPr>
          <w:i/>
        </w:rPr>
        <w:softHyphen/>
        <w:t>sion’s Triennial Review Order and Its Order on Remand</w:t>
      </w:r>
      <w:r>
        <w:t>, Case No. 05-887-TP-UNC (Arbitration Award) (issued November 9, 2005); Ohio Admin. Code § 4901:1-7-09 (2011).</w:t>
      </w:r>
    </w:p>
  </w:footnote>
  <w:footnote w:id="207">
    <w:p w:rsidR="00177654" w:rsidRDefault="00177654" w:rsidP="005840C4">
      <w:pPr>
        <w:pStyle w:val="FootnoteText"/>
      </w:pPr>
      <w:r>
        <w:rPr>
          <w:rStyle w:val="FootnoteReference"/>
          <w:rFonts w:eastAsiaTheme="majorEastAsia"/>
        </w:rPr>
        <w:footnoteRef/>
      </w:r>
      <w:r>
        <w:t xml:space="preserve"> </w:t>
      </w:r>
      <w:r>
        <w:tab/>
      </w:r>
      <w:r>
        <w:tab/>
      </w:r>
      <w:r w:rsidRPr="009C6379">
        <w:rPr>
          <w:i/>
        </w:rPr>
        <w:t>See</w:t>
      </w:r>
      <w:r>
        <w:t xml:space="preserve"> NPRM at 195, ¶ 615.</w:t>
      </w:r>
    </w:p>
  </w:footnote>
  <w:footnote w:id="208">
    <w:p w:rsidR="00177654" w:rsidRDefault="00177654" w:rsidP="005840C4">
      <w:pPr>
        <w:pStyle w:val="FootnoteText"/>
      </w:pPr>
      <w:r>
        <w:rPr>
          <w:rStyle w:val="FootnoteReference"/>
          <w:rFonts w:eastAsiaTheme="majorEastAsia"/>
        </w:rPr>
        <w:footnoteRef/>
      </w:r>
      <w:r>
        <w:t xml:space="preserve"> </w:t>
      </w:r>
      <w:r>
        <w:tab/>
      </w:r>
      <w:r>
        <w:tab/>
      </w:r>
      <w:r>
        <w:rPr>
          <w:i/>
        </w:rPr>
        <w:t>Id</w:t>
      </w:r>
      <w:r>
        <w:t>. at 221, ¶ 680.</w:t>
      </w:r>
    </w:p>
  </w:footnote>
  <w:footnote w:id="209">
    <w:p w:rsidR="00177654" w:rsidRPr="001A2F10" w:rsidRDefault="00177654" w:rsidP="005840C4">
      <w:pPr>
        <w:pStyle w:val="FootnoteText"/>
      </w:pPr>
      <w:r>
        <w:rPr>
          <w:rStyle w:val="FootnoteReference"/>
          <w:rFonts w:eastAsiaTheme="majorEastAsia"/>
        </w:rPr>
        <w:footnoteRef/>
      </w:r>
      <w:r>
        <w:t xml:space="preserve"> </w:t>
      </w:r>
      <w:r>
        <w:tab/>
      </w:r>
      <w:r>
        <w:tab/>
      </w:r>
      <w:r>
        <w:rPr>
          <w:i/>
        </w:rPr>
        <w:t>See</w:t>
      </w:r>
      <w:r w:rsidR="00353012">
        <w:rPr>
          <w:i/>
        </w:rPr>
        <w:t xml:space="preserve"> </w:t>
      </w:r>
      <w:r w:rsidR="00353012">
        <w:t>NPRM at 221, ¶ 680</w:t>
      </w:r>
      <w:r>
        <w:t>.</w:t>
      </w:r>
    </w:p>
  </w:footnote>
  <w:footnote w:id="210">
    <w:p w:rsidR="00177654" w:rsidRPr="001A2F10" w:rsidRDefault="00177654" w:rsidP="005840C4">
      <w:pPr>
        <w:pStyle w:val="FootnoteText"/>
      </w:pPr>
      <w:r>
        <w:rPr>
          <w:rStyle w:val="FootnoteReference"/>
          <w:rFonts w:eastAsiaTheme="majorEastAsia"/>
        </w:rPr>
        <w:footnoteRef/>
      </w:r>
      <w:r>
        <w:t xml:space="preserve"> </w:t>
      </w:r>
      <w:r>
        <w:rPr>
          <w:i/>
        </w:rPr>
        <w:tab/>
      </w:r>
      <w:r>
        <w:rPr>
          <w:i/>
        </w:rPr>
        <w:tab/>
        <w:t>Id</w:t>
      </w:r>
      <w:r>
        <w:t>. at 221-222, ¶¶ 660-681.</w:t>
      </w:r>
    </w:p>
  </w:footnote>
  <w:footnote w:id="211">
    <w:p w:rsidR="00177654" w:rsidRPr="001A2F10" w:rsidRDefault="00177654" w:rsidP="005840C4">
      <w:pPr>
        <w:pStyle w:val="FootnoteText"/>
      </w:pPr>
      <w:r>
        <w:rPr>
          <w:rStyle w:val="FootnoteReference"/>
          <w:rFonts w:eastAsiaTheme="majorEastAsia"/>
        </w:rPr>
        <w:footnoteRef/>
      </w:r>
      <w:r>
        <w:t xml:space="preserve"> </w:t>
      </w:r>
      <w:r>
        <w:tab/>
      </w:r>
      <w:r>
        <w:tab/>
      </w:r>
      <w:r w:rsidRPr="00B573E4">
        <w:rPr>
          <w:i/>
        </w:rPr>
        <w:t>Id</w:t>
      </w:r>
      <w:r>
        <w:t>. at 221, ¶ 682.</w:t>
      </w:r>
    </w:p>
  </w:footnote>
  <w:footnote w:id="212">
    <w:p w:rsidR="00177654" w:rsidRPr="001A2F10" w:rsidRDefault="00177654" w:rsidP="005840C4">
      <w:pPr>
        <w:pStyle w:val="FootnoteText"/>
      </w:pPr>
      <w:r>
        <w:rPr>
          <w:rStyle w:val="FootnoteReference"/>
          <w:rFonts w:eastAsiaTheme="majorEastAsia"/>
        </w:rPr>
        <w:footnoteRef/>
      </w:r>
      <w:r>
        <w:t xml:space="preserve"> </w:t>
      </w:r>
      <w:r>
        <w:tab/>
      </w:r>
      <w:r>
        <w:tab/>
      </w:r>
      <w:r>
        <w:rPr>
          <w:i/>
        </w:rPr>
        <w:t>See In the Matter of Developing a Unified Intercarrier Compensation Regime</w:t>
      </w:r>
      <w:r>
        <w:t>, CC Docket No. 01-92 (Access Reform Plan at 45-46) (filed July 24, 2006).</w:t>
      </w:r>
    </w:p>
  </w:footnote>
  <w:footnote w:id="213">
    <w:p w:rsidR="00177654" w:rsidRPr="001A2F10" w:rsidRDefault="00177654" w:rsidP="005840C4">
      <w:pPr>
        <w:pStyle w:val="FootnoteText"/>
      </w:pPr>
      <w:r>
        <w:rPr>
          <w:rStyle w:val="FootnoteReference"/>
          <w:rFonts w:eastAsiaTheme="majorEastAsia"/>
        </w:rPr>
        <w:footnoteRef/>
      </w:r>
      <w:r>
        <w:t xml:space="preserve"> </w:t>
      </w:r>
      <w:r>
        <w:tab/>
      </w:r>
      <w:r>
        <w:tab/>
      </w:r>
      <w:r>
        <w:rPr>
          <w:i/>
        </w:rPr>
        <w:t>See In the Matter of Developing a Unified Intercarrier Compensation Regime</w:t>
      </w:r>
      <w:r>
        <w:t>, CC Docket No. 01-92 (Comments of the Public Utilities Commission of Ohio at 23-24) (filed October 25, 2006) (Missoula Plan Comments).</w:t>
      </w:r>
    </w:p>
  </w:footnote>
  <w:footnote w:id="214">
    <w:p w:rsidR="00177654" w:rsidRDefault="00177654" w:rsidP="005840C4">
      <w:pPr>
        <w:pStyle w:val="FootnoteText"/>
      </w:pPr>
      <w:r>
        <w:rPr>
          <w:rStyle w:val="FootnoteReference"/>
          <w:rFonts w:eastAsiaTheme="majorEastAsia"/>
        </w:rPr>
        <w:footnoteRef/>
      </w:r>
      <w:r>
        <w:t xml:space="preserve"> </w:t>
      </w:r>
      <w:r>
        <w:tab/>
      </w:r>
      <w:r>
        <w:tab/>
      </w:r>
      <w:r w:rsidR="00353012">
        <w:t xml:space="preserve">Missoula Plan Comments </w:t>
      </w:r>
      <w:r w:rsidRPr="00020BEF">
        <w:t>at 24.</w:t>
      </w:r>
    </w:p>
  </w:footnote>
  <w:footnote w:id="215">
    <w:p w:rsidR="00177654" w:rsidRDefault="00177654" w:rsidP="005840C4">
      <w:pPr>
        <w:pStyle w:val="FootnoteText"/>
      </w:pPr>
      <w:r>
        <w:rPr>
          <w:rStyle w:val="FootnoteReference"/>
          <w:rFonts w:eastAsiaTheme="majorEastAsia"/>
        </w:rPr>
        <w:footnoteRef/>
      </w:r>
      <w:r>
        <w:t xml:space="preserve"> </w:t>
      </w:r>
      <w:r>
        <w:tab/>
      </w:r>
      <w:r>
        <w:tab/>
        <w:t>NPRM at 222, ¶ 682.</w:t>
      </w:r>
    </w:p>
  </w:footnote>
  <w:footnote w:id="216">
    <w:p w:rsidR="00177654" w:rsidRPr="001A2F10"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17">
    <w:p w:rsidR="00177654" w:rsidRPr="001A2F10" w:rsidRDefault="00177654" w:rsidP="005840C4">
      <w:pPr>
        <w:pStyle w:val="FootnoteText"/>
      </w:pPr>
      <w:r>
        <w:rPr>
          <w:rStyle w:val="FootnoteReference"/>
          <w:rFonts w:eastAsiaTheme="majorEastAsia"/>
        </w:rPr>
        <w:footnoteRef/>
      </w:r>
      <w:r>
        <w:t xml:space="preserve"> </w:t>
      </w:r>
      <w:r>
        <w:tab/>
      </w:r>
      <w:r>
        <w:tab/>
      </w:r>
      <w:r w:rsidRPr="00B573E4">
        <w:rPr>
          <w:i/>
        </w:rPr>
        <w:t>Id</w:t>
      </w:r>
      <w:r>
        <w:t>.</w:t>
      </w:r>
    </w:p>
  </w:footnote>
  <w:footnote w:id="218">
    <w:p w:rsidR="00177654"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19">
    <w:p w:rsidR="00177654" w:rsidRDefault="00177654" w:rsidP="005840C4">
      <w:pPr>
        <w:pStyle w:val="FootnoteText"/>
      </w:pPr>
      <w:r>
        <w:rPr>
          <w:rStyle w:val="FootnoteReference"/>
          <w:rFonts w:eastAsiaTheme="majorEastAsia"/>
        </w:rPr>
        <w:footnoteRef/>
      </w:r>
      <w:r>
        <w:t xml:space="preserve"> </w:t>
      </w:r>
      <w:r>
        <w:tab/>
      </w:r>
      <w:r>
        <w:tab/>
      </w:r>
      <w:r w:rsidRPr="0025669D">
        <w:t>Missoula Plan Comments at 13-14.</w:t>
      </w:r>
    </w:p>
  </w:footnote>
  <w:footnote w:id="220">
    <w:p w:rsidR="00177654" w:rsidRPr="001A2F10"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21">
    <w:p w:rsidR="00177654" w:rsidRDefault="00177654" w:rsidP="005840C4">
      <w:pPr>
        <w:pStyle w:val="FootnoteText"/>
      </w:pPr>
      <w:r>
        <w:rPr>
          <w:rStyle w:val="FootnoteReference"/>
          <w:rFonts w:eastAsiaTheme="majorEastAsia"/>
        </w:rPr>
        <w:footnoteRef/>
      </w:r>
      <w:r>
        <w:t xml:space="preserve"> </w:t>
      </w:r>
      <w:r>
        <w:tab/>
      </w:r>
      <w:r>
        <w:tab/>
        <w:t>NPRM at 223, ¶ 682.</w:t>
      </w:r>
    </w:p>
  </w:footnote>
  <w:footnote w:id="222">
    <w:p w:rsidR="00177654" w:rsidRDefault="00177654" w:rsidP="005840C4">
      <w:pPr>
        <w:pStyle w:val="FootnoteText"/>
      </w:pPr>
      <w:r>
        <w:rPr>
          <w:rStyle w:val="FootnoteReference"/>
          <w:rFonts w:eastAsiaTheme="majorEastAsia"/>
        </w:rPr>
        <w:footnoteRef/>
      </w:r>
      <w:r>
        <w:t xml:space="preserve"> </w:t>
      </w:r>
      <w:r>
        <w:tab/>
      </w:r>
      <w:r>
        <w:tab/>
      </w:r>
      <w:r w:rsidR="00353012">
        <w:t>NPRM at 223,</w:t>
      </w:r>
      <w:r>
        <w:t xml:space="preserve"> ¶ 683.</w:t>
      </w:r>
    </w:p>
  </w:footnote>
  <w:footnote w:id="223">
    <w:p w:rsidR="00177654" w:rsidRPr="001A2F10"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24">
    <w:p w:rsidR="00177654" w:rsidRPr="001A2F10"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25">
    <w:p w:rsidR="00177654" w:rsidRPr="001A2F10" w:rsidRDefault="00177654" w:rsidP="005840C4">
      <w:pPr>
        <w:pStyle w:val="FootnoteText"/>
      </w:pPr>
      <w:r>
        <w:rPr>
          <w:rStyle w:val="FootnoteReference"/>
          <w:rFonts w:eastAsiaTheme="majorEastAsia"/>
        </w:rPr>
        <w:footnoteRef/>
      </w:r>
      <w:r>
        <w:t xml:space="preserve"> </w:t>
      </w:r>
      <w:r>
        <w:tab/>
      </w:r>
      <w:r>
        <w:tab/>
      </w:r>
      <w:r>
        <w:rPr>
          <w:i/>
        </w:rPr>
        <w:t>Id</w:t>
      </w:r>
      <w:r>
        <w:t>.</w:t>
      </w:r>
    </w:p>
  </w:footnote>
  <w:footnote w:id="226">
    <w:p w:rsidR="00177654" w:rsidRPr="001A2F10" w:rsidRDefault="00177654" w:rsidP="005840C4">
      <w:pPr>
        <w:pStyle w:val="FootnoteText"/>
      </w:pPr>
      <w:r>
        <w:rPr>
          <w:rStyle w:val="FootnoteReference"/>
          <w:rFonts w:eastAsiaTheme="majorEastAsia"/>
        </w:rPr>
        <w:footnoteRef/>
      </w:r>
      <w:r>
        <w:t xml:space="preserve"> </w:t>
      </w:r>
      <w:r>
        <w:tab/>
      </w:r>
      <w:r>
        <w:tab/>
      </w:r>
      <w:r w:rsidRPr="0025669D">
        <w:t>Missoula Plan Comments at 28 -29; Comprehensive Reform Comments at</w:t>
      </w:r>
      <w:r>
        <w:t xml:space="preserve"> 54.  </w:t>
      </w:r>
    </w:p>
  </w:footnote>
  <w:footnote w:id="227">
    <w:p w:rsidR="00177654" w:rsidRDefault="00177654" w:rsidP="005840C4">
      <w:pPr>
        <w:pStyle w:val="FootnoteText"/>
      </w:pPr>
      <w:r>
        <w:rPr>
          <w:rStyle w:val="FootnoteReference"/>
          <w:rFonts w:eastAsiaTheme="majorEastAsia"/>
        </w:rPr>
        <w:footnoteRef/>
      </w:r>
      <w:r>
        <w:t xml:space="preserve"> </w:t>
      </w:r>
      <w:r>
        <w:tab/>
      </w:r>
      <w:r>
        <w:tab/>
        <w:t>Ohio Admin. Code § 4901:1-7-13(F) (West 2011).</w:t>
      </w:r>
    </w:p>
  </w:footnote>
  <w:footnote w:id="228">
    <w:p w:rsidR="00177654" w:rsidRDefault="00177654" w:rsidP="005840C4">
      <w:pPr>
        <w:pStyle w:val="FootnoteText"/>
      </w:pPr>
      <w:r>
        <w:rPr>
          <w:rStyle w:val="FootnoteReference"/>
          <w:rFonts w:eastAsiaTheme="majorEastAsia"/>
        </w:rPr>
        <w:footnoteRef/>
      </w:r>
      <w:r>
        <w:t xml:space="preserve"> </w:t>
      </w:r>
      <w:r>
        <w:tab/>
      </w:r>
      <w:r>
        <w:tab/>
        <w:t>NPRM at 224, ¶¶ 684-689.</w:t>
      </w:r>
    </w:p>
  </w:footnote>
  <w:footnote w:id="229">
    <w:p w:rsidR="00177654" w:rsidRDefault="00177654" w:rsidP="005840C4">
      <w:pPr>
        <w:pStyle w:val="FootnoteText"/>
      </w:pPr>
      <w:r>
        <w:rPr>
          <w:rStyle w:val="FootnoteReference"/>
          <w:rFonts w:eastAsiaTheme="majorEastAsia"/>
        </w:rPr>
        <w:footnoteRef/>
      </w:r>
      <w:r>
        <w:t xml:space="preserve"> </w:t>
      </w:r>
      <w:r>
        <w:tab/>
      </w:r>
      <w:r>
        <w:tab/>
      </w:r>
      <w:r w:rsidRPr="0025669D">
        <w:t>Missoula Plan Comments</w:t>
      </w:r>
      <w:r>
        <w:t xml:space="preserve"> at 30-31.</w:t>
      </w:r>
    </w:p>
  </w:footnote>
  <w:footnote w:id="230">
    <w:p w:rsidR="00177654" w:rsidRPr="001A2F10" w:rsidRDefault="00177654" w:rsidP="005840C4">
      <w:pPr>
        <w:pStyle w:val="FootnoteText"/>
      </w:pPr>
      <w:r>
        <w:rPr>
          <w:rStyle w:val="FootnoteReference"/>
          <w:rFonts w:eastAsiaTheme="majorEastAsia"/>
        </w:rPr>
        <w:footnoteRef/>
      </w:r>
      <w:r>
        <w:t xml:space="preserve"> </w:t>
      </w:r>
      <w:r>
        <w:tab/>
      </w:r>
      <w:r>
        <w:tab/>
      </w:r>
      <w:r w:rsidR="00353012" w:rsidRPr="0025669D">
        <w:t>Missoula Plan Comments</w:t>
      </w:r>
      <w:r w:rsidR="00353012">
        <w:t xml:space="preserve"> at 30-31</w:t>
      </w:r>
      <w:r>
        <w:t xml:space="preserve">. </w:t>
      </w:r>
    </w:p>
  </w:footnote>
  <w:footnote w:id="231">
    <w:p w:rsidR="00177654" w:rsidRDefault="00177654" w:rsidP="005840C4">
      <w:pPr>
        <w:pStyle w:val="FootnoteText"/>
      </w:pPr>
      <w:r>
        <w:rPr>
          <w:rStyle w:val="FootnoteReference"/>
          <w:rFonts w:eastAsiaTheme="majorEastAsia"/>
        </w:rPr>
        <w:footnoteRef/>
      </w:r>
      <w:r>
        <w:t xml:space="preserve"> </w:t>
      </w:r>
      <w:r>
        <w:tab/>
      </w:r>
      <w:r>
        <w:tab/>
        <w:t>NPRM at 224, ¶ 684, n. 1099, 1100.</w:t>
      </w:r>
    </w:p>
  </w:footnote>
  <w:footnote w:id="232">
    <w:p w:rsidR="00177654" w:rsidRPr="001A2F10" w:rsidRDefault="00177654" w:rsidP="005840C4">
      <w:pPr>
        <w:pStyle w:val="FootnoteText"/>
      </w:pPr>
      <w:r>
        <w:rPr>
          <w:rStyle w:val="FootnoteReference"/>
          <w:rFonts w:eastAsiaTheme="majorEastAsia"/>
        </w:rPr>
        <w:footnoteRef/>
      </w:r>
      <w:r>
        <w:t xml:space="preserve"> </w:t>
      </w:r>
      <w:r>
        <w:tab/>
      </w:r>
      <w:r>
        <w:tab/>
      </w:r>
      <w:r>
        <w:rPr>
          <w:i/>
        </w:rPr>
        <w:t>See</w:t>
      </w:r>
      <w:r>
        <w:t xml:space="preserve"> Section XV Comments at 13-16.</w:t>
      </w:r>
    </w:p>
  </w:footnote>
  <w:footnote w:id="233">
    <w:p w:rsidR="00177654" w:rsidRPr="001A2F10" w:rsidRDefault="00177654" w:rsidP="005840C4">
      <w:pPr>
        <w:pStyle w:val="FootnoteText"/>
      </w:pPr>
      <w:r>
        <w:rPr>
          <w:rStyle w:val="FootnoteReference"/>
          <w:rFonts w:eastAsiaTheme="majorEastAsia"/>
        </w:rPr>
        <w:footnoteRef/>
      </w:r>
      <w:r>
        <w:t xml:space="preserve"> </w:t>
      </w:r>
      <w:r>
        <w:tab/>
      </w:r>
      <w:r>
        <w:tab/>
      </w:r>
      <w:r>
        <w:rPr>
          <w:i/>
        </w:rPr>
        <w:t>See id.</w:t>
      </w:r>
      <w:r>
        <w:t xml:space="preserve"> at 14.</w:t>
      </w:r>
    </w:p>
  </w:footnote>
  <w:footnote w:id="234">
    <w:p w:rsidR="00177654" w:rsidRDefault="00177654" w:rsidP="005840C4">
      <w:pPr>
        <w:pStyle w:val="FootnoteText"/>
      </w:pPr>
      <w:r>
        <w:rPr>
          <w:rStyle w:val="FootnoteReference"/>
          <w:rFonts w:eastAsiaTheme="majorEastAsia"/>
        </w:rPr>
        <w:footnoteRef/>
      </w:r>
      <w:r>
        <w:t xml:space="preserve"> </w:t>
      </w:r>
      <w:r>
        <w:tab/>
      </w:r>
      <w:r>
        <w:tab/>
        <w:t>NPRM at 226, ¶ 688.</w:t>
      </w:r>
    </w:p>
  </w:footnote>
  <w:footnote w:id="235">
    <w:p w:rsidR="00177654" w:rsidRDefault="00177654" w:rsidP="005840C4">
      <w:pPr>
        <w:pStyle w:val="FootnoteText"/>
      </w:pPr>
      <w:r>
        <w:rPr>
          <w:rStyle w:val="FootnoteReference"/>
          <w:rFonts w:eastAsiaTheme="majorEastAsia"/>
        </w:rPr>
        <w:footnoteRef/>
      </w:r>
      <w:r>
        <w:t xml:space="preserve"> </w:t>
      </w:r>
      <w:r>
        <w:tab/>
      </w:r>
      <w:r>
        <w:tab/>
      </w:r>
      <w:r w:rsidRPr="0027735A">
        <w:rPr>
          <w:i/>
        </w:rPr>
        <w:t>Se</w:t>
      </w:r>
      <w:r>
        <w:rPr>
          <w:i/>
        </w:rPr>
        <w:t xml:space="preserve">e </w:t>
      </w:r>
      <w:r w:rsidRPr="00946FBF">
        <w:rPr>
          <w:i/>
        </w:rPr>
        <w:t>id</w:t>
      </w:r>
      <w:r>
        <w:t>.</w:t>
      </w:r>
    </w:p>
  </w:footnote>
  <w:footnote w:id="236">
    <w:p w:rsidR="00177654" w:rsidRDefault="00177654" w:rsidP="005840C4">
      <w:pPr>
        <w:pStyle w:val="FootnoteText"/>
      </w:pPr>
      <w:r>
        <w:rPr>
          <w:rStyle w:val="FootnoteReference"/>
          <w:rFonts w:eastAsiaTheme="majorEastAsia"/>
        </w:rPr>
        <w:footnoteRef/>
      </w:r>
      <w:r>
        <w:t xml:space="preserve"> </w:t>
      </w:r>
      <w:r>
        <w:tab/>
      </w:r>
      <w:r>
        <w:tab/>
      </w:r>
      <w:r w:rsidRPr="00B6674B">
        <w:rPr>
          <w:i/>
        </w:rPr>
        <w:t>See</w:t>
      </w:r>
      <w:r>
        <w:t xml:space="preserve"> 47 U.S.C. § 252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6D3A22" w:rsidRDefault="00177654" w:rsidP="00E64838">
    <w:pPr>
      <w:pStyle w:val="Header"/>
      <w:jc w:val="center"/>
      <w:rPr>
        <w:rFonts w:ascii="Arial" w:hAnsi="Arial" w:cs="Arial"/>
        <w:b/>
        <w:color w:val="FF0000"/>
        <w:sz w:val="18"/>
        <w:szCs w:val="18"/>
      </w:rPr>
    </w:pPr>
    <w:r>
      <w:rPr>
        <w:rFonts w:ascii="Arial" w:hAnsi="Arial" w:cs="Arial"/>
        <w:b/>
        <w:color w:val="FF0000"/>
        <w:sz w:val="18"/>
        <w:szCs w:val="18"/>
      </w:rPr>
      <w:t xml:space="preserve">DRAFT - </w:t>
    </w:r>
    <w:r>
      <w:rPr>
        <w:rFonts w:ascii="Arial" w:hAnsi="Arial" w:cs="Arial"/>
        <w:b/>
        <w:color w:val="FF0000"/>
        <w:sz w:val="18"/>
        <w:szCs w:val="18"/>
      </w:rPr>
      <w:fldChar w:fldCharType="begin"/>
    </w:r>
    <w:r>
      <w:rPr>
        <w:rFonts w:ascii="Arial" w:hAnsi="Arial" w:cs="Arial"/>
        <w:b/>
        <w:color w:val="FF0000"/>
        <w:sz w:val="18"/>
        <w:szCs w:val="18"/>
      </w:rPr>
      <w:instrText xml:space="preserve"> DATE \@ "M/d/yyyy h:mm am/pm" </w:instrText>
    </w:r>
    <w:r>
      <w:rPr>
        <w:rFonts w:ascii="Arial" w:hAnsi="Arial" w:cs="Arial"/>
        <w:b/>
        <w:color w:val="FF0000"/>
        <w:sz w:val="18"/>
        <w:szCs w:val="18"/>
      </w:rPr>
      <w:fldChar w:fldCharType="separate"/>
    </w:r>
    <w:r w:rsidR="00F7169C">
      <w:rPr>
        <w:rFonts w:ascii="Arial" w:hAnsi="Arial" w:cs="Arial"/>
        <w:b/>
        <w:noProof/>
        <w:color w:val="FF0000"/>
        <w:sz w:val="18"/>
        <w:szCs w:val="18"/>
      </w:rPr>
      <w:t>4/18/2011 12:23 PM</w:t>
    </w:r>
    <w:r>
      <w:rPr>
        <w:rFonts w:ascii="Arial" w:hAnsi="Arial" w:cs="Arial"/>
        <w:b/>
        <w:color w:val="FF0000"/>
        <w:sz w:val="18"/>
        <w:szCs w:val="18"/>
      </w:rPr>
      <w:fldChar w:fldCharType="end"/>
    </w:r>
    <w:r>
      <w:rPr>
        <w:rFonts w:ascii="Arial" w:hAnsi="Arial" w:cs="Arial"/>
        <w:b/>
        <w:color w:val="FF0000"/>
        <w:sz w:val="18"/>
        <w:szCs w:val="18"/>
      </w:rPr>
      <w:br/>
    </w:r>
    <w:r w:rsidR="00F7169C">
      <w:fldChar w:fldCharType="begin"/>
    </w:r>
    <w:r w:rsidR="00F7169C">
      <w:instrText xml:space="preserve"> FILENAME  \* Lower \p  \* MERGEFORMAT </w:instrText>
    </w:r>
    <w:r w:rsidR="00F7169C">
      <w:fldChar w:fldCharType="separate"/>
    </w:r>
    <w:r w:rsidR="00F7169C" w:rsidRPr="00F7169C">
      <w:rPr>
        <w:rFonts w:ascii="Arial" w:hAnsi="Arial" w:cs="Arial"/>
        <w:b/>
        <w:noProof/>
        <w:color w:val="FF0000"/>
        <w:sz w:val="18"/>
        <w:szCs w:val="18"/>
      </w:rPr>
      <w:t xml:space="preserve">\\puc\shares\departments\attorney general\attorneys\wright\fcc\10-90 icf usf </w:t>
    </w:r>
    <w:r w:rsidR="00F7169C">
      <w:rPr>
        <w:noProof/>
      </w:rPr>
      <w:t>reform\icc-usf comments 041811.docx</w:t>
    </w:r>
    <w:r w:rsidR="00F7169C">
      <w:rPr>
        <w:noProof/>
      </w:rPr>
      <w:fldChar w:fldCharType="end"/>
    </w:r>
    <w:r w:rsidRPr="006D3A22">
      <w:rPr>
        <w:rFonts w:ascii="Arial" w:hAnsi="Arial" w:cs="Arial"/>
        <w:b/>
        <w:color w:val="FF0000"/>
        <w:sz w:val="18"/>
        <w:szCs w:val="18"/>
      </w:rPr>
      <w:t xml:space="preserve"> </w:t>
    </w:r>
  </w:p>
  <w:p w:rsidR="00177654" w:rsidRDefault="0017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Default="00177654" w:rsidP="005411C0">
    <w:pPr>
      <w:pStyle w:val="Header"/>
      <w:jc w:val="center"/>
      <w:rPr>
        <w:rFonts w:ascii="Times New Roman" w:hAnsi="Times New Roman"/>
        <w:b/>
        <w:sz w:val="28"/>
        <w:szCs w:val="28"/>
      </w:rPr>
    </w:pPr>
    <w:r>
      <w:rPr>
        <w:rFonts w:ascii="Times New Roman" w:hAnsi="Times New Roman"/>
        <w:b/>
        <w:sz w:val="28"/>
        <w:szCs w:val="28"/>
      </w:rPr>
      <w:t>TABLE OF CONTENTS (</w:t>
    </w:r>
    <w:proofErr w:type="spellStart"/>
    <w:r>
      <w:rPr>
        <w:rFonts w:ascii="Times New Roman" w:hAnsi="Times New Roman"/>
        <w:b/>
        <w:sz w:val="28"/>
        <w:szCs w:val="28"/>
      </w:rPr>
      <w:t>con’td</w:t>
    </w:r>
    <w:proofErr w:type="spellEnd"/>
    <w:r>
      <w:rPr>
        <w:rFonts w:ascii="Times New Roman" w:hAnsi="Times New Roman"/>
        <w:b/>
        <w:sz w:val="28"/>
        <w:szCs w:val="28"/>
      </w:rPr>
      <w:t>)</w:t>
    </w:r>
  </w:p>
  <w:p w:rsidR="00177654" w:rsidRPr="005411C0" w:rsidRDefault="00177654" w:rsidP="005411C0">
    <w:pPr>
      <w:pStyle w:val="Header"/>
      <w:jc w:val="right"/>
      <w:rPr>
        <w:rFonts w:ascii="Times New Roman" w:hAnsi="Times New Roman"/>
        <w:b/>
        <w:sz w:val="28"/>
        <w:szCs w:val="28"/>
      </w:rPr>
    </w:pPr>
    <w:r>
      <w:rPr>
        <w:rFonts w:ascii="Times New Roman" w:hAnsi="Times New Roman"/>
        <w:b/>
        <w:sz w:val="28"/>
        <w:szCs w:val="28"/>
      </w:rPr>
      <w:t>Page</w:t>
    </w:r>
  </w:p>
  <w:p w:rsidR="00177654" w:rsidRPr="005411C0" w:rsidRDefault="00177654" w:rsidP="00541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Default="00177654" w:rsidP="005411C0">
    <w:pPr>
      <w:pStyle w:val="Header"/>
      <w:jc w:val="center"/>
      <w:rPr>
        <w:rFonts w:ascii="Times New Roman" w:hAnsi="Times New Roman"/>
        <w:b/>
        <w:sz w:val="28"/>
        <w:szCs w:val="28"/>
      </w:rPr>
    </w:pPr>
    <w:r>
      <w:rPr>
        <w:rFonts w:ascii="Times New Roman" w:hAnsi="Times New Roman"/>
        <w:b/>
        <w:sz w:val="28"/>
        <w:szCs w:val="28"/>
      </w:rPr>
      <w:t>TABLE OF CONTENTS</w:t>
    </w:r>
  </w:p>
  <w:p w:rsidR="00177654" w:rsidRPr="005411C0" w:rsidRDefault="00177654" w:rsidP="005411C0">
    <w:pPr>
      <w:pStyle w:val="Header"/>
      <w:jc w:val="right"/>
      <w:rPr>
        <w:rFonts w:ascii="Times New Roman" w:hAnsi="Times New Roman"/>
        <w:b/>
        <w:sz w:val="28"/>
        <w:szCs w:val="28"/>
      </w:rPr>
    </w:pPr>
    <w:r>
      <w:rPr>
        <w:rFonts w:ascii="Times New Roman" w:hAnsi="Times New Roman"/>
        <w:b/>
        <w:sz w:val="28"/>
        <w:szCs w:val="28"/>
      </w:rPr>
      <w:t>Page</w:t>
    </w:r>
  </w:p>
  <w:p w:rsidR="00177654" w:rsidRDefault="001776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5411C0" w:rsidRDefault="00177654" w:rsidP="005411C0">
    <w:pPr>
      <w:pStyle w:val="Header"/>
      <w:jc w:val="center"/>
      <w:rPr>
        <w:rFonts w:ascii="Times New Roman" w:hAnsi="Times New Roman"/>
        <w:b/>
        <w:sz w:val="32"/>
        <w:szCs w:val="32"/>
      </w:rPr>
    </w:pPr>
    <w:r w:rsidRPr="005411C0">
      <w:rPr>
        <w:rFonts w:ascii="Times New Roman" w:hAnsi="Times New Roman"/>
        <w:b/>
        <w:sz w:val="32"/>
        <w:szCs w:val="32"/>
      </w:rPr>
      <w:t>ACRONYM</w:t>
    </w:r>
  </w:p>
  <w:p w:rsidR="00177654" w:rsidRDefault="00177654" w:rsidP="005411C0">
    <w:pPr>
      <w:pStyle w:val="Header"/>
      <w:jc w:val="center"/>
      <w:rPr>
        <w:rFonts w:ascii="Times New Roman" w:hAnsi="Times New Roman"/>
        <w:b/>
        <w:sz w:val="28"/>
        <w:szCs w:val="28"/>
      </w:rPr>
    </w:pPr>
    <w:r>
      <w:rPr>
        <w:rFonts w:ascii="Times New Roman" w:hAnsi="Times New Roman"/>
        <w:b/>
        <w:sz w:val="28"/>
        <w:szCs w:val="28"/>
      </w:rPr>
      <w:t>TABLE OF CONTENTS (cont’d)</w:t>
    </w:r>
  </w:p>
  <w:p w:rsidR="00177654" w:rsidRPr="005411C0" w:rsidRDefault="00177654" w:rsidP="005411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5411C0" w:rsidRDefault="00177654" w:rsidP="005411C0">
    <w:pPr>
      <w:pStyle w:val="Header"/>
      <w:jc w:val="center"/>
      <w:rPr>
        <w:rFonts w:ascii="Times New Roman" w:hAnsi="Times New Roman"/>
        <w:b/>
        <w:sz w:val="32"/>
        <w:szCs w:val="32"/>
      </w:rPr>
    </w:pPr>
    <w:r w:rsidRPr="005411C0">
      <w:rPr>
        <w:rFonts w:ascii="Times New Roman" w:hAnsi="Times New Roman"/>
        <w:b/>
        <w:sz w:val="32"/>
        <w:szCs w:val="32"/>
      </w:rPr>
      <w:t>ACRONYM</w:t>
    </w:r>
  </w:p>
  <w:p w:rsidR="00177654" w:rsidRDefault="00177654" w:rsidP="005411C0">
    <w:pPr>
      <w:pStyle w:val="Header"/>
      <w:jc w:val="center"/>
      <w:rPr>
        <w:rFonts w:ascii="Times New Roman" w:hAnsi="Times New Roman"/>
        <w:b/>
        <w:sz w:val="28"/>
        <w:szCs w:val="28"/>
      </w:rPr>
    </w:pPr>
    <w:r>
      <w:rPr>
        <w:rFonts w:ascii="Times New Roman" w:hAnsi="Times New Roman"/>
        <w:b/>
        <w:sz w:val="28"/>
        <w:szCs w:val="28"/>
      </w:rPr>
      <w:t>TABLE OF CONTENTS</w:t>
    </w:r>
  </w:p>
  <w:p w:rsidR="00177654" w:rsidRDefault="00177654" w:rsidP="005411C0">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177654" w:rsidRDefault="00177654" w:rsidP="001776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4" w:rsidRPr="00177654" w:rsidRDefault="00177654" w:rsidP="0017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1AE"/>
    <w:multiLevelType w:val="hybridMultilevel"/>
    <w:tmpl w:val="79729562"/>
    <w:lvl w:ilvl="0" w:tplc="691AA34A">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054A18"/>
    <w:multiLevelType w:val="hybridMultilevel"/>
    <w:tmpl w:val="65528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06FF"/>
    <w:multiLevelType w:val="hybridMultilevel"/>
    <w:tmpl w:val="5B0E7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A1AEE"/>
    <w:multiLevelType w:val="hybridMultilevel"/>
    <w:tmpl w:val="E010571C"/>
    <w:lvl w:ilvl="0" w:tplc="2C22991C">
      <w:start w:val="1"/>
      <w:numFmt w:val="lowerRoman"/>
      <w:pStyle w:val="Headign4"/>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90B48"/>
    <w:multiLevelType w:val="hybridMultilevel"/>
    <w:tmpl w:val="7A1E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1875"/>
    <w:multiLevelType w:val="hybridMultilevel"/>
    <w:tmpl w:val="EA64B982"/>
    <w:lvl w:ilvl="0" w:tplc="4F7CC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D3545"/>
    <w:multiLevelType w:val="hybridMultilevel"/>
    <w:tmpl w:val="C34CC370"/>
    <w:lvl w:ilvl="0" w:tplc="3AAC53F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E2050"/>
    <w:multiLevelType w:val="hybridMultilevel"/>
    <w:tmpl w:val="157A2A24"/>
    <w:lvl w:ilvl="0" w:tplc="5E9E4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075931"/>
    <w:multiLevelType w:val="hybridMultilevel"/>
    <w:tmpl w:val="5E5A0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A5B43"/>
    <w:multiLevelType w:val="hybridMultilevel"/>
    <w:tmpl w:val="79309FF4"/>
    <w:lvl w:ilvl="0" w:tplc="072A3374">
      <w:start w:val="1"/>
      <w:numFmt w:val="lowerRoman"/>
      <w:lvlText w:val="%1."/>
      <w:lvlJc w:val="left"/>
      <w:pPr>
        <w:ind w:left="1800" w:hanging="72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287A6D"/>
    <w:multiLevelType w:val="hybridMultilevel"/>
    <w:tmpl w:val="7B7CD6D2"/>
    <w:lvl w:ilvl="0" w:tplc="586CA3C0">
      <w:start w:val="1"/>
      <w:numFmt w:val="upperLetter"/>
      <w:lvlText w:val="%1."/>
      <w:lvlJc w:val="left"/>
      <w:pPr>
        <w:ind w:left="9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A4D31B9"/>
    <w:multiLevelType w:val="hybridMultilevel"/>
    <w:tmpl w:val="A14A15AC"/>
    <w:lvl w:ilvl="0" w:tplc="ED3240AC">
      <w:start w:val="1"/>
      <w:numFmt w:val="lowerRoman"/>
      <w:pStyle w:val="Headnig4"/>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33429F"/>
    <w:multiLevelType w:val="hybridMultilevel"/>
    <w:tmpl w:val="143462F2"/>
    <w:lvl w:ilvl="0" w:tplc="0966E4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D03D36"/>
    <w:multiLevelType w:val="hybridMultilevel"/>
    <w:tmpl w:val="091A8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73511"/>
    <w:multiLevelType w:val="hybridMultilevel"/>
    <w:tmpl w:val="EAE60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91B2C"/>
    <w:multiLevelType w:val="hybridMultilevel"/>
    <w:tmpl w:val="F9AA792C"/>
    <w:lvl w:ilvl="0" w:tplc="537649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64215"/>
    <w:multiLevelType w:val="hybridMultilevel"/>
    <w:tmpl w:val="58309268"/>
    <w:lvl w:ilvl="0" w:tplc="4616509E">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59F4DAF"/>
    <w:multiLevelType w:val="hybridMultilevel"/>
    <w:tmpl w:val="B554F5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610AB"/>
    <w:multiLevelType w:val="hybridMultilevel"/>
    <w:tmpl w:val="86DC1BE4"/>
    <w:lvl w:ilvl="0" w:tplc="16DA044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7"/>
  </w:num>
  <w:num w:numId="5">
    <w:abstractNumId w:val="5"/>
  </w:num>
  <w:num w:numId="6">
    <w:abstractNumId w:val="1"/>
  </w:num>
  <w:num w:numId="7">
    <w:abstractNumId w:val="12"/>
  </w:num>
  <w:num w:numId="8">
    <w:abstractNumId w:val="13"/>
  </w:num>
  <w:num w:numId="9">
    <w:abstractNumId w:val="10"/>
  </w:num>
  <w:num w:numId="10">
    <w:abstractNumId w:val="11"/>
  </w:num>
  <w:num w:numId="11">
    <w:abstractNumId w:val="7"/>
  </w:num>
  <w:num w:numId="12">
    <w:abstractNumId w:val="8"/>
  </w:num>
  <w:num w:numId="13">
    <w:abstractNumId w:val="15"/>
  </w:num>
  <w:num w:numId="14">
    <w:abstractNumId w:val="9"/>
  </w:num>
  <w:num w:numId="15">
    <w:abstractNumId w:val="3"/>
  </w:num>
  <w:num w:numId="16">
    <w:abstractNumId w:val="4"/>
  </w:num>
  <w:num w:numId="17">
    <w:abstractNumId w:val="18"/>
  </w:num>
  <w:num w:numId="18">
    <w:abstractNumId w:val="0"/>
  </w:num>
  <w:num w:numId="19">
    <w:abstractNumId w:val="16"/>
  </w:num>
  <w:num w:numId="20">
    <w:abstractNumId w:val="0"/>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6"/>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6"/>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6"/>
    <w:lvlOverride w:ilvl="0">
      <w:startOverride w:val="1"/>
    </w:lvlOverride>
  </w:num>
  <w:num w:numId="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7A047B"/>
    <w:rsid w:val="00010401"/>
    <w:rsid w:val="000206C6"/>
    <w:rsid w:val="00020BEF"/>
    <w:rsid w:val="00033331"/>
    <w:rsid w:val="000605B2"/>
    <w:rsid w:val="000648E3"/>
    <w:rsid w:val="0006538B"/>
    <w:rsid w:val="00065702"/>
    <w:rsid w:val="000A55C0"/>
    <w:rsid w:val="000B1C1C"/>
    <w:rsid w:val="000B5E2F"/>
    <w:rsid w:val="000C6F41"/>
    <w:rsid w:val="000E0A40"/>
    <w:rsid w:val="000F2EDE"/>
    <w:rsid w:val="00100BE5"/>
    <w:rsid w:val="00113641"/>
    <w:rsid w:val="00117557"/>
    <w:rsid w:val="00123964"/>
    <w:rsid w:val="0012655B"/>
    <w:rsid w:val="0013418E"/>
    <w:rsid w:val="00136D4B"/>
    <w:rsid w:val="00150A81"/>
    <w:rsid w:val="00166AFE"/>
    <w:rsid w:val="00177654"/>
    <w:rsid w:val="00181AF6"/>
    <w:rsid w:val="001A2F10"/>
    <w:rsid w:val="001A3C62"/>
    <w:rsid w:val="001A5D70"/>
    <w:rsid w:val="001B4EBC"/>
    <w:rsid w:val="001B5BF3"/>
    <w:rsid w:val="001C54D8"/>
    <w:rsid w:val="001D43F2"/>
    <w:rsid w:val="001D4F84"/>
    <w:rsid w:val="001D739B"/>
    <w:rsid w:val="001E0949"/>
    <w:rsid w:val="001F57A3"/>
    <w:rsid w:val="0020061F"/>
    <w:rsid w:val="00202275"/>
    <w:rsid w:val="00203B53"/>
    <w:rsid w:val="00205597"/>
    <w:rsid w:val="0021034B"/>
    <w:rsid w:val="00217F26"/>
    <w:rsid w:val="00230362"/>
    <w:rsid w:val="002503F4"/>
    <w:rsid w:val="00250F88"/>
    <w:rsid w:val="0025669D"/>
    <w:rsid w:val="0027735A"/>
    <w:rsid w:val="00293CD7"/>
    <w:rsid w:val="00294FB2"/>
    <w:rsid w:val="002A061B"/>
    <w:rsid w:val="002B71BA"/>
    <w:rsid w:val="002C4D95"/>
    <w:rsid w:val="002D5831"/>
    <w:rsid w:val="002E17B8"/>
    <w:rsid w:val="002E363C"/>
    <w:rsid w:val="002F353C"/>
    <w:rsid w:val="002F7F64"/>
    <w:rsid w:val="0031302C"/>
    <w:rsid w:val="003136F2"/>
    <w:rsid w:val="003138D7"/>
    <w:rsid w:val="00317509"/>
    <w:rsid w:val="003225F4"/>
    <w:rsid w:val="0033485F"/>
    <w:rsid w:val="00353012"/>
    <w:rsid w:val="00370CBA"/>
    <w:rsid w:val="00371CC9"/>
    <w:rsid w:val="00372196"/>
    <w:rsid w:val="003744AC"/>
    <w:rsid w:val="00385E66"/>
    <w:rsid w:val="00392F62"/>
    <w:rsid w:val="003A4C30"/>
    <w:rsid w:val="003D0160"/>
    <w:rsid w:val="003D1E0B"/>
    <w:rsid w:val="003D4E42"/>
    <w:rsid w:val="003D4EE2"/>
    <w:rsid w:val="003D5974"/>
    <w:rsid w:val="003E18D4"/>
    <w:rsid w:val="003E53D1"/>
    <w:rsid w:val="003E6BB4"/>
    <w:rsid w:val="00422397"/>
    <w:rsid w:val="00437198"/>
    <w:rsid w:val="004378E4"/>
    <w:rsid w:val="00442675"/>
    <w:rsid w:val="00444F1F"/>
    <w:rsid w:val="00454AB7"/>
    <w:rsid w:val="00474422"/>
    <w:rsid w:val="004875BD"/>
    <w:rsid w:val="00490216"/>
    <w:rsid w:val="0049757C"/>
    <w:rsid w:val="004B5B10"/>
    <w:rsid w:val="004B6255"/>
    <w:rsid w:val="004D5151"/>
    <w:rsid w:val="00502CDA"/>
    <w:rsid w:val="00511CDD"/>
    <w:rsid w:val="005354E4"/>
    <w:rsid w:val="00535AFA"/>
    <w:rsid w:val="005411C0"/>
    <w:rsid w:val="005639DD"/>
    <w:rsid w:val="00570FB8"/>
    <w:rsid w:val="0057714D"/>
    <w:rsid w:val="0057754C"/>
    <w:rsid w:val="005821DB"/>
    <w:rsid w:val="005837C2"/>
    <w:rsid w:val="005840C4"/>
    <w:rsid w:val="00585569"/>
    <w:rsid w:val="00591F07"/>
    <w:rsid w:val="005B1466"/>
    <w:rsid w:val="005B3F1F"/>
    <w:rsid w:val="005C09B2"/>
    <w:rsid w:val="005C2907"/>
    <w:rsid w:val="005D1DA3"/>
    <w:rsid w:val="005E2A6B"/>
    <w:rsid w:val="005E6227"/>
    <w:rsid w:val="006105EB"/>
    <w:rsid w:val="00634931"/>
    <w:rsid w:val="00646FE3"/>
    <w:rsid w:val="00680F40"/>
    <w:rsid w:val="006A54F5"/>
    <w:rsid w:val="006C0533"/>
    <w:rsid w:val="006C0B7A"/>
    <w:rsid w:val="006E3AD8"/>
    <w:rsid w:val="006F16D7"/>
    <w:rsid w:val="006F4F3D"/>
    <w:rsid w:val="00700544"/>
    <w:rsid w:val="00735073"/>
    <w:rsid w:val="00743751"/>
    <w:rsid w:val="00744828"/>
    <w:rsid w:val="00763772"/>
    <w:rsid w:val="00782451"/>
    <w:rsid w:val="007838B2"/>
    <w:rsid w:val="00786021"/>
    <w:rsid w:val="00797C04"/>
    <w:rsid w:val="007A047B"/>
    <w:rsid w:val="007B46E0"/>
    <w:rsid w:val="007B5D21"/>
    <w:rsid w:val="007B7B1F"/>
    <w:rsid w:val="007C1170"/>
    <w:rsid w:val="007E2C67"/>
    <w:rsid w:val="007E49F1"/>
    <w:rsid w:val="007E634A"/>
    <w:rsid w:val="007E67B7"/>
    <w:rsid w:val="007F0C65"/>
    <w:rsid w:val="007F7DAB"/>
    <w:rsid w:val="00810B43"/>
    <w:rsid w:val="00810C12"/>
    <w:rsid w:val="00811BCF"/>
    <w:rsid w:val="0082161F"/>
    <w:rsid w:val="00826E9A"/>
    <w:rsid w:val="00827216"/>
    <w:rsid w:val="00841D47"/>
    <w:rsid w:val="00850F38"/>
    <w:rsid w:val="008531AC"/>
    <w:rsid w:val="00853447"/>
    <w:rsid w:val="00860C89"/>
    <w:rsid w:val="00861643"/>
    <w:rsid w:val="0087597C"/>
    <w:rsid w:val="00891BDB"/>
    <w:rsid w:val="00897D88"/>
    <w:rsid w:val="008B3D4A"/>
    <w:rsid w:val="008E31B6"/>
    <w:rsid w:val="008E60DB"/>
    <w:rsid w:val="008F70CE"/>
    <w:rsid w:val="00905D9A"/>
    <w:rsid w:val="00915341"/>
    <w:rsid w:val="0092079A"/>
    <w:rsid w:val="00930230"/>
    <w:rsid w:val="00946FBF"/>
    <w:rsid w:val="00961989"/>
    <w:rsid w:val="009649BF"/>
    <w:rsid w:val="00977319"/>
    <w:rsid w:val="009974C8"/>
    <w:rsid w:val="009B2462"/>
    <w:rsid w:val="009C377D"/>
    <w:rsid w:val="009E7B98"/>
    <w:rsid w:val="009F1711"/>
    <w:rsid w:val="009F4153"/>
    <w:rsid w:val="00A00295"/>
    <w:rsid w:val="00A13E02"/>
    <w:rsid w:val="00A1453A"/>
    <w:rsid w:val="00A21141"/>
    <w:rsid w:val="00A21B0D"/>
    <w:rsid w:val="00A3057C"/>
    <w:rsid w:val="00A32868"/>
    <w:rsid w:val="00A453AD"/>
    <w:rsid w:val="00A45C60"/>
    <w:rsid w:val="00A47DF8"/>
    <w:rsid w:val="00AF48BC"/>
    <w:rsid w:val="00AF50F2"/>
    <w:rsid w:val="00AF6248"/>
    <w:rsid w:val="00B21DB8"/>
    <w:rsid w:val="00B30715"/>
    <w:rsid w:val="00B352DA"/>
    <w:rsid w:val="00B43D53"/>
    <w:rsid w:val="00B46008"/>
    <w:rsid w:val="00B5043D"/>
    <w:rsid w:val="00B573E4"/>
    <w:rsid w:val="00B6674B"/>
    <w:rsid w:val="00B96048"/>
    <w:rsid w:val="00BA33B5"/>
    <w:rsid w:val="00BB7CE1"/>
    <w:rsid w:val="00BC38A3"/>
    <w:rsid w:val="00BC3FC7"/>
    <w:rsid w:val="00BC54F2"/>
    <w:rsid w:val="00BD77B7"/>
    <w:rsid w:val="00BE0933"/>
    <w:rsid w:val="00BE16F8"/>
    <w:rsid w:val="00BF203F"/>
    <w:rsid w:val="00BF4733"/>
    <w:rsid w:val="00C33583"/>
    <w:rsid w:val="00C4083B"/>
    <w:rsid w:val="00C43900"/>
    <w:rsid w:val="00C5554A"/>
    <w:rsid w:val="00C6554F"/>
    <w:rsid w:val="00C80D68"/>
    <w:rsid w:val="00C96BC8"/>
    <w:rsid w:val="00CB6632"/>
    <w:rsid w:val="00CC09E8"/>
    <w:rsid w:val="00CE7DE2"/>
    <w:rsid w:val="00CF2DD0"/>
    <w:rsid w:val="00CF4217"/>
    <w:rsid w:val="00CF4AC4"/>
    <w:rsid w:val="00D036AF"/>
    <w:rsid w:val="00D0580D"/>
    <w:rsid w:val="00D10EAC"/>
    <w:rsid w:val="00D11B88"/>
    <w:rsid w:val="00D134EA"/>
    <w:rsid w:val="00D269A1"/>
    <w:rsid w:val="00D27140"/>
    <w:rsid w:val="00D45262"/>
    <w:rsid w:val="00D46B15"/>
    <w:rsid w:val="00D619A2"/>
    <w:rsid w:val="00D61D57"/>
    <w:rsid w:val="00D62F57"/>
    <w:rsid w:val="00D72180"/>
    <w:rsid w:val="00D72D84"/>
    <w:rsid w:val="00D84413"/>
    <w:rsid w:val="00DA2A44"/>
    <w:rsid w:val="00DA2FAD"/>
    <w:rsid w:val="00DC6DC2"/>
    <w:rsid w:val="00DD5452"/>
    <w:rsid w:val="00DF4C01"/>
    <w:rsid w:val="00E124C0"/>
    <w:rsid w:val="00E34034"/>
    <w:rsid w:val="00E43CAD"/>
    <w:rsid w:val="00E53FF1"/>
    <w:rsid w:val="00E64838"/>
    <w:rsid w:val="00E70941"/>
    <w:rsid w:val="00E87537"/>
    <w:rsid w:val="00E93B37"/>
    <w:rsid w:val="00E947D7"/>
    <w:rsid w:val="00E970C8"/>
    <w:rsid w:val="00EA3A62"/>
    <w:rsid w:val="00EA6AC4"/>
    <w:rsid w:val="00EB65D1"/>
    <w:rsid w:val="00ED19A2"/>
    <w:rsid w:val="00ED2629"/>
    <w:rsid w:val="00ED3D1A"/>
    <w:rsid w:val="00ED556C"/>
    <w:rsid w:val="00EE6A3E"/>
    <w:rsid w:val="00F01248"/>
    <w:rsid w:val="00F1398B"/>
    <w:rsid w:val="00F1451E"/>
    <w:rsid w:val="00F1493B"/>
    <w:rsid w:val="00F20414"/>
    <w:rsid w:val="00F23DCE"/>
    <w:rsid w:val="00F23E40"/>
    <w:rsid w:val="00F251CC"/>
    <w:rsid w:val="00F57E96"/>
    <w:rsid w:val="00F64218"/>
    <w:rsid w:val="00F7169C"/>
    <w:rsid w:val="00F73BD7"/>
    <w:rsid w:val="00F83606"/>
    <w:rsid w:val="00F83AED"/>
    <w:rsid w:val="00F907DB"/>
    <w:rsid w:val="00F92167"/>
    <w:rsid w:val="00FA3F69"/>
    <w:rsid w:val="00FA6608"/>
    <w:rsid w:val="00FA6F71"/>
    <w:rsid w:val="00FB0E2C"/>
    <w:rsid w:val="00FB69E8"/>
    <w:rsid w:val="00FC0358"/>
    <w:rsid w:val="00FC2AEE"/>
    <w:rsid w:val="00FD26FA"/>
    <w:rsid w:val="00FD6B36"/>
    <w:rsid w:val="00FD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7B"/>
    <w:rPr>
      <w:rFonts w:ascii="Calibri" w:eastAsia="Times New Roman" w:hAnsi="Calibri" w:cs="Times New Roman"/>
    </w:rPr>
  </w:style>
  <w:style w:type="paragraph" w:styleId="Heading1">
    <w:name w:val="heading 1"/>
    <w:basedOn w:val="Normal"/>
    <w:next w:val="Normal"/>
    <w:link w:val="Heading1Char"/>
    <w:autoRedefine/>
    <w:uiPriority w:val="9"/>
    <w:qFormat/>
    <w:rsid w:val="007A047B"/>
    <w:pPr>
      <w:keepNext/>
      <w:spacing w:before="360" w:after="240" w:line="240"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FC0358"/>
    <w:pPr>
      <w:keepNext/>
      <w:keepLines/>
      <w:spacing w:before="360" w:after="240" w:line="240" w:lineRule="auto"/>
      <w:ind w:left="72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FC0358"/>
    <w:pPr>
      <w:keepNext/>
      <w:keepLines/>
      <w:spacing w:before="360" w:after="240" w:line="240" w:lineRule="auto"/>
      <w:ind w:left="1440" w:right="720" w:hanging="720"/>
      <w:jc w:val="both"/>
      <w:outlineLvl w:val="2"/>
    </w:pPr>
    <w:rPr>
      <w:rFonts w:ascii="Times New Roman" w:eastAsiaTheme="majorEastAsia" w:hAnsi="Times New Roman" w:cstheme="majorBidi"/>
      <w:b/>
      <w:bCs/>
      <w:sz w:val="26"/>
    </w:rPr>
  </w:style>
  <w:style w:type="paragraph" w:styleId="Heading4">
    <w:name w:val="heading 4"/>
    <w:basedOn w:val="Normal"/>
    <w:next w:val="Normal"/>
    <w:link w:val="Heading4Char"/>
    <w:autoRedefine/>
    <w:uiPriority w:val="9"/>
    <w:unhideWhenUsed/>
    <w:qFormat/>
    <w:rsid w:val="00490216"/>
    <w:pPr>
      <w:keepNext/>
      <w:keepLines/>
      <w:spacing w:before="360" w:after="240" w:line="240" w:lineRule="auto"/>
      <w:ind w:left="2160" w:right="1440" w:hanging="72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47B"/>
    <w:rPr>
      <w:rFonts w:ascii="Times New Roman" w:eastAsia="Times New Roman" w:hAnsi="Times New Roman" w:cs="Times New Roman"/>
      <w:b/>
      <w:bCs/>
      <w:kern w:val="32"/>
      <w:sz w:val="28"/>
      <w:szCs w:val="32"/>
    </w:rPr>
  </w:style>
  <w:style w:type="paragraph" w:styleId="FootnoteText">
    <w:name w:val="footnote text"/>
    <w:basedOn w:val="Normal"/>
    <w:link w:val="FootnoteTextChar"/>
    <w:autoRedefine/>
    <w:uiPriority w:val="99"/>
    <w:unhideWhenUsed/>
    <w:rsid w:val="00113641"/>
    <w:pPr>
      <w:spacing w:after="240" w:line="240" w:lineRule="auto"/>
      <w:ind w:left="720" w:hanging="720"/>
      <w:jc w:val="both"/>
    </w:pPr>
    <w:rPr>
      <w:rFonts w:ascii="Times New Roman" w:hAnsi="Times New Roman"/>
      <w:sz w:val="24"/>
      <w:szCs w:val="20"/>
    </w:rPr>
  </w:style>
  <w:style w:type="character" w:customStyle="1" w:styleId="FootnoteTextChar">
    <w:name w:val="Footnote Text Char"/>
    <w:basedOn w:val="DefaultParagraphFont"/>
    <w:link w:val="FootnoteText"/>
    <w:uiPriority w:val="99"/>
    <w:rsid w:val="00113641"/>
    <w:rPr>
      <w:rFonts w:ascii="Times New Roman" w:eastAsia="Times New Roman" w:hAnsi="Times New Roman" w:cs="Times New Roman"/>
      <w:sz w:val="24"/>
      <w:szCs w:val="20"/>
    </w:rPr>
  </w:style>
  <w:style w:type="character" w:styleId="FootnoteReference">
    <w:name w:val="footnote reference"/>
    <w:uiPriority w:val="99"/>
    <w:semiHidden/>
    <w:unhideWhenUsed/>
    <w:rsid w:val="007A047B"/>
    <w:rPr>
      <w:vertAlign w:val="superscript"/>
    </w:rPr>
  </w:style>
  <w:style w:type="paragraph" w:styleId="ListParagraph">
    <w:name w:val="List Paragraph"/>
    <w:basedOn w:val="Normal"/>
    <w:uiPriority w:val="34"/>
    <w:qFormat/>
    <w:rsid w:val="009C377D"/>
    <w:pPr>
      <w:ind w:left="720"/>
      <w:contextualSpacing/>
    </w:pPr>
  </w:style>
  <w:style w:type="paragraph" w:styleId="BalloonText">
    <w:name w:val="Balloon Text"/>
    <w:basedOn w:val="Normal"/>
    <w:link w:val="BalloonTextChar"/>
    <w:uiPriority w:val="99"/>
    <w:semiHidden/>
    <w:unhideWhenUsed/>
    <w:rsid w:val="009C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3CAD"/>
    <w:rPr>
      <w:sz w:val="16"/>
      <w:szCs w:val="16"/>
    </w:rPr>
  </w:style>
  <w:style w:type="paragraph" w:styleId="CommentText">
    <w:name w:val="annotation text"/>
    <w:basedOn w:val="Normal"/>
    <w:link w:val="CommentTextChar"/>
    <w:uiPriority w:val="99"/>
    <w:semiHidden/>
    <w:unhideWhenUsed/>
    <w:rsid w:val="00E43CAD"/>
    <w:pPr>
      <w:spacing w:line="240" w:lineRule="auto"/>
    </w:pPr>
    <w:rPr>
      <w:sz w:val="20"/>
      <w:szCs w:val="20"/>
    </w:rPr>
  </w:style>
  <w:style w:type="character" w:customStyle="1" w:styleId="CommentTextChar">
    <w:name w:val="Comment Text Char"/>
    <w:basedOn w:val="DefaultParagraphFont"/>
    <w:link w:val="CommentText"/>
    <w:uiPriority w:val="99"/>
    <w:semiHidden/>
    <w:rsid w:val="00E43C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3CAD"/>
    <w:rPr>
      <w:b/>
      <w:bCs/>
    </w:rPr>
  </w:style>
  <w:style w:type="character" w:customStyle="1" w:styleId="CommentSubjectChar">
    <w:name w:val="Comment Subject Char"/>
    <w:basedOn w:val="CommentTextChar"/>
    <w:link w:val="CommentSubject"/>
    <w:uiPriority w:val="99"/>
    <w:semiHidden/>
    <w:rsid w:val="00E43CAD"/>
    <w:rPr>
      <w:rFonts w:ascii="Calibri" w:eastAsia="Times New Roman" w:hAnsi="Calibri" w:cs="Times New Roman"/>
      <w:b/>
      <w:bCs/>
      <w:sz w:val="20"/>
      <w:szCs w:val="20"/>
    </w:rPr>
  </w:style>
  <w:style w:type="paragraph" w:styleId="Header">
    <w:name w:val="header"/>
    <w:basedOn w:val="Normal"/>
    <w:link w:val="HeaderChar"/>
    <w:uiPriority w:val="99"/>
    <w:unhideWhenUsed/>
    <w:rsid w:val="0037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BA"/>
    <w:rPr>
      <w:rFonts w:ascii="Calibri" w:eastAsia="Times New Roman" w:hAnsi="Calibri" w:cs="Times New Roman"/>
    </w:rPr>
  </w:style>
  <w:style w:type="paragraph" w:styleId="Footer">
    <w:name w:val="footer"/>
    <w:basedOn w:val="Normal"/>
    <w:link w:val="FooterChar"/>
    <w:uiPriority w:val="99"/>
    <w:unhideWhenUsed/>
    <w:rsid w:val="0037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BA"/>
    <w:rPr>
      <w:rFonts w:ascii="Calibri" w:eastAsia="Times New Roman" w:hAnsi="Calibri" w:cs="Times New Roman"/>
    </w:rPr>
  </w:style>
  <w:style w:type="character" w:styleId="Hyperlink">
    <w:name w:val="Hyperlink"/>
    <w:basedOn w:val="DefaultParagraphFont"/>
    <w:uiPriority w:val="99"/>
    <w:unhideWhenUsed/>
    <w:rsid w:val="00294FB2"/>
    <w:rPr>
      <w:color w:val="0000FF"/>
      <w:u w:val="single"/>
    </w:rPr>
  </w:style>
  <w:style w:type="paragraph" w:customStyle="1" w:styleId="Textstyle">
    <w:name w:val="Text style"/>
    <w:basedOn w:val="Normal"/>
    <w:rsid w:val="0031302C"/>
    <w:pPr>
      <w:spacing w:after="0" w:line="480" w:lineRule="auto"/>
      <w:jc w:val="both"/>
    </w:pPr>
    <w:rPr>
      <w:rFonts w:ascii="Times New Roman" w:hAnsi="Times New Roman"/>
      <w:sz w:val="26"/>
      <w:szCs w:val="26"/>
    </w:rPr>
  </w:style>
  <w:style w:type="character" w:customStyle="1" w:styleId="Heading2Char">
    <w:name w:val="Heading 2 Char"/>
    <w:basedOn w:val="DefaultParagraphFont"/>
    <w:link w:val="Heading2"/>
    <w:uiPriority w:val="9"/>
    <w:rsid w:val="00FC035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C0358"/>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490216"/>
    <w:rPr>
      <w:rFonts w:ascii="Times New Roman" w:eastAsiaTheme="majorEastAsia" w:hAnsi="Times New Roman" w:cstheme="majorBidi"/>
      <w:b/>
      <w:bCs/>
      <w:iCs/>
      <w:sz w:val="26"/>
    </w:rPr>
  </w:style>
  <w:style w:type="paragraph" w:customStyle="1" w:styleId="Texc">
    <w:name w:val="Texc"/>
    <w:basedOn w:val="Normal"/>
    <w:rsid w:val="00113641"/>
    <w:pPr>
      <w:spacing w:after="0" w:line="480" w:lineRule="auto"/>
      <w:ind w:firstLine="720"/>
      <w:jc w:val="both"/>
    </w:pPr>
    <w:rPr>
      <w:rFonts w:ascii="Times New Roman" w:hAnsi="Times New Roman"/>
      <w:sz w:val="26"/>
      <w:szCs w:val="26"/>
    </w:rPr>
  </w:style>
  <w:style w:type="paragraph" w:customStyle="1" w:styleId="Headign4">
    <w:name w:val="Headign 4"/>
    <w:basedOn w:val="Normal"/>
    <w:rsid w:val="002D5831"/>
    <w:pPr>
      <w:numPr>
        <w:numId w:val="15"/>
      </w:numPr>
      <w:spacing w:after="0" w:line="480" w:lineRule="auto"/>
      <w:jc w:val="both"/>
    </w:pPr>
    <w:rPr>
      <w:rFonts w:ascii="Times New Roman" w:hAnsi="Times New Roman"/>
      <w:b/>
      <w:sz w:val="26"/>
      <w:szCs w:val="26"/>
    </w:rPr>
  </w:style>
  <w:style w:type="paragraph" w:customStyle="1" w:styleId="Headign2">
    <w:name w:val="Headign 2"/>
    <w:basedOn w:val="Normal"/>
    <w:rsid w:val="002D5831"/>
    <w:pPr>
      <w:spacing w:after="0" w:line="480" w:lineRule="auto"/>
      <w:jc w:val="both"/>
    </w:pPr>
    <w:rPr>
      <w:rFonts w:ascii="Times New Roman" w:hAnsi="Times New Roman"/>
      <w:b/>
      <w:sz w:val="26"/>
      <w:szCs w:val="26"/>
    </w:rPr>
  </w:style>
  <w:style w:type="paragraph" w:customStyle="1" w:styleId="Blockquote">
    <w:name w:val="Block quote"/>
    <w:basedOn w:val="Normal"/>
    <w:autoRedefine/>
    <w:rsid w:val="00F251CC"/>
    <w:pPr>
      <w:tabs>
        <w:tab w:val="left" w:pos="1440"/>
      </w:tabs>
      <w:spacing w:after="240" w:line="240" w:lineRule="auto"/>
      <w:ind w:left="1440" w:right="1440"/>
      <w:jc w:val="both"/>
    </w:pPr>
    <w:rPr>
      <w:rFonts w:ascii="Times New Roman" w:hAnsi="Times New Roman"/>
      <w:sz w:val="26"/>
      <w:szCs w:val="26"/>
    </w:rPr>
  </w:style>
  <w:style w:type="paragraph" w:customStyle="1" w:styleId="Headnig4">
    <w:name w:val="Headnig 4"/>
    <w:basedOn w:val="Normal"/>
    <w:rsid w:val="00F251CC"/>
    <w:pPr>
      <w:numPr>
        <w:numId w:val="10"/>
      </w:numPr>
      <w:autoSpaceDE w:val="0"/>
      <w:autoSpaceDN w:val="0"/>
      <w:adjustRightInd w:val="0"/>
      <w:spacing w:after="0" w:line="480" w:lineRule="auto"/>
      <w:ind w:left="1440"/>
      <w:jc w:val="both"/>
    </w:pPr>
    <w:rPr>
      <w:rFonts w:ascii="Times New Roman" w:hAnsi="Times New Roman"/>
      <w:b/>
      <w:sz w:val="26"/>
      <w:szCs w:val="26"/>
    </w:rPr>
  </w:style>
  <w:style w:type="paragraph" w:styleId="TOC1">
    <w:name w:val="toc 1"/>
    <w:basedOn w:val="Normal"/>
    <w:next w:val="Normal"/>
    <w:autoRedefine/>
    <w:uiPriority w:val="39"/>
    <w:unhideWhenUsed/>
    <w:rsid w:val="008B3D4A"/>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7F0C65"/>
    <w:pPr>
      <w:tabs>
        <w:tab w:val="left" w:pos="1440"/>
        <w:tab w:val="right" w:leader="dot" w:pos="9350"/>
      </w:tabs>
      <w:spacing w:before="240" w:after="240" w:line="240" w:lineRule="auto"/>
      <w:ind w:left="1440" w:right="720" w:hanging="720"/>
    </w:pPr>
    <w:rPr>
      <w:rFonts w:ascii="Times New Roman" w:hAnsi="Times New Roman"/>
      <w:sz w:val="26"/>
    </w:rPr>
  </w:style>
  <w:style w:type="paragraph" w:styleId="TOC3">
    <w:name w:val="toc 3"/>
    <w:basedOn w:val="Normal"/>
    <w:next w:val="Normal"/>
    <w:autoRedefine/>
    <w:uiPriority w:val="39"/>
    <w:unhideWhenUsed/>
    <w:rsid w:val="00535AFA"/>
    <w:pPr>
      <w:tabs>
        <w:tab w:val="left" w:pos="2160"/>
        <w:tab w:val="right" w:leader="dot" w:pos="9350"/>
      </w:tabs>
      <w:spacing w:before="240" w:after="240" w:line="240" w:lineRule="auto"/>
      <w:ind w:left="2160" w:right="1440" w:hanging="720"/>
    </w:pPr>
    <w:rPr>
      <w:rFonts w:ascii="Times New Roman" w:hAnsi="Times New Roman"/>
      <w:sz w:val="26"/>
    </w:rPr>
  </w:style>
  <w:style w:type="paragraph" w:styleId="TOC4">
    <w:name w:val="toc 4"/>
    <w:basedOn w:val="Normal"/>
    <w:next w:val="Normal"/>
    <w:autoRedefine/>
    <w:uiPriority w:val="39"/>
    <w:unhideWhenUsed/>
    <w:rsid w:val="008B3D4A"/>
    <w:pPr>
      <w:tabs>
        <w:tab w:val="right" w:leader="dot" w:pos="9350"/>
      </w:tabs>
      <w:spacing w:before="240" w:after="240" w:line="240" w:lineRule="auto"/>
      <w:ind w:left="2880" w:right="1440" w:hanging="720"/>
      <w:jc w:val="both"/>
    </w:pPr>
    <w:rPr>
      <w:rFonts w:ascii="Times New Roman" w:hAnsi="Times New Roman"/>
      <w:sz w:val="26"/>
    </w:rPr>
  </w:style>
  <w:style w:type="paragraph" w:styleId="Revision">
    <w:name w:val="Revision"/>
    <w:hidden/>
    <w:uiPriority w:val="99"/>
    <w:semiHidden/>
    <w:rsid w:val="00123964"/>
    <w:pPr>
      <w:spacing w:after="0" w:line="240" w:lineRule="auto"/>
    </w:pPr>
    <w:rPr>
      <w:rFonts w:ascii="Calibri" w:eastAsia="Times New Roman" w:hAnsi="Calibri" w:cs="Times New Roman"/>
    </w:rPr>
  </w:style>
  <w:style w:type="paragraph" w:styleId="EndnoteText">
    <w:name w:val="endnote text"/>
    <w:basedOn w:val="Normal"/>
    <w:link w:val="EndnoteTextChar"/>
    <w:uiPriority w:val="99"/>
    <w:semiHidden/>
    <w:unhideWhenUsed/>
    <w:rsid w:val="00371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CC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371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william.wright@puc.state.oh.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markey.house.gov/index.php?option=com_content&amp;task=view&amp;id=2825&amp;Item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8E6-86AB-4E1B-B183-688057C1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15664</Words>
  <Characters>89289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104744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6</cp:revision>
  <cp:lastPrinted>2011-04-18T16:23:00Z</cp:lastPrinted>
  <dcterms:created xsi:type="dcterms:W3CDTF">2011-04-18T16:13:00Z</dcterms:created>
  <dcterms:modified xsi:type="dcterms:W3CDTF">2011-04-18T16:23:00Z</dcterms:modified>
</cp:coreProperties>
</file>