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38" w:rsidRPr="00A7466C" w:rsidRDefault="00483038" w:rsidP="00483038">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UNITED STATES OF AMERICA</w:t>
      </w:r>
    </w:p>
    <w:p w:rsidR="00483038" w:rsidRPr="00A7466C" w:rsidRDefault="00483038" w:rsidP="00483038">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BEFORE THE</w:t>
      </w:r>
    </w:p>
    <w:p w:rsidR="00483038" w:rsidRPr="00A7466C" w:rsidRDefault="00483038" w:rsidP="00483038">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FEDERAL ENERGY REGULATORY COMMISSION</w:t>
      </w:r>
    </w:p>
    <w:p w:rsidR="00483038" w:rsidRPr="00A7466C" w:rsidRDefault="00483038" w:rsidP="00483038">
      <w:pPr>
        <w:spacing w:after="0" w:line="240" w:lineRule="auto"/>
        <w:jc w:val="center"/>
        <w:rPr>
          <w:rFonts w:ascii="Times New Roman" w:eastAsia="Times New Roman" w:hAnsi="Times New Roman" w:cs="Times New Roman"/>
          <w:sz w:val="26"/>
          <w:szCs w:val="26"/>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45"/>
        <w:gridCol w:w="4311"/>
      </w:tblGrid>
      <w:tr w:rsidR="00483038" w:rsidTr="00EC0EC1">
        <w:tc>
          <w:tcPr>
            <w:tcW w:w="4698" w:type="dxa"/>
          </w:tcPr>
          <w:p w:rsidR="00483038" w:rsidRDefault="00483038" w:rsidP="00EC0EC1">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tc>
        <w:tc>
          <w:tcPr>
            <w:tcW w:w="450" w:type="dxa"/>
          </w:tcPr>
          <w:p w:rsidR="00483038" w:rsidRDefault="00483038" w:rsidP="00EC0EC1">
            <w:pPr>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w:t>
            </w:r>
          </w:p>
        </w:tc>
        <w:tc>
          <w:tcPr>
            <w:tcW w:w="4428" w:type="dxa"/>
          </w:tcPr>
          <w:p w:rsidR="00483038" w:rsidRDefault="00483038" w:rsidP="00EC0EC1">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Docket No. ER15-852-000</w:t>
            </w:r>
          </w:p>
        </w:tc>
      </w:tr>
    </w:tbl>
    <w:p w:rsidR="00483038" w:rsidRPr="00A7466C" w:rsidRDefault="00483038" w:rsidP="00483038">
      <w:pPr>
        <w:spacing w:after="0" w:line="240" w:lineRule="auto"/>
        <w:jc w:val="center"/>
        <w:rPr>
          <w:rFonts w:ascii="Times New Roman" w:eastAsia="Times New Roman" w:hAnsi="Times New Roman" w:cs="Times New Roman"/>
          <w:sz w:val="26"/>
          <w:szCs w:val="26"/>
          <w:lang w:bidi="en-US"/>
        </w:rPr>
      </w:pPr>
    </w:p>
    <w:p w:rsidR="00483038" w:rsidRDefault="00483038" w:rsidP="00483038">
      <w:pPr>
        <w:spacing w:after="0" w:line="240" w:lineRule="auto"/>
        <w:jc w:val="center"/>
        <w:rPr>
          <w:rFonts w:ascii="Times New Roman" w:eastAsia="Times New Roman" w:hAnsi="Times New Roman" w:cs="Times New Roman"/>
          <w:sz w:val="26"/>
          <w:szCs w:val="26"/>
          <w:lang w:bidi="en-US"/>
        </w:rPr>
      </w:pPr>
    </w:p>
    <w:p w:rsidR="00483038" w:rsidRDefault="00483038" w:rsidP="00483038">
      <w:pPr>
        <w:spacing w:after="0" w:line="240" w:lineRule="auto"/>
        <w:jc w:val="center"/>
        <w:rPr>
          <w:rFonts w:ascii="Times New Roman" w:eastAsia="Times New Roman" w:hAnsi="Times New Roman" w:cs="Times New Roman"/>
          <w:sz w:val="26"/>
          <w:szCs w:val="26"/>
          <w:lang w:bidi="en-US"/>
        </w:rPr>
      </w:pPr>
    </w:p>
    <w:p w:rsidR="00483038" w:rsidRDefault="00483038" w:rsidP="00483038">
      <w:pPr>
        <w:spacing w:after="0" w:line="240" w:lineRule="auto"/>
        <w:jc w:val="center"/>
        <w:rPr>
          <w:rFonts w:ascii="Times New Roman" w:eastAsia="Times New Roman" w:hAnsi="Times New Roman" w:cs="Times New Roman"/>
          <w:sz w:val="26"/>
          <w:szCs w:val="26"/>
          <w:lang w:bidi="en-US"/>
        </w:rPr>
      </w:pPr>
    </w:p>
    <w:p w:rsidR="00483038" w:rsidRDefault="00483038" w:rsidP="00483038">
      <w:pPr>
        <w:spacing w:after="0" w:line="240" w:lineRule="auto"/>
        <w:jc w:val="center"/>
        <w:rPr>
          <w:rFonts w:ascii="Times New Roman" w:eastAsia="Times New Roman" w:hAnsi="Times New Roman" w:cs="Times New Roman"/>
          <w:sz w:val="26"/>
          <w:szCs w:val="26"/>
          <w:lang w:bidi="en-US"/>
        </w:rPr>
      </w:pPr>
    </w:p>
    <w:p w:rsidR="00483038" w:rsidRDefault="00483038" w:rsidP="00483038">
      <w:pPr>
        <w:spacing w:after="0" w:line="240" w:lineRule="auto"/>
        <w:jc w:val="center"/>
        <w:rPr>
          <w:rFonts w:ascii="Times New Roman" w:eastAsia="Times New Roman" w:hAnsi="Times New Roman" w:cs="Times New Roman"/>
          <w:sz w:val="26"/>
          <w:szCs w:val="26"/>
          <w:lang w:bidi="en-US"/>
        </w:rPr>
      </w:pPr>
    </w:p>
    <w:p w:rsidR="00483038" w:rsidRDefault="00483038" w:rsidP="00483038">
      <w:pPr>
        <w:spacing w:after="0" w:line="240" w:lineRule="auto"/>
        <w:jc w:val="center"/>
        <w:rPr>
          <w:rFonts w:ascii="Times New Roman" w:eastAsia="Times New Roman" w:hAnsi="Times New Roman" w:cs="Times New Roman"/>
          <w:sz w:val="26"/>
          <w:szCs w:val="26"/>
          <w:lang w:bidi="en-US"/>
        </w:rPr>
      </w:pPr>
    </w:p>
    <w:p w:rsidR="00483038" w:rsidRDefault="00483038" w:rsidP="00483038">
      <w:pPr>
        <w:spacing w:after="0" w:line="240" w:lineRule="auto"/>
        <w:jc w:val="center"/>
        <w:rPr>
          <w:rFonts w:ascii="Times New Roman" w:eastAsia="Times New Roman" w:hAnsi="Times New Roman" w:cs="Times New Roman"/>
          <w:sz w:val="26"/>
          <w:szCs w:val="26"/>
          <w:lang w:bidi="en-US"/>
        </w:rPr>
      </w:pPr>
    </w:p>
    <w:p w:rsidR="00483038" w:rsidRPr="00A7466C" w:rsidRDefault="00483038" w:rsidP="00483038">
      <w:pPr>
        <w:spacing w:after="0" w:line="240" w:lineRule="auto"/>
        <w:jc w:val="center"/>
        <w:rPr>
          <w:rFonts w:ascii="Times New Roman" w:eastAsia="Times New Roman" w:hAnsi="Times New Roman" w:cs="Times New Roman"/>
          <w:sz w:val="26"/>
          <w:szCs w:val="26"/>
          <w:lang w:bidi="en-US"/>
        </w:rPr>
      </w:pPr>
    </w:p>
    <w:p w:rsidR="00483038" w:rsidRPr="00A7466C" w:rsidRDefault="00483038" w:rsidP="00483038">
      <w:pPr>
        <w:spacing w:after="0" w:line="240" w:lineRule="auto"/>
        <w:jc w:val="both"/>
        <w:rPr>
          <w:rFonts w:ascii="Times New Roman" w:eastAsia="Times New Roman" w:hAnsi="Times New Roman" w:cs="Times New Roman"/>
          <w:sz w:val="26"/>
          <w:szCs w:val="26"/>
          <w:lang w:bidi="en-US"/>
        </w:rPr>
      </w:pPr>
    </w:p>
    <w:p w:rsidR="00483038" w:rsidRPr="00A7466C" w:rsidRDefault="00D93478" w:rsidP="00483038">
      <w:pPr>
        <w:tabs>
          <w:tab w:val="left" w:pos="720"/>
          <w:tab w:val="left" w:pos="1440"/>
          <w:tab w:val="left" w:pos="2880"/>
          <w:tab w:val="left" w:pos="4320"/>
          <w:tab w:val="left" w:pos="5040"/>
          <w:tab w:val="left" w:pos="5760"/>
          <w:tab w:val="left" w:pos="6480"/>
          <w:tab w:val="left" w:pos="7200"/>
        </w:tabs>
        <w:spacing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std="t" o:hrnoshade="t" o:hr="t" fillcolor="black" stroked="f"/>
        </w:pict>
      </w:r>
    </w:p>
    <w:p w:rsidR="00483038" w:rsidRPr="00A7466C" w:rsidRDefault="00483038" w:rsidP="00483038">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Pr>
          <w:rFonts w:ascii="Times New Roman" w:eastAsia="Times New Roman" w:hAnsi="Times New Roman" w:cs="Times New Roman"/>
          <w:b/>
          <w:sz w:val="36"/>
          <w:szCs w:val="36"/>
          <w:lang w:bidi="en-US"/>
        </w:rPr>
        <w:t>COMMENTS AND LIMITED PROTEST</w:t>
      </w:r>
    </w:p>
    <w:p w:rsidR="00483038" w:rsidRPr="00A7466C" w:rsidRDefault="00483038" w:rsidP="00483038">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SUBMITTED ON BEHALF OF</w:t>
      </w:r>
    </w:p>
    <w:p w:rsidR="00483038" w:rsidRPr="002B702B" w:rsidRDefault="00483038" w:rsidP="00483038">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color w:val="FF0000"/>
          <w:sz w:val="26"/>
          <w:szCs w:val="26"/>
          <w:lang w:bidi="en-US"/>
        </w:rPr>
      </w:pPr>
      <w:r w:rsidRPr="00A7466C">
        <w:rPr>
          <w:rFonts w:ascii="Times New Roman" w:eastAsia="Times New Roman" w:hAnsi="Times New Roman" w:cs="Times New Roman"/>
          <w:b/>
          <w:sz w:val="26"/>
          <w:szCs w:val="26"/>
          <w:lang w:bidi="en-US"/>
        </w:rPr>
        <w:t xml:space="preserve">THE </w:t>
      </w:r>
      <w:r>
        <w:rPr>
          <w:rFonts w:ascii="Times New Roman" w:eastAsia="Times New Roman" w:hAnsi="Times New Roman" w:cs="Times New Roman"/>
          <w:b/>
          <w:sz w:val="26"/>
          <w:szCs w:val="26"/>
          <w:lang w:bidi="en-US"/>
        </w:rPr>
        <w:t xml:space="preserve">PUBLIC UTILITIES COMMISSION OF OHIO </w:t>
      </w:r>
    </w:p>
    <w:p w:rsidR="00483038" w:rsidRPr="006D0979" w:rsidRDefault="00D93478" w:rsidP="00483038">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483038" w:rsidRP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Pr="00483038" w:rsidRDefault="00483038" w:rsidP="00483038">
      <w:pPr>
        <w:spacing w:after="0" w:line="240" w:lineRule="auto"/>
        <w:jc w:val="center"/>
        <w:rPr>
          <w:rFonts w:ascii="Times New Roman" w:hAnsi="Times New Roman" w:cs="Times New Roman"/>
          <w:b/>
          <w:sz w:val="28"/>
          <w:szCs w:val="28"/>
        </w:rPr>
      </w:pPr>
    </w:p>
    <w:p w:rsidR="00483038" w:rsidRDefault="00483038" w:rsidP="00483038">
      <w:pPr>
        <w:spacing w:after="0" w:line="240" w:lineRule="auto"/>
        <w:jc w:val="center"/>
        <w:rPr>
          <w:rFonts w:ascii="Times New Roman" w:hAnsi="Times New Roman" w:cs="Times New Roman"/>
          <w:b/>
          <w:sz w:val="28"/>
          <w:szCs w:val="28"/>
        </w:rPr>
      </w:pPr>
    </w:p>
    <w:p w:rsidR="00483038" w:rsidRDefault="00483038" w:rsidP="00483038">
      <w:pPr>
        <w:spacing w:after="0" w:line="240" w:lineRule="auto"/>
        <w:jc w:val="center"/>
        <w:rPr>
          <w:rFonts w:ascii="Times New Roman" w:hAnsi="Times New Roman" w:cs="Times New Roman"/>
          <w:b/>
          <w:sz w:val="28"/>
          <w:szCs w:val="28"/>
        </w:rPr>
      </w:pPr>
    </w:p>
    <w:p w:rsidR="00483038" w:rsidRDefault="00483038" w:rsidP="00483038">
      <w:pPr>
        <w:spacing w:after="0" w:line="240" w:lineRule="auto"/>
        <w:jc w:val="center"/>
        <w:rPr>
          <w:rFonts w:ascii="Times New Roman" w:hAnsi="Times New Roman" w:cs="Times New Roman"/>
          <w:b/>
          <w:sz w:val="28"/>
          <w:szCs w:val="28"/>
        </w:rPr>
      </w:pPr>
    </w:p>
    <w:p w:rsidR="00483038" w:rsidRDefault="00483038" w:rsidP="00483038">
      <w:pPr>
        <w:spacing w:after="0" w:line="240" w:lineRule="auto"/>
        <w:jc w:val="center"/>
        <w:rPr>
          <w:rFonts w:ascii="Times New Roman" w:hAnsi="Times New Roman" w:cs="Times New Roman"/>
          <w:b/>
          <w:sz w:val="28"/>
          <w:szCs w:val="28"/>
        </w:rPr>
      </w:pPr>
    </w:p>
    <w:p w:rsidR="00483038" w:rsidRDefault="00483038" w:rsidP="00483038">
      <w:pPr>
        <w:spacing w:after="0" w:line="240" w:lineRule="auto"/>
        <w:jc w:val="center"/>
        <w:rPr>
          <w:rFonts w:ascii="Times New Roman" w:hAnsi="Times New Roman" w:cs="Times New Roman"/>
          <w:b/>
          <w:sz w:val="28"/>
          <w:szCs w:val="28"/>
        </w:rPr>
      </w:pPr>
    </w:p>
    <w:p w:rsidR="00483038" w:rsidRDefault="00483038" w:rsidP="00483038">
      <w:pPr>
        <w:spacing w:after="0" w:line="240" w:lineRule="auto"/>
        <w:jc w:val="center"/>
        <w:rPr>
          <w:rFonts w:ascii="Times New Roman" w:hAnsi="Times New Roman" w:cs="Times New Roman"/>
          <w:b/>
          <w:sz w:val="28"/>
          <w:szCs w:val="28"/>
        </w:rPr>
      </w:pPr>
    </w:p>
    <w:p w:rsidR="00483038" w:rsidRDefault="00483038" w:rsidP="00483038">
      <w:pPr>
        <w:spacing w:after="0" w:line="240" w:lineRule="auto"/>
        <w:jc w:val="center"/>
        <w:rPr>
          <w:rFonts w:ascii="Times New Roman" w:eastAsia="Times New Roman" w:hAnsi="Times New Roman" w:cs="Times New Roman"/>
          <w:b/>
          <w:sz w:val="26"/>
          <w:szCs w:val="26"/>
          <w:lang w:bidi="en-US"/>
        </w:rPr>
        <w:sectPr w:rsidR="00483038" w:rsidSect="00483038">
          <w:footerReference w:type="default" r:id="rId8"/>
          <w:pgSz w:w="12240" w:h="15840"/>
          <w:pgMar w:top="1440" w:right="1440" w:bottom="1440" w:left="1440" w:header="720" w:footer="720" w:gutter="0"/>
          <w:cols w:space="720"/>
          <w:titlePg/>
          <w:docGrid w:linePitch="360"/>
        </w:sectPr>
      </w:pPr>
      <w:r>
        <w:rPr>
          <w:rFonts w:ascii="Times New Roman" w:eastAsia="Times New Roman" w:hAnsi="Times New Roman" w:cs="Times New Roman"/>
          <w:b/>
          <w:sz w:val="26"/>
          <w:szCs w:val="26"/>
          <w:lang w:bidi="en-US"/>
        </w:rPr>
        <w:t>February 13, 2015</w:t>
      </w:r>
    </w:p>
    <w:p w:rsidR="005A31BF" w:rsidRDefault="005C73AC">
      <w:pPr>
        <w:pStyle w:val="TOC1"/>
        <w:rPr>
          <w:rFonts w:asciiTheme="minorHAnsi" w:eastAsiaTheme="minorEastAsia" w:hAnsiTheme="minorHAnsi"/>
          <w:noProof/>
          <w:sz w:val="22"/>
        </w:rPr>
      </w:pPr>
      <w:r>
        <w:rPr>
          <w:rFonts w:eastAsia="Times New Roman" w:cs="Times New Roman"/>
          <w:b/>
          <w:szCs w:val="26"/>
          <w:lang w:bidi="en-US"/>
        </w:rPr>
        <w:lastRenderedPageBreak/>
        <w:fldChar w:fldCharType="begin"/>
      </w:r>
      <w:r>
        <w:rPr>
          <w:rFonts w:eastAsia="Times New Roman" w:cs="Times New Roman"/>
          <w:b/>
          <w:szCs w:val="26"/>
          <w:lang w:bidi="en-US"/>
        </w:rPr>
        <w:instrText xml:space="preserve"> TOC \o "1-5" \u </w:instrText>
      </w:r>
      <w:r>
        <w:rPr>
          <w:rFonts w:eastAsia="Times New Roman" w:cs="Times New Roman"/>
          <w:b/>
          <w:szCs w:val="26"/>
          <w:lang w:bidi="en-US"/>
        </w:rPr>
        <w:fldChar w:fldCharType="separate"/>
      </w:r>
      <w:r w:rsidR="005A31BF">
        <w:rPr>
          <w:noProof/>
        </w:rPr>
        <w:t>I.</w:t>
      </w:r>
      <w:r w:rsidR="005A31BF">
        <w:rPr>
          <w:rFonts w:asciiTheme="minorHAnsi" w:eastAsiaTheme="minorEastAsia" w:hAnsiTheme="minorHAnsi"/>
          <w:noProof/>
          <w:sz w:val="22"/>
        </w:rPr>
        <w:tab/>
      </w:r>
      <w:r w:rsidR="005A31BF">
        <w:rPr>
          <w:noProof/>
        </w:rPr>
        <w:t>INTRODUCTION</w:t>
      </w:r>
      <w:r w:rsidR="005A31BF">
        <w:rPr>
          <w:noProof/>
        </w:rPr>
        <w:tab/>
      </w:r>
      <w:r w:rsidR="005A31BF">
        <w:rPr>
          <w:noProof/>
        </w:rPr>
        <w:fldChar w:fldCharType="begin"/>
      </w:r>
      <w:r w:rsidR="005A31BF">
        <w:rPr>
          <w:noProof/>
        </w:rPr>
        <w:instrText xml:space="preserve"> PAGEREF _Toc411581823 \h </w:instrText>
      </w:r>
      <w:r w:rsidR="005A31BF">
        <w:rPr>
          <w:noProof/>
        </w:rPr>
      </w:r>
      <w:r w:rsidR="005A31BF">
        <w:rPr>
          <w:noProof/>
        </w:rPr>
        <w:fldChar w:fldCharType="separate"/>
      </w:r>
      <w:r w:rsidR="00D93478">
        <w:rPr>
          <w:noProof/>
        </w:rPr>
        <w:t>1</w:t>
      </w:r>
      <w:r w:rsidR="005A31BF">
        <w:rPr>
          <w:noProof/>
        </w:rPr>
        <w:fldChar w:fldCharType="end"/>
      </w:r>
    </w:p>
    <w:p w:rsidR="005A31BF" w:rsidRDefault="005A31BF">
      <w:pPr>
        <w:pStyle w:val="TOC1"/>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BACKGROUND</w:t>
      </w:r>
      <w:r>
        <w:rPr>
          <w:noProof/>
        </w:rPr>
        <w:tab/>
      </w:r>
      <w:r>
        <w:rPr>
          <w:noProof/>
        </w:rPr>
        <w:fldChar w:fldCharType="begin"/>
      </w:r>
      <w:r>
        <w:rPr>
          <w:noProof/>
        </w:rPr>
        <w:instrText xml:space="preserve"> PAGEREF _Toc411581824 \h </w:instrText>
      </w:r>
      <w:r>
        <w:rPr>
          <w:noProof/>
        </w:rPr>
      </w:r>
      <w:r>
        <w:rPr>
          <w:noProof/>
        </w:rPr>
        <w:fldChar w:fldCharType="separate"/>
      </w:r>
      <w:r w:rsidR="00D93478">
        <w:rPr>
          <w:noProof/>
        </w:rPr>
        <w:t>3</w:t>
      </w:r>
      <w:r>
        <w:rPr>
          <w:noProof/>
        </w:rPr>
        <w:fldChar w:fldCharType="end"/>
      </w:r>
    </w:p>
    <w:p w:rsidR="005A31BF" w:rsidRDefault="005A31BF">
      <w:pPr>
        <w:pStyle w:val="TOC1"/>
        <w:rPr>
          <w:rFonts w:asciiTheme="minorHAnsi" w:eastAsiaTheme="minorEastAsia" w:hAnsiTheme="minorHAnsi"/>
          <w:noProof/>
          <w:sz w:val="22"/>
        </w:rPr>
      </w:pPr>
      <w:r>
        <w:rPr>
          <w:noProof/>
        </w:rPr>
        <w:t>III.</w:t>
      </w:r>
      <w:r>
        <w:rPr>
          <w:rFonts w:asciiTheme="minorHAnsi" w:eastAsiaTheme="minorEastAsia" w:hAnsiTheme="minorHAnsi"/>
          <w:noProof/>
          <w:sz w:val="22"/>
        </w:rPr>
        <w:tab/>
      </w:r>
      <w:r>
        <w:rPr>
          <w:noProof/>
        </w:rPr>
        <w:t>COMMENTS AND LIMITED PROTEST</w:t>
      </w:r>
      <w:r>
        <w:rPr>
          <w:noProof/>
        </w:rPr>
        <w:tab/>
      </w:r>
      <w:r>
        <w:rPr>
          <w:noProof/>
        </w:rPr>
        <w:fldChar w:fldCharType="begin"/>
      </w:r>
      <w:r>
        <w:rPr>
          <w:noProof/>
        </w:rPr>
        <w:instrText xml:space="preserve"> PAGEREF _Toc411581825 \h </w:instrText>
      </w:r>
      <w:r>
        <w:rPr>
          <w:noProof/>
        </w:rPr>
      </w:r>
      <w:r>
        <w:rPr>
          <w:noProof/>
        </w:rPr>
        <w:fldChar w:fldCharType="separate"/>
      </w:r>
      <w:r w:rsidR="00D93478">
        <w:rPr>
          <w:noProof/>
        </w:rPr>
        <w:t>4</w:t>
      </w:r>
      <w:r>
        <w:rPr>
          <w:noProof/>
        </w:rPr>
        <w:fldChar w:fldCharType="end"/>
      </w:r>
    </w:p>
    <w:p w:rsidR="005A31BF" w:rsidRDefault="005A31BF">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Demand response has a role in PJM’s markets.</w:t>
      </w:r>
      <w:r>
        <w:rPr>
          <w:noProof/>
        </w:rPr>
        <w:tab/>
      </w:r>
      <w:r>
        <w:rPr>
          <w:noProof/>
        </w:rPr>
        <w:fldChar w:fldCharType="begin"/>
      </w:r>
      <w:r>
        <w:rPr>
          <w:noProof/>
        </w:rPr>
        <w:instrText xml:space="preserve"> PAGEREF _Toc411581826 \h </w:instrText>
      </w:r>
      <w:r>
        <w:rPr>
          <w:noProof/>
        </w:rPr>
      </w:r>
      <w:r>
        <w:rPr>
          <w:noProof/>
        </w:rPr>
        <w:fldChar w:fldCharType="separate"/>
      </w:r>
      <w:r w:rsidR="00D93478">
        <w:rPr>
          <w:noProof/>
        </w:rPr>
        <w:t>5</w:t>
      </w:r>
      <w:r>
        <w:rPr>
          <w:noProof/>
        </w:rPr>
        <w:fldChar w:fldCharType="end"/>
      </w:r>
    </w:p>
    <w:p w:rsidR="005A31BF" w:rsidRDefault="005A31BF">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PJM’s proposal amounts to a substantial tariff revision based on speculative outcomes of two pending proceedings.</w:t>
      </w:r>
      <w:r>
        <w:rPr>
          <w:noProof/>
        </w:rPr>
        <w:tab/>
      </w:r>
      <w:r>
        <w:rPr>
          <w:noProof/>
        </w:rPr>
        <w:fldChar w:fldCharType="begin"/>
      </w:r>
      <w:r>
        <w:rPr>
          <w:noProof/>
        </w:rPr>
        <w:instrText xml:space="preserve"> PAGEREF _Toc411581827 \h </w:instrText>
      </w:r>
      <w:r>
        <w:rPr>
          <w:noProof/>
        </w:rPr>
      </w:r>
      <w:r>
        <w:rPr>
          <w:noProof/>
        </w:rPr>
        <w:fldChar w:fldCharType="separate"/>
      </w:r>
      <w:r w:rsidR="00D93478">
        <w:rPr>
          <w:noProof/>
        </w:rPr>
        <w:t>6</w:t>
      </w:r>
      <w:r>
        <w:rPr>
          <w:noProof/>
        </w:rPr>
        <w:fldChar w:fldCharType="end"/>
      </w:r>
    </w:p>
    <w:p w:rsidR="005A31BF" w:rsidRDefault="005A31BF">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Pr>
          <w:noProof/>
        </w:rPr>
        <w:t>Even if the Court denies EPSA review, PJM fails to contemplate that restructured states need time to respond to jurisdictional changes.</w:t>
      </w:r>
      <w:r>
        <w:rPr>
          <w:noProof/>
        </w:rPr>
        <w:tab/>
      </w:r>
      <w:r>
        <w:rPr>
          <w:noProof/>
        </w:rPr>
        <w:fldChar w:fldCharType="begin"/>
      </w:r>
      <w:r>
        <w:rPr>
          <w:noProof/>
        </w:rPr>
        <w:instrText xml:space="preserve"> PAGEREF _Toc411581828 \h </w:instrText>
      </w:r>
      <w:r>
        <w:rPr>
          <w:noProof/>
        </w:rPr>
      </w:r>
      <w:r>
        <w:rPr>
          <w:noProof/>
        </w:rPr>
        <w:fldChar w:fldCharType="separate"/>
      </w:r>
      <w:r w:rsidR="00D93478">
        <w:rPr>
          <w:noProof/>
        </w:rPr>
        <w:t>7</w:t>
      </w:r>
      <w:r>
        <w:rPr>
          <w:noProof/>
        </w:rPr>
        <w:fldChar w:fldCharType="end"/>
      </w:r>
    </w:p>
    <w:p w:rsidR="005A31BF" w:rsidRDefault="005A31BF">
      <w:pPr>
        <w:pStyle w:val="TOC1"/>
        <w:rPr>
          <w:rFonts w:asciiTheme="minorHAnsi" w:eastAsiaTheme="minorEastAsia" w:hAnsiTheme="minorHAnsi"/>
          <w:noProof/>
          <w:sz w:val="22"/>
        </w:rPr>
      </w:pPr>
      <w:r>
        <w:rPr>
          <w:noProof/>
        </w:rPr>
        <w:t>IV.</w:t>
      </w:r>
      <w:r>
        <w:rPr>
          <w:rFonts w:asciiTheme="minorHAnsi" w:eastAsiaTheme="minorEastAsia" w:hAnsiTheme="minorHAnsi"/>
          <w:noProof/>
          <w:sz w:val="22"/>
        </w:rPr>
        <w:tab/>
      </w:r>
      <w:r>
        <w:rPr>
          <w:noProof/>
        </w:rPr>
        <w:t>CONCLUSION</w:t>
      </w:r>
      <w:r>
        <w:rPr>
          <w:noProof/>
        </w:rPr>
        <w:tab/>
      </w:r>
      <w:r>
        <w:rPr>
          <w:noProof/>
        </w:rPr>
        <w:fldChar w:fldCharType="begin"/>
      </w:r>
      <w:r>
        <w:rPr>
          <w:noProof/>
        </w:rPr>
        <w:instrText xml:space="preserve"> PAGEREF _Toc411581829 \h </w:instrText>
      </w:r>
      <w:r>
        <w:rPr>
          <w:noProof/>
        </w:rPr>
      </w:r>
      <w:r>
        <w:rPr>
          <w:noProof/>
        </w:rPr>
        <w:fldChar w:fldCharType="separate"/>
      </w:r>
      <w:r w:rsidR="00D93478">
        <w:rPr>
          <w:noProof/>
        </w:rPr>
        <w:t>9</w:t>
      </w:r>
      <w:r>
        <w:rPr>
          <w:noProof/>
        </w:rPr>
        <w:fldChar w:fldCharType="end"/>
      </w:r>
    </w:p>
    <w:p w:rsidR="005A31BF" w:rsidRDefault="005A31BF">
      <w:pPr>
        <w:pStyle w:val="TOC1"/>
        <w:rPr>
          <w:rFonts w:asciiTheme="minorHAnsi" w:eastAsiaTheme="minorEastAsia" w:hAnsiTheme="minorHAnsi"/>
          <w:noProof/>
          <w:sz w:val="22"/>
        </w:rPr>
      </w:pPr>
      <w:r w:rsidRPr="00C57491">
        <w:rPr>
          <w:rFonts w:eastAsia="Times New Roman"/>
          <w:noProof/>
        </w:rPr>
        <w:t>V.</w:t>
      </w:r>
      <w:r>
        <w:rPr>
          <w:rFonts w:asciiTheme="minorHAnsi" w:eastAsiaTheme="minorEastAsia" w:hAnsiTheme="minorHAnsi"/>
          <w:noProof/>
          <w:sz w:val="22"/>
        </w:rPr>
        <w:tab/>
      </w:r>
      <w:r w:rsidRPr="00C57491">
        <w:rPr>
          <w:rFonts w:eastAsia="Times New Roman"/>
          <w:noProof/>
        </w:rPr>
        <w:t>CERTIFICATE OF SERVICE</w:t>
      </w:r>
      <w:r>
        <w:rPr>
          <w:noProof/>
        </w:rPr>
        <w:tab/>
      </w:r>
      <w:r>
        <w:rPr>
          <w:noProof/>
        </w:rPr>
        <w:fldChar w:fldCharType="begin"/>
      </w:r>
      <w:r>
        <w:rPr>
          <w:noProof/>
        </w:rPr>
        <w:instrText xml:space="preserve"> PAGEREF _Toc411581830 \h </w:instrText>
      </w:r>
      <w:r>
        <w:rPr>
          <w:noProof/>
        </w:rPr>
      </w:r>
      <w:r>
        <w:rPr>
          <w:noProof/>
        </w:rPr>
        <w:fldChar w:fldCharType="separate"/>
      </w:r>
      <w:r w:rsidR="00D93478">
        <w:rPr>
          <w:noProof/>
        </w:rPr>
        <w:t>10</w:t>
      </w:r>
      <w:r>
        <w:rPr>
          <w:noProof/>
        </w:rPr>
        <w:fldChar w:fldCharType="end"/>
      </w:r>
    </w:p>
    <w:p w:rsidR="00483038" w:rsidRDefault="005C73AC" w:rsidP="00C85AC5">
      <w:pPr>
        <w:spacing w:after="0" w:line="240" w:lineRule="auto"/>
        <w:jc w:val="center"/>
        <w:rPr>
          <w:rFonts w:ascii="Times New Roman" w:eastAsia="Times New Roman" w:hAnsi="Times New Roman" w:cs="Times New Roman"/>
          <w:b/>
          <w:sz w:val="26"/>
          <w:szCs w:val="26"/>
          <w:lang w:bidi="en-US"/>
        </w:rPr>
        <w:sectPr w:rsidR="00483038" w:rsidSect="000F4FD2">
          <w:headerReference w:type="first" r:id="rId9"/>
          <w:footerReference w:type="first" r:id="rId10"/>
          <w:pgSz w:w="12240" w:h="15840"/>
          <w:pgMar w:top="1440" w:right="1440" w:bottom="1440" w:left="1440" w:header="720" w:footer="720" w:gutter="0"/>
          <w:pgNumType w:fmt="lowerRoman" w:start="1"/>
          <w:cols w:space="720"/>
          <w:titlePg/>
          <w:docGrid w:linePitch="360"/>
        </w:sectPr>
      </w:pPr>
      <w:r>
        <w:rPr>
          <w:rFonts w:ascii="Times New Roman" w:eastAsia="Times New Roman" w:hAnsi="Times New Roman" w:cs="Times New Roman"/>
          <w:b/>
          <w:sz w:val="26"/>
          <w:szCs w:val="26"/>
          <w:lang w:bidi="en-US"/>
        </w:rPr>
        <w:fldChar w:fldCharType="end"/>
      </w:r>
    </w:p>
    <w:p w:rsidR="00C85AC5" w:rsidRPr="00A7466C" w:rsidRDefault="00C85AC5" w:rsidP="00C85AC5">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lastRenderedPageBreak/>
        <w:t>UNITED STATES OF AMERICA</w:t>
      </w:r>
    </w:p>
    <w:p w:rsidR="00C85AC5" w:rsidRPr="00A7466C" w:rsidRDefault="00C85AC5" w:rsidP="00C85AC5">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BEFORE THE</w:t>
      </w:r>
    </w:p>
    <w:p w:rsidR="00C85AC5" w:rsidRPr="00A7466C" w:rsidRDefault="00C85AC5" w:rsidP="00C85AC5">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FEDERAL ENERGY REGULATORY COMMISSION</w:t>
      </w:r>
    </w:p>
    <w:p w:rsidR="00C85AC5" w:rsidRDefault="00C85AC5" w:rsidP="00C85AC5">
      <w:pPr>
        <w:spacing w:after="0" w:line="240" w:lineRule="auto"/>
        <w:jc w:val="center"/>
        <w:rPr>
          <w:rFonts w:ascii="Times New Roman" w:eastAsia="Times New Roman" w:hAnsi="Times New Roman" w:cs="Times New Roman"/>
          <w:sz w:val="26"/>
          <w:szCs w:val="26"/>
          <w:lang w:bidi="en-US"/>
        </w:rPr>
      </w:pPr>
    </w:p>
    <w:p w:rsidR="00E80B4C" w:rsidRDefault="00E80B4C" w:rsidP="00C85AC5">
      <w:pPr>
        <w:spacing w:after="0" w:line="240" w:lineRule="auto"/>
        <w:jc w:val="center"/>
        <w:rPr>
          <w:rFonts w:ascii="Times New Roman" w:eastAsia="Times New Roman" w:hAnsi="Times New Roman" w:cs="Times New Roman"/>
          <w:sz w:val="26"/>
          <w:szCs w:val="26"/>
          <w:lang w:bidi="en-US"/>
        </w:rPr>
      </w:pPr>
    </w:p>
    <w:p w:rsidR="00E80B4C" w:rsidRPr="00A7466C" w:rsidRDefault="00E80B4C" w:rsidP="00C85AC5">
      <w:pPr>
        <w:spacing w:after="0" w:line="240" w:lineRule="auto"/>
        <w:jc w:val="center"/>
        <w:rPr>
          <w:rFonts w:ascii="Times New Roman" w:eastAsia="Times New Roman" w:hAnsi="Times New Roman" w:cs="Times New Roman"/>
          <w:sz w:val="26"/>
          <w:szCs w:val="26"/>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45"/>
        <w:gridCol w:w="4311"/>
      </w:tblGrid>
      <w:tr w:rsidR="009B10A2" w:rsidTr="009B10A2">
        <w:tc>
          <w:tcPr>
            <w:tcW w:w="4698" w:type="dxa"/>
          </w:tcPr>
          <w:p w:rsidR="009B10A2" w:rsidRDefault="009B10A2" w:rsidP="009B10A2">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tc>
        <w:tc>
          <w:tcPr>
            <w:tcW w:w="450" w:type="dxa"/>
          </w:tcPr>
          <w:p w:rsidR="009B10A2" w:rsidRDefault="009B10A2" w:rsidP="00C85AC5">
            <w:pPr>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w:t>
            </w:r>
          </w:p>
        </w:tc>
        <w:tc>
          <w:tcPr>
            <w:tcW w:w="4428" w:type="dxa"/>
          </w:tcPr>
          <w:p w:rsidR="009B10A2" w:rsidRDefault="009B10A2" w:rsidP="009B10A2">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Docket No. ER15-852-000</w:t>
            </w:r>
          </w:p>
        </w:tc>
      </w:tr>
      <w:tr w:rsidR="00E80B4C" w:rsidTr="009B10A2">
        <w:tc>
          <w:tcPr>
            <w:tcW w:w="4698" w:type="dxa"/>
          </w:tcPr>
          <w:p w:rsidR="00E80B4C" w:rsidRDefault="00E80B4C" w:rsidP="009B10A2">
            <w:pPr>
              <w:rPr>
                <w:rFonts w:ascii="Times New Roman" w:eastAsia="Times New Roman" w:hAnsi="Times New Roman" w:cs="Times New Roman"/>
                <w:sz w:val="26"/>
                <w:szCs w:val="26"/>
                <w:lang w:bidi="en-US"/>
              </w:rPr>
            </w:pPr>
          </w:p>
        </w:tc>
        <w:tc>
          <w:tcPr>
            <w:tcW w:w="450" w:type="dxa"/>
          </w:tcPr>
          <w:p w:rsidR="00E80B4C" w:rsidRDefault="00E80B4C" w:rsidP="00C85AC5">
            <w:pPr>
              <w:jc w:val="center"/>
              <w:rPr>
                <w:rFonts w:ascii="Times New Roman" w:eastAsia="Times New Roman" w:hAnsi="Times New Roman" w:cs="Times New Roman"/>
                <w:sz w:val="26"/>
                <w:szCs w:val="26"/>
                <w:lang w:bidi="en-US"/>
              </w:rPr>
            </w:pPr>
          </w:p>
        </w:tc>
        <w:tc>
          <w:tcPr>
            <w:tcW w:w="4428" w:type="dxa"/>
          </w:tcPr>
          <w:p w:rsidR="00E80B4C" w:rsidRDefault="00E80B4C" w:rsidP="009B10A2">
            <w:pPr>
              <w:rPr>
                <w:rFonts w:ascii="Times New Roman" w:eastAsia="Times New Roman" w:hAnsi="Times New Roman" w:cs="Times New Roman"/>
                <w:sz w:val="26"/>
                <w:szCs w:val="26"/>
                <w:lang w:bidi="en-US"/>
              </w:rPr>
            </w:pPr>
          </w:p>
        </w:tc>
      </w:tr>
    </w:tbl>
    <w:p w:rsidR="00C85AC5" w:rsidRPr="00A7466C" w:rsidRDefault="00C85AC5" w:rsidP="00C85AC5">
      <w:pPr>
        <w:spacing w:after="0" w:line="240" w:lineRule="auto"/>
        <w:jc w:val="center"/>
        <w:rPr>
          <w:rFonts w:ascii="Times New Roman" w:eastAsia="Times New Roman" w:hAnsi="Times New Roman" w:cs="Times New Roman"/>
          <w:sz w:val="26"/>
          <w:szCs w:val="26"/>
          <w:lang w:bidi="en-US"/>
        </w:rPr>
      </w:pPr>
    </w:p>
    <w:p w:rsidR="00C85AC5" w:rsidRPr="00A7466C" w:rsidRDefault="00C85AC5" w:rsidP="00C85AC5">
      <w:pPr>
        <w:spacing w:after="0" w:line="240" w:lineRule="auto"/>
        <w:jc w:val="center"/>
        <w:rPr>
          <w:rFonts w:ascii="Times New Roman" w:eastAsia="Times New Roman" w:hAnsi="Times New Roman" w:cs="Times New Roman"/>
          <w:sz w:val="26"/>
          <w:szCs w:val="26"/>
          <w:lang w:bidi="en-US"/>
        </w:rPr>
      </w:pPr>
    </w:p>
    <w:p w:rsidR="00C85AC5" w:rsidRDefault="00C85AC5" w:rsidP="00C85AC5">
      <w:pPr>
        <w:spacing w:after="0" w:line="240" w:lineRule="auto"/>
        <w:jc w:val="both"/>
        <w:rPr>
          <w:rFonts w:ascii="Times New Roman" w:eastAsia="Times New Roman" w:hAnsi="Times New Roman" w:cs="Times New Roman"/>
          <w:sz w:val="26"/>
          <w:szCs w:val="26"/>
          <w:lang w:bidi="en-US"/>
        </w:rPr>
      </w:pPr>
    </w:p>
    <w:p w:rsidR="00E80B4C" w:rsidRPr="00A7466C" w:rsidRDefault="00E80B4C" w:rsidP="00C85AC5">
      <w:pPr>
        <w:spacing w:after="0" w:line="240" w:lineRule="auto"/>
        <w:jc w:val="both"/>
        <w:rPr>
          <w:rFonts w:ascii="Times New Roman" w:eastAsia="Times New Roman" w:hAnsi="Times New Roman" w:cs="Times New Roman"/>
          <w:sz w:val="26"/>
          <w:szCs w:val="26"/>
          <w:lang w:bidi="en-US"/>
        </w:rPr>
      </w:pPr>
    </w:p>
    <w:p w:rsidR="00C85AC5" w:rsidRPr="00A7466C" w:rsidRDefault="00D93478" w:rsidP="00C85AC5">
      <w:pPr>
        <w:tabs>
          <w:tab w:val="left" w:pos="720"/>
          <w:tab w:val="left" w:pos="1440"/>
          <w:tab w:val="left" w:pos="2880"/>
          <w:tab w:val="left" w:pos="4320"/>
          <w:tab w:val="left" w:pos="5040"/>
          <w:tab w:val="left" w:pos="5760"/>
          <w:tab w:val="left" w:pos="6480"/>
          <w:tab w:val="left" w:pos="7200"/>
        </w:tabs>
        <w:spacing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7" style="width:468pt;height:1.5pt" o:hrstd="t" o:hrnoshade="t" o:hr="t" fillcolor="black" stroked="f"/>
        </w:pict>
      </w:r>
    </w:p>
    <w:p w:rsidR="00C85AC5" w:rsidRPr="00A7466C" w:rsidRDefault="00C85AC5" w:rsidP="00C85AC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Pr>
          <w:rFonts w:ascii="Times New Roman" w:eastAsia="Times New Roman" w:hAnsi="Times New Roman" w:cs="Times New Roman"/>
          <w:b/>
          <w:sz w:val="36"/>
          <w:szCs w:val="36"/>
          <w:lang w:bidi="en-US"/>
        </w:rPr>
        <w:t>COMMENTS AND LIMITED PROTEST</w:t>
      </w:r>
    </w:p>
    <w:p w:rsidR="00C85AC5" w:rsidRPr="00A7466C" w:rsidRDefault="00C85AC5" w:rsidP="00C85AC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SUBMITTED ON BEHALF OF</w:t>
      </w:r>
    </w:p>
    <w:p w:rsidR="00C85AC5" w:rsidRPr="002B702B" w:rsidRDefault="00C85AC5" w:rsidP="00C85AC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color w:val="FF0000"/>
          <w:sz w:val="26"/>
          <w:szCs w:val="26"/>
          <w:lang w:bidi="en-US"/>
        </w:rPr>
      </w:pPr>
      <w:r w:rsidRPr="00A7466C">
        <w:rPr>
          <w:rFonts w:ascii="Times New Roman" w:eastAsia="Times New Roman" w:hAnsi="Times New Roman" w:cs="Times New Roman"/>
          <w:b/>
          <w:sz w:val="26"/>
          <w:szCs w:val="26"/>
          <w:lang w:bidi="en-US"/>
        </w:rPr>
        <w:t xml:space="preserve">THE </w:t>
      </w:r>
      <w:r>
        <w:rPr>
          <w:rFonts w:ascii="Times New Roman" w:eastAsia="Times New Roman" w:hAnsi="Times New Roman" w:cs="Times New Roman"/>
          <w:b/>
          <w:sz w:val="26"/>
          <w:szCs w:val="26"/>
          <w:lang w:bidi="en-US"/>
        </w:rPr>
        <w:t xml:space="preserve">PUBLIC UTILITIES COMMISSION OF OHIO </w:t>
      </w:r>
    </w:p>
    <w:p w:rsidR="00C85AC5" w:rsidRPr="006D0979" w:rsidRDefault="00D93478" w:rsidP="00C85AC5">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8" style="width:468pt;height:1.5pt" o:hralign="center" o:hrstd="t" o:hrnoshade="t" o:hr="t" fillcolor="black" stroked="f"/>
        </w:pict>
      </w:r>
    </w:p>
    <w:p w:rsidR="00E80B4C" w:rsidRDefault="00E80B4C" w:rsidP="004C2408">
      <w:pPr>
        <w:pStyle w:val="Textstyle"/>
      </w:pPr>
    </w:p>
    <w:p w:rsidR="00C85AC5" w:rsidRDefault="00C85AC5" w:rsidP="004C2408">
      <w:pPr>
        <w:pStyle w:val="Textstyle"/>
      </w:pPr>
      <w:r>
        <w:tab/>
        <w:t>Pursuant to Rule</w:t>
      </w:r>
      <w:r w:rsidRPr="00A7466C">
        <w:t xml:space="preserve"> 21</w:t>
      </w:r>
      <w:r>
        <w:t>1</w:t>
      </w:r>
      <w:r w:rsidRPr="00A7466C">
        <w:t xml:space="preserve"> of the </w:t>
      </w:r>
      <w:r>
        <w:t>Federal Energy Regulatory Commission’s (Commis</w:t>
      </w:r>
      <w:r w:rsidR="004A5DF5">
        <w:softHyphen/>
      </w:r>
      <w:r>
        <w:t xml:space="preserve">sion) </w:t>
      </w:r>
      <w:r w:rsidRPr="00A7466C">
        <w:t>Rules of Practice and Procedure, 18 C.F.R. 385.21</w:t>
      </w:r>
      <w:r>
        <w:t xml:space="preserve">1, the </w:t>
      </w:r>
      <w:r w:rsidR="008E33CE">
        <w:t>Public Utilities Commission of Ohio (</w:t>
      </w:r>
      <w:r>
        <w:t>PUCO</w:t>
      </w:r>
      <w:r w:rsidR="008E33CE">
        <w:t>)</w:t>
      </w:r>
      <w:r>
        <w:rPr>
          <w:color w:val="FF0000"/>
        </w:rPr>
        <w:t xml:space="preserve"> </w:t>
      </w:r>
      <w:r w:rsidRPr="00041742">
        <w:t>submit</w:t>
      </w:r>
      <w:r>
        <w:t>s</w:t>
      </w:r>
      <w:r w:rsidRPr="00041742">
        <w:t xml:space="preserve"> the</w:t>
      </w:r>
      <w:r>
        <w:t xml:space="preserve"> following com</w:t>
      </w:r>
      <w:r>
        <w:softHyphen/>
        <w:t xml:space="preserve">ments and limited protest in response to </w:t>
      </w:r>
      <w:r w:rsidRPr="008948F4">
        <w:t>PJM Interconnection, L.L.C</w:t>
      </w:r>
      <w:r>
        <w:t>.’s</w:t>
      </w:r>
      <w:r w:rsidRPr="008948F4">
        <w:t xml:space="preserve"> (PJM)’s proposed re</w:t>
      </w:r>
      <w:r>
        <w:t xml:space="preserve">visions to its </w:t>
      </w:r>
      <w:r w:rsidRPr="008948F4">
        <w:t>Open Ac</w:t>
      </w:r>
      <w:r>
        <w:t xml:space="preserve">cess Transmission Tariff (Tariff).  The PUCO intervened in this matter on </w:t>
      </w:r>
      <w:r w:rsidR="00654DD3">
        <w:t>February 3</w:t>
      </w:r>
      <w:r>
        <w:t>, 2015.</w:t>
      </w:r>
    </w:p>
    <w:p w:rsidR="00C85AC5" w:rsidRDefault="00C85AC5" w:rsidP="009B10A2">
      <w:pPr>
        <w:pStyle w:val="Heading1"/>
      </w:pPr>
      <w:bookmarkStart w:id="0" w:name="_Toc411581823"/>
      <w:r>
        <w:t>I.</w:t>
      </w:r>
      <w:r>
        <w:tab/>
      </w:r>
      <w:r w:rsidR="009B10A2">
        <w:t>INTRODUCTION</w:t>
      </w:r>
      <w:bookmarkEnd w:id="0"/>
    </w:p>
    <w:p w:rsidR="00483038" w:rsidRDefault="00C85AC5" w:rsidP="004C2408">
      <w:pPr>
        <w:pStyle w:val="Textstyle"/>
        <w:rPr>
          <w:i/>
        </w:rPr>
      </w:pPr>
      <w:r>
        <w:rPr>
          <w:b/>
        </w:rPr>
        <w:tab/>
      </w:r>
      <w:r>
        <w:t xml:space="preserve">PJM seeks Commission approval of a stop-gap mechanism to allow demand response to participate in the May 2015 Base Residual Auction </w:t>
      </w:r>
      <w:r w:rsidR="00FC3238">
        <w:t xml:space="preserve">(BRA) </w:t>
      </w:r>
      <w:r>
        <w:t xml:space="preserve">in the event the United States Supreme Court (Court) denies petitions for </w:t>
      </w:r>
      <w:r w:rsidRPr="00C85AC5">
        <w:rPr>
          <w:i/>
        </w:rPr>
        <w:t>certiorari</w:t>
      </w:r>
      <w:r>
        <w:t xml:space="preserve"> of </w:t>
      </w:r>
      <w:r>
        <w:rPr>
          <w:i/>
        </w:rPr>
        <w:t>Electric Power Sup</w:t>
      </w:r>
      <w:r w:rsidR="004A5DF5">
        <w:rPr>
          <w:i/>
        </w:rPr>
        <w:softHyphen/>
      </w:r>
      <w:r w:rsidR="00483038">
        <w:rPr>
          <w:i/>
        </w:rPr>
        <w:t>-</w:t>
      </w:r>
      <w:r w:rsidR="00483038">
        <w:rPr>
          <w:i/>
        </w:rPr>
        <w:br w:type="page"/>
      </w:r>
    </w:p>
    <w:p w:rsidR="00FC3238" w:rsidRDefault="00C85AC5" w:rsidP="004C2408">
      <w:pPr>
        <w:pStyle w:val="Textstyle"/>
      </w:pPr>
      <w:proofErr w:type="gramStart"/>
      <w:r>
        <w:rPr>
          <w:i/>
        </w:rPr>
        <w:lastRenderedPageBreak/>
        <w:t>ply</w:t>
      </w:r>
      <w:proofErr w:type="gramEnd"/>
      <w:r>
        <w:rPr>
          <w:i/>
        </w:rPr>
        <w:t xml:space="preserve"> Ass’n v. FERC</w:t>
      </w:r>
      <w:r w:rsidR="00AD7E6A">
        <w:rPr>
          <w:i/>
        </w:rPr>
        <w:t xml:space="preserve"> </w:t>
      </w:r>
      <w:r w:rsidR="00AD7E6A">
        <w:t>(EPSA)</w:t>
      </w:r>
      <w:r>
        <w:t>.</w:t>
      </w:r>
      <w:r>
        <w:rPr>
          <w:rStyle w:val="FootnoteReference"/>
        </w:rPr>
        <w:footnoteReference w:id="1"/>
      </w:r>
      <w:r>
        <w:t xml:space="preserve">  The PUCO urges the Commission to hold PJM’s stop-gap proposal in abeyance until the Court takes affirmative action by either denying </w:t>
      </w:r>
      <w:r w:rsidR="00AD7E6A">
        <w:t xml:space="preserve">petitions for </w:t>
      </w:r>
      <w:r>
        <w:rPr>
          <w:i/>
        </w:rPr>
        <w:t xml:space="preserve">certiorari </w:t>
      </w:r>
      <w:r>
        <w:t xml:space="preserve">or </w:t>
      </w:r>
      <w:r w:rsidR="00AD7E6A">
        <w:t xml:space="preserve">issuing </w:t>
      </w:r>
      <w:r w:rsidR="00FC3238">
        <w:t xml:space="preserve">an order on the merits of the EPSA proceeding. </w:t>
      </w:r>
    </w:p>
    <w:p w:rsidR="00C85AC5" w:rsidRDefault="009B10A2" w:rsidP="004C2408">
      <w:pPr>
        <w:pStyle w:val="Textstyle"/>
      </w:pPr>
      <w:r>
        <w:tab/>
      </w:r>
      <w:r w:rsidR="00FC3238">
        <w:t xml:space="preserve">PJM’s filing amounts to a substantial tariff revision that has not been </w:t>
      </w:r>
      <w:r w:rsidR="00E71422">
        <w:t>examined</w:t>
      </w:r>
      <w:r w:rsidR="00FC3238">
        <w:t xml:space="preserve"> through any meaningful stakeholder process and is based on speculative outcomes of two pending proceedings.  The PUCO maintains that demand response has a role in PJM’s markets, and does not necessarily oppose PJM’s stop-gap approach in the event </w:t>
      </w:r>
      <w:r w:rsidR="007D3385">
        <w:t xml:space="preserve">petitions for </w:t>
      </w:r>
      <w:r w:rsidR="00FC3238">
        <w:rPr>
          <w:i/>
        </w:rPr>
        <w:t xml:space="preserve">certiorari </w:t>
      </w:r>
      <w:r w:rsidR="007D3385">
        <w:t xml:space="preserve">are </w:t>
      </w:r>
      <w:r w:rsidR="00FC3238">
        <w:t xml:space="preserve">denied.  However, PJM’s proposed tariff revision is not ripe for review.  </w:t>
      </w:r>
      <w:r w:rsidR="002129BF">
        <w:tab/>
      </w:r>
      <w:r w:rsidR="00FC3238">
        <w:t>Even if the Commission were to adopt PJM’s stop-gap proposal, PJM’s perceived market certainty for the May 2015 BRA is not achievable.  PJM does not contemplate the time and effort restructured states will need to incorporate</w:t>
      </w:r>
      <w:r w:rsidR="00AD7E6A">
        <w:t xml:space="preserve"> </w:t>
      </w:r>
      <w:r w:rsidR="00FC3238">
        <w:t xml:space="preserve">demand-side commitments into state laws and policies.  </w:t>
      </w:r>
      <w:r w:rsidR="00823289">
        <w:t xml:space="preserve">Consequently, PJM’s stop-gap proposal cannot possibly guarantee just and reasonable </w:t>
      </w:r>
      <w:r w:rsidR="00AD7E6A">
        <w:t xml:space="preserve">capacity prices </w:t>
      </w:r>
      <w:r w:rsidR="00823289">
        <w:t>for the 2018/2019 Delivery Year.  The</w:t>
      </w:r>
      <w:r w:rsidR="00FC3238">
        <w:t xml:space="preserve"> PUCO requests that the Commission hold PJM’s proposal in abeyance.</w:t>
      </w:r>
    </w:p>
    <w:p w:rsidR="00FC3238" w:rsidRDefault="00FC3238" w:rsidP="009B10A2">
      <w:pPr>
        <w:pStyle w:val="Heading1"/>
      </w:pPr>
      <w:bookmarkStart w:id="1" w:name="_Toc411581824"/>
      <w:r>
        <w:lastRenderedPageBreak/>
        <w:t>II.</w:t>
      </w:r>
      <w:r>
        <w:tab/>
      </w:r>
      <w:r w:rsidR="009B10A2">
        <w:t>BACKGROUND</w:t>
      </w:r>
      <w:bookmarkEnd w:id="1"/>
    </w:p>
    <w:p w:rsidR="003343D2" w:rsidRDefault="00FC3238" w:rsidP="004C2408">
      <w:pPr>
        <w:pStyle w:val="Textstyle"/>
      </w:pPr>
      <w:r>
        <w:rPr>
          <w:b/>
        </w:rPr>
        <w:tab/>
      </w:r>
      <w:r w:rsidR="00823289">
        <w:t xml:space="preserve">PJM </w:t>
      </w:r>
      <w:r w:rsidR="002129BF">
        <w:t xml:space="preserve">suggests </w:t>
      </w:r>
      <w:r w:rsidR="00823289">
        <w:t xml:space="preserve">that, in the event the Court denies review of EPSA </w:t>
      </w:r>
      <w:r w:rsidR="00AD7E6A">
        <w:t xml:space="preserve">prior to </w:t>
      </w:r>
      <w:r w:rsidR="00823289">
        <w:t>April 1, 2015, a stop-gap mechanism should be established to allow wholesale entities to reduce their wholesale loads in PJM’s Reliability Pricing Model (RPM).</w:t>
      </w:r>
      <w:r w:rsidR="00743548">
        <w:rPr>
          <w:rStyle w:val="FootnoteReference"/>
        </w:rPr>
        <w:footnoteReference w:id="2"/>
      </w:r>
      <w:r w:rsidR="00823289">
        <w:t xml:space="preserve"> </w:t>
      </w:r>
      <w:r w:rsidR="003343D2">
        <w:t xml:space="preserve"> </w:t>
      </w:r>
      <w:r w:rsidR="00823289">
        <w:t xml:space="preserve">PJM proposes to shift what are presently known as demand </w:t>
      </w:r>
      <w:r w:rsidR="00AD7E6A">
        <w:t xml:space="preserve">response </w:t>
      </w:r>
      <w:r w:rsidR="00823289">
        <w:t>resources from the supply side of RPM to the demand side.</w:t>
      </w:r>
      <w:r w:rsidR="00743548">
        <w:rPr>
          <w:rStyle w:val="FootnoteReference"/>
        </w:rPr>
        <w:footnoteReference w:id="3"/>
      </w:r>
      <w:r w:rsidR="00823289">
        <w:t xml:space="preserve">  The new </w:t>
      </w:r>
      <w:r w:rsidR="00AD7E6A">
        <w:t>scheme</w:t>
      </w:r>
      <w:r w:rsidR="00823289">
        <w:t xml:space="preserve">, called Wholesale Load Reduction (WLR), would allow for load serving entities </w:t>
      </w:r>
      <w:r w:rsidR="00AD7E6A">
        <w:t>(LSE</w:t>
      </w:r>
      <w:r w:rsidR="00E826AD">
        <w:t>s</w:t>
      </w:r>
      <w:r w:rsidR="00AD7E6A">
        <w:t xml:space="preserve">) </w:t>
      </w:r>
      <w:r w:rsidR="008E33CE">
        <w:t xml:space="preserve">to </w:t>
      </w:r>
      <w:r w:rsidR="00823289">
        <w:t xml:space="preserve">provide load reductions that would reduce their </w:t>
      </w:r>
      <w:r w:rsidR="008E33CE">
        <w:t xml:space="preserve">RPM </w:t>
      </w:r>
      <w:r w:rsidR="00823289">
        <w:t>capacity obligations.</w:t>
      </w:r>
      <w:r w:rsidR="00743548">
        <w:rPr>
          <w:rStyle w:val="FootnoteReference"/>
        </w:rPr>
        <w:footnoteReference w:id="4"/>
      </w:r>
      <w:r w:rsidR="00823289">
        <w:t xml:space="preserve">  </w:t>
      </w:r>
      <w:r w:rsidR="00654DD3">
        <w:t xml:space="preserve">A reduction in </w:t>
      </w:r>
      <w:r w:rsidR="00823289">
        <w:t>capacity obligations w</w:t>
      </w:r>
      <w:r w:rsidR="00ED2892">
        <w:t>ould</w:t>
      </w:r>
      <w:r w:rsidR="00823289">
        <w:t xml:space="preserve"> shift PJM’s </w:t>
      </w:r>
      <w:r w:rsidR="001D7907">
        <w:t>Varia</w:t>
      </w:r>
      <w:r w:rsidR="004A5DF5">
        <w:softHyphen/>
      </w:r>
      <w:r w:rsidR="001D7907">
        <w:t>ble Resource Requirement curve to the left</w:t>
      </w:r>
      <w:r w:rsidR="00AD7E6A">
        <w:t>,</w:t>
      </w:r>
      <w:r w:rsidR="001D7907">
        <w:t xml:space="preserve"> </w:t>
      </w:r>
      <w:r w:rsidR="00AD7E6A">
        <w:t>lowering</w:t>
      </w:r>
      <w:r w:rsidR="001D7907">
        <w:t xml:space="preserve"> capacity </w:t>
      </w:r>
      <w:r w:rsidR="00AD7E6A">
        <w:t xml:space="preserve">costs </w:t>
      </w:r>
      <w:r w:rsidR="001D7907">
        <w:t>that a wholesale entity owes to PJM.</w:t>
      </w:r>
      <w:r w:rsidR="00743548">
        <w:rPr>
          <w:rStyle w:val="FootnoteReference"/>
        </w:rPr>
        <w:footnoteReference w:id="5"/>
      </w:r>
      <w:r w:rsidR="001D7907">
        <w:t xml:space="preserve">  </w:t>
      </w:r>
    </w:p>
    <w:p w:rsidR="003343D2" w:rsidRDefault="003343D2" w:rsidP="004C2408">
      <w:pPr>
        <w:pStyle w:val="Textstyle"/>
      </w:pPr>
      <w:r>
        <w:tab/>
        <w:t xml:space="preserve">PJM </w:t>
      </w:r>
      <w:r w:rsidR="00E71422">
        <w:t>proposes</w:t>
      </w:r>
      <w:r w:rsidR="00903B96">
        <w:t xml:space="preserve"> two </w:t>
      </w:r>
      <w:r w:rsidR="00E71422">
        <w:t xml:space="preserve">alternate </w:t>
      </w:r>
      <w:r w:rsidR="00903B96">
        <w:t xml:space="preserve">sets of </w:t>
      </w:r>
      <w:r w:rsidR="00AD7E6A">
        <w:t xml:space="preserve">tariff </w:t>
      </w:r>
      <w:r w:rsidR="00903B96">
        <w:t xml:space="preserve">revisions </w:t>
      </w:r>
      <w:r w:rsidR="00E71422">
        <w:t>in order to account for the</w:t>
      </w:r>
      <w:r w:rsidR="00903B96">
        <w:t xml:space="preserve"> pend</w:t>
      </w:r>
      <w:r w:rsidR="004A5DF5">
        <w:softHyphen/>
      </w:r>
      <w:r w:rsidR="00903B96">
        <w:t>ing Capacity Performance</w:t>
      </w:r>
      <w:r w:rsidR="00E826AD">
        <w:t xml:space="preserve"> proceeding</w:t>
      </w:r>
      <w:r w:rsidR="00903B96">
        <w:t>.</w:t>
      </w:r>
      <w:r w:rsidR="00903B96">
        <w:rPr>
          <w:rStyle w:val="FootnoteReference"/>
        </w:rPr>
        <w:footnoteReference w:id="6"/>
      </w:r>
      <w:r w:rsidR="00903B96">
        <w:t xml:space="preserve">  PJM requests that “Option A” be effective in the event </w:t>
      </w:r>
      <w:r w:rsidR="003B51DC">
        <w:t xml:space="preserve">that </w:t>
      </w:r>
      <w:r w:rsidR="00903B96">
        <w:t xml:space="preserve">the Commission </w:t>
      </w:r>
      <w:r w:rsidR="003B51DC">
        <w:t>has already approved</w:t>
      </w:r>
      <w:r w:rsidR="00903B96">
        <w:t xml:space="preserve"> Capacity Performance</w:t>
      </w:r>
      <w:r w:rsidR="00E71422">
        <w:t xml:space="preserve"> </w:t>
      </w:r>
      <w:r w:rsidR="003B51DC">
        <w:t xml:space="preserve">before the Court has denied </w:t>
      </w:r>
      <w:r w:rsidR="003B51DC">
        <w:rPr>
          <w:i/>
        </w:rPr>
        <w:t xml:space="preserve">certiorari </w:t>
      </w:r>
      <w:r w:rsidR="003B51DC">
        <w:t xml:space="preserve">or affirms the Court of Appeals Order.  </w:t>
      </w:r>
      <w:r w:rsidR="00903B96">
        <w:t>PJM’s Option A would create a base capacity WLR mechanism and a Capacity Performance WLR mechanism.</w:t>
      </w:r>
      <w:r w:rsidR="00743548">
        <w:rPr>
          <w:rStyle w:val="FootnoteReference"/>
        </w:rPr>
        <w:footnoteReference w:id="7"/>
      </w:r>
    </w:p>
    <w:p w:rsidR="00903B96" w:rsidRDefault="00903B96" w:rsidP="004C2408">
      <w:pPr>
        <w:pStyle w:val="Textstyle"/>
      </w:pPr>
      <w:r>
        <w:lastRenderedPageBreak/>
        <w:tab/>
        <w:t>In the event that the Commission has not yet acted on PJM’s Capacity Performance proposal or rejects Capacity Performance, PJM suggests that the Commission adopt “Option B” tariff revisions.  Under Optio</w:t>
      </w:r>
      <w:bookmarkStart w:id="2" w:name="_GoBack"/>
      <w:bookmarkEnd w:id="2"/>
      <w:r>
        <w:t xml:space="preserve">n B, PJM would utilize a Limited WLR, Extended Summer WLR, and Annual WLR mechanism </w:t>
      </w:r>
      <w:r w:rsidR="008E33CE">
        <w:t xml:space="preserve">in </w:t>
      </w:r>
      <w:r>
        <w:t>its RPM construct.</w:t>
      </w:r>
      <w:r w:rsidR="00743548">
        <w:rPr>
          <w:rStyle w:val="FootnoteReference"/>
        </w:rPr>
        <w:footnoteReference w:id="8"/>
      </w:r>
      <w:r>
        <w:t xml:space="preserve">  </w:t>
      </w:r>
    </w:p>
    <w:p w:rsidR="00903B96" w:rsidRDefault="00903B96" w:rsidP="004C2408">
      <w:pPr>
        <w:pStyle w:val="Textstyle"/>
      </w:pPr>
      <w:r>
        <w:tab/>
        <w:t xml:space="preserve">If the Court does </w:t>
      </w:r>
      <w:r w:rsidR="00ED2892">
        <w:t xml:space="preserve">not </w:t>
      </w:r>
      <w:r w:rsidR="002968D3">
        <w:t>take action</w:t>
      </w:r>
      <w:r>
        <w:t xml:space="preserve"> prior to April 1, 2015, PJM requests that the Com</w:t>
      </w:r>
      <w:r w:rsidR="004A5DF5">
        <w:softHyphen/>
      </w:r>
      <w:r>
        <w:t xml:space="preserve">mission accept, and subsequently suspend, this matter for five days.  PJM </w:t>
      </w:r>
      <w:r w:rsidR="002968D3">
        <w:t xml:space="preserve">explains </w:t>
      </w:r>
      <w:r>
        <w:t>that a five</w:t>
      </w:r>
      <w:r w:rsidR="0098247C">
        <w:t>-</w:t>
      </w:r>
      <w:r>
        <w:t>day suspension w</w:t>
      </w:r>
      <w:r w:rsidR="002F14E9">
        <w:t>ould</w:t>
      </w:r>
      <w:r>
        <w:t xml:space="preserve"> allow for PJM to </w:t>
      </w:r>
      <w:r w:rsidR="002968D3">
        <w:t xml:space="preserve">formalize </w:t>
      </w:r>
      <w:r>
        <w:t>a request to suspend the approved tariff revision until the Court takes action in EPSA.</w:t>
      </w:r>
      <w:r w:rsidR="00B66DA8">
        <w:t xml:space="preserve">  </w:t>
      </w:r>
      <w:r w:rsidR="008E33CE">
        <w:t>PJM</w:t>
      </w:r>
      <w:r>
        <w:t xml:space="preserve"> would maintain status quo</w:t>
      </w:r>
      <w:r w:rsidR="00D21DD0">
        <w:t>; d</w:t>
      </w:r>
      <w:r w:rsidR="008E33CE">
        <w:t xml:space="preserve">emand response would </w:t>
      </w:r>
      <w:r>
        <w:t>continue to participate on the supply side of RPM</w:t>
      </w:r>
      <w:r w:rsidR="001B7B30">
        <w:t xml:space="preserve"> for the May 2015 BRA</w:t>
      </w:r>
      <w:r>
        <w:t>.</w:t>
      </w:r>
      <w:r w:rsidR="00B66DA8">
        <w:rPr>
          <w:rStyle w:val="FootnoteReference"/>
        </w:rPr>
        <w:footnoteReference w:id="9"/>
      </w:r>
      <w:r>
        <w:t xml:space="preserve">  </w:t>
      </w:r>
    </w:p>
    <w:p w:rsidR="00903B96" w:rsidRDefault="00903B96" w:rsidP="004C2408">
      <w:pPr>
        <w:pStyle w:val="Textstyle"/>
      </w:pPr>
      <w:r>
        <w:tab/>
        <w:t xml:space="preserve">If the Court grants </w:t>
      </w:r>
      <w:r>
        <w:rPr>
          <w:i/>
        </w:rPr>
        <w:t xml:space="preserve">certiorari </w:t>
      </w:r>
      <w:r>
        <w:t xml:space="preserve">prior to April 1, 2015, PJM </w:t>
      </w:r>
      <w:r w:rsidR="001B7B30">
        <w:t>indicates that it will main</w:t>
      </w:r>
      <w:r w:rsidR="004A5DF5">
        <w:softHyphen/>
      </w:r>
      <w:r w:rsidR="001B7B30">
        <w:t>tain status quo and keep demand response resources on the supply side of RPM for the May 2015 BRA.</w:t>
      </w:r>
      <w:r w:rsidR="00B66DA8">
        <w:rPr>
          <w:rStyle w:val="FootnoteReference"/>
        </w:rPr>
        <w:footnoteReference w:id="10"/>
      </w:r>
      <w:r w:rsidR="001B7B30">
        <w:t xml:space="preserve"> </w:t>
      </w:r>
    </w:p>
    <w:p w:rsidR="001B7B30" w:rsidRDefault="001B7B30" w:rsidP="009B10A2">
      <w:pPr>
        <w:pStyle w:val="Heading1"/>
      </w:pPr>
      <w:bookmarkStart w:id="3" w:name="_Toc411581825"/>
      <w:r>
        <w:t>III.</w:t>
      </w:r>
      <w:r>
        <w:tab/>
      </w:r>
      <w:r w:rsidR="009B10A2">
        <w:t>COMMENTS AND LIMITED PROTEST</w:t>
      </w:r>
      <w:bookmarkEnd w:id="3"/>
    </w:p>
    <w:p w:rsidR="001B7B30" w:rsidRDefault="001B7B30" w:rsidP="004C2408">
      <w:pPr>
        <w:pStyle w:val="Textstyle"/>
      </w:pPr>
      <w:r>
        <w:tab/>
        <w:t xml:space="preserve">PJM’s proposal seeks to force the Commission into acting on </w:t>
      </w:r>
      <w:r w:rsidR="0098247C">
        <w:t xml:space="preserve">a </w:t>
      </w:r>
      <w:r w:rsidR="00F37667">
        <w:t>significant</w:t>
      </w:r>
      <w:r>
        <w:t xml:space="preserve"> tariff </w:t>
      </w:r>
      <w:r w:rsidR="00F37667">
        <w:t>modification</w:t>
      </w:r>
      <w:r>
        <w:t xml:space="preserve"> </w:t>
      </w:r>
      <w:r w:rsidR="002968D3">
        <w:t xml:space="preserve">prior to </w:t>
      </w:r>
      <w:r w:rsidR="00ED2892">
        <w:t xml:space="preserve">receiving </w:t>
      </w:r>
      <w:r w:rsidR="00F34776">
        <w:t xml:space="preserve">guidance from the Court.  PJM’s </w:t>
      </w:r>
      <w:r w:rsidR="002968D3">
        <w:t xml:space="preserve">proposal </w:t>
      </w:r>
      <w:r w:rsidR="00ED2892">
        <w:t xml:space="preserve">does not </w:t>
      </w:r>
      <w:r w:rsidR="002968D3">
        <w:t>contem</w:t>
      </w:r>
      <w:r w:rsidR="004A5DF5">
        <w:softHyphen/>
      </w:r>
      <w:r w:rsidR="002968D3">
        <w:t>plate whether other</w:t>
      </w:r>
      <w:r>
        <w:t xml:space="preserve"> options could be available in the event </w:t>
      </w:r>
      <w:r>
        <w:rPr>
          <w:i/>
        </w:rPr>
        <w:t xml:space="preserve">certiorari </w:t>
      </w:r>
      <w:r>
        <w:t xml:space="preserve">is ultimately denied.  </w:t>
      </w:r>
      <w:r>
        <w:lastRenderedPageBreak/>
        <w:t xml:space="preserve">Further, even if PJM’s proposal was not premature, it fails to </w:t>
      </w:r>
      <w:r w:rsidR="002968D3">
        <w:t xml:space="preserve">consider </w:t>
      </w:r>
      <w:r>
        <w:t>actions that its mem</w:t>
      </w:r>
      <w:r w:rsidR="004A5DF5">
        <w:softHyphen/>
      </w:r>
      <w:r>
        <w:t xml:space="preserve">ber </w:t>
      </w:r>
      <w:r w:rsidR="00947C78">
        <w:t>states</w:t>
      </w:r>
      <w:r>
        <w:t xml:space="preserve">, particularly restructured electricity </w:t>
      </w:r>
      <w:r w:rsidR="00947C78">
        <w:t>states</w:t>
      </w:r>
      <w:r>
        <w:t>, would need to take in order for its s</w:t>
      </w:r>
      <w:r w:rsidR="00F34776">
        <w:t>top-gap mechanism to achieve the</w:t>
      </w:r>
      <w:r>
        <w:t xml:space="preserve"> intended purpose</w:t>
      </w:r>
      <w:r w:rsidR="002968D3">
        <w:t xml:space="preserve"> of allowing demand response resources to participate in the May 2015 BRA</w:t>
      </w:r>
      <w:r>
        <w:t>.</w:t>
      </w:r>
    </w:p>
    <w:p w:rsidR="001B7B30" w:rsidRDefault="001B7B30" w:rsidP="009B10A2">
      <w:pPr>
        <w:pStyle w:val="Heading2"/>
      </w:pPr>
      <w:bookmarkStart w:id="4" w:name="_Toc411581826"/>
      <w:r>
        <w:t>A.</w:t>
      </w:r>
      <w:r>
        <w:tab/>
      </w:r>
      <w:r w:rsidRPr="004C2408">
        <w:t xml:space="preserve">Demand </w:t>
      </w:r>
      <w:r w:rsidR="009B10A2" w:rsidRPr="004C2408">
        <w:t xml:space="preserve">response has a role in </w:t>
      </w:r>
      <w:r w:rsidRPr="004C2408">
        <w:t xml:space="preserve">PJM’s </w:t>
      </w:r>
      <w:r w:rsidR="009B10A2" w:rsidRPr="004C2408">
        <w:t>markets</w:t>
      </w:r>
      <w:r w:rsidR="009B10A2">
        <w:t>.</w:t>
      </w:r>
      <w:bookmarkEnd w:id="4"/>
    </w:p>
    <w:p w:rsidR="00F37667" w:rsidRDefault="001B7B30" w:rsidP="004C2408">
      <w:pPr>
        <w:pStyle w:val="Textstyle"/>
      </w:pPr>
      <w:r>
        <w:rPr>
          <w:b/>
        </w:rPr>
        <w:tab/>
      </w:r>
      <w:r>
        <w:t>The PUCO has been supportive of PJM’s recent RPM reform</w:t>
      </w:r>
      <w:r w:rsidR="008E33CE">
        <w:t>s</w:t>
      </w:r>
      <w:r>
        <w:t xml:space="preserve"> that </w:t>
      </w:r>
      <w:r w:rsidR="002968D3">
        <w:t xml:space="preserve">have </w:t>
      </w:r>
      <w:r>
        <w:t>place</w:t>
      </w:r>
      <w:r w:rsidR="002968D3">
        <w:t>d</w:t>
      </w:r>
      <w:r>
        <w:t xml:space="preserve"> </w:t>
      </w:r>
      <w:r w:rsidR="00936166">
        <w:t>availability</w:t>
      </w:r>
      <w:r>
        <w:t xml:space="preserve"> requirements on dema</w:t>
      </w:r>
      <w:r w:rsidR="007C6E1D">
        <w:t>n</w:t>
      </w:r>
      <w:r w:rsidR="00936166">
        <w:t>d response resources in order to support</w:t>
      </w:r>
      <w:r w:rsidR="007C6E1D">
        <w:t xml:space="preserve"> reliability ini</w:t>
      </w:r>
      <w:r w:rsidR="004A5DF5">
        <w:softHyphen/>
      </w:r>
      <w:r w:rsidR="007C6E1D">
        <w:t>tiatives.</w:t>
      </w:r>
      <w:r w:rsidR="00F77EE8">
        <w:rPr>
          <w:rStyle w:val="FootnoteReference"/>
        </w:rPr>
        <w:footnoteReference w:id="11"/>
      </w:r>
      <w:r w:rsidR="007C6E1D">
        <w:t xml:space="preserve">  Compensating demand resources in a manner that reflects </w:t>
      </w:r>
      <w:r w:rsidR="002968D3">
        <w:t xml:space="preserve">its </w:t>
      </w:r>
      <w:r w:rsidR="007C6E1D">
        <w:t>value and role in ensuring PJM’s reliability is important</w:t>
      </w:r>
      <w:r w:rsidR="002968D3">
        <w:t xml:space="preserve">. </w:t>
      </w:r>
      <w:r w:rsidR="00E75FD9">
        <w:t>Accordingly, t</w:t>
      </w:r>
      <w:r w:rsidR="007C6E1D">
        <w:t>he PUCO believes that demand response should continue to</w:t>
      </w:r>
      <w:r w:rsidR="00654DD3">
        <w:t xml:space="preserve"> have a role in PJM’s markets.  </w:t>
      </w:r>
    </w:p>
    <w:p w:rsidR="001B7B30" w:rsidRDefault="00F37667" w:rsidP="004C2408">
      <w:pPr>
        <w:pStyle w:val="Textstyle"/>
      </w:pPr>
      <w:r>
        <w:tab/>
      </w:r>
      <w:r w:rsidR="007C6E1D">
        <w:t>Allowing demand response to be procured and dispatched at a regional level bene</w:t>
      </w:r>
      <w:r w:rsidR="004A5DF5">
        <w:softHyphen/>
      </w:r>
      <w:r w:rsidR="007C6E1D">
        <w:t xml:space="preserve">fits </w:t>
      </w:r>
      <w:r w:rsidR="002968D3">
        <w:t xml:space="preserve">Ohio.  Regional dispatch </w:t>
      </w:r>
      <w:r w:rsidR="007C6E1D">
        <w:t xml:space="preserve">is an efficient means </w:t>
      </w:r>
      <w:r w:rsidR="0098247C">
        <w:t>by</w:t>
      </w:r>
      <w:r w:rsidR="007C6E1D">
        <w:t xml:space="preserve"> which PJM can manage its load</w:t>
      </w:r>
      <w:r w:rsidR="008E33CE">
        <w:t xml:space="preserve"> and respond to emergencies</w:t>
      </w:r>
      <w:r w:rsidR="00936166">
        <w:t>.  While the PUCO believes that demand response resources play a valuable role in PJM’s markets,</w:t>
      </w:r>
      <w:r w:rsidR="007C6E1D">
        <w:t xml:space="preserve"> it does not necessarily oppose PJM’s proposal to create a WLR mechanism in the event there are jurisdictional changes.  However, it is not app</w:t>
      </w:r>
      <w:r w:rsidR="00936166">
        <w:t>ro</w:t>
      </w:r>
      <w:r w:rsidR="004A5DF5">
        <w:softHyphen/>
      </w:r>
      <w:r w:rsidR="00936166">
        <w:t xml:space="preserve">priate to consider any changes to </w:t>
      </w:r>
      <w:r w:rsidR="007C6E1D">
        <w:t xml:space="preserve">RPM until there is </w:t>
      </w:r>
      <w:r w:rsidR="00654DD3">
        <w:t>guidance</w:t>
      </w:r>
      <w:r w:rsidR="007C6E1D">
        <w:t xml:space="preserve"> from the Court</w:t>
      </w:r>
      <w:r w:rsidR="00464CFD">
        <w:t>.</w:t>
      </w:r>
      <w:r w:rsidR="007C6E1D">
        <w:t xml:space="preserve"> </w:t>
      </w:r>
    </w:p>
    <w:p w:rsidR="007C6E1D" w:rsidRPr="004C2408" w:rsidRDefault="007C6E1D" w:rsidP="009B10A2">
      <w:pPr>
        <w:pStyle w:val="Heading2"/>
      </w:pPr>
      <w:bookmarkStart w:id="5" w:name="_Toc411581827"/>
      <w:r>
        <w:lastRenderedPageBreak/>
        <w:t>B.</w:t>
      </w:r>
      <w:r>
        <w:tab/>
      </w:r>
      <w:r w:rsidRPr="004C2408">
        <w:t xml:space="preserve">PJM’s </w:t>
      </w:r>
      <w:r w:rsidR="009B10A2" w:rsidRPr="004C2408">
        <w:t>proposal amounts to a substant</w:t>
      </w:r>
      <w:r w:rsidR="009B10A2">
        <w:t>ial tariff revi</w:t>
      </w:r>
      <w:r w:rsidR="004A5DF5">
        <w:softHyphen/>
      </w:r>
      <w:r w:rsidR="00646554">
        <w:t xml:space="preserve">sion based on </w:t>
      </w:r>
      <w:r w:rsidR="009B10A2" w:rsidRPr="004C2408">
        <w:t>speculative outcomes of two pend</w:t>
      </w:r>
      <w:r w:rsidR="004A5DF5">
        <w:softHyphen/>
      </w:r>
      <w:r w:rsidR="009B10A2" w:rsidRPr="004C2408">
        <w:t>ing proceedings</w:t>
      </w:r>
      <w:r w:rsidR="009B10A2">
        <w:t>.</w:t>
      </w:r>
      <w:bookmarkEnd w:id="5"/>
    </w:p>
    <w:p w:rsidR="000E6F0B" w:rsidRDefault="00D24568" w:rsidP="004C2408">
      <w:pPr>
        <w:pStyle w:val="Textstyle"/>
      </w:pPr>
      <w:r>
        <w:rPr>
          <w:b/>
        </w:rPr>
        <w:tab/>
      </w:r>
      <w:r w:rsidR="000E6F0B">
        <w:t>The proposed stop-gap mechanism implicitly pressures the Commission into hand</w:t>
      </w:r>
      <w:r w:rsidR="004A5DF5">
        <w:softHyphen/>
      </w:r>
      <w:r w:rsidR="000E6F0B">
        <w:t xml:space="preserve">ing off all discretion on the treatment of demand </w:t>
      </w:r>
      <w:r w:rsidR="00A92C5D">
        <w:t xml:space="preserve">response </w:t>
      </w:r>
      <w:r w:rsidR="000E6F0B">
        <w:t xml:space="preserve">resources to PJM.  First, the stop-gap mechanism seeks to implement a tariff based on how the Court </w:t>
      </w:r>
      <w:r w:rsidR="000E6F0B" w:rsidRPr="004B3345">
        <w:rPr>
          <w:i/>
        </w:rPr>
        <w:t>may</w:t>
      </w:r>
      <w:r w:rsidR="000E6F0B">
        <w:t xml:space="preserve"> </w:t>
      </w:r>
      <w:r w:rsidR="00464CFD">
        <w:t xml:space="preserve">treat petitions for </w:t>
      </w:r>
      <w:r w:rsidR="00464CFD" w:rsidRPr="004B3345">
        <w:rPr>
          <w:i/>
        </w:rPr>
        <w:t>certiorari</w:t>
      </w:r>
      <w:r w:rsidR="00464CFD" w:rsidRPr="00464CFD">
        <w:t>.</w:t>
      </w:r>
      <w:r w:rsidR="00654DD3">
        <w:t xml:space="preserve">  </w:t>
      </w:r>
      <w:r w:rsidR="000E6F0B">
        <w:t xml:space="preserve">It is currently unknown, and may </w:t>
      </w:r>
      <w:r w:rsidR="00464CFD">
        <w:t>not be known</w:t>
      </w:r>
      <w:r w:rsidR="000E6F0B">
        <w:t xml:space="preserve"> for a period of time, how the Court will respond to petitions for </w:t>
      </w:r>
      <w:r w:rsidR="000E6F0B">
        <w:rPr>
          <w:i/>
        </w:rPr>
        <w:t xml:space="preserve">certiorari.  </w:t>
      </w:r>
      <w:r w:rsidR="000E6F0B">
        <w:t>Nonetheless, PJM wrongfully believes that</w:t>
      </w:r>
      <w:r w:rsidR="00464CFD">
        <w:t xml:space="preserve"> </w:t>
      </w:r>
      <w:r w:rsidR="00BB1643">
        <w:t xml:space="preserve">a </w:t>
      </w:r>
      <w:r w:rsidR="00464CFD">
        <w:t xml:space="preserve">preemptive </w:t>
      </w:r>
      <w:r w:rsidR="000E6F0B">
        <w:t xml:space="preserve">tariff </w:t>
      </w:r>
      <w:r w:rsidR="00464CFD">
        <w:t xml:space="preserve">approval </w:t>
      </w:r>
      <w:r w:rsidR="000E6F0B">
        <w:t xml:space="preserve">will </w:t>
      </w:r>
      <w:r w:rsidR="00BB1643">
        <w:t>ensure a</w:t>
      </w:r>
      <w:r w:rsidR="000E6F0B">
        <w:t xml:space="preserve"> just </w:t>
      </w:r>
      <w:r w:rsidR="001E6072">
        <w:t>and reasonable BRA in May 2015.</w:t>
      </w:r>
    </w:p>
    <w:p w:rsidR="001E6072" w:rsidRDefault="000E6F0B" w:rsidP="004C2408">
      <w:pPr>
        <w:pStyle w:val="Textstyle"/>
      </w:pPr>
      <w:r>
        <w:tab/>
        <w:t xml:space="preserve">Second, PJM </w:t>
      </w:r>
      <w:r w:rsidR="0035203E">
        <w:t>outlines</w:t>
      </w:r>
      <w:r w:rsidR="00502B22">
        <w:t xml:space="preserve"> two proposed tariff revisions, Option A and Option B.  Not</w:t>
      </w:r>
      <w:r w:rsidR="004A5DF5">
        <w:softHyphen/>
      </w:r>
      <w:r w:rsidR="00502B22">
        <w:t xml:space="preserve">withstanding the fact that the Commission would not know which tariff it was ultimately approving under PJM’s proposal, PJM actually </w:t>
      </w:r>
      <w:r w:rsidR="00502B22" w:rsidRPr="00502B22">
        <w:rPr>
          <w:i/>
        </w:rPr>
        <w:t>creates</w:t>
      </w:r>
      <w:r w:rsidR="00502B22">
        <w:rPr>
          <w:i/>
        </w:rPr>
        <w:t xml:space="preserve"> </w:t>
      </w:r>
      <w:r w:rsidR="00502B22">
        <w:t xml:space="preserve">the possibility of </w:t>
      </w:r>
      <w:r w:rsidR="00464CFD">
        <w:t xml:space="preserve">additional </w:t>
      </w:r>
      <w:r w:rsidR="00502B22">
        <w:t xml:space="preserve">market uncertainty.  If the Commission has not issued an order on Capacity Performance by April 1, 2015, PJM’s proposal would default to </w:t>
      </w:r>
      <w:r w:rsidR="00464CFD">
        <w:t xml:space="preserve">Option </w:t>
      </w:r>
      <w:r w:rsidR="00502B22">
        <w:t>B</w:t>
      </w:r>
      <w:r w:rsidR="00464CFD">
        <w:t>, creating</w:t>
      </w:r>
      <w:r w:rsidR="00502B22">
        <w:t xml:space="preserve"> three different types of WLR.  However, if the Commission were to approve Capacity Performance after April 1, 2015, but prior to the May 2015 BRA, Option A would become effective concurrently with Capacity Performance.  This would change the three types of WLR to two types of WLR: </w:t>
      </w:r>
      <w:r w:rsidR="0035203E">
        <w:t xml:space="preserve">Base </w:t>
      </w:r>
      <w:r w:rsidR="00502B22">
        <w:t xml:space="preserve">WLR </w:t>
      </w:r>
      <w:r w:rsidR="001E6072">
        <w:t xml:space="preserve">and Capacity Performance WLR.  Because PJM proposes to assign a “WLR Value” to different WLR products, this automatic shift from one tariff to another </w:t>
      </w:r>
      <w:r w:rsidR="00F62F04">
        <w:t xml:space="preserve">will </w:t>
      </w:r>
      <w:r w:rsidR="001E6072">
        <w:t>cause market uncertainty.</w:t>
      </w:r>
      <w:r w:rsidR="001E6072">
        <w:rPr>
          <w:rStyle w:val="FootnoteReference"/>
        </w:rPr>
        <w:footnoteReference w:id="12"/>
      </w:r>
      <w:r w:rsidR="00077001">
        <w:t xml:space="preserve"> </w:t>
      </w:r>
    </w:p>
    <w:p w:rsidR="000D4837" w:rsidRDefault="00077001" w:rsidP="004C2408">
      <w:pPr>
        <w:pStyle w:val="Textstyle"/>
      </w:pPr>
      <w:r>
        <w:lastRenderedPageBreak/>
        <w:tab/>
        <w:t>It is unreasonable for PJ</w:t>
      </w:r>
      <w:r w:rsidR="000D4837">
        <w:t xml:space="preserve">M to request </w:t>
      </w:r>
      <w:r w:rsidR="0035203E">
        <w:t>approval of</w:t>
      </w:r>
      <w:r w:rsidR="000D4837">
        <w:t xml:space="preserve"> </w:t>
      </w:r>
      <w:r w:rsidR="00464CFD">
        <w:t xml:space="preserve">such </w:t>
      </w:r>
      <w:r w:rsidR="000D4837">
        <w:t>a transformative tariff revi</w:t>
      </w:r>
      <w:r w:rsidR="004A5DF5">
        <w:softHyphen/>
      </w:r>
      <w:r w:rsidR="000D4837">
        <w:t>sion that has not been vetted by States or stakeholders, particularly when it depends on unknown outcomes of two separate proceedings.</w:t>
      </w:r>
      <w:r w:rsidR="00564E5A">
        <w:rPr>
          <w:rStyle w:val="FootnoteReference"/>
        </w:rPr>
        <w:footnoteReference w:id="13"/>
      </w:r>
      <w:r w:rsidR="000D4837">
        <w:t xml:space="preserve">  Accordingly, the Commission should hold PJM’s request in abeyance</w:t>
      </w:r>
      <w:r w:rsidR="000D4837" w:rsidRPr="000D4837">
        <w:t xml:space="preserve"> </w:t>
      </w:r>
      <w:r w:rsidR="000D4837">
        <w:t xml:space="preserve">until the Court takes affirmative action by either denying </w:t>
      </w:r>
      <w:r w:rsidR="000D4837">
        <w:rPr>
          <w:i/>
        </w:rPr>
        <w:t xml:space="preserve">certiorari </w:t>
      </w:r>
      <w:r w:rsidR="000D4837">
        <w:t>or issu</w:t>
      </w:r>
      <w:r w:rsidR="00654DD3">
        <w:t>ing</w:t>
      </w:r>
      <w:r w:rsidR="000D4837">
        <w:t xml:space="preserve"> an order on the merits of the EPSA proceeding. </w:t>
      </w:r>
    </w:p>
    <w:p w:rsidR="00C94941" w:rsidRDefault="004D7B01" w:rsidP="009B10A2">
      <w:pPr>
        <w:pStyle w:val="Heading2"/>
      </w:pPr>
      <w:bookmarkStart w:id="6" w:name="_Toc411581828"/>
      <w:r>
        <w:t>C.</w:t>
      </w:r>
      <w:r>
        <w:tab/>
      </w:r>
      <w:r w:rsidR="00C94941" w:rsidRPr="004C2408">
        <w:t xml:space="preserve">Even if the Court </w:t>
      </w:r>
      <w:r w:rsidR="009B10A2" w:rsidRPr="004C2408">
        <w:t xml:space="preserve">denies </w:t>
      </w:r>
      <w:r w:rsidR="00C94941" w:rsidRPr="004C2408">
        <w:t xml:space="preserve">EPSA </w:t>
      </w:r>
      <w:r w:rsidR="009B10A2" w:rsidRPr="004C2408">
        <w:t>review</w:t>
      </w:r>
      <w:r w:rsidR="00C94941" w:rsidRPr="004C2408">
        <w:t xml:space="preserve">, PJM </w:t>
      </w:r>
      <w:r w:rsidR="009B10A2">
        <w:t xml:space="preserve">fails to contemplate that </w:t>
      </w:r>
      <w:r w:rsidR="009B10A2" w:rsidRPr="004C2408">
        <w:t>restructured states need time to respond to jurisdictional changes</w:t>
      </w:r>
      <w:r w:rsidR="009B10A2">
        <w:t>.</w:t>
      </w:r>
      <w:bookmarkEnd w:id="6"/>
      <w:r w:rsidR="00C94941">
        <w:t xml:space="preserve"> </w:t>
      </w:r>
      <w:r w:rsidR="00BA343B">
        <w:t xml:space="preserve"> </w:t>
      </w:r>
    </w:p>
    <w:p w:rsidR="004C2408" w:rsidRDefault="00C94941" w:rsidP="004C2408">
      <w:pPr>
        <w:pStyle w:val="Textstyle"/>
      </w:pPr>
      <w:r>
        <w:tab/>
        <w:t>Despite its good intentions to implement a wholesale load reduction alternative in the event the Court decides not consider EPSA, PJM</w:t>
      </w:r>
      <w:r w:rsidR="0098247C">
        <w:t>’s</w:t>
      </w:r>
      <w:r>
        <w:t xml:space="preserve"> proposal fails to recognize that restructured electric states may not have programs or incentives in place that </w:t>
      </w:r>
      <w:r w:rsidR="00464CFD">
        <w:t xml:space="preserve">could </w:t>
      </w:r>
      <w:r>
        <w:t xml:space="preserve">support </w:t>
      </w:r>
      <w:r w:rsidR="00654DD3">
        <w:t xml:space="preserve">WLR.  </w:t>
      </w:r>
      <w:r>
        <w:t xml:space="preserve">In a recent presentation to the Organization of PJM States (OPSI), PJM </w:t>
      </w:r>
      <w:r w:rsidR="00464CFD">
        <w:t xml:space="preserve">laid </w:t>
      </w:r>
      <w:r>
        <w:t xml:space="preserve">out a “continuum of opportunities” for deregulated retail electricity jurisdictions to </w:t>
      </w:r>
      <w:r w:rsidR="00464CFD">
        <w:t>consider</w:t>
      </w:r>
      <w:r>
        <w:t xml:space="preserve"> in the event </w:t>
      </w:r>
      <w:r>
        <w:rPr>
          <w:i/>
        </w:rPr>
        <w:t xml:space="preserve">certiorari </w:t>
      </w:r>
      <w:r>
        <w:t>is denied.</w:t>
      </w:r>
      <w:r w:rsidR="007C79C8">
        <w:rPr>
          <w:rStyle w:val="FootnoteReference"/>
        </w:rPr>
        <w:footnoteReference w:id="14"/>
      </w:r>
      <w:r>
        <w:t xml:space="preserve">  Specifically, PJM’s </w:t>
      </w:r>
      <w:r w:rsidR="00064C9E">
        <w:t>pointed out that several options are available, including</w:t>
      </w:r>
      <w:r>
        <w:t>:</w:t>
      </w:r>
    </w:p>
    <w:p w:rsidR="00483038" w:rsidRDefault="00483038" w:rsidP="004C2408">
      <w:pPr>
        <w:pStyle w:val="Textstyle"/>
      </w:pPr>
    </w:p>
    <w:p w:rsidR="00483038" w:rsidRDefault="00483038" w:rsidP="004C2408">
      <w:pPr>
        <w:pStyle w:val="Textstyle"/>
      </w:pPr>
    </w:p>
    <w:p w:rsidR="00483038" w:rsidRDefault="00483038" w:rsidP="004C2408">
      <w:pPr>
        <w:pStyle w:val="Textstyle"/>
      </w:pPr>
    </w:p>
    <w:p w:rsidR="00C94941" w:rsidRDefault="00C94941" w:rsidP="00165191">
      <w:pPr>
        <w:pStyle w:val="Textstyle"/>
        <w:numPr>
          <w:ilvl w:val="0"/>
          <w:numId w:val="1"/>
        </w:numPr>
        <w:ind w:left="1440" w:hanging="720"/>
      </w:pPr>
      <w:r>
        <w:lastRenderedPageBreak/>
        <w:t>LSEs work out their own commercial arrangements</w:t>
      </w:r>
      <w:r w:rsidR="007C79C8">
        <w:t>;</w:t>
      </w:r>
    </w:p>
    <w:p w:rsidR="00C94941" w:rsidRDefault="00464CFD" w:rsidP="00165191">
      <w:pPr>
        <w:pStyle w:val="Textstyle"/>
        <w:numPr>
          <w:ilvl w:val="0"/>
          <w:numId w:val="1"/>
        </w:numPr>
        <w:ind w:left="1440" w:hanging="720"/>
      </w:pPr>
      <w:r>
        <w:t>States m</w:t>
      </w:r>
      <w:r w:rsidR="00C94941">
        <w:t xml:space="preserve">odify standard service offer agreements </w:t>
      </w:r>
      <w:r>
        <w:t xml:space="preserve">to allow </w:t>
      </w:r>
      <w:r w:rsidR="00C94941">
        <w:t xml:space="preserve">auction winners </w:t>
      </w:r>
      <w:r>
        <w:t xml:space="preserve">to </w:t>
      </w:r>
      <w:r w:rsidR="00C94941">
        <w:t>accept and pay electric distribution utilities for demand response and energy efficiency</w:t>
      </w:r>
      <w:r w:rsidR="007C79C8">
        <w:t>;</w:t>
      </w:r>
    </w:p>
    <w:p w:rsidR="00C94941" w:rsidRDefault="00464CFD" w:rsidP="00165191">
      <w:pPr>
        <w:pStyle w:val="Textstyle"/>
        <w:numPr>
          <w:ilvl w:val="0"/>
          <w:numId w:val="1"/>
        </w:numPr>
        <w:ind w:left="1440" w:hanging="720"/>
      </w:pPr>
      <w:r>
        <w:t>States d</w:t>
      </w:r>
      <w:r w:rsidR="00C94941">
        <w:t>evelop standard contract terms to facilitate commercial agreements</w:t>
      </w:r>
      <w:r w:rsidR="007C79C8">
        <w:t>;</w:t>
      </w:r>
    </w:p>
    <w:p w:rsidR="00C94941" w:rsidRDefault="00464CFD" w:rsidP="00165191">
      <w:pPr>
        <w:pStyle w:val="Textstyle"/>
        <w:numPr>
          <w:ilvl w:val="0"/>
          <w:numId w:val="1"/>
        </w:numPr>
        <w:ind w:left="1440" w:hanging="720"/>
      </w:pPr>
      <w:r>
        <w:t>States d</w:t>
      </w:r>
      <w:r w:rsidR="00C94941">
        <w:t>evelop and approve any necessary retail market rules t</w:t>
      </w:r>
      <w:r w:rsidR="007558F1">
        <w:t>o</w:t>
      </w:r>
      <w:r w:rsidR="00C94941">
        <w:t xml:space="preserve"> facilitate commercial arrangements</w:t>
      </w:r>
      <w:r w:rsidR="007C79C8">
        <w:t>;</w:t>
      </w:r>
    </w:p>
    <w:p w:rsidR="00C94941" w:rsidRDefault="00464CFD" w:rsidP="00165191">
      <w:pPr>
        <w:pStyle w:val="Textstyle"/>
        <w:numPr>
          <w:ilvl w:val="0"/>
          <w:numId w:val="1"/>
        </w:numPr>
        <w:ind w:left="1440" w:hanging="720"/>
      </w:pPr>
      <w:r>
        <w:t xml:space="preserve">States mandate that </w:t>
      </w:r>
      <w:r w:rsidR="00C94941">
        <w:t>retail LSEs accept and procure demand response and energy efficiency</w:t>
      </w:r>
      <w:r>
        <w:t xml:space="preserve"> products</w:t>
      </w:r>
      <w:r w:rsidR="00C94941">
        <w:t xml:space="preserve"> through retail curtailment service provide</w:t>
      </w:r>
      <w:r w:rsidR="0035203E">
        <w:t>r</w:t>
      </w:r>
      <w:r w:rsidR="00C94941">
        <w:t>s</w:t>
      </w:r>
      <w:r w:rsidR="007C79C8">
        <w:t>.</w:t>
      </w:r>
    </w:p>
    <w:p w:rsidR="004C2408" w:rsidRDefault="004C2408" w:rsidP="004C2408">
      <w:pPr>
        <w:pStyle w:val="Textstyle"/>
      </w:pPr>
      <w:r>
        <w:tab/>
      </w:r>
      <w:r w:rsidR="00C94941">
        <w:t>With the exception of allowing LSEs to establish their own commercial arrange</w:t>
      </w:r>
      <w:r w:rsidR="004A5DF5">
        <w:softHyphen/>
      </w:r>
      <w:r w:rsidR="00C94941">
        <w:t>ments, ever</w:t>
      </w:r>
      <w:r>
        <w:t>y</w:t>
      </w:r>
      <w:r w:rsidR="00C94941">
        <w:t xml:space="preserve"> option PJM </w:t>
      </w:r>
      <w:r>
        <w:t>provides in its “continuum of opportunities” requires change</w:t>
      </w:r>
      <w:r w:rsidR="00464CFD">
        <w:t>s</w:t>
      </w:r>
      <w:r>
        <w:t xml:space="preserve"> </w:t>
      </w:r>
      <w:r w:rsidR="00464CFD">
        <w:t xml:space="preserve">to </w:t>
      </w:r>
      <w:r>
        <w:t xml:space="preserve">state laws </w:t>
      </w:r>
      <w:r w:rsidR="00464CFD">
        <w:t xml:space="preserve">or regulatory </w:t>
      </w:r>
      <w:r>
        <w:t xml:space="preserve">policies that cannot be contemplated </w:t>
      </w:r>
      <w:r w:rsidR="00464CFD">
        <w:t>in time for the</w:t>
      </w:r>
      <w:r>
        <w:t xml:space="preserve"> May 2015 BRA.  While it is certainly ambitious for PJM to believe that its stop-gap mechanism will protect consumers from over-procurement and higher prices, such an outcome is not pos</w:t>
      </w:r>
      <w:r w:rsidR="004A5DF5">
        <w:softHyphen/>
      </w:r>
      <w:r>
        <w:t xml:space="preserve">sible under these significant time constraints.  </w:t>
      </w:r>
    </w:p>
    <w:p w:rsidR="004C2408" w:rsidRDefault="004C2408" w:rsidP="004C2408">
      <w:pPr>
        <w:pStyle w:val="Textstyle"/>
      </w:pPr>
      <w:r>
        <w:tab/>
      </w:r>
      <w:r w:rsidR="002A3D92">
        <w:t>The</w:t>
      </w:r>
      <w:r>
        <w:t xml:space="preserve"> Commission </w:t>
      </w:r>
      <w:r w:rsidR="002A3D92">
        <w:t xml:space="preserve">does not need to rush to judgment and </w:t>
      </w:r>
      <w:r>
        <w:t>should hold PJM’s proposal in abeyance</w:t>
      </w:r>
      <w:r w:rsidR="002A3D92">
        <w:t xml:space="preserve">. </w:t>
      </w:r>
      <w:r>
        <w:t xml:space="preserve"> </w:t>
      </w:r>
      <w:r w:rsidR="002A3D92">
        <w:t>Additional</w:t>
      </w:r>
      <w:r w:rsidR="00F62F04">
        <w:t xml:space="preserve"> time </w:t>
      </w:r>
      <w:r>
        <w:t xml:space="preserve">will allow for </w:t>
      </w:r>
      <w:r w:rsidR="004D1D86">
        <w:t xml:space="preserve">the Commission, </w:t>
      </w:r>
      <w:r w:rsidR="00947C78">
        <w:t>states</w:t>
      </w:r>
      <w:r w:rsidR="004D1D86">
        <w:t>,</w:t>
      </w:r>
      <w:r>
        <w:t xml:space="preserve"> </w:t>
      </w:r>
      <w:r w:rsidR="004D1D86">
        <w:t xml:space="preserve">and stakeholders </w:t>
      </w:r>
      <w:r>
        <w:t xml:space="preserve">to refine the proposed WLR mechanism </w:t>
      </w:r>
      <w:r w:rsidR="002A3D92">
        <w:t xml:space="preserve">and contemplate alternatives to promote </w:t>
      </w:r>
      <w:r>
        <w:t xml:space="preserve">just and reasonable BRA results in the event the Court denies </w:t>
      </w:r>
      <w:r>
        <w:rPr>
          <w:i/>
        </w:rPr>
        <w:t xml:space="preserve">certiorari </w:t>
      </w:r>
      <w:r>
        <w:t xml:space="preserve">or affirms the </w:t>
      </w:r>
      <w:r w:rsidR="002A3D92">
        <w:t xml:space="preserve">Court of Appeals order.  </w:t>
      </w:r>
      <w:r w:rsidR="006D6DAC">
        <w:t xml:space="preserve">Further, maintaining status quo until the Court acts will promote market certainty to facilitate just and reasonable prices in the May 2015 BRA. </w:t>
      </w:r>
      <w:r>
        <w:t xml:space="preserve"> </w:t>
      </w:r>
    </w:p>
    <w:p w:rsidR="004C2408" w:rsidRDefault="004C2408" w:rsidP="009B10A2">
      <w:pPr>
        <w:pStyle w:val="Heading1"/>
      </w:pPr>
      <w:bookmarkStart w:id="7" w:name="_Toc411581829"/>
      <w:r>
        <w:lastRenderedPageBreak/>
        <w:t>IV.</w:t>
      </w:r>
      <w:r>
        <w:tab/>
      </w:r>
      <w:r w:rsidR="009B10A2">
        <w:t>CONCLUSION</w:t>
      </w:r>
      <w:bookmarkEnd w:id="7"/>
    </w:p>
    <w:p w:rsidR="004C2408" w:rsidRDefault="004C2408" w:rsidP="004C2408">
      <w:pPr>
        <w:pStyle w:val="Textstyle"/>
      </w:pPr>
      <w:r>
        <w:rPr>
          <w:b/>
        </w:rPr>
        <w:tab/>
      </w:r>
      <w:r>
        <w:t xml:space="preserve">The PUCO respectfully requests that the Commission hold PJM’s stop-gap proposal in abeyance until the Court takes affirmative action by either denying </w:t>
      </w:r>
      <w:r>
        <w:rPr>
          <w:i/>
        </w:rPr>
        <w:t xml:space="preserve">certiorari </w:t>
      </w:r>
      <w:r>
        <w:t>or issu</w:t>
      </w:r>
      <w:r w:rsidR="00502E3D">
        <w:t>ing</w:t>
      </w:r>
      <w:r>
        <w:t xml:space="preserve"> an order on the merits of the EPSA proceeding.  The Commission should not be forced to approve a tariff without knowing the outcome of the Court’s review of EPSA or </w:t>
      </w:r>
      <w:r w:rsidR="002A3D92">
        <w:t>before</w:t>
      </w:r>
      <w:r w:rsidR="006D6DAC">
        <w:t xml:space="preserve"> </w:t>
      </w:r>
      <w:r>
        <w:t>an order on PJM’s proposed Capacity Performance mechanism</w:t>
      </w:r>
      <w:r w:rsidR="002A3D92">
        <w:t xml:space="preserve"> is issued</w:t>
      </w:r>
      <w:r>
        <w:t>.  Contrary to PJM’s assertio</w:t>
      </w:r>
      <w:r w:rsidR="00F95924">
        <w:t xml:space="preserve">n that time is of the essence, </w:t>
      </w:r>
      <w:r>
        <w:t xml:space="preserve">PJM fails to consider that restructured electricity states cannot wave a magic wand </w:t>
      </w:r>
      <w:r w:rsidR="00F95924">
        <w:t xml:space="preserve">and have programs in place </w:t>
      </w:r>
      <w:r w:rsidR="00064C9E">
        <w:t xml:space="preserve">prior to the May 2015 BRA </w:t>
      </w:r>
      <w:r w:rsidR="00F62F04">
        <w:t xml:space="preserve">that </w:t>
      </w:r>
      <w:r w:rsidR="00F95924">
        <w:t>will fully incorporate WLR.  Demand response plays a</w:t>
      </w:r>
      <w:r w:rsidR="002A3D92">
        <w:t>n essential</w:t>
      </w:r>
      <w:r w:rsidR="00F95924">
        <w:t xml:space="preserve"> role in PJM, and it is important for </w:t>
      </w:r>
      <w:r w:rsidR="000B490C">
        <w:t>s</w:t>
      </w:r>
      <w:r w:rsidR="00F95924">
        <w:t xml:space="preserve">tates and stakeholders to have the opportunity to fully contemplate the best means to address matters of technical precision and national importance.  </w:t>
      </w:r>
    </w:p>
    <w:p w:rsidR="00F95924" w:rsidRPr="00B0204D" w:rsidRDefault="00F95924" w:rsidP="00F95924">
      <w:pPr>
        <w:ind w:left="3600"/>
        <w:rPr>
          <w:rFonts w:ascii="Times New Roman" w:hAnsi="Times New Roman" w:cs="Times New Roman"/>
          <w:sz w:val="26"/>
          <w:szCs w:val="26"/>
        </w:rPr>
      </w:pPr>
      <w:r>
        <w:rPr>
          <w:rFonts w:ascii="Times New Roman" w:hAnsi="Times New Roman" w:cs="Times New Roman"/>
          <w:sz w:val="26"/>
          <w:szCs w:val="26"/>
        </w:rPr>
        <w:tab/>
      </w:r>
      <w:r w:rsidRPr="00B0204D">
        <w:rPr>
          <w:rFonts w:ascii="Times New Roman" w:hAnsi="Times New Roman" w:cs="Times New Roman"/>
          <w:sz w:val="26"/>
          <w:szCs w:val="26"/>
        </w:rPr>
        <w:t>Respectfully submitted,</w:t>
      </w:r>
    </w:p>
    <w:p w:rsidR="009B10A2" w:rsidRPr="009B10A2" w:rsidRDefault="009B10A2" w:rsidP="009B10A2">
      <w:pPr>
        <w:pStyle w:val="NoSpacing"/>
        <w:tabs>
          <w:tab w:val="left" w:pos="9360"/>
        </w:tabs>
        <w:ind w:left="3600" w:right="0" w:firstLine="720"/>
        <w:rPr>
          <w:rFonts w:ascii="AR BERKLEY" w:hAnsi="AR BERKLEY"/>
          <w:sz w:val="32"/>
          <w:szCs w:val="32"/>
          <w:u w:val="single"/>
        </w:rPr>
      </w:pPr>
      <w:r w:rsidRPr="009B10A2">
        <w:rPr>
          <w:rFonts w:ascii="AR BERKLEY" w:hAnsi="AR BERKLEY"/>
          <w:sz w:val="32"/>
          <w:szCs w:val="32"/>
          <w:u w:val="single"/>
        </w:rPr>
        <w:t>/s/ Jonathan J. Tauber</w:t>
      </w:r>
      <w:r w:rsidRPr="009B10A2">
        <w:rPr>
          <w:rFonts w:ascii="AR BERKLEY" w:hAnsi="AR BERKLEY"/>
          <w:sz w:val="32"/>
          <w:szCs w:val="32"/>
          <w:u w:val="single"/>
        </w:rPr>
        <w:tab/>
      </w:r>
    </w:p>
    <w:p w:rsidR="00F95924" w:rsidRPr="001F459A" w:rsidRDefault="00F95924" w:rsidP="00F95924">
      <w:pPr>
        <w:pStyle w:val="NoSpacing"/>
        <w:ind w:left="3600" w:firstLine="720"/>
        <w:jc w:val="left"/>
        <w:rPr>
          <w:b/>
        </w:rPr>
      </w:pPr>
      <w:r w:rsidRPr="001F459A">
        <w:rPr>
          <w:b/>
        </w:rPr>
        <w:t>Jonathan J. Tauber</w:t>
      </w:r>
    </w:p>
    <w:p w:rsidR="00F95924" w:rsidRPr="008E24CC" w:rsidRDefault="00F95924" w:rsidP="00F95924">
      <w:pPr>
        <w:pStyle w:val="NoSpacing"/>
        <w:ind w:left="3600" w:firstLine="720"/>
        <w:jc w:val="left"/>
      </w:pPr>
      <w:r w:rsidRPr="008E24CC">
        <w:t>Ohio Federal Energy Advocate</w:t>
      </w:r>
    </w:p>
    <w:p w:rsidR="00F95924" w:rsidRPr="008E24CC" w:rsidRDefault="00F95924" w:rsidP="00F95924">
      <w:pPr>
        <w:pStyle w:val="NoSpacing"/>
        <w:ind w:left="3600" w:firstLine="720"/>
        <w:jc w:val="left"/>
      </w:pPr>
      <w:r w:rsidRPr="008E24CC">
        <w:t>Public Utilities Commission of Ohio</w:t>
      </w:r>
    </w:p>
    <w:p w:rsidR="00F95924" w:rsidRPr="008E24CC" w:rsidRDefault="00F95924" w:rsidP="00F95924">
      <w:pPr>
        <w:pStyle w:val="NoSpacing"/>
        <w:ind w:left="3600" w:firstLine="720"/>
        <w:jc w:val="left"/>
      </w:pPr>
      <w:r w:rsidRPr="008E24CC">
        <w:t>180 East Broad Street</w:t>
      </w:r>
    </w:p>
    <w:p w:rsidR="00F95924" w:rsidRPr="008E24CC" w:rsidRDefault="00F95924" w:rsidP="00F95924">
      <w:pPr>
        <w:pStyle w:val="NoSpacing"/>
        <w:ind w:left="3600" w:firstLine="720"/>
        <w:jc w:val="left"/>
      </w:pPr>
      <w:r w:rsidRPr="008E24CC">
        <w:t>Columbus, OH 43215-3793</w:t>
      </w:r>
    </w:p>
    <w:p w:rsidR="00F95924" w:rsidRPr="008E24CC" w:rsidRDefault="00F95924" w:rsidP="00F95924">
      <w:pPr>
        <w:pStyle w:val="NoSpacing"/>
        <w:ind w:left="3600" w:firstLine="720"/>
        <w:jc w:val="left"/>
      </w:pPr>
      <w:r w:rsidRPr="008E24CC">
        <w:t>Phone 614.644.7797</w:t>
      </w:r>
    </w:p>
    <w:p w:rsidR="00F95924" w:rsidRPr="008E24CC" w:rsidRDefault="00F95924" w:rsidP="00F95924">
      <w:pPr>
        <w:pStyle w:val="NoSpacing"/>
        <w:ind w:left="3600" w:firstLine="720"/>
        <w:jc w:val="left"/>
      </w:pPr>
      <w:r w:rsidRPr="008E24CC">
        <w:t>Fax 614.644.8764</w:t>
      </w:r>
    </w:p>
    <w:p w:rsidR="00F95924" w:rsidRPr="008E24CC" w:rsidRDefault="00D93478" w:rsidP="00F95924">
      <w:pPr>
        <w:pStyle w:val="NoSpacing"/>
        <w:ind w:left="3600" w:firstLine="720"/>
        <w:jc w:val="left"/>
        <w:rPr>
          <w:rFonts w:eastAsia="Times New Roman"/>
        </w:rPr>
      </w:pPr>
      <w:hyperlink r:id="rId11" w:history="1">
        <w:r w:rsidR="00F95924" w:rsidRPr="008E24CC">
          <w:rPr>
            <w:rFonts w:eastAsia="Times New Roman"/>
            <w:color w:val="0000FF"/>
            <w:u w:val="single"/>
          </w:rPr>
          <w:t>jonathan.tauber@puc.state.oh.us</w:t>
        </w:r>
      </w:hyperlink>
    </w:p>
    <w:p w:rsidR="003D2B4D" w:rsidRPr="008E24CC" w:rsidRDefault="003D2B4D" w:rsidP="00F95924">
      <w:pPr>
        <w:pStyle w:val="NoSpacing"/>
        <w:ind w:left="3600"/>
        <w:jc w:val="left"/>
      </w:pPr>
    </w:p>
    <w:p w:rsidR="009B10A2" w:rsidRPr="009B10A2" w:rsidRDefault="009B10A2" w:rsidP="009B10A2">
      <w:pPr>
        <w:pStyle w:val="NoSpacing"/>
        <w:tabs>
          <w:tab w:val="left" w:pos="9360"/>
        </w:tabs>
        <w:ind w:left="3600" w:right="0" w:firstLine="720"/>
        <w:rPr>
          <w:rFonts w:ascii="AR BERKLEY" w:hAnsi="AR BERKLEY"/>
          <w:sz w:val="32"/>
          <w:szCs w:val="32"/>
          <w:u w:val="single"/>
        </w:rPr>
      </w:pPr>
      <w:r w:rsidRPr="009B10A2">
        <w:rPr>
          <w:rFonts w:ascii="AR BERKLEY" w:hAnsi="AR BERKLEY"/>
          <w:sz w:val="32"/>
          <w:szCs w:val="32"/>
          <w:u w:val="single"/>
        </w:rPr>
        <w:t xml:space="preserve">/s/ </w:t>
      </w:r>
      <w:r>
        <w:rPr>
          <w:rFonts w:ascii="AR BERKLEY" w:hAnsi="AR BERKLEY"/>
          <w:sz w:val="32"/>
          <w:szCs w:val="32"/>
          <w:u w:val="single"/>
        </w:rPr>
        <w:t>Thomas W. McNamee</w:t>
      </w:r>
      <w:r w:rsidRPr="009B10A2">
        <w:rPr>
          <w:rFonts w:ascii="AR BERKLEY" w:hAnsi="AR BERKLEY"/>
          <w:sz w:val="32"/>
          <w:szCs w:val="32"/>
          <w:u w:val="single"/>
        </w:rPr>
        <w:tab/>
      </w:r>
    </w:p>
    <w:p w:rsidR="00F95924" w:rsidRPr="00887386" w:rsidRDefault="00F95924" w:rsidP="00F95924">
      <w:pPr>
        <w:pStyle w:val="NoSpacing"/>
        <w:ind w:left="3600" w:firstLine="720"/>
        <w:jc w:val="left"/>
        <w:rPr>
          <w:b/>
        </w:rPr>
      </w:pPr>
      <w:r w:rsidRPr="00887386">
        <w:rPr>
          <w:b/>
        </w:rPr>
        <w:t>Thomas W. McNamee</w:t>
      </w:r>
    </w:p>
    <w:p w:rsidR="00F95924" w:rsidRPr="008E24CC" w:rsidRDefault="00F95924" w:rsidP="00F95924">
      <w:pPr>
        <w:pStyle w:val="NoSpacing"/>
        <w:ind w:left="3600" w:firstLine="720"/>
        <w:jc w:val="left"/>
      </w:pPr>
      <w:r w:rsidRPr="008E24CC">
        <w:t>180 East Broad Street</w:t>
      </w:r>
    </w:p>
    <w:p w:rsidR="00F95924" w:rsidRPr="008E24CC" w:rsidRDefault="00F95924" w:rsidP="00F95924">
      <w:pPr>
        <w:pStyle w:val="NoSpacing"/>
        <w:ind w:left="3600" w:firstLine="720"/>
        <w:jc w:val="left"/>
      </w:pPr>
      <w:r w:rsidRPr="008E24CC">
        <w:t>Columbus, OH 43215-3793</w:t>
      </w:r>
    </w:p>
    <w:p w:rsidR="00F95924" w:rsidRPr="008E24CC" w:rsidRDefault="00F95924" w:rsidP="00F95924">
      <w:pPr>
        <w:pStyle w:val="NoSpacing"/>
        <w:ind w:left="3600" w:firstLine="720"/>
        <w:jc w:val="left"/>
      </w:pPr>
      <w:r w:rsidRPr="008E24CC">
        <w:t>614.466.4397 (telephone)</w:t>
      </w:r>
    </w:p>
    <w:p w:rsidR="00F95924" w:rsidRPr="008E24CC" w:rsidRDefault="00F95924" w:rsidP="00F95924">
      <w:pPr>
        <w:pStyle w:val="NoSpacing"/>
        <w:ind w:left="3600" w:firstLine="720"/>
        <w:jc w:val="left"/>
      </w:pPr>
      <w:r w:rsidRPr="008E24CC">
        <w:t>614.644.8764 (fax)</w:t>
      </w:r>
    </w:p>
    <w:p w:rsidR="00F95924" w:rsidRDefault="00D93478" w:rsidP="00F95924">
      <w:pPr>
        <w:pStyle w:val="NoSpacing"/>
        <w:ind w:left="3600" w:firstLine="720"/>
        <w:jc w:val="left"/>
        <w:rPr>
          <w:rFonts w:eastAsia="Times New Roman"/>
          <w:color w:val="0000FF"/>
          <w:u w:val="single"/>
        </w:rPr>
      </w:pPr>
      <w:hyperlink r:id="rId12" w:history="1">
        <w:r w:rsidR="00F95924" w:rsidRPr="008E24CC">
          <w:rPr>
            <w:rFonts w:eastAsia="Times New Roman"/>
            <w:color w:val="0000FF"/>
            <w:u w:val="single"/>
          </w:rPr>
          <w:t>thomas.mcnamee@puc.state.oh.us</w:t>
        </w:r>
      </w:hyperlink>
    </w:p>
    <w:p w:rsidR="00483038" w:rsidRPr="008E24CC" w:rsidRDefault="00483038" w:rsidP="00F95924">
      <w:pPr>
        <w:pStyle w:val="NoSpacing"/>
        <w:ind w:left="3600" w:firstLine="720"/>
        <w:jc w:val="left"/>
        <w:rPr>
          <w:rFonts w:eastAsia="Times New Roman"/>
        </w:rPr>
      </w:pPr>
    </w:p>
    <w:p w:rsidR="00F95924" w:rsidRDefault="00F95924" w:rsidP="00F95924">
      <w:pPr>
        <w:pStyle w:val="NoSpacing"/>
        <w:ind w:left="4320"/>
        <w:jc w:val="left"/>
        <w:rPr>
          <w:b/>
        </w:rPr>
      </w:pPr>
      <w:r w:rsidRPr="00887386">
        <w:rPr>
          <w:b/>
        </w:rPr>
        <w:t xml:space="preserve">Attorney for the Public </w:t>
      </w:r>
      <w:r>
        <w:rPr>
          <w:b/>
        </w:rPr>
        <w:t>Utilities Commission of Ohio</w:t>
      </w:r>
    </w:p>
    <w:p w:rsidR="00F95924" w:rsidRDefault="003D2B4D" w:rsidP="003D2B4D">
      <w:pPr>
        <w:pStyle w:val="Heading1"/>
        <w:rPr>
          <w:rFonts w:eastAsia="Times New Roman"/>
          <w:snapToGrid w:val="0"/>
          <w:sz w:val="26"/>
          <w:szCs w:val="28"/>
        </w:rPr>
      </w:pPr>
      <w:bookmarkStart w:id="8" w:name="_Toc411581830"/>
      <w:r>
        <w:rPr>
          <w:rFonts w:eastAsia="Times New Roman"/>
        </w:rPr>
        <w:lastRenderedPageBreak/>
        <w:t>V.</w:t>
      </w:r>
      <w:r>
        <w:rPr>
          <w:rFonts w:eastAsia="Times New Roman"/>
        </w:rPr>
        <w:tab/>
      </w:r>
      <w:r w:rsidR="00F95924">
        <w:rPr>
          <w:rFonts w:eastAsia="Times New Roman"/>
        </w:rPr>
        <w:t>CERTIFICATE OF SERVICE</w:t>
      </w:r>
      <w:bookmarkEnd w:id="8"/>
    </w:p>
    <w:p w:rsidR="00F95924" w:rsidRDefault="003D2B4D" w:rsidP="003D2B4D">
      <w:pPr>
        <w:pStyle w:val="Textstyle"/>
        <w:rPr>
          <w:snapToGrid w:val="0"/>
        </w:rPr>
      </w:pPr>
      <w:r>
        <w:rPr>
          <w:snapToGrid w:val="0"/>
        </w:rPr>
        <w:tab/>
      </w:r>
      <w:r w:rsidR="00F95924">
        <w:rPr>
          <w:snapToGrid w:val="0"/>
        </w:rPr>
        <w:t>I hereby certify that the foregoing has been served in accordance with 18 C.F.R. Section 385.2010 upon each person designated on the official service list compiled by the Secretary in this proceeding.</w:t>
      </w:r>
    </w:p>
    <w:p w:rsidR="003D2B4D" w:rsidRPr="009B10A2" w:rsidRDefault="003D2B4D" w:rsidP="003D2B4D">
      <w:pPr>
        <w:pStyle w:val="NoSpacing"/>
        <w:tabs>
          <w:tab w:val="left" w:pos="9360"/>
        </w:tabs>
        <w:ind w:left="3600" w:right="0" w:firstLine="720"/>
        <w:rPr>
          <w:rFonts w:ascii="AR BERKLEY" w:hAnsi="AR BERKLEY"/>
          <w:sz w:val="32"/>
          <w:szCs w:val="32"/>
          <w:u w:val="single"/>
        </w:rPr>
      </w:pPr>
      <w:r w:rsidRPr="009B10A2">
        <w:rPr>
          <w:rFonts w:ascii="AR BERKLEY" w:hAnsi="AR BERKLEY"/>
          <w:sz w:val="32"/>
          <w:szCs w:val="32"/>
          <w:u w:val="single"/>
        </w:rPr>
        <w:t xml:space="preserve">/s/ </w:t>
      </w:r>
      <w:r>
        <w:rPr>
          <w:rFonts w:ascii="AR BERKLEY" w:hAnsi="AR BERKLEY"/>
          <w:sz w:val="32"/>
          <w:szCs w:val="32"/>
          <w:u w:val="single"/>
        </w:rPr>
        <w:t>Thomas W. McNamee</w:t>
      </w:r>
      <w:r w:rsidRPr="009B10A2">
        <w:rPr>
          <w:rFonts w:ascii="AR BERKLEY" w:hAnsi="AR BERKLEY"/>
          <w:sz w:val="32"/>
          <w:szCs w:val="32"/>
          <w:u w:val="single"/>
        </w:rPr>
        <w:tab/>
      </w:r>
    </w:p>
    <w:p w:rsidR="00F95924" w:rsidRDefault="00F95924" w:rsidP="00F95924">
      <w:pPr>
        <w:widowControl w:val="0"/>
        <w:tabs>
          <w:tab w:val="left" w:pos="9360"/>
        </w:tabs>
        <w:spacing w:after="0"/>
        <w:ind w:left="4320"/>
        <w:rPr>
          <w:rFonts w:ascii="Times New Roman" w:eastAsia="Times New Roman" w:hAnsi="Times New Roman" w:cs="Times New Roman"/>
          <w:b/>
          <w:sz w:val="26"/>
          <w:szCs w:val="26"/>
        </w:rPr>
      </w:pPr>
      <w:r>
        <w:rPr>
          <w:rFonts w:ascii="Times New Roman" w:eastAsia="Times New Roman" w:hAnsi="Times New Roman" w:cs="Times New Roman"/>
          <w:b/>
          <w:sz w:val="26"/>
          <w:szCs w:val="26"/>
        </w:rPr>
        <w:t>Thomas W. McNamee</w:t>
      </w:r>
    </w:p>
    <w:p w:rsidR="00F95924" w:rsidRDefault="00F95924" w:rsidP="00F95924">
      <w:pPr>
        <w:widowControl w:val="0"/>
        <w:tabs>
          <w:tab w:val="left" w:pos="9360"/>
        </w:tabs>
        <w:spacing w:after="0"/>
        <w:ind w:left="4760"/>
        <w:rPr>
          <w:rFonts w:ascii="Times New (W1)" w:eastAsia="Times New Roman" w:hAnsi="Times New (W1)" w:cs="Times New Roman"/>
          <w:sz w:val="26"/>
          <w:szCs w:val="26"/>
        </w:rPr>
      </w:pPr>
    </w:p>
    <w:p w:rsidR="00F95924" w:rsidRDefault="00F95924" w:rsidP="00F95924">
      <w:pPr>
        <w:widowControl w:val="0"/>
        <w:spacing w:after="0" w:line="480" w:lineRule="auto"/>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8"/>
        </w:rPr>
        <w:t xml:space="preserve">Dated at Columbus, Ohio this </w:t>
      </w:r>
      <w:r w:rsidR="003D2B4D">
        <w:rPr>
          <w:rFonts w:ascii="Times New Roman" w:eastAsia="Times New Roman" w:hAnsi="Times New Roman" w:cs="Times New Roman"/>
          <w:snapToGrid w:val="0"/>
          <w:sz w:val="26"/>
          <w:szCs w:val="28"/>
        </w:rPr>
        <w:t xml:space="preserve">February 13, </w:t>
      </w:r>
      <w:r>
        <w:rPr>
          <w:rFonts w:ascii="Times New Roman" w:eastAsia="Times New Roman" w:hAnsi="Times New Roman" w:cs="Times New Roman"/>
          <w:snapToGrid w:val="0"/>
          <w:sz w:val="26"/>
          <w:szCs w:val="28"/>
        </w:rPr>
        <w:t>2015.</w:t>
      </w:r>
    </w:p>
    <w:sectPr w:rsidR="00F95924" w:rsidSect="000F4FD2">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AC5" w:rsidRDefault="00C85AC5" w:rsidP="00C85AC5">
      <w:pPr>
        <w:spacing w:after="0" w:line="240" w:lineRule="auto"/>
      </w:pPr>
      <w:r>
        <w:separator/>
      </w:r>
    </w:p>
  </w:endnote>
  <w:endnote w:type="continuationSeparator" w:id="0">
    <w:p w:rsidR="00C85AC5" w:rsidRDefault="00C85AC5" w:rsidP="00C8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77124411"/>
      <w:docPartObj>
        <w:docPartGallery w:val="Page Numbers (Bottom of Page)"/>
        <w:docPartUnique/>
      </w:docPartObj>
    </w:sdtPr>
    <w:sdtEndPr>
      <w:rPr>
        <w:noProof/>
      </w:rPr>
    </w:sdtEndPr>
    <w:sdtContent>
      <w:p w:rsidR="00D24568" w:rsidRPr="00483038" w:rsidRDefault="00D24568" w:rsidP="00483038">
        <w:pPr>
          <w:pStyle w:val="Footer"/>
          <w:jc w:val="center"/>
          <w:rPr>
            <w:rFonts w:ascii="Times New Roman" w:hAnsi="Times New Roman" w:cs="Times New Roman"/>
            <w:sz w:val="24"/>
            <w:szCs w:val="24"/>
          </w:rPr>
        </w:pPr>
        <w:r w:rsidRPr="00483038">
          <w:rPr>
            <w:rFonts w:ascii="Times New Roman" w:hAnsi="Times New Roman" w:cs="Times New Roman"/>
            <w:sz w:val="24"/>
            <w:szCs w:val="24"/>
          </w:rPr>
          <w:fldChar w:fldCharType="begin"/>
        </w:r>
        <w:r w:rsidRPr="00483038">
          <w:rPr>
            <w:rFonts w:ascii="Times New Roman" w:hAnsi="Times New Roman" w:cs="Times New Roman"/>
            <w:sz w:val="24"/>
            <w:szCs w:val="24"/>
          </w:rPr>
          <w:instrText xml:space="preserve"> PAGE   \* MERGEFORMAT </w:instrText>
        </w:r>
        <w:r w:rsidRPr="00483038">
          <w:rPr>
            <w:rFonts w:ascii="Times New Roman" w:hAnsi="Times New Roman" w:cs="Times New Roman"/>
            <w:sz w:val="24"/>
            <w:szCs w:val="24"/>
          </w:rPr>
          <w:fldChar w:fldCharType="separate"/>
        </w:r>
        <w:r w:rsidR="000F4FD2">
          <w:rPr>
            <w:rFonts w:ascii="Times New Roman" w:hAnsi="Times New Roman" w:cs="Times New Roman"/>
            <w:noProof/>
            <w:sz w:val="24"/>
            <w:szCs w:val="24"/>
          </w:rPr>
          <w:t>3</w:t>
        </w:r>
        <w:r w:rsidRPr="00483038">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54721342"/>
      <w:docPartObj>
        <w:docPartGallery w:val="Page Numbers (Bottom of Page)"/>
        <w:docPartUnique/>
      </w:docPartObj>
    </w:sdtPr>
    <w:sdtEndPr>
      <w:rPr>
        <w:noProof/>
      </w:rPr>
    </w:sdtEndPr>
    <w:sdtContent>
      <w:p w:rsidR="000F4FD2" w:rsidRPr="000F4FD2" w:rsidRDefault="000F4FD2" w:rsidP="000F4FD2">
        <w:pPr>
          <w:pStyle w:val="Footer"/>
          <w:jc w:val="center"/>
          <w:rPr>
            <w:rFonts w:ascii="Times New Roman" w:hAnsi="Times New Roman" w:cs="Times New Roman"/>
            <w:sz w:val="24"/>
            <w:szCs w:val="24"/>
          </w:rPr>
        </w:pPr>
        <w:r w:rsidRPr="000F4FD2">
          <w:rPr>
            <w:rFonts w:ascii="Times New Roman" w:hAnsi="Times New Roman" w:cs="Times New Roman"/>
            <w:sz w:val="24"/>
            <w:szCs w:val="24"/>
          </w:rPr>
          <w:fldChar w:fldCharType="begin"/>
        </w:r>
        <w:r w:rsidRPr="000F4FD2">
          <w:rPr>
            <w:rFonts w:ascii="Times New Roman" w:hAnsi="Times New Roman" w:cs="Times New Roman"/>
            <w:sz w:val="24"/>
            <w:szCs w:val="24"/>
          </w:rPr>
          <w:instrText xml:space="preserve"> PAGE   \* MERGEFORMAT </w:instrText>
        </w:r>
        <w:r w:rsidRPr="000F4FD2">
          <w:rPr>
            <w:rFonts w:ascii="Times New Roman" w:hAnsi="Times New Roman" w:cs="Times New Roman"/>
            <w:sz w:val="24"/>
            <w:szCs w:val="24"/>
          </w:rPr>
          <w:fldChar w:fldCharType="separate"/>
        </w:r>
        <w:r w:rsidR="00D93478">
          <w:rPr>
            <w:rFonts w:ascii="Times New Roman" w:hAnsi="Times New Roman" w:cs="Times New Roman"/>
            <w:noProof/>
            <w:sz w:val="24"/>
            <w:szCs w:val="24"/>
          </w:rPr>
          <w:t>i</w:t>
        </w:r>
        <w:r w:rsidRPr="000F4FD2">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4182447"/>
      <w:docPartObj>
        <w:docPartGallery w:val="Page Numbers (Bottom of Page)"/>
        <w:docPartUnique/>
      </w:docPartObj>
    </w:sdtPr>
    <w:sdtEndPr>
      <w:rPr>
        <w:noProof/>
      </w:rPr>
    </w:sdtEndPr>
    <w:sdtContent>
      <w:p w:rsidR="000F4FD2" w:rsidRPr="00483038" w:rsidRDefault="000F4FD2" w:rsidP="00483038">
        <w:pPr>
          <w:pStyle w:val="Footer"/>
          <w:jc w:val="center"/>
          <w:rPr>
            <w:rFonts w:ascii="Times New Roman" w:hAnsi="Times New Roman" w:cs="Times New Roman"/>
            <w:sz w:val="24"/>
            <w:szCs w:val="24"/>
          </w:rPr>
        </w:pPr>
        <w:r w:rsidRPr="00483038">
          <w:rPr>
            <w:rFonts w:ascii="Times New Roman" w:hAnsi="Times New Roman" w:cs="Times New Roman"/>
            <w:sz w:val="24"/>
            <w:szCs w:val="24"/>
          </w:rPr>
          <w:fldChar w:fldCharType="begin"/>
        </w:r>
        <w:r w:rsidRPr="00483038">
          <w:rPr>
            <w:rFonts w:ascii="Times New Roman" w:hAnsi="Times New Roman" w:cs="Times New Roman"/>
            <w:sz w:val="24"/>
            <w:szCs w:val="24"/>
          </w:rPr>
          <w:instrText xml:space="preserve"> PAGE   \* MERGEFORMAT </w:instrText>
        </w:r>
        <w:r w:rsidRPr="00483038">
          <w:rPr>
            <w:rFonts w:ascii="Times New Roman" w:hAnsi="Times New Roman" w:cs="Times New Roman"/>
            <w:sz w:val="24"/>
            <w:szCs w:val="24"/>
          </w:rPr>
          <w:fldChar w:fldCharType="separate"/>
        </w:r>
        <w:r w:rsidR="00D93478">
          <w:rPr>
            <w:rFonts w:ascii="Times New Roman" w:hAnsi="Times New Roman" w:cs="Times New Roman"/>
            <w:noProof/>
            <w:sz w:val="24"/>
            <w:szCs w:val="24"/>
          </w:rPr>
          <w:t>10</w:t>
        </w:r>
        <w:r w:rsidRPr="00483038">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D2" w:rsidRPr="000F4FD2" w:rsidRDefault="000F4FD2" w:rsidP="000F4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AC5" w:rsidRDefault="00C85AC5" w:rsidP="00C85AC5">
      <w:pPr>
        <w:spacing w:after="0" w:line="240" w:lineRule="auto"/>
      </w:pPr>
      <w:r>
        <w:separator/>
      </w:r>
    </w:p>
  </w:footnote>
  <w:footnote w:type="continuationSeparator" w:id="0">
    <w:p w:rsidR="00C85AC5" w:rsidRDefault="00C85AC5" w:rsidP="00C85AC5">
      <w:pPr>
        <w:spacing w:after="0" w:line="240" w:lineRule="auto"/>
      </w:pPr>
      <w:r>
        <w:continuationSeparator/>
      </w:r>
    </w:p>
  </w:footnote>
  <w:footnote w:id="1">
    <w:p w:rsidR="00C85AC5" w:rsidRDefault="00C85AC5" w:rsidP="009B10A2">
      <w:pPr>
        <w:pStyle w:val="FootnoteText"/>
      </w:pPr>
      <w:r>
        <w:rPr>
          <w:rStyle w:val="FootnoteReference"/>
        </w:rPr>
        <w:footnoteRef/>
      </w:r>
      <w:r>
        <w:t xml:space="preserve"> </w:t>
      </w:r>
      <w:r w:rsidR="009B10A2">
        <w:tab/>
      </w:r>
      <w:r w:rsidR="009B10A2">
        <w:tab/>
      </w:r>
      <w:r w:rsidR="005F4693">
        <w:rPr>
          <w:i/>
        </w:rPr>
        <w:t xml:space="preserve">See </w:t>
      </w:r>
      <w:r w:rsidR="005F4693">
        <w:t xml:space="preserve">753 F.3d 216 (D.C. Cir. 2014).  </w:t>
      </w:r>
      <w:r w:rsidR="007A43AC">
        <w:t xml:space="preserve">In this proceeding, the </w:t>
      </w:r>
      <w:r w:rsidR="00F8257B">
        <w:t xml:space="preserve">United States Court </w:t>
      </w:r>
      <w:r w:rsidR="007A43AC">
        <w:t xml:space="preserve">of </w:t>
      </w:r>
      <w:r w:rsidR="00F8257B">
        <w:t xml:space="preserve">Appeals for the District of Columbia (Court of Appeals) </w:t>
      </w:r>
      <w:r w:rsidR="007A43AC">
        <w:t>vacated FERC Order 745, hold</w:t>
      </w:r>
      <w:r w:rsidR="00784FA3">
        <w:softHyphen/>
      </w:r>
      <w:r w:rsidR="007A43AC">
        <w:t>ing that the Commission lacked the statutory authority to establish a compensation mech</w:t>
      </w:r>
      <w:r w:rsidR="00784FA3">
        <w:softHyphen/>
      </w:r>
      <w:r w:rsidR="007A43AC">
        <w:t xml:space="preserve">anism for demand response.  The </w:t>
      </w:r>
      <w:r w:rsidR="004C2FC2">
        <w:t xml:space="preserve">Court of Appeals </w:t>
      </w:r>
      <w:r w:rsidR="007A43AC">
        <w:t xml:space="preserve">determined that demand response is solely a retail matter subject exclusively to state jurisdiction.  The United States Solicitor General, on behalf of the Commission, filed a petition for a writ of </w:t>
      </w:r>
      <w:r w:rsidR="007A43AC" w:rsidRPr="007A43AC">
        <w:rPr>
          <w:i/>
        </w:rPr>
        <w:t>certiorari</w:t>
      </w:r>
      <w:r w:rsidR="007A43AC">
        <w:t xml:space="preserve"> at the United States Supreme Court on January 15, 2015.  </w:t>
      </w:r>
    </w:p>
  </w:footnote>
  <w:footnote w:id="2">
    <w:p w:rsidR="00743548" w:rsidRDefault="00743548" w:rsidP="009B10A2">
      <w:pPr>
        <w:pStyle w:val="FootnoteText"/>
      </w:pPr>
      <w:r>
        <w:rPr>
          <w:rStyle w:val="FootnoteReference"/>
        </w:rPr>
        <w:footnoteRef/>
      </w:r>
      <w:r>
        <w:t xml:space="preserve"> </w:t>
      </w:r>
      <w:r w:rsidR="009B10A2">
        <w:tab/>
      </w:r>
      <w:r w:rsidR="009B10A2">
        <w:tab/>
      </w:r>
      <w:r w:rsidRPr="006179B2">
        <w:rPr>
          <w:i/>
        </w:rPr>
        <w:t>PJM Interconnection, L.L.C.,</w:t>
      </w:r>
      <w:r w:rsidRPr="006179B2">
        <w:t xml:space="preserve"> </w:t>
      </w:r>
      <w:r>
        <w:t>Docket No. ER15-852</w:t>
      </w:r>
      <w:r w:rsidR="009B10A2">
        <w:t xml:space="preserve"> (PJM Transmittal Letter at 3-6) (</w:t>
      </w:r>
      <w:r>
        <w:t>Jan</w:t>
      </w:r>
      <w:r w:rsidR="009B10A2">
        <w:t>.</w:t>
      </w:r>
      <w:r>
        <w:t xml:space="preserve"> 14, 2015</w:t>
      </w:r>
      <w:r w:rsidR="009B10A2">
        <w:t>)</w:t>
      </w:r>
      <w:r w:rsidR="00A571CE">
        <w:t xml:space="preserve"> (Transmittal Letter)</w:t>
      </w:r>
      <w:r>
        <w:t>.</w:t>
      </w:r>
      <w:r w:rsidR="009B10A2">
        <w:t xml:space="preserve"> </w:t>
      </w:r>
    </w:p>
  </w:footnote>
  <w:footnote w:id="3">
    <w:p w:rsidR="00743548" w:rsidRPr="00743548" w:rsidRDefault="00743548" w:rsidP="009B10A2">
      <w:pPr>
        <w:pStyle w:val="FootnoteText"/>
      </w:pPr>
      <w:r>
        <w:rPr>
          <w:rStyle w:val="FootnoteReference"/>
        </w:rPr>
        <w:footnoteRef/>
      </w:r>
      <w:r>
        <w:t xml:space="preserve"> </w:t>
      </w:r>
      <w:r w:rsidR="009B10A2">
        <w:tab/>
      </w:r>
      <w:r w:rsidR="009B10A2">
        <w:tab/>
      </w:r>
      <w:r w:rsidR="00A571CE">
        <w:t>T</w:t>
      </w:r>
      <w:r w:rsidR="00646554">
        <w:t>ransmittal</w:t>
      </w:r>
      <w:r w:rsidR="00A571CE">
        <w:t xml:space="preserve"> Letter</w:t>
      </w:r>
      <w:r>
        <w:rPr>
          <w:i/>
        </w:rPr>
        <w:t xml:space="preserve"> </w:t>
      </w:r>
      <w:r>
        <w:t>at 7-9.</w:t>
      </w:r>
    </w:p>
  </w:footnote>
  <w:footnote w:id="4">
    <w:p w:rsidR="00743548" w:rsidRPr="004B3345" w:rsidRDefault="00743548" w:rsidP="009B10A2">
      <w:pPr>
        <w:pStyle w:val="FootnoteText"/>
      </w:pPr>
      <w:r>
        <w:rPr>
          <w:rStyle w:val="FootnoteReference"/>
        </w:rPr>
        <w:footnoteRef/>
      </w:r>
      <w:r>
        <w:t xml:space="preserve"> </w:t>
      </w:r>
      <w:r w:rsidR="009B10A2">
        <w:tab/>
      </w:r>
      <w:r w:rsidR="009B10A2">
        <w:tab/>
      </w:r>
      <w:r w:rsidRPr="009B10A2">
        <w:rPr>
          <w:i/>
        </w:rPr>
        <w:t>Id</w:t>
      </w:r>
      <w:r>
        <w:t xml:space="preserve">. </w:t>
      </w:r>
    </w:p>
  </w:footnote>
  <w:footnote w:id="5">
    <w:p w:rsidR="00743548" w:rsidRPr="00743548" w:rsidRDefault="00743548" w:rsidP="009B10A2">
      <w:pPr>
        <w:pStyle w:val="FootnoteText"/>
      </w:pPr>
      <w:r>
        <w:rPr>
          <w:rStyle w:val="FootnoteReference"/>
        </w:rPr>
        <w:footnoteRef/>
      </w:r>
      <w:r>
        <w:t xml:space="preserve"> </w:t>
      </w:r>
      <w:r w:rsidR="009B10A2">
        <w:tab/>
      </w:r>
      <w:r w:rsidR="009B10A2">
        <w:tab/>
      </w:r>
      <w:r>
        <w:rPr>
          <w:i/>
        </w:rPr>
        <w:t xml:space="preserve">Id. </w:t>
      </w:r>
      <w:r>
        <w:t xml:space="preserve">at 9-11. </w:t>
      </w:r>
    </w:p>
  </w:footnote>
  <w:footnote w:id="6">
    <w:p w:rsidR="00903B96" w:rsidRPr="00743548" w:rsidRDefault="00903B96" w:rsidP="009B10A2">
      <w:pPr>
        <w:pStyle w:val="FootnoteText"/>
      </w:pPr>
      <w:r>
        <w:rPr>
          <w:rStyle w:val="FootnoteReference"/>
        </w:rPr>
        <w:footnoteRef/>
      </w:r>
      <w:r>
        <w:t xml:space="preserve">  </w:t>
      </w:r>
      <w:r w:rsidR="009B10A2">
        <w:tab/>
      </w:r>
      <w:r w:rsidR="009B10A2">
        <w:tab/>
      </w:r>
      <w:r w:rsidR="00743548">
        <w:rPr>
          <w:i/>
        </w:rPr>
        <w:t xml:space="preserve">Id. </w:t>
      </w:r>
      <w:r w:rsidR="00743548">
        <w:t>at 12-13.</w:t>
      </w:r>
    </w:p>
  </w:footnote>
  <w:footnote w:id="7">
    <w:p w:rsidR="00743548" w:rsidRPr="00743548" w:rsidRDefault="00743548" w:rsidP="009B10A2">
      <w:pPr>
        <w:pStyle w:val="FootnoteText"/>
      </w:pPr>
      <w:r>
        <w:rPr>
          <w:rStyle w:val="FootnoteReference"/>
        </w:rPr>
        <w:footnoteRef/>
      </w:r>
      <w:r>
        <w:t xml:space="preserve"> </w:t>
      </w:r>
      <w:r w:rsidR="009B10A2">
        <w:tab/>
      </w:r>
      <w:r w:rsidR="009B10A2">
        <w:tab/>
      </w:r>
      <w:r>
        <w:rPr>
          <w:i/>
        </w:rPr>
        <w:t>Id.</w:t>
      </w:r>
      <w:r>
        <w:t xml:space="preserve">at 15-16. </w:t>
      </w:r>
    </w:p>
  </w:footnote>
  <w:footnote w:id="8">
    <w:p w:rsidR="00743548" w:rsidRPr="00743548" w:rsidRDefault="00743548" w:rsidP="009B10A2">
      <w:pPr>
        <w:pStyle w:val="FootnoteText"/>
      </w:pPr>
      <w:r>
        <w:rPr>
          <w:rStyle w:val="FootnoteReference"/>
        </w:rPr>
        <w:footnoteRef/>
      </w:r>
      <w:r>
        <w:t xml:space="preserve"> </w:t>
      </w:r>
      <w:r w:rsidR="009B10A2">
        <w:tab/>
      </w:r>
      <w:r w:rsidR="009B10A2">
        <w:tab/>
      </w:r>
      <w:r w:rsidR="00483038">
        <w:t>Transmittal Letter a</w:t>
      </w:r>
      <w:r>
        <w:t xml:space="preserve">t 15.  </w:t>
      </w:r>
    </w:p>
  </w:footnote>
  <w:footnote w:id="9">
    <w:p w:rsidR="00B66DA8" w:rsidRDefault="00B66DA8" w:rsidP="009B10A2">
      <w:pPr>
        <w:pStyle w:val="FootnoteText"/>
      </w:pPr>
      <w:r>
        <w:rPr>
          <w:rStyle w:val="FootnoteReference"/>
        </w:rPr>
        <w:footnoteRef/>
      </w:r>
      <w:r>
        <w:t xml:space="preserve"> </w:t>
      </w:r>
      <w:r w:rsidR="00A571CE">
        <w:tab/>
      </w:r>
      <w:r w:rsidR="00A571CE">
        <w:tab/>
      </w:r>
      <w:r w:rsidR="00483038">
        <w:rPr>
          <w:i/>
        </w:rPr>
        <w:t>Id</w:t>
      </w:r>
      <w:r w:rsidR="00483038">
        <w:t xml:space="preserve">. </w:t>
      </w:r>
      <w:r>
        <w:t>at 11-12.</w:t>
      </w:r>
    </w:p>
  </w:footnote>
  <w:footnote w:id="10">
    <w:p w:rsidR="00B66DA8" w:rsidRDefault="00B66DA8" w:rsidP="009B10A2">
      <w:pPr>
        <w:pStyle w:val="FootnoteText"/>
      </w:pPr>
      <w:r>
        <w:rPr>
          <w:rStyle w:val="FootnoteReference"/>
        </w:rPr>
        <w:footnoteRef/>
      </w:r>
      <w:r>
        <w:t xml:space="preserve"> </w:t>
      </w:r>
      <w:r w:rsidR="00A571CE">
        <w:tab/>
      </w:r>
      <w:r w:rsidR="00A571CE">
        <w:tab/>
      </w:r>
      <w:r w:rsidRPr="004B3345">
        <w:rPr>
          <w:i/>
        </w:rPr>
        <w:t>Id.</w:t>
      </w:r>
      <w:r>
        <w:t xml:space="preserve"> </w:t>
      </w:r>
    </w:p>
  </w:footnote>
  <w:footnote w:id="11">
    <w:p w:rsidR="00F77EE8" w:rsidRDefault="00F77EE8" w:rsidP="009B10A2">
      <w:pPr>
        <w:pStyle w:val="FootnoteText"/>
      </w:pPr>
      <w:r>
        <w:rPr>
          <w:rStyle w:val="FootnoteReference"/>
        </w:rPr>
        <w:footnoteRef/>
      </w:r>
      <w:r>
        <w:t xml:space="preserve"> </w:t>
      </w:r>
      <w:r w:rsidR="009B10A2">
        <w:tab/>
      </w:r>
      <w:r w:rsidR="009B10A2">
        <w:tab/>
      </w:r>
      <w:r w:rsidRPr="006179B2">
        <w:rPr>
          <w:i/>
        </w:rPr>
        <w:t>PJM Interconnection, L.L.C.,</w:t>
      </w:r>
      <w:r w:rsidRPr="006179B2">
        <w:t xml:space="preserve"> </w:t>
      </w:r>
      <w:r>
        <w:t>Docket No. ER14-822</w:t>
      </w:r>
      <w:r w:rsidR="009B10A2">
        <w:t xml:space="preserve"> (</w:t>
      </w:r>
      <w:r>
        <w:t>Public Utilities Commission of Ohio Comments</w:t>
      </w:r>
      <w:r w:rsidR="009B10A2">
        <w:t xml:space="preserve">) (Jan. </w:t>
      </w:r>
      <w:r>
        <w:t>14, 2014</w:t>
      </w:r>
      <w:r w:rsidR="009B10A2">
        <w:t>)</w:t>
      </w:r>
      <w:r>
        <w:t xml:space="preserve">; </w:t>
      </w:r>
      <w:r w:rsidRPr="006179B2">
        <w:rPr>
          <w:i/>
        </w:rPr>
        <w:t>PJM Interconnection, L.L.C.,</w:t>
      </w:r>
      <w:r w:rsidRPr="006179B2">
        <w:t xml:space="preserve"> </w:t>
      </w:r>
      <w:r>
        <w:t>Docket No. ER14-504</w:t>
      </w:r>
      <w:r w:rsidR="009B10A2">
        <w:t xml:space="preserve"> (</w:t>
      </w:r>
      <w:r>
        <w:t>Public Utilities Commission of Ohio Comments</w:t>
      </w:r>
      <w:r w:rsidR="009B10A2">
        <w:t>) (Dec.</w:t>
      </w:r>
      <w:r>
        <w:t xml:space="preserve"> 20, 2014</w:t>
      </w:r>
      <w:r w:rsidR="009B10A2">
        <w:t>)</w:t>
      </w:r>
      <w:r>
        <w:t xml:space="preserve">. </w:t>
      </w:r>
    </w:p>
  </w:footnote>
  <w:footnote w:id="12">
    <w:p w:rsidR="001E6072" w:rsidRDefault="001E6072" w:rsidP="009B10A2">
      <w:pPr>
        <w:pStyle w:val="FootnoteText"/>
      </w:pPr>
      <w:r>
        <w:rPr>
          <w:rStyle w:val="FootnoteReference"/>
        </w:rPr>
        <w:footnoteRef/>
      </w:r>
      <w:r>
        <w:t xml:space="preserve"> </w:t>
      </w:r>
      <w:r w:rsidR="009B10A2">
        <w:tab/>
      </w:r>
      <w:r w:rsidR="009B10A2">
        <w:tab/>
      </w:r>
      <w:r>
        <w:t xml:space="preserve">Transmittal Letter at 18-19.  </w:t>
      </w:r>
    </w:p>
  </w:footnote>
  <w:footnote w:id="13">
    <w:p w:rsidR="00564E5A" w:rsidRPr="00242C1E" w:rsidRDefault="00564E5A" w:rsidP="009B10A2">
      <w:pPr>
        <w:pStyle w:val="FootnoteText"/>
      </w:pPr>
      <w:r>
        <w:rPr>
          <w:rStyle w:val="FootnoteReference"/>
        </w:rPr>
        <w:footnoteRef/>
      </w:r>
      <w:r>
        <w:t xml:space="preserve"> </w:t>
      </w:r>
      <w:r w:rsidR="009B10A2">
        <w:tab/>
      </w:r>
      <w:r w:rsidR="009B10A2">
        <w:tab/>
      </w:r>
      <w:r w:rsidR="00242C1E">
        <w:t>The</w:t>
      </w:r>
      <w:r>
        <w:t xml:space="preserve"> PJM Utilities Coalition points out </w:t>
      </w:r>
      <w:r w:rsidR="00BD6A0F">
        <w:t>stakeholders were never provided a mean</w:t>
      </w:r>
      <w:r w:rsidR="00784FA3">
        <w:softHyphen/>
      </w:r>
      <w:r w:rsidR="00BD6A0F">
        <w:t>ingful opportunity to provide feedback or shape any demand response proposal</w:t>
      </w:r>
      <w:r w:rsidR="00242C1E">
        <w:t>.</w:t>
      </w:r>
      <w:r w:rsidR="00BD6A0F">
        <w:t xml:space="preserve"> </w:t>
      </w:r>
      <w:r>
        <w:t xml:space="preserve"> </w:t>
      </w:r>
      <w:r w:rsidR="00242C1E">
        <w:t xml:space="preserve">See </w:t>
      </w:r>
      <w:r w:rsidR="00242C1E" w:rsidRPr="006179B2">
        <w:rPr>
          <w:rFonts w:cs="Times New Roman"/>
          <w:i/>
        </w:rPr>
        <w:t>PJM Interconnection, L.L.C.,</w:t>
      </w:r>
      <w:r w:rsidR="00242C1E" w:rsidRPr="006179B2">
        <w:rPr>
          <w:rFonts w:cs="Times New Roman"/>
        </w:rPr>
        <w:t xml:space="preserve"> Docket No. ER1</w:t>
      </w:r>
      <w:r w:rsidR="00242C1E">
        <w:rPr>
          <w:rFonts w:cs="Times New Roman"/>
        </w:rPr>
        <w:t>5</w:t>
      </w:r>
      <w:r w:rsidR="00242C1E" w:rsidRPr="006179B2">
        <w:rPr>
          <w:rFonts w:cs="Times New Roman"/>
        </w:rPr>
        <w:t>-</w:t>
      </w:r>
      <w:r w:rsidR="00242C1E">
        <w:rPr>
          <w:rFonts w:cs="Times New Roman"/>
        </w:rPr>
        <w:t>623</w:t>
      </w:r>
      <w:r w:rsidR="00242C1E" w:rsidRPr="006179B2">
        <w:rPr>
          <w:rFonts w:cs="Times New Roman"/>
        </w:rPr>
        <w:t>-000</w:t>
      </w:r>
      <w:r w:rsidR="009B10A2">
        <w:rPr>
          <w:rFonts w:cs="Times New Roman"/>
        </w:rPr>
        <w:t xml:space="preserve"> (</w:t>
      </w:r>
      <w:r w:rsidR="00242C1E">
        <w:rPr>
          <w:rFonts w:cs="Times New Roman"/>
        </w:rPr>
        <w:t>PJM Utilities Coalition Motion for an Extension of Time</w:t>
      </w:r>
      <w:r w:rsidR="009B10A2">
        <w:rPr>
          <w:rFonts w:cs="Times New Roman"/>
        </w:rPr>
        <w:t>)</w:t>
      </w:r>
      <w:r w:rsidR="00242C1E">
        <w:rPr>
          <w:rFonts w:cs="Times New Roman"/>
        </w:rPr>
        <w:t xml:space="preserve"> (Jan</w:t>
      </w:r>
      <w:r w:rsidR="009B10A2">
        <w:rPr>
          <w:rFonts w:cs="Times New Roman"/>
        </w:rPr>
        <w:t>.</w:t>
      </w:r>
      <w:r w:rsidR="00242C1E">
        <w:rPr>
          <w:rFonts w:cs="Times New Roman"/>
        </w:rPr>
        <w:t xml:space="preserve"> 26, 2015).  </w:t>
      </w:r>
    </w:p>
  </w:footnote>
  <w:footnote w:id="14">
    <w:p w:rsidR="007C79C8" w:rsidRDefault="007C79C8" w:rsidP="009B10A2">
      <w:pPr>
        <w:pStyle w:val="FootnoteText"/>
      </w:pPr>
      <w:r>
        <w:rPr>
          <w:rStyle w:val="FootnoteReference"/>
        </w:rPr>
        <w:footnoteRef/>
      </w:r>
      <w:r>
        <w:t xml:space="preserve"> </w:t>
      </w:r>
      <w:r w:rsidR="009B10A2">
        <w:tab/>
      </w:r>
      <w:r w:rsidR="009B10A2">
        <w:tab/>
      </w:r>
      <w:r>
        <w:t>Wholesale Market DR &amp; EE Opportunities in the Wake of the EPSA Decision, OPSI DR subcommittee, Jan</w:t>
      </w:r>
      <w:r w:rsidR="009B10A2">
        <w:t>.</w:t>
      </w:r>
      <w:r>
        <w:t xml:space="preserve"> 12, 2015.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D2" w:rsidRDefault="000F4FD2" w:rsidP="000F4FD2">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0F4FD2" w:rsidRDefault="000F4FD2" w:rsidP="000F4FD2">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0F4FD2" w:rsidRPr="000F4FD2" w:rsidRDefault="000F4FD2" w:rsidP="000F4FD2">
    <w:pPr>
      <w:pStyle w:val="Header"/>
      <w:jc w:val="right"/>
      <w:rPr>
        <w:rFonts w:ascii="Times New Roman" w:hAnsi="Times New Roman"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D2" w:rsidRDefault="000F4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D2" w:rsidRPr="000F4FD2" w:rsidRDefault="000F4FD2" w:rsidP="000F4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779DE"/>
    <w:multiLevelType w:val="hybridMultilevel"/>
    <w:tmpl w:val="391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12"/>
    <w:rsid w:val="00064C9E"/>
    <w:rsid w:val="00077001"/>
    <w:rsid w:val="000A7573"/>
    <w:rsid w:val="000B3E10"/>
    <w:rsid w:val="000B490C"/>
    <w:rsid w:val="000D4837"/>
    <w:rsid w:val="000E6F0B"/>
    <w:rsid w:val="000F4FD2"/>
    <w:rsid w:val="00165191"/>
    <w:rsid w:val="001B7B30"/>
    <w:rsid w:val="001D7907"/>
    <w:rsid w:val="001E6072"/>
    <w:rsid w:val="002129BF"/>
    <w:rsid w:val="00236100"/>
    <w:rsid w:val="00242C1E"/>
    <w:rsid w:val="00256F34"/>
    <w:rsid w:val="002968D3"/>
    <w:rsid w:val="002A3D92"/>
    <w:rsid w:val="002F14E9"/>
    <w:rsid w:val="002F5912"/>
    <w:rsid w:val="003343D2"/>
    <w:rsid w:val="0035203E"/>
    <w:rsid w:val="003B51DC"/>
    <w:rsid w:val="003D2B4D"/>
    <w:rsid w:val="004332F4"/>
    <w:rsid w:val="00464CFD"/>
    <w:rsid w:val="00483038"/>
    <w:rsid w:val="00496FAD"/>
    <w:rsid w:val="004A5DF5"/>
    <w:rsid w:val="004B3345"/>
    <w:rsid w:val="004C2408"/>
    <w:rsid w:val="004C2FC2"/>
    <w:rsid w:val="004D1D86"/>
    <w:rsid w:val="004D7B01"/>
    <w:rsid w:val="00502B22"/>
    <w:rsid w:val="00502E3D"/>
    <w:rsid w:val="00556CBC"/>
    <w:rsid w:val="00564E5A"/>
    <w:rsid w:val="005A31BF"/>
    <w:rsid w:val="005C73AC"/>
    <w:rsid w:val="005F4693"/>
    <w:rsid w:val="00611D7B"/>
    <w:rsid w:val="00646554"/>
    <w:rsid w:val="00654DD3"/>
    <w:rsid w:val="006A2575"/>
    <w:rsid w:val="006D6DAC"/>
    <w:rsid w:val="006E7590"/>
    <w:rsid w:val="00743548"/>
    <w:rsid w:val="007558F1"/>
    <w:rsid w:val="00784FA3"/>
    <w:rsid w:val="007A43AC"/>
    <w:rsid w:val="007C6E1D"/>
    <w:rsid w:val="007C79C8"/>
    <w:rsid w:val="007D3385"/>
    <w:rsid w:val="00823289"/>
    <w:rsid w:val="008E33CE"/>
    <w:rsid w:val="008E7759"/>
    <w:rsid w:val="00903B96"/>
    <w:rsid w:val="00936166"/>
    <w:rsid w:val="00947C78"/>
    <w:rsid w:val="0098247C"/>
    <w:rsid w:val="00992F5D"/>
    <w:rsid w:val="009B10A2"/>
    <w:rsid w:val="009E6687"/>
    <w:rsid w:val="009F3273"/>
    <w:rsid w:val="00A137B1"/>
    <w:rsid w:val="00A20328"/>
    <w:rsid w:val="00A44F0B"/>
    <w:rsid w:val="00A571CE"/>
    <w:rsid w:val="00A92C5D"/>
    <w:rsid w:val="00AD7E6A"/>
    <w:rsid w:val="00B139C8"/>
    <w:rsid w:val="00B57D23"/>
    <w:rsid w:val="00B66DA8"/>
    <w:rsid w:val="00BA343B"/>
    <w:rsid w:val="00BB1643"/>
    <w:rsid w:val="00BD6A0F"/>
    <w:rsid w:val="00C85AC5"/>
    <w:rsid w:val="00C94941"/>
    <w:rsid w:val="00D10376"/>
    <w:rsid w:val="00D21DD0"/>
    <w:rsid w:val="00D24568"/>
    <w:rsid w:val="00D93478"/>
    <w:rsid w:val="00E71422"/>
    <w:rsid w:val="00E75FD9"/>
    <w:rsid w:val="00E80B4C"/>
    <w:rsid w:val="00E826AD"/>
    <w:rsid w:val="00E929CD"/>
    <w:rsid w:val="00ED2892"/>
    <w:rsid w:val="00F34776"/>
    <w:rsid w:val="00F37667"/>
    <w:rsid w:val="00F62F04"/>
    <w:rsid w:val="00F77EE8"/>
    <w:rsid w:val="00F8257B"/>
    <w:rsid w:val="00F95924"/>
    <w:rsid w:val="00FC3238"/>
    <w:rsid w:val="00FD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2894862-0D7F-4952-8BA9-4634EE9A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C5"/>
  </w:style>
  <w:style w:type="paragraph" w:styleId="Heading1">
    <w:name w:val="heading 1"/>
    <w:basedOn w:val="Normal"/>
    <w:next w:val="Normal"/>
    <w:link w:val="Heading1Char"/>
    <w:autoRedefine/>
    <w:uiPriority w:val="9"/>
    <w:qFormat/>
    <w:rsid w:val="009B10A2"/>
    <w:pPr>
      <w:keepNext/>
      <w:keepLines/>
      <w:spacing w:before="360" w:after="240" w:line="240" w:lineRule="auto"/>
      <w:ind w:left="720" w:hanging="72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unhideWhenUsed/>
    <w:qFormat/>
    <w:rsid w:val="009B10A2"/>
    <w:pPr>
      <w:keepNext/>
      <w:keepLines/>
      <w:spacing w:before="360" w:after="240" w:line="240" w:lineRule="auto"/>
      <w:ind w:left="1440" w:right="1440" w:hanging="720"/>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4C2408"/>
    <w:pPr>
      <w:autoSpaceDE w:val="0"/>
      <w:autoSpaceDN w:val="0"/>
      <w:adjustRightInd w:val="0"/>
      <w:spacing w:after="0" w:line="480" w:lineRule="auto"/>
      <w:contextualSpacing/>
      <w:jc w:val="both"/>
    </w:pPr>
    <w:rPr>
      <w:rFonts w:ascii="Times New Roman" w:hAnsi="Times New Roman" w:cs="Times New Roman"/>
      <w:color w:val="000000"/>
      <w:sz w:val="26"/>
      <w:szCs w:val="26"/>
    </w:rPr>
  </w:style>
  <w:style w:type="paragraph" w:styleId="FootnoteText">
    <w:name w:val="footnote text"/>
    <w:basedOn w:val="Normal"/>
    <w:link w:val="FootnoteTextChar"/>
    <w:autoRedefine/>
    <w:uiPriority w:val="99"/>
    <w:unhideWhenUsed/>
    <w:rsid w:val="009B10A2"/>
    <w:pPr>
      <w:spacing w:before="240" w:after="240" w:line="240" w:lineRule="auto"/>
      <w:ind w:left="720" w:hanging="720"/>
    </w:pPr>
    <w:rPr>
      <w:rFonts w:ascii="Times New Roman" w:hAnsi="Times New Roman"/>
      <w:sz w:val="24"/>
      <w:szCs w:val="20"/>
    </w:rPr>
  </w:style>
  <w:style w:type="character" w:customStyle="1" w:styleId="FootnoteTextChar">
    <w:name w:val="Footnote Text Char"/>
    <w:basedOn w:val="DefaultParagraphFont"/>
    <w:link w:val="FootnoteText"/>
    <w:uiPriority w:val="99"/>
    <w:rsid w:val="009B10A2"/>
    <w:rPr>
      <w:rFonts w:ascii="Times New Roman" w:hAnsi="Times New Roman"/>
      <w:sz w:val="24"/>
      <w:szCs w:val="20"/>
    </w:rPr>
  </w:style>
  <w:style w:type="character" w:styleId="FootnoteReference">
    <w:name w:val="footnote reference"/>
    <w:basedOn w:val="DefaultParagraphFont"/>
    <w:uiPriority w:val="99"/>
    <w:semiHidden/>
    <w:unhideWhenUsed/>
    <w:rsid w:val="00C85AC5"/>
    <w:rPr>
      <w:vertAlign w:val="superscript"/>
    </w:rPr>
  </w:style>
  <w:style w:type="paragraph" w:styleId="Header">
    <w:name w:val="header"/>
    <w:basedOn w:val="Normal"/>
    <w:link w:val="HeaderChar"/>
    <w:uiPriority w:val="99"/>
    <w:unhideWhenUsed/>
    <w:rsid w:val="00D2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568"/>
  </w:style>
  <w:style w:type="paragraph" w:styleId="Footer">
    <w:name w:val="footer"/>
    <w:basedOn w:val="Normal"/>
    <w:link w:val="FooterChar"/>
    <w:uiPriority w:val="99"/>
    <w:unhideWhenUsed/>
    <w:rsid w:val="00D2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568"/>
  </w:style>
  <w:style w:type="paragraph" w:styleId="NoSpacing">
    <w:name w:val="No Spacing"/>
    <w:uiPriority w:val="1"/>
    <w:qFormat/>
    <w:rsid w:val="00F95924"/>
    <w:pPr>
      <w:spacing w:after="0" w:line="240" w:lineRule="auto"/>
      <w:ind w:left="1440" w:right="1440"/>
      <w:contextualSpacing/>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1E"/>
    <w:rPr>
      <w:rFonts w:ascii="Tahoma" w:hAnsi="Tahoma" w:cs="Tahoma"/>
      <w:sz w:val="16"/>
      <w:szCs w:val="16"/>
    </w:rPr>
  </w:style>
  <w:style w:type="table" w:styleId="TableGrid">
    <w:name w:val="Table Grid"/>
    <w:basedOn w:val="TableNormal"/>
    <w:uiPriority w:val="59"/>
    <w:rsid w:val="009B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10A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9B10A2"/>
    <w:rPr>
      <w:rFonts w:ascii="Times New Roman" w:eastAsiaTheme="majorEastAsia" w:hAnsi="Times New Roman" w:cstheme="majorBidi"/>
      <w:b/>
      <w:sz w:val="28"/>
      <w:szCs w:val="26"/>
    </w:rPr>
  </w:style>
  <w:style w:type="paragraph" w:styleId="TOC1">
    <w:name w:val="toc 1"/>
    <w:basedOn w:val="Normal"/>
    <w:next w:val="Normal"/>
    <w:autoRedefine/>
    <w:uiPriority w:val="39"/>
    <w:unhideWhenUsed/>
    <w:rsid w:val="005C73AC"/>
    <w:pPr>
      <w:tabs>
        <w:tab w:val="right" w:leader="dot" w:pos="9350"/>
      </w:tabs>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5C73AC"/>
    <w:pPr>
      <w:tabs>
        <w:tab w:val="right" w:leader="dot" w:pos="9350"/>
      </w:tabs>
      <w:spacing w:before="240" w:after="240" w:line="240" w:lineRule="auto"/>
      <w:ind w:left="1440" w:right="1440" w:hanging="720"/>
    </w:pPr>
    <w:rPr>
      <w:rFonts w:ascii="Times New Roman" w:hAnsi="Times New Roman"/>
      <w:sz w:val="26"/>
    </w:rPr>
  </w:style>
  <w:style w:type="character" w:styleId="Hyperlink">
    <w:name w:val="Hyperlink"/>
    <w:basedOn w:val="DefaultParagraphFont"/>
    <w:uiPriority w:val="99"/>
    <w:unhideWhenUsed/>
    <w:rsid w:val="005C7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mas.mcnamee@puc.state.oh.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tauber@puc.state.oh.u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07CF-83DE-4F1A-AC41-AF24943D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Tauber, Jonathan</dc:creator>
  <cp:lastModifiedBy>Keeton, Kim</cp:lastModifiedBy>
  <cp:revision>14</cp:revision>
  <cp:lastPrinted>2015-02-13T14:55:00Z</cp:lastPrinted>
  <dcterms:created xsi:type="dcterms:W3CDTF">2015-02-13T13:55:00Z</dcterms:created>
  <dcterms:modified xsi:type="dcterms:W3CDTF">2015-02-13T14:55:00Z</dcterms:modified>
</cp:coreProperties>
</file>