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B2" w:rsidRPr="005A62B2" w:rsidRDefault="005A62B2" w:rsidP="005A62B2">
      <w:pPr>
        <w:spacing w:after="0" w:line="240" w:lineRule="auto"/>
        <w:jc w:val="center"/>
        <w:rPr>
          <w:rFonts w:eastAsia="Times New Roman" w:cs="Arial"/>
          <w:b/>
          <w:smallCaps/>
          <w:sz w:val="28"/>
        </w:rPr>
      </w:pPr>
      <w:bookmarkStart w:id="0" w:name="OLE_LINK1"/>
      <w:bookmarkStart w:id="1" w:name="OLE_LINK2"/>
      <w:r w:rsidRPr="005A62B2">
        <w:rPr>
          <w:rFonts w:eastAsia="Times New Roman" w:cs="Arial"/>
          <w:b/>
          <w:smallCaps/>
          <w:sz w:val="28"/>
        </w:rPr>
        <w:t>Before</w:t>
      </w:r>
    </w:p>
    <w:p w:rsidR="005A62B2" w:rsidRPr="005A62B2" w:rsidRDefault="005A62B2" w:rsidP="005A62B2">
      <w:pPr>
        <w:spacing w:after="0" w:line="240" w:lineRule="auto"/>
        <w:jc w:val="center"/>
        <w:rPr>
          <w:rFonts w:eastAsia="Times New Roman" w:cs="Arial"/>
          <w:b/>
          <w:smallCaps/>
          <w:sz w:val="28"/>
        </w:rPr>
      </w:pPr>
      <w:r w:rsidRPr="005A62B2">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5A62B2">
            <w:rPr>
              <w:rFonts w:eastAsia="Times New Roman" w:cs="Arial"/>
              <w:b/>
              <w:smallCaps/>
              <w:sz w:val="28"/>
            </w:rPr>
            <w:t>Ohio</w:t>
          </w:r>
        </w:smartTag>
      </w:smartTag>
    </w:p>
    <w:p w:rsidR="005A62B2" w:rsidRPr="005A62B2" w:rsidRDefault="005A62B2" w:rsidP="005A62B2">
      <w:pPr>
        <w:autoSpaceDE w:val="0"/>
        <w:autoSpaceDN w:val="0"/>
        <w:adjustRightInd w:val="0"/>
        <w:spacing w:after="0" w:line="240" w:lineRule="auto"/>
        <w:jc w:val="left"/>
        <w:rPr>
          <w:rFonts w:eastAsia="Calibri" w:cs="Arial"/>
        </w:rPr>
      </w:pPr>
    </w:p>
    <w:p w:rsidR="005A62B2" w:rsidRPr="005A62B2" w:rsidRDefault="005A62B2" w:rsidP="005A62B2">
      <w:pPr>
        <w:autoSpaceDE w:val="0"/>
        <w:autoSpaceDN w:val="0"/>
        <w:adjustRightInd w:val="0"/>
        <w:spacing w:after="0" w:line="240" w:lineRule="auto"/>
        <w:jc w:val="left"/>
        <w:rPr>
          <w:rFonts w:eastAsia="Calibri"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5A62B2" w:rsidRPr="005A62B2" w:rsidTr="004973C7">
        <w:tc>
          <w:tcPr>
            <w:tcW w:w="4968" w:type="dxa"/>
          </w:tcPr>
          <w:p w:rsidR="005A62B2" w:rsidRPr="005A62B2" w:rsidRDefault="005A62B2" w:rsidP="005A62B2">
            <w:pPr>
              <w:tabs>
                <w:tab w:val="left" w:pos="5040"/>
              </w:tabs>
              <w:rPr>
                <w:rFonts w:ascii="Arial" w:eastAsia="Times New Roman" w:hAnsi="Arial" w:cs="Arial"/>
                <w:sz w:val="24"/>
                <w:szCs w:val="24"/>
              </w:rPr>
            </w:pPr>
            <w:r w:rsidRPr="005A62B2">
              <w:rPr>
                <w:rFonts w:ascii="Arial" w:eastAsia="Times New Roman" w:hAnsi="Arial" w:cs="Arial"/>
                <w:sz w:val="24"/>
                <w:szCs w:val="24"/>
              </w:rPr>
              <w:t>Ohio Schools Council, Ohio School Boards Association, Ohio Association of School Business Officials, and Buckeye Association of School Administrators, dba Power4Schools,</w:t>
            </w:r>
          </w:p>
          <w:p w:rsidR="005A62B2" w:rsidRPr="005A62B2" w:rsidRDefault="005A62B2" w:rsidP="005A62B2">
            <w:pPr>
              <w:tabs>
                <w:tab w:val="left" w:pos="5040"/>
              </w:tabs>
              <w:ind w:left="720"/>
              <w:rPr>
                <w:rFonts w:ascii="Arial" w:eastAsia="Times New Roman" w:hAnsi="Arial" w:cs="Arial"/>
                <w:sz w:val="24"/>
                <w:szCs w:val="24"/>
              </w:rPr>
            </w:pPr>
          </w:p>
          <w:p w:rsidR="005A62B2" w:rsidRPr="005A62B2" w:rsidRDefault="005A62B2" w:rsidP="005A62B2">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Complainants,</w:t>
            </w:r>
          </w:p>
          <w:p w:rsidR="005A62B2" w:rsidRPr="005A62B2" w:rsidRDefault="005A62B2" w:rsidP="005A62B2">
            <w:pPr>
              <w:tabs>
                <w:tab w:val="left" w:pos="5040"/>
              </w:tabs>
              <w:ind w:left="720"/>
              <w:rPr>
                <w:rFonts w:ascii="Arial" w:eastAsia="Times New Roman" w:hAnsi="Arial" w:cs="Arial"/>
                <w:sz w:val="24"/>
                <w:szCs w:val="24"/>
              </w:rPr>
            </w:pPr>
          </w:p>
          <w:p w:rsidR="005A62B2" w:rsidRPr="005A62B2" w:rsidRDefault="005A62B2" w:rsidP="005A62B2">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v.</w:t>
            </w:r>
          </w:p>
          <w:p w:rsidR="005A62B2" w:rsidRPr="005A62B2" w:rsidRDefault="005A62B2" w:rsidP="005A62B2">
            <w:pPr>
              <w:tabs>
                <w:tab w:val="left" w:pos="5040"/>
              </w:tabs>
              <w:ind w:left="720"/>
              <w:rPr>
                <w:rFonts w:ascii="Arial" w:eastAsia="Times New Roman" w:hAnsi="Arial" w:cs="Arial"/>
                <w:sz w:val="24"/>
                <w:szCs w:val="24"/>
              </w:rPr>
            </w:pPr>
          </w:p>
          <w:p w:rsidR="005A62B2" w:rsidRPr="005A62B2" w:rsidRDefault="005A62B2" w:rsidP="005A62B2">
            <w:pPr>
              <w:tabs>
                <w:tab w:val="left" w:pos="5040"/>
              </w:tabs>
              <w:rPr>
                <w:rFonts w:ascii="Arial" w:eastAsia="Times New Roman" w:hAnsi="Arial" w:cs="Arial"/>
                <w:sz w:val="24"/>
                <w:szCs w:val="24"/>
              </w:rPr>
            </w:pPr>
            <w:r w:rsidRPr="005A62B2">
              <w:rPr>
                <w:rFonts w:ascii="Arial" w:eastAsia="Times New Roman" w:hAnsi="Arial" w:cs="Arial"/>
                <w:sz w:val="24"/>
                <w:szCs w:val="24"/>
              </w:rPr>
              <w:t>FirstEnergy Solutions Corp.,</w:t>
            </w:r>
          </w:p>
          <w:p w:rsidR="005A62B2" w:rsidRPr="005A62B2" w:rsidRDefault="005A62B2" w:rsidP="005A62B2">
            <w:pPr>
              <w:tabs>
                <w:tab w:val="left" w:pos="5040"/>
              </w:tabs>
              <w:rPr>
                <w:rFonts w:ascii="Arial" w:eastAsia="Times New Roman" w:hAnsi="Arial" w:cs="Arial"/>
                <w:sz w:val="24"/>
                <w:szCs w:val="24"/>
              </w:rPr>
            </w:pPr>
          </w:p>
          <w:p w:rsidR="005A62B2" w:rsidRPr="005A62B2" w:rsidRDefault="005A62B2" w:rsidP="005A62B2">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Respondent.</w:t>
            </w:r>
          </w:p>
          <w:p w:rsidR="005A62B2" w:rsidRPr="005A62B2" w:rsidRDefault="005A62B2" w:rsidP="005A62B2">
            <w:pPr>
              <w:tabs>
                <w:tab w:val="left" w:pos="5040"/>
              </w:tabs>
              <w:rPr>
                <w:rFonts w:ascii="Arial" w:eastAsia="Times New Roman" w:hAnsi="Arial" w:cs="Arial"/>
                <w:sz w:val="24"/>
                <w:szCs w:val="24"/>
              </w:rPr>
            </w:pPr>
          </w:p>
        </w:tc>
        <w:tc>
          <w:tcPr>
            <w:tcW w:w="450" w:type="dxa"/>
          </w:tcPr>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p w:rsidR="005A62B2" w:rsidRPr="005A62B2" w:rsidRDefault="005A62B2" w:rsidP="005A62B2">
            <w:pPr>
              <w:jc w:val="center"/>
              <w:rPr>
                <w:rFonts w:ascii="Arial" w:eastAsia="Times New Roman" w:hAnsi="Arial" w:cs="Arial"/>
                <w:sz w:val="24"/>
                <w:szCs w:val="24"/>
              </w:rPr>
            </w:pPr>
            <w:r w:rsidRPr="005A62B2">
              <w:rPr>
                <w:rFonts w:ascii="Arial" w:eastAsia="Times New Roman" w:hAnsi="Arial" w:cs="Arial"/>
                <w:sz w:val="24"/>
                <w:szCs w:val="24"/>
              </w:rPr>
              <w:t>)</w:t>
            </w:r>
          </w:p>
        </w:tc>
        <w:tc>
          <w:tcPr>
            <w:tcW w:w="4158" w:type="dxa"/>
          </w:tcPr>
          <w:p w:rsidR="005A62B2" w:rsidRPr="005A62B2" w:rsidRDefault="005A62B2" w:rsidP="005A62B2">
            <w:pPr>
              <w:tabs>
                <w:tab w:val="left" w:pos="5040"/>
              </w:tabs>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ind w:left="342"/>
              <w:rPr>
                <w:rFonts w:ascii="Arial" w:eastAsia="Times New Roman" w:hAnsi="Arial" w:cs="Arial"/>
                <w:sz w:val="24"/>
                <w:szCs w:val="24"/>
              </w:rPr>
            </w:pPr>
            <w:r w:rsidRPr="005A62B2">
              <w:rPr>
                <w:rFonts w:ascii="Arial" w:eastAsia="Times New Roman" w:hAnsi="Arial" w:cs="Arial"/>
                <w:sz w:val="24"/>
                <w:szCs w:val="24"/>
              </w:rPr>
              <w:t>Case No. 14-1182-EL-CSS</w:t>
            </w: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p w:rsidR="005A62B2" w:rsidRPr="005A62B2" w:rsidRDefault="005A62B2" w:rsidP="005A62B2">
            <w:pPr>
              <w:rPr>
                <w:rFonts w:ascii="Arial" w:eastAsia="Times New Roman" w:hAnsi="Arial" w:cs="Arial"/>
                <w:sz w:val="24"/>
                <w:szCs w:val="24"/>
              </w:rPr>
            </w:pPr>
          </w:p>
        </w:tc>
      </w:tr>
    </w:tbl>
    <w:p w:rsidR="005A62B2" w:rsidRPr="005A62B2" w:rsidRDefault="005A62B2" w:rsidP="005A62B2">
      <w:pPr>
        <w:pBdr>
          <w:bottom w:val="single" w:sz="12" w:space="1" w:color="auto"/>
        </w:pBdr>
        <w:tabs>
          <w:tab w:val="left" w:pos="5040"/>
        </w:tabs>
        <w:spacing w:after="0" w:line="240" w:lineRule="auto"/>
        <w:rPr>
          <w:rFonts w:eastAsia="Times New Roman" w:cs="Arial"/>
        </w:rPr>
      </w:pPr>
    </w:p>
    <w:p w:rsidR="005A62B2" w:rsidRPr="005A62B2" w:rsidRDefault="005A62B2" w:rsidP="005A62B2">
      <w:pPr>
        <w:tabs>
          <w:tab w:val="left" w:pos="5040"/>
        </w:tabs>
        <w:spacing w:after="0" w:line="240" w:lineRule="auto"/>
        <w:rPr>
          <w:rFonts w:eastAsia="Times New Roman" w:cs="Arial"/>
        </w:rPr>
      </w:pPr>
    </w:p>
    <w:bookmarkEnd w:id="0"/>
    <w:bookmarkEnd w:id="1"/>
    <w:p w:rsidR="005A62B2" w:rsidRDefault="005A62B2" w:rsidP="00260B0E">
      <w:pPr>
        <w:pBdr>
          <w:bottom w:val="single" w:sz="12" w:space="1" w:color="auto"/>
        </w:pBdr>
        <w:spacing w:after="0" w:line="240" w:lineRule="auto"/>
        <w:jc w:val="center"/>
        <w:rPr>
          <w:rFonts w:ascii="Arial Bold" w:eastAsia="Times New Roman" w:hAnsi="Arial Bold" w:cs="Arial"/>
          <w:b/>
          <w:smallCaps/>
          <w:sz w:val="28"/>
        </w:rPr>
      </w:pPr>
      <w:r w:rsidRPr="005A62B2">
        <w:rPr>
          <w:rFonts w:ascii="Arial Bold" w:eastAsia="Times New Roman" w:hAnsi="Arial Bold" w:cs="Arial"/>
          <w:b/>
          <w:smallCaps/>
          <w:sz w:val="28"/>
        </w:rPr>
        <w:t xml:space="preserve">Reply of </w:t>
      </w:r>
      <w:r w:rsidR="00A01640" w:rsidRPr="00A01640">
        <w:rPr>
          <w:rFonts w:ascii="Arial Bold" w:eastAsia="Times New Roman" w:hAnsi="Arial Bold" w:cs="Arial"/>
          <w:b/>
          <w:smallCaps/>
          <w:sz w:val="28"/>
        </w:rPr>
        <w:t>The Timken Company, Marathon Petroleum Company, Wausau Paper Towel and Tissue LLC, ASHTA Chemicals Inc., Columbus Castings, The Lincoln Electric Company, Delphi Corporation, Landmark Plastic</w:t>
      </w:r>
      <w:r w:rsidR="00330C22">
        <w:rPr>
          <w:rFonts w:ascii="Arial Bold" w:eastAsia="Times New Roman" w:hAnsi="Arial Bold" w:cs="Arial"/>
          <w:b/>
          <w:smallCaps/>
          <w:sz w:val="28"/>
        </w:rPr>
        <w:t xml:space="preserve"> Corporation</w:t>
      </w:r>
      <w:r w:rsidR="005D30C8">
        <w:rPr>
          <w:rFonts w:ascii="Arial Bold" w:eastAsia="Times New Roman" w:hAnsi="Arial Bold" w:cs="Arial"/>
          <w:b/>
          <w:i/>
          <w:smallCaps/>
          <w:sz w:val="28"/>
        </w:rPr>
        <w:t>,</w:t>
      </w:r>
      <w:r w:rsidRPr="005A62B2">
        <w:rPr>
          <w:rFonts w:ascii="Arial Bold" w:eastAsia="Times New Roman" w:hAnsi="Arial Bold" w:cs="Arial"/>
          <w:b/>
          <w:smallCaps/>
          <w:sz w:val="28"/>
        </w:rPr>
        <w:t xml:space="preserve"> </w:t>
      </w:r>
      <w:r w:rsidR="00A01640" w:rsidRPr="00A01640">
        <w:rPr>
          <w:rFonts w:ascii="Arial Bold" w:eastAsia="Times New Roman" w:hAnsi="Arial Bold" w:cs="Arial"/>
          <w:b/>
          <w:smallCaps/>
          <w:sz w:val="28"/>
        </w:rPr>
        <w:t>Navco Enterprises.Com, Inc., Navco Enterprises of P.V., Inc., Navco Enterprises, Inc., Foodlife International, Inc., Navco Enterprises of O.V., Inc., and Navco of York Road</w:t>
      </w:r>
      <w:r w:rsidRPr="005A62B2">
        <w:rPr>
          <w:rFonts w:ascii="Arial Bold" w:eastAsia="Times New Roman" w:hAnsi="Arial Bold" w:cs="Arial"/>
          <w:b/>
          <w:smallCaps/>
          <w:sz w:val="28"/>
        </w:rPr>
        <w:t xml:space="preserve"> to the Memoranda Contra of Complainants and Respondent to Motions to Intervene and for Interim and Preliminary Orders</w:t>
      </w:r>
    </w:p>
    <w:p w:rsidR="005D30C8" w:rsidRPr="00260B0E" w:rsidRDefault="005D30C8" w:rsidP="005A62B2">
      <w:pPr>
        <w:pBdr>
          <w:bottom w:val="single" w:sz="12" w:space="1" w:color="auto"/>
        </w:pBdr>
        <w:spacing w:line="240" w:lineRule="auto"/>
        <w:jc w:val="center"/>
        <w:rPr>
          <w:rFonts w:ascii="Arial Bold" w:eastAsia="Times New Roman" w:hAnsi="Arial Bold" w:cs="Arial"/>
          <w:b/>
          <w:smallCaps/>
        </w:rPr>
      </w:pPr>
    </w:p>
    <w:p w:rsidR="005A62B2" w:rsidRPr="005A62B2" w:rsidRDefault="00A8126E" w:rsidP="005A62B2">
      <w:pPr>
        <w:tabs>
          <w:tab w:val="left" w:pos="720"/>
          <w:tab w:val="left" w:pos="4320"/>
          <w:tab w:val="right" w:pos="8640"/>
        </w:tabs>
        <w:spacing w:after="0" w:line="240" w:lineRule="auto"/>
        <w:jc w:val="left"/>
        <w:rPr>
          <w:rFonts w:eastAsia="Calibri" w:cs="Arial"/>
        </w:rPr>
      </w:pPr>
      <w:r>
        <w:rPr>
          <w:rFonts w:eastAsia="Calibri" w:cs="Arial"/>
        </w:rPr>
        <w:tab/>
      </w:r>
      <w:r>
        <w:rPr>
          <w:rFonts w:eastAsia="Calibri" w:cs="Arial"/>
        </w:rPr>
        <w:tab/>
      </w:r>
      <w:r>
        <w:rPr>
          <w:rFonts w:eastAsia="Calibri" w:cs="Arial"/>
        </w:rPr>
        <w:tab/>
      </w:r>
      <w:r>
        <w:rPr>
          <w:rFonts w:eastAsia="Calibri" w:cs="Arial"/>
        </w:rPr>
        <w:tab/>
      </w:r>
    </w:p>
    <w:p w:rsidR="005A62B2" w:rsidRPr="005A62B2" w:rsidRDefault="005A62B2" w:rsidP="005A62B2">
      <w:pPr>
        <w:widowControl w:val="0"/>
        <w:tabs>
          <w:tab w:val="left" w:pos="4320"/>
        </w:tabs>
        <w:spacing w:after="0" w:line="240" w:lineRule="auto"/>
        <w:ind w:left="4320"/>
        <w:jc w:val="left"/>
        <w:rPr>
          <w:rFonts w:eastAsia="Calibri" w:cs="Arial"/>
        </w:rPr>
      </w:pPr>
      <w:r w:rsidRPr="005A62B2">
        <w:rPr>
          <w:rFonts w:eastAsia="Calibri" w:cs="Arial"/>
          <w:bCs/>
        </w:rPr>
        <w:t>Frank P. Darr (Reg. No. 0025469)</w:t>
      </w:r>
      <w:r w:rsidRPr="005A62B2">
        <w:rPr>
          <w:rFonts w:eastAsia="Calibri" w:cs="Arial"/>
        </w:rPr>
        <w:t xml:space="preserve"> </w:t>
      </w:r>
    </w:p>
    <w:p w:rsidR="005A62B2" w:rsidRPr="005A62B2" w:rsidRDefault="005A62B2" w:rsidP="005A62B2">
      <w:pPr>
        <w:widowControl w:val="0"/>
        <w:tabs>
          <w:tab w:val="left" w:pos="4320"/>
        </w:tabs>
        <w:spacing w:after="0" w:line="240" w:lineRule="auto"/>
        <w:ind w:left="4320"/>
        <w:jc w:val="left"/>
        <w:rPr>
          <w:rFonts w:eastAsia="Calibri" w:cs="Arial"/>
          <w:bCs/>
        </w:rPr>
      </w:pPr>
      <w:r w:rsidRPr="005A62B2">
        <w:rPr>
          <w:rFonts w:eastAsia="Calibri" w:cs="Arial"/>
        </w:rPr>
        <w:t>(Counsel of Record)</w:t>
      </w:r>
    </w:p>
    <w:p w:rsidR="005A62B2" w:rsidRPr="005A62B2" w:rsidRDefault="005A62B2" w:rsidP="005A62B2">
      <w:pPr>
        <w:widowControl w:val="0"/>
        <w:tabs>
          <w:tab w:val="left" w:pos="4320"/>
        </w:tabs>
        <w:spacing w:after="0" w:line="240" w:lineRule="auto"/>
        <w:ind w:left="4320"/>
        <w:jc w:val="left"/>
        <w:rPr>
          <w:rFonts w:eastAsia="Calibri" w:cs="Arial"/>
          <w:b/>
          <w:bCs/>
        </w:rPr>
      </w:pPr>
      <w:r w:rsidRPr="005A62B2">
        <w:rPr>
          <w:rFonts w:eastAsia="Calibri" w:cs="Arial"/>
          <w:bCs/>
        </w:rPr>
        <w:t>Matthew R. Pritchard (Reg. No. 0088070)</w:t>
      </w:r>
    </w:p>
    <w:p w:rsidR="005A62B2" w:rsidRPr="005A62B2" w:rsidRDefault="005A62B2" w:rsidP="005A62B2">
      <w:pPr>
        <w:widowControl w:val="0"/>
        <w:tabs>
          <w:tab w:val="left" w:pos="4320"/>
        </w:tabs>
        <w:spacing w:after="0" w:line="240" w:lineRule="auto"/>
        <w:ind w:left="4320"/>
        <w:jc w:val="left"/>
        <w:rPr>
          <w:rFonts w:eastAsia="Calibri" w:cs="Arial"/>
          <w:b/>
          <w:bCs/>
          <w:smallCaps/>
        </w:rPr>
      </w:pPr>
      <w:r w:rsidRPr="005A62B2">
        <w:rPr>
          <w:rFonts w:eastAsia="Calibri" w:cs="Arial"/>
          <w:bCs/>
          <w:smallCaps/>
        </w:rPr>
        <w:t>McNees Wallace &amp; Nurick LLC</w:t>
      </w:r>
    </w:p>
    <w:p w:rsidR="005A62B2" w:rsidRPr="005A62B2" w:rsidRDefault="005A62B2" w:rsidP="005A62B2">
      <w:pPr>
        <w:widowControl w:val="0"/>
        <w:tabs>
          <w:tab w:val="left" w:pos="4320"/>
        </w:tabs>
        <w:spacing w:after="0" w:line="240" w:lineRule="auto"/>
        <w:ind w:left="4320"/>
        <w:jc w:val="left"/>
        <w:rPr>
          <w:rFonts w:eastAsia="Calibri" w:cs="Arial"/>
          <w:b/>
          <w:bCs/>
        </w:rPr>
      </w:pPr>
      <w:r w:rsidRPr="005A62B2">
        <w:rPr>
          <w:rFonts w:eastAsia="Calibri" w:cs="Arial"/>
          <w:bCs/>
        </w:rPr>
        <w:t>21 East State Street, 17</w:t>
      </w:r>
      <w:r w:rsidRPr="005A62B2">
        <w:rPr>
          <w:rFonts w:eastAsia="Calibri" w:cs="Arial"/>
          <w:bCs/>
          <w:vertAlign w:val="superscript"/>
        </w:rPr>
        <w:t>TH</w:t>
      </w:r>
      <w:r w:rsidRPr="005A62B2">
        <w:rPr>
          <w:rFonts w:eastAsia="Calibri" w:cs="Arial"/>
          <w:bCs/>
        </w:rPr>
        <w:t xml:space="preserve"> Floor</w:t>
      </w:r>
    </w:p>
    <w:p w:rsidR="005A62B2" w:rsidRPr="005A62B2" w:rsidRDefault="005A62B2" w:rsidP="005A62B2">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5A62B2">
        <w:rPr>
          <w:rFonts w:eastAsia="Calibri" w:cs="Arial"/>
        </w:rPr>
        <w:t>Columbus, OH  43215</w:t>
      </w:r>
    </w:p>
    <w:p w:rsidR="005A62B2" w:rsidRPr="005A62B2" w:rsidRDefault="005A62B2" w:rsidP="005A62B2">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5A62B2">
        <w:rPr>
          <w:rFonts w:eastAsia="Calibri" w:cs="Arial"/>
        </w:rPr>
        <w:t>Telephone:  (614) 469-8000</w:t>
      </w:r>
    </w:p>
    <w:p w:rsidR="005A62B2" w:rsidRPr="005A62B2" w:rsidRDefault="005A62B2"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5A62B2">
        <w:rPr>
          <w:rFonts w:eastAsia="Calibri" w:cs="Arial"/>
        </w:rPr>
        <w:t>Telecopier:  (614) 469-4653</w:t>
      </w:r>
    </w:p>
    <w:p w:rsidR="005A62B2" w:rsidRPr="005D30C8" w:rsidRDefault="00B16668"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hyperlink r:id="rId8" w:history="1">
        <w:r w:rsidR="005A62B2" w:rsidRPr="00260B0E">
          <w:rPr>
            <w:rFonts w:eastAsia="Calibri" w:cs="Arial"/>
            <w:color w:val="000000"/>
          </w:rPr>
          <w:t>fdarr@mwncmh.com</w:t>
        </w:r>
      </w:hyperlink>
    </w:p>
    <w:p w:rsidR="005A62B2" w:rsidRPr="005A62B2" w:rsidRDefault="005A62B2"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5A62B2">
        <w:rPr>
          <w:rFonts w:eastAsia="Calibri" w:cs="Arial"/>
          <w:color w:val="000000"/>
        </w:rPr>
        <w:t>(willing to accept service by e-mail)</w:t>
      </w:r>
    </w:p>
    <w:p w:rsidR="005A62B2" w:rsidRPr="005A62B2" w:rsidRDefault="005A62B2"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smallCaps/>
          <w:color w:val="000000"/>
        </w:rPr>
      </w:pPr>
      <w:r w:rsidRPr="005A62B2">
        <w:rPr>
          <w:rFonts w:eastAsia="Calibri" w:cs="Arial"/>
          <w:color w:val="000000"/>
        </w:rPr>
        <w:t>mpritchard@mwncmh.com</w:t>
      </w:r>
    </w:p>
    <w:p w:rsidR="005A62B2" w:rsidRPr="005A62B2" w:rsidRDefault="005A62B2"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5A62B2">
        <w:rPr>
          <w:rFonts w:eastAsia="Calibri" w:cs="Arial"/>
          <w:color w:val="000000"/>
        </w:rPr>
        <w:t>(willing to accept service by e-mail)</w:t>
      </w:r>
    </w:p>
    <w:p w:rsidR="005A62B2" w:rsidRPr="005A62B2" w:rsidRDefault="005A62B2" w:rsidP="005A62B2">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b/>
          <w:smallCaps/>
        </w:rPr>
      </w:pPr>
    </w:p>
    <w:p w:rsidR="005A62B2" w:rsidRPr="005A62B2" w:rsidRDefault="005A62B2" w:rsidP="005A62B2">
      <w:pPr>
        <w:spacing w:after="0" w:line="240" w:lineRule="auto"/>
        <w:jc w:val="left"/>
        <w:rPr>
          <w:rFonts w:ascii="Times New Roman" w:eastAsia="Times New Roman" w:hAnsi="Times New Roman" w:cs="Times New Roman"/>
        </w:rPr>
      </w:pPr>
      <w:r>
        <w:rPr>
          <w:rFonts w:eastAsia="Calibri" w:cs="Arial"/>
          <w:b/>
        </w:rPr>
        <w:t>August 11</w:t>
      </w:r>
      <w:r w:rsidRPr="005A62B2">
        <w:rPr>
          <w:rFonts w:eastAsia="Calibri" w:cs="Arial"/>
          <w:b/>
        </w:rPr>
        <w:t>, 2014</w:t>
      </w:r>
      <w:r w:rsidRPr="005A62B2">
        <w:rPr>
          <w:rFonts w:eastAsia="Calibri" w:cs="Arial"/>
          <w:b/>
        </w:rPr>
        <w:tab/>
      </w:r>
      <w:r w:rsidRPr="005A62B2">
        <w:rPr>
          <w:rFonts w:eastAsia="Calibri" w:cs="Arial"/>
          <w:b/>
        </w:rPr>
        <w:tab/>
      </w:r>
      <w:r w:rsidRPr="005A62B2">
        <w:rPr>
          <w:rFonts w:eastAsia="Calibri" w:cs="Arial"/>
          <w:b/>
        </w:rPr>
        <w:tab/>
      </w:r>
      <w:r w:rsidRPr="005A62B2">
        <w:rPr>
          <w:rFonts w:eastAsia="Calibri" w:cs="Arial"/>
          <w:b/>
        </w:rPr>
        <w:tab/>
      </w:r>
      <w:r w:rsidRPr="005A62B2">
        <w:rPr>
          <w:rFonts w:ascii="Arial Bold" w:eastAsia="Calibri" w:hAnsi="Arial Bold" w:cs="Arial"/>
          <w:b/>
          <w:smallCaps/>
        </w:rPr>
        <w:t>Attorneys for Movants</w:t>
      </w:r>
    </w:p>
    <w:p w:rsidR="005A62B2" w:rsidRPr="005A62B2" w:rsidRDefault="005A62B2" w:rsidP="00FE43DF">
      <w:pPr>
        <w:spacing w:after="0" w:line="240" w:lineRule="auto"/>
        <w:rPr>
          <w:rFonts w:eastAsia="Times New Roman" w:cs="Arial"/>
          <w:b/>
          <w:smallCaps/>
          <w:sz w:val="28"/>
        </w:rPr>
        <w:sectPr w:rsidR="005A62B2" w:rsidRPr="005A62B2" w:rsidSect="005A62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A8126E" w:rsidRPr="00E70BA4" w:rsidRDefault="00A8126E" w:rsidP="00A8126E">
      <w:pPr>
        <w:pStyle w:val="TOCHeading"/>
        <w:rPr>
          <w:rFonts w:ascii="Arial Bold" w:hAnsi="Arial Bold"/>
          <w:caps/>
          <w:color w:val="auto"/>
        </w:rPr>
      </w:pPr>
      <w:bookmarkStart w:id="2" w:name="TOCHeading"/>
      <w:r w:rsidRPr="00E70BA4">
        <w:rPr>
          <w:rFonts w:ascii="Arial Bold" w:hAnsi="Arial Bold"/>
          <w:caps/>
          <w:color w:val="auto"/>
        </w:rPr>
        <w:lastRenderedPageBreak/>
        <w:t>Table of Contents</w:t>
      </w:r>
    </w:p>
    <w:p w:rsidR="00A8126E" w:rsidRDefault="00A8126E" w:rsidP="00A8126E">
      <w:pPr>
        <w:pStyle w:val="TOCPage"/>
      </w:pPr>
      <w:bookmarkStart w:id="3" w:name="TOCPage"/>
      <w:bookmarkEnd w:id="2"/>
      <w:r>
        <w:t>Page</w:t>
      </w:r>
    </w:p>
    <w:bookmarkEnd w:id="3"/>
    <w:p w:rsidR="00A8126E" w:rsidRPr="00E70BA4" w:rsidRDefault="00A8126E" w:rsidP="00E70BA4">
      <w:pPr>
        <w:pStyle w:val="TOC1"/>
        <w:spacing w:after="240"/>
        <w:rPr>
          <w:rFonts w:asciiTheme="minorHAnsi" w:eastAsiaTheme="minorEastAsia" w:hAnsiTheme="minorHAnsi"/>
          <w:b/>
          <w:noProof/>
          <w:sz w:val="22"/>
          <w:szCs w:val="22"/>
        </w:rPr>
      </w:pPr>
      <w:r w:rsidRPr="00E70BA4">
        <w:rPr>
          <w:b/>
        </w:rPr>
        <w:fldChar w:fldCharType="begin"/>
      </w:r>
      <w:r w:rsidRPr="00E70BA4">
        <w:rPr>
          <w:b/>
        </w:rPr>
        <w:instrText xml:space="preserve"> TOC \t "Heading 1,1,Heading 2,2,Heading 3,3" </w:instrText>
      </w:r>
      <w:r w:rsidRPr="00E70BA4">
        <w:rPr>
          <w:b/>
        </w:rPr>
        <w:fldChar w:fldCharType="separate"/>
      </w:r>
      <w:bookmarkStart w:id="4" w:name="TOCLocation"/>
      <w:r w:rsidRPr="00E70BA4">
        <w:rPr>
          <w:b/>
          <w:noProof/>
          <w:color w:val="010000"/>
        </w:rPr>
        <w:t>I.</w:t>
      </w:r>
      <w:r w:rsidR="00E70BA4" w:rsidRPr="00E70BA4">
        <w:rPr>
          <w:b/>
          <w:noProof/>
          <w:color w:val="010000"/>
        </w:rPr>
        <w:tab/>
      </w:r>
      <w:r w:rsidRPr="00E70BA4">
        <w:rPr>
          <w:b/>
          <w:noProof/>
          <w:color w:val="010000"/>
        </w:rPr>
        <w:t>INTRODUCTION</w:t>
      </w:r>
      <w:r w:rsidRPr="00E70BA4">
        <w:rPr>
          <w:b/>
          <w:noProof/>
        </w:rPr>
        <w:tab/>
      </w:r>
      <w:r w:rsidRPr="00E70BA4">
        <w:rPr>
          <w:b/>
          <w:noProof/>
        </w:rPr>
        <w:fldChar w:fldCharType="begin"/>
      </w:r>
      <w:r w:rsidRPr="00E70BA4">
        <w:rPr>
          <w:b/>
          <w:noProof/>
        </w:rPr>
        <w:instrText xml:space="preserve"> PAGEREF _Toc395259576 \h </w:instrText>
      </w:r>
      <w:r w:rsidRPr="00E70BA4">
        <w:rPr>
          <w:b/>
          <w:noProof/>
        </w:rPr>
      </w:r>
      <w:r w:rsidRPr="00E70BA4">
        <w:rPr>
          <w:b/>
          <w:noProof/>
        </w:rPr>
        <w:fldChar w:fldCharType="separate"/>
      </w:r>
      <w:r w:rsidR="00FF2A9E">
        <w:rPr>
          <w:b/>
          <w:noProof/>
        </w:rPr>
        <w:t>1</w:t>
      </w:r>
      <w:r w:rsidRPr="00E70BA4">
        <w:rPr>
          <w:b/>
          <w:noProof/>
        </w:rPr>
        <w:fldChar w:fldCharType="end"/>
      </w:r>
    </w:p>
    <w:p w:rsidR="00A8126E" w:rsidRPr="00E70BA4" w:rsidRDefault="00A8126E" w:rsidP="00E70BA4">
      <w:pPr>
        <w:pStyle w:val="TOC1"/>
        <w:spacing w:after="240"/>
        <w:rPr>
          <w:rFonts w:asciiTheme="minorHAnsi" w:eastAsiaTheme="minorEastAsia" w:hAnsiTheme="minorHAnsi"/>
          <w:b/>
          <w:noProof/>
          <w:sz w:val="22"/>
          <w:szCs w:val="22"/>
        </w:rPr>
      </w:pPr>
      <w:r w:rsidRPr="00E70BA4">
        <w:rPr>
          <w:b/>
          <w:noProof/>
          <w:color w:val="010000"/>
        </w:rPr>
        <w:t>II.</w:t>
      </w:r>
      <w:r w:rsidRPr="00E70BA4">
        <w:rPr>
          <w:rFonts w:asciiTheme="minorHAnsi" w:eastAsiaTheme="minorEastAsia" w:hAnsiTheme="minorHAnsi"/>
          <w:b/>
          <w:noProof/>
          <w:sz w:val="22"/>
          <w:szCs w:val="22"/>
        </w:rPr>
        <w:tab/>
      </w:r>
      <w:r w:rsidRPr="00E70BA4">
        <w:rPr>
          <w:b/>
          <w:caps/>
          <w:noProof/>
        </w:rPr>
        <w:t>The Movants’ Motions to Intervene should be granted</w:t>
      </w:r>
      <w:r w:rsidRPr="00E70BA4">
        <w:rPr>
          <w:b/>
          <w:noProof/>
        </w:rPr>
        <w:tab/>
      </w:r>
      <w:r w:rsidRPr="00E70BA4">
        <w:rPr>
          <w:b/>
          <w:noProof/>
        </w:rPr>
        <w:fldChar w:fldCharType="begin"/>
      </w:r>
      <w:r w:rsidRPr="00E70BA4">
        <w:rPr>
          <w:b/>
          <w:noProof/>
        </w:rPr>
        <w:instrText xml:space="preserve"> PAGEREF _Toc395259577 \h </w:instrText>
      </w:r>
      <w:r w:rsidRPr="00E70BA4">
        <w:rPr>
          <w:b/>
          <w:noProof/>
        </w:rPr>
      </w:r>
      <w:r w:rsidRPr="00E70BA4">
        <w:rPr>
          <w:b/>
          <w:noProof/>
        </w:rPr>
        <w:fldChar w:fldCharType="separate"/>
      </w:r>
      <w:r w:rsidR="00FF2A9E">
        <w:rPr>
          <w:b/>
          <w:noProof/>
        </w:rPr>
        <w:t>5</w:t>
      </w:r>
      <w:r w:rsidRPr="00E70BA4">
        <w:rPr>
          <w:b/>
          <w:noProof/>
        </w:rPr>
        <w:fldChar w:fldCharType="end"/>
      </w:r>
    </w:p>
    <w:p w:rsidR="00E70BA4" w:rsidRPr="00E70BA4" w:rsidRDefault="00A8126E" w:rsidP="00E70BA4">
      <w:pPr>
        <w:pStyle w:val="TOC1"/>
        <w:spacing w:after="240"/>
        <w:rPr>
          <w:b/>
          <w:noProof/>
        </w:rPr>
      </w:pPr>
      <w:r w:rsidRPr="00E70BA4">
        <w:rPr>
          <w:b/>
          <w:noProof/>
          <w:color w:val="010000"/>
        </w:rPr>
        <w:t>III.</w:t>
      </w:r>
      <w:r w:rsidRPr="00E70BA4">
        <w:rPr>
          <w:rFonts w:asciiTheme="minorHAnsi" w:eastAsiaTheme="minorEastAsia" w:hAnsiTheme="minorHAnsi"/>
          <w:b/>
          <w:noProof/>
          <w:sz w:val="22"/>
          <w:szCs w:val="22"/>
        </w:rPr>
        <w:tab/>
      </w:r>
      <w:r w:rsidRPr="00E70BA4">
        <w:rPr>
          <w:b/>
          <w:caps/>
          <w:noProof/>
        </w:rPr>
        <w:t>The Motion for Interim AND PRELIMINARY ORDERS should be granted</w:t>
      </w:r>
      <w:r w:rsidRPr="00E70BA4">
        <w:rPr>
          <w:b/>
          <w:noProof/>
        </w:rPr>
        <w:tab/>
      </w:r>
      <w:r w:rsidRPr="00E70BA4">
        <w:rPr>
          <w:b/>
          <w:noProof/>
        </w:rPr>
        <w:fldChar w:fldCharType="begin"/>
      </w:r>
      <w:r w:rsidRPr="00E70BA4">
        <w:rPr>
          <w:b/>
          <w:noProof/>
        </w:rPr>
        <w:instrText xml:space="preserve"> PAGEREF _Toc395259578 \h </w:instrText>
      </w:r>
      <w:r w:rsidRPr="00E70BA4">
        <w:rPr>
          <w:b/>
          <w:noProof/>
        </w:rPr>
      </w:r>
      <w:r w:rsidRPr="00E70BA4">
        <w:rPr>
          <w:b/>
          <w:noProof/>
        </w:rPr>
        <w:fldChar w:fldCharType="separate"/>
      </w:r>
      <w:r w:rsidR="00FF2A9E">
        <w:rPr>
          <w:b/>
          <w:noProof/>
        </w:rPr>
        <w:t>12</w:t>
      </w:r>
      <w:r w:rsidRPr="00E70BA4">
        <w:rPr>
          <w:b/>
          <w:noProof/>
        </w:rPr>
        <w:fldChar w:fldCharType="end"/>
      </w:r>
    </w:p>
    <w:p w:rsidR="00A8126E" w:rsidRPr="00E70BA4" w:rsidRDefault="00A8126E" w:rsidP="00E70BA4">
      <w:pPr>
        <w:pStyle w:val="TOC1"/>
        <w:spacing w:after="240"/>
        <w:rPr>
          <w:rFonts w:asciiTheme="minorHAnsi" w:eastAsiaTheme="minorEastAsia" w:hAnsiTheme="minorHAnsi"/>
          <w:b/>
          <w:noProof/>
          <w:sz w:val="22"/>
          <w:szCs w:val="22"/>
        </w:rPr>
      </w:pPr>
      <w:r w:rsidRPr="00E70BA4">
        <w:rPr>
          <w:b/>
          <w:noProof/>
          <w:color w:val="010000"/>
        </w:rPr>
        <w:t>IV.</w:t>
      </w:r>
      <w:r w:rsidRPr="00E70BA4">
        <w:rPr>
          <w:rFonts w:asciiTheme="minorHAnsi" w:eastAsiaTheme="minorEastAsia" w:hAnsiTheme="minorHAnsi"/>
          <w:b/>
          <w:noProof/>
          <w:sz w:val="22"/>
          <w:szCs w:val="22"/>
        </w:rPr>
        <w:tab/>
      </w:r>
      <w:r w:rsidRPr="00E70BA4">
        <w:rPr>
          <w:b/>
          <w:caps/>
          <w:noProof/>
        </w:rPr>
        <w:t>Conclusion</w:t>
      </w:r>
      <w:r w:rsidRPr="00E70BA4">
        <w:rPr>
          <w:b/>
          <w:noProof/>
        </w:rPr>
        <w:tab/>
      </w:r>
      <w:r w:rsidRPr="00E70BA4">
        <w:rPr>
          <w:b/>
          <w:noProof/>
        </w:rPr>
        <w:fldChar w:fldCharType="begin"/>
      </w:r>
      <w:r w:rsidRPr="00E70BA4">
        <w:rPr>
          <w:b/>
          <w:noProof/>
        </w:rPr>
        <w:instrText xml:space="preserve"> PAGEREF _Toc395259579 \h </w:instrText>
      </w:r>
      <w:r w:rsidRPr="00E70BA4">
        <w:rPr>
          <w:b/>
          <w:noProof/>
        </w:rPr>
      </w:r>
      <w:r w:rsidRPr="00E70BA4">
        <w:rPr>
          <w:b/>
          <w:noProof/>
        </w:rPr>
        <w:fldChar w:fldCharType="separate"/>
      </w:r>
      <w:r w:rsidR="00FF2A9E">
        <w:rPr>
          <w:b/>
          <w:noProof/>
        </w:rPr>
        <w:t>16</w:t>
      </w:r>
      <w:r w:rsidRPr="00E70BA4">
        <w:rPr>
          <w:b/>
          <w:noProof/>
        </w:rPr>
        <w:fldChar w:fldCharType="end"/>
      </w:r>
    </w:p>
    <w:bookmarkEnd w:id="4"/>
    <w:p w:rsidR="00E70BA4" w:rsidRDefault="00A8126E" w:rsidP="00E70BA4">
      <w:pPr>
        <w:tabs>
          <w:tab w:val="right" w:leader="dot" w:pos="9360"/>
        </w:tabs>
        <w:spacing w:after="240"/>
        <w:ind w:right="720"/>
        <w:sectPr w:rsidR="00E70BA4" w:rsidSect="00E70BA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360"/>
        </w:sectPr>
      </w:pPr>
      <w:r w:rsidRPr="00E70BA4">
        <w:rPr>
          <w:b/>
        </w:rPr>
        <w:fldChar w:fldCharType="end"/>
      </w:r>
    </w:p>
    <w:p w:rsidR="005D30C8" w:rsidRPr="005A62B2" w:rsidRDefault="005D30C8" w:rsidP="005D30C8">
      <w:pPr>
        <w:spacing w:after="0" w:line="240" w:lineRule="auto"/>
        <w:jc w:val="center"/>
        <w:rPr>
          <w:rFonts w:eastAsia="Times New Roman" w:cs="Arial"/>
          <w:b/>
          <w:smallCaps/>
          <w:sz w:val="28"/>
        </w:rPr>
      </w:pPr>
      <w:r w:rsidRPr="005A62B2">
        <w:rPr>
          <w:rFonts w:eastAsia="Times New Roman" w:cs="Arial"/>
          <w:b/>
          <w:smallCaps/>
          <w:sz w:val="28"/>
        </w:rPr>
        <w:lastRenderedPageBreak/>
        <w:t>Before</w:t>
      </w:r>
    </w:p>
    <w:p w:rsidR="005D30C8" w:rsidRPr="005A62B2" w:rsidRDefault="005D30C8" w:rsidP="005D30C8">
      <w:pPr>
        <w:spacing w:after="0" w:line="240" w:lineRule="auto"/>
        <w:jc w:val="center"/>
        <w:rPr>
          <w:rFonts w:eastAsia="Times New Roman" w:cs="Arial"/>
          <w:b/>
          <w:smallCaps/>
          <w:sz w:val="28"/>
        </w:rPr>
      </w:pPr>
      <w:r w:rsidRPr="005A62B2">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5A62B2">
            <w:rPr>
              <w:rFonts w:eastAsia="Times New Roman" w:cs="Arial"/>
              <w:b/>
              <w:smallCaps/>
              <w:sz w:val="28"/>
            </w:rPr>
            <w:t>Ohio</w:t>
          </w:r>
        </w:smartTag>
      </w:smartTag>
    </w:p>
    <w:p w:rsidR="005D30C8" w:rsidRPr="005A62B2" w:rsidRDefault="005D30C8" w:rsidP="005D30C8">
      <w:pPr>
        <w:autoSpaceDE w:val="0"/>
        <w:autoSpaceDN w:val="0"/>
        <w:adjustRightInd w:val="0"/>
        <w:spacing w:after="0" w:line="240" w:lineRule="auto"/>
        <w:jc w:val="left"/>
        <w:rPr>
          <w:rFonts w:eastAsia="Calibri" w:cs="Arial"/>
        </w:rPr>
      </w:pPr>
    </w:p>
    <w:p w:rsidR="005D30C8" w:rsidRPr="005A62B2" w:rsidRDefault="005D30C8" w:rsidP="005D30C8">
      <w:pPr>
        <w:autoSpaceDE w:val="0"/>
        <w:autoSpaceDN w:val="0"/>
        <w:adjustRightInd w:val="0"/>
        <w:spacing w:after="0" w:line="240" w:lineRule="auto"/>
        <w:jc w:val="left"/>
        <w:rPr>
          <w:rFonts w:eastAsia="Calibri"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5D30C8" w:rsidRPr="005A62B2" w:rsidTr="004973C7">
        <w:tc>
          <w:tcPr>
            <w:tcW w:w="4968" w:type="dxa"/>
          </w:tcPr>
          <w:p w:rsidR="005D30C8" w:rsidRPr="005A62B2" w:rsidRDefault="005D30C8" w:rsidP="004973C7">
            <w:pPr>
              <w:tabs>
                <w:tab w:val="left" w:pos="5040"/>
              </w:tabs>
              <w:rPr>
                <w:rFonts w:ascii="Arial" w:eastAsia="Times New Roman" w:hAnsi="Arial" w:cs="Arial"/>
                <w:sz w:val="24"/>
                <w:szCs w:val="24"/>
              </w:rPr>
            </w:pPr>
            <w:r w:rsidRPr="005A62B2">
              <w:rPr>
                <w:rFonts w:ascii="Arial" w:eastAsia="Times New Roman" w:hAnsi="Arial" w:cs="Arial"/>
                <w:sz w:val="24"/>
                <w:szCs w:val="24"/>
              </w:rPr>
              <w:t>Ohio Schools Council, Ohio School Boards Association, Ohio Association of School Business Officials, and Buckeye Association of School Administrators, dba Power4Schools,</w:t>
            </w:r>
          </w:p>
          <w:p w:rsidR="005D30C8" w:rsidRPr="005A62B2" w:rsidRDefault="005D30C8" w:rsidP="004973C7">
            <w:pPr>
              <w:tabs>
                <w:tab w:val="left" w:pos="5040"/>
              </w:tabs>
              <w:ind w:left="720"/>
              <w:rPr>
                <w:rFonts w:ascii="Arial" w:eastAsia="Times New Roman" w:hAnsi="Arial" w:cs="Arial"/>
                <w:sz w:val="24"/>
                <w:szCs w:val="24"/>
              </w:rPr>
            </w:pPr>
          </w:p>
          <w:p w:rsidR="005D30C8" w:rsidRPr="005A62B2" w:rsidRDefault="005D30C8" w:rsidP="004973C7">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Complainants,</w:t>
            </w:r>
          </w:p>
          <w:p w:rsidR="005D30C8" w:rsidRPr="005A62B2" w:rsidRDefault="005D30C8" w:rsidP="004973C7">
            <w:pPr>
              <w:tabs>
                <w:tab w:val="left" w:pos="5040"/>
              </w:tabs>
              <w:ind w:left="720"/>
              <w:rPr>
                <w:rFonts w:ascii="Arial" w:eastAsia="Times New Roman" w:hAnsi="Arial" w:cs="Arial"/>
                <w:sz w:val="24"/>
                <w:szCs w:val="24"/>
              </w:rPr>
            </w:pPr>
          </w:p>
          <w:p w:rsidR="005D30C8" w:rsidRPr="005A62B2" w:rsidRDefault="005D30C8" w:rsidP="004973C7">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v.</w:t>
            </w:r>
          </w:p>
          <w:p w:rsidR="005D30C8" w:rsidRPr="005A62B2" w:rsidRDefault="005D30C8" w:rsidP="004973C7">
            <w:pPr>
              <w:tabs>
                <w:tab w:val="left" w:pos="5040"/>
              </w:tabs>
              <w:ind w:left="720"/>
              <w:rPr>
                <w:rFonts w:ascii="Arial" w:eastAsia="Times New Roman" w:hAnsi="Arial" w:cs="Arial"/>
                <w:sz w:val="24"/>
                <w:szCs w:val="24"/>
              </w:rPr>
            </w:pPr>
          </w:p>
          <w:p w:rsidR="005D30C8" w:rsidRPr="005A62B2" w:rsidRDefault="005D30C8" w:rsidP="004973C7">
            <w:pPr>
              <w:tabs>
                <w:tab w:val="left" w:pos="5040"/>
              </w:tabs>
              <w:rPr>
                <w:rFonts w:ascii="Arial" w:eastAsia="Times New Roman" w:hAnsi="Arial" w:cs="Arial"/>
                <w:sz w:val="24"/>
                <w:szCs w:val="24"/>
              </w:rPr>
            </w:pPr>
            <w:r w:rsidRPr="005A62B2">
              <w:rPr>
                <w:rFonts w:ascii="Arial" w:eastAsia="Times New Roman" w:hAnsi="Arial" w:cs="Arial"/>
                <w:sz w:val="24"/>
                <w:szCs w:val="24"/>
              </w:rPr>
              <w:t>FirstEnergy Solutions Corp.,</w:t>
            </w:r>
          </w:p>
          <w:p w:rsidR="005D30C8" w:rsidRPr="005A62B2" w:rsidRDefault="005D30C8" w:rsidP="004973C7">
            <w:pPr>
              <w:tabs>
                <w:tab w:val="left" w:pos="5040"/>
              </w:tabs>
              <w:rPr>
                <w:rFonts w:ascii="Arial" w:eastAsia="Times New Roman" w:hAnsi="Arial" w:cs="Arial"/>
                <w:sz w:val="24"/>
                <w:szCs w:val="24"/>
              </w:rPr>
            </w:pPr>
          </w:p>
          <w:p w:rsidR="005D30C8" w:rsidRPr="005A62B2" w:rsidRDefault="005D30C8" w:rsidP="004973C7">
            <w:pPr>
              <w:tabs>
                <w:tab w:val="left" w:pos="5040"/>
              </w:tabs>
              <w:ind w:left="720"/>
              <w:rPr>
                <w:rFonts w:ascii="Arial" w:eastAsia="Times New Roman" w:hAnsi="Arial" w:cs="Arial"/>
                <w:sz w:val="24"/>
                <w:szCs w:val="24"/>
              </w:rPr>
            </w:pPr>
            <w:r w:rsidRPr="005A62B2">
              <w:rPr>
                <w:rFonts w:ascii="Arial" w:eastAsia="Times New Roman" w:hAnsi="Arial" w:cs="Arial"/>
                <w:sz w:val="24"/>
                <w:szCs w:val="24"/>
              </w:rPr>
              <w:t>Respondent.</w:t>
            </w:r>
          </w:p>
          <w:p w:rsidR="005D30C8" w:rsidRPr="005A62B2" w:rsidRDefault="005D30C8" w:rsidP="004973C7">
            <w:pPr>
              <w:tabs>
                <w:tab w:val="left" w:pos="5040"/>
              </w:tabs>
              <w:rPr>
                <w:rFonts w:ascii="Arial" w:eastAsia="Times New Roman" w:hAnsi="Arial" w:cs="Arial"/>
                <w:sz w:val="24"/>
                <w:szCs w:val="24"/>
              </w:rPr>
            </w:pPr>
          </w:p>
        </w:tc>
        <w:tc>
          <w:tcPr>
            <w:tcW w:w="450" w:type="dxa"/>
          </w:tcPr>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p w:rsidR="005D30C8" w:rsidRPr="005A62B2" w:rsidRDefault="005D30C8" w:rsidP="004973C7">
            <w:pPr>
              <w:jc w:val="center"/>
              <w:rPr>
                <w:rFonts w:ascii="Arial" w:eastAsia="Times New Roman" w:hAnsi="Arial" w:cs="Arial"/>
                <w:sz w:val="24"/>
                <w:szCs w:val="24"/>
              </w:rPr>
            </w:pPr>
            <w:r w:rsidRPr="005A62B2">
              <w:rPr>
                <w:rFonts w:ascii="Arial" w:eastAsia="Times New Roman" w:hAnsi="Arial" w:cs="Arial"/>
                <w:sz w:val="24"/>
                <w:szCs w:val="24"/>
              </w:rPr>
              <w:t>)</w:t>
            </w:r>
          </w:p>
        </w:tc>
        <w:tc>
          <w:tcPr>
            <w:tcW w:w="4158" w:type="dxa"/>
          </w:tcPr>
          <w:p w:rsidR="005D30C8" w:rsidRPr="005A62B2" w:rsidRDefault="005D30C8" w:rsidP="004973C7">
            <w:pPr>
              <w:tabs>
                <w:tab w:val="left" w:pos="5040"/>
              </w:tabs>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ind w:left="342"/>
              <w:rPr>
                <w:rFonts w:ascii="Arial" w:eastAsia="Times New Roman" w:hAnsi="Arial" w:cs="Arial"/>
                <w:sz w:val="24"/>
                <w:szCs w:val="24"/>
              </w:rPr>
            </w:pPr>
            <w:r w:rsidRPr="005A62B2">
              <w:rPr>
                <w:rFonts w:ascii="Arial" w:eastAsia="Times New Roman" w:hAnsi="Arial" w:cs="Arial"/>
                <w:sz w:val="24"/>
                <w:szCs w:val="24"/>
              </w:rPr>
              <w:t>Case No. 14-1182-EL-CSS</w:t>
            </w: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p w:rsidR="005D30C8" w:rsidRPr="005A62B2" w:rsidRDefault="005D30C8" w:rsidP="004973C7">
            <w:pPr>
              <w:rPr>
                <w:rFonts w:ascii="Arial" w:eastAsia="Times New Roman" w:hAnsi="Arial" w:cs="Arial"/>
                <w:sz w:val="24"/>
                <w:szCs w:val="24"/>
              </w:rPr>
            </w:pPr>
          </w:p>
        </w:tc>
      </w:tr>
    </w:tbl>
    <w:p w:rsidR="005D30C8" w:rsidRPr="005A62B2" w:rsidRDefault="005D30C8" w:rsidP="005D30C8">
      <w:pPr>
        <w:pBdr>
          <w:bottom w:val="single" w:sz="12" w:space="1" w:color="auto"/>
        </w:pBdr>
        <w:tabs>
          <w:tab w:val="left" w:pos="5040"/>
        </w:tabs>
        <w:spacing w:after="0" w:line="240" w:lineRule="auto"/>
        <w:rPr>
          <w:rFonts w:eastAsia="Times New Roman" w:cs="Arial"/>
        </w:rPr>
      </w:pPr>
    </w:p>
    <w:p w:rsidR="005D30C8" w:rsidRPr="005A62B2" w:rsidRDefault="005D30C8" w:rsidP="005D30C8">
      <w:pPr>
        <w:tabs>
          <w:tab w:val="left" w:pos="5040"/>
        </w:tabs>
        <w:spacing w:after="0" w:line="240" w:lineRule="auto"/>
        <w:rPr>
          <w:rFonts w:eastAsia="Times New Roman" w:cs="Arial"/>
        </w:rPr>
      </w:pPr>
    </w:p>
    <w:p w:rsidR="005D30C8" w:rsidRDefault="00A01640" w:rsidP="005D30C8">
      <w:pPr>
        <w:pBdr>
          <w:bottom w:val="single" w:sz="12" w:space="1" w:color="auto"/>
        </w:pBdr>
        <w:spacing w:after="0" w:line="240" w:lineRule="auto"/>
        <w:jc w:val="center"/>
        <w:rPr>
          <w:rFonts w:ascii="Arial Bold" w:eastAsia="Times New Roman" w:hAnsi="Arial Bold" w:cs="Arial"/>
          <w:b/>
          <w:smallCaps/>
          <w:sz w:val="28"/>
        </w:rPr>
      </w:pPr>
      <w:r w:rsidRPr="00A01640">
        <w:rPr>
          <w:rFonts w:ascii="Arial Bold" w:eastAsia="Times New Roman" w:hAnsi="Arial Bold" w:cs="Arial"/>
          <w:b/>
          <w:smallCaps/>
          <w:sz w:val="28"/>
        </w:rPr>
        <w:t>Reply of The Timken Company, Marathon Petroleum Company, Wausau Paper Towel and Tissue LLC, ASHTA Chemicals Inc., Columbus Castings, The Lincoln Electric Company, Delphi Corporation, Landmark Plastic Cor</w:t>
      </w:r>
      <w:r w:rsidR="00330C22">
        <w:rPr>
          <w:rFonts w:ascii="Arial Bold" w:eastAsia="Times New Roman" w:hAnsi="Arial Bold" w:cs="Arial"/>
          <w:b/>
          <w:smallCaps/>
          <w:sz w:val="28"/>
        </w:rPr>
        <w:t>poration</w:t>
      </w:r>
      <w:r w:rsidRPr="00A01640">
        <w:rPr>
          <w:rFonts w:ascii="Arial Bold" w:eastAsia="Times New Roman" w:hAnsi="Arial Bold" w:cs="Arial"/>
          <w:b/>
          <w:i/>
          <w:smallCaps/>
          <w:sz w:val="28"/>
        </w:rPr>
        <w:t>,</w:t>
      </w:r>
      <w:r w:rsidRPr="00A01640">
        <w:rPr>
          <w:rFonts w:ascii="Arial Bold" w:eastAsia="Times New Roman" w:hAnsi="Arial Bold" w:cs="Arial"/>
          <w:b/>
          <w:smallCaps/>
          <w:sz w:val="28"/>
        </w:rPr>
        <w:t xml:space="preserve"> Navco Enterprises.Com, Inc., Navco Enterprises of P.V., Inc., Navco Enterprises, Inc., Foodlife International, Inc., Navco Enterprises of O.V., Inc., and Navco of York Road to the Memoranda Contra of Complainants and Respondent to Motions to Intervene and for Interim and Preliminary Orders</w:t>
      </w:r>
    </w:p>
    <w:p w:rsidR="005D30C8" w:rsidRPr="008F38A0" w:rsidRDefault="005D30C8" w:rsidP="005D30C8">
      <w:pPr>
        <w:pBdr>
          <w:bottom w:val="single" w:sz="12" w:space="1" w:color="auto"/>
        </w:pBdr>
        <w:spacing w:line="240" w:lineRule="auto"/>
        <w:jc w:val="center"/>
        <w:rPr>
          <w:rFonts w:ascii="Arial Bold" w:eastAsia="Times New Roman" w:hAnsi="Arial Bold" w:cs="Arial"/>
          <w:b/>
          <w:smallCaps/>
        </w:rPr>
      </w:pPr>
    </w:p>
    <w:p w:rsidR="005D30C8" w:rsidRPr="005A62B2" w:rsidRDefault="005D30C8" w:rsidP="005D30C8">
      <w:pPr>
        <w:spacing w:after="0" w:line="240" w:lineRule="auto"/>
        <w:jc w:val="left"/>
        <w:rPr>
          <w:rFonts w:eastAsia="Times New Roman" w:cs="Arial"/>
          <w:b/>
          <w:smallCaps/>
          <w:u w:val="single"/>
        </w:rPr>
      </w:pPr>
    </w:p>
    <w:p w:rsidR="00400719" w:rsidRDefault="0031090C" w:rsidP="00260B0E">
      <w:pPr>
        <w:pStyle w:val="Heading1"/>
      </w:pPr>
      <w:bookmarkStart w:id="5" w:name="_Toc395258511"/>
      <w:bookmarkStart w:id="6" w:name="_Toc395258619"/>
      <w:bookmarkStart w:id="7" w:name="_Toc395258844"/>
      <w:bookmarkStart w:id="8" w:name="_Toc395258947"/>
      <w:bookmarkStart w:id="9" w:name="_Toc395259573"/>
      <w:r>
        <w:t>INTRODUCTION</w:t>
      </w:r>
      <w:bookmarkStart w:id="10" w:name="_Toc395258512"/>
      <w:bookmarkStart w:id="11" w:name="_Toc395258620"/>
      <w:bookmarkStart w:id="12" w:name="_Toc395258845"/>
      <w:bookmarkStart w:id="13" w:name="_Toc395258948"/>
      <w:bookmarkStart w:id="14" w:name="_Toc395259574"/>
      <w:bookmarkStart w:id="15" w:name="_Toc395258514"/>
      <w:bookmarkStart w:id="16" w:name="_Toc395258622"/>
      <w:bookmarkStart w:id="17" w:name="_Toc395258847"/>
      <w:bookmarkStart w:id="18" w:name="_Toc395258950"/>
      <w:bookmarkStart w:id="19" w:name="_Toc39525957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00719" w:rsidRDefault="009A7FD5" w:rsidP="009A7FD5">
      <w:pPr>
        <w:ind w:firstLine="720"/>
      </w:pPr>
      <w:r>
        <w:t>On July 3, 2014, Ohio Schools Coun</w:t>
      </w:r>
      <w:r w:rsidR="003A206D">
        <w:t>cil</w:t>
      </w:r>
      <w:r>
        <w:t xml:space="preserve">, Ohio School Boards Association, Ohio Association of School Business Officials, and Buckeye Association of School Administrators, </w:t>
      </w:r>
      <w:r w:rsidR="0011615B">
        <w:t xml:space="preserve">dba </w:t>
      </w:r>
      <w:r>
        <w:t>Power4Schools (“Comp</w:t>
      </w:r>
      <w:r w:rsidR="005A62B2">
        <w:t>lainants”)</w:t>
      </w:r>
      <w:r w:rsidR="00EF1C27">
        <w:t>,</w:t>
      </w:r>
      <w:r w:rsidR="005A62B2">
        <w:t xml:space="preserve"> filed a multi</w:t>
      </w:r>
      <w:r w:rsidR="0087692F">
        <w:t>-</w:t>
      </w:r>
      <w:r w:rsidR="005A62B2">
        <w:t>count C</w:t>
      </w:r>
      <w:r>
        <w:t>omplaint in this proceeding.</w:t>
      </w:r>
      <w:r w:rsidR="00625538">
        <w:t xml:space="preserve"> </w:t>
      </w:r>
      <w:r w:rsidR="005A62B2">
        <w:t xml:space="preserve"> The C</w:t>
      </w:r>
      <w:r>
        <w:t>omplai</w:t>
      </w:r>
      <w:r w:rsidR="00400719">
        <w:t>nt alleges that certain of the C</w:t>
      </w:r>
      <w:r>
        <w:t>omplainants</w:t>
      </w:r>
      <w:r w:rsidR="00515665">
        <w:t>’</w:t>
      </w:r>
      <w:r>
        <w:t xml:space="preserve"> participating members are customers that receive competitive retail electric service</w:t>
      </w:r>
      <w:r w:rsidR="00400719">
        <w:t xml:space="preserve"> (“CRES”)</w:t>
      </w:r>
      <w:r>
        <w:t xml:space="preserve"> from FirstEnergy Solutions Corp.</w:t>
      </w:r>
      <w:r w:rsidR="00515665">
        <w:t xml:space="preserve"> </w:t>
      </w:r>
      <w:r>
        <w:t xml:space="preserve">(“FES”).  </w:t>
      </w:r>
      <w:r w:rsidR="003275F5" w:rsidRPr="003275F5">
        <w:t xml:space="preserve">As part of their request for relief, Complainants </w:t>
      </w:r>
      <w:r w:rsidR="003275F5" w:rsidRPr="003275F5">
        <w:lastRenderedPageBreak/>
        <w:t>have</w:t>
      </w:r>
      <w:r w:rsidR="003275F5">
        <w:t xml:space="preserve"> </w:t>
      </w:r>
      <w:r w:rsidR="003275F5" w:rsidRPr="003275F5">
        <w:t xml:space="preserve">asked the </w:t>
      </w:r>
      <w:r w:rsidR="00400719">
        <w:t xml:space="preserve">Public Utilities </w:t>
      </w:r>
      <w:r w:rsidR="003275F5" w:rsidRPr="003275F5">
        <w:t xml:space="preserve">Commission </w:t>
      </w:r>
      <w:r w:rsidR="00400719">
        <w:t xml:space="preserve">of Ohio (“Commission”) </w:t>
      </w:r>
      <w:r w:rsidR="003275F5" w:rsidRPr="003275F5">
        <w:t xml:space="preserve">to find that FES’s communications, billing, or collection of the RTO Expense Surcharge violate certain provisions of the Ohio Revised Code and Ohio Administrative Code that apply to FES as a CRES provider.  The Complainants also request that the Commission suspend FES’s certificate to provide CRES in the State of Ohio.  </w:t>
      </w:r>
      <w:r w:rsidR="002C0EBB" w:rsidRPr="003275F5">
        <w:t>To the extent that FES’s CRES certificate is suspended as Complainants have requested, FES may be unable to perform in accordance with its existing retail service agreements since such certification is a condition for the provision of CRES in the State of Ohio.</w:t>
      </w:r>
      <w:r w:rsidR="002C0EBB">
        <w:t xml:space="preserve">  </w:t>
      </w:r>
      <w:r w:rsidR="003275F5" w:rsidRPr="003275F5">
        <w:t>This portion of the Complainants’ requested relief will, if granted by the Commission, affect all FES retail customers in Ohio</w:t>
      </w:r>
      <w:r w:rsidR="002C0EBB">
        <w:t xml:space="preserve"> including Movants</w:t>
      </w:r>
      <w:r w:rsidR="003275F5" w:rsidRPr="003275F5">
        <w:t xml:space="preserve">.  </w:t>
      </w:r>
    </w:p>
    <w:p w:rsidR="003275F5" w:rsidRDefault="009A7FD5" w:rsidP="009A7FD5">
      <w:pPr>
        <w:ind w:firstLine="720"/>
      </w:pPr>
      <w:r>
        <w:t xml:space="preserve">On July 17, 2014, </w:t>
      </w:r>
      <w:r w:rsidRPr="009A7FD5">
        <w:t>The Timken Company, Marathon Petroleum Company, Wausau Paper Towel and Tissue LLC, ASHTA Chemicals Inc., Columbus Castings, The Lincoln Electric Company, Delphi Corporation, and Landmark Plastic Corporation</w:t>
      </w:r>
      <w:r>
        <w:t xml:space="preserve"> filed </w:t>
      </w:r>
      <w:r w:rsidR="0087692F">
        <w:t>M</w:t>
      </w:r>
      <w:r>
        <w:t xml:space="preserve">otions to </w:t>
      </w:r>
      <w:r w:rsidR="0087692F">
        <w:t>I</w:t>
      </w:r>
      <w:r>
        <w:t xml:space="preserve">ntervene and for </w:t>
      </w:r>
      <w:r w:rsidR="00515665">
        <w:t>I</w:t>
      </w:r>
      <w:r>
        <w:t xml:space="preserve">nterim and </w:t>
      </w:r>
      <w:r w:rsidR="00515665">
        <w:t>P</w:t>
      </w:r>
      <w:r w:rsidR="00260B0E">
        <w:t>reliminary O</w:t>
      </w:r>
      <w:r w:rsidR="005C16C9">
        <w:t>rders</w:t>
      </w:r>
      <w:r w:rsidR="0087692F">
        <w:t xml:space="preserve"> (“Motions for Preliminary and Interim Orders”)</w:t>
      </w:r>
      <w:r>
        <w:t xml:space="preserve">.  </w:t>
      </w:r>
      <w:r w:rsidR="003275F5">
        <w:t>On July 21, 2014,</w:t>
      </w:r>
      <w:r w:rsidR="003275F5" w:rsidRPr="003275F5">
        <w:t xml:space="preserve"> Navco Enterprises.Com, Inc., Navco Enterprises of P.V., Inc., Navco Enterprises, Inc., Foodlife International, Inc., Navco Enterprises of O.V., Inc., and Navco of York Road, Inc. </w:t>
      </w:r>
      <w:r w:rsidR="003275F5">
        <w:t>filed similar motions.  (Collectively</w:t>
      </w:r>
      <w:r w:rsidR="00F15017">
        <w:t>,</w:t>
      </w:r>
      <w:r w:rsidR="003275F5">
        <w:t xml:space="preserve"> these parties are referred to as the </w:t>
      </w:r>
      <w:r w:rsidR="005C16C9">
        <w:t>“</w:t>
      </w:r>
      <w:r w:rsidR="003275F5">
        <w:t>Movants</w:t>
      </w:r>
      <w:r w:rsidR="00FF2A9E">
        <w:t>.</w:t>
      </w:r>
      <w:r w:rsidR="005C16C9">
        <w:t>”</w:t>
      </w:r>
      <w:r w:rsidR="003275F5">
        <w:t>)</w:t>
      </w:r>
    </w:p>
    <w:p w:rsidR="008E3BF4" w:rsidRDefault="009A7FD5" w:rsidP="009A7FD5">
      <w:pPr>
        <w:ind w:firstLine="720"/>
      </w:pPr>
      <w:r>
        <w:t xml:space="preserve">In support of their </w:t>
      </w:r>
      <w:r w:rsidR="00B16668">
        <w:t xml:space="preserve">Motions </w:t>
      </w:r>
      <w:r w:rsidR="003275F5">
        <w:t xml:space="preserve">to </w:t>
      </w:r>
      <w:r w:rsidR="00B16668">
        <w:t>Intervene</w:t>
      </w:r>
      <w:r>
        <w:t xml:space="preserve">, </w:t>
      </w:r>
      <w:r w:rsidR="003275F5">
        <w:t>Movants</w:t>
      </w:r>
      <w:r>
        <w:t xml:space="preserve"> </w:t>
      </w:r>
      <w:r w:rsidR="0038531D">
        <w:t>state</w:t>
      </w:r>
      <w:r>
        <w:t xml:space="preserve"> that they are customers of </w:t>
      </w:r>
      <w:r w:rsidR="000B7FE7">
        <w:t xml:space="preserve">FES </w:t>
      </w:r>
      <w:r w:rsidR="002C0EBB">
        <w:t xml:space="preserve">and </w:t>
      </w:r>
      <w:r w:rsidR="002473B6">
        <w:t xml:space="preserve">Ohio </w:t>
      </w:r>
      <w:r w:rsidR="002C0EBB">
        <w:t>electric distribution companies (“EDU”).</w:t>
      </w:r>
      <w:r w:rsidR="002C0EBB">
        <w:rPr>
          <w:rStyle w:val="FootnoteReference"/>
        </w:rPr>
        <w:footnoteReference w:id="1"/>
      </w:r>
      <w:r w:rsidR="002C0EBB">
        <w:t xml:space="preserve">  They further allege</w:t>
      </w:r>
      <w:r w:rsidR="000B7FE7">
        <w:t xml:space="preserve"> </w:t>
      </w:r>
      <w:r>
        <w:t xml:space="preserve">they are </w:t>
      </w:r>
      <w:r>
        <w:lastRenderedPageBreak/>
        <w:t xml:space="preserve">receiving service pursuant to contracts </w:t>
      </w:r>
      <w:r w:rsidR="0087692F">
        <w:t xml:space="preserve">with FES </w:t>
      </w:r>
      <w:r>
        <w:t>that are identical or substantially similar to the provisions contained in the contracts which are the subject matter of the C</w:t>
      </w:r>
      <w:r w:rsidR="003275F5">
        <w:t>omplaint</w:t>
      </w:r>
      <w:r w:rsidR="002C0EBB">
        <w:t>.</w:t>
      </w:r>
      <w:r w:rsidR="002C0EBB">
        <w:rPr>
          <w:rStyle w:val="FootnoteReference"/>
        </w:rPr>
        <w:footnoteReference w:id="2"/>
      </w:r>
      <w:r w:rsidR="003275F5">
        <w:t xml:space="preserve"> </w:t>
      </w:r>
      <w:r w:rsidR="002C0EBB">
        <w:t xml:space="preserve"> The Movants</w:t>
      </w:r>
      <w:r>
        <w:t xml:space="preserve"> </w:t>
      </w:r>
      <w:r w:rsidR="002C0EBB">
        <w:t xml:space="preserve">either </w:t>
      </w:r>
      <w:r>
        <w:t xml:space="preserve">have been charged or threatened with an extra charge, an RTO Expense Surcharge, similar to the charge complained of by the </w:t>
      </w:r>
      <w:r w:rsidR="00B4150E">
        <w:t>Complainants</w:t>
      </w:r>
      <w:r>
        <w:t>.</w:t>
      </w:r>
      <w:r w:rsidR="002C0EBB">
        <w:rPr>
          <w:rStyle w:val="FootnoteReference"/>
        </w:rPr>
        <w:footnoteReference w:id="3"/>
      </w:r>
      <w:r w:rsidR="002C0EBB">
        <w:t xml:space="preserve"> </w:t>
      </w:r>
      <w:r>
        <w:t xml:space="preserve"> They also </w:t>
      </w:r>
      <w:r w:rsidR="000B7FE7">
        <w:t>state</w:t>
      </w:r>
      <w:r>
        <w:t xml:space="preserve"> that they have disputed the charges with FES</w:t>
      </w:r>
      <w:r w:rsidR="002473B6">
        <w:t xml:space="preserve"> and some have withhe</w:t>
      </w:r>
      <w:r w:rsidR="00B67D7F">
        <w:t>ld payment of the disputed amounts</w:t>
      </w:r>
      <w:r>
        <w:t>.</w:t>
      </w:r>
      <w:r>
        <w:rPr>
          <w:rStyle w:val="FootnoteReference"/>
        </w:rPr>
        <w:footnoteReference w:id="4"/>
      </w:r>
      <w:r w:rsidR="003275F5">
        <w:t xml:space="preserve">  </w:t>
      </w:r>
      <w:r w:rsidR="003275F5" w:rsidRPr="003275F5">
        <w:t>Movants’ business interests are either not represented at all by Complainants or are not adequately represented by Complainants.</w:t>
      </w:r>
      <w:r w:rsidR="002C0EBB">
        <w:rPr>
          <w:rStyle w:val="FootnoteReference"/>
        </w:rPr>
        <w:footnoteReference w:id="5"/>
      </w:r>
      <w:r w:rsidR="003275F5" w:rsidRPr="003275F5">
        <w:t xml:space="preserve">  Based on Movants’ experience with </w:t>
      </w:r>
      <w:r w:rsidR="00B4150E">
        <w:t>PJM Interconnection, LLC (“</w:t>
      </w:r>
      <w:r w:rsidR="003275F5" w:rsidRPr="003275F5">
        <w:t>PJM</w:t>
      </w:r>
      <w:r w:rsidR="00B4150E">
        <w:t>”)</w:t>
      </w:r>
      <w:r w:rsidR="003275F5" w:rsidRPr="003275F5">
        <w:t xml:space="preserve"> and, more broadly, wholesale electric markets, Movants will significantly contribute to full development and equitable resolution of factual issues raised by the Complaint and the relief requested therein.</w:t>
      </w:r>
      <w:r w:rsidR="002C0EBB">
        <w:rPr>
          <w:rStyle w:val="FootnoteReference"/>
        </w:rPr>
        <w:footnoteReference w:id="6"/>
      </w:r>
      <w:r w:rsidR="003275F5" w:rsidRPr="003275F5">
        <w:t xml:space="preserve">  </w:t>
      </w:r>
      <w:r w:rsidR="0087692F">
        <w:t>To address the additional concerns not addressed by the Complainants</w:t>
      </w:r>
      <w:r w:rsidR="003275F5" w:rsidRPr="003275F5">
        <w:t xml:space="preserve">, the Movants </w:t>
      </w:r>
      <w:r w:rsidR="0087692F">
        <w:t xml:space="preserve">filed </w:t>
      </w:r>
      <w:r w:rsidR="0087692F" w:rsidRPr="0087692F">
        <w:t xml:space="preserve">Motions for Preliminary and Interim Orders </w:t>
      </w:r>
      <w:r w:rsidR="003275F5" w:rsidRPr="003275F5">
        <w:t xml:space="preserve">to assure that they are not affected </w:t>
      </w:r>
      <w:r w:rsidR="0087692F" w:rsidRPr="003275F5">
        <w:t xml:space="preserve">adversely </w:t>
      </w:r>
      <w:r w:rsidR="003275F5" w:rsidRPr="003275F5">
        <w:t>while they and FES address the bona fide billing disputes regarding the RTO Expense Surcharge</w:t>
      </w:r>
      <w:r w:rsidR="0087692F">
        <w:t>s</w:t>
      </w:r>
      <w:r w:rsidR="003275F5" w:rsidRPr="003275F5">
        <w:t>.</w:t>
      </w:r>
      <w:r w:rsidR="00995362">
        <w:rPr>
          <w:rStyle w:val="FootnoteReference"/>
        </w:rPr>
        <w:footnoteReference w:id="7"/>
      </w:r>
      <w:r w:rsidR="003275F5" w:rsidRPr="003275F5">
        <w:t xml:space="preserve">  </w:t>
      </w:r>
    </w:p>
    <w:p w:rsidR="00850DC6" w:rsidRDefault="001B6564" w:rsidP="009A7FD5">
      <w:pPr>
        <w:ind w:firstLine="720"/>
      </w:pPr>
      <w:r>
        <w:t xml:space="preserve">The Complainants and FES have opposed the </w:t>
      </w:r>
      <w:r w:rsidR="006C6B21">
        <w:t xml:space="preserve">Motions </w:t>
      </w:r>
      <w:r>
        <w:t xml:space="preserve">to </w:t>
      </w:r>
      <w:r w:rsidR="006C6B21">
        <w:t>Intervene</w:t>
      </w:r>
      <w:r>
        <w:t xml:space="preserve">.  </w:t>
      </w:r>
      <w:r w:rsidR="00995362">
        <w:t xml:space="preserve">Although Complainants initially assert that the </w:t>
      </w:r>
      <w:r w:rsidR="006F175F">
        <w:t xml:space="preserve">Movants’ </w:t>
      </w:r>
      <w:r w:rsidR="00995362">
        <w:t xml:space="preserve">interests in this proceeding are </w:t>
      </w:r>
      <w:r w:rsidR="00995362">
        <w:lastRenderedPageBreak/>
        <w:t>speculative,</w:t>
      </w:r>
      <w:r w:rsidR="00995362">
        <w:rPr>
          <w:rStyle w:val="FootnoteReference"/>
        </w:rPr>
        <w:footnoteReference w:id="8"/>
      </w:r>
      <w:r w:rsidR="00995362">
        <w:t xml:space="preserve"> </w:t>
      </w:r>
      <w:r w:rsidR="00257DB3">
        <w:t xml:space="preserve">Complainants </w:t>
      </w:r>
      <w:r w:rsidR="0087692F">
        <w:t xml:space="preserve">more specifically </w:t>
      </w:r>
      <w:r w:rsidR="00257DB3">
        <w:t xml:space="preserve">argue that the Movants must allege that they are similarly situated to the </w:t>
      </w:r>
      <w:r w:rsidR="00B4150E">
        <w:t xml:space="preserve">Complainants </w:t>
      </w:r>
      <w:r w:rsidR="00257DB3">
        <w:t xml:space="preserve">such that </w:t>
      </w:r>
      <w:r w:rsidR="00995362">
        <w:t>their</w:t>
      </w:r>
      <w:r w:rsidR="00257DB3">
        <w:t xml:space="preserve"> contract terms are the same</w:t>
      </w:r>
      <w:r w:rsidR="00995362">
        <w:t xml:space="preserve"> or similar</w:t>
      </w:r>
      <w:r w:rsidR="00257DB3">
        <w:t>.</w:t>
      </w:r>
      <w:r w:rsidR="00995362">
        <w:rPr>
          <w:rStyle w:val="FootnoteReference"/>
        </w:rPr>
        <w:footnoteReference w:id="9"/>
      </w:r>
      <w:r w:rsidR="00995362">
        <w:t xml:space="preserve"> </w:t>
      </w:r>
      <w:r w:rsidR="000B7FE7">
        <w:t xml:space="preserve"> </w:t>
      </w:r>
      <w:r w:rsidR="00257DB3">
        <w:t xml:space="preserve">From this </w:t>
      </w:r>
      <w:r w:rsidR="0011615B">
        <w:t>assumption,</w:t>
      </w:r>
      <w:r w:rsidR="00257DB3">
        <w:t xml:space="preserve"> </w:t>
      </w:r>
      <w:r w:rsidR="006F175F">
        <w:t xml:space="preserve">Complainants </w:t>
      </w:r>
      <w:r w:rsidR="0087692F">
        <w:t xml:space="preserve">claim </w:t>
      </w:r>
      <w:r w:rsidR="00257DB3">
        <w:t xml:space="preserve">that intervention should be denied because the Movants have not shown that their interests would be impaired by a resolution of the </w:t>
      </w:r>
      <w:r w:rsidR="006C6B21">
        <w:t>Complaint</w:t>
      </w:r>
      <w:r w:rsidR="00257DB3">
        <w:t>.</w:t>
      </w:r>
      <w:r w:rsidR="00995362">
        <w:rPr>
          <w:rStyle w:val="FootnoteReference"/>
        </w:rPr>
        <w:footnoteReference w:id="10"/>
      </w:r>
      <w:r w:rsidR="00EC70AF">
        <w:t xml:space="preserve"> </w:t>
      </w:r>
      <w:r w:rsidR="00995362">
        <w:t xml:space="preserve"> The Complainants further argue that the conditional nature of their request for orders suspending FES’s certificate to serve as a CRES provider also renders the Movants’ </w:t>
      </w:r>
      <w:r w:rsidR="006C6B21">
        <w:t xml:space="preserve">Motions </w:t>
      </w:r>
      <w:r w:rsidR="00850DC6">
        <w:t xml:space="preserve">to </w:t>
      </w:r>
      <w:r w:rsidR="006C6B21">
        <w:t>I</w:t>
      </w:r>
      <w:r w:rsidR="00A948B7">
        <w:t>ntervene</w:t>
      </w:r>
      <w:r w:rsidR="00850DC6">
        <w:t xml:space="preserve"> too speculative.</w:t>
      </w:r>
      <w:r w:rsidR="00850DC6">
        <w:rPr>
          <w:rStyle w:val="FootnoteReference"/>
        </w:rPr>
        <w:footnoteReference w:id="11"/>
      </w:r>
      <w:r w:rsidR="00995362">
        <w:t xml:space="preserve"> </w:t>
      </w:r>
    </w:p>
    <w:p w:rsidR="001B6564" w:rsidRDefault="001B6564" w:rsidP="009A7FD5">
      <w:pPr>
        <w:ind w:firstLine="720"/>
      </w:pPr>
      <w:r>
        <w:t>FES argues that intervention should not be granted because</w:t>
      </w:r>
      <w:r w:rsidR="00663CC7">
        <w:t xml:space="preserve"> resolution of the </w:t>
      </w:r>
      <w:r w:rsidR="006C6B21">
        <w:t xml:space="preserve">Complaint </w:t>
      </w:r>
      <w:r w:rsidR="00663CC7">
        <w:t>will not affect the Movants’ right</w:t>
      </w:r>
      <w:r w:rsidR="00257DB3">
        <w:t>s</w:t>
      </w:r>
      <w:r w:rsidR="00663CC7">
        <w:t xml:space="preserve"> to pursue any remedies and that they are seeking to defend FES’s certification.</w:t>
      </w:r>
      <w:r w:rsidR="00257DB3">
        <w:rPr>
          <w:rStyle w:val="FootnoteReference"/>
        </w:rPr>
        <w:footnoteReference w:id="12"/>
      </w:r>
      <w:r w:rsidR="00663CC7">
        <w:t xml:space="preserve">  It </w:t>
      </w:r>
      <w:r w:rsidR="00EC70AF">
        <w:t xml:space="preserve">also </w:t>
      </w:r>
      <w:r w:rsidR="00663CC7">
        <w:t>argues that the Movants should proceed with their own complaint</w:t>
      </w:r>
      <w:r w:rsidR="0087692F">
        <w:t>s</w:t>
      </w:r>
      <w:r w:rsidR="00663CC7">
        <w:t xml:space="preserve"> in separate proceeding</w:t>
      </w:r>
      <w:r w:rsidR="0087692F">
        <w:t>s</w:t>
      </w:r>
      <w:r w:rsidR="00663CC7">
        <w:t>.</w:t>
      </w:r>
      <w:r w:rsidR="00EC70AF">
        <w:rPr>
          <w:rStyle w:val="FootnoteReference"/>
        </w:rPr>
        <w:footnoteReference w:id="13"/>
      </w:r>
    </w:p>
    <w:p w:rsidR="001B6564" w:rsidRDefault="001B6564" w:rsidP="009A7FD5">
      <w:pPr>
        <w:ind w:firstLine="720"/>
      </w:pPr>
      <w:r>
        <w:t xml:space="preserve">FES also has opposed </w:t>
      </w:r>
      <w:r w:rsidR="00260B0E">
        <w:t xml:space="preserve">the </w:t>
      </w:r>
      <w:r w:rsidR="00260B0E" w:rsidRPr="00891A2E">
        <w:t>Motions</w:t>
      </w:r>
      <w:r w:rsidR="00891A2E">
        <w:t xml:space="preserve"> for Interim and Preliminary Orders</w:t>
      </w:r>
      <w:r>
        <w:t xml:space="preserve">.  </w:t>
      </w:r>
      <w:r w:rsidR="00663CC7">
        <w:t xml:space="preserve">It argues </w:t>
      </w:r>
      <w:r w:rsidR="00850DC6">
        <w:t>that the Commission lacks subject matter jurisdiction over the Complain</w:t>
      </w:r>
      <w:r w:rsidR="00E173FD">
        <w:t>t</w:t>
      </w:r>
      <w:r w:rsidR="0087692F">
        <w:t xml:space="preserve"> and Motions for Preliminary and Interim Orders</w:t>
      </w:r>
      <w:r w:rsidR="00850DC6">
        <w:t xml:space="preserve"> and </w:t>
      </w:r>
      <w:r w:rsidR="00663CC7">
        <w:t xml:space="preserve">that the Movants failed to demonstrate a need for the interim </w:t>
      </w:r>
      <w:r w:rsidR="00850DC6">
        <w:t xml:space="preserve">and preliminary </w:t>
      </w:r>
      <w:r w:rsidR="00663CC7">
        <w:t>relief.</w:t>
      </w:r>
      <w:r w:rsidR="00663CC7">
        <w:rPr>
          <w:rStyle w:val="FootnoteReference"/>
        </w:rPr>
        <w:footnoteReference w:id="14"/>
      </w:r>
    </w:p>
    <w:p w:rsidR="001B6564" w:rsidRDefault="00257DB3" w:rsidP="009A7FD5">
      <w:pPr>
        <w:ind w:firstLine="720"/>
      </w:pPr>
      <w:r>
        <w:lastRenderedPageBreak/>
        <w:t xml:space="preserve">The Complainants and FES’s arguments are without merit.  </w:t>
      </w:r>
      <w:r w:rsidR="00850DC6">
        <w:t>As shown by</w:t>
      </w:r>
      <w:r w:rsidR="003E6B18">
        <w:t xml:space="preserve"> their </w:t>
      </w:r>
      <w:r w:rsidR="006C6B21">
        <w:t>Motions</w:t>
      </w:r>
      <w:r w:rsidR="003E6B18">
        <w:t xml:space="preserve">, the Movants </w:t>
      </w:r>
      <w:r w:rsidR="00850DC6">
        <w:t xml:space="preserve">have established sufficient grounds for intervention and the requested </w:t>
      </w:r>
      <w:r w:rsidR="00E173FD">
        <w:t>interim and preliminary orders</w:t>
      </w:r>
      <w:r w:rsidR="00850DC6">
        <w:t>.</w:t>
      </w:r>
    </w:p>
    <w:p w:rsidR="003275F5" w:rsidRPr="0031090C" w:rsidRDefault="003275F5" w:rsidP="0031090C">
      <w:pPr>
        <w:pStyle w:val="Heading1"/>
      </w:pPr>
      <w:bookmarkStart w:id="20" w:name="_Toc395258515"/>
      <w:bookmarkStart w:id="21" w:name="_Toc395258623"/>
      <w:bookmarkStart w:id="22" w:name="_Toc395258848"/>
      <w:bookmarkStart w:id="23" w:name="_Toc395258951"/>
      <w:bookmarkStart w:id="24" w:name="_Toc395259577"/>
      <w:r w:rsidRPr="0031090C">
        <w:t>The Movants’ Motion</w:t>
      </w:r>
      <w:r w:rsidR="00850DC6" w:rsidRPr="0031090C">
        <w:t>s</w:t>
      </w:r>
      <w:r w:rsidRPr="0031090C">
        <w:t xml:space="preserve"> to Intervene should be granted</w:t>
      </w:r>
      <w:bookmarkEnd w:id="20"/>
      <w:bookmarkEnd w:id="21"/>
      <w:bookmarkEnd w:id="22"/>
      <w:bookmarkEnd w:id="23"/>
      <w:bookmarkEnd w:id="24"/>
    </w:p>
    <w:p w:rsidR="003275F5" w:rsidRDefault="00987A69" w:rsidP="009A7FD5">
      <w:pPr>
        <w:ind w:firstLine="720"/>
      </w:pPr>
      <w:r w:rsidRPr="00987A69">
        <w:t xml:space="preserve">Intervention in </w:t>
      </w:r>
      <w:r w:rsidR="000B7FE7">
        <w:t>Commission</w:t>
      </w:r>
      <w:r w:rsidRPr="00987A69">
        <w:t xml:space="preserve"> matters is governed by R.C. 4903.221, which provides that any person "who may be adversely affected" by a </w:t>
      </w:r>
      <w:r w:rsidR="003E6B18">
        <w:t>Commission</w:t>
      </w:r>
      <w:r w:rsidRPr="00987A69">
        <w:t xml:space="preserve"> proceeding is entitled to seek intervention in that proceeding. </w:t>
      </w:r>
      <w:r>
        <w:t xml:space="preserve"> </w:t>
      </w:r>
      <w:r w:rsidRPr="00987A69">
        <w:t xml:space="preserve">In ruling on a motion to intervene, the </w:t>
      </w:r>
      <w:r>
        <w:t>Commission is to consider</w:t>
      </w:r>
      <w:r w:rsidRPr="00987A69">
        <w:t xml:space="preserve"> the nature and extent of the prosp</w:t>
      </w:r>
      <w:r>
        <w:t xml:space="preserve">ective intervenor's interest, </w:t>
      </w:r>
      <w:r w:rsidRPr="00987A69">
        <w:t>the legal position advanced by the prospective intervenor and its probable relat</w:t>
      </w:r>
      <w:r>
        <w:t>ion to the merits of the case,</w:t>
      </w:r>
      <w:r w:rsidRPr="00987A69">
        <w:t xml:space="preserve"> whether the intervention will unduly prolong </w:t>
      </w:r>
      <w:r>
        <w:t>or delay the proceeding, and</w:t>
      </w:r>
      <w:r w:rsidRPr="00987A69">
        <w:t xml:space="preserve"> whether the prospective intervenor will significantly contribute to the full development and equitable re</w:t>
      </w:r>
      <w:r>
        <w:t>solution of the factual issues.</w:t>
      </w:r>
      <w:r>
        <w:rPr>
          <w:rStyle w:val="FootnoteReference"/>
        </w:rPr>
        <w:footnoteReference w:id="15"/>
      </w:r>
    </w:p>
    <w:p w:rsidR="00987A69" w:rsidRDefault="00987A69" w:rsidP="009A7FD5">
      <w:pPr>
        <w:ind w:firstLine="720"/>
      </w:pPr>
      <w:r>
        <w:t>Rule</w:t>
      </w:r>
      <w:r w:rsidRPr="00987A69">
        <w:t xml:space="preserve"> 4901-1-11</w:t>
      </w:r>
      <w:r>
        <w:t>, Ohio Administrative Code</w:t>
      </w:r>
      <w:r w:rsidR="0087692F">
        <w:t>,</w:t>
      </w:r>
      <w:r>
        <w:t xml:space="preserve"> (“OAC”),</w:t>
      </w:r>
      <w:r w:rsidRPr="00987A69">
        <w:t xml:space="preserve"> </w:t>
      </w:r>
      <w:r>
        <w:t xml:space="preserve">further </w:t>
      </w:r>
      <w:r w:rsidRPr="00987A69">
        <w:t xml:space="preserve">provides that intervention "shall" be allowed by the </w:t>
      </w:r>
      <w:r w:rsidR="00E414E1">
        <w:t>Commission</w:t>
      </w:r>
      <w:r w:rsidR="00E414E1" w:rsidRPr="00987A69">
        <w:t xml:space="preserve"> </w:t>
      </w:r>
      <w:r w:rsidRPr="00987A69">
        <w:t xml:space="preserve">if the prospective intervenor "has a real and substantial interest in the proceeding, and </w:t>
      </w:r>
      <w:r w:rsidR="000B7FE7">
        <w:t>…</w:t>
      </w:r>
      <w:r w:rsidRPr="00987A69">
        <w:t xml:space="preserve"> is so situated that the disposition of the proceeding may, as a practical matter, impair or impede his or her ability to protect that interest, unless the person's interest is adequately represented by existing parties."</w:t>
      </w:r>
      <w:r w:rsidR="00850DC6">
        <w:rPr>
          <w:rStyle w:val="FootnoteReference"/>
        </w:rPr>
        <w:footnoteReference w:id="16"/>
      </w:r>
      <w:r w:rsidRPr="00987A69">
        <w:t xml:space="preserve"> </w:t>
      </w:r>
      <w:r>
        <w:t xml:space="preserve"> “</w:t>
      </w:r>
      <w:r w:rsidRPr="00987A69">
        <w:t>The regulation's te</w:t>
      </w:r>
      <w:r w:rsidR="003E6B18">
        <w:t>xt is very similar to Civ.R. 24—</w:t>
      </w:r>
      <w:r w:rsidRPr="00987A69">
        <w:t xml:space="preserve">the rule governing </w:t>
      </w:r>
      <w:r w:rsidRPr="00987A69">
        <w:lastRenderedPageBreak/>
        <w:t xml:space="preserve">intervention </w:t>
      </w:r>
      <w:r w:rsidR="003E6B18">
        <w:t>in civil cases in Ohio—</w:t>
      </w:r>
      <w:r>
        <w:t>which ‘</w:t>
      </w:r>
      <w:r w:rsidRPr="00987A69">
        <w:t>is generally liberally cons</w:t>
      </w:r>
      <w:r>
        <w:t>trued in favor of intervention.’”</w:t>
      </w:r>
      <w:r>
        <w:rPr>
          <w:rStyle w:val="FootnoteReference"/>
        </w:rPr>
        <w:footnoteReference w:id="17"/>
      </w:r>
      <w:r>
        <w:t xml:space="preserve">  </w:t>
      </w:r>
      <w:r w:rsidR="003E6B18">
        <w:t xml:space="preserve">The Commission is to proceed based on the allegations contained in the </w:t>
      </w:r>
      <w:r w:rsidR="006776B0">
        <w:t>Motion</w:t>
      </w:r>
      <w:r w:rsidR="003E6B18">
        <w:t xml:space="preserve">.  </w:t>
      </w:r>
      <w:r>
        <w:t>“</w:t>
      </w:r>
      <w:r w:rsidRPr="00987A69">
        <w:t xml:space="preserve">In the absence of some evidence in the record calling those claims into doubt or showing that intervention would unduly prolong or delay the proceedings, intervention should </w:t>
      </w:r>
      <w:r w:rsidR="003E6B18">
        <w:t>[be]</w:t>
      </w:r>
      <w:r w:rsidRPr="00987A69">
        <w:t xml:space="preserve"> granted.</w:t>
      </w:r>
      <w:r>
        <w:t>”</w:t>
      </w:r>
      <w:r>
        <w:rPr>
          <w:rStyle w:val="FootnoteReference"/>
        </w:rPr>
        <w:footnoteReference w:id="18"/>
      </w:r>
    </w:p>
    <w:p w:rsidR="00987A69" w:rsidRDefault="001B6564" w:rsidP="009A7FD5">
      <w:pPr>
        <w:ind w:firstLine="720"/>
      </w:pPr>
      <w:r>
        <w:t>Under the criteria</w:t>
      </w:r>
      <w:r w:rsidR="00891A2E">
        <w:t xml:space="preserve"> the Commission is to consider when addressing a motion to intervene,</w:t>
      </w:r>
      <w:r w:rsidR="00891A2E" w:rsidRPr="00891A2E">
        <w:t xml:space="preserve"> </w:t>
      </w:r>
      <w:r w:rsidR="00891A2E">
        <w:t>the Movants have alleged sufficient grounds to support granting their requests for intervention.  They</w:t>
      </w:r>
      <w:r>
        <w:t xml:space="preserve"> have demonstrated that they have a real </w:t>
      </w:r>
      <w:r w:rsidR="000B7FE7">
        <w:t xml:space="preserve">and </w:t>
      </w:r>
      <w:r>
        <w:t xml:space="preserve">substantial interest in the outcome of the case in that </w:t>
      </w:r>
      <w:r w:rsidR="00850DC6">
        <w:t>it</w:t>
      </w:r>
      <w:r>
        <w:t xml:space="preserve"> may both directly and indirectly affect their rights under their contracts with FES</w:t>
      </w:r>
      <w:r w:rsidR="006B108A">
        <w:t>, particularly if the Commission finds that FES’s certificate should be suspended</w:t>
      </w:r>
      <w:r>
        <w:t xml:space="preserve">.  They have also detailed their legal </w:t>
      </w:r>
      <w:r w:rsidR="003E6B18">
        <w:t>position that</w:t>
      </w:r>
      <w:r>
        <w:t xml:space="preserve"> is adverse to the claims made by FES that the Movants are liable for RTO Expense Surcharges under their contracts</w:t>
      </w:r>
      <w:r w:rsidR="00EF1C27">
        <w:t>:</w:t>
      </w:r>
      <w:r w:rsidR="00850DC6">
        <w:t xml:space="preserve"> </w:t>
      </w:r>
      <w:r w:rsidR="00EF1C27">
        <w:t>Movants</w:t>
      </w:r>
      <w:r w:rsidR="00850DC6">
        <w:t xml:space="preserve"> are disputing FES’s attempt to bill and collect the RTO Expense Surcharge and in some instances have withheld payment of </w:t>
      </w:r>
      <w:r w:rsidR="00850DC6">
        <w:lastRenderedPageBreak/>
        <w:t>the disputed charge</w:t>
      </w:r>
      <w:r>
        <w:t xml:space="preserve">.  Their intervention at this </w:t>
      </w:r>
      <w:r w:rsidR="006B108A">
        <w:t xml:space="preserve">early </w:t>
      </w:r>
      <w:r>
        <w:t xml:space="preserve">stage of the proceedings will not unduly prolong or delay the proceedings.  Further, their collective involvement will contribute to the full development of issues in this proceeding.  </w:t>
      </w:r>
      <w:r w:rsidR="003E6B18">
        <w:t>In particular</w:t>
      </w:r>
      <w:r>
        <w:t xml:space="preserve">, there are additional concerns raised by the actions of FES </w:t>
      </w:r>
      <w:r w:rsidR="000B7FE7">
        <w:t xml:space="preserve">that the Movants have asked the Commission to address while this matter proceeds.  These </w:t>
      </w:r>
      <w:r w:rsidR="00B67D7F">
        <w:t xml:space="preserve">additional </w:t>
      </w:r>
      <w:r w:rsidR="000B7FE7">
        <w:t xml:space="preserve">matters </w:t>
      </w:r>
      <w:r w:rsidR="00B67D7F">
        <w:t>are</w:t>
      </w:r>
      <w:r w:rsidR="000B7FE7">
        <w:t xml:space="preserve"> raised by the </w:t>
      </w:r>
      <w:r w:rsidR="00B67D7F">
        <w:t xml:space="preserve">Motions for Preliminary and Interim Orders </w:t>
      </w:r>
      <w:r w:rsidR="002473B6">
        <w:t>and</w:t>
      </w:r>
      <w:r w:rsidR="000B7FE7">
        <w:t xml:space="preserve"> are not addressed by the Complaint</w:t>
      </w:r>
      <w:r w:rsidR="003E6B18">
        <w:t xml:space="preserve">.  </w:t>
      </w:r>
      <w:r w:rsidR="000E2692">
        <w:t xml:space="preserve">Finally, Movants </w:t>
      </w:r>
      <w:r w:rsidR="006B108A">
        <w:t xml:space="preserve">allege that they </w:t>
      </w:r>
      <w:r w:rsidR="000E2692">
        <w:t xml:space="preserve">can contribute </w:t>
      </w:r>
      <w:r w:rsidR="006B108A">
        <w:t xml:space="preserve">significantly </w:t>
      </w:r>
      <w:r w:rsidR="000E2692">
        <w:t>to the resolution of these matters</w:t>
      </w:r>
      <w:r w:rsidR="00BE0719">
        <w:t>,</w:t>
      </w:r>
      <w:r w:rsidR="000E2692">
        <w:t xml:space="preserve"> as they are sophisticated parties with experience in the CRES market.  </w:t>
      </w:r>
      <w:r w:rsidR="003E6B18">
        <w:t>Thus, the Movants have demonstrated sufficient grounds for intervention under the criteria set out in both R.C. 4903.221 and the Commission’s rule.</w:t>
      </w:r>
    </w:p>
    <w:p w:rsidR="00273E90" w:rsidRDefault="00EC70AF" w:rsidP="009A7FD5">
      <w:pPr>
        <w:ind w:firstLine="720"/>
      </w:pPr>
      <w:r>
        <w:t xml:space="preserve">In their opposition to the </w:t>
      </w:r>
      <w:r w:rsidR="00BE0719">
        <w:t xml:space="preserve">Motions </w:t>
      </w:r>
      <w:r>
        <w:t xml:space="preserve">to </w:t>
      </w:r>
      <w:r w:rsidR="00BE0719">
        <w:t>Intervene</w:t>
      </w:r>
      <w:r>
        <w:t xml:space="preserve">, </w:t>
      </w:r>
      <w:r w:rsidRPr="00EC70AF">
        <w:t xml:space="preserve">Complainants argue that the Movants must allege that they are similarly situated to the </w:t>
      </w:r>
      <w:r w:rsidR="00BE0719">
        <w:t>C</w:t>
      </w:r>
      <w:r w:rsidR="00BE0719" w:rsidRPr="00EC70AF">
        <w:t xml:space="preserve">omplainants </w:t>
      </w:r>
      <w:r w:rsidRPr="00EC70AF">
        <w:t xml:space="preserve">such that </w:t>
      </w:r>
      <w:r w:rsidR="00B67D7F">
        <w:t>their</w:t>
      </w:r>
      <w:r w:rsidR="00B67D7F" w:rsidRPr="00EC70AF">
        <w:t xml:space="preserve"> </w:t>
      </w:r>
      <w:r w:rsidRPr="00EC70AF">
        <w:t xml:space="preserve">contract terms are </w:t>
      </w:r>
      <w:r w:rsidR="006B108A">
        <w:t xml:space="preserve">similar or </w:t>
      </w:r>
      <w:r w:rsidRPr="00EC70AF">
        <w:t>the same</w:t>
      </w:r>
      <w:r w:rsidR="00B67D7F">
        <w:t xml:space="preserve"> as those contained in the contracts of the Complainants</w:t>
      </w:r>
      <w:r w:rsidRPr="00EC70AF">
        <w:t>.</w:t>
      </w:r>
      <w:r>
        <w:t xml:space="preserve">  </w:t>
      </w:r>
      <w:r w:rsidR="00B67D7F">
        <w:t xml:space="preserve">Initially, the Movants have alleged that that </w:t>
      </w:r>
      <w:r w:rsidR="00273E90">
        <w:t>their</w:t>
      </w:r>
      <w:r w:rsidR="00273E90" w:rsidRPr="00EC70AF">
        <w:t xml:space="preserve"> contract terms are </w:t>
      </w:r>
      <w:r w:rsidR="00273E90">
        <w:t xml:space="preserve">similar or </w:t>
      </w:r>
      <w:r w:rsidR="00273E90" w:rsidRPr="00EC70AF">
        <w:t>the same</w:t>
      </w:r>
      <w:r w:rsidR="00273E90">
        <w:t xml:space="preserve"> as those contained in the contracts of the Complainants</w:t>
      </w:r>
      <w:r w:rsidR="00B67D7F">
        <w:t>; thus, the argument raised by the Complainants is already addressed by the Motions to Intervene.</w:t>
      </w:r>
    </w:p>
    <w:p w:rsidR="001B6564" w:rsidRDefault="00273E90" w:rsidP="009A7FD5">
      <w:pPr>
        <w:ind w:firstLine="720"/>
      </w:pPr>
      <w:r>
        <w:t>The Complainants’ argument that Movants must allege</w:t>
      </w:r>
      <w:r w:rsidRPr="00273E90">
        <w:t xml:space="preserve"> that that their contract terms are similar or the same as those contained in the contracts</w:t>
      </w:r>
      <w:r>
        <w:t xml:space="preserve"> of the Complainants, h</w:t>
      </w:r>
      <w:r w:rsidR="00B67D7F">
        <w:t>owever, is no</w:t>
      </w:r>
      <w:r>
        <w:t>t</w:t>
      </w:r>
      <w:r w:rsidR="00B67D7F">
        <w:t xml:space="preserve"> </w:t>
      </w:r>
      <w:r>
        <w:t>required</w:t>
      </w:r>
      <w:r w:rsidR="00B67D7F">
        <w:t xml:space="preserve"> for intervention under either R.C. 4903.221</w:t>
      </w:r>
      <w:r>
        <w:t xml:space="preserve"> or the Commission rule</w:t>
      </w:r>
      <w:r w:rsidR="00B67D7F">
        <w:t xml:space="preserve">.  </w:t>
      </w:r>
      <w:r w:rsidR="00AC3EAA" w:rsidRPr="00D913BE">
        <w:t>If the Commission inserted such a requirement, its decision would be an abuse of discretion.</w:t>
      </w:r>
      <w:r w:rsidR="00AC3EAA" w:rsidRPr="00D913BE">
        <w:rPr>
          <w:vertAlign w:val="superscript"/>
        </w:rPr>
        <w:footnoteReference w:id="19"/>
      </w:r>
      <w:r w:rsidR="00AC3EAA" w:rsidRPr="00D913BE">
        <w:t xml:space="preserve"> </w:t>
      </w:r>
      <w:r w:rsidR="00AC3EAA">
        <w:t xml:space="preserve"> </w:t>
      </w:r>
      <w:r w:rsidR="002473B6">
        <w:t>What</w:t>
      </w:r>
      <w:r w:rsidR="00EC70AF">
        <w:t xml:space="preserve"> is required is a showing that Movants </w:t>
      </w:r>
      <w:r w:rsidR="002473B6">
        <w:t xml:space="preserve">have </w:t>
      </w:r>
      <w:r w:rsidR="002473B6" w:rsidRPr="002473B6">
        <w:t>a real and substantial interest in the proceeding and</w:t>
      </w:r>
      <w:r w:rsidR="00EF1C27">
        <w:t xml:space="preserve"> that</w:t>
      </w:r>
      <w:r w:rsidR="002473B6" w:rsidRPr="002473B6">
        <w:t xml:space="preserve"> </w:t>
      </w:r>
      <w:r w:rsidR="002473B6">
        <w:t>they are</w:t>
      </w:r>
      <w:r w:rsidR="002473B6" w:rsidRPr="002473B6">
        <w:t xml:space="preserve"> so situated that the disposition of the </w:t>
      </w:r>
      <w:r w:rsidR="002473B6" w:rsidRPr="002473B6">
        <w:lastRenderedPageBreak/>
        <w:t xml:space="preserve">proceeding may, as a practical matter, impair or impede </w:t>
      </w:r>
      <w:r w:rsidR="002473B6">
        <w:t>their</w:t>
      </w:r>
      <w:r w:rsidR="002473B6" w:rsidRPr="002473B6">
        <w:t xml:space="preserve"> ability to protect </w:t>
      </w:r>
      <w:r w:rsidR="002473B6">
        <w:t>those</w:t>
      </w:r>
      <w:r w:rsidR="002473B6" w:rsidRPr="002473B6">
        <w:t xml:space="preserve"> interest</w:t>
      </w:r>
      <w:r w:rsidR="002473B6">
        <w:t>s</w:t>
      </w:r>
      <w:r w:rsidR="00EC70AF">
        <w:t xml:space="preserve">.  R.C. 4903.221.  Movants have satisfied that requirement in their </w:t>
      </w:r>
      <w:r w:rsidR="006776B0">
        <w:t>Motions</w:t>
      </w:r>
      <w:r w:rsidR="00EC70AF">
        <w:t>.</w:t>
      </w:r>
    </w:p>
    <w:p w:rsidR="006B108A" w:rsidRDefault="006B108A" w:rsidP="009A7FD5">
      <w:pPr>
        <w:ind w:firstLine="720"/>
      </w:pPr>
      <w:r>
        <w:t>Complainants further assert that the concern</w:t>
      </w:r>
      <w:r w:rsidR="00B67D7F">
        <w:t>s</w:t>
      </w:r>
      <w:r>
        <w:t xml:space="preserve"> that Movants raised concerning the suspension of the FES certificate </w:t>
      </w:r>
      <w:r w:rsidR="00A94FEB">
        <w:t>are</w:t>
      </w:r>
      <w:r>
        <w:t xml:space="preserve"> “too speculative.”</w:t>
      </w:r>
      <w:r>
        <w:rPr>
          <w:rStyle w:val="FootnoteReference"/>
        </w:rPr>
        <w:footnoteReference w:id="20"/>
      </w:r>
      <w:r>
        <w:t xml:space="preserve">  Contrary to Complainants’ assertion that Movants’ interest</w:t>
      </w:r>
      <w:r w:rsidR="00E80CAF">
        <w:t>s</w:t>
      </w:r>
      <w:r>
        <w:t xml:space="preserve"> </w:t>
      </w:r>
      <w:r w:rsidR="00E80CAF">
        <w:t xml:space="preserve">are </w:t>
      </w:r>
      <w:r>
        <w:t xml:space="preserve">speculative, the Complaint’s </w:t>
      </w:r>
      <w:r w:rsidR="00E80CAF">
        <w:t xml:space="preserve">request for </w:t>
      </w:r>
      <w:r>
        <w:t xml:space="preserve">relief raises the potential that the resolution of the Complaint may </w:t>
      </w:r>
      <w:r w:rsidRPr="006B108A">
        <w:t xml:space="preserve">impair or impede </w:t>
      </w:r>
      <w:r>
        <w:t>Movants’</w:t>
      </w:r>
      <w:r w:rsidRPr="006B108A">
        <w:t xml:space="preserve"> ability to protect </w:t>
      </w:r>
      <w:r w:rsidR="00E80CAF">
        <w:t>their</w:t>
      </w:r>
      <w:r w:rsidR="00E80CAF" w:rsidRPr="006B108A">
        <w:t xml:space="preserve"> </w:t>
      </w:r>
      <w:r w:rsidRPr="006B108A">
        <w:t>interest</w:t>
      </w:r>
      <w:r w:rsidR="00E80CAF">
        <w:t>s in their contracts with FES</w:t>
      </w:r>
      <w:r>
        <w:t xml:space="preserve">.  Thus, </w:t>
      </w:r>
      <w:r w:rsidR="00B67D7F">
        <w:t xml:space="preserve">the relief sought by the Complainants raises a matter of </w:t>
      </w:r>
      <w:r w:rsidR="00674AD6">
        <w:t xml:space="preserve">real and substantial </w:t>
      </w:r>
      <w:r w:rsidR="00B67D7F">
        <w:t xml:space="preserve">interest </w:t>
      </w:r>
      <w:r w:rsidR="00674AD6">
        <w:t xml:space="preserve">in the outcome of the case </w:t>
      </w:r>
      <w:r w:rsidR="00B67D7F">
        <w:t>that warrants the Movants’ intervention under R.C. 4903.221</w:t>
      </w:r>
      <w:r>
        <w:t>.</w:t>
      </w:r>
    </w:p>
    <w:p w:rsidR="00273E90" w:rsidRDefault="002C0BB6" w:rsidP="009A7FD5">
      <w:pPr>
        <w:ind w:firstLine="720"/>
      </w:pPr>
      <w:r>
        <w:t xml:space="preserve">FES begins its </w:t>
      </w:r>
      <w:r w:rsidR="006D3586">
        <w:t xml:space="preserve">Memorandum Contra </w:t>
      </w:r>
      <w:r>
        <w:t xml:space="preserve">with an extended argument that the Movants (and presumably the Complainants as well) are seeking </w:t>
      </w:r>
      <w:r w:rsidR="00023BD0">
        <w:t xml:space="preserve">to modify the contract between them and FES.  </w:t>
      </w:r>
      <w:r w:rsidR="00EF1C27">
        <w:t xml:space="preserve">Yet, </w:t>
      </w:r>
      <w:r w:rsidR="00273E90">
        <w:t>FES does not specify how the relief requested by the Movants would provide them a “better deal</w:t>
      </w:r>
      <w:r w:rsidR="00EF1C27">
        <w:t>.</w:t>
      </w:r>
      <w:r w:rsidR="00273E90">
        <w:t>”</w:t>
      </w:r>
      <w:r w:rsidR="00273E90">
        <w:rPr>
          <w:rStyle w:val="FootnoteReference"/>
        </w:rPr>
        <w:footnoteReference w:id="21"/>
      </w:r>
      <w:r w:rsidR="00273E90">
        <w:t xml:space="preserve"> </w:t>
      </w:r>
      <w:r w:rsidR="00674AD6">
        <w:t xml:space="preserve"> </w:t>
      </w:r>
      <w:r w:rsidR="00EF1C27">
        <w:t>I</w:t>
      </w:r>
      <w:r w:rsidR="00A94FEB">
        <w:t>n</w:t>
      </w:r>
      <w:r w:rsidR="00EF1C27">
        <w:t xml:space="preserve"> fact, Movants are seeking to to protect the right they have under their contracts with FES from unlawful interference from FES or a third party such as an EDU.  FES’s argument that the parties are seeking relief not provided by law is not correct.</w:t>
      </w:r>
    </w:p>
    <w:p w:rsidR="002C0BB6" w:rsidRDefault="00273E90" w:rsidP="009A7FD5">
      <w:pPr>
        <w:ind w:firstLine="720"/>
      </w:pPr>
      <w:r>
        <w:t xml:space="preserve">Further, FES’s argument misstates the issues before the Commission.  </w:t>
      </w:r>
      <w:r w:rsidR="00023BD0">
        <w:t>At issue in this Complaint</w:t>
      </w:r>
      <w:r>
        <w:t xml:space="preserve"> and the Motions for Interim and Preliminary Relief </w:t>
      </w:r>
      <w:r w:rsidR="00023BD0">
        <w:t xml:space="preserve">is whether FES’s actions comply with the requirement that it conduct its business in compliance with R.C. 4928.10 and the Commission rules implementing those requirements.  The </w:t>
      </w:r>
      <w:r w:rsidR="00674AD6">
        <w:t>Motions for Preliminary and Interim Orders</w:t>
      </w:r>
      <w:r w:rsidR="006D3586">
        <w:t xml:space="preserve"> </w:t>
      </w:r>
      <w:r w:rsidR="00023BD0">
        <w:t xml:space="preserve">request that the Commission address issues not </w:t>
      </w:r>
      <w:r w:rsidR="00023BD0">
        <w:lastRenderedPageBreak/>
        <w:t xml:space="preserve">addressed in the Complaint that </w:t>
      </w:r>
      <w:r w:rsidR="00EF1C27">
        <w:t>may</w:t>
      </w:r>
      <w:r w:rsidR="00023BD0">
        <w:t xml:space="preserve"> arise while the Complaint is pending and which present material concerns to the Movants because they are also disputing the charges FES is seeking to collect.  These issues fall squarely within the jurisdiction of the Commission to decide</w:t>
      </w:r>
      <w:r w:rsidR="00674AD6">
        <w:t>, as discussed below</w:t>
      </w:r>
      <w:r w:rsidR="00023BD0">
        <w:t xml:space="preserve">.  </w:t>
      </w:r>
      <w:r w:rsidR="00674AD6">
        <w:t>Accordingly, FES’s misstatement of the nature of the relief sought by the Movants does not warrant denial of the Motions to Intervene (or the Motions for Preliminary and Interim Orders).</w:t>
      </w:r>
    </w:p>
    <w:p w:rsidR="00AC3EAA" w:rsidRDefault="00023BD0" w:rsidP="009A7FD5">
      <w:pPr>
        <w:ind w:firstLine="720"/>
      </w:pPr>
      <w:r>
        <w:t>On the merits of the Motions to Intervene</w:t>
      </w:r>
      <w:r w:rsidR="00EC70AF">
        <w:t xml:space="preserve">, </w:t>
      </w:r>
      <w:r w:rsidR="00EC70AF" w:rsidRPr="00EC70AF">
        <w:t xml:space="preserve">FES argues </w:t>
      </w:r>
      <w:r w:rsidR="00EC70AF">
        <w:t xml:space="preserve">that </w:t>
      </w:r>
      <w:r w:rsidR="00EC70AF" w:rsidRPr="00EC70AF">
        <w:t xml:space="preserve">intervention should not be granted because resolution of the </w:t>
      </w:r>
      <w:r w:rsidR="00B42EFE">
        <w:t>C</w:t>
      </w:r>
      <w:r w:rsidR="00B42EFE" w:rsidRPr="00EC70AF">
        <w:t xml:space="preserve">omplaint </w:t>
      </w:r>
      <w:r w:rsidR="00EC70AF" w:rsidRPr="00EC70AF">
        <w:t xml:space="preserve">will not affect the Movants’ </w:t>
      </w:r>
      <w:r w:rsidR="00AC3EAA">
        <w:t>interest</w:t>
      </w:r>
      <w:r w:rsidR="00C9197B">
        <w:t>s</w:t>
      </w:r>
      <w:r w:rsidR="00AC3EAA">
        <w:t xml:space="preserve"> </w:t>
      </w:r>
      <w:r w:rsidR="00EC70AF" w:rsidRPr="00EC70AF">
        <w:t>and that they are seeking to defend FES’s certification.</w:t>
      </w:r>
      <w:r w:rsidR="00EC70AF" w:rsidRPr="00EC70AF">
        <w:rPr>
          <w:vertAlign w:val="superscript"/>
        </w:rPr>
        <w:footnoteReference w:id="22"/>
      </w:r>
      <w:r w:rsidR="00EC70AF" w:rsidRPr="00EC70AF">
        <w:t xml:space="preserve">  It also argues that the Movants should proceed with their own complaint in a separate proceeding.</w:t>
      </w:r>
      <w:r w:rsidR="00EC70AF" w:rsidRPr="00EC70AF">
        <w:rPr>
          <w:vertAlign w:val="superscript"/>
        </w:rPr>
        <w:footnoteReference w:id="23"/>
      </w:r>
      <w:r w:rsidR="00EC70AF">
        <w:t xml:space="preserve">  </w:t>
      </w:r>
    </w:p>
    <w:p w:rsidR="00EC70AF" w:rsidRDefault="00EC70AF" w:rsidP="009A7FD5">
      <w:pPr>
        <w:ind w:firstLine="720"/>
      </w:pPr>
      <w:r>
        <w:t>The first argument</w:t>
      </w:r>
      <w:r w:rsidR="00AC3EAA">
        <w:t>,</w:t>
      </w:r>
      <w:r>
        <w:t xml:space="preserve"> </w:t>
      </w:r>
      <w:r w:rsidR="00674AD6">
        <w:t xml:space="preserve">that the </w:t>
      </w:r>
      <w:r w:rsidR="00AC3EAA">
        <w:t>Movants’ interest in the case is limited to its precedential outcome,</w:t>
      </w:r>
      <w:r w:rsidR="00674AD6">
        <w:t xml:space="preserve"> </w:t>
      </w:r>
      <w:r>
        <w:t>is not correct</w:t>
      </w:r>
      <w:r w:rsidR="00AC3EAA">
        <w:t>.</w:t>
      </w:r>
      <w:r>
        <w:t xml:space="preserve"> </w:t>
      </w:r>
      <w:r w:rsidR="00AC3EAA">
        <w:t xml:space="preserve"> </w:t>
      </w:r>
      <w:r w:rsidR="00486FFF">
        <w:t>As alleged in their Motion</w:t>
      </w:r>
      <w:r w:rsidR="0047110F">
        <w:t>s</w:t>
      </w:r>
      <w:r w:rsidR="00486FFF">
        <w:t xml:space="preserve">, </w:t>
      </w:r>
      <w:r w:rsidR="00B01BA1">
        <w:t xml:space="preserve">Movants </w:t>
      </w:r>
      <w:r w:rsidR="00486FFF">
        <w:t xml:space="preserve">have similar contractual issues with FES </w:t>
      </w:r>
      <w:r w:rsidR="00B01BA1">
        <w:t xml:space="preserve">as the Complainants </w:t>
      </w:r>
      <w:r w:rsidR="00486FFF">
        <w:t xml:space="preserve">and have demonstrated that they have an immediate interest in preserving their </w:t>
      </w:r>
      <w:r w:rsidR="00AC3EAA">
        <w:t xml:space="preserve">statutory and </w:t>
      </w:r>
      <w:r w:rsidR="00B01BA1">
        <w:t>administrative</w:t>
      </w:r>
      <w:r w:rsidR="00AC3EAA">
        <w:t xml:space="preserve"> </w:t>
      </w:r>
      <w:r w:rsidR="00486FFF">
        <w:t>rights while this matter is pending.</w:t>
      </w:r>
    </w:p>
    <w:p w:rsidR="00B01BA1" w:rsidRDefault="00EF1C27" w:rsidP="00B01BA1">
      <w:pPr>
        <w:ind w:firstLine="720"/>
      </w:pPr>
      <w:r>
        <w:t xml:space="preserve">Moreover, the cases cited by FES to support this position are inapposite.  </w:t>
      </w:r>
      <w:r w:rsidR="00280C40">
        <w:t>Contrary to FES’s argument</w:t>
      </w:r>
      <w:r>
        <w:t xml:space="preserve">, </w:t>
      </w:r>
      <w:r w:rsidR="00A94FEB">
        <w:t xml:space="preserve">the first case, </w:t>
      </w:r>
      <w:r>
        <w:t xml:space="preserve">the </w:t>
      </w:r>
      <w:r w:rsidRPr="00EF1C27">
        <w:rPr>
          <w:i/>
        </w:rPr>
        <w:t>XO Complaint Case</w:t>
      </w:r>
      <w:r w:rsidR="00A94FEB">
        <w:rPr>
          <w:i/>
        </w:rPr>
        <w:t>,</w:t>
      </w:r>
      <w:r w:rsidRPr="00A94FEB">
        <w:rPr>
          <w:rStyle w:val="FootnoteReference"/>
        </w:rPr>
        <w:footnoteReference w:id="24"/>
      </w:r>
      <w:r>
        <w:rPr>
          <w:i/>
        </w:rPr>
        <w:t xml:space="preserve"> </w:t>
      </w:r>
      <w:r>
        <w:t xml:space="preserve">supports </w:t>
      </w:r>
      <w:r w:rsidR="00280C40">
        <w:t>the Movants’ Motions to Intervene</w:t>
      </w:r>
      <w:r w:rsidR="00260B0E">
        <w:t>, as discussed below</w:t>
      </w:r>
      <w:r>
        <w:t xml:space="preserve">.  </w:t>
      </w:r>
      <w:r w:rsidR="00B01BA1">
        <w:t xml:space="preserve">The other case cited by FES, the </w:t>
      </w:r>
      <w:r w:rsidR="00B01BA1" w:rsidRPr="00035ECE">
        <w:rPr>
          <w:i/>
        </w:rPr>
        <w:t>Columbus Southern Self-Complaint Case</w:t>
      </w:r>
      <w:r w:rsidR="00B01BA1">
        <w:rPr>
          <w:i/>
        </w:rPr>
        <w:t>,</w:t>
      </w:r>
      <w:r w:rsidR="00B01BA1">
        <w:t xml:space="preserve"> </w:t>
      </w:r>
      <w:r>
        <w:t>in inapplicable because the facts on which the Commission denied the motion to intervene are materially different from those presented here</w:t>
      </w:r>
      <w:r w:rsidR="00B01BA1">
        <w:t xml:space="preserve">.  In </w:t>
      </w:r>
      <w:r w:rsidR="00B01BA1">
        <w:lastRenderedPageBreak/>
        <w:t xml:space="preserve">that case, </w:t>
      </w:r>
      <w:r>
        <w:t>the coalition of persons seeking intervention were</w:t>
      </w:r>
      <w:r w:rsidR="00B01BA1">
        <w:t xml:space="preserve"> not served by the utility</w:t>
      </w:r>
      <w:r w:rsidR="00EC4D01">
        <w:t xml:space="preserve"> that had filed the self-complaint</w:t>
      </w:r>
      <w:r w:rsidR="00B01BA1">
        <w:t>.</w:t>
      </w:r>
      <w:r w:rsidR="00B01BA1">
        <w:rPr>
          <w:rStyle w:val="FootnoteReference"/>
        </w:rPr>
        <w:footnoteReference w:id="25"/>
      </w:r>
      <w:r w:rsidR="00B01BA1">
        <w:t xml:space="preserve">  The Commission found that the only interest of the coalition was in the legal precedent that might be established by the pending case</w:t>
      </w:r>
      <w:r>
        <w:t xml:space="preserve"> and denied the motion to intervene</w:t>
      </w:r>
      <w:r w:rsidR="00B01BA1">
        <w:t>.</w:t>
      </w:r>
      <w:r w:rsidR="00B01BA1">
        <w:rPr>
          <w:rStyle w:val="FootnoteReference"/>
        </w:rPr>
        <w:footnoteReference w:id="26"/>
      </w:r>
      <w:r w:rsidR="00B01BA1">
        <w:t xml:space="preserve">  In contrast to the facts of the </w:t>
      </w:r>
      <w:r w:rsidR="00B01BA1" w:rsidRPr="00035ECE">
        <w:rPr>
          <w:i/>
        </w:rPr>
        <w:t>Columbus Southern Self-Complaint Case</w:t>
      </w:r>
      <w:r w:rsidR="00B01BA1">
        <w:t>, Movants have demonstrated a real and substantial interest in the outcome of this case, particularly in regard to the continued provision of service under the contract and FES’s certificate.</w:t>
      </w:r>
    </w:p>
    <w:p w:rsidR="00D913BE" w:rsidRDefault="00B01BA1" w:rsidP="00D913BE">
      <w:pPr>
        <w:ind w:firstLine="720"/>
      </w:pPr>
      <w:r>
        <w:t>As to the second argument that the Movants should be required to file a separate complaint, t</w:t>
      </w:r>
      <w:r w:rsidR="00AC3EAA">
        <w:t>he Commission</w:t>
      </w:r>
      <w:r w:rsidR="00D913BE">
        <w:t xml:space="preserve"> has already rejected </w:t>
      </w:r>
      <w:r>
        <w:t>it</w:t>
      </w:r>
      <w:r w:rsidR="0047110F">
        <w:t xml:space="preserve"> </w:t>
      </w:r>
      <w:r w:rsidR="00D913BE">
        <w:t xml:space="preserve">in the </w:t>
      </w:r>
      <w:r w:rsidR="00D913BE" w:rsidRPr="00713E6A">
        <w:rPr>
          <w:i/>
        </w:rPr>
        <w:t>XO Complaint</w:t>
      </w:r>
      <w:r w:rsidR="00D913BE">
        <w:t xml:space="preserve"> </w:t>
      </w:r>
      <w:r w:rsidR="00D913BE" w:rsidRPr="00D913BE">
        <w:rPr>
          <w:i/>
        </w:rPr>
        <w:t>Case</w:t>
      </w:r>
      <w:r>
        <w:t>.</w:t>
      </w:r>
      <w:r w:rsidR="00D913BE">
        <w:t xml:space="preserve">  In that case, </w:t>
      </w:r>
      <w:r w:rsidR="00674AD6">
        <w:t xml:space="preserve">SBC Ohio and AT&amp;T sought intervention because they were similarly affected by an ordinance passed by the City of Upper Arlington, and </w:t>
      </w:r>
      <w:r w:rsidR="007A6596">
        <w:t xml:space="preserve">the City of </w:t>
      </w:r>
      <w:r w:rsidR="00D913BE">
        <w:t xml:space="preserve">Upper Arlington </w:t>
      </w:r>
      <w:r w:rsidR="00674AD6">
        <w:t xml:space="preserve">opposed the intervention, arguing </w:t>
      </w:r>
      <w:r w:rsidR="00D913BE">
        <w:t>that SBC</w:t>
      </w:r>
      <w:r w:rsidR="007A6596">
        <w:t xml:space="preserve"> Ohio</w:t>
      </w:r>
      <w:r w:rsidR="00D913BE">
        <w:t xml:space="preserve"> and AT</w:t>
      </w:r>
      <w:r w:rsidR="00B42EFE">
        <w:t>&amp;</w:t>
      </w:r>
      <w:r w:rsidR="00D913BE">
        <w:t xml:space="preserve">T should have filed their own complaints to challenge </w:t>
      </w:r>
      <w:r w:rsidR="00674AD6">
        <w:t>the</w:t>
      </w:r>
      <w:r w:rsidR="00D913BE">
        <w:t xml:space="preserve"> ordinance.</w:t>
      </w:r>
      <w:r w:rsidR="00D913BE">
        <w:rPr>
          <w:rStyle w:val="FootnoteReference"/>
        </w:rPr>
        <w:footnoteReference w:id="27"/>
      </w:r>
      <w:r w:rsidR="00D913BE">
        <w:t xml:space="preserve">  Over </w:t>
      </w:r>
      <w:r w:rsidR="00B034E5">
        <w:t xml:space="preserve">the City of </w:t>
      </w:r>
      <w:r w:rsidR="0047110F">
        <w:t>Upper Arlington’s</w:t>
      </w:r>
      <w:r w:rsidR="00D913BE">
        <w:t xml:space="preserve"> objection, the Commission granted the motions to intervene</w:t>
      </w:r>
      <w:r w:rsidR="00280C40">
        <w:t xml:space="preserve"> of</w:t>
      </w:r>
      <w:r w:rsidR="00D913BE">
        <w:t xml:space="preserve"> SBC</w:t>
      </w:r>
      <w:r w:rsidR="007A6596">
        <w:t xml:space="preserve"> Ohio</w:t>
      </w:r>
      <w:r w:rsidR="00D913BE">
        <w:t xml:space="preserve"> and AT&amp;T</w:t>
      </w:r>
      <w:r w:rsidR="00280C40">
        <w:t>,</w:t>
      </w:r>
      <w:r w:rsidR="00D913BE">
        <w:t xml:space="preserve"> </w:t>
      </w:r>
      <w:r w:rsidR="00280C40">
        <w:t>finding “each ha[d]</w:t>
      </w:r>
      <w:r w:rsidR="00D913BE">
        <w:t xml:space="preserve"> a real and substantial interest in [the] proceedings.”</w:t>
      </w:r>
      <w:r w:rsidR="00D913BE">
        <w:rPr>
          <w:rStyle w:val="FootnoteReference"/>
        </w:rPr>
        <w:footnoteReference w:id="28"/>
      </w:r>
      <w:r w:rsidR="00D913BE">
        <w:t xml:space="preserve">  </w:t>
      </w:r>
      <w:r w:rsidR="00280C40">
        <w:t>Similarly</w:t>
      </w:r>
      <w:r>
        <w:t>, the Movants have a real and substantial interest in the proceedings</w:t>
      </w:r>
      <w:r w:rsidR="00280C40">
        <w:t>, as discussed above</w:t>
      </w:r>
      <w:r>
        <w:t xml:space="preserve">.  Because of that interest, </w:t>
      </w:r>
      <w:r w:rsidR="00D913BE">
        <w:t xml:space="preserve">the Commission should </w:t>
      </w:r>
      <w:r>
        <w:t xml:space="preserve">grant Movants’ Motions to Intervene as it did in the </w:t>
      </w:r>
      <w:r w:rsidRPr="000974BE">
        <w:rPr>
          <w:i/>
        </w:rPr>
        <w:t>XO Complaint Cas</w:t>
      </w:r>
      <w:r>
        <w:rPr>
          <w:i/>
        </w:rPr>
        <w:t>e</w:t>
      </w:r>
    </w:p>
    <w:p w:rsidR="002C0BB6" w:rsidRDefault="002C0BB6" w:rsidP="009A7FD5">
      <w:pPr>
        <w:ind w:firstLine="720"/>
      </w:pPr>
      <w:r>
        <w:lastRenderedPageBreak/>
        <w:t xml:space="preserve">FES further argues that the Movants must seek relief through a </w:t>
      </w:r>
      <w:r w:rsidR="00B034E5">
        <w:t>complaint</w:t>
      </w:r>
      <w:r w:rsidR="008A4063">
        <w:t xml:space="preserve"> so that </w:t>
      </w:r>
      <w:r>
        <w:t xml:space="preserve"> its due process rights </w:t>
      </w:r>
      <w:r w:rsidR="008A4063">
        <w:t>are protected</w:t>
      </w:r>
      <w:r>
        <w:t>.</w:t>
      </w:r>
      <w:r>
        <w:rPr>
          <w:rStyle w:val="FootnoteReference"/>
        </w:rPr>
        <w:footnoteReference w:id="29"/>
      </w:r>
      <w:r>
        <w:t xml:space="preserve">  This argument, however, is without merit because the Movants have demonstrated that their intervention is proper.  </w:t>
      </w:r>
      <w:r w:rsidR="00EC4D01">
        <w:t>Because the Movants have provided notice of their interest in the matter and the interim relief they are seeking and FES has an opportunity to respond to the request for relief</w:t>
      </w:r>
      <w:r>
        <w:t xml:space="preserve">, </w:t>
      </w:r>
      <w:r w:rsidR="00B01BA1">
        <w:t xml:space="preserve">FES </w:t>
      </w:r>
      <w:r w:rsidR="00EC4D01">
        <w:t>cannot legitimately claim that its rights to due process have been violated</w:t>
      </w:r>
      <w:r>
        <w:t xml:space="preserve">.  </w:t>
      </w:r>
      <w:r w:rsidR="00EC4D01">
        <w:t>As noted above</w:t>
      </w:r>
      <w:r>
        <w:t xml:space="preserve">, </w:t>
      </w:r>
      <w:r w:rsidR="00B01BA1">
        <w:t xml:space="preserve">Movants </w:t>
      </w:r>
      <w:r>
        <w:t>are not required to file a separate complaint to secure relief.</w:t>
      </w:r>
      <w:r>
        <w:rPr>
          <w:rStyle w:val="FootnoteReference"/>
        </w:rPr>
        <w:footnoteReference w:id="30"/>
      </w:r>
      <w:r>
        <w:t xml:space="preserve">  </w:t>
      </w:r>
    </w:p>
    <w:p w:rsidR="002C0BB6" w:rsidRDefault="002C0BB6" w:rsidP="009A7FD5">
      <w:pPr>
        <w:ind w:firstLine="720"/>
      </w:pPr>
      <w:r>
        <w:t xml:space="preserve">FES </w:t>
      </w:r>
      <w:r w:rsidR="008A4063">
        <w:t xml:space="preserve">also </w:t>
      </w:r>
      <w:r>
        <w:t>makes the odd argument that each Movant must file its own complaint because class actions and “second complaints” are not permitted under Commission rules.</w:t>
      </w:r>
      <w:r>
        <w:rPr>
          <w:rStyle w:val="FootnoteReference"/>
        </w:rPr>
        <w:footnoteReference w:id="31"/>
      </w:r>
      <w:r>
        <w:t xml:space="preserve">  The suggestion that Movants are seeking class status</w:t>
      </w:r>
      <w:r w:rsidR="008A4063">
        <w:t xml:space="preserve"> or attempting to join a second cause of action</w:t>
      </w:r>
      <w:r>
        <w:t xml:space="preserve"> is not correct or even alleged by the Movants in their </w:t>
      </w:r>
      <w:r w:rsidR="004D43AC">
        <w:t>Motion</w:t>
      </w:r>
      <w:r>
        <w:t>; thus, the argument is a red herring</w:t>
      </w:r>
      <w:r w:rsidR="00B01BA1">
        <w:t xml:space="preserve"> and should be rejected as a basis to deny the Motions to Intervene</w:t>
      </w:r>
      <w:r>
        <w:t>.</w:t>
      </w:r>
    </w:p>
    <w:p w:rsidR="008A4063" w:rsidRDefault="008A4063" w:rsidP="009A7FD5">
      <w:pPr>
        <w:ind w:firstLine="720"/>
      </w:pPr>
      <w:r>
        <w:t>Finally, the Movants are not seeking to defend FES’s certificate of service.  Rather, the Complaint threatens a challenge to FES’s certificate and thus raises the possibility that FES will not be permitted to serve the Movants under their current contracts.  It is that possibility that give the Movants a real and substantial interest in the outcome of the case.</w:t>
      </w:r>
    </w:p>
    <w:p w:rsidR="000974BE" w:rsidRDefault="000974BE" w:rsidP="009A7FD5">
      <w:pPr>
        <w:ind w:firstLine="720"/>
      </w:pPr>
      <w:r>
        <w:t xml:space="preserve">For the reasons set out in their Motions to Intervene, Movants </w:t>
      </w:r>
      <w:r w:rsidR="00035ECE">
        <w:t>have stated grounds supporting their intervention in this case</w:t>
      </w:r>
      <w:r>
        <w:t xml:space="preserve">.  Neither the Complainants nor FES </w:t>
      </w:r>
      <w:r w:rsidR="00D913BE">
        <w:lastRenderedPageBreak/>
        <w:t>provides</w:t>
      </w:r>
      <w:r>
        <w:t xml:space="preserve"> a basis for denying the </w:t>
      </w:r>
      <w:r w:rsidR="004D43AC">
        <w:t>Motions</w:t>
      </w:r>
      <w:r>
        <w:t xml:space="preserve">.  Accordingly, </w:t>
      </w:r>
      <w:r w:rsidR="00035ECE">
        <w:t xml:space="preserve">the Commission should grant </w:t>
      </w:r>
      <w:r>
        <w:t>the Motions to Intervene.</w:t>
      </w:r>
    </w:p>
    <w:p w:rsidR="000974BE" w:rsidRPr="0031090C" w:rsidRDefault="000974BE" w:rsidP="0031090C">
      <w:pPr>
        <w:pStyle w:val="Heading1"/>
      </w:pPr>
      <w:bookmarkStart w:id="33" w:name="_Toc395258516"/>
      <w:bookmarkStart w:id="34" w:name="_Toc395258624"/>
      <w:bookmarkStart w:id="35" w:name="_Toc395258849"/>
      <w:bookmarkStart w:id="36" w:name="_Toc395258952"/>
      <w:bookmarkStart w:id="37" w:name="_Toc395259578"/>
      <w:r w:rsidRPr="0031090C">
        <w:t xml:space="preserve">The Motion for </w:t>
      </w:r>
      <w:r w:rsidR="001440E7" w:rsidRPr="0031090C">
        <w:t>I</w:t>
      </w:r>
      <w:r w:rsidR="008A4063" w:rsidRPr="0031090C">
        <w:t>nterim</w:t>
      </w:r>
      <w:r w:rsidR="001440E7" w:rsidRPr="0031090C">
        <w:t xml:space="preserve"> AND PRELIMINARY ORDERS</w:t>
      </w:r>
      <w:r w:rsidRPr="0031090C">
        <w:t xml:space="preserve"> should be granted</w:t>
      </w:r>
      <w:bookmarkEnd w:id="33"/>
      <w:bookmarkEnd w:id="34"/>
      <w:bookmarkEnd w:id="35"/>
      <w:bookmarkEnd w:id="36"/>
      <w:bookmarkEnd w:id="37"/>
    </w:p>
    <w:p w:rsidR="000974BE" w:rsidRDefault="000974BE" w:rsidP="009A7FD5">
      <w:pPr>
        <w:ind w:firstLine="720"/>
        <w:rPr>
          <w:rFonts w:cs="Arial"/>
        </w:rPr>
      </w:pPr>
      <w:r>
        <w:rPr>
          <w:rFonts w:cs="Arial"/>
        </w:rPr>
        <w:t xml:space="preserve">Movants </w:t>
      </w:r>
      <w:r w:rsidR="00EC4D01">
        <w:rPr>
          <w:rFonts w:cs="Arial"/>
        </w:rPr>
        <w:t>seek</w:t>
      </w:r>
      <w:r>
        <w:rPr>
          <w:rFonts w:cs="Arial"/>
        </w:rPr>
        <w:t xml:space="preserve"> by separate </w:t>
      </w:r>
      <w:r w:rsidR="008A4063">
        <w:t xml:space="preserve">Motions for Interim and Preliminary Orders </w:t>
      </w:r>
      <w:r>
        <w:rPr>
          <w:rFonts w:cs="Arial"/>
        </w:rPr>
        <w:t xml:space="preserve">to assure that the </w:t>
      </w:r>
      <w:r w:rsidR="00D913BE">
        <w:rPr>
          <w:rFonts w:cs="Arial"/>
        </w:rPr>
        <w:t>Movants</w:t>
      </w:r>
      <w:r>
        <w:rPr>
          <w:rFonts w:cs="Arial"/>
        </w:rPr>
        <w:t xml:space="preserve"> are not adversely affected by actions of FES while </w:t>
      </w:r>
      <w:r w:rsidR="008A4063">
        <w:rPr>
          <w:rFonts w:cs="Arial"/>
        </w:rPr>
        <w:t>the bona fide dispute</w:t>
      </w:r>
      <w:r w:rsidR="0029746D">
        <w:rPr>
          <w:rFonts w:cs="Arial"/>
        </w:rPr>
        <w:t>s</w:t>
      </w:r>
      <w:r w:rsidR="008A4063">
        <w:rPr>
          <w:rFonts w:cs="Arial"/>
        </w:rPr>
        <w:t xml:space="preserve"> over RTO Expense Surcharges</w:t>
      </w:r>
      <w:r>
        <w:rPr>
          <w:rFonts w:cs="Arial"/>
        </w:rPr>
        <w:t xml:space="preserve"> are resolved.  </w:t>
      </w:r>
      <w:r w:rsidR="00F15017">
        <w:t xml:space="preserve">FES has opposed the </w:t>
      </w:r>
      <w:r w:rsidR="00B01BA1">
        <w:t>Motions for Interim and Preliminary Orders</w:t>
      </w:r>
      <w:r w:rsidR="00F15017">
        <w:t xml:space="preserve">.  It argues that </w:t>
      </w:r>
      <w:r w:rsidR="00035ECE">
        <w:t xml:space="preserve">the Commission lacks subject matter jurisdiction to address the merits of the Complaint and the Motions and that </w:t>
      </w:r>
      <w:r w:rsidR="00F15017">
        <w:t>the Movants failed to</w:t>
      </w:r>
      <w:r w:rsidR="00035ECE">
        <w:t xml:space="preserve"> demonstrate sufficient grounds for the requested</w:t>
      </w:r>
      <w:r w:rsidR="00E80CAF">
        <w:t xml:space="preserve"> orders</w:t>
      </w:r>
      <w:r w:rsidR="00F15017">
        <w:t>.</w:t>
      </w:r>
      <w:r w:rsidR="00F15017">
        <w:rPr>
          <w:rStyle w:val="FootnoteReference"/>
        </w:rPr>
        <w:footnoteReference w:id="32"/>
      </w:r>
      <w:r w:rsidR="00F15017">
        <w:t xml:space="preserve">  These arguments are without merit.  </w:t>
      </w:r>
    </w:p>
    <w:p w:rsidR="00035ECE" w:rsidRDefault="00F15017" w:rsidP="009A7FD5">
      <w:pPr>
        <w:ind w:firstLine="720"/>
      </w:pPr>
      <w:r>
        <w:t xml:space="preserve">Initially, FES incorrectly argues that the Commission lacks subject matter jurisdiction over the </w:t>
      </w:r>
      <w:r w:rsidR="00CE7BAE">
        <w:t>Motions for Interim and Preliminary Orders</w:t>
      </w:r>
      <w:r w:rsidR="00705BCB">
        <w:t>, relyin</w:t>
      </w:r>
      <w:r w:rsidR="00697331">
        <w:t xml:space="preserve">g on its </w:t>
      </w:r>
      <w:r w:rsidR="008B23C6">
        <w:t xml:space="preserve">Motion </w:t>
      </w:r>
      <w:r w:rsidR="00697331">
        <w:t xml:space="preserve">to </w:t>
      </w:r>
      <w:r w:rsidR="0029746D">
        <w:t>D</w:t>
      </w:r>
      <w:r w:rsidR="003A47D2">
        <w:t xml:space="preserve">ismiss </w:t>
      </w:r>
      <w:r w:rsidR="00697331">
        <w:t>the C</w:t>
      </w:r>
      <w:r w:rsidR="00705BCB">
        <w:t>omplaint filed separately.</w:t>
      </w:r>
      <w:r w:rsidR="00705BCB">
        <w:rPr>
          <w:rStyle w:val="FootnoteReference"/>
        </w:rPr>
        <w:footnoteReference w:id="33"/>
      </w:r>
      <w:r>
        <w:t xml:space="preserve"> </w:t>
      </w:r>
      <w:r w:rsidR="00705BCB">
        <w:t xml:space="preserve"> In its </w:t>
      </w:r>
      <w:r w:rsidR="008B23C6">
        <w:t xml:space="preserve">Motion </w:t>
      </w:r>
      <w:r w:rsidR="00705BCB">
        <w:t xml:space="preserve">to </w:t>
      </w:r>
      <w:r w:rsidR="0029746D">
        <w:t>D</w:t>
      </w:r>
      <w:r w:rsidR="00705BCB">
        <w:t xml:space="preserve">ismiss, FES attempts to restate the Complaint to confine it narrowly to </w:t>
      </w:r>
      <w:r w:rsidR="00697331">
        <w:t xml:space="preserve">a </w:t>
      </w:r>
      <w:r w:rsidR="00705BCB">
        <w:t>dispute regarding contract interpretation.</w:t>
      </w:r>
      <w:r w:rsidR="00705BCB">
        <w:rPr>
          <w:rStyle w:val="FootnoteReference"/>
        </w:rPr>
        <w:footnoteReference w:id="34"/>
      </w:r>
      <w:r w:rsidR="00705BCB">
        <w:t xml:space="preserve">  While it is clear that </w:t>
      </w:r>
      <w:r w:rsidR="00A86AAF">
        <w:t>the parties are under contract with FES and FES is seeking to reinterpret the contract provisions to authorize an RTO Expense Surcharge</w:t>
      </w:r>
      <w:r w:rsidR="00705BCB">
        <w:t xml:space="preserve">, the Complaint and Movants’ Motions for </w:t>
      </w:r>
      <w:r w:rsidR="008A4063">
        <w:t xml:space="preserve">Interim and </w:t>
      </w:r>
      <w:r w:rsidR="00705BCB">
        <w:t xml:space="preserve">Preliminary Relief </w:t>
      </w:r>
      <w:r w:rsidR="00EC4D01">
        <w:t>request</w:t>
      </w:r>
      <w:r w:rsidR="00705BCB">
        <w:t xml:space="preserve"> the Commission to invoke its authority to </w:t>
      </w:r>
      <w:r w:rsidR="0029746D">
        <w:t xml:space="preserve">establish </w:t>
      </w:r>
      <w:r w:rsidR="00705BCB">
        <w:t xml:space="preserve">and </w:t>
      </w:r>
      <w:r w:rsidR="0029746D">
        <w:t xml:space="preserve">enforce </w:t>
      </w:r>
      <w:r w:rsidR="00705BCB">
        <w:t>the service requirements applicable to CRES providers.</w:t>
      </w:r>
      <w:r w:rsidR="00A86AAF">
        <w:rPr>
          <w:rStyle w:val="FootnoteReference"/>
        </w:rPr>
        <w:footnoteReference w:id="35"/>
      </w:r>
      <w:r w:rsidR="00705BCB">
        <w:t xml:space="preserve">  R.C. 4928.10</w:t>
      </w:r>
      <w:r w:rsidR="0029746D">
        <w:t>(A)</w:t>
      </w:r>
      <w:r w:rsidR="00705BCB">
        <w:t xml:space="preserve"> provides the Commission with </w:t>
      </w:r>
      <w:r w:rsidR="00705BCB">
        <w:lastRenderedPageBreak/>
        <w:t>authority to adopt rules prohibiting unfair, deceptive, and un</w:t>
      </w:r>
      <w:r w:rsidR="00697331">
        <w:t>conscionable business practices</w:t>
      </w:r>
      <w:r w:rsidR="00705BCB">
        <w:t xml:space="preserve">.  </w:t>
      </w:r>
      <w:r w:rsidR="00A05BF1">
        <w:t xml:space="preserve">Further, the Commission’s subject matter jurisdiction extends to the billing practices and coordination of switching of suppliers by FES.  R.C. 4928.10(D).  </w:t>
      </w:r>
      <w:r w:rsidR="00705BCB">
        <w:t xml:space="preserve">Under this authority, the Commission has adopted rules prohibiting </w:t>
      </w:r>
      <w:r w:rsidR="00697331">
        <w:t xml:space="preserve">CRES providers from engaging in </w:t>
      </w:r>
      <w:r w:rsidR="00705BCB" w:rsidRPr="00705BCB">
        <w:t xml:space="preserve">unfair, deceptive, and unconscionable business practices </w:t>
      </w:r>
      <w:r w:rsidR="00697331">
        <w:t>regarding the marketing, administration, and provision of service</w:t>
      </w:r>
      <w:r w:rsidR="00705BCB">
        <w:t>.</w:t>
      </w:r>
      <w:r w:rsidR="00697331">
        <w:rPr>
          <w:rStyle w:val="FootnoteReference"/>
        </w:rPr>
        <w:footnoteReference w:id="36"/>
      </w:r>
      <w:r w:rsidR="00705BCB">
        <w:t xml:space="preserve">  </w:t>
      </w:r>
      <w:r w:rsidR="008B23C6">
        <w:t xml:space="preserve">R.C. </w:t>
      </w:r>
      <w:r w:rsidR="00A05BF1">
        <w:t>4928.16 then extends the provisions of</w:t>
      </w:r>
      <w:r w:rsidR="00705BCB">
        <w:t xml:space="preserve"> R.C. 4905.26 </w:t>
      </w:r>
      <w:r w:rsidR="00A05BF1">
        <w:t>so that the Commission may</w:t>
      </w:r>
      <w:r w:rsidR="00705BCB">
        <w:t xml:space="preserve"> address complaints by any person regarding the provision of services by an electric services company subject to certification. </w:t>
      </w:r>
      <w:r w:rsidR="00A86AAF">
        <w:t xml:space="preserve"> </w:t>
      </w:r>
    </w:p>
    <w:p w:rsidR="00F15017" w:rsidRDefault="00035ECE" w:rsidP="009A7FD5">
      <w:pPr>
        <w:ind w:firstLine="720"/>
      </w:pPr>
      <w:r>
        <w:t xml:space="preserve">The Complaint and Motions for Interim and Preliminary </w:t>
      </w:r>
      <w:r w:rsidR="00AD145D">
        <w:t xml:space="preserve">Orders </w:t>
      </w:r>
      <w:r>
        <w:t>raise issues within the Commission’s jurisdiction under R.C. 4928.10 and 4905.26.  The Complaint alleges multiple violations of the prohibitions contained in R.C. 4928.10 and the Commission’s rules implementing the statutory requirements.</w:t>
      </w:r>
      <w:r w:rsidR="0070102B">
        <w:rPr>
          <w:rStyle w:val="FootnoteReference"/>
        </w:rPr>
        <w:footnoteReference w:id="37"/>
      </w:r>
      <w:r>
        <w:t xml:space="preserve">  Likewise, the Motions</w:t>
      </w:r>
      <w:r w:rsidR="00E80CAF">
        <w:t xml:space="preserve"> for Interim and Preliminary Orders</w:t>
      </w:r>
      <w:r>
        <w:t xml:space="preserve"> identify the billing and </w:t>
      </w:r>
      <w:r w:rsidR="00E80CAF">
        <w:t xml:space="preserve">other </w:t>
      </w:r>
      <w:r>
        <w:t>concerns that the Commission should address to prevent unfair business practices arising out of the disputed bills</w:t>
      </w:r>
      <w:r w:rsidR="0029746D">
        <w:t xml:space="preserve"> while the disputes are resolved</w:t>
      </w:r>
      <w:r>
        <w:t>.</w:t>
      </w:r>
      <w:r>
        <w:rPr>
          <w:rStyle w:val="FootnoteReference"/>
        </w:rPr>
        <w:footnoteReference w:id="38"/>
      </w:r>
      <w:r>
        <w:t xml:space="preserve">  </w:t>
      </w:r>
      <w:r w:rsidR="0029746D">
        <w:t xml:space="preserve">Thus, </w:t>
      </w:r>
      <w:r>
        <w:t>the</w:t>
      </w:r>
      <w:r w:rsidR="00A86AAF">
        <w:t xml:space="preserve"> </w:t>
      </w:r>
      <w:r w:rsidR="00B72F4A">
        <w:t>Complaint and Motions for Interim and Preliminary Orders are within the</w:t>
      </w:r>
      <w:r w:rsidR="00A86AAF">
        <w:t xml:space="preserve"> subject matter jurisdiction </w:t>
      </w:r>
      <w:r w:rsidR="00B72F4A">
        <w:t xml:space="preserve">of the Commission </w:t>
      </w:r>
      <w:r w:rsidR="00A86AAF">
        <w:t xml:space="preserve">to address </w:t>
      </w:r>
      <w:r w:rsidR="0029746D">
        <w:t xml:space="preserve">the unfair </w:t>
      </w:r>
      <w:r w:rsidR="00A86AAF">
        <w:t>business practices</w:t>
      </w:r>
      <w:r w:rsidR="00AD145D">
        <w:t>,</w:t>
      </w:r>
      <w:r w:rsidR="00A86AAF">
        <w:t xml:space="preserve"> </w:t>
      </w:r>
      <w:r w:rsidR="00A05BF1">
        <w:t xml:space="preserve">including the billing and switching issues </w:t>
      </w:r>
      <w:r w:rsidR="00A86AAF">
        <w:t xml:space="preserve">that are raised by </w:t>
      </w:r>
      <w:r w:rsidR="00A05BF1">
        <w:t>FES’s</w:t>
      </w:r>
      <w:r w:rsidR="00A86AAF">
        <w:t xml:space="preserve"> attempt to bill and collect the RTO Expense Surcharge.</w:t>
      </w:r>
    </w:p>
    <w:p w:rsidR="000C4BCD" w:rsidRDefault="000C4BCD" w:rsidP="009A7FD5">
      <w:pPr>
        <w:ind w:firstLine="720"/>
      </w:pPr>
      <w:r w:rsidRPr="00B61345">
        <w:lastRenderedPageBreak/>
        <w:t>Next, FES incorrectly argues that the Commission is not authorized to provide interim relief.</w:t>
      </w:r>
      <w:r w:rsidR="0070102B">
        <w:rPr>
          <w:rStyle w:val="FootnoteReference"/>
        </w:rPr>
        <w:footnoteReference w:id="39"/>
      </w:r>
      <w:r w:rsidRPr="00B61345">
        <w:t xml:space="preserve">  </w:t>
      </w:r>
      <w:r w:rsidR="00A05BF1">
        <w:t xml:space="preserve">Repeatedly, </w:t>
      </w:r>
      <w:r w:rsidR="0029746D">
        <w:t xml:space="preserve">however, </w:t>
      </w:r>
      <w:r w:rsidR="00A05BF1">
        <w:t xml:space="preserve">the Commission has issued interim relief to parties that have sought </w:t>
      </w:r>
      <w:r w:rsidR="0029746D">
        <w:t>it</w:t>
      </w:r>
      <w:r w:rsidR="0029746D" w:rsidRPr="0029746D">
        <w:t xml:space="preserve"> </w:t>
      </w:r>
      <w:r w:rsidR="0029746D">
        <w:t>under the authority of R.C. 4905.26</w:t>
      </w:r>
      <w:r w:rsidR="00A05BF1">
        <w:t>.</w:t>
      </w:r>
      <w:r w:rsidR="00A05BF1">
        <w:rPr>
          <w:rStyle w:val="FootnoteReference"/>
        </w:rPr>
        <w:footnoteReference w:id="40"/>
      </w:r>
      <w:r w:rsidR="00B61345">
        <w:t xml:space="preserve">  </w:t>
      </w:r>
      <w:r w:rsidR="009949F0">
        <w:t xml:space="preserve">In a self-complaint seeking </w:t>
      </w:r>
      <w:r w:rsidR="0029746D">
        <w:t xml:space="preserve">authorization </w:t>
      </w:r>
      <w:r w:rsidR="009949F0">
        <w:t xml:space="preserve">to provide new gas service, </w:t>
      </w:r>
      <w:r w:rsidR="00914755">
        <w:t>for example, East Ohio Gas Company</w:t>
      </w:r>
      <w:r w:rsidR="009949F0">
        <w:t xml:space="preserve"> </w:t>
      </w:r>
      <w:r w:rsidR="00082029">
        <w:t xml:space="preserve">(“East Ohio”) </w:t>
      </w:r>
      <w:r w:rsidR="009949F0">
        <w:t xml:space="preserve">sought interim relief to connect new industrial customers by motion while the Commission considered the merits of the complaint.  The Commission granted the interim relief after addressing the public interest considerations and </w:t>
      </w:r>
      <w:r w:rsidR="0029746D">
        <w:t xml:space="preserve">stating </w:t>
      </w:r>
      <w:r w:rsidR="009949F0">
        <w:t>that the interim relief was subject to the final resolution of the case.</w:t>
      </w:r>
      <w:r w:rsidR="009949F0">
        <w:rPr>
          <w:rStyle w:val="FootnoteReference"/>
        </w:rPr>
        <w:footnoteReference w:id="41"/>
      </w:r>
    </w:p>
    <w:p w:rsidR="00914755" w:rsidRDefault="00914755" w:rsidP="009A7FD5">
      <w:pPr>
        <w:ind w:firstLine="720"/>
      </w:pPr>
      <w:r>
        <w:t xml:space="preserve">As in the </w:t>
      </w:r>
      <w:r w:rsidRPr="00260B0E">
        <w:rPr>
          <w:i/>
        </w:rPr>
        <w:t>East Ohio</w:t>
      </w:r>
      <w:r>
        <w:t xml:space="preserve"> </w:t>
      </w:r>
      <w:r w:rsidR="00082029">
        <w:t>case</w:t>
      </w:r>
      <w:r>
        <w:t xml:space="preserve">, this matter is before the Commission on a complaint </w:t>
      </w:r>
      <w:r w:rsidR="009D2920">
        <w:t>filed under</w:t>
      </w:r>
      <w:r>
        <w:t xml:space="preserve"> R.C. 4905.26.  The Complaint seeks a resolution of whether certain practices violate R.C. 4928.10 and Commission rules. </w:t>
      </w:r>
      <w:r w:rsidR="009D2920">
        <w:t xml:space="preserve"> </w:t>
      </w:r>
      <w:r>
        <w:t xml:space="preserve">Pursuant to the Commission’s recognized authority to issue </w:t>
      </w:r>
      <w:r w:rsidR="008A4063">
        <w:t xml:space="preserve">preliminary </w:t>
      </w:r>
      <w:r>
        <w:t xml:space="preserve">and </w:t>
      </w:r>
      <w:r w:rsidR="008A4063">
        <w:t xml:space="preserve">interim </w:t>
      </w:r>
      <w:r>
        <w:t xml:space="preserve">orders, the Movants have requested that the Commission address </w:t>
      </w:r>
      <w:r w:rsidR="0029746D">
        <w:t xml:space="preserve">preliminary </w:t>
      </w:r>
      <w:r>
        <w:t xml:space="preserve">issues to assure that FES does not act in a manner </w:t>
      </w:r>
      <w:r w:rsidR="0029746D">
        <w:t>that would result in violations of the Commission’s rules prohibiting unfair business practices</w:t>
      </w:r>
      <w:r>
        <w:t xml:space="preserve">.  The requested relief sought by Movants will assure that they are not adversely affected by actions of FES and the EDUs serving the Movants while this matter is pending.  Based on the authority the Commission has under R.C. </w:t>
      </w:r>
      <w:r w:rsidR="0029746D">
        <w:t xml:space="preserve">4928.10 </w:t>
      </w:r>
      <w:r w:rsidR="0029746D">
        <w:lastRenderedPageBreak/>
        <w:t xml:space="preserve">and </w:t>
      </w:r>
      <w:r>
        <w:t xml:space="preserve">4905.26 to grant interim relief, the Motions for </w:t>
      </w:r>
      <w:r w:rsidR="008A4063">
        <w:t xml:space="preserve">Preliminary </w:t>
      </w:r>
      <w:r>
        <w:t xml:space="preserve">and </w:t>
      </w:r>
      <w:r w:rsidR="008A4063">
        <w:t xml:space="preserve">Interim </w:t>
      </w:r>
      <w:r w:rsidR="00AD145D">
        <w:t xml:space="preserve">Orders </w:t>
      </w:r>
      <w:r>
        <w:t xml:space="preserve">are within the </w:t>
      </w:r>
      <w:r w:rsidR="009D2920">
        <w:t>authority</w:t>
      </w:r>
      <w:r w:rsidR="00C06238">
        <w:t xml:space="preserve"> </w:t>
      </w:r>
      <w:r>
        <w:t>of the Commission.</w:t>
      </w:r>
    </w:p>
    <w:p w:rsidR="00E4438D" w:rsidRDefault="00E4438D" w:rsidP="009A7FD5">
      <w:pPr>
        <w:ind w:firstLine="720"/>
      </w:pPr>
      <w:r>
        <w:t>FES further argues that the statute and rules cited by the Movants do not authorize the requested relief</w:t>
      </w:r>
      <w:r w:rsidR="00CE7BAE">
        <w:t xml:space="preserve"> </w:t>
      </w:r>
      <w:r>
        <w:t>because R.C. 4928.10 only authorizes the promulgation of rules.</w:t>
      </w:r>
      <w:r w:rsidR="0070102B">
        <w:rPr>
          <w:rStyle w:val="FootnoteReference"/>
        </w:rPr>
        <w:footnoteReference w:id="42"/>
      </w:r>
      <w:r>
        <w:t xml:space="preserve">  FES</w:t>
      </w:r>
      <w:r w:rsidR="00B72F4A">
        <w:t>, however,</w:t>
      </w:r>
      <w:r>
        <w:t xml:space="preserve"> misreads the applicable law and rules.  R.C. 4928.10 provides the Commission with authority to adopt rules addressing unfair business practices including billing and transfer of service.  Under this provision, the Commission has adopted rules prohibiting unfair business practices and addressing particular billing concerns outlined in the Movant’s Motions for </w:t>
      </w:r>
      <w:r w:rsidR="008A4063">
        <w:t>Preliminary</w:t>
      </w:r>
      <w:r w:rsidR="008A4063" w:rsidDel="00C205B9">
        <w:t xml:space="preserve"> </w:t>
      </w:r>
      <w:r>
        <w:t xml:space="preserve">and </w:t>
      </w:r>
      <w:r w:rsidR="008A4063">
        <w:t xml:space="preserve">Interim </w:t>
      </w:r>
      <w:r w:rsidR="002420E6">
        <w:t>Orders</w:t>
      </w:r>
      <w:r>
        <w:t>.  Under R.C. 4928.16, the Commission is provided subject matter jurisdiction to address violation</w:t>
      </w:r>
      <w:r w:rsidR="005A2AD0">
        <w:t>s</w:t>
      </w:r>
      <w:r>
        <w:t xml:space="preserve"> of the general proscription concerning unfair business practices and the other rules regarding billing and transfer of </w:t>
      </w:r>
      <w:r w:rsidR="000E7E5E">
        <w:t xml:space="preserve">service.  </w:t>
      </w:r>
      <w:r w:rsidR="0029746D">
        <w:t xml:space="preserve">As discussed above, the Motions for Interim and Preliminary Orders seek Commission orders addressing the application of the Commission’s authority to address unfair business practices and billing disputes that may also affect the transfer of service.  </w:t>
      </w:r>
      <w:r w:rsidR="000E7E5E">
        <w:t>Th</w:t>
      </w:r>
      <w:r w:rsidR="00CE7BAE">
        <w:t xml:space="preserve">us, Motions for Interim and Preliminary Orders </w:t>
      </w:r>
      <w:r w:rsidR="000E7E5E">
        <w:t xml:space="preserve">properly invoke the Commission’s authority.  </w:t>
      </w:r>
    </w:p>
    <w:p w:rsidR="004973C7" w:rsidRDefault="000E7E5E" w:rsidP="00260B0E">
      <w:pPr>
        <w:spacing w:after="0"/>
        <w:ind w:firstLine="720"/>
      </w:pPr>
      <w:r>
        <w:t>Finally, FES incorrectly argues that Movants failed to explain why their requests are rea</w:t>
      </w:r>
      <w:r w:rsidR="005A2AD0">
        <w:t>sonable.</w:t>
      </w:r>
      <w:r w:rsidR="0070102B">
        <w:rPr>
          <w:rStyle w:val="FootnoteReference"/>
        </w:rPr>
        <w:footnoteReference w:id="43"/>
      </w:r>
      <w:r w:rsidR="005A2AD0">
        <w:t xml:space="preserve">  As outlined in their M</w:t>
      </w:r>
      <w:r>
        <w:t>otion</w:t>
      </w:r>
      <w:r w:rsidR="005A2AD0">
        <w:t>s</w:t>
      </w:r>
      <w:r>
        <w:t>, Movants have identified issues that are not addressed by Commission rules</w:t>
      </w:r>
      <w:r w:rsidR="00612431">
        <w:t xml:space="preserve">, but which if left unresolved could result in </w:t>
      </w:r>
      <w:r>
        <w:t xml:space="preserve">a loss of the </w:t>
      </w:r>
      <w:r w:rsidR="00A948B7">
        <w:t>benefits</w:t>
      </w:r>
      <w:r>
        <w:t xml:space="preserve"> of their contracts </w:t>
      </w:r>
      <w:r w:rsidR="00612431">
        <w:t>with FES and their rights under Ohio law and Commission rules</w:t>
      </w:r>
      <w:r>
        <w:t xml:space="preserve">.  </w:t>
      </w:r>
      <w:r w:rsidR="004973C7">
        <w:t xml:space="preserve">As they stated in their Motions: </w:t>
      </w:r>
    </w:p>
    <w:p w:rsidR="004973C7" w:rsidRDefault="004973C7" w:rsidP="00260B0E">
      <w:pPr>
        <w:spacing w:after="0" w:line="240" w:lineRule="auto"/>
        <w:ind w:left="720" w:right="720"/>
      </w:pPr>
      <w:r>
        <w:lastRenderedPageBreak/>
        <w:t>A</w:t>
      </w:r>
      <w:r w:rsidR="000E7E5E">
        <w:t xml:space="preserve">s </w:t>
      </w:r>
      <w:r w:rsidR="000E7E5E" w:rsidRPr="00F31A1A">
        <w:t xml:space="preserve">the dispute resolution process proceeds, </w:t>
      </w:r>
      <w:r w:rsidR="000E7E5E">
        <w:t>there is</w:t>
      </w:r>
      <w:r w:rsidR="000E7E5E" w:rsidRPr="00F31A1A">
        <w:t xml:space="preserve"> potential for confusion and unintended consequences if there is no common understanding regarding such things as how the dispute</w:t>
      </w:r>
      <w:r w:rsidR="000E7E5E">
        <w:t>s affect</w:t>
      </w:r>
      <w:r w:rsidR="000E7E5E" w:rsidRPr="00F31A1A">
        <w:t xml:space="preserve"> </w:t>
      </w:r>
      <w:r w:rsidR="000E7E5E">
        <w:t>FES’s</w:t>
      </w:r>
      <w:r w:rsidR="000E7E5E" w:rsidRPr="00F31A1A">
        <w:t xml:space="preserve"> supply obligation</w:t>
      </w:r>
      <w:r w:rsidR="000E7E5E">
        <w:t xml:space="preserve"> to each Movant</w:t>
      </w:r>
      <w:r w:rsidR="000E7E5E" w:rsidRPr="00F31A1A">
        <w:t xml:space="preserve">, EDU billings on behalf of </w:t>
      </w:r>
      <w:r w:rsidR="000E7E5E">
        <w:t>FES</w:t>
      </w:r>
      <w:r w:rsidR="000E7E5E" w:rsidRPr="00F31A1A">
        <w:t xml:space="preserve"> that contain a disputed amount</w:t>
      </w:r>
      <w:r w:rsidR="000E7E5E">
        <w:t>,</w:t>
      </w:r>
      <w:r w:rsidR="000E7E5E" w:rsidRPr="00F31A1A">
        <w:t xml:space="preserve"> and the potential for a </w:t>
      </w:r>
      <w:r w:rsidR="000E7E5E">
        <w:t>Movant’s</w:t>
      </w:r>
      <w:r w:rsidR="000E7E5E" w:rsidRPr="00F31A1A">
        <w:t xml:space="preserve"> return to </w:t>
      </w:r>
      <w:r w:rsidR="002420E6">
        <w:t>Standard Service Offer (“</w:t>
      </w:r>
      <w:r w:rsidR="000E7E5E" w:rsidRPr="00F31A1A">
        <w:t>SSO</w:t>
      </w:r>
      <w:r w:rsidR="002420E6">
        <w:t>”)</w:t>
      </w:r>
      <w:r w:rsidR="000E7E5E" w:rsidRPr="00F31A1A">
        <w:t xml:space="preserve"> service either as a result of </w:t>
      </w:r>
      <w:r w:rsidR="000E7E5E">
        <w:t>FES’s</w:t>
      </w:r>
      <w:r w:rsidR="000E7E5E" w:rsidRPr="00F31A1A">
        <w:t xml:space="preserve"> directions to an EDU or actions by an EDU that occur as a result of a lack of clarity about the significance of the dispute or how the </w:t>
      </w:r>
      <w:r w:rsidR="000E7E5E">
        <w:t xml:space="preserve">EDU should exercise its billing and </w:t>
      </w:r>
      <w:r w:rsidR="000E7E5E" w:rsidRPr="00F31A1A">
        <w:t>collection function i</w:t>
      </w:r>
      <w:r w:rsidR="000E7E5E">
        <w:t>n light of the billing dispute.</w:t>
      </w:r>
      <w:r w:rsidR="000E7E5E">
        <w:rPr>
          <w:rStyle w:val="FootnoteReference"/>
        </w:rPr>
        <w:footnoteReference w:id="44"/>
      </w:r>
      <w:r w:rsidR="000E7E5E">
        <w:t xml:space="preserve">  </w:t>
      </w:r>
    </w:p>
    <w:p w:rsidR="004973C7" w:rsidRDefault="004973C7" w:rsidP="00260B0E">
      <w:pPr>
        <w:spacing w:after="0" w:line="240" w:lineRule="auto"/>
        <w:ind w:left="720" w:right="720"/>
      </w:pPr>
    </w:p>
    <w:p w:rsidR="004973C7" w:rsidRDefault="00712D10" w:rsidP="00657106">
      <w:r>
        <w:t>To address</w:t>
      </w:r>
      <w:r w:rsidR="000E7E5E">
        <w:t xml:space="preserve"> those </w:t>
      </w:r>
      <w:r w:rsidR="00657106">
        <w:t>issues</w:t>
      </w:r>
      <w:r w:rsidR="000E7E5E">
        <w:t xml:space="preserve">, </w:t>
      </w:r>
      <w:r w:rsidR="004973C7">
        <w:t xml:space="preserve">the Movants identified the necessary preliminary and interim </w:t>
      </w:r>
      <w:r w:rsidR="009D2920">
        <w:t>orders</w:t>
      </w:r>
      <w:r w:rsidR="004973C7">
        <w:t xml:space="preserve"> they </w:t>
      </w:r>
      <w:r w:rsidR="00657106">
        <w:t>are</w:t>
      </w:r>
      <w:r w:rsidR="004973C7">
        <w:t xml:space="preserve"> seeking:</w:t>
      </w:r>
    </w:p>
    <w:p w:rsidR="0041338F" w:rsidRDefault="004973C7" w:rsidP="00260B0E">
      <w:pPr>
        <w:spacing w:after="0" w:line="240" w:lineRule="auto"/>
        <w:ind w:left="720" w:right="720"/>
      </w:pPr>
      <w:r>
        <w:t>W</w:t>
      </w:r>
      <w:r w:rsidR="000E7E5E" w:rsidRPr="000E7E5E">
        <w:t>hile this Complaint is pending, it would be lawful and reasonable for the Commission to direct FES to treat the disputed amounts of the RTO Expense Surcharge as not due and payable, to avoid taking action that would terminate the contracts of Movants or that would otherwise result in the return of the Movants to the SSO during the remaining terms of their contracts with FES, to resolve the billing disputes in good faith, to prohibit FES from imposing a late fee on those amounts that are the subject to the bona fide dispute, and to prohibit FES from taking actions that adversely affect the business relationship between FES, third parties, and the Movants.</w:t>
      </w:r>
      <w:r w:rsidR="0041338F">
        <w:rPr>
          <w:rStyle w:val="FootnoteReference"/>
        </w:rPr>
        <w:footnoteReference w:id="45"/>
      </w:r>
    </w:p>
    <w:p w:rsidR="004973C7" w:rsidRDefault="004973C7" w:rsidP="00260B0E">
      <w:pPr>
        <w:spacing w:after="0" w:line="240" w:lineRule="auto"/>
        <w:ind w:left="720" w:right="720"/>
      </w:pPr>
    </w:p>
    <w:p w:rsidR="000E7E5E" w:rsidRDefault="005A2AD0" w:rsidP="00260B0E">
      <w:r>
        <w:t>Thus, Movants have stated in their Motions</w:t>
      </w:r>
      <w:r w:rsidR="00C06238">
        <w:t>,</w:t>
      </w:r>
      <w:r>
        <w:t xml:space="preserve"> and again here</w:t>
      </w:r>
      <w:r w:rsidR="00C06238">
        <w:t>,</w:t>
      </w:r>
      <w:r>
        <w:t xml:space="preserve"> that there are reasonable grounds for the Commission to grant their </w:t>
      </w:r>
      <w:r w:rsidR="00CE7BAE">
        <w:t>Motions for Interim and Preliminary Orders</w:t>
      </w:r>
      <w:r>
        <w:t>.</w:t>
      </w:r>
    </w:p>
    <w:p w:rsidR="00A948B7" w:rsidRPr="0031090C" w:rsidRDefault="00A948B7" w:rsidP="00260B0E">
      <w:pPr>
        <w:pStyle w:val="Heading1"/>
      </w:pPr>
      <w:bookmarkStart w:id="38" w:name="_Toc395258517"/>
      <w:bookmarkStart w:id="39" w:name="_Toc395258625"/>
      <w:bookmarkStart w:id="40" w:name="_Toc395258850"/>
      <w:bookmarkStart w:id="41" w:name="_Toc395258953"/>
      <w:bookmarkStart w:id="42" w:name="_Toc395259579"/>
      <w:r w:rsidRPr="0031090C">
        <w:t>C</w:t>
      </w:r>
      <w:r w:rsidR="008A4063" w:rsidRPr="0031090C">
        <w:t>onclusion</w:t>
      </w:r>
      <w:bookmarkEnd w:id="38"/>
      <w:bookmarkEnd w:id="39"/>
      <w:bookmarkEnd w:id="40"/>
      <w:bookmarkEnd w:id="41"/>
      <w:bookmarkEnd w:id="42"/>
    </w:p>
    <w:p w:rsidR="000E7E5E" w:rsidRDefault="000E7E5E" w:rsidP="009A7FD5">
      <w:pPr>
        <w:ind w:firstLine="720"/>
      </w:pPr>
      <w:r>
        <w:t>The Motions to</w:t>
      </w:r>
      <w:r w:rsidR="005A2AD0">
        <w:t xml:space="preserve"> Intervene should be granted because i</w:t>
      </w:r>
      <w:r>
        <w:t xml:space="preserve">ntervention is proper under both R.C. 4903.122 and the Commission’s rules.  Further, the Commission should </w:t>
      </w:r>
      <w:r w:rsidR="00EC63AB">
        <w:t xml:space="preserve">grant the Motions </w:t>
      </w:r>
      <w:r w:rsidR="00EC63AB" w:rsidRPr="00EC63AB">
        <w:t xml:space="preserve">for </w:t>
      </w:r>
      <w:r w:rsidR="00C06238">
        <w:t>Interim and</w:t>
      </w:r>
      <w:r w:rsidR="00C06238" w:rsidRPr="00EC63AB">
        <w:t xml:space="preserve"> </w:t>
      </w:r>
      <w:r w:rsidR="00C06238">
        <w:t>Preliminary Orders</w:t>
      </w:r>
      <w:r w:rsidR="00712D10">
        <w:t xml:space="preserve"> because t</w:t>
      </w:r>
      <w:r w:rsidR="00EC63AB">
        <w:t xml:space="preserve">he Commission has subject matter jurisdiction to provide the requested relief, and the relief is necessary to assure that the Movants’ contractual </w:t>
      </w:r>
      <w:r w:rsidR="00612431">
        <w:t xml:space="preserve">and statutory </w:t>
      </w:r>
      <w:r w:rsidR="00EC63AB">
        <w:t xml:space="preserve">rights are protected while </w:t>
      </w:r>
      <w:r w:rsidR="00712D10">
        <w:t>the bona fide disputes between FES and the Movants are resolved</w:t>
      </w:r>
      <w:r w:rsidR="00EC63AB">
        <w:t>.</w:t>
      </w:r>
    </w:p>
    <w:p w:rsidR="00A948B7" w:rsidRPr="00A948B7" w:rsidRDefault="00A948B7" w:rsidP="00A948B7">
      <w:pPr>
        <w:tabs>
          <w:tab w:val="left" w:pos="4320"/>
          <w:tab w:val="right" w:pos="8640"/>
        </w:tabs>
        <w:spacing w:after="0" w:line="240" w:lineRule="auto"/>
        <w:rPr>
          <w:rFonts w:eastAsia="Times New Roman" w:cs="Arial"/>
        </w:rPr>
      </w:pPr>
      <w:r>
        <w:rPr>
          <w:rFonts w:eastAsia="Times New Roman" w:cs="Arial"/>
        </w:rPr>
        <w:lastRenderedPageBreak/>
        <w:tab/>
      </w:r>
      <w:r w:rsidRPr="00A948B7">
        <w:rPr>
          <w:rFonts w:eastAsia="Times New Roman" w:cs="Arial"/>
        </w:rPr>
        <w:t>Respectfully submitted,</w:t>
      </w:r>
    </w:p>
    <w:p w:rsidR="00A948B7" w:rsidRPr="00A948B7" w:rsidRDefault="00A948B7" w:rsidP="00A948B7">
      <w:pPr>
        <w:tabs>
          <w:tab w:val="left" w:pos="4320"/>
          <w:tab w:val="right" w:pos="8640"/>
        </w:tabs>
        <w:spacing w:after="0" w:line="240" w:lineRule="auto"/>
        <w:rPr>
          <w:rFonts w:eastAsia="Times New Roman" w:cs="Arial"/>
        </w:rPr>
      </w:pPr>
    </w:p>
    <w:p w:rsidR="00A948B7" w:rsidRPr="00A948B7" w:rsidRDefault="00A948B7" w:rsidP="00A948B7">
      <w:pPr>
        <w:tabs>
          <w:tab w:val="left" w:pos="4320"/>
          <w:tab w:val="right" w:pos="8640"/>
        </w:tabs>
        <w:spacing w:after="0" w:line="240" w:lineRule="auto"/>
        <w:rPr>
          <w:rFonts w:eastAsia="Times New Roman" w:cs="Arial"/>
        </w:rPr>
      </w:pPr>
    </w:p>
    <w:p w:rsidR="00A948B7" w:rsidRPr="00260B0E" w:rsidRDefault="00EF29A6" w:rsidP="00A948B7">
      <w:pPr>
        <w:tabs>
          <w:tab w:val="left" w:pos="4320"/>
          <w:tab w:val="right" w:pos="8640"/>
        </w:tabs>
        <w:spacing w:after="0" w:line="240" w:lineRule="auto"/>
        <w:ind w:left="4320"/>
        <w:rPr>
          <w:rFonts w:eastAsia="Times New Roman" w:cs="Arial"/>
          <w:i/>
          <w:u w:val="single"/>
        </w:rPr>
      </w:pPr>
      <w:r w:rsidRPr="00260B0E">
        <w:rPr>
          <w:rFonts w:eastAsia="Times New Roman" w:cs="Arial"/>
          <w:u w:val="single"/>
        </w:rPr>
        <w:t>/s/ Frank P. Darr</w:t>
      </w:r>
      <w:r w:rsidR="00A948B7" w:rsidRPr="00EF29A6">
        <w:rPr>
          <w:rFonts w:eastAsia="Times New Roman" w:cs="Arial"/>
          <w:i/>
          <w:u w:val="single"/>
        </w:rPr>
        <w:tab/>
      </w:r>
    </w:p>
    <w:p w:rsidR="00A948B7" w:rsidRDefault="00A948B7" w:rsidP="00260B0E">
      <w:pPr>
        <w:tabs>
          <w:tab w:val="left" w:pos="720"/>
          <w:tab w:val="left" w:pos="4320"/>
          <w:tab w:val="right" w:pos="8640"/>
        </w:tabs>
        <w:spacing w:after="0" w:line="240" w:lineRule="auto"/>
        <w:jc w:val="left"/>
        <w:rPr>
          <w:rFonts w:eastAsia="Calibri" w:cs="Arial"/>
          <w:bCs/>
        </w:rPr>
      </w:pPr>
      <w:r w:rsidRPr="00A948B7">
        <w:rPr>
          <w:rFonts w:eastAsia="Calibri" w:cs="Arial"/>
        </w:rPr>
        <w:tab/>
      </w:r>
      <w:r w:rsidRPr="00A948B7">
        <w:rPr>
          <w:rFonts w:eastAsia="Calibri" w:cs="Arial"/>
        </w:rPr>
        <w:tab/>
      </w:r>
      <w:r w:rsidRPr="00A948B7">
        <w:rPr>
          <w:rFonts w:eastAsia="Calibri" w:cs="Arial"/>
          <w:bCs/>
        </w:rPr>
        <w:t>Frank P. Darr (Reg. No. 0025469)</w:t>
      </w:r>
    </w:p>
    <w:p w:rsidR="00A948B7" w:rsidRPr="00A948B7" w:rsidRDefault="00A948B7" w:rsidP="00260B0E">
      <w:pPr>
        <w:tabs>
          <w:tab w:val="left" w:pos="720"/>
          <w:tab w:val="left" w:pos="4320"/>
          <w:tab w:val="right" w:pos="8640"/>
        </w:tabs>
        <w:spacing w:after="0" w:line="240" w:lineRule="auto"/>
        <w:jc w:val="left"/>
        <w:rPr>
          <w:rFonts w:eastAsia="Calibri" w:cs="Arial"/>
          <w:bCs/>
        </w:rPr>
      </w:pPr>
      <w:r>
        <w:rPr>
          <w:rFonts w:eastAsia="Calibri" w:cs="Arial"/>
          <w:bCs/>
        </w:rPr>
        <w:tab/>
      </w:r>
      <w:r>
        <w:rPr>
          <w:rFonts w:eastAsia="Calibri" w:cs="Arial"/>
          <w:bCs/>
        </w:rPr>
        <w:tab/>
        <w:t>(Counsel of Record)</w:t>
      </w:r>
    </w:p>
    <w:p w:rsidR="00A948B7" w:rsidRPr="00A948B7" w:rsidRDefault="00A948B7" w:rsidP="00A948B7">
      <w:pPr>
        <w:widowControl w:val="0"/>
        <w:tabs>
          <w:tab w:val="left" w:pos="4320"/>
        </w:tabs>
        <w:spacing w:after="0" w:line="240" w:lineRule="auto"/>
        <w:ind w:left="4320"/>
        <w:jc w:val="left"/>
        <w:rPr>
          <w:rFonts w:eastAsia="Calibri" w:cs="Arial"/>
          <w:b/>
          <w:bCs/>
        </w:rPr>
      </w:pPr>
      <w:r w:rsidRPr="00A948B7">
        <w:rPr>
          <w:rFonts w:eastAsia="Calibri" w:cs="Arial"/>
          <w:bCs/>
        </w:rPr>
        <w:t>Matthew R. Pritchard (Reg. No. 0088070)</w:t>
      </w:r>
    </w:p>
    <w:p w:rsidR="00A948B7" w:rsidRPr="00A948B7" w:rsidRDefault="00A948B7" w:rsidP="00A948B7">
      <w:pPr>
        <w:widowControl w:val="0"/>
        <w:tabs>
          <w:tab w:val="left" w:pos="4320"/>
        </w:tabs>
        <w:spacing w:after="0" w:line="240" w:lineRule="auto"/>
        <w:ind w:left="4320"/>
        <w:jc w:val="left"/>
        <w:rPr>
          <w:rFonts w:eastAsia="Calibri" w:cs="Arial"/>
          <w:b/>
          <w:bCs/>
          <w:smallCaps/>
        </w:rPr>
      </w:pPr>
      <w:r w:rsidRPr="00A948B7">
        <w:rPr>
          <w:rFonts w:eastAsia="Calibri" w:cs="Arial"/>
          <w:bCs/>
          <w:smallCaps/>
        </w:rPr>
        <w:t>McNees Wallace &amp; Nurick LLC</w:t>
      </w:r>
    </w:p>
    <w:p w:rsidR="00A948B7" w:rsidRPr="00A948B7" w:rsidRDefault="00A948B7" w:rsidP="00A948B7">
      <w:pPr>
        <w:widowControl w:val="0"/>
        <w:tabs>
          <w:tab w:val="left" w:pos="4320"/>
        </w:tabs>
        <w:spacing w:after="0" w:line="240" w:lineRule="auto"/>
        <w:ind w:left="4320"/>
        <w:jc w:val="left"/>
        <w:rPr>
          <w:rFonts w:eastAsia="Calibri" w:cs="Arial"/>
          <w:b/>
          <w:bCs/>
        </w:rPr>
      </w:pPr>
      <w:r w:rsidRPr="00A948B7">
        <w:rPr>
          <w:rFonts w:eastAsia="Calibri" w:cs="Arial"/>
          <w:bCs/>
        </w:rPr>
        <w:t>21 East State Street, 17</w:t>
      </w:r>
      <w:r w:rsidRPr="00A948B7">
        <w:rPr>
          <w:rFonts w:eastAsia="Calibri" w:cs="Arial"/>
          <w:bCs/>
          <w:vertAlign w:val="superscript"/>
        </w:rPr>
        <w:t>TH</w:t>
      </w:r>
      <w:r w:rsidRPr="00A948B7">
        <w:rPr>
          <w:rFonts w:eastAsia="Calibri" w:cs="Arial"/>
          <w:bCs/>
        </w:rPr>
        <w:t xml:space="preserve"> Floor</w:t>
      </w:r>
    </w:p>
    <w:p w:rsidR="00A948B7" w:rsidRPr="00A948B7" w:rsidRDefault="00A948B7" w:rsidP="00A948B7">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A948B7">
        <w:rPr>
          <w:rFonts w:eastAsia="Calibri" w:cs="Arial"/>
        </w:rPr>
        <w:t>Columbus, OH  43215</w:t>
      </w:r>
    </w:p>
    <w:p w:rsidR="00A948B7" w:rsidRPr="00A948B7" w:rsidRDefault="00A948B7" w:rsidP="00A948B7">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bookmarkStart w:id="43" w:name="_GoBack"/>
      <w:bookmarkEnd w:id="43"/>
      <w:r w:rsidRPr="00A948B7">
        <w:rPr>
          <w:rFonts w:eastAsia="Calibri" w:cs="Arial"/>
        </w:rPr>
        <w:t>Telephone:  (614) 469-8000</w:t>
      </w:r>
    </w:p>
    <w:p w:rsidR="00A948B7" w:rsidRPr="00A948B7" w:rsidRDefault="00A948B7" w:rsidP="00A948B7">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A948B7">
        <w:rPr>
          <w:rFonts w:eastAsia="Calibri" w:cs="Arial"/>
        </w:rPr>
        <w:t>Telecopier:  (614) 469-4653</w:t>
      </w:r>
    </w:p>
    <w:p w:rsidR="00A948B7" w:rsidRPr="00A948B7" w:rsidRDefault="00A948B7" w:rsidP="00A948B7">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A948B7">
        <w:rPr>
          <w:rFonts w:eastAsia="Calibri" w:cs="Arial"/>
        </w:rPr>
        <w:t>fdarr@mwncmh.com</w:t>
      </w:r>
    </w:p>
    <w:p w:rsidR="00A948B7" w:rsidRPr="00A948B7" w:rsidRDefault="00A948B7" w:rsidP="00A948B7">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A948B7">
        <w:rPr>
          <w:rFonts w:eastAsia="Calibri" w:cs="Arial"/>
          <w:color w:val="000000"/>
        </w:rPr>
        <w:t>(willing to accept service by e-mail)</w:t>
      </w:r>
    </w:p>
    <w:p w:rsidR="00A948B7" w:rsidRPr="00A948B7" w:rsidRDefault="00A948B7" w:rsidP="00A948B7">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smallCaps/>
          <w:color w:val="000000"/>
        </w:rPr>
      </w:pPr>
      <w:r w:rsidRPr="00A948B7">
        <w:rPr>
          <w:rFonts w:eastAsia="Calibri" w:cs="Arial"/>
          <w:color w:val="000000"/>
        </w:rPr>
        <w:t>mpritchard@mwncmh.com</w:t>
      </w:r>
    </w:p>
    <w:p w:rsidR="00A948B7" w:rsidRPr="00A948B7" w:rsidRDefault="00A948B7" w:rsidP="00A948B7">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color w:val="000000"/>
        </w:rPr>
      </w:pPr>
      <w:r w:rsidRPr="00A948B7">
        <w:rPr>
          <w:rFonts w:eastAsia="Calibri" w:cs="Arial"/>
          <w:color w:val="000000"/>
        </w:rPr>
        <w:t>(willing to accept service by e-mail)</w:t>
      </w:r>
    </w:p>
    <w:p w:rsidR="00A948B7" w:rsidRPr="00A948B7" w:rsidRDefault="00A948B7" w:rsidP="00A948B7">
      <w:pPr>
        <w:tabs>
          <w:tab w:val="left" w:pos="4320"/>
          <w:tab w:val="right" w:pos="8640"/>
        </w:tabs>
        <w:spacing w:after="0" w:line="240" w:lineRule="auto"/>
        <w:ind w:left="4320"/>
        <w:rPr>
          <w:rFonts w:eastAsia="Times New Roman" w:cs="Arial"/>
        </w:rPr>
      </w:pPr>
    </w:p>
    <w:p w:rsidR="00C205B9" w:rsidRDefault="00A948B7" w:rsidP="00A948B7">
      <w:pPr>
        <w:tabs>
          <w:tab w:val="left" w:pos="4320"/>
        </w:tabs>
        <w:spacing w:after="0" w:line="240" w:lineRule="auto"/>
        <w:jc w:val="left"/>
        <w:rPr>
          <w:rFonts w:eastAsia="Times New Roman" w:cs="Arial"/>
          <w:b/>
        </w:rPr>
        <w:sectPr w:rsidR="00C205B9" w:rsidSect="00C205B9">
          <w:pgSz w:w="12240" w:h="15840" w:code="1"/>
          <w:pgMar w:top="1440" w:right="1440" w:bottom="1440" w:left="1440" w:header="720" w:footer="720" w:gutter="0"/>
          <w:pgNumType w:start="1"/>
          <w:cols w:space="720"/>
          <w:titlePg/>
          <w:docGrid w:linePitch="360"/>
        </w:sectPr>
      </w:pPr>
      <w:r w:rsidRPr="00A948B7">
        <w:rPr>
          <w:rFonts w:eastAsia="Times New Roman" w:cs="Arial"/>
          <w:b/>
        </w:rPr>
        <w:tab/>
        <w:t xml:space="preserve">Attorneys for </w:t>
      </w:r>
      <w:r>
        <w:rPr>
          <w:rFonts w:eastAsia="Times New Roman" w:cs="Arial"/>
          <w:b/>
        </w:rPr>
        <w:t>Movants</w:t>
      </w:r>
    </w:p>
    <w:p w:rsidR="00C205B9" w:rsidRPr="00C205B9" w:rsidRDefault="00C205B9" w:rsidP="00C205B9">
      <w:pPr>
        <w:tabs>
          <w:tab w:val="left" w:pos="2160"/>
          <w:tab w:val="left" w:pos="2280"/>
        </w:tabs>
        <w:spacing w:after="0" w:line="240" w:lineRule="auto"/>
        <w:jc w:val="center"/>
        <w:rPr>
          <w:rFonts w:ascii="Arial Bold" w:eastAsia="Times New Roman" w:hAnsi="Arial Bold" w:cs="Arial"/>
          <w:b/>
          <w:smallCaps/>
          <w:sz w:val="28"/>
          <w:u w:val="single"/>
        </w:rPr>
      </w:pPr>
      <w:r w:rsidRPr="00C205B9">
        <w:rPr>
          <w:rFonts w:ascii="Arial Bold" w:eastAsia="Times New Roman" w:hAnsi="Arial Bold" w:cs="Arial"/>
          <w:b/>
          <w:smallCaps/>
          <w:sz w:val="28"/>
          <w:u w:val="single"/>
        </w:rPr>
        <w:lastRenderedPageBreak/>
        <w:t>Certificate of Service</w:t>
      </w:r>
    </w:p>
    <w:p w:rsidR="00C205B9" w:rsidRPr="00C205B9" w:rsidRDefault="00C205B9" w:rsidP="00C205B9">
      <w:pPr>
        <w:spacing w:after="0" w:line="240" w:lineRule="auto"/>
        <w:jc w:val="left"/>
        <w:rPr>
          <w:rFonts w:eastAsia="Times New Roman" w:cs="Arial"/>
        </w:rPr>
      </w:pPr>
    </w:p>
    <w:p w:rsidR="00C205B9" w:rsidRPr="00C205B9" w:rsidRDefault="00C205B9" w:rsidP="00260B0E">
      <w:pPr>
        <w:spacing w:after="0" w:line="240" w:lineRule="auto"/>
        <w:ind w:firstLine="720"/>
        <w:rPr>
          <w:rFonts w:eastAsia="Times New Roman" w:cs="Arial"/>
          <w:b/>
          <w:smallCaps/>
        </w:rPr>
      </w:pPr>
      <w:r w:rsidRPr="00C205B9">
        <w:rPr>
          <w:rFonts w:eastAsia="Times New Roman" w:cs="Arial"/>
        </w:rPr>
        <w:t xml:space="preserve">In accordance with Rule 4901-1-05, Ohio Administrative Code, the Public Utilities Commission of Ohio's e-filing system will electronically serve notice of the filing of this document upon the following parties.  In addition, I hereby certify that a service copy of the foregoing </w:t>
      </w:r>
      <w:r w:rsidR="00A01640" w:rsidRPr="00260B0E">
        <w:rPr>
          <w:rFonts w:eastAsia="Times New Roman" w:cs="Arial"/>
          <w:i/>
        </w:rPr>
        <w:t xml:space="preserve">Reply of The Timken Company, Marathon Petroleum Company, Wausau Paper Towel and Tissue LLC, ASHTA Chemicals Inc., Columbus Castings, The Lincoln Electric Company, Delphi Corporation, Landmark Plastic </w:t>
      </w:r>
      <w:r w:rsidR="00330C22">
        <w:rPr>
          <w:rFonts w:eastAsia="Times New Roman" w:cs="Arial"/>
          <w:i/>
        </w:rPr>
        <w:t>Corporation</w:t>
      </w:r>
      <w:r w:rsidR="00A01640" w:rsidRPr="00260B0E">
        <w:rPr>
          <w:rFonts w:eastAsia="Times New Roman" w:cs="Arial"/>
          <w:i/>
        </w:rPr>
        <w:t>, Navco Enterprises.Com, Inc., Navco Enterprises of P.V., Inc., Navco Enterprises, Inc., Foodlife International, Inc., Navco Enterprises of O.V., Inc., and Navco of York Road to the Memoranda Contra of Complainants and Respondent to Motions to Intervene and for Interim and Preliminary Orders</w:t>
      </w:r>
      <w:r w:rsidR="00A01640">
        <w:rPr>
          <w:rFonts w:eastAsia="Times New Roman" w:cs="Arial"/>
          <w:b/>
          <w:i/>
        </w:rPr>
        <w:t xml:space="preserve"> </w:t>
      </w:r>
      <w:r w:rsidRPr="00C205B9">
        <w:rPr>
          <w:rFonts w:eastAsia="Times New Roman" w:cs="Arial"/>
        </w:rPr>
        <w:t xml:space="preserve">was sent by, or on behalf of, the undersigned counsel for Movants to the following parties of record this </w:t>
      </w:r>
      <w:r w:rsidR="008140C0">
        <w:rPr>
          <w:rFonts w:eastAsia="Times New Roman" w:cs="Arial"/>
        </w:rPr>
        <w:t>11</w:t>
      </w:r>
      <w:r w:rsidR="008140C0" w:rsidRPr="00260B0E">
        <w:rPr>
          <w:rFonts w:eastAsia="Times New Roman" w:cs="Arial"/>
          <w:vertAlign w:val="superscript"/>
        </w:rPr>
        <w:t>th</w:t>
      </w:r>
      <w:r w:rsidRPr="00C205B9">
        <w:rPr>
          <w:rFonts w:eastAsia="Times New Roman" w:cs="Arial"/>
        </w:rPr>
        <w:t xml:space="preserve"> day of </w:t>
      </w:r>
      <w:r w:rsidR="008140C0">
        <w:rPr>
          <w:rFonts w:eastAsia="Times New Roman" w:cs="Arial"/>
        </w:rPr>
        <w:t xml:space="preserve">August </w:t>
      </w:r>
      <w:r w:rsidRPr="00C205B9">
        <w:rPr>
          <w:rFonts w:eastAsia="Times New Roman" w:cs="Arial"/>
        </w:rPr>
        <w:t xml:space="preserve">2014, </w:t>
      </w:r>
      <w:r w:rsidRPr="00C205B9">
        <w:rPr>
          <w:rFonts w:eastAsia="Times New Roman" w:cs="Arial"/>
          <w:i/>
        </w:rPr>
        <w:t>via</w:t>
      </w:r>
      <w:r w:rsidRPr="00C205B9">
        <w:rPr>
          <w:rFonts w:eastAsia="Times New Roman" w:cs="Arial"/>
        </w:rPr>
        <w:t xml:space="preserve"> electronic transmission. </w:t>
      </w:r>
    </w:p>
    <w:p w:rsidR="00C205B9" w:rsidRPr="00C205B9" w:rsidRDefault="00C205B9" w:rsidP="00C205B9">
      <w:pPr>
        <w:spacing w:after="0" w:line="240" w:lineRule="auto"/>
        <w:jc w:val="left"/>
        <w:rPr>
          <w:rFonts w:ascii="Times New Roman" w:eastAsia="Times New Roman" w:hAnsi="Times New Roman" w:cs="Times New Roman"/>
        </w:rPr>
      </w:pPr>
    </w:p>
    <w:p w:rsidR="00C205B9" w:rsidRPr="00C205B9" w:rsidRDefault="00C205B9" w:rsidP="00C205B9">
      <w:pPr>
        <w:tabs>
          <w:tab w:val="right" w:pos="8640"/>
        </w:tabs>
        <w:spacing w:after="0" w:line="240" w:lineRule="auto"/>
        <w:ind w:left="5040"/>
        <w:jc w:val="left"/>
        <w:rPr>
          <w:rFonts w:eastAsia="Times New Roman" w:cs="Arial"/>
          <w:u w:val="single"/>
        </w:rPr>
      </w:pPr>
      <w:r w:rsidRPr="00C205B9">
        <w:rPr>
          <w:rFonts w:eastAsia="Times New Roman" w:cs="Arial"/>
          <w:u w:val="single"/>
        </w:rPr>
        <w:t xml:space="preserve">/s/ </w:t>
      </w:r>
      <w:r w:rsidR="008140C0">
        <w:rPr>
          <w:rFonts w:eastAsia="Times New Roman" w:cs="Arial"/>
          <w:u w:val="single"/>
        </w:rPr>
        <w:t>Frank P. Darr</w:t>
      </w:r>
      <w:r w:rsidRPr="00C205B9">
        <w:rPr>
          <w:rFonts w:eastAsia="Times New Roman" w:cs="Arial"/>
          <w:u w:val="single"/>
        </w:rPr>
        <w:tab/>
      </w:r>
    </w:p>
    <w:p w:rsidR="00C205B9" w:rsidRPr="00C205B9" w:rsidRDefault="008140C0" w:rsidP="00260B0E">
      <w:pPr>
        <w:tabs>
          <w:tab w:val="right" w:pos="8640"/>
        </w:tabs>
        <w:spacing w:after="0" w:line="240" w:lineRule="auto"/>
        <w:ind w:left="5760"/>
        <w:jc w:val="left"/>
        <w:rPr>
          <w:rFonts w:eastAsia="Times New Roman" w:cs="Arial"/>
        </w:rPr>
      </w:pPr>
      <w:r w:rsidRPr="00260B0E">
        <w:rPr>
          <w:rFonts w:eastAsia="Times New Roman" w:cs="Arial"/>
        </w:rPr>
        <w:t>Frank P. Darr</w:t>
      </w:r>
    </w:p>
    <w:p w:rsidR="00C205B9" w:rsidRPr="00C205B9" w:rsidRDefault="00C205B9" w:rsidP="00C205B9">
      <w:pPr>
        <w:tabs>
          <w:tab w:val="left" w:pos="2160"/>
          <w:tab w:val="left" w:pos="2280"/>
        </w:tabs>
        <w:spacing w:after="0" w:line="240" w:lineRule="auto"/>
        <w:jc w:val="left"/>
        <w:rPr>
          <w:rFonts w:eastAsia="Times New Roman" w:cs="Arial"/>
        </w:rPr>
      </w:pPr>
    </w:p>
    <w:p w:rsidR="00C205B9" w:rsidRPr="00C205B9" w:rsidRDefault="00C205B9" w:rsidP="00C205B9">
      <w:pPr>
        <w:autoSpaceDE w:val="0"/>
        <w:autoSpaceDN w:val="0"/>
        <w:adjustRightInd w:val="0"/>
        <w:spacing w:after="0" w:line="240" w:lineRule="auto"/>
        <w:jc w:val="left"/>
        <w:rPr>
          <w:rFonts w:cs="Arial"/>
        </w:rPr>
        <w:sectPr w:rsidR="00C205B9" w:rsidRPr="00C205B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C205B9" w:rsidRPr="00C205B9" w:rsidRDefault="00C205B9" w:rsidP="00C205B9">
      <w:pPr>
        <w:spacing w:after="0" w:line="240" w:lineRule="auto"/>
        <w:rPr>
          <w:rFonts w:eastAsia="Calibri" w:cs="Arial"/>
        </w:rPr>
      </w:pPr>
      <w:r w:rsidRPr="00C205B9">
        <w:rPr>
          <w:rFonts w:eastAsia="Calibri" w:cs="Arial"/>
        </w:rPr>
        <w:lastRenderedPageBreak/>
        <w:t>Dane Stinson (0019101)</w:t>
      </w:r>
    </w:p>
    <w:p w:rsidR="00C205B9" w:rsidRPr="00C205B9" w:rsidRDefault="00C205B9" w:rsidP="00C205B9">
      <w:pPr>
        <w:spacing w:after="0" w:line="240" w:lineRule="auto"/>
        <w:rPr>
          <w:rFonts w:eastAsia="Calibri" w:cs="Arial"/>
        </w:rPr>
      </w:pPr>
      <w:r w:rsidRPr="00C205B9">
        <w:rPr>
          <w:rFonts w:eastAsia="Calibri" w:cs="Arial"/>
        </w:rPr>
        <w:t>Bricker and Eckler LLP</w:t>
      </w:r>
    </w:p>
    <w:p w:rsidR="00C205B9" w:rsidRPr="00C205B9" w:rsidRDefault="00C205B9" w:rsidP="00C205B9">
      <w:pPr>
        <w:spacing w:after="0" w:line="240" w:lineRule="auto"/>
        <w:rPr>
          <w:rFonts w:eastAsia="Calibri" w:cs="Arial"/>
        </w:rPr>
      </w:pPr>
      <w:r w:rsidRPr="00C205B9">
        <w:rPr>
          <w:rFonts w:eastAsia="Calibri" w:cs="Arial"/>
        </w:rPr>
        <w:t>100 South Third Street</w:t>
      </w:r>
    </w:p>
    <w:p w:rsidR="00C205B9" w:rsidRPr="00C205B9" w:rsidRDefault="00C205B9" w:rsidP="00C205B9">
      <w:pPr>
        <w:spacing w:after="0" w:line="240" w:lineRule="auto"/>
        <w:rPr>
          <w:rFonts w:eastAsia="Calibri" w:cs="Arial"/>
        </w:rPr>
      </w:pPr>
      <w:r w:rsidRPr="00C205B9">
        <w:rPr>
          <w:rFonts w:eastAsia="Calibri" w:cs="Arial"/>
        </w:rPr>
        <w:t>Columbus, Ohio 43215</w:t>
      </w:r>
    </w:p>
    <w:p w:rsidR="00C205B9" w:rsidRPr="00C205B9" w:rsidRDefault="00C205B9" w:rsidP="00C205B9">
      <w:pPr>
        <w:spacing w:after="0" w:line="240" w:lineRule="auto"/>
        <w:rPr>
          <w:rFonts w:eastAsia="Calibri" w:cs="Arial"/>
        </w:rPr>
      </w:pPr>
      <w:r w:rsidRPr="00C205B9">
        <w:rPr>
          <w:rFonts w:eastAsia="Calibri" w:cs="Arial"/>
        </w:rPr>
        <w:t>Dstinson @bricker.com</w:t>
      </w:r>
    </w:p>
    <w:p w:rsidR="00C205B9" w:rsidRPr="00C205B9" w:rsidRDefault="00C205B9" w:rsidP="00C205B9">
      <w:pPr>
        <w:spacing w:after="0" w:line="240" w:lineRule="auto"/>
        <w:rPr>
          <w:rFonts w:eastAsia="Calibri" w:cs="Arial"/>
        </w:rPr>
      </w:pPr>
    </w:p>
    <w:p w:rsidR="00C205B9" w:rsidRPr="00C205B9" w:rsidRDefault="00C205B9" w:rsidP="00C205B9">
      <w:pPr>
        <w:spacing w:after="0" w:line="240" w:lineRule="auto"/>
        <w:rPr>
          <w:rFonts w:eastAsia="Calibri" w:cs="Arial"/>
        </w:rPr>
      </w:pPr>
      <w:r w:rsidRPr="00C205B9">
        <w:rPr>
          <w:rFonts w:eastAsia="Calibri" w:cs="Arial"/>
        </w:rPr>
        <w:t>Glenn S. Krassen (0007610)</w:t>
      </w:r>
    </w:p>
    <w:p w:rsidR="00C205B9" w:rsidRPr="00C205B9" w:rsidRDefault="00C205B9" w:rsidP="00C205B9">
      <w:pPr>
        <w:spacing w:after="0" w:line="240" w:lineRule="auto"/>
        <w:rPr>
          <w:rFonts w:eastAsia="Calibri" w:cs="Arial"/>
        </w:rPr>
      </w:pPr>
      <w:r w:rsidRPr="00C205B9">
        <w:rPr>
          <w:rFonts w:eastAsia="Calibri" w:cs="Arial"/>
        </w:rPr>
        <w:t>Bricker and Eckler LLP</w:t>
      </w:r>
    </w:p>
    <w:p w:rsidR="00C205B9" w:rsidRPr="00C205B9" w:rsidRDefault="00C205B9" w:rsidP="00C205B9">
      <w:pPr>
        <w:spacing w:after="0" w:line="240" w:lineRule="auto"/>
        <w:rPr>
          <w:rFonts w:eastAsia="Calibri" w:cs="Arial"/>
        </w:rPr>
      </w:pPr>
      <w:r w:rsidRPr="00C205B9">
        <w:rPr>
          <w:rFonts w:eastAsia="Calibri" w:cs="Arial"/>
        </w:rPr>
        <w:t>1001 Lakeside Avenue, Suite 1350</w:t>
      </w:r>
    </w:p>
    <w:p w:rsidR="00C205B9" w:rsidRPr="00C205B9" w:rsidRDefault="00C205B9" w:rsidP="00C205B9">
      <w:pPr>
        <w:spacing w:after="0" w:line="240" w:lineRule="auto"/>
        <w:rPr>
          <w:rFonts w:eastAsia="Calibri" w:cs="Arial"/>
        </w:rPr>
      </w:pPr>
      <w:r w:rsidRPr="00C205B9">
        <w:rPr>
          <w:rFonts w:eastAsia="Calibri" w:cs="Arial"/>
        </w:rPr>
        <w:t>Cleveland, Ohio 44114</w:t>
      </w:r>
    </w:p>
    <w:p w:rsidR="00C205B9" w:rsidRPr="00C205B9" w:rsidRDefault="00C205B9" w:rsidP="00C205B9">
      <w:pPr>
        <w:spacing w:after="0" w:line="240" w:lineRule="auto"/>
        <w:rPr>
          <w:rFonts w:eastAsia="Calibri" w:cs="Arial"/>
        </w:rPr>
      </w:pPr>
      <w:hyperlink r:id="rId27" w:history="1">
        <w:r w:rsidRPr="00C205B9">
          <w:rPr>
            <w:rFonts w:eastAsia="Calibri" w:cs="Arial"/>
          </w:rPr>
          <w:t>gkrassen@bricker.com</w:t>
        </w:r>
      </w:hyperlink>
    </w:p>
    <w:p w:rsidR="00C205B9" w:rsidRPr="00C205B9" w:rsidRDefault="00C205B9" w:rsidP="00C205B9">
      <w:pPr>
        <w:spacing w:after="0" w:line="240" w:lineRule="auto"/>
        <w:rPr>
          <w:rFonts w:eastAsia="Calibri" w:cs="Arial"/>
        </w:rPr>
      </w:pPr>
    </w:p>
    <w:p w:rsidR="00C205B9" w:rsidRPr="00C205B9" w:rsidRDefault="00C205B9" w:rsidP="00C205B9">
      <w:pPr>
        <w:spacing w:after="0" w:line="240" w:lineRule="auto"/>
        <w:jc w:val="left"/>
        <w:rPr>
          <w:rFonts w:ascii="Arial Bold" w:eastAsia="Calibri" w:hAnsi="Arial Bold" w:cs="Arial"/>
          <w:b/>
          <w:smallCaps/>
        </w:rPr>
      </w:pPr>
      <w:r w:rsidRPr="00C205B9">
        <w:rPr>
          <w:rFonts w:ascii="Arial Bold" w:eastAsia="Calibri" w:hAnsi="Arial Bold" w:cs="Arial"/>
          <w:b/>
          <w:smallCaps/>
        </w:rPr>
        <w:t>Counsel for Complainants, Power4Schools</w:t>
      </w:r>
    </w:p>
    <w:p w:rsidR="00C205B9" w:rsidRPr="00C205B9" w:rsidRDefault="00C205B9" w:rsidP="00C205B9">
      <w:pPr>
        <w:spacing w:after="0" w:line="240" w:lineRule="auto"/>
        <w:rPr>
          <w:rFonts w:eastAsia="Calibri" w:cs="Arial"/>
        </w:rPr>
      </w:pPr>
    </w:p>
    <w:p w:rsidR="00C205B9" w:rsidRPr="00C205B9" w:rsidRDefault="008140C0" w:rsidP="00C205B9">
      <w:pPr>
        <w:spacing w:after="0" w:line="240" w:lineRule="auto"/>
        <w:rPr>
          <w:rFonts w:eastAsia="Calibri" w:cs="Arial"/>
        </w:rPr>
      </w:pPr>
      <w:r>
        <w:rPr>
          <w:rFonts w:eastAsia="Calibri" w:cs="Arial"/>
        </w:rPr>
        <w:br w:type="column"/>
      </w:r>
      <w:r w:rsidR="00C205B9" w:rsidRPr="00C205B9">
        <w:rPr>
          <w:rFonts w:eastAsia="Calibri" w:cs="Arial"/>
        </w:rPr>
        <w:lastRenderedPageBreak/>
        <w:t>Mark A. Whitt (0067996)</w:t>
      </w:r>
    </w:p>
    <w:p w:rsidR="00C205B9" w:rsidRPr="00C205B9" w:rsidRDefault="00C205B9" w:rsidP="00C205B9">
      <w:pPr>
        <w:spacing w:after="0" w:line="240" w:lineRule="auto"/>
        <w:rPr>
          <w:rFonts w:eastAsia="Calibri" w:cs="Arial"/>
        </w:rPr>
      </w:pPr>
      <w:r w:rsidRPr="00C205B9">
        <w:rPr>
          <w:rFonts w:eastAsia="Calibri" w:cs="Arial"/>
        </w:rPr>
        <w:t>Andrew J. Campbell (0081485)</w:t>
      </w:r>
    </w:p>
    <w:p w:rsidR="00C205B9" w:rsidRPr="00C205B9" w:rsidRDefault="00C205B9" w:rsidP="00C205B9">
      <w:pPr>
        <w:spacing w:after="0" w:line="240" w:lineRule="auto"/>
        <w:rPr>
          <w:rFonts w:eastAsia="Calibri" w:cs="Arial"/>
        </w:rPr>
      </w:pPr>
      <w:r w:rsidRPr="00C205B9">
        <w:rPr>
          <w:rFonts w:eastAsia="Calibri" w:cs="Arial"/>
        </w:rPr>
        <w:t>Gregory L. Williams (0088758)</w:t>
      </w:r>
    </w:p>
    <w:p w:rsidR="00C205B9" w:rsidRPr="00C205B9" w:rsidRDefault="00C205B9" w:rsidP="00C205B9">
      <w:pPr>
        <w:spacing w:after="0" w:line="240" w:lineRule="auto"/>
        <w:rPr>
          <w:rFonts w:eastAsia="Calibri" w:cs="Arial"/>
        </w:rPr>
      </w:pPr>
      <w:r w:rsidRPr="00C205B9">
        <w:rPr>
          <w:rFonts w:eastAsia="Calibri" w:cs="Arial"/>
        </w:rPr>
        <w:t>Whitt Sturtevant LLP</w:t>
      </w:r>
    </w:p>
    <w:p w:rsidR="00C205B9" w:rsidRPr="00C205B9" w:rsidRDefault="00C205B9" w:rsidP="00C205B9">
      <w:pPr>
        <w:spacing w:after="0" w:line="240" w:lineRule="auto"/>
        <w:rPr>
          <w:rFonts w:eastAsia="Calibri" w:cs="Arial"/>
        </w:rPr>
      </w:pPr>
      <w:r w:rsidRPr="00C205B9">
        <w:rPr>
          <w:rFonts w:eastAsia="Calibri" w:cs="Arial"/>
        </w:rPr>
        <w:t>The KeyBank Building, Suite 1590</w:t>
      </w:r>
    </w:p>
    <w:p w:rsidR="00C205B9" w:rsidRPr="00C205B9" w:rsidRDefault="00C205B9" w:rsidP="00C205B9">
      <w:pPr>
        <w:spacing w:after="0" w:line="240" w:lineRule="auto"/>
        <w:rPr>
          <w:rFonts w:eastAsia="Calibri" w:cs="Arial"/>
        </w:rPr>
      </w:pPr>
      <w:r w:rsidRPr="00C205B9">
        <w:rPr>
          <w:rFonts w:eastAsia="Calibri" w:cs="Arial"/>
        </w:rPr>
        <w:t>88 East Broad Street</w:t>
      </w:r>
    </w:p>
    <w:p w:rsidR="00C205B9" w:rsidRPr="00C205B9" w:rsidRDefault="00C205B9" w:rsidP="00C205B9">
      <w:pPr>
        <w:spacing w:after="0" w:line="240" w:lineRule="auto"/>
        <w:rPr>
          <w:rFonts w:eastAsia="Calibri" w:cs="Arial"/>
        </w:rPr>
      </w:pPr>
      <w:r w:rsidRPr="00C205B9">
        <w:rPr>
          <w:rFonts w:eastAsia="Calibri" w:cs="Arial"/>
        </w:rPr>
        <w:t>Columbus, Ohio  43215</w:t>
      </w:r>
    </w:p>
    <w:p w:rsidR="00C205B9" w:rsidRPr="00C205B9" w:rsidRDefault="00C205B9" w:rsidP="00C205B9">
      <w:pPr>
        <w:spacing w:after="0" w:line="240" w:lineRule="auto"/>
        <w:rPr>
          <w:rFonts w:eastAsia="Calibri" w:cs="Arial"/>
        </w:rPr>
      </w:pPr>
      <w:r w:rsidRPr="00C205B9">
        <w:rPr>
          <w:rFonts w:eastAsia="Calibri" w:cs="Arial"/>
        </w:rPr>
        <w:t>whitt@whitt-sturtevant.com</w:t>
      </w:r>
    </w:p>
    <w:p w:rsidR="00C205B9" w:rsidRPr="00C205B9" w:rsidRDefault="00C205B9" w:rsidP="00C205B9">
      <w:pPr>
        <w:spacing w:after="0" w:line="240" w:lineRule="auto"/>
        <w:rPr>
          <w:rFonts w:eastAsia="Calibri" w:cs="Arial"/>
        </w:rPr>
      </w:pPr>
      <w:r w:rsidRPr="00C205B9">
        <w:rPr>
          <w:rFonts w:eastAsia="Calibri" w:cs="Arial"/>
        </w:rPr>
        <w:t>campbell@whitt-sturtevant.com</w:t>
      </w:r>
    </w:p>
    <w:p w:rsidR="00C205B9" w:rsidRPr="00C205B9" w:rsidRDefault="00C205B9" w:rsidP="00C205B9">
      <w:pPr>
        <w:spacing w:after="0" w:line="240" w:lineRule="auto"/>
        <w:rPr>
          <w:rFonts w:eastAsia="Calibri" w:cs="Arial"/>
        </w:rPr>
      </w:pPr>
      <w:r w:rsidRPr="00C205B9">
        <w:rPr>
          <w:rFonts w:eastAsia="Calibri" w:cs="Arial"/>
        </w:rPr>
        <w:t>williams@whitt-sturtevant.com</w:t>
      </w:r>
    </w:p>
    <w:p w:rsidR="00C205B9" w:rsidRPr="00C205B9" w:rsidRDefault="00C205B9" w:rsidP="00C205B9">
      <w:pPr>
        <w:spacing w:after="0" w:line="240" w:lineRule="auto"/>
        <w:jc w:val="left"/>
        <w:rPr>
          <w:rFonts w:eastAsia="Calibri" w:cs="Arial"/>
          <w:b/>
          <w:smallCaps/>
        </w:rPr>
      </w:pPr>
    </w:p>
    <w:p w:rsidR="00C205B9" w:rsidRDefault="00C205B9" w:rsidP="00260B0E">
      <w:pPr>
        <w:spacing w:after="0" w:line="240" w:lineRule="auto"/>
        <w:jc w:val="left"/>
        <w:rPr>
          <w:rFonts w:eastAsia="Calibri" w:cs="Arial"/>
          <w:b/>
          <w:smallCaps/>
        </w:rPr>
      </w:pPr>
      <w:r w:rsidRPr="00C205B9">
        <w:rPr>
          <w:rFonts w:eastAsia="Calibri" w:cs="Arial"/>
          <w:b/>
          <w:smallCaps/>
        </w:rPr>
        <w:t>Counsel for FirstEnergy Solutions Corp.</w:t>
      </w:r>
    </w:p>
    <w:p w:rsidR="008140C0" w:rsidRPr="00C205B9" w:rsidRDefault="008140C0" w:rsidP="00260B0E">
      <w:pPr>
        <w:spacing w:after="0" w:line="240" w:lineRule="auto"/>
        <w:jc w:val="left"/>
        <w:rPr>
          <w:rFonts w:eastAsia="Times New Roman" w:cs="Arial"/>
          <w:b/>
          <w:smallCaps/>
        </w:rPr>
      </w:pPr>
    </w:p>
    <w:p w:rsidR="00C205B9" w:rsidRPr="00C205B9" w:rsidRDefault="00C205B9" w:rsidP="00C205B9">
      <w:pPr>
        <w:spacing w:after="0" w:line="240" w:lineRule="auto"/>
        <w:jc w:val="left"/>
        <w:rPr>
          <w:rFonts w:eastAsia="Times New Roman" w:cs="Arial"/>
        </w:rPr>
      </w:pPr>
      <w:r w:rsidRPr="00C205B9">
        <w:rPr>
          <w:rFonts w:eastAsia="Times New Roman" w:cs="Arial"/>
        </w:rPr>
        <w:t>Kimberly W. Bojko</w:t>
      </w:r>
    </w:p>
    <w:p w:rsidR="00C205B9" w:rsidRPr="00C205B9" w:rsidRDefault="00C205B9" w:rsidP="00C205B9">
      <w:pPr>
        <w:spacing w:after="0" w:line="240" w:lineRule="auto"/>
        <w:jc w:val="left"/>
        <w:rPr>
          <w:rFonts w:eastAsia="Times New Roman" w:cs="Arial"/>
        </w:rPr>
      </w:pPr>
      <w:r w:rsidRPr="00C205B9">
        <w:rPr>
          <w:rFonts w:eastAsia="Times New Roman" w:cs="Arial"/>
        </w:rPr>
        <w:t>Rebecca L. Hussey</w:t>
      </w:r>
    </w:p>
    <w:p w:rsidR="00C205B9" w:rsidRPr="00C205B9" w:rsidRDefault="00C205B9" w:rsidP="00C205B9">
      <w:pPr>
        <w:spacing w:after="0" w:line="240" w:lineRule="auto"/>
        <w:jc w:val="left"/>
        <w:rPr>
          <w:rFonts w:eastAsia="Times New Roman" w:cs="Arial"/>
        </w:rPr>
      </w:pPr>
      <w:r w:rsidRPr="00C205B9">
        <w:rPr>
          <w:rFonts w:eastAsia="Times New Roman" w:cs="Arial"/>
        </w:rPr>
        <w:t>Mallory M. Mohler</w:t>
      </w:r>
    </w:p>
    <w:p w:rsidR="00C205B9" w:rsidRPr="00C205B9" w:rsidRDefault="00C205B9" w:rsidP="00C205B9">
      <w:pPr>
        <w:spacing w:after="0" w:line="240" w:lineRule="auto"/>
        <w:jc w:val="left"/>
        <w:rPr>
          <w:rFonts w:eastAsia="Times New Roman" w:cs="Arial"/>
        </w:rPr>
      </w:pPr>
      <w:r w:rsidRPr="00C205B9">
        <w:rPr>
          <w:rFonts w:eastAsia="Times New Roman" w:cs="Arial"/>
        </w:rPr>
        <w:t>Carpenter Lipps &amp; Leland LLP</w:t>
      </w:r>
    </w:p>
    <w:p w:rsidR="00C205B9" w:rsidRPr="00C205B9" w:rsidRDefault="00C205B9" w:rsidP="00C205B9">
      <w:pPr>
        <w:spacing w:after="0" w:line="240" w:lineRule="auto"/>
        <w:jc w:val="left"/>
        <w:rPr>
          <w:rFonts w:eastAsia="Times New Roman" w:cs="Arial"/>
        </w:rPr>
      </w:pPr>
      <w:r w:rsidRPr="00C205B9">
        <w:rPr>
          <w:rFonts w:eastAsia="Times New Roman" w:cs="Arial"/>
        </w:rPr>
        <w:t>280 Plaza, Suite 1300</w:t>
      </w:r>
    </w:p>
    <w:p w:rsidR="00C205B9" w:rsidRPr="00C205B9" w:rsidRDefault="00C205B9" w:rsidP="00C205B9">
      <w:pPr>
        <w:spacing w:after="0" w:line="240" w:lineRule="auto"/>
        <w:jc w:val="left"/>
        <w:rPr>
          <w:rFonts w:eastAsia="Times New Roman" w:cs="Arial"/>
        </w:rPr>
      </w:pPr>
      <w:r w:rsidRPr="00C205B9">
        <w:rPr>
          <w:rFonts w:eastAsia="Times New Roman" w:cs="Arial"/>
        </w:rPr>
        <w:t>280 North High Street</w:t>
      </w:r>
    </w:p>
    <w:p w:rsidR="00C205B9" w:rsidRPr="00C205B9" w:rsidRDefault="00C205B9" w:rsidP="00C205B9">
      <w:pPr>
        <w:spacing w:after="0" w:line="240" w:lineRule="auto"/>
        <w:jc w:val="left"/>
        <w:rPr>
          <w:rFonts w:eastAsia="Times New Roman" w:cs="Arial"/>
        </w:rPr>
      </w:pPr>
      <w:r w:rsidRPr="00C205B9">
        <w:rPr>
          <w:rFonts w:eastAsia="Times New Roman" w:cs="Arial"/>
        </w:rPr>
        <w:t>Columbus, Ohio  43215</w:t>
      </w:r>
    </w:p>
    <w:p w:rsidR="00C205B9" w:rsidRPr="00C205B9" w:rsidRDefault="00C205B9" w:rsidP="00C205B9">
      <w:pPr>
        <w:spacing w:after="0" w:line="240" w:lineRule="auto"/>
        <w:jc w:val="left"/>
        <w:rPr>
          <w:rFonts w:eastAsia="Times New Roman" w:cs="Arial"/>
        </w:rPr>
      </w:pPr>
      <w:r w:rsidRPr="00C205B9">
        <w:rPr>
          <w:rFonts w:eastAsia="Times New Roman" w:cs="Arial"/>
        </w:rPr>
        <w:t>Bojko@carpenterlipps.com</w:t>
      </w:r>
    </w:p>
    <w:p w:rsidR="00C205B9" w:rsidRPr="00C205B9" w:rsidRDefault="00C205B9" w:rsidP="00C205B9">
      <w:pPr>
        <w:spacing w:after="0" w:line="240" w:lineRule="auto"/>
        <w:jc w:val="left"/>
        <w:rPr>
          <w:rFonts w:eastAsia="Times New Roman" w:cs="Arial"/>
        </w:rPr>
      </w:pPr>
      <w:r w:rsidRPr="00C205B9">
        <w:rPr>
          <w:rFonts w:eastAsia="Times New Roman" w:cs="Arial"/>
        </w:rPr>
        <w:t>hussey@carpenterlipps.com</w:t>
      </w:r>
    </w:p>
    <w:p w:rsidR="00C205B9" w:rsidRDefault="00C205B9" w:rsidP="00C205B9">
      <w:pPr>
        <w:spacing w:after="0" w:line="240" w:lineRule="auto"/>
        <w:jc w:val="left"/>
        <w:rPr>
          <w:rFonts w:eastAsia="Times New Roman" w:cs="Arial"/>
        </w:rPr>
      </w:pPr>
      <w:r w:rsidRPr="00C205B9">
        <w:rPr>
          <w:rFonts w:eastAsia="Times New Roman" w:cs="Arial"/>
        </w:rPr>
        <w:t>Mohler@carpenterlipps.com</w:t>
      </w:r>
    </w:p>
    <w:p w:rsidR="008140C0" w:rsidRPr="00C205B9" w:rsidRDefault="008140C0" w:rsidP="00C205B9">
      <w:pPr>
        <w:spacing w:after="0" w:line="240" w:lineRule="auto"/>
        <w:jc w:val="left"/>
        <w:rPr>
          <w:rFonts w:eastAsia="Times New Roman" w:cs="Arial"/>
        </w:rPr>
      </w:pPr>
    </w:p>
    <w:p w:rsidR="00A948B7" w:rsidRPr="00260B0E" w:rsidRDefault="00C205B9" w:rsidP="00260B0E">
      <w:pPr>
        <w:spacing w:after="0" w:line="240" w:lineRule="auto"/>
        <w:jc w:val="left"/>
        <w:rPr>
          <w:rFonts w:ascii="Arial Bold" w:eastAsia="Calibri" w:hAnsi="Arial Bold" w:cs="Arial"/>
          <w:b/>
          <w:smallCaps/>
        </w:rPr>
      </w:pPr>
      <w:r w:rsidRPr="00C205B9">
        <w:rPr>
          <w:rFonts w:ascii="Arial Bold" w:eastAsia="Calibri" w:hAnsi="Arial Bold" w:cs="Arial"/>
          <w:b/>
          <w:smallCaps/>
        </w:rPr>
        <w:t>Counsel for Ohio Manufacturers' Association</w:t>
      </w:r>
    </w:p>
    <w:sectPr w:rsidR="00A948B7" w:rsidRPr="00260B0E">
      <w:headerReference w:type="default" r:id="rId28"/>
      <w:footerReference w:type="default" r:id="rId29"/>
      <w:headerReference w:type="first" r:id="rId30"/>
      <w:footerReference w:type="first" r:id="rId3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0" w:rsidRDefault="00273E90" w:rsidP="009A7FD5">
      <w:pPr>
        <w:spacing w:after="0" w:line="240" w:lineRule="auto"/>
      </w:pPr>
      <w:r>
        <w:separator/>
      </w:r>
    </w:p>
  </w:endnote>
  <w:endnote w:type="continuationSeparator" w:id="0">
    <w:p w:rsidR="00273E90" w:rsidRDefault="00273E90" w:rsidP="009A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3E90" w:rsidRDefault="00273E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8C3388" w:rsidRDefault="00260B0E" w:rsidP="004973C7">
    <w:pPr>
      <w:pStyle w:val="Footer"/>
      <w:rPr>
        <w:rFonts w:cs="Arial"/>
      </w:rPr>
    </w:pPr>
    <w:r w:rsidRPr="00260B0E">
      <w:rPr>
        <w:rFonts w:cs="Arial"/>
        <w:noProof/>
        <w:sz w:val="16"/>
      </w:rPr>
      <w:t>{C45297: }</w:t>
    </w:r>
  </w:p>
  <w:p w:rsidR="00273E90" w:rsidRPr="008C3388" w:rsidRDefault="00273E90">
    <w:pPr>
      <w:pStyle w:val="Footer"/>
      <w:rPr>
        <w:rFonts w:cs="Arial"/>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8C3388" w:rsidRDefault="00260B0E">
    <w:pPr>
      <w:pStyle w:val="Footer"/>
      <w:rPr>
        <w:rFonts w:cs="Arial"/>
      </w:rPr>
    </w:pPr>
    <w:r w:rsidRPr="00260B0E">
      <w:rPr>
        <w:rFonts w:cs="Arial"/>
        <w:noProof/>
        <w:sz w:val="16"/>
      </w:rPr>
      <w:t>{C45297: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1A56EA" w:rsidRDefault="00260B0E">
    <w:pPr>
      <w:pStyle w:val="Footer"/>
      <w:rPr>
        <w:rFonts w:cs="Arial"/>
      </w:rPr>
    </w:pPr>
    <w:r w:rsidRPr="00260B0E">
      <w:rPr>
        <w:rFonts w:cs="Arial"/>
        <w:noProof/>
        <w:sz w:val="16"/>
      </w:rPr>
      <w:t>{C45297: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8C3388" w:rsidRDefault="00260B0E">
    <w:pPr>
      <w:pStyle w:val="Footer"/>
      <w:rPr>
        <w:rFonts w:cs="Arial"/>
      </w:rPr>
    </w:pPr>
    <w:r w:rsidRPr="00260B0E">
      <w:rPr>
        <w:rFonts w:cs="Arial"/>
        <w:noProof/>
        <w:sz w:val="16"/>
      </w:rPr>
      <w:t>{C45297: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8140C0" w:rsidRDefault="00260B0E" w:rsidP="00236F49">
    <w:pPr>
      <w:pStyle w:val="Footer"/>
    </w:pPr>
    <w:r w:rsidRPr="00260B0E">
      <w:rPr>
        <w:noProof/>
        <w:sz w:val="16"/>
      </w:rPr>
      <w:t>{C45297: }</w:t>
    </w:r>
    <w:sdt>
      <w:sdtPr>
        <w:id w:val="-1947076515"/>
        <w:docPartObj>
          <w:docPartGallery w:val="Page Numbers (Bottom of Page)"/>
          <w:docPartUnique/>
        </w:docPartObj>
      </w:sdtPr>
      <w:sdtEndPr>
        <w:rPr>
          <w:noProof/>
        </w:rPr>
      </w:sdtEndPr>
      <w:sdtContent>
        <w:r w:rsidR="00273E90">
          <w:tab/>
        </w:r>
        <w:r w:rsidR="00273E90" w:rsidRPr="008140C0">
          <w:fldChar w:fldCharType="begin"/>
        </w:r>
        <w:r w:rsidR="00273E90" w:rsidRPr="008140C0">
          <w:instrText xml:space="preserve"> PAGE   \* MERGEFORMAT </w:instrText>
        </w:r>
        <w:r w:rsidR="00273E90" w:rsidRPr="008140C0">
          <w:fldChar w:fldCharType="separate"/>
        </w:r>
        <w:r>
          <w:rPr>
            <w:noProof/>
          </w:rPr>
          <w:t>16</w:t>
        </w:r>
        <w:r w:rsidR="00273E90" w:rsidRPr="008140C0">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E70BA4" w:rsidRDefault="00260B0E">
    <w:pPr>
      <w:pStyle w:val="Footer"/>
    </w:pPr>
    <w:r w:rsidRPr="00260B0E">
      <w:rPr>
        <w:noProof/>
        <w:sz w:val="16"/>
      </w:rPr>
      <w:t>{C45297: }</w:t>
    </w:r>
    <w:sdt>
      <w:sdtPr>
        <w:id w:val="142319815"/>
        <w:docPartObj>
          <w:docPartGallery w:val="Page Numbers (Bottom of Page)"/>
          <w:docPartUnique/>
        </w:docPartObj>
      </w:sdtPr>
      <w:sdtEndPr>
        <w:rPr>
          <w:noProof/>
        </w:rPr>
      </w:sdtEndPr>
      <w:sdtContent>
        <w:r w:rsidR="00662093">
          <w:tab/>
        </w:r>
        <w:r w:rsidR="00E70BA4" w:rsidRPr="00E70BA4">
          <w:fldChar w:fldCharType="begin"/>
        </w:r>
        <w:r w:rsidR="00E70BA4" w:rsidRPr="00E70BA4">
          <w:instrText xml:space="preserve"> PAGE   \* MERGEFORMAT </w:instrText>
        </w:r>
        <w:r w:rsidR="00E70BA4" w:rsidRPr="00E70BA4">
          <w:fldChar w:fldCharType="separate"/>
        </w:r>
        <w:r>
          <w:rPr>
            <w:noProof/>
          </w:rPr>
          <w:t>1</w:t>
        </w:r>
        <w:r w:rsidR="00E70BA4" w:rsidRPr="00E70BA4">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1A56EA" w:rsidRDefault="00260B0E">
    <w:pPr>
      <w:pStyle w:val="Footer"/>
      <w:jc w:val="center"/>
    </w:pPr>
    <w:r w:rsidRPr="00260B0E">
      <w:rPr>
        <w:noProof/>
        <w:sz w:val="16"/>
      </w:rPr>
      <w:t>{C45297: }</w:t>
    </w:r>
    <w:sdt>
      <w:sdtPr>
        <w:id w:val="-181204815"/>
        <w:docPartObj>
          <w:docPartGallery w:val="Page Numbers (Bottom of Page)"/>
          <w:docPartUnique/>
        </w:docPartObj>
      </w:sdtPr>
      <w:sdtEndPr>
        <w:rPr>
          <w:noProof/>
        </w:rPr>
      </w:sdtEndPr>
      <w:sdtContent>
        <w:r w:rsidR="00273E90" w:rsidRPr="001A56EA">
          <w:fldChar w:fldCharType="begin"/>
        </w:r>
        <w:r w:rsidR="00273E90" w:rsidRPr="001A56EA">
          <w:instrText xml:space="preserve"> PAGE   \* MERGEFORMAT </w:instrText>
        </w:r>
        <w:r w:rsidR="00273E90" w:rsidRPr="001A56EA">
          <w:fldChar w:fldCharType="separate"/>
        </w:r>
        <w:r w:rsidR="00273E90" w:rsidRPr="001A56EA">
          <w:rPr>
            <w:noProof/>
          </w:rPr>
          <w:t>2</w:t>
        </w:r>
        <w:r w:rsidR="00273E90" w:rsidRPr="001A56EA">
          <w:rPr>
            <w:noProof/>
          </w:rPr>
          <w:fldChar w:fldCharType="end"/>
        </w:r>
      </w:sdtContent>
    </w:sdt>
  </w:p>
  <w:p w:rsidR="00273E90" w:rsidRPr="001A56EA" w:rsidRDefault="00273E90">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Pr="008C3388" w:rsidRDefault="00260B0E">
    <w:pPr>
      <w:pStyle w:val="Footer"/>
      <w:rPr>
        <w:rFonts w:cs="Arial"/>
      </w:rPr>
    </w:pPr>
    <w:r w:rsidRPr="00260B0E">
      <w:rPr>
        <w:rFonts w:cs="Arial"/>
        <w:noProof/>
        <w:sz w:val="16"/>
      </w:rPr>
      <w:t>{C45297: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0" w:rsidRDefault="00273E90" w:rsidP="009A7FD5">
      <w:pPr>
        <w:spacing w:after="0" w:line="240" w:lineRule="auto"/>
        <w:rPr>
          <w:noProof/>
        </w:rPr>
      </w:pPr>
      <w:r>
        <w:rPr>
          <w:noProof/>
        </w:rPr>
        <w:separator/>
      </w:r>
    </w:p>
  </w:footnote>
  <w:footnote w:type="continuationSeparator" w:id="0">
    <w:p w:rsidR="00273E90" w:rsidRDefault="00273E90" w:rsidP="009A7FD5">
      <w:pPr>
        <w:spacing w:after="0" w:line="240" w:lineRule="auto"/>
      </w:pPr>
      <w:r>
        <w:continuationSeparator/>
      </w:r>
    </w:p>
  </w:footnote>
  <w:footnote w:id="1">
    <w:p w:rsidR="00273E90" w:rsidRDefault="00273E90">
      <w:pPr>
        <w:pStyle w:val="FootnoteText"/>
      </w:pPr>
      <w:r>
        <w:rPr>
          <w:rStyle w:val="FootnoteReference"/>
        </w:rPr>
        <w:footnoteRef/>
      </w:r>
      <w:r>
        <w:t xml:space="preserve"> Motion to Intervene and Memorandum in Support of the Timken Company, Marathon </w:t>
      </w:r>
      <w:r>
        <w:t>P</w:t>
      </w:r>
      <w:r>
        <w:t xml:space="preserve">etroleum Company, Wausau </w:t>
      </w:r>
      <w:r>
        <w:t>P</w:t>
      </w:r>
      <w:r>
        <w:t xml:space="preserve">aper </w:t>
      </w:r>
      <w:r>
        <w:t>T</w:t>
      </w:r>
      <w:r>
        <w:t xml:space="preserve">owel and </w:t>
      </w:r>
      <w:r>
        <w:t>T</w:t>
      </w:r>
      <w:r>
        <w:t xml:space="preserve">issue LLC, ASHTA </w:t>
      </w:r>
      <w:r>
        <w:t>C</w:t>
      </w:r>
      <w:r>
        <w:t xml:space="preserve">hemicals Inc., Columbus Castings, The Lincoln Electric Company, Delphi Corporation, and Landmark Plastic Corporation at 3-4 (July 21, 2014).  The </w:t>
      </w:r>
      <w:r>
        <w:t xml:space="preserve">Motion to Intervene </w:t>
      </w:r>
      <w:r>
        <w:t xml:space="preserve">of Navco Enterprises.Com, Inc., </w:t>
      </w:r>
      <w:r w:rsidRPr="00260B0E">
        <w:rPr>
          <w:i/>
        </w:rPr>
        <w:t>et al</w:t>
      </w:r>
      <w:r>
        <w:t>., alleges similar facts on behalf of those parties.</w:t>
      </w:r>
      <w:r w:rsidRPr="00ED5CAC">
        <w:t xml:space="preserve"> </w:t>
      </w:r>
      <w:r>
        <w:t xml:space="preserve"> To avoid redundant citations, the two motions are referred to as the Motions to Intervene herein, and citations are to the Motion to Intervene filed on behalf of The Timken Company, </w:t>
      </w:r>
      <w:r w:rsidRPr="00260B0E">
        <w:rPr>
          <w:i/>
        </w:rPr>
        <w:t>et al</w:t>
      </w:r>
      <w:r>
        <w:t>.</w:t>
      </w:r>
    </w:p>
  </w:footnote>
  <w:footnote w:id="2">
    <w:p w:rsidR="00273E90" w:rsidRDefault="00273E90">
      <w:pPr>
        <w:pStyle w:val="FootnoteText"/>
      </w:pPr>
      <w:r>
        <w:rPr>
          <w:rStyle w:val="FootnoteReference"/>
        </w:rPr>
        <w:footnoteRef/>
      </w:r>
      <w:r>
        <w:t xml:space="preserve"> </w:t>
      </w:r>
      <w:r w:rsidRPr="00260B0E">
        <w:rPr>
          <w:i/>
        </w:rPr>
        <w:t>Id</w:t>
      </w:r>
      <w:r>
        <w:t>. at 4.</w:t>
      </w:r>
    </w:p>
  </w:footnote>
  <w:footnote w:id="3">
    <w:p w:rsidR="00273E90" w:rsidRDefault="00273E90">
      <w:pPr>
        <w:pStyle w:val="FootnoteText"/>
      </w:pPr>
      <w:r>
        <w:rPr>
          <w:rStyle w:val="FootnoteReference"/>
        </w:rPr>
        <w:footnoteRef/>
      </w:r>
      <w:r>
        <w:t xml:space="preserve"> </w:t>
      </w:r>
      <w:r w:rsidRPr="00260B0E">
        <w:rPr>
          <w:i/>
        </w:rPr>
        <w:t>Id</w:t>
      </w:r>
      <w:r>
        <w:t>.</w:t>
      </w:r>
    </w:p>
  </w:footnote>
  <w:footnote w:id="4">
    <w:p w:rsidR="00273E90" w:rsidRDefault="00273E90">
      <w:pPr>
        <w:pStyle w:val="FootnoteText"/>
      </w:pPr>
      <w:r>
        <w:rPr>
          <w:rStyle w:val="FootnoteReference"/>
        </w:rPr>
        <w:footnoteRef/>
      </w:r>
      <w:r>
        <w:t xml:space="preserve"> </w:t>
      </w:r>
      <w:r w:rsidRPr="00260B0E">
        <w:rPr>
          <w:i/>
        </w:rPr>
        <w:t>Id</w:t>
      </w:r>
      <w:r>
        <w:t>.</w:t>
      </w:r>
    </w:p>
  </w:footnote>
  <w:footnote w:id="5">
    <w:p w:rsidR="00273E90" w:rsidRDefault="00273E90">
      <w:pPr>
        <w:pStyle w:val="FootnoteText"/>
      </w:pPr>
      <w:r>
        <w:rPr>
          <w:rStyle w:val="FootnoteReference"/>
        </w:rPr>
        <w:footnoteRef/>
      </w:r>
      <w:r>
        <w:t xml:space="preserve"> </w:t>
      </w:r>
      <w:r w:rsidRPr="00260B0E">
        <w:rPr>
          <w:i/>
        </w:rPr>
        <w:t>Id</w:t>
      </w:r>
      <w:r>
        <w:t>. at 5.</w:t>
      </w:r>
    </w:p>
  </w:footnote>
  <w:footnote w:id="6">
    <w:p w:rsidR="00273E90" w:rsidRDefault="00273E90">
      <w:pPr>
        <w:pStyle w:val="FootnoteText"/>
      </w:pPr>
      <w:r>
        <w:rPr>
          <w:rStyle w:val="FootnoteReference"/>
        </w:rPr>
        <w:footnoteRef/>
      </w:r>
      <w:r>
        <w:t xml:space="preserve"> </w:t>
      </w:r>
      <w:r w:rsidRPr="00260B0E">
        <w:rPr>
          <w:i/>
        </w:rPr>
        <w:t>Id</w:t>
      </w:r>
      <w:r>
        <w:t>. at 5-6.</w:t>
      </w:r>
    </w:p>
  </w:footnote>
  <w:footnote w:id="7">
    <w:p w:rsidR="00273E90" w:rsidRDefault="00273E90">
      <w:pPr>
        <w:pStyle w:val="FootnoteText"/>
      </w:pPr>
      <w:r>
        <w:rPr>
          <w:rStyle w:val="FootnoteReference"/>
        </w:rPr>
        <w:footnoteRef/>
      </w:r>
      <w:r>
        <w:t xml:space="preserve"> </w:t>
      </w:r>
      <w:r w:rsidRPr="00995362">
        <w:t>Motion for Interim and Preliminary Orders and Memorandum In Support</w:t>
      </w:r>
      <w:r>
        <w:t xml:space="preserve"> </w:t>
      </w:r>
      <w:r w:rsidRPr="00995362">
        <w:t>of The Timken Company, Marathon Petroleum Company, Wausau Paper Towel and Tissue LLC, ASHTA Chemicals Inc., Columbus Castings, The Lincoln Electric Company, Delphi Corporation, and Landmark Plastic Corporation</w:t>
      </w:r>
      <w:r>
        <w:t xml:space="preserve"> (July 21, 2014)</w:t>
      </w:r>
      <w:r>
        <w:t xml:space="preserve"> (“Motion for Interim and Preliminary Orders”)</w:t>
      </w:r>
      <w:r>
        <w:t xml:space="preserve">.  </w:t>
      </w:r>
      <w:r w:rsidRPr="00995362">
        <w:t xml:space="preserve">The </w:t>
      </w:r>
      <w:r w:rsidRPr="00891A2E">
        <w:t xml:space="preserve">Motion </w:t>
      </w:r>
      <w:r w:rsidRPr="00995362">
        <w:t xml:space="preserve">of Navco Enterprises.Com, Inc., </w:t>
      </w:r>
      <w:r w:rsidRPr="00016643">
        <w:rPr>
          <w:i/>
        </w:rPr>
        <w:t>et al</w:t>
      </w:r>
      <w:r w:rsidRPr="00995362">
        <w:t>.,</w:t>
      </w:r>
      <w:r>
        <w:t xml:space="preserve"> </w:t>
      </w:r>
      <w:r w:rsidRPr="00891A2E">
        <w:t>for Interim and Preliminary Orders</w:t>
      </w:r>
      <w:r w:rsidRPr="00891A2E" w:rsidDel="00891A2E">
        <w:t xml:space="preserve"> </w:t>
      </w:r>
      <w:r w:rsidRPr="00995362">
        <w:t>alleges similar facts on behalf of those parties.</w:t>
      </w:r>
      <w:r>
        <w:t xml:space="preserve">  To avoid redundant references, the two motions are referred to as the Motions for Interim and Preliminary Orders herein, and citations are to the Motion for Interim and Preliminary Orders filed on behalf of The Timken Company, </w:t>
      </w:r>
      <w:r w:rsidRPr="00260B0E">
        <w:rPr>
          <w:i/>
        </w:rPr>
        <w:t>et al.</w:t>
      </w:r>
    </w:p>
  </w:footnote>
  <w:footnote w:id="8">
    <w:p w:rsidR="00273E90" w:rsidRDefault="00273E90">
      <w:pPr>
        <w:pStyle w:val="FootnoteText"/>
      </w:pPr>
      <w:r>
        <w:rPr>
          <w:rStyle w:val="FootnoteReference"/>
        </w:rPr>
        <w:footnoteRef/>
      </w:r>
      <w:r>
        <w:t xml:space="preserve"> Power4Schools’ Memorandum Contra Industrial Customers’ and Ohio Manufacturers’ Association Motions to Intervene at 2 (Aug. 4, 2014) (“Complain</w:t>
      </w:r>
      <w:r>
        <w:t>an</w:t>
      </w:r>
      <w:r>
        <w:t>ts’ Memo Contra”).</w:t>
      </w:r>
    </w:p>
  </w:footnote>
  <w:footnote w:id="9">
    <w:p w:rsidR="00273E90" w:rsidRDefault="00273E90" w:rsidP="00995362">
      <w:pPr>
        <w:pStyle w:val="FootnoteText"/>
      </w:pPr>
      <w:r>
        <w:rPr>
          <w:rStyle w:val="FootnoteReference"/>
        </w:rPr>
        <w:footnoteRef/>
      </w:r>
      <w:r>
        <w:t xml:space="preserve"> </w:t>
      </w:r>
      <w:r w:rsidRPr="00260B0E">
        <w:rPr>
          <w:i/>
        </w:rPr>
        <w:t>Id</w:t>
      </w:r>
      <w:r>
        <w:t>. at 5.</w:t>
      </w:r>
    </w:p>
  </w:footnote>
  <w:footnote w:id="10">
    <w:p w:rsidR="00273E90" w:rsidRDefault="00273E90">
      <w:pPr>
        <w:pStyle w:val="FootnoteText"/>
      </w:pPr>
      <w:r>
        <w:rPr>
          <w:rStyle w:val="FootnoteReference"/>
        </w:rPr>
        <w:footnoteRef/>
      </w:r>
      <w:r>
        <w:t xml:space="preserve"> </w:t>
      </w:r>
      <w:r w:rsidRPr="00260B0E">
        <w:rPr>
          <w:i/>
        </w:rPr>
        <w:t>Id</w:t>
      </w:r>
      <w:r>
        <w:t>.</w:t>
      </w:r>
    </w:p>
  </w:footnote>
  <w:footnote w:id="11">
    <w:p w:rsidR="00273E90" w:rsidRDefault="00273E90">
      <w:pPr>
        <w:pStyle w:val="FootnoteText"/>
      </w:pPr>
      <w:r>
        <w:rPr>
          <w:rStyle w:val="FootnoteReference"/>
        </w:rPr>
        <w:footnoteRef/>
      </w:r>
      <w:r>
        <w:t xml:space="preserve"> </w:t>
      </w:r>
      <w:r w:rsidRPr="00260B0E">
        <w:rPr>
          <w:i/>
        </w:rPr>
        <w:t>Id</w:t>
      </w:r>
      <w:r>
        <w:t>. at 6.</w:t>
      </w:r>
    </w:p>
  </w:footnote>
  <w:footnote w:id="12">
    <w:p w:rsidR="00273E90" w:rsidRDefault="00273E90">
      <w:pPr>
        <w:pStyle w:val="FootnoteText"/>
      </w:pPr>
      <w:r>
        <w:rPr>
          <w:rStyle w:val="FootnoteReference"/>
        </w:rPr>
        <w:footnoteRef/>
      </w:r>
      <w:r>
        <w:t xml:space="preserve"> FirstEnergy Solutions Corp.'s Memorandum Contra Motions to Intervene and for Interim and Preliminary Orders by The Timken Company, </w:t>
      </w:r>
      <w:r w:rsidRPr="00260B0E">
        <w:rPr>
          <w:i/>
        </w:rPr>
        <w:t>et al</w:t>
      </w:r>
      <w:r>
        <w:t xml:space="preserve">., and Navco Enterprises, </w:t>
      </w:r>
      <w:r w:rsidRPr="00260B0E">
        <w:rPr>
          <w:i/>
        </w:rPr>
        <w:t>et al</w:t>
      </w:r>
      <w:r>
        <w:t>., at 3-7 (Aug. 4, 2014)</w:t>
      </w:r>
      <w:r>
        <w:t xml:space="preserve"> (“FES Memo Contra”)</w:t>
      </w:r>
      <w:r>
        <w:t>.</w:t>
      </w:r>
    </w:p>
  </w:footnote>
  <w:footnote w:id="13">
    <w:p w:rsidR="00273E90" w:rsidRDefault="00273E90">
      <w:pPr>
        <w:pStyle w:val="FootnoteText"/>
      </w:pPr>
      <w:r>
        <w:rPr>
          <w:rStyle w:val="FootnoteReference"/>
        </w:rPr>
        <w:footnoteRef/>
      </w:r>
      <w:r>
        <w:t xml:space="preserve"> </w:t>
      </w:r>
      <w:r w:rsidRPr="00260B0E">
        <w:rPr>
          <w:i/>
        </w:rPr>
        <w:t>Id</w:t>
      </w:r>
      <w:r>
        <w:t xml:space="preserve">. at </w:t>
      </w:r>
      <w:r>
        <w:t>5.</w:t>
      </w:r>
    </w:p>
  </w:footnote>
  <w:footnote w:id="14">
    <w:p w:rsidR="00273E90" w:rsidRDefault="00273E90">
      <w:pPr>
        <w:pStyle w:val="FootnoteText"/>
      </w:pPr>
      <w:r>
        <w:rPr>
          <w:rStyle w:val="FootnoteReference"/>
        </w:rPr>
        <w:footnoteRef/>
      </w:r>
      <w:r>
        <w:t xml:space="preserve"> </w:t>
      </w:r>
      <w:r w:rsidRPr="00260B0E">
        <w:rPr>
          <w:i/>
        </w:rPr>
        <w:t>Id</w:t>
      </w:r>
      <w:r>
        <w:t>. at 13.</w:t>
      </w:r>
    </w:p>
  </w:footnote>
  <w:footnote w:id="15">
    <w:p w:rsidR="00273E90" w:rsidRDefault="00273E90">
      <w:pPr>
        <w:pStyle w:val="FootnoteText"/>
      </w:pPr>
      <w:r>
        <w:rPr>
          <w:rStyle w:val="FootnoteReference"/>
        </w:rPr>
        <w:footnoteRef/>
      </w:r>
      <w:r>
        <w:t xml:space="preserve"> </w:t>
      </w:r>
      <w:r w:rsidRPr="0087692F">
        <w:t>R.C. 4903.221</w:t>
      </w:r>
      <w:r>
        <w:t xml:space="preserve">; </w:t>
      </w:r>
      <w:r w:rsidRPr="00260B0E">
        <w:rPr>
          <w:i/>
        </w:rPr>
        <w:t>Ohio Consumers’ Counsel v. Pub. Util. Comm’n of Ohio</w:t>
      </w:r>
      <w:r>
        <w:t xml:space="preserve">, 111 Ohio St. 3d 384 </w:t>
      </w:r>
      <w:r>
        <w:rPr>
          <w:rFonts w:cs="Arial"/>
        </w:rPr>
        <w:t>¶</w:t>
      </w:r>
      <w:r>
        <w:t>15 (2006) (summarizing the statutory requirements of R.C. 4905.221).</w:t>
      </w:r>
    </w:p>
  </w:footnote>
  <w:footnote w:id="16">
    <w:p w:rsidR="00273E90" w:rsidRDefault="00273E90">
      <w:pPr>
        <w:pStyle w:val="FootnoteText"/>
      </w:pPr>
      <w:r>
        <w:rPr>
          <w:rStyle w:val="FootnoteReference"/>
        </w:rPr>
        <w:footnoteRef/>
      </w:r>
      <w:r>
        <w:t xml:space="preserve"> Rule 4901-1-11, OAC, provides in relevant part:</w:t>
      </w:r>
    </w:p>
    <w:p w:rsidR="00273E90" w:rsidRPr="00850DC6" w:rsidRDefault="00273E90" w:rsidP="00850DC6">
      <w:pPr>
        <w:pStyle w:val="FootnoteText"/>
        <w:ind w:left="720" w:right="720"/>
      </w:pPr>
      <w:bookmarkStart w:id="25" w:name="4901-1-11(A)"/>
      <w:r w:rsidRPr="00850DC6">
        <w:t>(A)</w:t>
      </w:r>
      <w:bookmarkEnd w:id="25"/>
      <w:r w:rsidRPr="00850DC6">
        <w:t> Upon timely motion, any person shall be permitted to intervene in a proceeding upon a showing that:</w:t>
      </w:r>
    </w:p>
    <w:p w:rsidR="00273E90" w:rsidRPr="00850DC6" w:rsidRDefault="00273E90" w:rsidP="00850DC6">
      <w:pPr>
        <w:pStyle w:val="FootnoteText"/>
        <w:ind w:left="720" w:right="720"/>
      </w:pPr>
      <w:r>
        <w:t>…</w:t>
      </w:r>
    </w:p>
    <w:p w:rsidR="00273E90" w:rsidRPr="00850DC6" w:rsidRDefault="00273E90" w:rsidP="00850DC6">
      <w:pPr>
        <w:pStyle w:val="FootnoteText"/>
        <w:ind w:left="720" w:right="720"/>
      </w:pPr>
      <w:bookmarkStart w:id="26" w:name="4901-1-11(A)(2)"/>
      <w:r w:rsidRPr="00850DC6">
        <w:t>(2)</w:t>
      </w:r>
      <w:bookmarkEnd w:id="26"/>
      <w:r w:rsidRPr="00850DC6">
        <w:t>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rsidR="00273E90" w:rsidRPr="00850DC6" w:rsidRDefault="00273E90" w:rsidP="00850DC6">
      <w:pPr>
        <w:pStyle w:val="FootnoteText"/>
        <w:ind w:left="720" w:right="720"/>
      </w:pPr>
      <w:bookmarkStart w:id="27" w:name="4901-1-11(B)"/>
      <w:r w:rsidRPr="00850DC6">
        <w:t>(B)</w:t>
      </w:r>
      <w:bookmarkEnd w:id="27"/>
      <w:r w:rsidRPr="00850DC6">
        <w:t> In deciding whether to permit intervention under paragraph (A)(2) of this rule, the commission, the legal director, the deputy legal director, or an attorney examiner shall consider:</w:t>
      </w:r>
    </w:p>
    <w:p w:rsidR="00273E90" w:rsidRPr="00850DC6" w:rsidRDefault="00273E90" w:rsidP="00850DC6">
      <w:pPr>
        <w:pStyle w:val="FootnoteText"/>
        <w:ind w:left="720" w:right="720"/>
      </w:pPr>
      <w:bookmarkStart w:id="28" w:name="4901-1-11(B)(1)"/>
      <w:r w:rsidRPr="00850DC6">
        <w:t>(1)</w:t>
      </w:r>
      <w:bookmarkEnd w:id="28"/>
      <w:r w:rsidRPr="00850DC6">
        <w:t> The nature and extent of the prospective intervenor's interest.</w:t>
      </w:r>
    </w:p>
    <w:p w:rsidR="00273E90" w:rsidRPr="00850DC6" w:rsidRDefault="00273E90" w:rsidP="00850DC6">
      <w:pPr>
        <w:pStyle w:val="FootnoteText"/>
        <w:ind w:left="720" w:right="720"/>
      </w:pPr>
      <w:bookmarkStart w:id="29" w:name="4901-1-11(B)(2)"/>
      <w:r w:rsidRPr="00850DC6">
        <w:t>(2)</w:t>
      </w:r>
      <w:bookmarkEnd w:id="29"/>
      <w:r w:rsidRPr="00850DC6">
        <w:t> The legal position advanced by the prospective intervenor and its probable relation to the merits of the case.</w:t>
      </w:r>
    </w:p>
    <w:p w:rsidR="00273E90" w:rsidRPr="00850DC6" w:rsidRDefault="00273E90" w:rsidP="00850DC6">
      <w:pPr>
        <w:pStyle w:val="FootnoteText"/>
        <w:ind w:left="720" w:right="720"/>
      </w:pPr>
      <w:bookmarkStart w:id="30" w:name="4901-1-11(B)(3)"/>
      <w:r w:rsidRPr="00850DC6">
        <w:t>(3)</w:t>
      </w:r>
      <w:bookmarkEnd w:id="30"/>
      <w:r w:rsidRPr="00850DC6">
        <w:t> Whether the intervention by the prospective intervenor will unduly prolong or delay the proceedings.</w:t>
      </w:r>
    </w:p>
    <w:p w:rsidR="00273E90" w:rsidRPr="00850DC6" w:rsidRDefault="00273E90" w:rsidP="00850DC6">
      <w:pPr>
        <w:pStyle w:val="FootnoteText"/>
        <w:ind w:left="720" w:right="720"/>
      </w:pPr>
      <w:bookmarkStart w:id="31" w:name="4901-1-11(B)(4)"/>
      <w:r w:rsidRPr="00850DC6">
        <w:t>(4)</w:t>
      </w:r>
      <w:bookmarkEnd w:id="31"/>
      <w:r w:rsidRPr="00850DC6">
        <w:t> Whether the prospective intervenor will significantly contribute to full development and equitable resolution of the factual issues.</w:t>
      </w:r>
    </w:p>
    <w:p w:rsidR="00273E90" w:rsidRPr="00850DC6" w:rsidRDefault="00273E90" w:rsidP="00850DC6">
      <w:pPr>
        <w:pStyle w:val="FootnoteText"/>
        <w:ind w:left="720" w:right="720"/>
      </w:pPr>
      <w:bookmarkStart w:id="32" w:name="4901-1-11(B)(5)"/>
      <w:r w:rsidRPr="00850DC6">
        <w:t>(5)</w:t>
      </w:r>
      <w:bookmarkEnd w:id="32"/>
      <w:r w:rsidRPr="00850DC6">
        <w:t> The extent to which the person's interest is represented by existing parties.</w:t>
      </w:r>
    </w:p>
    <w:p w:rsidR="00273E90" w:rsidRDefault="00273E90">
      <w:pPr>
        <w:pStyle w:val="FootnoteText"/>
      </w:pPr>
    </w:p>
  </w:footnote>
  <w:footnote w:id="17">
    <w:p w:rsidR="00273E90" w:rsidRDefault="00273E90">
      <w:pPr>
        <w:pStyle w:val="FootnoteText"/>
      </w:pPr>
      <w:r>
        <w:rPr>
          <w:rStyle w:val="FootnoteReference"/>
        </w:rPr>
        <w:footnoteRef/>
      </w:r>
      <w:r>
        <w:t xml:space="preserve"> </w:t>
      </w:r>
      <w:r>
        <w:rPr>
          <w:i/>
        </w:rPr>
        <w:t>Ohio Consumers’ Counsel v. Pub. Util. Comm’n of Ohio</w:t>
      </w:r>
      <w:r>
        <w:t xml:space="preserve">, </w:t>
      </w:r>
      <w:r>
        <w:t xml:space="preserve">111 Ohio St.3d 384 </w:t>
      </w:r>
      <w:r>
        <w:rPr>
          <w:rFonts w:cs="Arial"/>
        </w:rPr>
        <w:t>¶</w:t>
      </w:r>
      <w:r>
        <w:t>16</w:t>
      </w:r>
      <w:r>
        <w:t xml:space="preserve"> (2006)</w:t>
      </w:r>
      <w:r>
        <w:t>.</w:t>
      </w:r>
    </w:p>
  </w:footnote>
  <w:footnote w:id="18">
    <w:p w:rsidR="00273E90" w:rsidRDefault="00273E90">
      <w:pPr>
        <w:pStyle w:val="FootnoteText"/>
      </w:pPr>
      <w:r>
        <w:rPr>
          <w:rStyle w:val="FootnoteReference"/>
        </w:rPr>
        <w:footnoteRef/>
      </w:r>
      <w:r>
        <w:t xml:space="preserve"> </w:t>
      </w:r>
      <w:r w:rsidRPr="00260B0E">
        <w:rPr>
          <w:i/>
        </w:rPr>
        <w:t>Id</w:t>
      </w:r>
      <w:r>
        <w:t xml:space="preserve">., </w:t>
      </w:r>
      <w:r>
        <w:rPr>
          <w:rFonts w:cs="Arial"/>
        </w:rPr>
        <w:t>¶</w:t>
      </w:r>
      <w:r>
        <w:t>20.</w:t>
      </w:r>
    </w:p>
  </w:footnote>
  <w:footnote w:id="19">
    <w:p w:rsidR="00AC3EAA" w:rsidRDefault="00AC3EAA" w:rsidP="00AC3EAA">
      <w:pPr>
        <w:pStyle w:val="FootnoteText"/>
      </w:pPr>
      <w:r>
        <w:rPr>
          <w:rStyle w:val="FootnoteReference"/>
        </w:rPr>
        <w:footnoteRef/>
      </w:r>
      <w:r>
        <w:t xml:space="preserve"> </w:t>
      </w:r>
      <w:r w:rsidRPr="009D4126">
        <w:rPr>
          <w:i/>
        </w:rPr>
        <w:t>Ohio Consumers’ Counsel v. Pub. Util. Comm’n of Ohio</w:t>
      </w:r>
      <w:r>
        <w:t>, 111 Ohio St. 3d 384 ¶18 (2006).</w:t>
      </w:r>
    </w:p>
  </w:footnote>
  <w:footnote w:id="20">
    <w:p w:rsidR="00273E90" w:rsidRDefault="00273E90">
      <w:pPr>
        <w:pStyle w:val="FootnoteText"/>
      </w:pPr>
      <w:r>
        <w:rPr>
          <w:rStyle w:val="FootnoteReference"/>
        </w:rPr>
        <w:footnoteRef/>
      </w:r>
      <w:r>
        <w:t xml:space="preserve"> Complainants’ Memo Contra at 6.</w:t>
      </w:r>
    </w:p>
  </w:footnote>
  <w:footnote w:id="21">
    <w:p w:rsidR="00273E90" w:rsidRDefault="00273E90">
      <w:pPr>
        <w:pStyle w:val="FootnoteText"/>
      </w:pPr>
      <w:r>
        <w:rPr>
          <w:rStyle w:val="FootnoteReference"/>
        </w:rPr>
        <w:footnoteRef/>
      </w:r>
      <w:r>
        <w:t xml:space="preserve"> FES Memo Contra at 3.</w:t>
      </w:r>
    </w:p>
  </w:footnote>
  <w:footnote w:id="22">
    <w:p w:rsidR="00273E90" w:rsidRDefault="00273E90" w:rsidP="00EC70AF">
      <w:pPr>
        <w:pStyle w:val="FootnoteText"/>
      </w:pPr>
      <w:r>
        <w:rPr>
          <w:rStyle w:val="FootnoteReference"/>
        </w:rPr>
        <w:footnoteRef/>
      </w:r>
      <w:r>
        <w:t xml:space="preserve"> </w:t>
      </w:r>
      <w:r w:rsidR="0068187D" w:rsidRPr="0068187D">
        <w:rPr>
          <w:i/>
        </w:rPr>
        <w:t>Id</w:t>
      </w:r>
      <w:r w:rsidR="0068187D">
        <w:t>.</w:t>
      </w:r>
      <w:r>
        <w:t xml:space="preserve"> at 3-7.</w:t>
      </w:r>
    </w:p>
  </w:footnote>
  <w:footnote w:id="23">
    <w:p w:rsidR="00273E90" w:rsidRDefault="00273E90" w:rsidP="00EC70AF">
      <w:pPr>
        <w:pStyle w:val="FootnoteText"/>
      </w:pPr>
      <w:r>
        <w:rPr>
          <w:rStyle w:val="FootnoteReference"/>
        </w:rPr>
        <w:footnoteRef/>
      </w:r>
      <w:r>
        <w:t xml:space="preserve"> </w:t>
      </w:r>
      <w:r w:rsidRPr="00260B0E">
        <w:rPr>
          <w:i/>
        </w:rPr>
        <w:t>Id</w:t>
      </w:r>
      <w:r>
        <w:t>. at 3-4.</w:t>
      </w:r>
    </w:p>
  </w:footnote>
  <w:footnote w:id="24">
    <w:p w:rsidR="00EF1C27" w:rsidRDefault="00EF1C27">
      <w:pPr>
        <w:pStyle w:val="FootnoteText"/>
      </w:pPr>
      <w:r>
        <w:rPr>
          <w:rStyle w:val="FootnoteReference"/>
        </w:rPr>
        <w:footnoteRef/>
      </w:r>
      <w:r>
        <w:t xml:space="preserve"> </w:t>
      </w:r>
      <w:r w:rsidRPr="00260B0E">
        <w:rPr>
          <w:i/>
        </w:rPr>
        <w:t xml:space="preserve">In the </w:t>
      </w:r>
      <w:r w:rsidRPr="00260B0E">
        <w:rPr>
          <w:i/>
        </w:rPr>
        <w:t xml:space="preserve">Matter of the </w:t>
      </w:r>
      <w:r w:rsidRPr="00260B0E">
        <w:rPr>
          <w:i/>
        </w:rPr>
        <w:t>Complaint of</w:t>
      </w:r>
      <w:r w:rsidRPr="00EF1C27">
        <w:t xml:space="preserve"> </w:t>
      </w:r>
      <w:r w:rsidRPr="00EF1C27">
        <w:rPr>
          <w:i/>
        </w:rPr>
        <w:t>XO</w:t>
      </w:r>
      <w:r w:rsidRPr="00260B0E">
        <w:rPr>
          <w:i/>
        </w:rPr>
        <w:t xml:space="preserve"> </w:t>
      </w:r>
      <w:r w:rsidRPr="00260B0E">
        <w:rPr>
          <w:i/>
        </w:rPr>
        <w:t xml:space="preserve">Ohio, Inc. v. </w:t>
      </w:r>
      <w:r w:rsidRPr="00EF1C27">
        <w:rPr>
          <w:i/>
        </w:rPr>
        <w:t xml:space="preserve">City of </w:t>
      </w:r>
      <w:r w:rsidRPr="00260B0E">
        <w:rPr>
          <w:i/>
        </w:rPr>
        <w:t>Upper Arlington</w:t>
      </w:r>
      <w:r w:rsidRPr="00EF1C27">
        <w:t>, Case No. 03-870-AU-PWC</w:t>
      </w:r>
      <w:r w:rsidRPr="00EF1C27">
        <w:t xml:space="preserve">, Entry (hereinafter </w:t>
      </w:r>
      <w:r w:rsidRPr="00260B0E">
        <w:rPr>
          <w:i/>
        </w:rPr>
        <w:t>“XO Complaint Case”</w:t>
      </w:r>
      <w:r w:rsidRPr="00EF1C27">
        <w:t>).</w:t>
      </w:r>
    </w:p>
  </w:footnote>
  <w:footnote w:id="25">
    <w:p w:rsidR="00B01BA1" w:rsidRDefault="00B01BA1" w:rsidP="00B01BA1">
      <w:pPr>
        <w:pStyle w:val="FootnoteText"/>
      </w:pPr>
      <w:r>
        <w:rPr>
          <w:rStyle w:val="FootnoteReference"/>
        </w:rPr>
        <w:footnoteRef/>
      </w:r>
      <w:r>
        <w:t xml:space="preserve"> </w:t>
      </w:r>
      <w:r w:rsidRPr="0005659F">
        <w:rPr>
          <w:i/>
        </w:rPr>
        <w:t>In the Matter of the Self-Complaint of Columbus Southern Power Company and Ohio Power Company Regarding the Implementation of Programs to Enhance Distribution Service Reliability</w:t>
      </w:r>
      <w:r>
        <w:t>, Case No. 06-222-EL-SLF, Entry at 2 (Mar. 21, 2007) (hereinafter “</w:t>
      </w:r>
      <w:r w:rsidRPr="0005659F">
        <w:rPr>
          <w:i/>
        </w:rPr>
        <w:t>Columbus Southern Self-Complaint Case</w:t>
      </w:r>
      <w:r>
        <w:t>”).</w:t>
      </w:r>
    </w:p>
  </w:footnote>
  <w:footnote w:id="26">
    <w:p w:rsidR="00B01BA1" w:rsidRDefault="00B01BA1" w:rsidP="00B01BA1">
      <w:pPr>
        <w:pStyle w:val="FootnoteText"/>
      </w:pPr>
      <w:r>
        <w:rPr>
          <w:rStyle w:val="FootnoteReference"/>
        </w:rPr>
        <w:footnoteRef/>
      </w:r>
      <w:r>
        <w:t xml:space="preserve"> </w:t>
      </w:r>
      <w:r w:rsidRPr="0005659F">
        <w:rPr>
          <w:i/>
        </w:rPr>
        <w:t>Id</w:t>
      </w:r>
      <w:r>
        <w:t xml:space="preserve">. </w:t>
      </w:r>
    </w:p>
  </w:footnote>
  <w:footnote w:id="27">
    <w:p w:rsidR="00273E90" w:rsidRDefault="00273E90" w:rsidP="00D913BE">
      <w:pPr>
        <w:pStyle w:val="FootnoteText"/>
      </w:pPr>
      <w:r>
        <w:rPr>
          <w:rStyle w:val="FootnoteReference"/>
        </w:rPr>
        <w:footnoteRef/>
      </w:r>
      <w:r>
        <w:t xml:space="preserve"> </w:t>
      </w:r>
      <w:r w:rsidRPr="00260B0E">
        <w:rPr>
          <w:i/>
        </w:rPr>
        <w:t>OX Complaint Case</w:t>
      </w:r>
      <w:r>
        <w:t>, Respondent City of Upper Arlington's Memorandum Contra to AT&amp;</w:t>
      </w:r>
      <w:r>
        <w:t xml:space="preserve">T Corp.’s </w:t>
      </w:r>
      <w:r>
        <w:t xml:space="preserve">Motion to Intervene at 2 (May 1, 2003); </w:t>
      </w:r>
      <w:r w:rsidRPr="00713E6A">
        <w:t xml:space="preserve">Respondent City of Upper Arlington's Memorandum Contra to </w:t>
      </w:r>
      <w:r>
        <w:t>SBC Ohio</w:t>
      </w:r>
      <w:r w:rsidRPr="00713E6A">
        <w:t>’s Motion to Intervene at 2</w:t>
      </w:r>
      <w:r>
        <w:t xml:space="preserve"> (Apr. 29, 2003).</w:t>
      </w:r>
    </w:p>
  </w:footnote>
  <w:footnote w:id="28">
    <w:p w:rsidR="00273E90" w:rsidRDefault="00273E90" w:rsidP="00D913BE">
      <w:pPr>
        <w:pStyle w:val="FootnoteText"/>
      </w:pPr>
      <w:r>
        <w:rPr>
          <w:rStyle w:val="FootnoteReference"/>
        </w:rPr>
        <w:footnoteRef/>
      </w:r>
      <w:r>
        <w:t xml:space="preserve"> </w:t>
      </w:r>
      <w:r w:rsidRPr="00260B0E">
        <w:rPr>
          <w:i/>
        </w:rPr>
        <w:t>Id</w:t>
      </w:r>
      <w:r>
        <w:t>., Entry at 14 (May 14, 2003).</w:t>
      </w:r>
    </w:p>
  </w:footnote>
  <w:footnote w:id="29">
    <w:p w:rsidR="00273E90" w:rsidRDefault="00273E90">
      <w:pPr>
        <w:pStyle w:val="FootnoteText"/>
      </w:pPr>
      <w:r>
        <w:rPr>
          <w:rStyle w:val="FootnoteReference"/>
        </w:rPr>
        <w:footnoteRef/>
      </w:r>
      <w:r>
        <w:t xml:space="preserve"> FES Memo Contra at 6.</w:t>
      </w:r>
    </w:p>
  </w:footnote>
  <w:footnote w:id="30">
    <w:p w:rsidR="00273E90" w:rsidRDefault="00273E90">
      <w:pPr>
        <w:pStyle w:val="FootnoteText"/>
      </w:pPr>
      <w:r>
        <w:rPr>
          <w:rStyle w:val="FootnoteReference"/>
        </w:rPr>
        <w:footnoteRef/>
      </w:r>
      <w:r>
        <w:t xml:space="preserve"> </w:t>
      </w:r>
      <w:r w:rsidRPr="002C0BB6">
        <w:rPr>
          <w:i/>
        </w:rPr>
        <w:t>XO Complaint Case</w:t>
      </w:r>
      <w:r>
        <w:rPr>
          <w:i/>
        </w:rPr>
        <w:t xml:space="preserve">, </w:t>
      </w:r>
      <w:r w:rsidRPr="00260B0E">
        <w:t>Entry at 14.</w:t>
      </w:r>
    </w:p>
  </w:footnote>
  <w:footnote w:id="31">
    <w:p w:rsidR="00273E90" w:rsidRDefault="00273E90">
      <w:pPr>
        <w:pStyle w:val="FootnoteText"/>
      </w:pPr>
      <w:r>
        <w:rPr>
          <w:rStyle w:val="FootnoteReference"/>
        </w:rPr>
        <w:footnoteRef/>
      </w:r>
      <w:r>
        <w:t xml:space="preserve"> FES Memo Contra at 7.</w:t>
      </w:r>
    </w:p>
  </w:footnote>
  <w:footnote w:id="32">
    <w:p w:rsidR="00273E90" w:rsidRDefault="00273E90" w:rsidP="00F15017">
      <w:pPr>
        <w:pStyle w:val="FootnoteText"/>
      </w:pPr>
      <w:r>
        <w:rPr>
          <w:rStyle w:val="FootnoteReference"/>
        </w:rPr>
        <w:footnoteRef/>
      </w:r>
      <w:r>
        <w:t xml:space="preserve"> </w:t>
      </w:r>
      <w:r w:rsidRPr="00260B0E">
        <w:rPr>
          <w:i/>
        </w:rPr>
        <w:t>Id</w:t>
      </w:r>
      <w:r>
        <w:t>.</w:t>
      </w:r>
      <w:r>
        <w:t xml:space="preserve"> at 7-13.</w:t>
      </w:r>
    </w:p>
  </w:footnote>
  <w:footnote w:id="33">
    <w:p w:rsidR="00273E90" w:rsidRDefault="00273E90">
      <w:pPr>
        <w:pStyle w:val="FootnoteText"/>
      </w:pPr>
      <w:r>
        <w:rPr>
          <w:rStyle w:val="FootnoteReference"/>
        </w:rPr>
        <w:footnoteRef/>
      </w:r>
      <w:r>
        <w:t xml:space="preserve"> </w:t>
      </w:r>
      <w:r w:rsidRPr="00260B0E">
        <w:rPr>
          <w:i/>
        </w:rPr>
        <w:t>Id</w:t>
      </w:r>
      <w:r>
        <w:t>. at 9.</w:t>
      </w:r>
    </w:p>
  </w:footnote>
  <w:footnote w:id="34">
    <w:p w:rsidR="00273E90" w:rsidRDefault="00273E90">
      <w:pPr>
        <w:pStyle w:val="FootnoteText"/>
      </w:pPr>
      <w:r>
        <w:rPr>
          <w:rStyle w:val="FootnoteReference"/>
        </w:rPr>
        <w:footnoteRef/>
      </w:r>
      <w:r>
        <w:t xml:space="preserve"> Respondent FirstEnergy Solutions Corp.’s Motion to Dismiss for Lack of Subject Matter Jurisdiction </w:t>
      </w:r>
      <w:r w:rsidRPr="00A86AAF">
        <w:rPr>
          <w:i/>
        </w:rPr>
        <w:t>passim</w:t>
      </w:r>
      <w:r>
        <w:t xml:space="preserve"> (Aug. 4, 2014)</w:t>
      </w:r>
      <w:r>
        <w:t xml:space="preserve"> (“Motion to Dismiss”).</w:t>
      </w:r>
    </w:p>
  </w:footnote>
  <w:footnote w:id="35">
    <w:p w:rsidR="00273E90" w:rsidRDefault="00273E90">
      <w:pPr>
        <w:pStyle w:val="FootnoteText"/>
      </w:pPr>
      <w:r>
        <w:rPr>
          <w:rStyle w:val="FootnoteReference"/>
        </w:rPr>
        <w:footnoteRef/>
      </w:r>
      <w:r>
        <w:t xml:space="preserve"> </w:t>
      </w:r>
      <w:r w:rsidRPr="00A86AAF">
        <w:rPr>
          <w:i/>
        </w:rPr>
        <w:t>See, e.g.,</w:t>
      </w:r>
      <w:r>
        <w:t xml:space="preserve"> Complaint at 3; Motion for Interim and Preliminary O</w:t>
      </w:r>
      <w:r w:rsidRPr="00A86AAF">
        <w:t xml:space="preserve">rders </w:t>
      </w:r>
      <w:r>
        <w:t>at 8.</w:t>
      </w:r>
    </w:p>
  </w:footnote>
  <w:footnote w:id="36">
    <w:p w:rsidR="00273E90" w:rsidRDefault="00273E90">
      <w:pPr>
        <w:pStyle w:val="FootnoteText"/>
      </w:pPr>
      <w:r>
        <w:rPr>
          <w:rStyle w:val="FootnoteReference"/>
        </w:rPr>
        <w:footnoteRef/>
      </w:r>
      <w:r>
        <w:t xml:space="preserve"> Rule 4901:1-21-03, OAC.</w:t>
      </w:r>
    </w:p>
  </w:footnote>
  <w:footnote w:id="37">
    <w:p w:rsidR="00273E90" w:rsidRDefault="00273E90">
      <w:pPr>
        <w:pStyle w:val="FootnoteText"/>
      </w:pPr>
      <w:r>
        <w:rPr>
          <w:rStyle w:val="FootnoteReference"/>
        </w:rPr>
        <w:footnoteRef/>
      </w:r>
      <w:r>
        <w:t xml:space="preserve"> Complaint at 19-25.</w:t>
      </w:r>
    </w:p>
  </w:footnote>
  <w:footnote w:id="38">
    <w:p w:rsidR="00273E90" w:rsidRDefault="00273E90">
      <w:pPr>
        <w:pStyle w:val="FootnoteText"/>
      </w:pPr>
      <w:r>
        <w:rPr>
          <w:rStyle w:val="FootnoteReference"/>
        </w:rPr>
        <w:footnoteRef/>
      </w:r>
      <w:r>
        <w:t xml:space="preserve"> Motion for Interim and Preliminary </w:t>
      </w:r>
      <w:r>
        <w:t xml:space="preserve">Orders </w:t>
      </w:r>
      <w:r>
        <w:t>at 8-10.</w:t>
      </w:r>
    </w:p>
  </w:footnote>
  <w:footnote w:id="39">
    <w:p w:rsidR="00273E90" w:rsidRDefault="00273E90">
      <w:pPr>
        <w:pStyle w:val="FootnoteText"/>
      </w:pPr>
      <w:r>
        <w:rPr>
          <w:rStyle w:val="FootnoteReference"/>
        </w:rPr>
        <w:footnoteRef/>
      </w:r>
      <w:r>
        <w:t xml:space="preserve"> FES Memo Contra at 10-11.</w:t>
      </w:r>
    </w:p>
  </w:footnote>
  <w:footnote w:id="40">
    <w:p w:rsidR="00273E90" w:rsidRDefault="00273E90">
      <w:pPr>
        <w:pStyle w:val="FootnoteText"/>
      </w:pPr>
      <w:r>
        <w:rPr>
          <w:rStyle w:val="FootnoteReference"/>
        </w:rPr>
        <w:footnoteRef/>
      </w:r>
      <w:r>
        <w:t xml:space="preserve"> </w:t>
      </w:r>
      <w:r w:rsidRPr="0064086B">
        <w:rPr>
          <w:i/>
        </w:rPr>
        <w:t>In the Matter of the New or Reestablished Gas Service for Residential, Commercial, and Industrial Customers,</w:t>
      </w:r>
      <w:r>
        <w:t xml:space="preserve"> Case No. 77-1440-GA-SLF, 1978 WL 442231, Entry (Feb. 2, 1978) (“</w:t>
      </w:r>
      <w:r w:rsidRPr="0064086B">
        <w:rPr>
          <w:i/>
        </w:rPr>
        <w:t>East Ohio</w:t>
      </w:r>
      <w:r>
        <w:t>”);</w:t>
      </w:r>
      <w:r>
        <w:t xml:space="preserve"> </w:t>
      </w:r>
      <w:r w:rsidRPr="00260B0E">
        <w:rPr>
          <w:i/>
        </w:rPr>
        <w:t>In the Matter of the Complaint of Time Warner AxS of Ohio, L.P. and Time Warner Communications of Ohio, L.P. v. Ameritech Ohio,</w:t>
      </w:r>
      <w:r>
        <w:t xml:space="preserve"> Case No. 96-66-TP-CSS, Opinion and Order </w:t>
      </w:r>
      <w:r>
        <w:t xml:space="preserve">at 10 </w:t>
      </w:r>
      <w:r>
        <w:t>(Mar. 21, 1996) (directing Ameritech to file interim tariffs</w:t>
      </w:r>
      <w:r>
        <w:t xml:space="preserve"> pending resolution of case setting permanent rates</w:t>
      </w:r>
      <w:r>
        <w:t>).</w:t>
      </w:r>
      <w:r>
        <w:t xml:space="preserve">  The Commission has granted interim relief in proceedings initiated under other provisions of Ohio law as well.  </w:t>
      </w:r>
      <w:r w:rsidRPr="00260B0E">
        <w:rPr>
          <w:i/>
        </w:rPr>
        <w:t>See</w:t>
      </w:r>
      <w:r>
        <w:t xml:space="preserve"> </w:t>
      </w:r>
      <w:r w:rsidRPr="00B127B0">
        <w:rPr>
          <w:i/>
        </w:rPr>
        <w:t xml:space="preserve">In the Matter of the Application of Ohio Edison Company, The Cleveland Electric Illuminating Company, and The Toledo Edison Company for Approval of a New Rider and Revision of an </w:t>
      </w:r>
      <w:r w:rsidRPr="0011615B">
        <w:rPr>
          <w:i/>
        </w:rPr>
        <w:t>Existing</w:t>
      </w:r>
      <w:r w:rsidRPr="00B127B0">
        <w:rPr>
          <w:i/>
        </w:rPr>
        <w:t xml:space="preserve"> Rider,</w:t>
      </w:r>
      <w:r>
        <w:t xml:space="preserve"> </w:t>
      </w:r>
      <w:r w:rsidRPr="00236F49">
        <w:t xml:space="preserve">Case No. 10-176-EL-ATA, Finding and Order at 3 (Mar. </w:t>
      </w:r>
      <w:r w:rsidRPr="00B127B0">
        <w:t>3</w:t>
      </w:r>
      <w:r>
        <w:t xml:space="preserve">, 2010); </w:t>
      </w:r>
      <w:r w:rsidRPr="00B127B0">
        <w:rPr>
          <w:i/>
        </w:rPr>
        <w:t>In the Matter of the Review of SBC Ohio’s TELRIC Costs for Unbundled Network Elements,</w:t>
      </w:r>
      <w:r>
        <w:t xml:space="preserve"> Case No. 02-1280-TP-UNC, Finding and Order at 6 (Mar. 11, 2004).</w:t>
      </w:r>
    </w:p>
  </w:footnote>
  <w:footnote w:id="41">
    <w:p w:rsidR="00273E90" w:rsidRDefault="00273E90">
      <w:pPr>
        <w:pStyle w:val="FootnoteText"/>
      </w:pPr>
      <w:r>
        <w:rPr>
          <w:rStyle w:val="FootnoteReference"/>
        </w:rPr>
        <w:footnoteRef/>
      </w:r>
      <w:r>
        <w:t xml:space="preserve"> </w:t>
      </w:r>
      <w:r w:rsidRPr="00260B0E">
        <w:rPr>
          <w:i/>
        </w:rPr>
        <w:t>East Ohio,</w:t>
      </w:r>
      <w:r>
        <w:t xml:space="preserve"> </w:t>
      </w:r>
      <w:r w:rsidRPr="00914755">
        <w:t>1978 WL 442231</w:t>
      </w:r>
      <w:r>
        <w:t xml:space="preserve"> at *2.</w:t>
      </w:r>
    </w:p>
  </w:footnote>
  <w:footnote w:id="42">
    <w:p w:rsidR="00273E90" w:rsidRDefault="00273E90">
      <w:pPr>
        <w:pStyle w:val="FootnoteText"/>
      </w:pPr>
      <w:r>
        <w:rPr>
          <w:rStyle w:val="FootnoteReference"/>
        </w:rPr>
        <w:footnoteRef/>
      </w:r>
      <w:r>
        <w:t xml:space="preserve"> FES Memo Contra at 11.</w:t>
      </w:r>
    </w:p>
  </w:footnote>
  <w:footnote w:id="43">
    <w:p w:rsidR="00273E90" w:rsidRDefault="00273E90">
      <w:pPr>
        <w:pStyle w:val="FootnoteText"/>
      </w:pPr>
      <w:r>
        <w:rPr>
          <w:rStyle w:val="FootnoteReference"/>
        </w:rPr>
        <w:footnoteRef/>
      </w:r>
      <w:r>
        <w:t xml:space="preserve"> </w:t>
      </w:r>
      <w:r w:rsidRPr="00260B0E">
        <w:rPr>
          <w:i/>
        </w:rPr>
        <w:t>Id</w:t>
      </w:r>
      <w:r>
        <w:t>.</w:t>
      </w:r>
      <w:r>
        <w:t xml:space="preserve"> at 12-13.</w:t>
      </w:r>
    </w:p>
  </w:footnote>
  <w:footnote w:id="44">
    <w:p w:rsidR="00273E90" w:rsidRDefault="00273E90">
      <w:pPr>
        <w:pStyle w:val="FootnoteText"/>
      </w:pPr>
      <w:r>
        <w:rPr>
          <w:rStyle w:val="FootnoteReference"/>
        </w:rPr>
        <w:footnoteRef/>
      </w:r>
      <w:r>
        <w:t xml:space="preserve"> </w:t>
      </w:r>
      <w:r w:rsidRPr="000E7E5E">
        <w:t xml:space="preserve">Motion for Interim and Preliminary Orders </w:t>
      </w:r>
      <w:r>
        <w:t xml:space="preserve">at </w:t>
      </w:r>
      <w:r>
        <w:t>7-</w:t>
      </w:r>
      <w:r>
        <w:t>8</w:t>
      </w:r>
      <w:r w:rsidRPr="000E7E5E">
        <w:t>.</w:t>
      </w:r>
    </w:p>
  </w:footnote>
  <w:footnote w:id="45">
    <w:p w:rsidR="00273E90" w:rsidRDefault="00273E90">
      <w:pPr>
        <w:pStyle w:val="FootnoteText"/>
      </w:pPr>
      <w:r>
        <w:rPr>
          <w:rStyle w:val="FootnoteReference"/>
        </w:rPr>
        <w:footnoteRef/>
      </w:r>
      <w:r>
        <w:t xml:space="preserve"> </w:t>
      </w:r>
      <w:r w:rsidRPr="00260B0E">
        <w:rPr>
          <w:i/>
        </w:rPr>
        <w:t>Id</w:t>
      </w:r>
      <w:r>
        <w:t>. at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F" w:rsidRDefault="008B02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F" w:rsidRDefault="008B0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F" w:rsidRDefault="008B0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0" w:rsidRDefault="00273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E5"/>
    <w:multiLevelType w:val="multilevel"/>
    <w:tmpl w:val="DCF05F7E"/>
    <w:name w:val="IEU-Olhio Default"/>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nsid w:val="40F0672F"/>
    <w:multiLevelType w:val="hybridMultilevel"/>
    <w:tmpl w:val="9C8E8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dgnword-docGUID" w:val="{A444C2D2-3E30-40E1-B49B-01E894F2EE66}"/>
    <w:docVar w:name="dgnword-eventsink" w:val="105482584"/>
    <w:docVar w:name="ExcludeDirectFormattingInTOC" w:val="False"/>
    <w:docVar w:name="HyperlinkTOC" w:val="False"/>
    <w:docVar w:name="IncludeTOCAndPageHeadings" w:val="True"/>
    <w:docVar w:name="LastSchemeChoice" w:val="IEU-Olhio Default"/>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3"/>
  </w:docVars>
  <w:rsids>
    <w:rsidRoot w:val="009A7FD5"/>
    <w:rsid w:val="00023BD0"/>
    <w:rsid w:val="00035ECE"/>
    <w:rsid w:val="00082029"/>
    <w:rsid w:val="000974BE"/>
    <w:rsid w:val="000B7FE7"/>
    <w:rsid w:val="000C4BCD"/>
    <w:rsid w:val="000E2692"/>
    <w:rsid w:val="000E7E5E"/>
    <w:rsid w:val="00105613"/>
    <w:rsid w:val="0011615B"/>
    <w:rsid w:val="001440E7"/>
    <w:rsid w:val="00151010"/>
    <w:rsid w:val="001B6564"/>
    <w:rsid w:val="001F73D9"/>
    <w:rsid w:val="00236F49"/>
    <w:rsid w:val="002420E6"/>
    <w:rsid w:val="00242D86"/>
    <w:rsid w:val="002473B6"/>
    <w:rsid w:val="00257DB3"/>
    <w:rsid w:val="00260B0E"/>
    <w:rsid w:val="00273E90"/>
    <w:rsid w:val="00280C40"/>
    <w:rsid w:val="0029746D"/>
    <w:rsid w:val="002C0BB6"/>
    <w:rsid w:val="002C0EBB"/>
    <w:rsid w:val="0031090C"/>
    <w:rsid w:val="003275F5"/>
    <w:rsid w:val="00330C22"/>
    <w:rsid w:val="0038531D"/>
    <w:rsid w:val="003A2022"/>
    <w:rsid w:val="003A206D"/>
    <w:rsid w:val="003A47D2"/>
    <w:rsid w:val="003E6B18"/>
    <w:rsid w:val="00400719"/>
    <w:rsid w:val="0041338F"/>
    <w:rsid w:val="0047110F"/>
    <w:rsid w:val="00486FFF"/>
    <w:rsid w:val="004973C7"/>
    <w:rsid w:val="004D43AC"/>
    <w:rsid w:val="0050757E"/>
    <w:rsid w:val="00515665"/>
    <w:rsid w:val="00554F01"/>
    <w:rsid w:val="005A2AD0"/>
    <w:rsid w:val="005A62B2"/>
    <w:rsid w:val="005C16C9"/>
    <w:rsid w:val="005C7672"/>
    <w:rsid w:val="005D30C8"/>
    <w:rsid w:val="00612431"/>
    <w:rsid w:val="00625538"/>
    <w:rsid w:val="00657106"/>
    <w:rsid w:val="00662093"/>
    <w:rsid w:val="00663CC7"/>
    <w:rsid w:val="00674AD6"/>
    <w:rsid w:val="006776B0"/>
    <w:rsid w:val="0068187D"/>
    <w:rsid w:val="00697331"/>
    <w:rsid w:val="006B108A"/>
    <w:rsid w:val="006C6B21"/>
    <w:rsid w:val="006D3586"/>
    <w:rsid w:val="006F175F"/>
    <w:rsid w:val="0070102B"/>
    <w:rsid w:val="00705BCB"/>
    <w:rsid w:val="00712D10"/>
    <w:rsid w:val="00713E6A"/>
    <w:rsid w:val="0074301A"/>
    <w:rsid w:val="007611ED"/>
    <w:rsid w:val="00763C0B"/>
    <w:rsid w:val="007A6596"/>
    <w:rsid w:val="008140C0"/>
    <w:rsid w:val="00850DC6"/>
    <w:rsid w:val="0087692F"/>
    <w:rsid w:val="00891A2E"/>
    <w:rsid w:val="008A4063"/>
    <w:rsid w:val="008B02FF"/>
    <w:rsid w:val="008B23C6"/>
    <w:rsid w:val="008E3BF4"/>
    <w:rsid w:val="00914755"/>
    <w:rsid w:val="00987A69"/>
    <w:rsid w:val="009949F0"/>
    <w:rsid w:val="00995362"/>
    <w:rsid w:val="009A7FD5"/>
    <w:rsid w:val="009D2920"/>
    <w:rsid w:val="00A01640"/>
    <w:rsid w:val="00A05BF1"/>
    <w:rsid w:val="00A64830"/>
    <w:rsid w:val="00A8126E"/>
    <w:rsid w:val="00A86AAF"/>
    <w:rsid w:val="00A948B7"/>
    <w:rsid w:val="00A94FEB"/>
    <w:rsid w:val="00AB08A1"/>
    <w:rsid w:val="00AC3EAA"/>
    <w:rsid w:val="00AD145D"/>
    <w:rsid w:val="00B01BA1"/>
    <w:rsid w:val="00B034E5"/>
    <w:rsid w:val="00B16668"/>
    <w:rsid w:val="00B4150E"/>
    <w:rsid w:val="00B42EFE"/>
    <w:rsid w:val="00B61345"/>
    <w:rsid w:val="00B67D7F"/>
    <w:rsid w:val="00B72F4A"/>
    <w:rsid w:val="00BE0719"/>
    <w:rsid w:val="00C0405A"/>
    <w:rsid w:val="00C06238"/>
    <w:rsid w:val="00C205B9"/>
    <w:rsid w:val="00C9197B"/>
    <w:rsid w:val="00CE7BAE"/>
    <w:rsid w:val="00D913BE"/>
    <w:rsid w:val="00DD1E4C"/>
    <w:rsid w:val="00E173FD"/>
    <w:rsid w:val="00E414E1"/>
    <w:rsid w:val="00E4438D"/>
    <w:rsid w:val="00E70BA4"/>
    <w:rsid w:val="00E80CAF"/>
    <w:rsid w:val="00E91959"/>
    <w:rsid w:val="00E9486B"/>
    <w:rsid w:val="00EC4D01"/>
    <w:rsid w:val="00EC63AB"/>
    <w:rsid w:val="00EC70AF"/>
    <w:rsid w:val="00ED5CAC"/>
    <w:rsid w:val="00EF1C27"/>
    <w:rsid w:val="00EF29A6"/>
    <w:rsid w:val="00F15017"/>
    <w:rsid w:val="00F97442"/>
    <w:rsid w:val="00FE43DF"/>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12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pPr>
      <w:ind w:firstLine="0"/>
    </w:pPr>
  </w:style>
  <w:style w:type="paragraph" w:styleId="Heading1">
    <w:name w:val="heading 1"/>
    <w:basedOn w:val="Normal"/>
    <w:next w:val="Normal"/>
    <w:link w:val="Heading1Char"/>
    <w:uiPriority w:val="9"/>
    <w:qFormat/>
    <w:rsid w:val="0031090C"/>
    <w:pPr>
      <w:numPr>
        <w:numId w:val="2"/>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31090C"/>
    <w:pPr>
      <w:numPr>
        <w:ilvl w:val="1"/>
        <w:numId w:val="2"/>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31090C"/>
    <w:pPr>
      <w:numPr>
        <w:ilvl w:val="2"/>
        <w:numId w:val="2"/>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1090C"/>
    <w:pPr>
      <w:numPr>
        <w:ilvl w:val="3"/>
        <w:numId w:val="2"/>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1090C"/>
    <w:pPr>
      <w:numPr>
        <w:ilvl w:val="4"/>
        <w:numId w:val="2"/>
      </w:numPr>
      <w:spacing w:after="240" w:line="240" w:lineRule="auto"/>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31090C"/>
    <w:pPr>
      <w:numPr>
        <w:ilvl w:val="5"/>
        <w:numId w:val="2"/>
      </w:numPr>
      <w:spacing w:after="240" w:line="240" w:lineRule="auto"/>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31090C"/>
    <w:pPr>
      <w:numPr>
        <w:ilvl w:val="6"/>
        <w:numId w:val="2"/>
      </w:numPr>
      <w:spacing w:after="240" w:line="240" w:lineRule="auto"/>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31090C"/>
    <w:pPr>
      <w:numPr>
        <w:ilvl w:val="7"/>
        <w:numId w:val="2"/>
      </w:numPr>
      <w:spacing w:after="240" w:line="240" w:lineRule="auto"/>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31090C"/>
    <w:pPr>
      <w:numPr>
        <w:ilvl w:val="8"/>
        <w:numId w:val="2"/>
      </w:numPr>
      <w:spacing w:after="240" w:line="240" w:lineRule="auto"/>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9A7FD5"/>
    <w:rPr>
      <w:vertAlign w:val="superscript"/>
    </w:rPr>
  </w:style>
  <w:style w:type="paragraph" w:styleId="ListParagraph">
    <w:name w:val="List Paragraph"/>
    <w:basedOn w:val="Normal"/>
    <w:uiPriority w:val="34"/>
    <w:qFormat/>
    <w:rsid w:val="00F15017"/>
    <w:pPr>
      <w:spacing w:after="0" w:line="240" w:lineRule="auto"/>
      <w:ind w:left="720"/>
      <w:contextualSpacing/>
      <w:jc w:val="left"/>
    </w:pPr>
  </w:style>
  <w:style w:type="character" w:customStyle="1" w:styleId="Heading1Char">
    <w:name w:val="Heading 1 Char"/>
    <w:basedOn w:val="DefaultParagraphFont"/>
    <w:link w:val="Heading1"/>
    <w:uiPriority w:val="9"/>
    <w:rsid w:val="0031090C"/>
    <w:rPr>
      <w:rFonts w:eastAsiaTheme="majorEastAsia" w:cs="Arial"/>
      <w:b/>
      <w:bCs/>
      <w:caps/>
      <w:szCs w:val="28"/>
      <w:u w:val="single"/>
    </w:rPr>
  </w:style>
  <w:style w:type="paragraph" w:styleId="Header">
    <w:name w:val="header"/>
    <w:basedOn w:val="Normal"/>
    <w:link w:val="HeaderChar"/>
    <w:uiPriority w:val="99"/>
    <w:unhideWhenUsed/>
    <w:rsid w:val="00EC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AB"/>
  </w:style>
  <w:style w:type="paragraph" w:styleId="Footer">
    <w:name w:val="footer"/>
    <w:basedOn w:val="Normal"/>
    <w:link w:val="FooterChar"/>
    <w:uiPriority w:val="99"/>
    <w:unhideWhenUsed/>
    <w:rsid w:val="00EC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AB"/>
  </w:style>
  <w:style w:type="character" w:customStyle="1" w:styleId="Heading2Char">
    <w:name w:val="Heading 2 Char"/>
    <w:basedOn w:val="DefaultParagraphFont"/>
    <w:link w:val="Heading2"/>
    <w:uiPriority w:val="9"/>
    <w:semiHidden/>
    <w:rsid w:val="0031090C"/>
    <w:rPr>
      <w:rFonts w:eastAsiaTheme="majorEastAsia" w:cs="Arial"/>
      <w:b/>
      <w:bCs/>
      <w:szCs w:val="26"/>
    </w:rPr>
  </w:style>
  <w:style w:type="character" w:customStyle="1" w:styleId="Heading3Char">
    <w:name w:val="Heading 3 Char"/>
    <w:basedOn w:val="DefaultParagraphFont"/>
    <w:link w:val="Heading3"/>
    <w:uiPriority w:val="9"/>
    <w:semiHidden/>
    <w:rsid w:val="0031090C"/>
    <w:rPr>
      <w:rFonts w:eastAsiaTheme="majorEastAsia" w:cs="Arial"/>
      <w:b/>
      <w:bCs/>
    </w:rPr>
  </w:style>
  <w:style w:type="character" w:customStyle="1" w:styleId="Heading4Char">
    <w:name w:val="Heading 4 Char"/>
    <w:basedOn w:val="DefaultParagraphFont"/>
    <w:link w:val="Heading4"/>
    <w:uiPriority w:val="9"/>
    <w:semiHidden/>
    <w:rsid w:val="0031090C"/>
    <w:rPr>
      <w:rFonts w:eastAsiaTheme="majorEastAsia" w:cs="Arial"/>
      <w:b/>
      <w:bCs/>
      <w:i/>
      <w:iCs/>
    </w:rPr>
  </w:style>
  <w:style w:type="character" w:customStyle="1" w:styleId="Heading5Char">
    <w:name w:val="Heading 5 Char"/>
    <w:basedOn w:val="DefaultParagraphFont"/>
    <w:link w:val="Heading5"/>
    <w:uiPriority w:val="9"/>
    <w:semiHidden/>
    <w:rsid w:val="0031090C"/>
    <w:rPr>
      <w:rFonts w:eastAsiaTheme="majorEastAsia" w:cs="Arial"/>
      <w:color w:val="243F60"/>
    </w:rPr>
  </w:style>
  <w:style w:type="character" w:customStyle="1" w:styleId="Heading6Char">
    <w:name w:val="Heading 6 Char"/>
    <w:basedOn w:val="DefaultParagraphFont"/>
    <w:link w:val="Heading6"/>
    <w:uiPriority w:val="9"/>
    <w:semiHidden/>
    <w:rsid w:val="0031090C"/>
    <w:rPr>
      <w:rFonts w:eastAsiaTheme="majorEastAsia" w:cs="Arial"/>
      <w:iCs/>
      <w:color w:val="243F60"/>
    </w:rPr>
  </w:style>
  <w:style w:type="character" w:customStyle="1" w:styleId="Heading7Char">
    <w:name w:val="Heading 7 Char"/>
    <w:basedOn w:val="DefaultParagraphFont"/>
    <w:link w:val="Heading7"/>
    <w:uiPriority w:val="9"/>
    <w:semiHidden/>
    <w:rsid w:val="0031090C"/>
    <w:rPr>
      <w:rFonts w:eastAsiaTheme="majorEastAsia" w:cs="Arial"/>
      <w:iCs/>
      <w:color w:val="404040"/>
    </w:rPr>
  </w:style>
  <w:style w:type="character" w:customStyle="1" w:styleId="Heading8Char">
    <w:name w:val="Heading 8 Char"/>
    <w:basedOn w:val="DefaultParagraphFont"/>
    <w:link w:val="Heading8"/>
    <w:uiPriority w:val="9"/>
    <w:semiHidden/>
    <w:rsid w:val="0031090C"/>
    <w:rPr>
      <w:rFonts w:eastAsiaTheme="majorEastAsia" w:cs="Arial"/>
      <w:color w:val="404040"/>
      <w:szCs w:val="20"/>
    </w:rPr>
  </w:style>
  <w:style w:type="character" w:customStyle="1" w:styleId="Heading9Char">
    <w:name w:val="Heading 9 Char"/>
    <w:basedOn w:val="DefaultParagraphFont"/>
    <w:link w:val="Heading9"/>
    <w:uiPriority w:val="9"/>
    <w:semiHidden/>
    <w:rsid w:val="0031090C"/>
    <w:rPr>
      <w:rFonts w:eastAsiaTheme="majorEastAsia" w:cs="Arial"/>
      <w:iCs/>
      <w:color w:val="404040"/>
      <w:szCs w:val="20"/>
    </w:rPr>
  </w:style>
  <w:style w:type="paragraph" w:styleId="BodyText">
    <w:name w:val="Body Text"/>
    <w:basedOn w:val="Normal"/>
    <w:link w:val="BodyTextChar"/>
    <w:uiPriority w:val="99"/>
    <w:semiHidden/>
    <w:unhideWhenUsed/>
    <w:rsid w:val="000B7FE7"/>
  </w:style>
  <w:style w:type="character" w:customStyle="1" w:styleId="BodyTextChar">
    <w:name w:val="Body Text Char"/>
    <w:basedOn w:val="DefaultParagraphFont"/>
    <w:link w:val="BodyText"/>
    <w:uiPriority w:val="99"/>
    <w:semiHidden/>
    <w:rsid w:val="000B7FE7"/>
  </w:style>
  <w:style w:type="character" w:styleId="PageNumber">
    <w:name w:val="page number"/>
    <w:basedOn w:val="DefaultParagraphFont"/>
    <w:rsid w:val="005A62B2"/>
  </w:style>
  <w:style w:type="table" w:customStyle="1" w:styleId="TableGrid1">
    <w:name w:val="Table Grid1"/>
    <w:basedOn w:val="TableNormal"/>
    <w:next w:val="TableGrid"/>
    <w:uiPriority w:val="59"/>
    <w:rsid w:val="005A62B2"/>
    <w:pPr>
      <w:spacing w:after="0" w:line="240" w:lineRule="auto"/>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C8"/>
    <w:rPr>
      <w:rFonts w:ascii="Tahoma" w:hAnsi="Tahoma" w:cs="Tahoma"/>
      <w:sz w:val="16"/>
      <w:szCs w:val="16"/>
    </w:rPr>
  </w:style>
  <w:style w:type="character" w:styleId="Hyperlink">
    <w:name w:val="Hyperlink"/>
    <w:basedOn w:val="DefaultParagraphFont"/>
    <w:uiPriority w:val="99"/>
    <w:unhideWhenUsed/>
    <w:rsid w:val="008140C0"/>
    <w:rPr>
      <w:color w:val="0000FF" w:themeColor="hyperlink"/>
      <w:u w:val="single"/>
    </w:rPr>
  </w:style>
  <w:style w:type="paragraph" w:styleId="TOCHeading">
    <w:name w:val="TOC Heading"/>
    <w:basedOn w:val="Normal"/>
    <w:next w:val="TOC1"/>
    <w:uiPriority w:val="39"/>
    <w:unhideWhenUsed/>
    <w:qFormat/>
    <w:rsid w:val="00FE43DF"/>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E70BA4"/>
    <w:pPr>
      <w:tabs>
        <w:tab w:val="right" w:leader="dot" w:pos="9360"/>
      </w:tabs>
      <w:spacing w:after="100" w:line="240" w:lineRule="auto"/>
      <w:ind w:left="547" w:right="720" w:hanging="547"/>
    </w:pPr>
  </w:style>
  <w:style w:type="paragraph" w:styleId="TOC2">
    <w:name w:val="toc 2"/>
    <w:basedOn w:val="Normal"/>
    <w:next w:val="Normal"/>
    <w:autoRedefine/>
    <w:uiPriority w:val="39"/>
    <w:semiHidden/>
    <w:unhideWhenUsed/>
    <w:rsid w:val="00FE43DF"/>
    <w:pPr>
      <w:spacing w:after="100"/>
      <w:ind w:left="240"/>
    </w:pPr>
  </w:style>
  <w:style w:type="paragraph" w:styleId="TOC3">
    <w:name w:val="toc 3"/>
    <w:basedOn w:val="Normal"/>
    <w:next w:val="Normal"/>
    <w:autoRedefine/>
    <w:uiPriority w:val="39"/>
    <w:semiHidden/>
    <w:unhideWhenUsed/>
    <w:rsid w:val="00FE43DF"/>
    <w:pPr>
      <w:spacing w:after="100"/>
      <w:ind w:left="480"/>
    </w:pPr>
  </w:style>
  <w:style w:type="paragraph" w:styleId="TOC4">
    <w:name w:val="toc 4"/>
    <w:basedOn w:val="Normal"/>
    <w:next w:val="Normal"/>
    <w:autoRedefine/>
    <w:uiPriority w:val="39"/>
    <w:semiHidden/>
    <w:unhideWhenUsed/>
    <w:rsid w:val="00FE43DF"/>
    <w:pPr>
      <w:spacing w:after="100"/>
      <w:ind w:left="720"/>
    </w:pPr>
  </w:style>
  <w:style w:type="paragraph" w:styleId="TOC5">
    <w:name w:val="toc 5"/>
    <w:basedOn w:val="Normal"/>
    <w:next w:val="Normal"/>
    <w:autoRedefine/>
    <w:uiPriority w:val="39"/>
    <w:semiHidden/>
    <w:unhideWhenUsed/>
    <w:rsid w:val="00FE43DF"/>
    <w:pPr>
      <w:spacing w:after="100"/>
      <w:ind w:left="960"/>
    </w:pPr>
  </w:style>
  <w:style w:type="paragraph" w:styleId="TOC6">
    <w:name w:val="toc 6"/>
    <w:basedOn w:val="Normal"/>
    <w:next w:val="Normal"/>
    <w:autoRedefine/>
    <w:uiPriority w:val="39"/>
    <w:semiHidden/>
    <w:unhideWhenUsed/>
    <w:rsid w:val="00FE43DF"/>
    <w:pPr>
      <w:spacing w:after="100"/>
      <w:ind w:left="1200"/>
    </w:pPr>
  </w:style>
  <w:style w:type="paragraph" w:styleId="TOC7">
    <w:name w:val="toc 7"/>
    <w:basedOn w:val="Normal"/>
    <w:next w:val="Normal"/>
    <w:autoRedefine/>
    <w:uiPriority w:val="39"/>
    <w:semiHidden/>
    <w:unhideWhenUsed/>
    <w:rsid w:val="00FE43DF"/>
    <w:pPr>
      <w:spacing w:after="100"/>
      <w:ind w:left="1440"/>
    </w:pPr>
  </w:style>
  <w:style w:type="paragraph" w:styleId="TOC8">
    <w:name w:val="toc 8"/>
    <w:basedOn w:val="Normal"/>
    <w:next w:val="Normal"/>
    <w:autoRedefine/>
    <w:uiPriority w:val="39"/>
    <w:semiHidden/>
    <w:unhideWhenUsed/>
    <w:rsid w:val="00FE43DF"/>
    <w:pPr>
      <w:spacing w:after="100"/>
      <w:ind w:left="1680"/>
    </w:pPr>
  </w:style>
  <w:style w:type="paragraph" w:styleId="TOC9">
    <w:name w:val="toc 9"/>
    <w:basedOn w:val="Normal"/>
    <w:next w:val="Normal"/>
    <w:autoRedefine/>
    <w:uiPriority w:val="39"/>
    <w:semiHidden/>
    <w:unhideWhenUsed/>
    <w:rsid w:val="00FE43DF"/>
    <w:pPr>
      <w:spacing w:after="100"/>
      <w:ind w:left="1920"/>
    </w:pPr>
  </w:style>
  <w:style w:type="paragraph" w:customStyle="1" w:styleId="TOCPage">
    <w:name w:val="TOC Page"/>
    <w:basedOn w:val="Normal"/>
    <w:rsid w:val="00FE43DF"/>
    <w:pPr>
      <w:spacing w:after="240" w:line="240" w:lineRule="auto"/>
      <w:jc w:val="right"/>
    </w:pPr>
    <w:rPr>
      <w:rFonts w:eastAsia="Times New Roman"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12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pPr>
      <w:ind w:firstLine="0"/>
    </w:pPr>
  </w:style>
  <w:style w:type="paragraph" w:styleId="Heading1">
    <w:name w:val="heading 1"/>
    <w:basedOn w:val="Normal"/>
    <w:next w:val="Normal"/>
    <w:link w:val="Heading1Char"/>
    <w:uiPriority w:val="9"/>
    <w:qFormat/>
    <w:rsid w:val="0031090C"/>
    <w:pPr>
      <w:numPr>
        <w:numId w:val="2"/>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31090C"/>
    <w:pPr>
      <w:numPr>
        <w:ilvl w:val="1"/>
        <w:numId w:val="2"/>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31090C"/>
    <w:pPr>
      <w:numPr>
        <w:ilvl w:val="2"/>
        <w:numId w:val="2"/>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1090C"/>
    <w:pPr>
      <w:numPr>
        <w:ilvl w:val="3"/>
        <w:numId w:val="2"/>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1090C"/>
    <w:pPr>
      <w:numPr>
        <w:ilvl w:val="4"/>
        <w:numId w:val="2"/>
      </w:numPr>
      <w:spacing w:after="240" w:line="240" w:lineRule="auto"/>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31090C"/>
    <w:pPr>
      <w:numPr>
        <w:ilvl w:val="5"/>
        <w:numId w:val="2"/>
      </w:numPr>
      <w:spacing w:after="240" w:line="240" w:lineRule="auto"/>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31090C"/>
    <w:pPr>
      <w:numPr>
        <w:ilvl w:val="6"/>
        <w:numId w:val="2"/>
      </w:numPr>
      <w:spacing w:after="240" w:line="240" w:lineRule="auto"/>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31090C"/>
    <w:pPr>
      <w:numPr>
        <w:ilvl w:val="7"/>
        <w:numId w:val="2"/>
      </w:numPr>
      <w:spacing w:after="240" w:line="240" w:lineRule="auto"/>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31090C"/>
    <w:pPr>
      <w:numPr>
        <w:ilvl w:val="8"/>
        <w:numId w:val="2"/>
      </w:numPr>
      <w:spacing w:after="240" w:line="240" w:lineRule="auto"/>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9A7FD5"/>
    <w:rPr>
      <w:vertAlign w:val="superscript"/>
    </w:rPr>
  </w:style>
  <w:style w:type="paragraph" w:styleId="ListParagraph">
    <w:name w:val="List Paragraph"/>
    <w:basedOn w:val="Normal"/>
    <w:uiPriority w:val="34"/>
    <w:qFormat/>
    <w:rsid w:val="00F15017"/>
    <w:pPr>
      <w:spacing w:after="0" w:line="240" w:lineRule="auto"/>
      <w:ind w:left="720"/>
      <w:contextualSpacing/>
      <w:jc w:val="left"/>
    </w:pPr>
  </w:style>
  <w:style w:type="character" w:customStyle="1" w:styleId="Heading1Char">
    <w:name w:val="Heading 1 Char"/>
    <w:basedOn w:val="DefaultParagraphFont"/>
    <w:link w:val="Heading1"/>
    <w:uiPriority w:val="9"/>
    <w:rsid w:val="0031090C"/>
    <w:rPr>
      <w:rFonts w:eastAsiaTheme="majorEastAsia" w:cs="Arial"/>
      <w:b/>
      <w:bCs/>
      <w:caps/>
      <w:szCs w:val="28"/>
      <w:u w:val="single"/>
    </w:rPr>
  </w:style>
  <w:style w:type="paragraph" w:styleId="Header">
    <w:name w:val="header"/>
    <w:basedOn w:val="Normal"/>
    <w:link w:val="HeaderChar"/>
    <w:uiPriority w:val="99"/>
    <w:unhideWhenUsed/>
    <w:rsid w:val="00EC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AB"/>
  </w:style>
  <w:style w:type="paragraph" w:styleId="Footer">
    <w:name w:val="footer"/>
    <w:basedOn w:val="Normal"/>
    <w:link w:val="FooterChar"/>
    <w:uiPriority w:val="99"/>
    <w:unhideWhenUsed/>
    <w:rsid w:val="00EC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AB"/>
  </w:style>
  <w:style w:type="character" w:customStyle="1" w:styleId="Heading2Char">
    <w:name w:val="Heading 2 Char"/>
    <w:basedOn w:val="DefaultParagraphFont"/>
    <w:link w:val="Heading2"/>
    <w:uiPriority w:val="9"/>
    <w:semiHidden/>
    <w:rsid w:val="0031090C"/>
    <w:rPr>
      <w:rFonts w:eastAsiaTheme="majorEastAsia" w:cs="Arial"/>
      <w:b/>
      <w:bCs/>
      <w:szCs w:val="26"/>
    </w:rPr>
  </w:style>
  <w:style w:type="character" w:customStyle="1" w:styleId="Heading3Char">
    <w:name w:val="Heading 3 Char"/>
    <w:basedOn w:val="DefaultParagraphFont"/>
    <w:link w:val="Heading3"/>
    <w:uiPriority w:val="9"/>
    <w:semiHidden/>
    <w:rsid w:val="0031090C"/>
    <w:rPr>
      <w:rFonts w:eastAsiaTheme="majorEastAsia" w:cs="Arial"/>
      <w:b/>
      <w:bCs/>
    </w:rPr>
  </w:style>
  <w:style w:type="character" w:customStyle="1" w:styleId="Heading4Char">
    <w:name w:val="Heading 4 Char"/>
    <w:basedOn w:val="DefaultParagraphFont"/>
    <w:link w:val="Heading4"/>
    <w:uiPriority w:val="9"/>
    <w:semiHidden/>
    <w:rsid w:val="0031090C"/>
    <w:rPr>
      <w:rFonts w:eastAsiaTheme="majorEastAsia" w:cs="Arial"/>
      <w:b/>
      <w:bCs/>
      <w:i/>
      <w:iCs/>
    </w:rPr>
  </w:style>
  <w:style w:type="character" w:customStyle="1" w:styleId="Heading5Char">
    <w:name w:val="Heading 5 Char"/>
    <w:basedOn w:val="DefaultParagraphFont"/>
    <w:link w:val="Heading5"/>
    <w:uiPriority w:val="9"/>
    <w:semiHidden/>
    <w:rsid w:val="0031090C"/>
    <w:rPr>
      <w:rFonts w:eastAsiaTheme="majorEastAsia" w:cs="Arial"/>
      <w:color w:val="243F60"/>
    </w:rPr>
  </w:style>
  <w:style w:type="character" w:customStyle="1" w:styleId="Heading6Char">
    <w:name w:val="Heading 6 Char"/>
    <w:basedOn w:val="DefaultParagraphFont"/>
    <w:link w:val="Heading6"/>
    <w:uiPriority w:val="9"/>
    <w:semiHidden/>
    <w:rsid w:val="0031090C"/>
    <w:rPr>
      <w:rFonts w:eastAsiaTheme="majorEastAsia" w:cs="Arial"/>
      <w:iCs/>
      <w:color w:val="243F60"/>
    </w:rPr>
  </w:style>
  <w:style w:type="character" w:customStyle="1" w:styleId="Heading7Char">
    <w:name w:val="Heading 7 Char"/>
    <w:basedOn w:val="DefaultParagraphFont"/>
    <w:link w:val="Heading7"/>
    <w:uiPriority w:val="9"/>
    <w:semiHidden/>
    <w:rsid w:val="0031090C"/>
    <w:rPr>
      <w:rFonts w:eastAsiaTheme="majorEastAsia" w:cs="Arial"/>
      <w:iCs/>
      <w:color w:val="404040"/>
    </w:rPr>
  </w:style>
  <w:style w:type="character" w:customStyle="1" w:styleId="Heading8Char">
    <w:name w:val="Heading 8 Char"/>
    <w:basedOn w:val="DefaultParagraphFont"/>
    <w:link w:val="Heading8"/>
    <w:uiPriority w:val="9"/>
    <w:semiHidden/>
    <w:rsid w:val="0031090C"/>
    <w:rPr>
      <w:rFonts w:eastAsiaTheme="majorEastAsia" w:cs="Arial"/>
      <w:color w:val="404040"/>
      <w:szCs w:val="20"/>
    </w:rPr>
  </w:style>
  <w:style w:type="character" w:customStyle="1" w:styleId="Heading9Char">
    <w:name w:val="Heading 9 Char"/>
    <w:basedOn w:val="DefaultParagraphFont"/>
    <w:link w:val="Heading9"/>
    <w:uiPriority w:val="9"/>
    <w:semiHidden/>
    <w:rsid w:val="0031090C"/>
    <w:rPr>
      <w:rFonts w:eastAsiaTheme="majorEastAsia" w:cs="Arial"/>
      <w:iCs/>
      <w:color w:val="404040"/>
      <w:szCs w:val="20"/>
    </w:rPr>
  </w:style>
  <w:style w:type="paragraph" w:styleId="BodyText">
    <w:name w:val="Body Text"/>
    <w:basedOn w:val="Normal"/>
    <w:link w:val="BodyTextChar"/>
    <w:uiPriority w:val="99"/>
    <w:semiHidden/>
    <w:unhideWhenUsed/>
    <w:rsid w:val="000B7FE7"/>
  </w:style>
  <w:style w:type="character" w:customStyle="1" w:styleId="BodyTextChar">
    <w:name w:val="Body Text Char"/>
    <w:basedOn w:val="DefaultParagraphFont"/>
    <w:link w:val="BodyText"/>
    <w:uiPriority w:val="99"/>
    <w:semiHidden/>
    <w:rsid w:val="000B7FE7"/>
  </w:style>
  <w:style w:type="character" w:styleId="PageNumber">
    <w:name w:val="page number"/>
    <w:basedOn w:val="DefaultParagraphFont"/>
    <w:rsid w:val="005A62B2"/>
  </w:style>
  <w:style w:type="table" w:customStyle="1" w:styleId="TableGrid1">
    <w:name w:val="Table Grid1"/>
    <w:basedOn w:val="TableNormal"/>
    <w:next w:val="TableGrid"/>
    <w:uiPriority w:val="59"/>
    <w:rsid w:val="005A62B2"/>
    <w:pPr>
      <w:spacing w:after="0" w:line="240" w:lineRule="auto"/>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C8"/>
    <w:rPr>
      <w:rFonts w:ascii="Tahoma" w:hAnsi="Tahoma" w:cs="Tahoma"/>
      <w:sz w:val="16"/>
      <w:szCs w:val="16"/>
    </w:rPr>
  </w:style>
  <w:style w:type="character" w:styleId="Hyperlink">
    <w:name w:val="Hyperlink"/>
    <w:basedOn w:val="DefaultParagraphFont"/>
    <w:uiPriority w:val="99"/>
    <w:unhideWhenUsed/>
    <w:rsid w:val="008140C0"/>
    <w:rPr>
      <w:color w:val="0000FF" w:themeColor="hyperlink"/>
      <w:u w:val="single"/>
    </w:rPr>
  </w:style>
  <w:style w:type="paragraph" w:styleId="TOCHeading">
    <w:name w:val="TOC Heading"/>
    <w:basedOn w:val="Normal"/>
    <w:next w:val="TOC1"/>
    <w:uiPriority w:val="39"/>
    <w:unhideWhenUsed/>
    <w:qFormat/>
    <w:rsid w:val="00FE43DF"/>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E70BA4"/>
    <w:pPr>
      <w:tabs>
        <w:tab w:val="right" w:leader="dot" w:pos="9360"/>
      </w:tabs>
      <w:spacing w:after="100" w:line="240" w:lineRule="auto"/>
      <w:ind w:left="547" w:right="720" w:hanging="547"/>
    </w:pPr>
  </w:style>
  <w:style w:type="paragraph" w:styleId="TOC2">
    <w:name w:val="toc 2"/>
    <w:basedOn w:val="Normal"/>
    <w:next w:val="Normal"/>
    <w:autoRedefine/>
    <w:uiPriority w:val="39"/>
    <w:semiHidden/>
    <w:unhideWhenUsed/>
    <w:rsid w:val="00FE43DF"/>
    <w:pPr>
      <w:spacing w:after="100"/>
      <w:ind w:left="240"/>
    </w:pPr>
  </w:style>
  <w:style w:type="paragraph" w:styleId="TOC3">
    <w:name w:val="toc 3"/>
    <w:basedOn w:val="Normal"/>
    <w:next w:val="Normal"/>
    <w:autoRedefine/>
    <w:uiPriority w:val="39"/>
    <w:semiHidden/>
    <w:unhideWhenUsed/>
    <w:rsid w:val="00FE43DF"/>
    <w:pPr>
      <w:spacing w:after="100"/>
      <w:ind w:left="480"/>
    </w:pPr>
  </w:style>
  <w:style w:type="paragraph" w:styleId="TOC4">
    <w:name w:val="toc 4"/>
    <w:basedOn w:val="Normal"/>
    <w:next w:val="Normal"/>
    <w:autoRedefine/>
    <w:uiPriority w:val="39"/>
    <w:semiHidden/>
    <w:unhideWhenUsed/>
    <w:rsid w:val="00FE43DF"/>
    <w:pPr>
      <w:spacing w:after="100"/>
      <w:ind w:left="720"/>
    </w:pPr>
  </w:style>
  <w:style w:type="paragraph" w:styleId="TOC5">
    <w:name w:val="toc 5"/>
    <w:basedOn w:val="Normal"/>
    <w:next w:val="Normal"/>
    <w:autoRedefine/>
    <w:uiPriority w:val="39"/>
    <w:semiHidden/>
    <w:unhideWhenUsed/>
    <w:rsid w:val="00FE43DF"/>
    <w:pPr>
      <w:spacing w:after="100"/>
      <w:ind w:left="960"/>
    </w:pPr>
  </w:style>
  <w:style w:type="paragraph" w:styleId="TOC6">
    <w:name w:val="toc 6"/>
    <w:basedOn w:val="Normal"/>
    <w:next w:val="Normal"/>
    <w:autoRedefine/>
    <w:uiPriority w:val="39"/>
    <w:semiHidden/>
    <w:unhideWhenUsed/>
    <w:rsid w:val="00FE43DF"/>
    <w:pPr>
      <w:spacing w:after="100"/>
      <w:ind w:left="1200"/>
    </w:pPr>
  </w:style>
  <w:style w:type="paragraph" w:styleId="TOC7">
    <w:name w:val="toc 7"/>
    <w:basedOn w:val="Normal"/>
    <w:next w:val="Normal"/>
    <w:autoRedefine/>
    <w:uiPriority w:val="39"/>
    <w:semiHidden/>
    <w:unhideWhenUsed/>
    <w:rsid w:val="00FE43DF"/>
    <w:pPr>
      <w:spacing w:after="100"/>
      <w:ind w:left="1440"/>
    </w:pPr>
  </w:style>
  <w:style w:type="paragraph" w:styleId="TOC8">
    <w:name w:val="toc 8"/>
    <w:basedOn w:val="Normal"/>
    <w:next w:val="Normal"/>
    <w:autoRedefine/>
    <w:uiPriority w:val="39"/>
    <w:semiHidden/>
    <w:unhideWhenUsed/>
    <w:rsid w:val="00FE43DF"/>
    <w:pPr>
      <w:spacing w:after="100"/>
      <w:ind w:left="1680"/>
    </w:pPr>
  </w:style>
  <w:style w:type="paragraph" w:styleId="TOC9">
    <w:name w:val="toc 9"/>
    <w:basedOn w:val="Normal"/>
    <w:next w:val="Normal"/>
    <w:autoRedefine/>
    <w:uiPriority w:val="39"/>
    <w:semiHidden/>
    <w:unhideWhenUsed/>
    <w:rsid w:val="00FE43DF"/>
    <w:pPr>
      <w:spacing w:after="100"/>
      <w:ind w:left="1920"/>
    </w:pPr>
  </w:style>
  <w:style w:type="paragraph" w:customStyle="1" w:styleId="TOCPage">
    <w:name w:val="TOC Page"/>
    <w:basedOn w:val="Normal"/>
    <w:rsid w:val="00FE43DF"/>
    <w:pPr>
      <w:spacing w:after="240" w:line="240" w:lineRule="auto"/>
      <w:jc w:val="right"/>
    </w:pPr>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08780">
      <w:bodyDiv w:val="1"/>
      <w:marLeft w:val="0"/>
      <w:marRight w:val="0"/>
      <w:marTop w:val="0"/>
      <w:marBottom w:val="0"/>
      <w:divBdr>
        <w:top w:val="none" w:sz="0" w:space="0" w:color="auto"/>
        <w:left w:val="none" w:sz="0" w:space="0" w:color="auto"/>
        <w:bottom w:val="none" w:sz="0" w:space="0" w:color="auto"/>
        <w:right w:val="none" w:sz="0" w:space="0" w:color="auto"/>
      </w:divBdr>
    </w:div>
    <w:div w:id="12649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gkrassen@bricker.com"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20</Pages>
  <Words>4220</Words>
  <Characters>23553</Characters>
  <Application>Microsoft Office Word</Application>
  <DocSecurity>0</DocSecurity>
  <PresentationFormat/>
  <Lines>510</Lines>
  <Paragraphs>154</Paragraphs>
  <ScaleCrop>false</ScaleCrop>
  <HeadingPairs>
    <vt:vector size="2" baseType="variant">
      <vt:variant>
        <vt:lpstr>Title</vt:lpstr>
      </vt:variant>
      <vt:variant>
        <vt:i4>1</vt:i4>
      </vt:variant>
    </vt:vector>
  </HeadingPairs>
  <TitlesOfParts>
    <vt:vector size="1" baseType="lpstr">
      <vt:lpstr>FES complaint; reply on motions to intervene and interim relief (C45297).DOCX</vt:lpstr>
    </vt:vector>
  </TitlesOfParts>
  <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 complaint; reply on motions to intervene and interim relief (C45297).DOCX</dc:title>
  <dc:subject>C45297: /font=8</dc:subject>
  <dc:creator>_</dc:creator>
  <cp:keywords/>
  <dc:description/>
  <cp:lastModifiedBy>_</cp:lastModifiedBy>
  <cp:revision>31</cp:revision>
  <cp:lastPrinted>2014-08-11T13:35:00Z</cp:lastPrinted>
  <dcterms:created xsi:type="dcterms:W3CDTF">2014-08-05T13:17:00Z</dcterms:created>
  <dcterms:modified xsi:type="dcterms:W3CDTF">2014-08-11T18:18:00Z</dcterms:modified>
</cp:coreProperties>
</file>