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B1" w:rsidRDefault="009E4630">
      <w:pPr>
        <w:jc w:val="center"/>
        <w:rPr>
          <w:rFonts w:ascii="Arial" w:eastAsiaTheme="minorHAnsi" w:hAnsi="Arial" w:cs="Arial"/>
          <w:b/>
          <w:smallCaps/>
          <w:sz w:val="32"/>
          <w:szCs w:val="32"/>
        </w:rPr>
      </w:pPr>
      <w:bookmarkStart w:id="0" w:name="OLE_LINK1"/>
      <w:bookmarkStart w:id="1" w:name="OLE_LINK2"/>
      <w:r>
        <w:rPr>
          <w:rFonts w:ascii="Arial" w:eastAsiaTheme="minorHAnsi" w:hAnsi="Arial" w:cs="Arial"/>
          <w:b/>
          <w:smallCaps/>
          <w:sz w:val="32"/>
          <w:szCs w:val="32"/>
        </w:rPr>
        <w:t>Before</w:t>
      </w:r>
    </w:p>
    <w:p w:rsidR="008F71B1" w:rsidRDefault="009E4630">
      <w:pPr>
        <w:jc w:val="center"/>
        <w:rPr>
          <w:rFonts w:ascii="Arial" w:eastAsiaTheme="minorHAnsi" w:hAnsi="Arial" w:cs="Arial"/>
          <w:b/>
          <w:smallCaps/>
          <w:sz w:val="32"/>
          <w:szCs w:val="32"/>
        </w:rPr>
      </w:pPr>
      <w:r>
        <w:rPr>
          <w:rFonts w:ascii="Arial" w:eastAsiaTheme="minorHAnsi" w:hAnsi="Arial" w:cs="Arial"/>
          <w:b/>
          <w:smallCaps/>
          <w:sz w:val="32"/>
          <w:szCs w:val="32"/>
        </w:rPr>
        <w:t xml:space="preserve">The </w:t>
      </w:r>
      <w:r w:rsidR="006E11DB">
        <w:rPr>
          <w:rFonts w:ascii="Arial" w:eastAsiaTheme="minorHAnsi" w:hAnsi="Arial" w:cs="Arial"/>
          <w:b/>
          <w:smallCaps/>
          <w:sz w:val="32"/>
          <w:szCs w:val="32"/>
        </w:rPr>
        <w:t>Ohio Power Siting Board</w:t>
      </w:r>
    </w:p>
    <w:p w:rsidR="008F71B1" w:rsidRPr="006E11DB" w:rsidRDefault="008F71B1">
      <w:pPr>
        <w:autoSpaceDE w:val="0"/>
        <w:autoSpaceDN w:val="0"/>
        <w:adjustRightInd w:val="0"/>
        <w:rPr>
          <w:rFonts w:ascii="Arial" w:eastAsiaTheme="minorHAnsi" w:hAnsi="Arial" w:cs="Arial"/>
        </w:rPr>
      </w:pPr>
    </w:p>
    <w:p w:rsidR="006E11DB" w:rsidRDefault="006E11DB"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In the Matter of the Application of </w:t>
      </w:r>
      <w:r>
        <w:rPr>
          <w:rFonts w:ascii="Arial" w:eastAsiaTheme="minorHAnsi" w:hAnsi="Arial" w:cs="Arial"/>
        </w:rPr>
        <w:tab/>
        <w:t>)</w:t>
      </w:r>
    </w:p>
    <w:p w:rsidR="006E11DB" w:rsidRDefault="006E11DB"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6011 Greenwich Windpark, LLC for a </w:t>
      </w:r>
      <w:r>
        <w:rPr>
          <w:rFonts w:ascii="Arial" w:eastAsiaTheme="minorHAnsi" w:hAnsi="Arial" w:cs="Arial"/>
        </w:rPr>
        <w:tab/>
        <w:t>)</w:t>
      </w:r>
    </w:p>
    <w:p w:rsidR="006E11DB" w:rsidRPr="006E11DB" w:rsidRDefault="006E11DB" w:rsidP="00B25F96">
      <w:pPr>
        <w:pStyle w:val="BodyText"/>
        <w:tabs>
          <w:tab w:val="left" w:pos="4680"/>
          <w:tab w:val="left" w:pos="5040"/>
        </w:tabs>
        <w:rPr>
          <w:sz w:val="28"/>
        </w:rPr>
      </w:pPr>
      <w:r w:rsidRPr="006E11DB">
        <w:rPr>
          <w:rFonts w:eastAsiaTheme="minorHAnsi"/>
        </w:rPr>
        <w:t>Certificate to Construct a Wind-Powered</w:t>
      </w:r>
      <w:r w:rsidR="00B25F96">
        <w:rPr>
          <w:rFonts w:eastAsiaTheme="minorHAnsi"/>
        </w:rPr>
        <w:tab/>
      </w:r>
      <w:r>
        <w:rPr>
          <w:rFonts w:eastAsiaTheme="minorHAnsi"/>
        </w:rPr>
        <w:t>)</w:t>
      </w:r>
      <w:r>
        <w:rPr>
          <w:rFonts w:eastAsiaTheme="minorHAnsi"/>
        </w:rPr>
        <w:tab/>
      </w:r>
      <w:r w:rsidRPr="006E11DB">
        <w:rPr>
          <w:rFonts w:eastAsiaTheme="minorHAnsi"/>
        </w:rPr>
        <w:t>Case No. 13-990-EL-BGN</w:t>
      </w:r>
    </w:p>
    <w:p w:rsidR="006E11DB" w:rsidRDefault="006E11DB"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Electric Generation Facility in </w:t>
      </w:r>
      <w:r>
        <w:rPr>
          <w:rFonts w:ascii="Arial" w:eastAsiaTheme="minorHAnsi" w:hAnsi="Arial" w:cs="Arial"/>
        </w:rPr>
        <w:tab/>
        <w:t>)</w:t>
      </w:r>
    </w:p>
    <w:p w:rsidR="006E11DB" w:rsidRPr="006E11DB" w:rsidRDefault="006E11DB"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Huron County, Ohio.</w:t>
      </w:r>
      <w:r>
        <w:rPr>
          <w:rFonts w:ascii="Arial" w:eastAsiaTheme="minorHAnsi" w:hAnsi="Arial" w:cs="Arial"/>
        </w:rPr>
        <w:tab/>
        <w:t>)</w:t>
      </w:r>
    </w:p>
    <w:p w:rsidR="006E11DB" w:rsidRDefault="006E11DB" w:rsidP="006E11DB">
      <w:pPr>
        <w:pStyle w:val="BodyText"/>
        <w:tabs>
          <w:tab w:val="left" w:pos="5040"/>
        </w:tabs>
        <w:rPr>
          <w:rFonts w:eastAsiaTheme="minorHAnsi"/>
        </w:rPr>
      </w:pPr>
    </w:p>
    <w:p w:rsidR="006E11DB" w:rsidRDefault="006E11DB" w:rsidP="006E11DB">
      <w:pPr>
        <w:pStyle w:val="BodyText"/>
        <w:tabs>
          <w:tab w:val="left" w:pos="5040"/>
        </w:tabs>
        <w:rPr>
          <w:rFonts w:eastAsiaTheme="minorHAnsi"/>
        </w:rPr>
      </w:pPr>
    </w:p>
    <w:p w:rsidR="006E11DB" w:rsidRDefault="006E11DB" w:rsidP="006E11DB">
      <w:pPr>
        <w:pStyle w:val="BodyText"/>
        <w:tabs>
          <w:tab w:val="left" w:pos="5040"/>
        </w:tabs>
        <w:rPr>
          <w:rFonts w:eastAsiaTheme="minorHAnsi"/>
        </w:rPr>
      </w:pPr>
    </w:p>
    <w:p w:rsidR="006E11DB" w:rsidRDefault="006E11DB" w:rsidP="006E11DB">
      <w:pPr>
        <w:pStyle w:val="BodyText"/>
        <w:tabs>
          <w:tab w:val="left" w:pos="5040"/>
        </w:tabs>
        <w:rPr>
          <w:rFonts w:eastAsiaTheme="minorHAnsi"/>
        </w:rPr>
      </w:pPr>
      <w:bookmarkStart w:id="2" w:name="_GoBack"/>
      <w:bookmarkEnd w:id="2"/>
    </w:p>
    <w:p w:rsidR="006E11DB" w:rsidRPr="006E11DB" w:rsidRDefault="006E11DB" w:rsidP="006E11DB">
      <w:pPr>
        <w:pStyle w:val="BodyText"/>
        <w:tabs>
          <w:tab w:val="left" w:pos="5040"/>
        </w:tabs>
        <w:rPr>
          <w:rFonts w:eastAsiaTheme="minorHAnsi"/>
        </w:rPr>
      </w:pPr>
    </w:p>
    <w:p w:rsidR="008F71B1" w:rsidRDefault="008F71B1">
      <w:pPr>
        <w:pStyle w:val="Heading1"/>
        <w:pBdr>
          <w:top w:val="single" w:sz="12" w:space="1" w:color="auto"/>
        </w:pBdr>
        <w:tabs>
          <w:tab w:val="left" w:pos="7320"/>
        </w:tabs>
        <w:ind w:left="0" w:right="0"/>
        <w:jc w:val="center"/>
        <w:rPr>
          <w:smallCaps/>
        </w:rPr>
      </w:pPr>
    </w:p>
    <w:p w:rsidR="008F71B1" w:rsidRPr="00A21AD2" w:rsidRDefault="00A21AD2">
      <w:pPr>
        <w:pStyle w:val="Heading1"/>
        <w:tabs>
          <w:tab w:val="left" w:pos="7320"/>
        </w:tabs>
        <w:ind w:left="0" w:right="0"/>
        <w:jc w:val="center"/>
        <w:rPr>
          <w:rFonts w:ascii="Arial Bold" w:hAnsi="Arial Bold"/>
          <w:smallCaps/>
        </w:rPr>
      </w:pPr>
      <w:r w:rsidRPr="00A21AD2">
        <w:rPr>
          <w:rFonts w:ascii="Arial Bold" w:hAnsi="Arial Bold"/>
          <w:smallCaps/>
        </w:rPr>
        <w:t xml:space="preserve">Late-Filed </w:t>
      </w:r>
      <w:r w:rsidR="009E4630" w:rsidRPr="00A21AD2">
        <w:rPr>
          <w:rFonts w:ascii="Arial Bold" w:hAnsi="Arial Bold"/>
          <w:smallCaps/>
        </w:rPr>
        <w:t>Motion to Intervene and Memorandum In Support</w:t>
      </w:r>
    </w:p>
    <w:p w:rsidR="008F71B1" w:rsidRPr="00A21AD2" w:rsidRDefault="009E4630">
      <w:pPr>
        <w:pStyle w:val="Heading1"/>
        <w:tabs>
          <w:tab w:val="left" w:pos="7320"/>
        </w:tabs>
        <w:ind w:left="0" w:right="0"/>
        <w:jc w:val="center"/>
        <w:rPr>
          <w:rFonts w:ascii="Arial Bold" w:hAnsi="Arial Bold"/>
          <w:smallCaps/>
          <w:szCs w:val="28"/>
        </w:rPr>
      </w:pPr>
      <w:r w:rsidRPr="00A21AD2">
        <w:rPr>
          <w:rFonts w:ascii="Arial Bold" w:hAnsi="Arial Bold"/>
          <w:smallCaps/>
        </w:rPr>
        <w:t xml:space="preserve">of </w:t>
      </w:r>
      <w:r w:rsidR="008C6B42">
        <w:rPr>
          <w:rFonts w:ascii="Arial Bold" w:hAnsi="Arial Bold"/>
          <w:smallCaps/>
        </w:rPr>
        <w:t xml:space="preserve">Omega Crop </w:t>
      </w:r>
      <w:r w:rsidR="00D2513B">
        <w:rPr>
          <w:rFonts w:ascii="Arial Bold" w:hAnsi="Arial Bold"/>
          <w:smallCaps/>
        </w:rPr>
        <w:t xml:space="preserve">Co., </w:t>
      </w:r>
      <w:r w:rsidR="008C6B42">
        <w:rPr>
          <w:rFonts w:ascii="Arial Bold" w:hAnsi="Arial Bold"/>
          <w:smallCaps/>
        </w:rPr>
        <w:t>LLC</w:t>
      </w:r>
      <w:r w:rsidR="006A2495">
        <w:rPr>
          <w:rFonts w:ascii="Arial Bold" w:hAnsi="Arial Bold"/>
          <w:smallCaps/>
        </w:rPr>
        <w:t>,</w:t>
      </w:r>
      <w:r w:rsidR="008C6B42">
        <w:rPr>
          <w:rFonts w:ascii="Arial Bold" w:hAnsi="Arial Bold"/>
          <w:smallCaps/>
        </w:rPr>
        <w:t xml:space="preserve"> an</w:t>
      </w:r>
      <w:r w:rsidR="00A21AD2">
        <w:rPr>
          <w:rFonts w:ascii="Arial Bold" w:hAnsi="Arial Bold"/>
          <w:smallCaps/>
        </w:rPr>
        <w:t xml:space="preserve"> Adjacent Property Owner</w:t>
      </w:r>
    </w:p>
    <w:bookmarkEnd w:id="0"/>
    <w:bookmarkEnd w:id="1"/>
    <w:p w:rsidR="008F71B1" w:rsidRPr="00A21AD2" w:rsidRDefault="008F71B1">
      <w:pPr>
        <w:pStyle w:val="Title"/>
        <w:pBdr>
          <w:bottom w:val="single" w:sz="12" w:space="1" w:color="auto"/>
        </w:pBdr>
        <w:rPr>
          <w:rFonts w:ascii="Arial Bold" w:hAnsi="Arial Bold"/>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2E25A4" w:rsidRDefault="002E25A4">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6A2495" w:rsidRDefault="006A2495">
      <w:pPr>
        <w:pStyle w:val="Title"/>
        <w:rPr>
          <w:sz w:val="28"/>
          <w:u w:val="single"/>
        </w:rPr>
      </w:pPr>
    </w:p>
    <w:p w:rsidR="006A2495" w:rsidRDefault="006A2495">
      <w:pPr>
        <w:pStyle w:val="Title"/>
        <w:rPr>
          <w:sz w:val="28"/>
          <w:u w:val="single"/>
        </w:rPr>
      </w:pPr>
    </w:p>
    <w:p w:rsidR="006A2495" w:rsidRDefault="006A2495">
      <w:pPr>
        <w:pStyle w:val="Title"/>
        <w:rPr>
          <w:sz w:val="28"/>
          <w:u w:val="single"/>
        </w:rPr>
      </w:pPr>
    </w:p>
    <w:p w:rsidR="006A2495" w:rsidRDefault="006A2495">
      <w:pPr>
        <w:pStyle w:val="Title"/>
        <w:rPr>
          <w:sz w:val="28"/>
          <w:u w:val="single"/>
        </w:rPr>
      </w:pPr>
    </w:p>
    <w:p w:rsidR="006A2495" w:rsidRDefault="006A2495">
      <w:pPr>
        <w:pStyle w:val="Title"/>
        <w:rPr>
          <w:sz w:val="28"/>
          <w:u w:val="single"/>
        </w:rPr>
      </w:pPr>
    </w:p>
    <w:p w:rsidR="008F71B1" w:rsidRDefault="009E4630">
      <w:pPr>
        <w:tabs>
          <w:tab w:val="left" w:pos="720"/>
          <w:tab w:val="left" w:pos="4320"/>
          <w:tab w:val="right" w:pos="8640"/>
        </w:tabs>
        <w:ind w:left="4320"/>
        <w:rPr>
          <w:rFonts w:ascii="Arial" w:eastAsiaTheme="minorHAnsi" w:hAnsi="Arial" w:cs="Arial"/>
        </w:rPr>
      </w:pPr>
      <w:r>
        <w:rPr>
          <w:rFonts w:ascii="Arial" w:eastAsiaTheme="minorHAnsi" w:hAnsi="Arial" w:cs="Arial"/>
        </w:rPr>
        <w:t>Samuel C. Randazzo</w:t>
      </w:r>
      <w:r w:rsidR="00B50F88">
        <w:rPr>
          <w:rFonts w:ascii="Arial" w:eastAsiaTheme="minorHAnsi" w:hAnsi="Arial" w:cs="Arial"/>
        </w:rPr>
        <w:t xml:space="preserve"> </w:t>
      </w:r>
      <w:r w:rsidR="00B50F88">
        <w:rPr>
          <w:rFonts w:ascii="Arial" w:eastAsiaTheme="minorHAnsi" w:hAnsi="Arial" w:cs="Arial"/>
        </w:rPr>
        <w:t>(Reg. No. 0016386)</w:t>
      </w:r>
      <w:r>
        <w:rPr>
          <w:rFonts w:ascii="Arial" w:eastAsiaTheme="minorHAnsi" w:hAnsi="Arial" w:cs="Arial"/>
        </w:rPr>
        <w:t xml:space="preserve"> </w:t>
      </w:r>
    </w:p>
    <w:p w:rsidR="008F71B1" w:rsidRDefault="00B50F88">
      <w:pPr>
        <w:tabs>
          <w:tab w:val="left" w:pos="720"/>
          <w:tab w:val="left" w:pos="4320"/>
          <w:tab w:val="right" w:pos="8640"/>
        </w:tabs>
        <w:ind w:left="4320"/>
        <w:rPr>
          <w:rFonts w:ascii="Arial" w:eastAsiaTheme="minorHAnsi" w:hAnsi="Arial" w:cs="Arial"/>
        </w:rPr>
      </w:pPr>
      <w:r>
        <w:rPr>
          <w:rFonts w:ascii="Arial" w:eastAsiaTheme="minorHAnsi" w:hAnsi="Arial" w:cs="Arial"/>
        </w:rPr>
        <w:t xml:space="preserve">  </w:t>
      </w:r>
      <w:r w:rsidR="009E4630">
        <w:rPr>
          <w:rFonts w:ascii="Arial" w:eastAsiaTheme="minorHAnsi" w:hAnsi="Arial" w:cs="Arial"/>
        </w:rPr>
        <w:t xml:space="preserve">(Counsel of Record) </w:t>
      </w:r>
    </w:p>
    <w:p w:rsidR="006E11DB" w:rsidRDefault="006E11DB">
      <w:pPr>
        <w:widowControl w:val="0"/>
        <w:tabs>
          <w:tab w:val="left" w:pos="4320"/>
        </w:tabs>
        <w:ind w:left="4320"/>
        <w:rPr>
          <w:rFonts w:ascii="Arial" w:eastAsiaTheme="minorHAnsi" w:hAnsi="Arial" w:cs="Arial"/>
          <w:bCs/>
        </w:rPr>
      </w:pPr>
      <w:r>
        <w:rPr>
          <w:rFonts w:ascii="Arial" w:eastAsiaTheme="minorHAnsi" w:hAnsi="Arial" w:cs="Arial"/>
          <w:bCs/>
        </w:rPr>
        <w:t>Scott E. Elisar (Reg. No. 0081877)</w:t>
      </w:r>
    </w:p>
    <w:p w:rsidR="008F71B1" w:rsidRDefault="009E4630">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 &amp; Nurick LLC</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sam@mwncmh.com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6E11DB" w:rsidRDefault="006E11DB" w:rsidP="006E11DB">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selisar</w:t>
      </w:r>
      <w:r w:rsidRPr="009E4630">
        <w:rPr>
          <w:rFonts w:ascii="Arial" w:eastAsiaTheme="minorHAnsi" w:hAnsi="Arial" w:cs="Arial"/>
        </w:rPr>
        <w:t>@mwncmh.com</w:t>
      </w:r>
    </w:p>
    <w:p w:rsidR="006E11DB" w:rsidRDefault="006E11DB" w:rsidP="006E11DB">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8F71B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p>
    <w:p w:rsidR="008F71B1" w:rsidRDefault="008F71B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b/>
          <w:smallCaps/>
        </w:rPr>
      </w:pPr>
    </w:p>
    <w:p w:rsidR="008F71B1" w:rsidRPr="00A21AD2" w:rsidRDefault="004F3684" w:rsidP="00A21AD2">
      <w:pPr>
        <w:ind w:left="4320" w:hanging="4320"/>
        <w:rPr>
          <w:rFonts w:ascii="Arial" w:hAnsi="Arial" w:cs="Arial"/>
          <w:sz w:val="28"/>
          <w:u w:val="single"/>
        </w:rPr>
        <w:sectPr w:rsidR="008F71B1" w:rsidRPr="00A21A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41" w:left="1440" w:header="720" w:footer="720" w:gutter="0"/>
          <w:pgNumType w:start="1"/>
          <w:cols w:space="720"/>
          <w:titlePg/>
          <w:docGrid w:linePitch="326"/>
        </w:sectPr>
      </w:pPr>
      <w:r>
        <w:rPr>
          <w:rFonts w:ascii="Arial" w:eastAsiaTheme="minorHAnsi" w:hAnsi="Arial" w:cs="Arial"/>
          <w:b/>
        </w:rPr>
        <w:t xml:space="preserve">August </w:t>
      </w:r>
      <w:r w:rsidR="002E7D6F">
        <w:rPr>
          <w:rFonts w:ascii="Arial" w:eastAsiaTheme="minorHAnsi" w:hAnsi="Arial" w:cs="Arial"/>
          <w:b/>
        </w:rPr>
        <w:t>21</w:t>
      </w:r>
      <w:r w:rsidR="009E4630">
        <w:rPr>
          <w:rFonts w:ascii="Arial" w:eastAsiaTheme="minorHAnsi" w:hAnsi="Arial" w:cs="Arial"/>
          <w:b/>
        </w:rPr>
        <w:t>, 2014</w:t>
      </w:r>
      <w:r w:rsidR="009E4630">
        <w:rPr>
          <w:rFonts w:ascii="Arial" w:eastAsiaTheme="minorHAnsi" w:hAnsi="Arial" w:cs="Arial"/>
          <w:b/>
        </w:rPr>
        <w:tab/>
        <w:t xml:space="preserve">Attorneys for </w:t>
      </w:r>
      <w:r w:rsidR="00A21AD2" w:rsidRPr="00D2513B">
        <w:rPr>
          <w:rFonts w:ascii="Arial Bold" w:hAnsi="Arial Bold" w:cs="Arial"/>
          <w:color w:val="000000"/>
        </w:rPr>
        <w:t>Gerald and Connie Oney</w:t>
      </w:r>
    </w:p>
    <w:p w:rsidR="006E11DB" w:rsidRDefault="006E11DB" w:rsidP="006E11DB">
      <w:pPr>
        <w:jc w:val="center"/>
        <w:rPr>
          <w:rFonts w:ascii="Arial" w:eastAsiaTheme="minorHAnsi" w:hAnsi="Arial" w:cs="Arial"/>
          <w:b/>
          <w:smallCaps/>
          <w:sz w:val="32"/>
          <w:szCs w:val="32"/>
        </w:rPr>
      </w:pPr>
      <w:r>
        <w:rPr>
          <w:rFonts w:ascii="Arial" w:eastAsiaTheme="minorHAnsi" w:hAnsi="Arial" w:cs="Arial"/>
          <w:b/>
          <w:smallCaps/>
          <w:sz w:val="32"/>
          <w:szCs w:val="32"/>
        </w:rPr>
        <w:lastRenderedPageBreak/>
        <w:t>Before</w:t>
      </w:r>
    </w:p>
    <w:p w:rsidR="006E11DB" w:rsidRDefault="006E11DB" w:rsidP="006E11DB">
      <w:pPr>
        <w:jc w:val="center"/>
        <w:rPr>
          <w:rFonts w:ascii="Arial" w:eastAsiaTheme="minorHAnsi" w:hAnsi="Arial" w:cs="Arial"/>
          <w:b/>
          <w:smallCaps/>
          <w:sz w:val="32"/>
          <w:szCs w:val="32"/>
        </w:rPr>
      </w:pPr>
      <w:r>
        <w:rPr>
          <w:rFonts w:ascii="Arial" w:eastAsiaTheme="minorHAnsi" w:hAnsi="Arial" w:cs="Arial"/>
          <w:b/>
          <w:smallCaps/>
          <w:sz w:val="32"/>
          <w:szCs w:val="32"/>
        </w:rPr>
        <w:t>The Ohio Power Siting Board</w:t>
      </w:r>
    </w:p>
    <w:p w:rsidR="00B25F96" w:rsidRDefault="00B25F96" w:rsidP="00B25F96">
      <w:pPr>
        <w:tabs>
          <w:tab w:val="left" w:pos="4680"/>
          <w:tab w:val="left" w:pos="5220"/>
        </w:tabs>
        <w:autoSpaceDE w:val="0"/>
        <w:autoSpaceDN w:val="0"/>
        <w:adjustRightInd w:val="0"/>
        <w:rPr>
          <w:rFonts w:ascii="Arial" w:eastAsiaTheme="minorHAnsi" w:hAnsi="Arial" w:cs="Arial"/>
        </w:rPr>
      </w:pPr>
    </w:p>
    <w:p w:rsidR="00574BAA" w:rsidRDefault="00574BAA" w:rsidP="00B25F96">
      <w:pPr>
        <w:tabs>
          <w:tab w:val="left" w:pos="4680"/>
          <w:tab w:val="left" w:pos="5220"/>
        </w:tabs>
        <w:autoSpaceDE w:val="0"/>
        <w:autoSpaceDN w:val="0"/>
        <w:adjustRightInd w:val="0"/>
        <w:rPr>
          <w:rFonts w:ascii="Arial" w:eastAsiaTheme="minorHAnsi" w:hAnsi="Arial" w:cs="Arial"/>
        </w:rPr>
      </w:pPr>
    </w:p>
    <w:p w:rsidR="00B25F96"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In the Matter of the Application of </w:t>
      </w:r>
      <w:r>
        <w:rPr>
          <w:rFonts w:ascii="Arial" w:eastAsiaTheme="minorHAnsi" w:hAnsi="Arial" w:cs="Arial"/>
        </w:rPr>
        <w:tab/>
        <w:t>)</w:t>
      </w:r>
    </w:p>
    <w:p w:rsidR="00B25F96"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6011 Greenwich Windpark, LLC for a </w:t>
      </w:r>
      <w:r>
        <w:rPr>
          <w:rFonts w:ascii="Arial" w:eastAsiaTheme="minorHAnsi" w:hAnsi="Arial" w:cs="Arial"/>
        </w:rPr>
        <w:tab/>
        <w:t>)</w:t>
      </w:r>
    </w:p>
    <w:p w:rsidR="00B25F96" w:rsidRPr="006E11DB" w:rsidRDefault="00B25F96" w:rsidP="00B25F96">
      <w:pPr>
        <w:pStyle w:val="BodyText"/>
        <w:tabs>
          <w:tab w:val="left" w:pos="4680"/>
          <w:tab w:val="left" w:pos="5040"/>
        </w:tabs>
        <w:rPr>
          <w:sz w:val="28"/>
        </w:rPr>
      </w:pPr>
      <w:r w:rsidRPr="006E11DB">
        <w:rPr>
          <w:rFonts w:eastAsiaTheme="minorHAnsi"/>
        </w:rPr>
        <w:t>Certificate to Construct a Wind-Powered</w:t>
      </w:r>
      <w:r>
        <w:rPr>
          <w:rFonts w:eastAsiaTheme="minorHAnsi"/>
        </w:rPr>
        <w:tab/>
        <w:t>)</w:t>
      </w:r>
      <w:r>
        <w:rPr>
          <w:rFonts w:eastAsiaTheme="minorHAnsi"/>
        </w:rPr>
        <w:tab/>
      </w:r>
      <w:r w:rsidRPr="006E11DB">
        <w:rPr>
          <w:rFonts w:eastAsiaTheme="minorHAnsi"/>
        </w:rPr>
        <w:t>Case No. 13-990-EL-BGN</w:t>
      </w:r>
    </w:p>
    <w:p w:rsidR="00B25F96"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Electric Generation Facility in </w:t>
      </w:r>
      <w:r>
        <w:rPr>
          <w:rFonts w:ascii="Arial" w:eastAsiaTheme="minorHAnsi" w:hAnsi="Arial" w:cs="Arial"/>
        </w:rPr>
        <w:tab/>
        <w:t>)</w:t>
      </w:r>
    </w:p>
    <w:p w:rsidR="00B25F96" w:rsidRPr="006E11DB"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Huron County, Ohio.</w:t>
      </w:r>
      <w:r>
        <w:rPr>
          <w:rFonts w:ascii="Arial" w:eastAsiaTheme="minorHAnsi" w:hAnsi="Arial" w:cs="Arial"/>
        </w:rPr>
        <w:tab/>
        <w:t>)</w:t>
      </w:r>
    </w:p>
    <w:p w:rsidR="00B25F96" w:rsidRDefault="00B25F96" w:rsidP="00B25F96">
      <w:pPr>
        <w:pStyle w:val="BodyText"/>
        <w:tabs>
          <w:tab w:val="left" w:pos="5040"/>
        </w:tabs>
        <w:rPr>
          <w:rFonts w:eastAsiaTheme="minorHAnsi"/>
        </w:rPr>
      </w:pPr>
    </w:p>
    <w:p w:rsidR="00574BAA" w:rsidRDefault="00574BAA" w:rsidP="00B25F96">
      <w:pPr>
        <w:pStyle w:val="BodyText"/>
        <w:tabs>
          <w:tab w:val="left" w:pos="5040"/>
        </w:tabs>
        <w:rPr>
          <w:rFonts w:eastAsiaTheme="minorHAnsi"/>
        </w:rPr>
      </w:pPr>
    </w:p>
    <w:p w:rsidR="00574BAA" w:rsidRPr="00574BAA" w:rsidRDefault="00574BAA" w:rsidP="00B25F96">
      <w:pPr>
        <w:pStyle w:val="BodyText"/>
        <w:tabs>
          <w:tab w:val="left" w:pos="5040"/>
        </w:tabs>
        <w:rPr>
          <w:rFonts w:eastAsiaTheme="minorHAnsi"/>
        </w:rPr>
      </w:pPr>
    </w:p>
    <w:p w:rsidR="00E86CFC" w:rsidRPr="00574BAA" w:rsidRDefault="00E86CFC" w:rsidP="00E86CFC">
      <w:pPr>
        <w:pStyle w:val="Heading1"/>
        <w:pBdr>
          <w:top w:val="single" w:sz="12" w:space="1" w:color="auto"/>
        </w:pBdr>
        <w:tabs>
          <w:tab w:val="left" w:pos="7320"/>
        </w:tabs>
        <w:ind w:left="0" w:right="0"/>
        <w:jc w:val="center"/>
        <w:rPr>
          <w:smallCaps/>
          <w:sz w:val="20"/>
          <w:szCs w:val="20"/>
        </w:rPr>
      </w:pPr>
    </w:p>
    <w:p w:rsidR="00574BAA" w:rsidRDefault="008C6B42" w:rsidP="008C6B42">
      <w:pPr>
        <w:pStyle w:val="Heading1"/>
        <w:tabs>
          <w:tab w:val="left" w:pos="7320"/>
        </w:tabs>
        <w:ind w:left="0" w:right="0"/>
        <w:jc w:val="center"/>
        <w:rPr>
          <w:rFonts w:ascii="Arial Bold" w:hAnsi="Arial Bold"/>
          <w:smallCaps/>
        </w:rPr>
      </w:pPr>
      <w:r w:rsidRPr="00A21AD2">
        <w:rPr>
          <w:rFonts w:ascii="Arial Bold" w:hAnsi="Arial Bold"/>
          <w:smallCaps/>
        </w:rPr>
        <w:t xml:space="preserve">Late-Filed Motion to </w:t>
      </w:r>
      <w:r w:rsidR="00574BAA" w:rsidRPr="00A21AD2">
        <w:rPr>
          <w:rFonts w:ascii="Arial Bold" w:hAnsi="Arial Bold"/>
          <w:smallCaps/>
        </w:rPr>
        <w:t>Intervene</w:t>
      </w:r>
      <w:r w:rsidR="00574BAA">
        <w:rPr>
          <w:rFonts w:ascii="Arial Bold" w:hAnsi="Arial Bold"/>
          <w:smallCaps/>
        </w:rPr>
        <w:t xml:space="preserve"> </w:t>
      </w:r>
      <w:r w:rsidR="00574BAA" w:rsidRPr="00A21AD2">
        <w:rPr>
          <w:rFonts w:ascii="Arial Bold" w:hAnsi="Arial Bold"/>
          <w:smallCaps/>
        </w:rPr>
        <w:t>of</w:t>
      </w:r>
      <w:r w:rsidRPr="00A21AD2">
        <w:rPr>
          <w:rFonts w:ascii="Arial Bold" w:hAnsi="Arial Bold"/>
          <w:smallCaps/>
        </w:rPr>
        <w:t xml:space="preserve"> </w:t>
      </w:r>
    </w:p>
    <w:p w:rsidR="006A2495" w:rsidRDefault="008C6B42" w:rsidP="008C6B42">
      <w:pPr>
        <w:pStyle w:val="Heading1"/>
        <w:tabs>
          <w:tab w:val="left" w:pos="7320"/>
        </w:tabs>
        <w:ind w:left="0" w:right="0"/>
        <w:jc w:val="center"/>
        <w:rPr>
          <w:rFonts w:ascii="Arial Bold" w:hAnsi="Arial Bold"/>
          <w:smallCaps/>
        </w:rPr>
      </w:pPr>
      <w:r>
        <w:rPr>
          <w:rFonts w:ascii="Arial Bold" w:hAnsi="Arial Bold"/>
          <w:smallCaps/>
        </w:rPr>
        <w:t xml:space="preserve">Omega Crop </w:t>
      </w:r>
      <w:r w:rsidR="00574BAA">
        <w:rPr>
          <w:rFonts w:ascii="Arial Bold" w:hAnsi="Arial Bold"/>
          <w:smallCaps/>
        </w:rPr>
        <w:t xml:space="preserve">Co., </w:t>
      </w:r>
      <w:r>
        <w:rPr>
          <w:rFonts w:ascii="Arial Bold" w:hAnsi="Arial Bold"/>
          <w:smallCaps/>
        </w:rPr>
        <w:t>LLC</w:t>
      </w:r>
      <w:r w:rsidR="006A2495">
        <w:rPr>
          <w:rFonts w:ascii="Arial Bold" w:hAnsi="Arial Bold"/>
          <w:smallCaps/>
        </w:rPr>
        <w:t>,</w:t>
      </w:r>
    </w:p>
    <w:p w:rsidR="008C6B42" w:rsidRPr="00A21AD2" w:rsidRDefault="008C6B42" w:rsidP="008C6B42">
      <w:pPr>
        <w:pStyle w:val="Heading1"/>
        <w:tabs>
          <w:tab w:val="left" w:pos="7320"/>
        </w:tabs>
        <w:ind w:left="0" w:right="0"/>
        <w:jc w:val="center"/>
        <w:rPr>
          <w:rFonts w:ascii="Arial Bold" w:hAnsi="Arial Bold"/>
          <w:smallCaps/>
          <w:szCs w:val="28"/>
        </w:rPr>
      </w:pPr>
      <w:r>
        <w:rPr>
          <w:rFonts w:ascii="Arial Bold" w:hAnsi="Arial Bold"/>
          <w:smallCaps/>
        </w:rPr>
        <w:t>an Adjacent Property Owner</w:t>
      </w:r>
    </w:p>
    <w:p w:rsidR="00E86CFC" w:rsidRPr="00574BAA" w:rsidRDefault="00E86CFC" w:rsidP="00E86CFC">
      <w:pPr>
        <w:pStyle w:val="Title"/>
        <w:pBdr>
          <w:bottom w:val="single" w:sz="12" w:space="1" w:color="auto"/>
        </w:pBdr>
        <w:rPr>
          <w:sz w:val="20"/>
          <w:szCs w:val="20"/>
          <w:u w:val="single"/>
        </w:rPr>
      </w:pPr>
    </w:p>
    <w:p w:rsidR="00E86CFC" w:rsidRDefault="00E86CFC" w:rsidP="00E86CFC">
      <w:pPr>
        <w:pStyle w:val="Title"/>
        <w:rPr>
          <w:b w:val="0"/>
          <w:sz w:val="24"/>
          <w:u w:val="single"/>
        </w:rPr>
      </w:pPr>
    </w:p>
    <w:p w:rsidR="00574BAA" w:rsidRDefault="00574BAA" w:rsidP="00E86CFC">
      <w:pPr>
        <w:pStyle w:val="Title"/>
        <w:rPr>
          <w:b w:val="0"/>
          <w:sz w:val="24"/>
          <w:u w:val="single"/>
        </w:rPr>
      </w:pPr>
    </w:p>
    <w:p w:rsidR="00574BAA" w:rsidRPr="00574BAA" w:rsidRDefault="00574BAA" w:rsidP="00E86CFC">
      <w:pPr>
        <w:pStyle w:val="Title"/>
        <w:rPr>
          <w:b w:val="0"/>
          <w:sz w:val="24"/>
          <w:u w:val="single"/>
        </w:rPr>
      </w:pPr>
    </w:p>
    <w:p w:rsidR="008F71B1" w:rsidRDefault="008C6B42" w:rsidP="00574BAA">
      <w:pPr>
        <w:pStyle w:val="BodyTextIndent"/>
        <w:spacing w:after="200" w:line="480" w:lineRule="auto"/>
      </w:pPr>
      <w:r>
        <w:t xml:space="preserve">Omega Crop </w:t>
      </w:r>
      <w:r w:rsidR="00D2513B">
        <w:t>Co.,</w:t>
      </w:r>
      <w:r>
        <w:t xml:space="preserve"> LLC (“Omega”)</w:t>
      </w:r>
      <w:r>
        <w:rPr>
          <w:rStyle w:val="FootnoteReference"/>
        </w:rPr>
        <w:footnoteReference w:id="1"/>
      </w:r>
      <w:r>
        <w:t xml:space="preserve"> </w:t>
      </w:r>
      <w:r w:rsidR="009E4630">
        <w:t xml:space="preserve">hereby respectfully moves the </w:t>
      </w:r>
      <w:r w:rsidR="00567125">
        <w:t xml:space="preserve">Ohio Power Siting Board </w:t>
      </w:r>
      <w:r w:rsidR="009E4630">
        <w:t>(“</w:t>
      </w:r>
      <w:r w:rsidR="00567125">
        <w:t>Board</w:t>
      </w:r>
      <w:r w:rsidR="00A21AD2">
        <w:t>”), pursuant to Section 4906</w:t>
      </w:r>
      <w:r w:rsidR="009E4630">
        <w:t>.</w:t>
      </w:r>
      <w:r w:rsidR="00A21AD2">
        <w:t>08(B)</w:t>
      </w:r>
      <w:r w:rsidR="009E4630">
        <w:t>, Revised Code, and Rule 490</w:t>
      </w:r>
      <w:r w:rsidR="00A21AD2">
        <w:t>6</w:t>
      </w:r>
      <w:r w:rsidR="00DD0DA0">
        <w:noBreakHyphen/>
      </w:r>
      <w:r w:rsidR="00A21AD2">
        <w:t>7</w:t>
      </w:r>
      <w:r w:rsidR="009E4630">
        <w:t>-</w:t>
      </w:r>
      <w:r w:rsidR="00A21AD2">
        <w:t>04(C)</w:t>
      </w:r>
      <w:r w:rsidR="009E4630">
        <w:t>, Ohio Administrative Code (“O.A.C.”), for leave to intervene in the above-captioned matter.</w:t>
      </w:r>
    </w:p>
    <w:p w:rsidR="00B25F96" w:rsidRDefault="00555D39" w:rsidP="00574BAA">
      <w:pPr>
        <w:autoSpaceDE w:val="0"/>
        <w:autoSpaceDN w:val="0"/>
        <w:adjustRightInd w:val="0"/>
        <w:spacing w:after="200" w:line="480" w:lineRule="auto"/>
        <w:ind w:firstLine="720"/>
        <w:jc w:val="both"/>
        <w:rPr>
          <w:rFonts w:ascii="Arial" w:hAnsi="Arial" w:cs="Arial"/>
        </w:rPr>
      </w:pPr>
      <w:r>
        <w:rPr>
          <w:rFonts w:ascii="Arial" w:hAnsi="Arial" w:cs="Arial"/>
        </w:rPr>
        <w:t xml:space="preserve">On </w:t>
      </w:r>
      <w:r w:rsidR="006E11DB">
        <w:rPr>
          <w:rFonts w:ascii="Arial" w:hAnsi="Arial" w:cs="Arial"/>
        </w:rPr>
        <w:t xml:space="preserve">December 23, 2013, December 24, 2013 and December 27, 2013, 6011 Greenwich Windpark, LLC (“Greenwich”) filed an application for a Certificate of Environmental </w:t>
      </w:r>
      <w:r w:rsidR="00453997">
        <w:rPr>
          <w:rFonts w:ascii="Arial" w:hAnsi="Arial" w:cs="Arial"/>
        </w:rPr>
        <w:t>Compatibility</w:t>
      </w:r>
      <w:r w:rsidR="006E11DB">
        <w:rPr>
          <w:rFonts w:ascii="Arial" w:hAnsi="Arial" w:cs="Arial"/>
        </w:rPr>
        <w:t xml:space="preserve"> and Public Need (“Certificate”) </w:t>
      </w:r>
      <w:r w:rsidR="00B25F96">
        <w:rPr>
          <w:rFonts w:ascii="Arial" w:hAnsi="Arial" w:cs="Arial"/>
        </w:rPr>
        <w:t xml:space="preserve">to construct the Greenwich Wind Farm, a </w:t>
      </w:r>
      <w:r w:rsidR="00E06ACC">
        <w:rPr>
          <w:rFonts w:ascii="Arial" w:hAnsi="Arial" w:cs="Arial"/>
        </w:rPr>
        <w:t xml:space="preserve">proposed </w:t>
      </w:r>
      <w:r w:rsidR="00B25F96">
        <w:rPr>
          <w:rFonts w:ascii="Arial" w:hAnsi="Arial" w:cs="Arial"/>
        </w:rPr>
        <w:t>wind-powered electric generation fac</w:t>
      </w:r>
      <w:r w:rsidR="00567125">
        <w:rPr>
          <w:rFonts w:ascii="Arial" w:hAnsi="Arial" w:cs="Arial"/>
        </w:rPr>
        <w:t>ility located in Huron County.</w:t>
      </w:r>
    </w:p>
    <w:p w:rsidR="00567125" w:rsidRDefault="009E4630" w:rsidP="00574BAA">
      <w:pPr>
        <w:autoSpaceDE w:val="0"/>
        <w:autoSpaceDN w:val="0"/>
        <w:adjustRightInd w:val="0"/>
        <w:spacing w:after="200" w:line="480" w:lineRule="auto"/>
        <w:ind w:firstLine="720"/>
        <w:jc w:val="both"/>
        <w:rPr>
          <w:rFonts w:ascii="Arial" w:hAnsi="Arial" w:cs="Arial"/>
        </w:rPr>
      </w:pPr>
      <w:r>
        <w:rPr>
          <w:rFonts w:ascii="Arial" w:hAnsi="Arial" w:cs="Arial"/>
        </w:rPr>
        <w:t xml:space="preserve">As demonstrated further in the Memorandum in Support attached hereto and incorporated herein, </w:t>
      </w:r>
      <w:r w:rsidR="008C6B42">
        <w:rPr>
          <w:rFonts w:ascii="Arial" w:hAnsi="Arial" w:cs="Arial"/>
        </w:rPr>
        <w:t xml:space="preserve">Omega </w:t>
      </w:r>
      <w:r w:rsidR="00567125">
        <w:rPr>
          <w:rFonts w:ascii="Arial" w:hAnsi="Arial" w:cs="Arial"/>
        </w:rPr>
        <w:t>own</w:t>
      </w:r>
      <w:r w:rsidR="008C6B42">
        <w:rPr>
          <w:rFonts w:ascii="Arial" w:hAnsi="Arial" w:cs="Arial"/>
        </w:rPr>
        <w:t>s</w:t>
      </w:r>
      <w:r w:rsidR="00567125">
        <w:rPr>
          <w:rFonts w:ascii="Arial" w:hAnsi="Arial" w:cs="Arial"/>
        </w:rPr>
        <w:t xml:space="preserve"> approximately </w:t>
      </w:r>
      <w:r w:rsidR="006A2495">
        <w:rPr>
          <w:rFonts w:ascii="Arial" w:hAnsi="Arial" w:cs="Arial"/>
        </w:rPr>
        <w:t>1,200</w:t>
      </w:r>
      <w:r w:rsidR="00567125">
        <w:rPr>
          <w:rFonts w:ascii="Arial" w:hAnsi="Arial" w:cs="Arial"/>
        </w:rPr>
        <w:t xml:space="preserve"> acres </w:t>
      </w:r>
      <w:r w:rsidR="00E06ACC">
        <w:rPr>
          <w:rFonts w:ascii="Arial" w:hAnsi="Arial" w:cs="Arial"/>
        </w:rPr>
        <w:t xml:space="preserve">of farmland </w:t>
      </w:r>
      <w:r w:rsidR="00567125">
        <w:rPr>
          <w:rFonts w:ascii="Arial" w:hAnsi="Arial" w:cs="Arial"/>
        </w:rPr>
        <w:t xml:space="preserve">adjacent to </w:t>
      </w:r>
      <w:r w:rsidR="00567125">
        <w:rPr>
          <w:rFonts w:ascii="Arial" w:hAnsi="Arial" w:cs="Arial"/>
        </w:rPr>
        <w:lastRenderedPageBreak/>
        <w:t xml:space="preserve">the land that has been or will be leased by Greenwich.  </w:t>
      </w:r>
      <w:r w:rsidR="008C6B42">
        <w:rPr>
          <w:rFonts w:ascii="Arial" w:hAnsi="Arial" w:cs="Arial"/>
        </w:rPr>
        <w:t xml:space="preserve">It has </w:t>
      </w:r>
      <w:r>
        <w:rPr>
          <w:rFonts w:ascii="Arial" w:hAnsi="Arial" w:cs="Arial"/>
        </w:rPr>
        <w:t xml:space="preserve">a direct, real, and substantial interest in the issues and matters involved in the above-captioned proceeding, and </w:t>
      </w:r>
      <w:r w:rsidR="008C6B42">
        <w:rPr>
          <w:rFonts w:ascii="Arial" w:hAnsi="Arial" w:cs="Arial"/>
        </w:rPr>
        <w:t xml:space="preserve">is </w:t>
      </w:r>
      <w:r>
        <w:rPr>
          <w:rFonts w:ascii="Arial" w:hAnsi="Arial" w:cs="Arial"/>
        </w:rPr>
        <w:t xml:space="preserve">so situated that the disposition of this proceeding may, as a practical matter, impair or impede </w:t>
      </w:r>
      <w:r w:rsidR="00277221">
        <w:rPr>
          <w:rFonts w:ascii="Arial" w:hAnsi="Arial" w:cs="Arial"/>
        </w:rPr>
        <w:t>its</w:t>
      </w:r>
      <w:r w:rsidR="00567125">
        <w:rPr>
          <w:rFonts w:ascii="Arial" w:hAnsi="Arial" w:cs="Arial"/>
        </w:rPr>
        <w:t xml:space="preserve"> </w:t>
      </w:r>
      <w:r>
        <w:rPr>
          <w:rFonts w:ascii="Arial" w:hAnsi="Arial" w:cs="Arial"/>
        </w:rPr>
        <w:t>abi</w:t>
      </w:r>
      <w:r w:rsidR="003459C1">
        <w:rPr>
          <w:rFonts w:ascii="Arial" w:hAnsi="Arial" w:cs="Arial"/>
        </w:rPr>
        <w:t>lity to protect that interest.</w:t>
      </w:r>
    </w:p>
    <w:p w:rsidR="00B17C34" w:rsidRDefault="008C6B42" w:rsidP="00574BAA">
      <w:pPr>
        <w:autoSpaceDE w:val="0"/>
        <w:autoSpaceDN w:val="0"/>
        <w:adjustRightInd w:val="0"/>
        <w:spacing w:after="200" w:line="480" w:lineRule="auto"/>
        <w:ind w:firstLine="720"/>
        <w:jc w:val="both"/>
        <w:rPr>
          <w:rFonts w:ascii="Arial" w:hAnsi="Arial" w:cs="Arial"/>
        </w:rPr>
      </w:pPr>
      <w:r>
        <w:rPr>
          <w:rFonts w:ascii="Arial" w:hAnsi="Arial" w:cs="Arial"/>
        </w:rPr>
        <w:t xml:space="preserve">Omega </w:t>
      </w:r>
      <w:r w:rsidR="00567125">
        <w:rPr>
          <w:rFonts w:ascii="Arial" w:hAnsi="Arial" w:cs="Arial"/>
        </w:rPr>
        <w:t>believe</w:t>
      </w:r>
      <w:r>
        <w:rPr>
          <w:rFonts w:ascii="Arial" w:hAnsi="Arial" w:cs="Arial"/>
        </w:rPr>
        <w:t>s</w:t>
      </w:r>
      <w:r w:rsidR="009E4630">
        <w:rPr>
          <w:rFonts w:ascii="Arial" w:hAnsi="Arial" w:cs="Arial"/>
        </w:rPr>
        <w:t xml:space="preserve"> that </w:t>
      </w:r>
      <w:r w:rsidR="001052DA">
        <w:rPr>
          <w:rFonts w:ascii="Arial" w:hAnsi="Arial" w:cs="Arial"/>
        </w:rPr>
        <w:t>granting its</w:t>
      </w:r>
      <w:r w:rsidR="00B17C34">
        <w:rPr>
          <w:rFonts w:ascii="Arial" w:hAnsi="Arial" w:cs="Arial"/>
        </w:rPr>
        <w:t xml:space="preserve"> intervention request as it may apply to the </w:t>
      </w:r>
      <w:r w:rsidR="00567125">
        <w:rPr>
          <w:rFonts w:ascii="Arial" w:hAnsi="Arial" w:cs="Arial"/>
        </w:rPr>
        <w:t xml:space="preserve">remaining phase or phases of this proceeding </w:t>
      </w:r>
      <w:r w:rsidR="009E4630">
        <w:rPr>
          <w:rFonts w:ascii="Arial" w:hAnsi="Arial" w:cs="Arial"/>
        </w:rPr>
        <w:t xml:space="preserve">will not unduly prolong or delay this proceeding and that </w:t>
      </w:r>
      <w:r>
        <w:rPr>
          <w:rFonts w:ascii="Arial" w:hAnsi="Arial" w:cs="Arial"/>
        </w:rPr>
        <w:t xml:space="preserve">it </w:t>
      </w:r>
      <w:r w:rsidR="009E4630">
        <w:rPr>
          <w:rFonts w:ascii="Arial" w:hAnsi="Arial" w:cs="Arial"/>
        </w:rPr>
        <w:t>will significantly contribute to the full development and equitable resolution of the factual and other issues</w:t>
      </w:r>
      <w:r w:rsidR="003459C1">
        <w:rPr>
          <w:rFonts w:ascii="Arial" w:hAnsi="Arial" w:cs="Arial"/>
        </w:rPr>
        <w:t>.</w:t>
      </w:r>
    </w:p>
    <w:p w:rsidR="008F71B1" w:rsidRDefault="009E4630" w:rsidP="00574BAA">
      <w:pPr>
        <w:autoSpaceDE w:val="0"/>
        <w:autoSpaceDN w:val="0"/>
        <w:adjustRightInd w:val="0"/>
        <w:spacing w:after="200" w:line="480" w:lineRule="auto"/>
        <w:ind w:firstLine="720"/>
        <w:jc w:val="both"/>
        <w:rPr>
          <w:rFonts w:ascii="Arial" w:hAnsi="Arial" w:cs="Arial"/>
        </w:rPr>
      </w:pPr>
      <w:r>
        <w:rPr>
          <w:rFonts w:ascii="Arial" w:hAnsi="Arial" w:cs="Arial"/>
        </w:rPr>
        <w:t xml:space="preserve">The interests of </w:t>
      </w:r>
      <w:r w:rsidR="008C6B42">
        <w:rPr>
          <w:rFonts w:ascii="Arial" w:hAnsi="Arial" w:cs="Arial"/>
        </w:rPr>
        <w:t xml:space="preserve">Omega </w:t>
      </w:r>
      <w:r w:rsidR="00567125">
        <w:rPr>
          <w:rFonts w:ascii="Arial" w:hAnsi="Arial" w:cs="Arial"/>
        </w:rPr>
        <w:t xml:space="preserve">have </w:t>
      </w:r>
      <w:r>
        <w:rPr>
          <w:rFonts w:ascii="Arial" w:hAnsi="Arial" w:cs="Arial"/>
        </w:rPr>
        <w:t>not be</w:t>
      </w:r>
      <w:r w:rsidR="00567125">
        <w:rPr>
          <w:rFonts w:ascii="Arial" w:hAnsi="Arial" w:cs="Arial"/>
        </w:rPr>
        <w:t>en</w:t>
      </w:r>
      <w:r>
        <w:rPr>
          <w:rFonts w:ascii="Arial" w:hAnsi="Arial" w:cs="Arial"/>
        </w:rPr>
        <w:t xml:space="preserve"> represented by </w:t>
      </w:r>
      <w:r w:rsidR="00567125">
        <w:rPr>
          <w:rFonts w:ascii="Arial" w:hAnsi="Arial" w:cs="Arial"/>
        </w:rPr>
        <w:t>any existing p</w:t>
      </w:r>
      <w:r>
        <w:rPr>
          <w:rFonts w:ascii="Arial" w:hAnsi="Arial" w:cs="Arial"/>
        </w:rPr>
        <w:t>art</w:t>
      </w:r>
      <w:r w:rsidR="00567125">
        <w:rPr>
          <w:rFonts w:ascii="Arial" w:hAnsi="Arial" w:cs="Arial"/>
        </w:rPr>
        <w:t xml:space="preserve">ies </w:t>
      </w:r>
      <w:r>
        <w:rPr>
          <w:rFonts w:ascii="Arial" w:hAnsi="Arial" w:cs="Arial"/>
        </w:rPr>
        <w:t>to the proceeding</w:t>
      </w:r>
      <w:r w:rsidR="00567125">
        <w:rPr>
          <w:rFonts w:ascii="Arial" w:hAnsi="Arial" w:cs="Arial"/>
        </w:rPr>
        <w:t xml:space="preserve">. </w:t>
      </w:r>
      <w:r>
        <w:rPr>
          <w:rFonts w:ascii="Arial" w:hAnsi="Arial" w:cs="Arial"/>
        </w:rPr>
        <w:t xml:space="preserve"> </w:t>
      </w:r>
      <w:r w:rsidR="00567125">
        <w:rPr>
          <w:rFonts w:ascii="Arial" w:hAnsi="Arial" w:cs="Arial"/>
        </w:rPr>
        <w:t>Indeed, these interests a</w:t>
      </w:r>
      <w:r w:rsidR="002E7D6F">
        <w:rPr>
          <w:rFonts w:ascii="Arial" w:hAnsi="Arial" w:cs="Arial"/>
        </w:rPr>
        <w:t xml:space="preserve">s well as </w:t>
      </w:r>
      <w:r w:rsidR="00567125">
        <w:rPr>
          <w:rFonts w:ascii="Arial" w:hAnsi="Arial" w:cs="Arial"/>
        </w:rPr>
        <w:t xml:space="preserve">the views of similarly situated property owners have generally </w:t>
      </w:r>
      <w:r w:rsidR="00B17C34">
        <w:rPr>
          <w:rFonts w:ascii="Arial" w:hAnsi="Arial" w:cs="Arial"/>
        </w:rPr>
        <w:t>not</w:t>
      </w:r>
      <w:r w:rsidR="00E06ACC">
        <w:rPr>
          <w:rFonts w:ascii="Arial" w:hAnsi="Arial" w:cs="Arial"/>
        </w:rPr>
        <w:t>, during the evidentiary phase of this proceeding,</w:t>
      </w:r>
      <w:r w:rsidR="00B17C34">
        <w:rPr>
          <w:rFonts w:ascii="Arial" w:hAnsi="Arial" w:cs="Arial"/>
        </w:rPr>
        <w:t xml:space="preserve"> been directly communicated to the Board by such property owners or indirectly relayed to the Board by existing parties.</w:t>
      </w:r>
    </w:p>
    <w:p w:rsidR="00D76DD5" w:rsidRDefault="008C6B42" w:rsidP="00574BAA">
      <w:pPr>
        <w:autoSpaceDE w:val="0"/>
        <w:autoSpaceDN w:val="0"/>
        <w:adjustRightInd w:val="0"/>
        <w:spacing w:after="200" w:line="480" w:lineRule="auto"/>
        <w:ind w:firstLine="720"/>
        <w:jc w:val="both"/>
        <w:rPr>
          <w:rFonts w:ascii="Arial" w:hAnsi="Arial" w:cs="Arial"/>
        </w:rPr>
      </w:pPr>
      <w:r>
        <w:rPr>
          <w:rFonts w:ascii="Arial" w:hAnsi="Arial" w:cs="Arial"/>
        </w:rPr>
        <w:t xml:space="preserve">Omega </w:t>
      </w:r>
      <w:r w:rsidR="00B17C34">
        <w:rPr>
          <w:rFonts w:ascii="Arial" w:hAnsi="Arial" w:cs="Arial"/>
        </w:rPr>
        <w:t>believe</w:t>
      </w:r>
      <w:r>
        <w:rPr>
          <w:rFonts w:ascii="Arial" w:hAnsi="Arial" w:cs="Arial"/>
        </w:rPr>
        <w:t>s</w:t>
      </w:r>
      <w:r w:rsidR="00B17C34">
        <w:rPr>
          <w:rFonts w:ascii="Arial" w:hAnsi="Arial" w:cs="Arial"/>
        </w:rPr>
        <w:t xml:space="preserve"> and hereby assert</w:t>
      </w:r>
      <w:r>
        <w:rPr>
          <w:rFonts w:ascii="Arial" w:hAnsi="Arial" w:cs="Arial"/>
        </w:rPr>
        <w:t>s</w:t>
      </w:r>
      <w:r w:rsidR="00B17C34">
        <w:rPr>
          <w:rFonts w:ascii="Arial" w:hAnsi="Arial" w:cs="Arial"/>
        </w:rPr>
        <w:t xml:space="preserve"> that extraordinary circumstances, more fully described in </w:t>
      </w:r>
      <w:r w:rsidR="006A2495">
        <w:rPr>
          <w:rFonts w:ascii="Arial" w:hAnsi="Arial" w:cs="Arial"/>
        </w:rPr>
        <w:t>the M</w:t>
      </w:r>
      <w:r w:rsidR="00B17C34">
        <w:rPr>
          <w:rFonts w:ascii="Arial" w:hAnsi="Arial" w:cs="Arial"/>
        </w:rPr>
        <w:t xml:space="preserve">emorandum in </w:t>
      </w:r>
      <w:r w:rsidR="006A2495">
        <w:rPr>
          <w:rFonts w:ascii="Arial" w:hAnsi="Arial" w:cs="Arial"/>
        </w:rPr>
        <w:t>S</w:t>
      </w:r>
      <w:r w:rsidR="00B17C34">
        <w:rPr>
          <w:rFonts w:ascii="Arial" w:hAnsi="Arial" w:cs="Arial"/>
        </w:rPr>
        <w:t xml:space="preserve">upport, justify granting </w:t>
      </w:r>
      <w:r>
        <w:rPr>
          <w:rFonts w:ascii="Arial" w:hAnsi="Arial" w:cs="Arial"/>
        </w:rPr>
        <w:t xml:space="preserve">its </w:t>
      </w:r>
      <w:r w:rsidR="00B17C34">
        <w:rPr>
          <w:rFonts w:ascii="Arial" w:hAnsi="Arial" w:cs="Arial"/>
        </w:rPr>
        <w:t xml:space="preserve">late-filed intervention request.  </w:t>
      </w:r>
    </w:p>
    <w:p w:rsidR="00B17C34" w:rsidRDefault="00B17C34" w:rsidP="00574BAA">
      <w:pPr>
        <w:autoSpaceDE w:val="0"/>
        <w:autoSpaceDN w:val="0"/>
        <w:adjustRightInd w:val="0"/>
        <w:spacing w:after="200" w:line="480" w:lineRule="auto"/>
        <w:ind w:firstLine="720"/>
        <w:jc w:val="both"/>
        <w:rPr>
          <w:rFonts w:ascii="Arial" w:hAnsi="Arial" w:cs="Arial"/>
        </w:rPr>
      </w:pPr>
      <w:r>
        <w:rPr>
          <w:rFonts w:ascii="Arial" w:hAnsi="Arial" w:cs="Arial"/>
        </w:rPr>
        <w:t xml:space="preserve">If permitted to intervene, </w:t>
      </w:r>
      <w:r w:rsidR="008C6B42">
        <w:rPr>
          <w:rFonts w:ascii="Arial" w:hAnsi="Arial" w:cs="Arial"/>
        </w:rPr>
        <w:t xml:space="preserve">Omega </w:t>
      </w:r>
      <w:r>
        <w:rPr>
          <w:rFonts w:ascii="Arial" w:hAnsi="Arial" w:cs="Arial"/>
        </w:rPr>
        <w:t>agree</w:t>
      </w:r>
      <w:r w:rsidR="008C6B42">
        <w:rPr>
          <w:rFonts w:ascii="Arial" w:hAnsi="Arial" w:cs="Arial"/>
        </w:rPr>
        <w:t>s</w:t>
      </w:r>
      <w:r>
        <w:rPr>
          <w:rFonts w:ascii="Arial" w:hAnsi="Arial" w:cs="Arial"/>
        </w:rPr>
        <w:t xml:space="preserve"> to be bound by arrangements</w:t>
      </w:r>
      <w:r w:rsidR="00D76DD5">
        <w:rPr>
          <w:rFonts w:ascii="Arial" w:hAnsi="Arial" w:cs="Arial"/>
        </w:rPr>
        <w:t>,</w:t>
      </w:r>
      <w:r>
        <w:rPr>
          <w:rFonts w:ascii="Arial" w:hAnsi="Arial" w:cs="Arial"/>
        </w:rPr>
        <w:t xml:space="preserve"> other matters previously made and by agreements previously made except </w:t>
      </w:r>
      <w:r w:rsidR="00D76DD5">
        <w:rPr>
          <w:rFonts w:ascii="Arial" w:hAnsi="Arial" w:cs="Arial"/>
        </w:rPr>
        <w:t xml:space="preserve">for </w:t>
      </w:r>
      <w:r>
        <w:rPr>
          <w:rFonts w:ascii="Arial" w:hAnsi="Arial" w:cs="Arial"/>
        </w:rPr>
        <w:t xml:space="preserve">the </w:t>
      </w:r>
      <w:r w:rsidR="00D76DD5">
        <w:rPr>
          <w:rFonts w:ascii="Arial" w:hAnsi="Arial" w:cs="Arial"/>
        </w:rPr>
        <w:t xml:space="preserve">Joint </w:t>
      </w:r>
      <w:r>
        <w:rPr>
          <w:rFonts w:ascii="Arial" w:hAnsi="Arial" w:cs="Arial"/>
        </w:rPr>
        <w:t xml:space="preserve">Stipulation and Recommendation </w:t>
      </w:r>
      <w:r w:rsidR="00D76DD5">
        <w:rPr>
          <w:rFonts w:ascii="Arial" w:hAnsi="Arial" w:cs="Arial"/>
        </w:rPr>
        <w:t xml:space="preserve">which was filed in this proceeding on May 16, 2014 by parties not representing the interests of </w:t>
      </w:r>
      <w:r w:rsidR="008C6B42">
        <w:rPr>
          <w:rFonts w:ascii="Arial" w:hAnsi="Arial" w:cs="Arial"/>
        </w:rPr>
        <w:t xml:space="preserve">Omega </w:t>
      </w:r>
      <w:r w:rsidR="00D76DD5">
        <w:rPr>
          <w:rFonts w:ascii="Arial" w:hAnsi="Arial" w:cs="Arial"/>
        </w:rPr>
        <w:t xml:space="preserve">or similarly situated property owners.  </w:t>
      </w:r>
      <w:r w:rsidR="00D76DD5">
        <w:rPr>
          <w:rFonts w:ascii="Arial" w:hAnsi="Arial" w:cs="Arial"/>
        </w:rPr>
        <w:lastRenderedPageBreak/>
        <w:t>As is clear from the testimony filed shortly after the May 6, 2014 local public hearing</w:t>
      </w:r>
      <w:r w:rsidR="00D76DD5">
        <w:rPr>
          <w:rStyle w:val="FootnoteReference"/>
          <w:rFonts w:ascii="Arial" w:hAnsi="Arial" w:cs="Arial"/>
        </w:rPr>
        <w:footnoteReference w:id="2"/>
      </w:r>
      <w:r w:rsidR="00D76DD5">
        <w:rPr>
          <w:rFonts w:ascii="Arial" w:hAnsi="Arial" w:cs="Arial"/>
        </w:rPr>
        <w:t xml:space="preserve"> and </w:t>
      </w:r>
      <w:r w:rsidR="00201618">
        <w:rPr>
          <w:rFonts w:ascii="Arial" w:hAnsi="Arial" w:cs="Arial"/>
        </w:rPr>
        <w:t xml:space="preserve">the only testimony filed </w:t>
      </w:r>
      <w:r w:rsidR="00D76DD5">
        <w:rPr>
          <w:rFonts w:ascii="Arial" w:hAnsi="Arial" w:cs="Arial"/>
        </w:rPr>
        <w:t>in support of this Joint Stipulation and Recommendation, th</w:t>
      </w:r>
      <w:r w:rsidR="00201618">
        <w:rPr>
          <w:rFonts w:ascii="Arial" w:hAnsi="Arial" w:cs="Arial"/>
        </w:rPr>
        <w:t>e</w:t>
      </w:r>
      <w:r w:rsidR="00D76DD5">
        <w:rPr>
          <w:rFonts w:ascii="Arial" w:hAnsi="Arial" w:cs="Arial"/>
        </w:rPr>
        <w:t xml:space="preserve"> Joint Stipulation and Recommendation is being advanced based on the </w:t>
      </w:r>
      <w:r w:rsidR="00E848C3">
        <w:rPr>
          <w:rFonts w:ascii="Arial" w:hAnsi="Arial" w:cs="Arial"/>
        </w:rPr>
        <w:t xml:space="preserve">incorrect </w:t>
      </w:r>
      <w:r w:rsidR="00D76DD5">
        <w:rPr>
          <w:rFonts w:ascii="Arial" w:hAnsi="Arial" w:cs="Arial"/>
        </w:rPr>
        <w:t xml:space="preserve">claim that there is little or no opposition to the relief requested in this proceeding.  </w:t>
      </w:r>
      <w:r w:rsidR="00E848C3">
        <w:rPr>
          <w:rFonts w:ascii="Arial" w:hAnsi="Arial" w:cs="Arial"/>
        </w:rPr>
        <w:t xml:space="preserve">The assertion that the relief requested in this proceeding is not opposed </w:t>
      </w:r>
      <w:r w:rsidR="00E06ACC">
        <w:rPr>
          <w:rFonts w:ascii="Arial" w:hAnsi="Arial" w:cs="Arial"/>
        </w:rPr>
        <w:t xml:space="preserve">by members of the public such as Omega </w:t>
      </w:r>
      <w:r w:rsidR="00201618">
        <w:rPr>
          <w:rFonts w:ascii="Arial" w:hAnsi="Arial" w:cs="Arial"/>
        </w:rPr>
        <w:t xml:space="preserve">or </w:t>
      </w:r>
      <w:r w:rsidR="003459C1">
        <w:rPr>
          <w:rFonts w:ascii="Arial" w:hAnsi="Arial" w:cs="Arial"/>
        </w:rPr>
        <w:t xml:space="preserve">an assertion </w:t>
      </w:r>
      <w:r w:rsidR="00201618">
        <w:rPr>
          <w:rFonts w:ascii="Arial" w:hAnsi="Arial" w:cs="Arial"/>
        </w:rPr>
        <w:t xml:space="preserve">that the Joint Stipulation and Recommendation properly responds to the concerns that have been raised by members of the public </w:t>
      </w:r>
      <w:r w:rsidR="00E06ACC">
        <w:rPr>
          <w:rFonts w:ascii="Arial" w:hAnsi="Arial" w:cs="Arial"/>
        </w:rPr>
        <w:t xml:space="preserve">including Omega </w:t>
      </w:r>
      <w:r w:rsidR="003459C1">
        <w:rPr>
          <w:rFonts w:ascii="Arial" w:hAnsi="Arial" w:cs="Arial"/>
        </w:rPr>
        <w:t>is incompatible with reality</w:t>
      </w:r>
      <w:r w:rsidR="00E848C3">
        <w:rPr>
          <w:rFonts w:ascii="Arial" w:hAnsi="Arial" w:cs="Arial"/>
        </w:rPr>
        <w:t xml:space="preserve">.  If </w:t>
      </w:r>
      <w:r w:rsidR="008C6B42">
        <w:rPr>
          <w:rFonts w:ascii="Arial" w:hAnsi="Arial" w:cs="Arial"/>
        </w:rPr>
        <w:t xml:space="preserve">Omega was </w:t>
      </w:r>
      <w:r w:rsidR="00E848C3">
        <w:rPr>
          <w:rFonts w:ascii="Arial" w:hAnsi="Arial" w:cs="Arial"/>
        </w:rPr>
        <w:t>required to agree to be bo</w:t>
      </w:r>
      <w:r w:rsidR="00201618">
        <w:rPr>
          <w:rFonts w:ascii="Arial" w:hAnsi="Arial" w:cs="Arial"/>
        </w:rPr>
        <w:t>u</w:t>
      </w:r>
      <w:r w:rsidR="00E848C3">
        <w:rPr>
          <w:rFonts w:ascii="Arial" w:hAnsi="Arial" w:cs="Arial"/>
        </w:rPr>
        <w:t xml:space="preserve">nd by the Joint Stipulation and Recommendation as a condition for securing intervenor status, it may effectively deprive </w:t>
      </w:r>
      <w:r w:rsidR="008C6B42">
        <w:rPr>
          <w:rFonts w:ascii="Arial" w:hAnsi="Arial" w:cs="Arial"/>
        </w:rPr>
        <w:t xml:space="preserve">Omega </w:t>
      </w:r>
      <w:r w:rsidR="00E848C3">
        <w:rPr>
          <w:rFonts w:ascii="Arial" w:hAnsi="Arial" w:cs="Arial"/>
        </w:rPr>
        <w:t xml:space="preserve">of any meaningful opportunity to protect </w:t>
      </w:r>
      <w:r w:rsidR="00E06ACC">
        <w:rPr>
          <w:rFonts w:ascii="Arial" w:hAnsi="Arial" w:cs="Arial"/>
        </w:rPr>
        <w:t xml:space="preserve">its </w:t>
      </w:r>
      <w:r w:rsidR="00E848C3">
        <w:rPr>
          <w:rFonts w:ascii="Arial" w:hAnsi="Arial" w:cs="Arial"/>
        </w:rPr>
        <w:t>interests in the remaining phases of this proceeding.</w:t>
      </w:r>
    </w:p>
    <w:p w:rsidR="00574BAA" w:rsidRDefault="00574BAA">
      <w:pPr>
        <w:spacing w:after="200" w:line="276" w:lineRule="auto"/>
        <w:rPr>
          <w:rFonts w:ascii="Arial" w:hAnsi="Arial" w:cs="Arial"/>
        </w:rPr>
      </w:pPr>
      <w:r>
        <w:rPr>
          <w:rFonts w:ascii="Arial" w:hAnsi="Arial" w:cs="Arial"/>
        </w:rPr>
        <w:br w:type="page"/>
      </w:r>
    </w:p>
    <w:p w:rsidR="003459C1" w:rsidRDefault="003459C1">
      <w:pPr>
        <w:autoSpaceDE w:val="0"/>
        <w:autoSpaceDN w:val="0"/>
        <w:adjustRightInd w:val="0"/>
        <w:spacing w:line="480" w:lineRule="auto"/>
        <w:ind w:firstLine="720"/>
        <w:jc w:val="both"/>
        <w:rPr>
          <w:rFonts w:ascii="Arial" w:hAnsi="Arial" w:cs="Arial"/>
        </w:rPr>
      </w:pPr>
      <w:r>
        <w:rPr>
          <w:rFonts w:ascii="Arial" w:hAnsi="Arial" w:cs="Arial"/>
        </w:rPr>
        <w:lastRenderedPageBreak/>
        <w:t>Accordingly and for the additional rea</w:t>
      </w:r>
      <w:r w:rsidR="00B50F88">
        <w:rPr>
          <w:rFonts w:ascii="Arial" w:hAnsi="Arial" w:cs="Arial"/>
        </w:rPr>
        <w:t>sons set forth in the attached m</w:t>
      </w:r>
      <w:r>
        <w:rPr>
          <w:rFonts w:ascii="Arial" w:hAnsi="Arial" w:cs="Arial"/>
        </w:rPr>
        <w:t xml:space="preserve">emorandum in </w:t>
      </w:r>
      <w:r w:rsidR="00B50F88">
        <w:rPr>
          <w:rFonts w:ascii="Arial" w:hAnsi="Arial" w:cs="Arial"/>
        </w:rPr>
        <w:t>s</w:t>
      </w:r>
      <w:r>
        <w:rPr>
          <w:rFonts w:ascii="Arial" w:hAnsi="Arial" w:cs="Arial"/>
        </w:rPr>
        <w:t xml:space="preserve">upport, </w:t>
      </w:r>
      <w:r w:rsidR="008C6B42">
        <w:rPr>
          <w:rFonts w:ascii="Arial" w:hAnsi="Arial" w:cs="Arial"/>
        </w:rPr>
        <w:t xml:space="preserve">Omega </w:t>
      </w:r>
      <w:r>
        <w:rPr>
          <w:rFonts w:ascii="Arial" w:hAnsi="Arial" w:cs="Arial"/>
        </w:rPr>
        <w:t>request</w:t>
      </w:r>
      <w:r w:rsidR="008C6B42">
        <w:rPr>
          <w:rFonts w:ascii="Arial" w:hAnsi="Arial" w:cs="Arial"/>
        </w:rPr>
        <w:t>s</w:t>
      </w:r>
      <w:r>
        <w:rPr>
          <w:rFonts w:ascii="Arial" w:hAnsi="Arial" w:cs="Arial"/>
        </w:rPr>
        <w:t xml:space="preserve"> that the Board grant </w:t>
      </w:r>
      <w:r w:rsidR="008C6B42">
        <w:rPr>
          <w:rFonts w:ascii="Arial" w:hAnsi="Arial" w:cs="Arial"/>
        </w:rPr>
        <w:t xml:space="preserve">its </w:t>
      </w:r>
      <w:r>
        <w:rPr>
          <w:rFonts w:ascii="Arial" w:hAnsi="Arial" w:cs="Arial"/>
        </w:rPr>
        <w:t>late-filed intervention request for good cause shown.</w:t>
      </w:r>
    </w:p>
    <w:p w:rsidR="008F71B1" w:rsidRDefault="009E4630">
      <w:pPr>
        <w:tabs>
          <w:tab w:val="left" w:pos="4320"/>
          <w:tab w:val="right" w:pos="8640"/>
        </w:tabs>
        <w:jc w:val="both"/>
        <w:rPr>
          <w:rFonts w:ascii="Arial" w:hAnsi="Arial" w:cs="Arial"/>
        </w:rPr>
      </w:pPr>
      <w:r>
        <w:rPr>
          <w:rFonts w:ascii="Arial" w:hAnsi="Arial" w:cs="Arial"/>
        </w:rPr>
        <w:tab/>
        <w:t>Respectfully submitted,</w:t>
      </w:r>
    </w:p>
    <w:p w:rsidR="008F71B1" w:rsidRDefault="008F71B1">
      <w:pPr>
        <w:tabs>
          <w:tab w:val="left" w:pos="4320"/>
          <w:tab w:val="right" w:pos="8640"/>
        </w:tabs>
        <w:jc w:val="both"/>
        <w:rPr>
          <w:rFonts w:ascii="Arial" w:hAnsi="Arial" w:cs="Arial"/>
        </w:rPr>
      </w:pPr>
    </w:p>
    <w:p w:rsidR="008F71B1" w:rsidRDefault="008F71B1">
      <w:pPr>
        <w:tabs>
          <w:tab w:val="left" w:pos="4320"/>
          <w:tab w:val="right" w:pos="8640"/>
        </w:tabs>
        <w:jc w:val="both"/>
        <w:rPr>
          <w:rFonts w:ascii="Arial" w:hAnsi="Arial" w:cs="Arial"/>
        </w:rPr>
      </w:pPr>
    </w:p>
    <w:p w:rsidR="008F71B1" w:rsidRDefault="00302D55">
      <w:pPr>
        <w:tabs>
          <w:tab w:val="left" w:pos="4320"/>
          <w:tab w:val="right" w:pos="8640"/>
        </w:tabs>
        <w:ind w:left="4320"/>
        <w:jc w:val="both"/>
        <w:rPr>
          <w:rFonts w:ascii="Arial" w:hAnsi="Arial" w:cs="Arial"/>
          <w:i/>
        </w:rPr>
      </w:pPr>
      <w:r>
        <w:rPr>
          <w:rFonts w:ascii="Arial" w:hAnsi="Arial" w:cs="Arial"/>
          <w:i/>
          <w:u w:val="single"/>
        </w:rPr>
        <w:t xml:space="preserve">/s/ </w:t>
      </w:r>
      <w:r w:rsidR="00B25F96">
        <w:rPr>
          <w:rFonts w:ascii="Arial" w:hAnsi="Arial" w:cs="Arial"/>
          <w:i/>
          <w:u w:val="single"/>
        </w:rPr>
        <w:t>Samuel C. Randazzo</w:t>
      </w:r>
      <w:r w:rsidR="009E4630">
        <w:rPr>
          <w:rFonts w:ascii="Arial" w:hAnsi="Arial" w:cs="Arial"/>
          <w:i/>
          <w:u w:val="single"/>
        </w:rPr>
        <w:tab/>
      </w:r>
    </w:p>
    <w:p w:rsidR="008F71B1" w:rsidRDefault="009E4630">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t xml:space="preserve">Samuel C. Randazzo </w:t>
      </w:r>
      <w:r w:rsidR="00B50F88">
        <w:rPr>
          <w:rFonts w:ascii="Arial" w:eastAsiaTheme="minorHAnsi" w:hAnsi="Arial" w:cs="Arial"/>
        </w:rPr>
        <w:t>(Reg. No. 0016386)</w:t>
      </w:r>
    </w:p>
    <w:p w:rsidR="008F71B1" w:rsidRDefault="009E4630">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r>
      <w:r w:rsidR="00B50F88">
        <w:rPr>
          <w:rFonts w:ascii="Arial" w:eastAsiaTheme="minorHAnsi" w:hAnsi="Arial" w:cs="Arial"/>
        </w:rPr>
        <w:t xml:space="preserve">  </w:t>
      </w:r>
      <w:r>
        <w:rPr>
          <w:rFonts w:ascii="Arial" w:eastAsiaTheme="minorHAnsi" w:hAnsi="Arial" w:cs="Arial"/>
        </w:rPr>
        <w:t xml:space="preserve">(Counsel of Record) </w:t>
      </w:r>
    </w:p>
    <w:p w:rsidR="00B25F96" w:rsidRDefault="00B25F96" w:rsidP="00B25F96">
      <w:pPr>
        <w:widowControl w:val="0"/>
        <w:tabs>
          <w:tab w:val="left" w:pos="4320"/>
        </w:tabs>
        <w:ind w:left="4320"/>
        <w:rPr>
          <w:rFonts w:ascii="Arial" w:eastAsiaTheme="minorHAnsi" w:hAnsi="Arial" w:cs="Arial"/>
          <w:bCs/>
        </w:rPr>
      </w:pPr>
      <w:r>
        <w:rPr>
          <w:rFonts w:ascii="Arial" w:eastAsiaTheme="minorHAnsi" w:hAnsi="Arial" w:cs="Arial"/>
          <w:bCs/>
        </w:rPr>
        <w:t>Scott E. Elisar (Reg. No. 0081877)</w:t>
      </w:r>
    </w:p>
    <w:p w:rsidR="008F71B1" w:rsidRDefault="009E4630">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 &amp; Nurick LLC</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sam@mwncmh.com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B25F96" w:rsidRDefault="00B25F96" w:rsidP="00B25F96">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selisar</w:t>
      </w:r>
      <w:r w:rsidRPr="009E4630">
        <w:rPr>
          <w:rFonts w:ascii="Arial" w:eastAsiaTheme="minorHAnsi" w:hAnsi="Arial" w:cs="Arial"/>
        </w:rPr>
        <w:t>@mwncmh.com</w:t>
      </w:r>
    </w:p>
    <w:p w:rsidR="00B25F96" w:rsidRDefault="00B25F96" w:rsidP="00B25F96">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pStyle w:val="Title"/>
        <w:rPr>
          <w:b w:val="0"/>
        </w:rPr>
      </w:pPr>
      <w:r>
        <w:br w:type="page"/>
      </w:r>
    </w:p>
    <w:p w:rsidR="00B25F96" w:rsidRDefault="00B25F96" w:rsidP="00B25F96">
      <w:pPr>
        <w:jc w:val="center"/>
        <w:rPr>
          <w:rFonts w:ascii="Arial" w:eastAsiaTheme="minorHAnsi" w:hAnsi="Arial" w:cs="Arial"/>
          <w:b/>
          <w:smallCaps/>
          <w:sz w:val="32"/>
          <w:szCs w:val="32"/>
        </w:rPr>
      </w:pPr>
      <w:r>
        <w:rPr>
          <w:rFonts w:ascii="Arial" w:eastAsiaTheme="minorHAnsi" w:hAnsi="Arial" w:cs="Arial"/>
          <w:b/>
          <w:smallCaps/>
          <w:sz w:val="32"/>
          <w:szCs w:val="32"/>
        </w:rPr>
        <w:lastRenderedPageBreak/>
        <w:t>Before</w:t>
      </w:r>
    </w:p>
    <w:p w:rsidR="00B25F96" w:rsidRDefault="00B25F96" w:rsidP="00B25F96">
      <w:pPr>
        <w:jc w:val="center"/>
        <w:rPr>
          <w:rFonts w:ascii="Arial" w:eastAsiaTheme="minorHAnsi" w:hAnsi="Arial" w:cs="Arial"/>
          <w:b/>
          <w:smallCaps/>
          <w:sz w:val="32"/>
          <w:szCs w:val="32"/>
        </w:rPr>
      </w:pPr>
      <w:r>
        <w:rPr>
          <w:rFonts w:ascii="Arial" w:eastAsiaTheme="minorHAnsi" w:hAnsi="Arial" w:cs="Arial"/>
          <w:b/>
          <w:smallCaps/>
          <w:sz w:val="32"/>
          <w:szCs w:val="32"/>
        </w:rPr>
        <w:t>The Ohio Power Siting Board</w:t>
      </w:r>
    </w:p>
    <w:p w:rsidR="00B25F96" w:rsidRDefault="00B25F96" w:rsidP="00B25F96">
      <w:pPr>
        <w:tabs>
          <w:tab w:val="left" w:pos="4680"/>
          <w:tab w:val="left" w:pos="5220"/>
        </w:tabs>
        <w:autoSpaceDE w:val="0"/>
        <w:autoSpaceDN w:val="0"/>
        <w:adjustRightInd w:val="0"/>
        <w:rPr>
          <w:rFonts w:ascii="Arial" w:eastAsiaTheme="minorHAnsi" w:hAnsi="Arial" w:cs="Arial"/>
        </w:rPr>
      </w:pPr>
    </w:p>
    <w:p w:rsidR="00B25F96" w:rsidRDefault="00B25F96" w:rsidP="00B25F96">
      <w:pPr>
        <w:tabs>
          <w:tab w:val="left" w:pos="4680"/>
          <w:tab w:val="left" w:pos="5220"/>
        </w:tabs>
        <w:autoSpaceDE w:val="0"/>
        <w:autoSpaceDN w:val="0"/>
        <w:adjustRightInd w:val="0"/>
        <w:rPr>
          <w:rFonts w:ascii="Arial" w:eastAsiaTheme="minorHAnsi" w:hAnsi="Arial" w:cs="Arial"/>
        </w:rPr>
      </w:pPr>
    </w:p>
    <w:p w:rsidR="00B25F96"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In the Matter of the Application of </w:t>
      </w:r>
      <w:r>
        <w:rPr>
          <w:rFonts w:ascii="Arial" w:eastAsiaTheme="minorHAnsi" w:hAnsi="Arial" w:cs="Arial"/>
        </w:rPr>
        <w:tab/>
        <w:t>)</w:t>
      </w:r>
    </w:p>
    <w:p w:rsidR="00B25F96"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6011 Greenwich Windpark, LLC for a </w:t>
      </w:r>
      <w:r>
        <w:rPr>
          <w:rFonts w:ascii="Arial" w:eastAsiaTheme="minorHAnsi" w:hAnsi="Arial" w:cs="Arial"/>
        </w:rPr>
        <w:tab/>
        <w:t>)</w:t>
      </w:r>
    </w:p>
    <w:p w:rsidR="00B25F96" w:rsidRPr="006E11DB" w:rsidRDefault="00B25F96" w:rsidP="00B25F96">
      <w:pPr>
        <w:pStyle w:val="BodyText"/>
        <w:tabs>
          <w:tab w:val="left" w:pos="4680"/>
          <w:tab w:val="left" w:pos="5040"/>
        </w:tabs>
        <w:rPr>
          <w:sz w:val="28"/>
        </w:rPr>
      </w:pPr>
      <w:r w:rsidRPr="006E11DB">
        <w:rPr>
          <w:rFonts w:eastAsiaTheme="minorHAnsi"/>
        </w:rPr>
        <w:t>Certificate to Construct a Wind-Powered</w:t>
      </w:r>
      <w:r>
        <w:rPr>
          <w:rFonts w:eastAsiaTheme="minorHAnsi"/>
        </w:rPr>
        <w:tab/>
        <w:t>)</w:t>
      </w:r>
      <w:r>
        <w:rPr>
          <w:rFonts w:eastAsiaTheme="minorHAnsi"/>
        </w:rPr>
        <w:tab/>
      </w:r>
      <w:r w:rsidRPr="006E11DB">
        <w:rPr>
          <w:rFonts w:eastAsiaTheme="minorHAnsi"/>
        </w:rPr>
        <w:t>Case No. 13-990-EL-BGN</w:t>
      </w:r>
    </w:p>
    <w:p w:rsidR="00B25F96"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 xml:space="preserve">Electric Generation Facility in </w:t>
      </w:r>
      <w:r>
        <w:rPr>
          <w:rFonts w:ascii="Arial" w:eastAsiaTheme="minorHAnsi" w:hAnsi="Arial" w:cs="Arial"/>
        </w:rPr>
        <w:tab/>
        <w:t>)</w:t>
      </w:r>
    </w:p>
    <w:p w:rsidR="00B25F96" w:rsidRPr="006E11DB" w:rsidRDefault="00B25F96" w:rsidP="00B25F96">
      <w:pPr>
        <w:tabs>
          <w:tab w:val="left" w:pos="4680"/>
          <w:tab w:val="left" w:pos="5220"/>
        </w:tabs>
        <w:autoSpaceDE w:val="0"/>
        <w:autoSpaceDN w:val="0"/>
        <w:adjustRightInd w:val="0"/>
        <w:rPr>
          <w:rFonts w:ascii="Arial" w:eastAsiaTheme="minorHAnsi" w:hAnsi="Arial" w:cs="Arial"/>
        </w:rPr>
      </w:pPr>
      <w:r w:rsidRPr="006E11DB">
        <w:rPr>
          <w:rFonts w:ascii="Arial" w:eastAsiaTheme="minorHAnsi" w:hAnsi="Arial" w:cs="Arial"/>
        </w:rPr>
        <w:t>Huron County, Ohio.</w:t>
      </w:r>
      <w:r>
        <w:rPr>
          <w:rFonts w:ascii="Arial" w:eastAsiaTheme="minorHAnsi" w:hAnsi="Arial" w:cs="Arial"/>
        </w:rPr>
        <w:tab/>
        <w:t>)</w:t>
      </w:r>
    </w:p>
    <w:p w:rsidR="00B25F96" w:rsidRDefault="00B25F96" w:rsidP="00B25F96">
      <w:pPr>
        <w:pStyle w:val="BodyText"/>
        <w:tabs>
          <w:tab w:val="left" w:pos="5040"/>
        </w:tabs>
        <w:rPr>
          <w:rFonts w:eastAsiaTheme="minorHAnsi"/>
        </w:rPr>
      </w:pPr>
    </w:p>
    <w:p w:rsidR="004F3684" w:rsidRDefault="004F3684" w:rsidP="004F3684">
      <w:pPr>
        <w:pStyle w:val="BodyText"/>
        <w:tabs>
          <w:tab w:val="left" w:pos="5040"/>
        </w:tabs>
        <w:rPr>
          <w:sz w:val="28"/>
        </w:rPr>
      </w:pPr>
    </w:p>
    <w:p w:rsidR="008F71B1" w:rsidRDefault="008F71B1">
      <w:pPr>
        <w:pStyle w:val="Heading1"/>
        <w:pBdr>
          <w:top w:val="single" w:sz="12" w:space="1" w:color="auto"/>
        </w:pBdr>
        <w:tabs>
          <w:tab w:val="left" w:pos="7320"/>
        </w:tabs>
        <w:ind w:left="0" w:right="0"/>
        <w:jc w:val="center"/>
        <w:rPr>
          <w:smallCaps/>
        </w:rPr>
      </w:pPr>
    </w:p>
    <w:p w:rsidR="003459C1" w:rsidRDefault="009E4630">
      <w:pPr>
        <w:pStyle w:val="Heading1"/>
        <w:tabs>
          <w:tab w:val="left" w:pos="7320"/>
        </w:tabs>
        <w:ind w:left="0" w:right="0"/>
        <w:jc w:val="center"/>
        <w:rPr>
          <w:rFonts w:ascii="Arial Bold" w:hAnsi="Arial Bold"/>
          <w:smallCaps/>
        </w:rPr>
      </w:pPr>
      <w:r>
        <w:rPr>
          <w:smallCaps/>
        </w:rPr>
        <w:t>Memorandum In Support</w:t>
      </w:r>
      <w:r w:rsidR="003459C1">
        <w:rPr>
          <w:smallCaps/>
        </w:rPr>
        <w:t xml:space="preserve"> of </w:t>
      </w:r>
      <w:r w:rsidR="003459C1" w:rsidRPr="00A21AD2">
        <w:rPr>
          <w:rFonts w:ascii="Arial Bold" w:hAnsi="Arial Bold"/>
          <w:smallCaps/>
        </w:rPr>
        <w:t>Late-Filed Motion to Intervene</w:t>
      </w:r>
      <w:r w:rsidR="003459C1">
        <w:rPr>
          <w:rFonts w:ascii="Arial Bold" w:hAnsi="Arial Bold"/>
          <w:smallCaps/>
        </w:rPr>
        <w:t xml:space="preserve"> </w:t>
      </w:r>
    </w:p>
    <w:p w:rsidR="008F71B1" w:rsidRDefault="003459C1">
      <w:pPr>
        <w:pStyle w:val="Heading1"/>
        <w:tabs>
          <w:tab w:val="left" w:pos="7320"/>
        </w:tabs>
        <w:ind w:left="0" w:right="0"/>
        <w:jc w:val="center"/>
        <w:rPr>
          <w:smallCaps/>
        </w:rPr>
      </w:pPr>
      <w:r>
        <w:rPr>
          <w:rFonts w:ascii="Arial Bold" w:hAnsi="Arial Bold"/>
          <w:smallCaps/>
        </w:rPr>
        <w:t xml:space="preserve">by </w:t>
      </w:r>
      <w:r w:rsidR="008C6B42">
        <w:rPr>
          <w:rFonts w:ascii="Arial Bold" w:hAnsi="Arial Bold"/>
          <w:smallCaps/>
        </w:rPr>
        <w:t xml:space="preserve">Omega Crop </w:t>
      </w:r>
      <w:r w:rsidR="00D2513B">
        <w:rPr>
          <w:rFonts w:ascii="Arial Bold" w:hAnsi="Arial Bold"/>
          <w:smallCaps/>
        </w:rPr>
        <w:t xml:space="preserve">Co., </w:t>
      </w:r>
      <w:r w:rsidR="008C6B42">
        <w:rPr>
          <w:rFonts w:ascii="Arial Bold" w:hAnsi="Arial Bold"/>
          <w:smallCaps/>
        </w:rPr>
        <w:t>LLC</w:t>
      </w:r>
      <w:r w:rsidR="006A2495">
        <w:rPr>
          <w:rFonts w:ascii="Arial Bold" w:hAnsi="Arial Bold"/>
          <w:smallCaps/>
        </w:rPr>
        <w:t>,</w:t>
      </w:r>
      <w:r w:rsidR="008C6B42">
        <w:rPr>
          <w:rFonts w:ascii="Arial Bold" w:hAnsi="Arial Bold"/>
          <w:smallCaps/>
        </w:rPr>
        <w:t xml:space="preserve"> </w:t>
      </w:r>
      <w:r w:rsidR="000B0A27">
        <w:rPr>
          <w:rFonts w:ascii="Arial Bold" w:hAnsi="Arial Bold"/>
          <w:smallCaps/>
        </w:rPr>
        <w:t>an Adjacent Property Owner</w:t>
      </w:r>
    </w:p>
    <w:p w:rsidR="008F71B1" w:rsidRDefault="008F71B1">
      <w:pPr>
        <w:pStyle w:val="Title"/>
        <w:pBdr>
          <w:bottom w:val="single" w:sz="12" w:space="1" w:color="auto"/>
        </w:pBdr>
        <w:rPr>
          <w:sz w:val="28"/>
          <w:u w:val="single"/>
        </w:rPr>
      </w:pPr>
    </w:p>
    <w:p w:rsidR="008F71B1" w:rsidRDefault="008F71B1">
      <w:pPr>
        <w:pStyle w:val="Title"/>
        <w:rPr>
          <w:sz w:val="28"/>
          <w:u w:val="single"/>
        </w:rPr>
      </w:pPr>
    </w:p>
    <w:p w:rsidR="008F71B1" w:rsidRDefault="009E4630" w:rsidP="00574BAA">
      <w:pPr>
        <w:pStyle w:val="BodyText2"/>
        <w:spacing w:after="200"/>
        <w:rPr>
          <w:rFonts w:cs="Arial"/>
        </w:rPr>
      </w:pPr>
      <w:r>
        <w:rPr>
          <w:rFonts w:cs="Arial"/>
        </w:rPr>
        <w:t xml:space="preserve">In support of this Motion to Intervene, </w:t>
      </w:r>
      <w:r w:rsidR="008C6B42">
        <w:rPr>
          <w:rFonts w:cs="Arial"/>
        </w:rPr>
        <w:t xml:space="preserve">Omega </w:t>
      </w:r>
      <w:r>
        <w:rPr>
          <w:rFonts w:cs="Arial"/>
        </w:rPr>
        <w:t>state</w:t>
      </w:r>
      <w:r w:rsidR="008C6B42">
        <w:rPr>
          <w:rFonts w:cs="Arial"/>
        </w:rPr>
        <w:t>s</w:t>
      </w:r>
      <w:r>
        <w:rPr>
          <w:rFonts w:cs="Arial"/>
        </w:rPr>
        <w:t xml:space="preserve"> that </w:t>
      </w:r>
      <w:r w:rsidR="008C6B42">
        <w:rPr>
          <w:rFonts w:cs="Arial"/>
        </w:rPr>
        <w:t xml:space="preserve">it is </w:t>
      </w:r>
      <w:r w:rsidR="003459C1">
        <w:rPr>
          <w:rFonts w:cs="Arial"/>
        </w:rPr>
        <w:t xml:space="preserve">the owner of real property consisting of approximately </w:t>
      </w:r>
      <w:r w:rsidR="00B50F88">
        <w:rPr>
          <w:rFonts w:cs="Arial"/>
        </w:rPr>
        <w:t xml:space="preserve">1,200 </w:t>
      </w:r>
      <w:r w:rsidR="003459C1">
        <w:rPr>
          <w:rFonts w:cs="Arial"/>
        </w:rPr>
        <w:t xml:space="preserve">acres.  Such property is </w:t>
      </w:r>
      <w:r w:rsidR="00E901E0">
        <w:rPr>
          <w:rFonts w:cs="Arial"/>
        </w:rPr>
        <w:t xml:space="preserve">farmland and </w:t>
      </w:r>
      <w:r w:rsidR="003459C1">
        <w:rPr>
          <w:rFonts w:cs="Arial"/>
        </w:rPr>
        <w:t xml:space="preserve">adjacent to the property which has been or will be leased by </w:t>
      </w:r>
      <w:r w:rsidR="003459C1" w:rsidRPr="003459C1">
        <w:rPr>
          <w:rFonts w:cs="Arial"/>
        </w:rPr>
        <w:t xml:space="preserve">Greenwich to construct the Greenwich Wind Farm, a </w:t>
      </w:r>
      <w:r w:rsidR="00E06ACC">
        <w:rPr>
          <w:rFonts w:cs="Arial"/>
        </w:rPr>
        <w:t xml:space="preserve">proposed </w:t>
      </w:r>
      <w:r w:rsidR="003459C1" w:rsidRPr="003459C1">
        <w:rPr>
          <w:rFonts w:cs="Arial"/>
        </w:rPr>
        <w:t>wind-powered electric generation facility located in Huron County.</w:t>
      </w:r>
    </w:p>
    <w:p w:rsidR="002E7D6F" w:rsidRDefault="0058633A" w:rsidP="00574BAA">
      <w:pPr>
        <w:pStyle w:val="BodyText2"/>
        <w:spacing w:after="200"/>
        <w:rPr>
          <w:rFonts w:cs="Arial"/>
        </w:rPr>
      </w:pPr>
      <w:r>
        <w:rPr>
          <w:rFonts w:cs="Arial"/>
        </w:rPr>
        <w:t xml:space="preserve">Throughout this proceeding, Greenwich has attempted to divert attention from the growing opposition to its wind farm project.  The May 9, 2014 testimony which Greenwich filed in support of the Joint Stipulation and Recommendation suggests that there is no opposition.  </w:t>
      </w:r>
    </w:p>
    <w:p w:rsidR="00B25F96" w:rsidRDefault="0058633A" w:rsidP="00574BAA">
      <w:pPr>
        <w:pStyle w:val="BodyText2"/>
        <w:spacing w:after="200"/>
        <w:rPr>
          <w:rFonts w:cs="Arial"/>
        </w:rPr>
      </w:pPr>
      <w:r>
        <w:rPr>
          <w:rFonts w:cs="Arial"/>
        </w:rPr>
        <w:t>While there was a local public hearing held in this proceeding, Greenwich’s</w:t>
      </w:r>
      <w:r w:rsidR="006A2495">
        <w:rPr>
          <w:rFonts w:cs="Arial"/>
        </w:rPr>
        <w:t xml:space="preserve"> May </w:t>
      </w:r>
      <w:r>
        <w:rPr>
          <w:rFonts w:cs="Arial"/>
        </w:rPr>
        <w:t xml:space="preserve">9, 2014 testimony acknowledges that the hearing was held at a time when it was unlikely that members of the local community would be able to attend.  More specifically and at page 4 of the testimony of Monica </w:t>
      </w:r>
      <w:r w:rsidR="005D3C37">
        <w:rPr>
          <w:rFonts w:cs="Arial"/>
        </w:rPr>
        <w:t xml:space="preserve">Jensen </w:t>
      </w:r>
      <w:r w:rsidR="002E7D6F">
        <w:rPr>
          <w:rFonts w:cs="Arial"/>
        </w:rPr>
        <w:t>dated May 9, 2014</w:t>
      </w:r>
      <w:r>
        <w:rPr>
          <w:rFonts w:cs="Arial"/>
        </w:rPr>
        <w:t>, the testimony states</w:t>
      </w:r>
      <w:r w:rsidR="00EF27F8">
        <w:rPr>
          <w:rFonts w:cs="Arial"/>
        </w:rPr>
        <w:t xml:space="preserve"> (emphasis added)</w:t>
      </w:r>
      <w:r>
        <w:rPr>
          <w:rFonts w:cs="Arial"/>
        </w:rPr>
        <w:t>:</w:t>
      </w:r>
    </w:p>
    <w:p w:rsidR="0058633A" w:rsidRPr="0058633A" w:rsidRDefault="0058633A" w:rsidP="00574BAA">
      <w:pPr>
        <w:pStyle w:val="BodyText2"/>
        <w:spacing w:after="200" w:line="240" w:lineRule="auto"/>
        <w:ind w:left="1440" w:right="720" w:hanging="720"/>
        <w:rPr>
          <w:rFonts w:cs="Arial"/>
        </w:rPr>
      </w:pPr>
      <w:r>
        <w:rPr>
          <w:rFonts w:cs="Arial"/>
        </w:rPr>
        <w:lastRenderedPageBreak/>
        <w:t>10.</w:t>
      </w:r>
      <w:r w:rsidR="006A2495">
        <w:rPr>
          <w:rFonts w:cs="Arial"/>
        </w:rPr>
        <w:tab/>
      </w:r>
      <w:r w:rsidRPr="0058633A">
        <w:rPr>
          <w:rFonts w:cs="Arial"/>
        </w:rPr>
        <w:t>Are there any other matters you would like to bring to the attention of the Board</w:t>
      </w:r>
      <w:r>
        <w:rPr>
          <w:rFonts w:cs="Arial"/>
        </w:rPr>
        <w:t xml:space="preserve"> </w:t>
      </w:r>
      <w:r w:rsidRPr="0058633A">
        <w:rPr>
          <w:rFonts w:cs="Arial"/>
        </w:rPr>
        <w:t>concerning this case?</w:t>
      </w:r>
    </w:p>
    <w:p w:rsidR="0058633A" w:rsidRDefault="006A2495" w:rsidP="00574BAA">
      <w:pPr>
        <w:pStyle w:val="BodyText2"/>
        <w:spacing w:after="200" w:line="240" w:lineRule="auto"/>
        <w:ind w:left="1440" w:right="720" w:hanging="720"/>
        <w:rPr>
          <w:rFonts w:cs="Arial"/>
        </w:rPr>
      </w:pPr>
      <w:r>
        <w:rPr>
          <w:rFonts w:cs="Arial"/>
        </w:rPr>
        <w:tab/>
      </w:r>
      <w:r w:rsidR="0058633A" w:rsidRPr="0058633A">
        <w:rPr>
          <w:rFonts w:cs="Arial"/>
        </w:rPr>
        <w:t>Yes, I wanted to mention that there were no witnesses at the public hearing who opposed this</w:t>
      </w:r>
      <w:r w:rsidR="00EF27F8">
        <w:rPr>
          <w:rFonts w:cs="Arial"/>
        </w:rPr>
        <w:t xml:space="preserve"> </w:t>
      </w:r>
      <w:r w:rsidR="0058633A" w:rsidRPr="0058633A">
        <w:rPr>
          <w:rFonts w:cs="Arial"/>
        </w:rPr>
        <w:t>project. Though we had talked with many people in the area about supporting the project by</w:t>
      </w:r>
      <w:r w:rsidR="00EF27F8">
        <w:rPr>
          <w:rFonts w:cs="Arial"/>
        </w:rPr>
        <w:t xml:space="preserve"> </w:t>
      </w:r>
      <w:r w:rsidR="0058633A" w:rsidRPr="0058633A">
        <w:rPr>
          <w:rFonts w:cs="Arial"/>
        </w:rPr>
        <w:t xml:space="preserve">attending and testifying at the public hearing on May 6, 2014, </w:t>
      </w:r>
      <w:r w:rsidR="0058633A" w:rsidRPr="00EF27F8">
        <w:rPr>
          <w:rFonts w:cs="Arial"/>
          <w:b/>
        </w:rPr>
        <w:t>because of the timing of the</w:t>
      </w:r>
      <w:r w:rsidR="00EF27F8" w:rsidRPr="00EF27F8">
        <w:rPr>
          <w:rFonts w:cs="Arial"/>
          <w:b/>
        </w:rPr>
        <w:t xml:space="preserve"> </w:t>
      </w:r>
      <w:r w:rsidR="0058633A" w:rsidRPr="00EF27F8">
        <w:rPr>
          <w:rFonts w:cs="Arial"/>
          <w:b/>
        </w:rPr>
        <w:t>hearing and the fact that the people in the community are mostly farmers who are now</w:t>
      </w:r>
      <w:r w:rsidR="00EF27F8" w:rsidRPr="00EF27F8">
        <w:rPr>
          <w:rFonts w:cs="Arial"/>
          <w:b/>
        </w:rPr>
        <w:t xml:space="preserve"> </w:t>
      </w:r>
      <w:r w:rsidR="0058633A" w:rsidRPr="00EF27F8">
        <w:rPr>
          <w:rFonts w:cs="Arial"/>
          <w:b/>
        </w:rPr>
        <w:t>considerably behind in spring planting due to uncooperative weather, only a few were able to</w:t>
      </w:r>
      <w:r w:rsidR="00EF27F8" w:rsidRPr="00EF27F8">
        <w:rPr>
          <w:rFonts w:cs="Arial"/>
          <w:b/>
        </w:rPr>
        <w:t xml:space="preserve"> attend the hearing</w:t>
      </w:r>
      <w:r w:rsidR="00EF27F8">
        <w:rPr>
          <w:rFonts w:cs="Arial"/>
        </w:rPr>
        <w:t>.</w:t>
      </w:r>
    </w:p>
    <w:p w:rsidR="00B25F96" w:rsidRDefault="00EF27F8" w:rsidP="00574BAA">
      <w:pPr>
        <w:pStyle w:val="BodyText2"/>
        <w:spacing w:after="200"/>
        <w:ind w:firstLine="0"/>
        <w:rPr>
          <w:rFonts w:cs="Arial"/>
        </w:rPr>
      </w:pPr>
      <w:r>
        <w:rPr>
          <w:rFonts w:cs="Arial"/>
        </w:rPr>
        <w:tab/>
        <w:t xml:space="preserve">More recently and on August 19, 2014, Greenwich’s attorney filed a letter and other materials suggesting that the opposition to Greenwich’s proposed wind farm which is increasingly evident to everyone but Greenwich is imagined, contrived </w:t>
      </w:r>
      <w:r w:rsidR="002E7D6F">
        <w:rPr>
          <w:rFonts w:cs="Arial"/>
        </w:rPr>
        <w:t>or</w:t>
      </w:r>
      <w:r>
        <w:rPr>
          <w:rFonts w:cs="Arial"/>
        </w:rPr>
        <w:t xml:space="preserve"> the result of citizens who have not been given the correct information.</w:t>
      </w:r>
      <w:r w:rsidR="00CF27A7">
        <w:rPr>
          <w:rFonts w:cs="Arial"/>
        </w:rPr>
        <w:t xml:space="preserve">  This August 19, 2014 filing by Greenwich was not served on the members of the public who have filed comments opposing Greenwich’s certification request.  It was served on the administrative law judge and “parties of record</w:t>
      </w:r>
      <w:r w:rsidR="006A2495">
        <w:rPr>
          <w:rFonts w:cs="Arial"/>
        </w:rPr>
        <w:t>.</w:t>
      </w:r>
      <w:r w:rsidR="00CF27A7">
        <w:rPr>
          <w:rFonts w:cs="Arial"/>
        </w:rPr>
        <w:t xml:space="preserve">”  Accordingly, the parties most directly affected by Greenwich’s rebuttal to the opposition that is evident from the public comments in the case file had no real notice or opportunity to contest the claims and assertions contained in the August 19, 2014 letter.  </w:t>
      </w:r>
    </w:p>
    <w:p w:rsidR="00E901E0" w:rsidRDefault="00EF27F8" w:rsidP="00574BAA">
      <w:pPr>
        <w:pStyle w:val="BodyText2"/>
        <w:spacing w:after="200"/>
        <w:ind w:firstLine="0"/>
        <w:rPr>
          <w:rFonts w:cs="Arial"/>
        </w:rPr>
      </w:pPr>
      <w:r>
        <w:rPr>
          <w:rFonts w:cs="Arial"/>
        </w:rPr>
        <w:tab/>
        <w:t xml:space="preserve">It is not an easy thing for property owners who must attend to their “day job” to also figure out how they must present facts and information to the Ohio Power Siting Board in cases where the value and use of their property may be affected by the for-profit ambitions of </w:t>
      </w:r>
      <w:r w:rsidR="006A2495">
        <w:rPr>
          <w:rFonts w:cs="Arial"/>
        </w:rPr>
        <w:t xml:space="preserve">a </w:t>
      </w:r>
      <w:r>
        <w:rPr>
          <w:rFonts w:cs="Arial"/>
        </w:rPr>
        <w:t>wind farm developer.</w:t>
      </w:r>
      <w:r w:rsidR="00B66EAA">
        <w:rPr>
          <w:rStyle w:val="FootnoteReference"/>
          <w:rFonts w:cs="Arial"/>
        </w:rPr>
        <w:footnoteReference w:id="3"/>
      </w:r>
      <w:r>
        <w:rPr>
          <w:rFonts w:cs="Arial"/>
        </w:rPr>
        <w:t xml:space="preserve">  </w:t>
      </w:r>
      <w:r w:rsidR="00E901E0">
        <w:rPr>
          <w:rFonts w:cs="Arial"/>
        </w:rPr>
        <w:t xml:space="preserve">Yes, </w:t>
      </w:r>
      <w:r>
        <w:rPr>
          <w:rFonts w:cs="Arial"/>
        </w:rPr>
        <w:t>Omega</w:t>
      </w:r>
      <w:r w:rsidR="00E901E0">
        <w:rPr>
          <w:rFonts w:cs="Arial"/>
        </w:rPr>
        <w:t xml:space="preserve">’s </w:t>
      </w:r>
      <w:r>
        <w:rPr>
          <w:rFonts w:cs="Arial"/>
        </w:rPr>
        <w:t xml:space="preserve">intervention request is late </w:t>
      </w:r>
      <w:r w:rsidR="00E901E0">
        <w:rPr>
          <w:rFonts w:cs="Arial"/>
        </w:rPr>
        <w:t xml:space="preserve">as measured by the literal application of the </w:t>
      </w:r>
      <w:r>
        <w:rPr>
          <w:rFonts w:cs="Arial"/>
        </w:rPr>
        <w:t xml:space="preserve">procedural schedule in this case.  But </w:t>
      </w:r>
      <w:r>
        <w:rPr>
          <w:rFonts w:cs="Arial"/>
        </w:rPr>
        <w:lastRenderedPageBreak/>
        <w:t xml:space="preserve">Omega’s intervention comes after a rather extraordinary effort on the part of Omega to </w:t>
      </w:r>
      <w:r w:rsidR="0038134B">
        <w:rPr>
          <w:rFonts w:cs="Arial"/>
        </w:rPr>
        <w:t xml:space="preserve">learn and then </w:t>
      </w:r>
      <w:r>
        <w:rPr>
          <w:rFonts w:cs="Arial"/>
        </w:rPr>
        <w:t xml:space="preserve">appreciate the significance of having intervenor status </w:t>
      </w:r>
      <w:r w:rsidR="00E06ACC">
        <w:rPr>
          <w:rFonts w:cs="Arial"/>
        </w:rPr>
        <w:t xml:space="preserve">as a condition </w:t>
      </w:r>
      <w:r w:rsidR="005115DB">
        <w:rPr>
          <w:rFonts w:cs="Arial"/>
        </w:rPr>
        <w:t>for</w:t>
      </w:r>
      <w:r>
        <w:rPr>
          <w:rFonts w:cs="Arial"/>
        </w:rPr>
        <w:t xml:space="preserve"> full utiliz</w:t>
      </w:r>
      <w:r w:rsidR="00E06ACC">
        <w:rPr>
          <w:rFonts w:cs="Arial"/>
        </w:rPr>
        <w:t xml:space="preserve">ation of </w:t>
      </w:r>
      <w:r>
        <w:rPr>
          <w:rFonts w:cs="Arial"/>
        </w:rPr>
        <w:t xml:space="preserve">all available rights and </w:t>
      </w:r>
      <w:r w:rsidR="0038134B">
        <w:rPr>
          <w:rFonts w:cs="Arial"/>
        </w:rPr>
        <w:t>privileges</w:t>
      </w:r>
      <w:r>
        <w:rPr>
          <w:rFonts w:cs="Arial"/>
        </w:rPr>
        <w:t xml:space="preserve"> </w:t>
      </w:r>
      <w:r w:rsidR="00E06ACC">
        <w:rPr>
          <w:rFonts w:cs="Arial"/>
        </w:rPr>
        <w:t>which are available to Omega once it has intervenor status</w:t>
      </w:r>
      <w:r w:rsidR="0038134B">
        <w:rPr>
          <w:rFonts w:cs="Arial"/>
        </w:rPr>
        <w:t xml:space="preserve">.  </w:t>
      </w:r>
    </w:p>
    <w:p w:rsidR="00EF27F8" w:rsidRDefault="00E901E0" w:rsidP="00574BAA">
      <w:pPr>
        <w:pStyle w:val="BodyText2"/>
        <w:spacing w:after="200"/>
        <w:ind w:firstLine="0"/>
        <w:rPr>
          <w:rFonts w:cs="Arial"/>
        </w:rPr>
      </w:pPr>
      <w:r>
        <w:rPr>
          <w:rFonts w:cs="Arial"/>
        </w:rPr>
        <w:tab/>
      </w:r>
      <w:r w:rsidR="0038134B">
        <w:rPr>
          <w:rFonts w:cs="Arial"/>
        </w:rPr>
        <w:t xml:space="preserve">Omega and other similarly situated property owners, local officials and members of the General Assembly have repeatedly asked the Board to hold another local public hearing which would provide a meaningful opportunity for the Board to hear the truth about the scope and degree of opposition to Greenwich’s proposed wind farm.  It is an extraordinary circumstance for the Board to ignore these requests for a meaningful local public hearing in </w:t>
      </w:r>
      <w:r w:rsidR="00E06ACC">
        <w:rPr>
          <w:rFonts w:cs="Arial"/>
        </w:rPr>
        <w:t xml:space="preserve">a context </w:t>
      </w:r>
      <w:r w:rsidR="0038134B">
        <w:rPr>
          <w:rFonts w:cs="Arial"/>
        </w:rPr>
        <w:t xml:space="preserve">where Greenwich itself </w:t>
      </w:r>
      <w:r w:rsidR="00E06ACC">
        <w:rPr>
          <w:rFonts w:cs="Arial"/>
        </w:rPr>
        <w:t xml:space="preserve">has </w:t>
      </w:r>
      <w:r w:rsidR="0038134B">
        <w:rPr>
          <w:rFonts w:cs="Arial"/>
        </w:rPr>
        <w:t>acknowledge</w:t>
      </w:r>
      <w:r w:rsidR="00E06ACC">
        <w:rPr>
          <w:rFonts w:cs="Arial"/>
        </w:rPr>
        <w:t>d</w:t>
      </w:r>
      <w:r w:rsidR="0038134B">
        <w:rPr>
          <w:rFonts w:cs="Arial"/>
        </w:rPr>
        <w:t xml:space="preserve"> that public participation in the May 6, 2014 hearing was unlikely due to the real world demands </w:t>
      </w:r>
      <w:r>
        <w:rPr>
          <w:rFonts w:cs="Arial"/>
        </w:rPr>
        <w:t>of getting a crop in the ground.</w:t>
      </w:r>
      <w:r w:rsidR="0038134B">
        <w:rPr>
          <w:rFonts w:cs="Arial"/>
        </w:rPr>
        <w:t xml:space="preserve"> </w:t>
      </w:r>
      <w:r>
        <w:rPr>
          <w:rFonts w:cs="Arial"/>
        </w:rPr>
        <w:t xml:space="preserve"> </w:t>
      </w:r>
      <w:r w:rsidR="00E06ACC">
        <w:rPr>
          <w:rFonts w:cs="Arial"/>
        </w:rPr>
        <w:t>Nonetheless</w:t>
      </w:r>
      <w:r>
        <w:rPr>
          <w:rFonts w:cs="Arial"/>
        </w:rPr>
        <w:t xml:space="preserve">, these many requests have thus far been ignored by the Board in a context that clearly shows that Greenwich has used, to its considerable advantage, its “party” status in this proceeding to obscure the views and positions of property owners and other citizens who </w:t>
      </w:r>
      <w:r w:rsidR="00E06ACC">
        <w:rPr>
          <w:rFonts w:cs="Arial"/>
        </w:rPr>
        <w:t xml:space="preserve">are: (1) </w:t>
      </w:r>
      <w:r w:rsidR="002E7D6F">
        <w:rPr>
          <w:rFonts w:cs="Arial"/>
        </w:rPr>
        <w:t xml:space="preserve">just </w:t>
      </w:r>
      <w:r w:rsidR="00C67508">
        <w:rPr>
          <w:rFonts w:cs="Arial"/>
        </w:rPr>
        <w:t xml:space="preserve">beginning to appreciate the risks associated with </w:t>
      </w:r>
      <w:r>
        <w:rPr>
          <w:rFonts w:cs="Arial"/>
        </w:rPr>
        <w:t>Greenwich’s ambitions</w:t>
      </w:r>
      <w:r w:rsidR="00E06ACC">
        <w:rPr>
          <w:rFonts w:cs="Arial"/>
        </w:rPr>
        <w:t xml:space="preserve">; </w:t>
      </w:r>
      <w:r>
        <w:rPr>
          <w:rFonts w:cs="Arial"/>
        </w:rPr>
        <w:t>and</w:t>
      </w:r>
      <w:r w:rsidR="00E06ACC">
        <w:rPr>
          <w:rFonts w:cs="Arial"/>
        </w:rPr>
        <w:t>,</w:t>
      </w:r>
      <w:r>
        <w:rPr>
          <w:rFonts w:cs="Arial"/>
        </w:rPr>
        <w:t xml:space="preserve"> </w:t>
      </w:r>
      <w:r w:rsidR="00E06ACC">
        <w:rPr>
          <w:rFonts w:cs="Arial"/>
        </w:rPr>
        <w:t xml:space="preserve">(2) </w:t>
      </w:r>
      <w:r>
        <w:rPr>
          <w:rFonts w:cs="Arial"/>
        </w:rPr>
        <w:t xml:space="preserve">then express opposition to the Greenwich </w:t>
      </w:r>
      <w:r w:rsidR="006A2495">
        <w:rPr>
          <w:rFonts w:cs="Arial"/>
        </w:rPr>
        <w:t>W</w:t>
      </w:r>
      <w:r>
        <w:rPr>
          <w:rFonts w:cs="Arial"/>
        </w:rPr>
        <w:t xml:space="preserve">ind </w:t>
      </w:r>
      <w:r w:rsidR="006A2495">
        <w:rPr>
          <w:rFonts w:cs="Arial"/>
        </w:rPr>
        <w:t>F</w:t>
      </w:r>
      <w:r>
        <w:rPr>
          <w:rFonts w:cs="Arial"/>
        </w:rPr>
        <w:t>arm</w:t>
      </w:r>
      <w:r w:rsidR="00C67508">
        <w:rPr>
          <w:rFonts w:cs="Arial"/>
        </w:rPr>
        <w:t>.</w:t>
      </w:r>
    </w:p>
    <w:p w:rsidR="008F71B1" w:rsidRDefault="00E901E0" w:rsidP="00574BAA">
      <w:pPr>
        <w:pStyle w:val="HTMLPreformatted"/>
        <w:spacing w:after="200" w:line="480" w:lineRule="auto"/>
        <w:ind w:firstLine="720"/>
        <w:jc w:val="both"/>
        <w:rPr>
          <w:rFonts w:ascii="Arial" w:hAnsi="Arial" w:cs="Arial"/>
          <w:sz w:val="24"/>
          <w:szCs w:val="24"/>
        </w:rPr>
      </w:pPr>
      <w:r>
        <w:rPr>
          <w:rFonts w:ascii="Arial" w:hAnsi="Arial" w:cs="Arial"/>
          <w:sz w:val="24"/>
          <w:szCs w:val="24"/>
        </w:rPr>
        <w:t xml:space="preserve">Among other things, Greenwich and the Staff Report of Investigation </w:t>
      </w:r>
      <w:r w:rsidR="00E06ACC">
        <w:rPr>
          <w:rFonts w:ascii="Arial" w:hAnsi="Arial" w:cs="Arial"/>
          <w:sz w:val="24"/>
          <w:szCs w:val="24"/>
        </w:rPr>
        <w:t>suggest</w:t>
      </w:r>
      <w:r>
        <w:rPr>
          <w:rStyle w:val="FootnoteReference"/>
          <w:rFonts w:ascii="Arial" w:hAnsi="Arial" w:cs="Arial"/>
          <w:sz w:val="24"/>
          <w:szCs w:val="24"/>
        </w:rPr>
        <w:footnoteReference w:id="4"/>
      </w:r>
      <w:r>
        <w:rPr>
          <w:rFonts w:ascii="Arial" w:hAnsi="Arial" w:cs="Arial"/>
          <w:sz w:val="24"/>
          <w:szCs w:val="24"/>
        </w:rPr>
        <w:t xml:space="preserve"> that Green</w:t>
      </w:r>
      <w:r w:rsidR="00E06ACC">
        <w:rPr>
          <w:rFonts w:ascii="Arial" w:hAnsi="Arial" w:cs="Arial"/>
          <w:sz w:val="24"/>
          <w:szCs w:val="24"/>
        </w:rPr>
        <w:t>w</w:t>
      </w:r>
      <w:r>
        <w:rPr>
          <w:rFonts w:ascii="Arial" w:hAnsi="Arial" w:cs="Arial"/>
          <w:sz w:val="24"/>
          <w:szCs w:val="24"/>
        </w:rPr>
        <w:t xml:space="preserve">ich has secured </w:t>
      </w:r>
      <w:r w:rsidR="00E06ACC">
        <w:rPr>
          <w:rFonts w:ascii="Arial" w:hAnsi="Arial" w:cs="Arial"/>
          <w:sz w:val="24"/>
          <w:szCs w:val="24"/>
        </w:rPr>
        <w:t xml:space="preserve">all the necessary </w:t>
      </w:r>
      <w:r>
        <w:rPr>
          <w:rFonts w:ascii="Arial" w:hAnsi="Arial" w:cs="Arial"/>
          <w:sz w:val="24"/>
          <w:szCs w:val="24"/>
        </w:rPr>
        <w:t>waivers from the minimum setback requirements.</w:t>
      </w:r>
      <w:r w:rsidR="00C67508">
        <w:rPr>
          <w:rFonts w:ascii="Arial" w:hAnsi="Arial" w:cs="Arial"/>
          <w:sz w:val="24"/>
          <w:szCs w:val="24"/>
        </w:rPr>
        <w:t xml:space="preserve">  However, the information presently available in the record indicates that Greenwich </w:t>
      </w:r>
      <w:r w:rsidR="006A2495">
        <w:rPr>
          <w:rFonts w:ascii="Arial" w:hAnsi="Arial" w:cs="Arial"/>
          <w:sz w:val="24"/>
          <w:szCs w:val="24"/>
        </w:rPr>
        <w:t>h</w:t>
      </w:r>
      <w:r w:rsidR="00C67508">
        <w:rPr>
          <w:rFonts w:ascii="Arial" w:hAnsi="Arial" w:cs="Arial"/>
          <w:sz w:val="24"/>
          <w:szCs w:val="24"/>
        </w:rPr>
        <w:t xml:space="preserve">as not secured waivers from </w:t>
      </w:r>
      <w:r w:rsidR="00C67508" w:rsidRPr="00C67508">
        <w:rPr>
          <w:rFonts w:ascii="Arial" w:hAnsi="Arial" w:cs="Arial"/>
          <w:b/>
          <w:sz w:val="24"/>
          <w:szCs w:val="24"/>
          <w:u w:val="single"/>
        </w:rPr>
        <w:t>all</w:t>
      </w:r>
      <w:r w:rsidR="00C67508">
        <w:rPr>
          <w:rFonts w:ascii="Arial" w:hAnsi="Arial" w:cs="Arial"/>
          <w:sz w:val="24"/>
          <w:szCs w:val="24"/>
        </w:rPr>
        <w:t xml:space="preserve"> the owners of property adjacent to the wind </w:t>
      </w:r>
      <w:r w:rsidR="00C67508">
        <w:rPr>
          <w:rFonts w:ascii="Arial" w:hAnsi="Arial" w:cs="Arial"/>
          <w:sz w:val="24"/>
          <w:szCs w:val="24"/>
        </w:rPr>
        <w:lastRenderedPageBreak/>
        <w:t xml:space="preserve">farm property.  </w:t>
      </w:r>
      <w:r w:rsidR="005115DB">
        <w:rPr>
          <w:rFonts w:ascii="Arial" w:hAnsi="Arial" w:cs="Arial"/>
          <w:sz w:val="24"/>
          <w:szCs w:val="24"/>
        </w:rPr>
        <w:t xml:space="preserve">For example, the information in the record clearly shows that Omega is an adjacent property owner and that Omega has </w:t>
      </w:r>
      <w:r w:rsidR="005115DB" w:rsidRPr="002E7D6F">
        <w:rPr>
          <w:rFonts w:ascii="Arial" w:hAnsi="Arial" w:cs="Arial"/>
          <w:sz w:val="24"/>
          <w:szCs w:val="24"/>
          <w:u w:val="single"/>
        </w:rPr>
        <w:t>not</w:t>
      </w:r>
      <w:r w:rsidR="005115DB">
        <w:rPr>
          <w:rFonts w:ascii="Arial" w:hAnsi="Arial" w:cs="Arial"/>
          <w:sz w:val="24"/>
          <w:szCs w:val="24"/>
        </w:rPr>
        <w:t xml:space="preserve"> signed a waiver of the minimum setback requirement.  </w:t>
      </w:r>
      <w:r w:rsidR="00C67508">
        <w:rPr>
          <w:rFonts w:ascii="Arial" w:hAnsi="Arial" w:cs="Arial"/>
          <w:sz w:val="24"/>
          <w:szCs w:val="24"/>
        </w:rPr>
        <w:t>The information in the record also clearly shows that Greenwich is proposing to place wind turbines in locations where the minimum setback requirement</w:t>
      </w:r>
      <w:r w:rsidR="005115DB">
        <w:rPr>
          <w:rFonts w:ascii="Arial" w:hAnsi="Arial" w:cs="Arial"/>
          <w:sz w:val="24"/>
          <w:szCs w:val="24"/>
        </w:rPr>
        <w:t xml:space="preserve"> will be violated</w:t>
      </w:r>
      <w:r w:rsidR="00C67508">
        <w:rPr>
          <w:rFonts w:ascii="Arial" w:hAnsi="Arial" w:cs="Arial"/>
          <w:sz w:val="24"/>
          <w:szCs w:val="24"/>
        </w:rPr>
        <w:t>.  Not</w:t>
      </w:r>
      <w:r w:rsidR="005115DB">
        <w:rPr>
          <w:rFonts w:ascii="Arial" w:hAnsi="Arial" w:cs="Arial"/>
          <w:sz w:val="24"/>
          <w:szCs w:val="24"/>
        </w:rPr>
        <w:t>h</w:t>
      </w:r>
      <w:r w:rsidR="00C67508">
        <w:rPr>
          <w:rFonts w:ascii="Arial" w:hAnsi="Arial" w:cs="Arial"/>
          <w:sz w:val="24"/>
          <w:szCs w:val="24"/>
        </w:rPr>
        <w:t xml:space="preserve">ing in the Staff Report of Investigation or the testimony which has been filed in this proceeding even mentions Greenwich’s failure to secure waivers from </w:t>
      </w:r>
      <w:r w:rsidR="00C67508" w:rsidRPr="005115DB">
        <w:rPr>
          <w:rFonts w:ascii="Arial" w:hAnsi="Arial" w:cs="Arial"/>
          <w:b/>
          <w:sz w:val="24"/>
          <w:szCs w:val="24"/>
          <w:u w:val="single"/>
        </w:rPr>
        <w:t>all</w:t>
      </w:r>
      <w:r w:rsidR="00C67508">
        <w:rPr>
          <w:rFonts w:ascii="Arial" w:hAnsi="Arial" w:cs="Arial"/>
          <w:sz w:val="24"/>
          <w:szCs w:val="24"/>
        </w:rPr>
        <w:t xml:space="preserve"> owners of property adjacent to the wind farm property.  It is an extraordinary circumstance for Omega, a citizen untrained in </w:t>
      </w:r>
      <w:r w:rsidR="005115DB">
        <w:rPr>
          <w:rFonts w:ascii="Arial" w:hAnsi="Arial" w:cs="Arial"/>
          <w:sz w:val="24"/>
          <w:szCs w:val="24"/>
        </w:rPr>
        <w:t xml:space="preserve">the </w:t>
      </w:r>
      <w:r w:rsidR="00C67508">
        <w:rPr>
          <w:rFonts w:ascii="Arial" w:hAnsi="Arial" w:cs="Arial"/>
          <w:sz w:val="24"/>
          <w:szCs w:val="24"/>
        </w:rPr>
        <w:t>Board’s process or the law as it relates to certification of major utility facilities</w:t>
      </w:r>
      <w:r w:rsidR="006A2495">
        <w:rPr>
          <w:rFonts w:ascii="Arial" w:hAnsi="Arial" w:cs="Arial"/>
          <w:sz w:val="24"/>
          <w:szCs w:val="24"/>
        </w:rPr>
        <w:t>,</w:t>
      </w:r>
      <w:r w:rsidR="00C67508">
        <w:rPr>
          <w:rFonts w:ascii="Arial" w:hAnsi="Arial" w:cs="Arial"/>
          <w:sz w:val="24"/>
          <w:szCs w:val="24"/>
        </w:rPr>
        <w:t xml:space="preserve"> to have to bring this </w:t>
      </w:r>
      <w:r w:rsidR="001052DA">
        <w:rPr>
          <w:rFonts w:ascii="Arial" w:hAnsi="Arial" w:cs="Arial"/>
          <w:sz w:val="24"/>
          <w:szCs w:val="24"/>
        </w:rPr>
        <w:t xml:space="preserve">issue to </w:t>
      </w:r>
      <w:r w:rsidR="00C67508">
        <w:rPr>
          <w:rFonts w:ascii="Arial" w:hAnsi="Arial" w:cs="Arial"/>
          <w:sz w:val="24"/>
          <w:szCs w:val="24"/>
        </w:rPr>
        <w:t xml:space="preserve">the attention of the Board.  Nonetheless, none of the existing parties have </w:t>
      </w:r>
      <w:r w:rsidR="002E7D6F">
        <w:rPr>
          <w:rFonts w:ascii="Arial" w:hAnsi="Arial" w:cs="Arial"/>
          <w:sz w:val="24"/>
          <w:szCs w:val="24"/>
        </w:rPr>
        <w:t xml:space="preserve">suggested </w:t>
      </w:r>
      <w:r w:rsidR="00C67508">
        <w:rPr>
          <w:rFonts w:ascii="Arial" w:hAnsi="Arial" w:cs="Arial"/>
          <w:sz w:val="24"/>
          <w:szCs w:val="24"/>
        </w:rPr>
        <w:t xml:space="preserve">that this may be </w:t>
      </w:r>
      <w:r w:rsidR="006A2495">
        <w:rPr>
          <w:rFonts w:ascii="Arial" w:hAnsi="Arial" w:cs="Arial"/>
          <w:sz w:val="24"/>
          <w:szCs w:val="24"/>
        </w:rPr>
        <w:t xml:space="preserve">an </w:t>
      </w:r>
      <w:r w:rsidR="00C67508">
        <w:rPr>
          <w:rFonts w:ascii="Arial" w:hAnsi="Arial" w:cs="Arial"/>
          <w:sz w:val="24"/>
          <w:szCs w:val="24"/>
        </w:rPr>
        <w:t>issue that warrants the Board’s attention.</w:t>
      </w:r>
    </w:p>
    <w:p w:rsidR="005115DB" w:rsidRDefault="005115DB" w:rsidP="00574BAA">
      <w:pPr>
        <w:pStyle w:val="HTMLPreformatted"/>
        <w:spacing w:after="200" w:line="480" w:lineRule="auto"/>
        <w:ind w:firstLine="720"/>
        <w:jc w:val="both"/>
        <w:rPr>
          <w:rFonts w:ascii="Arial" w:hAnsi="Arial" w:cs="Arial"/>
          <w:sz w:val="24"/>
          <w:szCs w:val="24"/>
        </w:rPr>
      </w:pPr>
      <w:r>
        <w:rPr>
          <w:rFonts w:ascii="Arial" w:hAnsi="Arial" w:cs="Arial"/>
          <w:sz w:val="24"/>
          <w:szCs w:val="24"/>
        </w:rPr>
        <w:t xml:space="preserve">As noted above, </w:t>
      </w:r>
      <w:r w:rsidR="006A2495">
        <w:rPr>
          <w:rFonts w:ascii="Arial" w:hAnsi="Arial" w:cs="Arial"/>
          <w:sz w:val="24"/>
          <w:szCs w:val="24"/>
        </w:rPr>
        <w:t>SB </w:t>
      </w:r>
      <w:r>
        <w:rPr>
          <w:rFonts w:ascii="Arial" w:hAnsi="Arial" w:cs="Arial"/>
          <w:sz w:val="24"/>
          <w:szCs w:val="24"/>
        </w:rPr>
        <w:t xml:space="preserve">310 modifies Ohio’s portfolio mandates as they relate to renewable resources.  One of the modifications removes the in-state purchase requirement.  Nonetheless, the views expressed in the Staff Report of Investigation (at page 50) are predicated on the continuation of the in-state compliance requirement.  None of the existing parties to this proceeding have notified the Board that circumstances have changed </w:t>
      </w:r>
      <w:r w:rsidR="00CF27A7">
        <w:rPr>
          <w:rFonts w:ascii="Arial" w:hAnsi="Arial" w:cs="Arial"/>
          <w:sz w:val="24"/>
          <w:szCs w:val="24"/>
        </w:rPr>
        <w:t xml:space="preserve">(as a result of </w:t>
      </w:r>
      <w:r w:rsidR="006A2495">
        <w:rPr>
          <w:rFonts w:ascii="Arial" w:hAnsi="Arial" w:cs="Arial"/>
          <w:sz w:val="24"/>
          <w:szCs w:val="24"/>
        </w:rPr>
        <w:t>SB </w:t>
      </w:r>
      <w:r w:rsidR="00CF27A7">
        <w:rPr>
          <w:rFonts w:ascii="Arial" w:hAnsi="Arial" w:cs="Arial"/>
          <w:sz w:val="24"/>
          <w:szCs w:val="24"/>
        </w:rPr>
        <w:t xml:space="preserve">310) </w:t>
      </w:r>
      <w:r>
        <w:rPr>
          <w:rFonts w:ascii="Arial" w:hAnsi="Arial" w:cs="Arial"/>
          <w:sz w:val="24"/>
          <w:szCs w:val="24"/>
        </w:rPr>
        <w:t>and that the Board may wish to take the changed circumstances into account.  It is an extraordinary circumstance for Omega to have to formally bring this reality to the attention of the Board.</w:t>
      </w:r>
    </w:p>
    <w:p w:rsidR="005115DB" w:rsidRDefault="005115DB" w:rsidP="00574BAA">
      <w:pPr>
        <w:pStyle w:val="HTMLPreformatted"/>
        <w:spacing w:after="200" w:line="480" w:lineRule="auto"/>
        <w:ind w:firstLine="720"/>
        <w:jc w:val="both"/>
        <w:rPr>
          <w:rFonts w:ascii="Arial" w:hAnsi="Arial" w:cs="Arial"/>
          <w:sz w:val="24"/>
          <w:szCs w:val="24"/>
        </w:rPr>
      </w:pPr>
      <w:r>
        <w:rPr>
          <w:rFonts w:ascii="Arial" w:hAnsi="Arial" w:cs="Arial"/>
          <w:sz w:val="24"/>
          <w:szCs w:val="24"/>
        </w:rPr>
        <w:t>The existing parties to this proceeding have submitted a Joint Stipulation and Recommendation and ha</w:t>
      </w:r>
      <w:r w:rsidR="00B66EAA">
        <w:rPr>
          <w:rFonts w:ascii="Arial" w:hAnsi="Arial" w:cs="Arial"/>
          <w:sz w:val="24"/>
          <w:szCs w:val="24"/>
        </w:rPr>
        <w:t xml:space="preserve">ve urged the Board to adopt the Joint Stipulation and Recommendation for purposes of granting Greenwich the requested certificate.  However, there is nothing in the record of this proceeding that indicates that the Board </w:t>
      </w:r>
      <w:r w:rsidR="00B66EAA">
        <w:rPr>
          <w:rFonts w:ascii="Arial" w:hAnsi="Arial" w:cs="Arial"/>
          <w:sz w:val="24"/>
          <w:szCs w:val="24"/>
        </w:rPr>
        <w:lastRenderedPageBreak/>
        <w:t>can find that the Joint Stipulation and Recommendation satisfie</w:t>
      </w:r>
      <w:r w:rsidR="001052DA">
        <w:rPr>
          <w:rFonts w:ascii="Arial" w:hAnsi="Arial" w:cs="Arial"/>
          <w:sz w:val="24"/>
          <w:szCs w:val="24"/>
        </w:rPr>
        <w:t xml:space="preserve">s </w:t>
      </w:r>
      <w:r w:rsidR="00B66EAA">
        <w:rPr>
          <w:rFonts w:ascii="Arial" w:hAnsi="Arial" w:cs="Arial"/>
          <w:sz w:val="24"/>
          <w:szCs w:val="24"/>
        </w:rPr>
        <w:t xml:space="preserve">the criteria typically used to evaluate settlements.  </w:t>
      </w:r>
      <w:r w:rsidR="00B66EAA" w:rsidRPr="00B66EAA">
        <w:rPr>
          <w:rFonts w:ascii="Arial" w:hAnsi="Arial" w:cs="Arial"/>
          <w:sz w:val="24"/>
          <w:szCs w:val="24"/>
        </w:rPr>
        <w:t>The only testimony filed in support of the Joint Sti</w:t>
      </w:r>
      <w:r w:rsidR="001052DA">
        <w:rPr>
          <w:rFonts w:ascii="Arial" w:hAnsi="Arial" w:cs="Arial"/>
          <w:sz w:val="24"/>
          <w:szCs w:val="24"/>
        </w:rPr>
        <w:t>pulation and Recommendation</w:t>
      </w:r>
      <w:r w:rsidR="00B66EAA" w:rsidRPr="00B66EAA">
        <w:rPr>
          <w:rFonts w:ascii="Arial" w:hAnsi="Arial" w:cs="Arial"/>
          <w:sz w:val="24"/>
          <w:szCs w:val="24"/>
        </w:rPr>
        <w:t xml:space="preserve"> fails to assert that the Joint Stipulation satisfies the </w:t>
      </w:r>
      <w:r w:rsidR="001052DA">
        <w:rPr>
          <w:rFonts w:ascii="Arial" w:hAnsi="Arial" w:cs="Arial"/>
          <w:sz w:val="24"/>
          <w:szCs w:val="24"/>
        </w:rPr>
        <w:t xml:space="preserve">three </w:t>
      </w:r>
      <w:r w:rsidR="00B66EAA" w:rsidRPr="00B66EAA">
        <w:rPr>
          <w:rFonts w:ascii="Arial" w:hAnsi="Arial" w:cs="Arial"/>
          <w:sz w:val="24"/>
          <w:szCs w:val="24"/>
        </w:rPr>
        <w:t>criteria which are used to evaluate settlements.  There is no affirmative and direct assertion that the Joint Stipulation and Recommendation is a product of serious bargaining among capable, knowledgeable parties,  the settlement, as a package, benefits ratepayers and the public interest  </w:t>
      </w:r>
      <w:r w:rsidR="00B66EAA" w:rsidRPr="00B66EAA">
        <w:rPr>
          <w:rFonts w:ascii="Arial" w:hAnsi="Arial" w:cs="Arial"/>
          <w:b/>
          <w:sz w:val="24"/>
          <w:szCs w:val="24"/>
          <w:u w:val="single"/>
        </w:rPr>
        <w:t>and</w:t>
      </w:r>
      <w:r w:rsidR="00B66EAA" w:rsidRPr="00B66EAA">
        <w:rPr>
          <w:rFonts w:ascii="Arial" w:hAnsi="Arial" w:cs="Arial"/>
          <w:sz w:val="24"/>
          <w:szCs w:val="24"/>
        </w:rPr>
        <w:t xml:space="preserve"> </w:t>
      </w:r>
      <w:r w:rsidR="00B66EAA">
        <w:rPr>
          <w:rFonts w:ascii="Arial" w:hAnsi="Arial" w:cs="Arial"/>
          <w:sz w:val="24"/>
          <w:szCs w:val="24"/>
        </w:rPr>
        <w:t xml:space="preserve">that the settlement does not </w:t>
      </w:r>
      <w:r w:rsidR="00B66EAA" w:rsidRPr="00B66EAA">
        <w:rPr>
          <w:rFonts w:ascii="Arial" w:hAnsi="Arial" w:cs="Arial"/>
          <w:sz w:val="24"/>
          <w:szCs w:val="24"/>
        </w:rPr>
        <w:t>violate any important regulatory principles or practices.</w:t>
      </w:r>
      <w:r w:rsidR="00E85139">
        <w:rPr>
          <w:rStyle w:val="FootnoteReference"/>
          <w:rFonts w:ascii="Arial" w:hAnsi="Arial" w:cs="Arial"/>
          <w:sz w:val="24"/>
          <w:szCs w:val="24"/>
        </w:rPr>
        <w:footnoteReference w:id="5"/>
      </w:r>
      <w:r w:rsidR="00B66EAA" w:rsidRPr="00B66EAA">
        <w:rPr>
          <w:rFonts w:ascii="Arial" w:hAnsi="Arial" w:cs="Arial"/>
          <w:sz w:val="24"/>
          <w:szCs w:val="24"/>
        </w:rPr>
        <w:t xml:space="preserve">  </w:t>
      </w:r>
      <w:r w:rsidR="00B66EAA">
        <w:rPr>
          <w:rFonts w:ascii="Arial" w:hAnsi="Arial" w:cs="Arial"/>
          <w:sz w:val="24"/>
          <w:szCs w:val="24"/>
        </w:rPr>
        <w:t xml:space="preserve">It is an extraordinary </w:t>
      </w:r>
      <w:r w:rsidR="001052DA">
        <w:rPr>
          <w:rFonts w:ascii="Arial" w:hAnsi="Arial" w:cs="Arial"/>
          <w:sz w:val="24"/>
          <w:szCs w:val="24"/>
        </w:rPr>
        <w:t>circumstance for Omega to have to have to bring this defect to the attention of the Board.</w:t>
      </w:r>
    </w:p>
    <w:p w:rsidR="001052DA" w:rsidRPr="001052DA" w:rsidRDefault="001052DA" w:rsidP="00574BAA">
      <w:pPr>
        <w:pStyle w:val="HTMLPreformatted"/>
        <w:spacing w:after="200" w:line="480" w:lineRule="auto"/>
        <w:ind w:firstLine="720"/>
        <w:jc w:val="both"/>
        <w:rPr>
          <w:rFonts w:ascii="Arial" w:hAnsi="Arial" w:cs="Arial"/>
          <w:sz w:val="24"/>
          <w:szCs w:val="24"/>
        </w:rPr>
      </w:pPr>
      <w:r w:rsidRPr="001052DA">
        <w:rPr>
          <w:rFonts w:ascii="Arial" w:hAnsi="Arial" w:cs="Arial"/>
          <w:sz w:val="24"/>
          <w:szCs w:val="24"/>
        </w:rPr>
        <w:t xml:space="preserve">Omega owns approximately </w:t>
      </w:r>
      <w:r w:rsidR="006A2495">
        <w:rPr>
          <w:rFonts w:ascii="Arial" w:hAnsi="Arial" w:cs="Arial"/>
          <w:sz w:val="24"/>
          <w:szCs w:val="24"/>
        </w:rPr>
        <w:t xml:space="preserve">1,200 </w:t>
      </w:r>
      <w:r w:rsidRPr="001052DA">
        <w:rPr>
          <w:rFonts w:ascii="Arial" w:hAnsi="Arial" w:cs="Arial"/>
          <w:sz w:val="24"/>
          <w:szCs w:val="24"/>
        </w:rPr>
        <w:t xml:space="preserve">acres of farmland adjacent to the land that has been or will be leased by Greenwich.  It has a direct, real, and substantial interest in the issues and matters involved in the above-captioned proceeding, and is so situated that the disposition of this proceeding may, as a practical matter, impair or impede </w:t>
      </w:r>
      <w:r w:rsidR="00F17241">
        <w:rPr>
          <w:rFonts w:ascii="Arial" w:hAnsi="Arial" w:cs="Arial"/>
          <w:sz w:val="24"/>
          <w:szCs w:val="24"/>
        </w:rPr>
        <w:t xml:space="preserve">its </w:t>
      </w:r>
      <w:r w:rsidRPr="001052DA">
        <w:rPr>
          <w:rFonts w:ascii="Arial" w:hAnsi="Arial" w:cs="Arial"/>
          <w:sz w:val="24"/>
          <w:szCs w:val="24"/>
        </w:rPr>
        <w:t>ability to protect that interest.</w:t>
      </w:r>
    </w:p>
    <w:p w:rsidR="001052DA" w:rsidRPr="001052DA" w:rsidRDefault="001052DA" w:rsidP="00574BAA">
      <w:pPr>
        <w:pStyle w:val="HTMLPreformatted"/>
        <w:spacing w:after="200" w:line="480" w:lineRule="auto"/>
        <w:ind w:firstLine="720"/>
        <w:jc w:val="both"/>
        <w:rPr>
          <w:rFonts w:ascii="Arial" w:hAnsi="Arial" w:cs="Arial"/>
          <w:sz w:val="24"/>
          <w:szCs w:val="24"/>
        </w:rPr>
      </w:pPr>
      <w:r w:rsidRPr="001052DA">
        <w:rPr>
          <w:rFonts w:ascii="Arial" w:hAnsi="Arial" w:cs="Arial"/>
          <w:sz w:val="24"/>
          <w:szCs w:val="24"/>
        </w:rPr>
        <w:t xml:space="preserve">Omega believes that granting </w:t>
      </w:r>
      <w:r>
        <w:rPr>
          <w:rFonts w:ascii="Arial" w:hAnsi="Arial" w:cs="Arial"/>
          <w:sz w:val="24"/>
          <w:szCs w:val="24"/>
        </w:rPr>
        <w:t xml:space="preserve">its </w:t>
      </w:r>
      <w:r w:rsidRPr="001052DA">
        <w:rPr>
          <w:rFonts w:ascii="Arial" w:hAnsi="Arial" w:cs="Arial"/>
          <w:sz w:val="24"/>
          <w:szCs w:val="24"/>
        </w:rPr>
        <w:t>intervention request as it may apply to the remaining phase or phases of this proceeding will not unduly prolong or delay this proceeding and that it will significantly contribute to the full development and equitable resolution of the factual and other issues.</w:t>
      </w:r>
    </w:p>
    <w:p w:rsidR="001052DA" w:rsidRPr="001052DA" w:rsidRDefault="001052DA" w:rsidP="00574BAA">
      <w:pPr>
        <w:pStyle w:val="HTMLPreformatted"/>
        <w:spacing w:after="200" w:line="480" w:lineRule="auto"/>
        <w:ind w:firstLine="720"/>
        <w:jc w:val="both"/>
        <w:rPr>
          <w:rFonts w:ascii="Arial" w:hAnsi="Arial" w:cs="Arial"/>
          <w:sz w:val="24"/>
          <w:szCs w:val="24"/>
        </w:rPr>
      </w:pPr>
      <w:r w:rsidRPr="001052DA">
        <w:rPr>
          <w:rFonts w:ascii="Arial" w:hAnsi="Arial" w:cs="Arial"/>
          <w:sz w:val="24"/>
          <w:szCs w:val="24"/>
        </w:rPr>
        <w:t xml:space="preserve">The interests of Omega have not been represented by any existing parties to the proceeding.  Indeed, these interests and the views of similarly situated property owners have generally not, during </w:t>
      </w:r>
      <w:r w:rsidR="00B812FB">
        <w:rPr>
          <w:rFonts w:ascii="Arial" w:hAnsi="Arial" w:cs="Arial"/>
          <w:sz w:val="24"/>
          <w:szCs w:val="24"/>
        </w:rPr>
        <w:t xml:space="preserve">the evidentiary phase of </w:t>
      </w:r>
      <w:r w:rsidRPr="001052DA">
        <w:rPr>
          <w:rFonts w:ascii="Arial" w:hAnsi="Arial" w:cs="Arial"/>
          <w:sz w:val="24"/>
          <w:szCs w:val="24"/>
        </w:rPr>
        <w:t xml:space="preserve">this proceeding, been directly </w:t>
      </w:r>
      <w:r w:rsidRPr="001052DA">
        <w:rPr>
          <w:rFonts w:ascii="Arial" w:hAnsi="Arial" w:cs="Arial"/>
          <w:sz w:val="24"/>
          <w:szCs w:val="24"/>
        </w:rPr>
        <w:lastRenderedPageBreak/>
        <w:t>communicated to the Board by such property owners or indirectly relayed to the Board by existing parties.</w:t>
      </w:r>
    </w:p>
    <w:p w:rsidR="001052DA" w:rsidRPr="001052DA" w:rsidRDefault="001052DA" w:rsidP="00574BAA">
      <w:pPr>
        <w:pStyle w:val="HTMLPreformatted"/>
        <w:spacing w:after="200" w:line="480" w:lineRule="auto"/>
        <w:ind w:firstLine="720"/>
        <w:jc w:val="both"/>
        <w:rPr>
          <w:rFonts w:ascii="Arial" w:hAnsi="Arial" w:cs="Arial"/>
          <w:sz w:val="24"/>
          <w:szCs w:val="24"/>
        </w:rPr>
      </w:pPr>
      <w:r w:rsidRPr="001052DA">
        <w:rPr>
          <w:rFonts w:ascii="Arial" w:hAnsi="Arial" w:cs="Arial"/>
          <w:sz w:val="24"/>
          <w:szCs w:val="24"/>
        </w:rPr>
        <w:t>Omega believes and hereby asserts that extraordinary circumstances justify granting its la</w:t>
      </w:r>
      <w:r w:rsidR="00B812FB">
        <w:rPr>
          <w:rFonts w:ascii="Arial" w:hAnsi="Arial" w:cs="Arial"/>
          <w:sz w:val="24"/>
          <w:szCs w:val="24"/>
        </w:rPr>
        <w:t>te-filed intervention request.</w:t>
      </w:r>
    </w:p>
    <w:p w:rsidR="001052DA" w:rsidRPr="001052DA" w:rsidRDefault="001052DA" w:rsidP="00574BAA">
      <w:pPr>
        <w:pStyle w:val="HTMLPreformatted"/>
        <w:spacing w:after="200" w:line="480" w:lineRule="auto"/>
        <w:ind w:firstLine="720"/>
        <w:jc w:val="both"/>
        <w:rPr>
          <w:rFonts w:ascii="Arial" w:hAnsi="Arial" w:cs="Arial"/>
          <w:sz w:val="24"/>
          <w:szCs w:val="24"/>
        </w:rPr>
      </w:pPr>
      <w:r w:rsidRPr="001052DA">
        <w:rPr>
          <w:rFonts w:ascii="Arial" w:hAnsi="Arial" w:cs="Arial"/>
          <w:sz w:val="24"/>
          <w:szCs w:val="24"/>
        </w:rPr>
        <w:t>If permitted to intervene, Omega agrees to be bound by arrangements, other matters previously made and by agreements previously made except for the Joint Stipulation and Recommendation which was filed in this proceeding on May 16, 2014</w:t>
      </w:r>
      <w:r>
        <w:rPr>
          <w:rFonts w:ascii="Arial" w:hAnsi="Arial" w:cs="Arial"/>
          <w:sz w:val="24"/>
          <w:szCs w:val="24"/>
        </w:rPr>
        <w:t>.  As explained previously, i</w:t>
      </w:r>
      <w:r w:rsidRPr="001052DA">
        <w:rPr>
          <w:rFonts w:ascii="Arial" w:hAnsi="Arial" w:cs="Arial"/>
          <w:sz w:val="24"/>
          <w:szCs w:val="24"/>
        </w:rPr>
        <w:t>f Omega was required to agree to be bound by the Joint Stipulation and Recommendation as a condition for securing intervenor status, it may effectively deprive Omega of any meaningful opportunity to protect its interests in the remaining phases of this proceeding.</w:t>
      </w:r>
      <w:r>
        <w:rPr>
          <w:rFonts w:ascii="Arial" w:hAnsi="Arial" w:cs="Arial"/>
          <w:sz w:val="24"/>
          <w:szCs w:val="24"/>
        </w:rPr>
        <w:t xml:space="preserve">  Such a condition would, in present circumstances, violate due process requirements.</w:t>
      </w:r>
    </w:p>
    <w:p w:rsidR="001052DA" w:rsidRDefault="001052DA" w:rsidP="001052DA">
      <w:pPr>
        <w:pStyle w:val="HTMLPreformatted"/>
        <w:spacing w:line="480" w:lineRule="auto"/>
        <w:ind w:firstLine="720"/>
        <w:jc w:val="both"/>
        <w:rPr>
          <w:rFonts w:ascii="Arial" w:hAnsi="Arial" w:cs="Arial"/>
          <w:sz w:val="24"/>
          <w:szCs w:val="24"/>
        </w:rPr>
      </w:pPr>
      <w:r w:rsidRPr="001052DA">
        <w:rPr>
          <w:rFonts w:ascii="Arial" w:hAnsi="Arial" w:cs="Arial"/>
          <w:sz w:val="24"/>
          <w:szCs w:val="24"/>
        </w:rPr>
        <w:t>Accordingly</w:t>
      </w:r>
      <w:r w:rsidR="006A2495">
        <w:rPr>
          <w:rFonts w:ascii="Arial" w:hAnsi="Arial" w:cs="Arial"/>
          <w:sz w:val="24"/>
          <w:szCs w:val="24"/>
        </w:rPr>
        <w:t>,</w:t>
      </w:r>
      <w:r w:rsidRPr="001052DA">
        <w:rPr>
          <w:rFonts w:ascii="Arial" w:hAnsi="Arial" w:cs="Arial"/>
          <w:sz w:val="24"/>
          <w:szCs w:val="24"/>
        </w:rPr>
        <w:t xml:space="preserve"> Omega requests that the Board grant its late-filed intervention request for good cause shown.</w:t>
      </w:r>
    </w:p>
    <w:p w:rsidR="00B25F96" w:rsidRDefault="009E4630" w:rsidP="00B25F96">
      <w:pPr>
        <w:tabs>
          <w:tab w:val="left" w:pos="4320"/>
          <w:tab w:val="right" w:pos="8640"/>
        </w:tabs>
        <w:jc w:val="both"/>
        <w:rPr>
          <w:rFonts w:ascii="Arial" w:hAnsi="Arial" w:cs="Arial"/>
        </w:rPr>
      </w:pPr>
      <w:r>
        <w:rPr>
          <w:rFonts w:ascii="Arial" w:hAnsi="Arial" w:cs="Arial"/>
        </w:rPr>
        <w:tab/>
      </w:r>
      <w:r w:rsidR="00B25F96">
        <w:rPr>
          <w:rFonts w:ascii="Arial" w:hAnsi="Arial" w:cs="Arial"/>
        </w:rPr>
        <w:t>Respectfully submitted,</w:t>
      </w:r>
    </w:p>
    <w:p w:rsidR="00B25F96" w:rsidRDefault="00B25F96" w:rsidP="00B25F96">
      <w:pPr>
        <w:tabs>
          <w:tab w:val="left" w:pos="4320"/>
          <w:tab w:val="right" w:pos="8640"/>
        </w:tabs>
        <w:jc w:val="both"/>
        <w:rPr>
          <w:rFonts w:ascii="Arial" w:hAnsi="Arial" w:cs="Arial"/>
        </w:rPr>
      </w:pPr>
    </w:p>
    <w:p w:rsidR="00B25F96" w:rsidRDefault="00B25F96" w:rsidP="00B25F96">
      <w:pPr>
        <w:tabs>
          <w:tab w:val="left" w:pos="4320"/>
          <w:tab w:val="right" w:pos="8640"/>
        </w:tabs>
        <w:jc w:val="both"/>
        <w:rPr>
          <w:rFonts w:ascii="Arial" w:hAnsi="Arial" w:cs="Arial"/>
        </w:rPr>
      </w:pPr>
    </w:p>
    <w:p w:rsidR="00B25F96" w:rsidRDefault="00B25F96" w:rsidP="00B25F96">
      <w:pPr>
        <w:tabs>
          <w:tab w:val="left" w:pos="4320"/>
          <w:tab w:val="right" w:pos="8640"/>
        </w:tabs>
        <w:ind w:left="4320"/>
        <w:jc w:val="both"/>
        <w:rPr>
          <w:rFonts w:ascii="Arial" w:hAnsi="Arial" w:cs="Arial"/>
          <w:i/>
        </w:rPr>
      </w:pPr>
      <w:r>
        <w:rPr>
          <w:rFonts w:ascii="Arial" w:hAnsi="Arial" w:cs="Arial"/>
          <w:i/>
          <w:u w:val="single"/>
        </w:rPr>
        <w:t>/s/ Samuel C. Randazzo</w:t>
      </w:r>
      <w:r>
        <w:rPr>
          <w:rFonts w:ascii="Arial" w:hAnsi="Arial" w:cs="Arial"/>
          <w:i/>
          <w:u w:val="single"/>
        </w:rPr>
        <w:tab/>
      </w:r>
    </w:p>
    <w:p w:rsidR="00B25F96" w:rsidRDefault="00B25F96" w:rsidP="00B25F96">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t xml:space="preserve">Samuel C. Randazzo </w:t>
      </w:r>
    </w:p>
    <w:p w:rsidR="00B25F96" w:rsidRDefault="00B25F96" w:rsidP="00B25F96">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t>(Counsel of Record) (Reg. No. 0016386)</w:t>
      </w:r>
    </w:p>
    <w:p w:rsidR="00B25F96" w:rsidRDefault="00B25F96" w:rsidP="00B25F96">
      <w:pPr>
        <w:widowControl w:val="0"/>
        <w:tabs>
          <w:tab w:val="left" w:pos="4320"/>
        </w:tabs>
        <w:ind w:left="4320"/>
        <w:rPr>
          <w:rFonts w:ascii="Arial" w:eastAsiaTheme="minorHAnsi" w:hAnsi="Arial" w:cs="Arial"/>
          <w:bCs/>
        </w:rPr>
      </w:pPr>
      <w:r>
        <w:rPr>
          <w:rFonts w:ascii="Arial" w:eastAsiaTheme="minorHAnsi" w:hAnsi="Arial" w:cs="Arial"/>
          <w:bCs/>
        </w:rPr>
        <w:t>Scott E. Elisar (Reg. No. 0081877)</w:t>
      </w:r>
    </w:p>
    <w:p w:rsidR="00B25F96" w:rsidRDefault="00B25F96" w:rsidP="00B25F96">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 &amp; Nurick LLC</w:t>
      </w:r>
    </w:p>
    <w:p w:rsidR="00B25F96" w:rsidRDefault="00B25F96" w:rsidP="00B25F96">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B25F96" w:rsidRDefault="00B25F96" w:rsidP="00B25F96">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B25F96" w:rsidRDefault="00B25F96" w:rsidP="00B25F96">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B25F96" w:rsidRDefault="00B25F96" w:rsidP="00B25F96">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B25F96" w:rsidRDefault="00B25F96" w:rsidP="00B25F96">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sam@mwncmh.com</w:t>
      </w:r>
    </w:p>
    <w:p w:rsidR="00B25F96" w:rsidRDefault="00B25F96" w:rsidP="00B25F96">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B25F96" w:rsidRDefault="00B25F96" w:rsidP="00B25F96">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selisar</w:t>
      </w:r>
      <w:r w:rsidRPr="009E4630">
        <w:rPr>
          <w:rFonts w:ascii="Arial" w:eastAsiaTheme="minorHAnsi" w:hAnsi="Arial" w:cs="Arial"/>
        </w:rPr>
        <w:t>@mwncmh.com</w:t>
      </w:r>
    </w:p>
    <w:p w:rsidR="00B25F96" w:rsidRDefault="00B25F96" w:rsidP="00B25F96">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2160"/>
          <w:tab w:val="left" w:pos="2280"/>
        </w:tabs>
        <w:jc w:val="center"/>
        <w:rPr>
          <w:rFonts w:ascii="Arial" w:hAnsi="Arial" w:cs="Arial"/>
          <w:b/>
          <w:smallCaps/>
          <w:sz w:val="28"/>
          <w:u w:val="single"/>
        </w:rPr>
      </w:pPr>
      <w:r>
        <w:rPr>
          <w:rFonts w:ascii="Arial" w:hAnsi="Arial" w:cs="Arial"/>
          <w:b/>
          <w:smallCaps/>
          <w:sz w:val="28"/>
          <w:u w:val="single"/>
        </w:rPr>
        <w:lastRenderedPageBreak/>
        <w:t>Certificate of Service</w:t>
      </w:r>
    </w:p>
    <w:p w:rsidR="008F71B1" w:rsidRDefault="008F71B1">
      <w:pPr>
        <w:rPr>
          <w:rFonts w:ascii="Arial" w:hAnsi="Arial" w:cs="Arial"/>
        </w:rPr>
      </w:pPr>
    </w:p>
    <w:p w:rsidR="008F71B1" w:rsidRDefault="006A2495">
      <w:pPr>
        <w:pStyle w:val="BodyText"/>
        <w:spacing w:line="480" w:lineRule="auto"/>
        <w:ind w:firstLine="720"/>
        <w:rPr>
          <w:b/>
          <w:smallCaps/>
        </w:rPr>
      </w:pPr>
      <w:r>
        <w:t xml:space="preserve">I hereby certify that a true copy of the foregoing </w:t>
      </w:r>
      <w:r w:rsidRPr="00D2513B">
        <w:rPr>
          <w:i/>
        </w:rPr>
        <w:t xml:space="preserve">Late-Filed Motion to Intervene and Memorandum in Support of Omega Crop </w:t>
      </w:r>
      <w:r w:rsidR="00453997">
        <w:rPr>
          <w:i/>
        </w:rPr>
        <w:t>Co.,</w:t>
      </w:r>
      <w:r w:rsidRPr="00D2513B">
        <w:rPr>
          <w:i/>
        </w:rPr>
        <w:t xml:space="preserve"> LLC, An Adjacent Property Owner</w:t>
      </w:r>
      <w:r>
        <w:t xml:space="preserve"> has been served via electronic mail upon the following parties of record this 21</w:t>
      </w:r>
      <w:r w:rsidRPr="00D2513B">
        <w:rPr>
          <w:vertAlign w:val="superscript"/>
        </w:rPr>
        <w:t>st</w:t>
      </w:r>
      <w:r>
        <w:t xml:space="preserve"> day of August 2014.</w:t>
      </w:r>
    </w:p>
    <w:p w:rsidR="008F71B1" w:rsidRDefault="008F71B1">
      <w:pPr>
        <w:rPr>
          <w:rFonts w:ascii="Arial" w:hAnsi="Arial" w:cs="Arial"/>
        </w:rPr>
      </w:pPr>
    </w:p>
    <w:p w:rsidR="00302D55" w:rsidRDefault="00302D55">
      <w:pPr>
        <w:tabs>
          <w:tab w:val="right" w:pos="8640"/>
        </w:tabs>
        <w:ind w:left="5040"/>
        <w:rPr>
          <w:rFonts w:ascii="Arial" w:hAnsi="Arial" w:cs="Arial"/>
          <w:i/>
          <w:u w:val="single"/>
        </w:rPr>
      </w:pPr>
      <w:r>
        <w:rPr>
          <w:rFonts w:ascii="Arial" w:hAnsi="Arial" w:cs="Arial"/>
          <w:i/>
          <w:u w:val="single"/>
        </w:rPr>
        <w:t xml:space="preserve">/s/ </w:t>
      </w:r>
      <w:r w:rsidR="00B25F96">
        <w:rPr>
          <w:rFonts w:ascii="Arial" w:hAnsi="Arial" w:cs="Arial"/>
          <w:i/>
          <w:u w:val="single"/>
        </w:rPr>
        <w:t>Samuel C. Randazzo</w:t>
      </w:r>
      <w:r>
        <w:rPr>
          <w:rFonts w:ascii="Arial" w:hAnsi="Arial" w:cs="Arial"/>
          <w:i/>
          <w:u w:val="single"/>
        </w:rPr>
        <w:tab/>
      </w:r>
    </w:p>
    <w:p w:rsidR="008F71B1" w:rsidRDefault="00302D55">
      <w:pPr>
        <w:tabs>
          <w:tab w:val="left" w:pos="2160"/>
          <w:tab w:val="left" w:pos="22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25F96">
        <w:rPr>
          <w:rFonts w:ascii="Arial" w:hAnsi="Arial" w:cs="Arial"/>
        </w:rPr>
        <w:t>Samuel C. Randazzo</w:t>
      </w:r>
    </w:p>
    <w:p w:rsidR="004F3684" w:rsidRDefault="004F3684">
      <w:pPr>
        <w:tabs>
          <w:tab w:val="left" w:pos="2160"/>
          <w:tab w:val="left" w:pos="2280"/>
        </w:tabs>
        <w:rPr>
          <w:rFonts w:ascii="Arial" w:hAnsi="Arial" w:cs="Arial"/>
        </w:rPr>
      </w:pPr>
    </w:p>
    <w:p w:rsidR="00574BAA" w:rsidRDefault="00574BAA" w:rsidP="006A2495">
      <w:pPr>
        <w:rPr>
          <w:rFonts w:ascii="Arial" w:hAnsi="Arial" w:cs="Arial"/>
          <w:sz w:val="22"/>
          <w:szCs w:val="22"/>
        </w:rPr>
        <w:sectPr w:rsidR="00574BAA" w:rsidSect="00B50F8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rsidR="006A2495" w:rsidRPr="00D2513B" w:rsidRDefault="006A2495" w:rsidP="006A2495">
      <w:pPr>
        <w:rPr>
          <w:rFonts w:ascii="Arial" w:hAnsi="Arial" w:cs="Arial"/>
          <w:sz w:val="22"/>
          <w:szCs w:val="22"/>
        </w:rPr>
      </w:pPr>
      <w:r w:rsidRPr="00D2513B">
        <w:rPr>
          <w:rFonts w:ascii="Arial" w:hAnsi="Arial" w:cs="Arial"/>
          <w:sz w:val="22"/>
          <w:szCs w:val="22"/>
        </w:rPr>
        <w:lastRenderedPageBreak/>
        <w:t>Sally Bloomfield</w:t>
      </w:r>
    </w:p>
    <w:p w:rsidR="006A2495" w:rsidRPr="00D2513B" w:rsidRDefault="006A2495" w:rsidP="006A2495">
      <w:pPr>
        <w:rPr>
          <w:rFonts w:ascii="Arial" w:hAnsi="Arial" w:cs="Arial"/>
          <w:sz w:val="22"/>
          <w:szCs w:val="22"/>
        </w:rPr>
      </w:pPr>
      <w:r w:rsidRPr="00D2513B">
        <w:rPr>
          <w:rFonts w:ascii="Arial" w:hAnsi="Arial" w:cs="Arial"/>
          <w:sz w:val="22"/>
          <w:szCs w:val="22"/>
        </w:rPr>
        <w:t>Dylan Borchers</w:t>
      </w:r>
    </w:p>
    <w:p w:rsidR="006A2495" w:rsidRPr="00D2513B" w:rsidRDefault="006A2495" w:rsidP="006A2495">
      <w:pPr>
        <w:rPr>
          <w:rFonts w:ascii="Arial" w:hAnsi="Arial" w:cs="Arial"/>
          <w:sz w:val="22"/>
          <w:szCs w:val="22"/>
        </w:rPr>
      </w:pPr>
      <w:r w:rsidRPr="00D2513B">
        <w:rPr>
          <w:rFonts w:ascii="Arial" w:hAnsi="Arial" w:cs="Arial"/>
          <w:sz w:val="22"/>
          <w:szCs w:val="22"/>
        </w:rPr>
        <w:t>Bricker &amp; Eckler LLP</w:t>
      </w:r>
    </w:p>
    <w:p w:rsidR="006A2495" w:rsidRPr="00D2513B" w:rsidRDefault="006A2495" w:rsidP="006A2495">
      <w:pPr>
        <w:rPr>
          <w:rFonts w:ascii="Arial" w:hAnsi="Arial" w:cs="Arial"/>
          <w:sz w:val="22"/>
          <w:szCs w:val="22"/>
        </w:rPr>
      </w:pPr>
      <w:r w:rsidRPr="00D2513B">
        <w:rPr>
          <w:rFonts w:ascii="Arial" w:hAnsi="Arial" w:cs="Arial"/>
          <w:sz w:val="22"/>
          <w:szCs w:val="22"/>
        </w:rPr>
        <w:t>100 South Third Street</w:t>
      </w:r>
    </w:p>
    <w:p w:rsidR="006A2495" w:rsidRPr="00D2513B" w:rsidRDefault="006A2495" w:rsidP="006A2495">
      <w:pPr>
        <w:rPr>
          <w:rFonts w:ascii="Arial" w:hAnsi="Arial" w:cs="Arial"/>
          <w:sz w:val="22"/>
          <w:szCs w:val="22"/>
        </w:rPr>
      </w:pPr>
      <w:r w:rsidRPr="00D2513B">
        <w:rPr>
          <w:rFonts w:ascii="Arial" w:hAnsi="Arial" w:cs="Arial"/>
          <w:sz w:val="22"/>
          <w:szCs w:val="22"/>
        </w:rPr>
        <w:t>Columbus OH  43215-4291</w:t>
      </w:r>
    </w:p>
    <w:p w:rsidR="006A2495" w:rsidRPr="00D2513B" w:rsidRDefault="006A2495" w:rsidP="006A2495">
      <w:pPr>
        <w:rPr>
          <w:rFonts w:ascii="Arial" w:hAnsi="Arial" w:cs="Arial"/>
          <w:sz w:val="22"/>
          <w:szCs w:val="22"/>
        </w:rPr>
      </w:pPr>
      <w:r w:rsidRPr="00D2513B">
        <w:rPr>
          <w:rFonts w:ascii="Arial" w:hAnsi="Arial" w:cs="Arial"/>
          <w:sz w:val="22"/>
          <w:szCs w:val="22"/>
        </w:rPr>
        <w:t>Phone:  614.227-2368</w:t>
      </w:r>
    </w:p>
    <w:p w:rsidR="006A2495" w:rsidRPr="00D2513B" w:rsidRDefault="006A2495" w:rsidP="006A2495">
      <w:pPr>
        <w:rPr>
          <w:rFonts w:ascii="Arial" w:hAnsi="Arial" w:cs="Arial"/>
          <w:sz w:val="22"/>
          <w:szCs w:val="22"/>
        </w:rPr>
      </w:pPr>
      <w:r w:rsidRPr="00D2513B">
        <w:rPr>
          <w:rFonts w:ascii="Arial" w:hAnsi="Arial" w:cs="Arial"/>
          <w:sz w:val="22"/>
          <w:szCs w:val="22"/>
        </w:rPr>
        <w:t>Fax: 614.227.2390</w:t>
      </w:r>
    </w:p>
    <w:p w:rsidR="006A2495" w:rsidRPr="00D2513B" w:rsidRDefault="006A2495" w:rsidP="006A2495">
      <w:pPr>
        <w:rPr>
          <w:rFonts w:ascii="Arial" w:hAnsi="Arial" w:cs="Arial"/>
          <w:sz w:val="22"/>
          <w:szCs w:val="22"/>
        </w:rPr>
      </w:pPr>
      <w:r w:rsidRPr="00D2513B">
        <w:rPr>
          <w:rFonts w:ascii="Arial" w:hAnsi="Arial" w:cs="Arial"/>
          <w:sz w:val="22"/>
          <w:szCs w:val="22"/>
        </w:rPr>
        <w:t>sbloomfield@bricker.com</w:t>
      </w:r>
    </w:p>
    <w:p w:rsidR="006A2495" w:rsidRPr="00D2513B" w:rsidRDefault="006A2495" w:rsidP="006A2495">
      <w:pPr>
        <w:rPr>
          <w:rFonts w:ascii="Arial" w:hAnsi="Arial" w:cs="Arial"/>
          <w:sz w:val="22"/>
          <w:szCs w:val="22"/>
        </w:rPr>
      </w:pPr>
      <w:r w:rsidRPr="00D2513B">
        <w:rPr>
          <w:rFonts w:ascii="Arial" w:hAnsi="Arial" w:cs="Arial"/>
          <w:sz w:val="22"/>
          <w:szCs w:val="22"/>
        </w:rPr>
        <w:t>dborchers@bricker.com</w:t>
      </w:r>
    </w:p>
    <w:p w:rsidR="006A2495" w:rsidRPr="00D2513B" w:rsidRDefault="006A2495" w:rsidP="006A2495">
      <w:pPr>
        <w:rPr>
          <w:rFonts w:ascii="Arial" w:hAnsi="Arial" w:cs="Arial"/>
          <w:sz w:val="22"/>
          <w:szCs w:val="22"/>
        </w:rPr>
      </w:pPr>
    </w:p>
    <w:p w:rsidR="006A2495" w:rsidRPr="00D2513B" w:rsidRDefault="006A2495" w:rsidP="006A2495">
      <w:pPr>
        <w:rPr>
          <w:rFonts w:ascii="Arial Bold" w:hAnsi="Arial Bold" w:cs="Arial"/>
          <w:b/>
          <w:smallCaps/>
          <w:sz w:val="22"/>
          <w:szCs w:val="22"/>
        </w:rPr>
      </w:pPr>
      <w:r w:rsidRPr="00D2513B">
        <w:rPr>
          <w:rFonts w:ascii="Arial Bold" w:hAnsi="Arial Bold" w:cs="Arial"/>
          <w:b/>
          <w:smallCaps/>
          <w:sz w:val="22"/>
          <w:szCs w:val="22"/>
        </w:rPr>
        <w:t>Attorney for 6011 Greenwich Windpark, LLC</w:t>
      </w:r>
    </w:p>
    <w:p w:rsidR="006A2495" w:rsidRPr="00D2513B" w:rsidRDefault="006A2495" w:rsidP="006A2495">
      <w:pPr>
        <w:rPr>
          <w:rFonts w:ascii="Arial" w:hAnsi="Arial" w:cs="Arial"/>
          <w:sz w:val="22"/>
          <w:szCs w:val="22"/>
        </w:rPr>
      </w:pPr>
    </w:p>
    <w:p w:rsidR="006A2495" w:rsidRPr="00D2513B" w:rsidRDefault="006A2495" w:rsidP="006A2495">
      <w:pPr>
        <w:rPr>
          <w:rFonts w:ascii="Arial" w:hAnsi="Arial" w:cs="Arial"/>
          <w:sz w:val="22"/>
          <w:szCs w:val="22"/>
        </w:rPr>
      </w:pPr>
      <w:r w:rsidRPr="00D2513B">
        <w:rPr>
          <w:rFonts w:ascii="Arial" w:hAnsi="Arial" w:cs="Arial"/>
          <w:sz w:val="22"/>
          <w:szCs w:val="22"/>
        </w:rPr>
        <w:t>Chard A. Endsley (Reg. No. 0080648)</w:t>
      </w:r>
    </w:p>
    <w:p w:rsidR="006A2495" w:rsidRPr="00D2513B" w:rsidRDefault="006A2495" w:rsidP="006A2495">
      <w:pPr>
        <w:rPr>
          <w:rFonts w:ascii="Arial" w:hAnsi="Arial" w:cs="Arial"/>
          <w:sz w:val="22"/>
          <w:szCs w:val="22"/>
        </w:rPr>
      </w:pPr>
      <w:r w:rsidRPr="00D2513B">
        <w:rPr>
          <w:rFonts w:ascii="Arial" w:hAnsi="Arial" w:cs="Arial"/>
          <w:sz w:val="22"/>
          <w:szCs w:val="22"/>
        </w:rPr>
        <w:t>Chief Legal Counsel</w:t>
      </w:r>
    </w:p>
    <w:p w:rsidR="006A2495" w:rsidRPr="00D2513B" w:rsidRDefault="006A2495" w:rsidP="006A2495">
      <w:pPr>
        <w:rPr>
          <w:rFonts w:ascii="Arial" w:hAnsi="Arial" w:cs="Arial"/>
          <w:sz w:val="22"/>
          <w:szCs w:val="22"/>
        </w:rPr>
      </w:pPr>
      <w:r w:rsidRPr="00D2513B">
        <w:rPr>
          <w:rFonts w:ascii="Arial" w:hAnsi="Arial" w:cs="Arial"/>
          <w:sz w:val="22"/>
          <w:szCs w:val="22"/>
        </w:rPr>
        <w:t>Ohio Farm Bureau Federation</w:t>
      </w:r>
    </w:p>
    <w:p w:rsidR="006A2495" w:rsidRPr="00D2513B" w:rsidRDefault="006A2495" w:rsidP="006A2495">
      <w:pPr>
        <w:rPr>
          <w:rFonts w:ascii="Arial" w:hAnsi="Arial" w:cs="Arial"/>
          <w:sz w:val="22"/>
          <w:szCs w:val="22"/>
        </w:rPr>
      </w:pPr>
      <w:r w:rsidRPr="00D2513B">
        <w:rPr>
          <w:rFonts w:ascii="Arial" w:hAnsi="Arial" w:cs="Arial"/>
          <w:sz w:val="22"/>
          <w:szCs w:val="22"/>
        </w:rPr>
        <w:t>280 North High Street</w:t>
      </w:r>
    </w:p>
    <w:p w:rsidR="006A2495" w:rsidRPr="00D2513B" w:rsidRDefault="006A2495" w:rsidP="006A2495">
      <w:pPr>
        <w:rPr>
          <w:rFonts w:ascii="Arial" w:hAnsi="Arial" w:cs="Arial"/>
          <w:sz w:val="22"/>
          <w:szCs w:val="22"/>
        </w:rPr>
      </w:pPr>
      <w:r w:rsidRPr="00D2513B">
        <w:rPr>
          <w:rFonts w:ascii="Arial" w:hAnsi="Arial" w:cs="Arial"/>
          <w:sz w:val="22"/>
          <w:szCs w:val="22"/>
        </w:rPr>
        <w:t>PO Box 182383</w:t>
      </w:r>
    </w:p>
    <w:p w:rsidR="006A2495" w:rsidRPr="00D2513B" w:rsidRDefault="006A2495" w:rsidP="006A2495">
      <w:pPr>
        <w:rPr>
          <w:rFonts w:ascii="Arial" w:hAnsi="Arial" w:cs="Arial"/>
          <w:sz w:val="22"/>
          <w:szCs w:val="22"/>
        </w:rPr>
      </w:pPr>
      <w:r w:rsidRPr="00D2513B">
        <w:rPr>
          <w:rFonts w:ascii="Arial" w:hAnsi="Arial" w:cs="Arial"/>
          <w:sz w:val="22"/>
          <w:szCs w:val="22"/>
        </w:rPr>
        <w:t>Columbus, OH  43218-2383</w:t>
      </w:r>
    </w:p>
    <w:p w:rsidR="006A2495" w:rsidRPr="00D2513B" w:rsidRDefault="006A2495" w:rsidP="006A2495">
      <w:pPr>
        <w:rPr>
          <w:rFonts w:ascii="Arial" w:hAnsi="Arial" w:cs="Arial"/>
          <w:sz w:val="22"/>
          <w:szCs w:val="22"/>
        </w:rPr>
      </w:pPr>
      <w:r w:rsidRPr="00D2513B">
        <w:rPr>
          <w:rFonts w:ascii="Arial" w:hAnsi="Arial" w:cs="Arial"/>
          <w:sz w:val="22"/>
          <w:szCs w:val="22"/>
        </w:rPr>
        <w:t>Phone:  614.246.8258</w:t>
      </w:r>
    </w:p>
    <w:p w:rsidR="006A2495" w:rsidRPr="00D2513B" w:rsidRDefault="006A2495" w:rsidP="006A2495">
      <w:pPr>
        <w:rPr>
          <w:rFonts w:ascii="Arial" w:hAnsi="Arial" w:cs="Arial"/>
          <w:sz w:val="22"/>
          <w:szCs w:val="22"/>
        </w:rPr>
      </w:pPr>
      <w:r w:rsidRPr="00D2513B">
        <w:rPr>
          <w:rFonts w:ascii="Arial" w:hAnsi="Arial" w:cs="Arial"/>
          <w:sz w:val="22"/>
          <w:szCs w:val="22"/>
        </w:rPr>
        <w:t>Fax:  614.246.8658</w:t>
      </w:r>
    </w:p>
    <w:p w:rsidR="006A2495" w:rsidRPr="00D2513B" w:rsidRDefault="006A2495" w:rsidP="006A2495">
      <w:pPr>
        <w:rPr>
          <w:rFonts w:ascii="Arial" w:hAnsi="Arial" w:cs="Arial"/>
          <w:sz w:val="22"/>
          <w:szCs w:val="22"/>
        </w:rPr>
      </w:pPr>
      <w:r w:rsidRPr="00D2513B">
        <w:rPr>
          <w:rFonts w:ascii="Arial" w:hAnsi="Arial" w:cs="Arial"/>
          <w:sz w:val="22"/>
          <w:szCs w:val="22"/>
        </w:rPr>
        <w:t>cendsley@ofbf.org</w:t>
      </w:r>
    </w:p>
    <w:p w:rsidR="006A2495" w:rsidRPr="00D2513B" w:rsidRDefault="006A2495" w:rsidP="006A2495">
      <w:pPr>
        <w:rPr>
          <w:rFonts w:ascii="Arial" w:hAnsi="Arial" w:cs="Arial"/>
          <w:sz w:val="22"/>
          <w:szCs w:val="22"/>
        </w:rPr>
      </w:pPr>
    </w:p>
    <w:p w:rsidR="006A2495" w:rsidRPr="00D2513B" w:rsidRDefault="006A2495" w:rsidP="006A2495">
      <w:pPr>
        <w:rPr>
          <w:rFonts w:ascii="Arial Bold" w:hAnsi="Arial Bold" w:cs="Arial"/>
          <w:b/>
          <w:smallCaps/>
          <w:sz w:val="22"/>
          <w:szCs w:val="22"/>
        </w:rPr>
      </w:pPr>
      <w:r w:rsidRPr="00D2513B">
        <w:rPr>
          <w:rFonts w:ascii="Arial Bold" w:hAnsi="Arial Bold" w:cs="Arial"/>
          <w:b/>
          <w:smallCaps/>
          <w:sz w:val="22"/>
          <w:szCs w:val="22"/>
        </w:rPr>
        <w:t>Attorney for Ohio Farm Bureau Federation</w:t>
      </w:r>
    </w:p>
    <w:p w:rsidR="006A2495" w:rsidRPr="00D2513B" w:rsidRDefault="006A2495" w:rsidP="006A2495">
      <w:pPr>
        <w:rPr>
          <w:rFonts w:ascii="Arial" w:hAnsi="Arial" w:cs="Arial"/>
          <w:sz w:val="22"/>
          <w:szCs w:val="22"/>
        </w:rPr>
      </w:pPr>
    </w:p>
    <w:p w:rsidR="006A2495" w:rsidRPr="00D2513B" w:rsidRDefault="006A2495" w:rsidP="006A2495">
      <w:pPr>
        <w:rPr>
          <w:rFonts w:ascii="Arial" w:hAnsi="Arial" w:cs="Arial"/>
          <w:sz w:val="22"/>
          <w:szCs w:val="22"/>
        </w:rPr>
      </w:pPr>
      <w:r w:rsidRPr="00D2513B">
        <w:rPr>
          <w:rFonts w:ascii="Arial" w:hAnsi="Arial" w:cs="Arial"/>
          <w:sz w:val="22"/>
          <w:szCs w:val="22"/>
        </w:rPr>
        <w:t>John H. Jones</w:t>
      </w:r>
    </w:p>
    <w:p w:rsidR="006A2495" w:rsidRPr="00D2513B" w:rsidRDefault="006A2495" w:rsidP="006A2495">
      <w:pPr>
        <w:rPr>
          <w:rFonts w:ascii="Arial" w:hAnsi="Arial" w:cs="Arial"/>
          <w:sz w:val="22"/>
          <w:szCs w:val="22"/>
        </w:rPr>
      </w:pPr>
      <w:r w:rsidRPr="00D2513B">
        <w:rPr>
          <w:rFonts w:ascii="Arial" w:hAnsi="Arial" w:cs="Arial"/>
          <w:sz w:val="22"/>
          <w:szCs w:val="22"/>
        </w:rPr>
        <w:t>Ryan P. O’Rourke</w:t>
      </w:r>
    </w:p>
    <w:p w:rsidR="006A2495" w:rsidRPr="00D2513B" w:rsidRDefault="006A2495" w:rsidP="006A2495">
      <w:pPr>
        <w:rPr>
          <w:rFonts w:ascii="Arial" w:hAnsi="Arial" w:cs="Arial"/>
          <w:sz w:val="22"/>
          <w:szCs w:val="22"/>
        </w:rPr>
      </w:pPr>
      <w:r w:rsidRPr="00D2513B">
        <w:rPr>
          <w:rFonts w:ascii="Arial" w:hAnsi="Arial" w:cs="Arial"/>
          <w:sz w:val="22"/>
          <w:szCs w:val="22"/>
        </w:rPr>
        <w:t xml:space="preserve">Assistant Attorneys General </w:t>
      </w:r>
    </w:p>
    <w:p w:rsidR="006A2495" w:rsidRPr="00D2513B" w:rsidRDefault="006A2495" w:rsidP="006A2495">
      <w:pPr>
        <w:rPr>
          <w:rFonts w:ascii="Arial" w:hAnsi="Arial" w:cs="Arial"/>
          <w:sz w:val="22"/>
          <w:szCs w:val="22"/>
        </w:rPr>
      </w:pPr>
      <w:r w:rsidRPr="00D2513B">
        <w:rPr>
          <w:rFonts w:ascii="Arial" w:hAnsi="Arial" w:cs="Arial"/>
          <w:sz w:val="22"/>
          <w:szCs w:val="22"/>
        </w:rPr>
        <w:t>Public Utilities Section</w:t>
      </w:r>
    </w:p>
    <w:p w:rsidR="006A2495" w:rsidRPr="00D2513B" w:rsidRDefault="006A2495" w:rsidP="006A2495">
      <w:pPr>
        <w:rPr>
          <w:rFonts w:ascii="Arial" w:hAnsi="Arial" w:cs="Arial"/>
          <w:sz w:val="22"/>
          <w:szCs w:val="22"/>
        </w:rPr>
      </w:pPr>
      <w:r w:rsidRPr="00D2513B">
        <w:rPr>
          <w:rFonts w:ascii="Arial" w:hAnsi="Arial" w:cs="Arial"/>
          <w:sz w:val="22"/>
          <w:szCs w:val="22"/>
        </w:rPr>
        <w:t xml:space="preserve">Office of the Attorney General </w:t>
      </w:r>
    </w:p>
    <w:p w:rsidR="006A2495" w:rsidRPr="00D2513B" w:rsidRDefault="006A2495" w:rsidP="006A2495">
      <w:pPr>
        <w:rPr>
          <w:rFonts w:ascii="Arial" w:hAnsi="Arial" w:cs="Arial"/>
          <w:sz w:val="22"/>
          <w:szCs w:val="22"/>
        </w:rPr>
      </w:pPr>
      <w:r w:rsidRPr="00D2513B">
        <w:rPr>
          <w:rFonts w:ascii="Arial" w:hAnsi="Arial" w:cs="Arial"/>
          <w:sz w:val="22"/>
          <w:szCs w:val="22"/>
        </w:rPr>
        <w:t>180 East Broad Street, 6</w:t>
      </w:r>
      <w:r w:rsidRPr="00D2513B">
        <w:rPr>
          <w:rFonts w:ascii="Arial" w:hAnsi="Arial" w:cs="Arial"/>
          <w:sz w:val="22"/>
          <w:szCs w:val="22"/>
          <w:vertAlign w:val="superscript"/>
        </w:rPr>
        <w:t>th</w:t>
      </w:r>
      <w:r w:rsidRPr="00D2513B">
        <w:rPr>
          <w:rFonts w:ascii="Arial" w:hAnsi="Arial" w:cs="Arial"/>
          <w:sz w:val="22"/>
          <w:szCs w:val="22"/>
        </w:rPr>
        <w:t xml:space="preserve"> Floor</w:t>
      </w:r>
    </w:p>
    <w:p w:rsidR="006A2495" w:rsidRPr="00D2513B" w:rsidRDefault="006A2495" w:rsidP="006A2495">
      <w:pPr>
        <w:rPr>
          <w:rFonts w:ascii="Arial" w:hAnsi="Arial" w:cs="Arial"/>
          <w:sz w:val="22"/>
          <w:szCs w:val="22"/>
        </w:rPr>
      </w:pPr>
      <w:r w:rsidRPr="00D2513B">
        <w:rPr>
          <w:rFonts w:ascii="Arial" w:hAnsi="Arial" w:cs="Arial"/>
          <w:sz w:val="22"/>
          <w:szCs w:val="22"/>
        </w:rPr>
        <w:t>Columbus, OH  43215-3793</w:t>
      </w:r>
    </w:p>
    <w:p w:rsidR="006A2495" w:rsidRPr="00D2513B" w:rsidRDefault="006A2495" w:rsidP="006A2495">
      <w:pPr>
        <w:rPr>
          <w:rFonts w:ascii="Arial" w:hAnsi="Arial" w:cs="Arial"/>
          <w:sz w:val="22"/>
          <w:szCs w:val="22"/>
        </w:rPr>
      </w:pPr>
      <w:r w:rsidRPr="00D2513B">
        <w:rPr>
          <w:rFonts w:ascii="Arial" w:hAnsi="Arial" w:cs="Arial"/>
          <w:sz w:val="22"/>
          <w:szCs w:val="22"/>
        </w:rPr>
        <w:t>john.jones@puc.state.oh.us</w:t>
      </w:r>
    </w:p>
    <w:p w:rsidR="006A2495" w:rsidRPr="00D2513B" w:rsidRDefault="006A2495" w:rsidP="006A2495">
      <w:pPr>
        <w:rPr>
          <w:rFonts w:ascii="Arial" w:hAnsi="Arial" w:cs="Arial"/>
          <w:sz w:val="22"/>
          <w:szCs w:val="22"/>
        </w:rPr>
      </w:pPr>
      <w:r w:rsidRPr="00D2513B">
        <w:rPr>
          <w:rFonts w:ascii="Arial" w:hAnsi="Arial" w:cs="Arial"/>
          <w:sz w:val="22"/>
          <w:szCs w:val="22"/>
        </w:rPr>
        <w:t>ryan.o'rourke@puc.state.oh.us</w:t>
      </w:r>
    </w:p>
    <w:p w:rsidR="006A2495" w:rsidRPr="00D2513B" w:rsidRDefault="006A2495" w:rsidP="006A2495">
      <w:pPr>
        <w:rPr>
          <w:rFonts w:ascii="Arial" w:hAnsi="Arial" w:cs="Arial"/>
          <w:sz w:val="22"/>
          <w:szCs w:val="22"/>
        </w:rPr>
      </w:pPr>
      <w:r w:rsidRPr="00D2513B">
        <w:rPr>
          <w:rFonts w:ascii="Arial" w:hAnsi="Arial" w:cs="Arial"/>
          <w:sz w:val="22"/>
          <w:szCs w:val="22"/>
        </w:rPr>
        <w:lastRenderedPageBreak/>
        <w:t>Sarah Anderson</w:t>
      </w:r>
    </w:p>
    <w:p w:rsidR="006A2495" w:rsidRPr="00D2513B" w:rsidRDefault="006A2495" w:rsidP="006A2495">
      <w:pPr>
        <w:rPr>
          <w:rFonts w:ascii="Arial" w:hAnsi="Arial" w:cs="Arial"/>
          <w:sz w:val="22"/>
          <w:szCs w:val="22"/>
        </w:rPr>
      </w:pPr>
      <w:r w:rsidRPr="00D2513B">
        <w:rPr>
          <w:rFonts w:ascii="Arial" w:hAnsi="Arial" w:cs="Arial"/>
          <w:sz w:val="22"/>
          <w:szCs w:val="22"/>
        </w:rPr>
        <w:t>Assistant Attorney General</w:t>
      </w:r>
    </w:p>
    <w:p w:rsidR="006A2495" w:rsidRPr="00D2513B" w:rsidRDefault="006A2495" w:rsidP="006A2495">
      <w:pPr>
        <w:rPr>
          <w:rFonts w:ascii="Arial" w:hAnsi="Arial" w:cs="Arial"/>
          <w:sz w:val="22"/>
          <w:szCs w:val="22"/>
        </w:rPr>
      </w:pPr>
      <w:r w:rsidRPr="00D2513B">
        <w:rPr>
          <w:rFonts w:ascii="Arial" w:hAnsi="Arial" w:cs="Arial"/>
          <w:sz w:val="22"/>
          <w:szCs w:val="22"/>
        </w:rPr>
        <w:t>Environmental Enforcement Section</w:t>
      </w:r>
    </w:p>
    <w:p w:rsidR="006A2495" w:rsidRPr="00D2513B" w:rsidRDefault="006A2495" w:rsidP="006A2495">
      <w:pPr>
        <w:rPr>
          <w:rFonts w:ascii="Arial" w:hAnsi="Arial" w:cs="Arial"/>
          <w:sz w:val="22"/>
          <w:szCs w:val="22"/>
        </w:rPr>
      </w:pPr>
      <w:r w:rsidRPr="00D2513B">
        <w:rPr>
          <w:rFonts w:ascii="Arial" w:hAnsi="Arial" w:cs="Arial"/>
          <w:sz w:val="22"/>
          <w:szCs w:val="22"/>
        </w:rPr>
        <w:t xml:space="preserve">Office of the Attorney General </w:t>
      </w:r>
    </w:p>
    <w:p w:rsidR="006A2495" w:rsidRPr="00D2513B" w:rsidRDefault="006A2495" w:rsidP="006A2495">
      <w:pPr>
        <w:rPr>
          <w:rFonts w:ascii="Arial" w:hAnsi="Arial" w:cs="Arial"/>
          <w:sz w:val="22"/>
          <w:szCs w:val="22"/>
        </w:rPr>
      </w:pPr>
      <w:r w:rsidRPr="00D2513B">
        <w:rPr>
          <w:rFonts w:ascii="Arial" w:hAnsi="Arial" w:cs="Arial"/>
          <w:sz w:val="22"/>
          <w:szCs w:val="22"/>
        </w:rPr>
        <w:t>30 East Broad Street, 25</w:t>
      </w:r>
      <w:r w:rsidRPr="00D2513B">
        <w:rPr>
          <w:rFonts w:ascii="Arial" w:hAnsi="Arial" w:cs="Arial"/>
          <w:sz w:val="22"/>
          <w:szCs w:val="22"/>
          <w:vertAlign w:val="superscript"/>
        </w:rPr>
        <w:t>th</w:t>
      </w:r>
      <w:r w:rsidRPr="00D2513B">
        <w:rPr>
          <w:rFonts w:ascii="Arial" w:hAnsi="Arial" w:cs="Arial"/>
          <w:sz w:val="22"/>
          <w:szCs w:val="22"/>
        </w:rPr>
        <w:t xml:space="preserve"> Floor</w:t>
      </w:r>
    </w:p>
    <w:p w:rsidR="006A2495" w:rsidRPr="00D2513B" w:rsidRDefault="006A2495" w:rsidP="006A2495">
      <w:pPr>
        <w:rPr>
          <w:rFonts w:ascii="Arial" w:hAnsi="Arial" w:cs="Arial"/>
          <w:sz w:val="22"/>
          <w:szCs w:val="22"/>
        </w:rPr>
      </w:pPr>
      <w:r w:rsidRPr="00D2513B">
        <w:rPr>
          <w:rFonts w:ascii="Arial" w:hAnsi="Arial" w:cs="Arial"/>
          <w:sz w:val="22"/>
          <w:szCs w:val="22"/>
        </w:rPr>
        <w:t>Columbus, OH   43215</w:t>
      </w:r>
    </w:p>
    <w:p w:rsidR="006A2495" w:rsidRPr="00D2513B" w:rsidRDefault="006A2495" w:rsidP="006A2495">
      <w:pPr>
        <w:rPr>
          <w:rFonts w:ascii="Arial" w:hAnsi="Arial" w:cs="Arial"/>
          <w:sz w:val="22"/>
          <w:szCs w:val="22"/>
        </w:rPr>
      </w:pPr>
      <w:r w:rsidRPr="00D2513B">
        <w:rPr>
          <w:rFonts w:ascii="Arial" w:hAnsi="Arial" w:cs="Arial"/>
          <w:sz w:val="22"/>
          <w:szCs w:val="22"/>
        </w:rPr>
        <w:t>Sarah.anderson@ohioattorneygeneral.gov</w:t>
      </w:r>
    </w:p>
    <w:p w:rsidR="006A2495" w:rsidRPr="00D2513B" w:rsidRDefault="006A2495" w:rsidP="006A2495">
      <w:pPr>
        <w:rPr>
          <w:rFonts w:ascii="Arial" w:hAnsi="Arial" w:cs="Arial"/>
          <w:sz w:val="22"/>
          <w:szCs w:val="22"/>
        </w:rPr>
      </w:pPr>
    </w:p>
    <w:p w:rsidR="006A2495" w:rsidRPr="00D2513B" w:rsidRDefault="00574BAA" w:rsidP="006A2495">
      <w:pPr>
        <w:rPr>
          <w:rFonts w:ascii="Arial Bold" w:hAnsi="Arial Bold" w:cs="Arial"/>
          <w:b/>
          <w:smallCaps/>
          <w:sz w:val="22"/>
          <w:szCs w:val="22"/>
        </w:rPr>
      </w:pPr>
      <w:r>
        <w:rPr>
          <w:rFonts w:ascii="Arial Bold" w:hAnsi="Arial Bold" w:cs="Arial"/>
          <w:b/>
          <w:smallCaps/>
          <w:sz w:val="22"/>
          <w:szCs w:val="22"/>
        </w:rPr>
        <w:t xml:space="preserve">Attorneys for the </w:t>
      </w:r>
      <w:r w:rsidR="006A2495" w:rsidRPr="00D2513B">
        <w:rPr>
          <w:rFonts w:ascii="Arial Bold" w:hAnsi="Arial Bold" w:cs="Arial"/>
          <w:b/>
          <w:smallCaps/>
          <w:sz w:val="22"/>
          <w:szCs w:val="22"/>
        </w:rPr>
        <w:t>Staff of the Ohio Power Siting Board</w:t>
      </w:r>
    </w:p>
    <w:p w:rsidR="006A2495" w:rsidRPr="00D2513B" w:rsidRDefault="006A2495" w:rsidP="006A2495">
      <w:pPr>
        <w:rPr>
          <w:rFonts w:ascii="Arial" w:hAnsi="Arial" w:cs="Arial"/>
          <w:sz w:val="22"/>
          <w:szCs w:val="22"/>
        </w:rPr>
      </w:pPr>
    </w:p>
    <w:p w:rsidR="006A2495" w:rsidRPr="00D2513B" w:rsidRDefault="006A2495" w:rsidP="006A2495">
      <w:pPr>
        <w:tabs>
          <w:tab w:val="right" w:pos="8640"/>
        </w:tabs>
        <w:rPr>
          <w:rFonts w:ascii="Arial" w:eastAsia="Calibri" w:hAnsi="Arial" w:cs="Arial"/>
          <w:color w:val="000000" w:themeColor="text1"/>
          <w:sz w:val="22"/>
          <w:szCs w:val="22"/>
        </w:rPr>
      </w:pPr>
      <w:r w:rsidRPr="00D2513B">
        <w:rPr>
          <w:rFonts w:ascii="Arial" w:eastAsia="Calibri" w:hAnsi="Arial" w:cs="Arial"/>
          <w:color w:val="000000" w:themeColor="text1"/>
          <w:sz w:val="22"/>
          <w:szCs w:val="22"/>
        </w:rPr>
        <w:t>Greta See</w:t>
      </w:r>
    </w:p>
    <w:p w:rsidR="006A2495" w:rsidRPr="00D2513B" w:rsidRDefault="006A2495" w:rsidP="006A2495">
      <w:pPr>
        <w:tabs>
          <w:tab w:val="right" w:pos="8640"/>
        </w:tabs>
        <w:rPr>
          <w:rFonts w:ascii="Arial" w:eastAsia="Calibri" w:hAnsi="Arial" w:cs="Arial"/>
          <w:color w:val="000000" w:themeColor="text1"/>
          <w:sz w:val="22"/>
          <w:szCs w:val="22"/>
        </w:rPr>
      </w:pPr>
      <w:r w:rsidRPr="00D2513B">
        <w:rPr>
          <w:rFonts w:ascii="Arial" w:eastAsia="Calibri" w:hAnsi="Arial" w:cs="Arial"/>
          <w:color w:val="000000" w:themeColor="text1"/>
          <w:sz w:val="22"/>
          <w:szCs w:val="22"/>
        </w:rPr>
        <w:t>Attorney Examiner</w:t>
      </w:r>
    </w:p>
    <w:p w:rsidR="006A2495" w:rsidRPr="00D2513B" w:rsidRDefault="006A2495" w:rsidP="006A2495">
      <w:pPr>
        <w:tabs>
          <w:tab w:val="right" w:pos="8640"/>
        </w:tabs>
        <w:rPr>
          <w:rFonts w:ascii="Arial" w:eastAsia="Calibri" w:hAnsi="Arial" w:cs="Arial"/>
          <w:color w:val="000000" w:themeColor="text1"/>
          <w:sz w:val="22"/>
          <w:szCs w:val="22"/>
        </w:rPr>
      </w:pPr>
      <w:r w:rsidRPr="00D2513B">
        <w:rPr>
          <w:rFonts w:ascii="Arial" w:eastAsia="Calibri" w:hAnsi="Arial" w:cs="Arial"/>
          <w:color w:val="000000" w:themeColor="text1"/>
          <w:sz w:val="22"/>
          <w:szCs w:val="22"/>
        </w:rPr>
        <w:t>Public Utilities Commission of Ohio</w:t>
      </w:r>
    </w:p>
    <w:p w:rsidR="006A2495" w:rsidRPr="00D2513B" w:rsidRDefault="006A2495" w:rsidP="006A2495">
      <w:pPr>
        <w:tabs>
          <w:tab w:val="right" w:pos="8640"/>
        </w:tabs>
        <w:rPr>
          <w:rFonts w:ascii="Arial" w:eastAsia="Calibri" w:hAnsi="Arial" w:cs="Arial"/>
          <w:color w:val="000000" w:themeColor="text1"/>
          <w:sz w:val="22"/>
          <w:szCs w:val="22"/>
        </w:rPr>
      </w:pPr>
      <w:r w:rsidRPr="00D2513B">
        <w:rPr>
          <w:rFonts w:ascii="Arial" w:eastAsia="Calibri" w:hAnsi="Arial" w:cs="Arial"/>
          <w:color w:val="000000" w:themeColor="text1"/>
          <w:sz w:val="22"/>
          <w:szCs w:val="22"/>
        </w:rPr>
        <w:t>180 East Broad Street, 12</w:t>
      </w:r>
      <w:r w:rsidRPr="00D2513B">
        <w:rPr>
          <w:rFonts w:ascii="Arial" w:eastAsia="Calibri" w:hAnsi="Arial" w:cs="Arial"/>
          <w:color w:val="000000" w:themeColor="text1"/>
          <w:sz w:val="22"/>
          <w:szCs w:val="22"/>
          <w:vertAlign w:val="superscript"/>
        </w:rPr>
        <w:t>th</w:t>
      </w:r>
      <w:r w:rsidRPr="00D2513B">
        <w:rPr>
          <w:rFonts w:ascii="Arial" w:eastAsia="Calibri" w:hAnsi="Arial" w:cs="Arial"/>
          <w:color w:val="000000" w:themeColor="text1"/>
          <w:sz w:val="22"/>
          <w:szCs w:val="22"/>
        </w:rPr>
        <w:t xml:space="preserve"> Floor</w:t>
      </w:r>
    </w:p>
    <w:p w:rsidR="006A2495" w:rsidRPr="00D2513B" w:rsidRDefault="006A2495" w:rsidP="006A2495">
      <w:pPr>
        <w:tabs>
          <w:tab w:val="right" w:pos="8640"/>
        </w:tabs>
        <w:rPr>
          <w:rFonts w:ascii="Arial" w:eastAsia="Calibri" w:hAnsi="Arial" w:cs="Arial"/>
          <w:color w:val="000000" w:themeColor="text1"/>
          <w:sz w:val="22"/>
          <w:szCs w:val="22"/>
        </w:rPr>
      </w:pPr>
      <w:r w:rsidRPr="00D2513B">
        <w:rPr>
          <w:rFonts w:ascii="Arial" w:eastAsia="Calibri" w:hAnsi="Arial" w:cs="Arial"/>
          <w:color w:val="000000" w:themeColor="text1"/>
          <w:sz w:val="22"/>
          <w:szCs w:val="22"/>
        </w:rPr>
        <w:t>Columbus, OH  43215</w:t>
      </w:r>
    </w:p>
    <w:p w:rsidR="006A2495" w:rsidRPr="00D2513B" w:rsidRDefault="006A2495" w:rsidP="006A2495">
      <w:pPr>
        <w:autoSpaceDE w:val="0"/>
        <w:autoSpaceDN w:val="0"/>
        <w:adjustRightInd w:val="0"/>
        <w:rPr>
          <w:rFonts w:ascii="Arial" w:hAnsi="Arial" w:cs="Arial"/>
          <w:color w:val="000000" w:themeColor="text1"/>
          <w:sz w:val="22"/>
          <w:szCs w:val="22"/>
        </w:rPr>
      </w:pPr>
      <w:r w:rsidRPr="00D2513B">
        <w:rPr>
          <w:rFonts w:ascii="Arial" w:hAnsi="Arial" w:cs="Arial"/>
          <w:color w:val="000000" w:themeColor="text1"/>
          <w:sz w:val="22"/>
          <w:szCs w:val="22"/>
        </w:rPr>
        <w:t>Greta.See@puc.state.oh.us</w:t>
      </w:r>
    </w:p>
    <w:p w:rsidR="006A2495" w:rsidRPr="00D2513B" w:rsidRDefault="006A2495" w:rsidP="006A2495">
      <w:pPr>
        <w:autoSpaceDE w:val="0"/>
        <w:autoSpaceDN w:val="0"/>
        <w:adjustRightInd w:val="0"/>
        <w:rPr>
          <w:rFonts w:ascii="Arial" w:hAnsi="Arial" w:cs="Arial"/>
          <w:color w:val="000000" w:themeColor="text1"/>
          <w:sz w:val="22"/>
          <w:szCs w:val="22"/>
        </w:rPr>
      </w:pPr>
    </w:p>
    <w:p w:rsidR="006A2495" w:rsidRPr="00D2513B" w:rsidRDefault="006A2495" w:rsidP="006A2495">
      <w:pPr>
        <w:autoSpaceDE w:val="0"/>
        <w:autoSpaceDN w:val="0"/>
        <w:adjustRightInd w:val="0"/>
        <w:rPr>
          <w:rFonts w:ascii="Arial" w:hAnsi="Arial" w:cs="Arial"/>
          <w:b/>
          <w:smallCaps/>
          <w:color w:val="000000" w:themeColor="text1"/>
          <w:sz w:val="22"/>
          <w:szCs w:val="22"/>
        </w:rPr>
      </w:pPr>
      <w:r w:rsidRPr="00D2513B">
        <w:rPr>
          <w:rFonts w:ascii="Arial" w:hAnsi="Arial" w:cs="Arial"/>
          <w:b/>
          <w:smallCaps/>
          <w:color w:val="000000" w:themeColor="text1"/>
          <w:sz w:val="22"/>
          <w:szCs w:val="22"/>
        </w:rPr>
        <w:t>Attorney Examiner</w:t>
      </w:r>
    </w:p>
    <w:p w:rsidR="006A2495" w:rsidRPr="00D2513B" w:rsidRDefault="006A2495" w:rsidP="006A2495">
      <w:pPr>
        <w:autoSpaceDE w:val="0"/>
        <w:autoSpaceDN w:val="0"/>
        <w:adjustRightInd w:val="0"/>
        <w:rPr>
          <w:rFonts w:ascii="Arial" w:hAnsi="Arial" w:cs="Arial"/>
          <w:b/>
          <w:smallCaps/>
          <w:color w:val="000000" w:themeColor="text1"/>
          <w:sz w:val="22"/>
          <w:szCs w:val="22"/>
        </w:rPr>
      </w:pPr>
    </w:p>
    <w:p w:rsidR="006A2495" w:rsidRPr="00D2513B" w:rsidRDefault="006A2495" w:rsidP="006A2495">
      <w:pPr>
        <w:rPr>
          <w:rFonts w:ascii="Arial" w:hAnsi="Arial" w:cs="Arial"/>
          <w:color w:val="000000" w:themeColor="text1"/>
          <w:sz w:val="22"/>
          <w:szCs w:val="22"/>
        </w:rPr>
      </w:pPr>
    </w:p>
    <w:p w:rsidR="006A2495" w:rsidRPr="00D2513B" w:rsidRDefault="006A2495" w:rsidP="006A2495">
      <w:pPr>
        <w:rPr>
          <w:rFonts w:ascii="Arial" w:hAnsi="Arial" w:cs="Arial"/>
          <w:sz w:val="22"/>
          <w:szCs w:val="22"/>
        </w:rPr>
      </w:pPr>
    </w:p>
    <w:p w:rsidR="00302D55" w:rsidRDefault="00302D55" w:rsidP="00B25F96">
      <w:pPr>
        <w:autoSpaceDE w:val="0"/>
        <w:autoSpaceDN w:val="0"/>
        <w:adjustRightInd w:val="0"/>
        <w:snapToGrid w:val="0"/>
        <w:rPr>
          <w:rFonts w:ascii="Arial" w:hAnsi="Arial" w:cs="Arial"/>
          <w:sz w:val="20"/>
          <w:szCs w:val="20"/>
        </w:rPr>
      </w:pPr>
    </w:p>
    <w:sectPr w:rsidR="00302D55" w:rsidSect="00574BA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27" w:rsidRDefault="00252127">
      <w:r>
        <w:separator/>
      </w:r>
    </w:p>
  </w:endnote>
  <w:endnote w:type="continuationSeparator" w:id="0">
    <w:p w:rsidR="00252127" w:rsidRDefault="0025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9E4630">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71B1" w:rsidRDefault="008F7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3B3BF7">
    <w:pPr>
      <w:pStyle w:val="Footer"/>
      <w:tabs>
        <w:tab w:val="clear" w:pos="4320"/>
        <w:tab w:val="center" w:pos="4680"/>
      </w:tabs>
      <w:rPr>
        <w:rFonts w:ascii="Arial" w:hAnsi="Arial" w:cs="Arial"/>
        <w:noProof/>
        <w:sz w:val="16"/>
      </w:rPr>
    </w:pPr>
    <w:r w:rsidRPr="003B3BF7">
      <w:rPr>
        <w:rFonts w:ascii="Arial" w:hAnsi="Arial" w:cs="Arial"/>
        <w:noProof/>
        <w:sz w:val="16"/>
      </w:rPr>
      <w:t>{C45440:2 }</w:t>
    </w:r>
    <w:r w:rsidR="009E4630">
      <w:rPr>
        <w:rFonts w:ascii="Arial" w:hAnsi="Arial" w:cs="Arial"/>
        <w:noProof/>
        <w:sz w:val="16"/>
      </w:rPr>
      <w:tab/>
    </w:r>
    <w:r w:rsidR="009E4630">
      <w:rPr>
        <w:rFonts w:ascii="Arial" w:hAnsi="Arial" w:cs="Arial"/>
        <w:noProof/>
        <w:sz w:val="22"/>
        <w:szCs w:val="22"/>
      </w:rPr>
      <w:fldChar w:fldCharType="begin"/>
    </w:r>
    <w:r w:rsidR="009E4630">
      <w:rPr>
        <w:rFonts w:ascii="Arial" w:hAnsi="Arial" w:cs="Arial"/>
        <w:noProof/>
        <w:sz w:val="22"/>
        <w:szCs w:val="22"/>
      </w:rPr>
      <w:instrText xml:space="preserve"> PAGE   \* MERGEFORMAT </w:instrText>
    </w:r>
    <w:r w:rsidR="009E4630">
      <w:rPr>
        <w:rFonts w:ascii="Arial" w:hAnsi="Arial" w:cs="Arial"/>
        <w:noProof/>
        <w:sz w:val="22"/>
        <w:szCs w:val="22"/>
      </w:rPr>
      <w:fldChar w:fldCharType="separate"/>
    </w:r>
    <w:r>
      <w:rPr>
        <w:rFonts w:ascii="Arial" w:hAnsi="Arial" w:cs="Arial"/>
        <w:noProof/>
        <w:sz w:val="22"/>
        <w:szCs w:val="22"/>
      </w:rPr>
      <w:t>11</w:t>
    </w:r>
    <w:r w:rsidR="009E4630">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3B3BF7">
    <w:pPr>
      <w:pStyle w:val="Footer"/>
      <w:rPr>
        <w:rFonts w:ascii="Arial" w:hAnsi="Arial" w:cs="Arial"/>
      </w:rPr>
    </w:pPr>
    <w:r w:rsidRPr="003B3BF7">
      <w:rPr>
        <w:rFonts w:ascii="Arial" w:hAnsi="Arial" w:cs="Arial"/>
        <w:noProof/>
        <w:sz w:val="16"/>
      </w:rPr>
      <w:t>{C45440:2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1D" w:rsidRDefault="005E24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1D" w:rsidRPr="00B50F88" w:rsidRDefault="003B3BF7" w:rsidP="00B50F88">
    <w:pPr>
      <w:pStyle w:val="Footer"/>
      <w:tabs>
        <w:tab w:val="clear" w:pos="4320"/>
        <w:tab w:val="center" w:pos="4680"/>
      </w:tabs>
      <w:rPr>
        <w:rFonts w:ascii="Arial" w:hAnsi="Arial" w:cs="Arial"/>
        <w:sz w:val="22"/>
        <w:szCs w:val="22"/>
      </w:rPr>
    </w:pPr>
    <w:r w:rsidRPr="003B3BF7">
      <w:rPr>
        <w:rFonts w:ascii="Arial" w:hAnsi="Arial" w:cs="Arial"/>
        <w:noProof/>
        <w:sz w:val="16"/>
      </w:rPr>
      <w:t>{C45440:2 }</w:t>
    </w:r>
    <w:r w:rsidR="00B50F88" w:rsidRPr="00B50F88">
      <w:rPr>
        <w:rFonts w:ascii="Arial" w:hAnsi="Arial" w:cs="Arial"/>
        <w:noProof/>
        <w:sz w:val="16"/>
      </w:rPr>
      <w:tab/>
    </w:r>
    <w:r w:rsidR="00B50F88" w:rsidRPr="00B50F88">
      <w:rPr>
        <w:rFonts w:ascii="Arial" w:hAnsi="Arial" w:cs="Arial"/>
        <w:noProof/>
        <w:sz w:val="22"/>
        <w:szCs w:val="22"/>
      </w:rPr>
      <w:fldChar w:fldCharType="begin"/>
    </w:r>
    <w:r w:rsidR="00B50F88" w:rsidRPr="00B50F88">
      <w:rPr>
        <w:rFonts w:ascii="Arial" w:hAnsi="Arial" w:cs="Arial"/>
        <w:noProof/>
        <w:sz w:val="22"/>
        <w:szCs w:val="22"/>
      </w:rPr>
      <w:instrText xml:space="preserve"> PAGE   \* MERGEFORMAT </w:instrText>
    </w:r>
    <w:r w:rsidR="00B50F88" w:rsidRPr="00B50F88">
      <w:rPr>
        <w:rFonts w:ascii="Arial" w:hAnsi="Arial" w:cs="Arial"/>
        <w:noProof/>
        <w:sz w:val="22"/>
        <w:szCs w:val="22"/>
      </w:rPr>
      <w:fldChar w:fldCharType="separate"/>
    </w:r>
    <w:r w:rsidR="005E2481">
      <w:rPr>
        <w:rFonts w:ascii="Arial" w:hAnsi="Arial" w:cs="Arial"/>
        <w:noProof/>
        <w:sz w:val="22"/>
        <w:szCs w:val="22"/>
      </w:rPr>
      <w:t>11</w:t>
    </w:r>
    <w:r w:rsidR="00B50F88" w:rsidRPr="00B50F88">
      <w:rPr>
        <w:rFonts w:ascii="Arial" w:hAnsi="Arial" w:cs="Arial"/>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1D" w:rsidRPr="005C3062" w:rsidRDefault="003B3BF7">
    <w:pPr>
      <w:pStyle w:val="Footer"/>
    </w:pPr>
    <w:r w:rsidRPr="003B3BF7">
      <w:rPr>
        <w:noProof/>
        <w:sz w:val="16"/>
      </w:rPr>
      <w:t>{C45440:2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27" w:rsidRDefault="00252127">
      <w:pPr>
        <w:rPr>
          <w:noProof/>
        </w:rPr>
      </w:pPr>
      <w:r>
        <w:rPr>
          <w:noProof/>
        </w:rPr>
        <w:separator/>
      </w:r>
    </w:p>
  </w:footnote>
  <w:footnote w:type="continuationSeparator" w:id="0">
    <w:p w:rsidR="00252127" w:rsidRDefault="00252127">
      <w:r>
        <w:continuationSeparator/>
      </w:r>
    </w:p>
  </w:footnote>
  <w:footnote w:id="1">
    <w:p w:rsidR="008C6B42" w:rsidRPr="008C6B42" w:rsidRDefault="008C6B42">
      <w:pPr>
        <w:pStyle w:val="FootnoteText"/>
        <w:rPr>
          <w:rFonts w:ascii="Arial" w:hAnsi="Arial" w:cs="Arial"/>
        </w:rPr>
      </w:pPr>
      <w:r w:rsidRPr="008C6B42">
        <w:rPr>
          <w:rStyle w:val="FootnoteReference"/>
          <w:rFonts w:ascii="Arial" w:hAnsi="Arial" w:cs="Arial"/>
        </w:rPr>
        <w:footnoteRef/>
      </w:r>
      <w:r w:rsidRPr="008C6B42">
        <w:rPr>
          <w:rFonts w:ascii="Arial" w:hAnsi="Arial" w:cs="Arial"/>
        </w:rPr>
        <w:t xml:space="preserve"> Omega is owned by Gerald and Connie Oney.</w:t>
      </w:r>
    </w:p>
  </w:footnote>
  <w:footnote w:id="2">
    <w:p w:rsidR="00D76DD5" w:rsidRPr="00E848C3" w:rsidRDefault="00D76DD5" w:rsidP="00E848C3">
      <w:pPr>
        <w:pStyle w:val="FootnoteText"/>
        <w:jc w:val="both"/>
        <w:rPr>
          <w:rFonts w:ascii="Arial" w:hAnsi="Arial" w:cs="Arial"/>
        </w:rPr>
      </w:pPr>
      <w:r w:rsidRPr="00E848C3">
        <w:rPr>
          <w:rStyle w:val="FootnoteReference"/>
          <w:rFonts w:ascii="Arial" w:hAnsi="Arial" w:cs="Arial"/>
        </w:rPr>
        <w:footnoteRef/>
      </w:r>
      <w:r w:rsidRPr="00E848C3">
        <w:rPr>
          <w:rFonts w:ascii="Arial" w:hAnsi="Arial" w:cs="Arial"/>
        </w:rPr>
        <w:t xml:space="preserve"> </w:t>
      </w:r>
      <w:r w:rsidR="00E85139">
        <w:rPr>
          <w:rFonts w:ascii="Arial" w:hAnsi="Arial" w:cs="Arial"/>
        </w:rPr>
        <w:t xml:space="preserve">Testimony of Monica Jensen on behalf of 6011 Greenwich Windpark, LLC (May 9, 2014).  </w:t>
      </w:r>
      <w:r w:rsidRPr="00E848C3">
        <w:rPr>
          <w:rFonts w:ascii="Arial" w:hAnsi="Arial" w:cs="Arial"/>
        </w:rPr>
        <w:t xml:space="preserve">Since this testimony is dated </w:t>
      </w:r>
      <w:r w:rsidR="00E848C3">
        <w:rPr>
          <w:rFonts w:ascii="Arial" w:hAnsi="Arial" w:cs="Arial"/>
        </w:rPr>
        <w:t>May 9, 2014</w:t>
      </w:r>
      <w:r w:rsidRPr="00E848C3">
        <w:rPr>
          <w:rFonts w:ascii="Arial" w:hAnsi="Arial" w:cs="Arial"/>
        </w:rPr>
        <w:t xml:space="preserve"> and the local public hearing was held on May 6, 2016, it is reasonable to conclude that the </w:t>
      </w:r>
      <w:r w:rsidR="009938F5" w:rsidRPr="00E848C3">
        <w:rPr>
          <w:rFonts w:ascii="Arial" w:hAnsi="Arial" w:cs="Arial"/>
        </w:rPr>
        <w:t xml:space="preserve">existing parties to this proceeding had concluded settlement discussions prior to the May 6, 2016 local public hearing.  The existence of such a settlement </w:t>
      </w:r>
      <w:r w:rsidR="00E848C3">
        <w:rPr>
          <w:rFonts w:ascii="Arial" w:hAnsi="Arial" w:cs="Arial"/>
        </w:rPr>
        <w:t xml:space="preserve">or </w:t>
      </w:r>
      <w:r w:rsidR="00201618">
        <w:rPr>
          <w:rFonts w:ascii="Arial" w:hAnsi="Arial" w:cs="Arial"/>
        </w:rPr>
        <w:t xml:space="preserve">the </w:t>
      </w:r>
      <w:r w:rsidR="00E848C3">
        <w:rPr>
          <w:rFonts w:ascii="Arial" w:hAnsi="Arial" w:cs="Arial"/>
        </w:rPr>
        <w:t xml:space="preserve">settlement negotiations </w:t>
      </w:r>
      <w:r w:rsidR="00201618">
        <w:rPr>
          <w:rFonts w:ascii="Arial" w:hAnsi="Arial" w:cs="Arial"/>
        </w:rPr>
        <w:t>that were obviously taking place at the time of the local public hearing were</w:t>
      </w:r>
      <w:r w:rsidR="009938F5" w:rsidRPr="00E848C3">
        <w:rPr>
          <w:rFonts w:ascii="Arial" w:hAnsi="Arial" w:cs="Arial"/>
        </w:rPr>
        <w:t xml:space="preserve"> never disclosed at the public hearing.  Additionally</w:t>
      </w:r>
      <w:r w:rsidR="006A2495">
        <w:rPr>
          <w:rFonts w:ascii="Arial" w:hAnsi="Arial" w:cs="Arial"/>
        </w:rPr>
        <w:t>,</w:t>
      </w:r>
      <w:r w:rsidR="009938F5" w:rsidRPr="00E848C3">
        <w:rPr>
          <w:rFonts w:ascii="Arial" w:hAnsi="Arial" w:cs="Arial"/>
        </w:rPr>
        <w:t xml:space="preserve"> the May </w:t>
      </w:r>
      <w:r w:rsidR="006A2495">
        <w:rPr>
          <w:rFonts w:ascii="Arial" w:hAnsi="Arial" w:cs="Arial"/>
        </w:rPr>
        <w:t>9</w:t>
      </w:r>
      <w:r w:rsidR="009938F5" w:rsidRPr="00E848C3">
        <w:rPr>
          <w:rFonts w:ascii="Arial" w:hAnsi="Arial" w:cs="Arial"/>
        </w:rPr>
        <w:t>, 2014 testimony of Greenwich</w:t>
      </w:r>
      <w:r w:rsidR="006A2495">
        <w:rPr>
          <w:rFonts w:ascii="Arial" w:hAnsi="Arial" w:cs="Arial"/>
        </w:rPr>
        <w:t>,</w:t>
      </w:r>
      <w:r w:rsidR="009938F5" w:rsidRPr="00E848C3">
        <w:rPr>
          <w:rFonts w:ascii="Arial" w:hAnsi="Arial" w:cs="Arial"/>
        </w:rPr>
        <w:t xml:space="preserve"> which was filed in support of the settlement</w:t>
      </w:r>
      <w:r w:rsidR="006A2495">
        <w:rPr>
          <w:rFonts w:ascii="Arial" w:hAnsi="Arial" w:cs="Arial"/>
        </w:rPr>
        <w:t>,</w:t>
      </w:r>
      <w:r w:rsidR="009938F5" w:rsidRPr="00E848C3">
        <w:rPr>
          <w:rFonts w:ascii="Arial" w:hAnsi="Arial" w:cs="Arial"/>
        </w:rPr>
        <w:t xml:space="preserve"> acknowledges that the local public hearing was scheduled at a time when it was unlikely that members of the mostly-farming community would be able to attend.  </w:t>
      </w:r>
      <w:r w:rsidR="00E848C3">
        <w:rPr>
          <w:rFonts w:ascii="Arial" w:hAnsi="Arial" w:cs="Arial"/>
        </w:rPr>
        <w:t>More specifically, page 4 of such testimony states: “…</w:t>
      </w:r>
      <w:r w:rsidR="006A2495">
        <w:rPr>
          <w:rFonts w:ascii="Arial" w:hAnsi="Arial" w:cs="Arial"/>
        </w:rPr>
        <w:t> </w:t>
      </w:r>
      <w:r w:rsidR="00E848C3" w:rsidRPr="00E848C3">
        <w:rPr>
          <w:rFonts w:ascii="Arial" w:hAnsi="Arial" w:cs="Arial"/>
        </w:rPr>
        <w:t>because of the timing of the</w:t>
      </w:r>
      <w:r w:rsidR="00E848C3">
        <w:rPr>
          <w:rFonts w:ascii="Arial" w:hAnsi="Arial" w:cs="Arial"/>
        </w:rPr>
        <w:t xml:space="preserve"> </w:t>
      </w:r>
      <w:r w:rsidR="00E848C3" w:rsidRPr="00E848C3">
        <w:rPr>
          <w:rFonts w:ascii="Arial" w:hAnsi="Arial" w:cs="Arial"/>
        </w:rPr>
        <w:t>hearing and the fact that the people in the community are mostly farmers who are now</w:t>
      </w:r>
      <w:r w:rsidR="00E848C3">
        <w:rPr>
          <w:rFonts w:ascii="Arial" w:hAnsi="Arial" w:cs="Arial"/>
        </w:rPr>
        <w:t xml:space="preserve"> </w:t>
      </w:r>
      <w:r w:rsidR="00E848C3" w:rsidRPr="00E848C3">
        <w:rPr>
          <w:rFonts w:ascii="Arial" w:hAnsi="Arial" w:cs="Arial"/>
        </w:rPr>
        <w:t>considerably behind in spring planting due to uncooperative weather, only a few were able to</w:t>
      </w:r>
      <w:r w:rsidR="00E848C3">
        <w:rPr>
          <w:rFonts w:ascii="Arial" w:hAnsi="Arial" w:cs="Arial"/>
        </w:rPr>
        <w:t xml:space="preserve"> </w:t>
      </w:r>
      <w:r w:rsidR="00E848C3" w:rsidRPr="00E848C3">
        <w:rPr>
          <w:rFonts w:ascii="Arial" w:hAnsi="Arial" w:cs="Arial"/>
        </w:rPr>
        <w:t>attend the hearing.</w:t>
      </w:r>
      <w:r w:rsidR="00E848C3">
        <w:rPr>
          <w:rFonts w:ascii="Arial" w:hAnsi="Arial" w:cs="Arial"/>
        </w:rPr>
        <w:t xml:space="preserve">”  </w:t>
      </w:r>
      <w:r w:rsidR="00E85139">
        <w:rPr>
          <w:rFonts w:ascii="Arial" w:hAnsi="Arial" w:cs="Arial"/>
        </w:rPr>
        <w:t xml:space="preserve">Testimony of Monica Jensen on behalf of 6011 Greenwich Windpark, LLC at 4 (May 9, 2014).  </w:t>
      </w:r>
      <w:r w:rsidR="00E848C3">
        <w:rPr>
          <w:rFonts w:ascii="Arial" w:hAnsi="Arial" w:cs="Arial"/>
        </w:rPr>
        <w:t xml:space="preserve">The only testimony filed in support of the Joint Stipulation and Recommendation also fails to assert that the Joint Stipulation </w:t>
      </w:r>
      <w:r w:rsidR="006A2495">
        <w:rPr>
          <w:rFonts w:ascii="Arial" w:hAnsi="Arial" w:cs="Arial"/>
        </w:rPr>
        <w:t xml:space="preserve">and Recommendation </w:t>
      </w:r>
      <w:r w:rsidR="00E848C3">
        <w:rPr>
          <w:rFonts w:ascii="Arial" w:hAnsi="Arial" w:cs="Arial"/>
        </w:rPr>
        <w:t xml:space="preserve">satisfies the criteria which are </w:t>
      </w:r>
      <w:r w:rsidR="00201618">
        <w:rPr>
          <w:rFonts w:ascii="Arial" w:hAnsi="Arial" w:cs="Arial"/>
        </w:rPr>
        <w:t xml:space="preserve">used </w:t>
      </w:r>
      <w:r w:rsidR="00E848C3">
        <w:rPr>
          <w:rFonts w:ascii="Arial" w:hAnsi="Arial" w:cs="Arial"/>
        </w:rPr>
        <w:t xml:space="preserve">to evaluate settlements.  There is no </w:t>
      </w:r>
      <w:r w:rsidR="00201618">
        <w:rPr>
          <w:rFonts w:ascii="Arial" w:hAnsi="Arial" w:cs="Arial"/>
        </w:rPr>
        <w:t xml:space="preserve">affirmative and direct assertion </w:t>
      </w:r>
      <w:r w:rsidR="00E848C3">
        <w:rPr>
          <w:rFonts w:ascii="Arial" w:hAnsi="Arial" w:cs="Arial"/>
        </w:rPr>
        <w:t xml:space="preserve">that the Joint Stipulation </w:t>
      </w:r>
      <w:r w:rsidR="00201618">
        <w:rPr>
          <w:rFonts w:ascii="Arial" w:hAnsi="Arial" w:cs="Arial"/>
        </w:rPr>
        <w:t xml:space="preserve">and Recommendation </w:t>
      </w:r>
      <w:r w:rsidR="00201618">
        <w:rPr>
          <w:rFonts w:ascii="Arial" w:hAnsi="Arial" w:cs="Arial"/>
          <w:color w:val="000000"/>
        </w:rPr>
        <w:t>is a product of serious bargaining among capable, knowledgeable parties,  whether the settlement, as a package, benefits ratepayers and the public interest  </w:t>
      </w:r>
      <w:r w:rsidR="00201618" w:rsidRPr="00201618">
        <w:rPr>
          <w:rFonts w:ascii="Arial" w:hAnsi="Arial" w:cs="Arial"/>
          <w:color w:val="000000"/>
          <w:u w:val="single"/>
        </w:rPr>
        <w:t>and</w:t>
      </w:r>
      <w:r w:rsidR="00201618">
        <w:rPr>
          <w:rFonts w:ascii="Arial" w:hAnsi="Arial" w:cs="Arial"/>
          <w:color w:val="000000"/>
        </w:rPr>
        <w:t xml:space="preserve"> whether the settlement package violates any important regulatory principles or practices.  </w:t>
      </w:r>
      <w:r w:rsidR="00201618" w:rsidRPr="00201618">
        <w:rPr>
          <w:rFonts w:ascii="Arial" w:hAnsi="Arial" w:cs="Arial"/>
          <w:i/>
          <w:color w:val="000000"/>
        </w:rPr>
        <w:t>Consumers' Counsel v. Pub. Util. Comm.</w:t>
      </w:r>
      <w:r w:rsidR="00201618" w:rsidRPr="00201618">
        <w:rPr>
          <w:rFonts w:ascii="Arial" w:hAnsi="Arial" w:cs="Arial"/>
          <w:color w:val="000000"/>
        </w:rPr>
        <w:t xml:space="preserve"> (1992), 64 Ohio St.3d 123, 126, 592 N.E.2d 1370.   </w:t>
      </w:r>
      <w:r w:rsidR="00201618" w:rsidRPr="00201618">
        <w:rPr>
          <w:rFonts w:ascii="Arial" w:hAnsi="Arial" w:cs="Arial"/>
          <w:i/>
          <w:color w:val="000000"/>
        </w:rPr>
        <w:t>See, also, AK Steel Corp. v. Pub. Util. Comm.</w:t>
      </w:r>
      <w:r w:rsidR="00201618" w:rsidRPr="00201618">
        <w:rPr>
          <w:rFonts w:ascii="Arial" w:hAnsi="Arial" w:cs="Arial"/>
          <w:color w:val="000000"/>
        </w:rPr>
        <w:t xml:space="preserve"> (2002), 95 Ohio St.</w:t>
      </w:r>
      <w:r w:rsidR="00201618">
        <w:rPr>
          <w:rFonts w:ascii="Arial" w:hAnsi="Arial" w:cs="Arial"/>
          <w:color w:val="000000"/>
        </w:rPr>
        <w:t>3d 81, 82</w:t>
      </w:r>
      <w:r w:rsidR="006874D6">
        <w:rPr>
          <w:rFonts w:ascii="Arial" w:hAnsi="Arial" w:cs="Arial"/>
          <w:color w:val="000000"/>
        </w:rPr>
        <w:t>-83, 765 N.E.2d 862.</w:t>
      </w:r>
    </w:p>
  </w:footnote>
  <w:footnote w:id="3">
    <w:p w:rsidR="00B66EAA" w:rsidRPr="00B66EAA" w:rsidRDefault="00B66EAA" w:rsidP="00B66EAA">
      <w:pPr>
        <w:pStyle w:val="FootnoteText"/>
        <w:jc w:val="both"/>
        <w:rPr>
          <w:rFonts w:ascii="Arial" w:hAnsi="Arial" w:cs="Arial"/>
        </w:rPr>
      </w:pPr>
      <w:r w:rsidRPr="00B66EAA">
        <w:rPr>
          <w:rStyle w:val="FootnoteReference"/>
          <w:rFonts w:ascii="Arial" w:hAnsi="Arial" w:cs="Arial"/>
        </w:rPr>
        <w:footnoteRef/>
      </w:r>
      <w:r w:rsidRPr="00B66EAA">
        <w:rPr>
          <w:rFonts w:ascii="Arial" w:hAnsi="Arial" w:cs="Arial"/>
        </w:rPr>
        <w:t xml:space="preserve"> On August 20, 2014 and as soon as Omega appreciated the significance of intervenor status, it sought legal representation and authorized the filing of the late-filed intervention request.  Counsel for Omega work</w:t>
      </w:r>
      <w:r w:rsidR="006A2495">
        <w:rPr>
          <w:rFonts w:ascii="Arial" w:hAnsi="Arial" w:cs="Arial"/>
        </w:rPr>
        <w:t>ed</w:t>
      </w:r>
      <w:r w:rsidRPr="00B66EAA">
        <w:rPr>
          <w:rFonts w:ascii="Arial" w:hAnsi="Arial" w:cs="Arial"/>
        </w:rPr>
        <w:t xml:space="preserve"> diligently thereafter to review the case file, prepare an intervention–related motion and memorandum and to otherwise assist Omega in its efforts to protect its interests.  </w:t>
      </w:r>
    </w:p>
  </w:footnote>
  <w:footnote w:id="4">
    <w:p w:rsidR="00E901E0" w:rsidRPr="00E06ACC" w:rsidRDefault="00E901E0" w:rsidP="00E06ACC">
      <w:pPr>
        <w:pStyle w:val="FootnoteText"/>
        <w:jc w:val="both"/>
        <w:rPr>
          <w:rFonts w:ascii="Arial" w:hAnsi="Arial" w:cs="Arial"/>
        </w:rPr>
      </w:pPr>
      <w:r w:rsidRPr="00E06ACC">
        <w:rPr>
          <w:rStyle w:val="FootnoteReference"/>
          <w:rFonts w:ascii="Arial" w:hAnsi="Arial" w:cs="Arial"/>
        </w:rPr>
        <w:footnoteRef/>
      </w:r>
      <w:r w:rsidRPr="00E06ACC">
        <w:rPr>
          <w:rFonts w:ascii="Arial" w:hAnsi="Arial" w:cs="Arial"/>
        </w:rPr>
        <w:t xml:space="preserve"> </w:t>
      </w:r>
      <w:r w:rsidRPr="00D2513B">
        <w:rPr>
          <w:rFonts w:ascii="Arial" w:hAnsi="Arial" w:cs="Arial"/>
          <w:i/>
        </w:rPr>
        <w:t>See</w:t>
      </w:r>
      <w:r w:rsidRPr="00E06ACC">
        <w:rPr>
          <w:rFonts w:ascii="Arial" w:hAnsi="Arial" w:cs="Arial"/>
        </w:rPr>
        <w:t xml:space="preserve"> </w:t>
      </w:r>
      <w:r w:rsidR="00E85139">
        <w:rPr>
          <w:rFonts w:ascii="Arial" w:hAnsi="Arial" w:cs="Arial"/>
        </w:rPr>
        <w:t xml:space="preserve">Letter dated July 15, 2014 attaching copies of executed waivers (July 15, 2014); Staff Report of Investigation at 30, 42 (April 18, 2014).  </w:t>
      </w:r>
      <w:r w:rsidR="00E06ACC">
        <w:rPr>
          <w:rFonts w:ascii="Arial" w:hAnsi="Arial" w:cs="Arial"/>
        </w:rPr>
        <w:t>As the Board knows, the minimum setback requirements in current law were changed by Substitute Senate Bill 310</w:t>
      </w:r>
      <w:r w:rsidR="006A2495">
        <w:rPr>
          <w:rFonts w:ascii="Arial" w:hAnsi="Arial" w:cs="Arial"/>
        </w:rPr>
        <w:t xml:space="preserve"> (“SB 310”)</w:t>
      </w:r>
      <w:r w:rsidR="00E06ACC">
        <w:rPr>
          <w:rFonts w:ascii="Arial" w:hAnsi="Arial" w:cs="Arial"/>
        </w:rPr>
        <w:t>.</w:t>
      </w:r>
    </w:p>
  </w:footnote>
  <w:footnote w:id="5">
    <w:p w:rsidR="00E85139" w:rsidRPr="00D2513B" w:rsidRDefault="00E85139">
      <w:pPr>
        <w:pStyle w:val="FootnoteText"/>
        <w:rPr>
          <w:rFonts w:ascii="Arial" w:hAnsi="Arial" w:cs="Arial"/>
        </w:rPr>
      </w:pPr>
      <w:r w:rsidRPr="00D2513B">
        <w:rPr>
          <w:rStyle w:val="FootnoteReference"/>
          <w:rFonts w:ascii="Arial" w:hAnsi="Arial" w:cs="Arial"/>
        </w:rPr>
        <w:footnoteRef/>
      </w:r>
      <w:r w:rsidRPr="00D2513B">
        <w:rPr>
          <w:rFonts w:ascii="Arial" w:hAnsi="Arial" w:cs="Arial"/>
        </w:rPr>
        <w:t xml:space="preserve"> </w:t>
      </w:r>
      <w:r w:rsidRPr="00D2513B">
        <w:rPr>
          <w:rFonts w:ascii="Arial" w:hAnsi="Arial" w:cs="Arial"/>
          <w:i/>
        </w:rPr>
        <w:t>Consumers' Counsel v. Pub. Util. Comm</w:t>
      </w:r>
      <w:r w:rsidRPr="00D2513B">
        <w:rPr>
          <w:rFonts w:ascii="Arial" w:hAnsi="Arial" w:cs="Arial"/>
        </w:rPr>
        <w:t xml:space="preserve">. (1992), 64 Ohio St.3d 123, 126, 592 N.E.2d 1370.   See, also, </w:t>
      </w:r>
      <w:r w:rsidRPr="00D2513B">
        <w:rPr>
          <w:rFonts w:ascii="Arial" w:hAnsi="Arial" w:cs="Arial"/>
          <w:i/>
        </w:rPr>
        <w:t>AK Steel Corp. v. Pub. Util. Comm</w:t>
      </w:r>
      <w:r w:rsidRPr="00D2513B">
        <w:rPr>
          <w:rFonts w:ascii="Arial" w:hAnsi="Arial" w:cs="Arial"/>
        </w:rPr>
        <w:t xml:space="preserve">. (2002), 95 Ohio St.3d 81, 82-83, 765 N.E.2d 862.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F7" w:rsidRDefault="003B3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F7" w:rsidRDefault="003B3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F7" w:rsidRDefault="003B3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1D" w:rsidRDefault="005E24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1D" w:rsidRDefault="005E24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1D" w:rsidRDefault="005E2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B1"/>
    <w:rsid w:val="0001674F"/>
    <w:rsid w:val="000B0A27"/>
    <w:rsid w:val="001052DA"/>
    <w:rsid w:val="001B681F"/>
    <w:rsid w:val="00201618"/>
    <w:rsid w:val="00224968"/>
    <w:rsid w:val="00252127"/>
    <w:rsid w:val="00255C94"/>
    <w:rsid w:val="00277221"/>
    <w:rsid w:val="002E25A4"/>
    <w:rsid w:val="002E7D6F"/>
    <w:rsid w:val="00302D55"/>
    <w:rsid w:val="003459C1"/>
    <w:rsid w:val="0038134B"/>
    <w:rsid w:val="003965D3"/>
    <w:rsid w:val="003B3BF7"/>
    <w:rsid w:val="00453997"/>
    <w:rsid w:val="004F3684"/>
    <w:rsid w:val="005115DB"/>
    <w:rsid w:val="00555D39"/>
    <w:rsid w:val="00567125"/>
    <w:rsid w:val="00570ECF"/>
    <w:rsid w:val="00574BAA"/>
    <w:rsid w:val="0058633A"/>
    <w:rsid w:val="005C3062"/>
    <w:rsid w:val="005D3C37"/>
    <w:rsid w:val="005E2481"/>
    <w:rsid w:val="006874D6"/>
    <w:rsid w:val="006A2495"/>
    <w:rsid w:val="006E11DB"/>
    <w:rsid w:val="007067C6"/>
    <w:rsid w:val="008B2240"/>
    <w:rsid w:val="008C6B42"/>
    <w:rsid w:val="008F71B1"/>
    <w:rsid w:val="009938F5"/>
    <w:rsid w:val="00996431"/>
    <w:rsid w:val="009B697B"/>
    <w:rsid w:val="009E4630"/>
    <w:rsid w:val="00A21AD2"/>
    <w:rsid w:val="00B17C34"/>
    <w:rsid w:val="00B25F96"/>
    <w:rsid w:val="00B50F88"/>
    <w:rsid w:val="00B66EAA"/>
    <w:rsid w:val="00B812FB"/>
    <w:rsid w:val="00C67508"/>
    <w:rsid w:val="00C9102E"/>
    <w:rsid w:val="00CA0BCB"/>
    <w:rsid w:val="00CF27A7"/>
    <w:rsid w:val="00D2513B"/>
    <w:rsid w:val="00D76DD5"/>
    <w:rsid w:val="00DC410E"/>
    <w:rsid w:val="00DD0DA0"/>
    <w:rsid w:val="00E06ACC"/>
    <w:rsid w:val="00E848C3"/>
    <w:rsid w:val="00E85139"/>
    <w:rsid w:val="00E86CFC"/>
    <w:rsid w:val="00E901E0"/>
    <w:rsid w:val="00EF27F8"/>
    <w:rsid w:val="00F17241"/>
    <w:rsid w:val="00F9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paragraph" w:styleId="FootnoteText">
    <w:name w:val="footnote text"/>
    <w:basedOn w:val="Normal"/>
    <w:link w:val="FootnoteTextChar"/>
    <w:uiPriority w:val="99"/>
    <w:semiHidden/>
    <w:unhideWhenUsed/>
    <w:rsid w:val="00D76DD5"/>
    <w:rPr>
      <w:sz w:val="20"/>
      <w:szCs w:val="20"/>
    </w:rPr>
  </w:style>
  <w:style w:type="character" w:customStyle="1" w:styleId="FootnoteTextChar">
    <w:name w:val="Footnote Text Char"/>
    <w:basedOn w:val="DefaultParagraphFont"/>
    <w:link w:val="FootnoteText"/>
    <w:uiPriority w:val="99"/>
    <w:semiHidden/>
    <w:rsid w:val="00D76D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6DD5"/>
    <w:rPr>
      <w:vertAlign w:val="superscript"/>
    </w:rPr>
  </w:style>
  <w:style w:type="character" w:styleId="CommentReference">
    <w:name w:val="annotation reference"/>
    <w:basedOn w:val="DefaultParagraphFont"/>
    <w:uiPriority w:val="99"/>
    <w:semiHidden/>
    <w:unhideWhenUsed/>
    <w:rsid w:val="000B0A27"/>
    <w:rPr>
      <w:sz w:val="16"/>
      <w:szCs w:val="16"/>
    </w:rPr>
  </w:style>
  <w:style w:type="paragraph" w:styleId="CommentText">
    <w:name w:val="annotation text"/>
    <w:basedOn w:val="Normal"/>
    <w:link w:val="CommentTextChar"/>
    <w:uiPriority w:val="99"/>
    <w:semiHidden/>
    <w:unhideWhenUsed/>
    <w:rsid w:val="000B0A27"/>
    <w:rPr>
      <w:sz w:val="20"/>
      <w:szCs w:val="20"/>
    </w:rPr>
  </w:style>
  <w:style w:type="character" w:customStyle="1" w:styleId="CommentTextChar">
    <w:name w:val="Comment Text Char"/>
    <w:basedOn w:val="DefaultParagraphFont"/>
    <w:link w:val="CommentText"/>
    <w:uiPriority w:val="99"/>
    <w:semiHidden/>
    <w:rsid w:val="000B0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0A27"/>
    <w:rPr>
      <w:b/>
      <w:bCs/>
    </w:rPr>
  </w:style>
  <w:style w:type="character" w:customStyle="1" w:styleId="CommentSubjectChar">
    <w:name w:val="Comment Subject Char"/>
    <w:basedOn w:val="CommentTextChar"/>
    <w:link w:val="CommentSubject"/>
    <w:uiPriority w:val="99"/>
    <w:semiHidden/>
    <w:rsid w:val="000B0A2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paragraph" w:styleId="FootnoteText">
    <w:name w:val="footnote text"/>
    <w:basedOn w:val="Normal"/>
    <w:link w:val="FootnoteTextChar"/>
    <w:uiPriority w:val="99"/>
    <w:semiHidden/>
    <w:unhideWhenUsed/>
    <w:rsid w:val="00D76DD5"/>
    <w:rPr>
      <w:sz w:val="20"/>
      <w:szCs w:val="20"/>
    </w:rPr>
  </w:style>
  <w:style w:type="character" w:customStyle="1" w:styleId="FootnoteTextChar">
    <w:name w:val="Footnote Text Char"/>
    <w:basedOn w:val="DefaultParagraphFont"/>
    <w:link w:val="FootnoteText"/>
    <w:uiPriority w:val="99"/>
    <w:semiHidden/>
    <w:rsid w:val="00D76D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6DD5"/>
    <w:rPr>
      <w:vertAlign w:val="superscript"/>
    </w:rPr>
  </w:style>
  <w:style w:type="character" w:styleId="CommentReference">
    <w:name w:val="annotation reference"/>
    <w:basedOn w:val="DefaultParagraphFont"/>
    <w:uiPriority w:val="99"/>
    <w:semiHidden/>
    <w:unhideWhenUsed/>
    <w:rsid w:val="000B0A27"/>
    <w:rPr>
      <w:sz w:val="16"/>
      <w:szCs w:val="16"/>
    </w:rPr>
  </w:style>
  <w:style w:type="paragraph" w:styleId="CommentText">
    <w:name w:val="annotation text"/>
    <w:basedOn w:val="Normal"/>
    <w:link w:val="CommentTextChar"/>
    <w:uiPriority w:val="99"/>
    <w:semiHidden/>
    <w:unhideWhenUsed/>
    <w:rsid w:val="000B0A27"/>
    <w:rPr>
      <w:sz w:val="20"/>
      <w:szCs w:val="20"/>
    </w:rPr>
  </w:style>
  <w:style w:type="character" w:customStyle="1" w:styleId="CommentTextChar">
    <w:name w:val="Comment Text Char"/>
    <w:basedOn w:val="DefaultParagraphFont"/>
    <w:link w:val="CommentText"/>
    <w:uiPriority w:val="99"/>
    <w:semiHidden/>
    <w:rsid w:val="000B0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0A27"/>
    <w:rPr>
      <w:b/>
      <w:bCs/>
    </w:rPr>
  </w:style>
  <w:style w:type="character" w:customStyle="1" w:styleId="CommentSubjectChar">
    <w:name w:val="Comment Subject Char"/>
    <w:basedOn w:val="CommentTextChar"/>
    <w:link w:val="CommentSubject"/>
    <w:uiPriority w:val="99"/>
    <w:semiHidden/>
    <w:rsid w:val="000B0A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2BB5-D824-475B-8895-563E862F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2459</Words>
  <Characters>13368</Characters>
  <Application>Microsoft Office Word</Application>
  <DocSecurity>0</DocSecurity>
  <PresentationFormat/>
  <Lines>346</Lines>
  <Paragraphs>142</Paragraphs>
  <ScaleCrop>false</ScaleCrop>
  <HeadingPairs>
    <vt:vector size="2" baseType="variant">
      <vt:variant>
        <vt:lpstr>Title</vt:lpstr>
      </vt:variant>
      <vt:variant>
        <vt:i4>1</vt:i4>
      </vt:variant>
    </vt:vector>
  </HeadingPairs>
  <TitlesOfParts>
    <vt:vector size="1" baseType="lpstr">
      <vt:lpstr>Omega Intervention (C45440-2).DOCX</vt:lpstr>
    </vt:vector>
  </TitlesOfParts>
  <LinksUpToDate>false</LinksUpToDate>
  <CharactersWithSpaces>15788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Omega Intervention (C45440-2).DOCX</dc:title>
  <dc:subject>C45440:2 /font=8</dc:subject>
  <dc:creator/>
  <cp:lastModifiedBy/>
  <cp:revision>1</cp:revision>
  <cp:lastPrinted>2012-08-24T18:07:00Z</cp:lastPrinted>
  <dcterms:created xsi:type="dcterms:W3CDTF">2014-08-21T17:29:00Z</dcterms:created>
  <dcterms:modified xsi:type="dcterms:W3CDTF">2014-08-21T17:29:00Z</dcterms:modified>
</cp:coreProperties>
</file>