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FA" w:rsidRDefault="000648EE">
      <w:pPr>
        <w:pStyle w:val="Title"/>
        <w:rPr>
          <w:sz w:val="28"/>
        </w:rPr>
      </w:pPr>
      <w:bookmarkStart w:id="0" w:name="OLE_LINK1"/>
      <w:bookmarkStart w:id="1" w:name="OLE_LINK2"/>
      <w:r>
        <w:rPr>
          <w:sz w:val="28"/>
        </w:rPr>
        <w:t>Before</w:t>
      </w:r>
    </w:p>
    <w:p w:rsidR="002E51FA" w:rsidRDefault="000648EE">
      <w:pPr>
        <w:jc w:val="center"/>
        <w:rPr>
          <w:rFonts w:ascii="Arial" w:hAnsi="Arial" w:cs="Arial"/>
          <w:b/>
          <w:smallCaps/>
          <w:sz w:val="28"/>
        </w:rPr>
      </w:pPr>
      <w:r>
        <w:rPr>
          <w:rFonts w:ascii="Arial" w:hAnsi="Arial" w:cs="Arial"/>
          <w:b/>
          <w:smallCaps/>
          <w:sz w:val="28"/>
        </w:rPr>
        <w:t>The Public Utilities Commission of Ohio</w:t>
      </w:r>
    </w:p>
    <w:p w:rsidR="002E51FA" w:rsidRDefault="002E51FA">
      <w:pPr>
        <w:autoSpaceDE w:val="0"/>
        <w:autoSpaceDN w:val="0"/>
        <w:adjustRightInd w:val="0"/>
        <w:rPr>
          <w:rFonts w:ascii="Arial" w:eastAsiaTheme="minorHAnsi" w:hAnsi="Arial" w:cs="Arial"/>
        </w:rPr>
      </w:pPr>
    </w:p>
    <w:p w:rsidR="000648EE" w:rsidRPr="000648EE" w:rsidRDefault="000648EE" w:rsidP="000648EE">
      <w:pPr>
        <w:pStyle w:val="Default"/>
        <w:tabs>
          <w:tab w:val="left" w:pos="4500"/>
        </w:tabs>
      </w:pPr>
      <w:r w:rsidRPr="000648EE">
        <w:t xml:space="preserve">In the Matter of the Application of </w:t>
      </w:r>
      <w:r>
        <w:tab/>
      </w:r>
      <w:r w:rsidRPr="000648EE">
        <w:t xml:space="preserve">) </w:t>
      </w:r>
    </w:p>
    <w:p w:rsidR="000648EE" w:rsidRPr="000648EE" w:rsidRDefault="000648EE" w:rsidP="000648EE">
      <w:pPr>
        <w:pStyle w:val="Default"/>
        <w:tabs>
          <w:tab w:val="left" w:pos="4500"/>
        </w:tabs>
      </w:pPr>
      <w:r w:rsidRPr="000648EE">
        <w:t xml:space="preserve">Columbus Southern Power Company for </w:t>
      </w:r>
      <w:r>
        <w:tab/>
      </w:r>
      <w:r w:rsidRPr="000648EE">
        <w:t xml:space="preserve">) </w:t>
      </w:r>
      <w:r w:rsidR="00241876">
        <w:tab/>
      </w:r>
      <w:r w:rsidRPr="000648EE">
        <w:t xml:space="preserve">Case No. 11-4920-EL-RDR </w:t>
      </w:r>
    </w:p>
    <w:p w:rsidR="000648EE" w:rsidRPr="000648EE" w:rsidRDefault="000648EE" w:rsidP="000648EE">
      <w:pPr>
        <w:pStyle w:val="Default"/>
        <w:tabs>
          <w:tab w:val="left" w:pos="4500"/>
        </w:tabs>
      </w:pPr>
      <w:r w:rsidRPr="000648EE">
        <w:t xml:space="preserve">Approval of a Mechanism to Recover </w:t>
      </w:r>
      <w:r>
        <w:tab/>
      </w:r>
      <w:r w:rsidRPr="000648EE">
        <w:t xml:space="preserve">) </w:t>
      </w:r>
    </w:p>
    <w:p w:rsidR="000648EE" w:rsidRPr="000648EE" w:rsidRDefault="000648EE" w:rsidP="000648EE">
      <w:pPr>
        <w:pStyle w:val="Default"/>
        <w:tabs>
          <w:tab w:val="left" w:pos="4500"/>
        </w:tabs>
      </w:pPr>
      <w:r w:rsidRPr="000648EE">
        <w:t xml:space="preserve">Deferred Fuel Costs Ordered under </w:t>
      </w:r>
      <w:r>
        <w:tab/>
      </w:r>
      <w:r w:rsidRPr="000648EE">
        <w:t xml:space="preserve">) </w:t>
      </w:r>
    </w:p>
    <w:p w:rsidR="000648EE" w:rsidRPr="000648EE" w:rsidRDefault="000648EE" w:rsidP="000648EE">
      <w:pPr>
        <w:pStyle w:val="Default"/>
        <w:tabs>
          <w:tab w:val="left" w:pos="4500"/>
        </w:tabs>
      </w:pPr>
      <w:r w:rsidRPr="000648EE">
        <w:t>Ohio Revised Code 4928.144.</w:t>
      </w:r>
      <w:r>
        <w:tab/>
      </w:r>
      <w:r w:rsidRPr="000648EE">
        <w:t xml:space="preserve">) </w:t>
      </w:r>
    </w:p>
    <w:p w:rsidR="000648EE" w:rsidRPr="000648EE" w:rsidRDefault="000648EE" w:rsidP="000648EE">
      <w:pPr>
        <w:pStyle w:val="Default"/>
      </w:pPr>
    </w:p>
    <w:p w:rsidR="000648EE" w:rsidRPr="000648EE" w:rsidRDefault="000648EE" w:rsidP="000648EE">
      <w:pPr>
        <w:pStyle w:val="Default"/>
        <w:tabs>
          <w:tab w:val="left" w:pos="4500"/>
        </w:tabs>
      </w:pPr>
      <w:r w:rsidRPr="000648EE">
        <w:t xml:space="preserve">In the Matter of the Application of </w:t>
      </w:r>
      <w:r>
        <w:tab/>
      </w:r>
      <w:r w:rsidRPr="000648EE">
        <w:t xml:space="preserve">) </w:t>
      </w:r>
    </w:p>
    <w:p w:rsidR="000648EE" w:rsidRPr="000648EE" w:rsidRDefault="000648EE" w:rsidP="000648EE">
      <w:pPr>
        <w:pStyle w:val="Default"/>
        <w:tabs>
          <w:tab w:val="left" w:pos="4500"/>
        </w:tabs>
      </w:pPr>
      <w:r w:rsidRPr="000648EE">
        <w:t>Ohio Power Company for</w:t>
      </w:r>
      <w:r>
        <w:t xml:space="preserve"> Approval of a</w:t>
      </w:r>
      <w:r>
        <w:tab/>
      </w:r>
      <w:r w:rsidRPr="000648EE">
        <w:t xml:space="preserve">) </w:t>
      </w:r>
      <w:r w:rsidR="00241876">
        <w:tab/>
      </w:r>
      <w:r w:rsidRPr="000648EE">
        <w:t xml:space="preserve">Case No. 11-4921-EL-RDR </w:t>
      </w:r>
    </w:p>
    <w:p w:rsidR="000648EE" w:rsidRPr="000648EE" w:rsidRDefault="000648EE" w:rsidP="000648EE">
      <w:pPr>
        <w:pStyle w:val="Default"/>
        <w:tabs>
          <w:tab w:val="left" w:pos="4500"/>
        </w:tabs>
      </w:pPr>
      <w:r w:rsidRPr="000648EE">
        <w:t xml:space="preserve">Mechanism to Recover </w:t>
      </w:r>
      <w:r>
        <w:t>Deferred</w:t>
      </w:r>
      <w:r>
        <w:tab/>
      </w:r>
      <w:r w:rsidRPr="000648EE">
        <w:t xml:space="preserve">) </w:t>
      </w:r>
    </w:p>
    <w:p w:rsidR="000648EE" w:rsidRPr="000648EE" w:rsidRDefault="000648EE" w:rsidP="000648EE">
      <w:pPr>
        <w:pStyle w:val="Default"/>
        <w:tabs>
          <w:tab w:val="left" w:pos="4500"/>
        </w:tabs>
      </w:pPr>
      <w:r w:rsidRPr="000648EE">
        <w:t xml:space="preserve">Fuel Costs Ordered under </w:t>
      </w:r>
      <w:r>
        <w:tab/>
      </w:r>
      <w:r w:rsidRPr="000648EE">
        <w:t xml:space="preserve">) </w:t>
      </w:r>
    </w:p>
    <w:p w:rsidR="002E51FA" w:rsidRPr="000648EE" w:rsidRDefault="000648EE" w:rsidP="000648EE">
      <w:pPr>
        <w:pStyle w:val="BodyText"/>
        <w:tabs>
          <w:tab w:val="left" w:pos="4500"/>
        </w:tabs>
      </w:pPr>
      <w:r w:rsidRPr="000648EE">
        <w:t xml:space="preserve">Ohio Revised Code 4928.144. </w:t>
      </w:r>
      <w:r>
        <w:tab/>
      </w:r>
      <w:r w:rsidRPr="000648EE">
        <w:t>)</w:t>
      </w:r>
    </w:p>
    <w:p w:rsidR="002E51FA" w:rsidRDefault="002E51FA">
      <w:pPr>
        <w:pStyle w:val="BodyText"/>
        <w:tabs>
          <w:tab w:val="left" w:pos="5040"/>
        </w:tabs>
      </w:pPr>
    </w:p>
    <w:p w:rsidR="00241876" w:rsidRDefault="00241876">
      <w:pPr>
        <w:pStyle w:val="BodyText"/>
        <w:tabs>
          <w:tab w:val="left" w:pos="5040"/>
        </w:tabs>
      </w:pPr>
    </w:p>
    <w:p w:rsidR="002E51FA" w:rsidRDefault="002E51FA">
      <w:pPr>
        <w:pBdr>
          <w:top w:val="single" w:sz="12" w:space="1" w:color="auto"/>
        </w:pBdr>
        <w:tabs>
          <w:tab w:val="left" w:pos="7320"/>
        </w:tabs>
        <w:jc w:val="both"/>
        <w:rPr>
          <w:rFonts w:ascii="Arial" w:hAnsi="Arial" w:cs="Arial"/>
          <w:sz w:val="28"/>
        </w:rPr>
      </w:pPr>
    </w:p>
    <w:p w:rsidR="00E46D1C" w:rsidRDefault="00B16FAC">
      <w:pPr>
        <w:pStyle w:val="Heading1"/>
        <w:tabs>
          <w:tab w:val="left" w:pos="7320"/>
        </w:tabs>
        <w:ind w:left="0" w:right="0"/>
        <w:jc w:val="center"/>
        <w:rPr>
          <w:sz w:val="24"/>
        </w:rPr>
      </w:pPr>
      <w:r>
        <w:rPr>
          <w:sz w:val="24"/>
        </w:rPr>
        <w:t>INDUSTRIAL ENERGY USERS-OHIO’S</w:t>
      </w:r>
      <w:r w:rsidR="00E46D1C">
        <w:rPr>
          <w:sz w:val="24"/>
        </w:rPr>
        <w:t xml:space="preserve"> MEMORANDUM CONTRA </w:t>
      </w:r>
    </w:p>
    <w:p w:rsidR="00F37A59" w:rsidRPr="00E46D1C" w:rsidRDefault="00E46D1C">
      <w:pPr>
        <w:pStyle w:val="Heading1"/>
        <w:tabs>
          <w:tab w:val="left" w:pos="7320"/>
        </w:tabs>
        <w:ind w:left="0" w:right="0"/>
        <w:jc w:val="center"/>
        <w:rPr>
          <w:sz w:val="24"/>
        </w:rPr>
      </w:pPr>
      <w:r w:rsidRPr="00E46D1C">
        <w:rPr>
          <w:sz w:val="24"/>
        </w:rPr>
        <w:t>OHIO POWER COMPANY’S APPLICATION FOR REHEARING</w:t>
      </w:r>
      <w:r w:rsidR="00003182" w:rsidRPr="00E46D1C">
        <w:rPr>
          <w:sz w:val="24"/>
        </w:rPr>
        <w:t xml:space="preserve"> </w:t>
      </w:r>
    </w:p>
    <w:p w:rsidR="002E51FA" w:rsidRPr="00E46D1C" w:rsidRDefault="000648EE">
      <w:pPr>
        <w:pStyle w:val="Title"/>
        <w:rPr>
          <w:sz w:val="28"/>
          <w:u w:val="single"/>
        </w:rPr>
      </w:pP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r w:rsidRPr="00E46D1C">
        <w:rPr>
          <w:sz w:val="28"/>
          <w:u w:val="single"/>
        </w:rPr>
        <w:tab/>
      </w:r>
    </w:p>
    <w:bookmarkEnd w:id="0"/>
    <w:bookmarkEnd w:id="1"/>
    <w:p w:rsidR="002E51FA" w:rsidRPr="00E46D1C"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2E51FA" w:rsidRDefault="002E51FA">
      <w:pPr>
        <w:pStyle w:val="Title"/>
        <w:rPr>
          <w:sz w:val="28"/>
          <w:u w:val="single"/>
        </w:rPr>
      </w:pPr>
    </w:p>
    <w:p w:rsidR="00CD5FD6" w:rsidRDefault="000648EE" w:rsidP="00CD5FD6">
      <w:pPr>
        <w:tabs>
          <w:tab w:val="left" w:pos="4320"/>
          <w:tab w:val="right" w:pos="8640"/>
        </w:tabs>
        <w:ind w:left="4320"/>
        <w:jc w:val="both"/>
        <w:rPr>
          <w:rFonts w:ascii="Arial" w:hAnsi="Arial" w:cs="Arial"/>
        </w:rPr>
      </w:pPr>
      <w:r>
        <w:rPr>
          <w:rFonts w:ascii="Arial" w:hAnsi="Arial" w:cs="Arial"/>
        </w:rPr>
        <w:t>Samuel C. Randazzo (Counsel of Record)</w:t>
      </w:r>
    </w:p>
    <w:p w:rsidR="002E51FA" w:rsidRPr="00CD5FD6" w:rsidRDefault="000648EE" w:rsidP="00CD5FD6">
      <w:pPr>
        <w:tabs>
          <w:tab w:val="left" w:pos="4320"/>
          <w:tab w:val="right" w:pos="8640"/>
        </w:tabs>
        <w:ind w:left="4320"/>
        <w:jc w:val="both"/>
        <w:rPr>
          <w:rFonts w:ascii="Arial" w:hAnsi="Arial" w:cs="Arial"/>
        </w:rPr>
      </w:pPr>
      <w:r>
        <w:rPr>
          <w:rFonts w:ascii="Arial" w:hAnsi="Arial" w:cs="Arial"/>
          <w:bCs/>
        </w:rPr>
        <w:t>Frank P. Darr</w:t>
      </w:r>
    </w:p>
    <w:p w:rsidR="002E51FA" w:rsidRDefault="000648EE" w:rsidP="00CD5FD6">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CD5FD6" w:rsidRDefault="00CD5FD6" w:rsidP="00CD5FD6">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2E51FA" w:rsidRDefault="000648EE" w:rsidP="00CD5FD6">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2E51FA" w:rsidRDefault="000648EE" w:rsidP="00CD5FD6">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E51FA" w:rsidRDefault="000648EE" w:rsidP="00CD5FD6">
      <w:pPr>
        <w:pStyle w:val="BodyText"/>
        <w:tabs>
          <w:tab w:val="left" w:pos="4320"/>
        </w:tabs>
        <w:ind w:left="4320"/>
      </w:pPr>
      <w:r>
        <w:t>Columbus, OH  43215</w:t>
      </w:r>
    </w:p>
    <w:p w:rsidR="002E51FA" w:rsidRDefault="000648EE" w:rsidP="00CD5FD6">
      <w:pPr>
        <w:pStyle w:val="BodyText"/>
        <w:tabs>
          <w:tab w:val="left" w:pos="4320"/>
        </w:tabs>
        <w:ind w:left="4320"/>
      </w:pPr>
      <w:r>
        <w:t>Telephone:  (614) 469-8000</w:t>
      </w:r>
    </w:p>
    <w:p w:rsidR="002E51FA" w:rsidRDefault="000648EE" w:rsidP="00CD5FD6">
      <w:pPr>
        <w:pStyle w:val="BodyText"/>
        <w:tabs>
          <w:tab w:val="left" w:pos="4320"/>
        </w:tabs>
        <w:ind w:left="4320"/>
      </w:pPr>
      <w:r>
        <w:t>Telecopier:  (614) 469-4653</w:t>
      </w:r>
    </w:p>
    <w:p w:rsidR="002E51FA" w:rsidRDefault="000648EE" w:rsidP="00CD5FD6">
      <w:pPr>
        <w:pStyle w:val="BodyText"/>
        <w:ind w:left="4320"/>
      </w:pPr>
      <w:r>
        <w:t>sam@mwncmh.com</w:t>
      </w:r>
    </w:p>
    <w:p w:rsidR="002E51FA" w:rsidRDefault="000648EE" w:rsidP="00CD5FD6">
      <w:pPr>
        <w:pStyle w:val="BodyText"/>
        <w:ind w:left="4320"/>
      </w:pPr>
      <w:r>
        <w:t>fdarr@mwncmh.com</w:t>
      </w:r>
    </w:p>
    <w:p w:rsidR="002E51FA" w:rsidRDefault="000648EE" w:rsidP="00CD5FD6">
      <w:pPr>
        <w:pStyle w:val="BodyText"/>
        <w:ind w:left="4320"/>
      </w:pPr>
      <w:r>
        <w:t>joliker@mwncmh.com</w:t>
      </w:r>
    </w:p>
    <w:p w:rsidR="00CD5FD6" w:rsidRDefault="00CD5FD6" w:rsidP="00CD5FD6">
      <w:pPr>
        <w:pStyle w:val="BodyText"/>
        <w:ind w:left="4320"/>
      </w:pPr>
      <w:r>
        <w:t>mpritchard@mwncmh.com</w:t>
      </w:r>
    </w:p>
    <w:p w:rsidR="002E51FA" w:rsidRDefault="002E51FA">
      <w:pPr>
        <w:pStyle w:val="BodyText"/>
      </w:pPr>
    </w:p>
    <w:p w:rsidR="003665BC" w:rsidRDefault="00786F49" w:rsidP="003665BC">
      <w:pPr>
        <w:pStyle w:val="Title"/>
        <w:jc w:val="left"/>
        <w:rPr>
          <w:smallCaps w:val="0"/>
          <w:sz w:val="24"/>
        </w:rPr>
      </w:pPr>
      <w:r>
        <w:rPr>
          <w:smallCaps w:val="0"/>
          <w:sz w:val="24"/>
        </w:rPr>
        <w:t>September 10</w:t>
      </w:r>
      <w:r w:rsidR="009F0F01">
        <w:rPr>
          <w:smallCaps w:val="0"/>
          <w:sz w:val="24"/>
        </w:rPr>
        <w:t>, 2012</w:t>
      </w:r>
      <w:r w:rsidR="000648EE">
        <w:rPr>
          <w:smallCaps w:val="0"/>
          <w:sz w:val="24"/>
        </w:rPr>
        <w:tab/>
      </w:r>
      <w:r w:rsidR="000648EE">
        <w:rPr>
          <w:smallCaps w:val="0"/>
          <w:sz w:val="24"/>
        </w:rPr>
        <w:tab/>
      </w:r>
      <w:r w:rsidR="000648EE">
        <w:rPr>
          <w:smallCaps w:val="0"/>
          <w:sz w:val="24"/>
        </w:rPr>
        <w:tab/>
        <w:t>Attorneys for Industrial Energy Users-Ohio</w:t>
      </w:r>
      <w:r w:rsidR="003665BC">
        <w:rPr>
          <w:smallCaps w:val="0"/>
          <w:sz w:val="24"/>
        </w:rPr>
        <w:t xml:space="preserve"> </w:t>
      </w:r>
    </w:p>
    <w:p w:rsidR="00F21F75" w:rsidRDefault="00F21F75" w:rsidP="003665BC">
      <w:pPr>
        <w:pStyle w:val="Title"/>
        <w:jc w:val="left"/>
        <w:rPr>
          <w:smallCaps w:val="0"/>
          <w:sz w:val="24"/>
        </w:rPr>
      </w:pPr>
    </w:p>
    <w:p w:rsidR="003665BC" w:rsidRDefault="003665BC" w:rsidP="003665BC">
      <w:pPr>
        <w:pStyle w:val="Title"/>
        <w:jc w:val="left"/>
        <w:rPr>
          <w:smallCaps w:val="0"/>
          <w:sz w:val="24"/>
        </w:rPr>
        <w:sectPr w:rsidR="003665BC" w:rsidSect="009F0F0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0648EE" w:rsidRDefault="000648EE" w:rsidP="003665BC">
      <w:pPr>
        <w:pStyle w:val="Title"/>
        <w:rPr>
          <w:sz w:val="28"/>
        </w:rPr>
      </w:pPr>
      <w:r>
        <w:rPr>
          <w:sz w:val="28"/>
        </w:rPr>
        <w:lastRenderedPageBreak/>
        <w:t>Before</w:t>
      </w:r>
    </w:p>
    <w:p w:rsidR="000648EE" w:rsidRDefault="000648EE" w:rsidP="000648EE">
      <w:pPr>
        <w:jc w:val="center"/>
        <w:rPr>
          <w:rFonts w:ascii="Arial" w:hAnsi="Arial" w:cs="Arial"/>
          <w:b/>
          <w:smallCaps/>
          <w:sz w:val="28"/>
        </w:rPr>
      </w:pPr>
      <w:r>
        <w:rPr>
          <w:rFonts w:ascii="Arial" w:hAnsi="Arial" w:cs="Arial"/>
          <w:b/>
          <w:smallCaps/>
          <w:sz w:val="28"/>
        </w:rPr>
        <w:t>The Public Utilities Commission of Ohio</w:t>
      </w:r>
    </w:p>
    <w:p w:rsidR="000648EE" w:rsidRDefault="000648EE" w:rsidP="000648EE">
      <w:pPr>
        <w:autoSpaceDE w:val="0"/>
        <w:autoSpaceDN w:val="0"/>
        <w:adjustRightInd w:val="0"/>
        <w:rPr>
          <w:rFonts w:ascii="Arial" w:eastAsiaTheme="minorHAnsi" w:hAnsi="Arial" w:cs="Arial"/>
        </w:rPr>
      </w:pPr>
    </w:p>
    <w:p w:rsidR="000648EE" w:rsidRPr="000648EE" w:rsidRDefault="000648EE" w:rsidP="000648EE">
      <w:pPr>
        <w:pStyle w:val="Default"/>
        <w:tabs>
          <w:tab w:val="left" w:pos="4500"/>
        </w:tabs>
      </w:pPr>
      <w:r w:rsidRPr="000648EE">
        <w:t xml:space="preserve">In the Matter of the Application of </w:t>
      </w:r>
      <w:r>
        <w:tab/>
      </w:r>
      <w:r w:rsidRPr="000648EE">
        <w:t xml:space="preserve">) </w:t>
      </w:r>
    </w:p>
    <w:p w:rsidR="000648EE" w:rsidRPr="000648EE" w:rsidRDefault="000648EE" w:rsidP="000648EE">
      <w:pPr>
        <w:pStyle w:val="Default"/>
        <w:tabs>
          <w:tab w:val="left" w:pos="4500"/>
        </w:tabs>
      </w:pPr>
      <w:r w:rsidRPr="000648EE">
        <w:t xml:space="preserve">Columbus Southern Power Company for </w:t>
      </w:r>
      <w:r>
        <w:tab/>
      </w:r>
      <w:r w:rsidRPr="000648EE">
        <w:t xml:space="preserve">) </w:t>
      </w:r>
      <w:r w:rsidR="00241876">
        <w:tab/>
      </w:r>
      <w:r w:rsidRPr="000648EE">
        <w:t xml:space="preserve">Case No. 11-4920-EL-RDR </w:t>
      </w:r>
    </w:p>
    <w:p w:rsidR="000648EE" w:rsidRPr="000648EE" w:rsidRDefault="000648EE" w:rsidP="000648EE">
      <w:pPr>
        <w:pStyle w:val="Default"/>
        <w:tabs>
          <w:tab w:val="left" w:pos="4500"/>
        </w:tabs>
      </w:pPr>
      <w:r w:rsidRPr="000648EE">
        <w:t xml:space="preserve">Approval of a Mechanism to Recover </w:t>
      </w:r>
      <w:r>
        <w:tab/>
      </w:r>
      <w:r w:rsidRPr="000648EE">
        <w:t xml:space="preserve">) </w:t>
      </w:r>
    </w:p>
    <w:p w:rsidR="000648EE" w:rsidRPr="000648EE" w:rsidRDefault="000648EE" w:rsidP="000648EE">
      <w:pPr>
        <w:pStyle w:val="Default"/>
        <w:tabs>
          <w:tab w:val="left" w:pos="4500"/>
        </w:tabs>
      </w:pPr>
      <w:r w:rsidRPr="000648EE">
        <w:t xml:space="preserve">Deferred Fuel Costs Ordered under </w:t>
      </w:r>
      <w:r>
        <w:tab/>
      </w:r>
      <w:r w:rsidRPr="000648EE">
        <w:t xml:space="preserve">) </w:t>
      </w:r>
    </w:p>
    <w:p w:rsidR="000648EE" w:rsidRPr="000648EE" w:rsidRDefault="000648EE" w:rsidP="000648EE">
      <w:pPr>
        <w:pStyle w:val="Default"/>
        <w:tabs>
          <w:tab w:val="left" w:pos="4500"/>
        </w:tabs>
      </w:pPr>
      <w:r w:rsidRPr="000648EE">
        <w:t>Ohio Revised Code 4928.144.</w:t>
      </w:r>
      <w:r w:rsidR="006C481C">
        <w:t xml:space="preserve"> </w:t>
      </w:r>
      <w:r>
        <w:tab/>
      </w:r>
      <w:r w:rsidRPr="000648EE">
        <w:t xml:space="preserve">) </w:t>
      </w:r>
    </w:p>
    <w:p w:rsidR="000648EE" w:rsidRPr="000648EE" w:rsidRDefault="000648EE" w:rsidP="000648EE">
      <w:pPr>
        <w:pStyle w:val="Default"/>
      </w:pPr>
    </w:p>
    <w:p w:rsidR="000648EE" w:rsidRPr="000648EE" w:rsidRDefault="000648EE" w:rsidP="000648EE">
      <w:pPr>
        <w:pStyle w:val="Default"/>
        <w:tabs>
          <w:tab w:val="left" w:pos="4500"/>
        </w:tabs>
      </w:pPr>
      <w:r w:rsidRPr="000648EE">
        <w:t xml:space="preserve">In the Matter of the Application of </w:t>
      </w:r>
      <w:r>
        <w:tab/>
      </w:r>
      <w:r w:rsidRPr="000648EE">
        <w:t xml:space="preserve">) </w:t>
      </w:r>
    </w:p>
    <w:p w:rsidR="000648EE" w:rsidRPr="000648EE" w:rsidRDefault="000648EE" w:rsidP="000648EE">
      <w:pPr>
        <w:pStyle w:val="Default"/>
        <w:tabs>
          <w:tab w:val="left" w:pos="4500"/>
        </w:tabs>
      </w:pPr>
      <w:r w:rsidRPr="000648EE">
        <w:t>Ohio Power Company for</w:t>
      </w:r>
      <w:r>
        <w:t xml:space="preserve"> Approval of a</w:t>
      </w:r>
      <w:r>
        <w:tab/>
      </w:r>
      <w:r w:rsidRPr="000648EE">
        <w:t xml:space="preserve">) </w:t>
      </w:r>
      <w:r w:rsidR="00241876">
        <w:tab/>
      </w:r>
      <w:r w:rsidRPr="000648EE">
        <w:t xml:space="preserve">Case No. 11-4921-EL-RDR </w:t>
      </w:r>
    </w:p>
    <w:p w:rsidR="000648EE" w:rsidRPr="000648EE" w:rsidRDefault="000648EE" w:rsidP="000648EE">
      <w:pPr>
        <w:pStyle w:val="Default"/>
        <w:tabs>
          <w:tab w:val="left" w:pos="4500"/>
        </w:tabs>
      </w:pPr>
      <w:r w:rsidRPr="000648EE">
        <w:t xml:space="preserve">Mechanism to Recover </w:t>
      </w:r>
      <w:r>
        <w:t>Deferred</w:t>
      </w:r>
      <w:r>
        <w:tab/>
      </w:r>
      <w:r w:rsidRPr="000648EE">
        <w:t xml:space="preserve">) </w:t>
      </w:r>
    </w:p>
    <w:p w:rsidR="000648EE" w:rsidRPr="000648EE" w:rsidRDefault="000648EE" w:rsidP="000648EE">
      <w:pPr>
        <w:pStyle w:val="Default"/>
        <w:tabs>
          <w:tab w:val="left" w:pos="4500"/>
        </w:tabs>
      </w:pPr>
      <w:r w:rsidRPr="000648EE">
        <w:t xml:space="preserve">Fuel Costs Ordered under </w:t>
      </w:r>
      <w:r>
        <w:tab/>
      </w:r>
      <w:r w:rsidRPr="000648EE">
        <w:t xml:space="preserve">) </w:t>
      </w:r>
    </w:p>
    <w:p w:rsidR="000648EE" w:rsidRPr="000648EE" w:rsidRDefault="000648EE" w:rsidP="000648EE">
      <w:pPr>
        <w:pStyle w:val="BodyText"/>
        <w:tabs>
          <w:tab w:val="left" w:pos="4500"/>
        </w:tabs>
      </w:pPr>
      <w:r w:rsidRPr="000648EE">
        <w:t xml:space="preserve">Ohio Revised Code 4928.144. </w:t>
      </w:r>
      <w:r>
        <w:tab/>
      </w:r>
      <w:r w:rsidRPr="000648EE">
        <w:t>)</w:t>
      </w:r>
    </w:p>
    <w:p w:rsidR="002E51FA" w:rsidRDefault="002E51FA">
      <w:pPr>
        <w:autoSpaceDE w:val="0"/>
        <w:autoSpaceDN w:val="0"/>
        <w:adjustRightInd w:val="0"/>
        <w:rPr>
          <w:rFonts w:ascii="Arial" w:eastAsiaTheme="minorHAnsi" w:hAnsi="Arial" w:cs="Arial"/>
        </w:rPr>
      </w:pPr>
    </w:p>
    <w:p w:rsidR="002E51FA" w:rsidRDefault="002E51FA">
      <w:pPr>
        <w:pStyle w:val="BodyText"/>
        <w:tabs>
          <w:tab w:val="left" w:pos="5040"/>
        </w:tabs>
      </w:pPr>
    </w:p>
    <w:p w:rsidR="002E51FA" w:rsidRDefault="002E51FA">
      <w:pPr>
        <w:pBdr>
          <w:top w:val="single" w:sz="12" w:space="1" w:color="auto"/>
        </w:pBdr>
        <w:tabs>
          <w:tab w:val="left" w:pos="7320"/>
        </w:tabs>
        <w:jc w:val="both"/>
        <w:rPr>
          <w:rFonts w:ascii="Arial" w:hAnsi="Arial" w:cs="Arial"/>
          <w:sz w:val="28"/>
        </w:rPr>
      </w:pPr>
    </w:p>
    <w:p w:rsidR="00E46D1C" w:rsidRDefault="000648EE" w:rsidP="00E46D1C">
      <w:pPr>
        <w:pStyle w:val="Heading1"/>
        <w:tabs>
          <w:tab w:val="left" w:pos="9360"/>
        </w:tabs>
        <w:ind w:left="0" w:right="0"/>
        <w:jc w:val="center"/>
        <w:rPr>
          <w:sz w:val="24"/>
        </w:rPr>
      </w:pPr>
      <w:r>
        <w:rPr>
          <w:sz w:val="24"/>
        </w:rPr>
        <w:t>INDUSTRIAL ENERGY USERS-OHIO</w:t>
      </w:r>
      <w:r w:rsidR="00B16FAC">
        <w:rPr>
          <w:sz w:val="24"/>
        </w:rPr>
        <w:t>’S</w:t>
      </w:r>
      <w:r w:rsidR="00E46D1C">
        <w:rPr>
          <w:sz w:val="24"/>
        </w:rPr>
        <w:t xml:space="preserve"> MEMORANDUM CONTRA </w:t>
      </w:r>
    </w:p>
    <w:p w:rsidR="00E46D1C" w:rsidRPr="00E46D1C" w:rsidRDefault="00E46D1C" w:rsidP="00E46D1C">
      <w:pPr>
        <w:pStyle w:val="Heading1"/>
        <w:tabs>
          <w:tab w:val="left" w:pos="9360"/>
        </w:tabs>
        <w:ind w:left="0" w:right="0"/>
        <w:jc w:val="center"/>
        <w:rPr>
          <w:sz w:val="24"/>
        </w:rPr>
      </w:pPr>
      <w:r>
        <w:rPr>
          <w:sz w:val="24"/>
        </w:rPr>
        <w:t>OHIO POWER COMPANY’S APPLICATION FOR REHEARING</w:t>
      </w:r>
    </w:p>
    <w:p w:rsidR="002E51FA" w:rsidRDefault="000648E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E51FA" w:rsidRDefault="002E51FA">
      <w:pPr>
        <w:pStyle w:val="BodyTextIndent"/>
        <w:tabs>
          <w:tab w:val="left" w:pos="7320"/>
        </w:tabs>
        <w:ind w:firstLine="0"/>
      </w:pPr>
    </w:p>
    <w:p w:rsidR="00B416A8" w:rsidRPr="00B416A8" w:rsidRDefault="00786F49" w:rsidP="00786F49">
      <w:pPr>
        <w:pStyle w:val="ListParagraph"/>
        <w:numPr>
          <w:ilvl w:val="0"/>
          <w:numId w:val="9"/>
        </w:numPr>
        <w:spacing w:before="120" w:line="480" w:lineRule="auto"/>
        <w:ind w:left="720"/>
        <w:jc w:val="both"/>
        <w:rPr>
          <w:rFonts w:ascii="Arial" w:hAnsi="Arial" w:cs="Arial"/>
          <w:b/>
        </w:rPr>
      </w:pPr>
      <w:r>
        <w:rPr>
          <w:rFonts w:ascii="Arial" w:hAnsi="Arial" w:cs="Arial"/>
          <w:b/>
        </w:rPr>
        <w:t>INTRODUCTION</w:t>
      </w:r>
    </w:p>
    <w:p w:rsidR="00A97A4F" w:rsidRDefault="009332D1" w:rsidP="00C82D59">
      <w:pPr>
        <w:spacing w:line="480" w:lineRule="auto"/>
        <w:ind w:firstLine="720"/>
        <w:jc w:val="both"/>
        <w:rPr>
          <w:rFonts w:ascii="Arial" w:hAnsi="Arial" w:cs="Arial"/>
        </w:rPr>
      </w:pPr>
      <w:r>
        <w:rPr>
          <w:rFonts w:ascii="Arial" w:hAnsi="Arial" w:cs="Arial"/>
        </w:rPr>
        <w:t xml:space="preserve">On August 1, 2012, </w:t>
      </w:r>
      <w:r w:rsidR="00787807">
        <w:rPr>
          <w:rFonts w:ascii="Arial" w:hAnsi="Arial" w:cs="Arial"/>
        </w:rPr>
        <w:t>the Public Utilities Commis</w:t>
      </w:r>
      <w:r>
        <w:rPr>
          <w:rFonts w:ascii="Arial" w:hAnsi="Arial" w:cs="Arial"/>
        </w:rPr>
        <w:t xml:space="preserve">sion of Ohio (“Commission”) </w:t>
      </w:r>
      <w:r w:rsidR="00A97A4F">
        <w:rPr>
          <w:rFonts w:ascii="Arial" w:hAnsi="Arial" w:cs="Arial"/>
        </w:rPr>
        <w:t>issu</w:t>
      </w:r>
      <w:r w:rsidR="00F552F2">
        <w:rPr>
          <w:rFonts w:ascii="Arial" w:hAnsi="Arial" w:cs="Arial"/>
        </w:rPr>
        <w:t>e</w:t>
      </w:r>
      <w:r w:rsidR="00A97A4F">
        <w:rPr>
          <w:rFonts w:ascii="Arial" w:hAnsi="Arial" w:cs="Arial"/>
        </w:rPr>
        <w:t>d a Finding and Order (“PIRR Order”) modifying</w:t>
      </w:r>
      <w:r w:rsidR="00EC1D42">
        <w:rPr>
          <w:rFonts w:ascii="Arial" w:hAnsi="Arial" w:cs="Arial"/>
        </w:rPr>
        <w:t xml:space="preserve"> and approving</w:t>
      </w:r>
      <w:r>
        <w:rPr>
          <w:rFonts w:ascii="Arial" w:hAnsi="Arial" w:cs="Arial"/>
        </w:rPr>
        <w:t xml:space="preserve"> </w:t>
      </w:r>
      <w:r w:rsidR="00B416A8">
        <w:rPr>
          <w:rFonts w:ascii="Arial" w:hAnsi="Arial" w:cs="Arial"/>
        </w:rPr>
        <w:t>Ohio Power Company’s (“OP”) and Columbus Southern Power Company’s</w:t>
      </w:r>
      <w:r w:rsidR="00EF7FAD">
        <w:rPr>
          <w:rStyle w:val="FootnoteReference"/>
          <w:rFonts w:ascii="Arial" w:hAnsi="Arial" w:cs="Arial"/>
        </w:rPr>
        <w:footnoteReference w:id="1"/>
      </w:r>
      <w:r w:rsidR="00B416A8">
        <w:rPr>
          <w:rFonts w:ascii="Arial" w:hAnsi="Arial" w:cs="Arial"/>
        </w:rPr>
        <w:t xml:space="preserve"> (“CSP”) (collectively, “</w:t>
      </w:r>
      <w:r>
        <w:rPr>
          <w:rFonts w:ascii="Arial" w:hAnsi="Arial" w:cs="Arial"/>
        </w:rPr>
        <w:t>AEP-Ohio</w:t>
      </w:r>
      <w:r w:rsidR="00B416A8">
        <w:rPr>
          <w:rFonts w:ascii="Arial" w:hAnsi="Arial" w:cs="Arial"/>
        </w:rPr>
        <w:t>”)</w:t>
      </w:r>
      <w:r w:rsidR="00786F49">
        <w:rPr>
          <w:rFonts w:ascii="Arial" w:hAnsi="Arial" w:cs="Arial"/>
        </w:rPr>
        <w:t xml:space="preserve"> A</w:t>
      </w:r>
      <w:r>
        <w:rPr>
          <w:rFonts w:ascii="Arial" w:hAnsi="Arial" w:cs="Arial"/>
        </w:rPr>
        <w:t xml:space="preserve">pplication </w:t>
      </w:r>
      <w:r w:rsidR="00F552F2" w:rsidRPr="00F552F2">
        <w:rPr>
          <w:rFonts w:ascii="Arial" w:hAnsi="Arial" w:cs="Arial"/>
        </w:rPr>
        <w:t>(the “PIRR Application”)</w:t>
      </w:r>
      <w:r w:rsidR="00F552F2">
        <w:rPr>
          <w:rFonts w:ascii="Arial" w:hAnsi="Arial" w:cs="Arial"/>
        </w:rPr>
        <w:t xml:space="preserve"> </w:t>
      </w:r>
      <w:r>
        <w:rPr>
          <w:rFonts w:ascii="Arial" w:hAnsi="Arial" w:cs="Arial"/>
        </w:rPr>
        <w:t xml:space="preserve">to </w:t>
      </w:r>
      <w:r w:rsidR="00B416A8">
        <w:rPr>
          <w:rFonts w:ascii="Arial" w:hAnsi="Arial" w:cs="Arial"/>
        </w:rPr>
        <w:t xml:space="preserve">increase electric </w:t>
      </w:r>
      <w:r w:rsidR="00786F49">
        <w:rPr>
          <w:rFonts w:ascii="Arial" w:hAnsi="Arial" w:cs="Arial"/>
        </w:rPr>
        <w:t>bills</w:t>
      </w:r>
      <w:r w:rsidR="00F552F2">
        <w:rPr>
          <w:rFonts w:ascii="Arial" w:hAnsi="Arial" w:cs="Arial"/>
        </w:rPr>
        <w:t xml:space="preserve">.  The increase authorized by the Commission is related to an </w:t>
      </w:r>
      <w:r>
        <w:rPr>
          <w:rFonts w:ascii="Arial" w:hAnsi="Arial" w:cs="Arial"/>
        </w:rPr>
        <w:t>amortization</w:t>
      </w:r>
      <w:r w:rsidR="00EC1D42">
        <w:rPr>
          <w:rFonts w:ascii="Arial" w:hAnsi="Arial" w:cs="Arial"/>
        </w:rPr>
        <w:t xml:space="preserve"> </w:t>
      </w:r>
      <w:r w:rsidR="00F552F2">
        <w:rPr>
          <w:rFonts w:ascii="Arial" w:hAnsi="Arial" w:cs="Arial"/>
        </w:rPr>
        <w:t xml:space="preserve">process for </w:t>
      </w:r>
      <w:r>
        <w:rPr>
          <w:rFonts w:ascii="Arial" w:hAnsi="Arial" w:cs="Arial"/>
        </w:rPr>
        <w:t xml:space="preserve">the </w:t>
      </w:r>
      <w:r w:rsidR="00F552F2">
        <w:rPr>
          <w:rFonts w:ascii="Arial" w:hAnsi="Arial" w:cs="Arial"/>
        </w:rPr>
        <w:t xml:space="preserve">portion of the rate increase authorized in </w:t>
      </w:r>
      <w:r>
        <w:rPr>
          <w:rFonts w:ascii="Arial" w:hAnsi="Arial" w:cs="Arial"/>
        </w:rPr>
        <w:t>AEP-Ohio’s first electric security plan</w:t>
      </w:r>
      <w:r w:rsidR="003B5C5D">
        <w:rPr>
          <w:rFonts w:ascii="Arial" w:hAnsi="Arial" w:cs="Arial"/>
        </w:rPr>
        <w:t xml:space="preserve"> (“ESP</w:t>
      </w:r>
      <w:r w:rsidR="00E60032">
        <w:rPr>
          <w:rFonts w:ascii="Arial" w:hAnsi="Arial" w:cs="Arial"/>
        </w:rPr>
        <w:t xml:space="preserve"> I</w:t>
      </w:r>
      <w:r w:rsidR="003B5C5D">
        <w:rPr>
          <w:rFonts w:ascii="Arial" w:hAnsi="Arial" w:cs="Arial"/>
        </w:rPr>
        <w:t>”)</w:t>
      </w:r>
      <w:r w:rsidR="00F552F2">
        <w:rPr>
          <w:rFonts w:ascii="Arial" w:hAnsi="Arial" w:cs="Arial"/>
        </w:rPr>
        <w:t xml:space="preserve"> which was deferred for future collection</w:t>
      </w:r>
      <w:r w:rsidR="003B5C5D">
        <w:rPr>
          <w:rFonts w:ascii="Arial" w:hAnsi="Arial" w:cs="Arial"/>
        </w:rPr>
        <w:t>.</w:t>
      </w:r>
      <w:r w:rsidR="00A97A4F">
        <w:rPr>
          <w:rFonts w:ascii="Arial" w:hAnsi="Arial" w:cs="Arial"/>
        </w:rPr>
        <w:t xml:space="preserve">  </w:t>
      </w:r>
      <w:r w:rsidR="00F552F2">
        <w:rPr>
          <w:rFonts w:ascii="Arial" w:hAnsi="Arial" w:cs="Arial"/>
        </w:rPr>
        <w:t>As part of the authorized increase and related amortization process, t</w:t>
      </w:r>
      <w:r w:rsidR="00A97A4F">
        <w:rPr>
          <w:rFonts w:ascii="Arial" w:hAnsi="Arial" w:cs="Arial"/>
        </w:rPr>
        <w:t xml:space="preserve">he PIRR Order directed AEP-Ohio to annually accrue carrying charges at a long term debt rate </w:t>
      </w:r>
      <w:r w:rsidR="00F552F2">
        <w:rPr>
          <w:rFonts w:ascii="Arial" w:hAnsi="Arial" w:cs="Arial"/>
        </w:rPr>
        <w:t xml:space="preserve">rather than at a weighted average cost of capital </w:t>
      </w:r>
      <w:r w:rsidR="00F552F2">
        <w:rPr>
          <w:rFonts w:ascii="Arial" w:hAnsi="Arial" w:cs="Arial"/>
        </w:rPr>
        <w:lastRenderedPageBreak/>
        <w:t xml:space="preserve">(“WACC”) rate.  Since the WACC carrying charge rate includes a common equity component, the use of a debt rate reduces the total dollar amount to be amortized by </w:t>
      </w:r>
      <w:r w:rsidR="00A97A4F">
        <w:rPr>
          <w:rFonts w:ascii="Arial" w:hAnsi="Arial" w:cs="Arial"/>
        </w:rPr>
        <w:t>approximately 600 basis points and $129 million over the course of the amortization period</w:t>
      </w:r>
      <w:r w:rsidR="00F552F2">
        <w:rPr>
          <w:rFonts w:ascii="Arial" w:hAnsi="Arial" w:cs="Arial"/>
        </w:rPr>
        <w:t xml:space="preserve"> assuming that the deferred amount is not subsequently reduced through the open and other Commission proceedings which will ultimately determine how much, if any, of the deferred increase is actually recoverable from customers</w:t>
      </w:r>
      <w:r w:rsidR="00A97A4F">
        <w:rPr>
          <w:rFonts w:ascii="Arial" w:hAnsi="Arial" w:cs="Arial"/>
        </w:rPr>
        <w:t>.</w:t>
      </w:r>
    </w:p>
    <w:p w:rsidR="00E60032" w:rsidRDefault="00A97A4F" w:rsidP="00A97A4F">
      <w:pPr>
        <w:spacing w:line="480" w:lineRule="auto"/>
        <w:ind w:firstLine="720"/>
        <w:jc w:val="both"/>
        <w:rPr>
          <w:rFonts w:ascii="Arial" w:hAnsi="Arial" w:cs="Arial"/>
        </w:rPr>
      </w:pPr>
      <w:r>
        <w:rPr>
          <w:rFonts w:ascii="Arial" w:hAnsi="Arial" w:cs="Arial"/>
        </w:rPr>
        <w:t xml:space="preserve">The purpose of this Memorandum Contra is to respond to AEP-Ohio’s Application for Rehearing </w:t>
      </w:r>
      <w:r w:rsidR="00B416A8">
        <w:rPr>
          <w:rFonts w:ascii="Arial" w:hAnsi="Arial" w:cs="Arial"/>
        </w:rPr>
        <w:t>filed on Au</w:t>
      </w:r>
      <w:r>
        <w:rPr>
          <w:rFonts w:ascii="Arial" w:hAnsi="Arial" w:cs="Arial"/>
        </w:rPr>
        <w:t xml:space="preserve">gust 31, 2012, which </w:t>
      </w:r>
      <w:r w:rsidR="003B5C5D">
        <w:rPr>
          <w:rFonts w:ascii="Arial" w:hAnsi="Arial" w:cs="Arial"/>
        </w:rPr>
        <w:t>seeks to</w:t>
      </w:r>
      <w:r w:rsidR="00B416A8">
        <w:rPr>
          <w:rFonts w:ascii="Arial" w:hAnsi="Arial" w:cs="Arial"/>
        </w:rPr>
        <w:t xml:space="preserve"> overturn</w:t>
      </w:r>
      <w:r>
        <w:rPr>
          <w:rFonts w:ascii="Arial" w:hAnsi="Arial" w:cs="Arial"/>
        </w:rPr>
        <w:t xml:space="preserve"> the </w:t>
      </w:r>
      <w:r w:rsidR="003B5C5D">
        <w:rPr>
          <w:rFonts w:ascii="Arial" w:hAnsi="Arial" w:cs="Arial"/>
        </w:rPr>
        <w:t xml:space="preserve">PIRR Order.  </w:t>
      </w:r>
      <w:r w:rsidR="00F552F2">
        <w:rPr>
          <w:rFonts w:ascii="Arial" w:hAnsi="Arial" w:cs="Arial"/>
        </w:rPr>
        <w:t xml:space="preserve">In its Application for Rehearing, </w:t>
      </w:r>
      <w:r w:rsidR="00C82D59">
        <w:rPr>
          <w:rFonts w:ascii="Arial" w:hAnsi="Arial" w:cs="Arial"/>
        </w:rPr>
        <w:t>AEP-Ohio claim</w:t>
      </w:r>
      <w:r>
        <w:rPr>
          <w:rFonts w:ascii="Arial" w:hAnsi="Arial" w:cs="Arial"/>
        </w:rPr>
        <w:t>s that the</w:t>
      </w:r>
      <w:r w:rsidR="006F70ED">
        <w:rPr>
          <w:rFonts w:ascii="Arial" w:hAnsi="Arial" w:cs="Arial"/>
        </w:rPr>
        <w:t xml:space="preserve"> ESP I Order fully adjudicated all issues pertaining to the calculation of carrying charges </w:t>
      </w:r>
      <w:r w:rsidR="00EF7FAD">
        <w:rPr>
          <w:rFonts w:ascii="Arial" w:hAnsi="Arial" w:cs="Arial"/>
        </w:rPr>
        <w:t>and</w:t>
      </w:r>
      <w:r w:rsidR="00E60032">
        <w:rPr>
          <w:rFonts w:ascii="Arial" w:hAnsi="Arial" w:cs="Arial"/>
        </w:rPr>
        <w:t xml:space="preserve"> that </w:t>
      </w:r>
      <w:r w:rsidR="006F70ED">
        <w:rPr>
          <w:rFonts w:ascii="Arial" w:hAnsi="Arial" w:cs="Arial"/>
        </w:rPr>
        <w:t>the</w:t>
      </w:r>
      <w:r w:rsidR="00C82D59">
        <w:rPr>
          <w:rFonts w:ascii="Arial" w:hAnsi="Arial" w:cs="Arial"/>
        </w:rPr>
        <w:t xml:space="preserve"> PIRR </w:t>
      </w:r>
      <w:r>
        <w:rPr>
          <w:rFonts w:ascii="Arial" w:hAnsi="Arial" w:cs="Arial"/>
        </w:rPr>
        <w:t>Order’s directive that AEP-Ohio</w:t>
      </w:r>
      <w:r w:rsidR="00B416A8">
        <w:rPr>
          <w:rFonts w:ascii="Arial" w:hAnsi="Arial" w:cs="Arial"/>
        </w:rPr>
        <w:t xml:space="preserve"> annually accrue carrying charges at a debt rate</w:t>
      </w:r>
      <w:r w:rsidR="00C82D59">
        <w:rPr>
          <w:rFonts w:ascii="Arial" w:hAnsi="Arial" w:cs="Arial"/>
        </w:rPr>
        <w:t xml:space="preserve"> during the amortization period</w:t>
      </w:r>
      <w:r w:rsidR="006F70ED">
        <w:rPr>
          <w:rFonts w:ascii="Arial" w:hAnsi="Arial" w:cs="Arial"/>
        </w:rPr>
        <w:t xml:space="preserve"> is </w:t>
      </w:r>
      <w:r>
        <w:rPr>
          <w:rFonts w:ascii="Arial" w:hAnsi="Arial" w:cs="Arial"/>
        </w:rPr>
        <w:t>barred by</w:t>
      </w:r>
      <w:r w:rsidRPr="00A97A4F">
        <w:rPr>
          <w:rFonts w:ascii="Arial" w:hAnsi="Arial" w:cs="Arial"/>
          <w:i/>
        </w:rPr>
        <w:t xml:space="preserve"> </w:t>
      </w:r>
      <w:r>
        <w:rPr>
          <w:rFonts w:ascii="Arial" w:hAnsi="Arial" w:cs="Arial"/>
          <w:i/>
        </w:rPr>
        <w:t xml:space="preserve">res judicata.  </w:t>
      </w:r>
      <w:r>
        <w:rPr>
          <w:rFonts w:ascii="Arial" w:hAnsi="Arial" w:cs="Arial"/>
        </w:rPr>
        <w:t xml:space="preserve">AEP-Ohio also claims that the PIRR Order is barred by </w:t>
      </w:r>
      <w:r>
        <w:rPr>
          <w:rFonts w:ascii="Arial" w:hAnsi="Arial" w:cs="Arial"/>
          <w:i/>
        </w:rPr>
        <w:t xml:space="preserve">estoppel </w:t>
      </w:r>
      <w:r w:rsidR="00EC1D42">
        <w:rPr>
          <w:rFonts w:ascii="Arial" w:hAnsi="Arial" w:cs="Arial"/>
        </w:rPr>
        <w:t>because</w:t>
      </w:r>
      <w:r>
        <w:rPr>
          <w:rFonts w:ascii="Arial" w:hAnsi="Arial" w:cs="Arial"/>
        </w:rPr>
        <w:t xml:space="preserve"> it would frustrate AEP-Ohio’s right to withdraw from an ESP modified and approved by the Commission.  Moreover, AEP-Ohio claims that the PIRR Order undermines securitization efforts.  </w:t>
      </w:r>
      <w:r w:rsidR="00B416A8">
        <w:rPr>
          <w:rFonts w:ascii="Arial" w:hAnsi="Arial" w:cs="Arial"/>
        </w:rPr>
        <w:t>In the alternative</w:t>
      </w:r>
      <w:r w:rsidR="00E60032">
        <w:rPr>
          <w:rFonts w:ascii="Arial" w:hAnsi="Arial" w:cs="Arial"/>
        </w:rPr>
        <w:t xml:space="preserve"> and to try to drive electric bills higher than allowed by the PIRR Order</w:t>
      </w:r>
      <w:r w:rsidR="00B416A8">
        <w:rPr>
          <w:rFonts w:ascii="Arial" w:hAnsi="Arial" w:cs="Arial"/>
        </w:rPr>
        <w:t xml:space="preserve">, AEP-Ohio requests that it be permitted to </w:t>
      </w:r>
      <w:r w:rsidR="00E60032">
        <w:rPr>
          <w:rFonts w:ascii="Arial" w:hAnsi="Arial" w:cs="Arial"/>
        </w:rPr>
        <w:t xml:space="preserve">use a hypothetical </w:t>
      </w:r>
      <w:r w:rsidR="00B416A8">
        <w:rPr>
          <w:rFonts w:ascii="Arial" w:hAnsi="Arial" w:cs="Arial"/>
        </w:rPr>
        <w:t>capital structure</w:t>
      </w:r>
      <w:r w:rsidR="00E60032">
        <w:rPr>
          <w:rFonts w:ascii="Arial" w:hAnsi="Arial" w:cs="Arial"/>
        </w:rPr>
        <w:t xml:space="preserve"> that ignores the debt-based financing associated with the PIRR</w:t>
      </w:r>
      <w:r w:rsidR="00B416A8">
        <w:rPr>
          <w:rFonts w:ascii="Arial" w:hAnsi="Arial" w:cs="Arial"/>
        </w:rPr>
        <w:t>.</w:t>
      </w:r>
      <w:r>
        <w:rPr>
          <w:rFonts w:ascii="Arial" w:hAnsi="Arial" w:cs="Arial"/>
        </w:rPr>
        <w:t xml:space="preserve">  </w:t>
      </w:r>
    </w:p>
    <w:p w:rsidR="00787807" w:rsidRDefault="00A97A4F" w:rsidP="00A97A4F">
      <w:pPr>
        <w:spacing w:line="480" w:lineRule="auto"/>
        <w:ind w:firstLine="720"/>
        <w:jc w:val="both"/>
        <w:rPr>
          <w:rFonts w:ascii="Arial" w:hAnsi="Arial" w:cs="Arial"/>
        </w:rPr>
      </w:pPr>
      <w:r>
        <w:rPr>
          <w:rFonts w:ascii="Arial" w:hAnsi="Arial" w:cs="Arial"/>
        </w:rPr>
        <w:t xml:space="preserve">AEP-Ohio’s </w:t>
      </w:r>
      <w:r w:rsidR="00E60032">
        <w:rPr>
          <w:rFonts w:ascii="Arial" w:hAnsi="Arial" w:cs="Arial"/>
        </w:rPr>
        <w:t xml:space="preserve">claimed errors are without merit.  AEP-Ohio’s </w:t>
      </w:r>
      <w:r>
        <w:rPr>
          <w:rFonts w:ascii="Arial" w:hAnsi="Arial" w:cs="Arial"/>
        </w:rPr>
        <w:t>arguments</w:t>
      </w:r>
      <w:r w:rsidR="003B5C5D">
        <w:rPr>
          <w:rFonts w:ascii="Arial" w:hAnsi="Arial" w:cs="Arial"/>
        </w:rPr>
        <w:t xml:space="preserve"> misstate</w:t>
      </w:r>
      <w:r w:rsidR="009332D1">
        <w:rPr>
          <w:rFonts w:ascii="Arial" w:hAnsi="Arial" w:cs="Arial"/>
        </w:rPr>
        <w:t xml:space="preserve"> legal preced</w:t>
      </w:r>
      <w:r w:rsidR="003B5C5D">
        <w:rPr>
          <w:rFonts w:ascii="Arial" w:hAnsi="Arial" w:cs="Arial"/>
        </w:rPr>
        <w:t>ent</w:t>
      </w:r>
      <w:r w:rsidR="00E60032">
        <w:rPr>
          <w:rFonts w:ascii="Arial" w:hAnsi="Arial" w:cs="Arial"/>
        </w:rPr>
        <w:t>, the ESP I history</w:t>
      </w:r>
      <w:r w:rsidR="003B5C5D">
        <w:rPr>
          <w:rFonts w:ascii="Arial" w:hAnsi="Arial" w:cs="Arial"/>
        </w:rPr>
        <w:t xml:space="preserve"> and facts associated with the</w:t>
      </w:r>
      <w:r w:rsidR="009332D1">
        <w:rPr>
          <w:rFonts w:ascii="Arial" w:hAnsi="Arial" w:cs="Arial"/>
        </w:rPr>
        <w:t xml:space="preserve"> phase-in</w:t>
      </w:r>
      <w:r w:rsidR="003B5C5D">
        <w:rPr>
          <w:rFonts w:ascii="Arial" w:hAnsi="Arial" w:cs="Arial"/>
        </w:rPr>
        <w:t xml:space="preserve"> mechanism</w:t>
      </w:r>
      <w:r w:rsidR="00E60032">
        <w:rPr>
          <w:rFonts w:ascii="Arial" w:hAnsi="Arial" w:cs="Arial"/>
        </w:rPr>
        <w:t xml:space="preserve"> approved by the Commission in ESP I</w:t>
      </w:r>
      <w:r w:rsidR="009332D1">
        <w:rPr>
          <w:rFonts w:ascii="Arial" w:hAnsi="Arial" w:cs="Arial"/>
        </w:rPr>
        <w:t xml:space="preserve">. </w:t>
      </w:r>
      <w:r>
        <w:rPr>
          <w:rFonts w:ascii="Arial" w:hAnsi="Arial" w:cs="Arial"/>
        </w:rPr>
        <w:t xml:space="preserve"> Because </w:t>
      </w:r>
      <w:r w:rsidR="009332D1">
        <w:rPr>
          <w:rFonts w:ascii="Arial" w:hAnsi="Arial" w:cs="Arial"/>
        </w:rPr>
        <w:t>AEP-Ohio’s argume</w:t>
      </w:r>
      <w:r>
        <w:rPr>
          <w:rFonts w:ascii="Arial" w:hAnsi="Arial" w:cs="Arial"/>
        </w:rPr>
        <w:t>nts lack merit, the Commission should deny AEP-Ohio’s Application for Rehearing</w:t>
      </w:r>
      <w:r w:rsidR="00C76861">
        <w:rPr>
          <w:rFonts w:ascii="Arial" w:hAnsi="Arial" w:cs="Arial"/>
        </w:rPr>
        <w:t>.</w:t>
      </w:r>
    </w:p>
    <w:p w:rsidR="00786F49" w:rsidRDefault="00786F49" w:rsidP="00A97A4F">
      <w:pPr>
        <w:spacing w:line="480" w:lineRule="auto"/>
        <w:ind w:firstLine="720"/>
        <w:jc w:val="both"/>
        <w:rPr>
          <w:rFonts w:ascii="Arial" w:hAnsi="Arial" w:cs="Arial"/>
        </w:rPr>
      </w:pPr>
    </w:p>
    <w:p w:rsidR="00786F49" w:rsidRDefault="00786F49" w:rsidP="00A97A4F">
      <w:pPr>
        <w:spacing w:line="480" w:lineRule="auto"/>
        <w:ind w:firstLine="720"/>
        <w:jc w:val="both"/>
        <w:rPr>
          <w:rFonts w:ascii="Arial" w:hAnsi="Arial" w:cs="Arial"/>
        </w:rPr>
      </w:pPr>
    </w:p>
    <w:p w:rsidR="00786F49" w:rsidRPr="00787807" w:rsidRDefault="00786F49" w:rsidP="00A97A4F">
      <w:pPr>
        <w:spacing w:line="480" w:lineRule="auto"/>
        <w:ind w:firstLine="720"/>
        <w:jc w:val="both"/>
        <w:rPr>
          <w:rFonts w:ascii="Arial" w:hAnsi="Arial" w:cs="Arial"/>
        </w:rPr>
      </w:pPr>
    </w:p>
    <w:p w:rsidR="00DC10D0" w:rsidRPr="00DC10D0" w:rsidRDefault="00786F49" w:rsidP="00786F49">
      <w:pPr>
        <w:pStyle w:val="ListParagraph"/>
        <w:numPr>
          <w:ilvl w:val="0"/>
          <w:numId w:val="9"/>
        </w:numPr>
        <w:spacing w:line="480" w:lineRule="auto"/>
        <w:ind w:left="720"/>
        <w:jc w:val="both"/>
        <w:rPr>
          <w:rFonts w:ascii="Arial" w:hAnsi="Arial" w:cs="Arial"/>
          <w:b/>
        </w:rPr>
      </w:pPr>
      <w:r>
        <w:rPr>
          <w:rFonts w:ascii="Arial" w:hAnsi="Arial" w:cs="Arial"/>
          <w:b/>
        </w:rPr>
        <w:t>THE PHASE-IN</w:t>
      </w:r>
    </w:p>
    <w:p w:rsidR="004B3134" w:rsidRDefault="00B706F3" w:rsidP="004B3134">
      <w:pPr>
        <w:spacing w:line="480" w:lineRule="auto"/>
        <w:ind w:left="90" w:firstLine="630"/>
        <w:jc w:val="both"/>
        <w:rPr>
          <w:rFonts w:ascii="Arial" w:eastAsiaTheme="minorHAnsi" w:hAnsi="Arial" w:cs="Arial"/>
        </w:rPr>
      </w:pPr>
      <w:r>
        <w:rPr>
          <w:rFonts w:ascii="Arial" w:eastAsiaTheme="minorHAnsi" w:hAnsi="Arial" w:cs="Arial"/>
        </w:rPr>
        <w:t>T</w:t>
      </w:r>
      <w:r w:rsidR="000A4C0B" w:rsidRPr="000A4C0B">
        <w:rPr>
          <w:rFonts w:ascii="Arial" w:eastAsiaTheme="minorHAnsi" w:hAnsi="Arial" w:cs="Arial"/>
        </w:rPr>
        <w:t>he Commission authorized AEP-Ohio to increase rates by a total dollar amount</w:t>
      </w:r>
      <w:r w:rsidR="00C76861">
        <w:rPr>
          <w:rFonts w:ascii="Arial" w:eastAsiaTheme="minorHAnsi" w:hAnsi="Arial" w:cs="Arial"/>
        </w:rPr>
        <w:t xml:space="preserve"> </w:t>
      </w:r>
      <w:r>
        <w:rPr>
          <w:rFonts w:ascii="Arial" w:eastAsiaTheme="minorHAnsi" w:hAnsi="Arial" w:cs="Arial"/>
        </w:rPr>
        <w:t xml:space="preserve">in the </w:t>
      </w:r>
      <w:r w:rsidR="00E60032">
        <w:rPr>
          <w:rFonts w:ascii="Arial" w:eastAsiaTheme="minorHAnsi" w:hAnsi="Arial" w:cs="Arial"/>
        </w:rPr>
        <w:t xml:space="preserve">ESP I </w:t>
      </w:r>
      <w:r>
        <w:rPr>
          <w:rFonts w:ascii="Arial" w:eastAsiaTheme="minorHAnsi" w:hAnsi="Arial" w:cs="Arial"/>
        </w:rPr>
        <w:t>Opinion and Order</w:t>
      </w:r>
      <w:r w:rsidR="000A4C0B" w:rsidRPr="000A4C0B">
        <w:rPr>
          <w:rFonts w:ascii="Arial" w:eastAsiaTheme="minorHAnsi" w:hAnsi="Arial" w:cs="Arial"/>
        </w:rPr>
        <w:t>.</w:t>
      </w:r>
      <w:r w:rsidR="000A4C0B">
        <w:rPr>
          <w:rStyle w:val="FootnoteReference"/>
          <w:rFonts w:ascii="Arial" w:eastAsiaTheme="minorHAnsi" w:hAnsi="Arial" w:cs="Arial"/>
        </w:rPr>
        <w:footnoteReference w:id="2"/>
      </w:r>
      <w:r w:rsidR="007E1BFE">
        <w:rPr>
          <w:rFonts w:ascii="Arial" w:eastAsiaTheme="minorHAnsi" w:hAnsi="Arial" w:cs="Arial"/>
        </w:rPr>
        <w:t xml:space="preserve">  </w:t>
      </w:r>
      <w:r w:rsidR="004B3134">
        <w:rPr>
          <w:rFonts w:ascii="Arial" w:eastAsiaTheme="minorHAnsi" w:hAnsi="Arial" w:cs="Arial"/>
        </w:rPr>
        <w:t>Because of the size of the overall increase, t</w:t>
      </w:r>
      <w:r w:rsidR="007E1BFE">
        <w:rPr>
          <w:rFonts w:ascii="Arial" w:eastAsiaTheme="minorHAnsi" w:hAnsi="Arial" w:cs="Arial"/>
        </w:rPr>
        <w:t>he Commission aut</w:t>
      </w:r>
      <w:r w:rsidR="004B3134">
        <w:rPr>
          <w:rFonts w:ascii="Arial" w:eastAsiaTheme="minorHAnsi" w:hAnsi="Arial" w:cs="Arial"/>
        </w:rPr>
        <w:t>horized AEP-Ohio to collect</w:t>
      </w:r>
      <w:r w:rsidR="000A4C0B" w:rsidRPr="000A4C0B">
        <w:rPr>
          <w:rFonts w:ascii="Arial" w:eastAsiaTheme="minorHAnsi" w:hAnsi="Arial" w:cs="Arial"/>
        </w:rPr>
        <w:t xml:space="preserve"> </w:t>
      </w:r>
      <w:r w:rsidR="007E1BFE">
        <w:rPr>
          <w:rFonts w:ascii="Arial" w:eastAsiaTheme="minorHAnsi" w:hAnsi="Arial" w:cs="Arial"/>
        </w:rPr>
        <w:t>a</w:t>
      </w:r>
      <w:r w:rsidR="000A4C0B" w:rsidRPr="000A4C0B">
        <w:rPr>
          <w:rFonts w:ascii="Arial" w:eastAsiaTheme="minorHAnsi" w:hAnsi="Arial" w:cs="Arial"/>
        </w:rPr>
        <w:t xml:space="preserve"> portion</w:t>
      </w:r>
      <w:r w:rsidR="007E1BFE">
        <w:rPr>
          <w:rFonts w:ascii="Arial" w:eastAsiaTheme="minorHAnsi" w:hAnsi="Arial" w:cs="Arial"/>
        </w:rPr>
        <w:t xml:space="preserve"> of the increase during the ESP</w:t>
      </w:r>
      <w:r w:rsidR="00E60032">
        <w:rPr>
          <w:rFonts w:ascii="Arial" w:eastAsiaTheme="minorHAnsi" w:hAnsi="Arial" w:cs="Arial"/>
        </w:rPr>
        <w:t xml:space="preserve"> term</w:t>
      </w:r>
      <w:r w:rsidR="007E1BFE">
        <w:rPr>
          <w:rFonts w:ascii="Arial" w:eastAsiaTheme="minorHAnsi" w:hAnsi="Arial" w:cs="Arial"/>
        </w:rPr>
        <w:t>, and</w:t>
      </w:r>
      <w:r w:rsidR="004B3134">
        <w:rPr>
          <w:rFonts w:ascii="Arial" w:eastAsiaTheme="minorHAnsi" w:hAnsi="Arial" w:cs="Arial"/>
        </w:rPr>
        <w:t xml:space="preserve"> through Section 4928.144, Revised Code, the </w:t>
      </w:r>
      <w:r w:rsidR="00E60032">
        <w:rPr>
          <w:rFonts w:ascii="Arial" w:eastAsiaTheme="minorHAnsi" w:hAnsi="Arial" w:cs="Arial"/>
        </w:rPr>
        <w:t xml:space="preserve">remaining allowable </w:t>
      </w:r>
      <w:r w:rsidR="004B3134">
        <w:rPr>
          <w:rFonts w:ascii="Arial" w:eastAsiaTheme="minorHAnsi" w:hAnsi="Arial" w:cs="Arial"/>
        </w:rPr>
        <w:t xml:space="preserve">balance of the total increase </w:t>
      </w:r>
      <w:r w:rsidR="000A4C0B" w:rsidRPr="000A4C0B">
        <w:rPr>
          <w:rFonts w:ascii="Arial" w:eastAsiaTheme="minorHAnsi" w:hAnsi="Arial" w:cs="Arial"/>
        </w:rPr>
        <w:t xml:space="preserve">through a non-bypassable </w:t>
      </w:r>
      <w:r w:rsidR="00E60032">
        <w:rPr>
          <w:rFonts w:ascii="Arial" w:eastAsiaTheme="minorHAnsi" w:hAnsi="Arial" w:cs="Arial"/>
        </w:rPr>
        <w:t xml:space="preserve">mechanism </w:t>
      </w:r>
      <w:r w:rsidR="004B3134">
        <w:rPr>
          <w:rFonts w:ascii="Arial" w:eastAsiaTheme="minorHAnsi" w:hAnsi="Arial" w:cs="Arial"/>
        </w:rPr>
        <w:t xml:space="preserve">commencing </w:t>
      </w:r>
      <w:r w:rsidR="00786F49">
        <w:rPr>
          <w:rFonts w:ascii="Arial" w:eastAsiaTheme="minorHAnsi" w:hAnsi="Arial" w:cs="Arial"/>
        </w:rPr>
        <w:t>after the term of the ESP.</w:t>
      </w:r>
      <w:r w:rsidR="000A4C0B" w:rsidRPr="000A4C0B">
        <w:rPr>
          <w:rFonts w:ascii="Arial" w:eastAsiaTheme="minorHAnsi" w:hAnsi="Arial" w:cs="Arial"/>
        </w:rPr>
        <w:t xml:space="preserve"> </w:t>
      </w:r>
      <w:r w:rsidR="00E60032">
        <w:rPr>
          <w:rFonts w:ascii="Arial" w:eastAsiaTheme="minorHAnsi" w:hAnsi="Arial" w:cs="Arial"/>
        </w:rPr>
        <w:t xml:space="preserve"> </w:t>
      </w:r>
      <w:r w:rsidR="000A4C0B" w:rsidRPr="000A4C0B">
        <w:rPr>
          <w:rFonts w:ascii="Arial" w:eastAsiaTheme="minorHAnsi" w:hAnsi="Arial" w:cs="Arial"/>
        </w:rPr>
        <w:t xml:space="preserve">The portion </w:t>
      </w:r>
      <w:r w:rsidR="00E60032">
        <w:rPr>
          <w:rFonts w:ascii="Arial" w:eastAsiaTheme="minorHAnsi" w:hAnsi="Arial" w:cs="Arial"/>
        </w:rPr>
        <w:t xml:space="preserve">of this total increase </w:t>
      </w:r>
      <w:r w:rsidR="000A4C0B" w:rsidRPr="000A4C0B">
        <w:rPr>
          <w:rFonts w:ascii="Arial" w:eastAsiaTheme="minorHAnsi" w:hAnsi="Arial" w:cs="Arial"/>
        </w:rPr>
        <w:t xml:space="preserve">subject to </w:t>
      </w:r>
      <w:r w:rsidR="004B3134">
        <w:rPr>
          <w:rFonts w:ascii="Arial" w:eastAsiaTheme="minorHAnsi" w:hAnsi="Arial" w:cs="Arial"/>
        </w:rPr>
        <w:t xml:space="preserve">collection </w:t>
      </w:r>
      <w:r w:rsidR="00E60032">
        <w:rPr>
          <w:rFonts w:ascii="Arial" w:eastAsiaTheme="minorHAnsi" w:hAnsi="Arial" w:cs="Arial"/>
        </w:rPr>
        <w:t xml:space="preserve">after the term of the ESP </w:t>
      </w:r>
      <w:r w:rsidR="004B3134">
        <w:rPr>
          <w:rFonts w:ascii="Arial" w:eastAsiaTheme="minorHAnsi" w:hAnsi="Arial" w:cs="Arial"/>
        </w:rPr>
        <w:t xml:space="preserve">was residually determined </w:t>
      </w:r>
      <w:r w:rsidR="00E60032">
        <w:rPr>
          <w:rFonts w:ascii="Arial" w:eastAsiaTheme="minorHAnsi" w:hAnsi="Arial" w:cs="Arial"/>
        </w:rPr>
        <w:t>relative to the portion of the total lawful increase collected during the term of ESP I.  At the time of the ESP I decision, the amount of the total increase authorized individually for OP and CSP that might be recovered through a post-ESP I non-bypassable charge was unknowable.</w:t>
      </w:r>
    </w:p>
    <w:p w:rsidR="008D408E" w:rsidRDefault="0013254B" w:rsidP="004B3134">
      <w:pPr>
        <w:spacing w:line="480" w:lineRule="auto"/>
        <w:ind w:firstLine="720"/>
        <w:jc w:val="both"/>
        <w:rPr>
          <w:rFonts w:ascii="Arial" w:eastAsiaTheme="minorHAnsi" w:hAnsi="Arial" w:cs="Arial"/>
        </w:rPr>
      </w:pPr>
      <w:r>
        <w:rPr>
          <w:rFonts w:ascii="Arial" w:eastAsiaTheme="minorHAnsi" w:hAnsi="Arial" w:cs="Arial"/>
        </w:rPr>
        <w:t xml:space="preserve">In the ESP I Order, </w:t>
      </w:r>
      <w:r w:rsidR="00E60032">
        <w:rPr>
          <w:rFonts w:ascii="Arial" w:eastAsiaTheme="minorHAnsi" w:hAnsi="Arial" w:cs="Arial"/>
        </w:rPr>
        <w:t xml:space="preserve">and for purposes of accumulating the amount of the total increase that might be subject to recovery following the term of ESP I, </w:t>
      </w:r>
      <w:r>
        <w:rPr>
          <w:rFonts w:ascii="Arial" w:eastAsiaTheme="minorHAnsi" w:hAnsi="Arial" w:cs="Arial"/>
        </w:rPr>
        <w:t>t</w:t>
      </w:r>
      <w:r w:rsidR="00023803">
        <w:rPr>
          <w:rFonts w:ascii="Arial" w:eastAsiaTheme="minorHAnsi" w:hAnsi="Arial" w:cs="Arial"/>
        </w:rPr>
        <w:t xml:space="preserve">he Commission authorized AEP-Ohio to </w:t>
      </w:r>
      <w:r w:rsidR="00E60032">
        <w:rPr>
          <w:rFonts w:ascii="Arial" w:eastAsiaTheme="minorHAnsi" w:hAnsi="Arial" w:cs="Arial"/>
        </w:rPr>
        <w:t>add an interest component to the</w:t>
      </w:r>
      <w:r w:rsidR="00023803">
        <w:rPr>
          <w:rFonts w:ascii="Arial" w:eastAsiaTheme="minorHAnsi" w:hAnsi="Arial" w:cs="Arial"/>
        </w:rPr>
        <w:t xml:space="preserve"> deferred balance</w:t>
      </w:r>
      <w:r w:rsidR="00E60032">
        <w:rPr>
          <w:rFonts w:ascii="Arial" w:eastAsiaTheme="minorHAnsi" w:hAnsi="Arial" w:cs="Arial"/>
        </w:rPr>
        <w:t xml:space="preserve">.  More specifically and over the objections of stakeholders, the Commission permitted </w:t>
      </w:r>
      <w:r w:rsidR="00786F49">
        <w:rPr>
          <w:rFonts w:ascii="Arial" w:eastAsiaTheme="minorHAnsi" w:hAnsi="Arial" w:cs="Arial"/>
        </w:rPr>
        <w:t>AEP-Ohio</w:t>
      </w:r>
      <w:r w:rsidR="00023803">
        <w:rPr>
          <w:rFonts w:ascii="Arial" w:eastAsiaTheme="minorHAnsi" w:hAnsi="Arial" w:cs="Arial"/>
        </w:rPr>
        <w:t xml:space="preserve"> </w:t>
      </w:r>
      <w:r w:rsidR="00E60032">
        <w:rPr>
          <w:rFonts w:ascii="Arial" w:eastAsiaTheme="minorHAnsi" w:hAnsi="Arial" w:cs="Arial"/>
        </w:rPr>
        <w:t xml:space="preserve">to </w:t>
      </w:r>
      <w:r w:rsidR="00E96CAE">
        <w:rPr>
          <w:rFonts w:ascii="Arial" w:eastAsiaTheme="minorHAnsi" w:hAnsi="Arial" w:cs="Arial"/>
        </w:rPr>
        <w:t xml:space="preserve">add interest to the deferred balance with the interest component calculated based on a WACC rate </w:t>
      </w:r>
      <w:r w:rsidR="009332D1">
        <w:rPr>
          <w:rFonts w:ascii="Arial" w:eastAsiaTheme="minorHAnsi" w:hAnsi="Arial" w:cs="Arial"/>
        </w:rPr>
        <w:t xml:space="preserve"> (approximately 11 percent</w:t>
      </w:r>
      <w:r w:rsidR="00E96CAE">
        <w:rPr>
          <w:rFonts w:ascii="Arial" w:eastAsiaTheme="minorHAnsi" w:hAnsi="Arial" w:cs="Arial"/>
        </w:rPr>
        <w:t xml:space="preserve"> in this case</w:t>
      </w:r>
      <w:r w:rsidR="009332D1">
        <w:rPr>
          <w:rFonts w:ascii="Arial" w:eastAsiaTheme="minorHAnsi" w:hAnsi="Arial" w:cs="Arial"/>
        </w:rPr>
        <w:t>)</w:t>
      </w:r>
      <w:r w:rsidR="004B3134">
        <w:rPr>
          <w:rFonts w:ascii="Arial" w:eastAsiaTheme="minorHAnsi" w:hAnsi="Arial" w:cs="Arial"/>
        </w:rPr>
        <w:t xml:space="preserve">.  The ESP I Order also made it clear </w:t>
      </w:r>
      <w:r w:rsidR="00E96CAE">
        <w:rPr>
          <w:rFonts w:ascii="Arial" w:eastAsiaTheme="minorHAnsi" w:hAnsi="Arial" w:cs="Arial"/>
        </w:rPr>
        <w:t xml:space="preserve">that </w:t>
      </w:r>
      <w:r w:rsidR="004B3134">
        <w:rPr>
          <w:rFonts w:ascii="Arial" w:eastAsiaTheme="minorHAnsi" w:hAnsi="Arial" w:cs="Arial"/>
        </w:rPr>
        <w:t xml:space="preserve">the Commission would, in the future, determine what portion of the amount deferred during the term of the ESP would </w:t>
      </w:r>
      <w:r w:rsidR="00EF7FAD">
        <w:rPr>
          <w:rFonts w:ascii="Arial" w:eastAsiaTheme="minorHAnsi" w:hAnsi="Arial" w:cs="Arial"/>
        </w:rPr>
        <w:t xml:space="preserve">be </w:t>
      </w:r>
      <w:r w:rsidR="00E96CAE">
        <w:rPr>
          <w:rFonts w:ascii="Arial" w:eastAsiaTheme="minorHAnsi" w:hAnsi="Arial" w:cs="Arial"/>
        </w:rPr>
        <w:t xml:space="preserve">subject to </w:t>
      </w:r>
      <w:r w:rsidR="004B3134">
        <w:rPr>
          <w:rFonts w:ascii="Arial" w:eastAsiaTheme="minorHAnsi" w:hAnsi="Arial" w:cs="Arial"/>
        </w:rPr>
        <w:t>future collection through a non-bypassable charge.</w:t>
      </w:r>
      <w:r w:rsidR="001505E0">
        <w:rPr>
          <w:rFonts w:ascii="Arial" w:eastAsiaTheme="minorHAnsi" w:hAnsi="Arial" w:cs="Arial"/>
        </w:rPr>
        <w:t xml:space="preserve">  The </w:t>
      </w:r>
      <w:r w:rsidR="00E96CAE">
        <w:rPr>
          <w:rFonts w:ascii="Arial" w:eastAsiaTheme="minorHAnsi" w:hAnsi="Arial" w:cs="Arial"/>
        </w:rPr>
        <w:t xml:space="preserve">ESP I Order </w:t>
      </w:r>
      <w:r w:rsidR="001505E0">
        <w:rPr>
          <w:rFonts w:ascii="Arial" w:eastAsiaTheme="minorHAnsi" w:hAnsi="Arial" w:cs="Arial"/>
        </w:rPr>
        <w:t>made no</w:t>
      </w:r>
      <w:r w:rsidR="005C151D">
        <w:rPr>
          <w:rFonts w:ascii="Arial" w:eastAsiaTheme="minorHAnsi" w:hAnsi="Arial" w:cs="Arial"/>
        </w:rPr>
        <w:t xml:space="preserve"> d</w:t>
      </w:r>
      <w:r w:rsidR="00C76861">
        <w:rPr>
          <w:rFonts w:ascii="Arial" w:eastAsiaTheme="minorHAnsi" w:hAnsi="Arial" w:cs="Arial"/>
        </w:rPr>
        <w:t>etermination regarding</w:t>
      </w:r>
      <w:r w:rsidR="001505E0">
        <w:rPr>
          <w:rFonts w:ascii="Arial" w:eastAsiaTheme="minorHAnsi" w:hAnsi="Arial" w:cs="Arial"/>
        </w:rPr>
        <w:t xml:space="preserve"> </w:t>
      </w:r>
      <w:r w:rsidR="001505E0">
        <w:rPr>
          <w:rFonts w:ascii="Arial" w:eastAsiaTheme="minorHAnsi" w:hAnsi="Arial" w:cs="Arial"/>
        </w:rPr>
        <w:lastRenderedPageBreak/>
        <w:t>the</w:t>
      </w:r>
      <w:r w:rsidR="00C76861">
        <w:rPr>
          <w:rFonts w:ascii="Arial" w:eastAsiaTheme="minorHAnsi" w:hAnsi="Arial" w:cs="Arial"/>
        </w:rPr>
        <w:t xml:space="preserve"> carrying charge</w:t>
      </w:r>
      <w:r w:rsidR="005C151D">
        <w:rPr>
          <w:rFonts w:ascii="Arial" w:eastAsiaTheme="minorHAnsi" w:hAnsi="Arial" w:cs="Arial"/>
        </w:rPr>
        <w:t xml:space="preserve"> rate</w:t>
      </w:r>
      <w:r w:rsidR="00C76861">
        <w:rPr>
          <w:rFonts w:ascii="Arial" w:eastAsiaTheme="minorHAnsi" w:hAnsi="Arial" w:cs="Arial"/>
        </w:rPr>
        <w:t xml:space="preserve"> that</w:t>
      </w:r>
      <w:r w:rsidR="005C151D">
        <w:rPr>
          <w:rFonts w:ascii="Arial" w:eastAsiaTheme="minorHAnsi" w:hAnsi="Arial" w:cs="Arial"/>
        </w:rPr>
        <w:t xml:space="preserve"> woul</w:t>
      </w:r>
      <w:r w:rsidR="001505E0">
        <w:rPr>
          <w:rFonts w:ascii="Arial" w:eastAsiaTheme="minorHAnsi" w:hAnsi="Arial" w:cs="Arial"/>
        </w:rPr>
        <w:t xml:space="preserve">d apply </w:t>
      </w:r>
      <w:r w:rsidR="00E96CAE">
        <w:rPr>
          <w:rFonts w:ascii="Arial" w:eastAsiaTheme="minorHAnsi" w:hAnsi="Arial" w:cs="Arial"/>
        </w:rPr>
        <w:t>once the amortization process commenced.</w:t>
      </w:r>
      <w:r w:rsidR="001505E0">
        <w:rPr>
          <w:rFonts w:ascii="Arial" w:eastAsiaTheme="minorHAnsi" w:hAnsi="Arial" w:cs="Arial"/>
        </w:rPr>
        <w:t xml:space="preserve">  The post-ESP amount </w:t>
      </w:r>
      <w:r w:rsidR="00E96CAE">
        <w:rPr>
          <w:rFonts w:ascii="Arial" w:eastAsiaTheme="minorHAnsi" w:hAnsi="Arial" w:cs="Arial"/>
        </w:rPr>
        <w:t xml:space="preserve">eligible for recovery from customers </w:t>
      </w:r>
      <w:r w:rsidR="001505E0">
        <w:rPr>
          <w:rFonts w:ascii="Arial" w:eastAsiaTheme="minorHAnsi" w:hAnsi="Arial" w:cs="Arial"/>
        </w:rPr>
        <w:t>and the carrying charge rate were</w:t>
      </w:r>
      <w:r>
        <w:rPr>
          <w:rFonts w:ascii="Arial" w:eastAsiaTheme="minorHAnsi" w:hAnsi="Arial" w:cs="Arial"/>
        </w:rPr>
        <w:t xml:space="preserve"> </w:t>
      </w:r>
      <w:r w:rsidR="00E96CAE">
        <w:rPr>
          <w:rFonts w:ascii="Arial" w:eastAsiaTheme="minorHAnsi" w:hAnsi="Arial" w:cs="Arial"/>
        </w:rPr>
        <w:t xml:space="preserve">subject to Commission determinations to be made following </w:t>
      </w:r>
      <w:r w:rsidR="00D1044E">
        <w:rPr>
          <w:rFonts w:ascii="Arial" w:eastAsiaTheme="minorHAnsi" w:hAnsi="Arial" w:cs="Arial"/>
        </w:rPr>
        <w:t>a separate applicatio</w:t>
      </w:r>
      <w:r>
        <w:rPr>
          <w:rFonts w:ascii="Arial" w:eastAsiaTheme="minorHAnsi" w:hAnsi="Arial" w:cs="Arial"/>
        </w:rPr>
        <w:t>n</w:t>
      </w:r>
      <w:r w:rsidR="00D1044E">
        <w:rPr>
          <w:rFonts w:ascii="Arial" w:eastAsiaTheme="minorHAnsi" w:hAnsi="Arial" w:cs="Arial"/>
        </w:rPr>
        <w:t xml:space="preserve"> at the end of </w:t>
      </w:r>
      <w:r w:rsidR="00D1044E" w:rsidRPr="00EF7FAD">
        <w:rPr>
          <w:rFonts w:ascii="Arial" w:eastAsiaTheme="minorHAnsi" w:hAnsi="Arial" w:cs="Arial"/>
        </w:rPr>
        <w:t>ESP I</w:t>
      </w:r>
      <w:r w:rsidR="000A4C0B" w:rsidRPr="00EF7FAD">
        <w:rPr>
          <w:rFonts w:ascii="Arial" w:eastAsiaTheme="minorHAnsi" w:hAnsi="Arial" w:cs="Arial"/>
        </w:rPr>
        <w:t>.</w:t>
      </w:r>
      <w:r w:rsidR="000A4C0B">
        <w:rPr>
          <w:rStyle w:val="FootnoteReference"/>
          <w:rFonts w:ascii="Arial" w:eastAsiaTheme="minorHAnsi" w:hAnsi="Arial" w:cs="Arial"/>
        </w:rPr>
        <w:footnoteReference w:id="3"/>
      </w:r>
    </w:p>
    <w:p w:rsidR="00B149EC" w:rsidRDefault="00C76861" w:rsidP="00EF7FAD">
      <w:pPr>
        <w:spacing w:line="480" w:lineRule="auto"/>
        <w:ind w:left="90" w:firstLine="630"/>
        <w:jc w:val="both"/>
        <w:rPr>
          <w:rFonts w:ascii="Arial" w:eastAsiaTheme="minorHAnsi" w:hAnsi="Arial" w:cs="Arial"/>
        </w:rPr>
      </w:pPr>
      <w:r>
        <w:rPr>
          <w:rFonts w:ascii="Arial" w:eastAsiaTheme="minorHAnsi" w:hAnsi="Arial" w:cs="Arial"/>
        </w:rPr>
        <w:t>Since its authorization, t</w:t>
      </w:r>
      <w:r w:rsidR="008D408E">
        <w:rPr>
          <w:rFonts w:ascii="Arial" w:eastAsiaTheme="minorHAnsi" w:hAnsi="Arial" w:cs="Arial"/>
        </w:rPr>
        <w:t>he</w:t>
      </w:r>
      <w:r w:rsidR="00F57EA0">
        <w:rPr>
          <w:rFonts w:ascii="Arial" w:eastAsiaTheme="minorHAnsi" w:hAnsi="Arial" w:cs="Arial"/>
        </w:rPr>
        <w:t xml:space="preserve"> Commission has maintained ongoing supervision and jurisdicti</w:t>
      </w:r>
      <w:r w:rsidR="001505E0">
        <w:rPr>
          <w:rFonts w:ascii="Arial" w:eastAsiaTheme="minorHAnsi" w:hAnsi="Arial" w:cs="Arial"/>
        </w:rPr>
        <w:t xml:space="preserve">on over the </w:t>
      </w:r>
      <w:r w:rsidR="00E96CAE">
        <w:rPr>
          <w:rFonts w:ascii="Arial" w:eastAsiaTheme="minorHAnsi" w:hAnsi="Arial" w:cs="Arial"/>
        </w:rPr>
        <w:t xml:space="preserve">ESP I </w:t>
      </w:r>
      <w:r w:rsidR="001505E0">
        <w:rPr>
          <w:rFonts w:ascii="Arial" w:eastAsiaTheme="minorHAnsi" w:hAnsi="Arial" w:cs="Arial"/>
        </w:rPr>
        <w:t>phase-in, frequently</w:t>
      </w:r>
      <w:r w:rsidR="00F57EA0">
        <w:rPr>
          <w:rFonts w:ascii="Arial" w:eastAsiaTheme="minorHAnsi" w:hAnsi="Arial" w:cs="Arial"/>
        </w:rPr>
        <w:t xml:space="preserve"> modifying its</w:t>
      </w:r>
      <w:r w:rsidR="001505E0">
        <w:rPr>
          <w:rFonts w:ascii="Arial" w:eastAsiaTheme="minorHAnsi" w:hAnsi="Arial" w:cs="Arial"/>
        </w:rPr>
        <w:t xml:space="preserve"> terms and the deferred balance</w:t>
      </w:r>
      <w:r w:rsidR="008D408E">
        <w:rPr>
          <w:rFonts w:ascii="Arial" w:eastAsiaTheme="minorHAnsi" w:hAnsi="Arial" w:cs="Arial"/>
        </w:rPr>
        <w:t xml:space="preserve"> through subsequent En</w:t>
      </w:r>
      <w:r w:rsidR="00F57EA0">
        <w:rPr>
          <w:rFonts w:ascii="Arial" w:eastAsiaTheme="minorHAnsi" w:hAnsi="Arial" w:cs="Arial"/>
        </w:rPr>
        <w:t>tries on Rehearing and in separate</w:t>
      </w:r>
      <w:r w:rsidR="008D408E">
        <w:rPr>
          <w:rFonts w:ascii="Arial" w:eastAsiaTheme="minorHAnsi" w:hAnsi="Arial" w:cs="Arial"/>
        </w:rPr>
        <w:t xml:space="preserve"> proceedings.  In </w:t>
      </w:r>
      <w:r w:rsidR="00E96CAE">
        <w:rPr>
          <w:rFonts w:ascii="Arial" w:eastAsiaTheme="minorHAnsi" w:hAnsi="Arial" w:cs="Arial"/>
        </w:rPr>
        <w:t xml:space="preserve">a July 23, 2009 </w:t>
      </w:r>
      <w:r w:rsidR="008D408E">
        <w:rPr>
          <w:rFonts w:ascii="Arial" w:eastAsiaTheme="minorHAnsi" w:hAnsi="Arial" w:cs="Arial"/>
        </w:rPr>
        <w:t>Entry on Rehearing, for example, the Commission determined that certain ride</w:t>
      </w:r>
      <w:r w:rsidR="007E1BFE">
        <w:rPr>
          <w:rFonts w:ascii="Arial" w:eastAsiaTheme="minorHAnsi" w:hAnsi="Arial" w:cs="Arial"/>
        </w:rPr>
        <w:t xml:space="preserve">rs were exempt from the bill </w:t>
      </w:r>
      <w:r w:rsidR="001505E0">
        <w:rPr>
          <w:rFonts w:ascii="Arial" w:eastAsiaTheme="minorHAnsi" w:hAnsi="Arial" w:cs="Arial"/>
        </w:rPr>
        <w:t xml:space="preserve">increase </w:t>
      </w:r>
      <w:r w:rsidR="007E1BFE">
        <w:rPr>
          <w:rFonts w:ascii="Arial" w:eastAsiaTheme="minorHAnsi" w:hAnsi="Arial" w:cs="Arial"/>
        </w:rPr>
        <w:t>limits</w:t>
      </w:r>
      <w:r w:rsidR="00E96CAE">
        <w:rPr>
          <w:rFonts w:ascii="Arial" w:eastAsiaTheme="minorHAnsi" w:hAnsi="Arial" w:cs="Arial"/>
        </w:rPr>
        <w:t xml:space="preserve"> that determined the portion of the total ESP I increase subject to collection during the term of ESP I</w:t>
      </w:r>
      <w:r w:rsidR="008D408E">
        <w:rPr>
          <w:rFonts w:ascii="Arial" w:eastAsiaTheme="minorHAnsi" w:hAnsi="Arial" w:cs="Arial"/>
        </w:rPr>
        <w:t>.</w:t>
      </w:r>
      <w:r w:rsidR="008D408E">
        <w:rPr>
          <w:rStyle w:val="FootnoteReference"/>
          <w:rFonts w:ascii="Arial" w:eastAsiaTheme="minorHAnsi" w:hAnsi="Arial" w:cs="Arial"/>
        </w:rPr>
        <w:footnoteReference w:id="4"/>
      </w:r>
      <w:r w:rsidR="00DC10D0">
        <w:rPr>
          <w:rFonts w:ascii="Arial" w:eastAsiaTheme="minorHAnsi" w:hAnsi="Arial" w:cs="Arial"/>
        </w:rPr>
        <w:t xml:space="preserve">  </w:t>
      </w:r>
      <w:r w:rsidR="008D408E">
        <w:rPr>
          <w:rFonts w:ascii="Arial" w:eastAsiaTheme="minorHAnsi" w:hAnsi="Arial" w:cs="Arial"/>
        </w:rPr>
        <w:t>In another Entry on Reh</w:t>
      </w:r>
      <w:r w:rsidR="00B40D1D">
        <w:rPr>
          <w:rFonts w:ascii="Arial" w:eastAsiaTheme="minorHAnsi" w:hAnsi="Arial" w:cs="Arial"/>
        </w:rPr>
        <w:t>earing,</w:t>
      </w:r>
      <w:r w:rsidR="00CB61B9">
        <w:rPr>
          <w:rFonts w:ascii="Arial" w:eastAsiaTheme="minorHAnsi" w:hAnsi="Arial" w:cs="Arial"/>
        </w:rPr>
        <w:t xml:space="preserve"> on July 29, 2009,</w:t>
      </w:r>
      <w:r w:rsidR="00B40D1D">
        <w:rPr>
          <w:rFonts w:ascii="Arial" w:eastAsiaTheme="minorHAnsi" w:hAnsi="Arial" w:cs="Arial"/>
        </w:rPr>
        <w:t xml:space="preserve"> the</w:t>
      </w:r>
      <w:r w:rsidR="00F57EA0">
        <w:rPr>
          <w:rFonts w:ascii="Arial" w:eastAsiaTheme="minorHAnsi" w:hAnsi="Arial" w:cs="Arial"/>
        </w:rPr>
        <w:t xml:space="preserve"> Commission granted I</w:t>
      </w:r>
      <w:r w:rsidR="00786F49">
        <w:rPr>
          <w:rFonts w:ascii="Arial" w:eastAsiaTheme="minorHAnsi" w:hAnsi="Arial" w:cs="Arial"/>
        </w:rPr>
        <w:t xml:space="preserve">ndustrial Energy </w:t>
      </w:r>
      <w:r w:rsidR="00F57EA0">
        <w:rPr>
          <w:rFonts w:ascii="Arial" w:eastAsiaTheme="minorHAnsi" w:hAnsi="Arial" w:cs="Arial"/>
        </w:rPr>
        <w:t>U</w:t>
      </w:r>
      <w:r w:rsidR="00786F49">
        <w:rPr>
          <w:rFonts w:ascii="Arial" w:eastAsiaTheme="minorHAnsi" w:hAnsi="Arial" w:cs="Arial"/>
        </w:rPr>
        <w:t>sers</w:t>
      </w:r>
      <w:r w:rsidR="00F57EA0">
        <w:rPr>
          <w:rFonts w:ascii="Arial" w:eastAsiaTheme="minorHAnsi" w:hAnsi="Arial" w:cs="Arial"/>
        </w:rPr>
        <w:t>-Ohio’s</w:t>
      </w:r>
      <w:r w:rsidR="00786F49">
        <w:rPr>
          <w:rFonts w:ascii="Arial" w:eastAsiaTheme="minorHAnsi" w:hAnsi="Arial" w:cs="Arial"/>
        </w:rPr>
        <w:t xml:space="preserve"> (“IEU-Ohio”) Application for R</w:t>
      </w:r>
      <w:r w:rsidR="00F57EA0">
        <w:rPr>
          <w:rFonts w:ascii="Arial" w:eastAsiaTheme="minorHAnsi" w:hAnsi="Arial" w:cs="Arial"/>
        </w:rPr>
        <w:t>ehearing and revoked</w:t>
      </w:r>
      <w:r w:rsidR="007E1BFE">
        <w:rPr>
          <w:rFonts w:ascii="Arial" w:eastAsiaTheme="minorHAnsi" w:hAnsi="Arial" w:cs="Arial"/>
        </w:rPr>
        <w:t xml:space="preserve"> authorization</w:t>
      </w:r>
      <w:r w:rsidR="00CB61B9">
        <w:rPr>
          <w:rFonts w:ascii="Arial" w:eastAsiaTheme="minorHAnsi" w:hAnsi="Arial" w:cs="Arial"/>
        </w:rPr>
        <w:t xml:space="preserve"> for AEP-Ohio</w:t>
      </w:r>
      <w:r w:rsidR="00B40D1D">
        <w:rPr>
          <w:rFonts w:ascii="Arial" w:eastAsiaTheme="minorHAnsi" w:hAnsi="Arial" w:cs="Arial"/>
        </w:rPr>
        <w:t xml:space="preserve"> </w:t>
      </w:r>
      <w:r w:rsidR="007E1BFE">
        <w:rPr>
          <w:rFonts w:ascii="Arial" w:eastAsiaTheme="minorHAnsi" w:hAnsi="Arial" w:cs="Arial"/>
        </w:rPr>
        <w:t>to recover the cost of</w:t>
      </w:r>
      <w:r w:rsidR="00B40D1D">
        <w:rPr>
          <w:rFonts w:ascii="Arial" w:eastAsiaTheme="minorHAnsi" w:hAnsi="Arial" w:cs="Arial"/>
        </w:rPr>
        <w:t xml:space="preserve"> maintenance of the Waterford and Darby generating facilities</w:t>
      </w:r>
      <w:r w:rsidR="00F57EA0">
        <w:rPr>
          <w:rFonts w:ascii="Arial" w:eastAsiaTheme="minorHAnsi" w:hAnsi="Arial" w:cs="Arial"/>
        </w:rPr>
        <w:t>.  The Commission</w:t>
      </w:r>
      <w:r w:rsidR="007E1BFE">
        <w:rPr>
          <w:rFonts w:ascii="Arial" w:eastAsiaTheme="minorHAnsi" w:hAnsi="Arial" w:cs="Arial"/>
        </w:rPr>
        <w:t xml:space="preserve"> directed AEP-Ohio to credit the $22 million already collected for such maintenance </w:t>
      </w:r>
      <w:r w:rsidR="00E96CAE">
        <w:rPr>
          <w:rFonts w:ascii="Arial" w:eastAsiaTheme="minorHAnsi" w:hAnsi="Arial" w:cs="Arial"/>
        </w:rPr>
        <w:t xml:space="preserve">cost so as to reduce the amount of the total rate increase which AEP-Ohio’s accounting had placed in the </w:t>
      </w:r>
      <w:r w:rsidR="00A07B3C">
        <w:rPr>
          <w:rFonts w:ascii="Arial" w:eastAsiaTheme="minorHAnsi" w:hAnsi="Arial" w:cs="Arial"/>
        </w:rPr>
        <w:t xml:space="preserve">deferred </w:t>
      </w:r>
      <w:r w:rsidR="00E96CAE">
        <w:rPr>
          <w:rFonts w:ascii="Arial" w:eastAsiaTheme="minorHAnsi" w:hAnsi="Arial" w:cs="Arial"/>
        </w:rPr>
        <w:t xml:space="preserve">increase </w:t>
      </w:r>
      <w:r w:rsidR="00A07B3C">
        <w:rPr>
          <w:rFonts w:ascii="Arial" w:eastAsiaTheme="minorHAnsi" w:hAnsi="Arial" w:cs="Arial"/>
        </w:rPr>
        <w:t>balance</w:t>
      </w:r>
      <w:r w:rsidR="00B40D1D">
        <w:rPr>
          <w:rFonts w:ascii="Arial" w:eastAsiaTheme="minorHAnsi" w:hAnsi="Arial" w:cs="Arial"/>
        </w:rPr>
        <w:t>.</w:t>
      </w:r>
      <w:r w:rsidR="00B40D1D">
        <w:rPr>
          <w:rStyle w:val="FootnoteReference"/>
          <w:rFonts w:ascii="Arial" w:eastAsiaTheme="minorHAnsi" w:hAnsi="Arial" w:cs="Arial"/>
        </w:rPr>
        <w:footnoteReference w:id="5"/>
      </w:r>
      <w:r w:rsidR="00F57EA0">
        <w:rPr>
          <w:rFonts w:ascii="Arial" w:eastAsiaTheme="minorHAnsi" w:hAnsi="Arial" w:cs="Arial"/>
        </w:rPr>
        <w:t xml:space="preserve">  </w:t>
      </w:r>
    </w:p>
    <w:p w:rsidR="00ED2E8F" w:rsidRDefault="00E96CAE" w:rsidP="00B149EC">
      <w:pPr>
        <w:spacing w:line="480" w:lineRule="auto"/>
        <w:ind w:left="90" w:firstLine="630"/>
        <w:jc w:val="both"/>
        <w:rPr>
          <w:rFonts w:ascii="Arial" w:eastAsiaTheme="minorHAnsi" w:hAnsi="Arial" w:cs="Arial"/>
        </w:rPr>
      </w:pPr>
      <w:r>
        <w:rPr>
          <w:rFonts w:ascii="Arial" w:eastAsiaTheme="minorHAnsi" w:hAnsi="Arial" w:cs="Arial"/>
        </w:rPr>
        <w:t>I</w:t>
      </w:r>
      <w:r w:rsidR="00F57EA0">
        <w:rPr>
          <w:rFonts w:ascii="Arial" w:eastAsiaTheme="minorHAnsi" w:hAnsi="Arial" w:cs="Arial"/>
        </w:rPr>
        <w:t xml:space="preserve">n </w:t>
      </w:r>
      <w:r>
        <w:rPr>
          <w:rFonts w:ascii="Arial" w:eastAsiaTheme="minorHAnsi" w:hAnsi="Arial" w:cs="Arial"/>
        </w:rPr>
        <w:t xml:space="preserve">other </w:t>
      </w:r>
      <w:r w:rsidR="00F57EA0">
        <w:rPr>
          <w:rFonts w:ascii="Arial" w:eastAsiaTheme="minorHAnsi" w:hAnsi="Arial" w:cs="Arial"/>
        </w:rPr>
        <w:t>proceedings</w:t>
      </w:r>
      <w:r>
        <w:rPr>
          <w:rFonts w:ascii="Arial" w:eastAsiaTheme="minorHAnsi" w:hAnsi="Arial" w:cs="Arial"/>
        </w:rPr>
        <w:t>, the Commission,</w:t>
      </w:r>
      <w:r w:rsidR="005C79A6">
        <w:rPr>
          <w:rFonts w:ascii="Arial" w:eastAsiaTheme="minorHAnsi" w:hAnsi="Arial" w:cs="Arial"/>
        </w:rPr>
        <w:t xml:space="preserve"> directed AEP-Ohio to make additional </w:t>
      </w:r>
      <w:r>
        <w:rPr>
          <w:rFonts w:ascii="Arial" w:eastAsiaTheme="minorHAnsi" w:hAnsi="Arial" w:cs="Arial"/>
        </w:rPr>
        <w:t xml:space="preserve">reductions to the </w:t>
      </w:r>
      <w:r w:rsidR="00BD7E7B">
        <w:rPr>
          <w:rFonts w:ascii="Arial" w:eastAsiaTheme="minorHAnsi" w:hAnsi="Arial" w:cs="Arial"/>
        </w:rPr>
        <w:t xml:space="preserve">deferred portion </w:t>
      </w:r>
      <w:r>
        <w:rPr>
          <w:rFonts w:ascii="Arial" w:eastAsiaTheme="minorHAnsi" w:hAnsi="Arial" w:cs="Arial"/>
        </w:rPr>
        <w:t xml:space="preserve">of the total ESP I increase </w:t>
      </w:r>
      <w:r w:rsidR="005C79A6">
        <w:rPr>
          <w:rFonts w:ascii="Arial" w:eastAsiaTheme="minorHAnsi" w:hAnsi="Arial" w:cs="Arial"/>
        </w:rPr>
        <w:t xml:space="preserve">to </w:t>
      </w:r>
      <w:r>
        <w:rPr>
          <w:rFonts w:ascii="Arial" w:eastAsiaTheme="minorHAnsi" w:hAnsi="Arial" w:cs="Arial"/>
        </w:rPr>
        <w:t xml:space="preserve">remedy the </w:t>
      </w:r>
      <w:r w:rsidR="005C79A6">
        <w:rPr>
          <w:rFonts w:ascii="Arial" w:eastAsiaTheme="minorHAnsi" w:hAnsi="Arial" w:cs="Arial"/>
        </w:rPr>
        <w:t>significantly excessive earnings</w:t>
      </w:r>
      <w:r>
        <w:rPr>
          <w:rFonts w:ascii="Arial" w:eastAsiaTheme="minorHAnsi" w:hAnsi="Arial" w:cs="Arial"/>
        </w:rPr>
        <w:t xml:space="preserve"> cau</w:t>
      </w:r>
      <w:r w:rsidR="00BD7E7B">
        <w:rPr>
          <w:rFonts w:ascii="Arial" w:eastAsiaTheme="minorHAnsi" w:hAnsi="Arial" w:cs="Arial"/>
        </w:rPr>
        <w:t>s</w:t>
      </w:r>
      <w:r>
        <w:rPr>
          <w:rFonts w:ascii="Arial" w:eastAsiaTheme="minorHAnsi" w:hAnsi="Arial" w:cs="Arial"/>
        </w:rPr>
        <w:t>ed by ESP I</w:t>
      </w:r>
      <w:r w:rsidR="005C79A6">
        <w:rPr>
          <w:rFonts w:ascii="Arial" w:eastAsiaTheme="minorHAnsi" w:hAnsi="Arial" w:cs="Arial"/>
        </w:rPr>
        <w:t>,</w:t>
      </w:r>
      <w:r w:rsidR="00F57EA0">
        <w:rPr>
          <w:rStyle w:val="FootnoteReference"/>
          <w:rFonts w:ascii="Arial" w:eastAsiaTheme="minorHAnsi" w:hAnsi="Arial" w:cs="Arial"/>
        </w:rPr>
        <w:footnoteReference w:id="6"/>
      </w:r>
      <w:r w:rsidR="005C79A6">
        <w:rPr>
          <w:rFonts w:ascii="Arial" w:eastAsiaTheme="minorHAnsi" w:hAnsi="Arial" w:cs="Arial"/>
        </w:rPr>
        <w:t xml:space="preserve"> unlawfully authorized provider of last resort </w:t>
      </w:r>
      <w:r w:rsidR="005C79A6">
        <w:rPr>
          <w:rFonts w:ascii="Arial" w:eastAsiaTheme="minorHAnsi" w:hAnsi="Arial" w:cs="Arial"/>
        </w:rPr>
        <w:lastRenderedPageBreak/>
        <w:t>charges,</w:t>
      </w:r>
      <w:r w:rsidR="00F57EA0">
        <w:rPr>
          <w:rStyle w:val="FootnoteReference"/>
          <w:rFonts w:ascii="Arial" w:eastAsiaTheme="minorHAnsi" w:hAnsi="Arial" w:cs="Arial"/>
        </w:rPr>
        <w:footnoteReference w:id="7"/>
      </w:r>
      <w:r w:rsidR="005C79A6">
        <w:rPr>
          <w:rFonts w:ascii="Arial" w:eastAsiaTheme="minorHAnsi" w:hAnsi="Arial" w:cs="Arial"/>
        </w:rPr>
        <w:t xml:space="preserve"> and </w:t>
      </w:r>
      <w:r w:rsidR="00BD7E7B">
        <w:rPr>
          <w:rFonts w:ascii="Arial" w:eastAsiaTheme="minorHAnsi" w:hAnsi="Arial" w:cs="Arial"/>
        </w:rPr>
        <w:t>a portio</w:t>
      </w:r>
      <w:r>
        <w:rPr>
          <w:rFonts w:ascii="Arial" w:eastAsiaTheme="minorHAnsi" w:hAnsi="Arial" w:cs="Arial"/>
        </w:rPr>
        <w:t>n of AEP-Ohio’s defective accounting that significantly overstated</w:t>
      </w:r>
      <w:r w:rsidR="005C79A6">
        <w:rPr>
          <w:rFonts w:ascii="Arial" w:eastAsiaTheme="minorHAnsi" w:hAnsi="Arial" w:cs="Arial"/>
        </w:rPr>
        <w:t xml:space="preserve"> </w:t>
      </w:r>
      <w:r>
        <w:rPr>
          <w:rFonts w:ascii="Arial" w:eastAsiaTheme="minorHAnsi" w:hAnsi="Arial" w:cs="Arial"/>
        </w:rPr>
        <w:t xml:space="preserve"> the amount of </w:t>
      </w:r>
      <w:r w:rsidR="005C79A6">
        <w:rPr>
          <w:rFonts w:ascii="Arial" w:eastAsiaTheme="minorHAnsi" w:hAnsi="Arial" w:cs="Arial"/>
        </w:rPr>
        <w:t xml:space="preserve">fuel </w:t>
      </w:r>
      <w:r>
        <w:rPr>
          <w:rFonts w:ascii="Arial" w:eastAsiaTheme="minorHAnsi" w:hAnsi="Arial" w:cs="Arial"/>
        </w:rPr>
        <w:t xml:space="preserve">expense recoverable through the fuel </w:t>
      </w:r>
      <w:r w:rsidR="005C79A6">
        <w:rPr>
          <w:rFonts w:ascii="Arial" w:eastAsiaTheme="minorHAnsi" w:hAnsi="Arial" w:cs="Arial"/>
        </w:rPr>
        <w:t>adjustment clause</w:t>
      </w:r>
      <w:r w:rsidR="00ED2E8F">
        <w:rPr>
          <w:rFonts w:ascii="Arial" w:eastAsiaTheme="minorHAnsi" w:hAnsi="Arial" w:cs="Arial"/>
        </w:rPr>
        <w:t xml:space="preserve"> (“FAC”)</w:t>
      </w:r>
      <w:r w:rsidR="005C79A6">
        <w:rPr>
          <w:rFonts w:ascii="Arial" w:eastAsiaTheme="minorHAnsi" w:hAnsi="Arial" w:cs="Arial"/>
        </w:rPr>
        <w:t>.</w:t>
      </w:r>
      <w:r w:rsidR="00F57EA0">
        <w:rPr>
          <w:rStyle w:val="FootnoteReference"/>
          <w:rFonts w:ascii="Arial" w:eastAsiaTheme="minorHAnsi" w:hAnsi="Arial" w:cs="Arial"/>
        </w:rPr>
        <w:footnoteReference w:id="8"/>
      </w:r>
      <w:r w:rsidR="00ED2E8F">
        <w:rPr>
          <w:rFonts w:ascii="Arial" w:eastAsiaTheme="minorHAnsi" w:hAnsi="Arial" w:cs="Arial"/>
        </w:rPr>
        <w:t xml:space="preserve">  As AEP-Ohio identified in its Reply Comments, future FAC proceedings may further alter the deferred balances.</w:t>
      </w:r>
      <w:r w:rsidR="00ED2E8F">
        <w:rPr>
          <w:rStyle w:val="FootnoteReference"/>
          <w:rFonts w:ascii="Arial" w:eastAsiaTheme="minorHAnsi" w:hAnsi="Arial" w:cs="Arial"/>
        </w:rPr>
        <w:footnoteReference w:id="9"/>
      </w:r>
      <w:r w:rsidR="00F906EC">
        <w:rPr>
          <w:rFonts w:ascii="Arial" w:eastAsiaTheme="minorHAnsi" w:hAnsi="Arial" w:cs="Arial"/>
        </w:rPr>
        <w:t xml:space="preserve"> Indeed, AEP-Ohio’s Application for Rehearing of the Opinion and Order approving AEP-Ohio’s Modified ESP states that “[t]he Commission has authority to provide for final reconciliation of riders that will expire during the term of an ESP.”</w:t>
      </w:r>
      <w:r w:rsidR="00F906EC">
        <w:rPr>
          <w:rStyle w:val="FootnoteReference"/>
          <w:rFonts w:ascii="Arial" w:eastAsiaTheme="minorHAnsi" w:hAnsi="Arial" w:cs="Arial"/>
        </w:rPr>
        <w:footnoteReference w:id="10"/>
      </w:r>
      <w:r w:rsidR="005C79A6">
        <w:rPr>
          <w:rFonts w:ascii="Arial" w:eastAsiaTheme="minorHAnsi" w:hAnsi="Arial" w:cs="Arial"/>
        </w:rPr>
        <w:t xml:space="preserve">  </w:t>
      </w:r>
      <w:r w:rsidR="00B40D1D">
        <w:rPr>
          <w:rFonts w:ascii="Arial" w:eastAsiaTheme="minorHAnsi" w:hAnsi="Arial" w:cs="Arial"/>
        </w:rPr>
        <w:t xml:space="preserve"> </w:t>
      </w:r>
    </w:p>
    <w:p w:rsidR="00A73834" w:rsidRDefault="00F57EA0" w:rsidP="00B149EC">
      <w:pPr>
        <w:spacing w:line="480" w:lineRule="auto"/>
        <w:ind w:left="90" w:firstLine="630"/>
        <w:jc w:val="both"/>
        <w:rPr>
          <w:rFonts w:ascii="Arial" w:eastAsiaTheme="minorHAnsi" w:hAnsi="Arial" w:cs="Arial"/>
        </w:rPr>
      </w:pPr>
      <w:r>
        <w:rPr>
          <w:rFonts w:ascii="Arial" w:eastAsiaTheme="minorHAnsi" w:hAnsi="Arial" w:cs="Arial"/>
        </w:rPr>
        <w:t>At AEP-Ohio’s request, t</w:t>
      </w:r>
      <w:r w:rsidR="00023803">
        <w:rPr>
          <w:rFonts w:ascii="Arial" w:eastAsiaTheme="minorHAnsi" w:hAnsi="Arial" w:cs="Arial"/>
        </w:rPr>
        <w:t>he Com</w:t>
      </w:r>
      <w:r>
        <w:rPr>
          <w:rFonts w:ascii="Arial" w:eastAsiaTheme="minorHAnsi" w:hAnsi="Arial" w:cs="Arial"/>
        </w:rPr>
        <w:t>m</w:t>
      </w:r>
      <w:r w:rsidR="00B149EC">
        <w:rPr>
          <w:rFonts w:ascii="Arial" w:eastAsiaTheme="minorHAnsi" w:hAnsi="Arial" w:cs="Arial"/>
        </w:rPr>
        <w:t>ission</w:t>
      </w:r>
      <w:r>
        <w:rPr>
          <w:rFonts w:ascii="Arial" w:eastAsiaTheme="minorHAnsi" w:hAnsi="Arial" w:cs="Arial"/>
        </w:rPr>
        <w:t xml:space="preserve"> further modified the terms of the phase-in authorized in</w:t>
      </w:r>
      <w:r w:rsidR="00DC10D0">
        <w:rPr>
          <w:rFonts w:ascii="Arial" w:eastAsiaTheme="minorHAnsi" w:hAnsi="Arial" w:cs="Arial"/>
        </w:rPr>
        <w:t xml:space="preserve"> the ESP I Order</w:t>
      </w:r>
      <w:r w:rsidR="001505E0">
        <w:rPr>
          <w:rFonts w:ascii="Arial" w:eastAsiaTheme="minorHAnsi" w:hAnsi="Arial" w:cs="Arial"/>
        </w:rPr>
        <w:t xml:space="preserve"> when it approved AEP-Ohio’s </w:t>
      </w:r>
      <w:r w:rsidR="00B40D1D">
        <w:rPr>
          <w:rFonts w:ascii="Arial" w:eastAsiaTheme="minorHAnsi" w:hAnsi="Arial" w:cs="Arial"/>
        </w:rPr>
        <w:t>Economic Development Cost Recovery Rider (“Rider E</w:t>
      </w:r>
      <w:r w:rsidR="005C79A6">
        <w:rPr>
          <w:rFonts w:ascii="Arial" w:eastAsiaTheme="minorHAnsi" w:hAnsi="Arial" w:cs="Arial"/>
        </w:rPr>
        <w:t>DR”)</w:t>
      </w:r>
      <w:r w:rsidR="001505E0">
        <w:rPr>
          <w:rFonts w:ascii="Arial" w:eastAsiaTheme="minorHAnsi" w:hAnsi="Arial" w:cs="Arial"/>
        </w:rPr>
        <w:t>,</w:t>
      </w:r>
      <w:r w:rsidR="00023803">
        <w:rPr>
          <w:rFonts w:ascii="Arial" w:eastAsiaTheme="minorHAnsi" w:hAnsi="Arial" w:cs="Arial"/>
        </w:rPr>
        <w:t xml:space="preserve"> exempt</w:t>
      </w:r>
      <w:r w:rsidR="001505E0">
        <w:rPr>
          <w:rFonts w:ascii="Arial" w:eastAsiaTheme="minorHAnsi" w:hAnsi="Arial" w:cs="Arial"/>
        </w:rPr>
        <w:t>ing</w:t>
      </w:r>
      <w:r w:rsidR="00023803">
        <w:rPr>
          <w:rFonts w:ascii="Arial" w:eastAsiaTheme="minorHAnsi" w:hAnsi="Arial" w:cs="Arial"/>
        </w:rPr>
        <w:t xml:space="preserve"> Rider EDR from the bill </w:t>
      </w:r>
      <w:r w:rsidR="001505E0">
        <w:rPr>
          <w:rFonts w:ascii="Arial" w:eastAsiaTheme="minorHAnsi" w:hAnsi="Arial" w:cs="Arial"/>
        </w:rPr>
        <w:t xml:space="preserve">increase </w:t>
      </w:r>
      <w:r w:rsidR="00023803">
        <w:rPr>
          <w:rFonts w:ascii="Arial" w:eastAsiaTheme="minorHAnsi" w:hAnsi="Arial" w:cs="Arial"/>
        </w:rPr>
        <w:t>limits established in the ESP I Order</w:t>
      </w:r>
      <w:r w:rsidR="005C79A6">
        <w:rPr>
          <w:rFonts w:ascii="Arial" w:eastAsiaTheme="minorHAnsi" w:hAnsi="Arial" w:cs="Arial"/>
        </w:rPr>
        <w:t>.</w:t>
      </w:r>
      <w:r w:rsidR="00B149EC">
        <w:rPr>
          <w:rStyle w:val="FootnoteReference"/>
          <w:rFonts w:ascii="Arial" w:eastAsiaTheme="minorHAnsi" w:hAnsi="Arial" w:cs="Arial"/>
        </w:rPr>
        <w:footnoteReference w:id="11"/>
      </w:r>
      <w:r w:rsidR="00023803">
        <w:rPr>
          <w:rFonts w:ascii="Arial" w:eastAsiaTheme="minorHAnsi" w:hAnsi="Arial" w:cs="Arial"/>
        </w:rPr>
        <w:t xml:space="preserve"> </w:t>
      </w:r>
      <w:r w:rsidR="005C79A6">
        <w:rPr>
          <w:rFonts w:ascii="Arial" w:eastAsiaTheme="minorHAnsi" w:hAnsi="Arial" w:cs="Arial"/>
        </w:rPr>
        <w:t xml:space="preserve"> As mentioned above, the Commission</w:t>
      </w:r>
      <w:r w:rsidR="00CB61B9">
        <w:rPr>
          <w:rFonts w:ascii="Arial" w:eastAsiaTheme="minorHAnsi" w:hAnsi="Arial" w:cs="Arial"/>
        </w:rPr>
        <w:t xml:space="preserve"> previously identified specific riders that were not subject to the bill </w:t>
      </w:r>
      <w:r w:rsidR="006F70ED">
        <w:rPr>
          <w:rFonts w:ascii="Arial" w:eastAsiaTheme="minorHAnsi" w:hAnsi="Arial" w:cs="Arial"/>
        </w:rPr>
        <w:t xml:space="preserve">increase </w:t>
      </w:r>
      <w:r w:rsidR="00CB61B9">
        <w:rPr>
          <w:rFonts w:ascii="Arial" w:eastAsiaTheme="minorHAnsi" w:hAnsi="Arial" w:cs="Arial"/>
        </w:rPr>
        <w:t>limits and</w:t>
      </w:r>
      <w:r w:rsidR="005C79A6">
        <w:rPr>
          <w:rFonts w:ascii="Arial" w:eastAsiaTheme="minorHAnsi" w:hAnsi="Arial" w:cs="Arial"/>
        </w:rPr>
        <w:t xml:space="preserve"> Rider EDR was not such a</w:t>
      </w:r>
      <w:r w:rsidR="00CB61B9">
        <w:rPr>
          <w:rFonts w:ascii="Arial" w:eastAsiaTheme="minorHAnsi" w:hAnsi="Arial" w:cs="Arial"/>
        </w:rPr>
        <w:t xml:space="preserve"> rider.</w:t>
      </w:r>
      <w:r w:rsidR="00DC10D0">
        <w:rPr>
          <w:rStyle w:val="FootnoteReference"/>
          <w:rFonts w:ascii="Arial" w:eastAsiaTheme="minorHAnsi" w:hAnsi="Arial" w:cs="Arial"/>
        </w:rPr>
        <w:footnoteReference w:id="12"/>
      </w:r>
      <w:r w:rsidR="00CB61B9">
        <w:rPr>
          <w:rFonts w:ascii="Arial" w:eastAsiaTheme="minorHAnsi" w:hAnsi="Arial" w:cs="Arial"/>
        </w:rPr>
        <w:t xml:space="preserve">  Despite</w:t>
      </w:r>
      <w:r w:rsidR="005C79A6">
        <w:rPr>
          <w:rFonts w:ascii="Arial" w:eastAsiaTheme="minorHAnsi" w:hAnsi="Arial" w:cs="Arial"/>
        </w:rPr>
        <w:t xml:space="preserve"> this fact,</w:t>
      </w:r>
      <w:r w:rsidR="00CB4545">
        <w:rPr>
          <w:rFonts w:ascii="Arial" w:eastAsiaTheme="minorHAnsi" w:hAnsi="Arial" w:cs="Arial"/>
        </w:rPr>
        <w:t xml:space="preserve"> again over IEU-Ohio’s objections,</w:t>
      </w:r>
      <w:r w:rsidR="005C79A6">
        <w:rPr>
          <w:rFonts w:ascii="Arial" w:eastAsiaTheme="minorHAnsi" w:hAnsi="Arial" w:cs="Arial"/>
        </w:rPr>
        <w:t xml:space="preserve"> the Co</w:t>
      </w:r>
      <w:r w:rsidR="006F70ED">
        <w:rPr>
          <w:rFonts w:ascii="Arial" w:eastAsiaTheme="minorHAnsi" w:hAnsi="Arial" w:cs="Arial"/>
        </w:rPr>
        <w:t>mmission</w:t>
      </w:r>
      <w:r w:rsidR="00CB61B9">
        <w:rPr>
          <w:rFonts w:ascii="Arial" w:eastAsiaTheme="minorHAnsi" w:hAnsi="Arial" w:cs="Arial"/>
        </w:rPr>
        <w:t xml:space="preserve"> determined that the bill limits did not apply to Rider EDR.</w:t>
      </w:r>
      <w:r w:rsidR="00CB4545">
        <w:rPr>
          <w:rStyle w:val="FootnoteReference"/>
          <w:rFonts w:ascii="Arial" w:eastAsiaTheme="minorHAnsi" w:hAnsi="Arial" w:cs="Arial"/>
        </w:rPr>
        <w:footnoteReference w:id="13"/>
      </w:r>
      <w:r w:rsidR="00B40D1D">
        <w:rPr>
          <w:rFonts w:ascii="Arial" w:eastAsiaTheme="minorHAnsi" w:hAnsi="Arial" w:cs="Arial"/>
        </w:rPr>
        <w:t xml:space="preserve">  IEU-Ohio </w:t>
      </w:r>
      <w:r w:rsidR="00B40D1D">
        <w:rPr>
          <w:rFonts w:ascii="Arial" w:eastAsiaTheme="minorHAnsi" w:hAnsi="Arial" w:cs="Arial"/>
        </w:rPr>
        <w:lastRenderedPageBreak/>
        <w:t>appealed the Commission’s decisio</w:t>
      </w:r>
      <w:r w:rsidR="00CB61B9">
        <w:rPr>
          <w:rFonts w:ascii="Arial" w:eastAsiaTheme="minorHAnsi" w:hAnsi="Arial" w:cs="Arial"/>
        </w:rPr>
        <w:t xml:space="preserve">n to the Supreme Court of Ohio, claiming </w:t>
      </w:r>
      <w:r w:rsidR="00B149EC">
        <w:rPr>
          <w:rFonts w:ascii="Arial" w:eastAsiaTheme="minorHAnsi" w:hAnsi="Arial" w:cs="Arial"/>
        </w:rPr>
        <w:t>that the Commission violated the</w:t>
      </w:r>
      <w:r w:rsidR="00626C8D">
        <w:rPr>
          <w:rFonts w:ascii="Arial" w:eastAsiaTheme="minorHAnsi" w:hAnsi="Arial" w:cs="Arial"/>
        </w:rPr>
        <w:t xml:space="preserve"> ESP I Order</w:t>
      </w:r>
      <w:r w:rsidR="00B149EC">
        <w:rPr>
          <w:rFonts w:ascii="Arial" w:eastAsiaTheme="minorHAnsi" w:hAnsi="Arial" w:cs="Arial"/>
        </w:rPr>
        <w:t xml:space="preserve"> precedent</w:t>
      </w:r>
      <w:r w:rsidR="00626C8D">
        <w:rPr>
          <w:rFonts w:ascii="Arial" w:eastAsiaTheme="minorHAnsi" w:hAnsi="Arial" w:cs="Arial"/>
        </w:rPr>
        <w:t>.</w:t>
      </w:r>
      <w:r w:rsidR="00B149EC">
        <w:rPr>
          <w:rStyle w:val="FootnoteReference"/>
          <w:rFonts w:ascii="Arial" w:eastAsiaTheme="minorHAnsi" w:hAnsi="Arial" w:cs="Arial"/>
        </w:rPr>
        <w:footnoteReference w:id="14"/>
      </w:r>
      <w:r w:rsidR="00626C8D">
        <w:rPr>
          <w:rFonts w:ascii="Arial" w:eastAsiaTheme="minorHAnsi" w:hAnsi="Arial" w:cs="Arial"/>
        </w:rPr>
        <w:t xml:space="preserve">  AEP-Ohio opposed IEU-Ohio’s claim.  </w:t>
      </w:r>
      <w:r w:rsidR="001403F6">
        <w:rPr>
          <w:rFonts w:ascii="Arial" w:eastAsiaTheme="minorHAnsi" w:hAnsi="Arial" w:cs="Arial"/>
        </w:rPr>
        <w:t xml:space="preserve">In the section of </w:t>
      </w:r>
      <w:r w:rsidR="00786F49">
        <w:rPr>
          <w:rFonts w:ascii="Arial" w:eastAsiaTheme="minorHAnsi" w:hAnsi="Arial" w:cs="Arial"/>
        </w:rPr>
        <w:t xml:space="preserve">the </w:t>
      </w:r>
      <w:r w:rsidR="001403F6">
        <w:rPr>
          <w:rFonts w:ascii="Arial" w:eastAsiaTheme="minorHAnsi" w:hAnsi="Arial" w:cs="Arial"/>
        </w:rPr>
        <w:t>decision titled “IEU Has Not Shown that the Commission Erred in Modifying the Phase-in of AEP’s Rates,” t</w:t>
      </w:r>
      <w:r w:rsidR="00626C8D">
        <w:rPr>
          <w:rFonts w:ascii="Arial" w:eastAsiaTheme="minorHAnsi" w:hAnsi="Arial" w:cs="Arial"/>
        </w:rPr>
        <w:t>he</w:t>
      </w:r>
      <w:r w:rsidR="00A73834">
        <w:rPr>
          <w:rFonts w:ascii="Arial" w:eastAsiaTheme="minorHAnsi" w:hAnsi="Arial" w:cs="Arial"/>
        </w:rPr>
        <w:t xml:space="preserve"> </w:t>
      </w:r>
      <w:r w:rsidR="00786F49">
        <w:rPr>
          <w:rFonts w:ascii="Arial" w:eastAsiaTheme="minorHAnsi" w:hAnsi="Arial" w:cs="Arial"/>
        </w:rPr>
        <w:t xml:space="preserve">Supreme </w:t>
      </w:r>
      <w:r w:rsidR="00A73834">
        <w:rPr>
          <w:rFonts w:ascii="Arial" w:eastAsiaTheme="minorHAnsi" w:hAnsi="Arial" w:cs="Arial"/>
        </w:rPr>
        <w:t>Court</w:t>
      </w:r>
      <w:r w:rsidR="00626C8D">
        <w:rPr>
          <w:rFonts w:ascii="Arial" w:eastAsiaTheme="minorHAnsi" w:hAnsi="Arial" w:cs="Arial"/>
        </w:rPr>
        <w:t xml:space="preserve"> </w:t>
      </w:r>
      <w:r w:rsidR="00786F49">
        <w:rPr>
          <w:rFonts w:ascii="Arial" w:eastAsiaTheme="minorHAnsi" w:hAnsi="Arial" w:cs="Arial"/>
        </w:rPr>
        <w:t xml:space="preserve">of Ohio </w:t>
      </w:r>
      <w:r w:rsidR="00626C8D">
        <w:rPr>
          <w:rFonts w:ascii="Arial" w:eastAsiaTheme="minorHAnsi" w:hAnsi="Arial" w:cs="Arial"/>
        </w:rPr>
        <w:t>agreed with the Commission and AEP-Ohio, stating</w:t>
      </w:r>
      <w:r w:rsidR="001403F6">
        <w:rPr>
          <w:rFonts w:ascii="Arial" w:eastAsiaTheme="minorHAnsi" w:hAnsi="Arial" w:cs="Arial"/>
        </w:rPr>
        <w:t>:</w:t>
      </w:r>
    </w:p>
    <w:p w:rsidR="00626C8D" w:rsidRDefault="00A73834" w:rsidP="001403F6">
      <w:pPr>
        <w:ind w:left="720" w:right="720"/>
        <w:jc w:val="both"/>
        <w:rPr>
          <w:rFonts w:ascii="Arial" w:eastAsiaTheme="minorHAnsi" w:hAnsi="Arial" w:cs="Arial"/>
        </w:rPr>
      </w:pPr>
      <w:r>
        <w:rPr>
          <w:rFonts w:ascii="Arial" w:eastAsiaTheme="minorHAnsi" w:hAnsi="Arial" w:cs="Arial"/>
        </w:rPr>
        <w:t>[T]he order below did not violate the earlier, electric-security-plan order.  It is true, as IEU argues, that the earlier order did not exempt the rider f</w:t>
      </w:r>
      <w:r w:rsidR="001403F6">
        <w:rPr>
          <w:rFonts w:ascii="Arial" w:eastAsiaTheme="minorHAnsi" w:hAnsi="Arial" w:cs="Arial"/>
        </w:rPr>
        <w:t xml:space="preserve">rom the rate-increase limits.  </w:t>
      </w:r>
      <w:r>
        <w:rPr>
          <w:rFonts w:ascii="Arial" w:eastAsiaTheme="minorHAnsi" w:hAnsi="Arial" w:cs="Arial"/>
        </w:rPr>
        <w:t>But the commission did not rule out further exemptions, and as a general rule, the commission has discretio</w:t>
      </w:r>
      <w:r w:rsidR="001403F6">
        <w:rPr>
          <w:rFonts w:ascii="Arial" w:eastAsiaTheme="minorHAnsi" w:hAnsi="Arial" w:cs="Arial"/>
        </w:rPr>
        <w:t>n to revisit earlier regulatory</w:t>
      </w:r>
      <w:r>
        <w:rPr>
          <w:rFonts w:ascii="Arial" w:eastAsiaTheme="minorHAnsi" w:hAnsi="Arial" w:cs="Arial"/>
        </w:rPr>
        <w:t xml:space="preserve"> decisions and modify them prospectively.</w:t>
      </w:r>
      <w:r>
        <w:rPr>
          <w:rStyle w:val="FootnoteReference"/>
          <w:rFonts w:ascii="Arial" w:eastAsiaTheme="minorHAnsi" w:hAnsi="Arial" w:cs="Arial"/>
        </w:rPr>
        <w:footnoteReference w:id="15"/>
      </w:r>
    </w:p>
    <w:p w:rsidR="005C79A6" w:rsidRPr="005C79A6" w:rsidRDefault="005C79A6" w:rsidP="005C79A6">
      <w:pPr>
        <w:jc w:val="both"/>
        <w:rPr>
          <w:rFonts w:ascii="Arial" w:eastAsiaTheme="minorHAnsi" w:hAnsi="Arial" w:cs="Arial"/>
        </w:rPr>
      </w:pPr>
    </w:p>
    <w:p w:rsidR="00BD7E7B" w:rsidRDefault="002B3D37" w:rsidP="002B3D37">
      <w:pPr>
        <w:spacing w:line="480" w:lineRule="auto"/>
        <w:ind w:firstLine="720"/>
        <w:jc w:val="both"/>
        <w:rPr>
          <w:rFonts w:ascii="Arial" w:hAnsi="Arial" w:cs="Arial"/>
        </w:rPr>
      </w:pPr>
      <w:r>
        <w:rPr>
          <w:rFonts w:ascii="Arial" w:hAnsi="Arial" w:cs="Arial"/>
        </w:rPr>
        <w:t xml:space="preserve">On September 1, 2011, consistent with the ESP I Order, AEP-Ohio filed a separate application </w:t>
      </w:r>
      <w:r w:rsidR="00BD7E7B">
        <w:rPr>
          <w:rFonts w:ascii="Arial" w:hAnsi="Arial" w:cs="Arial"/>
        </w:rPr>
        <w:t xml:space="preserve">seeking </w:t>
      </w:r>
      <w:r>
        <w:rPr>
          <w:rFonts w:ascii="Arial" w:hAnsi="Arial" w:cs="Arial"/>
        </w:rPr>
        <w:t xml:space="preserve">approval to increase rates </w:t>
      </w:r>
      <w:r w:rsidR="00BD7E7B">
        <w:rPr>
          <w:rFonts w:ascii="Arial" w:hAnsi="Arial" w:cs="Arial"/>
        </w:rPr>
        <w:t xml:space="preserve">so as </w:t>
      </w:r>
      <w:r>
        <w:rPr>
          <w:rFonts w:ascii="Arial" w:hAnsi="Arial" w:cs="Arial"/>
        </w:rPr>
        <w:t xml:space="preserve">to commence </w:t>
      </w:r>
      <w:r w:rsidR="00BD7E7B">
        <w:rPr>
          <w:rFonts w:ascii="Arial" w:hAnsi="Arial" w:cs="Arial"/>
        </w:rPr>
        <w:t xml:space="preserve">the </w:t>
      </w:r>
      <w:r>
        <w:rPr>
          <w:rFonts w:ascii="Arial" w:hAnsi="Arial" w:cs="Arial"/>
        </w:rPr>
        <w:t xml:space="preserve">authorization of the </w:t>
      </w:r>
      <w:r w:rsidR="00BD7E7B">
        <w:rPr>
          <w:rFonts w:ascii="Arial" w:hAnsi="Arial" w:cs="Arial"/>
        </w:rPr>
        <w:t xml:space="preserve">portion of the ESP I increase that AEP-Ohio had, from an accounting perspective, </w:t>
      </w:r>
      <w:r>
        <w:rPr>
          <w:rFonts w:ascii="Arial" w:hAnsi="Arial" w:cs="Arial"/>
        </w:rPr>
        <w:t xml:space="preserve">deferred. </w:t>
      </w:r>
      <w:r w:rsidR="00626C8D">
        <w:rPr>
          <w:rFonts w:ascii="Arial" w:hAnsi="Arial" w:cs="Arial"/>
        </w:rPr>
        <w:t xml:space="preserve"> </w:t>
      </w:r>
      <w:r w:rsidR="00BD7E7B">
        <w:rPr>
          <w:rFonts w:ascii="Arial" w:hAnsi="Arial" w:cs="Arial"/>
        </w:rPr>
        <w:t xml:space="preserve">This application asked the Commission to permit the amortization process to proceed even though there were and are several open Commission proceedings that will affect the ultimate amount of the ESP I increase that is properly recoverable.  </w:t>
      </w:r>
    </w:p>
    <w:p w:rsidR="002B3D37" w:rsidRDefault="00BD7E7B" w:rsidP="002B3D37">
      <w:pPr>
        <w:spacing w:line="480" w:lineRule="auto"/>
        <w:ind w:firstLine="720"/>
        <w:jc w:val="both"/>
        <w:rPr>
          <w:rFonts w:ascii="Arial" w:hAnsi="Arial" w:cs="Arial"/>
        </w:rPr>
      </w:pPr>
      <w:r>
        <w:rPr>
          <w:rFonts w:ascii="Arial" w:hAnsi="Arial" w:cs="Arial"/>
        </w:rPr>
        <w:t>On August 1, 2012, t</w:t>
      </w:r>
      <w:r w:rsidR="00626C8D">
        <w:rPr>
          <w:rFonts w:ascii="Arial" w:hAnsi="Arial" w:cs="Arial"/>
        </w:rPr>
        <w:t>he Commiss</w:t>
      </w:r>
      <w:r w:rsidR="00023803">
        <w:rPr>
          <w:rFonts w:ascii="Arial" w:hAnsi="Arial" w:cs="Arial"/>
        </w:rPr>
        <w:t>ion</w:t>
      </w:r>
      <w:r w:rsidR="002B3D37">
        <w:rPr>
          <w:rFonts w:ascii="Arial" w:hAnsi="Arial" w:cs="Arial"/>
        </w:rPr>
        <w:t xml:space="preserve">, </w:t>
      </w:r>
      <w:r w:rsidR="004B2C9E">
        <w:rPr>
          <w:rFonts w:ascii="Arial" w:hAnsi="Arial" w:cs="Arial"/>
        </w:rPr>
        <w:t>without holding a hearing</w:t>
      </w:r>
      <w:r>
        <w:rPr>
          <w:rFonts w:ascii="Arial" w:hAnsi="Arial" w:cs="Arial"/>
        </w:rPr>
        <w:t xml:space="preserve"> and responding to many of the contested issues raised in comments</w:t>
      </w:r>
      <w:r w:rsidR="004B2C9E">
        <w:rPr>
          <w:rFonts w:ascii="Arial" w:hAnsi="Arial" w:cs="Arial"/>
        </w:rPr>
        <w:t>,</w:t>
      </w:r>
      <w:r w:rsidR="00023803">
        <w:rPr>
          <w:rFonts w:ascii="Arial" w:hAnsi="Arial" w:cs="Arial"/>
        </w:rPr>
        <w:t xml:space="preserve"> </w:t>
      </w:r>
      <w:r w:rsidR="002B3D37">
        <w:rPr>
          <w:rFonts w:ascii="Arial" w:hAnsi="Arial" w:cs="Arial"/>
        </w:rPr>
        <w:t>modified and approved AEP-Ohio’s PIRR Application</w:t>
      </w:r>
      <w:r w:rsidR="00023803">
        <w:rPr>
          <w:rFonts w:ascii="Arial" w:hAnsi="Arial" w:cs="Arial"/>
        </w:rPr>
        <w:t>.</w:t>
      </w:r>
      <w:r w:rsidR="002B3D37">
        <w:rPr>
          <w:rFonts w:ascii="Arial" w:hAnsi="Arial" w:cs="Arial"/>
        </w:rPr>
        <w:t xml:space="preserve">  </w:t>
      </w:r>
      <w:r>
        <w:rPr>
          <w:rFonts w:ascii="Arial" w:hAnsi="Arial" w:cs="Arial"/>
        </w:rPr>
        <w:t>Among other things, t</w:t>
      </w:r>
      <w:r w:rsidR="009D0959">
        <w:rPr>
          <w:rFonts w:ascii="Arial" w:hAnsi="Arial" w:cs="Arial"/>
        </w:rPr>
        <w:t>h</w:t>
      </w:r>
      <w:r w:rsidR="00DC10D0">
        <w:rPr>
          <w:rFonts w:ascii="Arial" w:hAnsi="Arial" w:cs="Arial"/>
        </w:rPr>
        <w:t xml:space="preserve">e Commission determined that </w:t>
      </w:r>
      <w:r w:rsidR="00626C8D">
        <w:rPr>
          <w:rFonts w:ascii="Arial" w:hAnsi="Arial" w:cs="Arial"/>
        </w:rPr>
        <w:t>d</w:t>
      </w:r>
      <w:r w:rsidR="00D43ED3">
        <w:rPr>
          <w:rFonts w:ascii="Arial" w:hAnsi="Arial" w:cs="Arial"/>
        </w:rPr>
        <w:t>ue to the decreased risk associated with</w:t>
      </w:r>
      <w:r w:rsidR="002B3D37">
        <w:rPr>
          <w:rFonts w:ascii="Arial" w:hAnsi="Arial" w:cs="Arial"/>
        </w:rPr>
        <w:t xml:space="preserve"> commencing amortization of</w:t>
      </w:r>
      <w:r w:rsidR="00D43ED3">
        <w:rPr>
          <w:rFonts w:ascii="Arial" w:hAnsi="Arial" w:cs="Arial"/>
        </w:rPr>
        <w:t xml:space="preserve"> </w:t>
      </w:r>
      <w:r w:rsidR="00D4260B">
        <w:rPr>
          <w:rFonts w:ascii="Arial" w:hAnsi="Arial" w:cs="Arial"/>
        </w:rPr>
        <w:t xml:space="preserve">the deferred balances though </w:t>
      </w:r>
      <w:r w:rsidR="00DC10D0">
        <w:rPr>
          <w:rFonts w:ascii="Arial" w:hAnsi="Arial" w:cs="Arial"/>
        </w:rPr>
        <w:t>a non-bypassable charge,</w:t>
      </w:r>
      <w:r w:rsidR="00787807">
        <w:rPr>
          <w:rFonts w:ascii="Arial" w:hAnsi="Arial" w:cs="Arial"/>
        </w:rPr>
        <w:t xml:space="preserve"> and consistent with longstanding Commission </w:t>
      </w:r>
      <w:r w:rsidR="00787807">
        <w:rPr>
          <w:rFonts w:ascii="Arial" w:hAnsi="Arial" w:cs="Arial"/>
        </w:rPr>
        <w:lastRenderedPageBreak/>
        <w:t>precedent,</w:t>
      </w:r>
      <w:r w:rsidR="001403F6">
        <w:rPr>
          <w:rStyle w:val="FootnoteReference"/>
          <w:rFonts w:ascii="Arial" w:hAnsi="Arial" w:cs="Arial"/>
        </w:rPr>
        <w:footnoteReference w:id="16"/>
      </w:r>
      <w:r w:rsidR="00D4260B">
        <w:rPr>
          <w:rFonts w:ascii="Arial" w:hAnsi="Arial" w:cs="Arial"/>
        </w:rPr>
        <w:t xml:space="preserve"> A</w:t>
      </w:r>
      <w:r w:rsidR="00DC10D0">
        <w:rPr>
          <w:rFonts w:ascii="Arial" w:hAnsi="Arial" w:cs="Arial"/>
        </w:rPr>
        <w:t>EP-Ohio must</w:t>
      </w:r>
      <w:r w:rsidR="00D4260B">
        <w:rPr>
          <w:rFonts w:ascii="Arial" w:hAnsi="Arial" w:cs="Arial"/>
        </w:rPr>
        <w:t xml:space="preserve"> accrue carrying charges during the amortization period at AEP-Ohio’s long term debt rate.</w:t>
      </w:r>
      <w:r>
        <w:rPr>
          <w:rStyle w:val="FootnoteReference"/>
          <w:rFonts w:ascii="Arial" w:hAnsi="Arial" w:cs="Arial"/>
        </w:rPr>
        <w:footnoteReference w:id="17"/>
      </w:r>
      <w:r w:rsidR="00F44F9F">
        <w:rPr>
          <w:rFonts w:ascii="Arial" w:hAnsi="Arial" w:cs="Arial"/>
        </w:rPr>
        <w:t xml:space="preserve">  </w:t>
      </w:r>
      <w:r w:rsidR="007C1544">
        <w:rPr>
          <w:rFonts w:ascii="Arial" w:hAnsi="Arial" w:cs="Arial"/>
        </w:rPr>
        <w:t>For similar reasons,</w:t>
      </w:r>
      <w:r w:rsidR="009D0959">
        <w:rPr>
          <w:rFonts w:ascii="Arial" w:hAnsi="Arial" w:cs="Arial"/>
        </w:rPr>
        <w:t xml:space="preserve"> </w:t>
      </w:r>
      <w:r w:rsidR="00F44F9F">
        <w:rPr>
          <w:rFonts w:ascii="Arial" w:hAnsi="Arial" w:cs="Arial"/>
        </w:rPr>
        <w:t>the Commission directed AEP-Ohio to compound interest annually</w:t>
      </w:r>
      <w:r w:rsidR="007C1544">
        <w:rPr>
          <w:rFonts w:ascii="Arial" w:hAnsi="Arial" w:cs="Arial"/>
        </w:rPr>
        <w:t xml:space="preserve"> rather than monthly</w:t>
      </w:r>
      <w:r w:rsidR="00F44F9F">
        <w:rPr>
          <w:rFonts w:ascii="Arial" w:hAnsi="Arial" w:cs="Arial"/>
        </w:rPr>
        <w:t>.</w:t>
      </w:r>
      <w:r w:rsidR="009559B8">
        <w:rPr>
          <w:rFonts w:ascii="Arial" w:hAnsi="Arial" w:cs="Arial"/>
        </w:rPr>
        <w:t xml:space="preserve">  </w:t>
      </w:r>
    </w:p>
    <w:p w:rsidR="00626C8D" w:rsidRDefault="009559B8" w:rsidP="002B3D37">
      <w:pPr>
        <w:spacing w:line="480" w:lineRule="auto"/>
        <w:ind w:firstLine="720"/>
        <w:jc w:val="both"/>
        <w:rPr>
          <w:rFonts w:ascii="Arial" w:hAnsi="Arial" w:cs="Arial"/>
        </w:rPr>
      </w:pPr>
      <w:r>
        <w:rPr>
          <w:rFonts w:ascii="Arial" w:hAnsi="Arial" w:cs="Arial"/>
        </w:rPr>
        <w:t xml:space="preserve">Like the EDR proceeding where the Commission determined that it had not ruled out modifying the </w:t>
      </w:r>
      <w:r w:rsidR="007C1544">
        <w:rPr>
          <w:rFonts w:ascii="Arial" w:hAnsi="Arial" w:cs="Arial"/>
        </w:rPr>
        <w:t xml:space="preserve">structure and content of the </w:t>
      </w:r>
      <w:r>
        <w:rPr>
          <w:rFonts w:ascii="Arial" w:hAnsi="Arial" w:cs="Arial"/>
        </w:rPr>
        <w:t xml:space="preserve">phase-in, the Commission determined that the terms of the amortization period were not set </w:t>
      </w:r>
      <w:r w:rsidR="00F4186B">
        <w:rPr>
          <w:rFonts w:ascii="Arial" w:hAnsi="Arial" w:cs="Arial"/>
        </w:rPr>
        <w:t>in stone</w:t>
      </w:r>
      <w:r w:rsidR="002B3D37">
        <w:rPr>
          <w:rFonts w:ascii="Arial" w:hAnsi="Arial" w:cs="Arial"/>
        </w:rPr>
        <w:t xml:space="preserve">; rather, they were to be the subjects of a later application (the PIRR Application).  </w:t>
      </w:r>
      <w:r>
        <w:rPr>
          <w:rFonts w:ascii="Arial" w:hAnsi="Arial" w:cs="Arial"/>
        </w:rPr>
        <w:t>Particularly,</w:t>
      </w:r>
      <w:r w:rsidR="00DC10D0">
        <w:rPr>
          <w:rFonts w:ascii="Arial" w:hAnsi="Arial" w:cs="Arial"/>
        </w:rPr>
        <w:t xml:space="preserve"> the Commission, stated that it</w:t>
      </w:r>
      <w:r w:rsidR="00626C8D">
        <w:rPr>
          <w:rFonts w:ascii="Arial" w:hAnsi="Arial" w:cs="Arial"/>
        </w:rPr>
        <w:t>:</w:t>
      </w:r>
    </w:p>
    <w:p w:rsidR="00626C8D" w:rsidRPr="00626C8D" w:rsidRDefault="00626C8D" w:rsidP="00626C8D">
      <w:pPr>
        <w:ind w:left="720" w:right="720"/>
        <w:jc w:val="both"/>
        <w:rPr>
          <w:rFonts w:ascii="Arial" w:eastAsia="Calibri" w:hAnsi="Arial" w:cs="Arial"/>
        </w:rPr>
      </w:pPr>
      <w:r>
        <w:rPr>
          <w:rFonts w:ascii="Arial" w:eastAsia="Calibri" w:hAnsi="Arial" w:cs="Arial"/>
        </w:rPr>
        <w:t>[</w:t>
      </w:r>
      <w:r w:rsidRPr="005E0499">
        <w:rPr>
          <w:rFonts w:ascii="Arial" w:eastAsia="Calibri" w:hAnsi="Arial" w:cs="Arial"/>
        </w:rPr>
        <w:t>D</w:t>
      </w:r>
      <w:r>
        <w:rPr>
          <w:rFonts w:ascii="Arial" w:eastAsia="Calibri" w:hAnsi="Arial" w:cs="Arial"/>
        </w:rPr>
        <w:t>]</w:t>
      </w:r>
      <w:r w:rsidRPr="005E0499">
        <w:rPr>
          <w:rFonts w:ascii="Arial" w:eastAsia="Calibri" w:hAnsi="Arial" w:cs="Arial"/>
        </w:rPr>
        <w:t>oes not agree</w:t>
      </w:r>
      <w:r w:rsidRPr="005E0499">
        <w:t xml:space="preserve"> </w:t>
      </w:r>
      <w:r w:rsidRPr="00626C8D">
        <w:rPr>
          <w:rFonts w:ascii="Arial" w:eastAsia="Calibri" w:hAnsi="Arial" w:cs="Arial"/>
        </w:rPr>
        <w:t>with AEP-Ohio that the ESP 1 Order canno</w:t>
      </w:r>
      <w:r>
        <w:rPr>
          <w:rFonts w:ascii="Arial" w:eastAsia="Calibri" w:hAnsi="Arial" w:cs="Arial"/>
        </w:rPr>
        <w:t xml:space="preserve">t be modified in </w:t>
      </w:r>
      <w:r w:rsidRPr="00626C8D">
        <w:rPr>
          <w:rFonts w:ascii="Arial" w:eastAsia="Calibri" w:hAnsi="Arial" w:cs="Arial"/>
        </w:rPr>
        <w:t>any way by the Commissi</w:t>
      </w:r>
      <w:r>
        <w:rPr>
          <w:rFonts w:ascii="Arial" w:eastAsia="Calibri" w:hAnsi="Arial" w:cs="Arial"/>
        </w:rPr>
        <w:t xml:space="preserve">on. On the contrary, AEP-Ohio's </w:t>
      </w:r>
      <w:r w:rsidRPr="00626C8D">
        <w:rPr>
          <w:rFonts w:ascii="Arial" w:eastAsia="Calibri" w:hAnsi="Arial" w:cs="Arial"/>
        </w:rPr>
        <w:t xml:space="preserve">ESP, including the phase-in </w:t>
      </w:r>
      <w:r>
        <w:rPr>
          <w:rFonts w:ascii="Arial" w:eastAsia="Calibri" w:hAnsi="Arial" w:cs="Arial"/>
        </w:rPr>
        <w:t xml:space="preserve">plan, is subject to the ongoing </w:t>
      </w:r>
      <w:r w:rsidRPr="00626C8D">
        <w:rPr>
          <w:rFonts w:ascii="Arial" w:eastAsia="Calibri" w:hAnsi="Arial" w:cs="Arial"/>
        </w:rPr>
        <w:t>supervision and jurisdict</w:t>
      </w:r>
      <w:r>
        <w:rPr>
          <w:rFonts w:ascii="Arial" w:eastAsia="Calibri" w:hAnsi="Arial" w:cs="Arial"/>
        </w:rPr>
        <w:t xml:space="preserve">ion of the Commission. Although </w:t>
      </w:r>
      <w:r w:rsidRPr="00626C8D">
        <w:rPr>
          <w:rFonts w:ascii="Arial" w:eastAsia="Calibri" w:hAnsi="Arial" w:cs="Arial"/>
        </w:rPr>
        <w:t>the Commission general</w:t>
      </w:r>
      <w:r>
        <w:rPr>
          <w:rFonts w:ascii="Arial" w:eastAsia="Calibri" w:hAnsi="Arial" w:cs="Arial"/>
        </w:rPr>
        <w:t xml:space="preserve">ly approved AEP-Ohio's proposed </w:t>
      </w:r>
      <w:r w:rsidRPr="00626C8D">
        <w:rPr>
          <w:rFonts w:ascii="Arial" w:eastAsia="Calibri" w:hAnsi="Arial" w:cs="Arial"/>
        </w:rPr>
        <w:t>phase-in plan and authorize</w:t>
      </w:r>
      <w:r>
        <w:rPr>
          <w:rFonts w:ascii="Arial" w:eastAsia="Calibri" w:hAnsi="Arial" w:cs="Arial"/>
        </w:rPr>
        <w:t xml:space="preserve">d recovery of its deferred fuel </w:t>
      </w:r>
      <w:r w:rsidRPr="00626C8D">
        <w:rPr>
          <w:rFonts w:ascii="Arial" w:eastAsia="Calibri" w:hAnsi="Arial" w:cs="Arial"/>
        </w:rPr>
        <w:t>expenses in the ESP 1 Order, t</w:t>
      </w:r>
      <w:r>
        <w:rPr>
          <w:rFonts w:ascii="Arial" w:eastAsia="Calibri" w:hAnsi="Arial" w:cs="Arial"/>
        </w:rPr>
        <w:t xml:space="preserve">he order also contemplated that </w:t>
      </w:r>
      <w:r w:rsidRPr="00626C8D">
        <w:rPr>
          <w:rFonts w:ascii="Arial" w:eastAsia="Calibri" w:hAnsi="Arial" w:cs="Arial"/>
        </w:rPr>
        <w:t>the Company would file a sepa</w:t>
      </w:r>
      <w:r>
        <w:rPr>
          <w:rFonts w:ascii="Arial" w:eastAsia="Calibri" w:hAnsi="Arial" w:cs="Arial"/>
        </w:rPr>
        <w:t xml:space="preserve">rate application to establish a </w:t>
      </w:r>
      <w:r w:rsidRPr="00626C8D">
        <w:rPr>
          <w:rFonts w:ascii="Arial" w:eastAsia="Calibri" w:hAnsi="Arial" w:cs="Arial"/>
        </w:rPr>
        <w:t>recovery mechanism, which the Company in fact filed in these</w:t>
      </w:r>
    </w:p>
    <w:p w:rsidR="00D43ED3" w:rsidRDefault="00626C8D" w:rsidP="005C151D">
      <w:pPr>
        <w:ind w:left="720" w:right="720"/>
        <w:jc w:val="both"/>
        <w:rPr>
          <w:rFonts w:ascii="Arial" w:eastAsia="Calibri" w:hAnsi="Arial" w:cs="Arial"/>
        </w:rPr>
      </w:pPr>
      <w:r w:rsidRPr="00626C8D">
        <w:rPr>
          <w:rFonts w:ascii="Arial" w:eastAsia="Calibri" w:hAnsi="Arial" w:cs="Arial"/>
        </w:rPr>
        <w:t xml:space="preserve">cases on September 1, 2011, and </w:t>
      </w:r>
      <w:r>
        <w:rPr>
          <w:rFonts w:ascii="Arial" w:eastAsia="Calibri" w:hAnsi="Arial" w:cs="Arial"/>
        </w:rPr>
        <w:t>is presently the subject of our review</w:t>
      </w:r>
      <w:r w:rsidRPr="007D2520">
        <w:rPr>
          <w:rFonts w:ascii="Arial" w:eastAsia="Calibri" w:hAnsi="Arial" w:cs="Arial"/>
        </w:rPr>
        <w:t>.</w:t>
      </w:r>
      <w:r>
        <w:rPr>
          <w:rStyle w:val="FootnoteReference"/>
          <w:rFonts w:ascii="Arial" w:eastAsia="Calibri" w:hAnsi="Arial" w:cs="Arial"/>
        </w:rPr>
        <w:footnoteReference w:id="18"/>
      </w:r>
    </w:p>
    <w:p w:rsidR="00B47C93" w:rsidRDefault="00B47C93" w:rsidP="00B47C93">
      <w:pPr>
        <w:ind w:right="720"/>
        <w:jc w:val="both"/>
        <w:rPr>
          <w:rFonts w:ascii="Arial" w:eastAsia="Calibri" w:hAnsi="Arial" w:cs="Arial"/>
        </w:rPr>
      </w:pPr>
    </w:p>
    <w:p w:rsidR="00585F0A" w:rsidRDefault="00B47C93" w:rsidP="009D0959">
      <w:pPr>
        <w:autoSpaceDE w:val="0"/>
        <w:autoSpaceDN w:val="0"/>
        <w:adjustRightInd w:val="0"/>
        <w:spacing w:line="480" w:lineRule="auto"/>
        <w:jc w:val="both"/>
        <w:rPr>
          <w:rFonts w:ascii="Arial" w:eastAsiaTheme="minorHAnsi" w:hAnsi="Arial" w:cs="Arial"/>
        </w:rPr>
      </w:pPr>
      <w:r w:rsidRPr="00B47C93">
        <w:rPr>
          <w:rFonts w:ascii="Arial" w:eastAsia="Calibri" w:hAnsi="Arial" w:cs="Arial"/>
        </w:rPr>
        <w:t>Accordingly, the Commission determined that “[</w:t>
      </w:r>
      <w:r w:rsidRPr="00B47C93">
        <w:rPr>
          <w:rFonts w:ascii="Arial" w:eastAsiaTheme="minorHAnsi" w:hAnsi="Arial" w:cs="Arial"/>
        </w:rPr>
        <w:t>o]nce collection begins, the risk of non-collection is significantly reduced and, as such, it</w:t>
      </w:r>
      <w:r>
        <w:rPr>
          <w:rFonts w:ascii="Arial" w:eastAsiaTheme="minorHAnsi" w:hAnsi="Arial" w:cs="Arial"/>
        </w:rPr>
        <w:t xml:space="preserve"> is more appropriate to use the </w:t>
      </w:r>
      <w:r w:rsidRPr="00B47C93">
        <w:rPr>
          <w:rFonts w:ascii="Arial" w:eastAsiaTheme="minorHAnsi" w:hAnsi="Arial" w:cs="Arial"/>
        </w:rPr>
        <w:t>long</w:t>
      </w:r>
      <w:r>
        <w:rPr>
          <w:rFonts w:ascii="Arial" w:eastAsiaTheme="minorHAnsi" w:hAnsi="Arial" w:cs="Arial"/>
        </w:rPr>
        <w:t xml:space="preserve"> </w:t>
      </w:r>
      <w:r>
        <w:rPr>
          <w:rFonts w:ascii="Arial" w:eastAsiaTheme="minorHAnsi" w:hAnsi="Arial" w:cs="Arial"/>
        </w:rPr>
        <w:lastRenderedPageBreak/>
        <w:t xml:space="preserve">term </w:t>
      </w:r>
      <w:r w:rsidRPr="00B47C93">
        <w:rPr>
          <w:rFonts w:ascii="Arial" w:eastAsiaTheme="minorHAnsi" w:hAnsi="Arial" w:cs="Arial"/>
        </w:rPr>
        <w:t>cost of debt rate, which is consistent with sound regulatory pract</w:t>
      </w:r>
      <w:r>
        <w:rPr>
          <w:rFonts w:ascii="Arial" w:eastAsiaTheme="minorHAnsi" w:hAnsi="Arial" w:cs="Arial"/>
        </w:rPr>
        <w:t xml:space="preserve">ice and </w:t>
      </w:r>
      <w:r w:rsidRPr="00B47C93">
        <w:rPr>
          <w:rFonts w:ascii="Arial" w:eastAsiaTheme="minorHAnsi" w:hAnsi="Arial" w:cs="Arial"/>
        </w:rPr>
        <w:t>longstanding Commission precedent.”</w:t>
      </w:r>
      <w:r>
        <w:rPr>
          <w:rStyle w:val="FootnoteReference"/>
          <w:rFonts w:ascii="Arial" w:eastAsiaTheme="minorHAnsi" w:hAnsi="Arial" w:cs="Arial"/>
        </w:rPr>
        <w:footnoteReference w:id="19"/>
      </w:r>
    </w:p>
    <w:p w:rsidR="00585F0A" w:rsidRDefault="00585F0A">
      <w:pPr>
        <w:spacing w:after="200" w:line="276" w:lineRule="auto"/>
        <w:rPr>
          <w:rFonts w:ascii="Arial" w:eastAsiaTheme="minorHAnsi" w:hAnsi="Arial" w:cs="Arial"/>
        </w:rPr>
      </w:pPr>
      <w:r>
        <w:rPr>
          <w:rFonts w:ascii="Arial" w:eastAsiaTheme="minorHAnsi" w:hAnsi="Arial" w:cs="Arial"/>
        </w:rPr>
        <w:br w:type="page"/>
      </w:r>
    </w:p>
    <w:p w:rsidR="000A4C0B" w:rsidRDefault="00786F49" w:rsidP="00786F49">
      <w:pPr>
        <w:pStyle w:val="ListParagraph"/>
        <w:numPr>
          <w:ilvl w:val="0"/>
          <w:numId w:val="9"/>
        </w:numPr>
        <w:spacing w:line="480" w:lineRule="auto"/>
        <w:ind w:left="720"/>
        <w:jc w:val="both"/>
        <w:rPr>
          <w:rFonts w:ascii="Arial" w:hAnsi="Arial" w:cs="Arial"/>
          <w:b/>
        </w:rPr>
      </w:pPr>
      <w:r>
        <w:rPr>
          <w:rFonts w:ascii="Arial" w:hAnsi="Arial" w:cs="Arial"/>
          <w:b/>
        </w:rPr>
        <w:lastRenderedPageBreak/>
        <w:t>ARGUMENT</w:t>
      </w:r>
    </w:p>
    <w:p w:rsidR="004B2C9E" w:rsidRPr="004B2C9E" w:rsidRDefault="004B2C9E" w:rsidP="004B2C9E">
      <w:pPr>
        <w:spacing w:line="480" w:lineRule="auto"/>
        <w:ind w:firstLine="720"/>
        <w:jc w:val="both"/>
        <w:rPr>
          <w:rFonts w:ascii="Arial" w:hAnsi="Arial" w:cs="Arial"/>
        </w:rPr>
      </w:pPr>
      <w:r w:rsidRPr="004B2C9E">
        <w:rPr>
          <w:rFonts w:ascii="Arial" w:hAnsi="Arial" w:cs="Arial"/>
        </w:rPr>
        <w:t>AEP-Ohio</w:t>
      </w:r>
      <w:r>
        <w:rPr>
          <w:rFonts w:ascii="Arial" w:hAnsi="Arial" w:cs="Arial"/>
        </w:rPr>
        <w:t>’s Application for Rehearing asserts three arguments against the Commission’s directive that AEP-Ohio annually calculate carrying charges at a debt rate:  (1)</w:t>
      </w:r>
      <w:r w:rsidRPr="004B2C9E">
        <w:rPr>
          <w:rFonts w:ascii="Arial" w:hAnsi="Arial" w:cs="Arial"/>
        </w:rPr>
        <w:t xml:space="preserve"> the PIRR Order</w:t>
      </w:r>
      <w:r>
        <w:rPr>
          <w:rFonts w:ascii="Arial" w:hAnsi="Arial" w:cs="Arial"/>
        </w:rPr>
        <w:t xml:space="preserve"> modified a</w:t>
      </w:r>
      <w:r w:rsidRPr="004B2C9E">
        <w:rPr>
          <w:rFonts w:ascii="Arial" w:hAnsi="Arial" w:cs="Arial"/>
        </w:rPr>
        <w:t xml:space="preserve"> matter</w:t>
      </w:r>
      <w:r>
        <w:rPr>
          <w:rFonts w:ascii="Arial" w:hAnsi="Arial" w:cs="Arial"/>
        </w:rPr>
        <w:t xml:space="preserve"> previously adjudicated in the ESP I Order; thus, the PIRR Order is barred by </w:t>
      </w:r>
      <w:r w:rsidRPr="00DD4137">
        <w:rPr>
          <w:rFonts w:ascii="Arial" w:hAnsi="Arial" w:cs="Arial"/>
          <w:i/>
        </w:rPr>
        <w:t>res judicata</w:t>
      </w:r>
      <w:r>
        <w:rPr>
          <w:rFonts w:ascii="Arial" w:hAnsi="Arial" w:cs="Arial"/>
        </w:rPr>
        <w:t>;</w:t>
      </w:r>
      <w:r>
        <w:rPr>
          <w:rStyle w:val="FootnoteReference"/>
          <w:rFonts w:ascii="Arial" w:hAnsi="Arial" w:cs="Arial"/>
        </w:rPr>
        <w:footnoteReference w:id="20"/>
      </w:r>
      <w:r>
        <w:rPr>
          <w:rFonts w:ascii="Arial" w:hAnsi="Arial" w:cs="Arial"/>
        </w:rPr>
        <w:t xml:space="preserve"> (2) the PIRR Order </w:t>
      </w:r>
      <w:r w:rsidRPr="004B2C9E">
        <w:rPr>
          <w:rFonts w:ascii="Arial" w:hAnsi="Arial" w:cs="Arial"/>
        </w:rPr>
        <w:t>would frustrate AEP-Ohio’s</w:t>
      </w:r>
      <w:r w:rsidRPr="004B2C9E">
        <w:rPr>
          <w:rFonts w:ascii="Arial" w:hAnsi="Arial" w:cs="Arial"/>
          <w:i/>
        </w:rPr>
        <w:t xml:space="preserve"> </w:t>
      </w:r>
      <w:r w:rsidRPr="004B2C9E">
        <w:rPr>
          <w:rFonts w:ascii="Arial" w:hAnsi="Arial" w:cs="Arial"/>
        </w:rPr>
        <w:t>statutory ability to withdraw from a modified and approved ESP</w:t>
      </w:r>
      <w:r>
        <w:rPr>
          <w:rFonts w:ascii="Arial" w:hAnsi="Arial" w:cs="Arial"/>
        </w:rPr>
        <w:t xml:space="preserve">; thus, the PIRR Order is barred by </w:t>
      </w:r>
      <w:r>
        <w:rPr>
          <w:rFonts w:ascii="Arial" w:hAnsi="Arial" w:cs="Arial"/>
          <w:i/>
        </w:rPr>
        <w:t>estoppel</w:t>
      </w:r>
      <w:r>
        <w:rPr>
          <w:rFonts w:ascii="Arial" w:hAnsi="Arial" w:cs="Arial"/>
        </w:rPr>
        <w:t>;</w:t>
      </w:r>
      <w:r w:rsidR="00DD4137">
        <w:rPr>
          <w:rStyle w:val="FootnoteReference"/>
          <w:rFonts w:ascii="Arial" w:hAnsi="Arial" w:cs="Arial"/>
        </w:rPr>
        <w:footnoteReference w:id="21"/>
      </w:r>
      <w:r>
        <w:rPr>
          <w:rFonts w:ascii="Arial" w:hAnsi="Arial" w:cs="Arial"/>
        </w:rPr>
        <w:t xml:space="preserve"> and (3) the PIRR Order undermines securitization efforts.</w:t>
      </w:r>
      <w:r w:rsidR="00DD4137">
        <w:rPr>
          <w:rStyle w:val="FootnoteReference"/>
          <w:rFonts w:ascii="Arial" w:hAnsi="Arial" w:cs="Arial"/>
        </w:rPr>
        <w:footnoteReference w:id="22"/>
      </w:r>
      <w:r>
        <w:rPr>
          <w:rFonts w:ascii="Arial" w:hAnsi="Arial" w:cs="Arial"/>
        </w:rPr>
        <w:t xml:space="preserve">  In the alternative, AEP-Ohio</w:t>
      </w:r>
      <w:r w:rsidRPr="004B2C9E">
        <w:rPr>
          <w:rFonts w:ascii="Arial" w:hAnsi="Arial" w:cs="Arial"/>
        </w:rPr>
        <w:t xml:space="preserve"> claimed that if it is required to amortize the deferred balances at a debt rate “[t]he long term debt in the cost of capital schedule should be adjusted to remove the regulatory asset balances plus equity carrying charges as of August 31, 2010,”</w:t>
      </w:r>
      <w:r>
        <w:rPr>
          <w:rStyle w:val="FootnoteReference"/>
          <w:rFonts w:ascii="Arial" w:hAnsi="Arial" w:cs="Arial"/>
        </w:rPr>
        <w:footnoteReference w:id="23"/>
      </w:r>
      <w:r w:rsidRPr="004B2C9E">
        <w:rPr>
          <w:rFonts w:ascii="Arial" w:hAnsi="Arial" w:cs="Arial"/>
        </w:rPr>
        <w:t xml:space="preserve"> which would</w:t>
      </w:r>
      <w:r>
        <w:rPr>
          <w:rFonts w:ascii="Arial" w:hAnsi="Arial" w:cs="Arial"/>
        </w:rPr>
        <w:t xml:space="preserve"> decrease</w:t>
      </w:r>
      <w:r w:rsidRPr="004B2C9E">
        <w:rPr>
          <w:rFonts w:ascii="Arial" w:hAnsi="Arial" w:cs="Arial"/>
        </w:rPr>
        <w:t xml:space="preserve"> AEP-Ohio’s debt to equity ratio</w:t>
      </w:r>
      <w:r w:rsidR="007C1544">
        <w:rPr>
          <w:rFonts w:ascii="Arial" w:hAnsi="Arial" w:cs="Arial"/>
        </w:rPr>
        <w:t xml:space="preserve"> thereby increasing any interest charge computed using a WACC rate</w:t>
      </w:r>
      <w:r w:rsidRPr="004B2C9E">
        <w:rPr>
          <w:rFonts w:ascii="Arial" w:hAnsi="Arial" w:cs="Arial"/>
        </w:rPr>
        <w:t xml:space="preserve">.   Each of AEP-Ohio’s assignments of error </w:t>
      </w:r>
      <w:r w:rsidR="007C1544">
        <w:rPr>
          <w:rFonts w:ascii="Arial" w:hAnsi="Arial" w:cs="Arial"/>
        </w:rPr>
        <w:t xml:space="preserve">is without </w:t>
      </w:r>
      <w:r w:rsidRPr="004B2C9E">
        <w:rPr>
          <w:rFonts w:ascii="Arial" w:hAnsi="Arial" w:cs="Arial"/>
        </w:rPr>
        <w:t>merit.</w:t>
      </w:r>
    </w:p>
    <w:p w:rsidR="009F4506" w:rsidRPr="009F4506" w:rsidRDefault="009D6DDD" w:rsidP="00585F0A">
      <w:pPr>
        <w:pStyle w:val="ListParagraph"/>
        <w:numPr>
          <w:ilvl w:val="0"/>
          <w:numId w:val="11"/>
        </w:numPr>
        <w:spacing w:line="480" w:lineRule="auto"/>
        <w:ind w:left="1440" w:hanging="720"/>
        <w:jc w:val="both"/>
        <w:rPr>
          <w:rFonts w:ascii="Arial" w:hAnsi="Arial" w:cs="Arial"/>
          <w:b/>
        </w:rPr>
      </w:pPr>
      <w:r>
        <w:rPr>
          <w:rFonts w:ascii="Arial" w:hAnsi="Arial" w:cs="Arial"/>
          <w:b/>
          <w:i/>
        </w:rPr>
        <w:t xml:space="preserve">Res Judicata </w:t>
      </w:r>
      <w:r w:rsidRPr="009D6DDD">
        <w:rPr>
          <w:rFonts w:ascii="Arial" w:hAnsi="Arial" w:cs="Arial"/>
          <w:b/>
        </w:rPr>
        <w:t>Does Not Bar the Commission</w:t>
      </w:r>
    </w:p>
    <w:p w:rsidR="00B86090" w:rsidRDefault="00BF5747" w:rsidP="00B86090">
      <w:pPr>
        <w:spacing w:line="480" w:lineRule="auto"/>
        <w:ind w:firstLine="720"/>
        <w:jc w:val="both"/>
        <w:rPr>
          <w:rFonts w:ascii="Arial" w:hAnsi="Arial" w:cs="Arial"/>
          <w:i/>
        </w:rPr>
      </w:pPr>
      <w:r>
        <w:rPr>
          <w:rFonts w:ascii="Arial" w:hAnsi="Arial" w:cs="Arial"/>
        </w:rPr>
        <w:t xml:space="preserve">AEP-Ohio’s claim that </w:t>
      </w:r>
      <w:r>
        <w:rPr>
          <w:rFonts w:ascii="Arial" w:hAnsi="Arial" w:cs="Arial"/>
          <w:i/>
        </w:rPr>
        <w:t xml:space="preserve">res judicata </w:t>
      </w:r>
      <w:r>
        <w:rPr>
          <w:rFonts w:ascii="Arial" w:hAnsi="Arial" w:cs="Arial"/>
        </w:rPr>
        <w:t>prev</w:t>
      </w:r>
      <w:r w:rsidR="00582597">
        <w:rPr>
          <w:rFonts w:ascii="Arial" w:hAnsi="Arial" w:cs="Arial"/>
        </w:rPr>
        <w:t>ents the Commission from establishing a debt carrying charge rate is without merit</w:t>
      </w:r>
      <w:r w:rsidR="005F7ABF">
        <w:rPr>
          <w:rFonts w:ascii="Arial" w:hAnsi="Arial" w:cs="Arial"/>
        </w:rPr>
        <w:t>.</w:t>
      </w:r>
      <w:r w:rsidR="00B86090">
        <w:rPr>
          <w:rFonts w:ascii="Arial" w:hAnsi="Arial" w:cs="Arial"/>
        </w:rPr>
        <w:t xml:space="preserve">  AEP-Ohio raised this argument in its Reply Comments</w:t>
      </w:r>
      <w:r w:rsidR="009D0959">
        <w:rPr>
          <w:rFonts w:ascii="Arial" w:hAnsi="Arial" w:cs="Arial"/>
        </w:rPr>
        <w:t>,</w:t>
      </w:r>
      <w:r w:rsidR="007C1544">
        <w:rPr>
          <w:rStyle w:val="FootnoteReference"/>
          <w:rFonts w:ascii="Arial" w:hAnsi="Arial" w:cs="Arial"/>
        </w:rPr>
        <w:footnoteReference w:id="24"/>
      </w:r>
      <w:r w:rsidR="00B86090">
        <w:rPr>
          <w:rFonts w:ascii="Arial" w:hAnsi="Arial" w:cs="Arial"/>
        </w:rPr>
        <w:t xml:space="preserve"> and the Commission appropriately addressed it in the PIRR Order.  AEP-Ohio’s Application raises no new issues to warrant rehearing.  Regardless of that fact, AEP-Ohio’s </w:t>
      </w:r>
      <w:r w:rsidR="007C1544">
        <w:rPr>
          <w:rFonts w:ascii="Arial" w:hAnsi="Arial" w:cs="Arial"/>
        </w:rPr>
        <w:t xml:space="preserve">claimed error </w:t>
      </w:r>
      <w:r w:rsidR="00B86090">
        <w:rPr>
          <w:rFonts w:ascii="Arial" w:hAnsi="Arial" w:cs="Arial"/>
        </w:rPr>
        <w:t>is addressed below.</w:t>
      </w:r>
    </w:p>
    <w:p w:rsidR="007C1544" w:rsidRDefault="00582597" w:rsidP="00B86090">
      <w:pPr>
        <w:spacing w:line="480" w:lineRule="auto"/>
        <w:ind w:firstLine="720"/>
        <w:jc w:val="both"/>
        <w:rPr>
          <w:rFonts w:ascii="Arial" w:hAnsi="Arial" w:cs="Arial"/>
        </w:rPr>
      </w:pPr>
      <w:r>
        <w:rPr>
          <w:rFonts w:ascii="Arial" w:hAnsi="Arial" w:cs="Arial"/>
          <w:i/>
        </w:rPr>
        <w:lastRenderedPageBreak/>
        <w:t xml:space="preserve">Res judicata </w:t>
      </w:r>
      <w:r>
        <w:rPr>
          <w:rFonts w:ascii="Arial" w:hAnsi="Arial" w:cs="Arial"/>
        </w:rPr>
        <w:t>precludes the “relitigation of a point of law or fact that was at issue in a former action between the same parties and was passed upon by a co</w:t>
      </w:r>
      <w:r w:rsidR="00B47C93">
        <w:rPr>
          <w:rFonts w:ascii="Arial" w:hAnsi="Arial" w:cs="Arial"/>
        </w:rPr>
        <w:t>urt of competent jurisdiction.”</w:t>
      </w:r>
      <w:r>
        <w:rPr>
          <w:rStyle w:val="FootnoteReference"/>
          <w:rFonts w:ascii="Arial" w:hAnsi="Arial" w:cs="Arial"/>
        </w:rPr>
        <w:footnoteReference w:id="25"/>
      </w:r>
      <w:r>
        <w:rPr>
          <w:rFonts w:ascii="Arial" w:hAnsi="Arial" w:cs="Arial"/>
        </w:rPr>
        <w:t xml:space="preserve">  It</w:t>
      </w:r>
      <w:r>
        <w:rPr>
          <w:rFonts w:ascii="Arial" w:hAnsi="Arial" w:cs="Arial"/>
          <w:i/>
        </w:rPr>
        <w:t xml:space="preserve"> </w:t>
      </w:r>
      <w:r w:rsidR="00B47C93">
        <w:rPr>
          <w:rFonts w:ascii="Arial" w:hAnsi="Arial" w:cs="Arial"/>
        </w:rPr>
        <w:t>requires “</w:t>
      </w:r>
      <w:r>
        <w:rPr>
          <w:rFonts w:ascii="Arial" w:hAnsi="Arial" w:cs="Arial"/>
        </w:rPr>
        <w:t>an identity of parties</w:t>
      </w:r>
      <w:r w:rsidR="00B47C93">
        <w:rPr>
          <w:rFonts w:ascii="Arial" w:hAnsi="Arial" w:cs="Arial"/>
        </w:rPr>
        <w:t xml:space="preserve"> and issues in the proceedings.</w:t>
      </w:r>
      <w:r>
        <w:rPr>
          <w:rFonts w:ascii="Arial" w:hAnsi="Arial" w:cs="Arial"/>
        </w:rPr>
        <w:t>”</w:t>
      </w:r>
      <w:r w:rsidR="001403F6">
        <w:rPr>
          <w:rStyle w:val="FootnoteReference"/>
          <w:rFonts w:ascii="Arial" w:hAnsi="Arial" w:cs="Arial"/>
        </w:rPr>
        <w:footnoteReference w:id="26"/>
      </w:r>
      <w:r>
        <w:rPr>
          <w:rFonts w:ascii="Arial" w:hAnsi="Arial" w:cs="Arial"/>
        </w:rPr>
        <w:t xml:space="preserve">  </w:t>
      </w:r>
    </w:p>
    <w:p w:rsidR="007C1544" w:rsidRDefault="00582597" w:rsidP="00B86090">
      <w:pPr>
        <w:spacing w:line="480" w:lineRule="auto"/>
        <w:ind w:firstLine="720"/>
        <w:jc w:val="both"/>
        <w:rPr>
          <w:rFonts w:ascii="Arial" w:hAnsi="Arial" w:cs="Arial"/>
        </w:rPr>
      </w:pPr>
      <w:r>
        <w:rPr>
          <w:rFonts w:ascii="Arial" w:hAnsi="Arial" w:cs="Arial"/>
          <w:i/>
        </w:rPr>
        <w:t xml:space="preserve">Res judicata </w:t>
      </w:r>
      <w:r>
        <w:rPr>
          <w:rFonts w:ascii="Arial" w:hAnsi="Arial" w:cs="Arial"/>
        </w:rPr>
        <w:t xml:space="preserve">simply does not apply </w:t>
      </w:r>
      <w:r w:rsidR="007C1544">
        <w:rPr>
          <w:rFonts w:ascii="Arial" w:hAnsi="Arial" w:cs="Arial"/>
        </w:rPr>
        <w:t xml:space="preserve">in this circumstance </w:t>
      </w:r>
      <w:r>
        <w:rPr>
          <w:rFonts w:ascii="Arial" w:hAnsi="Arial" w:cs="Arial"/>
        </w:rPr>
        <w:t>because the ESP I Order did not address the carrying charge rate to be applied during the amortization period</w:t>
      </w:r>
      <w:r w:rsidR="002808C0">
        <w:rPr>
          <w:rFonts w:ascii="Arial" w:hAnsi="Arial" w:cs="Arial"/>
        </w:rPr>
        <w:t xml:space="preserve"> or the amount of the deferred balances that would be eligible for recovery</w:t>
      </w:r>
      <w:r>
        <w:rPr>
          <w:rFonts w:ascii="Arial" w:hAnsi="Arial" w:cs="Arial"/>
        </w:rPr>
        <w:t>.  As AEP-Ohio concedes, it was required to submit an application for approval to amortize the deferred balances</w:t>
      </w:r>
      <w:r w:rsidR="007C1544">
        <w:rPr>
          <w:rFonts w:ascii="Arial" w:hAnsi="Arial" w:cs="Arial"/>
        </w:rPr>
        <w:t xml:space="preserve"> and to obtain a Commission determination on the amou</w:t>
      </w:r>
      <w:r w:rsidR="009D0959">
        <w:rPr>
          <w:rFonts w:ascii="Arial" w:hAnsi="Arial" w:cs="Arial"/>
        </w:rPr>
        <w:t>n</w:t>
      </w:r>
      <w:r w:rsidR="007C1544">
        <w:rPr>
          <w:rFonts w:ascii="Arial" w:hAnsi="Arial" w:cs="Arial"/>
        </w:rPr>
        <w:t>t of the deferred balance eligible for recovery from customers</w:t>
      </w:r>
      <w:r>
        <w:rPr>
          <w:rFonts w:ascii="Arial" w:hAnsi="Arial" w:cs="Arial"/>
        </w:rPr>
        <w:t>.</w:t>
      </w:r>
      <w:r>
        <w:rPr>
          <w:rStyle w:val="FootnoteReference"/>
          <w:rFonts w:ascii="Arial" w:hAnsi="Arial" w:cs="Arial"/>
        </w:rPr>
        <w:footnoteReference w:id="27"/>
      </w:r>
      <w:r>
        <w:rPr>
          <w:rFonts w:ascii="Arial" w:hAnsi="Arial" w:cs="Arial"/>
        </w:rPr>
        <w:t xml:space="preserve">  Thus, the issue</w:t>
      </w:r>
      <w:r w:rsidR="002808C0">
        <w:rPr>
          <w:rFonts w:ascii="Arial" w:hAnsi="Arial" w:cs="Arial"/>
        </w:rPr>
        <w:t>s</w:t>
      </w:r>
      <w:r>
        <w:rPr>
          <w:rFonts w:ascii="Arial" w:hAnsi="Arial" w:cs="Arial"/>
        </w:rPr>
        <w:t xml:space="preserve"> in the ESP </w:t>
      </w:r>
      <w:r w:rsidR="002808C0">
        <w:rPr>
          <w:rFonts w:ascii="Arial" w:hAnsi="Arial" w:cs="Arial"/>
        </w:rPr>
        <w:t>I Order were</w:t>
      </w:r>
      <w:r>
        <w:rPr>
          <w:rFonts w:ascii="Arial" w:hAnsi="Arial" w:cs="Arial"/>
        </w:rPr>
        <w:t xml:space="preserve"> not the same</w:t>
      </w:r>
      <w:r w:rsidR="00B47C93">
        <w:rPr>
          <w:rFonts w:ascii="Arial" w:hAnsi="Arial" w:cs="Arial"/>
        </w:rPr>
        <w:t xml:space="preserve"> as the PIRR Application</w:t>
      </w:r>
      <w:r>
        <w:rPr>
          <w:rFonts w:ascii="Arial" w:hAnsi="Arial" w:cs="Arial"/>
        </w:rPr>
        <w:t xml:space="preserve">.  </w:t>
      </w:r>
    </w:p>
    <w:p w:rsidR="00582597" w:rsidRDefault="00582597" w:rsidP="00B86090">
      <w:pPr>
        <w:spacing w:line="480" w:lineRule="auto"/>
        <w:ind w:firstLine="720"/>
        <w:jc w:val="both"/>
        <w:rPr>
          <w:rFonts w:ascii="Arial" w:hAnsi="Arial" w:cs="Arial"/>
        </w:rPr>
      </w:pPr>
      <w:r>
        <w:rPr>
          <w:rFonts w:ascii="Arial" w:hAnsi="Arial" w:cs="Arial"/>
        </w:rPr>
        <w:t xml:space="preserve">AEP-Ohio was required to file an application for approval of a </w:t>
      </w:r>
      <w:r w:rsidR="007C1544">
        <w:rPr>
          <w:rFonts w:ascii="Arial" w:hAnsi="Arial" w:cs="Arial"/>
        </w:rPr>
        <w:t xml:space="preserve">phase-in </w:t>
      </w:r>
      <w:r>
        <w:rPr>
          <w:rFonts w:ascii="Arial" w:hAnsi="Arial" w:cs="Arial"/>
        </w:rPr>
        <w:t>recovery mechanism to commence amortization of the deferred balances, and that is the issue the Commission has addressed in this proceeding.  Due to the decreased risk of non-</w:t>
      </w:r>
      <w:r w:rsidR="005D5072">
        <w:rPr>
          <w:rFonts w:ascii="Arial" w:hAnsi="Arial" w:cs="Arial"/>
        </w:rPr>
        <w:t>recovery in the period at issue and past Commission precedent,</w:t>
      </w:r>
      <w:r>
        <w:rPr>
          <w:rFonts w:ascii="Arial" w:hAnsi="Arial" w:cs="Arial"/>
        </w:rPr>
        <w:t xml:space="preserve"> the Commission determined that it was necessary to require AEP-Ohio to accrue carrying charges at a long-term d</w:t>
      </w:r>
      <w:r w:rsidR="00ED2E8F">
        <w:rPr>
          <w:rFonts w:ascii="Arial" w:hAnsi="Arial" w:cs="Arial"/>
        </w:rPr>
        <w:t>ebt rate</w:t>
      </w:r>
      <w:r w:rsidR="00DD4137">
        <w:rPr>
          <w:rFonts w:ascii="Arial" w:hAnsi="Arial" w:cs="Arial"/>
        </w:rPr>
        <w:t xml:space="preserve"> and compound interest annually</w:t>
      </w:r>
      <w:r>
        <w:rPr>
          <w:rFonts w:ascii="Arial" w:hAnsi="Arial" w:cs="Arial"/>
        </w:rPr>
        <w:t>.</w:t>
      </w:r>
    </w:p>
    <w:p w:rsidR="00582597" w:rsidRDefault="008B5724" w:rsidP="00582597">
      <w:pPr>
        <w:spacing w:line="480" w:lineRule="auto"/>
        <w:ind w:firstLine="720"/>
        <w:jc w:val="both"/>
        <w:rPr>
          <w:rFonts w:ascii="Arial" w:hAnsi="Arial" w:cs="Arial"/>
        </w:rPr>
      </w:pPr>
      <w:r>
        <w:rPr>
          <w:rFonts w:ascii="Arial" w:hAnsi="Arial" w:cs="Arial"/>
        </w:rPr>
        <w:t xml:space="preserve">The Supreme Court of Ohio previously addressed a very similar issue with respect to the phase-in in the appeal of AEP-Ohio’s </w:t>
      </w:r>
      <w:r>
        <w:rPr>
          <w:rFonts w:ascii="Arial" w:hAnsi="Arial" w:cs="Arial"/>
          <w:i/>
        </w:rPr>
        <w:t>EDR Case</w:t>
      </w:r>
      <w:r>
        <w:rPr>
          <w:rFonts w:ascii="Arial" w:hAnsi="Arial" w:cs="Arial"/>
        </w:rPr>
        <w:t xml:space="preserve">, where the Commission modified the terms of the phase-in at AEP-Ohio’s request.  Specifically, over IEU-Ohio’s </w:t>
      </w:r>
      <w:r>
        <w:rPr>
          <w:rFonts w:ascii="Arial" w:hAnsi="Arial" w:cs="Arial"/>
        </w:rPr>
        <w:lastRenderedPageBreak/>
        <w:t xml:space="preserve">objections, the Commission permitted AEP-Ohio to collect Rider EDR outside of the bill </w:t>
      </w:r>
      <w:r w:rsidR="007C1544">
        <w:rPr>
          <w:rFonts w:ascii="Arial" w:hAnsi="Arial" w:cs="Arial"/>
        </w:rPr>
        <w:t xml:space="preserve">increase </w:t>
      </w:r>
      <w:r>
        <w:rPr>
          <w:rFonts w:ascii="Arial" w:hAnsi="Arial" w:cs="Arial"/>
        </w:rPr>
        <w:t>limits</w:t>
      </w:r>
      <w:r w:rsidR="007C1544">
        <w:rPr>
          <w:rFonts w:ascii="Arial" w:hAnsi="Arial" w:cs="Arial"/>
        </w:rPr>
        <w:t xml:space="preserve"> established as part of ESP I</w:t>
      </w:r>
      <w:r>
        <w:rPr>
          <w:rFonts w:ascii="Arial" w:hAnsi="Arial" w:cs="Arial"/>
        </w:rPr>
        <w:t xml:space="preserve">. </w:t>
      </w:r>
      <w:r w:rsidR="007C1544">
        <w:rPr>
          <w:rFonts w:ascii="Arial" w:hAnsi="Arial" w:cs="Arial"/>
        </w:rPr>
        <w:t xml:space="preserve"> </w:t>
      </w:r>
      <w:r>
        <w:rPr>
          <w:rFonts w:ascii="Arial" w:hAnsi="Arial" w:cs="Arial"/>
        </w:rPr>
        <w:t>On appeal to the Supreme Court</w:t>
      </w:r>
      <w:r w:rsidR="00585F0A">
        <w:rPr>
          <w:rFonts w:ascii="Arial" w:hAnsi="Arial" w:cs="Arial"/>
        </w:rPr>
        <w:t xml:space="preserve"> of Ohio</w:t>
      </w:r>
      <w:r>
        <w:rPr>
          <w:rFonts w:ascii="Arial" w:hAnsi="Arial" w:cs="Arial"/>
        </w:rPr>
        <w:t>, AEP-Ohio and the Commission successfully</w:t>
      </w:r>
      <w:r w:rsidR="004D2725">
        <w:rPr>
          <w:rFonts w:ascii="Arial" w:hAnsi="Arial" w:cs="Arial"/>
        </w:rPr>
        <w:t xml:space="preserve"> argued </w:t>
      </w:r>
      <w:r>
        <w:rPr>
          <w:rFonts w:ascii="Arial" w:hAnsi="Arial" w:cs="Arial"/>
        </w:rPr>
        <w:t>that the phase-in can be modified because, although the Commission identified certain riders that were exempt from the bill limits — a</w:t>
      </w:r>
      <w:r w:rsidR="000912C7">
        <w:rPr>
          <w:rFonts w:ascii="Arial" w:hAnsi="Arial" w:cs="Arial"/>
        </w:rPr>
        <w:t>nd Rider EDR was not such a rider</w:t>
      </w:r>
      <w:r>
        <w:rPr>
          <w:rFonts w:ascii="Arial" w:hAnsi="Arial" w:cs="Arial"/>
        </w:rPr>
        <w:t xml:space="preserve"> — the Commission did not explicitly rule out future exemptions.</w:t>
      </w:r>
      <w:r>
        <w:rPr>
          <w:rStyle w:val="FootnoteReference"/>
          <w:rFonts w:ascii="Arial" w:hAnsi="Arial" w:cs="Arial"/>
        </w:rPr>
        <w:footnoteReference w:id="28"/>
      </w:r>
    </w:p>
    <w:p w:rsidR="00EF2E13" w:rsidRPr="00CE5DA6" w:rsidRDefault="004D2725" w:rsidP="00CE5DA6">
      <w:pPr>
        <w:spacing w:line="480" w:lineRule="auto"/>
        <w:ind w:firstLine="720"/>
        <w:jc w:val="both"/>
      </w:pPr>
      <w:r>
        <w:rPr>
          <w:rFonts w:ascii="Arial" w:hAnsi="Arial" w:cs="Arial"/>
        </w:rPr>
        <w:t xml:space="preserve">Even assuming that the issues </w:t>
      </w:r>
      <w:r w:rsidR="005D5072">
        <w:rPr>
          <w:rFonts w:ascii="Arial" w:hAnsi="Arial" w:cs="Arial"/>
        </w:rPr>
        <w:t>in this proceeding and in the ESP I Order are</w:t>
      </w:r>
      <w:r>
        <w:rPr>
          <w:rFonts w:ascii="Arial" w:hAnsi="Arial" w:cs="Arial"/>
        </w:rPr>
        <w:t xml:space="preserve"> the same, the Court has closed the door on AEP-Ohio’s </w:t>
      </w:r>
      <w:r>
        <w:rPr>
          <w:rFonts w:ascii="Arial" w:hAnsi="Arial" w:cs="Arial"/>
          <w:i/>
        </w:rPr>
        <w:t xml:space="preserve">res judicata </w:t>
      </w:r>
      <w:r w:rsidR="00CE5DA6">
        <w:rPr>
          <w:rFonts w:ascii="Arial" w:hAnsi="Arial" w:cs="Arial"/>
        </w:rPr>
        <w:t>argument.  In addition to determining that the</w:t>
      </w:r>
      <w:r w:rsidR="00ED2E8F">
        <w:rPr>
          <w:rFonts w:ascii="Arial" w:hAnsi="Arial" w:cs="Arial"/>
        </w:rPr>
        <w:t xml:space="preserve"> terms of </w:t>
      </w:r>
      <w:r w:rsidR="007C1544">
        <w:rPr>
          <w:rFonts w:ascii="Arial" w:hAnsi="Arial" w:cs="Arial"/>
        </w:rPr>
        <w:t xml:space="preserve">ESP I </w:t>
      </w:r>
      <w:r w:rsidR="00CE5DA6">
        <w:rPr>
          <w:rFonts w:ascii="Arial" w:hAnsi="Arial" w:cs="Arial"/>
        </w:rPr>
        <w:t xml:space="preserve">could be modified </w:t>
      </w:r>
      <w:r w:rsidR="007C1544">
        <w:rPr>
          <w:rFonts w:ascii="Arial" w:hAnsi="Arial" w:cs="Arial"/>
        </w:rPr>
        <w:t xml:space="preserve">to alter the portion of the total increase deferred for future collection </w:t>
      </w:r>
      <w:r w:rsidR="00CE5DA6">
        <w:rPr>
          <w:rFonts w:ascii="Arial" w:hAnsi="Arial" w:cs="Arial"/>
        </w:rPr>
        <w:t>because the Commission had not exhaustively determined what riders were exempt from the bill</w:t>
      </w:r>
      <w:r w:rsidR="002808C0">
        <w:rPr>
          <w:rFonts w:ascii="Arial" w:hAnsi="Arial" w:cs="Arial"/>
        </w:rPr>
        <w:t xml:space="preserve"> increase</w:t>
      </w:r>
      <w:r w:rsidR="00CE5DA6">
        <w:rPr>
          <w:rFonts w:ascii="Arial" w:hAnsi="Arial" w:cs="Arial"/>
        </w:rPr>
        <w:t xml:space="preserve"> limits,</w:t>
      </w:r>
      <w:r w:rsidR="00DD4137">
        <w:rPr>
          <w:rFonts w:ascii="Arial" w:hAnsi="Arial" w:cs="Arial"/>
        </w:rPr>
        <w:t xml:space="preserve"> the Court determined</w:t>
      </w:r>
      <w:r w:rsidR="00CE5DA6">
        <w:rPr>
          <w:rFonts w:ascii="Arial" w:hAnsi="Arial" w:cs="Arial"/>
        </w:rPr>
        <w:t xml:space="preserve"> “the</w:t>
      </w:r>
      <w:r>
        <w:rPr>
          <w:rFonts w:ascii="Arial" w:hAnsi="Arial" w:cs="Arial"/>
        </w:rPr>
        <w:t xml:space="preserve"> </w:t>
      </w:r>
      <w:r w:rsidR="00CE5DA6">
        <w:rPr>
          <w:rFonts w:ascii="Arial" w:hAnsi="Arial" w:cs="Arial"/>
        </w:rPr>
        <w:t xml:space="preserve">commission has discretion to revisit </w:t>
      </w:r>
      <w:r w:rsidR="00CE5DA6" w:rsidRPr="00CE5DA6">
        <w:rPr>
          <w:rFonts w:ascii="Arial" w:hAnsi="Arial" w:cs="Arial"/>
        </w:rPr>
        <w:t>earlier regulatory decisions and modify them prospectively.”</w:t>
      </w:r>
      <w:r w:rsidR="00CE5DA6" w:rsidRPr="00CE5DA6">
        <w:rPr>
          <w:rStyle w:val="FootnoteReference"/>
          <w:rFonts w:ascii="Arial" w:hAnsi="Arial" w:cs="Arial"/>
        </w:rPr>
        <w:footnoteReference w:id="29"/>
      </w:r>
      <w:r w:rsidR="002808C0">
        <w:rPr>
          <w:rFonts w:ascii="Arial" w:hAnsi="Arial" w:cs="Arial"/>
        </w:rPr>
        <w:t xml:space="preserve">  Thus, even a prior determination regarding which riders were exempt </w:t>
      </w:r>
      <w:r w:rsidR="007C1544">
        <w:rPr>
          <w:rFonts w:ascii="Arial" w:hAnsi="Arial" w:cs="Arial"/>
        </w:rPr>
        <w:t xml:space="preserve">from the application of the </w:t>
      </w:r>
      <w:r w:rsidR="002808C0">
        <w:rPr>
          <w:rFonts w:ascii="Arial" w:hAnsi="Arial" w:cs="Arial"/>
        </w:rPr>
        <w:t>bill increase limit</w:t>
      </w:r>
      <w:r w:rsidR="007C1544">
        <w:rPr>
          <w:rFonts w:ascii="Arial" w:hAnsi="Arial" w:cs="Arial"/>
        </w:rPr>
        <w:t xml:space="preserve">ations </w:t>
      </w:r>
      <w:r w:rsidR="002808C0">
        <w:rPr>
          <w:rFonts w:ascii="Arial" w:hAnsi="Arial" w:cs="Arial"/>
        </w:rPr>
        <w:t xml:space="preserve">was not </w:t>
      </w:r>
      <w:r w:rsidR="007C1544">
        <w:rPr>
          <w:rFonts w:ascii="Arial" w:hAnsi="Arial" w:cs="Arial"/>
        </w:rPr>
        <w:t xml:space="preserve">a </w:t>
      </w:r>
      <w:r w:rsidR="002808C0">
        <w:rPr>
          <w:rFonts w:ascii="Arial" w:hAnsi="Arial" w:cs="Arial"/>
        </w:rPr>
        <w:t>bar to a prospective modification.</w:t>
      </w:r>
      <w:r w:rsidR="00CE5DA6">
        <w:rPr>
          <w:rFonts w:ascii="Arial" w:hAnsi="Arial" w:cs="Arial"/>
        </w:rPr>
        <w:t xml:space="preserve">  P</w:t>
      </w:r>
      <w:r w:rsidR="004B0CDB" w:rsidRPr="00CE5DA6">
        <w:rPr>
          <w:rFonts w:ascii="Arial" w:hAnsi="Arial" w:cs="Arial"/>
        </w:rPr>
        <w:t>ursuant</w:t>
      </w:r>
      <w:r w:rsidR="004B0CDB">
        <w:rPr>
          <w:rFonts w:ascii="Arial" w:hAnsi="Arial" w:cs="Arial"/>
        </w:rPr>
        <w:t xml:space="preserve"> to Section 4928.144, Revised Code</w:t>
      </w:r>
      <w:r w:rsidR="00585F0A">
        <w:rPr>
          <w:rFonts w:ascii="Arial" w:hAnsi="Arial" w:cs="Arial"/>
        </w:rPr>
        <w:t>,</w:t>
      </w:r>
      <w:r w:rsidR="007C1544">
        <w:rPr>
          <w:rFonts w:ascii="Arial" w:hAnsi="Arial" w:cs="Arial"/>
        </w:rPr>
        <w:t xml:space="preserve"> and once the amount to be phased-in is found to be lawful</w:t>
      </w:r>
      <w:r w:rsidR="004B0CDB">
        <w:rPr>
          <w:rFonts w:ascii="Arial" w:hAnsi="Arial" w:cs="Arial"/>
        </w:rPr>
        <w:t xml:space="preserve">, the Commission may authorize any just and reasonable </w:t>
      </w:r>
      <w:r w:rsidR="00B85A75">
        <w:rPr>
          <w:rFonts w:ascii="Arial" w:hAnsi="Arial" w:cs="Arial"/>
        </w:rPr>
        <w:t>phase-in of a rate or priced established</w:t>
      </w:r>
      <w:r w:rsidR="004B0CDB">
        <w:rPr>
          <w:rFonts w:ascii="Arial" w:hAnsi="Arial" w:cs="Arial"/>
        </w:rPr>
        <w:t xml:space="preserve"> under </w:t>
      </w:r>
      <w:r w:rsidR="00585F0A">
        <w:rPr>
          <w:rFonts w:ascii="Arial" w:hAnsi="Arial" w:cs="Arial"/>
        </w:rPr>
        <w:t xml:space="preserve">Sections </w:t>
      </w:r>
      <w:r w:rsidR="004B0CDB">
        <w:rPr>
          <w:rFonts w:ascii="Arial" w:hAnsi="Arial" w:cs="Arial"/>
        </w:rPr>
        <w:t xml:space="preserve">4928.141 through 4928.143, Revised Code, </w:t>
      </w:r>
      <w:r w:rsidR="004B0CDB">
        <w:rPr>
          <w:rFonts w:ascii="Arial" w:hAnsi="Arial" w:cs="Arial"/>
          <w:i/>
        </w:rPr>
        <w:t>as the Commission considers necessary</w:t>
      </w:r>
      <w:r w:rsidR="004B0CDB">
        <w:rPr>
          <w:rFonts w:ascii="Arial" w:hAnsi="Arial" w:cs="Arial"/>
        </w:rPr>
        <w:t xml:space="preserve">.  The Commission has </w:t>
      </w:r>
      <w:r w:rsidR="00B85A75">
        <w:rPr>
          <w:rFonts w:ascii="Arial" w:hAnsi="Arial" w:cs="Arial"/>
        </w:rPr>
        <w:t xml:space="preserve">broad </w:t>
      </w:r>
      <w:r w:rsidR="004B0CDB">
        <w:rPr>
          <w:rFonts w:ascii="Arial" w:hAnsi="Arial" w:cs="Arial"/>
        </w:rPr>
        <w:t>discre</w:t>
      </w:r>
      <w:r w:rsidR="002808C0">
        <w:rPr>
          <w:rFonts w:ascii="Arial" w:hAnsi="Arial" w:cs="Arial"/>
        </w:rPr>
        <w:t>tion to determine the details of any ordered</w:t>
      </w:r>
      <w:r w:rsidR="004B0CDB">
        <w:rPr>
          <w:rFonts w:ascii="Arial" w:hAnsi="Arial" w:cs="Arial"/>
        </w:rPr>
        <w:t xml:space="preserve"> phase-in</w:t>
      </w:r>
      <w:r w:rsidR="002808C0">
        <w:rPr>
          <w:rFonts w:ascii="Arial" w:hAnsi="Arial" w:cs="Arial"/>
        </w:rPr>
        <w:t xml:space="preserve"> of rates</w:t>
      </w:r>
      <w:r w:rsidR="00D1044E">
        <w:rPr>
          <w:rFonts w:ascii="Arial" w:hAnsi="Arial" w:cs="Arial"/>
        </w:rPr>
        <w:t>, so long as it is just and reasonable</w:t>
      </w:r>
      <w:r w:rsidR="00EB12B3">
        <w:rPr>
          <w:rFonts w:ascii="Arial" w:hAnsi="Arial" w:cs="Arial"/>
        </w:rPr>
        <w:t xml:space="preserve"> and the amount to be phased-in is otherwise lawful</w:t>
      </w:r>
      <w:r w:rsidR="004B0CDB">
        <w:rPr>
          <w:rFonts w:ascii="Arial" w:hAnsi="Arial" w:cs="Arial"/>
        </w:rPr>
        <w:t>.</w:t>
      </w:r>
      <w:r w:rsidR="00BF5747">
        <w:rPr>
          <w:rStyle w:val="FootnoteReference"/>
          <w:rFonts w:ascii="Arial" w:hAnsi="Arial" w:cs="Arial"/>
        </w:rPr>
        <w:footnoteReference w:id="30"/>
      </w:r>
      <w:r w:rsidR="005F7ABF">
        <w:rPr>
          <w:rFonts w:ascii="Arial" w:hAnsi="Arial" w:cs="Arial"/>
          <w:i/>
        </w:rPr>
        <w:t xml:space="preserve"> </w:t>
      </w:r>
    </w:p>
    <w:p w:rsidR="00EF7FAD" w:rsidRDefault="00EF2E13" w:rsidP="00585F0A">
      <w:pPr>
        <w:spacing w:after="120" w:line="480" w:lineRule="auto"/>
        <w:ind w:firstLine="720"/>
        <w:jc w:val="both"/>
        <w:rPr>
          <w:rFonts w:ascii="Arial" w:hAnsi="Arial" w:cs="Arial"/>
        </w:rPr>
      </w:pPr>
      <w:r>
        <w:rPr>
          <w:rFonts w:ascii="Arial" w:hAnsi="Arial" w:cs="Arial"/>
        </w:rPr>
        <w:lastRenderedPageBreak/>
        <w:t>Moreover, because the Commission has ongoing jurisdiction over the phase-in</w:t>
      </w:r>
      <w:r w:rsidR="002808C0">
        <w:rPr>
          <w:rFonts w:ascii="Arial" w:hAnsi="Arial" w:cs="Arial"/>
        </w:rPr>
        <w:t>,</w:t>
      </w:r>
      <w:r>
        <w:rPr>
          <w:rFonts w:ascii="Arial" w:hAnsi="Arial" w:cs="Arial"/>
        </w:rPr>
        <w:t xml:space="preserve"> </w:t>
      </w:r>
      <w:r>
        <w:rPr>
          <w:rFonts w:ascii="Arial" w:hAnsi="Arial" w:cs="Arial"/>
          <w:i/>
        </w:rPr>
        <w:t xml:space="preserve">res judicata </w:t>
      </w:r>
      <w:r>
        <w:rPr>
          <w:rFonts w:ascii="Arial" w:hAnsi="Arial" w:cs="Arial"/>
        </w:rPr>
        <w:t xml:space="preserve">only has limited application.  The Supreme Court of Ohio has determined in cases where an administrative agency maintains ongoing jurisdiction, </w:t>
      </w:r>
      <w:r>
        <w:rPr>
          <w:rFonts w:ascii="Arial" w:hAnsi="Arial" w:cs="Arial"/>
          <w:i/>
        </w:rPr>
        <w:t xml:space="preserve">res judicata </w:t>
      </w:r>
      <w:r>
        <w:rPr>
          <w:rFonts w:ascii="Arial" w:hAnsi="Arial" w:cs="Arial"/>
        </w:rPr>
        <w:t>does not apply to determinations in different time periods</w:t>
      </w:r>
      <w:r w:rsidR="00CE5DA6">
        <w:rPr>
          <w:rFonts w:ascii="Arial" w:hAnsi="Arial" w:cs="Arial"/>
        </w:rPr>
        <w:t xml:space="preserve"> and different audit periods</w:t>
      </w:r>
      <w:r>
        <w:rPr>
          <w:rFonts w:ascii="Arial" w:hAnsi="Arial" w:cs="Arial"/>
        </w:rPr>
        <w:t>.</w:t>
      </w:r>
      <w:r>
        <w:rPr>
          <w:rStyle w:val="FootnoteReference"/>
          <w:rFonts w:ascii="Arial" w:hAnsi="Arial" w:cs="Arial"/>
        </w:rPr>
        <w:footnoteReference w:id="31"/>
      </w:r>
      <w:r>
        <w:rPr>
          <w:rFonts w:ascii="Arial" w:hAnsi="Arial" w:cs="Arial"/>
        </w:rPr>
        <w:t xml:space="preserve">  </w:t>
      </w:r>
    </w:p>
    <w:p w:rsidR="001D45CF" w:rsidRDefault="00585F0A" w:rsidP="00D43ED3">
      <w:pPr>
        <w:spacing w:line="480" w:lineRule="auto"/>
        <w:ind w:firstLine="720"/>
        <w:jc w:val="both"/>
        <w:rPr>
          <w:rFonts w:ascii="Arial" w:hAnsi="Arial" w:cs="Arial"/>
          <w:b/>
        </w:rPr>
      </w:pPr>
      <w:r>
        <w:rPr>
          <w:rFonts w:ascii="Arial" w:hAnsi="Arial" w:cs="Arial"/>
          <w:b/>
        </w:rPr>
        <w:t>B.</w:t>
      </w:r>
      <w:r>
        <w:rPr>
          <w:rFonts w:ascii="Arial" w:hAnsi="Arial" w:cs="Arial"/>
          <w:b/>
        </w:rPr>
        <w:tab/>
      </w:r>
      <w:r w:rsidR="009D6DDD">
        <w:rPr>
          <w:rFonts w:ascii="Arial" w:hAnsi="Arial" w:cs="Arial"/>
          <w:b/>
        </w:rPr>
        <w:t>Estoppel Does Not B</w:t>
      </w:r>
      <w:r w:rsidR="00787807">
        <w:rPr>
          <w:rFonts w:ascii="Arial" w:hAnsi="Arial" w:cs="Arial"/>
          <w:b/>
        </w:rPr>
        <w:t>ar the Commission</w:t>
      </w:r>
    </w:p>
    <w:p w:rsidR="00B02290" w:rsidRDefault="00B02290" w:rsidP="00B02290">
      <w:pPr>
        <w:spacing w:line="480" w:lineRule="auto"/>
        <w:ind w:firstLine="720"/>
        <w:jc w:val="both"/>
        <w:rPr>
          <w:rFonts w:ascii="Arial" w:hAnsi="Arial" w:cs="Arial"/>
        </w:rPr>
      </w:pPr>
      <w:r>
        <w:rPr>
          <w:rFonts w:ascii="Arial" w:hAnsi="Arial" w:cs="Arial"/>
        </w:rPr>
        <w:t xml:space="preserve">AEP-Ohio claims that the Commission is “estopped by R.C. 4928.143 from unilaterally modifying a provision of </w:t>
      </w:r>
      <w:r w:rsidRPr="00363320">
        <w:rPr>
          <w:rFonts w:ascii="Arial" w:hAnsi="Arial" w:cs="Arial"/>
        </w:rPr>
        <w:t>ESP I</w:t>
      </w:r>
      <w:r>
        <w:rPr>
          <w:rFonts w:ascii="Arial" w:hAnsi="Arial" w:cs="Arial"/>
        </w:rPr>
        <w:t xml:space="preserve"> due to the Company’s statuto</w:t>
      </w:r>
      <w:r w:rsidR="00585F0A">
        <w:rPr>
          <w:rFonts w:ascii="Arial" w:hAnsi="Arial" w:cs="Arial"/>
        </w:rPr>
        <w:t>ry right to withdraw from the E</w:t>
      </w:r>
      <w:r>
        <w:rPr>
          <w:rFonts w:ascii="Arial" w:hAnsi="Arial" w:cs="Arial"/>
        </w:rPr>
        <w:t>S</w:t>
      </w:r>
      <w:r w:rsidR="00585F0A">
        <w:rPr>
          <w:rFonts w:ascii="Arial" w:hAnsi="Arial" w:cs="Arial"/>
        </w:rPr>
        <w:t>P</w:t>
      </w:r>
      <w:r>
        <w:rPr>
          <w:rFonts w:ascii="Arial" w:hAnsi="Arial" w:cs="Arial"/>
        </w:rPr>
        <w:t xml:space="preserve"> based on Commission modifications.”  AEP-Ohio’s claim is </w:t>
      </w:r>
      <w:r>
        <w:rPr>
          <w:rFonts w:ascii="Arial" w:hAnsi="Arial" w:cs="Arial"/>
        </w:rPr>
        <w:t>meritless.</w:t>
      </w:r>
    </w:p>
    <w:p w:rsidR="00D22190" w:rsidRDefault="00D22190" w:rsidP="00363320">
      <w:pPr>
        <w:spacing w:line="480" w:lineRule="auto"/>
        <w:ind w:firstLine="720"/>
        <w:jc w:val="both"/>
        <w:rPr>
          <w:rFonts w:ascii="Arial" w:hAnsi="Arial" w:cs="Arial"/>
        </w:rPr>
      </w:pPr>
      <w:r>
        <w:rPr>
          <w:rFonts w:ascii="Arial" w:hAnsi="Arial" w:cs="Arial"/>
        </w:rPr>
        <w:t>First, a</w:t>
      </w:r>
      <w:r w:rsidR="00B02290">
        <w:rPr>
          <w:rFonts w:ascii="Arial" w:hAnsi="Arial" w:cs="Arial"/>
        </w:rPr>
        <w:t>s stated above, the Commission did n</w:t>
      </w:r>
      <w:r>
        <w:rPr>
          <w:rFonts w:ascii="Arial" w:hAnsi="Arial" w:cs="Arial"/>
        </w:rPr>
        <w:t xml:space="preserve">ot modify the </w:t>
      </w:r>
      <w:r w:rsidR="00CE5DA6">
        <w:rPr>
          <w:rFonts w:ascii="Arial" w:hAnsi="Arial" w:cs="Arial"/>
        </w:rPr>
        <w:t>ESP I Order because such order</w:t>
      </w:r>
      <w:r w:rsidRPr="00D22190">
        <w:rPr>
          <w:rFonts w:ascii="Arial" w:hAnsi="Arial" w:cs="Arial"/>
        </w:rPr>
        <w:t xml:space="preserve"> did not determine</w:t>
      </w:r>
      <w:r>
        <w:rPr>
          <w:rFonts w:ascii="Arial" w:hAnsi="Arial" w:cs="Arial"/>
        </w:rPr>
        <w:t xml:space="preserve"> the carrying charge rate to be applied to the deferred balances</w:t>
      </w:r>
      <w:r w:rsidR="005D5072">
        <w:rPr>
          <w:rFonts w:ascii="Arial" w:hAnsi="Arial" w:cs="Arial"/>
        </w:rPr>
        <w:t xml:space="preserve"> during</w:t>
      </w:r>
      <w:r w:rsidRPr="00D22190">
        <w:rPr>
          <w:rFonts w:ascii="Arial" w:hAnsi="Arial" w:cs="Arial"/>
        </w:rPr>
        <w:t xml:space="preserve"> the amortization period</w:t>
      </w:r>
      <w:r w:rsidR="000912C7">
        <w:rPr>
          <w:rFonts w:ascii="Arial" w:hAnsi="Arial" w:cs="Arial"/>
        </w:rPr>
        <w:t xml:space="preserve"> or the deferred amount subject to amortization through a phase-in mechanism</w:t>
      </w:r>
      <w:r w:rsidRPr="00D22190">
        <w:rPr>
          <w:rFonts w:ascii="Arial" w:hAnsi="Arial" w:cs="Arial"/>
        </w:rPr>
        <w:t>.</w:t>
      </w:r>
      <w:r w:rsidR="00CE5DA6">
        <w:rPr>
          <w:rFonts w:ascii="Arial" w:hAnsi="Arial" w:cs="Arial"/>
        </w:rPr>
        <w:t xml:space="preserve">  Moreover, as a practical matter, the ESP I Order contemplated that the PIRR Application would be filed at the end of the ESP; thus, the order approving or modifying and approving the PIRR Application could not have occurred at a time when AEP-Ohio’s right to withdraw still existed.</w:t>
      </w:r>
    </w:p>
    <w:p w:rsidR="00D22190" w:rsidRDefault="00D22190" w:rsidP="00363320">
      <w:pPr>
        <w:spacing w:line="480" w:lineRule="auto"/>
        <w:ind w:firstLine="720"/>
        <w:jc w:val="both"/>
        <w:rPr>
          <w:rFonts w:ascii="Arial" w:hAnsi="Arial" w:cs="Arial"/>
        </w:rPr>
      </w:pPr>
      <w:r>
        <w:rPr>
          <w:rFonts w:ascii="Arial" w:hAnsi="Arial" w:cs="Arial"/>
        </w:rPr>
        <w:t>Second, AEP-Ohio cites to no precedent to support its position.</w:t>
      </w:r>
    </w:p>
    <w:p w:rsidR="00D22190" w:rsidRDefault="00D22190" w:rsidP="00585F0A">
      <w:pPr>
        <w:spacing w:line="480" w:lineRule="auto"/>
        <w:ind w:firstLine="720"/>
        <w:jc w:val="both"/>
        <w:rPr>
          <w:rFonts w:ascii="Arial" w:hAnsi="Arial" w:cs="Arial"/>
        </w:rPr>
      </w:pPr>
      <w:r>
        <w:rPr>
          <w:rFonts w:ascii="Arial" w:hAnsi="Arial" w:cs="Arial"/>
        </w:rPr>
        <w:t xml:space="preserve">Third, AEP-Ohio’s </w:t>
      </w:r>
      <w:r w:rsidRPr="00585F0A">
        <w:rPr>
          <w:rFonts w:ascii="Arial" w:hAnsi="Arial" w:cs="Arial"/>
          <w:i/>
        </w:rPr>
        <w:t>estoppel</w:t>
      </w:r>
      <w:r>
        <w:rPr>
          <w:rFonts w:ascii="Arial" w:hAnsi="Arial" w:cs="Arial"/>
        </w:rPr>
        <w:t xml:space="preserve"> position is disingenuous.  </w:t>
      </w:r>
      <w:r w:rsidRPr="00D22190">
        <w:rPr>
          <w:rFonts w:ascii="Arial" w:hAnsi="Arial" w:cs="Arial"/>
        </w:rPr>
        <w:t xml:space="preserve">AEP-Ohio’s view of Section 4928.141(C)(1), Revised Code (as demonstrated in its tariff submission letter), is that the EDU never has to say “yes” to the Commission’s version of the Modified ESP, but </w:t>
      </w:r>
      <w:r w:rsidRPr="00D22190">
        <w:rPr>
          <w:rFonts w:ascii="Arial" w:hAnsi="Arial" w:cs="Arial"/>
        </w:rPr>
        <w:lastRenderedPageBreak/>
        <w:t>can say “no” and withdraw compliance with the ESP II Order at any time.</w:t>
      </w:r>
      <w:r w:rsidRPr="00D22190">
        <w:rPr>
          <w:rFonts w:ascii="Arial" w:hAnsi="Arial" w:cs="Arial"/>
          <w:vertAlign w:val="superscript"/>
        </w:rPr>
        <w:footnoteReference w:id="32"/>
      </w:r>
      <w:r w:rsidR="000912C7">
        <w:rPr>
          <w:rFonts w:ascii="Arial" w:hAnsi="Arial" w:cs="Arial"/>
        </w:rPr>
        <w:t xml:space="preserve">  If</w:t>
      </w:r>
      <w:r>
        <w:rPr>
          <w:rFonts w:ascii="Arial" w:hAnsi="Arial" w:cs="Arial"/>
        </w:rPr>
        <w:t xml:space="preserve"> AEP-Ohio is not estopped fro</w:t>
      </w:r>
      <w:r w:rsidR="000912C7">
        <w:rPr>
          <w:rFonts w:ascii="Arial" w:hAnsi="Arial" w:cs="Arial"/>
        </w:rPr>
        <w:t xml:space="preserve">m rejecting a modified ESP </w:t>
      </w:r>
      <w:r>
        <w:rPr>
          <w:rFonts w:ascii="Arial" w:hAnsi="Arial" w:cs="Arial"/>
        </w:rPr>
        <w:t>after it receives the benefit of rate increases, then the Commission should not be estopped from altering the phase-in.</w:t>
      </w:r>
    </w:p>
    <w:p w:rsidR="00B02290" w:rsidRPr="001D45CF" w:rsidRDefault="00D22190" w:rsidP="00585F0A">
      <w:pPr>
        <w:spacing w:after="120" w:line="480" w:lineRule="auto"/>
        <w:ind w:firstLine="720"/>
        <w:jc w:val="both"/>
        <w:rPr>
          <w:rFonts w:ascii="Arial" w:hAnsi="Arial" w:cs="Arial"/>
        </w:rPr>
      </w:pPr>
      <w:r>
        <w:rPr>
          <w:rFonts w:ascii="Arial" w:hAnsi="Arial" w:cs="Arial"/>
        </w:rPr>
        <w:t>Fourth, AEP-Ohio has not claim</w:t>
      </w:r>
      <w:bookmarkStart w:id="2" w:name="_GoBack"/>
      <w:bookmarkEnd w:id="2"/>
      <w:r>
        <w:rPr>
          <w:rFonts w:ascii="Arial" w:hAnsi="Arial" w:cs="Arial"/>
        </w:rPr>
        <w:t>ed that it would have exercised its right to withdraw</w:t>
      </w:r>
      <w:r w:rsidR="000912C7">
        <w:rPr>
          <w:rFonts w:ascii="Arial" w:hAnsi="Arial" w:cs="Arial"/>
        </w:rPr>
        <w:t xml:space="preserve"> from the ESP based on the PIRR Order’s directive that AEP-Ohio accrue carrying charges at a debt rate</w:t>
      </w:r>
      <w:r>
        <w:rPr>
          <w:rFonts w:ascii="Arial" w:hAnsi="Arial" w:cs="Arial"/>
        </w:rPr>
        <w:t xml:space="preserve">.  </w:t>
      </w:r>
    </w:p>
    <w:p w:rsidR="00F43119" w:rsidRDefault="00585F0A" w:rsidP="00585F0A">
      <w:pPr>
        <w:ind w:left="1440" w:hanging="720"/>
        <w:jc w:val="both"/>
        <w:rPr>
          <w:rFonts w:ascii="Arial" w:hAnsi="Arial" w:cs="Arial"/>
          <w:b/>
        </w:rPr>
      </w:pPr>
      <w:r>
        <w:rPr>
          <w:rFonts w:ascii="Arial" w:hAnsi="Arial" w:cs="Arial"/>
          <w:b/>
        </w:rPr>
        <w:t>C.</w:t>
      </w:r>
      <w:r>
        <w:rPr>
          <w:rFonts w:ascii="Arial" w:hAnsi="Arial" w:cs="Arial"/>
          <w:b/>
        </w:rPr>
        <w:tab/>
      </w:r>
      <w:r w:rsidR="009D6DDD">
        <w:rPr>
          <w:rFonts w:ascii="Arial" w:hAnsi="Arial" w:cs="Arial"/>
          <w:b/>
        </w:rPr>
        <w:t>The Commission Must Not P</w:t>
      </w:r>
      <w:r w:rsidR="001D45CF">
        <w:rPr>
          <w:rFonts w:ascii="Arial" w:hAnsi="Arial" w:cs="Arial"/>
          <w:b/>
        </w:rPr>
        <w:t xml:space="preserve">ermit AEP-Ohio </w:t>
      </w:r>
      <w:r w:rsidR="009D6DDD">
        <w:rPr>
          <w:rFonts w:ascii="Arial" w:hAnsi="Arial" w:cs="Arial"/>
          <w:b/>
        </w:rPr>
        <w:t>to Adjust Its Capital S</w:t>
      </w:r>
      <w:r w:rsidR="001D45CF">
        <w:rPr>
          <w:rFonts w:ascii="Arial" w:hAnsi="Arial" w:cs="Arial"/>
          <w:b/>
        </w:rPr>
        <w:t>tructure</w:t>
      </w:r>
    </w:p>
    <w:p w:rsidR="00787807" w:rsidRPr="00EF2E13" w:rsidRDefault="00787807" w:rsidP="00787807">
      <w:pPr>
        <w:ind w:left="720"/>
        <w:jc w:val="both"/>
        <w:rPr>
          <w:rFonts w:ascii="Arial" w:hAnsi="Arial" w:cs="Arial"/>
        </w:rPr>
      </w:pPr>
    </w:p>
    <w:p w:rsidR="001D45CF" w:rsidRPr="001D45CF" w:rsidRDefault="001F4DF7" w:rsidP="001D45CF">
      <w:pPr>
        <w:spacing w:line="480" w:lineRule="auto"/>
        <w:ind w:firstLine="720"/>
        <w:jc w:val="both"/>
        <w:rPr>
          <w:rFonts w:ascii="Arial" w:hAnsi="Arial" w:cs="Arial"/>
        </w:rPr>
      </w:pPr>
      <w:r>
        <w:rPr>
          <w:rFonts w:ascii="Arial" w:hAnsi="Arial" w:cs="Arial"/>
        </w:rPr>
        <w:t>AEP-Ohio</w:t>
      </w:r>
      <w:r w:rsidR="001D45CF">
        <w:rPr>
          <w:rFonts w:ascii="Arial" w:hAnsi="Arial" w:cs="Arial"/>
        </w:rPr>
        <w:t>’s argument</w:t>
      </w:r>
      <w:r w:rsidR="001D45CF" w:rsidRPr="001D45CF">
        <w:rPr>
          <w:rFonts w:ascii="Arial" w:hAnsi="Arial" w:cs="Arial"/>
        </w:rPr>
        <w:t xml:space="preserve"> that its </w:t>
      </w:r>
      <w:r w:rsidR="00EB12B3">
        <w:rPr>
          <w:rFonts w:ascii="Arial" w:hAnsi="Arial" w:cs="Arial"/>
        </w:rPr>
        <w:t xml:space="preserve">actual </w:t>
      </w:r>
      <w:r w:rsidR="001D45CF" w:rsidRPr="001D45CF">
        <w:rPr>
          <w:rFonts w:ascii="Arial" w:hAnsi="Arial" w:cs="Arial"/>
        </w:rPr>
        <w:t>capital structure should be adjusted by the Commission because the carrying cost rate on the PIRR regu</w:t>
      </w:r>
      <w:r w:rsidR="00CE5DA6">
        <w:rPr>
          <w:rFonts w:ascii="Arial" w:hAnsi="Arial" w:cs="Arial"/>
        </w:rPr>
        <w:t>latory asset will be debt-based</w:t>
      </w:r>
      <w:r>
        <w:rPr>
          <w:rFonts w:ascii="Arial" w:hAnsi="Arial" w:cs="Arial"/>
        </w:rPr>
        <w:t xml:space="preserve"> has no basis</w:t>
      </w:r>
      <w:r w:rsidR="001D45CF" w:rsidRPr="001D45CF">
        <w:rPr>
          <w:rFonts w:ascii="Arial" w:hAnsi="Arial" w:cs="Arial"/>
        </w:rPr>
        <w:t xml:space="preserve"> in reality or past Commission practice.  The Commission does not make adjustments to a utility’s capital structure to reflect item-by item treatment of regulatory assets.  AEP-Ohio’s c</w:t>
      </w:r>
      <w:r w:rsidR="001D45CF">
        <w:rPr>
          <w:rFonts w:ascii="Arial" w:hAnsi="Arial" w:cs="Arial"/>
        </w:rPr>
        <w:t xml:space="preserve">apital structure is what it is — </w:t>
      </w:r>
      <w:r w:rsidR="001D45CF" w:rsidRPr="001D45CF">
        <w:rPr>
          <w:rFonts w:ascii="Arial" w:hAnsi="Arial" w:cs="Arial"/>
        </w:rPr>
        <w:t>the debt and equity balances are based on balances recorded on the Company’s balance sheet at a particular point in time, in accordance with l</w:t>
      </w:r>
      <w:r w:rsidR="008112B1">
        <w:rPr>
          <w:rFonts w:ascii="Arial" w:hAnsi="Arial" w:cs="Arial"/>
        </w:rPr>
        <w:t>ong-standing Commission practice</w:t>
      </w:r>
      <w:r w:rsidR="00EB12B3">
        <w:rPr>
          <w:rFonts w:ascii="Arial" w:hAnsi="Arial" w:cs="Arial"/>
        </w:rPr>
        <w:t xml:space="preserve"> and generally accepted accounting principles</w:t>
      </w:r>
      <w:r w:rsidR="001D45CF" w:rsidRPr="001D45CF">
        <w:rPr>
          <w:rFonts w:ascii="Arial" w:hAnsi="Arial" w:cs="Arial"/>
        </w:rPr>
        <w:t>.  To assert that these balances be adjusted</w:t>
      </w:r>
      <w:r w:rsidR="00576ECE">
        <w:rPr>
          <w:rFonts w:ascii="Arial" w:hAnsi="Arial" w:cs="Arial"/>
        </w:rPr>
        <w:t>,</w:t>
      </w:r>
      <w:r w:rsidR="001D45CF" w:rsidRPr="001D45CF">
        <w:rPr>
          <w:rFonts w:ascii="Arial" w:hAnsi="Arial" w:cs="Arial"/>
        </w:rPr>
        <w:t xml:space="preserve"> as AEP-Ohio is suggesting</w:t>
      </w:r>
      <w:r w:rsidR="00EB12B3">
        <w:rPr>
          <w:rFonts w:ascii="Arial" w:hAnsi="Arial" w:cs="Arial"/>
        </w:rPr>
        <w:t xml:space="preserve"> works to invent a hypothetical capital structure and </w:t>
      </w:r>
      <w:r w:rsidR="001D45CF" w:rsidRPr="001D45CF">
        <w:rPr>
          <w:rFonts w:ascii="Arial" w:hAnsi="Arial" w:cs="Arial"/>
        </w:rPr>
        <w:t xml:space="preserve">is </w:t>
      </w:r>
      <w:r w:rsidR="00EB12B3">
        <w:rPr>
          <w:rFonts w:ascii="Arial" w:hAnsi="Arial" w:cs="Arial"/>
        </w:rPr>
        <w:t xml:space="preserve">otherwise </w:t>
      </w:r>
      <w:r w:rsidR="001D45CF" w:rsidRPr="001D45CF">
        <w:rPr>
          <w:rFonts w:ascii="Arial" w:hAnsi="Arial" w:cs="Arial"/>
        </w:rPr>
        <w:t>nonsensical.</w:t>
      </w:r>
    </w:p>
    <w:p w:rsidR="007B12AE" w:rsidRDefault="001D45CF" w:rsidP="00787807">
      <w:pPr>
        <w:spacing w:line="480" w:lineRule="auto"/>
        <w:ind w:firstLine="720"/>
        <w:jc w:val="both"/>
        <w:rPr>
          <w:rFonts w:ascii="Arial" w:hAnsi="Arial" w:cs="Arial"/>
        </w:rPr>
      </w:pPr>
      <w:r w:rsidRPr="001D45CF">
        <w:rPr>
          <w:rFonts w:ascii="Arial" w:hAnsi="Arial" w:cs="Arial"/>
        </w:rPr>
        <w:t xml:space="preserve">Moreover, </w:t>
      </w:r>
      <w:r w:rsidR="003560B2">
        <w:rPr>
          <w:rFonts w:ascii="Arial" w:hAnsi="Arial" w:cs="Arial"/>
        </w:rPr>
        <w:t xml:space="preserve">the Commission should give no weight to </w:t>
      </w:r>
      <w:r w:rsidR="001F4DF7">
        <w:rPr>
          <w:rFonts w:ascii="Arial" w:hAnsi="Arial" w:cs="Arial"/>
        </w:rPr>
        <w:t>AEP-Ohio’s claim that it received a</w:t>
      </w:r>
      <w:r w:rsidRPr="001D45CF">
        <w:rPr>
          <w:rFonts w:ascii="Arial" w:hAnsi="Arial" w:cs="Arial"/>
        </w:rPr>
        <w:t xml:space="preserve"> $550 equity infusion</w:t>
      </w:r>
      <w:r w:rsidR="008112B1">
        <w:rPr>
          <w:rFonts w:ascii="Arial" w:hAnsi="Arial" w:cs="Arial"/>
        </w:rPr>
        <w:t xml:space="preserve"> from AEP Inc. </w:t>
      </w:r>
      <w:r w:rsidR="003560B2">
        <w:rPr>
          <w:rFonts w:ascii="Arial" w:hAnsi="Arial" w:cs="Arial"/>
        </w:rPr>
        <w:t>“</w:t>
      </w:r>
      <w:r w:rsidR="003560B2" w:rsidRPr="001D45CF">
        <w:rPr>
          <w:rFonts w:ascii="Arial" w:hAnsi="Arial" w:cs="Arial"/>
        </w:rPr>
        <w:t xml:space="preserve">when it became clear that there would </w:t>
      </w:r>
      <w:r w:rsidR="003560B2" w:rsidRPr="001D45CF">
        <w:rPr>
          <w:rFonts w:ascii="Arial" w:hAnsi="Arial" w:cs="Arial"/>
        </w:rPr>
        <w:lastRenderedPageBreak/>
        <w:t>be fuel deferrals that would be re</w:t>
      </w:r>
      <w:r w:rsidR="003560B2">
        <w:rPr>
          <w:rFonts w:ascii="Arial" w:hAnsi="Arial" w:cs="Arial"/>
        </w:rPr>
        <w:t>covered over a number of years.”</w:t>
      </w:r>
      <w:r w:rsidR="003560B2" w:rsidRPr="003560B2">
        <w:rPr>
          <w:rStyle w:val="FootnoteReference"/>
          <w:rFonts w:ascii="Arial" w:hAnsi="Arial" w:cs="Arial"/>
        </w:rPr>
        <w:t xml:space="preserve"> </w:t>
      </w:r>
      <w:r w:rsidR="003560B2">
        <w:rPr>
          <w:rStyle w:val="FootnoteReference"/>
          <w:rFonts w:ascii="Arial" w:hAnsi="Arial" w:cs="Arial"/>
        </w:rPr>
        <w:footnoteReference w:id="33"/>
      </w:r>
      <w:r w:rsidR="003560B2">
        <w:rPr>
          <w:rFonts w:ascii="Arial" w:hAnsi="Arial" w:cs="Arial"/>
        </w:rPr>
        <w:t xml:space="preserve">  Witness Hawkins described this infusion as a</w:t>
      </w:r>
      <w:r w:rsidRPr="001D45CF">
        <w:rPr>
          <w:rFonts w:ascii="Arial" w:hAnsi="Arial" w:cs="Arial"/>
        </w:rPr>
        <w:t xml:space="preserve"> cash contribution and an investment, but did not attribute any specific purpose for the contribution, con</w:t>
      </w:r>
      <w:r w:rsidR="00CE5DA6">
        <w:rPr>
          <w:rFonts w:ascii="Arial" w:hAnsi="Arial" w:cs="Arial"/>
        </w:rPr>
        <w:t>trary to AEP</w:t>
      </w:r>
      <w:r w:rsidR="003560B2">
        <w:rPr>
          <w:rFonts w:ascii="Arial" w:hAnsi="Arial" w:cs="Arial"/>
        </w:rPr>
        <w:t>-Ohio’s</w:t>
      </w:r>
      <w:r w:rsidR="00CE5DA6">
        <w:rPr>
          <w:rFonts w:ascii="Arial" w:hAnsi="Arial" w:cs="Arial"/>
        </w:rPr>
        <w:t xml:space="preserve"> assertion</w:t>
      </w:r>
      <w:r w:rsidR="00787807">
        <w:rPr>
          <w:rFonts w:ascii="Arial" w:hAnsi="Arial" w:cs="Arial"/>
        </w:rPr>
        <w:t>.</w:t>
      </w:r>
      <w:r w:rsidR="00EF7FAD">
        <w:rPr>
          <w:rStyle w:val="FootnoteReference"/>
          <w:rFonts w:ascii="Arial" w:hAnsi="Arial" w:cs="Arial"/>
        </w:rPr>
        <w:footnoteReference w:id="34"/>
      </w:r>
      <w:r w:rsidR="00EB12B3">
        <w:rPr>
          <w:rFonts w:ascii="Arial" w:hAnsi="Arial" w:cs="Arial"/>
        </w:rPr>
        <w:t xml:space="preserve">  Whatever equity infusion was made by its parent was and will be reflected in the actual capital structure.  </w:t>
      </w:r>
    </w:p>
    <w:p w:rsidR="007B12AE" w:rsidRPr="007B12AE" w:rsidRDefault="00585F0A" w:rsidP="00D43ED3">
      <w:pPr>
        <w:spacing w:line="480" w:lineRule="auto"/>
        <w:ind w:firstLine="720"/>
        <w:jc w:val="both"/>
        <w:rPr>
          <w:rFonts w:ascii="Arial" w:hAnsi="Arial" w:cs="Arial"/>
          <w:b/>
        </w:rPr>
      </w:pPr>
      <w:r>
        <w:rPr>
          <w:rFonts w:ascii="Arial" w:hAnsi="Arial" w:cs="Arial"/>
          <w:b/>
        </w:rPr>
        <w:t>D.</w:t>
      </w:r>
      <w:r>
        <w:rPr>
          <w:rFonts w:ascii="Arial" w:hAnsi="Arial" w:cs="Arial"/>
          <w:b/>
        </w:rPr>
        <w:tab/>
      </w:r>
      <w:r w:rsidR="009D6DDD">
        <w:rPr>
          <w:rFonts w:ascii="Arial" w:hAnsi="Arial" w:cs="Arial"/>
          <w:b/>
        </w:rPr>
        <w:t>The PIRR Order Does Not Undermine Securitization E</w:t>
      </w:r>
      <w:r w:rsidR="007B12AE">
        <w:rPr>
          <w:rFonts w:ascii="Arial" w:hAnsi="Arial" w:cs="Arial"/>
          <w:b/>
        </w:rPr>
        <w:t>fforts</w:t>
      </w:r>
    </w:p>
    <w:p w:rsidR="0038225B" w:rsidRDefault="007B12AE" w:rsidP="00D43ED3">
      <w:pPr>
        <w:spacing w:line="480" w:lineRule="auto"/>
        <w:ind w:firstLine="720"/>
        <w:jc w:val="both"/>
        <w:rPr>
          <w:rFonts w:ascii="Arial" w:hAnsi="Arial" w:cs="Arial"/>
        </w:rPr>
      </w:pPr>
      <w:r>
        <w:rPr>
          <w:rFonts w:ascii="Arial" w:hAnsi="Arial" w:cs="Arial"/>
        </w:rPr>
        <w:t>AEP-Ohio claims that the PIRR Order undermines the ability to securitize any regulatory asset.  Again, AEP-Ohio hangs its hat on the belief that all issues pertaining to the amortization of the PIRR were determined in the ESP I Order.  As stated above, that is simply not true</w:t>
      </w:r>
      <w:r w:rsidR="00EB12B3">
        <w:rPr>
          <w:rFonts w:ascii="Arial" w:hAnsi="Arial" w:cs="Arial"/>
        </w:rPr>
        <w:t xml:space="preserve"> and it </w:t>
      </w:r>
      <w:r>
        <w:rPr>
          <w:rFonts w:ascii="Arial" w:hAnsi="Arial" w:cs="Arial"/>
        </w:rPr>
        <w:t xml:space="preserve">is </w:t>
      </w:r>
      <w:r w:rsidR="00EB12B3">
        <w:rPr>
          <w:rFonts w:ascii="Arial" w:hAnsi="Arial" w:cs="Arial"/>
        </w:rPr>
        <w:t xml:space="preserve">not </w:t>
      </w:r>
      <w:r>
        <w:rPr>
          <w:rFonts w:ascii="Arial" w:hAnsi="Arial" w:cs="Arial"/>
        </w:rPr>
        <w:t>even possible due to several ongoing proceedings whi</w:t>
      </w:r>
      <w:r w:rsidR="00B71EBA">
        <w:rPr>
          <w:rFonts w:ascii="Arial" w:hAnsi="Arial" w:cs="Arial"/>
        </w:rPr>
        <w:t xml:space="preserve">ch impact the </w:t>
      </w:r>
      <w:r w:rsidR="00EB12B3">
        <w:rPr>
          <w:rFonts w:ascii="Arial" w:hAnsi="Arial" w:cs="Arial"/>
        </w:rPr>
        <w:t xml:space="preserve">amount of the ESP I increase that will </w:t>
      </w:r>
      <w:r w:rsidR="00B71EBA">
        <w:rPr>
          <w:rFonts w:ascii="Arial" w:hAnsi="Arial" w:cs="Arial"/>
        </w:rPr>
        <w:t xml:space="preserve">ultimately </w:t>
      </w:r>
      <w:r w:rsidR="00EB12B3">
        <w:rPr>
          <w:rFonts w:ascii="Arial" w:hAnsi="Arial" w:cs="Arial"/>
        </w:rPr>
        <w:t xml:space="preserve">be recoverable from customers once the proceedings and the contested issues identified therein are finally resolved.   These issues </w:t>
      </w:r>
      <w:r>
        <w:rPr>
          <w:rFonts w:ascii="Arial" w:hAnsi="Arial" w:cs="Arial"/>
        </w:rPr>
        <w:t>must be completely resolved at both the Commission and Supreme Court of Ohio</w:t>
      </w:r>
      <w:r w:rsidR="0038225B">
        <w:rPr>
          <w:rFonts w:ascii="Arial" w:hAnsi="Arial" w:cs="Arial"/>
        </w:rPr>
        <w:t xml:space="preserve"> before s</w:t>
      </w:r>
      <w:r w:rsidR="00B71EBA">
        <w:rPr>
          <w:rFonts w:ascii="Arial" w:hAnsi="Arial" w:cs="Arial"/>
        </w:rPr>
        <w:t>ecuritization may move forward.</w:t>
      </w:r>
      <w:r w:rsidR="00B71EBA">
        <w:rPr>
          <w:rStyle w:val="FootnoteReference"/>
          <w:rFonts w:ascii="Arial" w:hAnsi="Arial" w:cs="Arial"/>
        </w:rPr>
        <w:footnoteReference w:id="35"/>
      </w:r>
      <w:r w:rsidR="0038225B">
        <w:rPr>
          <w:rFonts w:ascii="Arial" w:hAnsi="Arial" w:cs="Arial"/>
        </w:rPr>
        <w:t xml:space="preserve"> </w:t>
      </w:r>
    </w:p>
    <w:p w:rsidR="00787807" w:rsidRDefault="00585F0A" w:rsidP="00585F0A">
      <w:pPr>
        <w:pStyle w:val="ListParagraph"/>
        <w:numPr>
          <w:ilvl w:val="0"/>
          <w:numId w:val="9"/>
        </w:numPr>
        <w:spacing w:line="480" w:lineRule="auto"/>
        <w:ind w:left="720"/>
        <w:jc w:val="both"/>
        <w:rPr>
          <w:rFonts w:ascii="Arial" w:hAnsi="Arial" w:cs="Arial"/>
          <w:b/>
        </w:rPr>
      </w:pPr>
      <w:r>
        <w:rPr>
          <w:rFonts w:ascii="Arial" w:hAnsi="Arial" w:cs="Arial"/>
          <w:b/>
        </w:rPr>
        <w:t>CONCLUSION</w:t>
      </w:r>
    </w:p>
    <w:p w:rsidR="008561E6" w:rsidRDefault="00E41E20" w:rsidP="00585F0A">
      <w:pPr>
        <w:spacing w:line="480" w:lineRule="auto"/>
        <w:ind w:firstLine="720"/>
        <w:jc w:val="both"/>
        <w:rPr>
          <w:rFonts w:ascii="Arial" w:hAnsi="Arial" w:cs="Arial"/>
          <w:b/>
          <w:sz w:val="22"/>
          <w:szCs w:val="22"/>
        </w:rPr>
      </w:pPr>
      <w:r>
        <w:rPr>
          <w:rFonts w:ascii="Arial" w:hAnsi="Arial" w:cs="Arial"/>
        </w:rPr>
        <w:t xml:space="preserve">AEP-Ohio’s Application for Rehearing </w:t>
      </w:r>
      <w:r w:rsidR="00EB12B3">
        <w:rPr>
          <w:rFonts w:ascii="Arial" w:hAnsi="Arial" w:cs="Arial"/>
        </w:rPr>
        <w:t>is without merit</w:t>
      </w:r>
      <w:r w:rsidR="00363320">
        <w:rPr>
          <w:rFonts w:ascii="Arial" w:hAnsi="Arial" w:cs="Arial"/>
        </w:rPr>
        <w:t xml:space="preserve"> and should</w:t>
      </w:r>
      <w:r w:rsidR="00EB12B3">
        <w:rPr>
          <w:rFonts w:ascii="Arial" w:hAnsi="Arial" w:cs="Arial"/>
        </w:rPr>
        <w:t xml:space="preserve"> </w:t>
      </w:r>
      <w:r>
        <w:rPr>
          <w:rFonts w:ascii="Arial" w:hAnsi="Arial" w:cs="Arial"/>
        </w:rPr>
        <w:t xml:space="preserve">be denied.  </w:t>
      </w:r>
      <w:r w:rsidR="00EB12B3">
        <w:rPr>
          <w:rFonts w:ascii="Arial" w:hAnsi="Arial" w:cs="Arial"/>
        </w:rPr>
        <w:t xml:space="preserve">For the reasons stated herein and previously, IEU-Ohio urges the Commission to reject AEP-Ohio’s </w:t>
      </w:r>
      <w:r w:rsidR="00585F0A">
        <w:rPr>
          <w:rFonts w:ascii="Arial" w:hAnsi="Arial" w:cs="Arial"/>
        </w:rPr>
        <w:t>r</w:t>
      </w:r>
      <w:r w:rsidR="00EB12B3">
        <w:rPr>
          <w:rFonts w:ascii="Arial" w:hAnsi="Arial" w:cs="Arial"/>
        </w:rPr>
        <w:t>ehearing application.  For th</w:t>
      </w:r>
      <w:r w:rsidR="00585F0A">
        <w:rPr>
          <w:rFonts w:ascii="Arial" w:hAnsi="Arial" w:cs="Arial"/>
        </w:rPr>
        <w:t xml:space="preserve">e reasons stated in IEU-Ohio’s </w:t>
      </w:r>
      <w:r w:rsidR="00585F0A">
        <w:rPr>
          <w:rFonts w:ascii="Arial" w:hAnsi="Arial" w:cs="Arial"/>
          <w:caps/>
        </w:rPr>
        <w:t>A</w:t>
      </w:r>
      <w:r w:rsidR="00585F0A">
        <w:rPr>
          <w:rFonts w:ascii="Arial" w:hAnsi="Arial" w:cs="Arial"/>
        </w:rPr>
        <w:t>pplication for R</w:t>
      </w:r>
      <w:r w:rsidR="00EB12B3">
        <w:rPr>
          <w:rFonts w:ascii="Arial" w:hAnsi="Arial" w:cs="Arial"/>
        </w:rPr>
        <w:t>ehearing, IEU-Ohio again urges the Commi</w:t>
      </w:r>
      <w:r w:rsidR="00585F0A">
        <w:rPr>
          <w:rFonts w:ascii="Arial" w:hAnsi="Arial" w:cs="Arial"/>
        </w:rPr>
        <w:t>ssion to grant IEU-Ohio’s A</w:t>
      </w:r>
      <w:r w:rsidR="00EB12B3">
        <w:rPr>
          <w:rFonts w:ascii="Arial" w:hAnsi="Arial" w:cs="Arial"/>
        </w:rPr>
        <w:t xml:space="preserve">pplication and </w:t>
      </w:r>
      <w:r w:rsidR="00EB12B3">
        <w:rPr>
          <w:rFonts w:ascii="Arial" w:hAnsi="Arial" w:cs="Arial"/>
        </w:rPr>
        <w:lastRenderedPageBreak/>
        <w:t>lift a portion of the unreasonable PIRR charges from the</w:t>
      </w:r>
      <w:r w:rsidR="00585F0A">
        <w:rPr>
          <w:rFonts w:ascii="Arial" w:hAnsi="Arial" w:cs="Arial"/>
        </w:rPr>
        <w:t xml:space="preserve"> backs of AEP-Ohio’s customers.</w:t>
      </w:r>
    </w:p>
    <w:p w:rsidR="000215F4" w:rsidRDefault="000215F4" w:rsidP="000215F4">
      <w:pPr>
        <w:tabs>
          <w:tab w:val="left" w:pos="4320"/>
          <w:tab w:val="right" w:pos="8640"/>
        </w:tabs>
        <w:ind w:left="4320"/>
        <w:jc w:val="both"/>
        <w:rPr>
          <w:rFonts w:ascii="Arial" w:hAnsi="Arial" w:cs="Arial"/>
        </w:rPr>
      </w:pPr>
      <w:r>
        <w:rPr>
          <w:rFonts w:ascii="Arial" w:hAnsi="Arial" w:cs="Arial"/>
        </w:rPr>
        <w:t>Respectfully submitted,</w:t>
      </w:r>
    </w:p>
    <w:p w:rsidR="000215F4" w:rsidRDefault="000215F4" w:rsidP="000215F4">
      <w:pPr>
        <w:tabs>
          <w:tab w:val="left" w:pos="4320"/>
          <w:tab w:val="right" w:pos="8640"/>
        </w:tabs>
        <w:ind w:left="4320"/>
        <w:jc w:val="both"/>
        <w:rPr>
          <w:rFonts w:ascii="Arial" w:hAnsi="Arial" w:cs="Arial"/>
        </w:rPr>
      </w:pPr>
    </w:p>
    <w:p w:rsidR="000215F4" w:rsidRDefault="000215F4" w:rsidP="000215F4">
      <w:pPr>
        <w:tabs>
          <w:tab w:val="left" w:pos="4320"/>
          <w:tab w:val="right" w:pos="8640"/>
        </w:tabs>
        <w:ind w:left="4320"/>
        <w:jc w:val="both"/>
        <w:rPr>
          <w:rFonts w:ascii="Arial" w:hAnsi="Arial" w:cs="Arial"/>
        </w:rPr>
      </w:pPr>
    </w:p>
    <w:p w:rsidR="000215F4" w:rsidRDefault="00585F0A" w:rsidP="000215F4">
      <w:pPr>
        <w:tabs>
          <w:tab w:val="left" w:pos="4320"/>
          <w:tab w:val="right" w:pos="8640"/>
        </w:tabs>
        <w:ind w:left="4320"/>
        <w:jc w:val="both"/>
        <w:rPr>
          <w:rFonts w:ascii="Arial" w:hAnsi="Arial" w:cs="Arial"/>
          <w:u w:val="single"/>
        </w:rPr>
      </w:pPr>
      <w:r>
        <w:rPr>
          <w:rFonts w:ascii="Arial" w:hAnsi="Arial" w:cs="Arial"/>
          <w:u w:val="single"/>
        </w:rPr>
        <w:t>/s/ Joseph E. Oliker</w:t>
      </w:r>
      <w:r w:rsidR="000215F4">
        <w:rPr>
          <w:rFonts w:ascii="Arial" w:hAnsi="Arial" w:cs="Arial"/>
          <w:u w:val="single"/>
        </w:rPr>
        <w:tab/>
      </w:r>
      <w:r w:rsidR="000215F4">
        <w:rPr>
          <w:rFonts w:ascii="Arial" w:hAnsi="Arial" w:cs="Arial"/>
          <w:u w:val="single"/>
        </w:rPr>
        <w:tab/>
      </w:r>
    </w:p>
    <w:p w:rsidR="000215F4" w:rsidRDefault="000215F4" w:rsidP="000215F4">
      <w:pPr>
        <w:tabs>
          <w:tab w:val="left" w:pos="4320"/>
          <w:tab w:val="right" w:pos="8640"/>
        </w:tabs>
        <w:ind w:left="4320"/>
        <w:jc w:val="both"/>
        <w:rPr>
          <w:rFonts w:ascii="Arial" w:hAnsi="Arial" w:cs="Arial"/>
        </w:rPr>
      </w:pPr>
      <w:r>
        <w:rPr>
          <w:rFonts w:ascii="Arial" w:hAnsi="Arial" w:cs="Arial"/>
        </w:rPr>
        <w:t>Samuel C. Randazzo (Counsel of Record)</w:t>
      </w:r>
    </w:p>
    <w:p w:rsidR="000215F4" w:rsidRDefault="000215F4" w:rsidP="000215F4">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0215F4" w:rsidRDefault="000215F4" w:rsidP="000215F4">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3142A" w:rsidRDefault="00D3142A" w:rsidP="000215F4">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0215F4" w:rsidRDefault="000215F4" w:rsidP="000215F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215F4" w:rsidRDefault="000215F4" w:rsidP="000215F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215F4" w:rsidRDefault="000215F4" w:rsidP="000215F4">
      <w:pPr>
        <w:pStyle w:val="BodyText"/>
        <w:tabs>
          <w:tab w:val="left" w:pos="4320"/>
        </w:tabs>
        <w:ind w:left="4320"/>
      </w:pPr>
      <w:r>
        <w:t>Columbus, OH  43215</w:t>
      </w:r>
    </w:p>
    <w:p w:rsidR="000215F4" w:rsidRDefault="000215F4" w:rsidP="000215F4">
      <w:pPr>
        <w:pStyle w:val="BodyText"/>
        <w:tabs>
          <w:tab w:val="left" w:pos="4320"/>
        </w:tabs>
        <w:ind w:left="4320"/>
      </w:pPr>
      <w:r>
        <w:t>Telephone:  (614) 469-8000</w:t>
      </w:r>
    </w:p>
    <w:p w:rsidR="000215F4" w:rsidRDefault="000215F4" w:rsidP="000215F4">
      <w:pPr>
        <w:pStyle w:val="BodyText"/>
        <w:tabs>
          <w:tab w:val="left" w:pos="4320"/>
        </w:tabs>
        <w:ind w:left="4320"/>
      </w:pPr>
      <w:r>
        <w:t>Telecopier:  (614) 469-4653</w:t>
      </w:r>
    </w:p>
    <w:p w:rsidR="000215F4" w:rsidRDefault="000215F4" w:rsidP="000215F4">
      <w:pPr>
        <w:pStyle w:val="BodyText"/>
        <w:ind w:left="4320"/>
      </w:pPr>
      <w:r>
        <w:t>sam@mwncmh.com</w:t>
      </w:r>
    </w:p>
    <w:p w:rsidR="000215F4" w:rsidRDefault="000215F4" w:rsidP="000215F4">
      <w:pPr>
        <w:pStyle w:val="BodyText"/>
        <w:ind w:left="4320"/>
      </w:pPr>
      <w:r>
        <w:t>fdarr@mwncmh.com</w:t>
      </w:r>
    </w:p>
    <w:p w:rsidR="00D3142A" w:rsidRDefault="00D3142A" w:rsidP="00D3142A">
      <w:pPr>
        <w:pStyle w:val="BodyText"/>
        <w:ind w:left="4320"/>
      </w:pPr>
      <w:r w:rsidRPr="00D3142A">
        <w:t>joliker@mwncmh.com</w:t>
      </w:r>
    </w:p>
    <w:p w:rsidR="00D3142A" w:rsidRDefault="00D3142A" w:rsidP="00D3142A">
      <w:pPr>
        <w:pStyle w:val="BodyText"/>
        <w:ind w:left="4320"/>
      </w:pPr>
      <w:r>
        <w:t>mpritchard@mwncmh.com</w:t>
      </w:r>
    </w:p>
    <w:p w:rsidR="000215F4" w:rsidRDefault="000215F4" w:rsidP="000215F4">
      <w:pPr>
        <w:tabs>
          <w:tab w:val="left" w:pos="4320"/>
          <w:tab w:val="right" w:pos="9240"/>
        </w:tabs>
        <w:ind w:left="4320"/>
        <w:rPr>
          <w:rFonts w:ascii="Arial" w:hAnsi="Arial" w:cs="Arial"/>
          <w:b/>
          <w:bCs/>
        </w:rPr>
      </w:pPr>
    </w:p>
    <w:p w:rsidR="000215F4" w:rsidRDefault="000215F4" w:rsidP="000215F4">
      <w:pPr>
        <w:tabs>
          <w:tab w:val="left" w:pos="4320"/>
          <w:tab w:val="right" w:pos="9240"/>
        </w:tabs>
        <w:ind w:left="4320"/>
        <w:rPr>
          <w:rFonts w:ascii="Arial" w:hAnsi="Arial" w:cs="Arial"/>
          <w:b/>
        </w:rPr>
      </w:pPr>
      <w:r>
        <w:rPr>
          <w:rFonts w:ascii="Arial" w:hAnsi="Arial" w:cs="Arial"/>
          <w:b/>
          <w:bCs/>
        </w:rPr>
        <w:t>Attorneys for</w:t>
      </w:r>
      <w:r>
        <w:rPr>
          <w:rFonts w:ascii="Arial" w:hAnsi="Arial" w:cs="Arial"/>
        </w:rPr>
        <w:t xml:space="preserve"> </w:t>
      </w:r>
      <w:r>
        <w:rPr>
          <w:rFonts w:ascii="Arial" w:hAnsi="Arial" w:cs="Arial"/>
          <w:b/>
        </w:rPr>
        <w:t>Industrial Energy Users-Ohio</w:t>
      </w:r>
    </w:p>
    <w:p w:rsidR="004E7DEF" w:rsidRDefault="004E7DEF" w:rsidP="000215F4">
      <w:pPr>
        <w:tabs>
          <w:tab w:val="left" w:pos="4320"/>
          <w:tab w:val="right" w:pos="9240"/>
        </w:tabs>
        <w:ind w:left="4320"/>
        <w:rPr>
          <w:rFonts w:ascii="Arial" w:hAnsi="Arial" w:cs="Arial"/>
          <w:b/>
        </w:rPr>
      </w:pPr>
    </w:p>
    <w:p w:rsidR="000215F4" w:rsidRDefault="000215F4" w:rsidP="002C31DA">
      <w:pPr>
        <w:tabs>
          <w:tab w:val="left" w:pos="2160"/>
          <w:tab w:val="left" w:pos="2280"/>
        </w:tabs>
        <w:jc w:val="center"/>
        <w:rPr>
          <w:rFonts w:ascii="Arial" w:hAnsi="Arial" w:cs="Arial"/>
          <w:b/>
          <w:sz w:val="22"/>
          <w:szCs w:val="22"/>
        </w:rPr>
        <w:sectPr w:rsidR="000215F4" w:rsidSect="00D97C0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2C31DA" w:rsidRPr="002C31DA" w:rsidRDefault="002C31DA" w:rsidP="002C31DA">
      <w:pPr>
        <w:tabs>
          <w:tab w:val="left" w:pos="2160"/>
          <w:tab w:val="left" w:pos="2280"/>
        </w:tabs>
        <w:jc w:val="center"/>
        <w:rPr>
          <w:rFonts w:ascii="Arial" w:hAnsi="Arial" w:cs="Arial"/>
          <w:b/>
          <w:sz w:val="22"/>
          <w:szCs w:val="22"/>
        </w:rPr>
      </w:pPr>
      <w:r w:rsidRPr="002C31DA">
        <w:rPr>
          <w:rFonts w:ascii="Arial" w:hAnsi="Arial" w:cs="Arial"/>
          <w:b/>
          <w:sz w:val="22"/>
          <w:szCs w:val="22"/>
        </w:rPr>
        <w:lastRenderedPageBreak/>
        <w:t>CERTIFICATE OF SERVICE</w:t>
      </w:r>
    </w:p>
    <w:p w:rsidR="002C31DA" w:rsidRPr="002C31DA" w:rsidRDefault="002C31DA" w:rsidP="002C31DA">
      <w:pPr>
        <w:tabs>
          <w:tab w:val="left" w:pos="2160"/>
          <w:tab w:val="left" w:pos="2280"/>
        </w:tabs>
        <w:rPr>
          <w:rFonts w:ascii="Arial" w:hAnsi="Arial" w:cs="Arial"/>
          <w:b/>
          <w:sz w:val="22"/>
          <w:szCs w:val="22"/>
        </w:rPr>
      </w:pPr>
    </w:p>
    <w:p w:rsidR="002C31DA" w:rsidRPr="002C31DA" w:rsidRDefault="00BC55A0" w:rsidP="00BC55A0">
      <w:pPr>
        <w:tabs>
          <w:tab w:val="left" w:pos="720"/>
          <w:tab w:val="left" w:pos="2160"/>
          <w:tab w:val="left" w:pos="2280"/>
        </w:tabs>
        <w:spacing w:line="480" w:lineRule="auto"/>
        <w:jc w:val="both"/>
        <w:rPr>
          <w:rFonts w:ascii="Arial" w:hAnsi="Arial" w:cs="Arial"/>
          <w:sz w:val="22"/>
          <w:szCs w:val="22"/>
        </w:rPr>
      </w:pPr>
      <w:r>
        <w:rPr>
          <w:rFonts w:ascii="Arial" w:hAnsi="Arial" w:cs="Arial"/>
          <w:sz w:val="22"/>
          <w:szCs w:val="22"/>
        </w:rPr>
        <w:tab/>
      </w:r>
      <w:r w:rsidR="002C31DA" w:rsidRPr="002C31DA">
        <w:rPr>
          <w:rFonts w:ascii="Arial" w:hAnsi="Arial" w:cs="Arial"/>
          <w:sz w:val="22"/>
          <w:szCs w:val="22"/>
        </w:rPr>
        <w:t xml:space="preserve">I hereby certify that a copy of the foregoing </w:t>
      </w:r>
      <w:r w:rsidR="00D3142A">
        <w:rPr>
          <w:rFonts w:ascii="Arial" w:hAnsi="Arial" w:cs="Arial"/>
          <w:i/>
          <w:sz w:val="22"/>
          <w:szCs w:val="22"/>
        </w:rPr>
        <w:t>Industrial Energy Users-Ohio’s Memorandum Contra Ohio Power Company’s Ap</w:t>
      </w:r>
      <w:r w:rsidR="006969C0">
        <w:rPr>
          <w:rFonts w:ascii="Arial" w:hAnsi="Arial" w:cs="Arial"/>
          <w:i/>
          <w:sz w:val="22"/>
          <w:szCs w:val="22"/>
        </w:rPr>
        <w:t>plication for Rehearing</w:t>
      </w:r>
      <w:r w:rsidR="002C31DA" w:rsidRPr="002C31DA">
        <w:rPr>
          <w:rFonts w:ascii="Arial" w:hAnsi="Arial" w:cs="Arial"/>
          <w:sz w:val="22"/>
          <w:szCs w:val="22"/>
        </w:rPr>
        <w:t>, was served upon the foll</w:t>
      </w:r>
      <w:r w:rsidR="001C691D">
        <w:rPr>
          <w:rFonts w:ascii="Arial" w:hAnsi="Arial" w:cs="Arial"/>
          <w:sz w:val="22"/>
          <w:szCs w:val="22"/>
        </w:rPr>
        <w:t xml:space="preserve">owing parties of record this </w:t>
      </w:r>
      <w:r w:rsidR="00585F0A">
        <w:rPr>
          <w:rFonts w:ascii="Arial" w:hAnsi="Arial" w:cs="Arial"/>
          <w:sz w:val="22"/>
          <w:szCs w:val="22"/>
        </w:rPr>
        <w:t>10th</w:t>
      </w:r>
      <w:r w:rsidR="00D3142A">
        <w:rPr>
          <w:rFonts w:ascii="Arial" w:hAnsi="Arial" w:cs="Arial"/>
          <w:sz w:val="22"/>
          <w:szCs w:val="22"/>
        </w:rPr>
        <w:t xml:space="preserve"> day of September</w:t>
      </w:r>
      <w:r w:rsidR="005B08F7">
        <w:rPr>
          <w:rFonts w:ascii="Arial" w:hAnsi="Arial" w:cs="Arial"/>
          <w:sz w:val="22"/>
          <w:szCs w:val="22"/>
        </w:rPr>
        <w:t>, 2012</w:t>
      </w:r>
      <w:r w:rsidR="002C31DA" w:rsidRPr="002C31DA">
        <w:rPr>
          <w:rFonts w:ascii="Arial" w:hAnsi="Arial" w:cs="Arial"/>
          <w:sz w:val="22"/>
          <w:szCs w:val="22"/>
        </w:rPr>
        <w:t xml:space="preserve">, </w:t>
      </w:r>
      <w:r w:rsidR="002C31DA" w:rsidRPr="002C31DA">
        <w:rPr>
          <w:rFonts w:ascii="Arial" w:hAnsi="Arial" w:cs="Arial"/>
          <w:i/>
          <w:sz w:val="22"/>
          <w:szCs w:val="22"/>
        </w:rPr>
        <w:t>via</w:t>
      </w:r>
      <w:r w:rsidR="002C31DA" w:rsidRPr="002C31DA">
        <w:rPr>
          <w:rFonts w:ascii="Arial" w:hAnsi="Arial" w:cs="Arial"/>
          <w:sz w:val="22"/>
          <w:szCs w:val="22"/>
        </w:rPr>
        <w:t xml:space="preserve"> electronic transmission, hand-delivery or first class U.S. mail, postage prepaid.</w:t>
      </w:r>
    </w:p>
    <w:p w:rsidR="002C31DA" w:rsidRPr="00D3142A" w:rsidRDefault="002C31DA" w:rsidP="002C31DA">
      <w:pPr>
        <w:tabs>
          <w:tab w:val="left" w:pos="2160"/>
          <w:tab w:val="left" w:pos="2280"/>
        </w:tabs>
        <w:rPr>
          <w:rFonts w:ascii="Arial" w:hAnsi="Arial" w:cs="Arial"/>
          <w:sz w:val="22"/>
          <w:szCs w:val="22"/>
          <w:u w:val="single"/>
        </w:rPr>
      </w:pPr>
      <w:r w:rsidRPr="002C31DA">
        <w:rPr>
          <w:rFonts w:ascii="Arial" w:hAnsi="Arial" w:cs="Arial"/>
          <w:b/>
          <w:sz w:val="22"/>
          <w:szCs w:val="22"/>
        </w:rPr>
        <w:tab/>
      </w:r>
      <w:r w:rsidRPr="002C31DA">
        <w:rPr>
          <w:rFonts w:ascii="Arial" w:hAnsi="Arial" w:cs="Arial"/>
          <w:b/>
          <w:sz w:val="22"/>
          <w:szCs w:val="22"/>
        </w:rPr>
        <w:tab/>
      </w:r>
      <w:r w:rsidRPr="002C31DA">
        <w:rPr>
          <w:rFonts w:ascii="Arial" w:hAnsi="Arial" w:cs="Arial"/>
          <w:b/>
          <w:sz w:val="22"/>
          <w:szCs w:val="22"/>
        </w:rPr>
        <w:tab/>
      </w:r>
      <w:r w:rsidRPr="002C31DA">
        <w:rPr>
          <w:rFonts w:ascii="Arial" w:hAnsi="Arial" w:cs="Arial"/>
          <w:b/>
          <w:sz w:val="22"/>
          <w:szCs w:val="22"/>
        </w:rPr>
        <w:tab/>
      </w:r>
      <w:r w:rsidRPr="002C31DA">
        <w:rPr>
          <w:rFonts w:ascii="Arial" w:hAnsi="Arial" w:cs="Arial"/>
          <w:b/>
          <w:sz w:val="22"/>
          <w:szCs w:val="22"/>
        </w:rPr>
        <w:tab/>
      </w:r>
      <w:r w:rsidRPr="002C31DA">
        <w:rPr>
          <w:rFonts w:ascii="Arial" w:hAnsi="Arial" w:cs="Arial"/>
          <w:b/>
          <w:sz w:val="22"/>
          <w:szCs w:val="22"/>
        </w:rPr>
        <w:tab/>
      </w:r>
      <w:r w:rsidR="00585F0A">
        <w:rPr>
          <w:rFonts w:ascii="Arial" w:hAnsi="Arial" w:cs="Arial"/>
          <w:sz w:val="22"/>
          <w:szCs w:val="22"/>
          <w:u w:val="single"/>
        </w:rPr>
        <w:t>/s/ Joseph E. Oliker</w:t>
      </w:r>
      <w:r w:rsidR="00585F0A">
        <w:rPr>
          <w:rFonts w:ascii="Arial" w:hAnsi="Arial" w:cs="Arial"/>
          <w:sz w:val="22"/>
          <w:szCs w:val="22"/>
          <w:u w:val="single"/>
        </w:rPr>
        <w:tab/>
      </w:r>
      <w:r w:rsidRPr="00D3142A">
        <w:rPr>
          <w:rFonts w:ascii="Arial" w:hAnsi="Arial" w:cs="Arial"/>
          <w:sz w:val="22"/>
          <w:szCs w:val="22"/>
          <w:u w:val="single"/>
        </w:rPr>
        <w:tab/>
      </w:r>
      <w:r w:rsidRPr="00D3142A">
        <w:rPr>
          <w:rFonts w:ascii="Arial" w:hAnsi="Arial" w:cs="Arial"/>
          <w:sz w:val="22"/>
          <w:szCs w:val="22"/>
          <w:u w:val="single"/>
        </w:rPr>
        <w:tab/>
      </w:r>
      <w:r w:rsidRPr="00D3142A">
        <w:rPr>
          <w:rFonts w:ascii="Arial" w:hAnsi="Arial" w:cs="Arial"/>
          <w:sz w:val="22"/>
          <w:szCs w:val="22"/>
          <w:u w:val="single"/>
        </w:rPr>
        <w:tab/>
      </w:r>
    </w:p>
    <w:p w:rsidR="002C31DA" w:rsidRPr="00D3142A" w:rsidRDefault="002C31DA" w:rsidP="002C31DA">
      <w:pPr>
        <w:tabs>
          <w:tab w:val="left" w:pos="2160"/>
          <w:tab w:val="left" w:pos="2280"/>
        </w:tabs>
        <w:rPr>
          <w:rFonts w:ascii="Arial" w:hAnsi="Arial" w:cs="Arial"/>
          <w:sz w:val="22"/>
          <w:szCs w:val="22"/>
        </w:rPr>
        <w:sectPr w:rsidR="002C31DA" w:rsidRPr="00D3142A" w:rsidSect="009F0F01">
          <w:headerReference w:type="default"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r w:rsidRPr="00D3142A">
        <w:rPr>
          <w:rFonts w:ascii="Arial" w:hAnsi="Arial" w:cs="Arial"/>
          <w:sz w:val="22"/>
          <w:szCs w:val="22"/>
        </w:rPr>
        <w:tab/>
      </w:r>
      <w:r w:rsidRPr="00D3142A">
        <w:rPr>
          <w:rFonts w:ascii="Arial" w:hAnsi="Arial" w:cs="Arial"/>
          <w:sz w:val="22"/>
          <w:szCs w:val="22"/>
        </w:rPr>
        <w:tab/>
      </w:r>
      <w:r w:rsidRPr="00D3142A">
        <w:rPr>
          <w:rFonts w:ascii="Arial" w:hAnsi="Arial" w:cs="Arial"/>
          <w:sz w:val="22"/>
          <w:szCs w:val="22"/>
        </w:rPr>
        <w:tab/>
      </w:r>
      <w:r w:rsidRPr="00D3142A">
        <w:rPr>
          <w:rFonts w:ascii="Arial" w:hAnsi="Arial" w:cs="Arial"/>
          <w:sz w:val="22"/>
          <w:szCs w:val="22"/>
        </w:rPr>
        <w:tab/>
      </w:r>
      <w:r w:rsidRPr="00D3142A">
        <w:rPr>
          <w:rFonts w:ascii="Arial" w:hAnsi="Arial" w:cs="Arial"/>
          <w:sz w:val="22"/>
          <w:szCs w:val="22"/>
        </w:rPr>
        <w:tab/>
      </w:r>
      <w:r w:rsidRPr="00D3142A">
        <w:rPr>
          <w:rFonts w:ascii="Arial" w:hAnsi="Arial" w:cs="Arial"/>
          <w:sz w:val="22"/>
          <w:szCs w:val="22"/>
        </w:rPr>
        <w:tab/>
        <w:t>Joseph E. Oliker</w:t>
      </w:r>
    </w:p>
    <w:p w:rsidR="002C31DA" w:rsidRDefault="002C31DA" w:rsidP="002C31DA">
      <w:pPr>
        <w:tabs>
          <w:tab w:val="left" w:pos="2160"/>
          <w:tab w:val="left" w:pos="2280"/>
        </w:tabs>
        <w:rPr>
          <w:rFonts w:ascii="Arial" w:hAnsi="Arial" w:cs="Arial"/>
          <w:sz w:val="22"/>
          <w:szCs w:val="22"/>
        </w:rPr>
      </w:pPr>
    </w:p>
    <w:p w:rsidR="00F21F75" w:rsidRPr="00861099" w:rsidRDefault="00F21F75" w:rsidP="00F21F75">
      <w:pPr>
        <w:autoSpaceDE w:val="0"/>
        <w:autoSpaceDN w:val="0"/>
        <w:adjustRightInd w:val="0"/>
        <w:rPr>
          <w:rFonts w:ascii="Arial" w:eastAsiaTheme="minorHAnsi" w:hAnsi="Arial" w:cs="Arial"/>
          <w:sz w:val="22"/>
          <w:szCs w:val="22"/>
        </w:rPr>
      </w:pPr>
      <w:r w:rsidRPr="00861099">
        <w:rPr>
          <w:rFonts w:ascii="Arial" w:eastAsiaTheme="minorHAnsi" w:hAnsi="Arial" w:cs="Arial"/>
          <w:sz w:val="22"/>
          <w:szCs w:val="22"/>
        </w:rPr>
        <w:t>Matthew J. Satterwhite</w:t>
      </w:r>
    </w:p>
    <w:p w:rsidR="00F21F75" w:rsidRPr="00861099" w:rsidRDefault="00F21F75" w:rsidP="00F21F75">
      <w:pPr>
        <w:autoSpaceDE w:val="0"/>
        <w:autoSpaceDN w:val="0"/>
        <w:adjustRightInd w:val="0"/>
        <w:rPr>
          <w:rFonts w:ascii="Arial" w:eastAsiaTheme="minorHAnsi" w:hAnsi="Arial" w:cs="Arial"/>
          <w:sz w:val="22"/>
          <w:szCs w:val="22"/>
        </w:rPr>
      </w:pPr>
      <w:r w:rsidRPr="00861099">
        <w:rPr>
          <w:rFonts w:ascii="Arial" w:eastAsiaTheme="minorHAnsi" w:hAnsi="Arial" w:cs="Arial"/>
          <w:sz w:val="22"/>
          <w:szCs w:val="22"/>
        </w:rPr>
        <w:t>Steven T. Nourse</w:t>
      </w:r>
    </w:p>
    <w:p w:rsidR="00F21F75" w:rsidRPr="00861099" w:rsidRDefault="00F21F75" w:rsidP="00F21F75">
      <w:pPr>
        <w:autoSpaceDE w:val="0"/>
        <w:autoSpaceDN w:val="0"/>
        <w:adjustRightInd w:val="0"/>
        <w:rPr>
          <w:rFonts w:ascii="Arial" w:eastAsiaTheme="minorHAnsi" w:hAnsi="Arial" w:cs="Arial"/>
          <w:sz w:val="22"/>
          <w:szCs w:val="22"/>
        </w:rPr>
      </w:pPr>
      <w:r w:rsidRPr="00861099">
        <w:rPr>
          <w:rFonts w:ascii="Arial" w:eastAsiaTheme="minorHAnsi" w:hAnsi="Arial" w:cs="Arial"/>
          <w:sz w:val="22"/>
          <w:szCs w:val="22"/>
        </w:rPr>
        <w:t>American Electric Power Service Corporation</w:t>
      </w:r>
    </w:p>
    <w:p w:rsidR="00F21F75" w:rsidRPr="00861099" w:rsidRDefault="00F21F75" w:rsidP="00F21F75">
      <w:pPr>
        <w:autoSpaceDE w:val="0"/>
        <w:autoSpaceDN w:val="0"/>
        <w:adjustRightInd w:val="0"/>
        <w:rPr>
          <w:rFonts w:ascii="Arial" w:eastAsiaTheme="minorHAnsi" w:hAnsi="Arial" w:cs="Arial"/>
          <w:sz w:val="22"/>
          <w:szCs w:val="22"/>
        </w:rPr>
      </w:pPr>
      <w:r>
        <w:rPr>
          <w:rFonts w:ascii="Arial" w:eastAsiaTheme="minorHAnsi" w:hAnsi="Arial" w:cs="Arial"/>
          <w:sz w:val="22"/>
          <w:szCs w:val="22"/>
        </w:rPr>
        <w:t>1 Riverside Plaza, 29</w:t>
      </w:r>
      <w:r w:rsidRPr="00861099">
        <w:rPr>
          <w:rFonts w:ascii="Arial" w:eastAsiaTheme="minorHAnsi" w:hAnsi="Arial" w:cs="Arial"/>
          <w:sz w:val="22"/>
          <w:szCs w:val="22"/>
          <w:vertAlign w:val="superscript"/>
        </w:rPr>
        <w:t>th</w:t>
      </w:r>
      <w:r>
        <w:rPr>
          <w:rFonts w:ascii="Arial" w:eastAsiaTheme="minorHAnsi" w:hAnsi="Arial" w:cs="Arial"/>
          <w:sz w:val="22"/>
          <w:szCs w:val="22"/>
        </w:rPr>
        <w:t xml:space="preserve"> </w:t>
      </w:r>
      <w:r w:rsidRPr="00861099">
        <w:rPr>
          <w:rFonts w:ascii="Arial" w:eastAsiaTheme="minorHAnsi" w:hAnsi="Arial" w:cs="Arial"/>
          <w:sz w:val="22"/>
          <w:szCs w:val="22"/>
        </w:rPr>
        <w:t>Floor</w:t>
      </w:r>
    </w:p>
    <w:p w:rsidR="00F21F75" w:rsidRPr="00861099" w:rsidRDefault="00F21F75" w:rsidP="00F21F75">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w:t>
      </w:r>
      <w:r w:rsidRPr="00861099">
        <w:rPr>
          <w:rFonts w:ascii="Arial" w:eastAsiaTheme="minorHAnsi" w:hAnsi="Arial" w:cs="Arial"/>
          <w:sz w:val="22"/>
          <w:szCs w:val="22"/>
        </w:rPr>
        <w:t xml:space="preserve"> 43215</w:t>
      </w:r>
    </w:p>
    <w:p w:rsidR="00F21F75" w:rsidRPr="00861099" w:rsidRDefault="00F21F75" w:rsidP="00F21F75">
      <w:pPr>
        <w:autoSpaceDE w:val="0"/>
        <w:autoSpaceDN w:val="0"/>
        <w:adjustRightInd w:val="0"/>
        <w:rPr>
          <w:rFonts w:ascii="Arial" w:eastAsiaTheme="minorHAnsi" w:hAnsi="Arial" w:cs="Arial"/>
          <w:sz w:val="22"/>
          <w:szCs w:val="22"/>
        </w:rPr>
      </w:pPr>
      <w:r w:rsidRPr="00861099">
        <w:rPr>
          <w:rFonts w:ascii="Arial" w:eastAsiaTheme="minorHAnsi" w:hAnsi="Arial" w:cs="Arial"/>
          <w:sz w:val="22"/>
          <w:szCs w:val="22"/>
        </w:rPr>
        <w:t>mjsatterwhite@aep.com</w:t>
      </w:r>
    </w:p>
    <w:p w:rsidR="00F21F75" w:rsidRPr="00861099" w:rsidRDefault="00F21F75" w:rsidP="00F21F75">
      <w:pPr>
        <w:pStyle w:val="Default"/>
        <w:rPr>
          <w:sz w:val="22"/>
          <w:szCs w:val="22"/>
        </w:rPr>
      </w:pPr>
      <w:r w:rsidRPr="00861099">
        <w:rPr>
          <w:sz w:val="22"/>
          <w:szCs w:val="22"/>
        </w:rPr>
        <w:t>stnourse@acp.com</w:t>
      </w:r>
    </w:p>
    <w:p w:rsidR="00F21F75" w:rsidRPr="00861099" w:rsidRDefault="00F21F75" w:rsidP="00F21F75">
      <w:pPr>
        <w:pStyle w:val="Default"/>
        <w:rPr>
          <w:sz w:val="22"/>
          <w:szCs w:val="22"/>
        </w:rPr>
      </w:pPr>
    </w:p>
    <w:p w:rsidR="00F21F75" w:rsidRPr="00861099" w:rsidRDefault="00F21F75" w:rsidP="00F21F75">
      <w:pPr>
        <w:pStyle w:val="Default"/>
        <w:rPr>
          <w:rFonts w:ascii="Arial Bold" w:hAnsi="Arial Bold"/>
          <w:b/>
          <w:smallCaps/>
          <w:sz w:val="22"/>
          <w:szCs w:val="22"/>
        </w:rPr>
      </w:pPr>
      <w:r w:rsidRPr="00861099">
        <w:rPr>
          <w:rFonts w:ascii="Arial Bold" w:hAnsi="Arial Bold"/>
          <w:b/>
          <w:smallCaps/>
          <w:sz w:val="22"/>
          <w:szCs w:val="22"/>
        </w:rPr>
        <w:t>On Behalf of Columbus Southern Power Company and Ohio Power Company</w:t>
      </w:r>
    </w:p>
    <w:p w:rsidR="00F21F75" w:rsidRDefault="00F21F75" w:rsidP="00F21F75">
      <w:pPr>
        <w:pStyle w:val="Default"/>
        <w:rPr>
          <w:sz w:val="22"/>
          <w:szCs w:val="22"/>
        </w:rPr>
      </w:pP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Mark A. Whitt</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Whitt Sturtevant LLP</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PNC Plaza, Suite 2020</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155 East Broad Street</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Columbus, OH  43215</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whit@whitt-sturtevant.com</w:t>
      </w:r>
    </w:p>
    <w:p w:rsidR="00F21F75" w:rsidRDefault="00F21F75" w:rsidP="00F21F75">
      <w:pPr>
        <w:tabs>
          <w:tab w:val="left" w:pos="2160"/>
          <w:tab w:val="left" w:pos="2280"/>
        </w:tabs>
        <w:rPr>
          <w:rFonts w:ascii="Arial" w:hAnsi="Arial" w:cs="Arial"/>
          <w:sz w:val="22"/>
          <w:szCs w:val="22"/>
        </w:rPr>
      </w:pPr>
    </w:p>
    <w:p w:rsidR="00F21F75" w:rsidRDefault="00F21F75" w:rsidP="00F21F75">
      <w:pPr>
        <w:tabs>
          <w:tab w:val="left" w:pos="2160"/>
          <w:tab w:val="left" w:pos="2280"/>
        </w:tabs>
        <w:rPr>
          <w:rFonts w:ascii="Arial" w:hAnsi="Arial" w:cs="Arial"/>
          <w:sz w:val="22"/>
          <w:szCs w:val="22"/>
        </w:rPr>
      </w:pP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Vincent Parisi</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Matthew White</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Interstate Gas Supply, Inc.</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6100 Emerald Parkway</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Dublin, OH  43016</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vparisi@igsenergy.com</w:t>
      </w:r>
    </w:p>
    <w:p w:rsidR="00F21F75" w:rsidRDefault="00F21F75" w:rsidP="00F21F75">
      <w:pPr>
        <w:tabs>
          <w:tab w:val="left" w:pos="2160"/>
          <w:tab w:val="left" w:pos="2280"/>
        </w:tabs>
        <w:rPr>
          <w:rFonts w:ascii="Arial" w:hAnsi="Arial" w:cs="Arial"/>
          <w:sz w:val="22"/>
          <w:szCs w:val="22"/>
        </w:rPr>
      </w:pPr>
      <w:r w:rsidRPr="00863BF3">
        <w:rPr>
          <w:rFonts w:ascii="Arial" w:hAnsi="Arial" w:cs="Arial"/>
          <w:sz w:val="22"/>
          <w:szCs w:val="22"/>
        </w:rPr>
        <w:t>mswhite@igsenergy.com</w:t>
      </w:r>
    </w:p>
    <w:p w:rsidR="00F21F75" w:rsidRDefault="00F21F75" w:rsidP="00F21F75">
      <w:pPr>
        <w:tabs>
          <w:tab w:val="left" w:pos="2160"/>
          <w:tab w:val="left" w:pos="2280"/>
        </w:tabs>
        <w:rPr>
          <w:rFonts w:ascii="Arial" w:hAnsi="Arial" w:cs="Arial"/>
          <w:sz w:val="22"/>
          <w:szCs w:val="22"/>
        </w:rPr>
      </w:pPr>
    </w:p>
    <w:p w:rsidR="00F21F75" w:rsidRPr="005102BE" w:rsidRDefault="00F21F75" w:rsidP="00F21F75">
      <w:pPr>
        <w:tabs>
          <w:tab w:val="left" w:pos="2160"/>
          <w:tab w:val="left" w:pos="2280"/>
        </w:tabs>
        <w:rPr>
          <w:rFonts w:ascii="Arial Bold" w:hAnsi="Arial Bold" w:cs="Arial"/>
          <w:b/>
          <w:smallCaps/>
          <w:sz w:val="22"/>
          <w:szCs w:val="22"/>
        </w:rPr>
      </w:pPr>
      <w:r w:rsidRPr="005102BE">
        <w:rPr>
          <w:rFonts w:ascii="Arial Bold" w:hAnsi="Arial Bold" w:cs="Arial"/>
          <w:b/>
          <w:smallCaps/>
          <w:sz w:val="22"/>
          <w:szCs w:val="22"/>
        </w:rPr>
        <w:t>On Behalf of Interstate Gas Supply, Inc.</w:t>
      </w:r>
    </w:p>
    <w:p w:rsidR="00F21F75" w:rsidRDefault="00F21F75" w:rsidP="00F21F75"/>
    <w:p w:rsidR="00F21F75" w:rsidRDefault="00F21F75" w:rsidP="00F21F75"/>
    <w:p w:rsidR="00F21F75" w:rsidRDefault="00F21F75" w:rsidP="00F21F75"/>
    <w:p w:rsidR="00F21F75" w:rsidRDefault="00F21F75" w:rsidP="00F21F75"/>
    <w:p w:rsidR="00F21F75" w:rsidRDefault="00F21F75" w:rsidP="00F21F75"/>
    <w:p w:rsidR="00F21F75" w:rsidRDefault="00F21F75" w:rsidP="00F21F75"/>
    <w:p w:rsidR="00F21F75" w:rsidRDefault="00F21F75" w:rsidP="00F21F75">
      <w:pPr>
        <w:pStyle w:val="Default"/>
        <w:rPr>
          <w:sz w:val="22"/>
          <w:szCs w:val="22"/>
        </w:rPr>
      </w:pPr>
    </w:p>
    <w:p w:rsidR="00D3142A" w:rsidRDefault="00D3142A" w:rsidP="00F21F75">
      <w:pPr>
        <w:pStyle w:val="Default"/>
        <w:rPr>
          <w:sz w:val="22"/>
          <w:szCs w:val="22"/>
        </w:rPr>
      </w:pPr>
    </w:p>
    <w:p w:rsidR="00F21F75" w:rsidRPr="00861099" w:rsidRDefault="00F21F75" w:rsidP="00F21F75">
      <w:pPr>
        <w:pStyle w:val="Default"/>
        <w:rPr>
          <w:sz w:val="22"/>
          <w:szCs w:val="22"/>
        </w:rPr>
      </w:pPr>
      <w:r w:rsidRPr="00861099">
        <w:rPr>
          <w:sz w:val="22"/>
          <w:szCs w:val="22"/>
        </w:rPr>
        <w:t xml:space="preserve">Colleen L. Mooney </w:t>
      </w:r>
    </w:p>
    <w:p w:rsidR="00F21F75" w:rsidRPr="00861099" w:rsidRDefault="00F21F75" w:rsidP="00F21F75">
      <w:pPr>
        <w:pStyle w:val="Default"/>
        <w:rPr>
          <w:sz w:val="22"/>
          <w:szCs w:val="22"/>
        </w:rPr>
      </w:pPr>
      <w:r w:rsidRPr="00861099">
        <w:rPr>
          <w:sz w:val="22"/>
          <w:szCs w:val="22"/>
        </w:rPr>
        <w:t xml:space="preserve">Ohio Partners for Affordable Energy </w:t>
      </w:r>
    </w:p>
    <w:p w:rsidR="00F21F75" w:rsidRPr="00861099" w:rsidRDefault="00F21F75" w:rsidP="00F21F75">
      <w:pPr>
        <w:pStyle w:val="Default"/>
        <w:rPr>
          <w:sz w:val="22"/>
          <w:szCs w:val="22"/>
        </w:rPr>
      </w:pPr>
      <w:r w:rsidRPr="00861099">
        <w:rPr>
          <w:sz w:val="22"/>
          <w:szCs w:val="22"/>
        </w:rPr>
        <w:t xml:space="preserve">231 West Lima Street </w:t>
      </w:r>
    </w:p>
    <w:p w:rsidR="00F21F75" w:rsidRPr="00861099" w:rsidRDefault="00F21F75" w:rsidP="00F21F75">
      <w:pPr>
        <w:pStyle w:val="Default"/>
        <w:rPr>
          <w:sz w:val="22"/>
          <w:szCs w:val="22"/>
        </w:rPr>
      </w:pPr>
      <w:r w:rsidRPr="00861099">
        <w:rPr>
          <w:sz w:val="22"/>
          <w:szCs w:val="22"/>
        </w:rPr>
        <w:t xml:space="preserve">Findlay, OH 45840 </w:t>
      </w:r>
    </w:p>
    <w:p w:rsidR="00F21F75" w:rsidRPr="00241876" w:rsidRDefault="00F21F75" w:rsidP="00F21F75">
      <w:pPr>
        <w:tabs>
          <w:tab w:val="left" w:pos="2160"/>
          <w:tab w:val="left" w:pos="2280"/>
        </w:tabs>
        <w:rPr>
          <w:rFonts w:ascii="Arial" w:hAnsi="Arial" w:cs="Arial"/>
          <w:sz w:val="22"/>
          <w:szCs w:val="22"/>
        </w:rPr>
      </w:pPr>
      <w:r w:rsidRPr="00863BF3">
        <w:rPr>
          <w:rFonts w:ascii="Arial" w:hAnsi="Arial" w:cs="Arial"/>
          <w:sz w:val="22"/>
          <w:szCs w:val="22"/>
        </w:rPr>
        <w:t>cmooney2@columbus.rr.com</w:t>
      </w:r>
    </w:p>
    <w:p w:rsidR="00F21F75" w:rsidRPr="00241876" w:rsidRDefault="00F21F75" w:rsidP="00F21F75">
      <w:pPr>
        <w:tabs>
          <w:tab w:val="left" w:pos="2160"/>
          <w:tab w:val="left" w:pos="2280"/>
        </w:tabs>
        <w:rPr>
          <w:rFonts w:ascii="Arial" w:hAnsi="Arial" w:cs="Arial"/>
          <w:sz w:val="22"/>
          <w:szCs w:val="22"/>
        </w:rPr>
      </w:pPr>
    </w:p>
    <w:p w:rsidR="00F21F75" w:rsidRPr="00861099" w:rsidRDefault="00F21F75" w:rsidP="00F21F75">
      <w:pPr>
        <w:pStyle w:val="Default"/>
        <w:rPr>
          <w:rFonts w:ascii="Arial Bold" w:hAnsi="Arial Bold"/>
          <w:b/>
          <w:smallCaps/>
          <w:sz w:val="22"/>
          <w:szCs w:val="22"/>
        </w:rPr>
      </w:pPr>
      <w:r w:rsidRPr="00861099">
        <w:rPr>
          <w:rFonts w:ascii="Arial Bold" w:hAnsi="Arial Bold"/>
          <w:b/>
          <w:smallCaps/>
          <w:sz w:val="22"/>
          <w:szCs w:val="22"/>
        </w:rPr>
        <w:t xml:space="preserve">On Behalf of Ohio Partners for Affordable Energy </w:t>
      </w:r>
    </w:p>
    <w:p w:rsidR="00F21F75" w:rsidRDefault="00F21F75" w:rsidP="00F21F75">
      <w:pPr>
        <w:tabs>
          <w:tab w:val="left" w:pos="2160"/>
          <w:tab w:val="left" w:pos="2280"/>
        </w:tabs>
        <w:rPr>
          <w:rFonts w:ascii="Arial" w:hAnsi="Arial" w:cs="Arial"/>
          <w:sz w:val="22"/>
          <w:szCs w:val="22"/>
        </w:rPr>
      </w:pP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Bruce Weston</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Ohio Consumers’ Counsel</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T</w:t>
      </w:r>
      <w:r>
        <w:rPr>
          <w:rFonts w:ascii="Arial" w:hAnsi="Arial" w:cs="Arial"/>
          <w:sz w:val="22"/>
          <w:szCs w:val="22"/>
        </w:rPr>
        <w:t xml:space="preserve">erry L. Etter </w:t>
      </w:r>
    </w:p>
    <w:p w:rsidR="00F21F75" w:rsidRDefault="00F21F75" w:rsidP="00F21F75">
      <w:pPr>
        <w:tabs>
          <w:tab w:val="left" w:pos="2160"/>
          <w:tab w:val="left" w:pos="2280"/>
        </w:tabs>
        <w:rPr>
          <w:rFonts w:ascii="Arial" w:hAnsi="Arial" w:cs="Arial"/>
          <w:sz w:val="22"/>
          <w:szCs w:val="22"/>
        </w:rPr>
      </w:pPr>
      <w:r w:rsidRPr="004975A1">
        <w:rPr>
          <w:rFonts w:ascii="Arial" w:hAnsi="Arial" w:cs="Arial"/>
          <w:sz w:val="22"/>
          <w:szCs w:val="22"/>
        </w:rPr>
        <w:t>Maureen R. Grady</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Office of the Ohio Consumers’ Counsel</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10 W. Broad Street, 18</w:t>
      </w:r>
      <w:r w:rsidRPr="004975A1">
        <w:rPr>
          <w:rFonts w:ascii="Arial" w:hAnsi="Arial" w:cs="Arial"/>
          <w:sz w:val="22"/>
          <w:szCs w:val="22"/>
          <w:vertAlign w:val="superscript"/>
        </w:rPr>
        <w:t>th</w:t>
      </w:r>
      <w:r w:rsidRPr="004975A1">
        <w:rPr>
          <w:rFonts w:ascii="Arial" w:hAnsi="Arial" w:cs="Arial"/>
          <w:sz w:val="22"/>
          <w:szCs w:val="22"/>
        </w:rPr>
        <w:t xml:space="preserve"> Floor</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Columbus, OH  43215-3485</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etter@occ.state.oh.us</w:t>
      </w:r>
    </w:p>
    <w:p w:rsidR="00F21F75" w:rsidRDefault="00F21F75" w:rsidP="00F21F75">
      <w:pPr>
        <w:tabs>
          <w:tab w:val="left" w:pos="2160"/>
          <w:tab w:val="left" w:pos="2280"/>
        </w:tabs>
        <w:rPr>
          <w:rFonts w:ascii="Arial" w:hAnsi="Arial" w:cs="Arial"/>
          <w:sz w:val="22"/>
          <w:szCs w:val="22"/>
        </w:rPr>
      </w:pPr>
      <w:r w:rsidRPr="004975A1">
        <w:rPr>
          <w:rFonts w:ascii="Arial" w:hAnsi="Arial" w:cs="Arial"/>
          <w:sz w:val="22"/>
          <w:szCs w:val="22"/>
        </w:rPr>
        <w:t>grady@occ.state.oh.us</w:t>
      </w:r>
    </w:p>
    <w:p w:rsidR="00F21F75" w:rsidRPr="004975A1" w:rsidRDefault="00F21F75" w:rsidP="00F21F75">
      <w:pPr>
        <w:tabs>
          <w:tab w:val="left" w:pos="2160"/>
          <w:tab w:val="left" w:pos="2280"/>
        </w:tabs>
        <w:rPr>
          <w:rFonts w:ascii="Arial" w:hAnsi="Arial" w:cs="Arial"/>
          <w:sz w:val="22"/>
          <w:szCs w:val="22"/>
        </w:rPr>
      </w:pPr>
      <w:r>
        <w:rPr>
          <w:rFonts w:ascii="Arial" w:hAnsi="Arial" w:cs="Arial"/>
          <w:sz w:val="22"/>
          <w:szCs w:val="22"/>
        </w:rPr>
        <w:t>small@occ.state.oh.us</w:t>
      </w:r>
    </w:p>
    <w:p w:rsidR="00F21F75" w:rsidRPr="004975A1" w:rsidRDefault="00F21F75" w:rsidP="00F21F75">
      <w:pPr>
        <w:tabs>
          <w:tab w:val="left" w:pos="2160"/>
          <w:tab w:val="left" w:pos="2280"/>
        </w:tabs>
        <w:rPr>
          <w:rFonts w:ascii="Arial" w:hAnsi="Arial" w:cs="Arial"/>
          <w:sz w:val="22"/>
          <w:szCs w:val="22"/>
        </w:rPr>
      </w:pPr>
    </w:p>
    <w:p w:rsidR="00F21F75" w:rsidRPr="004975A1" w:rsidRDefault="00F21F75" w:rsidP="00F21F75">
      <w:pPr>
        <w:tabs>
          <w:tab w:val="left" w:pos="2160"/>
          <w:tab w:val="left" w:pos="2280"/>
        </w:tabs>
        <w:rPr>
          <w:rFonts w:ascii="Arial" w:hAnsi="Arial" w:cs="Arial"/>
          <w:b/>
          <w:smallCaps/>
          <w:sz w:val="22"/>
          <w:szCs w:val="22"/>
        </w:rPr>
      </w:pPr>
      <w:r w:rsidRPr="004975A1">
        <w:rPr>
          <w:rFonts w:ascii="Arial" w:hAnsi="Arial" w:cs="Arial"/>
          <w:b/>
          <w:smallCaps/>
          <w:sz w:val="22"/>
          <w:szCs w:val="22"/>
        </w:rPr>
        <w:t>On Behalf of the Office of the Ohio</w:t>
      </w:r>
    </w:p>
    <w:p w:rsidR="00F21F75" w:rsidRPr="004975A1" w:rsidRDefault="00F21F75" w:rsidP="00F21F75">
      <w:pPr>
        <w:tabs>
          <w:tab w:val="left" w:pos="2160"/>
          <w:tab w:val="left" w:pos="2280"/>
        </w:tabs>
        <w:rPr>
          <w:rFonts w:ascii="Arial" w:hAnsi="Arial" w:cs="Arial"/>
          <w:b/>
          <w:smallCaps/>
          <w:sz w:val="22"/>
          <w:szCs w:val="22"/>
        </w:rPr>
      </w:pPr>
      <w:r w:rsidRPr="004975A1">
        <w:rPr>
          <w:rFonts w:ascii="Arial" w:hAnsi="Arial" w:cs="Arial"/>
          <w:b/>
          <w:smallCaps/>
          <w:sz w:val="22"/>
          <w:szCs w:val="22"/>
        </w:rPr>
        <w:t>Consumers’ Counsel</w:t>
      </w:r>
    </w:p>
    <w:p w:rsidR="00F21F75" w:rsidRDefault="00F21F75" w:rsidP="00F21F75">
      <w:pPr>
        <w:tabs>
          <w:tab w:val="left" w:pos="2160"/>
          <w:tab w:val="left" w:pos="2280"/>
        </w:tabs>
        <w:rPr>
          <w:rFonts w:ascii="Arial" w:hAnsi="Arial" w:cs="Arial"/>
          <w:sz w:val="22"/>
          <w:szCs w:val="22"/>
        </w:rPr>
      </w:pP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David F. Boehm</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Michael L. Kurtz</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Boehm, Kurtz &amp; Lowry</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36 East Seventh Street Suite 1510</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Cincinnati, OH  45202</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dboehm@BKLlawfirm.com</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mkurtz@BKLlawfirm.com</w:t>
      </w:r>
    </w:p>
    <w:p w:rsidR="00F21F75" w:rsidRPr="004975A1" w:rsidRDefault="00F21F75" w:rsidP="00F21F75">
      <w:pPr>
        <w:tabs>
          <w:tab w:val="left" w:pos="2160"/>
          <w:tab w:val="left" w:pos="2280"/>
        </w:tabs>
        <w:rPr>
          <w:rFonts w:ascii="Arial" w:hAnsi="Arial" w:cs="Arial"/>
          <w:sz w:val="22"/>
          <w:szCs w:val="22"/>
        </w:rPr>
      </w:pPr>
    </w:p>
    <w:p w:rsidR="00F21F75" w:rsidRPr="004975A1" w:rsidRDefault="00F21F75" w:rsidP="00F21F75">
      <w:pPr>
        <w:tabs>
          <w:tab w:val="left" w:pos="2160"/>
          <w:tab w:val="left" w:pos="2280"/>
        </w:tabs>
        <w:rPr>
          <w:rFonts w:ascii="Arial" w:hAnsi="Arial" w:cs="Arial"/>
          <w:b/>
          <w:smallCaps/>
          <w:sz w:val="22"/>
          <w:szCs w:val="22"/>
        </w:rPr>
      </w:pPr>
      <w:r w:rsidRPr="004975A1">
        <w:rPr>
          <w:rFonts w:ascii="Arial" w:hAnsi="Arial" w:cs="Arial"/>
          <w:b/>
          <w:smallCaps/>
          <w:sz w:val="22"/>
          <w:szCs w:val="22"/>
        </w:rPr>
        <w:t>On Behalf of the Ohio Energy Group</w:t>
      </w:r>
    </w:p>
    <w:p w:rsidR="00F21F75" w:rsidRDefault="00F21F75" w:rsidP="00F21F75">
      <w:pPr>
        <w:spacing w:after="200" w:line="276" w:lineRule="auto"/>
        <w:rPr>
          <w:rFonts w:ascii="Arial" w:hAnsi="Arial" w:cs="Arial"/>
          <w:sz w:val="22"/>
          <w:szCs w:val="22"/>
        </w:rPr>
      </w:pPr>
      <w:r>
        <w:rPr>
          <w:rFonts w:ascii="Arial" w:hAnsi="Arial" w:cs="Arial"/>
          <w:sz w:val="22"/>
          <w:szCs w:val="22"/>
        </w:rPr>
        <w:br w:type="page"/>
      </w:r>
    </w:p>
    <w:p w:rsidR="00F21F75" w:rsidRDefault="00F21F75" w:rsidP="00F21F75">
      <w:pPr>
        <w:tabs>
          <w:tab w:val="left" w:pos="2160"/>
          <w:tab w:val="left" w:pos="2280"/>
        </w:tabs>
        <w:rPr>
          <w:rFonts w:ascii="Arial" w:hAnsi="Arial" w:cs="Arial"/>
          <w:sz w:val="22"/>
          <w:szCs w:val="22"/>
        </w:rPr>
      </w:pPr>
      <w:r w:rsidRPr="004975A1">
        <w:rPr>
          <w:rFonts w:ascii="Arial" w:hAnsi="Arial" w:cs="Arial"/>
          <w:sz w:val="22"/>
          <w:szCs w:val="22"/>
        </w:rPr>
        <w:lastRenderedPageBreak/>
        <w:t>Douglas G. Bonner</w:t>
      </w:r>
    </w:p>
    <w:p w:rsidR="00F21F75" w:rsidRDefault="00F21F75" w:rsidP="00F21F75">
      <w:pPr>
        <w:tabs>
          <w:tab w:val="left" w:pos="2160"/>
          <w:tab w:val="left" w:pos="2280"/>
        </w:tabs>
        <w:rPr>
          <w:rFonts w:ascii="Arial" w:hAnsi="Arial" w:cs="Arial"/>
          <w:sz w:val="22"/>
          <w:szCs w:val="22"/>
        </w:rPr>
      </w:pPr>
      <w:r w:rsidRPr="004975A1">
        <w:rPr>
          <w:rFonts w:ascii="Arial" w:hAnsi="Arial" w:cs="Arial"/>
          <w:sz w:val="22"/>
          <w:szCs w:val="22"/>
        </w:rPr>
        <w:t>Emma F. Hand</w:t>
      </w:r>
    </w:p>
    <w:p w:rsidR="00F21F75" w:rsidRDefault="00F21F75" w:rsidP="00F21F75">
      <w:pPr>
        <w:tabs>
          <w:tab w:val="left" w:pos="2160"/>
          <w:tab w:val="left" w:pos="2280"/>
        </w:tabs>
        <w:rPr>
          <w:rFonts w:ascii="Arial" w:hAnsi="Arial" w:cs="Arial"/>
          <w:sz w:val="22"/>
          <w:szCs w:val="22"/>
        </w:rPr>
      </w:pPr>
      <w:r w:rsidRPr="004975A1">
        <w:rPr>
          <w:rFonts w:ascii="Arial" w:hAnsi="Arial" w:cs="Arial"/>
          <w:sz w:val="22"/>
          <w:szCs w:val="22"/>
        </w:rPr>
        <w:t>Keith C. Nusbaum</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Clinton A. Vince</w:t>
      </w:r>
    </w:p>
    <w:p w:rsidR="00F21F75" w:rsidRPr="004975A1" w:rsidRDefault="00F21F75" w:rsidP="00F21F75">
      <w:pPr>
        <w:tabs>
          <w:tab w:val="left" w:pos="2160"/>
          <w:tab w:val="left" w:pos="2280"/>
        </w:tabs>
        <w:rPr>
          <w:rFonts w:ascii="Arial" w:hAnsi="Arial" w:cs="Arial"/>
          <w:sz w:val="22"/>
          <w:szCs w:val="22"/>
        </w:rPr>
      </w:pPr>
      <w:r>
        <w:rPr>
          <w:rFonts w:ascii="Arial" w:hAnsi="Arial" w:cs="Arial"/>
          <w:sz w:val="22"/>
          <w:szCs w:val="22"/>
        </w:rPr>
        <w:t>Daniel D. Barnowski</w:t>
      </w:r>
      <w:r w:rsidRPr="004975A1">
        <w:rPr>
          <w:rFonts w:ascii="Arial" w:hAnsi="Arial" w:cs="Arial"/>
          <w:sz w:val="22"/>
          <w:szCs w:val="22"/>
        </w:rPr>
        <w:t xml:space="preserve"> </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SNR Denton US LLP</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1301 K Street NW</w:t>
      </w:r>
      <w:r>
        <w:rPr>
          <w:rFonts w:ascii="Arial" w:hAnsi="Arial" w:cs="Arial"/>
          <w:sz w:val="22"/>
          <w:szCs w:val="22"/>
        </w:rPr>
        <w:t xml:space="preserve"> - </w:t>
      </w:r>
      <w:r w:rsidRPr="004975A1">
        <w:rPr>
          <w:rFonts w:ascii="Arial" w:hAnsi="Arial" w:cs="Arial"/>
          <w:sz w:val="22"/>
          <w:szCs w:val="22"/>
        </w:rPr>
        <w:t>Suite 600, East Tower</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Washington, DC 20005</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doug.bonner@snrdenton.com</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emma.hand@snrdenton.com</w:t>
      </w:r>
    </w:p>
    <w:p w:rsidR="00F21F75" w:rsidRDefault="00F21F75" w:rsidP="00F21F75">
      <w:pPr>
        <w:tabs>
          <w:tab w:val="left" w:pos="2160"/>
          <w:tab w:val="left" w:pos="2280"/>
        </w:tabs>
        <w:rPr>
          <w:rFonts w:ascii="Arial" w:hAnsi="Arial" w:cs="Arial"/>
          <w:sz w:val="22"/>
          <w:szCs w:val="22"/>
        </w:rPr>
      </w:pPr>
      <w:r w:rsidRPr="004975A1">
        <w:rPr>
          <w:rFonts w:ascii="Arial" w:hAnsi="Arial" w:cs="Arial"/>
          <w:sz w:val="22"/>
          <w:szCs w:val="22"/>
        </w:rPr>
        <w:t>keith.nusbaum@snrdenton.com</w:t>
      </w:r>
    </w:p>
    <w:p w:rsidR="00F21F75" w:rsidRDefault="00F21F75" w:rsidP="00F21F75">
      <w:pPr>
        <w:tabs>
          <w:tab w:val="left" w:pos="2160"/>
          <w:tab w:val="left" w:pos="2280"/>
        </w:tabs>
        <w:rPr>
          <w:rFonts w:ascii="Arial" w:hAnsi="Arial" w:cs="Arial"/>
          <w:sz w:val="22"/>
          <w:szCs w:val="22"/>
        </w:rPr>
      </w:pPr>
      <w:r>
        <w:rPr>
          <w:rFonts w:ascii="Arial" w:hAnsi="Arial" w:cs="Arial"/>
          <w:sz w:val="22"/>
          <w:szCs w:val="22"/>
        </w:rPr>
        <w:t>clinton.vince@snrdenton.com</w:t>
      </w:r>
    </w:p>
    <w:p w:rsidR="00F21F75" w:rsidRPr="004975A1" w:rsidRDefault="00F21F75" w:rsidP="00F21F75">
      <w:pPr>
        <w:tabs>
          <w:tab w:val="left" w:pos="2160"/>
          <w:tab w:val="left" w:pos="2280"/>
        </w:tabs>
        <w:rPr>
          <w:rFonts w:ascii="Arial" w:hAnsi="Arial" w:cs="Arial"/>
          <w:sz w:val="22"/>
          <w:szCs w:val="22"/>
        </w:rPr>
      </w:pPr>
      <w:r>
        <w:rPr>
          <w:rFonts w:ascii="Arial" w:hAnsi="Arial" w:cs="Arial"/>
          <w:sz w:val="22"/>
          <w:szCs w:val="22"/>
        </w:rPr>
        <w:t>daniel.barnowski@snrdenton.con</w:t>
      </w:r>
    </w:p>
    <w:p w:rsidR="00F21F75" w:rsidRPr="004975A1" w:rsidRDefault="00F21F75" w:rsidP="00F21F75">
      <w:pPr>
        <w:tabs>
          <w:tab w:val="left" w:pos="2160"/>
          <w:tab w:val="left" w:pos="2280"/>
        </w:tabs>
        <w:rPr>
          <w:rFonts w:ascii="Arial" w:hAnsi="Arial" w:cs="Arial"/>
          <w:sz w:val="22"/>
          <w:szCs w:val="22"/>
        </w:rPr>
      </w:pPr>
    </w:p>
    <w:p w:rsidR="00F21F75" w:rsidRDefault="00F21F75" w:rsidP="00F21F75">
      <w:pPr>
        <w:tabs>
          <w:tab w:val="left" w:pos="2160"/>
          <w:tab w:val="left" w:pos="2280"/>
        </w:tabs>
        <w:rPr>
          <w:rFonts w:ascii="Arial" w:hAnsi="Arial" w:cs="Arial"/>
          <w:b/>
          <w:smallCaps/>
          <w:sz w:val="22"/>
          <w:szCs w:val="22"/>
        </w:rPr>
      </w:pPr>
      <w:r w:rsidRPr="004975A1">
        <w:rPr>
          <w:rFonts w:ascii="Arial" w:hAnsi="Arial" w:cs="Arial"/>
          <w:b/>
          <w:smallCaps/>
          <w:sz w:val="22"/>
          <w:szCs w:val="22"/>
        </w:rPr>
        <w:t>On Behalf of Ormet Primary Aluminum Corporation</w:t>
      </w:r>
    </w:p>
    <w:p w:rsidR="00F21F75" w:rsidRDefault="00F21F75" w:rsidP="00F21F75"/>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Richard L. Sites</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General Counsel &amp; Senior Director of Health Policy</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Ohio Hospital Association</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155 East Broad Street, 15</w:t>
      </w:r>
      <w:r w:rsidRPr="004975A1">
        <w:rPr>
          <w:rFonts w:ascii="Arial" w:hAnsi="Arial" w:cs="Arial"/>
          <w:sz w:val="22"/>
          <w:szCs w:val="22"/>
          <w:vertAlign w:val="superscript"/>
        </w:rPr>
        <w:t>th</w:t>
      </w:r>
      <w:r w:rsidRPr="004975A1">
        <w:rPr>
          <w:rFonts w:ascii="Arial" w:hAnsi="Arial" w:cs="Arial"/>
          <w:sz w:val="22"/>
          <w:szCs w:val="22"/>
        </w:rPr>
        <w:t xml:space="preserve"> Floor</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Columbus, OH  43215-3620</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ricks@ohanet.org</w:t>
      </w:r>
    </w:p>
    <w:p w:rsidR="00F21F75" w:rsidRPr="004975A1" w:rsidRDefault="00F21F75" w:rsidP="00F21F75">
      <w:pPr>
        <w:tabs>
          <w:tab w:val="left" w:pos="2160"/>
          <w:tab w:val="left" w:pos="2280"/>
        </w:tabs>
        <w:rPr>
          <w:rFonts w:ascii="Arial" w:hAnsi="Arial" w:cs="Arial"/>
          <w:sz w:val="22"/>
          <w:szCs w:val="22"/>
        </w:rPr>
      </w:pP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Thomas J. O’Brien</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caps/>
          <w:sz w:val="22"/>
          <w:szCs w:val="22"/>
        </w:rPr>
        <w:t>Bricker &amp; Eckler</w:t>
      </w:r>
      <w:r w:rsidRPr="004975A1">
        <w:rPr>
          <w:rFonts w:ascii="Arial" w:hAnsi="Arial" w:cs="Arial"/>
          <w:sz w:val="22"/>
          <w:szCs w:val="22"/>
        </w:rPr>
        <w:t>, LLP</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100 South Third Street</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Columbus, OH  43215-4291</w:t>
      </w:r>
    </w:p>
    <w:p w:rsidR="00F21F75" w:rsidRPr="004975A1" w:rsidRDefault="00F21F75" w:rsidP="00F21F75">
      <w:pPr>
        <w:tabs>
          <w:tab w:val="left" w:pos="2160"/>
          <w:tab w:val="left" w:pos="2280"/>
        </w:tabs>
        <w:rPr>
          <w:rFonts w:ascii="Arial" w:hAnsi="Arial" w:cs="Arial"/>
          <w:sz w:val="22"/>
          <w:szCs w:val="22"/>
        </w:rPr>
      </w:pPr>
      <w:r w:rsidRPr="004975A1">
        <w:rPr>
          <w:rFonts w:ascii="Arial" w:hAnsi="Arial" w:cs="Arial"/>
          <w:sz w:val="22"/>
          <w:szCs w:val="22"/>
        </w:rPr>
        <w:t>tobrien@bricker.com</w:t>
      </w:r>
    </w:p>
    <w:p w:rsidR="00F21F75" w:rsidRPr="004975A1" w:rsidRDefault="00F21F75" w:rsidP="00F21F75">
      <w:pPr>
        <w:tabs>
          <w:tab w:val="left" w:pos="2160"/>
          <w:tab w:val="left" w:pos="2280"/>
        </w:tabs>
        <w:rPr>
          <w:rFonts w:ascii="Arial" w:hAnsi="Arial" w:cs="Arial"/>
          <w:sz w:val="22"/>
          <w:szCs w:val="22"/>
        </w:rPr>
      </w:pPr>
    </w:p>
    <w:p w:rsidR="00F21F75" w:rsidRPr="004975A1" w:rsidRDefault="00F21F75" w:rsidP="00F21F75">
      <w:pPr>
        <w:tabs>
          <w:tab w:val="left" w:pos="2160"/>
          <w:tab w:val="left" w:pos="2280"/>
        </w:tabs>
        <w:rPr>
          <w:rFonts w:ascii="Arial" w:hAnsi="Arial" w:cs="Arial"/>
          <w:b/>
          <w:smallCaps/>
          <w:sz w:val="22"/>
          <w:szCs w:val="22"/>
        </w:rPr>
      </w:pPr>
      <w:r w:rsidRPr="004975A1">
        <w:rPr>
          <w:rFonts w:ascii="Arial" w:hAnsi="Arial" w:cs="Arial"/>
          <w:b/>
          <w:smallCaps/>
          <w:sz w:val="22"/>
          <w:szCs w:val="22"/>
        </w:rPr>
        <w:t>Oh Behalf of Ohio Hospital Association</w:t>
      </w:r>
    </w:p>
    <w:p w:rsidR="00F21F75" w:rsidRPr="002F298C" w:rsidRDefault="00F21F75" w:rsidP="00F21F75">
      <w:pPr>
        <w:rPr>
          <w:rFonts w:ascii="Arial" w:hAnsi="Arial" w:cs="Arial"/>
        </w:rPr>
      </w:pPr>
    </w:p>
    <w:p w:rsidR="00F21F75" w:rsidRPr="002F298C" w:rsidRDefault="00F21F75" w:rsidP="00F21F75">
      <w:pPr>
        <w:rPr>
          <w:rFonts w:ascii="Arial" w:hAnsi="Arial" w:cs="Arial"/>
        </w:rPr>
      </w:pPr>
      <w:r w:rsidRPr="002F298C">
        <w:rPr>
          <w:rFonts w:ascii="Arial" w:hAnsi="Arial" w:cs="Arial"/>
        </w:rPr>
        <w:t>Chad A. Endsley</w:t>
      </w:r>
    </w:p>
    <w:p w:rsidR="00F21F75" w:rsidRPr="002F298C" w:rsidRDefault="00F21F75" w:rsidP="00F21F75">
      <w:pPr>
        <w:rPr>
          <w:rFonts w:ascii="Arial" w:hAnsi="Arial" w:cs="Arial"/>
        </w:rPr>
      </w:pPr>
      <w:r w:rsidRPr="002F298C">
        <w:rPr>
          <w:rFonts w:ascii="Arial" w:hAnsi="Arial" w:cs="Arial"/>
        </w:rPr>
        <w:t>Chief Legal Counsel</w:t>
      </w:r>
    </w:p>
    <w:p w:rsidR="00F21F75" w:rsidRPr="002F298C" w:rsidRDefault="00F21F75" w:rsidP="00F21F75">
      <w:pPr>
        <w:rPr>
          <w:rFonts w:ascii="Arial" w:hAnsi="Arial" w:cs="Arial"/>
        </w:rPr>
      </w:pPr>
      <w:r w:rsidRPr="002F298C">
        <w:rPr>
          <w:rFonts w:ascii="Arial" w:hAnsi="Arial" w:cs="Arial"/>
        </w:rPr>
        <w:t>Ohio Farm Bureau Federation</w:t>
      </w:r>
    </w:p>
    <w:p w:rsidR="00F21F75" w:rsidRPr="002F298C" w:rsidRDefault="00F21F75" w:rsidP="00F21F75">
      <w:pPr>
        <w:rPr>
          <w:rFonts w:ascii="Arial" w:hAnsi="Arial" w:cs="Arial"/>
        </w:rPr>
      </w:pPr>
      <w:r w:rsidRPr="002F298C">
        <w:rPr>
          <w:rFonts w:ascii="Arial" w:hAnsi="Arial" w:cs="Arial"/>
        </w:rPr>
        <w:t>280 North High Street, P.O. Box 182383</w:t>
      </w:r>
    </w:p>
    <w:p w:rsidR="00F21F75" w:rsidRPr="002F298C" w:rsidRDefault="00F21F75" w:rsidP="00F21F75">
      <w:pPr>
        <w:rPr>
          <w:rFonts w:ascii="Arial" w:hAnsi="Arial" w:cs="Arial"/>
        </w:rPr>
      </w:pPr>
      <w:r w:rsidRPr="002F298C">
        <w:rPr>
          <w:rFonts w:ascii="Arial" w:hAnsi="Arial" w:cs="Arial"/>
        </w:rPr>
        <w:t>Columbus, OH  43218-2383</w:t>
      </w:r>
    </w:p>
    <w:p w:rsidR="00F21F75" w:rsidRPr="002F298C" w:rsidRDefault="00F21F75" w:rsidP="00F21F75">
      <w:pPr>
        <w:rPr>
          <w:rFonts w:ascii="Arial" w:hAnsi="Arial" w:cs="Arial"/>
        </w:rPr>
      </w:pPr>
      <w:r w:rsidRPr="00863BF3">
        <w:rPr>
          <w:rFonts w:ascii="Arial" w:hAnsi="Arial" w:cs="Arial"/>
        </w:rPr>
        <w:t>cendsley@ofbf.org</w:t>
      </w:r>
    </w:p>
    <w:p w:rsidR="00F21F75" w:rsidRPr="002F298C" w:rsidRDefault="00F21F75" w:rsidP="00F21F75">
      <w:pPr>
        <w:rPr>
          <w:rFonts w:ascii="Arial" w:hAnsi="Arial" w:cs="Arial"/>
        </w:rPr>
      </w:pPr>
    </w:p>
    <w:p w:rsidR="00F21F75" w:rsidRDefault="00F21F75" w:rsidP="00F21F75">
      <w:pPr>
        <w:rPr>
          <w:rFonts w:ascii="Arial Bold" w:hAnsi="Arial Bold" w:cs="Arial"/>
          <w:b/>
          <w:smallCaps/>
        </w:rPr>
      </w:pPr>
      <w:r w:rsidRPr="002F298C">
        <w:rPr>
          <w:rFonts w:ascii="Arial Bold" w:hAnsi="Arial Bold" w:cs="Arial"/>
          <w:b/>
          <w:smallCaps/>
        </w:rPr>
        <w:t>On Behalf of the Ohio Farm Bureau Federation</w:t>
      </w:r>
    </w:p>
    <w:p w:rsidR="00F21F75" w:rsidRDefault="00F21F75" w:rsidP="00F21F75">
      <w:pPr>
        <w:tabs>
          <w:tab w:val="left" w:pos="4680"/>
        </w:tabs>
        <w:rPr>
          <w:rFonts w:ascii="Arial" w:hAnsi="Arial" w:cs="Arial"/>
          <w:color w:val="000000"/>
          <w:sz w:val="20"/>
          <w:szCs w:val="20"/>
        </w:rPr>
      </w:pP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Matthew W. Warnock</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Bricker &amp; Eckler LLP</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100 South Third Street</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Columbus, OH  43215</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mwarnock@bricker.com</w:t>
      </w:r>
    </w:p>
    <w:p w:rsidR="00F21F75" w:rsidRDefault="00F21F75" w:rsidP="00F21F75">
      <w:pPr>
        <w:tabs>
          <w:tab w:val="left" w:pos="4680"/>
        </w:tabs>
        <w:rPr>
          <w:rFonts w:ascii="Arial" w:hAnsi="Arial" w:cs="Arial"/>
          <w:color w:val="000000"/>
          <w:sz w:val="22"/>
          <w:szCs w:val="22"/>
        </w:rPr>
      </w:pPr>
    </w:p>
    <w:p w:rsidR="00F21F75" w:rsidRDefault="00F21F75" w:rsidP="00F21F75">
      <w:pPr>
        <w:tabs>
          <w:tab w:val="left" w:pos="4680"/>
        </w:tabs>
        <w:rPr>
          <w:rFonts w:ascii="Arial" w:hAnsi="Arial" w:cs="Arial"/>
          <w:color w:val="000000"/>
          <w:sz w:val="22"/>
          <w:szCs w:val="22"/>
        </w:rPr>
      </w:pPr>
      <w:r w:rsidRPr="009D26C0">
        <w:rPr>
          <w:rFonts w:ascii="Arial" w:hAnsi="Arial" w:cs="Arial"/>
          <w:b/>
          <w:smallCaps/>
          <w:sz w:val="22"/>
          <w:szCs w:val="22"/>
        </w:rPr>
        <w:t>On Behalf of</w:t>
      </w:r>
      <w:r>
        <w:rPr>
          <w:rFonts w:ascii="Arial" w:hAnsi="Arial" w:cs="Arial"/>
          <w:b/>
          <w:smallCaps/>
          <w:sz w:val="22"/>
          <w:szCs w:val="22"/>
        </w:rPr>
        <w:t xml:space="preserve"> the OMA Energy Group</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Dane Stinson</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lastRenderedPageBreak/>
        <w:t>Bailey Cavalieri LLC</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10 West Broad Street – Suite 2100</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Columbus, OH  43215</w:t>
      </w:r>
    </w:p>
    <w:p w:rsidR="00F21F75" w:rsidRDefault="00F21F75" w:rsidP="00F21F75">
      <w:pPr>
        <w:tabs>
          <w:tab w:val="left" w:pos="4680"/>
        </w:tabs>
        <w:rPr>
          <w:rFonts w:ascii="Arial" w:hAnsi="Arial" w:cs="Arial"/>
          <w:color w:val="000000"/>
          <w:sz w:val="22"/>
          <w:szCs w:val="22"/>
        </w:rPr>
      </w:pPr>
      <w:r w:rsidRPr="00287719">
        <w:rPr>
          <w:rFonts w:ascii="Arial" w:hAnsi="Arial" w:cs="Arial"/>
          <w:color w:val="000000"/>
          <w:sz w:val="22"/>
          <w:szCs w:val="22"/>
        </w:rPr>
        <w:t>dane.stinson@baileycavalieri.com</w:t>
      </w:r>
    </w:p>
    <w:p w:rsidR="00F21F75" w:rsidRDefault="00F21F75" w:rsidP="00F21F75">
      <w:pPr>
        <w:tabs>
          <w:tab w:val="left" w:pos="4680"/>
        </w:tabs>
        <w:rPr>
          <w:rFonts w:ascii="Arial" w:hAnsi="Arial" w:cs="Arial"/>
          <w:color w:val="000000"/>
          <w:sz w:val="22"/>
          <w:szCs w:val="22"/>
        </w:rPr>
      </w:pPr>
    </w:p>
    <w:p w:rsidR="00F21F75" w:rsidRDefault="00F21F75" w:rsidP="00F21F75">
      <w:pPr>
        <w:tabs>
          <w:tab w:val="left" w:pos="4680"/>
        </w:tabs>
        <w:rPr>
          <w:rFonts w:ascii="Arial" w:hAnsi="Arial" w:cs="Arial"/>
          <w:color w:val="000000"/>
          <w:sz w:val="22"/>
          <w:szCs w:val="22"/>
        </w:rPr>
      </w:pPr>
      <w:r w:rsidRPr="009D26C0">
        <w:rPr>
          <w:rFonts w:ascii="Arial" w:hAnsi="Arial" w:cs="Arial"/>
          <w:b/>
          <w:smallCaps/>
          <w:sz w:val="22"/>
          <w:szCs w:val="22"/>
        </w:rPr>
        <w:t>On Behalf of</w:t>
      </w:r>
      <w:r>
        <w:rPr>
          <w:rFonts w:ascii="Arial" w:hAnsi="Arial" w:cs="Arial"/>
          <w:b/>
          <w:smallCaps/>
          <w:sz w:val="22"/>
          <w:szCs w:val="22"/>
        </w:rPr>
        <w:t xml:space="preserve"> The Ohio Association of School Business Officials, The Ohio School Boards Association, The Buckeye Association of School Administrators and The Ohio Schools Council</w:t>
      </w:r>
    </w:p>
    <w:p w:rsidR="00F21F75" w:rsidRDefault="00F21F75" w:rsidP="00F21F75">
      <w:pPr>
        <w:tabs>
          <w:tab w:val="left" w:pos="4680"/>
        </w:tabs>
        <w:rPr>
          <w:rFonts w:ascii="Arial" w:hAnsi="Arial" w:cs="Arial"/>
          <w:color w:val="000000"/>
          <w:sz w:val="22"/>
          <w:szCs w:val="22"/>
        </w:rPr>
      </w:pP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Brian P. Barger</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Brady, Coyle &amp; Schmidt, LTD</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4052 Holland-Sylvania Rd.</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Toledo, OH  43623</w:t>
      </w:r>
    </w:p>
    <w:p w:rsidR="00F21F75" w:rsidRDefault="00F21F75" w:rsidP="00F21F75">
      <w:pPr>
        <w:tabs>
          <w:tab w:val="left" w:pos="4680"/>
        </w:tabs>
        <w:rPr>
          <w:rFonts w:ascii="Arial" w:hAnsi="Arial" w:cs="Arial"/>
          <w:color w:val="000000"/>
          <w:sz w:val="22"/>
          <w:szCs w:val="22"/>
        </w:rPr>
      </w:pPr>
      <w:r>
        <w:rPr>
          <w:rFonts w:ascii="Arial" w:hAnsi="Arial" w:cs="Arial"/>
          <w:color w:val="000000"/>
          <w:sz w:val="22"/>
          <w:szCs w:val="22"/>
        </w:rPr>
        <w:t>bpbarger@bcslawyers.com</w:t>
      </w:r>
    </w:p>
    <w:p w:rsidR="00F21F75" w:rsidRDefault="00F21F75" w:rsidP="00F21F75">
      <w:pPr>
        <w:tabs>
          <w:tab w:val="left" w:pos="4680"/>
        </w:tabs>
        <w:rPr>
          <w:rFonts w:ascii="Arial" w:hAnsi="Arial" w:cs="Arial"/>
          <w:color w:val="000000"/>
          <w:sz w:val="22"/>
          <w:szCs w:val="22"/>
        </w:rPr>
      </w:pPr>
    </w:p>
    <w:p w:rsidR="00F21F75" w:rsidRDefault="00F21F75" w:rsidP="00F21F75">
      <w:pPr>
        <w:tabs>
          <w:tab w:val="left" w:pos="4680"/>
        </w:tabs>
        <w:rPr>
          <w:rFonts w:ascii="Arial" w:hAnsi="Arial" w:cs="Arial"/>
          <w:b/>
          <w:smallCaps/>
          <w:sz w:val="22"/>
          <w:szCs w:val="22"/>
        </w:rPr>
      </w:pPr>
      <w:r w:rsidRPr="009D26C0">
        <w:rPr>
          <w:rFonts w:ascii="Arial" w:hAnsi="Arial" w:cs="Arial"/>
          <w:b/>
          <w:smallCaps/>
          <w:sz w:val="22"/>
          <w:szCs w:val="22"/>
        </w:rPr>
        <w:t>On Behalf of</w:t>
      </w:r>
      <w:r>
        <w:rPr>
          <w:rFonts w:ascii="Arial" w:hAnsi="Arial" w:cs="Arial"/>
          <w:b/>
          <w:smallCaps/>
          <w:sz w:val="22"/>
          <w:szCs w:val="22"/>
        </w:rPr>
        <w:t xml:space="preserve"> the Ohio Construction Materials Coalition</w:t>
      </w:r>
    </w:p>
    <w:p w:rsidR="00F21F75" w:rsidRDefault="00F21F75" w:rsidP="00F21F75">
      <w:pPr>
        <w:tabs>
          <w:tab w:val="left" w:pos="4680"/>
        </w:tabs>
        <w:rPr>
          <w:rFonts w:ascii="Arial" w:hAnsi="Arial" w:cs="Arial"/>
          <w:color w:val="000000"/>
          <w:sz w:val="22"/>
          <w:szCs w:val="22"/>
        </w:rPr>
      </w:pPr>
    </w:p>
    <w:p w:rsidR="00F21F75" w:rsidRPr="00C15A22" w:rsidRDefault="00F21F75" w:rsidP="00F21F75">
      <w:pPr>
        <w:autoSpaceDE w:val="0"/>
        <w:autoSpaceDN w:val="0"/>
        <w:adjustRightInd w:val="0"/>
        <w:rPr>
          <w:rFonts w:ascii="Arial" w:eastAsiaTheme="minorHAnsi" w:hAnsi="Arial" w:cs="Arial"/>
          <w:sz w:val="22"/>
          <w:szCs w:val="22"/>
        </w:rPr>
      </w:pPr>
      <w:r w:rsidRPr="00C15A22">
        <w:rPr>
          <w:rFonts w:ascii="Arial" w:eastAsiaTheme="minorHAnsi" w:hAnsi="Arial" w:cs="Arial"/>
          <w:sz w:val="22"/>
          <w:szCs w:val="22"/>
        </w:rPr>
        <w:t>Mark S. Yurick;</w:t>
      </w:r>
    </w:p>
    <w:p w:rsidR="00F21F75" w:rsidRPr="00C15A22" w:rsidRDefault="00F21F75" w:rsidP="00F21F75">
      <w:pPr>
        <w:autoSpaceDE w:val="0"/>
        <w:autoSpaceDN w:val="0"/>
        <w:adjustRightInd w:val="0"/>
        <w:rPr>
          <w:rFonts w:ascii="Arial" w:eastAsiaTheme="minorHAnsi" w:hAnsi="Arial" w:cs="Arial"/>
          <w:sz w:val="22"/>
          <w:szCs w:val="22"/>
        </w:rPr>
      </w:pPr>
      <w:r w:rsidRPr="00C15A22">
        <w:rPr>
          <w:rFonts w:ascii="Arial" w:eastAsiaTheme="minorHAnsi" w:hAnsi="Arial" w:cs="Arial"/>
          <w:sz w:val="22"/>
          <w:szCs w:val="22"/>
        </w:rPr>
        <w:t xml:space="preserve">Zachary D. Kravitz </w:t>
      </w:r>
    </w:p>
    <w:p w:rsidR="00F21F75" w:rsidRPr="00C15A22" w:rsidRDefault="00F21F75" w:rsidP="00F21F75">
      <w:pPr>
        <w:autoSpaceDE w:val="0"/>
        <w:autoSpaceDN w:val="0"/>
        <w:adjustRightInd w:val="0"/>
        <w:rPr>
          <w:rFonts w:ascii="Arial" w:eastAsiaTheme="minorHAnsi" w:hAnsi="Arial" w:cs="Arial"/>
          <w:sz w:val="22"/>
          <w:szCs w:val="22"/>
        </w:rPr>
      </w:pPr>
      <w:r>
        <w:rPr>
          <w:rFonts w:ascii="Arial" w:eastAsiaTheme="minorHAnsi" w:hAnsi="Arial" w:cs="Arial"/>
          <w:sz w:val="22"/>
          <w:szCs w:val="22"/>
        </w:rPr>
        <w:t>Taft, Stettinius &amp; Hollister LLP</w:t>
      </w:r>
    </w:p>
    <w:p w:rsidR="00F21F75" w:rsidRPr="00C15A22" w:rsidRDefault="00F21F75" w:rsidP="00F21F75">
      <w:pPr>
        <w:autoSpaceDE w:val="0"/>
        <w:autoSpaceDN w:val="0"/>
        <w:adjustRightInd w:val="0"/>
        <w:rPr>
          <w:rFonts w:ascii="Arial" w:eastAsiaTheme="minorHAnsi" w:hAnsi="Arial" w:cs="Arial"/>
          <w:sz w:val="22"/>
          <w:szCs w:val="22"/>
        </w:rPr>
      </w:pPr>
      <w:r w:rsidRPr="00C15A22">
        <w:rPr>
          <w:rFonts w:ascii="Arial" w:eastAsiaTheme="minorHAnsi" w:hAnsi="Arial" w:cs="Arial"/>
          <w:sz w:val="22"/>
          <w:szCs w:val="22"/>
        </w:rPr>
        <w:t>65 East State Street, Suite 1000</w:t>
      </w:r>
    </w:p>
    <w:p w:rsidR="00F21F75" w:rsidRPr="00C15A22" w:rsidRDefault="00F21F75" w:rsidP="00F21F75">
      <w:pPr>
        <w:autoSpaceDE w:val="0"/>
        <w:autoSpaceDN w:val="0"/>
        <w:adjustRightInd w:val="0"/>
        <w:rPr>
          <w:rFonts w:ascii="Arial" w:eastAsiaTheme="minorHAnsi" w:hAnsi="Arial" w:cs="Arial"/>
          <w:sz w:val="22"/>
          <w:szCs w:val="22"/>
        </w:rPr>
      </w:pPr>
      <w:r w:rsidRPr="00C15A22">
        <w:rPr>
          <w:rFonts w:ascii="Arial" w:eastAsiaTheme="minorHAnsi" w:hAnsi="Arial" w:cs="Arial"/>
          <w:sz w:val="22"/>
          <w:szCs w:val="22"/>
        </w:rPr>
        <w:t>Columbus, OH  43215</w:t>
      </w:r>
    </w:p>
    <w:p w:rsidR="00F21F75" w:rsidRPr="00C15A22" w:rsidRDefault="00F21F75" w:rsidP="00F21F75">
      <w:pPr>
        <w:tabs>
          <w:tab w:val="left" w:pos="4680"/>
        </w:tabs>
        <w:rPr>
          <w:rFonts w:ascii="Arial" w:hAnsi="Arial" w:cs="Arial"/>
          <w:color w:val="000000"/>
          <w:sz w:val="22"/>
          <w:szCs w:val="22"/>
        </w:rPr>
      </w:pPr>
      <w:r>
        <w:rPr>
          <w:rFonts w:ascii="Arial" w:eastAsiaTheme="minorHAnsi" w:hAnsi="Arial" w:cs="Arial"/>
          <w:sz w:val="22"/>
          <w:szCs w:val="22"/>
        </w:rPr>
        <w:t>m</w:t>
      </w:r>
      <w:r w:rsidRPr="00C15A22">
        <w:rPr>
          <w:rFonts w:ascii="Arial" w:eastAsiaTheme="minorHAnsi" w:hAnsi="Arial" w:cs="Arial"/>
          <w:sz w:val="22"/>
          <w:szCs w:val="22"/>
        </w:rPr>
        <w:t>yurick@taftlaw.com</w:t>
      </w:r>
    </w:p>
    <w:p w:rsidR="00F21F75" w:rsidRPr="00C15A22" w:rsidRDefault="00F21F75" w:rsidP="00F21F75">
      <w:pPr>
        <w:tabs>
          <w:tab w:val="left" w:pos="4680"/>
        </w:tabs>
        <w:rPr>
          <w:rFonts w:ascii="Arial" w:hAnsi="Arial" w:cs="Arial"/>
          <w:color w:val="000000"/>
          <w:sz w:val="22"/>
          <w:szCs w:val="22"/>
        </w:rPr>
      </w:pPr>
      <w:r w:rsidRPr="00C15A22">
        <w:rPr>
          <w:rFonts w:ascii="Arial" w:eastAsiaTheme="minorHAnsi" w:hAnsi="Arial" w:cs="Arial"/>
          <w:sz w:val="22"/>
          <w:szCs w:val="22"/>
        </w:rPr>
        <w:t>zkravitz@taftlaw.com</w:t>
      </w:r>
    </w:p>
    <w:p w:rsidR="00F21F75" w:rsidRDefault="00F21F75" w:rsidP="00F21F75">
      <w:pPr>
        <w:tabs>
          <w:tab w:val="left" w:pos="4680"/>
        </w:tabs>
        <w:rPr>
          <w:rFonts w:ascii="Arial" w:hAnsi="Arial" w:cs="Arial"/>
          <w:color w:val="000000"/>
          <w:sz w:val="22"/>
          <w:szCs w:val="22"/>
        </w:rPr>
      </w:pPr>
    </w:p>
    <w:p w:rsidR="00F21F75" w:rsidRDefault="00F21F75" w:rsidP="00F21F75">
      <w:pPr>
        <w:tabs>
          <w:tab w:val="left" w:pos="4680"/>
        </w:tabs>
        <w:rPr>
          <w:rFonts w:ascii="Arial" w:hAnsi="Arial" w:cs="Arial"/>
          <w:b/>
          <w:smallCaps/>
          <w:sz w:val="22"/>
          <w:szCs w:val="22"/>
        </w:rPr>
      </w:pPr>
      <w:r w:rsidRPr="009D26C0">
        <w:rPr>
          <w:rFonts w:ascii="Arial" w:hAnsi="Arial" w:cs="Arial"/>
          <w:b/>
          <w:smallCaps/>
          <w:sz w:val="22"/>
          <w:szCs w:val="22"/>
        </w:rPr>
        <w:t>On Behalf of</w:t>
      </w:r>
      <w:r>
        <w:rPr>
          <w:rFonts w:ascii="Arial" w:hAnsi="Arial" w:cs="Arial"/>
          <w:b/>
          <w:smallCaps/>
          <w:sz w:val="22"/>
          <w:szCs w:val="22"/>
        </w:rPr>
        <w:t xml:space="preserve"> the Kroger Company</w:t>
      </w:r>
    </w:p>
    <w:p w:rsidR="00F21F75" w:rsidRDefault="00F21F75" w:rsidP="00F21F75">
      <w:pPr>
        <w:tabs>
          <w:tab w:val="left" w:pos="4680"/>
        </w:tabs>
        <w:rPr>
          <w:rFonts w:ascii="Arial" w:hAnsi="Arial" w:cs="Arial"/>
          <w:color w:val="000000"/>
          <w:sz w:val="22"/>
          <w:szCs w:val="22"/>
        </w:rPr>
      </w:pP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William Wright</w:t>
      </w: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Thomas McNamee</w:t>
      </w: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Werner Margard</w:t>
      </w:r>
    </w:p>
    <w:p w:rsidR="00F21F75" w:rsidRPr="009D26C0" w:rsidRDefault="00F21F75" w:rsidP="00F21F75">
      <w:pPr>
        <w:jc w:val="both"/>
        <w:rPr>
          <w:rFonts w:ascii="Arial" w:hAnsi="Arial" w:cs="Arial"/>
          <w:sz w:val="22"/>
          <w:szCs w:val="22"/>
        </w:rPr>
      </w:pPr>
      <w:r w:rsidRPr="009D26C0">
        <w:rPr>
          <w:rFonts w:ascii="Arial" w:hAnsi="Arial" w:cs="Arial"/>
          <w:sz w:val="22"/>
          <w:szCs w:val="22"/>
        </w:rPr>
        <w:t>Assistant Attorneys General</w:t>
      </w:r>
    </w:p>
    <w:p w:rsidR="00F21F75" w:rsidRPr="009D26C0" w:rsidRDefault="00F21F75" w:rsidP="00F21F75">
      <w:pPr>
        <w:jc w:val="both"/>
        <w:rPr>
          <w:rFonts w:ascii="Arial" w:hAnsi="Arial" w:cs="Arial"/>
          <w:sz w:val="22"/>
          <w:szCs w:val="22"/>
        </w:rPr>
      </w:pPr>
      <w:r w:rsidRPr="009D26C0">
        <w:rPr>
          <w:rFonts w:ascii="Arial" w:hAnsi="Arial" w:cs="Arial"/>
          <w:sz w:val="22"/>
          <w:szCs w:val="22"/>
        </w:rPr>
        <w:t>Public Utilities Section</w:t>
      </w:r>
    </w:p>
    <w:p w:rsidR="00F21F75" w:rsidRPr="009D26C0" w:rsidRDefault="00F21F75" w:rsidP="00F21F75">
      <w:pPr>
        <w:jc w:val="both"/>
        <w:rPr>
          <w:rFonts w:ascii="Arial" w:hAnsi="Arial" w:cs="Arial"/>
          <w:sz w:val="22"/>
          <w:szCs w:val="22"/>
        </w:rPr>
      </w:pPr>
      <w:r w:rsidRPr="009D26C0">
        <w:rPr>
          <w:rFonts w:ascii="Arial" w:hAnsi="Arial" w:cs="Arial"/>
          <w:sz w:val="22"/>
          <w:szCs w:val="22"/>
        </w:rPr>
        <w:t>180 East Broad Street</w:t>
      </w:r>
    </w:p>
    <w:p w:rsidR="00F21F75" w:rsidRPr="009D26C0" w:rsidRDefault="00F21F75" w:rsidP="00F21F75">
      <w:pPr>
        <w:jc w:val="both"/>
        <w:rPr>
          <w:rFonts w:ascii="Arial" w:hAnsi="Arial" w:cs="Arial"/>
          <w:sz w:val="22"/>
          <w:szCs w:val="22"/>
        </w:rPr>
      </w:pPr>
      <w:r w:rsidRPr="009D26C0">
        <w:rPr>
          <w:rFonts w:ascii="Arial" w:hAnsi="Arial" w:cs="Arial"/>
          <w:sz w:val="22"/>
          <w:szCs w:val="22"/>
        </w:rPr>
        <w:t>Columbus, OH  43215</w:t>
      </w:r>
    </w:p>
    <w:p w:rsidR="00F21F75" w:rsidRPr="009D26C0" w:rsidRDefault="00F21F75" w:rsidP="00F21F75">
      <w:pPr>
        <w:jc w:val="both"/>
        <w:rPr>
          <w:rFonts w:ascii="Arial" w:hAnsi="Arial" w:cs="Arial"/>
          <w:sz w:val="22"/>
          <w:szCs w:val="22"/>
        </w:rPr>
      </w:pPr>
    </w:p>
    <w:p w:rsidR="00F21F75" w:rsidRPr="009D26C0" w:rsidRDefault="00F21F75" w:rsidP="00F21F75">
      <w:pPr>
        <w:rPr>
          <w:rFonts w:ascii="Arial" w:hAnsi="Arial" w:cs="Arial"/>
          <w:b/>
          <w:smallCaps/>
          <w:sz w:val="22"/>
          <w:szCs w:val="22"/>
        </w:rPr>
      </w:pPr>
      <w:r w:rsidRPr="009D26C0">
        <w:rPr>
          <w:rFonts w:ascii="Arial" w:hAnsi="Arial" w:cs="Arial"/>
          <w:b/>
          <w:smallCaps/>
          <w:sz w:val="22"/>
          <w:szCs w:val="22"/>
        </w:rPr>
        <w:t>On Behalf of the Public Utilities Commission of Ohio</w:t>
      </w:r>
    </w:p>
    <w:p w:rsidR="00F21F75" w:rsidRDefault="00F21F75" w:rsidP="00F21F75">
      <w:pPr>
        <w:rPr>
          <w:rFonts w:ascii="Arial Bold" w:hAnsi="Arial Bold" w:cs="Arial"/>
          <w:smallCaps/>
        </w:rPr>
      </w:pP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Greta See</w:t>
      </w: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Attorney Examiner</w:t>
      </w: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Public Utilities Commission of Ohio</w:t>
      </w: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180 East Broad Street, 12</w:t>
      </w:r>
      <w:r w:rsidRPr="009D26C0">
        <w:rPr>
          <w:rFonts w:ascii="Arial" w:hAnsi="Arial" w:cs="Arial"/>
          <w:color w:val="000000"/>
          <w:sz w:val="22"/>
          <w:szCs w:val="22"/>
          <w:vertAlign w:val="superscript"/>
        </w:rPr>
        <w:t>th</w:t>
      </w:r>
      <w:r w:rsidRPr="009D26C0">
        <w:rPr>
          <w:rFonts w:ascii="Arial" w:hAnsi="Arial" w:cs="Arial"/>
          <w:color w:val="000000"/>
          <w:sz w:val="22"/>
          <w:szCs w:val="22"/>
        </w:rPr>
        <w:t xml:space="preserve"> Floor</w:t>
      </w:r>
    </w:p>
    <w:p w:rsidR="00F21F75" w:rsidRPr="009D26C0" w:rsidRDefault="00F21F75" w:rsidP="00F21F75">
      <w:pPr>
        <w:tabs>
          <w:tab w:val="left" w:pos="4680"/>
        </w:tabs>
        <w:rPr>
          <w:rFonts w:ascii="Arial" w:hAnsi="Arial" w:cs="Arial"/>
          <w:color w:val="000000"/>
          <w:sz w:val="22"/>
          <w:szCs w:val="22"/>
        </w:rPr>
      </w:pPr>
      <w:r w:rsidRPr="009D26C0">
        <w:rPr>
          <w:rFonts w:ascii="Arial" w:hAnsi="Arial" w:cs="Arial"/>
          <w:color w:val="000000"/>
          <w:sz w:val="22"/>
          <w:szCs w:val="22"/>
        </w:rPr>
        <w:t>Columbus, OH  43215</w:t>
      </w:r>
    </w:p>
    <w:p w:rsidR="00F21F75" w:rsidRPr="009D26C0" w:rsidRDefault="00F21F75" w:rsidP="00F21F75">
      <w:pPr>
        <w:tabs>
          <w:tab w:val="left" w:pos="4680"/>
        </w:tabs>
        <w:rPr>
          <w:rFonts w:ascii="Arial" w:hAnsi="Arial" w:cs="Arial"/>
          <w:color w:val="000000"/>
          <w:sz w:val="22"/>
          <w:szCs w:val="22"/>
        </w:rPr>
      </w:pPr>
    </w:p>
    <w:p w:rsidR="00F21F75" w:rsidRPr="009D26C0" w:rsidRDefault="00F21F75" w:rsidP="00F21F75">
      <w:pPr>
        <w:tabs>
          <w:tab w:val="left" w:pos="4680"/>
        </w:tabs>
        <w:rPr>
          <w:rFonts w:ascii="Arial" w:hAnsi="Arial" w:cs="Arial"/>
          <w:b/>
          <w:smallCaps/>
          <w:color w:val="000000"/>
          <w:sz w:val="22"/>
          <w:szCs w:val="22"/>
        </w:rPr>
      </w:pPr>
      <w:r w:rsidRPr="009D26C0">
        <w:rPr>
          <w:rFonts w:ascii="Arial" w:hAnsi="Arial" w:cs="Arial"/>
          <w:b/>
          <w:smallCaps/>
          <w:color w:val="000000"/>
          <w:sz w:val="22"/>
          <w:szCs w:val="22"/>
        </w:rPr>
        <w:t>Attorney Examiner</w:t>
      </w:r>
    </w:p>
    <w:p w:rsidR="00250199" w:rsidRPr="002C31DA" w:rsidRDefault="00250199" w:rsidP="00861099">
      <w:pPr>
        <w:tabs>
          <w:tab w:val="left" w:pos="2160"/>
          <w:tab w:val="left" w:pos="2280"/>
        </w:tabs>
        <w:rPr>
          <w:rFonts w:ascii="Arial" w:hAnsi="Arial" w:cs="Arial"/>
          <w:sz w:val="22"/>
          <w:szCs w:val="22"/>
        </w:rPr>
      </w:pPr>
    </w:p>
    <w:sectPr w:rsidR="00250199" w:rsidRPr="002C31DA" w:rsidSect="002C31DA">
      <w:headerReference w:type="default" r:id="rId25"/>
      <w:footerReference w:type="default" r:id="rId26"/>
      <w:headerReference w:type="first" r:id="rId27"/>
      <w:footerReference w:type="first" r:id="rId28"/>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49" w:rsidRDefault="00786F49">
      <w:r>
        <w:separator/>
      </w:r>
    </w:p>
  </w:endnote>
  <w:endnote w:type="continuationSeparator" w:id="0">
    <w:p w:rsidR="00786F49" w:rsidRDefault="0078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A" w:rsidRDefault="00585F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D97C0E" w:rsidRDefault="00585F0A">
    <w:pPr>
      <w:pStyle w:val="Footer"/>
      <w:jc w:val="center"/>
    </w:pPr>
    <w:r w:rsidRPr="00585F0A">
      <w:rPr>
        <w:noProof/>
        <w:sz w:val="16"/>
      </w:rPr>
      <w:t>{C38600: }</w:t>
    </w:r>
    <w:sdt>
      <w:sdtPr>
        <w:id w:val="140326160"/>
        <w:docPartObj>
          <w:docPartGallery w:val="Page Numbers (Bottom of Page)"/>
          <w:docPartUnique/>
        </w:docPartObj>
      </w:sdtPr>
      <w:sdtEndPr>
        <w:rPr>
          <w:noProof/>
        </w:rPr>
      </w:sdtEndPr>
      <w:sdtContent>
        <w:r w:rsidR="00786F49" w:rsidRPr="00D97C0E">
          <w:fldChar w:fldCharType="begin"/>
        </w:r>
        <w:r w:rsidR="00786F49" w:rsidRPr="00D97C0E">
          <w:instrText xml:space="preserve"> PAGE   \* MERGEFORMAT </w:instrText>
        </w:r>
        <w:r w:rsidR="00786F49" w:rsidRPr="00D97C0E">
          <w:fldChar w:fldCharType="separate"/>
        </w:r>
        <w:r w:rsidR="00786F49" w:rsidRPr="00D97C0E">
          <w:rPr>
            <w:noProof/>
          </w:rPr>
          <w:t>2</w:t>
        </w:r>
        <w:r w:rsidR="00786F49" w:rsidRPr="00D97C0E">
          <w:rPr>
            <w:noProof/>
          </w:rPr>
          <w:fldChar w:fldCharType="end"/>
        </w:r>
      </w:sdtContent>
    </w:sdt>
  </w:p>
  <w:p w:rsidR="00786F49" w:rsidRPr="00D97C0E" w:rsidRDefault="00786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1</w:t>
    </w:r>
    <w:r>
      <w:rPr>
        <w:rStyle w:val="PageNumber"/>
        <w:rFonts w:ascii="Arial" w:hAnsi="Arial" w:cs="Arial"/>
        <w:noProof/>
      </w:rPr>
      <w:fldChar w:fldCharType="end"/>
    </w:r>
  </w:p>
  <w:p w:rsidR="00786F49" w:rsidRDefault="00585F0A">
    <w:pPr>
      <w:pStyle w:val="Footer"/>
    </w:pPr>
    <w:r w:rsidRPr="00585F0A">
      <w:rPr>
        <w:sz w:val="16"/>
      </w:rPr>
      <w:t>{C38600: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F21F75" w:rsidRDefault="00585F0A" w:rsidP="004E7DEF">
    <w:pPr>
      <w:pStyle w:val="Footer"/>
    </w:pPr>
    <w:r w:rsidRPr="00585F0A">
      <w:rPr>
        <w:noProof/>
        <w:sz w:val="16"/>
      </w:rPr>
      <w:t>{C38600: }</w:t>
    </w:r>
    <w:r w:rsidR="00786F49">
      <w:rPr>
        <w:noProof/>
        <w:sz w:val="16"/>
      </w:rPr>
      <w:tab/>
    </w:r>
  </w:p>
  <w:p w:rsidR="00786F49" w:rsidRPr="00F21F75" w:rsidRDefault="00786F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D97C0E" w:rsidRDefault="00585F0A" w:rsidP="00786F49">
    <w:pPr>
      <w:pStyle w:val="Footer"/>
      <w:rPr>
        <w:rFonts w:ascii="Arial" w:hAnsi="Arial" w:cs="Arial"/>
      </w:rPr>
    </w:pPr>
    <w:r w:rsidRPr="00585F0A">
      <w:rPr>
        <w:noProof/>
        <w:sz w:val="16"/>
      </w:rPr>
      <w:t>{C38600: }</w:t>
    </w:r>
    <w:sdt>
      <w:sdtPr>
        <w:id w:val="1868326755"/>
        <w:docPartObj>
          <w:docPartGallery w:val="Page Numbers (Bottom of Page)"/>
          <w:docPartUnique/>
        </w:docPartObj>
      </w:sdtPr>
      <w:sdtEndPr>
        <w:rPr>
          <w:rFonts w:ascii="Arial" w:hAnsi="Arial" w:cs="Arial"/>
          <w:noProof/>
        </w:rPr>
      </w:sdtEndPr>
      <w:sdtContent>
        <w:r w:rsidR="00786F49">
          <w:tab/>
        </w:r>
        <w:r w:rsidR="00786F49" w:rsidRPr="00D97C0E">
          <w:rPr>
            <w:rFonts w:ascii="Arial" w:hAnsi="Arial" w:cs="Arial"/>
          </w:rPr>
          <w:fldChar w:fldCharType="begin"/>
        </w:r>
        <w:r w:rsidR="00786F49" w:rsidRPr="00D97C0E">
          <w:rPr>
            <w:rFonts w:ascii="Arial" w:hAnsi="Arial" w:cs="Arial"/>
          </w:rPr>
          <w:instrText xml:space="preserve"> PAGE   \* MERGEFORMAT </w:instrText>
        </w:r>
        <w:r w:rsidR="00786F49" w:rsidRPr="00D97C0E">
          <w:rPr>
            <w:rFonts w:ascii="Arial" w:hAnsi="Arial" w:cs="Arial"/>
          </w:rPr>
          <w:fldChar w:fldCharType="separate"/>
        </w:r>
        <w:r>
          <w:rPr>
            <w:rFonts w:ascii="Arial" w:hAnsi="Arial" w:cs="Arial"/>
            <w:noProof/>
          </w:rPr>
          <w:t>8</w:t>
        </w:r>
        <w:r w:rsidR="00786F49" w:rsidRPr="00D97C0E">
          <w:rPr>
            <w:rFonts w:ascii="Arial" w:hAnsi="Arial" w:cs="Arial"/>
            <w:noProof/>
          </w:rPr>
          <w:fldChar w:fldCharType="end"/>
        </w:r>
      </w:sdtContent>
    </w:sdt>
  </w:p>
  <w:p w:rsidR="00786F49" w:rsidRPr="00D97C0E" w:rsidRDefault="00786F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D97C0E" w:rsidRDefault="00585F0A" w:rsidP="00786F49">
    <w:pPr>
      <w:pStyle w:val="Footer"/>
    </w:pPr>
    <w:r w:rsidRPr="00585F0A">
      <w:rPr>
        <w:noProof/>
        <w:sz w:val="16"/>
      </w:rPr>
      <w:t>{C38600: }</w:t>
    </w:r>
    <w:r w:rsidR="00786F49">
      <w:rPr>
        <w:noProof/>
        <w:sz w:val="16"/>
      </w:rPr>
      <w:tab/>
    </w:r>
  </w:p>
  <w:p w:rsidR="00786F49" w:rsidRPr="00D97C0E" w:rsidRDefault="00786F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F21F75" w:rsidRDefault="00585F0A" w:rsidP="004E7DEF">
    <w:pPr>
      <w:pStyle w:val="Footer"/>
    </w:pPr>
    <w:r w:rsidRPr="00585F0A">
      <w:rPr>
        <w:noProof/>
        <w:sz w:val="16"/>
      </w:rPr>
      <w:t>{C38600: }</w:t>
    </w:r>
  </w:p>
  <w:p w:rsidR="00786F49" w:rsidRPr="00F21F75" w:rsidRDefault="00786F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D97C0E" w:rsidRDefault="00585F0A">
    <w:pPr>
      <w:pStyle w:val="Footer"/>
      <w:jc w:val="center"/>
    </w:pPr>
    <w:r w:rsidRPr="00585F0A">
      <w:rPr>
        <w:noProof/>
        <w:sz w:val="16"/>
      </w:rPr>
      <w:t>{C38600: }</w:t>
    </w:r>
    <w:sdt>
      <w:sdtPr>
        <w:id w:val="574096196"/>
        <w:docPartObj>
          <w:docPartGallery w:val="Page Numbers (Bottom of Page)"/>
          <w:docPartUnique/>
        </w:docPartObj>
      </w:sdtPr>
      <w:sdtEndPr>
        <w:rPr>
          <w:noProof/>
        </w:rPr>
      </w:sdtEndPr>
      <w:sdtContent>
        <w:r w:rsidR="00786F49" w:rsidRPr="00D97C0E">
          <w:fldChar w:fldCharType="begin"/>
        </w:r>
        <w:r w:rsidR="00786F49" w:rsidRPr="00D97C0E">
          <w:instrText xml:space="preserve"> PAGE   \* MERGEFORMAT </w:instrText>
        </w:r>
        <w:r w:rsidR="00786F49" w:rsidRPr="00D97C0E">
          <w:fldChar w:fldCharType="separate"/>
        </w:r>
        <w:r>
          <w:rPr>
            <w:noProof/>
          </w:rPr>
          <w:t>1</w:t>
        </w:r>
        <w:r w:rsidR="00786F49" w:rsidRPr="00D97C0E">
          <w:rPr>
            <w:noProof/>
          </w:rPr>
          <w:fldChar w:fldCharType="end"/>
        </w:r>
      </w:sdtContent>
    </w:sdt>
  </w:p>
  <w:p w:rsidR="00786F49" w:rsidRPr="00D97C0E" w:rsidRDefault="00786F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Pr="00F21F75" w:rsidRDefault="00585F0A" w:rsidP="004E7DEF">
    <w:pPr>
      <w:pStyle w:val="Footer"/>
    </w:pPr>
    <w:r w:rsidRPr="00585F0A">
      <w:rPr>
        <w:noProof/>
        <w:sz w:val="16"/>
      </w:rPr>
      <w:t>{C38600: }</w:t>
    </w:r>
  </w:p>
  <w:p w:rsidR="00786F49" w:rsidRPr="00F21F75" w:rsidRDefault="0078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49" w:rsidRDefault="00786F49">
      <w:pPr>
        <w:rPr>
          <w:noProof/>
        </w:rPr>
      </w:pPr>
      <w:r>
        <w:rPr>
          <w:noProof/>
        </w:rPr>
        <w:separator/>
      </w:r>
    </w:p>
  </w:footnote>
  <w:footnote w:type="continuationSeparator" w:id="0">
    <w:p w:rsidR="00786F49" w:rsidRDefault="00786F49">
      <w:r>
        <w:continuationSeparator/>
      </w:r>
    </w:p>
  </w:footnote>
  <w:footnote w:id="1">
    <w:p w:rsidR="00786F49" w:rsidRDefault="00786F49" w:rsidP="00EF7FAD">
      <w:pPr>
        <w:pStyle w:val="FootnoteText"/>
      </w:pPr>
      <w:r>
        <w:rPr>
          <w:rStyle w:val="FootnoteReference"/>
        </w:rPr>
        <w:footnoteRef/>
      </w:r>
      <w:r>
        <w:t xml:space="preserve"> OP has merged with CSP. OP and CSP, however, have separately booked deferred balances pursuant to separate ESPs.  For purposes of this Memorandum Contra, OP’s and CSP’s ESP’s are referred to as AEP-Ohio’s ESP.</w:t>
      </w:r>
    </w:p>
    <w:p w:rsidR="00786F49" w:rsidRDefault="00786F49" w:rsidP="00EF7FAD">
      <w:pPr>
        <w:pStyle w:val="FootnoteText"/>
      </w:pPr>
    </w:p>
  </w:footnote>
  <w:footnote w:id="2">
    <w:p w:rsidR="00786F49" w:rsidRDefault="00786F49" w:rsidP="000A4C0B">
      <w:pPr>
        <w:pStyle w:val="FootnoteText"/>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Opinion and Order at 22-23 (Mar. 18, 2009) (hereinafter “</w:t>
      </w:r>
      <w:r>
        <w:rPr>
          <w:i/>
        </w:rPr>
        <w:t>ESP I</w:t>
      </w:r>
      <w:r>
        <w:t>” ).</w:t>
      </w:r>
    </w:p>
    <w:p w:rsidR="00786F49" w:rsidRDefault="00786F49" w:rsidP="000A4C0B">
      <w:pPr>
        <w:pStyle w:val="FootnoteText"/>
      </w:pPr>
    </w:p>
  </w:footnote>
  <w:footnote w:id="3">
    <w:p w:rsidR="00786F49" w:rsidRDefault="00786F49" w:rsidP="000A4C0B">
      <w:pPr>
        <w:pStyle w:val="FootnoteText"/>
      </w:pPr>
      <w:r>
        <w:rPr>
          <w:rStyle w:val="FootnoteReference"/>
        </w:rPr>
        <w:footnoteRef/>
      </w:r>
      <w:r>
        <w:t xml:space="preserve"> </w:t>
      </w:r>
      <w:r>
        <w:rPr>
          <w:i/>
        </w:rPr>
        <w:t xml:space="preserve">ESP I </w:t>
      </w:r>
      <w:r>
        <w:t>at 22-23.</w:t>
      </w:r>
    </w:p>
    <w:p w:rsidR="00786F49" w:rsidRPr="008C1B24" w:rsidRDefault="00786F49" w:rsidP="000A4C0B">
      <w:pPr>
        <w:pStyle w:val="FootnoteText"/>
      </w:pPr>
    </w:p>
  </w:footnote>
  <w:footnote w:id="4">
    <w:p w:rsidR="00786F49" w:rsidRDefault="00786F49">
      <w:pPr>
        <w:pStyle w:val="FootnoteText"/>
      </w:pPr>
      <w:r>
        <w:rPr>
          <w:rStyle w:val="FootnoteReference"/>
        </w:rPr>
        <w:footnoteRef/>
      </w:r>
      <w:r>
        <w:t xml:space="preserve"> </w:t>
      </w:r>
      <w:r>
        <w:rPr>
          <w:i/>
        </w:rPr>
        <w:t>ESP I</w:t>
      </w:r>
      <w:r>
        <w:t>,</w:t>
      </w:r>
      <w:r>
        <w:rPr>
          <w:i/>
        </w:rPr>
        <w:t xml:space="preserve"> </w:t>
      </w:r>
      <w:r>
        <w:t>Entry on Rehearing at 8-9 (Jul. 23, 2009).</w:t>
      </w:r>
      <w:r w:rsidRPr="001505E0">
        <w:t xml:space="preserve"> </w:t>
      </w:r>
      <w:r>
        <w:t>IEU-Ohio objected to the modification, arguing that no rider should be exempt from the bill limits.</w:t>
      </w:r>
    </w:p>
    <w:p w:rsidR="00786F49" w:rsidRDefault="00786F49">
      <w:pPr>
        <w:pStyle w:val="FootnoteText"/>
      </w:pPr>
    </w:p>
  </w:footnote>
  <w:footnote w:id="5">
    <w:p w:rsidR="00786F49" w:rsidRDefault="00786F49">
      <w:pPr>
        <w:pStyle w:val="FootnoteText"/>
      </w:pPr>
      <w:r>
        <w:rPr>
          <w:rStyle w:val="FootnoteReference"/>
        </w:rPr>
        <w:footnoteRef/>
      </w:r>
      <w:r>
        <w:t xml:space="preserve"> </w:t>
      </w:r>
      <w:r>
        <w:rPr>
          <w:i/>
        </w:rPr>
        <w:t>ESP I</w:t>
      </w:r>
      <w:r>
        <w:t>, Entry on Rehearing at 2 (Jul. 29, 2009).</w:t>
      </w:r>
    </w:p>
    <w:p w:rsidR="00786F49" w:rsidRPr="00B40D1D" w:rsidRDefault="00786F49">
      <w:pPr>
        <w:pStyle w:val="FootnoteText"/>
      </w:pPr>
    </w:p>
  </w:footnote>
  <w:footnote w:id="6">
    <w:p w:rsidR="00786F49" w:rsidRDefault="00786F49" w:rsidP="0096580D">
      <w:pPr>
        <w:pStyle w:val="FootnoteText"/>
      </w:pPr>
      <w:r>
        <w:rPr>
          <w:rStyle w:val="FootnoteReference"/>
        </w:rPr>
        <w:footnoteRef/>
      </w:r>
      <w:r>
        <w:t xml:space="preserve"> </w:t>
      </w:r>
      <w:r w:rsidRPr="0096580D">
        <w:rPr>
          <w:i/>
        </w:rPr>
        <w:t xml:space="preserve">In the Matter of the Application of Columbus Southern Power Company </w:t>
      </w:r>
      <w:r>
        <w:rPr>
          <w:i/>
        </w:rPr>
        <w:t>and Ohio Power Com</w:t>
      </w:r>
      <w:r w:rsidRPr="0096580D">
        <w:rPr>
          <w:i/>
        </w:rPr>
        <w:t>pany for Administration of the Significantly Excessive Earnings Test under Section 4928.143(F), Revised Code, and Rule 4901:1-35-10, Ohio Administrative Code.</w:t>
      </w:r>
      <w:r>
        <w:t>, Case No</w:t>
      </w:r>
      <w:r w:rsidRPr="0096580D">
        <w:t>. 10-1261</w:t>
      </w:r>
      <w:r>
        <w:t>-EL-UNC</w:t>
      </w:r>
      <w:r w:rsidRPr="0096580D">
        <w:t>, Opinion</w:t>
      </w:r>
      <w:r>
        <w:t xml:space="preserve"> and Order at 36-37 (Jan. 11, 2011).</w:t>
      </w:r>
    </w:p>
    <w:p w:rsidR="00786F49" w:rsidRDefault="00786F49">
      <w:pPr>
        <w:pStyle w:val="FootnoteText"/>
      </w:pPr>
    </w:p>
  </w:footnote>
  <w:footnote w:id="7">
    <w:p w:rsidR="00786F49" w:rsidRDefault="00786F49">
      <w:pPr>
        <w:pStyle w:val="FootnoteText"/>
      </w:pPr>
      <w:r>
        <w:rPr>
          <w:rStyle w:val="FootnoteReference"/>
        </w:rPr>
        <w:footnoteRef/>
      </w:r>
      <w:r>
        <w:t xml:space="preserve"> </w:t>
      </w:r>
      <w:r>
        <w:rPr>
          <w:i/>
        </w:rPr>
        <w:t>ESP I</w:t>
      </w:r>
      <w:r>
        <w:t>, Order on Remand at 39 (Oct. 3, 2009).</w:t>
      </w:r>
    </w:p>
    <w:p w:rsidR="00786F49" w:rsidRDefault="00786F49">
      <w:pPr>
        <w:pStyle w:val="FootnoteText"/>
      </w:pPr>
    </w:p>
  </w:footnote>
  <w:footnote w:id="8">
    <w:p w:rsidR="00786F49" w:rsidRDefault="00786F49">
      <w:pPr>
        <w:pStyle w:val="FootnoteText"/>
      </w:pPr>
      <w:r>
        <w:rPr>
          <w:rStyle w:val="FootnoteReference"/>
        </w:rPr>
        <w:footnoteRef/>
      </w:r>
      <w:r>
        <w:t xml:space="preserve"> </w:t>
      </w:r>
      <w:r>
        <w:rPr>
          <w:i/>
        </w:rPr>
        <w:t xml:space="preserve">In the Matter of the Fuel Adjustment Clauses of Columbus Southern Power Company and Ohio Power </w:t>
      </w:r>
      <w:r w:rsidRPr="00F57EA0">
        <w:rPr>
          <w:i/>
        </w:rPr>
        <w:t>Company</w:t>
      </w:r>
      <w:r>
        <w:t xml:space="preserve">, Case Nos. </w:t>
      </w:r>
      <w:r w:rsidRPr="00F57EA0">
        <w:t>09</w:t>
      </w:r>
      <w:r>
        <w:t xml:space="preserve">-872-EL-FAC, </w:t>
      </w:r>
      <w:r>
        <w:rPr>
          <w:i/>
        </w:rPr>
        <w:t>et al.</w:t>
      </w:r>
      <w:r>
        <w:t>, Opinion and Order at 12-13,19 (Jan. 23, 2012).</w:t>
      </w:r>
    </w:p>
    <w:p w:rsidR="00786F49" w:rsidRDefault="00786F49">
      <w:pPr>
        <w:pStyle w:val="FootnoteText"/>
      </w:pPr>
    </w:p>
  </w:footnote>
  <w:footnote w:id="9">
    <w:p w:rsidR="00786F49" w:rsidRDefault="00786F49">
      <w:pPr>
        <w:pStyle w:val="FootnoteText"/>
      </w:pPr>
      <w:r>
        <w:rPr>
          <w:rStyle w:val="FootnoteReference"/>
        </w:rPr>
        <w:footnoteRef/>
      </w:r>
      <w:r>
        <w:t xml:space="preserve"> Reply Comments of AEP-Ohio at 18-19 (Apr. 17, 2012).  </w:t>
      </w:r>
    </w:p>
    <w:p w:rsidR="00786F49" w:rsidRDefault="00786F49">
      <w:pPr>
        <w:pStyle w:val="FootnoteText"/>
      </w:pPr>
    </w:p>
  </w:footnote>
  <w:footnote w:id="10">
    <w:p w:rsidR="00786F49" w:rsidRDefault="00786F49">
      <w:pPr>
        <w:pStyle w:val="FootnoteText"/>
      </w:pPr>
      <w:r>
        <w:rPr>
          <w:rStyle w:val="FootnoteReference"/>
        </w:rPr>
        <w:footnoteRef/>
      </w:r>
      <w:r>
        <w:t xml:space="preserve"> </w:t>
      </w:r>
      <w:r w:rsidRPr="002313B7">
        <w:rPr>
          <w:i/>
        </w:rPr>
        <w:t>In the Matter of the Application of Columbus Southern Power Company and Ohio Power Company for Authority to Establish a Standard Service Offer Pursuant to Section 4928.143, Revised Code, in the Form of an Electric Security Plan</w:t>
      </w:r>
      <w:r w:rsidRPr="002313B7">
        <w:t xml:space="preserve">, Case Nos. 11-346-EL-SSO, </w:t>
      </w:r>
      <w:r w:rsidRPr="002313B7">
        <w:rPr>
          <w:i/>
        </w:rPr>
        <w:t>et al.</w:t>
      </w:r>
      <w:r w:rsidRPr="002313B7">
        <w:t>,</w:t>
      </w:r>
      <w:r>
        <w:t xml:space="preserve"> Application for Rehearing at 27 (Sep. 7, 2012).</w:t>
      </w:r>
    </w:p>
    <w:p w:rsidR="00786F49" w:rsidRDefault="00786F49">
      <w:pPr>
        <w:pStyle w:val="FootnoteText"/>
      </w:pPr>
    </w:p>
  </w:footnote>
  <w:footnote w:id="11">
    <w:p w:rsidR="00786F49" w:rsidRDefault="00786F49">
      <w:pPr>
        <w:pStyle w:val="FootnoteText"/>
      </w:pPr>
      <w:r>
        <w:rPr>
          <w:rStyle w:val="FootnoteReference"/>
        </w:rPr>
        <w:footnoteRef/>
      </w:r>
      <w:r>
        <w:t xml:space="preserve"> </w:t>
      </w:r>
      <w:r w:rsidRPr="00CB4545">
        <w:rPr>
          <w:i/>
        </w:rPr>
        <w:t>In the Matter of the Application of Columbus Southern Power Company and Ohio Power Company to Adjust</w:t>
      </w:r>
      <w:r>
        <w:rPr>
          <w:i/>
        </w:rPr>
        <w:t xml:space="preserve"> Their </w:t>
      </w:r>
      <w:r w:rsidRPr="00CB4545">
        <w:rPr>
          <w:i/>
        </w:rPr>
        <w:t>Econ</w:t>
      </w:r>
      <w:r>
        <w:rPr>
          <w:i/>
        </w:rPr>
        <w:t xml:space="preserve">omic Development Cost Recovery </w:t>
      </w:r>
      <w:r w:rsidRPr="00CB4545">
        <w:rPr>
          <w:i/>
        </w:rPr>
        <w:t>Rider Rates</w:t>
      </w:r>
      <w:r>
        <w:t>, Case No. 09-1095-EL-RDR, Application (Nov. 13, 2009) (hereinafter “</w:t>
      </w:r>
      <w:r w:rsidRPr="00B149EC">
        <w:rPr>
          <w:i/>
        </w:rPr>
        <w:t>EDR Case</w:t>
      </w:r>
      <w:r>
        <w:t>”).</w:t>
      </w:r>
    </w:p>
    <w:p w:rsidR="00786F49" w:rsidRDefault="00786F49">
      <w:pPr>
        <w:pStyle w:val="FootnoteText"/>
      </w:pPr>
    </w:p>
  </w:footnote>
  <w:footnote w:id="12">
    <w:p w:rsidR="00786F49" w:rsidRDefault="00786F49">
      <w:pPr>
        <w:pStyle w:val="FootnoteText"/>
      </w:pPr>
      <w:r>
        <w:rPr>
          <w:rStyle w:val="FootnoteReference"/>
        </w:rPr>
        <w:footnoteRef/>
      </w:r>
      <w:r>
        <w:t xml:space="preserve"> </w:t>
      </w:r>
      <w:r>
        <w:rPr>
          <w:i/>
        </w:rPr>
        <w:t>ESP I</w:t>
      </w:r>
      <w:r>
        <w:t>, Entry on Rehearing at 8-9 (Jul. 23, 2009).</w:t>
      </w:r>
    </w:p>
    <w:p w:rsidR="00786F49" w:rsidRPr="00CB4545" w:rsidRDefault="00786F49">
      <w:pPr>
        <w:pStyle w:val="FootnoteText"/>
      </w:pPr>
    </w:p>
  </w:footnote>
  <w:footnote w:id="13">
    <w:p w:rsidR="00786F49" w:rsidRDefault="00786F49" w:rsidP="00CB4545">
      <w:pPr>
        <w:pStyle w:val="FootnoteText"/>
      </w:pPr>
      <w:r>
        <w:rPr>
          <w:rStyle w:val="FootnoteReference"/>
        </w:rPr>
        <w:footnoteRef/>
      </w:r>
      <w:r>
        <w:rPr>
          <w:i/>
        </w:rPr>
        <w:t>EDR Case</w:t>
      </w:r>
      <w:r>
        <w:t>, Finding and Order at 10 (Jan. 7, 2010).</w:t>
      </w:r>
    </w:p>
    <w:p w:rsidR="00786F49" w:rsidRDefault="00786F49" w:rsidP="00CB4545">
      <w:pPr>
        <w:pStyle w:val="FootnoteText"/>
      </w:pPr>
    </w:p>
  </w:footnote>
  <w:footnote w:id="14">
    <w:p w:rsidR="00786F49" w:rsidRDefault="00786F49">
      <w:pPr>
        <w:pStyle w:val="FootnoteText"/>
      </w:pPr>
      <w:r>
        <w:rPr>
          <w:rStyle w:val="FootnoteReference"/>
        </w:rPr>
        <w:footnoteRef/>
      </w:r>
      <w:r>
        <w:t xml:space="preserve"> Notice of Appeal of IEU-Ohio, Case No. 2010-722 (Apr. 27, 2010).</w:t>
      </w:r>
    </w:p>
    <w:p w:rsidR="00786F49" w:rsidRDefault="00786F49">
      <w:pPr>
        <w:pStyle w:val="FootnoteText"/>
      </w:pPr>
    </w:p>
  </w:footnote>
  <w:footnote w:id="15">
    <w:p w:rsidR="00786F49" w:rsidRDefault="00786F49">
      <w:pPr>
        <w:pStyle w:val="FootnoteText"/>
      </w:pPr>
      <w:r>
        <w:rPr>
          <w:rStyle w:val="FootnoteReference"/>
        </w:rPr>
        <w:footnoteRef/>
      </w:r>
      <w:r>
        <w:t xml:space="preserve"> </w:t>
      </w:r>
      <w:r>
        <w:rPr>
          <w:i/>
        </w:rPr>
        <w:t>In re Application of Columbus Southern Power Co.</w:t>
      </w:r>
      <w:r>
        <w:t>, 129 Ohio St. 3d 568, 569 (2011).</w:t>
      </w:r>
    </w:p>
    <w:p w:rsidR="00786F49" w:rsidRPr="00A73834" w:rsidRDefault="00786F49">
      <w:pPr>
        <w:pStyle w:val="FootnoteText"/>
      </w:pPr>
    </w:p>
  </w:footnote>
  <w:footnote w:id="16">
    <w:p w:rsidR="00786F49" w:rsidRDefault="00786F49" w:rsidP="00363320">
      <w:pPr>
        <w:autoSpaceDE w:val="0"/>
        <w:autoSpaceDN w:val="0"/>
        <w:adjustRightInd w:val="0"/>
        <w:jc w:val="both"/>
        <w:rPr>
          <w:rFonts w:ascii="Arial" w:eastAsiaTheme="minorHAnsi" w:hAnsi="Arial" w:cs="Arial"/>
          <w:sz w:val="20"/>
          <w:szCs w:val="20"/>
        </w:rPr>
      </w:pPr>
      <w:r w:rsidRPr="001403F6">
        <w:rPr>
          <w:rStyle w:val="FootnoteReference"/>
          <w:rFonts w:ascii="Arial" w:hAnsi="Arial" w:cs="Arial"/>
          <w:sz w:val="20"/>
          <w:szCs w:val="20"/>
        </w:rPr>
        <w:footnoteRef/>
      </w:r>
      <w:r w:rsidRPr="001403F6">
        <w:rPr>
          <w:rFonts w:ascii="Arial" w:hAnsi="Arial" w:cs="Arial"/>
          <w:sz w:val="20"/>
          <w:szCs w:val="20"/>
        </w:rPr>
        <w:t xml:space="preserve"> </w:t>
      </w:r>
      <w:r w:rsidRPr="001403F6">
        <w:rPr>
          <w:rFonts w:ascii="Arial" w:eastAsiaTheme="minorHAnsi" w:hAnsi="Arial" w:cs="Arial"/>
          <w:i/>
          <w:sz w:val="20"/>
          <w:szCs w:val="20"/>
        </w:rPr>
        <w:t>In the Matter of the Application of Columbus Southe</w:t>
      </w:r>
      <w:r>
        <w:rPr>
          <w:rFonts w:ascii="Arial" w:eastAsiaTheme="minorHAnsi" w:hAnsi="Arial" w:cs="Arial"/>
          <w:i/>
          <w:sz w:val="20"/>
          <w:szCs w:val="20"/>
        </w:rPr>
        <w:t>rn</w:t>
      </w:r>
      <w:r w:rsidRPr="001403F6">
        <w:rPr>
          <w:rFonts w:ascii="Arial" w:eastAsiaTheme="minorHAnsi" w:hAnsi="Arial" w:cs="Arial"/>
          <w:i/>
          <w:sz w:val="20"/>
          <w:szCs w:val="20"/>
        </w:rPr>
        <w:t xml:space="preserve"> Power Company and Ohio Power Company to Adjust Each Company's Transmission Cost Recovery Rider</w:t>
      </w:r>
      <w:r w:rsidRPr="001403F6">
        <w:rPr>
          <w:rFonts w:ascii="Arial" w:eastAsiaTheme="minorHAnsi" w:hAnsi="Arial" w:cs="Arial"/>
          <w:sz w:val="20"/>
          <w:szCs w:val="20"/>
        </w:rPr>
        <w:t>, Case No. 08-1202-EL-UNC, Finding and Order (Dec</w:t>
      </w:r>
      <w:r>
        <w:rPr>
          <w:rFonts w:ascii="Arial" w:eastAsiaTheme="minorHAnsi" w:hAnsi="Arial" w:cs="Arial"/>
          <w:sz w:val="20"/>
          <w:szCs w:val="20"/>
        </w:rPr>
        <w:t>.</w:t>
      </w:r>
      <w:r w:rsidRPr="001403F6">
        <w:rPr>
          <w:rFonts w:ascii="Arial" w:eastAsiaTheme="minorHAnsi" w:hAnsi="Arial" w:cs="Arial"/>
          <w:sz w:val="20"/>
          <w:szCs w:val="20"/>
        </w:rPr>
        <w:t xml:space="preserve"> 17, 2008</w:t>
      </w:r>
      <w:r w:rsidRPr="001403F6">
        <w:rPr>
          <w:rFonts w:ascii="Arial" w:eastAsiaTheme="minorHAnsi" w:hAnsi="Arial" w:cs="Arial"/>
          <w:i/>
          <w:sz w:val="20"/>
          <w:szCs w:val="20"/>
        </w:rPr>
        <w:t>); In the Matter of the Application of Columbus Southern Power Company and Ohio Power Company for Authority to Modify Their Accounting Procedure for Certain Storm-Related Services Restoration Costs</w:t>
      </w:r>
      <w:r w:rsidRPr="001403F6">
        <w:rPr>
          <w:rFonts w:ascii="Arial" w:eastAsiaTheme="minorHAnsi" w:hAnsi="Arial" w:cs="Arial"/>
          <w:sz w:val="20"/>
          <w:szCs w:val="20"/>
        </w:rPr>
        <w:t>, Case No. 08-1301-EL-AAM, Finding and Order (Dec</w:t>
      </w:r>
      <w:r>
        <w:rPr>
          <w:rFonts w:ascii="Arial" w:eastAsiaTheme="minorHAnsi" w:hAnsi="Arial" w:cs="Arial"/>
          <w:sz w:val="20"/>
          <w:szCs w:val="20"/>
        </w:rPr>
        <w:t>.</w:t>
      </w:r>
      <w:r w:rsidRPr="001403F6">
        <w:rPr>
          <w:rFonts w:ascii="Arial" w:eastAsiaTheme="minorHAnsi" w:hAnsi="Arial" w:cs="Arial"/>
          <w:sz w:val="20"/>
          <w:szCs w:val="20"/>
        </w:rPr>
        <w:t xml:space="preserve"> 19, 2008); </w:t>
      </w:r>
      <w:r w:rsidRPr="001403F6">
        <w:rPr>
          <w:rFonts w:ascii="Arial" w:eastAsiaTheme="minorHAnsi" w:hAnsi="Arial" w:cs="Arial"/>
          <w:i/>
          <w:sz w:val="20"/>
          <w:szCs w:val="20"/>
        </w:rPr>
        <w:t>In the Matter of the Commission Review of the Capacity Charges of Ohio P</w:t>
      </w:r>
      <w:r>
        <w:rPr>
          <w:rFonts w:ascii="Arial" w:eastAsiaTheme="minorHAnsi" w:hAnsi="Arial" w:cs="Arial"/>
          <w:i/>
          <w:sz w:val="20"/>
          <w:szCs w:val="20"/>
        </w:rPr>
        <w:t>ower Company and Columbus Southern</w:t>
      </w:r>
      <w:r w:rsidRPr="001403F6">
        <w:rPr>
          <w:rFonts w:ascii="Arial" w:eastAsiaTheme="minorHAnsi" w:hAnsi="Arial" w:cs="Arial"/>
          <w:i/>
          <w:sz w:val="20"/>
          <w:szCs w:val="20"/>
        </w:rPr>
        <w:t xml:space="preserve"> Power Company</w:t>
      </w:r>
      <w:r w:rsidRPr="001403F6">
        <w:rPr>
          <w:rFonts w:ascii="Arial" w:eastAsiaTheme="minorHAnsi" w:hAnsi="Arial" w:cs="Arial"/>
          <w:sz w:val="20"/>
          <w:szCs w:val="20"/>
        </w:rPr>
        <w:t>, Case No. 10-2929-EL-UNC, Opinion and Order (Jul</w:t>
      </w:r>
      <w:r>
        <w:rPr>
          <w:rFonts w:ascii="Arial" w:eastAsiaTheme="minorHAnsi" w:hAnsi="Arial" w:cs="Arial"/>
          <w:sz w:val="20"/>
          <w:szCs w:val="20"/>
        </w:rPr>
        <w:t>.</w:t>
      </w:r>
      <w:r w:rsidRPr="001403F6">
        <w:rPr>
          <w:rFonts w:ascii="Arial" w:eastAsiaTheme="minorHAnsi" w:hAnsi="Arial" w:cs="Arial"/>
          <w:sz w:val="20"/>
          <w:szCs w:val="20"/>
        </w:rPr>
        <w:t xml:space="preserve"> 1, 2012)</w:t>
      </w:r>
      <w:r>
        <w:rPr>
          <w:rFonts w:ascii="Arial" w:eastAsiaTheme="minorHAnsi" w:hAnsi="Arial" w:cs="Arial"/>
          <w:sz w:val="20"/>
          <w:szCs w:val="20"/>
        </w:rPr>
        <w:t>.</w:t>
      </w:r>
    </w:p>
    <w:p w:rsidR="00786F49" w:rsidRPr="001403F6" w:rsidRDefault="00786F49" w:rsidP="00363320">
      <w:pPr>
        <w:autoSpaceDE w:val="0"/>
        <w:autoSpaceDN w:val="0"/>
        <w:adjustRightInd w:val="0"/>
        <w:jc w:val="both"/>
        <w:rPr>
          <w:rFonts w:ascii="Arial" w:eastAsiaTheme="minorHAnsi" w:hAnsi="Arial" w:cs="Arial"/>
          <w:sz w:val="20"/>
          <w:szCs w:val="20"/>
        </w:rPr>
      </w:pPr>
    </w:p>
  </w:footnote>
  <w:footnote w:id="17">
    <w:p w:rsidR="00786F49" w:rsidRDefault="00786F49">
      <w:pPr>
        <w:pStyle w:val="FootnoteText"/>
      </w:pPr>
      <w:r>
        <w:rPr>
          <w:rStyle w:val="FootnoteReference"/>
        </w:rPr>
        <w:footnoteRef/>
      </w:r>
      <w:r>
        <w:t xml:space="preserve"> The effect of using a long term debt rate during the amortization period allows interest to be charged to customers on the deferred balance including the WACC-based interest accumulated in that balance.  Thus, the use of a debt-based interest rate during the amortization period works to finance the common equity return embedded in the accumulated deferred balance.  AEP-Ohio’s long term debt rate is the embedded long term debt rate which is significantly above a reasonable current long term debt rate.  Thus, even the use of a long term debt rate in this circumstance leads to significantly overstated financing costs.  </w:t>
      </w:r>
    </w:p>
    <w:p w:rsidR="00786F49" w:rsidRDefault="00786F49">
      <w:pPr>
        <w:pStyle w:val="FootnoteText"/>
      </w:pPr>
    </w:p>
  </w:footnote>
  <w:footnote w:id="18">
    <w:p w:rsidR="00786F49" w:rsidRPr="001403F6" w:rsidRDefault="00786F49" w:rsidP="00626C8D">
      <w:pPr>
        <w:pStyle w:val="FootnoteText"/>
      </w:pPr>
      <w:r w:rsidRPr="001403F6">
        <w:rPr>
          <w:rStyle w:val="FootnoteReference"/>
        </w:rPr>
        <w:footnoteRef/>
      </w:r>
      <w:r>
        <w:t xml:space="preserve"> PIRR </w:t>
      </w:r>
      <w:r w:rsidRPr="001403F6">
        <w:t>Order at 17-18.</w:t>
      </w:r>
    </w:p>
    <w:p w:rsidR="00786F49" w:rsidRPr="001403F6" w:rsidRDefault="00786F49" w:rsidP="00626C8D">
      <w:pPr>
        <w:pStyle w:val="FootnoteText"/>
      </w:pPr>
    </w:p>
  </w:footnote>
  <w:footnote w:id="19">
    <w:p w:rsidR="00786F49" w:rsidRDefault="00786F49">
      <w:pPr>
        <w:pStyle w:val="FootnoteText"/>
      </w:pPr>
      <w:r>
        <w:rPr>
          <w:rStyle w:val="FootnoteReference"/>
        </w:rPr>
        <w:footnoteRef/>
      </w:r>
      <w:r>
        <w:t xml:space="preserve"> PIRR Order at 18.</w:t>
      </w:r>
    </w:p>
    <w:p w:rsidR="00786F49" w:rsidRDefault="00786F49">
      <w:pPr>
        <w:pStyle w:val="FootnoteText"/>
      </w:pPr>
    </w:p>
  </w:footnote>
  <w:footnote w:id="20">
    <w:p w:rsidR="00786F49" w:rsidRDefault="00786F49" w:rsidP="004B2C9E">
      <w:pPr>
        <w:pStyle w:val="FootnoteText"/>
      </w:pPr>
      <w:r w:rsidRPr="001403F6">
        <w:rPr>
          <w:rStyle w:val="FootnoteReference"/>
        </w:rPr>
        <w:footnoteRef/>
      </w:r>
      <w:r w:rsidRPr="001403F6">
        <w:t xml:space="preserve"> Application for Rehearing and Memorandum</w:t>
      </w:r>
      <w:r>
        <w:t xml:space="preserve"> in Support of AEP-Ohio at 5-11 (hereinafter “AEP-Ohio App. Rehearing”)</w:t>
      </w:r>
    </w:p>
    <w:p w:rsidR="00786F49" w:rsidRDefault="00786F49" w:rsidP="004B2C9E">
      <w:pPr>
        <w:pStyle w:val="FootnoteText"/>
      </w:pPr>
    </w:p>
  </w:footnote>
  <w:footnote w:id="21">
    <w:p w:rsidR="00786F49" w:rsidRDefault="00786F49">
      <w:pPr>
        <w:pStyle w:val="FootnoteText"/>
      </w:pPr>
      <w:r>
        <w:rPr>
          <w:rStyle w:val="FootnoteReference"/>
        </w:rPr>
        <w:footnoteRef/>
      </w:r>
      <w:r>
        <w:t xml:space="preserve"> AEP-Ohio App. Rehearing at 19-21.</w:t>
      </w:r>
    </w:p>
    <w:p w:rsidR="00786F49" w:rsidRDefault="00786F49">
      <w:pPr>
        <w:pStyle w:val="FootnoteText"/>
      </w:pPr>
    </w:p>
  </w:footnote>
  <w:footnote w:id="22">
    <w:p w:rsidR="00786F49" w:rsidRDefault="00786F49">
      <w:pPr>
        <w:pStyle w:val="FootnoteText"/>
      </w:pPr>
      <w:r>
        <w:rPr>
          <w:rStyle w:val="FootnoteReference"/>
        </w:rPr>
        <w:footnoteRef/>
      </w:r>
      <w:r>
        <w:t xml:space="preserve"> AEP-Ohio App. Rehearing at 21-23.</w:t>
      </w:r>
    </w:p>
    <w:p w:rsidR="00786F49" w:rsidRDefault="00786F49">
      <w:pPr>
        <w:pStyle w:val="FootnoteText"/>
      </w:pPr>
    </w:p>
  </w:footnote>
  <w:footnote w:id="23">
    <w:p w:rsidR="00786F49" w:rsidRDefault="00786F49" w:rsidP="004B2C9E">
      <w:pPr>
        <w:pStyle w:val="FootnoteText"/>
      </w:pPr>
      <w:r>
        <w:rPr>
          <w:rStyle w:val="FootnoteReference"/>
        </w:rPr>
        <w:footnoteRef/>
      </w:r>
      <w:r>
        <w:t xml:space="preserve"> AEP-Ohio App. Rehearing at 16.</w:t>
      </w:r>
    </w:p>
    <w:p w:rsidR="00786F49" w:rsidRDefault="00786F49" w:rsidP="004B2C9E">
      <w:pPr>
        <w:pStyle w:val="FootnoteText"/>
      </w:pPr>
    </w:p>
  </w:footnote>
  <w:footnote w:id="24">
    <w:p w:rsidR="00786F49" w:rsidRDefault="00786F49">
      <w:pPr>
        <w:pStyle w:val="FootnoteText"/>
      </w:pPr>
      <w:r>
        <w:rPr>
          <w:rStyle w:val="FootnoteReference"/>
        </w:rPr>
        <w:footnoteRef/>
      </w:r>
      <w:r>
        <w:t xml:space="preserve"> Reply Comments of AEP-Ohio at 6-12 (Apr. 17, 2012).</w:t>
      </w:r>
    </w:p>
    <w:p w:rsidR="00786F49" w:rsidRDefault="00786F49">
      <w:pPr>
        <w:pStyle w:val="FootnoteText"/>
      </w:pPr>
    </w:p>
  </w:footnote>
  <w:footnote w:id="25">
    <w:p w:rsidR="00786F49" w:rsidRDefault="00786F49" w:rsidP="00582597">
      <w:pPr>
        <w:pStyle w:val="FootnoteText"/>
      </w:pPr>
      <w:r>
        <w:rPr>
          <w:rStyle w:val="FootnoteReference"/>
        </w:rPr>
        <w:footnoteRef/>
      </w:r>
      <w:r>
        <w:t xml:space="preserve"> </w:t>
      </w:r>
      <w:r>
        <w:rPr>
          <w:i/>
        </w:rPr>
        <w:t>State, Ex Rel. B.O.C. Group, General Motors Corp., v. Indus. Comm.</w:t>
      </w:r>
      <w:r>
        <w:t>, 58 Ohio St. 3d 199, 200-201 (1991).</w:t>
      </w:r>
    </w:p>
    <w:p w:rsidR="00786F49" w:rsidRPr="006107B3" w:rsidRDefault="00786F49" w:rsidP="00582597">
      <w:pPr>
        <w:pStyle w:val="FootnoteText"/>
      </w:pPr>
    </w:p>
  </w:footnote>
  <w:footnote w:id="26">
    <w:p w:rsidR="00786F49" w:rsidRDefault="00786F49">
      <w:pPr>
        <w:pStyle w:val="FootnoteText"/>
        <w:rPr>
          <w:i/>
        </w:rPr>
      </w:pPr>
      <w:r>
        <w:rPr>
          <w:rStyle w:val="FootnoteReference"/>
        </w:rPr>
        <w:footnoteRef/>
      </w:r>
      <w:r>
        <w:rPr>
          <w:i/>
        </w:rPr>
        <w:t xml:space="preserve"> Id.</w:t>
      </w:r>
    </w:p>
    <w:p w:rsidR="00786F49" w:rsidRPr="001403F6" w:rsidRDefault="00786F49">
      <w:pPr>
        <w:pStyle w:val="FootnoteText"/>
        <w:rPr>
          <w:i/>
        </w:rPr>
      </w:pPr>
    </w:p>
  </w:footnote>
  <w:footnote w:id="27">
    <w:p w:rsidR="00786F49" w:rsidRDefault="00786F49" w:rsidP="00582597">
      <w:pPr>
        <w:pStyle w:val="FootnoteText"/>
      </w:pPr>
      <w:r>
        <w:rPr>
          <w:rStyle w:val="FootnoteReference"/>
        </w:rPr>
        <w:footnoteRef/>
      </w:r>
      <w:r>
        <w:t xml:space="preserve"> AEP-Ohio App. Rehearing at 3 (emphasis added).</w:t>
      </w:r>
    </w:p>
    <w:p w:rsidR="00786F49" w:rsidRDefault="00786F49" w:rsidP="00582597">
      <w:pPr>
        <w:pStyle w:val="FootnoteText"/>
      </w:pPr>
    </w:p>
  </w:footnote>
  <w:footnote w:id="28">
    <w:p w:rsidR="00786F49" w:rsidRDefault="00786F49" w:rsidP="008B5724">
      <w:pPr>
        <w:pStyle w:val="FootnoteText"/>
      </w:pPr>
      <w:r>
        <w:rPr>
          <w:rStyle w:val="FootnoteReference"/>
        </w:rPr>
        <w:footnoteRef/>
      </w:r>
      <w:r>
        <w:t xml:space="preserve"> </w:t>
      </w:r>
      <w:r w:rsidRPr="004B0CDB">
        <w:rPr>
          <w:i/>
        </w:rPr>
        <w:t>In re Application of Columbus Southern Power Co.</w:t>
      </w:r>
      <w:r w:rsidRPr="004B0CDB">
        <w:t>, 129 Ohio St. 3d 568, 569</w:t>
      </w:r>
      <w:r>
        <w:t>-570</w:t>
      </w:r>
      <w:r w:rsidRPr="004B0CDB">
        <w:t xml:space="preserve"> (2011).</w:t>
      </w:r>
    </w:p>
    <w:p w:rsidR="00786F49" w:rsidRDefault="00786F49" w:rsidP="008B5724">
      <w:pPr>
        <w:pStyle w:val="FootnoteText"/>
      </w:pPr>
      <w:r>
        <w:t xml:space="preserve">  </w:t>
      </w:r>
    </w:p>
  </w:footnote>
  <w:footnote w:id="29">
    <w:p w:rsidR="00786F49" w:rsidRDefault="00786F49">
      <w:pPr>
        <w:pStyle w:val="FootnoteText"/>
      </w:pPr>
      <w:r>
        <w:rPr>
          <w:rStyle w:val="FootnoteReference"/>
        </w:rPr>
        <w:footnoteRef/>
      </w:r>
      <w:r>
        <w:t xml:space="preserve"> </w:t>
      </w:r>
      <w:r>
        <w:rPr>
          <w:i/>
        </w:rPr>
        <w:t xml:space="preserve">Id. </w:t>
      </w:r>
      <w:r>
        <w:t>at 569.</w:t>
      </w:r>
    </w:p>
    <w:p w:rsidR="00786F49" w:rsidRPr="00CE5DA6" w:rsidRDefault="00786F49">
      <w:pPr>
        <w:pStyle w:val="FootnoteText"/>
      </w:pPr>
    </w:p>
  </w:footnote>
  <w:footnote w:id="30">
    <w:p w:rsidR="00786F49" w:rsidRDefault="00786F49">
      <w:pPr>
        <w:pStyle w:val="FootnoteText"/>
      </w:pPr>
      <w:r>
        <w:rPr>
          <w:rStyle w:val="FootnoteReference"/>
        </w:rPr>
        <w:footnoteRef/>
      </w:r>
      <w:r>
        <w:t xml:space="preserve"> </w:t>
      </w:r>
      <w:r w:rsidRPr="004B0CDB">
        <w:rPr>
          <w:i/>
        </w:rPr>
        <w:t>In re Application of Columbus Southern Power Co.</w:t>
      </w:r>
      <w:r w:rsidRPr="004B0CDB">
        <w:t>, 129 Ohio St. 3d 568, 569</w:t>
      </w:r>
      <w:r>
        <w:t>-570</w:t>
      </w:r>
      <w:r w:rsidRPr="004B0CDB">
        <w:t xml:space="preserve"> (2011).</w:t>
      </w:r>
      <w:r>
        <w:t xml:space="preserve">  </w:t>
      </w:r>
    </w:p>
    <w:p w:rsidR="00786F49" w:rsidRDefault="00786F49">
      <w:pPr>
        <w:pStyle w:val="FootnoteText"/>
      </w:pPr>
    </w:p>
  </w:footnote>
  <w:footnote w:id="31">
    <w:p w:rsidR="00786F49" w:rsidRPr="006107B3" w:rsidRDefault="00786F49" w:rsidP="00EF2E13">
      <w:pPr>
        <w:pStyle w:val="FootnoteText"/>
      </w:pPr>
      <w:r>
        <w:rPr>
          <w:rStyle w:val="FootnoteReference"/>
        </w:rPr>
        <w:footnoteRef/>
      </w:r>
      <w:r>
        <w:t xml:space="preserve"> </w:t>
      </w:r>
      <w:r>
        <w:rPr>
          <w:i/>
        </w:rPr>
        <w:t>State, Ex Rel. B.O.C. Group, General Motors Corp., v. Indus. Comm.</w:t>
      </w:r>
      <w:r>
        <w:t>, 58 Ohio St. 3d 199, 200-201 (1991).</w:t>
      </w:r>
    </w:p>
    <w:p w:rsidR="00786F49" w:rsidRDefault="00786F49">
      <w:pPr>
        <w:pStyle w:val="FootnoteText"/>
      </w:pPr>
    </w:p>
  </w:footnote>
  <w:footnote w:id="32">
    <w:p w:rsidR="00786F49" w:rsidRPr="00787807" w:rsidRDefault="00786F49" w:rsidP="00D22190">
      <w:pPr>
        <w:autoSpaceDE w:val="0"/>
        <w:autoSpaceDN w:val="0"/>
        <w:adjustRightInd w:val="0"/>
        <w:jc w:val="both"/>
        <w:rPr>
          <w:rFonts w:ascii="Arial" w:hAnsi="Arial" w:cs="Arial"/>
          <w:sz w:val="20"/>
          <w:szCs w:val="20"/>
        </w:rPr>
      </w:pPr>
      <w:r w:rsidRPr="00787807">
        <w:rPr>
          <w:rStyle w:val="FootnoteReference"/>
          <w:rFonts w:ascii="Arial" w:hAnsi="Arial" w:cs="Arial"/>
          <w:sz w:val="20"/>
          <w:szCs w:val="20"/>
        </w:rPr>
        <w:footnoteRef/>
      </w:r>
      <w:r w:rsidRPr="00787807">
        <w:rPr>
          <w:rFonts w:ascii="Arial" w:hAnsi="Arial" w:cs="Arial"/>
          <w:sz w:val="20"/>
          <w:szCs w:val="20"/>
        </w:rPr>
        <w:t xml:space="preserve"> Letter of Steven T. Nourse to Greta See at 2 (Aug. 16, 2012).  In </w:t>
      </w:r>
      <w:r w:rsidRPr="00787807">
        <w:rPr>
          <w:rFonts w:ascii="Arial" w:hAnsi="Arial" w:cs="Arial"/>
          <w:i/>
          <w:sz w:val="20"/>
          <w:szCs w:val="20"/>
        </w:rPr>
        <w:t>In the Matter of the Application of Columbus Southern Power Company for Approval of an Electric Security Plan; an Amendment to its Corporate Separation Plan; and the Sale or Transfer of Certain Generating Assets</w:t>
      </w:r>
      <w:r w:rsidRPr="00787807">
        <w:rPr>
          <w:rFonts w:ascii="Arial" w:hAnsi="Arial" w:cs="Arial"/>
          <w:sz w:val="20"/>
          <w:szCs w:val="20"/>
        </w:rPr>
        <w:t>, Case Nos. 08-917-EL-SSO, et al. (“</w:t>
      </w:r>
      <w:r w:rsidRPr="00787807">
        <w:rPr>
          <w:rFonts w:ascii="Arial" w:hAnsi="Arial" w:cs="Arial"/>
          <w:i/>
          <w:sz w:val="20"/>
          <w:szCs w:val="20"/>
        </w:rPr>
        <w:t>ESP I Case</w:t>
      </w:r>
      <w:r w:rsidRPr="00787807">
        <w:rPr>
          <w:rFonts w:ascii="Arial" w:hAnsi="Arial" w:cs="Arial"/>
          <w:sz w:val="20"/>
          <w:szCs w:val="20"/>
        </w:rPr>
        <w:t xml:space="preserve">”), AEP-Ohio took the position that “[t]he right to withdraw an ESP application under §4928.143(C) (2), Ohio Rev. Code, contains no time restriction.”  </w:t>
      </w:r>
      <w:r w:rsidRPr="00787807">
        <w:rPr>
          <w:rFonts w:ascii="Arial" w:hAnsi="Arial" w:cs="Arial"/>
          <w:i/>
          <w:sz w:val="20"/>
          <w:szCs w:val="20"/>
        </w:rPr>
        <w:t>ESP I Case</w:t>
      </w:r>
      <w:r w:rsidRPr="00787807">
        <w:rPr>
          <w:rFonts w:ascii="Arial" w:hAnsi="Arial" w:cs="Arial"/>
          <w:sz w:val="20"/>
          <w:szCs w:val="20"/>
        </w:rPr>
        <w:t xml:space="preserve">, Columbus Southern Power Company’s and Ohio Power Company’s Memorandum Contra IEU-Ohio’s Motion for Immediate Relief from Electric Rate Increases at 4 (Apr. 23, 2010). </w:t>
      </w:r>
    </w:p>
    <w:p w:rsidR="00786F49" w:rsidRDefault="00786F49" w:rsidP="00D22190">
      <w:pPr>
        <w:pStyle w:val="FootnoteText"/>
      </w:pPr>
    </w:p>
  </w:footnote>
  <w:footnote w:id="33">
    <w:p w:rsidR="00786F49" w:rsidRDefault="00786F49" w:rsidP="003560B2">
      <w:pPr>
        <w:pStyle w:val="FootnoteText"/>
      </w:pPr>
      <w:r>
        <w:rPr>
          <w:rStyle w:val="FootnoteReference"/>
        </w:rPr>
        <w:footnoteRef/>
      </w:r>
      <w:r>
        <w:t xml:space="preserve"> AEP-Ohio App. Rehearing at 17 footnote 2.</w:t>
      </w:r>
    </w:p>
    <w:p w:rsidR="00786F49" w:rsidRDefault="00786F49" w:rsidP="003560B2">
      <w:pPr>
        <w:pStyle w:val="FootnoteText"/>
      </w:pPr>
    </w:p>
  </w:footnote>
  <w:footnote w:id="34">
    <w:p w:rsidR="00786F49" w:rsidRDefault="00786F49">
      <w:pPr>
        <w:pStyle w:val="FootnoteText"/>
      </w:pPr>
      <w:r>
        <w:rPr>
          <w:rStyle w:val="FootnoteReference"/>
        </w:rPr>
        <w:footnoteRef/>
      </w:r>
      <w:r>
        <w:t xml:space="preserve"> </w:t>
      </w:r>
      <w:r w:rsidRPr="002313B7">
        <w:rPr>
          <w:i/>
        </w:rPr>
        <w:t>In the Matter of the Application of Columbus Southern Power Company and Ohio Power Company for Authority to Establish a Standard Service Offer Pursuant to Section 4928.143, Revised Code, in the Form of an Electric Security Plan</w:t>
      </w:r>
      <w:r w:rsidRPr="002313B7">
        <w:t xml:space="preserve">, Case Nos. 11-346-EL-SSO, </w:t>
      </w:r>
      <w:r w:rsidRPr="002313B7">
        <w:rPr>
          <w:i/>
        </w:rPr>
        <w:t>et al.</w:t>
      </w:r>
      <w:r w:rsidRPr="002313B7">
        <w:t>,</w:t>
      </w:r>
      <w:r>
        <w:t xml:space="preserve"> Tr. Vol. II at 470.</w:t>
      </w:r>
    </w:p>
    <w:p w:rsidR="00786F49" w:rsidRDefault="00786F49">
      <w:pPr>
        <w:pStyle w:val="FootnoteText"/>
      </w:pPr>
    </w:p>
  </w:footnote>
  <w:footnote w:id="35">
    <w:p w:rsidR="00786F49" w:rsidRDefault="00786F49">
      <w:pPr>
        <w:pStyle w:val="FootnoteText"/>
      </w:pPr>
      <w:r>
        <w:rPr>
          <w:rStyle w:val="FootnoteReference"/>
        </w:rPr>
        <w:footnoteRef/>
      </w:r>
      <w:r>
        <w:t xml:space="preserve"> Several outstanding proceeding</w:t>
      </w:r>
      <w:r w:rsidR="00585F0A">
        <w:t>s</w:t>
      </w:r>
      <w:r>
        <w:t xml:space="preserve"> will impact the amounts of the deferred balances that are eligible for recovery through rates.  Reply Comments of AEP-Ohio at 18-19 (Apr. 17, 2012).  Until there are final non-appealable orders in each of those proceedings and all appeals have been exhausted, the PIRR cannot be securitized.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A" w:rsidRDefault="00585F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A" w:rsidRDefault="00585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A" w:rsidRDefault="00585F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9" w:rsidRDefault="00786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9E6"/>
    <w:multiLevelType w:val="hybridMultilevel"/>
    <w:tmpl w:val="028AEB54"/>
    <w:lvl w:ilvl="0" w:tplc="B9DCC614">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EE4767"/>
    <w:multiLevelType w:val="hybridMultilevel"/>
    <w:tmpl w:val="3F36712C"/>
    <w:lvl w:ilvl="0" w:tplc="00E0E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8001F"/>
    <w:multiLevelType w:val="hybridMultilevel"/>
    <w:tmpl w:val="A30440C8"/>
    <w:lvl w:ilvl="0" w:tplc="6C6E1E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D0D02"/>
    <w:multiLevelType w:val="hybridMultilevel"/>
    <w:tmpl w:val="30B8592C"/>
    <w:lvl w:ilvl="0" w:tplc="41D27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07F4F"/>
    <w:multiLevelType w:val="hybridMultilevel"/>
    <w:tmpl w:val="59EE719C"/>
    <w:lvl w:ilvl="0" w:tplc="9F5036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A234B6"/>
    <w:multiLevelType w:val="hybridMultilevel"/>
    <w:tmpl w:val="53125AA6"/>
    <w:lvl w:ilvl="0" w:tplc="FF68C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BD67F2"/>
    <w:multiLevelType w:val="hybridMultilevel"/>
    <w:tmpl w:val="48E4A422"/>
    <w:lvl w:ilvl="0" w:tplc="AA54EB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DE7A81"/>
    <w:multiLevelType w:val="hybridMultilevel"/>
    <w:tmpl w:val="0BF299E6"/>
    <w:lvl w:ilvl="0" w:tplc="6A62B1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39271C"/>
    <w:multiLevelType w:val="hybridMultilevel"/>
    <w:tmpl w:val="DC4C0C9A"/>
    <w:lvl w:ilvl="0" w:tplc="DFFA1B4A">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267D9"/>
    <w:multiLevelType w:val="hybridMultilevel"/>
    <w:tmpl w:val="53125AA6"/>
    <w:lvl w:ilvl="0" w:tplc="FF68C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51940"/>
    <w:multiLevelType w:val="hybridMultilevel"/>
    <w:tmpl w:val="B3426014"/>
    <w:lvl w:ilvl="0" w:tplc="4A9E2188">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9"/>
  </w:num>
  <w:num w:numId="3">
    <w:abstractNumId w:val="5"/>
  </w:num>
  <w:num w:numId="4">
    <w:abstractNumId w:val="10"/>
  </w:num>
  <w:num w:numId="5">
    <w:abstractNumId w:val="4"/>
  </w:num>
  <w:num w:numId="6">
    <w:abstractNumId w:val="7"/>
  </w:num>
  <w:num w:numId="7">
    <w:abstractNumId w:val="2"/>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FA"/>
    <w:rsid w:val="00003182"/>
    <w:rsid w:val="00004AC5"/>
    <w:rsid w:val="00011F0C"/>
    <w:rsid w:val="000215F4"/>
    <w:rsid w:val="00023803"/>
    <w:rsid w:val="00024080"/>
    <w:rsid w:val="00043C8E"/>
    <w:rsid w:val="000648EE"/>
    <w:rsid w:val="000727EC"/>
    <w:rsid w:val="00087629"/>
    <w:rsid w:val="00091227"/>
    <w:rsid w:val="000912C7"/>
    <w:rsid w:val="0009387F"/>
    <w:rsid w:val="00096890"/>
    <w:rsid w:val="000A1273"/>
    <w:rsid w:val="000A4C0B"/>
    <w:rsid w:val="000A79E9"/>
    <w:rsid w:val="000B3792"/>
    <w:rsid w:val="000D49A8"/>
    <w:rsid w:val="000E2C9A"/>
    <w:rsid w:val="000E3467"/>
    <w:rsid w:val="000E6DF4"/>
    <w:rsid w:val="000F70C7"/>
    <w:rsid w:val="0010303D"/>
    <w:rsid w:val="00110449"/>
    <w:rsid w:val="00112F96"/>
    <w:rsid w:val="0011573D"/>
    <w:rsid w:val="00126093"/>
    <w:rsid w:val="001279C8"/>
    <w:rsid w:val="00130773"/>
    <w:rsid w:val="0013254B"/>
    <w:rsid w:val="001369AD"/>
    <w:rsid w:val="001403F6"/>
    <w:rsid w:val="0014377D"/>
    <w:rsid w:val="00145C9B"/>
    <w:rsid w:val="001505E0"/>
    <w:rsid w:val="00155F7B"/>
    <w:rsid w:val="001662D5"/>
    <w:rsid w:val="00175E7A"/>
    <w:rsid w:val="00177F93"/>
    <w:rsid w:val="001847F6"/>
    <w:rsid w:val="00192A20"/>
    <w:rsid w:val="001974E7"/>
    <w:rsid w:val="001A37E9"/>
    <w:rsid w:val="001A503C"/>
    <w:rsid w:val="001A7AAF"/>
    <w:rsid w:val="001B1D94"/>
    <w:rsid w:val="001C691D"/>
    <w:rsid w:val="001D409B"/>
    <w:rsid w:val="001D45CF"/>
    <w:rsid w:val="001E7153"/>
    <w:rsid w:val="001F11B3"/>
    <w:rsid w:val="001F4DF7"/>
    <w:rsid w:val="001F601B"/>
    <w:rsid w:val="001F7E4D"/>
    <w:rsid w:val="0021692D"/>
    <w:rsid w:val="00217BC1"/>
    <w:rsid w:val="00217F80"/>
    <w:rsid w:val="00223E37"/>
    <w:rsid w:val="00237732"/>
    <w:rsid w:val="00237C00"/>
    <w:rsid w:val="00241876"/>
    <w:rsid w:val="00250199"/>
    <w:rsid w:val="00266223"/>
    <w:rsid w:val="002808C0"/>
    <w:rsid w:val="0028234E"/>
    <w:rsid w:val="00283815"/>
    <w:rsid w:val="002908A7"/>
    <w:rsid w:val="00296F33"/>
    <w:rsid w:val="002B3D37"/>
    <w:rsid w:val="002C31DA"/>
    <w:rsid w:val="002C6C97"/>
    <w:rsid w:val="002D3E8A"/>
    <w:rsid w:val="002D52A3"/>
    <w:rsid w:val="002E51FA"/>
    <w:rsid w:val="002F3655"/>
    <w:rsid w:val="00306983"/>
    <w:rsid w:val="00315DB3"/>
    <w:rsid w:val="00333BB7"/>
    <w:rsid w:val="00342E07"/>
    <w:rsid w:val="00352B89"/>
    <w:rsid w:val="003531EF"/>
    <w:rsid w:val="003560B2"/>
    <w:rsid w:val="00363320"/>
    <w:rsid w:val="003633CE"/>
    <w:rsid w:val="003665BC"/>
    <w:rsid w:val="0037123F"/>
    <w:rsid w:val="0038225B"/>
    <w:rsid w:val="00387A72"/>
    <w:rsid w:val="003974D8"/>
    <w:rsid w:val="003B4E8E"/>
    <w:rsid w:val="003B5C5D"/>
    <w:rsid w:val="003C13AE"/>
    <w:rsid w:val="003D3BC5"/>
    <w:rsid w:val="003D747C"/>
    <w:rsid w:val="003E23F7"/>
    <w:rsid w:val="003E3941"/>
    <w:rsid w:val="003F4B50"/>
    <w:rsid w:val="003F5D73"/>
    <w:rsid w:val="003F7ED5"/>
    <w:rsid w:val="00411CA3"/>
    <w:rsid w:val="00426D0A"/>
    <w:rsid w:val="004421EE"/>
    <w:rsid w:val="00443B4B"/>
    <w:rsid w:val="00455402"/>
    <w:rsid w:val="00457486"/>
    <w:rsid w:val="004661DB"/>
    <w:rsid w:val="00470A70"/>
    <w:rsid w:val="00471D15"/>
    <w:rsid w:val="004847FF"/>
    <w:rsid w:val="00485708"/>
    <w:rsid w:val="004959A7"/>
    <w:rsid w:val="004A16AE"/>
    <w:rsid w:val="004A4080"/>
    <w:rsid w:val="004B0CDB"/>
    <w:rsid w:val="004B2C9E"/>
    <w:rsid w:val="004B3134"/>
    <w:rsid w:val="004B5B50"/>
    <w:rsid w:val="004D2725"/>
    <w:rsid w:val="004D56EB"/>
    <w:rsid w:val="004D6A32"/>
    <w:rsid w:val="004E0745"/>
    <w:rsid w:val="004E1875"/>
    <w:rsid w:val="004E203D"/>
    <w:rsid w:val="004E6A10"/>
    <w:rsid w:val="004E7B7D"/>
    <w:rsid w:val="004E7DEF"/>
    <w:rsid w:val="004F42F8"/>
    <w:rsid w:val="005020B6"/>
    <w:rsid w:val="005118FF"/>
    <w:rsid w:val="00513D9A"/>
    <w:rsid w:val="005220A4"/>
    <w:rsid w:val="00525E13"/>
    <w:rsid w:val="00555396"/>
    <w:rsid w:val="00557218"/>
    <w:rsid w:val="00560E8D"/>
    <w:rsid w:val="005769EC"/>
    <w:rsid w:val="00576ECE"/>
    <w:rsid w:val="00580EB5"/>
    <w:rsid w:val="00582597"/>
    <w:rsid w:val="00585F0A"/>
    <w:rsid w:val="00595168"/>
    <w:rsid w:val="005B08F7"/>
    <w:rsid w:val="005C016F"/>
    <w:rsid w:val="005C151D"/>
    <w:rsid w:val="005C79A6"/>
    <w:rsid w:val="005D5072"/>
    <w:rsid w:val="005E0499"/>
    <w:rsid w:val="005F7ABF"/>
    <w:rsid w:val="006107B3"/>
    <w:rsid w:val="00613D4D"/>
    <w:rsid w:val="00626C8D"/>
    <w:rsid w:val="006356F8"/>
    <w:rsid w:val="0064097B"/>
    <w:rsid w:val="00641435"/>
    <w:rsid w:val="00667D3E"/>
    <w:rsid w:val="00675195"/>
    <w:rsid w:val="0068332F"/>
    <w:rsid w:val="00684518"/>
    <w:rsid w:val="00696061"/>
    <w:rsid w:val="006967D3"/>
    <w:rsid w:val="006969C0"/>
    <w:rsid w:val="006C01B8"/>
    <w:rsid w:val="006C0E52"/>
    <w:rsid w:val="006C372B"/>
    <w:rsid w:val="006C481C"/>
    <w:rsid w:val="006C6253"/>
    <w:rsid w:val="006E34A8"/>
    <w:rsid w:val="006E4570"/>
    <w:rsid w:val="006F5774"/>
    <w:rsid w:val="006F70ED"/>
    <w:rsid w:val="006F773C"/>
    <w:rsid w:val="0071476E"/>
    <w:rsid w:val="00727628"/>
    <w:rsid w:val="00733467"/>
    <w:rsid w:val="007565BB"/>
    <w:rsid w:val="007709F7"/>
    <w:rsid w:val="00786F49"/>
    <w:rsid w:val="00787807"/>
    <w:rsid w:val="00790A23"/>
    <w:rsid w:val="007921F3"/>
    <w:rsid w:val="00797850"/>
    <w:rsid w:val="007A14AA"/>
    <w:rsid w:val="007B12AE"/>
    <w:rsid w:val="007B2FD0"/>
    <w:rsid w:val="007B344E"/>
    <w:rsid w:val="007B5803"/>
    <w:rsid w:val="007C0152"/>
    <w:rsid w:val="007C1544"/>
    <w:rsid w:val="007C2FD2"/>
    <w:rsid w:val="007C45AE"/>
    <w:rsid w:val="007C576C"/>
    <w:rsid w:val="007C6DD3"/>
    <w:rsid w:val="007C6F87"/>
    <w:rsid w:val="007D0227"/>
    <w:rsid w:val="007D0389"/>
    <w:rsid w:val="007D1B19"/>
    <w:rsid w:val="007D2520"/>
    <w:rsid w:val="007D2C61"/>
    <w:rsid w:val="007D6AB8"/>
    <w:rsid w:val="007E1BFE"/>
    <w:rsid w:val="008112B1"/>
    <w:rsid w:val="008132B0"/>
    <w:rsid w:val="00817070"/>
    <w:rsid w:val="00832966"/>
    <w:rsid w:val="008431BF"/>
    <w:rsid w:val="00850566"/>
    <w:rsid w:val="008561E6"/>
    <w:rsid w:val="00856913"/>
    <w:rsid w:val="00860721"/>
    <w:rsid w:val="0086088A"/>
    <w:rsid w:val="00861099"/>
    <w:rsid w:val="00861822"/>
    <w:rsid w:val="00864431"/>
    <w:rsid w:val="008809E8"/>
    <w:rsid w:val="00883ABA"/>
    <w:rsid w:val="008A3B94"/>
    <w:rsid w:val="008A4AC2"/>
    <w:rsid w:val="008A7F28"/>
    <w:rsid w:val="008B5724"/>
    <w:rsid w:val="008B607A"/>
    <w:rsid w:val="008C536B"/>
    <w:rsid w:val="008D2389"/>
    <w:rsid w:val="008D408E"/>
    <w:rsid w:val="008D4A7E"/>
    <w:rsid w:val="008E1514"/>
    <w:rsid w:val="008E64CD"/>
    <w:rsid w:val="008F1543"/>
    <w:rsid w:val="008F2967"/>
    <w:rsid w:val="008F3ED5"/>
    <w:rsid w:val="008F497E"/>
    <w:rsid w:val="00901655"/>
    <w:rsid w:val="009149EA"/>
    <w:rsid w:val="009201B2"/>
    <w:rsid w:val="0092172F"/>
    <w:rsid w:val="0092494A"/>
    <w:rsid w:val="00926D25"/>
    <w:rsid w:val="009332D1"/>
    <w:rsid w:val="009559B8"/>
    <w:rsid w:val="00956073"/>
    <w:rsid w:val="00960E03"/>
    <w:rsid w:val="00962029"/>
    <w:rsid w:val="00963E86"/>
    <w:rsid w:val="009645B1"/>
    <w:rsid w:val="0096580D"/>
    <w:rsid w:val="00972500"/>
    <w:rsid w:val="00975881"/>
    <w:rsid w:val="00981F12"/>
    <w:rsid w:val="009832CF"/>
    <w:rsid w:val="00992736"/>
    <w:rsid w:val="00996A89"/>
    <w:rsid w:val="009B613B"/>
    <w:rsid w:val="009B7B97"/>
    <w:rsid w:val="009C5E47"/>
    <w:rsid w:val="009C7031"/>
    <w:rsid w:val="009D0959"/>
    <w:rsid w:val="009D2881"/>
    <w:rsid w:val="009D39AB"/>
    <w:rsid w:val="009D6DDD"/>
    <w:rsid w:val="009E7869"/>
    <w:rsid w:val="009F0F01"/>
    <w:rsid w:val="009F40B4"/>
    <w:rsid w:val="009F4506"/>
    <w:rsid w:val="009F5B5A"/>
    <w:rsid w:val="009F7C74"/>
    <w:rsid w:val="00A016FA"/>
    <w:rsid w:val="00A04EB4"/>
    <w:rsid w:val="00A07B3C"/>
    <w:rsid w:val="00A1234C"/>
    <w:rsid w:val="00A27AB1"/>
    <w:rsid w:val="00A379E5"/>
    <w:rsid w:val="00A4297E"/>
    <w:rsid w:val="00A57EFF"/>
    <w:rsid w:val="00A613D4"/>
    <w:rsid w:val="00A61B29"/>
    <w:rsid w:val="00A73834"/>
    <w:rsid w:val="00A97A4F"/>
    <w:rsid w:val="00A97C26"/>
    <w:rsid w:val="00AD1C9E"/>
    <w:rsid w:val="00AE32B9"/>
    <w:rsid w:val="00B02290"/>
    <w:rsid w:val="00B069B3"/>
    <w:rsid w:val="00B1098C"/>
    <w:rsid w:val="00B149EC"/>
    <w:rsid w:val="00B16FAC"/>
    <w:rsid w:val="00B40D1D"/>
    <w:rsid w:val="00B416A8"/>
    <w:rsid w:val="00B4457C"/>
    <w:rsid w:val="00B47C93"/>
    <w:rsid w:val="00B57062"/>
    <w:rsid w:val="00B7003E"/>
    <w:rsid w:val="00B706F3"/>
    <w:rsid w:val="00B71694"/>
    <w:rsid w:val="00B71EBA"/>
    <w:rsid w:val="00B8382A"/>
    <w:rsid w:val="00B85A75"/>
    <w:rsid w:val="00B86090"/>
    <w:rsid w:val="00B902D6"/>
    <w:rsid w:val="00BA3AC4"/>
    <w:rsid w:val="00BC05AA"/>
    <w:rsid w:val="00BC55A0"/>
    <w:rsid w:val="00BD7E7B"/>
    <w:rsid w:val="00BE4B40"/>
    <w:rsid w:val="00BE56E3"/>
    <w:rsid w:val="00BF5747"/>
    <w:rsid w:val="00C1279C"/>
    <w:rsid w:val="00C166EA"/>
    <w:rsid w:val="00C17167"/>
    <w:rsid w:val="00C36778"/>
    <w:rsid w:val="00C4006B"/>
    <w:rsid w:val="00C43C74"/>
    <w:rsid w:val="00C445BA"/>
    <w:rsid w:val="00C6130A"/>
    <w:rsid w:val="00C66F4D"/>
    <w:rsid w:val="00C76861"/>
    <w:rsid w:val="00C82D59"/>
    <w:rsid w:val="00C833BF"/>
    <w:rsid w:val="00C87F65"/>
    <w:rsid w:val="00C96ADB"/>
    <w:rsid w:val="00C97B71"/>
    <w:rsid w:val="00CA4CA4"/>
    <w:rsid w:val="00CB4545"/>
    <w:rsid w:val="00CB61B9"/>
    <w:rsid w:val="00CC756F"/>
    <w:rsid w:val="00CD3494"/>
    <w:rsid w:val="00CD5191"/>
    <w:rsid w:val="00CD5FD6"/>
    <w:rsid w:val="00CE08E1"/>
    <w:rsid w:val="00CE1944"/>
    <w:rsid w:val="00CE4101"/>
    <w:rsid w:val="00CE43C0"/>
    <w:rsid w:val="00CE5DA6"/>
    <w:rsid w:val="00CF1587"/>
    <w:rsid w:val="00CF3498"/>
    <w:rsid w:val="00CF5160"/>
    <w:rsid w:val="00D01191"/>
    <w:rsid w:val="00D021CE"/>
    <w:rsid w:val="00D1044E"/>
    <w:rsid w:val="00D106C0"/>
    <w:rsid w:val="00D22190"/>
    <w:rsid w:val="00D300AB"/>
    <w:rsid w:val="00D3142A"/>
    <w:rsid w:val="00D33CED"/>
    <w:rsid w:val="00D4260B"/>
    <w:rsid w:val="00D43ED3"/>
    <w:rsid w:val="00D440AA"/>
    <w:rsid w:val="00D90279"/>
    <w:rsid w:val="00D97C0E"/>
    <w:rsid w:val="00DB5606"/>
    <w:rsid w:val="00DC10D0"/>
    <w:rsid w:val="00DD4137"/>
    <w:rsid w:val="00DD6DC8"/>
    <w:rsid w:val="00DE27B6"/>
    <w:rsid w:val="00DE34C8"/>
    <w:rsid w:val="00DF1702"/>
    <w:rsid w:val="00E0260E"/>
    <w:rsid w:val="00E14379"/>
    <w:rsid w:val="00E17011"/>
    <w:rsid w:val="00E20F20"/>
    <w:rsid w:val="00E23A58"/>
    <w:rsid w:val="00E270CA"/>
    <w:rsid w:val="00E31B9F"/>
    <w:rsid w:val="00E353F6"/>
    <w:rsid w:val="00E40289"/>
    <w:rsid w:val="00E41A20"/>
    <w:rsid w:val="00E41E20"/>
    <w:rsid w:val="00E454B9"/>
    <w:rsid w:val="00E46119"/>
    <w:rsid w:val="00E46D1C"/>
    <w:rsid w:val="00E60032"/>
    <w:rsid w:val="00E66117"/>
    <w:rsid w:val="00E673FC"/>
    <w:rsid w:val="00E8759E"/>
    <w:rsid w:val="00E96CAE"/>
    <w:rsid w:val="00EA4E4E"/>
    <w:rsid w:val="00EB12B3"/>
    <w:rsid w:val="00EB192A"/>
    <w:rsid w:val="00EC1A1B"/>
    <w:rsid w:val="00EC1D42"/>
    <w:rsid w:val="00EC2E56"/>
    <w:rsid w:val="00EC76EB"/>
    <w:rsid w:val="00ED2E8F"/>
    <w:rsid w:val="00ED6EAA"/>
    <w:rsid w:val="00EF0837"/>
    <w:rsid w:val="00EF2E13"/>
    <w:rsid w:val="00EF7FAD"/>
    <w:rsid w:val="00F000D2"/>
    <w:rsid w:val="00F0124D"/>
    <w:rsid w:val="00F03589"/>
    <w:rsid w:val="00F10B8E"/>
    <w:rsid w:val="00F11295"/>
    <w:rsid w:val="00F15C5C"/>
    <w:rsid w:val="00F21F75"/>
    <w:rsid w:val="00F2486F"/>
    <w:rsid w:val="00F3787B"/>
    <w:rsid w:val="00F37A59"/>
    <w:rsid w:val="00F4186B"/>
    <w:rsid w:val="00F426A9"/>
    <w:rsid w:val="00F43119"/>
    <w:rsid w:val="00F44F9F"/>
    <w:rsid w:val="00F53873"/>
    <w:rsid w:val="00F552F2"/>
    <w:rsid w:val="00F57EA0"/>
    <w:rsid w:val="00F61E3D"/>
    <w:rsid w:val="00F64325"/>
    <w:rsid w:val="00F747A8"/>
    <w:rsid w:val="00F76D8E"/>
    <w:rsid w:val="00F802F8"/>
    <w:rsid w:val="00F80DA6"/>
    <w:rsid w:val="00F82073"/>
    <w:rsid w:val="00F83533"/>
    <w:rsid w:val="00F906EC"/>
    <w:rsid w:val="00F94D2D"/>
    <w:rsid w:val="00FC4BCB"/>
    <w:rsid w:val="00FC7A6E"/>
    <w:rsid w:val="00FE205A"/>
    <w:rsid w:val="00FE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paragraph" w:styleId="Heading9">
    <w:name w:val="heading 9"/>
    <w:basedOn w:val="Normal"/>
    <w:next w:val="Normal"/>
    <w:link w:val="Heading9Char"/>
    <w:uiPriority w:val="9"/>
    <w:semiHidden/>
    <w:unhideWhenUsed/>
    <w:qFormat/>
    <w:rsid w:val="003665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0648E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rsid w:val="00E353F6"/>
    <w:pPr>
      <w:jc w:val="both"/>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E353F6"/>
    <w:rPr>
      <w:rFonts w:ascii="Arial" w:hAnsi="Arial" w:cs="Arial"/>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E353F6"/>
    <w:rPr>
      <w:vertAlign w:val="superscript"/>
    </w:rPr>
  </w:style>
  <w:style w:type="paragraph" w:styleId="BalloonText">
    <w:name w:val="Balloon Text"/>
    <w:basedOn w:val="Normal"/>
    <w:link w:val="BalloonTextChar"/>
    <w:uiPriority w:val="99"/>
    <w:semiHidden/>
    <w:unhideWhenUsed/>
    <w:rsid w:val="003531EF"/>
    <w:rPr>
      <w:rFonts w:ascii="Tahoma" w:hAnsi="Tahoma" w:cs="Tahoma"/>
      <w:sz w:val="16"/>
      <w:szCs w:val="16"/>
    </w:rPr>
  </w:style>
  <w:style w:type="character" w:customStyle="1" w:styleId="BalloonTextChar">
    <w:name w:val="Balloon Text Char"/>
    <w:basedOn w:val="DefaultParagraphFont"/>
    <w:link w:val="BalloonText"/>
    <w:uiPriority w:val="99"/>
    <w:semiHidden/>
    <w:rsid w:val="003531EF"/>
    <w:rPr>
      <w:rFonts w:ascii="Tahoma" w:eastAsia="Times New Roman" w:hAnsi="Tahoma" w:cs="Tahoma"/>
      <w:sz w:val="16"/>
      <w:szCs w:val="16"/>
    </w:rPr>
  </w:style>
  <w:style w:type="paragraph" w:styleId="ListParagraph">
    <w:name w:val="List Paragraph"/>
    <w:basedOn w:val="Normal"/>
    <w:uiPriority w:val="34"/>
    <w:qFormat/>
    <w:rsid w:val="002F3655"/>
    <w:pPr>
      <w:ind w:left="720"/>
      <w:contextualSpacing/>
    </w:pPr>
  </w:style>
  <w:style w:type="character" w:styleId="CommentReference">
    <w:name w:val="annotation reference"/>
    <w:basedOn w:val="DefaultParagraphFont"/>
    <w:uiPriority w:val="99"/>
    <w:semiHidden/>
    <w:unhideWhenUsed/>
    <w:rsid w:val="00883ABA"/>
    <w:rPr>
      <w:sz w:val="16"/>
      <w:szCs w:val="16"/>
    </w:rPr>
  </w:style>
  <w:style w:type="paragraph" w:styleId="CommentText">
    <w:name w:val="annotation text"/>
    <w:basedOn w:val="Normal"/>
    <w:link w:val="CommentTextChar"/>
    <w:uiPriority w:val="99"/>
    <w:semiHidden/>
    <w:unhideWhenUsed/>
    <w:rsid w:val="00883ABA"/>
    <w:rPr>
      <w:sz w:val="20"/>
      <w:szCs w:val="20"/>
    </w:rPr>
  </w:style>
  <w:style w:type="character" w:customStyle="1" w:styleId="CommentTextChar">
    <w:name w:val="Comment Text Char"/>
    <w:basedOn w:val="DefaultParagraphFont"/>
    <w:link w:val="CommentText"/>
    <w:uiPriority w:val="99"/>
    <w:semiHidden/>
    <w:rsid w:val="00883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ABA"/>
    <w:rPr>
      <w:b/>
      <w:bCs/>
    </w:rPr>
  </w:style>
  <w:style w:type="character" w:customStyle="1" w:styleId="CommentSubjectChar">
    <w:name w:val="Comment Subject Char"/>
    <w:basedOn w:val="CommentTextChar"/>
    <w:link w:val="CommentSubject"/>
    <w:uiPriority w:val="99"/>
    <w:semiHidden/>
    <w:rsid w:val="00883ABA"/>
    <w:rPr>
      <w:rFonts w:ascii="Times New Roman" w:eastAsia="Times New Roman" w:hAnsi="Times New Roman" w:cs="Times New Roman"/>
      <w:b/>
      <w:bCs/>
      <w:sz w:val="20"/>
      <w:szCs w:val="20"/>
    </w:rPr>
  </w:style>
  <w:style w:type="paragraph" w:styleId="Revision">
    <w:name w:val="Revision"/>
    <w:hidden/>
    <w:uiPriority w:val="99"/>
    <w:semiHidden/>
    <w:rsid w:val="00883ABA"/>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B7003E"/>
    <w:pPr>
      <w:keepLines/>
      <w:spacing w:before="480" w:line="276" w:lineRule="auto"/>
      <w:ind w:left="0" w:right="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B7003E"/>
    <w:pPr>
      <w:spacing w:after="100"/>
    </w:pPr>
  </w:style>
  <w:style w:type="character" w:customStyle="1" w:styleId="Heading9Char">
    <w:name w:val="Heading 9 Char"/>
    <w:basedOn w:val="DefaultParagraphFont"/>
    <w:link w:val="Heading9"/>
    <w:uiPriority w:val="9"/>
    <w:semiHidden/>
    <w:rsid w:val="003665B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paragraph" w:styleId="Heading9">
    <w:name w:val="heading 9"/>
    <w:basedOn w:val="Normal"/>
    <w:next w:val="Normal"/>
    <w:link w:val="Heading9Char"/>
    <w:uiPriority w:val="9"/>
    <w:semiHidden/>
    <w:unhideWhenUsed/>
    <w:qFormat/>
    <w:rsid w:val="003665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0648E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rsid w:val="00E353F6"/>
    <w:pPr>
      <w:jc w:val="both"/>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E353F6"/>
    <w:rPr>
      <w:rFonts w:ascii="Arial" w:hAnsi="Arial" w:cs="Arial"/>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E353F6"/>
    <w:rPr>
      <w:vertAlign w:val="superscript"/>
    </w:rPr>
  </w:style>
  <w:style w:type="paragraph" w:styleId="BalloonText">
    <w:name w:val="Balloon Text"/>
    <w:basedOn w:val="Normal"/>
    <w:link w:val="BalloonTextChar"/>
    <w:uiPriority w:val="99"/>
    <w:semiHidden/>
    <w:unhideWhenUsed/>
    <w:rsid w:val="003531EF"/>
    <w:rPr>
      <w:rFonts w:ascii="Tahoma" w:hAnsi="Tahoma" w:cs="Tahoma"/>
      <w:sz w:val="16"/>
      <w:szCs w:val="16"/>
    </w:rPr>
  </w:style>
  <w:style w:type="character" w:customStyle="1" w:styleId="BalloonTextChar">
    <w:name w:val="Balloon Text Char"/>
    <w:basedOn w:val="DefaultParagraphFont"/>
    <w:link w:val="BalloonText"/>
    <w:uiPriority w:val="99"/>
    <w:semiHidden/>
    <w:rsid w:val="003531EF"/>
    <w:rPr>
      <w:rFonts w:ascii="Tahoma" w:eastAsia="Times New Roman" w:hAnsi="Tahoma" w:cs="Tahoma"/>
      <w:sz w:val="16"/>
      <w:szCs w:val="16"/>
    </w:rPr>
  </w:style>
  <w:style w:type="paragraph" w:styleId="ListParagraph">
    <w:name w:val="List Paragraph"/>
    <w:basedOn w:val="Normal"/>
    <w:uiPriority w:val="34"/>
    <w:qFormat/>
    <w:rsid w:val="002F3655"/>
    <w:pPr>
      <w:ind w:left="720"/>
      <w:contextualSpacing/>
    </w:pPr>
  </w:style>
  <w:style w:type="character" w:styleId="CommentReference">
    <w:name w:val="annotation reference"/>
    <w:basedOn w:val="DefaultParagraphFont"/>
    <w:uiPriority w:val="99"/>
    <w:semiHidden/>
    <w:unhideWhenUsed/>
    <w:rsid w:val="00883ABA"/>
    <w:rPr>
      <w:sz w:val="16"/>
      <w:szCs w:val="16"/>
    </w:rPr>
  </w:style>
  <w:style w:type="paragraph" w:styleId="CommentText">
    <w:name w:val="annotation text"/>
    <w:basedOn w:val="Normal"/>
    <w:link w:val="CommentTextChar"/>
    <w:uiPriority w:val="99"/>
    <w:semiHidden/>
    <w:unhideWhenUsed/>
    <w:rsid w:val="00883ABA"/>
    <w:rPr>
      <w:sz w:val="20"/>
      <w:szCs w:val="20"/>
    </w:rPr>
  </w:style>
  <w:style w:type="character" w:customStyle="1" w:styleId="CommentTextChar">
    <w:name w:val="Comment Text Char"/>
    <w:basedOn w:val="DefaultParagraphFont"/>
    <w:link w:val="CommentText"/>
    <w:uiPriority w:val="99"/>
    <w:semiHidden/>
    <w:rsid w:val="00883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ABA"/>
    <w:rPr>
      <w:b/>
      <w:bCs/>
    </w:rPr>
  </w:style>
  <w:style w:type="character" w:customStyle="1" w:styleId="CommentSubjectChar">
    <w:name w:val="Comment Subject Char"/>
    <w:basedOn w:val="CommentTextChar"/>
    <w:link w:val="CommentSubject"/>
    <w:uiPriority w:val="99"/>
    <w:semiHidden/>
    <w:rsid w:val="00883ABA"/>
    <w:rPr>
      <w:rFonts w:ascii="Times New Roman" w:eastAsia="Times New Roman" w:hAnsi="Times New Roman" w:cs="Times New Roman"/>
      <w:b/>
      <w:bCs/>
      <w:sz w:val="20"/>
      <w:szCs w:val="20"/>
    </w:rPr>
  </w:style>
  <w:style w:type="paragraph" w:styleId="Revision">
    <w:name w:val="Revision"/>
    <w:hidden/>
    <w:uiPriority w:val="99"/>
    <w:semiHidden/>
    <w:rsid w:val="00883ABA"/>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B7003E"/>
    <w:pPr>
      <w:keepLines/>
      <w:spacing w:before="480" w:line="276" w:lineRule="auto"/>
      <w:ind w:left="0" w:right="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B7003E"/>
    <w:pPr>
      <w:spacing w:after="100"/>
    </w:pPr>
  </w:style>
  <w:style w:type="character" w:customStyle="1" w:styleId="Heading9Char">
    <w:name w:val="Heading 9 Char"/>
    <w:basedOn w:val="DefaultParagraphFont"/>
    <w:link w:val="Heading9"/>
    <w:uiPriority w:val="9"/>
    <w:semiHidden/>
    <w:rsid w:val="003665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6239">
      <w:bodyDiv w:val="1"/>
      <w:marLeft w:val="0"/>
      <w:marRight w:val="0"/>
      <w:marTop w:val="0"/>
      <w:marBottom w:val="0"/>
      <w:divBdr>
        <w:top w:val="none" w:sz="0" w:space="0" w:color="auto"/>
        <w:left w:val="none" w:sz="0" w:space="0" w:color="auto"/>
        <w:bottom w:val="none" w:sz="0" w:space="0" w:color="auto"/>
        <w:right w:val="none" w:sz="0" w:space="0" w:color="auto"/>
      </w:divBdr>
    </w:div>
    <w:div w:id="411970974">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69128844">
      <w:bodyDiv w:val="1"/>
      <w:marLeft w:val="0"/>
      <w:marRight w:val="0"/>
      <w:marTop w:val="0"/>
      <w:marBottom w:val="0"/>
      <w:divBdr>
        <w:top w:val="none" w:sz="0" w:space="0" w:color="auto"/>
        <w:left w:val="none" w:sz="0" w:space="0" w:color="auto"/>
        <w:bottom w:val="none" w:sz="0" w:space="0" w:color="auto"/>
        <w:right w:val="none" w:sz="0" w:space="0" w:color="auto"/>
      </w:divBdr>
    </w:div>
    <w:div w:id="1383603501">
      <w:bodyDiv w:val="1"/>
      <w:marLeft w:val="0"/>
      <w:marRight w:val="0"/>
      <w:marTop w:val="0"/>
      <w:marBottom w:val="0"/>
      <w:divBdr>
        <w:top w:val="none" w:sz="0" w:space="0" w:color="auto"/>
        <w:left w:val="none" w:sz="0" w:space="0" w:color="auto"/>
        <w:bottom w:val="none" w:sz="0" w:space="0" w:color="auto"/>
        <w:right w:val="none" w:sz="0" w:space="0" w:color="auto"/>
      </w:divBdr>
    </w:div>
    <w:div w:id="1692803299">
      <w:bodyDiv w:val="1"/>
      <w:marLeft w:val="0"/>
      <w:marRight w:val="0"/>
      <w:marTop w:val="0"/>
      <w:marBottom w:val="0"/>
      <w:divBdr>
        <w:top w:val="none" w:sz="0" w:space="0" w:color="auto"/>
        <w:left w:val="none" w:sz="0" w:space="0" w:color="auto"/>
        <w:bottom w:val="none" w:sz="0" w:space="0" w:color="auto"/>
        <w:right w:val="none" w:sz="0" w:space="0" w:color="auto"/>
      </w:divBdr>
    </w:div>
    <w:div w:id="21206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BF84-51E5-436A-B0AF-D2CF34F7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3693</Words>
  <Characters>20412</Characters>
  <Application>Microsoft Office Word</Application>
  <DocSecurity>0</DocSecurity>
  <PresentationFormat/>
  <Lines>525</Lines>
  <Paragraphs>223</Paragraphs>
  <ScaleCrop>false</ScaleCrop>
  <HeadingPairs>
    <vt:vector size="2" baseType="variant">
      <vt:variant>
        <vt:lpstr>Title</vt:lpstr>
      </vt:variant>
      <vt:variant>
        <vt:i4>1</vt:i4>
      </vt:variant>
    </vt:vector>
  </HeadingPairs>
  <TitlesOfParts>
    <vt:vector size="1" baseType="lpstr">
      <vt:lpstr>Memo Contra AEP App. Rehearing -- PIRR (11-4920-EL-RDR) (C38600).DOCX</vt:lpstr>
    </vt:vector>
  </TitlesOfParts>
  <Company>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AEP App. Rehearing -- PIRR (11-4920-EL-RDR) (C38600).DOCX</dc:title>
  <dc:subject>C38600: /font=8</dc:subject>
  <dc:creator>jclark</dc:creator>
  <cp:keywords/>
  <dc:description/>
  <cp:lastModifiedBy>Renee Gannon</cp:lastModifiedBy>
  <cp:revision>6</cp:revision>
  <cp:lastPrinted>2012-09-10T19:54:00Z</cp:lastPrinted>
  <dcterms:created xsi:type="dcterms:W3CDTF">2012-09-10T19:54:00Z</dcterms:created>
  <dcterms:modified xsi:type="dcterms:W3CDTF">2012-09-10T21:14:00Z</dcterms:modified>
</cp:coreProperties>
</file>