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rPr>
          <w:sz w:val="28"/>
        </w:rPr>
      </w:pPr>
      <w:bookmarkStart w:id="0" w:name="_GoBack"/>
      <w:bookmarkStart w:id="1" w:name="OLE_LINK1"/>
      <w:bookmarkStart w:id="2" w:name="OLE_LINK2"/>
      <w:bookmarkEnd w:id="0"/>
      <w:r>
        <w:rPr>
          <w:sz w:val="28"/>
        </w:rPr>
        <w:t xml:space="preserve"> Before</w:t>
      </w:r>
    </w:p>
    <w:p>
      <w:pPr>
        <w:jc w:val="center"/>
        <w:rPr>
          <w:rFonts w:ascii="Arial" w:hAnsi="Arial" w:cs="Arial"/>
          <w:b/>
          <w:smallCaps/>
          <w:sz w:val="28"/>
        </w:rPr>
      </w:pPr>
      <w:r>
        <w:rPr>
          <w:rFonts w:ascii="Arial" w:hAnsi="Arial" w:cs="Arial"/>
          <w:b/>
          <w:smallCaps/>
          <w:sz w:val="28"/>
        </w:rPr>
        <w:t>The Public Utilities Commission of Ohio</w:t>
      </w:r>
    </w:p>
    <w:p>
      <w:pPr>
        <w:pStyle w:val="BodyTextIndent2"/>
        <w:ind w:left="0"/>
        <w:rPr>
          <w:sz w:val="24"/>
        </w:rPr>
      </w:pPr>
    </w:p>
    <w:p>
      <w:pPr>
        <w:tabs>
          <w:tab w:val="left" w:pos="5220"/>
          <w:tab w:val="left" w:pos="5580"/>
        </w:tabs>
        <w:rPr>
          <w:rFonts w:ascii="Arial" w:hAnsi="Arial" w:cs="Arial"/>
          <w:iCs/>
        </w:rPr>
      </w:pPr>
      <w:r>
        <w:rPr>
          <w:rFonts w:ascii="Arial" w:hAnsi="Arial" w:cs="Arial"/>
          <w:iCs/>
        </w:rPr>
        <w:t>In the Matter of the Application of Ohio Power</w:t>
      </w:r>
      <w:r>
        <w:rPr>
          <w:rFonts w:ascii="Arial" w:hAnsi="Arial" w:cs="Arial"/>
          <w:iCs/>
        </w:rPr>
        <w:tab/>
        <w:t>)</w:t>
      </w:r>
    </w:p>
    <w:p>
      <w:pPr>
        <w:tabs>
          <w:tab w:val="left" w:pos="5220"/>
          <w:tab w:val="left" w:pos="5580"/>
        </w:tabs>
        <w:rPr>
          <w:rFonts w:ascii="Arial" w:hAnsi="Arial" w:cs="Arial"/>
          <w:iCs/>
        </w:rPr>
      </w:pPr>
      <w:r>
        <w:rPr>
          <w:rFonts w:ascii="Arial" w:hAnsi="Arial" w:cs="Arial"/>
          <w:iCs/>
        </w:rPr>
        <w:t>Company for Approval of its Renewable Energy</w:t>
      </w:r>
      <w:r>
        <w:rPr>
          <w:rFonts w:ascii="Arial" w:hAnsi="Arial" w:cs="Arial"/>
          <w:iCs/>
        </w:rPr>
        <w:tab/>
        <w:t>)</w:t>
      </w:r>
      <w:r>
        <w:rPr>
          <w:rFonts w:ascii="Arial" w:hAnsi="Arial" w:cs="Arial"/>
          <w:iCs/>
        </w:rPr>
        <w:tab/>
      </w:r>
      <w:r>
        <w:rPr>
          <w:rFonts w:ascii="Arial" w:hAnsi="Arial" w:cs="Arial"/>
        </w:rPr>
        <w:t>Case No. 09-1871-EL-ACP</w:t>
      </w:r>
    </w:p>
    <w:p>
      <w:pPr>
        <w:tabs>
          <w:tab w:val="left" w:pos="5220"/>
          <w:tab w:val="left" w:pos="5580"/>
        </w:tabs>
        <w:jc w:val="both"/>
        <w:rPr>
          <w:rFonts w:ascii="Arial" w:hAnsi="Arial" w:cs="Arial"/>
          <w:iCs/>
        </w:rPr>
      </w:pPr>
      <w:proofErr w:type="gramStart"/>
      <w:r>
        <w:rPr>
          <w:rFonts w:ascii="Arial" w:hAnsi="Arial" w:cs="Arial"/>
          <w:iCs/>
        </w:rPr>
        <w:t>Technology Program.</w:t>
      </w:r>
      <w:proofErr w:type="gramEnd"/>
      <w:r>
        <w:rPr>
          <w:rFonts w:ascii="Arial" w:hAnsi="Arial" w:cs="Arial"/>
          <w:iCs/>
        </w:rPr>
        <w:tab/>
        <w:t>)</w:t>
      </w:r>
    </w:p>
    <w:p>
      <w:pPr>
        <w:tabs>
          <w:tab w:val="left" w:pos="5220"/>
          <w:tab w:val="left" w:pos="5580"/>
        </w:tabs>
        <w:rPr>
          <w:rFonts w:ascii="Arial" w:hAnsi="Arial" w:cs="Arial"/>
          <w:iCs/>
        </w:rPr>
      </w:pPr>
    </w:p>
    <w:p>
      <w:pPr>
        <w:tabs>
          <w:tab w:val="left" w:pos="5220"/>
          <w:tab w:val="left" w:pos="5580"/>
        </w:tabs>
        <w:rPr>
          <w:rFonts w:ascii="Arial" w:hAnsi="Arial" w:cs="Arial"/>
          <w:iCs/>
        </w:rPr>
      </w:pPr>
      <w:r>
        <w:rPr>
          <w:rFonts w:ascii="Arial" w:hAnsi="Arial" w:cs="Arial"/>
          <w:iCs/>
        </w:rPr>
        <w:t>In the Matter of the Application of Columbus</w:t>
      </w:r>
      <w:r>
        <w:rPr>
          <w:rFonts w:ascii="Arial" w:hAnsi="Arial" w:cs="Arial"/>
          <w:iCs/>
        </w:rPr>
        <w:tab/>
        <w:t>)</w:t>
      </w:r>
    </w:p>
    <w:p>
      <w:pPr>
        <w:tabs>
          <w:tab w:val="left" w:pos="5220"/>
          <w:tab w:val="left" w:pos="5580"/>
        </w:tabs>
        <w:rPr>
          <w:rFonts w:ascii="Arial" w:hAnsi="Arial" w:cs="Arial"/>
          <w:iCs/>
        </w:rPr>
      </w:pPr>
      <w:r>
        <w:rPr>
          <w:rFonts w:ascii="Arial" w:hAnsi="Arial" w:cs="Arial"/>
          <w:iCs/>
        </w:rPr>
        <w:t>Southern Power Company for Approval of its</w:t>
      </w:r>
      <w:r>
        <w:rPr>
          <w:rFonts w:ascii="Arial" w:hAnsi="Arial" w:cs="Arial"/>
          <w:iCs/>
        </w:rPr>
        <w:tab/>
        <w:t>)</w:t>
      </w:r>
      <w:r>
        <w:rPr>
          <w:rFonts w:ascii="Arial" w:hAnsi="Arial" w:cs="Arial"/>
          <w:iCs/>
        </w:rPr>
        <w:tab/>
      </w:r>
      <w:r>
        <w:rPr>
          <w:rFonts w:ascii="Arial" w:hAnsi="Arial" w:cs="Arial"/>
        </w:rPr>
        <w:t>Case No. 09-1872-EL-ACP</w:t>
      </w:r>
    </w:p>
    <w:p>
      <w:pPr>
        <w:tabs>
          <w:tab w:val="left" w:pos="5220"/>
          <w:tab w:val="left" w:pos="5580"/>
        </w:tabs>
        <w:rPr>
          <w:rFonts w:ascii="Arial" w:hAnsi="Arial" w:cs="Arial"/>
        </w:rPr>
      </w:pPr>
      <w:proofErr w:type="gramStart"/>
      <w:r>
        <w:rPr>
          <w:rFonts w:ascii="Arial" w:hAnsi="Arial" w:cs="Arial"/>
          <w:iCs/>
        </w:rPr>
        <w:t>Renewable Energy Technology Program.</w:t>
      </w:r>
      <w:proofErr w:type="gramEnd"/>
      <w:r>
        <w:rPr>
          <w:rFonts w:ascii="Arial" w:hAnsi="Arial" w:cs="Arial"/>
          <w:iCs/>
        </w:rPr>
        <w:tab/>
        <w:t>)</w:t>
      </w:r>
    </w:p>
    <w:p>
      <w:pPr>
        <w:rPr>
          <w:rFonts w:ascii="Arial" w:hAnsi="Arial" w:cs="Arial"/>
          <w:iCs/>
        </w:rPr>
      </w:pPr>
    </w:p>
    <w:p>
      <w:pPr>
        <w:rPr>
          <w:rFonts w:ascii="Arial" w:hAnsi="Arial" w:cs="Arial"/>
          <w:iCs/>
        </w:rPr>
      </w:pPr>
    </w:p>
    <w:p>
      <w:pPr>
        <w:pBdr>
          <w:top w:val="single" w:sz="12" w:space="1" w:color="auto"/>
        </w:pBdr>
        <w:tabs>
          <w:tab w:val="left" w:pos="7320"/>
        </w:tabs>
        <w:jc w:val="both"/>
        <w:rPr>
          <w:rFonts w:ascii="Arial" w:hAnsi="Arial" w:cs="Arial"/>
          <w:sz w:val="28"/>
        </w:rPr>
      </w:pPr>
    </w:p>
    <w:p>
      <w:pPr>
        <w:pStyle w:val="Heading1"/>
        <w:tabs>
          <w:tab w:val="left" w:pos="7320"/>
        </w:tabs>
        <w:ind w:left="0" w:right="0"/>
        <w:jc w:val="center"/>
        <w:rPr>
          <w:szCs w:val="28"/>
        </w:rPr>
      </w:pPr>
      <w:r>
        <w:rPr>
          <w:szCs w:val="28"/>
        </w:rPr>
        <w:t>REPLY COMMENTS OF INDUSTRIAL ENERGY USERS-OHIO</w:t>
      </w:r>
    </w:p>
    <w:p>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bookmarkEnd w:id="1"/>
    <w:bookmarkEnd w:id="2"/>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tabs>
          <w:tab w:val="left" w:pos="4320"/>
          <w:tab w:val="right" w:pos="8640"/>
        </w:tabs>
        <w:jc w:val="both"/>
        <w:rPr>
          <w:rFonts w:ascii="Arial" w:hAnsi="Arial" w:cs="Arial"/>
        </w:rPr>
      </w:pPr>
      <w:r>
        <w:rPr>
          <w:rFonts w:ascii="Arial" w:hAnsi="Arial" w:cs="Arial"/>
        </w:rPr>
        <w:tab/>
        <w:t>Samuel C. Randazzo (Counsel of Record)</w:t>
      </w:r>
    </w:p>
    <w:p>
      <w:pPr>
        <w:pStyle w:val="BodyText3"/>
        <w:widowControl w:val="0"/>
        <w:tabs>
          <w:tab w:val="left" w:pos="4320"/>
        </w:tabs>
        <w:jc w:val="both"/>
        <w:rPr>
          <w:rFonts w:ascii="Arial" w:hAnsi="Arial" w:cs="Arial"/>
          <w:b w:val="0"/>
          <w:bCs/>
        </w:rPr>
      </w:pPr>
      <w:r>
        <w:rPr>
          <w:rFonts w:ascii="Arial" w:hAnsi="Arial" w:cs="Arial"/>
          <w:b w:val="0"/>
          <w:bCs/>
        </w:rPr>
        <w:tab/>
        <w:t>Joseph M. Clark</w:t>
      </w:r>
    </w:p>
    <w:p>
      <w:pPr>
        <w:pStyle w:val="BodyText3"/>
        <w:widowControl w:val="0"/>
        <w:tabs>
          <w:tab w:val="left" w:pos="4320"/>
        </w:tabs>
        <w:jc w:val="both"/>
        <w:rPr>
          <w:rFonts w:ascii="Arial" w:hAnsi="Arial" w:cs="Arial"/>
          <w:b w:val="0"/>
          <w:bCs/>
          <w:smallCaps/>
          <w:szCs w:val="24"/>
        </w:rPr>
      </w:pPr>
      <w:r>
        <w:rPr>
          <w:rFonts w:ascii="Arial" w:hAnsi="Arial" w:cs="Arial"/>
          <w:b w:val="0"/>
          <w:bCs/>
        </w:rPr>
        <w:tab/>
      </w:r>
      <w:r>
        <w:rPr>
          <w:rFonts w:ascii="Arial" w:hAnsi="Arial" w:cs="Arial"/>
          <w:b w:val="0"/>
          <w:bCs/>
          <w:smallCaps/>
          <w:szCs w:val="24"/>
        </w:rPr>
        <w:t>McNees Wallace &amp; Nurick LLC</w:t>
      </w:r>
    </w:p>
    <w:p>
      <w:pPr>
        <w:pStyle w:val="BodyText3"/>
        <w:widowControl w:val="0"/>
        <w:tabs>
          <w:tab w:val="left" w:pos="4320"/>
        </w:tabs>
        <w:jc w:val="both"/>
        <w:rPr>
          <w:rFonts w:ascii="Arial" w:hAnsi="Arial" w:cs="Arial"/>
          <w:b w:val="0"/>
          <w:bCs/>
        </w:rPr>
      </w:pPr>
      <w:r>
        <w:rPr>
          <w:rFonts w:ascii="Arial" w:hAnsi="Arial" w:cs="Arial"/>
          <w:b w:val="0"/>
          <w:bCs/>
        </w:rPr>
        <w:tab/>
        <w:t>21 East State Street, 17</w:t>
      </w:r>
      <w:r>
        <w:rPr>
          <w:rFonts w:ascii="Arial" w:hAnsi="Arial" w:cs="Arial"/>
          <w:b w:val="0"/>
          <w:bCs/>
          <w:vertAlign w:val="superscript"/>
        </w:rPr>
        <w:t>TH</w:t>
      </w:r>
      <w:r>
        <w:rPr>
          <w:rFonts w:ascii="Arial" w:hAnsi="Arial" w:cs="Arial"/>
          <w:b w:val="0"/>
          <w:bCs/>
        </w:rPr>
        <w:t xml:space="preserve"> Floor</w:t>
      </w:r>
    </w:p>
    <w:p>
      <w:pPr>
        <w:pStyle w:val="BodyText"/>
        <w:tabs>
          <w:tab w:val="left" w:pos="4320"/>
        </w:tabs>
      </w:pPr>
      <w:r>
        <w:tab/>
        <w:t>Columbus, OH  43215</w:t>
      </w:r>
    </w:p>
    <w:p>
      <w:pPr>
        <w:pStyle w:val="BodyText"/>
        <w:tabs>
          <w:tab w:val="left" w:pos="4320"/>
        </w:tabs>
      </w:pPr>
      <w:r>
        <w:tab/>
        <w:t>Telephone:  (614) 469-8000</w:t>
      </w:r>
    </w:p>
    <w:p>
      <w:pPr>
        <w:pStyle w:val="BodyText"/>
        <w:tabs>
          <w:tab w:val="left" w:pos="4320"/>
        </w:tabs>
      </w:pPr>
      <w:r>
        <w:tab/>
        <w:t>Telecopier:  (614) 469-4653</w:t>
      </w:r>
    </w:p>
    <w:p>
      <w:pPr>
        <w:pStyle w:val="BodyText"/>
      </w:pPr>
      <w:r>
        <w:tab/>
      </w:r>
      <w:r>
        <w:tab/>
      </w:r>
      <w:r>
        <w:tab/>
      </w:r>
      <w:r>
        <w:tab/>
      </w:r>
      <w:r>
        <w:tab/>
      </w:r>
      <w:r>
        <w:tab/>
        <w:t>sam@mwncmh.com</w:t>
      </w:r>
    </w:p>
    <w:p>
      <w:pPr>
        <w:pStyle w:val="BodyText"/>
      </w:pPr>
      <w:r>
        <w:tab/>
      </w:r>
      <w:r>
        <w:tab/>
      </w:r>
      <w:r>
        <w:tab/>
      </w:r>
      <w:r>
        <w:tab/>
      </w:r>
      <w:r>
        <w:tab/>
      </w:r>
      <w:r>
        <w:tab/>
        <w:t>jclark@mwncmh.com</w:t>
      </w:r>
    </w:p>
    <w:p>
      <w:pPr>
        <w:pStyle w:val="BodyText"/>
      </w:pPr>
    </w:p>
    <w:p>
      <w:pPr>
        <w:pStyle w:val="Title"/>
        <w:jc w:val="left"/>
        <w:rPr>
          <w:smallCaps w:val="0"/>
          <w:sz w:val="24"/>
        </w:rPr>
      </w:pPr>
      <w:r>
        <w:rPr>
          <w:smallCaps w:val="0"/>
          <w:sz w:val="24"/>
        </w:rPr>
        <w:t xml:space="preserve">October 15, 2010 </w:t>
      </w:r>
      <w:r>
        <w:rPr>
          <w:smallCaps w:val="0"/>
          <w:sz w:val="24"/>
        </w:rPr>
        <w:tab/>
      </w:r>
      <w:r>
        <w:rPr>
          <w:smallCaps w:val="0"/>
          <w:sz w:val="24"/>
        </w:rPr>
        <w:tab/>
      </w:r>
      <w:r>
        <w:rPr>
          <w:smallCaps w:val="0"/>
          <w:sz w:val="24"/>
        </w:rPr>
        <w:tab/>
      </w:r>
      <w:r>
        <w:rPr>
          <w:smallCaps w:val="0"/>
          <w:sz w:val="24"/>
        </w:rPr>
        <w:tab/>
        <w:t>Attorneys for Industrial Energy Users-Ohio</w:t>
      </w:r>
    </w:p>
    <w:p>
      <w:pPr>
        <w:pStyle w:val="Title"/>
        <w:rPr>
          <w:sz w:val="28"/>
        </w:rPr>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41" w:left="1440" w:header="720" w:footer="720" w:gutter="0"/>
          <w:pgNumType w:start="1"/>
          <w:cols w:space="720"/>
          <w:titlePg/>
          <w:docGrid w:linePitch="326"/>
        </w:sectPr>
      </w:pPr>
    </w:p>
    <w:p>
      <w:pPr>
        <w:pStyle w:val="Title"/>
        <w:rPr>
          <w:sz w:val="28"/>
        </w:rPr>
      </w:pPr>
      <w:r>
        <w:rPr>
          <w:sz w:val="28"/>
        </w:rPr>
        <w:lastRenderedPageBreak/>
        <w:t>Before</w:t>
      </w:r>
    </w:p>
    <w:p>
      <w:pPr>
        <w:jc w:val="center"/>
        <w:rPr>
          <w:rFonts w:ascii="Arial" w:hAnsi="Arial" w:cs="Arial"/>
          <w:b/>
          <w:smallCaps/>
          <w:sz w:val="28"/>
        </w:rPr>
      </w:pPr>
      <w:r>
        <w:rPr>
          <w:rFonts w:ascii="Arial" w:hAnsi="Arial" w:cs="Arial"/>
          <w:b/>
          <w:smallCaps/>
          <w:sz w:val="28"/>
        </w:rPr>
        <w:t>The Public Utilities Commission of Ohio</w:t>
      </w:r>
    </w:p>
    <w:p>
      <w:pPr>
        <w:pStyle w:val="BodyTextIndent2"/>
        <w:ind w:left="0"/>
        <w:rPr>
          <w:sz w:val="24"/>
        </w:rPr>
      </w:pPr>
    </w:p>
    <w:p>
      <w:pPr>
        <w:tabs>
          <w:tab w:val="left" w:pos="5220"/>
          <w:tab w:val="left" w:pos="5580"/>
        </w:tabs>
        <w:rPr>
          <w:rFonts w:ascii="Arial" w:hAnsi="Arial" w:cs="Arial"/>
          <w:iCs/>
        </w:rPr>
      </w:pPr>
      <w:r>
        <w:rPr>
          <w:rFonts w:ascii="Arial" w:hAnsi="Arial" w:cs="Arial"/>
          <w:iCs/>
        </w:rPr>
        <w:t>In the Matter of the Application of Ohio Power</w:t>
      </w:r>
      <w:r>
        <w:rPr>
          <w:rFonts w:ascii="Arial" w:hAnsi="Arial" w:cs="Arial"/>
          <w:iCs/>
        </w:rPr>
        <w:tab/>
        <w:t>)</w:t>
      </w:r>
    </w:p>
    <w:p>
      <w:pPr>
        <w:tabs>
          <w:tab w:val="left" w:pos="5220"/>
          <w:tab w:val="left" w:pos="5580"/>
        </w:tabs>
        <w:rPr>
          <w:rFonts w:ascii="Arial" w:hAnsi="Arial" w:cs="Arial"/>
          <w:iCs/>
        </w:rPr>
      </w:pPr>
      <w:r>
        <w:rPr>
          <w:rFonts w:ascii="Arial" w:hAnsi="Arial" w:cs="Arial"/>
          <w:iCs/>
        </w:rPr>
        <w:t>Company for Approval of its Renewable Energy</w:t>
      </w:r>
      <w:r>
        <w:rPr>
          <w:rFonts w:ascii="Arial" w:hAnsi="Arial" w:cs="Arial"/>
          <w:iCs/>
        </w:rPr>
        <w:tab/>
        <w:t>)</w:t>
      </w:r>
      <w:r>
        <w:rPr>
          <w:rFonts w:ascii="Arial" w:hAnsi="Arial" w:cs="Arial"/>
          <w:iCs/>
        </w:rPr>
        <w:tab/>
      </w:r>
      <w:r>
        <w:rPr>
          <w:rFonts w:ascii="Arial" w:hAnsi="Arial" w:cs="Arial"/>
        </w:rPr>
        <w:t>Case No. 09-1871-EL-ACP</w:t>
      </w:r>
    </w:p>
    <w:p>
      <w:pPr>
        <w:tabs>
          <w:tab w:val="left" w:pos="5220"/>
          <w:tab w:val="left" w:pos="5580"/>
        </w:tabs>
        <w:jc w:val="both"/>
        <w:rPr>
          <w:rFonts w:ascii="Arial" w:hAnsi="Arial" w:cs="Arial"/>
          <w:iCs/>
        </w:rPr>
      </w:pPr>
      <w:proofErr w:type="gramStart"/>
      <w:r>
        <w:rPr>
          <w:rFonts w:ascii="Arial" w:hAnsi="Arial" w:cs="Arial"/>
          <w:iCs/>
        </w:rPr>
        <w:t>Technology Program.</w:t>
      </w:r>
      <w:proofErr w:type="gramEnd"/>
      <w:r>
        <w:rPr>
          <w:rFonts w:ascii="Arial" w:hAnsi="Arial" w:cs="Arial"/>
          <w:iCs/>
        </w:rPr>
        <w:tab/>
        <w:t>)</w:t>
      </w:r>
    </w:p>
    <w:p>
      <w:pPr>
        <w:tabs>
          <w:tab w:val="left" w:pos="5220"/>
          <w:tab w:val="left" w:pos="5580"/>
        </w:tabs>
        <w:rPr>
          <w:rFonts w:ascii="Arial" w:hAnsi="Arial" w:cs="Arial"/>
          <w:iCs/>
        </w:rPr>
      </w:pPr>
    </w:p>
    <w:p>
      <w:pPr>
        <w:tabs>
          <w:tab w:val="left" w:pos="5220"/>
          <w:tab w:val="left" w:pos="5580"/>
        </w:tabs>
        <w:rPr>
          <w:rFonts w:ascii="Arial" w:hAnsi="Arial" w:cs="Arial"/>
          <w:iCs/>
        </w:rPr>
      </w:pPr>
      <w:r>
        <w:rPr>
          <w:rFonts w:ascii="Arial" w:hAnsi="Arial" w:cs="Arial"/>
          <w:iCs/>
        </w:rPr>
        <w:t>In the Matter of the Application of Columbus</w:t>
      </w:r>
      <w:r>
        <w:rPr>
          <w:rFonts w:ascii="Arial" w:hAnsi="Arial" w:cs="Arial"/>
          <w:iCs/>
        </w:rPr>
        <w:tab/>
        <w:t>)</w:t>
      </w:r>
    </w:p>
    <w:p>
      <w:pPr>
        <w:tabs>
          <w:tab w:val="left" w:pos="5220"/>
          <w:tab w:val="left" w:pos="5580"/>
        </w:tabs>
        <w:rPr>
          <w:rFonts w:ascii="Arial" w:hAnsi="Arial" w:cs="Arial"/>
          <w:iCs/>
        </w:rPr>
      </w:pPr>
      <w:r>
        <w:rPr>
          <w:rFonts w:ascii="Arial" w:hAnsi="Arial" w:cs="Arial"/>
          <w:iCs/>
        </w:rPr>
        <w:t>Southern Power Company for Approval of its</w:t>
      </w:r>
      <w:r>
        <w:rPr>
          <w:rFonts w:ascii="Arial" w:hAnsi="Arial" w:cs="Arial"/>
          <w:iCs/>
        </w:rPr>
        <w:tab/>
        <w:t>)</w:t>
      </w:r>
      <w:r>
        <w:rPr>
          <w:rFonts w:ascii="Arial" w:hAnsi="Arial" w:cs="Arial"/>
          <w:iCs/>
        </w:rPr>
        <w:tab/>
      </w:r>
      <w:r>
        <w:rPr>
          <w:rFonts w:ascii="Arial" w:hAnsi="Arial" w:cs="Arial"/>
        </w:rPr>
        <w:t>Case No. 09-1872-EL-ACP</w:t>
      </w:r>
    </w:p>
    <w:p>
      <w:pPr>
        <w:tabs>
          <w:tab w:val="left" w:pos="5220"/>
        </w:tabs>
        <w:rPr>
          <w:rFonts w:ascii="Arial" w:hAnsi="Arial" w:cs="Arial"/>
        </w:rPr>
      </w:pPr>
      <w:proofErr w:type="gramStart"/>
      <w:r>
        <w:rPr>
          <w:rFonts w:ascii="Arial" w:hAnsi="Arial" w:cs="Arial"/>
          <w:iCs/>
        </w:rPr>
        <w:t>Renewable Energy Technology Program.</w:t>
      </w:r>
      <w:proofErr w:type="gramEnd"/>
      <w:r>
        <w:rPr>
          <w:rFonts w:ascii="Arial" w:hAnsi="Arial" w:cs="Arial"/>
          <w:iCs/>
        </w:rPr>
        <w:tab/>
        <w:t>)</w:t>
      </w:r>
    </w:p>
    <w:p>
      <w:pPr>
        <w:rPr>
          <w:rFonts w:ascii="Arial" w:hAnsi="Arial" w:cs="Arial"/>
          <w:iCs/>
        </w:rPr>
      </w:pPr>
    </w:p>
    <w:p>
      <w:pPr>
        <w:rPr>
          <w:rFonts w:ascii="Arial" w:hAnsi="Arial" w:cs="Arial"/>
          <w:iCs/>
        </w:rPr>
      </w:pPr>
    </w:p>
    <w:p>
      <w:pPr>
        <w:pBdr>
          <w:top w:val="single" w:sz="12" w:space="1" w:color="auto"/>
        </w:pBdr>
        <w:tabs>
          <w:tab w:val="left" w:pos="7320"/>
        </w:tabs>
        <w:jc w:val="both"/>
        <w:rPr>
          <w:rFonts w:ascii="Arial" w:hAnsi="Arial" w:cs="Arial"/>
          <w:sz w:val="28"/>
        </w:rPr>
      </w:pPr>
    </w:p>
    <w:p>
      <w:pPr>
        <w:pStyle w:val="Heading1"/>
        <w:tabs>
          <w:tab w:val="left" w:pos="9360"/>
        </w:tabs>
        <w:ind w:left="0" w:right="0"/>
        <w:jc w:val="center"/>
        <w:rPr>
          <w:szCs w:val="28"/>
        </w:rPr>
      </w:pPr>
      <w:r>
        <w:rPr>
          <w:szCs w:val="28"/>
        </w:rPr>
        <w:t>REPLY COMMENTS OF INDUSTRIAL ENERGY USERS-OHIO</w:t>
      </w:r>
    </w:p>
    <w:p>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pPr>
        <w:pStyle w:val="BodyTextIndent"/>
        <w:tabs>
          <w:tab w:val="left" w:pos="7320"/>
        </w:tabs>
        <w:ind w:firstLine="0"/>
      </w:pPr>
    </w:p>
    <w:p>
      <w:pPr>
        <w:pStyle w:val="BodyTextIndent"/>
        <w:tabs>
          <w:tab w:val="left" w:pos="7320"/>
        </w:tabs>
        <w:ind w:firstLine="0"/>
      </w:pPr>
    </w:p>
    <w:p>
      <w:pPr>
        <w:pStyle w:val="BodyTextIndent"/>
        <w:numPr>
          <w:ilvl w:val="0"/>
          <w:numId w:val="1"/>
        </w:numPr>
        <w:spacing w:line="480" w:lineRule="auto"/>
        <w:ind w:left="630" w:hanging="630"/>
        <w:rPr>
          <w:b/>
        </w:rPr>
      </w:pPr>
      <w:r>
        <w:rPr>
          <w:b/>
        </w:rPr>
        <w:t>INTRODUCTION</w:t>
      </w:r>
    </w:p>
    <w:p>
      <w:pPr>
        <w:pStyle w:val="BodyTextIndent"/>
        <w:spacing w:line="480" w:lineRule="auto"/>
      </w:pPr>
      <w:r>
        <w:t>On November 30, 2009, Columbus Southern Power (“CSP”) and Ohio Power Company (“OP”) (collectively, American Electric Power-Ohio or “AEP-Ohio”) filed the instant Application for approval of a Renewable Energy Technology Program (hereinafter “Program”) by the Public Utilities Commission of Ohio (“Commission”).  AEP-Ohio filed the Application pursuant to a Stipulation and Recommendation (“Stipulation”) submitted in AEP-Ohio’s energy efficiency/peak demand reduction (“EE/PDR”) portfolio plan proceeding.</w:t>
      </w:r>
      <w:r>
        <w:rPr>
          <w:rStyle w:val="FootnoteReference"/>
        </w:rPr>
        <w:footnoteReference w:id="1"/>
      </w:r>
      <w:r>
        <w:t xml:space="preserve">  On September 24, 2010, the Attorney Examiner granted the Motions to Intervene of Industrial Energy Users-Ohio (“IEU-Ohio”), the Office of the Ohio Consumers’ Counsel (“OCC”), and the Vote Solar Initiative (“VSI”), and also established a procedural schedule permitting initial and reply comments on the application.  Industrial Energy Users-Ohio (“IEU-Ohio”) submitted its Initial Comments </w:t>
      </w:r>
      <w:r>
        <w:lastRenderedPageBreak/>
        <w:t>regarding the instant application on October 8, 2010 and hereby submits its Reply Comments, pursuant to the September 24, 2010 Attorney Examiner Entry.</w:t>
      </w:r>
      <w:r>
        <w:rPr>
          <w:rStyle w:val="FootnoteReference"/>
        </w:rPr>
        <w:footnoteReference w:id="2"/>
      </w:r>
      <w:r>
        <w:t xml:space="preserve">  </w:t>
      </w:r>
    </w:p>
    <w:p>
      <w:pPr>
        <w:pStyle w:val="BodyTextIndent"/>
        <w:numPr>
          <w:ilvl w:val="0"/>
          <w:numId w:val="1"/>
        </w:numPr>
        <w:spacing w:line="480" w:lineRule="auto"/>
        <w:ind w:left="720" w:hanging="720"/>
        <w:rPr>
          <w:b/>
        </w:rPr>
      </w:pPr>
      <w:r>
        <w:rPr>
          <w:b/>
        </w:rPr>
        <w:t>REPLY COMMENTS</w:t>
      </w:r>
    </w:p>
    <w:p>
      <w:pPr>
        <w:pStyle w:val="ListParagraph"/>
        <w:numPr>
          <w:ilvl w:val="0"/>
          <w:numId w:val="2"/>
        </w:numPr>
        <w:autoSpaceDE w:val="0"/>
        <w:autoSpaceDN w:val="0"/>
        <w:adjustRightInd w:val="0"/>
        <w:spacing w:line="480" w:lineRule="auto"/>
        <w:ind w:left="1440" w:hanging="720"/>
        <w:jc w:val="both"/>
        <w:rPr>
          <w:rFonts w:ascii="Arial" w:hAnsi="Arial" w:cs="Arial"/>
          <w:b/>
        </w:rPr>
      </w:pPr>
      <w:r>
        <w:rPr>
          <w:rFonts w:ascii="Arial" w:hAnsi="Arial" w:cs="Arial"/>
          <w:b/>
        </w:rPr>
        <w:t>Commission Staff (“Staff”)</w:t>
      </w:r>
    </w:p>
    <w:p>
      <w:pPr>
        <w:autoSpaceDE w:val="0"/>
        <w:autoSpaceDN w:val="0"/>
        <w:adjustRightInd w:val="0"/>
        <w:spacing w:line="480" w:lineRule="auto"/>
        <w:ind w:firstLine="720"/>
        <w:jc w:val="both"/>
        <w:rPr>
          <w:rFonts w:ascii="Arial" w:hAnsi="Arial" w:cs="Arial"/>
        </w:rPr>
      </w:pPr>
      <w:r>
        <w:rPr>
          <w:rFonts w:ascii="Arial" w:hAnsi="Arial" w:cs="Arial"/>
        </w:rPr>
        <w:t>In its Initial Comments, Staff states its objection to recovering the entire incentive amounts up-front inasmuch as this method of recovery is contrary to Staff’s general preference to more closely align rate impacts with benefits.</w:t>
      </w:r>
      <w:r>
        <w:rPr>
          <w:rStyle w:val="FootnoteReference"/>
          <w:rFonts w:ascii="Arial" w:hAnsi="Arial" w:cs="Arial"/>
        </w:rPr>
        <w:footnoteReference w:id="3"/>
      </w:r>
      <w:r>
        <w:rPr>
          <w:rFonts w:ascii="Arial" w:hAnsi="Arial" w:cs="Arial"/>
        </w:rPr>
        <w:t xml:space="preserve">  However, Staff expresses some sympathy for the position that spreading the program costs over the proposed 20</w:t>
      </w:r>
      <w:r>
        <w:rPr>
          <w:rFonts w:ascii="Arial" w:hAnsi="Arial" w:cs="Arial"/>
        </w:rPr>
        <w:noBreakHyphen/>
        <w:t>year term of the Program may create administrative burdens that exceed the benefits of the Program.</w:t>
      </w:r>
      <w:r>
        <w:rPr>
          <w:rStyle w:val="FootnoteReference"/>
          <w:rFonts w:ascii="Arial" w:hAnsi="Arial" w:cs="Arial"/>
        </w:rPr>
        <w:footnoteReference w:id="4"/>
      </w:r>
      <w:r>
        <w:rPr>
          <w:rFonts w:ascii="Arial" w:hAnsi="Arial" w:cs="Arial"/>
        </w:rPr>
        <w:t xml:space="preserve">  If the Commission approves the Program components that include immediate collection of the up-front payments rather than collecting the costs over the term of the Program, then Staff makes three recommendations to attempt to ensure that customers actually receive the benefits of the Program.  Specifically, Staff suggests that the Commission order retired renewable energy credits (“RECs”) be assigned no cost to ratepayers to recognize the pre-payment for the RECs, the proceeds from any Program REC sales should be credited to the fuel adjustment clause mechanism (“FAC”) or other such mechanism in place at the time, and refunds from Program participants for non-performance should flow through the FAC or other mechanism in place at the time.</w:t>
      </w:r>
      <w:r>
        <w:rPr>
          <w:rStyle w:val="FootnoteReference"/>
          <w:rFonts w:ascii="Arial" w:hAnsi="Arial" w:cs="Arial"/>
        </w:rPr>
        <w:footnoteReference w:id="5"/>
      </w:r>
      <w:r>
        <w:rPr>
          <w:rFonts w:ascii="Arial" w:hAnsi="Arial" w:cs="Arial"/>
        </w:rPr>
        <w:t xml:space="preserve">  </w:t>
      </w:r>
    </w:p>
    <w:p>
      <w:pPr>
        <w:autoSpaceDE w:val="0"/>
        <w:autoSpaceDN w:val="0"/>
        <w:adjustRightInd w:val="0"/>
        <w:spacing w:line="480" w:lineRule="auto"/>
        <w:ind w:firstLine="720"/>
        <w:jc w:val="both"/>
        <w:rPr>
          <w:rFonts w:ascii="Arial" w:hAnsi="Arial" w:cs="Arial"/>
        </w:rPr>
      </w:pPr>
      <w:r>
        <w:rPr>
          <w:rFonts w:ascii="Arial" w:hAnsi="Arial" w:cs="Arial"/>
        </w:rPr>
        <w:lastRenderedPageBreak/>
        <w:t xml:space="preserve">The caveats introduced by Staff are a solid attempt to mitigate the risk that customers will not receive the benefits of REC pre-payments </w:t>
      </w:r>
      <w:r>
        <w:rPr>
          <w:rFonts w:ascii="Arial" w:hAnsi="Arial" w:cs="Arial"/>
          <w:i/>
        </w:rPr>
        <w:t>via</w:t>
      </w:r>
      <w:r>
        <w:rPr>
          <w:rFonts w:ascii="Arial" w:hAnsi="Arial" w:cs="Arial"/>
        </w:rPr>
        <w:t xml:space="preserve"> the incentive payments, but there can be no assurance that customers would receive the benefits of the REC pre-payment in the Program.  AEP-Ohio’s current standard service offer (“SSO”), through the form of an electric security plan (“ESP”), runs through calendar year 2011.  As explained by IEU-Ohio in its Initial Comments, there is no guarantee that AEP-Ohio will have an FAC in any future SSO or certainty that there will be any other mechanism that would allow customers to reap the benefits associated with the REC pre-payment in a future AEP-Ohio SSO.  Thus, the Commission should deny approval of the Program inasmuch as AEP-Ohio customers would incur up-front costs for benefits that may never be received.</w:t>
      </w:r>
      <w:r>
        <w:rPr>
          <w:rStyle w:val="FootnoteReference"/>
          <w:rFonts w:ascii="Arial" w:hAnsi="Arial" w:cs="Arial"/>
        </w:rPr>
        <w:footnoteReference w:id="6"/>
      </w:r>
      <w:r>
        <w:rPr>
          <w:rFonts w:ascii="Arial" w:hAnsi="Arial" w:cs="Arial"/>
        </w:rPr>
        <w:t xml:space="preserve">  </w:t>
      </w:r>
    </w:p>
    <w:p>
      <w:pPr>
        <w:pStyle w:val="BodyTextIndent"/>
        <w:numPr>
          <w:ilvl w:val="0"/>
          <w:numId w:val="2"/>
        </w:numPr>
        <w:spacing w:line="480" w:lineRule="auto"/>
        <w:ind w:left="1440" w:hanging="720"/>
        <w:rPr>
          <w:b/>
        </w:rPr>
      </w:pPr>
      <w:r>
        <w:rPr>
          <w:b/>
        </w:rPr>
        <w:t>Office of the Ohio Consumers’ Counsel and Vote Solar Initiative</w:t>
      </w:r>
    </w:p>
    <w:p>
      <w:pPr>
        <w:pStyle w:val="BodyTextIndent"/>
        <w:tabs>
          <w:tab w:val="left" w:pos="0"/>
          <w:tab w:val="left" w:pos="720"/>
        </w:tabs>
        <w:spacing w:line="480" w:lineRule="auto"/>
        <w:ind w:firstLine="0"/>
      </w:pPr>
      <w:r>
        <w:tab/>
        <w:t>OCC and VSI submitted joint comments generally supporting the Program but asking for certain modifications to the proposed Program.  Among other things, OCC and VSI ask the Commission to increase the incentive amounts and to ensure the Program exists until the later of December 31, 2011 or the total $5 million budget for the Program is expended.</w:t>
      </w:r>
      <w:r>
        <w:rPr>
          <w:rStyle w:val="FootnoteReference"/>
        </w:rPr>
        <w:footnoteReference w:id="7"/>
      </w:r>
      <w:r>
        <w:t xml:space="preserve">  OCC and VSI also attempt to minimize the performance risk associated with the up-front payments.</w:t>
      </w:r>
      <w:r>
        <w:rPr>
          <w:rStyle w:val="FootnoteReference"/>
        </w:rPr>
        <w:footnoteReference w:id="8"/>
      </w:r>
      <w:r>
        <w:t xml:space="preserve">  </w:t>
      </w:r>
    </w:p>
    <w:p>
      <w:pPr>
        <w:pStyle w:val="BodyTextIndent"/>
        <w:spacing w:line="480" w:lineRule="auto"/>
        <w:ind w:firstLine="0"/>
      </w:pPr>
      <w:r>
        <w:tab/>
        <w:t xml:space="preserve">First, if the Commission allows the Program to proceed, it should not increase the incentive amounts.  OCC/VSI </w:t>
      </w:r>
      <w:proofErr w:type="gramStart"/>
      <w:r>
        <w:t>have</w:t>
      </w:r>
      <w:proofErr w:type="gramEnd"/>
      <w:r>
        <w:t xml:space="preserve"> provided no reason why the incentive amounts should be changed.  The FirstEnergy and Dayton Power and Light (“DP&amp;L”) programs </w:t>
      </w:r>
      <w:r>
        <w:lastRenderedPageBreak/>
        <w:t xml:space="preserve">cited to by OCC/VSI were for REC </w:t>
      </w:r>
      <w:r>
        <w:rPr>
          <w:u w:val="single"/>
        </w:rPr>
        <w:t>purchase</w:t>
      </w:r>
      <w:r>
        <w:t xml:space="preserve"> programs where customers were being paid for their actual performance.  Customers’ performance in this </w:t>
      </w:r>
      <w:r>
        <w:rPr>
          <w:u w:val="single"/>
        </w:rPr>
        <w:t>incentive</w:t>
      </w:r>
      <w:r>
        <w:t xml:space="preserve"> program will not be established until after the payment is made.  Thus, the comparison to the REC purchase programs of FirstEnergy and DP&amp;L are inapplicable and unpersuasive.  Increasing the incentive amounts will only needlessly add to the potential FAC deferrals caused by the Program.</w:t>
      </w:r>
      <w:r>
        <w:rPr>
          <w:rStyle w:val="FootnoteReference"/>
        </w:rPr>
        <w:footnoteReference w:id="9"/>
      </w:r>
    </w:p>
    <w:p>
      <w:pPr>
        <w:autoSpaceDE w:val="0"/>
        <w:autoSpaceDN w:val="0"/>
        <w:adjustRightInd w:val="0"/>
        <w:spacing w:line="480" w:lineRule="auto"/>
        <w:jc w:val="both"/>
        <w:rPr>
          <w:rFonts w:ascii="Arial" w:hAnsi="Arial" w:cs="Arial"/>
        </w:rPr>
      </w:pPr>
      <w:r>
        <w:rPr>
          <w:rFonts w:ascii="Arial" w:hAnsi="Arial" w:cs="Arial"/>
        </w:rPr>
        <w:tab/>
        <w:t>Second, the Commission should not extend the due date of the Program beyond December 31, 2011.  The Program is unnecessary in 2010 and 2011 and there is no indication that the Program is needed in 2012 or beyond.</w:t>
      </w:r>
      <w:r>
        <w:rPr>
          <w:rStyle w:val="FootnoteReference"/>
          <w:rFonts w:ascii="Arial" w:hAnsi="Arial" w:cs="Arial"/>
        </w:rPr>
        <w:footnoteReference w:id="10"/>
      </w:r>
      <w:r>
        <w:rPr>
          <w:rFonts w:ascii="Arial" w:hAnsi="Arial" w:cs="Arial"/>
        </w:rPr>
        <w:t xml:space="preserve">  Instead of extending the Program’s life, the Commission should deny the Application and accept IEU-Ohio’s recommendation to require the Program be taken up by the group that will meet to holistically discuss AEP-Ohio’s compliance with the alternative energy mandates in the next SSO.</w:t>
      </w:r>
      <w:r>
        <w:rPr>
          <w:rStyle w:val="FootnoteReference"/>
          <w:rFonts w:ascii="Arial" w:hAnsi="Arial" w:cs="Arial"/>
        </w:rPr>
        <w:footnoteReference w:id="11"/>
      </w:r>
      <w:r>
        <w:rPr>
          <w:rFonts w:ascii="Arial" w:hAnsi="Arial" w:cs="Arial"/>
        </w:rPr>
        <w:t xml:space="preserve">  This is the most appropriate course given that AEP-Ohio’s ESP also would terminate at the end of 2011, this option has already been contemplated by the Signatory Parties to the EE/PDR case, and doing so would avoid needlessly increasing FAC costs during the ESP period.</w:t>
      </w:r>
      <w:r>
        <w:rPr>
          <w:rStyle w:val="FootnoteReference"/>
          <w:rFonts w:ascii="Arial" w:hAnsi="Arial" w:cs="Arial"/>
        </w:rPr>
        <w:footnoteReference w:id="12"/>
      </w:r>
      <w:r>
        <w:rPr>
          <w:rFonts w:ascii="Arial" w:hAnsi="Arial" w:cs="Arial"/>
        </w:rPr>
        <w:t xml:space="preserve">  </w:t>
      </w:r>
    </w:p>
    <w:p>
      <w:pPr>
        <w:pStyle w:val="BodyTextIndent"/>
        <w:spacing w:line="480" w:lineRule="auto"/>
        <w:ind w:firstLine="0"/>
        <w:rPr>
          <w:rFonts w:cs="Arial"/>
        </w:rPr>
      </w:pPr>
      <w:r>
        <w:rPr>
          <w:rFonts w:cs="Arial"/>
        </w:rPr>
        <w:tab/>
        <w:t xml:space="preserve">Finally, the assertions of OCC/VSI diminishing the risk of the up-front payment should be tempered by Staff’s clear concern that the Program shifts risks for the </w:t>
      </w:r>
      <w:r>
        <w:rPr>
          <w:rFonts w:cs="Arial"/>
        </w:rPr>
        <w:lastRenderedPageBreak/>
        <w:t>Program from AEP-Ohio to ratepayers.</w:t>
      </w:r>
      <w:r>
        <w:rPr>
          <w:rStyle w:val="FootnoteReference"/>
          <w:rFonts w:cs="Arial"/>
        </w:rPr>
        <w:footnoteReference w:id="13"/>
      </w:r>
      <w:r>
        <w:rPr>
          <w:rFonts w:cs="Arial"/>
        </w:rPr>
        <w:t xml:space="preserve">  Specifically, Staff worries about up-front payments for contract performance over a 20-year period and also raises concerns about the mechanics of recouping any incentive payments for non-performance.  OCC/VSI provides no information or citations to support their assertions regarding this supposedly minimal risk from experience in other states.  The issues raised by Staff add even more persuasive reasons to reject AEP-Ohio’s application and require that the Program be evaluated in the context of AEP-Ohio’s alternative energy mandate compliance strategy, as recommended by IEU-Ohio and contemplated in the EE/PDR portfolio plan Stipulation.</w:t>
      </w:r>
      <w:r>
        <w:rPr>
          <w:rStyle w:val="FootnoteReference"/>
          <w:rFonts w:cs="Arial"/>
        </w:rPr>
        <w:footnoteReference w:id="14"/>
      </w:r>
      <w:r>
        <w:rPr>
          <w:rFonts w:cs="Arial"/>
        </w:rPr>
        <w:t xml:space="preserve">  </w:t>
      </w:r>
    </w:p>
    <w:p>
      <w:pPr>
        <w:pStyle w:val="BodyTextIndent"/>
        <w:spacing w:line="480" w:lineRule="auto"/>
        <w:ind w:firstLine="0"/>
        <w:rPr>
          <w:b/>
        </w:rPr>
      </w:pPr>
      <w:r>
        <w:rPr>
          <w:b/>
        </w:rPr>
        <w:t>C.</w:t>
      </w:r>
      <w:r>
        <w:rPr>
          <w:b/>
        </w:rPr>
        <w:tab/>
        <w:t>CONCLUSION</w:t>
      </w:r>
    </w:p>
    <w:p>
      <w:pPr>
        <w:pStyle w:val="BodyTextIndent"/>
        <w:spacing w:line="480" w:lineRule="auto"/>
        <w:ind w:firstLine="0"/>
      </w:pPr>
      <w:r>
        <w:tab/>
        <w:t>For the reasons stated herein, IEU-Ohio requests the Commission deny the application and direct the Parties to discuss this Program in the context of AEP-Ohio’s next SSO filing.</w:t>
      </w:r>
    </w:p>
    <w:p>
      <w:pPr>
        <w:tabs>
          <w:tab w:val="left" w:pos="4320"/>
          <w:tab w:val="right" w:pos="8640"/>
        </w:tabs>
        <w:jc w:val="both"/>
        <w:rPr>
          <w:rFonts w:ascii="Arial" w:hAnsi="Arial" w:cs="Arial"/>
        </w:rPr>
      </w:pPr>
      <w:r>
        <w:rPr>
          <w:rFonts w:ascii="Arial" w:hAnsi="Arial" w:cs="Arial"/>
        </w:rPr>
        <w:tab/>
        <w:t>Respectfully submitted,</w:t>
      </w:r>
    </w:p>
    <w:p>
      <w:pPr>
        <w:tabs>
          <w:tab w:val="left" w:pos="4320"/>
          <w:tab w:val="right" w:pos="8640"/>
        </w:tabs>
        <w:jc w:val="both"/>
        <w:rPr>
          <w:rFonts w:ascii="Arial" w:hAnsi="Arial" w:cs="Arial"/>
        </w:rPr>
      </w:pPr>
    </w:p>
    <w:p>
      <w:pPr>
        <w:tabs>
          <w:tab w:val="left" w:pos="4320"/>
          <w:tab w:val="right" w:pos="8640"/>
        </w:tabs>
        <w:jc w:val="both"/>
        <w:rPr>
          <w:rFonts w:ascii="Arial" w:hAnsi="Arial" w:cs="Arial"/>
        </w:rPr>
      </w:pPr>
    </w:p>
    <w:p>
      <w:pPr>
        <w:tabs>
          <w:tab w:val="left" w:pos="4320"/>
          <w:tab w:val="right" w:pos="8640"/>
        </w:tabs>
        <w:jc w:val="both"/>
        <w:rPr>
          <w:rFonts w:ascii="Arial" w:hAnsi="Arial" w:cs="Arial"/>
          <w:u w:val="single"/>
        </w:rPr>
      </w:pPr>
      <w:r>
        <w:rPr>
          <w:rFonts w:ascii="Arial" w:hAnsi="Arial" w:cs="Arial"/>
        </w:rPr>
        <w:tab/>
      </w:r>
      <w:r>
        <w:rPr>
          <w:rFonts w:ascii="Arial" w:hAnsi="Arial" w:cs="Arial"/>
          <w:u w:val="single"/>
        </w:rPr>
        <w:t>/s/ Joseph M. Clark</w:t>
      </w:r>
      <w:r>
        <w:rPr>
          <w:rFonts w:ascii="Arial" w:hAnsi="Arial" w:cs="Arial"/>
          <w:u w:val="single"/>
        </w:rPr>
        <w:tab/>
      </w:r>
      <w:r>
        <w:rPr>
          <w:rFonts w:ascii="Arial" w:hAnsi="Arial" w:cs="Arial"/>
          <w:u w:val="single"/>
        </w:rPr>
        <w:tab/>
      </w:r>
    </w:p>
    <w:p>
      <w:pPr>
        <w:tabs>
          <w:tab w:val="left" w:pos="4320"/>
          <w:tab w:val="right" w:pos="8640"/>
        </w:tabs>
        <w:jc w:val="both"/>
        <w:rPr>
          <w:rFonts w:ascii="Arial" w:hAnsi="Arial" w:cs="Arial"/>
        </w:rPr>
      </w:pPr>
      <w:r>
        <w:rPr>
          <w:rFonts w:ascii="Arial" w:hAnsi="Arial" w:cs="Arial"/>
        </w:rPr>
        <w:tab/>
        <w:t>Samuel C. Randazzo (Counsel of Record)</w:t>
      </w:r>
    </w:p>
    <w:p>
      <w:pPr>
        <w:pStyle w:val="BodyText3"/>
        <w:widowControl w:val="0"/>
        <w:tabs>
          <w:tab w:val="left" w:pos="4320"/>
        </w:tabs>
        <w:jc w:val="both"/>
        <w:rPr>
          <w:rFonts w:ascii="Arial" w:hAnsi="Arial" w:cs="Arial"/>
          <w:b w:val="0"/>
          <w:bCs/>
        </w:rPr>
      </w:pPr>
      <w:r>
        <w:rPr>
          <w:rFonts w:ascii="Arial" w:hAnsi="Arial" w:cs="Arial"/>
          <w:b w:val="0"/>
          <w:bCs/>
        </w:rPr>
        <w:tab/>
        <w:t>Joseph M. Clark</w:t>
      </w:r>
    </w:p>
    <w:p>
      <w:pPr>
        <w:pStyle w:val="BodyText3"/>
        <w:widowControl w:val="0"/>
        <w:tabs>
          <w:tab w:val="left" w:pos="4320"/>
        </w:tabs>
        <w:jc w:val="both"/>
        <w:rPr>
          <w:rFonts w:ascii="Arial" w:hAnsi="Arial" w:cs="Arial"/>
          <w:b w:val="0"/>
          <w:bCs/>
          <w:smallCaps/>
          <w:szCs w:val="24"/>
        </w:rPr>
      </w:pPr>
      <w:r>
        <w:rPr>
          <w:rFonts w:ascii="Arial" w:hAnsi="Arial" w:cs="Arial"/>
          <w:b w:val="0"/>
          <w:bCs/>
        </w:rPr>
        <w:tab/>
      </w:r>
      <w:r>
        <w:rPr>
          <w:rFonts w:ascii="Arial" w:hAnsi="Arial" w:cs="Arial"/>
          <w:b w:val="0"/>
          <w:bCs/>
          <w:smallCaps/>
          <w:szCs w:val="24"/>
        </w:rPr>
        <w:t>McNees Wallace &amp; Nurick LLC</w:t>
      </w:r>
    </w:p>
    <w:p>
      <w:pPr>
        <w:pStyle w:val="BodyText3"/>
        <w:widowControl w:val="0"/>
        <w:tabs>
          <w:tab w:val="left" w:pos="4320"/>
        </w:tabs>
        <w:jc w:val="both"/>
        <w:rPr>
          <w:rFonts w:ascii="Arial" w:hAnsi="Arial" w:cs="Arial"/>
          <w:b w:val="0"/>
          <w:bCs/>
        </w:rPr>
      </w:pPr>
      <w:r>
        <w:rPr>
          <w:rFonts w:ascii="Arial" w:hAnsi="Arial" w:cs="Arial"/>
          <w:b w:val="0"/>
          <w:bCs/>
        </w:rPr>
        <w:tab/>
        <w:t>21 East State Street, 17</w:t>
      </w:r>
      <w:r>
        <w:rPr>
          <w:rFonts w:ascii="Arial" w:hAnsi="Arial" w:cs="Arial"/>
          <w:b w:val="0"/>
          <w:bCs/>
          <w:vertAlign w:val="superscript"/>
        </w:rPr>
        <w:t>TH</w:t>
      </w:r>
      <w:r>
        <w:rPr>
          <w:rFonts w:ascii="Arial" w:hAnsi="Arial" w:cs="Arial"/>
          <w:b w:val="0"/>
          <w:bCs/>
        </w:rPr>
        <w:t xml:space="preserve"> Floor</w:t>
      </w:r>
    </w:p>
    <w:p>
      <w:pPr>
        <w:pStyle w:val="BodyText"/>
        <w:tabs>
          <w:tab w:val="left" w:pos="4320"/>
        </w:tabs>
      </w:pPr>
      <w:r>
        <w:tab/>
        <w:t>Columbus, OH  43215</w:t>
      </w:r>
    </w:p>
    <w:p>
      <w:pPr>
        <w:pStyle w:val="BodyText"/>
        <w:tabs>
          <w:tab w:val="left" w:pos="4320"/>
        </w:tabs>
      </w:pPr>
      <w:r>
        <w:tab/>
        <w:t>Telephone:  (614) 469-8000</w:t>
      </w:r>
    </w:p>
    <w:p>
      <w:pPr>
        <w:pStyle w:val="BodyText"/>
        <w:tabs>
          <w:tab w:val="left" w:pos="4320"/>
        </w:tabs>
      </w:pPr>
      <w:r>
        <w:tab/>
        <w:t>Telecopier:  (614) 469-4653</w:t>
      </w:r>
    </w:p>
    <w:p>
      <w:pPr>
        <w:pStyle w:val="BodyText"/>
        <w:tabs>
          <w:tab w:val="left" w:pos="4320"/>
        </w:tabs>
      </w:pPr>
      <w:r>
        <w:tab/>
        <w:t>sam@mwncmh.com</w:t>
      </w:r>
    </w:p>
    <w:p>
      <w:pPr>
        <w:pStyle w:val="BodyText"/>
        <w:tabs>
          <w:tab w:val="left" w:pos="4320"/>
        </w:tabs>
      </w:pPr>
      <w:r>
        <w:tab/>
        <w:t>jclark@mwncmh.com</w:t>
      </w:r>
    </w:p>
    <w:p>
      <w:pPr>
        <w:pStyle w:val="BodyText"/>
      </w:pPr>
    </w:p>
    <w:p>
      <w:pPr>
        <w:tabs>
          <w:tab w:val="left" w:pos="4320"/>
          <w:tab w:val="right" w:pos="9240"/>
        </w:tabs>
        <w:rPr>
          <w:rFonts w:ascii="Arial" w:hAnsi="Arial" w:cs="Arial"/>
          <w:b/>
        </w:rPr>
      </w:pPr>
      <w:r>
        <w:rPr>
          <w:rFonts w:ascii="Arial" w:hAnsi="Arial" w:cs="Arial"/>
        </w:rPr>
        <w:tab/>
      </w:r>
      <w:r>
        <w:rPr>
          <w:rFonts w:ascii="Arial" w:hAnsi="Arial" w:cs="Arial"/>
          <w:b/>
          <w:bCs/>
        </w:rPr>
        <w:t>Attorneys for</w:t>
      </w:r>
      <w:r>
        <w:rPr>
          <w:rFonts w:ascii="Arial" w:hAnsi="Arial" w:cs="Arial"/>
        </w:rPr>
        <w:t xml:space="preserve"> </w:t>
      </w:r>
      <w:r>
        <w:rPr>
          <w:rFonts w:ascii="Arial" w:hAnsi="Arial" w:cs="Arial"/>
          <w:b/>
        </w:rPr>
        <w:t>Industrial Energy Users-Ohio</w:t>
      </w:r>
    </w:p>
    <w:p>
      <w:pPr>
        <w:pStyle w:val="Title"/>
        <w:rPr>
          <w:sz w:val="28"/>
          <w:u w:val="single"/>
        </w:rPr>
      </w:pPr>
      <w:r>
        <w:br w:type="page"/>
      </w:r>
      <w:bookmarkStart w:id="3" w:name="_Toc381606702"/>
      <w:bookmarkStart w:id="4" w:name="_Toc385406742"/>
      <w:r>
        <w:rPr>
          <w:sz w:val="28"/>
          <w:u w:val="single"/>
        </w:rPr>
        <w:lastRenderedPageBreak/>
        <w:t>CERTIFICATE OF SERVICE</w:t>
      </w:r>
      <w:bookmarkEnd w:id="3"/>
      <w:bookmarkEnd w:id="4"/>
    </w:p>
    <w:p>
      <w:pPr>
        <w:rPr>
          <w:rFonts w:ascii="Arial" w:hAnsi="Arial" w:cs="Arial"/>
        </w:rPr>
      </w:pPr>
    </w:p>
    <w:p>
      <w:pPr>
        <w:autoSpaceDE w:val="0"/>
        <w:autoSpaceDN w:val="0"/>
        <w:adjustRightInd w:val="0"/>
        <w:spacing w:line="480" w:lineRule="auto"/>
        <w:ind w:firstLine="720"/>
        <w:jc w:val="both"/>
        <w:rPr>
          <w:rFonts w:ascii="Arial" w:hAnsi="Arial" w:cs="Arial"/>
        </w:rPr>
      </w:pPr>
      <w:r>
        <w:rPr>
          <w:rFonts w:ascii="Arial" w:hAnsi="Arial" w:cs="Arial"/>
        </w:rPr>
        <w:t>I hereby certify that a copy of the foregoing</w:t>
      </w:r>
      <w:r>
        <w:rPr>
          <w:rFonts w:ascii="Arial" w:hAnsi="Arial" w:cs="Arial"/>
          <w:smallCaps/>
        </w:rPr>
        <w:t xml:space="preserve"> </w:t>
      </w:r>
      <w:r>
        <w:rPr>
          <w:rFonts w:ascii="Arial" w:hAnsi="Arial" w:cs="Arial"/>
          <w:i/>
          <w:iCs/>
        </w:rPr>
        <w:t xml:space="preserve">Reply Comments of Industrial Energy Users-Ohio </w:t>
      </w:r>
      <w:r>
        <w:rPr>
          <w:rFonts w:ascii="Arial" w:hAnsi="Arial" w:cs="Arial"/>
        </w:rPr>
        <w:t>was served upon the following parties of record this 15</w:t>
      </w:r>
      <w:r>
        <w:rPr>
          <w:rFonts w:ascii="Arial" w:hAnsi="Arial" w:cs="Arial"/>
          <w:vertAlign w:val="superscript"/>
        </w:rPr>
        <w:t>th</w:t>
      </w:r>
      <w:r>
        <w:rPr>
          <w:rFonts w:ascii="Arial" w:hAnsi="Arial" w:cs="Arial"/>
        </w:rPr>
        <w:t xml:space="preserve"> day of October 2010 </w:t>
      </w:r>
      <w:r>
        <w:rPr>
          <w:rFonts w:ascii="Arial" w:eastAsia="Calibri" w:hAnsi="Arial" w:cs="Arial"/>
          <w:i/>
        </w:rPr>
        <w:t>via</w:t>
      </w:r>
      <w:r>
        <w:rPr>
          <w:rFonts w:ascii="Arial" w:eastAsia="Calibri" w:hAnsi="Arial" w:cs="Arial"/>
        </w:rPr>
        <w:t xml:space="preserve"> electronic transmission, hand delivery, or </w:t>
      </w:r>
      <w:r>
        <w:rPr>
          <w:rFonts w:ascii="Arial" w:hAnsi="Arial" w:cs="Arial"/>
        </w:rPr>
        <w:t>first class U.S. mail, postage prepaid.</w:t>
      </w:r>
    </w:p>
    <w:p>
      <w:pPr>
        <w:autoSpaceDE w:val="0"/>
        <w:autoSpaceDN w:val="0"/>
        <w:adjustRightInd w:val="0"/>
        <w:spacing w:line="480" w:lineRule="auto"/>
        <w:rPr>
          <w:rFonts w:ascii="Arial" w:eastAsia="Calibri" w:hAnsi="Arial" w:cs="Arial"/>
        </w:rPr>
      </w:pPr>
    </w:p>
    <w:p>
      <w:pPr>
        <w:pStyle w:val="Title"/>
        <w:tabs>
          <w:tab w:val="left" w:pos="5040"/>
        </w:tabs>
        <w:ind w:left="5040"/>
        <w:jc w:val="left"/>
        <w:rPr>
          <w:b w:val="0"/>
          <w:smallCaps w:val="0"/>
          <w:sz w:val="24"/>
          <w:u w:val="single"/>
        </w:rPr>
      </w:pPr>
      <w:r>
        <w:rPr>
          <w:b w:val="0"/>
          <w:smallCaps w:val="0"/>
          <w:sz w:val="24"/>
          <w:u w:val="single"/>
        </w:rPr>
        <w:t>/s/ Joseph M. Clark</w:t>
      </w:r>
      <w:r>
        <w:rPr>
          <w:b w:val="0"/>
          <w:smallCaps w:val="0"/>
          <w:sz w:val="24"/>
          <w:u w:val="single"/>
        </w:rPr>
        <w:tab/>
      </w:r>
      <w:r>
        <w:rPr>
          <w:b w:val="0"/>
          <w:smallCaps w:val="0"/>
          <w:sz w:val="24"/>
          <w:u w:val="single"/>
        </w:rPr>
        <w:tab/>
      </w:r>
      <w:r>
        <w:rPr>
          <w:b w:val="0"/>
          <w:smallCaps w:val="0"/>
          <w:sz w:val="24"/>
          <w:u w:val="single"/>
        </w:rPr>
        <w:tab/>
      </w:r>
      <w:r>
        <w:rPr>
          <w:b w:val="0"/>
          <w:smallCaps w:val="0"/>
          <w:sz w:val="24"/>
          <w:u w:val="single"/>
        </w:rPr>
        <w:tab/>
      </w:r>
    </w:p>
    <w:p>
      <w:pPr>
        <w:pStyle w:val="Title"/>
        <w:tabs>
          <w:tab w:val="left" w:pos="5040"/>
        </w:tabs>
        <w:ind w:left="5040"/>
        <w:jc w:val="left"/>
        <w:rPr>
          <w:b w:val="0"/>
          <w:smallCaps w:val="0"/>
          <w:sz w:val="24"/>
        </w:rPr>
      </w:pPr>
      <w:r>
        <w:rPr>
          <w:b w:val="0"/>
          <w:smallCaps w:val="0"/>
          <w:sz w:val="24"/>
        </w:rPr>
        <w:t>Joseph M. Clark</w:t>
      </w:r>
    </w:p>
    <w:p>
      <w:pPr>
        <w:pStyle w:val="Title"/>
        <w:tabs>
          <w:tab w:val="left" w:pos="5040"/>
        </w:tabs>
        <w:ind w:left="5040"/>
        <w:jc w:val="left"/>
        <w:rPr>
          <w:b w:val="0"/>
          <w:smallCaps w:val="0"/>
          <w:sz w:val="24"/>
        </w:rPr>
      </w:pPr>
    </w:p>
    <w:p>
      <w:pPr>
        <w:rPr>
          <w:rFonts w:ascii="Arial" w:hAnsi="Arial" w:cs="Arial"/>
        </w:rPr>
        <w:sectPr>
          <w:pgSz w:w="12240" w:h="15840" w:code="1"/>
          <w:pgMar w:top="1440" w:right="1440" w:bottom="1141" w:left="1440" w:header="720" w:footer="720" w:gutter="0"/>
          <w:pgNumType w:start="1"/>
          <w:cols w:space="720"/>
          <w:titlePg/>
          <w:docGrid w:linePitch="326"/>
        </w:sectPr>
      </w:pPr>
    </w:p>
    <w:p>
      <w:pPr>
        <w:pStyle w:val="BodyTextIndent"/>
        <w:ind w:firstLine="0"/>
        <w:jc w:val="left"/>
        <w:rPr>
          <w:sz w:val="22"/>
          <w:szCs w:val="22"/>
        </w:rPr>
      </w:pPr>
      <w:r>
        <w:rPr>
          <w:sz w:val="22"/>
          <w:szCs w:val="22"/>
        </w:rPr>
        <w:lastRenderedPageBreak/>
        <w:t>Steven Nourse (Counsel of Record)</w:t>
      </w:r>
    </w:p>
    <w:p>
      <w:pPr>
        <w:pStyle w:val="BodyTextIndent"/>
        <w:ind w:firstLine="0"/>
        <w:jc w:val="left"/>
        <w:rPr>
          <w:sz w:val="22"/>
          <w:szCs w:val="22"/>
        </w:rPr>
      </w:pPr>
      <w:r>
        <w:rPr>
          <w:sz w:val="22"/>
          <w:szCs w:val="22"/>
        </w:rPr>
        <w:t>Matthew J. Satterwhite</w:t>
      </w:r>
    </w:p>
    <w:p>
      <w:pPr>
        <w:pStyle w:val="BodyTextIndent"/>
        <w:ind w:firstLine="0"/>
        <w:jc w:val="left"/>
        <w:rPr>
          <w:sz w:val="22"/>
          <w:szCs w:val="22"/>
        </w:rPr>
      </w:pPr>
      <w:r>
        <w:rPr>
          <w:sz w:val="22"/>
          <w:szCs w:val="22"/>
        </w:rPr>
        <w:t>American Electric Power Service Corp.</w:t>
      </w:r>
    </w:p>
    <w:p>
      <w:pPr>
        <w:pStyle w:val="BodyTextIndent"/>
        <w:ind w:firstLine="0"/>
        <w:jc w:val="left"/>
        <w:rPr>
          <w:sz w:val="22"/>
          <w:szCs w:val="22"/>
        </w:rPr>
      </w:pPr>
      <w:r>
        <w:rPr>
          <w:sz w:val="22"/>
          <w:szCs w:val="22"/>
        </w:rPr>
        <w:t>1 Riverside Plaza, 29</w:t>
      </w:r>
      <w:r>
        <w:rPr>
          <w:sz w:val="22"/>
          <w:szCs w:val="22"/>
          <w:vertAlign w:val="superscript"/>
        </w:rPr>
        <w:t>th</w:t>
      </w:r>
      <w:r>
        <w:rPr>
          <w:sz w:val="22"/>
          <w:szCs w:val="22"/>
        </w:rPr>
        <w:t xml:space="preserve"> Floor</w:t>
      </w:r>
    </w:p>
    <w:p>
      <w:pPr>
        <w:pStyle w:val="BodyTextIndent"/>
        <w:ind w:firstLine="0"/>
        <w:jc w:val="left"/>
        <w:rPr>
          <w:sz w:val="22"/>
          <w:szCs w:val="22"/>
        </w:rPr>
      </w:pPr>
      <w:r>
        <w:rPr>
          <w:sz w:val="22"/>
          <w:szCs w:val="22"/>
        </w:rPr>
        <w:t>Columbus, OH  43215</w:t>
      </w:r>
    </w:p>
    <w:p>
      <w:pPr>
        <w:pStyle w:val="BodyTextIndent"/>
        <w:ind w:firstLine="0"/>
        <w:jc w:val="left"/>
        <w:rPr>
          <w:sz w:val="22"/>
          <w:szCs w:val="22"/>
        </w:rPr>
      </w:pPr>
      <w:r>
        <w:rPr>
          <w:sz w:val="22"/>
          <w:szCs w:val="22"/>
        </w:rPr>
        <w:t>stnourse@aep.com</w:t>
      </w:r>
    </w:p>
    <w:p>
      <w:pPr>
        <w:pStyle w:val="BodyTextIndent"/>
        <w:ind w:firstLine="0"/>
        <w:jc w:val="left"/>
        <w:rPr>
          <w:sz w:val="22"/>
          <w:szCs w:val="22"/>
        </w:rPr>
      </w:pPr>
      <w:r>
        <w:rPr>
          <w:sz w:val="22"/>
          <w:szCs w:val="22"/>
        </w:rPr>
        <w:t>mjsatterwhite@aep.com</w:t>
      </w:r>
    </w:p>
    <w:p>
      <w:pPr>
        <w:pStyle w:val="BodyTextIndent"/>
        <w:ind w:firstLine="0"/>
        <w:jc w:val="left"/>
        <w:rPr>
          <w:sz w:val="22"/>
          <w:szCs w:val="22"/>
        </w:rPr>
      </w:pPr>
    </w:p>
    <w:p>
      <w:pPr>
        <w:pStyle w:val="BodyTextIndent"/>
        <w:ind w:firstLine="0"/>
        <w:jc w:val="left"/>
        <w:rPr>
          <w:b/>
          <w:smallCaps/>
          <w:sz w:val="22"/>
          <w:szCs w:val="22"/>
        </w:rPr>
      </w:pPr>
      <w:r>
        <w:rPr>
          <w:b/>
          <w:smallCaps/>
          <w:sz w:val="22"/>
          <w:szCs w:val="22"/>
        </w:rPr>
        <w:t>On Behalf of Columbus Southern Power Company and Ohio Power Company</w:t>
      </w:r>
    </w:p>
    <w:p>
      <w:pPr>
        <w:rPr>
          <w:rFonts w:ascii="Arial" w:hAnsi="Arial" w:cs="Arial"/>
          <w:sz w:val="22"/>
          <w:szCs w:val="22"/>
        </w:rPr>
      </w:pPr>
    </w:p>
    <w:p>
      <w:pPr>
        <w:autoSpaceDE w:val="0"/>
        <w:autoSpaceDN w:val="0"/>
        <w:adjustRightInd w:val="0"/>
        <w:rPr>
          <w:rFonts w:ascii="Arial" w:hAnsi="Arial" w:cs="Arial"/>
          <w:color w:val="000000"/>
          <w:sz w:val="22"/>
          <w:szCs w:val="22"/>
        </w:rPr>
      </w:pPr>
      <w:r>
        <w:rPr>
          <w:rFonts w:ascii="Arial" w:hAnsi="Arial" w:cs="Arial"/>
          <w:color w:val="000000"/>
          <w:sz w:val="22"/>
          <w:szCs w:val="22"/>
        </w:rPr>
        <w:t>Janine L. Migden-Ostrander</w:t>
      </w:r>
    </w:p>
    <w:p>
      <w:pPr>
        <w:autoSpaceDE w:val="0"/>
        <w:autoSpaceDN w:val="0"/>
        <w:adjustRightInd w:val="0"/>
        <w:rPr>
          <w:rFonts w:ascii="Arial" w:hAnsi="Arial" w:cs="Arial"/>
          <w:color w:val="000000"/>
          <w:sz w:val="22"/>
          <w:szCs w:val="22"/>
        </w:rPr>
      </w:pPr>
      <w:r>
        <w:rPr>
          <w:rFonts w:ascii="Arial" w:hAnsi="Arial" w:cs="Arial"/>
          <w:color w:val="000000"/>
          <w:sz w:val="22"/>
          <w:szCs w:val="22"/>
        </w:rPr>
        <w:t>Ohio Consumers’ Counsel</w:t>
      </w:r>
    </w:p>
    <w:p>
      <w:pPr>
        <w:autoSpaceDE w:val="0"/>
        <w:autoSpaceDN w:val="0"/>
        <w:adjustRightInd w:val="0"/>
        <w:rPr>
          <w:rFonts w:ascii="Arial" w:hAnsi="Arial" w:cs="Arial"/>
          <w:color w:val="000000"/>
          <w:sz w:val="22"/>
          <w:szCs w:val="22"/>
        </w:rPr>
      </w:pPr>
      <w:r>
        <w:rPr>
          <w:rFonts w:ascii="Arial" w:hAnsi="Arial" w:cs="Arial"/>
          <w:color w:val="000000"/>
          <w:sz w:val="22"/>
          <w:szCs w:val="22"/>
        </w:rPr>
        <w:t>Christopher J. Allwein (Counsel of Record)</w:t>
      </w:r>
    </w:p>
    <w:p>
      <w:pPr>
        <w:autoSpaceDE w:val="0"/>
        <w:autoSpaceDN w:val="0"/>
        <w:adjustRightInd w:val="0"/>
        <w:rPr>
          <w:rFonts w:ascii="Arial" w:hAnsi="Arial" w:cs="Arial"/>
          <w:color w:val="000000"/>
          <w:sz w:val="22"/>
          <w:szCs w:val="22"/>
        </w:rPr>
      </w:pPr>
      <w:r>
        <w:rPr>
          <w:rFonts w:ascii="Arial" w:hAnsi="Arial" w:cs="Arial"/>
          <w:color w:val="000000"/>
          <w:sz w:val="22"/>
          <w:szCs w:val="22"/>
        </w:rPr>
        <w:t>Ann M. Hotz</w:t>
      </w:r>
    </w:p>
    <w:p>
      <w:pPr>
        <w:autoSpaceDE w:val="0"/>
        <w:autoSpaceDN w:val="0"/>
        <w:adjustRightInd w:val="0"/>
        <w:rPr>
          <w:rFonts w:ascii="Arial" w:hAnsi="Arial" w:cs="Arial"/>
          <w:color w:val="000000"/>
          <w:sz w:val="22"/>
          <w:szCs w:val="22"/>
        </w:rPr>
      </w:pPr>
      <w:r>
        <w:rPr>
          <w:rFonts w:ascii="Arial" w:hAnsi="Arial" w:cs="Arial"/>
          <w:color w:val="000000"/>
          <w:sz w:val="22"/>
          <w:szCs w:val="22"/>
        </w:rPr>
        <w:t>Assistant Consumers’ Counsel</w:t>
      </w:r>
    </w:p>
    <w:p>
      <w:pPr>
        <w:autoSpaceDE w:val="0"/>
        <w:autoSpaceDN w:val="0"/>
        <w:adjustRightInd w:val="0"/>
        <w:rPr>
          <w:rFonts w:ascii="Arial" w:hAnsi="Arial" w:cs="Arial"/>
          <w:bCs/>
          <w:color w:val="000000"/>
          <w:sz w:val="22"/>
          <w:szCs w:val="22"/>
        </w:rPr>
      </w:pPr>
      <w:r>
        <w:rPr>
          <w:rFonts w:ascii="Arial" w:hAnsi="Arial" w:cs="Arial"/>
          <w:bCs/>
          <w:color w:val="000000"/>
          <w:sz w:val="22"/>
          <w:szCs w:val="22"/>
        </w:rPr>
        <w:t>Office of the Ohio Consumers’ Counsel</w:t>
      </w:r>
    </w:p>
    <w:p>
      <w:pPr>
        <w:autoSpaceDE w:val="0"/>
        <w:autoSpaceDN w:val="0"/>
        <w:adjustRightInd w:val="0"/>
        <w:rPr>
          <w:rFonts w:ascii="Arial" w:hAnsi="Arial" w:cs="Arial"/>
          <w:color w:val="000000"/>
          <w:sz w:val="22"/>
          <w:szCs w:val="22"/>
        </w:rPr>
      </w:pPr>
      <w:r>
        <w:rPr>
          <w:rFonts w:ascii="Arial" w:hAnsi="Arial" w:cs="Arial"/>
          <w:color w:val="000000"/>
          <w:sz w:val="22"/>
          <w:szCs w:val="22"/>
        </w:rPr>
        <w:t>10 West Broad Street, Suite 1800</w:t>
      </w:r>
    </w:p>
    <w:p>
      <w:pPr>
        <w:autoSpaceDE w:val="0"/>
        <w:autoSpaceDN w:val="0"/>
        <w:adjustRightInd w:val="0"/>
        <w:rPr>
          <w:rFonts w:ascii="Arial" w:hAnsi="Arial" w:cs="Arial"/>
          <w:color w:val="000000"/>
          <w:sz w:val="22"/>
          <w:szCs w:val="22"/>
        </w:rPr>
      </w:pPr>
      <w:r>
        <w:rPr>
          <w:rFonts w:ascii="Arial" w:hAnsi="Arial" w:cs="Arial"/>
          <w:color w:val="000000"/>
          <w:sz w:val="22"/>
          <w:szCs w:val="22"/>
        </w:rPr>
        <w:t>Columbus, OH 43215-3485</w:t>
      </w:r>
    </w:p>
    <w:p>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allwein@occ.state.oh.us</w:t>
      </w:r>
    </w:p>
    <w:p>
      <w:pPr>
        <w:rPr>
          <w:rFonts w:ascii="Arial" w:hAnsi="Arial" w:cs="Arial"/>
          <w:color w:val="000000" w:themeColor="text1"/>
          <w:sz w:val="22"/>
          <w:szCs w:val="22"/>
        </w:rPr>
      </w:pPr>
      <w:r>
        <w:rPr>
          <w:rFonts w:ascii="Arial" w:hAnsi="Arial" w:cs="Arial"/>
          <w:color w:val="000000" w:themeColor="text1"/>
          <w:sz w:val="22"/>
          <w:szCs w:val="22"/>
        </w:rPr>
        <w:t>hotz@occ.state.oh.us</w:t>
      </w:r>
    </w:p>
    <w:p>
      <w:pPr>
        <w:rPr>
          <w:rFonts w:ascii="Arial" w:hAnsi="Arial" w:cs="Arial"/>
          <w:sz w:val="22"/>
          <w:szCs w:val="22"/>
        </w:rPr>
      </w:pPr>
    </w:p>
    <w:p>
      <w:pPr>
        <w:pStyle w:val="BodyTextIndent"/>
        <w:ind w:firstLine="0"/>
        <w:jc w:val="left"/>
        <w:rPr>
          <w:b/>
          <w:smallCaps/>
          <w:sz w:val="22"/>
          <w:szCs w:val="22"/>
        </w:rPr>
      </w:pPr>
      <w:r>
        <w:rPr>
          <w:b/>
          <w:smallCaps/>
          <w:sz w:val="22"/>
          <w:szCs w:val="22"/>
        </w:rPr>
        <w:t>On Behalf of the Office of the Ohio Consumers’ Counsel</w:t>
      </w:r>
    </w:p>
    <w:p>
      <w:pPr>
        <w:pStyle w:val="BodyTextIndent"/>
        <w:ind w:firstLine="0"/>
        <w:jc w:val="left"/>
        <w:rPr>
          <w:sz w:val="22"/>
          <w:szCs w:val="22"/>
        </w:rPr>
      </w:pPr>
    </w:p>
    <w:p>
      <w:pPr>
        <w:autoSpaceDE w:val="0"/>
        <w:autoSpaceDN w:val="0"/>
        <w:adjustRightInd w:val="0"/>
        <w:rPr>
          <w:rFonts w:ascii="Arial" w:eastAsiaTheme="minorHAnsi" w:hAnsi="Arial" w:cs="Arial"/>
          <w:sz w:val="22"/>
          <w:szCs w:val="22"/>
        </w:rPr>
      </w:pPr>
      <w:r>
        <w:rPr>
          <w:rFonts w:ascii="Arial" w:eastAsiaTheme="minorHAnsi" w:hAnsi="Arial" w:cs="Arial"/>
          <w:sz w:val="22"/>
          <w:szCs w:val="22"/>
        </w:rPr>
        <w:t>Todd M. Williams</w:t>
      </w:r>
    </w:p>
    <w:p>
      <w:pPr>
        <w:autoSpaceDE w:val="0"/>
        <w:autoSpaceDN w:val="0"/>
        <w:adjustRightInd w:val="0"/>
        <w:rPr>
          <w:rFonts w:ascii="Arial" w:eastAsiaTheme="minorHAnsi" w:hAnsi="Arial" w:cs="Arial"/>
          <w:sz w:val="22"/>
          <w:szCs w:val="22"/>
        </w:rPr>
      </w:pPr>
      <w:proofErr w:type="gramStart"/>
      <w:r>
        <w:rPr>
          <w:rFonts w:ascii="Arial" w:eastAsiaTheme="minorHAnsi" w:hAnsi="Arial" w:cs="Arial"/>
          <w:sz w:val="22"/>
          <w:szCs w:val="22"/>
        </w:rPr>
        <w:t>Williams &amp; Moser, L.L.C.</w:t>
      </w:r>
      <w:proofErr w:type="gramEnd"/>
    </w:p>
    <w:p>
      <w:pPr>
        <w:autoSpaceDE w:val="0"/>
        <w:autoSpaceDN w:val="0"/>
        <w:adjustRightInd w:val="0"/>
        <w:rPr>
          <w:rFonts w:ascii="Arial" w:eastAsiaTheme="minorHAnsi" w:hAnsi="Arial" w:cs="Arial"/>
          <w:sz w:val="22"/>
          <w:szCs w:val="22"/>
        </w:rPr>
      </w:pPr>
      <w:r>
        <w:rPr>
          <w:rFonts w:ascii="Arial" w:eastAsiaTheme="minorHAnsi" w:hAnsi="Arial" w:cs="Arial"/>
          <w:sz w:val="22"/>
          <w:szCs w:val="22"/>
        </w:rPr>
        <w:t>PO Box 6885</w:t>
      </w:r>
    </w:p>
    <w:p>
      <w:pPr>
        <w:autoSpaceDE w:val="0"/>
        <w:autoSpaceDN w:val="0"/>
        <w:adjustRightInd w:val="0"/>
        <w:rPr>
          <w:rFonts w:ascii="Arial" w:eastAsiaTheme="minorHAnsi" w:hAnsi="Arial" w:cs="Arial"/>
          <w:sz w:val="22"/>
          <w:szCs w:val="22"/>
        </w:rPr>
      </w:pPr>
      <w:r>
        <w:rPr>
          <w:rFonts w:ascii="Arial" w:eastAsiaTheme="minorHAnsi" w:hAnsi="Arial" w:cs="Arial"/>
          <w:sz w:val="22"/>
          <w:szCs w:val="22"/>
        </w:rPr>
        <w:t>Toledo, OH 43612</w:t>
      </w:r>
    </w:p>
    <w:p>
      <w:pPr>
        <w:rPr>
          <w:rFonts w:ascii="Arial" w:hAnsi="Arial" w:cs="Arial"/>
          <w:sz w:val="22"/>
          <w:szCs w:val="22"/>
        </w:rPr>
      </w:pPr>
      <w:r>
        <w:rPr>
          <w:rFonts w:ascii="Arial" w:hAnsi="Arial" w:cs="Arial"/>
          <w:sz w:val="22"/>
          <w:szCs w:val="22"/>
        </w:rPr>
        <w:t xml:space="preserve">toddw@williamsandmoser.com </w:t>
      </w:r>
    </w:p>
    <w:p/>
    <w:p>
      <w:pPr>
        <w:pStyle w:val="BodyTextIndent"/>
        <w:ind w:firstLine="0"/>
        <w:jc w:val="left"/>
        <w:rPr>
          <w:b/>
          <w:smallCaps/>
          <w:sz w:val="22"/>
          <w:szCs w:val="22"/>
        </w:rPr>
      </w:pPr>
      <w:r>
        <w:rPr>
          <w:b/>
          <w:smallCaps/>
          <w:sz w:val="22"/>
          <w:szCs w:val="22"/>
        </w:rPr>
        <w:t>On Behalf of The Vote Solar Initiative</w:t>
      </w:r>
    </w:p>
    <w:p/>
    <w:p/>
    <w:p/>
    <w:p/>
    <w:p>
      <w:pPr>
        <w:rPr>
          <w:rFonts w:ascii="Arial" w:hAnsi="Arial" w:cs="Arial"/>
          <w:sz w:val="22"/>
          <w:szCs w:val="22"/>
        </w:rPr>
      </w:pPr>
      <w:r>
        <w:rPr>
          <w:rFonts w:ascii="Arial" w:hAnsi="Arial" w:cs="Arial"/>
          <w:sz w:val="22"/>
          <w:szCs w:val="22"/>
        </w:rPr>
        <w:lastRenderedPageBreak/>
        <w:t>Rebecca Hussey</w:t>
      </w:r>
    </w:p>
    <w:p>
      <w:pPr>
        <w:rPr>
          <w:rFonts w:ascii="Arial" w:hAnsi="Arial" w:cs="Arial"/>
          <w:sz w:val="22"/>
          <w:szCs w:val="22"/>
        </w:rPr>
      </w:pPr>
      <w:r>
        <w:rPr>
          <w:rFonts w:ascii="Arial" w:hAnsi="Arial" w:cs="Arial"/>
          <w:sz w:val="22"/>
          <w:szCs w:val="22"/>
        </w:rPr>
        <w:t>Assistant Section Chief</w:t>
      </w:r>
    </w:p>
    <w:p>
      <w:pPr>
        <w:rPr>
          <w:rFonts w:ascii="Arial" w:hAnsi="Arial" w:cs="Arial"/>
          <w:sz w:val="22"/>
          <w:szCs w:val="22"/>
        </w:rPr>
      </w:pPr>
      <w:r>
        <w:rPr>
          <w:rFonts w:ascii="Arial" w:hAnsi="Arial" w:cs="Arial"/>
          <w:sz w:val="22"/>
          <w:szCs w:val="22"/>
        </w:rPr>
        <w:t>Thomas McNamee</w:t>
      </w:r>
    </w:p>
    <w:p>
      <w:pPr>
        <w:rPr>
          <w:rFonts w:ascii="Arial" w:hAnsi="Arial" w:cs="Arial"/>
          <w:sz w:val="22"/>
          <w:szCs w:val="22"/>
        </w:rPr>
      </w:pPr>
      <w:r>
        <w:rPr>
          <w:rFonts w:ascii="Arial" w:hAnsi="Arial" w:cs="Arial"/>
          <w:sz w:val="22"/>
          <w:szCs w:val="22"/>
        </w:rPr>
        <w:t xml:space="preserve">Assistant Attorney General </w:t>
      </w:r>
    </w:p>
    <w:p>
      <w:pPr>
        <w:rPr>
          <w:rFonts w:ascii="Arial" w:hAnsi="Arial" w:cs="Arial"/>
          <w:sz w:val="22"/>
          <w:szCs w:val="22"/>
        </w:rPr>
      </w:pPr>
      <w:r>
        <w:rPr>
          <w:rFonts w:ascii="Arial" w:hAnsi="Arial" w:cs="Arial"/>
          <w:sz w:val="22"/>
          <w:szCs w:val="22"/>
        </w:rPr>
        <w:t>Public Utilities Section</w:t>
      </w:r>
    </w:p>
    <w:p>
      <w:pPr>
        <w:rPr>
          <w:rFonts w:ascii="Arial" w:hAnsi="Arial" w:cs="Arial"/>
          <w:sz w:val="22"/>
          <w:szCs w:val="22"/>
        </w:rPr>
      </w:pPr>
      <w:r>
        <w:rPr>
          <w:rFonts w:ascii="Arial" w:hAnsi="Arial" w:cs="Arial"/>
          <w:sz w:val="22"/>
          <w:szCs w:val="22"/>
        </w:rPr>
        <w:t>180 East Broad Street, 12</w:t>
      </w:r>
      <w:r>
        <w:rPr>
          <w:rFonts w:ascii="Arial" w:hAnsi="Arial" w:cs="Arial"/>
          <w:sz w:val="22"/>
          <w:szCs w:val="22"/>
          <w:vertAlign w:val="superscript"/>
        </w:rPr>
        <w:t>th</w:t>
      </w:r>
      <w:r>
        <w:rPr>
          <w:rFonts w:ascii="Arial" w:hAnsi="Arial" w:cs="Arial"/>
          <w:sz w:val="22"/>
          <w:szCs w:val="22"/>
        </w:rPr>
        <w:t xml:space="preserve"> Floor</w:t>
      </w:r>
    </w:p>
    <w:p>
      <w:pPr>
        <w:rPr>
          <w:rFonts w:ascii="Arial" w:hAnsi="Arial" w:cs="Arial"/>
          <w:sz w:val="22"/>
          <w:szCs w:val="22"/>
        </w:rPr>
      </w:pPr>
      <w:r>
        <w:rPr>
          <w:rFonts w:ascii="Arial" w:hAnsi="Arial" w:cs="Arial"/>
          <w:sz w:val="22"/>
          <w:szCs w:val="22"/>
        </w:rPr>
        <w:t>Columbus, OH  43215</w:t>
      </w:r>
    </w:p>
    <w:p>
      <w:pPr>
        <w:rPr>
          <w:rFonts w:ascii="Arial" w:hAnsi="Arial" w:cs="Arial"/>
          <w:sz w:val="22"/>
          <w:szCs w:val="22"/>
        </w:rPr>
      </w:pPr>
      <w:r>
        <w:rPr>
          <w:rFonts w:ascii="Arial" w:hAnsi="Arial" w:cs="Arial"/>
          <w:sz w:val="22"/>
          <w:szCs w:val="22"/>
        </w:rPr>
        <w:t>rebecca.hussey@puc.state.oh.us</w:t>
      </w:r>
    </w:p>
    <w:p>
      <w:pPr>
        <w:rPr>
          <w:rFonts w:ascii="Arial" w:hAnsi="Arial" w:cs="Arial"/>
          <w:sz w:val="22"/>
          <w:szCs w:val="22"/>
        </w:rPr>
      </w:pPr>
      <w:r>
        <w:rPr>
          <w:rFonts w:ascii="Arial" w:hAnsi="Arial" w:cs="Arial"/>
          <w:sz w:val="22"/>
          <w:szCs w:val="22"/>
        </w:rPr>
        <w:t>thomas.mcnamee@puc.state.oh.us</w:t>
      </w:r>
    </w:p>
    <w:p>
      <w:pPr>
        <w:rPr>
          <w:rFonts w:ascii="Arial" w:hAnsi="Arial" w:cs="Arial"/>
          <w:sz w:val="22"/>
          <w:szCs w:val="22"/>
        </w:rPr>
      </w:pPr>
    </w:p>
    <w:p>
      <w:pPr>
        <w:rPr>
          <w:rFonts w:ascii="Arial Bold" w:hAnsi="Arial Bold" w:cs="Arial"/>
          <w:b/>
          <w:smallCaps/>
          <w:sz w:val="22"/>
          <w:szCs w:val="22"/>
        </w:rPr>
      </w:pPr>
      <w:r>
        <w:rPr>
          <w:rFonts w:ascii="Arial Bold" w:hAnsi="Arial Bold" w:cs="Arial"/>
          <w:b/>
          <w:smallCaps/>
          <w:sz w:val="22"/>
          <w:szCs w:val="22"/>
        </w:rPr>
        <w:t>On Behalf of the Staff of the Public Utilities Commission of Ohio</w:t>
      </w:r>
    </w:p>
    <w:p>
      <w:pPr>
        <w:rPr>
          <w:rFonts w:ascii="Arial" w:hAnsi="Arial" w:cs="Arial"/>
          <w:sz w:val="22"/>
          <w:szCs w:val="22"/>
        </w:rPr>
      </w:pPr>
    </w:p>
    <w:p>
      <w:pPr>
        <w:rPr>
          <w:rFonts w:ascii="Arial" w:hAnsi="Arial" w:cs="Arial"/>
          <w:sz w:val="22"/>
          <w:szCs w:val="22"/>
        </w:rPr>
      </w:pPr>
      <w:r>
        <w:rPr>
          <w:rFonts w:ascii="Arial" w:hAnsi="Arial" w:cs="Arial"/>
          <w:sz w:val="22"/>
          <w:szCs w:val="22"/>
        </w:rPr>
        <w:t>Greta See</w:t>
      </w:r>
    </w:p>
    <w:p>
      <w:pPr>
        <w:rPr>
          <w:rFonts w:ascii="Arial" w:hAnsi="Arial" w:cs="Arial"/>
          <w:sz w:val="22"/>
          <w:szCs w:val="22"/>
        </w:rPr>
      </w:pPr>
      <w:r>
        <w:rPr>
          <w:rFonts w:ascii="Arial" w:hAnsi="Arial" w:cs="Arial"/>
          <w:sz w:val="22"/>
          <w:szCs w:val="22"/>
        </w:rPr>
        <w:t>Attorney Examiner</w:t>
      </w:r>
    </w:p>
    <w:p>
      <w:pPr>
        <w:rPr>
          <w:rFonts w:ascii="Arial" w:hAnsi="Arial" w:cs="Arial"/>
          <w:sz w:val="22"/>
          <w:szCs w:val="22"/>
        </w:rPr>
      </w:pPr>
      <w:r>
        <w:rPr>
          <w:rFonts w:ascii="Arial" w:hAnsi="Arial" w:cs="Arial"/>
          <w:sz w:val="22"/>
          <w:szCs w:val="22"/>
        </w:rPr>
        <w:t>Public Utilities Commission of Ohio</w:t>
      </w:r>
    </w:p>
    <w:p>
      <w:pPr>
        <w:rPr>
          <w:rFonts w:ascii="Arial" w:hAnsi="Arial" w:cs="Arial"/>
          <w:sz w:val="22"/>
          <w:szCs w:val="22"/>
        </w:rPr>
      </w:pPr>
      <w:r>
        <w:rPr>
          <w:rFonts w:ascii="Arial" w:hAnsi="Arial" w:cs="Arial"/>
          <w:sz w:val="22"/>
          <w:szCs w:val="22"/>
        </w:rPr>
        <w:t>180 East Broad Street</w:t>
      </w:r>
    </w:p>
    <w:p>
      <w:pPr>
        <w:rPr>
          <w:rFonts w:ascii="Arial" w:hAnsi="Arial" w:cs="Arial"/>
          <w:sz w:val="22"/>
          <w:szCs w:val="22"/>
        </w:rPr>
      </w:pPr>
      <w:r>
        <w:rPr>
          <w:rFonts w:ascii="Arial" w:hAnsi="Arial" w:cs="Arial"/>
          <w:sz w:val="22"/>
          <w:szCs w:val="22"/>
        </w:rPr>
        <w:t>Columbus, OH  43215</w:t>
      </w:r>
    </w:p>
    <w:sectPr>
      <w:type w:val="continuous"/>
      <w:pgSz w:w="12240" w:h="15840" w:code="1"/>
      <w:pgMar w:top="1440" w:right="1440" w:bottom="1141" w:left="1440" w:header="720" w:footer="720" w:gutter="0"/>
      <w:pgNumType w:start="1"/>
      <w:cols w:num="2" w:space="720" w:equalWidth="0">
        <w:col w:w="4320" w:space="720"/>
        <w:col w:w="4320"/>
      </w:cols>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noProof/>
        <w:sz w:val="16"/>
      </w:rPr>
      <w:t>{C29898: }</w:t>
    </w: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Fonts w:ascii="Arial" w:hAnsi="Arial" w:cs="Arial"/>
      </w:rPr>
    </w:pPr>
    <w:r>
      <w:rPr>
        <w:rStyle w:val="PageNumber"/>
        <w:rFonts w:ascii="Arial" w:hAnsi="Arial" w:cs="Arial"/>
        <w:noProof/>
      </w:rPr>
      <w:fldChar w:fldCharType="begin"/>
    </w:r>
    <w:r>
      <w:rPr>
        <w:rStyle w:val="PageNumber"/>
        <w:rFonts w:ascii="Arial" w:hAnsi="Arial" w:cs="Arial"/>
        <w:noProof/>
      </w:rPr>
      <w:instrText xml:space="preserve">PAGE  </w:instrText>
    </w:r>
    <w:r>
      <w:rPr>
        <w:rStyle w:val="PageNumber"/>
        <w:rFonts w:ascii="Arial" w:hAnsi="Arial" w:cs="Arial"/>
        <w:noProof/>
      </w:rPr>
      <w:fldChar w:fldCharType="separate"/>
    </w:r>
    <w:r>
      <w:rPr>
        <w:rStyle w:val="PageNumber"/>
        <w:rFonts w:ascii="Arial" w:hAnsi="Arial" w:cs="Arial"/>
        <w:noProof/>
      </w:rPr>
      <w:t>6</w:t>
    </w:r>
    <w:r>
      <w:rPr>
        <w:rStyle w:val="PageNumber"/>
        <w:rFonts w:ascii="Arial" w:hAnsi="Arial" w:cs="Arial"/>
        <w:noProof/>
      </w:rPr>
      <w:fldChar w:fldCharType="end"/>
    </w:r>
  </w:p>
  <w:p>
    <w:pPr>
      <w:pStyle w:val="Footer"/>
      <w:rPr>
        <w:rFonts w:ascii="Arial" w:hAnsi="Arial" w:cs="Arial"/>
      </w:rPr>
    </w:pPr>
    <w:r>
      <w:rPr>
        <w:rFonts w:ascii="Arial" w:hAnsi="Arial" w:cs="Arial"/>
        <w:sz w:val="16"/>
      </w:rPr>
      <w:t>{</w:t>
    </w:r>
    <w:proofErr w:type="gramStart"/>
    <w:r>
      <w:rPr>
        <w:rFonts w:ascii="Arial" w:hAnsi="Arial" w:cs="Arial"/>
        <w:sz w:val="16"/>
      </w:rPr>
      <w:t>C32250:3 }</w:t>
    </w:r>
    <w:proofErr w:type="gramEnd"/>
    <w:r>
      <w:rPr>
        <w:rFonts w:ascii="Arial" w:hAnsi="Arial" w:cs="Arial"/>
        <w:sz w:val="16"/>
      </w:rPr>
      <w:t>C32250:3}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rPr>
    </w:pPr>
    <w:r>
      <w:rPr>
        <w:rFonts w:ascii="Arial" w:hAnsi="Arial" w:cs="Arial"/>
        <w:noProof/>
        <w:sz w:val="16"/>
      </w:rPr>
      <w:t>{C32250:3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rPr>
          <w:noProof/>
        </w:rPr>
      </w:pPr>
      <w:r>
        <w:rPr>
          <w:noProof/>
        </w:rPr>
        <w:separator/>
      </w:r>
    </w:p>
  </w:footnote>
  <w:footnote w:type="continuationSeparator" w:id="0">
    <w:p>
      <w:r>
        <w:continuationSeparator/>
      </w:r>
    </w:p>
  </w:footnote>
  <w:footnote w:id="1">
    <w:p>
      <w:pPr>
        <w:pStyle w:val="FootnoteText"/>
        <w:jc w:val="both"/>
        <w:rPr>
          <w:rFonts w:ascii="Arial" w:hAnsi="Arial" w:cs="Arial"/>
        </w:rPr>
      </w:pPr>
      <w:r>
        <w:rPr>
          <w:rStyle w:val="FootnoteReference"/>
          <w:rFonts w:ascii="Arial" w:hAnsi="Arial" w:cs="Arial"/>
        </w:rPr>
        <w:footnoteRef/>
      </w:r>
      <w:r>
        <w:rPr>
          <w:rFonts w:ascii="Arial" w:hAnsi="Arial" w:cs="Arial"/>
        </w:rPr>
        <w:t xml:space="preserve"> </w:t>
      </w:r>
      <w:r>
        <w:rPr>
          <w:rFonts w:ascii="Arial" w:eastAsia="Calibri" w:hAnsi="Arial" w:cs="Arial"/>
          <w:i/>
        </w:rPr>
        <w:t>In the Matter of the Application of Columbus Southern Power Company for Approval of its Program Portfolio Plan and Request for Expedited Consideration</w:t>
      </w:r>
      <w:r>
        <w:rPr>
          <w:rFonts w:ascii="Arial" w:eastAsia="Calibri" w:hAnsi="Arial" w:cs="Arial"/>
        </w:rPr>
        <w:t xml:space="preserve">, PUCO Case Nos. 09-1089-EL-POR, </w:t>
      </w:r>
      <w:r>
        <w:rPr>
          <w:rFonts w:ascii="Arial" w:eastAsia="Calibri" w:hAnsi="Arial" w:cs="Arial"/>
          <w:i/>
        </w:rPr>
        <w:t>et al</w:t>
      </w:r>
      <w:r>
        <w:rPr>
          <w:rFonts w:ascii="Arial" w:eastAsia="Calibri" w:hAnsi="Arial" w:cs="Arial"/>
        </w:rPr>
        <w:t xml:space="preserve">., Stipulation and Recommendation at </w:t>
      </w:r>
      <w:r>
        <w:rPr>
          <w:rFonts w:ascii="Arial" w:hAnsi="Arial" w:cs="Arial"/>
        </w:rPr>
        <w:t xml:space="preserve">5-6 (November 12, 2009).  The Stipulation, as modified and approved by the Commission, only requires AEP-Ohio to propose the Program and in no way pre-determines approval of the Program.  </w:t>
      </w:r>
      <w:proofErr w:type="gramStart"/>
      <w:r>
        <w:rPr>
          <w:rFonts w:ascii="Arial" w:hAnsi="Arial" w:cs="Arial"/>
          <w:i/>
        </w:rPr>
        <w:t>Id</w:t>
      </w:r>
      <w:r>
        <w:rPr>
          <w:rFonts w:ascii="Arial" w:hAnsi="Arial" w:cs="Arial"/>
        </w:rPr>
        <w:t>. at 5.</w:t>
      </w:r>
      <w:proofErr w:type="gramEnd"/>
      <w:r>
        <w:rPr>
          <w:rFonts w:ascii="Arial" w:hAnsi="Arial" w:cs="Arial"/>
        </w:rPr>
        <w:t xml:space="preserve">  </w:t>
      </w:r>
    </w:p>
  </w:footnote>
  <w:footnote w:id="2">
    <w:p>
      <w:pPr>
        <w:pStyle w:val="FootnoteText"/>
        <w:spacing w:after="180"/>
        <w:jc w:val="both"/>
        <w:rPr>
          <w:rFonts w:ascii="Arial" w:hAnsi="Arial" w:cs="Arial"/>
        </w:rPr>
      </w:pPr>
      <w:r>
        <w:rPr>
          <w:rStyle w:val="FootnoteReference"/>
          <w:rFonts w:ascii="Arial" w:hAnsi="Arial" w:cs="Arial"/>
        </w:rPr>
        <w:footnoteRef/>
      </w:r>
      <w:r>
        <w:rPr>
          <w:rFonts w:ascii="Arial" w:hAnsi="Arial" w:cs="Arial"/>
        </w:rPr>
        <w:t xml:space="preserve"> IEU-Ohio’s decision to address only certain portions of the Initial Comments should not be construed as IEU-Ohio’s agreement with the positions not addressed by IEU-Ohio.  </w:t>
      </w:r>
    </w:p>
  </w:footnote>
  <w:footnote w:id="3">
    <w:p>
      <w:pPr>
        <w:pStyle w:val="FootnoteText"/>
        <w:spacing w:after="180"/>
        <w:rPr>
          <w:rFonts w:ascii="Arial" w:hAnsi="Arial" w:cs="Arial"/>
        </w:rPr>
      </w:pPr>
      <w:r>
        <w:rPr>
          <w:rStyle w:val="FootnoteReference"/>
          <w:rFonts w:ascii="Arial" w:hAnsi="Arial" w:cs="Arial"/>
        </w:rPr>
        <w:footnoteRef/>
      </w:r>
      <w:r>
        <w:rPr>
          <w:rFonts w:ascii="Arial" w:hAnsi="Arial" w:cs="Arial"/>
        </w:rPr>
        <w:t xml:space="preserve"> Staff’s Initial Comments at 3.</w:t>
      </w:r>
    </w:p>
  </w:footnote>
  <w:footnote w:id="4">
    <w:p>
      <w:pPr>
        <w:pStyle w:val="FootnoteText"/>
        <w:spacing w:after="180"/>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Id</w:t>
      </w:r>
      <w:r>
        <w:rPr>
          <w:rFonts w:ascii="Arial" w:hAnsi="Arial" w:cs="Arial"/>
        </w:rPr>
        <w:t>.</w:t>
      </w:r>
    </w:p>
  </w:footnote>
  <w:footnote w:id="5">
    <w:p>
      <w:pPr>
        <w:pStyle w:val="FootnoteText"/>
        <w:spacing w:after="180"/>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Id</w:t>
      </w:r>
      <w:r>
        <w:rPr>
          <w:rFonts w:ascii="Arial" w:hAnsi="Arial" w:cs="Arial"/>
        </w:rPr>
        <w:t>.</w:t>
      </w:r>
    </w:p>
  </w:footnote>
  <w:footnote w:id="6">
    <w:p>
      <w:pPr>
        <w:pStyle w:val="FootnoteText"/>
        <w:spacing w:after="180"/>
        <w:jc w:val="both"/>
        <w:rPr>
          <w:rFonts w:ascii="Arial" w:hAnsi="Arial" w:cs="Arial"/>
        </w:rPr>
      </w:pPr>
      <w:r>
        <w:rPr>
          <w:rStyle w:val="FootnoteReference"/>
          <w:rFonts w:ascii="Arial" w:hAnsi="Arial" w:cs="Arial"/>
        </w:rPr>
        <w:footnoteRef/>
      </w:r>
      <w:r>
        <w:rPr>
          <w:rFonts w:ascii="Arial" w:hAnsi="Arial" w:cs="Arial"/>
        </w:rPr>
        <w:t xml:space="preserve"> See IEU-Ohio Initial Comments at 4-5.  </w:t>
      </w:r>
    </w:p>
  </w:footnote>
  <w:footnote w:id="7">
    <w:p>
      <w:pPr>
        <w:pStyle w:val="FootnoteText"/>
        <w:spacing w:after="180"/>
        <w:jc w:val="both"/>
        <w:rPr>
          <w:rFonts w:ascii="Arial" w:hAnsi="Arial" w:cs="Arial"/>
        </w:rPr>
      </w:pPr>
      <w:r>
        <w:rPr>
          <w:rStyle w:val="FootnoteReference"/>
          <w:rFonts w:ascii="Arial" w:hAnsi="Arial" w:cs="Arial"/>
        </w:rPr>
        <w:footnoteRef/>
      </w:r>
      <w:r>
        <w:rPr>
          <w:rFonts w:ascii="Arial" w:hAnsi="Arial" w:cs="Arial"/>
        </w:rPr>
        <w:t xml:space="preserve"> OCC/VSI Initial Comments at 3-4, 6-7, respectively.</w:t>
      </w:r>
    </w:p>
  </w:footnote>
  <w:footnote w:id="8">
    <w:p>
      <w:pPr>
        <w:pStyle w:val="FootnoteText"/>
        <w:spacing w:after="180"/>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Id</w:t>
      </w:r>
      <w:r>
        <w:rPr>
          <w:rFonts w:ascii="Arial" w:hAnsi="Arial" w:cs="Arial"/>
        </w:rPr>
        <w:t xml:space="preserve">. at 8-9.  </w:t>
      </w:r>
    </w:p>
  </w:footnote>
  <w:footnote w:id="9">
    <w:p>
      <w:pPr>
        <w:pStyle w:val="FootnoteText"/>
        <w:spacing w:after="180"/>
        <w:jc w:val="both"/>
        <w:rPr>
          <w:rFonts w:ascii="Arial" w:hAnsi="Arial" w:cs="Arial"/>
        </w:rPr>
      </w:pPr>
      <w:r>
        <w:rPr>
          <w:rStyle w:val="FootnoteReference"/>
          <w:rFonts w:ascii="Arial" w:hAnsi="Arial" w:cs="Arial"/>
        </w:rPr>
        <w:footnoteRef/>
      </w:r>
      <w:r>
        <w:rPr>
          <w:rFonts w:ascii="Arial" w:hAnsi="Arial" w:cs="Arial"/>
        </w:rPr>
        <w:t xml:space="preserve"> IEU-Ohio Initial Comments at 2-3.  </w:t>
      </w:r>
    </w:p>
  </w:footnote>
  <w:footnote w:id="10">
    <w:p>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Id</w:t>
      </w:r>
      <w:r>
        <w:rPr>
          <w:rFonts w:ascii="Arial" w:hAnsi="Arial" w:cs="Arial"/>
        </w:rPr>
        <w:t>.</w:t>
      </w:r>
    </w:p>
  </w:footnote>
  <w:footnote w:id="11">
    <w:p>
      <w:pPr>
        <w:pStyle w:val="FootnoteText"/>
        <w:spacing w:after="180"/>
        <w:jc w:val="both"/>
        <w:rPr>
          <w:rFonts w:ascii="Arial" w:hAnsi="Arial" w:cs="Arial"/>
        </w:rPr>
      </w:pPr>
      <w:r>
        <w:rPr>
          <w:rStyle w:val="FootnoteReference"/>
          <w:rFonts w:ascii="Arial" w:hAnsi="Arial" w:cs="Arial"/>
        </w:rPr>
        <w:footnoteRef/>
      </w:r>
      <w:r>
        <w:rPr>
          <w:rFonts w:ascii="Arial" w:hAnsi="Arial" w:cs="Arial"/>
        </w:rPr>
        <w:t xml:space="preserve"> </w:t>
      </w:r>
      <w:proofErr w:type="gramStart"/>
      <w:r>
        <w:rPr>
          <w:rFonts w:ascii="Arial" w:hAnsi="Arial" w:cs="Arial"/>
          <w:i/>
        </w:rPr>
        <w:t>Id</w:t>
      </w:r>
      <w:r>
        <w:rPr>
          <w:rFonts w:ascii="Arial" w:hAnsi="Arial" w:cs="Arial"/>
        </w:rPr>
        <w:t>. at 5.</w:t>
      </w:r>
      <w:proofErr w:type="gramEnd"/>
      <w:r>
        <w:rPr>
          <w:rFonts w:ascii="Arial" w:hAnsi="Arial" w:cs="Arial"/>
        </w:rPr>
        <w:t xml:space="preserve">  </w:t>
      </w:r>
    </w:p>
  </w:footnote>
  <w:footnote w:id="12">
    <w:p>
      <w:pPr>
        <w:pStyle w:val="FootnoteText"/>
        <w:spacing w:after="180"/>
        <w:jc w:val="both"/>
        <w:rPr>
          <w:rFonts w:ascii="Arial" w:hAnsi="Arial" w:cs="Arial"/>
        </w:rPr>
      </w:pPr>
      <w:r>
        <w:rPr>
          <w:rStyle w:val="FootnoteReference"/>
          <w:rFonts w:ascii="Arial" w:hAnsi="Arial" w:cs="Arial"/>
        </w:rPr>
        <w:footnoteRef/>
      </w:r>
      <w:r>
        <w:rPr>
          <w:rFonts w:ascii="Arial" w:hAnsi="Arial" w:cs="Arial"/>
        </w:rPr>
        <w:t xml:space="preserve"> Finally, of note, the current “pilot program” instituted by the Commission in Case No. 10-834-EL-EEC for mercantile customer participation in the EE/PDR compliance efforts of the Ohio electric distribution utilities only lasts for 18 months and will be reviewed after 12 months.  There is no reason that the “pilot program” in this case should get a guaranteed two years while the “pilot program” for mercantile customers is limited to just 18 months.  </w:t>
      </w:r>
      <w:r>
        <w:rPr>
          <w:rFonts w:ascii="Arial" w:hAnsi="Arial" w:cs="Arial"/>
          <w:i/>
        </w:rPr>
        <w:t>See</w:t>
      </w:r>
      <w:r>
        <w:rPr>
          <w:rFonts w:ascii="Arial" w:hAnsi="Arial" w:cs="Arial"/>
        </w:rPr>
        <w:t xml:space="preserve"> OCC/VSI Initial Comments at 8 (“The Commission should facilitate the utilities efforts in developing and testing these pilot programs.”)</w:t>
      </w:r>
    </w:p>
  </w:footnote>
  <w:footnote w:id="13">
    <w:p>
      <w:pPr>
        <w:pStyle w:val="FootnoteText"/>
        <w:spacing w:after="180"/>
        <w:jc w:val="both"/>
        <w:rPr>
          <w:rFonts w:ascii="Arial" w:hAnsi="Arial" w:cs="Arial"/>
        </w:rPr>
      </w:pPr>
      <w:r>
        <w:rPr>
          <w:rStyle w:val="FootnoteReference"/>
          <w:rFonts w:ascii="Arial" w:hAnsi="Arial" w:cs="Arial"/>
        </w:rPr>
        <w:footnoteRef/>
      </w:r>
      <w:r>
        <w:rPr>
          <w:rFonts w:ascii="Arial" w:hAnsi="Arial" w:cs="Arial"/>
        </w:rPr>
        <w:t xml:space="preserve"> Staff’s Initial Comments at 2.  </w:t>
      </w:r>
    </w:p>
  </w:footnote>
  <w:footnote w:id="14">
    <w:p>
      <w:pPr>
        <w:pStyle w:val="FootnoteText"/>
        <w:spacing w:after="180"/>
      </w:pPr>
      <w:r>
        <w:rPr>
          <w:rStyle w:val="FootnoteReference"/>
          <w:rFonts w:ascii="Arial" w:hAnsi="Arial" w:cs="Arial"/>
        </w:rPr>
        <w:footnoteRef/>
      </w:r>
      <w:r>
        <w:rPr>
          <w:rFonts w:ascii="Arial" w:hAnsi="Arial" w:cs="Arial"/>
        </w:rPr>
        <w:t xml:space="preserve"> </w:t>
      </w:r>
      <w:proofErr w:type="gramStart"/>
      <w:r>
        <w:rPr>
          <w:rFonts w:ascii="Arial" w:hAnsi="Arial" w:cs="Arial"/>
        </w:rPr>
        <w:t>IEU-Ohio Initial Comments at 5.</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027D"/>
    <w:multiLevelType w:val="hybridMultilevel"/>
    <w:tmpl w:val="BBA2BC6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8173BD"/>
    <w:multiLevelType w:val="hybridMultilevel"/>
    <w:tmpl w:val="77A6BE1C"/>
    <w:lvl w:ilvl="0" w:tplc="F7D65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trackRevisions/>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sz w:val="28"/>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rPr>
  </w:style>
  <w:style w:type="character" w:customStyle="1" w:styleId="BodyTextChar">
    <w:name w:val="Body Text Char"/>
    <w:basedOn w:val="DefaultParagraphFont"/>
    <w:link w:val="BodyText"/>
    <w:rPr>
      <w:rFonts w:ascii="Arial" w:eastAsia="Times New Roman" w:hAnsi="Arial" w:cs="Times New Roman"/>
      <w:sz w:val="24"/>
      <w:szCs w:val="24"/>
    </w:rPr>
  </w:style>
  <w:style w:type="paragraph" w:styleId="BodyTextIndent">
    <w:name w:val="Body Text Indent"/>
    <w:basedOn w:val="Normal"/>
    <w:link w:val="BodyTextIndentChar"/>
    <w:pPr>
      <w:ind w:firstLine="720"/>
      <w:jc w:val="both"/>
    </w:pPr>
    <w:rPr>
      <w:rFonts w:ascii="Arial" w:hAnsi="Arial"/>
    </w:rPr>
  </w:style>
  <w:style w:type="character" w:customStyle="1" w:styleId="BodyTextIndentChar">
    <w:name w:val="Body Text Indent Char"/>
    <w:basedOn w:val="DefaultParagraphFont"/>
    <w:link w:val="BodyTextIndent"/>
    <w:rPr>
      <w:rFonts w:ascii="Arial" w:eastAsia="Times New Roman" w:hAnsi="Arial" w:cs="Times New Roman"/>
      <w:sz w:val="24"/>
      <w:szCs w:val="24"/>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b/>
      <w:smallCaps/>
      <w:sz w:val="32"/>
    </w:rPr>
  </w:style>
  <w:style w:type="character" w:customStyle="1" w:styleId="TitleChar">
    <w:name w:val="Title Char"/>
    <w:basedOn w:val="DefaultParagraphFont"/>
    <w:link w:val="Title"/>
    <w:rPr>
      <w:rFonts w:ascii="Arial" w:eastAsia="Times New Roman" w:hAnsi="Arial" w:cs="Times New Roman"/>
      <w:b/>
      <w:smallCaps/>
      <w:sz w:val="32"/>
      <w:szCs w:val="24"/>
    </w:rPr>
  </w:style>
  <w:style w:type="paragraph" w:styleId="BodyTextIndent2">
    <w:name w:val="Body Text Indent 2"/>
    <w:basedOn w:val="Normal"/>
    <w:link w:val="BodyTextIndent2Char"/>
    <w:pPr>
      <w:ind w:left="4920"/>
      <w:jc w:val="both"/>
    </w:pPr>
    <w:rPr>
      <w:rFonts w:ascii="Arial" w:hAnsi="Arial"/>
      <w:sz w:val="21"/>
    </w:rPr>
  </w:style>
  <w:style w:type="character" w:customStyle="1" w:styleId="BodyTextIndent2Char">
    <w:name w:val="Body Text Indent 2 Char"/>
    <w:basedOn w:val="DefaultParagraphFont"/>
    <w:link w:val="BodyTextIndent2"/>
    <w:rPr>
      <w:rFonts w:ascii="Arial" w:eastAsia="Times New Roman" w:hAnsi="Arial" w:cs="Times New Roman"/>
      <w:sz w:val="21"/>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sz w:val="28"/>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rPr>
  </w:style>
  <w:style w:type="character" w:customStyle="1" w:styleId="BodyTextChar">
    <w:name w:val="Body Text Char"/>
    <w:basedOn w:val="DefaultParagraphFont"/>
    <w:link w:val="BodyText"/>
    <w:rPr>
      <w:rFonts w:ascii="Arial" w:eastAsia="Times New Roman" w:hAnsi="Arial" w:cs="Times New Roman"/>
      <w:sz w:val="24"/>
      <w:szCs w:val="24"/>
    </w:rPr>
  </w:style>
  <w:style w:type="paragraph" w:styleId="BodyTextIndent">
    <w:name w:val="Body Text Indent"/>
    <w:basedOn w:val="Normal"/>
    <w:link w:val="BodyTextIndentChar"/>
    <w:pPr>
      <w:ind w:firstLine="720"/>
      <w:jc w:val="both"/>
    </w:pPr>
    <w:rPr>
      <w:rFonts w:ascii="Arial" w:hAnsi="Arial"/>
    </w:rPr>
  </w:style>
  <w:style w:type="character" w:customStyle="1" w:styleId="BodyTextIndentChar">
    <w:name w:val="Body Text Indent Char"/>
    <w:basedOn w:val="DefaultParagraphFont"/>
    <w:link w:val="BodyTextIndent"/>
    <w:rPr>
      <w:rFonts w:ascii="Arial" w:eastAsia="Times New Roman" w:hAnsi="Arial" w:cs="Times New Roman"/>
      <w:sz w:val="24"/>
      <w:szCs w:val="24"/>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b/>
      <w:smallCaps/>
      <w:sz w:val="32"/>
    </w:rPr>
  </w:style>
  <w:style w:type="character" w:customStyle="1" w:styleId="TitleChar">
    <w:name w:val="Title Char"/>
    <w:basedOn w:val="DefaultParagraphFont"/>
    <w:link w:val="Title"/>
    <w:rPr>
      <w:rFonts w:ascii="Arial" w:eastAsia="Times New Roman" w:hAnsi="Arial" w:cs="Times New Roman"/>
      <w:b/>
      <w:smallCaps/>
      <w:sz w:val="32"/>
      <w:szCs w:val="24"/>
    </w:rPr>
  </w:style>
  <w:style w:type="paragraph" w:styleId="BodyTextIndent2">
    <w:name w:val="Body Text Indent 2"/>
    <w:basedOn w:val="Normal"/>
    <w:link w:val="BodyTextIndent2Char"/>
    <w:pPr>
      <w:ind w:left="4920"/>
      <w:jc w:val="both"/>
    </w:pPr>
    <w:rPr>
      <w:rFonts w:ascii="Arial" w:hAnsi="Arial"/>
      <w:sz w:val="21"/>
    </w:rPr>
  </w:style>
  <w:style w:type="character" w:customStyle="1" w:styleId="BodyTextIndent2Char">
    <w:name w:val="Body Text Indent 2 Char"/>
    <w:basedOn w:val="DefaultParagraphFont"/>
    <w:link w:val="BodyTextIndent2"/>
    <w:rPr>
      <w:rFonts w:ascii="Arial" w:eastAsia="Times New Roman" w:hAnsi="Arial" w:cs="Times New Roman"/>
      <w:sz w:val="21"/>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C3C05-219A-49C4-AA02-729B26D8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1341</Words>
  <Characters>7615</Characters>
  <Application>Microsoft Office Word</Application>
  <DocSecurity>0</DocSecurity>
  <PresentationFormat/>
  <Lines>225</Lines>
  <Paragraphs>97</Paragraphs>
  <ScaleCrop>false</ScaleCrop>
  <HeadingPairs>
    <vt:vector size="2" baseType="variant">
      <vt:variant>
        <vt:lpstr>Title</vt:lpstr>
      </vt:variant>
      <vt:variant>
        <vt:i4>1</vt:i4>
      </vt:variant>
    </vt:vector>
  </HeadingPairs>
  <TitlesOfParts>
    <vt:vector size="1" baseType="lpstr">
      <vt:lpstr>09-1871/1872 -- Reply Comments (C32250-3).DOCX</vt:lpstr>
    </vt:vector>
  </TitlesOfParts>
  <Company/>
  <LinksUpToDate>false</LinksUpToDate>
  <CharactersWithSpaces>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09-1871/1872 -- Reply Comments (C32250-3).DOCX</dc:title>
  <dc:subject>C32250:3 /font=8</dc:subject>
  <dc:creator>jclark</dc:creator>
  <cp:keywords/>
  <dc:description/>
  <cp:lastModifiedBy>dryan</cp:lastModifiedBy>
  <cp:revision>2</cp:revision>
  <cp:lastPrinted>2010-10-14T14:47:00Z</cp:lastPrinted>
  <dcterms:created xsi:type="dcterms:W3CDTF">2010-10-15T15:21:00Z</dcterms:created>
  <dcterms:modified xsi:type="dcterms:W3CDTF">2010-10-15T15:21:00Z</dcterms:modified>
</cp:coreProperties>
</file>