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Hlk529973796"/>
      <w:bookmarkStart w:id="1" w:name="_GoBack"/>
      <w:bookmarkEnd w:id="1"/>
      <w:r w:rsidRPr="00710E80">
        <w:rPr>
          <w:rFonts w:ascii="Times New Roman" w:hAnsi="Times New Roman" w:cs="Times New Roman"/>
          <w:b/>
          <w:bCs/>
          <w:sz w:val="24"/>
        </w:rPr>
        <w:t>BEFORE</w:t>
      </w:r>
    </w:p>
    <w:p w:rsidR="007C2976" w:rsidRPr="00710E80" w:rsidP="00403929">
      <w:pPr>
        <w:pStyle w:val="HTMLPreformatted"/>
        <w:spacing w:after="240"/>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tbl>
      <w:tblPr>
        <w:tblW w:w="9620" w:type="dxa"/>
        <w:tblInd w:w="0" w:type="dxa"/>
        <w:tblCellMar>
          <w:top w:w="0" w:type="dxa"/>
          <w:left w:w="108" w:type="dxa"/>
          <w:bottom w:w="0" w:type="dxa"/>
          <w:right w:w="108" w:type="dxa"/>
        </w:tblCellMar>
        <w:tblLook w:val="01E0"/>
      </w:tblPr>
      <w:tblGrid>
        <w:gridCol w:w="4860"/>
        <w:gridCol w:w="360"/>
        <w:gridCol w:w="4400"/>
      </w:tblGrid>
      <w:tr w:rsidTr="00403929">
        <w:tblPrEx>
          <w:tblW w:w="9620" w:type="dxa"/>
          <w:tblInd w:w="0" w:type="dxa"/>
          <w:tblCellMar>
            <w:top w:w="0" w:type="dxa"/>
            <w:left w:w="108" w:type="dxa"/>
            <w:bottom w:w="0" w:type="dxa"/>
            <w:right w:w="108" w:type="dxa"/>
          </w:tblCellMar>
          <w:tblLook w:val="01E0"/>
        </w:tblPrEx>
        <w:trPr>
          <w:trHeight w:val="342"/>
        </w:trPr>
        <w:tc>
          <w:tcPr>
            <w:tcW w:w="4860" w:type="dxa"/>
            <w:shd w:val="clear" w:color="auto" w:fill="auto"/>
          </w:tcPr>
          <w:p w:rsidR="005E0BDD" w:rsidP="00A501AE">
            <w:pPr>
              <w:autoSpaceDE w:val="0"/>
              <w:autoSpaceDN w:val="0"/>
              <w:adjustRightInd w:val="0"/>
              <w:spacing w:after="240"/>
              <w:rPr>
                <w:rStyle w:val="DefaultParagraphFont"/>
                <w:sz w:val="24"/>
                <w:lang w:val="en-US" w:eastAsia="en-US" w:bidi="ar-SA"/>
              </w:rPr>
            </w:pPr>
            <w:r>
              <w:rPr>
                <w:sz w:val="24"/>
                <w:lang w:val="en-US" w:eastAsia="en-US" w:bidi="ar-SA"/>
              </w:rPr>
              <w:t xml:space="preserve">In the Matter of the </w:t>
            </w:r>
            <w:r>
              <w:rPr>
                <w:sz w:val="24"/>
                <w:szCs w:val="24"/>
                <w:lang w:val="en-US" w:eastAsia="en-US" w:bidi="ar-SA"/>
              </w:rPr>
              <w:t>Application of Ohio Edison Company, The Cleveland Electric Illuminating Company, and The Toledo Edison Company of a Grid Modernization Business Plan</w:t>
            </w:r>
            <w:r>
              <w:rPr>
                <w:sz w:val="24"/>
                <w:lang w:val="en-US" w:eastAsia="en-US" w:bidi="ar-SA"/>
              </w:rPr>
              <w:t>.</w:t>
            </w:r>
          </w:p>
          <w:p w:rsidR="005E0BDD" w:rsidRPr="00923E57" w:rsidP="00A501AE">
            <w:pPr>
              <w:autoSpaceDE w:val="0"/>
              <w:autoSpaceDN w:val="0"/>
              <w:adjustRightInd w:val="0"/>
              <w:spacing w:after="240"/>
              <w:rPr>
                <w:rStyle w:val="DefaultParagraphFont"/>
                <w:sz w:val="24"/>
                <w:szCs w:val="24"/>
                <w:lang w:val="en-US" w:eastAsia="en-US" w:bidi="ar-SA"/>
              </w:rPr>
            </w:pPr>
            <w:r>
              <w:rPr>
                <w:sz w:val="24"/>
                <w:lang w:val="en-US" w:eastAsia="en-US" w:bidi="ar-SA"/>
              </w:rPr>
              <w:t xml:space="preserve">In the Matter of the Filing by </w:t>
            </w:r>
            <w:r>
              <w:rPr>
                <w:sz w:val="24"/>
                <w:szCs w:val="24"/>
                <w:lang w:val="en-US" w:eastAsia="en-US" w:bidi="ar-SA"/>
              </w:rPr>
              <w:t>Ohio Edison Company, The Cleveland Electric Illuminating Company, and The Toledo Edison Company Application for Approval of a Distribution Platform Modernization Plan.</w:t>
            </w:r>
          </w:p>
          <w:p w:rsidR="005E0BDD" w:rsidRPr="00923E57" w:rsidP="00A501AE">
            <w:pPr>
              <w:autoSpaceDE w:val="0"/>
              <w:autoSpaceDN w:val="0"/>
              <w:adjustRightInd w:val="0"/>
              <w:spacing w:after="240"/>
              <w:rPr>
                <w:rStyle w:val="DefaultParagraphFont"/>
                <w:sz w:val="24"/>
                <w:szCs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to Implement Matters Relating to the Tax Cuts and Jobs Act of 2017.</w:t>
            </w:r>
          </w:p>
          <w:p w:rsidR="005E0BDD" w:rsidRPr="00710E80" w:rsidP="00403929">
            <w:pPr>
              <w:autoSpaceDE w:val="0"/>
              <w:autoSpaceDN w:val="0"/>
              <w:adjustRightInd w:val="0"/>
              <w:spacing w:after="240"/>
              <w:rPr>
                <w:rStyle w:val="DefaultParagraphFont"/>
                <w:sz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for Approval of a Tariff Change.</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r>
              <w:rPr>
                <w:rFonts w:ascii="Times New Roman" w:eastAsia="Courier New" w:hAnsi="Times New Roman" w:cs="Times New Roman"/>
                <w:sz w:val="24"/>
                <w:lang w:val="en-US" w:eastAsia="en-US" w:bidi="ar-SA"/>
              </w:rPr>
              <w:br/>
              <w:t>)</w:t>
            </w:r>
          </w:p>
          <w:p w:rsidR="005E0BDD" w:rsidP="0082386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RPr="00710E80"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40392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16-0481-EL-UNC</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17-2436-EL-UNC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p>
          <w:p w:rsidR="0040392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18-1604-EL-UNC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A501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Style w:val="DefaultParagraphFont"/>
                <w:rFonts w:ascii="Times New Roman" w:eastAsia="Courier New" w:hAnsi="Times New Roman" w:cs="Times New Roman"/>
                <w:sz w:val="24"/>
                <w:lang w:val="en-US" w:eastAsia="en-US" w:bidi="ar-SA"/>
              </w:rPr>
            </w:pPr>
          </w:p>
          <w:p w:rsidR="000A75F3"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18-1656-EL-ATA</w:t>
            </w:r>
          </w:p>
        </w:tc>
      </w:tr>
    </w:tbl>
    <w:p w:rsidR="007C2976" w:rsidRPr="00710E80" w:rsidP="00923E57">
      <w:pPr>
        <w:pStyle w:val="HTMLPreformatted"/>
        <w:pBdr>
          <w:top w:val="single" w:sz="12" w:space="1" w:color="auto"/>
        </w:pBdr>
        <w:spacing w:before="120"/>
        <w:rPr>
          <w:rFonts w:ascii="Times New Roman" w:hAnsi="Times New Roman" w:cs="Times New Roman"/>
          <w:sz w:val="24"/>
        </w:rPr>
      </w:pPr>
    </w:p>
    <w:p w:rsidR="00492ACA" w:rsidRPr="00710E80" w:rsidP="007C2976">
      <w:pPr>
        <w:jc w:val="center"/>
        <w:rPr>
          <w:b/>
          <w:bCs/>
        </w:rPr>
      </w:pPr>
      <w:r>
        <w:rPr>
          <w:b/>
          <w:bCs/>
        </w:rPr>
        <w:t xml:space="preserve">REPLY BRIEF IN SUPPORT OF THE SUPPLEMENTAL SETTLEMENT </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THE OFFICE OF THE OHIO CONSUMERS</w:t>
      </w:r>
      <w:r>
        <w:rPr>
          <w:b/>
          <w:bCs/>
        </w:rPr>
        <w:t>’</w:t>
      </w:r>
      <w:r w:rsidRPr="00710E80">
        <w:rPr>
          <w:b/>
          <w:bCs/>
        </w:rPr>
        <w:t xml:space="preserve"> COUNSEL</w:t>
      </w:r>
    </w:p>
    <w:p w:rsidR="00083556" w:rsidP="007C2976">
      <w:pPr>
        <w:pBdr>
          <w:bottom w:val="single" w:sz="12" w:space="1" w:color="auto"/>
        </w:pBdr>
        <w:tabs>
          <w:tab w:val="left" w:pos="4320"/>
        </w:tabs>
      </w:pPr>
    </w:p>
    <w:p w:rsidR="00083556" w:rsidP="00083556">
      <w:bookmarkEnd w:id="0"/>
    </w:p>
    <w:p w:rsidR="002C2DDA" w:rsidRPr="002C2DDA" w:rsidP="00403929">
      <w:pPr>
        <w:pStyle w:val="Heading1"/>
        <w:spacing w:before="240" w:line="480" w:lineRule="auto"/>
        <w:rPr>
          <w:u w:val="none"/>
        </w:rPr>
      </w:pPr>
      <w:bookmarkStart w:id="2" w:name="_Toc379816284"/>
      <w:r w:rsidRPr="002C2DDA">
        <w:rPr>
          <w:u w:val="none"/>
        </w:rPr>
        <w:t>I.</w:t>
      </w:r>
      <w:r w:rsidRPr="002C2DDA">
        <w:rPr>
          <w:u w:val="none"/>
        </w:rPr>
        <w:tab/>
        <w:t>INTRODUCTION</w:t>
      </w:r>
    </w:p>
    <w:p w:rsidR="00C95D47" w:rsidP="00441D97">
      <w:pPr>
        <w:spacing w:line="480" w:lineRule="auto"/>
        <w:ind w:firstLine="720"/>
      </w:pPr>
      <w:r>
        <w:t>Because of t</w:t>
      </w:r>
      <w:r w:rsidRPr="00923E57">
        <w:t>he Supplemental Settlement in these cases</w:t>
      </w:r>
      <w:r>
        <w:t>,</w:t>
      </w:r>
      <w:r w:rsidRPr="00923E57">
        <w:t xml:space="preserve"> residential consumers </w:t>
      </w:r>
      <w:r>
        <w:t xml:space="preserve">will receive $125 million in </w:t>
      </w:r>
      <w:r w:rsidRPr="00923E57">
        <w:t>greater bill reduction</w:t>
      </w:r>
      <w:r>
        <w:t>s</w:t>
      </w:r>
      <w:r w:rsidRPr="00923E57">
        <w:t xml:space="preserve"> from FirstEnergy</w:t>
      </w:r>
      <w:r>
        <w:t>’</w:t>
      </w:r>
      <w:r w:rsidRPr="00923E57">
        <w:t xml:space="preserve">s </w:t>
      </w:r>
      <w:r>
        <w:t xml:space="preserve">federal </w:t>
      </w:r>
      <w:r w:rsidRPr="00923E57">
        <w:t>tax savings.</w:t>
      </w:r>
      <w:r>
        <w:rPr>
          <w:rStyle w:val="FootnoteReference"/>
        </w:rPr>
        <w:footnoteReference w:id="2"/>
      </w:r>
      <w:r w:rsidRPr="00923E57">
        <w:t xml:space="preserve"> </w:t>
      </w:r>
      <w:r>
        <w:t xml:space="preserve">  That is a significant benefit for the</w:t>
      </w:r>
      <w:r w:rsidRPr="00923E57">
        <w:t xml:space="preserve"> </w:t>
      </w:r>
      <w:r>
        <w:t>1.9 million</w:t>
      </w:r>
      <w:r w:rsidRPr="00923E57">
        <w:t xml:space="preserve"> </w:t>
      </w:r>
      <w:r>
        <w:t xml:space="preserve">FirstEnergy residential </w:t>
      </w:r>
      <w:r w:rsidRPr="00923E57">
        <w:t>consumers</w:t>
      </w:r>
      <w:r>
        <w:t xml:space="preserve"> represented by</w:t>
      </w:r>
      <w:r w:rsidRPr="006C2B9F">
        <w:t xml:space="preserve"> the Ohio Consumers’ Counsel (“OCC”)</w:t>
      </w:r>
      <w:r w:rsidRPr="00923E57">
        <w:t xml:space="preserve">. </w:t>
      </w:r>
      <w:r>
        <w:t xml:space="preserve">The Public Utilities Commission </w:t>
      </w:r>
      <w:r>
        <w:t>of Ohio (“PUCO”) should approve the Supplemental Settlement, for the reasons discussed in OCC’s Initial Brief.</w:t>
      </w:r>
      <w:r>
        <w:rPr>
          <w:rStyle w:val="FootnoteReference"/>
        </w:rPr>
        <w:footnoteReference w:id="3"/>
      </w:r>
    </w:p>
    <w:p w:rsidR="001E3721" w:rsidP="00CC7C2D">
      <w:pPr>
        <w:pStyle w:val="Heading1"/>
        <w:spacing w:line="480" w:lineRule="auto"/>
        <w:ind w:firstLine="720"/>
        <w:rPr>
          <w:b w:val="0"/>
          <w:u w:val="none"/>
        </w:rPr>
      </w:pPr>
      <w:r>
        <w:rPr>
          <w:b w:val="0"/>
          <w:u w:val="none"/>
        </w:rPr>
        <w:t>In their briefs, the Ohio Manufacturers Association Energy Group (“OMAEG”) and Kroger, neither of which signed the Supplemental Settlement (or the Original Stipulation filed in November 2018</w:t>
      </w:r>
      <w:r>
        <w:rPr>
          <w:rStyle w:val="FootnoteReference"/>
          <w:b w:val="0"/>
          <w:u w:val="none"/>
        </w:rPr>
        <w:footnoteReference w:id="4"/>
      </w:r>
      <w:r w:rsidRPr="00D10A90">
        <w:rPr>
          <w:b w:val="0"/>
          <w:u w:val="none"/>
        </w:rPr>
        <w:t>)</w:t>
      </w:r>
      <w:r>
        <w:rPr>
          <w:b w:val="0"/>
          <w:u w:val="none"/>
        </w:rPr>
        <w:t xml:space="preserve">, claim that the Supplemental Settlement results in </w:t>
      </w:r>
      <w:r w:rsidRPr="00744038">
        <w:rPr>
          <w:b w:val="0"/>
          <w:u w:val="none"/>
        </w:rPr>
        <w:t>a rate design that disproportionately benefits residential customers at the expense of commercial and industrial customers</w:t>
      </w:r>
      <w:r>
        <w:rPr>
          <w:b w:val="0"/>
          <w:u w:val="none"/>
        </w:rPr>
        <w:t xml:space="preserve">.  They are wrong.  The rate design embodied in the Supplemental Settlement more equitably allocates FirstEnergy’s tax savings than under the Original Stipulation. The result is that residential consumers now receive a fair share of the tax-related electric bill reductions.  </w:t>
      </w:r>
    </w:p>
    <w:p w:rsidR="00CC7C2D" w:rsidP="00D10A90">
      <w:pPr>
        <w:pStyle w:val="Heading1"/>
        <w:keepNext w:val="0"/>
        <w:spacing w:line="480" w:lineRule="auto"/>
        <w:ind w:firstLine="720"/>
        <w:rPr>
          <w:b w:val="0"/>
          <w:u w:val="none"/>
        </w:rPr>
      </w:pPr>
      <w:r>
        <w:rPr>
          <w:b w:val="0"/>
          <w:u w:val="none"/>
        </w:rPr>
        <w:t>And contrary to assertions by the non-signatory Environmental Groups,</w:t>
      </w:r>
      <w:r>
        <w:rPr>
          <w:rStyle w:val="FootnoteReference"/>
          <w:b w:val="0"/>
          <w:u w:val="none"/>
        </w:rPr>
        <w:footnoteReference w:id="5"/>
      </w:r>
      <w:r>
        <w:rPr>
          <w:b w:val="0"/>
          <w:u w:val="none"/>
        </w:rPr>
        <w:t xml:space="preserve"> the Supplemental Settlement contains much-needed safeguards that help protect consumers as the grid modernization program (and its costs) commences and progresses.</w:t>
      </w:r>
      <w:r>
        <w:rPr>
          <w:rStyle w:val="FootnoteReference"/>
          <w:b w:val="0"/>
          <w:u w:val="none"/>
        </w:rPr>
        <w:footnoteReference w:id="6"/>
      </w:r>
      <w:r>
        <w:rPr>
          <w:b w:val="0"/>
          <w:u w:val="none"/>
        </w:rPr>
        <w:t xml:space="preserve">  These safeguards are an important factor supporting a PUCO determination that the Supplemental Settlement, </w:t>
      </w:r>
      <w:r w:rsidRPr="00045722">
        <w:rPr>
          <w:b w:val="0"/>
          <w:u w:val="none"/>
        </w:rPr>
        <w:t xml:space="preserve">as a </w:t>
      </w:r>
      <w:r w:rsidRPr="00045722">
        <w:rPr>
          <w:rStyle w:val="term"/>
          <w:b w:val="0"/>
          <w:u w:val="none"/>
        </w:rPr>
        <w:t>package</w:t>
      </w:r>
      <w:r w:rsidRPr="00045722">
        <w:rPr>
          <w:b w:val="0"/>
          <w:u w:val="none"/>
        </w:rPr>
        <w:t>, benefit</w:t>
      </w:r>
      <w:r>
        <w:rPr>
          <w:b w:val="0"/>
          <w:u w:val="none"/>
        </w:rPr>
        <w:t>s</w:t>
      </w:r>
      <w:r w:rsidRPr="00045722">
        <w:rPr>
          <w:b w:val="0"/>
          <w:u w:val="none"/>
        </w:rPr>
        <w:t xml:space="preserve"> </w:t>
      </w:r>
      <w:r w:rsidRPr="00045722">
        <w:rPr>
          <w:rStyle w:val="term"/>
          <w:b w:val="0"/>
          <w:u w:val="none"/>
        </w:rPr>
        <w:t>customers</w:t>
      </w:r>
      <w:r w:rsidRPr="00045722">
        <w:rPr>
          <w:b w:val="0"/>
          <w:u w:val="none"/>
        </w:rPr>
        <w:t xml:space="preserve"> and the </w:t>
      </w:r>
      <w:r w:rsidRPr="00045722">
        <w:rPr>
          <w:rStyle w:val="term"/>
          <w:b w:val="0"/>
          <w:u w:val="none"/>
        </w:rPr>
        <w:t>public interest</w:t>
      </w:r>
      <w:r w:rsidRPr="00045722">
        <w:rPr>
          <w:b w:val="0"/>
          <w:u w:val="none"/>
        </w:rPr>
        <w:t>.</w:t>
      </w:r>
      <w:r>
        <w:rPr>
          <w:rStyle w:val="FootnoteReference"/>
          <w:b w:val="0"/>
          <w:u w:val="none"/>
        </w:rPr>
        <w:footnoteReference w:id="7"/>
      </w:r>
      <w:r>
        <w:t xml:space="preserve">  </w:t>
      </w:r>
    </w:p>
    <w:p w:rsidR="00AB0E97" w:rsidRPr="00AB0E97" w:rsidP="00237F02">
      <w:pPr>
        <w:pStyle w:val="Heading1"/>
        <w:spacing w:before="240" w:line="480" w:lineRule="auto"/>
        <w:rPr>
          <w:u w:val="none"/>
        </w:rPr>
      </w:pPr>
      <w:r w:rsidRPr="002C2DDA">
        <w:rPr>
          <w:u w:val="none"/>
        </w:rPr>
        <w:t>II.</w:t>
      </w:r>
      <w:r w:rsidRPr="002C2DDA">
        <w:rPr>
          <w:u w:val="none"/>
        </w:rPr>
        <w:tab/>
      </w:r>
      <w:bookmarkEnd w:id="2"/>
      <w:r>
        <w:rPr>
          <w:u w:val="none"/>
        </w:rPr>
        <w:t>RECOMMENDATIONS</w:t>
      </w:r>
    </w:p>
    <w:p w:rsidR="00AB0E97" w:rsidRPr="00505CC4" w:rsidP="00B23B17">
      <w:pPr>
        <w:pStyle w:val="Heading2"/>
        <w:keepLines/>
        <w:widowControl w:val="0"/>
        <w:spacing w:after="240"/>
        <w:ind w:left="1440" w:right="720" w:hanging="720"/>
        <w:jc w:val="left"/>
      </w:pPr>
      <w:bookmarkStart w:id="3" w:name="_Toc379816286"/>
      <w:r>
        <w:t>A.</w:t>
      </w:r>
      <w:r>
        <w:tab/>
      </w:r>
      <w:bookmarkStart w:id="4" w:name="_Toc379816287"/>
      <w:bookmarkEnd w:id="3"/>
      <w:r w:rsidRPr="00505CC4">
        <w:t xml:space="preserve">The </w:t>
      </w:r>
      <w:r>
        <w:t>PUCO should adopt the Supplemental Settlement’s rate design that increases by $125 million the tax-related electric bill reductions for residential consumers, which is a more equitable allocation of costs and benefits</w:t>
      </w:r>
      <w:r w:rsidRPr="00505CC4">
        <w:rPr>
          <w:rStyle w:val="term"/>
        </w:rPr>
        <w:t>.</w:t>
      </w:r>
      <w:bookmarkEnd w:id="4"/>
    </w:p>
    <w:p w:rsidR="00735270" w:rsidP="00EA769B">
      <w:pPr>
        <w:pStyle w:val="BodyTextIndent3"/>
        <w:suppressAutoHyphens/>
        <w:spacing w:line="480" w:lineRule="auto"/>
        <w:rPr>
          <w:szCs w:val="24"/>
        </w:rPr>
      </w:pPr>
      <w:r>
        <w:t xml:space="preserve">In their initial briefs, OMAEG and Kroger assert that the </w:t>
      </w:r>
      <w:r>
        <w:rPr>
          <w:szCs w:val="24"/>
        </w:rPr>
        <w:t>rate design in the Supplemental Settlement disproportionately benefits residential customers at the expense of commercial and industrial customers.</w:t>
      </w:r>
      <w:r>
        <w:rPr>
          <w:rStyle w:val="FootnoteReference"/>
          <w:szCs w:val="24"/>
        </w:rPr>
        <w:footnoteReference w:id="8"/>
      </w:r>
      <w:r>
        <w:rPr>
          <w:szCs w:val="24"/>
        </w:rPr>
        <w:t xml:space="preserve">  They claim that the rate design adopted to allocate the tax savings does not benefit ratepayers or the public interest under the PUCO’s settlement standards.</w:t>
      </w:r>
      <w:r>
        <w:rPr>
          <w:rStyle w:val="FootnoteReference"/>
          <w:szCs w:val="24"/>
        </w:rPr>
        <w:footnoteReference w:id="9"/>
      </w:r>
      <w:r>
        <w:rPr>
          <w:szCs w:val="24"/>
        </w:rPr>
        <w:t xml:space="preserve">  Oddly, OMAEG supports as “reasonable” the rate design in the Original Stipulation – even though OMAEG is not a signatory party to that stipulation.</w:t>
      </w:r>
      <w:r>
        <w:rPr>
          <w:rStyle w:val="FootnoteReference"/>
          <w:szCs w:val="24"/>
        </w:rPr>
        <w:footnoteReference w:id="10"/>
      </w:r>
      <w:r>
        <w:rPr>
          <w:szCs w:val="24"/>
        </w:rPr>
        <w:t xml:space="preserve">  </w:t>
      </w:r>
    </w:p>
    <w:p w:rsidR="006766B1" w:rsidP="00EA769B">
      <w:pPr>
        <w:pStyle w:val="BodyTextIndent3"/>
        <w:suppressAutoHyphens/>
        <w:spacing w:line="480" w:lineRule="auto"/>
        <w:rPr>
          <w:szCs w:val="24"/>
        </w:rPr>
      </w:pPr>
      <w:r>
        <w:rPr>
          <w:szCs w:val="24"/>
        </w:rPr>
        <w:t xml:space="preserve">OMAEG did not </w:t>
      </w:r>
      <w:r>
        <w:t xml:space="preserve">present a witness on the allocation issue, so there is no evidence supporting its preference for the original allocation over the new allocation.  But OCC did present a witness.  </w:t>
      </w:r>
      <w:r>
        <w:rPr>
          <w:szCs w:val="24"/>
        </w:rPr>
        <w:t>OCC witness Ross Willis testified, “</w:t>
      </w:r>
      <w:r>
        <w:rPr>
          <w:rFonts w:asciiTheme="majorBidi" w:hAnsiTheme="majorBidi" w:cstheme="majorBidi"/>
        </w:rPr>
        <w:t>The allocation of the tax cut benefits under the Original Settlement was unjust and unreasonable because it did not allocate enough of the tax benefits to residential customers.  The Supplemental Settlement, in contrast, will result in a just and reasonable credit to residential consumers’ monthly bills.”</w:t>
      </w:r>
      <w:r>
        <w:rPr>
          <w:rStyle w:val="FootnoteReference"/>
          <w:rFonts w:asciiTheme="majorBidi" w:hAnsiTheme="majorBidi" w:cstheme="majorBidi"/>
        </w:rPr>
        <w:footnoteReference w:id="11"/>
      </w:r>
      <w:r>
        <w:rPr>
          <w:rFonts w:asciiTheme="majorBidi" w:hAnsiTheme="majorBidi" w:cstheme="majorBidi"/>
        </w:rPr>
        <w:t xml:space="preserve">  </w:t>
      </w:r>
    </w:p>
    <w:p w:rsidR="004C2D36" w:rsidP="00EA769B">
      <w:pPr>
        <w:pStyle w:val="BodyTextIndent3"/>
        <w:suppressAutoHyphens/>
        <w:spacing w:line="480" w:lineRule="auto"/>
        <w:rPr>
          <w:szCs w:val="24"/>
        </w:rPr>
      </w:pPr>
      <w:r>
        <w:rPr>
          <w:szCs w:val="24"/>
        </w:rPr>
        <w:t>The rate design in the Original Stipulation was unreasonable because its allocation was unfair to residential consumers.  Residential customers would not receive adequate tax savings under the Original Stipulation,</w:t>
      </w:r>
      <w:r>
        <w:rPr>
          <w:rStyle w:val="FootnoteReference"/>
          <w:szCs w:val="24"/>
        </w:rPr>
        <w:t xml:space="preserve"> </w:t>
      </w:r>
      <w:r>
        <w:rPr>
          <w:szCs w:val="24"/>
        </w:rPr>
        <w:t xml:space="preserve"> and thus would pay a </w:t>
      </w:r>
      <w:r>
        <w:rPr>
          <w:szCs w:val="24"/>
        </w:rPr>
        <w:t xml:space="preserve">disproportionate share of the costs under the Original Stipulation.  The Supplemental Settlement cured this inequity by providing a more reasonable share of tax savings to residential customers. </w:t>
      </w:r>
    </w:p>
    <w:p w:rsidR="00126D50" w:rsidP="00EA769B">
      <w:pPr>
        <w:pStyle w:val="BodyTextIndent3"/>
        <w:suppressAutoHyphens/>
        <w:spacing w:line="480" w:lineRule="auto"/>
        <w:rPr>
          <w:szCs w:val="24"/>
        </w:rPr>
      </w:pPr>
      <w:r>
        <w:rPr>
          <w:szCs w:val="24"/>
        </w:rPr>
        <w:t>OMAEG’s claim that the rate design in the Supplemental Settlement is unfair to industrial and commercial customers is undermined by the fact that representatives of industrial and commercial customers (Industrial Energy Users-Ohio, Ohio Energy Group, and Ohio Hospital Association) are Signatory Parties to the Supplemental Settlement.  Further, contrary to OMAEG’s and Kroger’s contention,</w:t>
      </w:r>
      <w:r>
        <w:rPr>
          <w:rStyle w:val="FootnoteReference"/>
          <w:szCs w:val="24"/>
        </w:rPr>
        <w:footnoteReference w:id="12"/>
      </w:r>
      <w:r>
        <w:rPr>
          <w:szCs w:val="24"/>
        </w:rPr>
        <w:t xml:space="preserve"> the PUCO </w:t>
      </w:r>
      <w:r w:rsidRPr="003E454A">
        <w:rPr>
          <w:i/>
          <w:szCs w:val="24"/>
        </w:rPr>
        <w:t>has</w:t>
      </w:r>
      <w:r>
        <w:rPr>
          <w:szCs w:val="24"/>
        </w:rPr>
        <w:t xml:space="preserve"> found that customers and the public interest benefit from settlements with rate designs that more equitably allocate costs and savings among customer classes.</w:t>
      </w:r>
      <w:r>
        <w:rPr>
          <w:rStyle w:val="FootnoteReference"/>
          <w:szCs w:val="24"/>
        </w:rPr>
        <w:footnoteReference w:id="13"/>
      </w:r>
    </w:p>
    <w:p w:rsidR="006766B1" w:rsidRPr="00B35570" w:rsidP="00C70ECC">
      <w:pPr>
        <w:pStyle w:val="BodyTextIndent3"/>
        <w:suppressAutoHyphens/>
        <w:spacing w:line="480" w:lineRule="auto"/>
        <w:rPr>
          <w:szCs w:val="24"/>
        </w:rPr>
      </w:pPr>
      <w:r>
        <w:rPr>
          <w:szCs w:val="24"/>
        </w:rPr>
        <w:t>The arguments against the rate design in the Supplemental Settlement are without merit.  The PUCO should approve the Supplemental Settlement without modification.</w:t>
      </w:r>
    </w:p>
    <w:p w:rsidR="0051121F" w:rsidP="00B23B17">
      <w:pPr>
        <w:pStyle w:val="BodyTextIndent3"/>
        <w:suppressAutoHyphens/>
        <w:spacing w:after="240" w:line="240" w:lineRule="auto"/>
        <w:ind w:left="1440" w:right="720" w:hanging="720"/>
      </w:pPr>
      <w:bookmarkStart w:id="5" w:name="_Toc379816288"/>
      <w:r w:rsidRPr="00D10A90">
        <w:rPr>
          <w:b/>
        </w:rPr>
        <w:t>B</w:t>
      </w:r>
      <w:r>
        <w:t>.</w:t>
      </w:r>
      <w:r>
        <w:tab/>
      </w:r>
      <w:r w:rsidRPr="00D10A90">
        <w:rPr>
          <w:b/>
        </w:rPr>
        <w:t xml:space="preserve">The PUCO should </w:t>
      </w:r>
      <w:r>
        <w:rPr>
          <w:b/>
        </w:rPr>
        <w:t xml:space="preserve">accord </w:t>
      </w:r>
      <w:r w:rsidRPr="00D10A90">
        <w:rPr>
          <w:b/>
        </w:rPr>
        <w:t xml:space="preserve">great weight to the </w:t>
      </w:r>
      <w:r w:rsidRPr="00D10A90">
        <w:rPr>
          <w:rFonts w:asciiTheme="majorBidi" w:hAnsiTheme="majorBidi" w:cstheme="majorBidi"/>
          <w:b/>
        </w:rPr>
        <w:t xml:space="preserve">Supplemental </w:t>
      </w:r>
      <w:r w:rsidRPr="00D10A90">
        <w:rPr>
          <w:b/>
        </w:rPr>
        <w:t>Settlement’s grid modernization safeguards that help protect consumers.</w:t>
      </w:r>
      <w:r>
        <w:rPr>
          <w:szCs w:val="24"/>
        </w:rPr>
        <w:t xml:space="preserve">  </w:t>
      </w:r>
    </w:p>
    <w:p w:rsidR="0051121F" w:rsidRPr="00CC2B17" w:rsidP="00D10A90">
      <w:pPr>
        <w:pStyle w:val="BodyTextIndent3"/>
        <w:suppressAutoHyphens/>
        <w:spacing w:line="480" w:lineRule="auto"/>
      </w:pPr>
      <w:r>
        <w:t xml:space="preserve">The Environmental Groups </w:t>
      </w:r>
      <w:r>
        <w:rPr>
          <w:szCs w:val="24"/>
        </w:rPr>
        <w:t>assert that OCC signed the Supplemental Settlement in order to increase residential consumers’ share of tax savings “while having to give up the opportunity to seek any substantive changes to the [grid modernization] investments.”</w:t>
      </w:r>
      <w:r>
        <w:rPr>
          <w:rStyle w:val="FootnoteReference"/>
          <w:szCs w:val="24"/>
        </w:rPr>
        <w:footnoteReference w:id="14"/>
      </w:r>
      <w:r>
        <w:rPr>
          <w:szCs w:val="24"/>
        </w:rPr>
        <w:t xml:space="preserve">  A couple matters should be noted in response.</w:t>
      </w:r>
      <w:r>
        <w:rPr>
          <w:rStyle w:val="FootnoteReference"/>
          <w:rFonts w:ascii="Times-Roman" w:hAnsi="Times-Roman" w:cs="Times-Roman"/>
        </w:rPr>
        <w:footnoteReference w:id="15"/>
      </w:r>
      <w:r>
        <w:rPr>
          <w:szCs w:val="24"/>
        </w:rPr>
        <w:t xml:space="preserve"> </w:t>
      </w:r>
      <w:bookmarkEnd w:id="5"/>
    </w:p>
    <w:p w:rsidR="00ED3172" w:rsidP="0051121F">
      <w:pPr>
        <w:pStyle w:val="BodyTextIndent3"/>
        <w:suppressAutoHyphens/>
        <w:spacing w:line="480" w:lineRule="auto"/>
        <w:rPr>
          <w:szCs w:val="24"/>
        </w:rPr>
      </w:pPr>
      <w:r>
        <w:rPr>
          <w:szCs w:val="24"/>
        </w:rPr>
        <w:t xml:space="preserve">We note that OCC did not sign the part of the Supplemental Settlement relating to grid modernization charges to consumers.  Rather, OCC’s approach was to not oppose the grid provisions of the Settlement. </w:t>
      </w:r>
    </w:p>
    <w:p w:rsidR="004D170B" w:rsidP="0051121F">
      <w:pPr>
        <w:pStyle w:val="BodyTextIndent3"/>
        <w:suppressAutoHyphens/>
        <w:spacing w:line="480" w:lineRule="auto"/>
      </w:pPr>
      <w:r>
        <w:rPr>
          <w:szCs w:val="24"/>
        </w:rPr>
        <w:t xml:space="preserve">Significantly, </w:t>
      </w:r>
      <w:r>
        <w:t>the Environmental Groups</w:t>
      </w:r>
      <w:r>
        <w:rPr>
          <w:iCs/>
          <w:szCs w:val="24"/>
        </w:rPr>
        <w:t xml:space="preserve"> ignore the Supplemental Settlement’s new consumer safeguards for grid modernization that OCC and others negotiated to help protect consumers in several ways</w:t>
      </w:r>
      <w:r>
        <w:rPr>
          <w:szCs w:val="24"/>
        </w:rPr>
        <w:t xml:space="preserve">. </w:t>
      </w:r>
      <w:r w:rsidRPr="0051121F">
        <w:rPr>
          <w:iCs/>
          <w:szCs w:val="24"/>
        </w:rPr>
        <w:t xml:space="preserve"> </w:t>
      </w:r>
      <w:r>
        <w:rPr>
          <w:szCs w:val="24"/>
        </w:rPr>
        <w:t>These safeguards are new and</w:t>
      </w:r>
      <w:r w:rsidRPr="0051121F">
        <w:rPr>
          <w:szCs w:val="24"/>
        </w:rPr>
        <w:t xml:space="preserve"> were not contained in the Original Stipulation</w:t>
      </w:r>
      <w:r>
        <w:rPr>
          <w:szCs w:val="24"/>
        </w:rPr>
        <w:t xml:space="preserve">.  As OCC witness Willis testified, </w:t>
      </w:r>
      <w:r>
        <w:rPr>
          <w:rFonts w:ascii="Times-Roman" w:hAnsi="Times-Roman" w:cs="Times-Roman"/>
        </w:rPr>
        <w:t>OCC agreed to not oppose charges for the initial grid upgrades “in exchange for obtaining improved terms for a future audit of the grid charges….”</w:t>
      </w:r>
      <w:r>
        <w:rPr>
          <w:rStyle w:val="FootnoteReference"/>
          <w:rFonts w:ascii="Times-Roman" w:hAnsi="Times-Roman" w:cs="Times-Roman"/>
        </w:rPr>
        <w:footnoteReference w:id="16"/>
      </w:r>
      <w:r>
        <w:rPr>
          <w:rFonts w:ascii="Times-Roman" w:hAnsi="Times-Roman" w:cs="Times-Roman"/>
        </w:rPr>
        <w:t xml:space="preserve">  OCC witness Willis explained that several consumer safeguards in the Supplemental Settlement help to resolve OCC’s concern about “smart meters and other grid upgrades that have not yet provided enough value to justify the increased charges to consumers.”</w:t>
      </w:r>
      <w:r>
        <w:rPr>
          <w:rStyle w:val="FootnoteReference"/>
          <w:rFonts w:ascii="Times-Roman" w:hAnsi="Times-Roman" w:cs="Times-Roman"/>
        </w:rPr>
        <w:footnoteReference w:id="17"/>
      </w:r>
      <w:r>
        <w:rPr>
          <w:rFonts w:ascii="Times-Roman" w:hAnsi="Times-Roman" w:cs="Times-Roman"/>
        </w:rPr>
        <w:t xml:space="preserve">  </w:t>
      </w:r>
    </w:p>
    <w:p w:rsidR="00113926" w:rsidP="00113926">
      <w:pPr>
        <w:spacing w:line="480" w:lineRule="auto"/>
        <w:ind w:firstLine="720"/>
      </w:pPr>
      <w:r>
        <w:t xml:space="preserve">The </w:t>
      </w:r>
      <w:r>
        <w:rPr>
          <w:rFonts w:asciiTheme="majorBidi" w:hAnsiTheme="majorBidi" w:cstheme="majorBidi"/>
        </w:rPr>
        <w:t xml:space="preserve">Supplemental </w:t>
      </w:r>
      <w:r>
        <w:t>Settlement establishes</w:t>
      </w:r>
      <w:r w:rsidRPr="00392BB9">
        <w:t xml:space="preserve"> criteria under which </w:t>
      </w:r>
      <w:r>
        <w:t>a regulatory review</w:t>
      </w:r>
      <w:r w:rsidRPr="00392BB9">
        <w:t xml:space="preserve"> can occur </w:t>
      </w:r>
      <w:r>
        <w:t>to determine if</w:t>
      </w:r>
      <w:r w:rsidRPr="00392BB9">
        <w:t xml:space="preserve"> investments in</w:t>
      </w:r>
      <w:r>
        <w:t xml:space="preserve"> (and charges for)</w:t>
      </w:r>
      <w:r w:rsidRPr="00392BB9">
        <w:t xml:space="preserve"> grid modernization are </w:t>
      </w:r>
      <w:r>
        <w:t>“</w:t>
      </w:r>
      <w:r w:rsidRPr="00392BB9">
        <w:t>used and useful</w:t>
      </w:r>
      <w:r>
        <w:t>” for consumers</w:t>
      </w:r>
      <w:r w:rsidRPr="00392BB9">
        <w:t xml:space="preserve"> and </w:t>
      </w:r>
      <w:r>
        <w:t>if</w:t>
      </w:r>
      <w:r w:rsidRPr="00392BB9">
        <w:t xml:space="preserve"> the </w:t>
      </w:r>
      <w:r>
        <w:t>costs</w:t>
      </w:r>
      <w:r w:rsidRPr="00392BB9">
        <w:t xml:space="preserve"> are prudently incurred.</w:t>
      </w:r>
      <w:r>
        <w:rPr>
          <w:rStyle w:val="FootnoteReference"/>
        </w:rPr>
        <w:footnoteReference w:id="18"/>
      </w:r>
      <w:r>
        <w:t xml:space="preserve">  This helps protect consumers against charges for unlawful or unreasonable grid modernization investments.  The regulatory review required by the Supplemental Settlement also may result in changes to FirstEnergy’s grid modernization investments.</w:t>
      </w:r>
    </w:p>
    <w:p w:rsidR="00113926" w:rsidP="00113926">
      <w:pPr>
        <w:spacing w:line="480" w:lineRule="auto"/>
        <w:ind w:firstLine="720"/>
      </w:pPr>
      <w:r>
        <w:t xml:space="preserve">Another consumer protection in the </w:t>
      </w:r>
      <w:r>
        <w:rPr>
          <w:rFonts w:asciiTheme="majorBidi" w:hAnsiTheme="majorBidi" w:cstheme="majorBidi"/>
        </w:rPr>
        <w:t xml:space="preserve">Supplemental </w:t>
      </w:r>
      <w:r>
        <w:t>Settlement is the process for resolving issues that may arise during regulatory review of FirstEnergy’s grid modernization project.</w:t>
      </w:r>
      <w:r>
        <w:rPr>
          <w:rStyle w:val="FootnoteReference"/>
        </w:rPr>
        <w:footnoteReference w:id="19"/>
      </w:r>
      <w:r>
        <w:t xml:space="preserve">  This process has the </w:t>
      </w:r>
      <w:r w:rsidRPr="00392BB9">
        <w:t>potential</w:t>
      </w:r>
      <w:r>
        <w:t xml:space="preserve"> for </w:t>
      </w:r>
      <w:r w:rsidRPr="00392BB9">
        <w:t>disallowance of costs being collected from customers</w:t>
      </w:r>
      <w:r>
        <w:t xml:space="preserve"> where ratemaking standards such as used and useful and prudence are not met by FirstEnergy</w:t>
      </w:r>
      <w:r w:rsidRPr="00392BB9">
        <w:t>.</w:t>
      </w:r>
      <w:r>
        <w:t xml:space="preserve">  </w:t>
      </w:r>
    </w:p>
    <w:p w:rsidR="00113926" w:rsidP="00113926">
      <w:pPr>
        <w:spacing w:line="480" w:lineRule="auto"/>
        <w:ind w:firstLine="720"/>
      </w:pPr>
      <w:r>
        <w:t xml:space="preserve">Further, the </w:t>
      </w:r>
      <w:r>
        <w:rPr>
          <w:rFonts w:asciiTheme="majorBidi" w:hAnsiTheme="majorBidi" w:cstheme="majorBidi"/>
        </w:rPr>
        <w:t xml:space="preserve">Supplemental </w:t>
      </w:r>
      <w:r>
        <w:t>Settlement protects consumers in the mid-deployment regulatory review.  This review examines the sufficiency and prudence of FirstEnergy’s efforts to maximize the salvage value (for rate offsets) of traditional meters that are being replaced with smart meters.</w:t>
      </w:r>
      <w:r>
        <w:rPr>
          <w:rStyle w:val="FootnoteReference"/>
        </w:rPr>
        <w:footnoteReference w:id="20"/>
      </w:r>
      <w:r>
        <w:t xml:space="preserve">  </w:t>
      </w:r>
    </w:p>
    <w:p w:rsidR="00113926" w:rsidP="00113926">
      <w:pPr>
        <w:spacing w:line="480" w:lineRule="auto"/>
        <w:ind w:firstLine="720"/>
      </w:pPr>
      <w:r>
        <w:t xml:space="preserve">The </w:t>
      </w:r>
      <w:r>
        <w:rPr>
          <w:rFonts w:asciiTheme="majorBidi" w:hAnsiTheme="majorBidi" w:cstheme="majorBidi"/>
        </w:rPr>
        <w:t xml:space="preserve">Supplemental </w:t>
      </w:r>
      <w:r>
        <w:t xml:space="preserve">Settlement also supports a full examination of the cost-effectiveness of the first phase of grid modernization deployment </w:t>
      </w:r>
      <w:r w:rsidRPr="00113926">
        <w:rPr>
          <w:i/>
        </w:rPr>
        <w:t>before</w:t>
      </w:r>
      <w:r>
        <w:t xml:space="preserve"> customers are charged for the second phase of grid modernization.</w:t>
      </w:r>
      <w:r>
        <w:rPr>
          <w:rStyle w:val="FootnoteReference"/>
        </w:rPr>
        <w:footnoteReference w:id="21"/>
      </w:r>
      <w:r>
        <w:t xml:space="preserve">  And the </w:t>
      </w:r>
      <w:r>
        <w:rPr>
          <w:rFonts w:asciiTheme="majorBidi" w:hAnsiTheme="majorBidi" w:cstheme="majorBidi"/>
        </w:rPr>
        <w:t xml:space="preserve">Supplemental </w:t>
      </w:r>
      <w:r>
        <w:t>Settlement increases the amount of FirstEnergy’s operational savings from grid upgrades that will be credited to residential consumers, which helps reduce their electric bills.</w:t>
      </w:r>
      <w:r>
        <w:rPr>
          <w:rStyle w:val="FootnoteReference"/>
        </w:rPr>
        <w:footnoteReference w:id="22"/>
      </w:r>
    </w:p>
    <w:p w:rsidR="008C2E9A" w:rsidP="00C24EAC">
      <w:pPr>
        <w:pStyle w:val="BodyTextIndent3"/>
        <w:suppressAutoHyphens/>
        <w:spacing w:line="480" w:lineRule="auto"/>
      </w:pPr>
      <w:r>
        <w:t>The Supplemental Settlement</w:t>
      </w:r>
      <w:r w:rsidRPr="0032791F">
        <w:t xml:space="preserve"> </w:t>
      </w:r>
      <w:r>
        <w:t>benefits customers and the public interest.</w:t>
      </w:r>
    </w:p>
    <w:p w:rsidR="00AB0E97" w:rsidP="00AB0E97">
      <w:pPr>
        <w:pStyle w:val="BodyTextIndent3"/>
        <w:suppressAutoHyphens/>
        <w:spacing w:line="240" w:lineRule="auto"/>
      </w:pPr>
    </w:p>
    <w:p w:rsidR="00946337" w:rsidP="00AB0E97">
      <w:pPr>
        <w:spacing w:line="480" w:lineRule="auto"/>
      </w:pPr>
      <w:bookmarkStart w:id="6" w:name="_Toc379816289"/>
      <w:r w:rsidRPr="00AB0E97">
        <w:rPr>
          <w:b/>
        </w:rPr>
        <w:t>I</w:t>
      </w:r>
      <w:r>
        <w:rPr>
          <w:b/>
        </w:rPr>
        <w:t>II</w:t>
      </w:r>
      <w:r w:rsidRPr="00AB0E97">
        <w:rPr>
          <w:b/>
        </w:rPr>
        <w:t>.</w:t>
      </w:r>
      <w:r w:rsidRPr="00AB0E97">
        <w:rPr>
          <w:b/>
        </w:rPr>
        <w:tab/>
        <w:t>CONCLUSION</w:t>
      </w:r>
      <w:bookmarkEnd w:id="6"/>
    </w:p>
    <w:p w:rsidR="004D170B" w:rsidP="004D170B">
      <w:pPr>
        <w:pStyle w:val="BodyTextIndent3"/>
        <w:suppressAutoHyphens/>
        <w:spacing w:line="480" w:lineRule="auto"/>
      </w:pPr>
      <w:r>
        <w:t xml:space="preserve">The </w:t>
      </w:r>
      <w:r>
        <w:rPr>
          <w:rFonts w:asciiTheme="majorBidi" w:hAnsiTheme="majorBidi" w:cstheme="majorBidi"/>
        </w:rPr>
        <w:t xml:space="preserve">Supplemental </w:t>
      </w:r>
      <w:r>
        <w:t xml:space="preserve">Settlement gives more tax savings to residential customers and contains greater consumer protections than the Original Stipulation.  The PUCO should approve the </w:t>
      </w:r>
      <w:r>
        <w:rPr>
          <w:rFonts w:asciiTheme="majorBidi" w:hAnsiTheme="majorBidi" w:cstheme="majorBidi"/>
        </w:rPr>
        <w:t xml:space="preserve">Supplemental </w:t>
      </w:r>
      <w:r>
        <w:t>Settlement without modification.</w:t>
      </w:r>
    </w:p>
    <w:p w:rsidR="00B23B17">
      <w:pPr>
        <w:rPr>
          <w:szCs w:val="24"/>
        </w:rPr>
      </w:pPr>
      <w:r>
        <w:rPr>
          <w:szCs w:val="24"/>
        </w:rPr>
        <w:br w:type="page"/>
      </w:r>
    </w:p>
    <w:p w:rsidR="007E444C" w:rsidRPr="00710E80" w:rsidP="007E444C">
      <w:pPr>
        <w:pStyle w:val="BodyTextIndent3"/>
        <w:widowControl w:val="0"/>
        <w:spacing w:line="480" w:lineRule="auto"/>
        <w:ind w:left="4320" w:firstLine="0"/>
        <w:rPr>
          <w:szCs w:val="24"/>
        </w:rPr>
      </w:pPr>
      <w:r w:rsidRPr="00710E80">
        <w:rPr>
          <w:szCs w:val="24"/>
        </w:rPr>
        <w:t>Respectfully submitted,</w:t>
      </w:r>
    </w:p>
    <w:p w:rsidR="007E444C" w:rsidRPr="00710E80" w:rsidP="007E444C">
      <w:pPr>
        <w:ind w:left="4320"/>
      </w:pPr>
      <w:bookmarkStart w:id="7" w:name="_Hlk529974082"/>
      <w:r>
        <w:t xml:space="preserve">Bruce </w:t>
      </w:r>
      <w:r w:rsidRPr="00710E80">
        <w:t>Weston (0016973)</w:t>
      </w:r>
    </w:p>
    <w:p w:rsidR="007E444C" w:rsidRPr="00710E80" w:rsidP="007E444C">
      <w:pPr>
        <w:tabs>
          <w:tab w:val="left" w:pos="4320"/>
        </w:tabs>
        <w:ind w:left="4320"/>
        <w:rPr>
          <w:szCs w:val="24"/>
        </w:rPr>
      </w:pPr>
      <w:r w:rsidRPr="00710E80">
        <w:rPr>
          <w:szCs w:val="24"/>
        </w:rPr>
        <w:t>Ohio Consumers</w:t>
      </w:r>
      <w:r>
        <w:rPr>
          <w:szCs w:val="24"/>
        </w:rPr>
        <w:t>’</w:t>
      </w:r>
      <w:r w:rsidRPr="00710E80">
        <w:rPr>
          <w:szCs w:val="24"/>
        </w:rPr>
        <w:t xml:space="preserve"> Counsel</w:t>
      </w:r>
    </w:p>
    <w:p w:rsidR="007E444C" w:rsidRPr="00710E80" w:rsidP="007E444C">
      <w:pPr>
        <w:tabs>
          <w:tab w:val="left" w:pos="4320"/>
        </w:tabs>
        <w:ind w:left="4320"/>
        <w:rPr>
          <w:szCs w:val="24"/>
        </w:rPr>
      </w:pPr>
    </w:p>
    <w:p w:rsidR="000727DD" w:rsidRPr="00710E80" w:rsidP="000727DD">
      <w:pPr>
        <w:autoSpaceDE w:val="0"/>
        <w:autoSpaceDN w:val="0"/>
        <w:adjustRightInd w:val="0"/>
        <w:ind w:left="4320"/>
        <w:rPr>
          <w:i/>
        </w:rPr>
      </w:pPr>
      <w:bookmarkStart w:id="8" w:name="_Hlk509403358"/>
      <w:r w:rsidRPr="00710E80">
        <w:rPr>
          <w:i/>
          <w:u w:val="single"/>
        </w:rPr>
        <w:t>/s/ </w:t>
      </w:r>
      <w:r>
        <w:rPr>
          <w:i/>
          <w:u w:val="single"/>
        </w:rPr>
        <w:t>Terry L. Etter</w:t>
      </w:r>
      <w:r>
        <w:rPr>
          <w:i/>
          <w:u w:val="single"/>
        </w:rPr>
        <w:tab/>
        <w:t xml:space="preserve"> </w:t>
      </w:r>
      <w:r w:rsidRPr="00710E80">
        <w:rPr>
          <w:i/>
          <w:u w:val="single"/>
        </w:rPr>
        <w:tab/>
      </w:r>
    </w:p>
    <w:p w:rsidR="00B36EC8" w:rsidP="00B36EC8">
      <w:pPr>
        <w:tabs>
          <w:tab w:val="left" w:pos="4320"/>
        </w:tabs>
        <w:ind w:left="4320"/>
      </w:pPr>
      <w:r>
        <w:t>Terry L. Etter</w:t>
      </w:r>
      <w:r w:rsidRPr="00DD5F21">
        <w:t xml:space="preserve"> (00</w:t>
      </w:r>
      <w:r>
        <w:t>67445</w:t>
      </w:r>
      <w:r w:rsidRPr="00DD5F21">
        <w:t>)</w:t>
      </w:r>
      <w:r>
        <w:t xml:space="preserve">, </w:t>
      </w:r>
      <w:r w:rsidRPr="00DD5F21">
        <w:t>Counsel of Record</w:t>
      </w:r>
    </w:p>
    <w:p w:rsidR="00B36EC8" w:rsidRPr="00DD5F21" w:rsidP="00B36EC8">
      <w:pPr>
        <w:tabs>
          <w:tab w:val="left" w:pos="4320"/>
        </w:tabs>
        <w:ind w:left="4320"/>
      </w:pPr>
      <w:r>
        <w:t>Christopher Healey (0086027)</w:t>
      </w:r>
    </w:p>
    <w:p w:rsidR="007E444C" w:rsidP="00B36EC8">
      <w:pPr>
        <w:tabs>
          <w:tab w:val="left" w:pos="4320"/>
        </w:tabs>
        <w:ind w:left="4320"/>
        <w:rPr>
          <w:szCs w:val="24"/>
        </w:rPr>
      </w:pPr>
      <w:bookmarkEnd w:id="8"/>
      <w:r>
        <w:t>Angela O’Brien (0097579)</w:t>
      </w:r>
    </w:p>
    <w:p w:rsidR="007E444C" w:rsidP="007E444C">
      <w:pPr>
        <w:tabs>
          <w:tab w:val="left" w:pos="4320"/>
        </w:tabs>
        <w:ind w:left="4320"/>
        <w:rPr>
          <w:szCs w:val="24"/>
        </w:rPr>
      </w:pPr>
      <w:r w:rsidRPr="00710E80">
        <w:rPr>
          <w:szCs w:val="24"/>
        </w:rPr>
        <w:t>Assistant Consumers</w:t>
      </w:r>
      <w:r>
        <w:rPr>
          <w:szCs w:val="24"/>
        </w:rPr>
        <w:t>’</w:t>
      </w:r>
      <w:r w:rsidRPr="00710E80">
        <w:rPr>
          <w:szCs w:val="24"/>
        </w:rPr>
        <w:t xml:space="preserve"> Counsel</w:t>
      </w:r>
    </w:p>
    <w:p w:rsidR="00FD5825" w:rsidP="007E444C">
      <w:pPr>
        <w:tabs>
          <w:tab w:val="left" w:pos="4320"/>
        </w:tabs>
        <w:ind w:left="4320"/>
        <w:rPr>
          <w:szCs w:val="24"/>
        </w:rPr>
      </w:pPr>
    </w:p>
    <w:p w:rsidR="007E444C" w:rsidRPr="00710E80" w:rsidP="007E444C">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E444C" w:rsidRPr="00710E80" w:rsidP="007E444C">
      <w:pPr>
        <w:pStyle w:val="Heading1"/>
        <w:ind w:left="4320"/>
        <w:rPr>
          <w:b w:val="0"/>
          <w:u w:val="none"/>
        </w:rPr>
      </w:pPr>
      <w:r>
        <w:rPr>
          <w:b w:val="0"/>
          <w:u w:val="none"/>
        </w:rPr>
        <w:t>65 East State Street, 7th Floor</w:t>
      </w:r>
    </w:p>
    <w:p w:rsidR="007E444C" w:rsidRPr="00710E80" w:rsidP="007E444C">
      <w:pPr>
        <w:pStyle w:val="Heading1"/>
        <w:ind w:left="4320"/>
        <w:rPr>
          <w:b w:val="0"/>
          <w:u w:val="none"/>
        </w:rPr>
      </w:pPr>
      <w:r w:rsidRPr="00710E80">
        <w:rPr>
          <w:b w:val="0"/>
          <w:u w:val="none"/>
        </w:rPr>
        <w:t>Columbus, Ohio 43215</w:t>
      </w:r>
    </w:p>
    <w:p w:rsidR="00300AAE" w:rsidP="007E444C">
      <w:pPr>
        <w:ind w:left="4320"/>
        <w:rPr>
          <w:rStyle w:val="Hyperlink"/>
          <w:color w:val="auto"/>
          <w:szCs w:val="24"/>
          <w:u w:val="none"/>
        </w:rPr>
      </w:pPr>
      <w:r>
        <w:rPr>
          <w:rStyle w:val="Hyperlink"/>
          <w:color w:val="auto"/>
          <w:szCs w:val="24"/>
          <w:u w:val="none"/>
        </w:rPr>
        <w:t>Telephone [Etter]: (614) 466-7964</w:t>
      </w:r>
    </w:p>
    <w:p w:rsidR="00300AAE" w:rsidP="00300AAE">
      <w:pPr>
        <w:ind w:left="4320"/>
        <w:rPr>
          <w:szCs w:val="24"/>
        </w:rPr>
      </w:pPr>
      <w:r>
        <w:rPr>
          <w:szCs w:val="24"/>
        </w:rPr>
        <w:t>Telephone [</w:t>
      </w:r>
      <w:r w:rsidRPr="00F44BF3">
        <w:rPr>
          <w:szCs w:val="24"/>
        </w:rPr>
        <w:t>Healey</w:t>
      </w:r>
      <w:r>
        <w:rPr>
          <w:szCs w:val="24"/>
        </w:rPr>
        <w:t>]: (</w:t>
      </w:r>
      <w:r w:rsidRPr="00F44BF3">
        <w:rPr>
          <w:szCs w:val="24"/>
        </w:rPr>
        <w:t>614</w:t>
      </w:r>
      <w:r>
        <w:rPr>
          <w:szCs w:val="24"/>
        </w:rPr>
        <w:t xml:space="preserve">) </w:t>
      </w:r>
      <w:r w:rsidRPr="00F44BF3">
        <w:rPr>
          <w:szCs w:val="24"/>
        </w:rPr>
        <w:t xml:space="preserve">466-9571 </w:t>
      </w:r>
    </w:p>
    <w:p w:rsidR="00B36EC8" w:rsidP="00B36EC8">
      <w:pPr>
        <w:ind w:firstLine="4320"/>
      </w:pPr>
      <w:r w:rsidRPr="00DD5F21">
        <w:t xml:space="preserve">Telephone: </w:t>
      </w:r>
      <w:r>
        <w:t xml:space="preserve">[O’Brien] </w:t>
      </w:r>
      <w:r w:rsidRPr="00DD5F21">
        <w:t xml:space="preserve">(614) </w:t>
      </w:r>
      <w:r>
        <w:t>466-9531</w:t>
      </w:r>
    </w:p>
    <w:p w:rsidR="00300AAE" w:rsidRPr="00E53E6E" w:rsidP="00300AAE">
      <w:pPr>
        <w:autoSpaceDE w:val="0"/>
        <w:autoSpaceDN w:val="0"/>
        <w:adjustRightInd w:val="0"/>
        <w:ind w:left="4320"/>
        <w:rPr>
          <w:szCs w:val="24"/>
        </w:rPr>
      </w:pPr>
      <w:r>
        <w:fldChar w:fldCharType="begin"/>
      </w:r>
      <w:r>
        <w:instrText xml:space="preserve"> HYPERLINK "mailto:terry.etter@occ.ohio.gov" </w:instrText>
      </w:r>
      <w:r>
        <w:fldChar w:fldCharType="separate"/>
      </w:r>
      <w:r w:rsidRPr="009816CA" w:rsidR="00971928">
        <w:rPr>
          <w:rStyle w:val="Hyperlink"/>
          <w:szCs w:val="24"/>
        </w:rPr>
        <w:t>terry.etter@occ.ohio.gov</w:t>
      </w:r>
      <w:r>
        <w:fldChar w:fldCharType="end"/>
      </w:r>
    </w:p>
    <w:p w:rsidR="00300AAE" w:rsidP="00300AAE">
      <w:pPr>
        <w:ind w:left="4320"/>
        <w:rPr>
          <w:color w:val="0000FF"/>
          <w:szCs w:val="24"/>
          <w:u w:val="single"/>
        </w:rPr>
      </w:pPr>
      <w:r>
        <w:fldChar w:fldCharType="begin"/>
      </w:r>
      <w:r>
        <w:instrText xml:space="preserve"> HYPERLINK "mailto:christopher.healey@occ.ohio.gov" </w:instrText>
      </w:r>
      <w:r>
        <w:fldChar w:fldCharType="separate"/>
      </w:r>
      <w:r w:rsidRPr="0042626F" w:rsidR="00971928">
        <w:rPr>
          <w:rStyle w:val="Hyperlink"/>
          <w:szCs w:val="24"/>
        </w:rPr>
        <w:t>christopher.healey@occ.ohio.gov</w:t>
      </w:r>
      <w:r>
        <w:fldChar w:fldCharType="end"/>
      </w:r>
    </w:p>
    <w:p w:rsidR="00B36EC8" w:rsidP="00B36EC8">
      <w:pPr>
        <w:ind w:left="4320"/>
        <w:rPr>
          <w:rStyle w:val="Hyperlink"/>
        </w:rPr>
      </w:pPr>
      <w:r>
        <w:fldChar w:fldCharType="begin"/>
      </w:r>
      <w:r>
        <w:instrText xml:space="preserve"> HYPERLINK "mailto:angela.obrien@occ.ohio.gov" </w:instrText>
      </w:r>
      <w:r>
        <w:fldChar w:fldCharType="separate"/>
      </w:r>
      <w:r w:rsidRPr="001D42AC" w:rsidR="00971928">
        <w:rPr>
          <w:rStyle w:val="Hyperlink"/>
        </w:rPr>
        <w:t>angela.obrien@occ.ohio.gov</w:t>
      </w:r>
      <w:r>
        <w:fldChar w:fldCharType="end"/>
      </w:r>
    </w:p>
    <w:p w:rsidR="007E444C" w:rsidP="00B36EC8">
      <w:pPr>
        <w:ind w:left="4320"/>
        <w:rPr>
          <w:szCs w:val="24"/>
        </w:rPr>
      </w:pPr>
      <w:r>
        <w:rPr>
          <w:szCs w:val="24"/>
        </w:rPr>
        <w:t>(willing to accept service by e-mail</w:t>
      </w:r>
      <w:r w:rsidRPr="00710E80">
        <w:rPr>
          <w:szCs w:val="24"/>
        </w:rPr>
        <w:t>)</w:t>
      </w:r>
    </w:p>
    <w:p w:rsidR="007E444C" w:rsidP="00F97A7B">
      <w:pPr>
        <w:spacing w:line="480" w:lineRule="auto"/>
      </w:pPr>
      <w:r>
        <w:t>.</w:t>
      </w:r>
    </w:p>
    <w:p w:rsidR="00142411" w:rsidP="0040353C">
      <w:pPr>
        <w:rPr>
          <w:szCs w:val="24"/>
        </w:rPr>
        <w:sectPr w:rsidSect="00EF152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bookmarkEnd w:id="7"/>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I hereby certify that a copy of th</w:t>
      </w:r>
      <w:r>
        <w:t xml:space="preserve">is Reply Brief </w:t>
      </w:r>
      <w:r w:rsidRPr="00710E80">
        <w:t>was served on the persons stated below via</w:t>
      </w:r>
      <w:r w:rsidRPr="00710E80">
        <w:rPr>
          <w:i/>
        </w:rPr>
        <w:t xml:space="preserve"> </w:t>
      </w:r>
      <w:r w:rsidRPr="00710E80">
        <w:t xml:space="preserve">electric transmission this </w:t>
      </w:r>
      <w:r>
        <w:t>12</w:t>
      </w:r>
      <w:r w:rsidRPr="00C7440E">
        <w:rPr>
          <w:vertAlign w:val="superscript"/>
        </w:rPr>
        <w:t>th</w:t>
      </w:r>
      <w:r>
        <w:t xml:space="preserve"> day</w:t>
      </w:r>
      <w:r w:rsidRPr="00710E80">
        <w:t xml:space="preserve"> of </w:t>
      </w:r>
      <w:r>
        <w:t xml:space="preserve">March </w:t>
      </w:r>
      <w:r w:rsidRPr="00710E80">
        <w:t>201</w:t>
      </w:r>
      <w:r>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Terry L. Etter</w:t>
      </w:r>
      <w:r>
        <w:rPr>
          <w:i/>
          <w:u w:val="single"/>
        </w:rPr>
        <w:tab/>
        <w:t xml:space="preserve"> </w:t>
      </w:r>
      <w:r w:rsidRPr="00710E80">
        <w:rPr>
          <w:i/>
          <w:u w:val="single"/>
        </w:rPr>
        <w:tab/>
      </w:r>
    </w:p>
    <w:p w:rsidR="00462506" w:rsidP="00462506">
      <w:pPr>
        <w:tabs>
          <w:tab w:val="left" w:pos="4320"/>
        </w:tabs>
        <w:ind w:left="4320"/>
        <w:rPr>
          <w:szCs w:val="24"/>
        </w:rPr>
      </w:pPr>
      <w:r>
        <w:t>Terry L. Etter</w:t>
      </w:r>
      <w:r w:rsidRPr="00710E80">
        <w:br/>
      </w:r>
      <w:r w:rsidRPr="00710E80">
        <w:rPr>
          <w:szCs w:val="24"/>
        </w:rPr>
        <w:t>Assistant Consumers</w:t>
      </w:r>
      <w:r>
        <w:rPr>
          <w:szCs w:val="24"/>
        </w:rPr>
        <w:t>’</w:t>
      </w:r>
      <w:r w:rsidRPr="00710E80">
        <w:rPr>
          <w:szCs w:val="24"/>
        </w:rPr>
        <w:t xml:space="preserve"> Counsel</w:t>
      </w:r>
    </w:p>
    <w:p w:rsidR="007C2976" w:rsidRPr="00710E80" w:rsidP="00462506">
      <w:pPr>
        <w:tabs>
          <w:tab w:val="left" w:pos="4320"/>
        </w:tabs>
        <w:ind w:left="4320"/>
      </w:pPr>
    </w:p>
    <w:p w:rsidR="007C2976" w:rsidRPr="00710E80" w:rsidP="007C2976">
      <w:pPr>
        <w:pStyle w:val="CommentText"/>
      </w:pPr>
    </w:p>
    <w:p w:rsidR="00B23B17" w:rsidRPr="000F35A0" w:rsidP="00B23B17">
      <w:pPr>
        <w:jc w:val="center"/>
        <w:rPr>
          <w:b/>
          <w:u w:val="single"/>
        </w:rPr>
      </w:pPr>
      <w:r w:rsidRPr="000F35A0">
        <w:rPr>
          <w:b/>
          <w:u w:val="single"/>
        </w:rPr>
        <w:t>SERVICE LIST</w:t>
      </w:r>
    </w:p>
    <w:p w:rsidR="00B23B17" w:rsidRPr="000F35A0" w:rsidP="00B23B17">
      <w:pPr>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6"/>
        <w:gridCol w:w="4044"/>
      </w:tblGrid>
      <w:tr w:rsidTr="0080719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B23B17" w:rsidP="00807190">
            <w:pPr>
              <w:autoSpaceDE w:val="0"/>
              <w:autoSpaceDN w:val="0"/>
              <w:adjustRightInd w:val="0"/>
              <w:rPr>
                <w:rStyle w:val="DefaultParagraphFont"/>
                <w:bCs/>
                <w:sz w:val="24"/>
                <w:szCs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B44FF7" w:rsidR="00971928">
              <w:rPr>
                <w:rStyle w:val="Hyperlink"/>
                <w:bCs/>
                <w:color w:val="0000FF"/>
                <w:sz w:val="24"/>
                <w:szCs w:val="24"/>
                <w:u w:val="single"/>
                <w:lang w:val="en-US" w:eastAsia="en-US" w:bidi="ar-SA"/>
              </w:rPr>
              <w:t>Thomas.lindgren@ohioattorneygeneral.gov</w:t>
            </w:r>
            <w:r>
              <w:fldChar w:fldCharType="end"/>
            </w:r>
          </w:p>
          <w:p w:rsidR="00B23B17" w:rsidP="00807190">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B44FF7" w:rsidR="00971928">
              <w:rPr>
                <w:rStyle w:val="Hyperlink"/>
                <w:color w:val="0000FF"/>
                <w:sz w:val="24"/>
                <w:szCs w:val="24"/>
                <w:u w:val="single"/>
                <w:lang w:val="en-US" w:eastAsia="en-US" w:bidi="ar-SA"/>
              </w:rPr>
              <w:t>mkurtz@BKLlawfirm.com</w:t>
            </w:r>
            <w:r>
              <w:fldChar w:fldCharType="end"/>
            </w:r>
          </w:p>
          <w:p w:rsidR="00B23B17" w:rsidP="00807190">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B44FF7" w:rsidR="00971928">
              <w:rPr>
                <w:rStyle w:val="Hyperlink"/>
                <w:color w:val="0000FF"/>
                <w:sz w:val="24"/>
                <w:szCs w:val="24"/>
                <w:u w:val="single"/>
                <w:lang w:val="en-US" w:eastAsia="en-US" w:bidi="ar-SA"/>
              </w:rPr>
              <w:t>kboehm@BKLlawfirm.com</w:t>
            </w:r>
            <w:r>
              <w:fldChar w:fldCharType="end"/>
            </w:r>
          </w:p>
          <w:p w:rsidR="00B23B17" w:rsidP="00807190">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B44FF7" w:rsidR="00971928">
              <w:rPr>
                <w:rStyle w:val="Hyperlink"/>
                <w:color w:val="0000FF"/>
                <w:sz w:val="24"/>
                <w:szCs w:val="24"/>
                <w:u w:val="single"/>
                <w:lang w:val="en-US" w:eastAsia="en-US" w:bidi="ar-SA"/>
              </w:rPr>
              <w:t>jkylercohn@BKLlawfirm.com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"mailto:gkrassen@bricker.com" </w:instrText>
            </w:r>
            <w:r>
              <w:fldChar w:fldCharType="separate"/>
            </w:r>
            <w:r w:rsidRPr="00B44FF7" w:rsidR="00971928">
              <w:rPr>
                <w:rStyle w:val="Hyperlink"/>
                <w:rFonts w:eastAsiaTheme="minorHAnsi"/>
                <w:color w:val="0000FF"/>
                <w:sz w:val="24"/>
                <w:szCs w:val="24"/>
                <w:u w:val="single"/>
                <w:lang w:val="en-US" w:eastAsia="en-US" w:bidi="ar-SA"/>
              </w:rPr>
              <w:t>gkrassen@bricker.com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"mailto:dstinson@bricker.com" </w:instrText>
            </w:r>
            <w:r>
              <w:fldChar w:fldCharType="separate"/>
            </w:r>
            <w:r w:rsidRPr="00B44FF7" w:rsidR="00971928">
              <w:rPr>
                <w:rStyle w:val="Hyperlink"/>
                <w:rFonts w:eastAsiaTheme="minorHAnsi"/>
                <w:color w:val="0000FF"/>
                <w:sz w:val="24"/>
                <w:szCs w:val="24"/>
                <w:u w:val="single"/>
                <w:lang w:val="en-US" w:eastAsia="en-US" w:bidi="ar-SA"/>
              </w:rPr>
              <w:t>dstinson@bricker.com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B44FF7" w:rsidR="00971928">
              <w:rPr>
                <w:rStyle w:val="Hyperlink"/>
                <w:rFonts w:eastAsiaTheme="minorHAnsi"/>
                <w:color w:val="0000FF"/>
                <w:sz w:val="24"/>
                <w:szCs w:val="24"/>
                <w:u w:val="single"/>
                <w:lang w:val="en-US" w:eastAsia="en-US" w:bidi="ar-SA"/>
              </w:rPr>
              <w:t>mleppla@theOEC.org</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B44FF7" w:rsidR="00971928">
              <w:rPr>
                <w:rStyle w:val="Hyperlink"/>
                <w:rFonts w:eastAsiaTheme="minorHAnsi"/>
                <w:color w:val="0000FF"/>
                <w:sz w:val="24"/>
                <w:szCs w:val="24"/>
                <w:u w:val="single"/>
                <w:lang w:val="en-US" w:eastAsia="en-US" w:bidi="ar-SA"/>
              </w:rPr>
              <w:t>tdougherty@theOEC.org</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"mailto:jfinnigan@edf.org" </w:instrText>
            </w:r>
            <w:r>
              <w:fldChar w:fldCharType="separate"/>
            </w:r>
            <w:r w:rsidRPr="00B44FF7" w:rsidR="00971928">
              <w:rPr>
                <w:rStyle w:val="Hyperlink"/>
                <w:rFonts w:eastAsiaTheme="minorHAnsi"/>
                <w:color w:val="0000FF"/>
                <w:sz w:val="24"/>
                <w:szCs w:val="24"/>
                <w:u w:val="single"/>
                <w:lang w:val="en-US" w:eastAsia="en-US" w:bidi="ar-SA"/>
              </w:rPr>
              <w:t>jfinnigan@edf.org</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"mailto:paul@carpenterlipps.com" </w:instrText>
            </w:r>
            <w:r>
              <w:fldChar w:fldCharType="separate"/>
            </w:r>
            <w:r w:rsidRPr="00B44FF7" w:rsidR="00971928">
              <w:rPr>
                <w:rStyle w:val="Hyperlink"/>
                <w:rFonts w:eastAsiaTheme="minorHAnsi"/>
                <w:color w:val="0000FF"/>
                <w:sz w:val="24"/>
                <w:szCs w:val="24"/>
                <w:u w:val="single"/>
                <w:lang w:val="en-US" w:eastAsia="en-US" w:bidi="ar-SA"/>
              </w:rPr>
              <w:t>paul@carpenterlipps.com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B44FF7" w:rsidR="00971928">
              <w:rPr>
                <w:rStyle w:val="Hyperlink"/>
                <w:rFonts w:eastAsiaTheme="minorHAnsi"/>
                <w:color w:val="0000FF"/>
                <w:sz w:val="24"/>
                <w:szCs w:val="24"/>
                <w:u w:val="single"/>
                <w:lang w:val="en-US" w:eastAsia="en-US" w:bidi="ar-SA"/>
              </w:rPr>
              <w:t>Bojko@carpenterlipps.com</w:t>
            </w:r>
            <w:r>
              <w:fldChar w:fldCharType="end"/>
            </w:r>
          </w:p>
          <w:p w:rsidR="00B23B17" w:rsidP="00807190">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"mailto:Dressel@carpenterlipps.com" </w:instrText>
            </w:r>
            <w:r>
              <w:fldChar w:fldCharType="separate"/>
            </w:r>
            <w:r w:rsidRPr="00B44FF7" w:rsidR="00971928">
              <w:rPr>
                <w:rStyle w:val="Hyperlink"/>
                <w:color w:val="0000FF"/>
                <w:sz w:val="24"/>
                <w:szCs w:val="24"/>
                <w:u w:val="single"/>
                <w:lang w:val="en-US" w:eastAsia="en-US" w:bidi="ar-SA"/>
              </w:rPr>
              <w:t>Dressel@carpenterlipps.com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"mailto:ghiloni@carpenterlipps.com" </w:instrText>
            </w:r>
            <w:r>
              <w:fldChar w:fldCharType="separate"/>
            </w:r>
            <w:r w:rsidRPr="00B44FF7" w:rsidR="00971928">
              <w:rPr>
                <w:rStyle w:val="Hyperlink"/>
                <w:rFonts w:eastAsiaTheme="minorHAnsi"/>
                <w:color w:val="0000FF"/>
                <w:sz w:val="24"/>
                <w:szCs w:val="24"/>
                <w:u w:val="single"/>
                <w:lang w:val="en-US" w:eastAsia="en-US" w:bidi="ar-SA"/>
              </w:rPr>
              <w:t>ghiloni@carpenterlipps.com</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B44FF7" w:rsidR="00971928">
              <w:rPr>
                <w:rStyle w:val="Hyperlink"/>
                <w:rFonts w:eastAsiaTheme="minorHAnsi"/>
                <w:color w:val="0000FF"/>
                <w:sz w:val="24"/>
                <w:szCs w:val="24"/>
                <w:u w:val="single"/>
                <w:lang w:val="en-US" w:eastAsia="en-US" w:bidi="ar-SA"/>
              </w:rPr>
              <w:t>cmooney@ohiopartners.org</w:t>
            </w:r>
            <w:r>
              <w:fldChar w:fldCharType="end"/>
            </w:r>
          </w:p>
          <w:p w:rsidR="00B23B17" w:rsidP="00807190">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"mailto:glpetrucci@vorys.com" </w:instrText>
            </w:r>
            <w:r>
              <w:fldChar w:fldCharType="separate"/>
            </w:r>
            <w:r w:rsidRPr="00B44FF7" w:rsidR="00971928">
              <w:rPr>
                <w:rStyle w:val="Hyperlink"/>
                <w:color w:val="0000FF"/>
                <w:sz w:val="24"/>
                <w:szCs w:val="24"/>
                <w:u w:val="single"/>
                <w:lang w:val="en-US" w:eastAsia="en-US" w:bidi="ar-SA"/>
              </w:rPr>
              <w:t>glpetrucci@vorys.com</w:t>
            </w:r>
            <w:r>
              <w:fldChar w:fldCharType="end"/>
            </w:r>
          </w:p>
          <w:p w:rsidR="00B23B17" w:rsidP="00807190">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"mailto:mwarnock@bricker.com" </w:instrText>
            </w:r>
            <w:r>
              <w:fldChar w:fldCharType="separate"/>
            </w:r>
            <w:r w:rsidRPr="00B44FF7" w:rsidR="00971928">
              <w:rPr>
                <w:rStyle w:val="Hyperlink"/>
                <w:rFonts w:eastAsiaTheme="minorHAnsi"/>
                <w:color w:val="0000FF"/>
                <w:sz w:val="24"/>
                <w:szCs w:val="24"/>
                <w:u w:val="single"/>
                <w:lang w:val="en-US" w:eastAsia="en-US" w:bidi="ar-SA"/>
              </w:rPr>
              <w:t>mwarnock@bricker.com</w:t>
            </w:r>
            <w:r>
              <w:fldChar w:fldCharType="end"/>
            </w:r>
          </w:p>
          <w:p w:rsidR="00B23B17" w:rsidP="00807190">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"mailto:dborchers@bricker.com" </w:instrText>
            </w:r>
            <w:r>
              <w:fldChar w:fldCharType="separate"/>
            </w:r>
            <w:r w:rsidRPr="00B44FF7" w:rsidR="00971928">
              <w:rPr>
                <w:rStyle w:val="Hyperlink"/>
                <w:rFonts w:eastAsiaTheme="minorHAnsi"/>
                <w:color w:val="0000FF"/>
                <w:sz w:val="24"/>
                <w:szCs w:val="24"/>
                <w:u w:val="single"/>
                <w:lang w:val="en-US" w:eastAsia="en-US" w:bidi="ar-SA"/>
              </w:rPr>
              <w:t>dborchers@bricker.com</w:t>
            </w:r>
            <w:r>
              <w:fldChar w:fldCharType="end"/>
            </w:r>
          </w:p>
          <w:p w:rsidR="00B23B17" w:rsidP="00807190">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"mailto:barthroyer@aol.com" </w:instrText>
            </w:r>
            <w:r>
              <w:fldChar w:fldCharType="separate"/>
            </w:r>
            <w:r w:rsidRPr="00B44FF7" w:rsidR="00971928">
              <w:rPr>
                <w:rStyle w:val="Hyperlink"/>
                <w:rFonts w:eastAsiaTheme="minorHAnsi"/>
                <w:color w:val="0000FF"/>
                <w:sz w:val="24"/>
                <w:szCs w:val="24"/>
                <w:u w:val="single"/>
                <w:lang w:val="en-US" w:eastAsia="en-US" w:bidi="ar-SA"/>
              </w:rPr>
              <w:t>barthroyer@aol.com</w:t>
            </w:r>
            <w:r>
              <w:fldChar w:fldCharType="end"/>
            </w:r>
          </w:p>
          <w:p w:rsidR="00B23B17" w:rsidP="00807190">
            <w:pPr>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"mailto:rkelter@elpc.org" </w:instrText>
            </w:r>
            <w:r>
              <w:fldChar w:fldCharType="separate"/>
            </w:r>
            <w:r w:rsidRPr="00B44FF7" w:rsidR="00971928">
              <w:rPr>
                <w:rStyle w:val="Hyperlink"/>
                <w:rFonts w:eastAsiaTheme="minorHAnsi"/>
                <w:color w:val="0000FF"/>
                <w:sz w:val="24"/>
                <w:szCs w:val="24"/>
                <w:u w:val="single"/>
                <w:lang w:val="en-US" w:eastAsia="en-US" w:bidi="ar-SA"/>
              </w:rPr>
              <w:t>rkelter@elpc.org</w:t>
            </w:r>
            <w:r>
              <w:fldChar w:fldCharType="end"/>
            </w:r>
          </w:p>
          <w:p w:rsidR="00B23B17" w:rsidRPr="005A62DB" w:rsidP="00807190">
            <w:pPr>
              <w:rPr>
                <w:rStyle w:val="DefaultParagraphFont"/>
                <w:rFonts w:eastAsiaTheme="minorHAnsi"/>
                <w:sz w:val="24"/>
                <w:lang w:val="en-US" w:eastAsia="en-US" w:bidi="ar-SA"/>
              </w:rPr>
            </w:pPr>
          </w:p>
          <w:p w:rsidR="00B23B17" w:rsidP="00807190">
            <w:pPr>
              <w:autoSpaceDE w:val="0"/>
              <w:autoSpaceDN w:val="0"/>
              <w:adjustRightInd w:val="0"/>
              <w:rPr>
                <w:rStyle w:val="DefaultParagraphFont"/>
                <w:rFonts w:eastAsiaTheme="minorHAnsi"/>
                <w:sz w:val="24"/>
                <w:szCs w:val="24"/>
                <w:lang w:val="en-US" w:eastAsia="en-US" w:bidi="ar-SA"/>
              </w:rPr>
            </w:pPr>
            <w:r w:rsidRPr="005A62DB">
              <w:rPr>
                <w:rFonts w:eastAsiaTheme="minorHAnsi"/>
                <w:sz w:val="24"/>
                <w:szCs w:val="24"/>
                <w:lang w:val="en-US" w:eastAsia="en-US" w:bidi="ar-SA"/>
              </w:rPr>
              <w:t>Attorney Examiners:</w:t>
            </w:r>
          </w:p>
          <w:p w:rsidR="00B23B17" w:rsidRPr="005A62DB" w:rsidP="00807190">
            <w:pPr>
              <w:autoSpaceDE w:val="0"/>
              <w:autoSpaceDN w:val="0"/>
              <w:adjustRightInd w:val="0"/>
              <w:rPr>
                <w:rStyle w:val="DefaultParagraphFont"/>
                <w:rFonts w:eastAsiaTheme="minorHAnsi"/>
                <w:sz w:val="24"/>
                <w:lang w:val="en-US" w:eastAsia="en-US" w:bidi="ar-SA"/>
              </w:rPr>
            </w:pP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"mailto:Megan.addison@puc.state.oh.us" </w:instrText>
            </w:r>
            <w:r>
              <w:fldChar w:fldCharType="separate"/>
            </w:r>
            <w:r w:rsidRPr="00B44FF7" w:rsidR="00971928">
              <w:rPr>
                <w:rStyle w:val="Hyperlink"/>
                <w:rFonts w:eastAsiaTheme="minorHAnsi"/>
                <w:color w:val="0000FF"/>
                <w:sz w:val="24"/>
                <w:szCs w:val="24"/>
                <w:u w:val="single"/>
                <w:lang w:val="en-US" w:eastAsia="en-US" w:bidi="ar-SA"/>
              </w:rPr>
              <w:t>Megan.addison@puc.state.oh.us</w:t>
            </w:r>
            <w:r>
              <w:fldChar w:fldCharType="end"/>
            </w:r>
          </w:p>
          <w:p w:rsidR="00B23B17" w:rsidP="00807190">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B44FF7" w:rsidR="00971928">
              <w:rPr>
                <w:rStyle w:val="Hyperlink"/>
                <w:rFonts w:eastAsiaTheme="minorHAnsi"/>
                <w:color w:val="0000FF"/>
                <w:sz w:val="24"/>
                <w:szCs w:val="24"/>
                <w:u w:val="single"/>
                <w:lang w:val="en-US" w:eastAsia="en-US" w:bidi="ar-SA"/>
              </w:rPr>
              <w:t>Gregory.price@puc.state.oh.us</w:t>
            </w:r>
            <w:r>
              <w:fldChar w:fldCharType="end"/>
            </w:r>
          </w:p>
          <w:p w:rsidR="00B23B17" w:rsidRPr="005A62DB" w:rsidP="00807190">
            <w:pPr>
              <w:autoSpaceDE w:val="0"/>
              <w:autoSpaceDN w:val="0"/>
              <w:adjustRightInd w:val="0"/>
              <w:rPr>
                <w:rStyle w:val="DefaultParagraphFont"/>
                <w:rFonts w:eastAsiaTheme="minorHAnsi"/>
                <w:sz w:val="24"/>
                <w:lang w:val="en-US" w:eastAsia="en-US" w:bidi="ar-SA"/>
              </w:rPr>
            </w:pPr>
          </w:p>
          <w:p w:rsidR="00B23B17" w:rsidRPr="005A62DB" w:rsidP="00807190">
            <w:pPr>
              <w:autoSpaceDE w:val="0"/>
              <w:autoSpaceDN w:val="0"/>
              <w:adjustRightInd w:val="0"/>
              <w:rPr>
                <w:rStyle w:val="DefaultParagraphFont"/>
                <w:rFonts w:eastAsiaTheme="minorHAnsi"/>
                <w:sz w:val="24"/>
                <w:lang w:val="en-US" w:eastAsia="en-US" w:bidi="ar-SA"/>
              </w:rPr>
            </w:pPr>
          </w:p>
          <w:p w:rsidR="00B23B17" w:rsidRPr="005A62DB" w:rsidP="00807190">
            <w:pPr>
              <w:autoSpaceDE w:val="0"/>
              <w:autoSpaceDN w:val="0"/>
              <w:adjustRightInd w:val="0"/>
              <w:rPr>
                <w:rStyle w:val="DefaultParagraphFont"/>
                <w:bCs/>
                <w:i/>
                <w:sz w:val="24"/>
                <w:lang w:val="en-US" w:eastAsia="en-US" w:bidi="ar-SA"/>
              </w:rPr>
            </w:pPr>
          </w:p>
        </w:tc>
        <w:tc>
          <w:tcPr>
            <w:tcW w:w="4788" w:type="dxa"/>
          </w:tcPr>
          <w:p w:rsidR="00B23B17" w:rsidP="00807190">
            <w:pPr>
              <w:ind w:left="296"/>
              <w:rPr>
                <w:rStyle w:val="DefaultParagraphFont"/>
                <w:sz w:val="24"/>
                <w:szCs w:val="24"/>
                <w:lang w:val="en-US" w:eastAsia="en-US" w:bidi="ar-SA"/>
              </w:rPr>
            </w:pPr>
            <w:r>
              <w:fldChar w:fldCharType="begin"/>
            </w:r>
            <w:r>
              <w:rPr>
                <w:sz w:val="24"/>
                <w:lang w:val="en-US" w:eastAsia="en-US" w:bidi="ar-SA"/>
              </w:rPr>
              <w:instrText xml:space="preserve"> HYPERLINK "mailto:jeckert@firstenergycorp.com" </w:instrText>
            </w:r>
            <w:r>
              <w:fldChar w:fldCharType="separate"/>
            </w:r>
            <w:r w:rsidRPr="00B44FF7" w:rsidR="00971928">
              <w:rPr>
                <w:rStyle w:val="Hyperlink"/>
                <w:color w:val="0000FF"/>
                <w:sz w:val="24"/>
                <w:szCs w:val="24"/>
                <w:u w:val="single"/>
                <w:lang w:val="en-US" w:eastAsia="en-US" w:bidi="ar-SA"/>
              </w:rPr>
              <w:t>jeckert@firstenergycorp.com</w:t>
            </w:r>
            <w:r>
              <w:fldChar w:fldCharType="end"/>
            </w:r>
          </w:p>
          <w:p w:rsidR="00B23B17" w:rsidP="00807190">
            <w:pPr>
              <w:ind w:left="296"/>
              <w:rPr>
                <w:rStyle w:val="DefaultParagraphFont"/>
                <w:sz w:val="24"/>
                <w:szCs w:val="24"/>
                <w:lang w:val="en-US" w:eastAsia="en-US" w:bidi="ar-SA"/>
              </w:rPr>
            </w:pPr>
            <w:r>
              <w:fldChar w:fldCharType="begin"/>
            </w:r>
            <w:r>
              <w:rPr>
                <w:sz w:val="24"/>
                <w:lang w:val="en-US" w:eastAsia="en-US" w:bidi="ar-SA"/>
              </w:rPr>
              <w:instrText xml:space="preserve"> HYPERLINK "mailto:bknipe@firstenergycorp.com" </w:instrText>
            </w:r>
            <w:r>
              <w:fldChar w:fldCharType="separate"/>
            </w:r>
            <w:r w:rsidRPr="00B44FF7" w:rsidR="00971928">
              <w:rPr>
                <w:rStyle w:val="Hyperlink"/>
                <w:color w:val="0000FF"/>
                <w:sz w:val="24"/>
                <w:szCs w:val="24"/>
                <w:u w:val="single"/>
                <w:lang w:val="en-US" w:eastAsia="en-US" w:bidi="ar-SA"/>
              </w:rPr>
              <w:t>bknipe@firstenergycorp.com</w:t>
            </w:r>
            <w:r>
              <w:fldChar w:fldCharType="end"/>
            </w:r>
          </w:p>
          <w:p w:rsidR="00B23B17" w:rsidP="00807190">
            <w:pPr>
              <w:jc w:val="both"/>
              <w:rPr>
                <w:rStyle w:val="DefaultParagraphFont"/>
                <w:rFonts w:eastAsia="PMingLiU"/>
                <w:iCs/>
                <w:sz w:val="24"/>
                <w:szCs w:val="24"/>
                <w:lang w:val="en-US" w:eastAsia="en-US" w:bidi="ar-SA"/>
              </w:rPr>
            </w:pPr>
            <w:r w:rsidRPr="005A62DB">
              <w:rPr>
                <w:rFonts w:eastAsia="PMingLiU"/>
                <w:iCs/>
                <w:sz w:val="24"/>
                <w:szCs w:val="24"/>
                <w:lang w:val="en-US" w:eastAsia="en-US" w:bidi="ar-SA"/>
              </w:rPr>
              <w:t xml:space="preserve">     </w:t>
            </w:r>
            <w:r>
              <w:fldChar w:fldCharType="begin"/>
            </w:r>
            <w:r>
              <w:rPr>
                <w:sz w:val="24"/>
                <w:lang w:val="en-US" w:eastAsia="en-US" w:bidi="ar-SA"/>
              </w:rPr>
              <w:instrText xml:space="preserve"> HYPERLINK "mailto:jlang@calfee.com" </w:instrText>
            </w:r>
            <w:r>
              <w:fldChar w:fldCharType="separate"/>
            </w:r>
            <w:r w:rsidRPr="00B44FF7">
              <w:rPr>
                <w:rStyle w:val="Hyperlink"/>
                <w:rFonts w:eastAsia="PMingLiU"/>
                <w:iCs/>
                <w:color w:val="0000FF"/>
                <w:sz w:val="24"/>
                <w:szCs w:val="24"/>
                <w:u w:val="single"/>
                <w:lang w:val="en-US" w:eastAsia="en-US" w:bidi="ar-SA"/>
              </w:rPr>
              <w:t>jlang@calfee.com</w:t>
            </w:r>
            <w:r>
              <w:fldChar w:fldCharType="end"/>
            </w:r>
          </w:p>
          <w:p w:rsidR="00B23B17" w:rsidP="00807190">
            <w:pPr>
              <w:ind w:left="296"/>
              <w:rPr>
                <w:rStyle w:val="DefaultParagraphFont"/>
                <w:sz w:val="24"/>
                <w:szCs w:val="24"/>
                <w:lang w:val="en-US" w:eastAsia="en-US" w:bidi="ar-SA"/>
              </w:rPr>
            </w:pPr>
            <w:r>
              <w:fldChar w:fldCharType="begin"/>
            </w:r>
            <w:r>
              <w:rPr>
                <w:sz w:val="24"/>
                <w:lang w:val="en-US" w:eastAsia="en-US" w:bidi="ar-SA"/>
              </w:rPr>
              <w:instrText xml:space="preserve"> HYPERLINK "mailto:mkeaney@calfee.com" </w:instrText>
            </w:r>
            <w:r>
              <w:fldChar w:fldCharType="separate"/>
            </w:r>
            <w:r w:rsidRPr="00B44FF7" w:rsidR="00971928">
              <w:rPr>
                <w:rStyle w:val="Hyperlink"/>
                <w:color w:val="0000FF"/>
                <w:sz w:val="24"/>
                <w:szCs w:val="24"/>
                <w:u w:val="single"/>
                <w:lang w:val="en-US" w:eastAsia="en-US" w:bidi="ar-SA"/>
              </w:rPr>
              <w:t>mkeaney@calfee.com</w:t>
            </w:r>
            <w:r>
              <w:fldChar w:fldCharType="end"/>
            </w:r>
          </w:p>
          <w:p w:rsidR="00B23B17" w:rsidP="00807190">
            <w:pPr>
              <w:ind w:left="296"/>
              <w:jc w:val="both"/>
              <w:rPr>
                <w:rStyle w:val="DefaultParagraphFont"/>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Pr="00B44FF7" w:rsidR="00971928">
              <w:rPr>
                <w:rStyle w:val="Hyperlink"/>
                <w:color w:val="0000FF"/>
                <w:sz w:val="24"/>
                <w:szCs w:val="24"/>
                <w:u w:val="single"/>
                <w:lang w:val="en-US" w:eastAsia="en-US" w:bidi="ar-SA"/>
              </w:rPr>
              <w:t>fdarr@mwncmh.com</w:t>
            </w:r>
            <w:r>
              <w:fldChar w:fldCharType="end"/>
            </w:r>
          </w:p>
          <w:p w:rsidR="00B23B17" w:rsidP="00807190">
            <w:pPr>
              <w:ind w:left="296"/>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B44FF7" w:rsidR="00971928">
              <w:rPr>
                <w:rStyle w:val="Hyperlink"/>
                <w:color w:val="0000FF"/>
                <w:sz w:val="24"/>
                <w:szCs w:val="24"/>
                <w:u w:val="single"/>
                <w:lang w:val="en-US" w:eastAsia="en-US" w:bidi="ar-SA"/>
              </w:rPr>
              <w:t>mpritchard@mwncmh.com</w:t>
            </w:r>
            <w:r>
              <w:fldChar w:fldCharType="end"/>
            </w:r>
          </w:p>
          <w:p w:rsidR="00B23B17" w:rsidP="00807190">
            <w:pPr>
              <w:ind w:left="296"/>
              <w:jc w:val="both"/>
              <w:rPr>
                <w:rStyle w:val="DefaultParagraphFont"/>
                <w:rFonts w:eastAsia="PMingLiU"/>
                <w:iCs/>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B44FF7" w:rsidR="00971928">
              <w:rPr>
                <w:rStyle w:val="Hyperlink"/>
                <w:rFonts w:eastAsia="PMingLiU"/>
                <w:iCs/>
                <w:color w:val="0000FF"/>
                <w:sz w:val="24"/>
                <w:szCs w:val="24"/>
                <w:u w:val="single"/>
                <w:lang w:val="en-US" w:eastAsia="en-US" w:bidi="ar-SA"/>
              </w:rPr>
              <w:t>mfleisher@elpc.org</w:t>
            </w:r>
            <w:r>
              <w:fldChar w:fldCharType="end"/>
            </w:r>
          </w:p>
          <w:p w:rsidR="00B23B17" w:rsidP="00807190">
            <w:pPr>
              <w:ind w:left="296"/>
              <w:jc w:val="both"/>
              <w:rPr>
                <w:rStyle w:val="DefaultParagraphFont"/>
                <w:rFonts w:eastAsia="PMingLiU"/>
                <w:iCs/>
                <w:sz w:val="24"/>
                <w:szCs w:val="24"/>
                <w:lang w:val="en-US" w:eastAsia="en-US" w:bidi="ar-SA"/>
              </w:rPr>
            </w:pPr>
            <w:r>
              <w:fldChar w:fldCharType="begin"/>
            </w:r>
            <w:r>
              <w:rPr>
                <w:sz w:val="24"/>
                <w:lang w:val="en-US" w:eastAsia="en-US" w:bidi="ar-SA"/>
              </w:rPr>
              <w:instrText xml:space="preserve"> HYPERLINK "mailto:rdove@keglerbrown.com" </w:instrText>
            </w:r>
            <w:r>
              <w:fldChar w:fldCharType="separate"/>
            </w:r>
            <w:r w:rsidRPr="00B44FF7" w:rsidR="00971928">
              <w:rPr>
                <w:rStyle w:val="Hyperlink"/>
                <w:rFonts w:eastAsia="PMingLiU"/>
                <w:iCs/>
                <w:color w:val="0000FF"/>
                <w:sz w:val="24"/>
                <w:szCs w:val="24"/>
                <w:u w:val="single"/>
                <w:lang w:val="en-US" w:eastAsia="en-US" w:bidi="ar-SA"/>
              </w:rPr>
              <w:t>rdove@keglerbrown.com</w:t>
            </w:r>
            <w:r>
              <w:fldChar w:fldCharType="end"/>
            </w:r>
          </w:p>
          <w:p w:rsidR="00B23B17" w:rsidP="00807190">
            <w:pPr>
              <w:ind w:left="296"/>
              <w:jc w:val="both"/>
              <w:rPr>
                <w:rStyle w:val="DefaultParagraphFont"/>
                <w:rFonts w:eastAsiaTheme="minorHAnsi"/>
                <w:iCs/>
                <w:sz w:val="24"/>
                <w:szCs w:val="24"/>
                <w:lang w:val="en-US" w:eastAsia="en-US" w:bidi="ar-SA"/>
              </w:rPr>
            </w:pPr>
            <w:r>
              <w:fldChar w:fldCharType="begin"/>
            </w:r>
            <w:r>
              <w:rPr>
                <w:sz w:val="24"/>
                <w:lang w:val="en-US" w:eastAsia="en-US" w:bidi="ar-SA"/>
              </w:rPr>
              <w:instrText xml:space="preserve"> HYPERLINK "mailto:mdortch@kravitzllc.com" </w:instrText>
            </w:r>
            <w:r>
              <w:fldChar w:fldCharType="separate"/>
            </w:r>
            <w:r w:rsidRPr="00B44FF7" w:rsidR="00971928">
              <w:rPr>
                <w:rStyle w:val="Hyperlink"/>
                <w:rFonts w:eastAsiaTheme="minorHAnsi"/>
                <w:iCs/>
                <w:color w:val="0000FF"/>
                <w:sz w:val="24"/>
                <w:szCs w:val="24"/>
                <w:u w:val="single"/>
                <w:lang w:val="en-US" w:eastAsia="en-US" w:bidi="ar-SA"/>
              </w:rPr>
              <w:t>mdortch@kravitzllc.com</w:t>
            </w:r>
            <w:r>
              <w:fldChar w:fldCharType="end"/>
            </w:r>
          </w:p>
          <w:p w:rsidR="00B23B17" w:rsidP="00807190">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"mailto:dborchers@bricker.com" </w:instrText>
            </w:r>
            <w:r>
              <w:fldChar w:fldCharType="separate"/>
            </w:r>
            <w:r w:rsidRPr="00B44FF7" w:rsidR="00971928">
              <w:rPr>
                <w:rStyle w:val="Hyperlink"/>
                <w:rFonts w:eastAsiaTheme="minorHAnsi"/>
                <w:color w:val="0000FF"/>
                <w:sz w:val="24"/>
                <w:szCs w:val="24"/>
                <w:u w:val="single"/>
                <w:lang w:val="en-US" w:eastAsia="en-US" w:bidi="ar-SA"/>
              </w:rPr>
              <w:t>dborchers@bricker.com</w:t>
            </w:r>
            <w:r>
              <w:fldChar w:fldCharType="end"/>
            </w:r>
          </w:p>
          <w:p w:rsidR="00B23B17" w:rsidP="00807190">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"mailto:dparram@bricker.com" </w:instrText>
            </w:r>
            <w:r>
              <w:fldChar w:fldCharType="separate"/>
            </w:r>
            <w:r w:rsidRPr="00B44FF7" w:rsidR="00971928">
              <w:rPr>
                <w:rStyle w:val="Hyperlink"/>
                <w:rFonts w:eastAsiaTheme="minorHAnsi"/>
                <w:color w:val="0000FF"/>
                <w:sz w:val="24"/>
                <w:szCs w:val="24"/>
                <w:u w:val="single"/>
                <w:lang w:val="en-US" w:eastAsia="en-US" w:bidi="ar-SA"/>
              </w:rPr>
              <w:t>dparram@bricker.com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"mailto:nhewell@bricker.com" </w:instrText>
            </w:r>
            <w:r>
              <w:fldChar w:fldCharType="separate"/>
            </w:r>
            <w:r w:rsidRPr="00B44FF7" w:rsidR="00971928">
              <w:rPr>
                <w:rStyle w:val="Hyperlink"/>
                <w:rFonts w:eastAsiaTheme="minorHAnsi"/>
                <w:color w:val="0000FF"/>
                <w:sz w:val="24"/>
                <w:szCs w:val="24"/>
                <w:u w:val="single"/>
                <w:lang w:val="en-US" w:eastAsia="en-US" w:bidi="ar-SA"/>
              </w:rPr>
              <w:t>nhewell@bricker.com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"mailto:joliker@igsenergy.com" </w:instrText>
            </w:r>
            <w:r>
              <w:fldChar w:fldCharType="separate"/>
            </w:r>
            <w:r w:rsidRPr="00B44FF7" w:rsidR="00971928">
              <w:rPr>
                <w:rStyle w:val="Hyperlink"/>
                <w:rFonts w:eastAsiaTheme="minorHAnsi"/>
                <w:color w:val="0000FF"/>
                <w:sz w:val="24"/>
                <w:szCs w:val="24"/>
                <w:u w:val="single"/>
                <w:lang w:val="en-US" w:eastAsia="en-US" w:bidi="ar-SA"/>
              </w:rPr>
              <w:t>joliker@igsenergy.com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"mailto:mnugent@igsenergy.com" </w:instrText>
            </w:r>
            <w:r>
              <w:fldChar w:fldCharType="separate"/>
            </w:r>
            <w:r w:rsidRPr="00B44FF7" w:rsidR="00971928">
              <w:rPr>
                <w:rStyle w:val="Hyperlink"/>
                <w:rFonts w:eastAsiaTheme="minorHAnsi"/>
                <w:color w:val="0000FF"/>
                <w:sz w:val="24"/>
                <w:szCs w:val="24"/>
                <w:u w:val="single"/>
                <w:lang w:val="en-US" w:eastAsia="en-US" w:bidi="ar-SA"/>
              </w:rPr>
              <w:t>mnugent@igsenergy.com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"mailto:Bethany.Allen@igs.com" </w:instrText>
            </w:r>
            <w:r>
              <w:fldChar w:fldCharType="separate"/>
            </w:r>
            <w:r w:rsidRPr="00B44FF7" w:rsidR="00971928">
              <w:rPr>
                <w:rStyle w:val="Hyperlink"/>
                <w:rFonts w:eastAsiaTheme="minorHAnsi"/>
                <w:color w:val="0000FF"/>
                <w:sz w:val="24"/>
                <w:szCs w:val="24"/>
                <w:u w:val="single"/>
                <w:lang w:val="en-US" w:eastAsia="en-US" w:bidi="ar-SA"/>
              </w:rPr>
              <w:t>Bethany.Allen@igs.com</w:t>
            </w:r>
            <w:r>
              <w:fldChar w:fldCharType="end"/>
            </w:r>
          </w:p>
          <w:p w:rsidR="00B23B17" w:rsidP="00807190">
            <w:pPr>
              <w:autoSpaceDE w:val="0"/>
              <w:autoSpaceDN w:val="0"/>
              <w:adjustRightInd w:val="0"/>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B44FF7" w:rsidR="00971928">
              <w:rPr>
                <w:rStyle w:val="Hyperlink"/>
                <w:rFonts w:eastAsiaTheme="minorHAnsi"/>
                <w:color w:val="0000FF"/>
                <w:sz w:val="24"/>
                <w:szCs w:val="24"/>
                <w:u w:val="single"/>
                <w:lang w:val="en-US" w:eastAsia="en-US" w:bidi="ar-SA"/>
              </w:rPr>
              <w:t>whitt@whitt-sturtevant.com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B44FF7" w:rsidR="00971928">
              <w:rPr>
                <w:rStyle w:val="Hyperlink"/>
                <w:rFonts w:eastAsiaTheme="minorHAnsi"/>
                <w:color w:val="0000FF"/>
                <w:sz w:val="24"/>
                <w:szCs w:val="24"/>
                <w:u w:val="single"/>
                <w:lang w:val="en-US" w:eastAsia="en-US" w:bidi="ar-SA"/>
              </w:rPr>
              <w:t>glover@whitt-sturtevant.com</w:t>
            </w:r>
            <w:r>
              <w:fldChar w:fldCharType="end"/>
            </w:r>
          </w:p>
          <w:p w:rsidR="00B23B17" w:rsidP="00807190">
            <w:pPr>
              <w:ind w:left="296"/>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"mailto:kennedy@whitt-sturtevant.com" </w:instrText>
            </w:r>
            <w:r>
              <w:fldChar w:fldCharType="separate"/>
            </w:r>
            <w:r w:rsidRPr="00443A72" w:rsidR="00971928">
              <w:rPr>
                <w:rStyle w:val="Hyperlink"/>
                <w:rFonts w:eastAsiaTheme="minorHAnsi"/>
                <w:color w:val="0000FF"/>
                <w:sz w:val="24"/>
                <w:szCs w:val="24"/>
                <w:u w:val="single"/>
                <w:lang w:val="en-US" w:eastAsia="en-US" w:bidi="ar-SA"/>
              </w:rPr>
              <w:t>kennedy@whitt-sturtevant.com</w:t>
            </w:r>
            <w:r>
              <w:fldChar w:fldCharType="end"/>
            </w:r>
          </w:p>
          <w:p w:rsidR="00B23B17" w:rsidRPr="005A62DB" w:rsidP="00807190">
            <w:pPr>
              <w:ind w:left="296"/>
              <w:rPr>
                <w:rStyle w:val="DefaultParagraphFont"/>
                <w:rFonts w:eastAsiaTheme="minorHAnsi"/>
                <w:sz w:val="24"/>
                <w:lang w:val="en-US" w:eastAsia="en-US" w:bidi="ar-SA"/>
              </w:rPr>
            </w:pPr>
          </w:p>
          <w:p w:rsidR="00B23B17" w:rsidRPr="005A62DB" w:rsidP="00807190">
            <w:pPr>
              <w:ind w:left="296"/>
              <w:rPr>
                <w:rStyle w:val="DefaultParagraphFont"/>
                <w:rFonts w:eastAsiaTheme="minorHAnsi"/>
                <w:sz w:val="24"/>
                <w:lang w:val="en-US" w:eastAsia="en-US" w:bidi="ar-SA"/>
              </w:rPr>
            </w:pPr>
          </w:p>
          <w:p w:rsidR="00B23B17" w:rsidRPr="005A62DB" w:rsidP="00807190">
            <w:pPr>
              <w:ind w:left="296"/>
              <w:rPr>
                <w:rStyle w:val="DefaultParagraphFont"/>
                <w:rFonts w:eastAsiaTheme="minorHAnsi"/>
                <w:sz w:val="24"/>
                <w:lang w:val="en-US" w:eastAsia="en-US" w:bidi="ar-SA"/>
              </w:rPr>
            </w:pPr>
          </w:p>
          <w:p w:rsidR="00B23B17" w:rsidRPr="005A62DB" w:rsidP="00807190">
            <w:pPr>
              <w:ind w:left="296"/>
              <w:rPr>
                <w:rStyle w:val="DefaultParagraphFont"/>
                <w:rFonts w:eastAsiaTheme="minorHAnsi"/>
                <w:sz w:val="24"/>
                <w:lang w:val="en-US" w:eastAsia="en-US" w:bidi="ar-SA"/>
              </w:rPr>
            </w:pPr>
          </w:p>
          <w:p w:rsidR="00B23B17" w:rsidRPr="005A62DB" w:rsidP="00807190">
            <w:pPr>
              <w:ind w:left="296"/>
              <w:rPr>
                <w:rStyle w:val="DefaultParagraphFont"/>
                <w:rFonts w:eastAsiaTheme="minorHAnsi"/>
                <w:sz w:val="24"/>
                <w:lang w:val="en-US" w:eastAsia="en-US" w:bidi="ar-SA"/>
              </w:rPr>
            </w:pPr>
          </w:p>
          <w:p w:rsidR="00B23B17" w:rsidRPr="005A62DB" w:rsidP="00807190">
            <w:pPr>
              <w:ind w:left="972"/>
              <w:rPr>
                <w:rStyle w:val="DefaultParagraphFont"/>
                <w:rFonts w:eastAsiaTheme="minorHAnsi"/>
                <w:sz w:val="24"/>
                <w:lang w:val="en-US" w:eastAsia="en-US" w:bidi="ar-SA"/>
              </w:rPr>
            </w:pPr>
          </w:p>
          <w:p w:rsidR="00B23B17" w:rsidRPr="005A62DB" w:rsidP="00807190">
            <w:pPr>
              <w:ind w:left="972"/>
              <w:rPr>
                <w:rStyle w:val="DefaultParagraphFont"/>
                <w:rFonts w:eastAsiaTheme="minorHAnsi"/>
                <w:sz w:val="24"/>
                <w:lang w:val="en-US" w:eastAsia="en-US" w:bidi="ar-SA"/>
              </w:rPr>
            </w:pPr>
          </w:p>
          <w:p w:rsidR="00B23B17" w:rsidRPr="005A62DB" w:rsidP="00807190">
            <w:pPr>
              <w:ind w:left="972"/>
              <w:rPr>
                <w:rStyle w:val="DefaultParagraphFont"/>
                <w:b/>
                <w:sz w:val="24"/>
                <w:lang w:val="en-US" w:eastAsia="en-US" w:bidi="ar-SA"/>
              </w:rPr>
            </w:pPr>
          </w:p>
        </w:tc>
      </w:tr>
    </w:tbl>
    <w:p w:rsidR="00142411" w:rsidRPr="00710E80"/>
    <w:sectPr w:rsidSect="00D50439">
      <w:headerReference w:type="even" r:id="rId11"/>
      <w:headerReference w:type="default" r:id="rId12"/>
      <w:footerReference w:type="default" r:id="rId13"/>
      <w:headerReference w:type="firs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4865111"/>
      <w:docPartObj>
        <w:docPartGallery w:val="Page Numbers (Bottom of Page)"/>
        <w:docPartUnique/>
      </w:docPartObj>
    </w:sdtPr>
    <w:sdtEndPr>
      <w:rPr>
        <w:noProof/>
      </w:rPr>
    </w:sdtEndPr>
    <w:sdtContent>
      <w:p w:rsidR="00FB57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4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14E9">
      <w:r>
        <w:separator/>
      </w:r>
    </w:p>
  </w:footnote>
  <w:footnote w:type="continuationSeparator" w:id="1">
    <w:p w:rsidR="002014E9">
      <w:r>
        <w:continuationSeparator/>
      </w:r>
    </w:p>
  </w:footnote>
  <w:footnote w:id="2">
    <w:p w:rsidR="00403929" w:rsidP="00403929">
      <w:pPr>
        <w:pStyle w:val="FootnoteText"/>
      </w:pPr>
      <w:r>
        <w:rPr>
          <w:rStyle w:val="FootnoteReference"/>
        </w:rPr>
        <w:footnoteRef/>
      </w:r>
      <w:r>
        <w:t xml:space="preserve"> Supplemental Stipulation and Recommendation (January 25, 2019) (FirstEnergy Ex. 3) (“Supplemental Settlement”).  “FirstEnergy” refers to </w:t>
      </w:r>
      <w:r>
        <w:rPr>
          <w:szCs w:val="24"/>
        </w:rPr>
        <w:t>Ohio Edison Company, The Cleveland Electric Illuminating Company, and The Toledo Edison Company.</w:t>
      </w:r>
    </w:p>
  </w:footnote>
  <w:footnote w:id="3">
    <w:p w:rsidR="00C7440E">
      <w:pPr>
        <w:pStyle w:val="FootnoteText"/>
      </w:pPr>
      <w:r>
        <w:rPr>
          <w:rStyle w:val="FootnoteReference"/>
        </w:rPr>
        <w:footnoteRef/>
      </w:r>
      <w:r>
        <w:t xml:space="preserve"> If OCC does not respond to an argument made in another party’s initial brief, that fact should not be construed as OCC’s acquiescence to the argument.</w:t>
      </w:r>
    </w:p>
  </w:footnote>
  <w:footnote w:id="4">
    <w:p w:rsidR="00D10A90" w:rsidRPr="00E957E4" w:rsidP="00D10A90">
      <w:pPr>
        <w:pStyle w:val="FootnoteText"/>
      </w:pPr>
      <w:r w:rsidRPr="00E957E4">
        <w:rPr>
          <w:rStyle w:val="FootnoteReference"/>
        </w:rPr>
        <w:footnoteRef/>
      </w:r>
      <w:r w:rsidRPr="00E957E4">
        <w:t xml:space="preserve"> Stipulation and Recommendation (November 9, 2018) (FirstEnergy Ex. 1) (“Original Stipulation”).</w:t>
      </w:r>
    </w:p>
  </w:footnote>
  <w:footnote w:id="5">
    <w:p w:rsidR="002C5A7D">
      <w:pPr>
        <w:pStyle w:val="FootnoteText"/>
      </w:pPr>
      <w:r>
        <w:rPr>
          <w:rStyle w:val="FootnoteReference"/>
        </w:rPr>
        <w:footnoteRef/>
      </w:r>
      <w:r>
        <w:t xml:space="preserve"> The Environmental Law &amp; Policy Center, Natural Resources Defense Council, and Ohio Environmental Council.</w:t>
      </w:r>
    </w:p>
  </w:footnote>
  <w:footnote w:id="6">
    <w:p w:rsidR="00A501AE" w:rsidP="00A501AE">
      <w:pPr>
        <w:pStyle w:val="FootnoteText"/>
      </w:pPr>
      <w:r>
        <w:rPr>
          <w:rStyle w:val="FootnoteReference"/>
        </w:rPr>
        <w:footnoteRef/>
      </w:r>
      <w:r>
        <w:t xml:space="preserve"> The Environmental Defense Fund is a signatory party to the Supplemental Settlement.</w:t>
      </w:r>
    </w:p>
  </w:footnote>
  <w:footnote w:id="7">
    <w:p w:rsidR="00045722" w:rsidRPr="004224D8" w:rsidP="00045722">
      <w:pPr>
        <w:pStyle w:val="FootnoteText"/>
      </w:pPr>
      <w:r>
        <w:rPr>
          <w:rStyle w:val="FootnoteReference"/>
        </w:rPr>
        <w:footnoteRef/>
      </w:r>
      <w:r>
        <w:t xml:space="preserve"> </w:t>
      </w:r>
      <w:r w:rsidRPr="004B78A7">
        <w:rPr>
          <w:i/>
        </w:rPr>
        <w:t>See</w:t>
      </w:r>
      <w:r>
        <w:t xml:space="preserve"> </w:t>
      </w:r>
      <w:r w:rsidRPr="00B72B81">
        <w:rPr>
          <w:i/>
        </w:rPr>
        <w:t>Consumers’ Counsel v. Pub. Util. Comm’n</w:t>
      </w:r>
      <w:r>
        <w:t>. (1992), 64 Ohio St.3d 123, 126.</w:t>
      </w:r>
    </w:p>
  </w:footnote>
  <w:footnote w:id="8">
    <w:p w:rsidR="00AA2B4E">
      <w:pPr>
        <w:pStyle w:val="FootnoteText"/>
      </w:pPr>
      <w:r>
        <w:rPr>
          <w:rStyle w:val="FootnoteReference"/>
        </w:rPr>
        <w:footnoteRef/>
      </w:r>
      <w:r>
        <w:t xml:space="preserve"> OMAEG Brief at 17-18; Kroger Brief at 21.</w:t>
      </w:r>
    </w:p>
  </w:footnote>
  <w:footnote w:id="9">
    <w:p w:rsidR="008C7A30">
      <w:pPr>
        <w:pStyle w:val="FootnoteText"/>
      </w:pPr>
      <w:r>
        <w:rPr>
          <w:rStyle w:val="FootnoteReference"/>
        </w:rPr>
        <w:footnoteRef/>
      </w:r>
      <w:r>
        <w:t xml:space="preserve"> OMAEG Brief at 18; Kroger Brief at 22.</w:t>
      </w:r>
    </w:p>
  </w:footnote>
  <w:footnote w:id="10">
    <w:p w:rsidR="0032791F" w:rsidRPr="008C7A30" w:rsidP="0032791F">
      <w:pPr>
        <w:pStyle w:val="FootnoteText"/>
      </w:pPr>
      <w:r>
        <w:rPr>
          <w:rStyle w:val="FootnoteReference"/>
        </w:rPr>
        <w:footnoteRef/>
      </w:r>
      <w:r>
        <w:t xml:space="preserve"> OMAEG Brief at 18.</w:t>
      </w:r>
    </w:p>
  </w:footnote>
  <w:footnote w:id="11">
    <w:p w:rsidR="00735270" w:rsidP="00735270">
      <w:pPr>
        <w:pStyle w:val="FootnoteText"/>
      </w:pPr>
      <w:r>
        <w:rPr>
          <w:rStyle w:val="FootnoteReference"/>
        </w:rPr>
        <w:footnoteRef/>
      </w:r>
      <w:r>
        <w:t xml:space="preserve"> </w:t>
      </w:r>
      <w:r>
        <w:rPr>
          <w:i/>
        </w:rPr>
        <w:t>See</w:t>
      </w:r>
      <w:r>
        <w:t xml:space="preserve"> OCC Ex. 1 (Willis Testimony) at 7.</w:t>
      </w:r>
    </w:p>
  </w:footnote>
  <w:footnote w:id="12">
    <w:p w:rsidR="004C2D36">
      <w:pPr>
        <w:pStyle w:val="FootnoteText"/>
      </w:pPr>
      <w:r>
        <w:rPr>
          <w:rStyle w:val="FootnoteReference"/>
        </w:rPr>
        <w:footnoteRef/>
      </w:r>
      <w:r>
        <w:t xml:space="preserve"> OMAEG Brief at 19; Kroger Brief at 22.</w:t>
      </w:r>
    </w:p>
  </w:footnote>
  <w:footnote w:id="13">
    <w:p w:rsidR="004C2D36" w:rsidRPr="00B85BF7">
      <w:pPr>
        <w:pStyle w:val="FootnoteText"/>
      </w:pPr>
      <w:r>
        <w:rPr>
          <w:rStyle w:val="FootnoteReference"/>
        </w:rPr>
        <w:footnoteRef/>
      </w:r>
      <w:r>
        <w:t xml:space="preserve"> </w:t>
      </w:r>
      <w:r>
        <w:rPr>
          <w:i/>
        </w:rPr>
        <w:t>See, e.g.,</w:t>
      </w:r>
      <w:r>
        <w:t xml:space="preserve"> </w:t>
      </w:r>
      <w:r w:rsidRPr="001362D1">
        <w:rPr>
          <w:i/>
        </w:rPr>
        <w:t>In the Matter of the Commission Review of the Capacity Charges of Ohio Power Company and Columbus Southern Power Company</w:t>
      </w:r>
      <w:r>
        <w:t>, Case No. 10-2929-EL-UNC, et al., Opinion and Order (February 23, 2017), ¶119.</w:t>
      </w:r>
    </w:p>
  </w:footnote>
  <w:footnote w:id="14">
    <w:p w:rsidR="0051121F" w:rsidRPr="00D10A90" w:rsidP="0051121F">
      <w:pPr>
        <w:pStyle w:val="FootnoteText"/>
      </w:pPr>
      <w:r>
        <w:rPr>
          <w:rStyle w:val="FootnoteReference"/>
        </w:rPr>
        <w:footnoteRef/>
      </w:r>
      <w:r>
        <w:t xml:space="preserve"> Environmental Groups Brief at 16</w:t>
      </w:r>
      <w:r>
        <w:rPr>
          <w:i/>
        </w:rPr>
        <w:t>.</w:t>
      </w:r>
    </w:p>
  </w:footnote>
  <w:footnote w:id="15">
    <w:p w:rsidR="00126F5A" w:rsidP="00126F5A">
      <w:pPr>
        <w:pStyle w:val="FootnoteText"/>
      </w:pPr>
      <w:r>
        <w:rPr>
          <w:rStyle w:val="FootnoteReference"/>
        </w:rPr>
        <w:footnoteRef/>
      </w:r>
      <w:r>
        <w:t xml:space="preserve"> Also, w</w:t>
      </w:r>
      <w:r w:rsidRPr="0026281B">
        <w:t xml:space="preserve">e are not addressing the Environmental Groups’ position on the PUCO’s settlement standards or settlement process.  </w:t>
      </w:r>
    </w:p>
  </w:footnote>
  <w:footnote w:id="16">
    <w:p w:rsidR="00A0764E">
      <w:pPr>
        <w:pStyle w:val="FootnoteText"/>
      </w:pPr>
      <w:r>
        <w:rPr>
          <w:rStyle w:val="FootnoteReference"/>
        </w:rPr>
        <w:footnoteRef/>
      </w:r>
      <w:r>
        <w:t xml:space="preserve"> </w:t>
      </w:r>
      <w:r w:rsidRPr="00E957E4">
        <w:t>OCC Ex. 1 (Willis Testimony) at 6</w:t>
      </w:r>
      <w:r>
        <w:t>.</w:t>
      </w:r>
    </w:p>
  </w:footnote>
  <w:footnote w:id="17">
    <w:p w:rsidR="00A0764E" w:rsidRPr="00D10A90">
      <w:pPr>
        <w:pStyle w:val="FootnoteText"/>
        <w:rPr>
          <w:i/>
        </w:rPr>
      </w:pPr>
      <w:r>
        <w:rPr>
          <w:rStyle w:val="FootnoteReference"/>
        </w:rPr>
        <w:footnoteRef/>
      </w:r>
      <w:r>
        <w:t xml:space="preserve"> </w:t>
      </w:r>
      <w:r>
        <w:rPr>
          <w:i/>
        </w:rPr>
        <w:t>Id.</w:t>
      </w:r>
    </w:p>
  </w:footnote>
  <w:footnote w:id="18">
    <w:p w:rsidR="00113926" w:rsidRPr="00E957E4" w:rsidP="00113926">
      <w:pPr>
        <w:pStyle w:val="FootnoteText"/>
      </w:pPr>
      <w:r w:rsidRPr="00E957E4">
        <w:rPr>
          <w:rStyle w:val="FootnoteReference"/>
        </w:rPr>
        <w:footnoteRef/>
      </w:r>
      <w:r w:rsidRPr="00E957E4">
        <w:t xml:space="preserve"> </w:t>
      </w:r>
      <w:r w:rsidRPr="00E957E4">
        <w:rPr>
          <w:i/>
        </w:rPr>
        <w:t>See</w:t>
      </w:r>
      <w:r>
        <w:t xml:space="preserve"> FirstEnergy Ex. 3 at 3</w:t>
      </w:r>
      <w:r w:rsidRPr="00E957E4">
        <w:t>.</w:t>
      </w:r>
    </w:p>
  </w:footnote>
  <w:footnote w:id="19">
    <w:p w:rsidR="00AA4172" w:rsidRPr="00E957E4" w:rsidP="00AA4172">
      <w:pPr>
        <w:pStyle w:val="FootnoteText"/>
      </w:pPr>
      <w:r w:rsidRPr="00E957E4">
        <w:rPr>
          <w:rStyle w:val="FootnoteReference"/>
        </w:rPr>
        <w:footnoteRef/>
      </w:r>
      <w:r w:rsidRPr="00E957E4">
        <w:t xml:space="preserve"> </w:t>
      </w:r>
      <w:r w:rsidRPr="00E957E4">
        <w:rPr>
          <w:i/>
        </w:rPr>
        <w:t>Id</w:t>
      </w:r>
      <w:r w:rsidRPr="00E957E4">
        <w:t>.</w:t>
      </w:r>
    </w:p>
  </w:footnote>
  <w:footnote w:id="20">
    <w:p w:rsidR="00113926" w:rsidRPr="00E957E4" w:rsidP="00113926">
      <w:pPr>
        <w:pStyle w:val="FootnoteText"/>
      </w:pPr>
      <w:r w:rsidRPr="00E957E4">
        <w:rPr>
          <w:rStyle w:val="FootnoteReference"/>
        </w:rPr>
        <w:footnoteRef/>
      </w:r>
      <w:r w:rsidRPr="00E957E4">
        <w:t xml:space="preserve"> </w:t>
      </w:r>
      <w:r w:rsidRPr="00E957E4">
        <w:rPr>
          <w:i/>
        </w:rPr>
        <w:t>Id</w:t>
      </w:r>
      <w:r w:rsidRPr="00E957E4">
        <w:t>.</w:t>
      </w:r>
      <w:r>
        <w:t xml:space="preserve"> at 4-5.</w:t>
      </w:r>
    </w:p>
  </w:footnote>
  <w:footnote w:id="21">
    <w:p w:rsidR="00113926" w:rsidRPr="00E957E4" w:rsidP="00113926">
      <w:pPr>
        <w:pStyle w:val="FootnoteText"/>
      </w:pPr>
      <w:r w:rsidRPr="00E957E4">
        <w:rPr>
          <w:rStyle w:val="FootnoteReference"/>
        </w:rPr>
        <w:footnoteRef/>
      </w:r>
      <w:r w:rsidRPr="00E957E4">
        <w:t xml:space="preserve"> </w:t>
      </w:r>
      <w:r w:rsidRPr="00E957E4">
        <w:rPr>
          <w:i/>
        </w:rPr>
        <w:t>Id</w:t>
      </w:r>
      <w:r w:rsidRPr="00E957E4">
        <w:t xml:space="preserve"> at </w:t>
      </w:r>
      <w:r>
        <w:t>5-6</w:t>
      </w:r>
      <w:r w:rsidRPr="00E957E4">
        <w:t>.</w:t>
      </w:r>
    </w:p>
  </w:footnote>
  <w:footnote w:id="22">
    <w:p w:rsidR="00113926" w:rsidRPr="00E957E4" w:rsidP="00113926">
      <w:pPr>
        <w:pStyle w:val="FootnoteText"/>
      </w:pPr>
      <w:r w:rsidRPr="00E957E4">
        <w:rPr>
          <w:rStyle w:val="FootnoteReference"/>
        </w:rPr>
        <w:footnoteRef/>
      </w:r>
      <w:r w:rsidRPr="00E957E4">
        <w:t xml:space="preserve"> </w:t>
      </w:r>
      <w:r w:rsidRPr="00E957E4">
        <w:rPr>
          <w:i/>
        </w:rPr>
        <w:t>Id</w:t>
      </w:r>
      <w:r w:rsidRPr="00E957E4">
        <w:t>.</w:t>
      </w:r>
      <w:r>
        <w:t xml:space="preserve">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60527B"/>
    <w:multiLevelType w:val="hybridMultilevel"/>
    <w:tmpl w:val="237A86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53F2672"/>
    <w:multiLevelType w:val="hybridMultilevel"/>
    <w:tmpl w:val="243C64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CC7C2D"/>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locked/>
    <w:rsid w:val="00CC7C2D"/>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character" w:customStyle="1" w:styleId="BodyTextIndent3Char">
    <w:name w:val="Body Text Indent 3 Char"/>
    <w:link w:val="BodyTextIndent3"/>
    <w:rsid w:val="00AB0E97"/>
    <w:rPr>
      <w:sz w:val="24"/>
    </w:rPr>
  </w:style>
  <w:style w:type="character" w:customStyle="1" w:styleId="term">
    <w:name w:val="term"/>
    <w:rsid w:val="00AB0E97"/>
  </w:style>
  <w:style w:type="character" w:customStyle="1" w:styleId="UnresolvedMention3">
    <w:name w:val="Unresolved Mention3"/>
    <w:basedOn w:val="DefaultParagraphFont"/>
    <w:uiPriority w:val="99"/>
    <w:semiHidden/>
    <w:unhideWhenUsed/>
    <w:rsid w:val="00B2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Reply Brief (16-481).docx</vt:lpstr>
    </vt:vector>
  </TitlesOfParts>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2019-03-12T20:39:39Z</dcterms:created>
  <dcterms:modified xsi:type="dcterms:W3CDTF">2019-03-12T20:39:39Z</dcterms:modified>
</cp:coreProperties>
</file>