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390137" w:rsidRPr="006358A7" w:rsidP="00390137" w14:paraId="2ADC6E58" w14:textId="77777777">
      <w:pPr>
        <w:pStyle w:val="List"/>
        <w:ind w:left="0" w:firstLine="0"/>
        <w:jc w:val="center"/>
        <w:rPr>
          <w:b/>
          <w:szCs w:val="24"/>
        </w:rPr>
      </w:pPr>
      <w:r w:rsidRPr="006358A7">
        <w:rPr>
          <w:b/>
          <w:szCs w:val="24"/>
        </w:rPr>
        <w:t>BEFORE</w:t>
      </w:r>
    </w:p>
    <w:p w:rsidR="00390137" w:rsidRPr="006358A7" w:rsidP="00390137" w14:paraId="6581DEEA" w14:textId="77777777">
      <w:pPr>
        <w:pStyle w:val="List"/>
        <w:ind w:left="0" w:firstLine="0"/>
        <w:jc w:val="center"/>
        <w:rPr>
          <w:b/>
          <w:szCs w:val="24"/>
        </w:rPr>
      </w:pPr>
      <w:r w:rsidRPr="006358A7">
        <w:rPr>
          <w:b/>
          <w:szCs w:val="24"/>
        </w:rPr>
        <w:t>THE PUBLIC UTILITIES COMMISSION OF OHIO</w:t>
      </w:r>
    </w:p>
    <w:p w:rsidR="00390137" w:rsidRPr="006358A7" w:rsidP="00390137" w14:paraId="425192A5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8730" w:type="dxa"/>
        <w:tblLook w:val="01E0"/>
      </w:tblPr>
      <w:tblGrid>
        <w:gridCol w:w="4320"/>
        <w:gridCol w:w="296"/>
        <w:gridCol w:w="4114"/>
      </w:tblGrid>
      <w:tr w14:paraId="4DA32363" w14:textId="77777777" w:rsidTr="00D0514F">
        <w:tblPrEx>
          <w:tblW w:w="8730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D748A1" w:rsidP="00D0514F" w14:paraId="5ADAC62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15F014B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to Increase its Rates for Electric Distribution.</w:t>
            </w:r>
          </w:p>
          <w:p w:rsidR="00D748A1" w:rsidRPr="006759E0" w:rsidP="00D0514F" w14:paraId="36578ED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580EB5B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Accounting Authority.</w:t>
            </w:r>
          </w:p>
          <w:p w:rsidR="00D748A1" w:rsidRPr="006759E0" w:rsidP="00D0514F" w14:paraId="475D82B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696BCB5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In the Matter of the Application of Dayton Power and Light Company for Approval of Revised Tariffs.</w:t>
            </w:r>
          </w:p>
        </w:tc>
        <w:tc>
          <w:tcPr>
            <w:tcW w:w="296" w:type="dxa"/>
            <w:shd w:val="clear" w:color="auto" w:fill="auto"/>
          </w:tcPr>
          <w:p w:rsidR="00D748A1" w:rsidP="00D0514F" w14:paraId="6765B3C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43AEE94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2839338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P="00D0514F" w14:paraId="357A5B8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3215CDD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09877B3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2D8FB8D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7DB2D63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50D1BC9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193D1CB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588357D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41CED31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8A1" w:rsidRPr="006759E0" w:rsidP="00D0514F" w14:paraId="3685D5D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  <w:shd w:val="clear" w:color="auto" w:fill="auto"/>
          </w:tcPr>
          <w:p w:rsidR="00D748A1" w:rsidRPr="006759E0" w:rsidP="00D0514F" w14:paraId="4769EFA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P="00D0514F" w14:paraId="461AA86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07BAC0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Case No. 20-1651-EL-AIR</w:t>
            </w:r>
          </w:p>
          <w:p w:rsidR="00D748A1" w:rsidRPr="006759E0" w:rsidP="00D0514F" w14:paraId="2288DBB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77626A4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1593FB5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P="00D0514F" w14:paraId="691EE30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60F9090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Case No. 20-1652-EL-AAM</w:t>
            </w:r>
          </w:p>
          <w:p w:rsidR="00D748A1" w:rsidRPr="006759E0" w:rsidP="00D0514F" w14:paraId="4CDCC1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4C0ADC5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57B35F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1" w:rsidRPr="006759E0" w:rsidP="00D0514F" w14:paraId="17525C1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Case No. 20-1653-EL-ATA</w:t>
            </w:r>
          </w:p>
        </w:tc>
      </w:tr>
    </w:tbl>
    <w:p w:rsidR="00AA2AA1" w:rsidRPr="006358A7" w:rsidP="00AA2AA1" w14:paraId="22501982" w14:textId="77777777">
      <w:pPr>
        <w:pBdr>
          <w:bottom w:val="single" w:sz="12" w:space="1" w:color="auto"/>
        </w:pBdr>
        <w:rPr>
          <w:szCs w:val="24"/>
        </w:rPr>
      </w:pPr>
    </w:p>
    <w:p w:rsidR="00AA2AA1" w:rsidRPr="006358A7" w:rsidP="00AA2AA1" w14:paraId="75EF4712" w14:textId="77777777">
      <w:pPr>
        <w:rPr>
          <w:b/>
          <w:bCs/>
          <w:szCs w:val="24"/>
        </w:rPr>
      </w:pPr>
    </w:p>
    <w:p w:rsidR="00AA2AA1" w:rsidRPr="006358A7" w:rsidP="00AA2AA1" w14:paraId="77867C3D" w14:textId="77777777">
      <w:pPr>
        <w:jc w:val="center"/>
        <w:rPr>
          <w:b/>
          <w:bCs/>
          <w:szCs w:val="24"/>
        </w:rPr>
      </w:pPr>
      <w:r w:rsidRPr="006358A7">
        <w:rPr>
          <w:b/>
          <w:bCs/>
          <w:szCs w:val="24"/>
        </w:rPr>
        <w:t xml:space="preserve">MOTION TO STRIKE </w:t>
      </w:r>
    </w:p>
    <w:p w:rsidR="00AA2AA1" w:rsidRPr="006358A7" w:rsidP="00AA2AA1" w14:paraId="7D59365A" w14:textId="77777777">
      <w:pPr>
        <w:jc w:val="center"/>
        <w:rPr>
          <w:b/>
          <w:bCs/>
          <w:szCs w:val="24"/>
        </w:rPr>
      </w:pPr>
      <w:r w:rsidRPr="006358A7">
        <w:rPr>
          <w:b/>
          <w:szCs w:val="24"/>
        </w:rPr>
        <w:t>BY</w:t>
      </w:r>
    </w:p>
    <w:p w:rsidR="00AA2AA1" w:rsidRPr="006358A7" w:rsidP="00AA2AA1" w14:paraId="6287272F" w14:textId="77777777">
      <w:pPr>
        <w:pBdr>
          <w:bottom w:val="single" w:sz="12" w:space="1" w:color="auto"/>
        </w:pBdr>
        <w:jc w:val="center"/>
        <w:rPr>
          <w:b/>
          <w:szCs w:val="24"/>
        </w:rPr>
      </w:pPr>
      <w:r w:rsidRPr="006358A7">
        <w:rPr>
          <w:b/>
          <w:szCs w:val="24"/>
        </w:rPr>
        <w:t>OFFICE OF THE OHIO CONSUMERS’ COUNSEL</w:t>
      </w:r>
    </w:p>
    <w:p w:rsidR="00AA2AA1" w:rsidRPr="006358A7" w:rsidP="00AA2AA1" w14:paraId="75F72617" w14:textId="77777777">
      <w:pPr>
        <w:pBdr>
          <w:bottom w:val="single" w:sz="12" w:space="1" w:color="auto"/>
        </w:pBdr>
        <w:spacing w:after="240"/>
        <w:jc w:val="center"/>
        <w:rPr>
          <w:b/>
          <w:bCs/>
          <w:szCs w:val="24"/>
        </w:rPr>
      </w:pPr>
    </w:p>
    <w:p w:rsidR="009D3C63" w:rsidRPr="006358A7" w:rsidP="009D3C63" w14:paraId="72DD24D7" w14:textId="788855D7">
      <w:pPr>
        <w:spacing w:line="480" w:lineRule="auto"/>
        <w:ind w:firstLine="720"/>
        <w:rPr>
          <w:szCs w:val="24"/>
        </w:rPr>
      </w:pPr>
      <w:r>
        <w:rPr>
          <w:szCs w:val="24"/>
        </w:rPr>
        <w:t>In an attempt to strengthen its position, DP&amp;L introduced new non-record evidence in the May 18, 2022 oral argument</w:t>
      </w:r>
      <w:r w:rsidR="00F65677">
        <w:rPr>
          <w:szCs w:val="24"/>
        </w:rPr>
        <w:t>, consisting of recent credit rating agencies’ reports on the impact a rate freeze would have on DP&amp;L’s credit ratings</w:t>
      </w:r>
      <w:r w:rsidR="00623F9C">
        <w:rPr>
          <w:szCs w:val="24"/>
        </w:rPr>
        <w:t>.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The PUCO should strike the non-record evidence DP&amp;L included in its oral argument beginning at page 13, line 22, through page 14, line 5. </w:t>
      </w:r>
    </w:p>
    <w:p w:rsidR="008D4507" w:rsidP="006C12A2" w14:paraId="3AE983FC" w14:textId="69D60CE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At oral argument, </w:t>
      </w:r>
      <w:r w:rsidR="00B81B2E">
        <w:rPr>
          <w:szCs w:val="24"/>
        </w:rPr>
        <w:t>DP&amp;L</w:t>
      </w:r>
      <w:r>
        <w:rPr>
          <w:szCs w:val="24"/>
        </w:rPr>
        <w:t xml:space="preserve"> </w:t>
      </w:r>
      <w:r w:rsidR="00B81B2E">
        <w:rPr>
          <w:szCs w:val="24"/>
        </w:rPr>
        <w:t xml:space="preserve">continued its efforts to </w:t>
      </w:r>
      <w:r>
        <w:rPr>
          <w:szCs w:val="24"/>
        </w:rPr>
        <w:t>justify its non-</w:t>
      </w:r>
      <w:r w:rsidR="00564001">
        <w:rPr>
          <w:szCs w:val="24"/>
        </w:rPr>
        <w:t>fulfillment</w:t>
      </w:r>
      <w:r>
        <w:rPr>
          <w:szCs w:val="24"/>
        </w:rPr>
        <w:t xml:space="preserve"> </w:t>
      </w:r>
      <w:r w:rsidR="00564001">
        <w:rPr>
          <w:szCs w:val="24"/>
        </w:rPr>
        <w:t>of</w:t>
      </w:r>
      <w:r w:rsidR="00C77AB9">
        <w:rPr>
          <w:szCs w:val="24"/>
        </w:rPr>
        <w:t xml:space="preserve"> </w:t>
      </w:r>
      <w:r>
        <w:rPr>
          <w:szCs w:val="24"/>
        </w:rPr>
        <w:t xml:space="preserve">the distribution rate freeze </w:t>
      </w:r>
      <w:r w:rsidR="00564001">
        <w:rPr>
          <w:szCs w:val="24"/>
        </w:rPr>
        <w:t xml:space="preserve">promise </w:t>
      </w:r>
      <w:r>
        <w:rPr>
          <w:szCs w:val="24"/>
        </w:rPr>
        <w:t>it agreed to and the PUCO approved as part of DP&amp;L’s 2009 electric security plan</w:t>
      </w:r>
      <w:r w:rsidR="00564001">
        <w:rPr>
          <w:szCs w:val="24"/>
        </w:rPr>
        <w:t xml:space="preserve"> settlement</w:t>
      </w:r>
      <w:r w:rsidR="00F65677">
        <w:rPr>
          <w:szCs w:val="24"/>
        </w:rPr>
        <w:t>.</w:t>
      </w:r>
      <w:r>
        <w:rPr>
          <w:szCs w:val="24"/>
        </w:rPr>
        <w:t xml:space="preserve"> </w:t>
      </w:r>
      <w:r w:rsidR="00FB512F">
        <w:rPr>
          <w:szCs w:val="24"/>
        </w:rPr>
        <w:t xml:space="preserve">Seeking to </w:t>
      </w:r>
      <w:r>
        <w:rPr>
          <w:szCs w:val="24"/>
        </w:rPr>
        <w:t>have its cake and eat it too</w:t>
      </w:r>
      <w:r w:rsidR="00FB512F">
        <w:rPr>
          <w:szCs w:val="24"/>
        </w:rPr>
        <w:t xml:space="preserve">, </w:t>
      </w:r>
      <w:r w:rsidR="00564001">
        <w:rPr>
          <w:szCs w:val="24"/>
        </w:rPr>
        <w:t>DP&amp;L</w:t>
      </w:r>
      <w:r w:rsidR="00FB512F">
        <w:rPr>
          <w:szCs w:val="24"/>
        </w:rPr>
        <w:t xml:space="preserve"> </w:t>
      </w:r>
      <w:r>
        <w:rPr>
          <w:szCs w:val="24"/>
        </w:rPr>
        <w:t>proposes to charge nearly half a million residential consumers</w:t>
      </w:r>
      <w:r w:rsidR="00C3165A">
        <w:rPr>
          <w:szCs w:val="24"/>
        </w:rPr>
        <w:t xml:space="preserve"> an additional $120.8 million per year for electric distribution service</w:t>
      </w:r>
      <w:r>
        <w:rPr>
          <w:szCs w:val="24"/>
        </w:rPr>
        <w:t xml:space="preserve"> while at the same time </w:t>
      </w:r>
      <w:r w:rsidR="00FB512F">
        <w:rPr>
          <w:szCs w:val="24"/>
        </w:rPr>
        <w:t>collecting</w:t>
      </w:r>
      <w:r w:rsidR="00C77AB9">
        <w:rPr>
          <w:szCs w:val="24"/>
        </w:rPr>
        <w:t xml:space="preserve"> </w:t>
      </w:r>
      <w:r>
        <w:rPr>
          <w:szCs w:val="24"/>
        </w:rPr>
        <w:t xml:space="preserve">a $76 </w:t>
      </w:r>
      <w:r>
        <w:rPr>
          <w:szCs w:val="24"/>
        </w:rPr>
        <w:t>million per year so-called stability charge</w:t>
      </w:r>
      <w:r w:rsidR="00FB512F">
        <w:rPr>
          <w:szCs w:val="24"/>
        </w:rPr>
        <w:t xml:space="preserve"> from consumers</w:t>
      </w:r>
      <w:r>
        <w:rPr>
          <w:szCs w:val="24"/>
        </w:rPr>
        <w:t>. But that is contrary to its 2009 agreement and contrary to the PUCO Order approving that agreement.</w:t>
      </w:r>
      <w:r>
        <w:rPr>
          <w:rStyle w:val="FootnoteReference"/>
          <w:szCs w:val="24"/>
        </w:rPr>
        <w:footnoteReference w:id="3"/>
      </w:r>
    </w:p>
    <w:p w:rsidR="00AA2AA1" w:rsidP="00AA2AA1" w14:paraId="4BE57052" w14:textId="77777777">
      <w:pPr>
        <w:spacing w:line="480" w:lineRule="auto"/>
        <w:rPr>
          <w:szCs w:val="24"/>
        </w:rPr>
      </w:pPr>
      <w:r w:rsidRPr="006358A7">
        <w:rPr>
          <w:szCs w:val="24"/>
        </w:rPr>
        <w:tab/>
        <w:t xml:space="preserve">The grounds for this Motion to Strike are </w:t>
      </w:r>
      <w:r w:rsidR="00600AAC">
        <w:rPr>
          <w:szCs w:val="24"/>
        </w:rPr>
        <w:t xml:space="preserve">further </w:t>
      </w:r>
      <w:r w:rsidRPr="006358A7">
        <w:rPr>
          <w:szCs w:val="24"/>
        </w:rPr>
        <w:t>described</w:t>
      </w:r>
      <w:r>
        <w:rPr>
          <w:szCs w:val="24"/>
        </w:rPr>
        <w:t xml:space="preserve"> </w:t>
      </w:r>
      <w:r w:rsidRPr="006358A7">
        <w:rPr>
          <w:szCs w:val="24"/>
        </w:rPr>
        <w:t xml:space="preserve">in the attached Memorandum in Support. </w:t>
      </w:r>
    </w:p>
    <w:p w:rsidR="00D748A1" w:rsidRPr="006759E0" w:rsidP="00D748A1" w14:paraId="19B32352" w14:textId="77777777">
      <w:pPr>
        <w:pStyle w:val="ListParagraph"/>
        <w:ind w:left="4320"/>
      </w:pPr>
      <w:r w:rsidRPr="006759E0">
        <w:t xml:space="preserve">Respectfully submitted, </w:t>
      </w:r>
    </w:p>
    <w:p w:rsidR="00D748A1" w:rsidRPr="006759E0" w:rsidP="00D748A1" w14:paraId="085EBD43" w14:textId="77777777">
      <w:pPr>
        <w:pStyle w:val="ListParagraph"/>
        <w:ind w:left="4320"/>
      </w:pPr>
    </w:p>
    <w:p w:rsidR="00D748A1" w:rsidRPr="006759E0" w:rsidP="00D748A1" w14:paraId="358F56DB" w14:textId="77777777">
      <w:pPr>
        <w:pStyle w:val="ListParagraph"/>
        <w:ind w:left="4320"/>
      </w:pPr>
      <w:r w:rsidRPr="006759E0">
        <w:t xml:space="preserve">Bruce Weston (0016973) </w:t>
      </w:r>
      <w:r w:rsidRPr="006759E0">
        <w:br/>
        <w:t xml:space="preserve">Ohio Consumers’ Counsel </w:t>
      </w:r>
      <w:r w:rsidRPr="006759E0">
        <w:br/>
      </w:r>
    </w:p>
    <w:p w:rsidR="00D748A1" w:rsidRPr="006759E0" w:rsidP="00D748A1" w14:paraId="5703ED25" w14:textId="43B63BB8">
      <w:pPr>
        <w:pStyle w:val="ListParagraph"/>
        <w:ind w:left="4320"/>
      </w:pPr>
      <w:r w:rsidRPr="00D748A1">
        <w:rPr>
          <w:i/>
          <w:iCs/>
          <w:u w:val="single"/>
        </w:rPr>
        <w:t>/s/</w:t>
      </w:r>
      <w:r w:rsidRPr="006759E0">
        <w:rPr>
          <w:u w:val="single"/>
        </w:rPr>
        <w:t xml:space="preserve"> </w:t>
      </w:r>
      <w:r>
        <w:rPr>
          <w:i/>
          <w:iCs/>
          <w:u w:val="single"/>
        </w:rPr>
        <w:t>John Finnigan</w:t>
      </w:r>
      <w:r>
        <w:rPr>
          <w:i/>
          <w:iCs/>
          <w:u w:val="single"/>
        </w:rPr>
        <w:tab/>
      </w:r>
      <w:r w:rsidRPr="006759E0">
        <w:t xml:space="preserve"> </w:t>
      </w:r>
      <w:r w:rsidRPr="006759E0">
        <w:br/>
        <w:t xml:space="preserve">John Finnigan (0018689) </w:t>
      </w:r>
      <w:r w:rsidRPr="006759E0">
        <w:br/>
        <w:t xml:space="preserve">Counsel of Record </w:t>
      </w:r>
      <w:r w:rsidRPr="006759E0">
        <w:br/>
        <w:t xml:space="preserve">Ambrosia E. Wilson (0096598) </w:t>
      </w:r>
      <w:r w:rsidRPr="006759E0">
        <w:br/>
        <w:t xml:space="preserve">Assistant Consumers' Counsel </w:t>
      </w:r>
    </w:p>
    <w:p w:rsidR="00D748A1" w:rsidRPr="006759E0" w:rsidP="00D748A1" w14:paraId="4CAD7943" w14:textId="77777777">
      <w:pPr>
        <w:pStyle w:val="ListParagraph"/>
        <w:ind w:left="4320"/>
      </w:pPr>
    </w:p>
    <w:p w:rsidR="00D748A1" w:rsidRPr="006759E0" w:rsidP="00D748A1" w14:paraId="3611CA7E" w14:textId="77777777">
      <w:pPr>
        <w:pStyle w:val="ListParagraph"/>
        <w:ind w:left="4320"/>
      </w:pPr>
      <w:r w:rsidRPr="006759E0">
        <w:rPr>
          <w:b/>
          <w:bCs/>
        </w:rPr>
        <w:t>Office of the Ohio Consumers' Counsel</w:t>
      </w:r>
    </w:p>
    <w:p w:rsidR="00D748A1" w:rsidRPr="006759E0" w:rsidP="00D748A1" w14:paraId="639224BB" w14:textId="77777777">
      <w:pPr>
        <w:pStyle w:val="ListParagraph"/>
        <w:ind w:left="4320"/>
      </w:pPr>
      <w:r w:rsidRPr="006759E0">
        <w:t xml:space="preserve">65 East State Street, Suite 700 </w:t>
      </w:r>
      <w:r w:rsidRPr="006759E0">
        <w:br/>
        <w:t xml:space="preserve">Columbus, Ohio 43215 </w:t>
      </w:r>
      <w:r w:rsidRPr="006759E0">
        <w:br/>
        <w:t xml:space="preserve">Telephone [Finnigan]: (614) 466-9585 </w:t>
      </w:r>
    </w:p>
    <w:p w:rsidR="00D748A1" w:rsidRPr="006759E0" w:rsidP="00D748A1" w14:paraId="7897F56B" w14:textId="77777777">
      <w:pPr>
        <w:pStyle w:val="ListParagraph"/>
        <w:ind w:left="4320"/>
      </w:pPr>
      <w:r w:rsidRPr="006759E0">
        <w:t xml:space="preserve">Telephone [Wilson]: (614) 466-1292 </w:t>
      </w:r>
      <w:hyperlink r:id="rId6" w:history="1">
        <w:r w:rsidRPr="006759E0">
          <w:rPr>
            <w:rStyle w:val="Hyperlink"/>
            <w:color w:val="0000FF"/>
          </w:rPr>
          <w:t>john.finnigan@occ.ohio.gov</w:t>
        </w:r>
      </w:hyperlink>
      <w:r w:rsidRPr="006759E0">
        <w:rPr>
          <w:color w:val="0000FF"/>
        </w:rPr>
        <w:t xml:space="preserve"> </w:t>
      </w:r>
      <w:hyperlink r:id="rId7" w:history="1">
        <w:r w:rsidRPr="006759E0">
          <w:rPr>
            <w:rStyle w:val="Hyperlink"/>
            <w:color w:val="0000FF"/>
          </w:rPr>
          <w:t>ambrosia.wilson@occ.ohio.gov</w:t>
        </w:r>
      </w:hyperlink>
      <w:r w:rsidRPr="006759E0">
        <w:t xml:space="preserve"> </w:t>
      </w:r>
    </w:p>
    <w:p w:rsidR="00D748A1" w:rsidRPr="006759E0" w:rsidP="00D748A1" w14:paraId="78AF01C1" w14:textId="77777777">
      <w:pPr>
        <w:pStyle w:val="ListParagraph"/>
        <w:ind w:left="4320"/>
      </w:pPr>
      <w:r w:rsidRPr="006759E0">
        <w:t>(willing to accept service by e-mail)</w:t>
      </w:r>
    </w:p>
    <w:p w:rsidR="00C77AB9" w:rsidP="00AA2AA1" w14:paraId="04162E08" w14:textId="77777777">
      <w:pPr>
        <w:spacing w:line="480" w:lineRule="auto"/>
        <w:rPr>
          <w:szCs w:val="24"/>
        </w:rPr>
        <w:sectPr w:rsidSect="00F910B4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724CEB" w:rsidRPr="006358A7" w:rsidP="00724CEB" w14:paraId="2B61E854" w14:textId="77777777">
      <w:pPr>
        <w:pStyle w:val="List"/>
        <w:ind w:left="0" w:firstLine="0"/>
        <w:jc w:val="center"/>
        <w:rPr>
          <w:b/>
          <w:szCs w:val="24"/>
        </w:rPr>
      </w:pPr>
      <w:r w:rsidRPr="006358A7">
        <w:rPr>
          <w:b/>
          <w:szCs w:val="24"/>
        </w:rPr>
        <w:t>BEFORE</w:t>
      </w:r>
    </w:p>
    <w:p w:rsidR="00724CEB" w:rsidRPr="006358A7" w:rsidP="00724CEB" w14:paraId="661A998F" w14:textId="77777777">
      <w:pPr>
        <w:pStyle w:val="List"/>
        <w:ind w:left="0" w:firstLine="0"/>
        <w:jc w:val="center"/>
        <w:rPr>
          <w:b/>
          <w:szCs w:val="24"/>
        </w:rPr>
      </w:pPr>
      <w:r w:rsidRPr="006358A7">
        <w:rPr>
          <w:b/>
          <w:szCs w:val="24"/>
        </w:rPr>
        <w:t>THE PUBLIC UTILITIES COMMISSION OF OHIO</w:t>
      </w:r>
    </w:p>
    <w:tbl>
      <w:tblPr>
        <w:tblW w:w="8730" w:type="dxa"/>
        <w:tblLook w:val="01E0"/>
      </w:tblPr>
      <w:tblGrid>
        <w:gridCol w:w="4320"/>
        <w:gridCol w:w="296"/>
        <w:gridCol w:w="4114"/>
      </w:tblGrid>
      <w:tr w14:paraId="6169C23C" w14:textId="77777777" w:rsidTr="007E0535">
        <w:tblPrEx>
          <w:tblW w:w="8730" w:type="dxa"/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724CEB" w:rsidP="007E0535" w14:paraId="75CBBEE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5C136170" w14:textId="0EA1F1F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to Increase its Rates for Electric Distribution.</w:t>
            </w:r>
          </w:p>
          <w:p w:rsidR="00BB1D3F" w:rsidRPr="006759E0" w:rsidP="007E0535" w14:paraId="6E8DDBC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533556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Accounting Authority.</w:t>
            </w:r>
          </w:p>
          <w:p w:rsidR="00BB1D3F" w:rsidRPr="006759E0" w:rsidP="007E0535" w14:paraId="40380A5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40F1671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In the Matter of the Application of Dayton Power and Light Company for Approval of Revised Tariffs.</w:t>
            </w:r>
          </w:p>
        </w:tc>
        <w:tc>
          <w:tcPr>
            <w:tcW w:w="296" w:type="dxa"/>
            <w:shd w:val="clear" w:color="auto" w:fill="auto"/>
          </w:tcPr>
          <w:p w:rsidR="00724CEB" w:rsidP="007E0535" w14:paraId="3ACA601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080D0C77" w14:textId="2467BD0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77A3F7A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P="007E0535" w14:paraId="686104B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6CFE666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76AB3E4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22821BD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7473CBE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1962E00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0138FE2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027AEB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40BA6B3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D3F" w:rsidRPr="006759E0" w:rsidP="007E0535" w14:paraId="4AB0338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  <w:shd w:val="clear" w:color="auto" w:fill="auto"/>
          </w:tcPr>
          <w:p w:rsidR="00BB1D3F" w:rsidRPr="006759E0" w:rsidP="007E0535" w14:paraId="64B6582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EB" w:rsidP="007E0535" w14:paraId="7337156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426199C7" w14:textId="00D47FC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Case No. 20-1651-EL-AIR</w:t>
            </w:r>
          </w:p>
          <w:p w:rsidR="00BB1D3F" w:rsidRPr="006759E0" w:rsidP="007E0535" w14:paraId="355542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22E7249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1872A6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EB" w:rsidP="007E0535" w14:paraId="0527518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016A051F" w14:textId="233D63B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Case No. 20-1652-EL-AAM</w:t>
            </w:r>
          </w:p>
          <w:p w:rsidR="00BB1D3F" w:rsidRPr="006759E0" w:rsidP="007E0535" w14:paraId="5B53257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1FD130B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374652F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3F" w:rsidRPr="006759E0" w:rsidP="007E0535" w14:paraId="1FE9A4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759E0">
              <w:rPr>
                <w:rFonts w:ascii="Times New Roman" w:hAnsi="Times New Roman" w:cs="Times New Roman"/>
                <w:sz w:val="24"/>
                <w:szCs w:val="24"/>
              </w:rPr>
              <w:t>Case No. 20-1653-EL-ATA</w:t>
            </w:r>
          </w:p>
        </w:tc>
      </w:tr>
    </w:tbl>
    <w:p w:rsidR="00AA2AA1" w:rsidRPr="006358A7" w:rsidP="00AA2AA1" w14:paraId="366F29D8" w14:textId="77777777">
      <w:pPr>
        <w:pBdr>
          <w:bottom w:val="single" w:sz="12" w:space="1" w:color="auto"/>
        </w:pBdr>
        <w:rPr>
          <w:szCs w:val="24"/>
        </w:rPr>
      </w:pPr>
    </w:p>
    <w:p w:rsidR="00AA2AA1" w:rsidRPr="006358A7" w:rsidP="00AA2AA1" w14:paraId="61A5028F" w14:textId="77777777">
      <w:pPr>
        <w:rPr>
          <w:b/>
          <w:bCs/>
          <w:szCs w:val="24"/>
        </w:rPr>
      </w:pPr>
    </w:p>
    <w:p w:rsidR="00AA2AA1" w:rsidRPr="006358A7" w:rsidP="00AA2AA1" w14:paraId="125FFF8B" w14:textId="77777777">
      <w:pPr>
        <w:jc w:val="center"/>
        <w:rPr>
          <w:b/>
          <w:bCs/>
          <w:szCs w:val="24"/>
        </w:rPr>
      </w:pPr>
      <w:r w:rsidRPr="006358A7">
        <w:rPr>
          <w:b/>
          <w:bCs/>
          <w:szCs w:val="24"/>
        </w:rPr>
        <w:t xml:space="preserve">MEMORANDUM IN SUPPORT </w:t>
      </w:r>
    </w:p>
    <w:p w:rsidR="00AA2AA1" w:rsidRPr="006358A7" w:rsidP="00AA2AA1" w14:paraId="07DB37F0" w14:textId="77777777">
      <w:pPr>
        <w:pBdr>
          <w:bottom w:val="single" w:sz="12" w:space="1" w:color="auto"/>
        </w:pBdr>
        <w:spacing w:after="240"/>
        <w:rPr>
          <w:b/>
          <w:bCs/>
          <w:szCs w:val="24"/>
        </w:rPr>
      </w:pPr>
    </w:p>
    <w:p w:rsidR="003D152F" w:rsidP="0074568A" w14:paraId="532F6E74" w14:textId="7A21E08A">
      <w:pPr>
        <w:spacing w:line="480" w:lineRule="auto"/>
        <w:ind w:firstLine="720"/>
        <w:rPr>
          <w:szCs w:val="24"/>
        </w:rPr>
      </w:pPr>
      <w:r>
        <w:rPr>
          <w:szCs w:val="24"/>
        </w:rPr>
        <w:t>On May 18, 2022, the PUCO held an oral argument in this case</w:t>
      </w:r>
      <w:r w:rsidR="00423E3A">
        <w:rPr>
          <w:szCs w:val="24"/>
        </w:rPr>
        <w:t xml:space="preserve">, in response to DP&amp;L’s </w:t>
      </w:r>
      <w:r w:rsidR="00731034">
        <w:rPr>
          <w:szCs w:val="24"/>
        </w:rPr>
        <w:t>r</w:t>
      </w:r>
      <w:r w:rsidR="00423E3A">
        <w:rPr>
          <w:szCs w:val="24"/>
        </w:rPr>
        <w:t>equest</w:t>
      </w:r>
      <w:r w:rsidR="00F65677">
        <w:rPr>
          <w:szCs w:val="24"/>
        </w:rPr>
        <w:t>,</w:t>
      </w:r>
      <w:r>
        <w:rPr>
          <w:rStyle w:val="FootnoteReference"/>
          <w:szCs w:val="24"/>
        </w:rPr>
        <w:footnoteReference w:id="4"/>
      </w:r>
      <w:r w:rsidR="00423E3A">
        <w:rPr>
          <w:szCs w:val="24"/>
        </w:rPr>
        <w:t xml:space="preserve"> which was opposed by OCC.</w:t>
      </w:r>
      <w:r>
        <w:rPr>
          <w:rStyle w:val="FootnoteReference"/>
          <w:szCs w:val="24"/>
        </w:rPr>
        <w:footnoteReference w:id="5"/>
      </w:r>
      <w:r w:rsidR="006C12A2">
        <w:rPr>
          <w:szCs w:val="24"/>
        </w:rPr>
        <w:t xml:space="preserve"> </w:t>
      </w:r>
      <w:r w:rsidR="00423E3A">
        <w:rPr>
          <w:szCs w:val="24"/>
        </w:rPr>
        <w:t xml:space="preserve">In </w:t>
      </w:r>
      <w:r>
        <w:rPr>
          <w:szCs w:val="24"/>
        </w:rPr>
        <w:t>opening remarks</w:t>
      </w:r>
      <w:r w:rsidR="00623F9C">
        <w:rPr>
          <w:szCs w:val="24"/>
        </w:rPr>
        <w:t xml:space="preserve">. </w:t>
      </w:r>
      <w:r>
        <w:rPr>
          <w:szCs w:val="24"/>
        </w:rPr>
        <w:t xml:space="preserve"> Chair French indicated that the argument “is not an opportunity to introduce new evidence in the case.”</w:t>
      </w:r>
      <w:r>
        <w:rPr>
          <w:rStyle w:val="FootnoteReference"/>
          <w:szCs w:val="24"/>
        </w:rPr>
        <w:footnoteReference w:id="6"/>
      </w:r>
      <w:r>
        <w:rPr>
          <w:szCs w:val="24"/>
        </w:rPr>
        <w:t xml:space="preserve"> Chair French also ruled that the arguments “will be incorporated into the official record of this case.”</w:t>
      </w:r>
      <w:r>
        <w:rPr>
          <w:rStyle w:val="FootnoteReference"/>
          <w:szCs w:val="24"/>
        </w:rPr>
        <w:footnoteReference w:id="7"/>
      </w:r>
      <w:r w:rsidR="00C77AB9">
        <w:rPr>
          <w:szCs w:val="24"/>
        </w:rPr>
        <w:t xml:space="preserve"> </w:t>
      </w:r>
    </w:p>
    <w:p w:rsidR="005B62E5" w:rsidP="0074568A" w14:paraId="50A1FA42" w14:textId="1BA94EED">
      <w:pPr>
        <w:spacing w:line="480" w:lineRule="auto"/>
        <w:ind w:firstLine="720"/>
        <w:rPr>
          <w:szCs w:val="24"/>
        </w:rPr>
      </w:pPr>
      <w:r>
        <w:rPr>
          <w:szCs w:val="24"/>
        </w:rPr>
        <w:t>Nonetheless, DP&amp;L</w:t>
      </w:r>
      <w:r w:rsidR="00F549BB">
        <w:rPr>
          <w:szCs w:val="24"/>
        </w:rPr>
        <w:t xml:space="preserve"> </w:t>
      </w:r>
      <w:r>
        <w:rPr>
          <w:szCs w:val="24"/>
        </w:rPr>
        <w:t xml:space="preserve">introduced new, </w:t>
      </w:r>
      <w:r w:rsidR="00F549BB">
        <w:rPr>
          <w:szCs w:val="24"/>
        </w:rPr>
        <w:t>non-record materials</w:t>
      </w:r>
      <w:r w:rsidR="009858F9">
        <w:rPr>
          <w:szCs w:val="24"/>
        </w:rPr>
        <w:t xml:space="preserve"> during oral argument</w:t>
      </w:r>
      <w:r>
        <w:rPr>
          <w:szCs w:val="24"/>
        </w:rPr>
        <w:t xml:space="preserve"> pertaining to</w:t>
      </w:r>
      <w:r w:rsidR="00423E3A">
        <w:rPr>
          <w:szCs w:val="24"/>
        </w:rPr>
        <w:t xml:space="preserve"> recent credit rating agencies</w:t>
      </w:r>
      <w:r w:rsidR="009C75AC">
        <w:rPr>
          <w:szCs w:val="24"/>
        </w:rPr>
        <w:t>’</w:t>
      </w:r>
      <w:r w:rsidR="00423E3A">
        <w:rPr>
          <w:szCs w:val="24"/>
        </w:rPr>
        <w:t xml:space="preserve"> reports on the impact a rate freeze would have on DP&amp;L’s credit ratings</w:t>
      </w:r>
      <w:r w:rsidR="00F549BB">
        <w:rPr>
          <w:szCs w:val="24"/>
        </w:rPr>
        <w:t>.</w:t>
      </w:r>
      <w:r>
        <w:rPr>
          <w:rStyle w:val="FootnoteReference"/>
          <w:szCs w:val="24"/>
        </w:rPr>
        <w:footnoteReference w:id="8"/>
      </w:r>
      <w:r w:rsidR="00F549BB">
        <w:rPr>
          <w:szCs w:val="24"/>
        </w:rPr>
        <w:t xml:space="preserve"> </w:t>
      </w:r>
      <w:r>
        <w:rPr>
          <w:szCs w:val="24"/>
        </w:rPr>
        <w:t>DP&amp;L</w:t>
      </w:r>
      <w:r w:rsidR="00372D59">
        <w:rPr>
          <w:szCs w:val="24"/>
        </w:rPr>
        <w:t xml:space="preserve"> </w:t>
      </w:r>
      <w:r w:rsidR="0074568A">
        <w:rPr>
          <w:szCs w:val="24"/>
        </w:rPr>
        <w:t>claimed</w:t>
      </w:r>
      <w:r w:rsidR="00372D59">
        <w:rPr>
          <w:szCs w:val="24"/>
        </w:rPr>
        <w:t xml:space="preserve"> that credit rating agencies “</w:t>
      </w:r>
      <w:r>
        <w:rPr>
          <w:szCs w:val="24"/>
        </w:rPr>
        <w:t xml:space="preserve">recently </w:t>
      </w:r>
      <w:r w:rsidR="00372D59">
        <w:rPr>
          <w:szCs w:val="24"/>
        </w:rPr>
        <w:t>issued reports that say</w:t>
      </w:r>
      <w:r w:rsidR="0074568A">
        <w:rPr>
          <w:szCs w:val="24"/>
        </w:rPr>
        <w:t>…</w:t>
      </w:r>
      <w:r w:rsidR="00372D59">
        <w:rPr>
          <w:szCs w:val="24"/>
        </w:rPr>
        <w:t>a rate freeze would have an adverse impact on AES Ohio’s credit ratings.”</w:t>
      </w:r>
      <w:r>
        <w:rPr>
          <w:rStyle w:val="FootnoteReference"/>
          <w:szCs w:val="24"/>
        </w:rPr>
        <w:footnoteReference w:id="9"/>
      </w:r>
      <w:r w:rsidR="0074568A">
        <w:rPr>
          <w:szCs w:val="24"/>
        </w:rPr>
        <w:t xml:space="preserve"> In full, </w:t>
      </w:r>
      <w:r w:rsidR="00564001">
        <w:rPr>
          <w:szCs w:val="24"/>
        </w:rPr>
        <w:t>DP&amp;L</w:t>
      </w:r>
      <w:r w:rsidR="0074568A">
        <w:rPr>
          <w:szCs w:val="24"/>
        </w:rPr>
        <w:t xml:space="preserve"> discussed credit agency reports from </w:t>
      </w:r>
      <w:r w:rsidR="001C32BD">
        <w:rPr>
          <w:szCs w:val="24"/>
        </w:rPr>
        <w:t xml:space="preserve">the </w:t>
      </w:r>
      <w:r w:rsidR="0074568A">
        <w:rPr>
          <w:szCs w:val="24"/>
        </w:rPr>
        <w:t xml:space="preserve">Hearing Transcript </w:t>
      </w:r>
      <w:r w:rsidR="00623F9C">
        <w:rPr>
          <w:szCs w:val="24"/>
        </w:rPr>
        <w:t xml:space="preserve">at </w:t>
      </w:r>
      <w:r w:rsidR="00293A06">
        <w:rPr>
          <w:szCs w:val="24"/>
        </w:rPr>
        <w:t xml:space="preserve">page </w:t>
      </w:r>
      <w:r w:rsidR="0074568A">
        <w:rPr>
          <w:szCs w:val="24"/>
        </w:rPr>
        <w:t>13</w:t>
      </w:r>
      <w:r w:rsidR="00293A06">
        <w:rPr>
          <w:szCs w:val="24"/>
        </w:rPr>
        <w:t xml:space="preserve">, line </w:t>
      </w:r>
      <w:r w:rsidR="0074568A">
        <w:rPr>
          <w:szCs w:val="24"/>
        </w:rPr>
        <w:t>22</w:t>
      </w:r>
      <w:r w:rsidR="00293A06">
        <w:rPr>
          <w:szCs w:val="24"/>
        </w:rPr>
        <w:t>,</w:t>
      </w:r>
      <w:r w:rsidR="0074568A">
        <w:rPr>
          <w:szCs w:val="24"/>
        </w:rPr>
        <w:t xml:space="preserve"> to </w:t>
      </w:r>
      <w:r w:rsidR="00293A06">
        <w:rPr>
          <w:szCs w:val="24"/>
        </w:rPr>
        <w:t xml:space="preserve">page </w:t>
      </w:r>
      <w:r w:rsidR="0074568A">
        <w:rPr>
          <w:szCs w:val="24"/>
        </w:rPr>
        <w:t>14</w:t>
      </w:r>
      <w:r w:rsidR="00293A06">
        <w:rPr>
          <w:szCs w:val="24"/>
        </w:rPr>
        <w:t xml:space="preserve">, line </w:t>
      </w:r>
      <w:r w:rsidR="0074568A">
        <w:rPr>
          <w:szCs w:val="24"/>
        </w:rPr>
        <w:t>5</w:t>
      </w:r>
      <w:r w:rsidR="003B7567">
        <w:rPr>
          <w:szCs w:val="24"/>
        </w:rPr>
        <w:t xml:space="preserve"> as follows</w:t>
      </w:r>
      <w:r>
        <w:rPr>
          <w:szCs w:val="24"/>
        </w:rPr>
        <w:t>:</w:t>
      </w:r>
      <w:r w:rsidR="0074568A">
        <w:rPr>
          <w:szCs w:val="24"/>
        </w:rPr>
        <w:t xml:space="preserve"> </w:t>
      </w:r>
    </w:p>
    <w:p w:rsidR="005B62E5" w:rsidRPr="003B7567" w:rsidP="00A11887" w14:paraId="40A8CF27" w14:textId="08F7A9AE">
      <w:pPr>
        <w:autoSpaceDE w:val="0"/>
        <w:autoSpaceDN w:val="0"/>
        <w:adjustRightInd w:val="0"/>
        <w:ind w:left="1440" w:right="1440"/>
        <w:rPr>
          <w:color w:val="auto"/>
          <w:szCs w:val="24"/>
        </w:rPr>
      </w:pPr>
      <w:r w:rsidRPr="003B7567">
        <w:rPr>
          <w:color w:val="auto"/>
          <w:szCs w:val="24"/>
        </w:rPr>
        <w:t>And the various credit rating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agencies have recently issued reports that say they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are watching this case, and a rate freeze would have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an adverse impact on AES Ohio's</w:t>
      </w:r>
      <w:r w:rsidRPr="003B7567" w:rsidR="006530FE"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 xml:space="preserve">credit ratings. </w:t>
      </w:r>
      <w:r w:rsidRPr="003B7567" w:rsidR="003B7567">
        <w:rPr>
          <w:color w:val="auto"/>
          <w:szCs w:val="24"/>
        </w:rPr>
        <w:t>A</w:t>
      </w:r>
      <w:r w:rsidRPr="003B7567">
        <w:rPr>
          <w:color w:val="auto"/>
          <w:szCs w:val="24"/>
        </w:rPr>
        <w:t>nd,</w:t>
      </w:r>
    </w:p>
    <w:p w:rsidR="003B7567" w:rsidRPr="003B7567" w:rsidP="006530FE" w14:paraId="7ED6B544" w14:textId="77777777">
      <w:pPr>
        <w:ind w:left="1440" w:right="1440"/>
        <w:rPr>
          <w:color w:val="auto"/>
          <w:szCs w:val="24"/>
        </w:rPr>
      </w:pPr>
    </w:p>
    <w:p w:rsidR="005B59B0" w:rsidRPr="003B7567" w:rsidP="00A11887" w14:paraId="4F09825F" w14:textId="203530EF">
      <w:pPr>
        <w:autoSpaceDE w:val="0"/>
        <w:autoSpaceDN w:val="0"/>
        <w:adjustRightInd w:val="0"/>
        <w:ind w:left="1440" w:right="1440"/>
        <w:rPr>
          <w:szCs w:val="24"/>
        </w:rPr>
      </w:pPr>
      <w:r w:rsidRPr="003B7567">
        <w:rPr>
          <w:color w:val="auto"/>
          <w:szCs w:val="24"/>
        </w:rPr>
        <w:t>your Honor, a utility like AES Ohio who has poor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credit ratings, that's going to lead to higher cost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of debt, and its also poor credit ratings and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unreliable service could make it very difficult for</w:t>
      </w:r>
      <w:r>
        <w:rPr>
          <w:color w:val="auto"/>
          <w:szCs w:val="24"/>
        </w:rPr>
        <w:t xml:space="preserve"> </w:t>
      </w:r>
      <w:r w:rsidRPr="003B7567">
        <w:rPr>
          <w:color w:val="auto"/>
          <w:szCs w:val="24"/>
        </w:rPr>
        <w:t>AES Ohio to attract additional investment.</w:t>
      </w:r>
    </w:p>
    <w:p w:rsidR="00C77AB9" w:rsidP="00C77AB9" w14:paraId="0B4E9A50" w14:textId="77777777">
      <w:pPr>
        <w:ind w:firstLine="720"/>
        <w:rPr>
          <w:szCs w:val="24"/>
        </w:rPr>
      </w:pPr>
    </w:p>
    <w:p w:rsidR="001633AC" w:rsidP="0074568A" w14:paraId="508380EE" w14:textId="2F7E818B">
      <w:pPr>
        <w:spacing w:line="480" w:lineRule="auto"/>
        <w:ind w:firstLine="720"/>
        <w:rPr>
          <w:szCs w:val="24"/>
        </w:rPr>
      </w:pPr>
      <w:r>
        <w:rPr>
          <w:szCs w:val="24"/>
        </w:rPr>
        <w:t>T</w:t>
      </w:r>
      <w:r w:rsidR="009858F9">
        <w:rPr>
          <w:szCs w:val="24"/>
        </w:rPr>
        <w:t>hese reports are not part of the record in this case</w:t>
      </w:r>
      <w:r w:rsidR="00423E3A">
        <w:rPr>
          <w:szCs w:val="24"/>
        </w:rPr>
        <w:t>.</w:t>
      </w:r>
      <w:r>
        <w:rPr>
          <w:szCs w:val="24"/>
        </w:rPr>
        <w:t xml:space="preserve"> </w:t>
      </w:r>
      <w:r w:rsidR="00423E3A">
        <w:rPr>
          <w:szCs w:val="24"/>
        </w:rPr>
        <w:t xml:space="preserve">The reports on which DP&amp;L relies in fact were issued </w:t>
      </w:r>
      <w:r>
        <w:rPr>
          <w:szCs w:val="24"/>
        </w:rPr>
        <w:t>in April and May of 2022, notably after the evidentiary hearing and the briefing in these cases had concluded.</w:t>
      </w:r>
      <w:r w:rsidR="00C77AB9">
        <w:rPr>
          <w:szCs w:val="24"/>
        </w:rPr>
        <w:t xml:space="preserve"> </w:t>
      </w:r>
      <w:r>
        <w:rPr>
          <w:szCs w:val="24"/>
        </w:rPr>
        <w:t xml:space="preserve">The </w:t>
      </w:r>
      <w:r w:rsidR="006530FE">
        <w:rPr>
          <w:szCs w:val="24"/>
        </w:rPr>
        <w:t xml:space="preserve">transcript </w:t>
      </w:r>
      <w:r>
        <w:rPr>
          <w:szCs w:val="24"/>
        </w:rPr>
        <w:t xml:space="preserve">reference to the new, non-record material </w:t>
      </w:r>
      <w:r w:rsidR="006530FE">
        <w:rPr>
          <w:szCs w:val="24"/>
        </w:rPr>
        <w:t>should be stricken.</w:t>
      </w:r>
      <w:r>
        <w:rPr>
          <w:szCs w:val="24"/>
        </w:rPr>
        <w:t xml:space="preserve"> </w:t>
      </w:r>
    </w:p>
    <w:p w:rsidR="00037137" w:rsidP="00E01570" w14:paraId="48DFEE3E" w14:textId="77777777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 PUCO has routinely granted motions to strike </w:t>
      </w:r>
      <w:r w:rsidR="009858F9">
        <w:rPr>
          <w:szCs w:val="24"/>
        </w:rPr>
        <w:t>arguments on the sole basis that they introduce</w:t>
      </w:r>
      <w:r>
        <w:rPr>
          <w:szCs w:val="24"/>
        </w:rPr>
        <w:t xml:space="preserve"> non-record evidence to which </w:t>
      </w:r>
      <w:r w:rsidR="00FE7DBD">
        <w:rPr>
          <w:szCs w:val="24"/>
        </w:rPr>
        <w:t xml:space="preserve">other </w:t>
      </w:r>
      <w:r>
        <w:rPr>
          <w:szCs w:val="24"/>
        </w:rPr>
        <w:t>parties have been afforded no opportunity to respond.</w:t>
      </w:r>
      <w:r>
        <w:rPr>
          <w:rStyle w:val="FootnoteReference"/>
          <w:szCs w:val="24"/>
        </w:rPr>
        <w:footnoteReference w:id="10"/>
      </w:r>
      <w:r>
        <w:rPr>
          <w:szCs w:val="24"/>
        </w:rPr>
        <w:t xml:space="preserve"> </w:t>
      </w:r>
      <w:r w:rsidR="00B31959">
        <w:rPr>
          <w:szCs w:val="24"/>
        </w:rPr>
        <w:t>And t</w:t>
      </w:r>
      <w:r w:rsidR="007853B3">
        <w:rPr>
          <w:szCs w:val="24"/>
        </w:rPr>
        <w:t xml:space="preserve">he Supreme Court of Ohio has </w:t>
      </w:r>
      <w:r w:rsidR="009777B1">
        <w:rPr>
          <w:szCs w:val="24"/>
        </w:rPr>
        <w:t>upheld</w:t>
      </w:r>
      <w:r w:rsidR="00982F77">
        <w:rPr>
          <w:szCs w:val="24"/>
        </w:rPr>
        <w:t xml:space="preserve"> the</w:t>
      </w:r>
      <w:r w:rsidR="00B31959">
        <w:rPr>
          <w:szCs w:val="24"/>
        </w:rPr>
        <w:t>se</w:t>
      </w:r>
      <w:r w:rsidR="00982F77">
        <w:rPr>
          <w:szCs w:val="24"/>
        </w:rPr>
        <w:t xml:space="preserve"> PUCO</w:t>
      </w:r>
      <w:r w:rsidR="00B31959">
        <w:rPr>
          <w:szCs w:val="24"/>
        </w:rPr>
        <w:t xml:space="preserve"> decisions to grant motions to strike </w:t>
      </w:r>
      <w:r w:rsidR="00F657D3">
        <w:rPr>
          <w:szCs w:val="24"/>
        </w:rPr>
        <w:t xml:space="preserve">non-record </w:t>
      </w:r>
      <w:r w:rsidR="009777B1">
        <w:rPr>
          <w:szCs w:val="24"/>
        </w:rPr>
        <w:t>evidence</w:t>
      </w:r>
      <w:r w:rsidR="00F657D3">
        <w:rPr>
          <w:szCs w:val="24"/>
        </w:rPr>
        <w:t>.</w:t>
      </w:r>
      <w:r>
        <w:rPr>
          <w:rStyle w:val="FootnoteReference"/>
          <w:szCs w:val="24"/>
        </w:rPr>
        <w:footnoteReference w:id="11"/>
      </w:r>
      <w:r w:rsidR="009777B1">
        <w:rPr>
          <w:szCs w:val="24"/>
        </w:rPr>
        <w:t xml:space="preserve"> </w:t>
      </w:r>
    </w:p>
    <w:p w:rsidR="00E01570" w:rsidP="00E01570" w14:paraId="0ADEC696" w14:textId="6A2B3C4B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 record in this case does not include the reports </w:t>
      </w:r>
      <w:r w:rsidR="00564001">
        <w:rPr>
          <w:szCs w:val="24"/>
        </w:rPr>
        <w:t>DP&amp;L</w:t>
      </w:r>
      <w:r>
        <w:rPr>
          <w:szCs w:val="24"/>
        </w:rPr>
        <w:t xml:space="preserve"> references. As such, no party has had an opportunity to address arguments based on them. </w:t>
      </w:r>
      <w:r w:rsidR="00081D24">
        <w:rPr>
          <w:szCs w:val="24"/>
        </w:rPr>
        <w:t>The</w:t>
      </w:r>
      <w:r w:rsidR="00345910">
        <w:rPr>
          <w:szCs w:val="24"/>
        </w:rPr>
        <w:t xml:space="preserve"> PUCO should strike</w:t>
      </w:r>
      <w:r>
        <w:rPr>
          <w:szCs w:val="24"/>
        </w:rPr>
        <w:t xml:space="preserve"> </w:t>
      </w:r>
      <w:r w:rsidR="00081D24">
        <w:rPr>
          <w:szCs w:val="24"/>
        </w:rPr>
        <w:t xml:space="preserve">from the record all </w:t>
      </w:r>
      <w:r w:rsidR="00345910">
        <w:rPr>
          <w:szCs w:val="24"/>
        </w:rPr>
        <w:t>references to credit agency reports</w:t>
      </w:r>
      <w:r w:rsidR="00645FE2">
        <w:rPr>
          <w:szCs w:val="24"/>
        </w:rPr>
        <w:t xml:space="preserve"> </w:t>
      </w:r>
      <w:r w:rsidR="00037137">
        <w:rPr>
          <w:szCs w:val="24"/>
        </w:rPr>
        <w:t>that DP&amp;L Counsel referenced</w:t>
      </w:r>
      <w:r w:rsidR="006C12A2">
        <w:rPr>
          <w:szCs w:val="24"/>
        </w:rPr>
        <w:t xml:space="preserve"> </w:t>
      </w:r>
      <w:r w:rsidR="00645FE2">
        <w:rPr>
          <w:szCs w:val="24"/>
        </w:rPr>
        <w:t>on page 13, line 22 through page 14, line 5.</w:t>
      </w:r>
    </w:p>
    <w:p w:rsidR="00C27221" w:rsidP="005B485F" w14:paraId="38E93951" w14:textId="77777777">
      <w:pPr>
        <w:ind w:left="3780" w:firstLine="540"/>
        <w:rPr>
          <w:szCs w:val="24"/>
        </w:rPr>
      </w:pPr>
    </w:p>
    <w:p w:rsidR="00D748A1" w:rsidRPr="006759E0" w:rsidP="00D748A1" w14:paraId="56698431" w14:textId="77777777">
      <w:pPr>
        <w:pStyle w:val="ListParagraph"/>
        <w:ind w:left="4320"/>
      </w:pPr>
      <w:r w:rsidRPr="006759E0">
        <w:t xml:space="preserve">Respectfully submitted, </w:t>
      </w:r>
    </w:p>
    <w:p w:rsidR="00D748A1" w:rsidRPr="006759E0" w:rsidP="00D748A1" w14:paraId="29013CA5" w14:textId="77777777">
      <w:pPr>
        <w:pStyle w:val="ListParagraph"/>
        <w:ind w:left="4320"/>
      </w:pPr>
    </w:p>
    <w:p w:rsidR="00D748A1" w:rsidRPr="006759E0" w:rsidP="00D748A1" w14:paraId="2F804E8C" w14:textId="77777777">
      <w:pPr>
        <w:pStyle w:val="ListParagraph"/>
        <w:ind w:left="4320"/>
      </w:pPr>
      <w:r w:rsidRPr="006759E0">
        <w:t xml:space="preserve">Bruce Weston (0016973) </w:t>
      </w:r>
      <w:r w:rsidRPr="006759E0">
        <w:br/>
        <w:t xml:space="preserve">Ohio Consumers’ Counsel </w:t>
      </w:r>
      <w:r w:rsidRPr="006759E0">
        <w:br/>
      </w:r>
    </w:p>
    <w:p w:rsidR="00D748A1" w:rsidRPr="006759E0" w:rsidP="00D748A1" w14:paraId="68522B12" w14:textId="403FB5A5">
      <w:pPr>
        <w:pStyle w:val="ListParagraph"/>
        <w:ind w:left="4320"/>
      </w:pPr>
      <w:r w:rsidRPr="00D748A1">
        <w:rPr>
          <w:i/>
          <w:iCs/>
          <w:u w:val="single"/>
        </w:rPr>
        <w:t>/s/</w:t>
      </w:r>
      <w:r w:rsidRPr="006759E0">
        <w:rPr>
          <w:u w:val="single"/>
        </w:rPr>
        <w:t xml:space="preserve"> </w:t>
      </w:r>
      <w:r>
        <w:rPr>
          <w:i/>
          <w:iCs/>
          <w:u w:val="single"/>
        </w:rPr>
        <w:t>John Finnigan</w:t>
      </w:r>
      <w:r>
        <w:rPr>
          <w:i/>
          <w:iCs/>
          <w:u w:val="single"/>
        </w:rPr>
        <w:tab/>
      </w:r>
      <w:r w:rsidRPr="006759E0">
        <w:t xml:space="preserve"> </w:t>
      </w:r>
      <w:r w:rsidRPr="006759E0">
        <w:br/>
        <w:t xml:space="preserve">John Finnigan (0018689) </w:t>
      </w:r>
      <w:r w:rsidRPr="006759E0">
        <w:br/>
        <w:t xml:space="preserve">Counsel of Record </w:t>
      </w:r>
      <w:r w:rsidRPr="006759E0">
        <w:br/>
        <w:t xml:space="preserve">Ambrosia E. Wilson (0096598) </w:t>
      </w:r>
      <w:r w:rsidRPr="006759E0">
        <w:br/>
        <w:t xml:space="preserve">Assistant Consumers' Counsel </w:t>
      </w:r>
    </w:p>
    <w:p w:rsidR="00D748A1" w:rsidRPr="006759E0" w:rsidP="00D748A1" w14:paraId="334B460E" w14:textId="77777777">
      <w:pPr>
        <w:pStyle w:val="ListParagraph"/>
        <w:ind w:left="4320"/>
      </w:pPr>
    </w:p>
    <w:p w:rsidR="00D748A1" w:rsidRPr="006759E0" w:rsidP="00D748A1" w14:paraId="69CB4BDE" w14:textId="77777777">
      <w:pPr>
        <w:pStyle w:val="ListParagraph"/>
        <w:ind w:left="4320"/>
      </w:pPr>
      <w:r w:rsidRPr="006759E0">
        <w:rPr>
          <w:b/>
          <w:bCs/>
        </w:rPr>
        <w:t>Office of the Ohio Consumers' Counsel</w:t>
      </w:r>
    </w:p>
    <w:p w:rsidR="00D748A1" w:rsidRPr="006759E0" w:rsidP="00D748A1" w14:paraId="372A7A1C" w14:textId="77777777">
      <w:pPr>
        <w:pStyle w:val="ListParagraph"/>
        <w:ind w:left="4320"/>
      </w:pPr>
      <w:r w:rsidRPr="006759E0">
        <w:t xml:space="preserve">65 East State Street, Suite 700 </w:t>
      </w:r>
      <w:r w:rsidRPr="006759E0">
        <w:br/>
        <w:t xml:space="preserve">Columbus, Ohio 43215 </w:t>
      </w:r>
      <w:r w:rsidRPr="006759E0">
        <w:br/>
        <w:t xml:space="preserve">Telephone [Finnigan]: (614) 466-9585 </w:t>
      </w:r>
    </w:p>
    <w:p w:rsidR="00D748A1" w:rsidRPr="006759E0" w:rsidP="00D748A1" w14:paraId="739B64AD" w14:textId="77777777">
      <w:pPr>
        <w:pStyle w:val="ListParagraph"/>
        <w:ind w:left="4320"/>
      </w:pPr>
      <w:r w:rsidRPr="006759E0">
        <w:t xml:space="preserve">Telephone [Wilson]: (614) 466-1292 </w:t>
      </w:r>
      <w:hyperlink r:id="rId6" w:history="1">
        <w:r w:rsidRPr="006759E0">
          <w:rPr>
            <w:rStyle w:val="Hyperlink"/>
            <w:color w:val="0000FF"/>
          </w:rPr>
          <w:t>john.finnigan@occ.ohio.gov</w:t>
        </w:r>
      </w:hyperlink>
      <w:r w:rsidRPr="006759E0">
        <w:rPr>
          <w:color w:val="0000FF"/>
        </w:rPr>
        <w:t xml:space="preserve"> </w:t>
      </w:r>
      <w:hyperlink r:id="rId7" w:history="1">
        <w:r w:rsidRPr="006759E0">
          <w:rPr>
            <w:rStyle w:val="Hyperlink"/>
            <w:color w:val="0000FF"/>
          </w:rPr>
          <w:t>ambrosia.wilson@occ.ohio.gov</w:t>
        </w:r>
      </w:hyperlink>
      <w:r w:rsidRPr="006759E0">
        <w:t xml:space="preserve"> </w:t>
      </w:r>
    </w:p>
    <w:p w:rsidR="00D748A1" w:rsidRPr="006759E0" w:rsidP="00D748A1" w14:paraId="2B723F41" w14:textId="77777777">
      <w:pPr>
        <w:pStyle w:val="ListParagraph"/>
        <w:ind w:left="4320"/>
      </w:pPr>
      <w:r w:rsidRPr="006759E0">
        <w:t>(willing to accept service by e-mail)</w:t>
      </w:r>
    </w:p>
    <w:p w:rsidR="00C77AB9" w14:paraId="11558885" w14:textId="77777777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:rsidR="00C77AB9" w:rsidRPr="006759E0" w:rsidP="00C77AB9" w14:paraId="11AC6160" w14:textId="48E4EC99">
      <w:pPr>
        <w:jc w:val="center"/>
        <w:rPr>
          <w:b/>
          <w:bCs/>
          <w:szCs w:val="24"/>
          <w:u w:val="single"/>
        </w:rPr>
      </w:pPr>
      <w:r w:rsidRPr="006759E0">
        <w:rPr>
          <w:b/>
          <w:bCs/>
          <w:szCs w:val="24"/>
          <w:u w:val="single"/>
        </w:rPr>
        <w:t>CERTIFICATE OF SERVICE</w:t>
      </w:r>
    </w:p>
    <w:p w:rsidR="00C77AB9" w:rsidRPr="006759E0" w:rsidP="00C77AB9" w14:paraId="1D205F31" w14:textId="78448B92">
      <w:pPr>
        <w:spacing w:line="480" w:lineRule="atLeast"/>
        <w:rPr>
          <w:szCs w:val="24"/>
        </w:rPr>
      </w:pPr>
      <w:r w:rsidRPr="006759E0">
        <w:rPr>
          <w:szCs w:val="24"/>
        </w:rPr>
        <w:tab/>
        <w:t xml:space="preserve">I hereby certify that a copy of this </w:t>
      </w:r>
      <w:r>
        <w:rPr>
          <w:iCs/>
          <w:szCs w:val="24"/>
        </w:rPr>
        <w:t>Motion to Strike</w:t>
      </w:r>
      <w:r w:rsidRPr="006759E0">
        <w:rPr>
          <w:szCs w:val="24"/>
        </w:rPr>
        <w:t xml:space="preserve"> was served on the persons stated below </w:t>
      </w:r>
      <w:r w:rsidRPr="006759E0">
        <w:rPr>
          <w:i/>
          <w:szCs w:val="24"/>
        </w:rPr>
        <w:t>via</w:t>
      </w:r>
      <w:r w:rsidRPr="006759E0">
        <w:rPr>
          <w:szCs w:val="24"/>
        </w:rPr>
        <w:t xml:space="preserve"> electronic transmission, this </w:t>
      </w:r>
      <w:r w:rsidR="00C70A3E">
        <w:rPr>
          <w:szCs w:val="24"/>
        </w:rPr>
        <w:t>29th</w:t>
      </w:r>
      <w:r w:rsidRPr="006759E0">
        <w:rPr>
          <w:szCs w:val="24"/>
        </w:rPr>
        <w:t xml:space="preserve"> day of </w:t>
      </w:r>
      <w:r>
        <w:rPr>
          <w:szCs w:val="24"/>
        </w:rPr>
        <w:t>June</w:t>
      </w:r>
      <w:r w:rsidRPr="006759E0">
        <w:rPr>
          <w:szCs w:val="24"/>
        </w:rPr>
        <w:t xml:space="preserve"> 2022.</w:t>
      </w:r>
    </w:p>
    <w:p w:rsidR="00C77AB9" w:rsidRPr="006759E0" w:rsidP="00C77AB9" w14:paraId="7DF0A0EE" w14:textId="77777777">
      <w:pPr>
        <w:tabs>
          <w:tab w:val="left" w:pos="4320"/>
        </w:tabs>
        <w:rPr>
          <w:szCs w:val="24"/>
        </w:rPr>
      </w:pPr>
      <w:r w:rsidRPr="006759E0">
        <w:rPr>
          <w:szCs w:val="24"/>
        </w:rPr>
        <w:tab/>
      </w:r>
    </w:p>
    <w:p w:rsidR="00C77AB9" w:rsidRPr="006759E0" w:rsidP="00C77AB9" w14:paraId="135ACB44" w14:textId="551DBED3">
      <w:pPr>
        <w:tabs>
          <w:tab w:val="left" w:pos="4320"/>
        </w:tabs>
        <w:rPr>
          <w:i/>
          <w:szCs w:val="24"/>
          <w:u w:val="single"/>
        </w:rPr>
      </w:pPr>
      <w:r w:rsidRPr="006759E0">
        <w:rPr>
          <w:szCs w:val="24"/>
        </w:rPr>
        <w:tab/>
      </w:r>
      <w:r w:rsidRPr="006759E0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John Finnigan</w:t>
      </w:r>
      <w:r w:rsidRPr="006759E0">
        <w:rPr>
          <w:i/>
          <w:szCs w:val="24"/>
          <w:u w:val="single"/>
        </w:rPr>
        <w:tab/>
      </w:r>
    </w:p>
    <w:p w:rsidR="00C77AB9" w:rsidRPr="006759E0" w:rsidP="00C77AB9" w14:paraId="1D34AC79" w14:textId="2766E590">
      <w:pPr>
        <w:tabs>
          <w:tab w:val="left" w:pos="4320"/>
        </w:tabs>
        <w:rPr>
          <w:szCs w:val="24"/>
        </w:rPr>
      </w:pPr>
      <w:r w:rsidRPr="006759E0">
        <w:rPr>
          <w:szCs w:val="24"/>
        </w:rPr>
        <w:tab/>
      </w:r>
      <w:r>
        <w:rPr>
          <w:szCs w:val="24"/>
        </w:rPr>
        <w:t>John Finnigan</w:t>
      </w:r>
    </w:p>
    <w:p w:rsidR="00C77AB9" w:rsidRPr="006759E0" w:rsidP="00C77AB9" w14:paraId="08C95D5A" w14:textId="77777777">
      <w:pPr>
        <w:tabs>
          <w:tab w:val="left" w:pos="4320"/>
        </w:tabs>
        <w:rPr>
          <w:szCs w:val="24"/>
        </w:rPr>
      </w:pPr>
      <w:r w:rsidRPr="006759E0">
        <w:rPr>
          <w:szCs w:val="24"/>
        </w:rPr>
        <w:tab/>
        <w:t>Assistant Consumers’ Counsel</w:t>
      </w:r>
    </w:p>
    <w:p w:rsidR="00C77AB9" w:rsidRPr="006759E0" w:rsidP="00C77AB9" w14:paraId="300EEC6F" w14:textId="77777777">
      <w:pPr>
        <w:pStyle w:val="CommentSubject"/>
        <w:rPr>
          <w:sz w:val="24"/>
          <w:szCs w:val="24"/>
        </w:rPr>
      </w:pPr>
    </w:p>
    <w:p w:rsidR="00C77AB9" w:rsidRPr="006759E0" w:rsidP="00C77AB9" w14:paraId="479134A4" w14:textId="77777777">
      <w:pPr>
        <w:pStyle w:val="CommentText"/>
        <w:rPr>
          <w:sz w:val="24"/>
          <w:szCs w:val="24"/>
        </w:rPr>
      </w:pPr>
      <w:r w:rsidRPr="006759E0">
        <w:rPr>
          <w:sz w:val="24"/>
          <w:szCs w:val="24"/>
        </w:rPr>
        <w:t>The PUCO’s e-filing system will electronically serve notice of the filing of this document on the following parties:</w:t>
      </w:r>
    </w:p>
    <w:p w:rsidR="00C77AB9" w:rsidRPr="006759E0" w:rsidP="00C77AB9" w14:paraId="289D5B02" w14:textId="77777777">
      <w:pPr>
        <w:pStyle w:val="CommentText"/>
        <w:rPr>
          <w:sz w:val="24"/>
          <w:szCs w:val="24"/>
        </w:rPr>
      </w:pPr>
    </w:p>
    <w:p w:rsidR="00C77AB9" w:rsidRPr="006759E0" w:rsidP="00C77AB9" w14:paraId="37B936FD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6759E0">
        <w:rPr>
          <w:b/>
          <w:bCs/>
          <w:sz w:val="24"/>
          <w:szCs w:val="24"/>
          <w:u w:val="single"/>
        </w:rPr>
        <w:t>SERVICE LIST</w:t>
      </w:r>
    </w:p>
    <w:p w:rsidR="00C77AB9" w:rsidRPr="006759E0" w:rsidP="00C77AB9" w14:paraId="577F6AE4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287"/>
        <w:gridCol w:w="4353"/>
      </w:tblGrid>
      <w:tr w14:paraId="7F534FF6" w14:textId="77777777" w:rsidTr="006B7513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1407A2" w:rsidRPr="001407A2" w:rsidP="006B7513" w14:paraId="0CFD0E0E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hyperlink r:id="rId9" w:history="1">
              <w:r w:rsidRPr="001407A2" w:rsidR="00A11887">
                <w:rPr>
                  <w:rStyle w:val="Hyperlink"/>
                  <w:bCs/>
                  <w:color w:val="0000FF"/>
                </w:rPr>
                <w:t>j</w:t>
              </w:r>
              <w:r w:rsidRPr="001407A2" w:rsidR="00A11887">
                <w:rPr>
                  <w:rStyle w:val="Hyperlink"/>
                  <w:color w:val="0000FF"/>
                </w:rPr>
                <w:t>odi.bair@ohioAGO.gov</w:t>
              </w:r>
            </w:hyperlink>
          </w:p>
          <w:p w:rsidR="001407A2" w:rsidRPr="001407A2" w:rsidP="006B7513" w14:paraId="6310D448" w14:textId="77777777">
            <w:pPr>
              <w:autoSpaceDE w:val="0"/>
              <w:autoSpaceDN w:val="0"/>
              <w:adjustRightInd w:val="0"/>
              <w:rPr>
                <w:rStyle w:val="Hyperlink"/>
                <w:color w:val="0000FF"/>
              </w:rPr>
            </w:pPr>
            <w:hyperlink r:id="rId10" w:history="1">
              <w:r w:rsidRPr="001407A2" w:rsidR="00A11887">
                <w:rPr>
                  <w:rStyle w:val="Hyperlink"/>
                  <w:color w:val="0000FF"/>
                </w:rPr>
                <w:t>kyle.kern@ohioAGO.gov</w:t>
              </w:r>
            </w:hyperlink>
          </w:p>
          <w:p w:rsidR="001407A2" w:rsidRPr="001407A2" w:rsidP="006B7513" w14:paraId="17ACBAA3" w14:textId="7777777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1407A2">
              <w:rPr>
                <w:rStyle w:val="Hyperlink"/>
                <w:color w:val="0000FF"/>
              </w:rPr>
              <w:t>werner.margard@ohioAGO.gov</w:t>
            </w:r>
          </w:p>
          <w:p w:rsidR="001407A2" w:rsidRPr="001407A2" w:rsidP="006B7513" w14:paraId="5880BB28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11" w:history="1">
              <w:r w:rsidRPr="001407A2" w:rsidR="00A11887">
                <w:rPr>
                  <w:rStyle w:val="Hyperlink"/>
                  <w:bCs/>
                  <w:color w:val="0000FF"/>
                </w:rPr>
                <w:t>chelsea.fletcher@ohioAGO.gov</w:t>
              </w:r>
            </w:hyperlink>
          </w:p>
          <w:p w:rsidR="001407A2" w:rsidRPr="001407A2" w:rsidP="006B7513" w14:paraId="5D98D35B" w14:textId="77777777">
            <w:pPr>
              <w:pStyle w:val="BodyText"/>
              <w:rPr>
                <w:bCs/>
                <w:color w:val="0000FF"/>
              </w:rPr>
            </w:pPr>
            <w:hyperlink r:id="rId12" w:history="1">
              <w:r w:rsidRPr="001407A2" w:rsidR="00A11887">
                <w:rPr>
                  <w:rStyle w:val="Hyperlink"/>
                  <w:bCs/>
                  <w:color w:val="0000FF"/>
                </w:rPr>
                <w:t>bmckenney@mcneeslaw.com</w:t>
              </w:r>
            </w:hyperlink>
          </w:p>
          <w:p w:rsidR="001407A2" w:rsidRPr="001407A2" w:rsidP="006B7513" w14:paraId="4AF1447E" w14:textId="77777777">
            <w:pPr>
              <w:pStyle w:val="BodyText"/>
              <w:rPr>
                <w:bCs/>
                <w:color w:val="0000FF"/>
              </w:rPr>
            </w:pPr>
            <w:hyperlink r:id="rId13" w:history="1">
              <w:r w:rsidRPr="001407A2" w:rsidR="00A11887">
                <w:rPr>
                  <w:rStyle w:val="Hyperlink"/>
                  <w:bCs/>
                  <w:color w:val="0000FF"/>
                </w:rPr>
                <w:t>mjsettineri@vorys.com</w:t>
              </w:r>
            </w:hyperlink>
          </w:p>
          <w:p w:rsidR="001407A2" w:rsidRPr="001407A2" w:rsidP="006B7513" w14:paraId="24DD67F9" w14:textId="77777777">
            <w:pPr>
              <w:pStyle w:val="BodyText"/>
              <w:rPr>
                <w:bCs/>
                <w:color w:val="0000FF"/>
              </w:rPr>
            </w:pPr>
            <w:hyperlink r:id="rId14" w:history="1">
              <w:r w:rsidRPr="001407A2" w:rsidR="00A11887">
                <w:rPr>
                  <w:rStyle w:val="Hyperlink"/>
                  <w:bCs/>
                  <w:color w:val="0000FF"/>
                </w:rPr>
                <w:t>glpetrucci@vorys.com</w:t>
              </w:r>
            </w:hyperlink>
          </w:p>
          <w:p w:rsidR="001407A2" w:rsidRPr="001407A2" w:rsidP="006B7513" w14:paraId="5CEA78E6" w14:textId="77777777">
            <w:pPr>
              <w:pStyle w:val="BodyText"/>
              <w:rPr>
                <w:bCs/>
                <w:color w:val="0000FF"/>
              </w:rPr>
            </w:pPr>
            <w:hyperlink r:id="rId15" w:history="1">
              <w:r w:rsidRPr="001407A2" w:rsidR="00A11887">
                <w:rPr>
                  <w:rStyle w:val="Hyperlink"/>
                  <w:bCs/>
                  <w:color w:val="0000FF"/>
                </w:rPr>
                <w:t>dromig@armadapower.com</w:t>
              </w:r>
            </w:hyperlink>
          </w:p>
          <w:p w:rsidR="001407A2" w:rsidRPr="001407A2" w:rsidP="006B7513" w14:paraId="2A2CE74C" w14:textId="77777777">
            <w:pPr>
              <w:pStyle w:val="BodyText"/>
              <w:rPr>
                <w:bCs/>
                <w:color w:val="0000FF"/>
              </w:rPr>
            </w:pPr>
            <w:hyperlink r:id="rId16" w:history="1">
              <w:r w:rsidRPr="001407A2" w:rsidR="00A11887">
                <w:rPr>
                  <w:rStyle w:val="Hyperlink"/>
                  <w:bCs/>
                  <w:color w:val="0000FF"/>
                </w:rPr>
                <w:t>dparram@bricker.com</w:t>
              </w:r>
            </w:hyperlink>
          </w:p>
          <w:p w:rsidR="001407A2" w:rsidRPr="001407A2" w:rsidP="006B7513" w14:paraId="17B21CFD" w14:textId="77777777">
            <w:pPr>
              <w:pStyle w:val="BodyText"/>
              <w:rPr>
                <w:bCs/>
                <w:color w:val="0000FF"/>
              </w:rPr>
            </w:pPr>
            <w:hyperlink r:id="rId17" w:history="1">
              <w:r w:rsidRPr="001407A2" w:rsidR="00A11887">
                <w:rPr>
                  <w:rStyle w:val="Hyperlink"/>
                  <w:bCs/>
                  <w:color w:val="0000FF"/>
                </w:rPr>
                <w:t>rmains@bricker.com</w:t>
              </w:r>
            </w:hyperlink>
          </w:p>
          <w:p w:rsidR="001407A2" w:rsidRPr="001407A2" w:rsidP="006B7513" w14:paraId="270EC93D" w14:textId="77777777">
            <w:pPr>
              <w:pStyle w:val="BodyText"/>
              <w:rPr>
                <w:rStyle w:val="Hyperlink"/>
                <w:bCs/>
                <w:color w:val="0000FF"/>
              </w:rPr>
            </w:pPr>
            <w:hyperlink r:id="rId18" w:history="1">
              <w:r w:rsidRPr="001407A2" w:rsidR="00A11887">
                <w:rPr>
                  <w:rStyle w:val="Hyperlink"/>
                  <w:bCs/>
                  <w:color w:val="0000FF"/>
                </w:rPr>
                <w:t>khernstein@bricker.com</w:t>
              </w:r>
            </w:hyperlink>
          </w:p>
          <w:p w:rsidR="001407A2" w:rsidRPr="001407A2" w:rsidP="006B7513" w14:paraId="7D4AECE4" w14:textId="77777777">
            <w:pPr>
              <w:pStyle w:val="BodyText"/>
              <w:rPr>
                <w:color w:val="0000FF"/>
              </w:rPr>
            </w:pPr>
            <w:hyperlink r:id="rId19" w:history="1">
              <w:r w:rsidRPr="001407A2" w:rsidR="00A11887">
                <w:rPr>
                  <w:rStyle w:val="Hyperlink"/>
                  <w:bCs/>
                  <w:color w:val="0000FF"/>
                </w:rPr>
                <w:t>m</w:t>
              </w:r>
              <w:r w:rsidRPr="001407A2" w:rsidR="00A11887">
                <w:rPr>
                  <w:rStyle w:val="Hyperlink"/>
                  <w:color w:val="0000FF"/>
                </w:rPr>
                <w:t>warnock@bricker.com</w:t>
              </w:r>
            </w:hyperlink>
          </w:p>
          <w:p w:rsidR="001407A2" w:rsidRPr="001407A2" w:rsidP="006B7513" w14:paraId="3E6EEED3" w14:textId="77777777">
            <w:pPr>
              <w:pStyle w:val="BodyText"/>
              <w:rPr>
                <w:bCs/>
                <w:color w:val="0000FF"/>
              </w:rPr>
            </w:pPr>
            <w:hyperlink r:id="rId20" w:history="1">
              <w:r w:rsidRPr="001407A2" w:rsidR="00A11887">
                <w:rPr>
                  <w:rStyle w:val="Hyperlink"/>
                  <w:bCs/>
                  <w:color w:val="0000FF"/>
                </w:rPr>
                <w:t>little@litohio.com</w:t>
              </w:r>
            </w:hyperlink>
          </w:p>
          <w:p w:rsidR="001407A2" w:rsidRPr="001407A2" w:rsidP="006B7513" w14:paraId="40CCE234" w14:textId="77777777">
            <w:pPr>
              <w:pStyle w:val="BodyText"/>
              <w:rPr>
                <w:bCs/>
                <w:color w:val="0000FF"/>
              </w:rPr>
            </w:pPr>
            <w:hyperlink r:id="rId21" w:history="1">
              <w:r w:rsidRPr="001407A2" w:rsidR="00A11887">
                <w:rPr>
                  <w:rStyle w:val="Hyperlink"/>
                  <w:bCs/>
                  <w:color w:val="0000FF"/>
                </w:rPr>
                <w:t>hogan@litohio.com</w:t>
              </w:r>
            </w:hyperlink>
          </w:p>
          <w:p w:rsidR="001407A2" w:rsidRPr="001407A2" w:rsidP="006B7513" w14:paraId="0F0EBEA8" w14:textId="77777777">
            <w:pPr>
              <w:pStyle w:val="BodyText"/>
              <w:rPr>
                <w:bCs/>
                <w:color w:val="0000FF"/>
              </w:rPr>
            </w:pPr>
            <w:hyperlink r:id="rId22" w:history="1">
              <w:r w:rsidRPr="001407A2" w:rsidR="00A11887">
                <w:rPr>
                  <w:rStyle w:val="Hyperlink"/>
                  <w:bCs/>
                  <w:color w:val="0000FF"/>
                </w:rPr>
                <w:t>ktreadway@oneenergyllc.com</w:t>
              </w:r>
            </w:hyperlink>
          </w:p>
          <w:p w:rsidR="001407A2" w:rsidRPr="001407A2" w:rsidP="006B7513" w14:paraId="43B4FDBC" w14:textId="77777777">
            <w:pPr>
              <w:pStyle w:val="BodyText"/>
              <w:rPr>
                <w:bCs/>
                <w:color w:val="0000FF"/>
              </w:rPr>
            </w:pPr>
            <w:hyperlink r:id="rId23" w:history="1">
              <w:r w:rsidRPr="001407A2" w:rsidR="00A11887">
                <w:rPr>
                  <w:rStyle w:val="Hyperlink"/>
                  <w:bCs/>
                  <w:color w:val="0000FF"/>
                </w:rPr>
                <w:t>jdunn@oneenergyllc.com</w:t>
              </w:r>
            </w:hyperlink>
          </w:p>
          <w:p w:rsidR="001407A2" w:rsidRPr="001407A2" w:rsidP="006B7513" w14:paraId="1176F2D0" w14:textId="77777777">
            <w:pPr>
              <w:pStyle w:val="BodyText"/>
              <w:rPr>
                <w:bCs/>
                <w:color w:val="0000FF"/>
              </w:rPr>
            </w:pPr>
            <w:hyperlink r:id="rId24" w:history="1">
              <w:r w:rsidRPr="001407A2" w:rsidR="00A11887">
                <w:rPr>
                  <w:rStyle w:val="Hyperlink"/>
                  <w:bCs/>
                  <w:color w:val="0000FF"/>
                </w:rPr>
                <w:t>whitt@whitt-sturtevant.com</w:t>
              </w:r>
            </w:hyperlink>
          </w:p>
          <w:p w:rsidR="001407A2" w:rsidRPr="001407A2" w:rsidP="006B7513" w14:paraId="1B4DBD0D" w14:textId="77777777">
            <w:pPr>
              <w:pStyle w:val="BodyText"/>
              <w:rPr>
                <w:bCs/>
                <w:color w:val="0000FF"/>
              </w:rPr>
            </w:pPr>
            <w:hyperlink r:id="rId25" w:history="1">
              <w:r w:rsidRPr="001407A2" w:rsidR="00A11887">
                <w:rPr>
                  <w:rStyle w:val="Hyperlink"/>
                  <w:bCs/>
                  <w:color w:val="0000FF"/>
                </w:rPr>
                <w:t>fykes@whitt-sturtevant.com</w:t>
              </w:r>
            </w:hyperlink>
          </w:p>
          <w:p w:rsidR="001407A2" w:rsidRPr="001407A2" w:rsidP="006B7513" w14:paraId="105A6B00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26" w:history="1">
              <w:r w:rsidRPr="001407A2" w:rsidR="00A11887">
                <w:rPr>
                  <w:rStyle w:val="Hyperlink"/>
                  <w:bCs/>
                  <w:color w:val="0000FF"/>
                </w:rPr>
                <w:t>rhartley@fbtlaw.com</w:t>
              </w:r>
            </w:hyperlink>
          </w:p>
          <w:p w:rsidR="001407A2" w:rsidRPr="001407A2" w:rsidP="006B7513" w14:paraId="77C79937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27" w:history="1">
              <w:r w:rsidRPr="001407A2" w:rsidR="00A11887">
                <w:rPr>
                  <w:rStyle w:val="Hyperlink"/>
                  <w:bCs/>
                  <w:color w:val="0000FF"/>
                </w:rPr>
                <w:t>cwieg@fbtlaw.com</w:t>
              </w:r>
            </w:hyperlink>
          </w:p>
          <w:p w:rsidR="001407A2" w:rsidRPr="001407A2" w:rsidP="006B7513" w14:paraId="3F4DD85A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28" w:history="1">
              <w:r w:rsidRPr="001407A2" w:rsidR="00A11887">
                <w:rPr>
                  <w:rStyle w:val="Hyperlink"/>
                  <w:bCs/>
                  <w:color w:val="0000FF"/>
                </w:rPr>
                <w:t>talexander@beneschlaw.com</w:t>
              </w:r>
            </w:hyperlink>
          </w:p>
          <w:p w:rsidR="001407A2" w:rsidRPr="001407A2" w:rsidP="006B7513" w14:paraId="2871DAD3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29" w:history="1">
              <w:r w:rsidRPr="001407A2" w:rsidR="00A11887">
                <w:rPr>
                  <w:rStyle w:val="Hyperlink"/>
                  <w:bCs/>
                  <w:color w:val="0000FF"/>
                </w:rPr>
                <w:t>khehmeyer@beneschlaw.com</w:t>
              </w:r>
            </w:hyperlink>
          </w:p>
          <w:p w:rsidR="001407A2" w:rsidRPr="001407A2" w:rsidP="006B7513" w14:paraId="32E49A3C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30" w:history="1">
              <w:r w:rsidRPr="001407A2" w:rsidR="00A11887">
                <w:rPr>
                  <w:rStyle w:val="Hyperlink"/>
                  <w:bCs/>
                  <w:color w:val="0000FF"/>
                </w:rPr>
                <w:t>ssiewe@beneschlaw.com</w:t>
              </w:r>
            </w:hyperlink>
          </w:p>
          <w:p w:rsidR="001407A2" w:rsidRPr="001407A2" w:rsidP="006B7513" w14:paraId="06FDB183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hyperlink r:id="rId31" w:history="1">
              <w:r w:rsidRPr="001407A2" w:rsidR="00A11887">
                <w:rPr>
                  <w:rStyle w:val="Hyperlink"/>
                  <w:bCs/>
                  <w:color w:val="0000FF"/>
                </w:rPr>
                <w:t>jweber@elpc.org</w:t>
              </w:r>
            </w:hyperlink>
          </w:p>
          <w:p w:rsidR="001407A2" w:rsidRPr="001407A2" w:rsidP="006B7513" w14:paraId="4D8FAD87" w14:textId="77777777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1407A2" w:rsidP="006B7513" w14:paraId="1C010410" w14:textId="77777777">
            <w:pPr>
              <w:rPr>
                <w:bCs/>
              </w:rPr>
            </w:pPr>
            <w:r>
              <w:rPr>
                <w:bCs/>
              </w:rPr>
              <w:t>Attorney Examiners:</w:t>
            </w:r>
          </w:p>
          <w:p w:rsidR="001407A2" w:rsidP="006B7513" w14:paraId="6E05A27E" w14:textId="77777777">
            <w:pPr>
              <w:rPr>
                <w:bCs/>
              </w:rPr>
            </w:pPr>
          </w:p>
          <w:p w:rsidR="001407A2" w:rsidRPr="000002F7" w:rsidP="006B7513" w14:paraId="69379CF4" w14:textId="77777777">
            <w:pPr>
              <w:adjustRightInd w:val="0"/>
              <w:rPr>
                <w:color w:val="0000FF"/>
                <w:u w:val="single"/>
              </w:rPr>
            </w:pPr>
            <w:hyperlink r:id="rId32" w:history="1">
              <w:r w:rsidRPr="000002F7" w:rsidR="00A11887">
                <w:rPr>
                  <w:color w:val="0000FF"/>
                  <w:u w:val="single"/>
                </w:rPr>
                <w:t>patricia.schabo@puco.ohio.gov</w:t>
              </w:r>
            </w:hyperlink>
          </w:p>
          <w:p w:rsidR="001407A2" w:rsidRPr="00A044B5" w:rsidP="006B7513" w14:paraId="158D2D1C" w14:textId="77777777">
            <w:pPr>
              <w:rPr>
                <w:bCs/>
              </w:rPr>
            </w:pPr>
            <w:r w:rsidRPr="000002F7">
              <w:rPr>
                <w:color w:val="0000FF"/>
                <w:u w:val="single"/>
              </w:rPr>
              <w:t>Michael.williams@puco.ohio.gov</w:t>
            </w:r>
          </w:p>
        </w:tc>
        <w:tc>
          <w:tcPr>
            <w:tcW w:w="4428" w:type="dxa"/>
            <w:shd w:val="clear" w:color="auto" w:fill="auto"/>
          </w:tcPr>
          <w:p w:rsidR="001407A2" w:rsidRPr="001407A2" w:rsidP="006B7513" w14:paraId="6408574C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3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bojko@carpenterlipps.com</w:t>
              </w:r>
            </w:hyperlink>
          </w:p>
          <w:p w:rsidR="001407A2" w:rsidRPr="001407A2" w:rsidP="006B7513" w14:paraId="2F09ED6E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4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paul@carpenterlipps.com</w:t>
              </w:r>
            </w:hyperlink>
          </w:p>
          <w:p w:rsidR="001407A2" w:rsidRPr="001407A2" w:rsidP="006B7513" w14:paraId="2AE6613D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r w:rsidRPr="001407A2">
              <w:rPr>
                <w:rStyle w:val="Hyperlink"/>
                <w:rFonts w:eastAsiaTheme="minorHAnsi"/>
                <w:color w:val="0000FF"/>
                <w:szCs w:val="19"/>
              </w:rPr>
              <w:t>donadio@carpenterlipps.com</w:t>
            </w:r>
          </w:p>
          <w:p w:rsidR="001407A2" w:rsidRPr="001407A2" w:rsidP="006B7513" w14:paraId="632D378D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5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michael.schuler@aes.com</w:t>
              </w:r>
            </w:hyperlink>
          </w:p>
          <w:p w:rsidR="001407A2" w:rsidRPr="001407A2" w:rsidP="006B7513" w14:paraId="58B9069F" w14:textId="77777777">
            <w:pPr>
              <w:autoSpaceDE w:val="0"/>
              <w:autoSpaceDN w:val="0"/>
              <w:adjustRightInd w:val="0"/>
              <w:rPr>
                <w:rStyle w:val="Hyperlink"/>
                <w:color w:val="0000FF"/>
              </w:rPr>
            </w:pPr>
            <w:r w:rsidRPr="001407A2">
              <w:rPr>
                <w:rStyle w:val="Hyperlink"/>
                <w:color w:val="0000FF"/>
              </w:rPr>
              <w:t>jsharkey@ficlaw.com</w:t>
            </w:r>
          </w:p>
          <w:p w:rsidR="001407A2" w:rsidRPr="001407A2" w:rsidP="006B7513" w14:paraId="4D3FD8E7" w14:textId="77777777">
            <w:pPr>
              <w:autoSpaceDE w:val="0"/>
              <w:autoSpaceDN w:val="0"/>
              <w:adjustRightInd w:val="0"/>
              <w:rPr>
                <w:rStyle w:val="Hyperlink"/>
                <w:color w:val="0000FF"/>
              </w:rPr>
            </w:pPr>
            <w:r w:rsidRPr="001407A2">
              <w:rPr>
                <w:rStyle w:val="Hyperlink"/>
                <w:color w:val="0000FF"/>
              </w:rPr>
              <w:t>djireland@ficlaw.com</w:t>
            </w:r>
          </w:p>
          <w:p w:rsidR="001407A2" w:rsidRPr="001407A2" w:rsidP="006B7513" w14:paraId="2570F946" w14:textId="77777777">
            <w:pPr>
              <w:autoSpaceDE w:val="0"/>
              <w:autoSpaceDN w:val="0"/>
              <w:adjustRightInd w:val="0"/>
              <w:rPr>
                <w:rStyle w:val="Hyperlink"/>
                <w:color w:val="0000FF"/>
              </w:rPr>
            </w:pPr>
            <w:r w:rsidRPr="001407A2">
              <w:rPr>
                <w:rStyle w:val="Hyperlink"/>
                <w:color w:val="0000FF"/>
              </w:rPr>
              <w:t>chollon@ficlaw.com</w:t>
            </w:r>
          </w:p>
          <w:p w:rsidR="001407A2" w:rsidRPr="001407A2" w:rsidP="006B7513" w14:paraId="7A17C6B9" w14:textId="77777777">
            <w:pPr>
              <w:autoSpaceDE w:val="0"/>
              <w:autoSpaceDN w:val="0"/>
              <w:adjustRightInd w:val="0"/>
              <w:rPr>
                <w:rStyle w:val="Hyperlink"/>
                <w:color w:val="0000FF"/>
              </w:rPr>
            </w:pPr>
            <w:r w:rsidRPr="001407A2">
              <w:rPr>
                <w:rStyle w:val="Hyperlink"/>
                <w:color w:val="0000FF"/>
              </w:rPr>
              <w:t>mkurtz@BKLlawfirm.com</w:t>
            </w:r>
          </w:p>
          <w:p w:rsidR="001407A2" w:rsidRPr="001407A2" w:rsidP="006B7513" w14:paraId="7D2F8E4E" w14:textId="77777777">
            <w:pPr>
              <w:autoSpaceDE w:val="0"/>
              <w:autoSpaceDN w:val="0"/>
              <w:adjustRightInd w:val="0"/>
              <w:rPr>
                <w:rStyle w:val="Hyperlink"/>
                <w:color w:val="0000FF"/>
              </w:rPr>
            </w:pPr>
            <w:r w:rsidRPr="001407A2">
              <w:rPr>
                <w:rStyle w:val="Hyperlink"/>
                <w:color w:val="0000FF"/>
              </w:rPr>
              <w:t>kboehm@BKLlawfirm.com</w:t>
            </w:r>
          </w:p>
          <w:p w:rsidR="001407A2" w:rsidRPr="001407A2" w:rsidP="006B7513" w14:paraId="24734424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6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jkylercohn@BKLlawfirm.com</w:t>
              </w:r>
            </w:hyperlink>
          </w:p>
          <w:p w:rsidR="001407A2" w:rsidRPr="001407A2" w:rsidP="006B7513" w14:paraId="7509F204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7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bethany.allen@igs.com</w:t>
              </w:r>
            </w:hyperlink>
          </w:p>
          <w:p w:rsidR="001407A2" w:rsidRPr="001407A2" w:rsidP="006B7513" w14:paraId="19967499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8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Joe.oliker@igs.com</w:t>
              </w:r>
            </w:hyperlink>
          </w:p>
          <w:p w:rsidR="001407A2" w:rsidRPr="001407A2" w:rsidP="006B7513" w14:paraId="3C03CFD9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39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Michael.nugent@igs.com</w:t>
              </w:r>
            </w:hyperlink>
          </w:p>
          <w:p w:rsidR="001407A2" w:rsidRPr="001407A2" w:rsidP="006B7513" w14:paraId="79498F7F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0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Evan.betterton@igs.com</w:t>
              </w:r>
            </w:hyperlink>
          </w:p>
          <w:p w:rsidR="001407A2" w:rsidRPr="001407A2" w:rsidP="006B7513" w14:paraId="1612E8E9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1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Stephanie.chmiel@thompsonhine.com</w:t>
              </w:r>
            </w:hyperlink>
          </w:p>
          <w:p w:rsidR="001407A2" w:rsidRPr="001407A2" w:rsidP="006B7513" w14:paraId="6E7DEA2A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2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Kevin.oles@thompsonhine.com</w:t>
              </w:r>
            </w:hyperlink>
          </w:p>
          <w:p w:rsidR="001407A2" w:rsidRPr="001407A2" w:rsidP="006B7513" w14:paraId="6F8D3DF3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3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Fdarr2019@gmail.com</w:t>
              </w:r>
            </w:hyperlink>
          </w:p>
          <w:p w:rsidR="001407A2" w:rsidRPr="001407A2" w:rsidP="006B7513" w14:paraId="188E7450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4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rdove@keglerbrown.com</w:t>
              </w:r>
            </w:hyperlink>
          </w:p>
          <w:p w:rsidR="001407A2" w:rsidRPr="001407A2" w:rsidP="006B7513" w14:paraId="2C10DD3B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5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cgrundmann@spilmanlaw.com</w:t>
              </w:r>
            </w:hyperlink>
          </w:p>
          <w:p w:rsidR="001407A2" w:rsidRPr="001407A2" w:rsidP="006B7513" w14:paraId="1E03F4CE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6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dwilliamson@spilmanlaw.com</w:t>
              </w:r>
            </w:hyperlink>
          </w:p>
          <w:p w:rsidR="001407A2" w:rsidRPr="001407A2" w:rsidP="006B7513" w14:paraId="18D34A8C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7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mpritchard@mcneeslaw.com</w:t>
              </w:r>
            </w:hyperlink>
          </w:p>
          <w:p w:rsidR="001407A2" w:rsidRPr="001407A2" w:rsidP="006B7513" w14:paraId="7CDF89D0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8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rglover@mcneeslaw.com</w:t>
              </w:r>
            </w:hyperlink>
          </w:p>
          <w:p w:rsidR="001407A2" w:rsidRPr="001407A2" w:rsidP="006B7513" w14:paraId="26B6F02B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49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mleppla@theOEC.org</w:t>
              </w:r>
            </w:hyperlink>
          </w:p>
          <w:p w:rsidR="001407A2" w:rsidRPr="001407A2" w:rsidP="006B7513" w14:paraId="532861FC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50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tdougherty@theOEC.org</w:t>
              </w:r>
            </w:hyperlink>
          </w:p>
          <w:p w:rsidR="001407A2" w:rsidRPr="001407A2" w:rsidP="006B7513" w14:paraId="4F43DB82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  <w:hyperlink r:id="rId51" w:history="1">
              <w:r w:rsidRPr="001407A2" w:rsidR="00A11887">
                <w:rPr>
                  <w:rStyle w:val="Hyperlink"/>
                  <w:rFonts w:eastAsiaTheme="minorHAnsi"/>
                  <w:color w:val="0000FF"/>
                  <w:szCs w:val="19"/>
                </w:rPr>
                <w:t>ctavenor@theOEC.org</w:t>
              </w:r>
            </w:hyperlink>
          </w:p>
          <w:p w:rsidR="001407A2" w:rsidRPr="001407A2" w:rsidP="006B7513" w14:paraId="7948F7B2" w14:textId="77777777">
            <w:pPr>
              <w:pStyle w:val="BodyText"/>
              <w:rPr>
                <w:rStyle w:val="Hyperlink"/>
                <w:rFonts w:eastAsiaTheme="minorHAnsi"/>
                <w:color w:val="0000FF"/>
                <w:szCs w:val="19"/>
              </w:rPr>
            </w:pPr>
          </w:p>
        </w:tc>
      </w:tr>
    </w:tbl>
    <w:p w:rsidR="00C77AB9" w:rsidRPr="006759E0" w:rsidP="00C77AB9" w14:paraId="4703828D" w14:textId="77777777">
      <w:pPr>
        <w:rPr>
          <w:szCs w:val="24"/>
        </w:rPr>
      </w:pPr>
    </w:p>
    <w:p w:rsidR="00AA2AA1" w:rsidRPr="005B485F" w:rsidP="00C77AB9" w14:paraId="2F4C627E" w14:textId="5C757AC3">
      <w:pPr>
        <w:jc w:val="center"/>
        <w:rPr>
          <w:b/>
          <w:bCs/>
          <w:u w:val="single"/>
        </w:rPr>
      </w:pPr>
    </w:p>
    <w:sectPr w:rsidSect="00111344">
      <w:footerReference w:type="default" r:id="rId5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471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0B4" w14:paraId="08D4CDB2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1331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0E6" w14:paraId="6CB442E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248C1" w:rsidP="00AA2AA1" w14:paraId="57C327BC" w14:textId="77777777">
      <w:r>
        <w:separator/>
      </w:r>
    </w:p>
  </w:footnote>
  <w:footnote w:type="continuationSeparator" w:id="1">
    <w:p w:rsidR="00D248C1" w:rsidP="00AA2AA1" w14:paraId="25381982" w14:textId="77777777">
      <w:r>
        <w:continuationSeparator/>
      </w:r>
    </w:p>
  </w:footnote>
  <w:footnote w:id="2">
    <w:p w:rsidR="009D3C63" w:rsidRPr="00C77AB9" w:rsidP="009D3C63" w14:paraId="7C67EE58" w14:textId="5E008BAE">
      <w:pPr>
        <w:pStyle w:val="FootnoteText"/>
        <w:spacing w:after="120"/>
        <w:rPr>
          <w:i/>
          <w:iCs/>
        </w:rPr>
      </w:pPr>
      <w:r w:rsidRPr="00C77AB9">
        <w:rPr>
          <w:rStyle w:val="FootnoteReference"/>
        </w:rPr>
        <w:footnoteRef/>
      </w:r>
      <w:r w:rsidRPr="00C77AB9">
        <w:t xml:space="preserve"> </w:t>
      </w:r>
      <w:r w:rsidR="00F65677">
        <w:t>Tr.</w:t>
      </w:r>
      <w:r w:rsidRPr="00C77AB9">
        <w:rPr>
          <w:i/>
          <w:iCs/>
        </w:rPr>
        <w:t xml:space="preserve"> </w:t>
      </w:r>
      <w:r w:rsidRPr="00C77AB9">
        <w:t>at 13:22-14:5.</w:t>
      </w:r>
    </w:p>
  </w:footnote>
  <w:footnote w:id="3">
    <w:p w:rsidR="00FB512F" w:rsidRPr="00C77AB9" w:rsidP="00C77AB9" w14:paraId="47C7880C" w14:textId="126A09CE">
      <w:pPr>
        <w:pStyle w:val="FootnoteText"/>
        <w:spacing w:after="120"/>
      </w:pPr>
      <w:r w:rsidRPr="006C12A2">
        <w:rPr>
          <w:rStyle w:val="FootnoteReference"/>
          <w:i/>
          <w:iCs/>
        </w:rPr>
        <w:footnoteRef/>
      </w:r>
      <w:r w:rsidRPr="006C12A2">
        <w:rPr>
          <w:i/>
          <w:iCs/>
        </w:rPr>
        <w:t xml:space="preserve"> In </w:t>
      </w:r>
      <w:r w:rsidRPr="006C12A2" w:rsidR="002403D2">
        <w:rPr>
          <w:i/>
          <w:iCs/>
        </w:rPr>
        <w:t>the Matter of the Application of DP&amp;L for Approval of its Electric Security Plan</w:t>
      </w:r>
      <w:r w:rsidRPr="00C77AB9" w:rsidR="002403D2">
        <w:t>, Case No. 08-1094-EL-SSO, Settlement at ¶18 (Feb. 24, 2009); Opinion and Order (June 24, 2009).</w:t>
      </w:r>
      <w:r w:rsidR="006C12A2">
        <w:t xml:space="preserve"> </w:t>
      </w:r>
    </w:p>
  </w:footnote>
  <w:footnote w:id="4">
    <w:p w:rsidR="002403D2" w:rsidRPr="00C77AB9" w:rsidP="00C77AB9" w14:paraId="11968271" w14:textId="55FCAAC9">
      <w:pPr>
        <w:pStyle w:val="FootnoteText"/>
        <w:spacing w:after="120"/>
      </w:pPr>
      <w:r w:rsidRPr="00C77AB9">
        <w:rPr>
          <w:rStyle w:val="FootnoteReference"/>
        </w:rPr>
        <w:footnoteRef/>
      </w:r>
      <w:r w:rsidRPr="00C77AB9">
        <w:t xml:space="preserve"> </w:t>
      </w:r>
      <w:r w:rsidRPr="006C12A2" w:rsidR="009C75AC">
        <w:rPr>
          <w:i/>
          <w:iCs/>
        </w:rPr>
        <w:t>In the Matter of the Dayton Power and Light Company to Increase its Rates for Electric Distribution</w:t>
      </w:r>
      <w:r w:rsidRPr="00C77AB9" w:rsidR="009C75AC">
        <w:t>, Case No. 20-1651-EL-AIR, Motion for Oral Argument (Mar</w:t>
      </w:r>
      <w:r>
        <w:t>ch</w:t>
      </w:r>
      <w:r w:rsidRPr="00C77AB9" w:rsidR="009C75AC">
        <w:t xml:space="preserve"> 14, 2022).</w:t>
      </w:r>
      <w:r w:rsidRPr="00C77AB9" w:rsidR="00C77AB9">
        <w:t xml:space="preserve"> </w:t>
      </w:r>
    </w:p>
  </w:footnote>
  <w:footnote w:id="5">
    <w:p w:rsidR="009C75AC" w:rsidRPr="00C77AB9" w:rsidP="00C77AB9" w14:paraId="5D4DA3AC" w14:textId="0A8E1CE8">
      <w:pPr>
        <w:pStyle w:val="FootnoteText"/>
        <w:spacing w:after="120"/>
      </w:pPr>
      <w:r w:rsidRPr="00C77AB9">
        <w:rPr>
          <w:rStyle w:val="FootnoteReference"/>
        </w:rPr>
        <w:footnoteRef/>
      </w:r>
      <w:r w:rsidRPr="00C77AB9">
        <w:t xml:space="preserve"> </w:t>
      </w:r>
      <w:r w:rsidRPr="006C12A2">
        <w:rPr>
          <w:i/>
          <w:iCs/>
        </w:rPr>
        <w:t>Id.</w:t>
      </w:r>
      <w:r w:rsidRPr="00C77AB9">
        <w:t>, Memorandum Contra (Mar</w:t>
      </w:r>
      <w:r>
        <w:t>ch</w:t>
      </w:r>
      <w:r w:rsidRPr="00C77AB9">
        <w:t xml:space="preserve"> 21, 2022).</w:t>
      </w:r>
      <w:r w:rsidRPr="00C77AB9" w:rsidR="00C77AB9">
        <w:t xml:space="preserve"> </w:t>
      </w:r>
    </w:p>
  </w:footnote>
  <w:footnote w:id="6">
    <w:p w:rsidR="003D152F" w:rsidRPr="00C77AB9" w:rsidP="00C77AB9" w14:paraId="3AEBB822" w14:textId="238F71A6">
      <w:pPr>
        <w:pStyle w:val="FootnoteText"/>
        <w:spacing w:after="120"/>
      </w:pPr>
      <w:r w:rsidRPr="00C77AB9">
        <w:rPr>
          <w:rStyle w:val="FootnoteReference"/>
        </w:rPr>
        <w:footnoteRef/>
      </w:r>
      <w:r w:rsidRPr="00C77AB9">
        <w:t xml:space="preserve"> Tr. at 5</w:t>
      </w:r>
      <w:r w:rsidRPr="00C77AB9" w:rsidR="00037137">
        <w:t xml:space="preserve"> (May 18, 2022)</w:t>
      </w:r>
      <w:r w:rsidRPr="00C77AB9">
        <w:t xml:space="preserve">. </w:t>
      </w:r>
    </w:p>
  </w:footnote>
  <w:footnote w:id="7">
    <w:p w:rsidR="003D152F" w:rsidRPr="006C12A2" w:rsidP="00C77AB9" w14:paraId="71834B57" w14:textId="29D78774">
      <w:pPr>
        <w:pStyle w:val="FootnoteText"/>
        <w:spacing w:after="120"/>
        <w:rPr>
          <w:i/>
          <w:iCs/>
        </w:rPr>
      </w:pPr>
      <w:r w:rsidRPr="00C77AB9">
        <w:rPr>
          <w:rStyle w:val="FootnoteReference"/>
        </w:rPr>
        <w:footnoteRef/>
      </w:r>
      <w:r w:rsidRPr="00C77AB9">
        <w:t xml:space="preserve"> </w:t>
      </w:r>
      <w:r w:rsidRPr="006C12A2">
        <w:rPr>
          <w:i/>
          <w:iCs/>
        </w:rPr>
        <w:t xml:space="preserve">Id. </w:t>
      </w:r>
    </w:p>
  </w:footnote>
  <w:footnote w:id="8">
    <w:p w:rsidR="003373A5" w:rsidRPr="00C77AB9" w:rsidP="00C77AB9" w14:paraId="56306466" w14:textId="2B4D0ACC">
      <w:pPr>
        <w:pStyle w:val="FootnoteText"/>
        <w:spacing w:after="120"/>
      </w:pPr>
      <w:r w:rsidRPr="00C77AB9">
        <w:rPr>
          <w:rStyle w:val="FootnoteReference"/>
        </w:rPr>
        <w:footnoteRef/>
      </w:r>
      <w:r w:rsidRPr="00C77AB9">
        <w:t xml:space="preserve"> </w:t>
      </w:r>
      <w:r w:rsidRPr="00C77AB9" w:rsidR="00AF7558">
        <w:t>Tr.</w:t>
      </w:r>
      <w:r w:rsidRPr="00C77AB9" w:rsidR="00AF7558">
        <w:rPr>
          <w:i/>
          <w:iCs/>
        </w:rPr>
        <w:t xml:space="preserve"> </w:t>
      </w:r>
      <w:r w:rsidRPr="00C77AB9" w:rsidR="00AF7558">
        <w:t>at 13.</w:t>
      </w:r>
    </w:p>
  </w:footnote>
  <w:footnote w:id="9">
    <w:p w:rsidR="0074568A" w:rsidRPr="00C77AB9" w:rsidP="00C77AB9" w14:paraId="2B77A75B" w14:textId="2F18F91E">
      <w:pPr>
        <w:pStyle w:val="FootnoteText"/>
        <w:spacing w:after="120"/>
      </w:pPr>
      <w:r w:rsidRPr="00C77AB9">
        <w:rPr>
          <w:rStyle w:val="FootnoteReference"/>
        </w:rPr>
        <w:footnoteRef/>
      </w:r>
      <w:r w:rsidRPr="00C77AB9">
        <w:t xml:space="preserve"> </w:t>
      </w:r>
      <w:r w:rsidRPr="00C77AB9" w:rsidR="00AF7558">
        <w:rPr>
          <w:i/>
          <w:iCs/>
        </w:rPr>
        <w:t>Id.</w:t>
      </w:r>
    </w:p>
  </w:footnote>
  <w:footnote w:id="10">
    <w:p w:rsidR="00600AAC" w:rsidRPr="00C77AB9" w:rsidP="00C77AB9" w14:paraId="1B90CD93" w14:textId="4A3EA0E8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C77AB9">
        <w:rPr>
          <w:rStyle w:val="FootnoteReference"/>
          <w:color w:val="000000" w:themeColor="text1"/>
          <w:sz w:val="20"/>
          <w:szCs w:val="20"/>
        </w:rPr>
        <w:footnoteRef/>
      </w:r>
      <w:r w:rsidRPr="00C77AB9">
        <w:rPr>
          <w:color w:val="000000" w:themeColor="text1"/>
          <w:sz w:val="20"/>
          <w:szCs w:val="20"/>
        </w:rPr>
        <w:t xml:space="preserve"> </w:t>
      </w:r>
      <w:r w:rsidRPr="00C77AB9">
        <w:rPr>
          <w:i/>
          <w:iCs/>
          <w:color w:val="000000" w:themeColor="text1"/>
          <w:sz w:val="20"/>
          <w:szCs w:val="20"/>
        </w:rPr>
        <w:t>See</w:t>
      </w:r>
      <w:r w:rsidRPr="00C77AB9">
        <w:rPr>
          <w:rFonts w:eastAsia="TimesNewRomanPSMT"/>
          <w:color w:val="000000" w:themeColor="text1"/>
          <w:sz w:val="20"/>
          <w:szCs w:val="20"/>
        </w:rPr>
        <w:t xml:space="preserve">, </w:t>
      </w:r>
      <w:r w:rsidRPr="00C77AB9">
        <w:rPr>
          <w:i/>
          <w:iCs/>
          <w:color w:val="000000" w:themeColor="text1"/>
          <w:sz w:val="20"/>
          <w:szCs w:val="20"/>
        </w:rPr>
        <w:t>e.g.</w:t>
      </w:r>
      <w:r w:rsidRPr="00C77AB9">
        <w:rPr>
          <w:rFonts w:eastAsia="TimesNewRomanPSMT"/>
          <w:color w:val="000000" w:themeColor="text1"/>
          <w:sz w:val="20"/>
          <w:szCs w:val="20"/>
        </w:rPr>
        <w:t xml:space="preserve">, </w:t>
      </w:r>
      <w:r w:rsidRPr="00C77AB9">
        <w:rPr>
          <w:i/>
          <w:iCs/>
          <w:color w:val="000000" w:themeColor="text1"/>
          <w:sz w:val="20"/>
          <w:szCs w:val="20"/>
        </w:rPr>
        <w:t xml:space="preserve">In </w:t>
      </w:r>
      <w:r w:rsidRPr="00C77AB9" w:rsidR="004D09DD">
        <w:rPr>
          <w:i/>
          <w:iCs/>
          <w:color w:val="000000" w:themeColor="text1"/>
          <w:sz w:val="20"/>
          <w:szCs w:val="20"/>
        </w:rPr>
        <w:t>re</w:t>
      </w:r>
      <w:r w:rsidRPr="00C77AB9">
        <w:rPr>
          <w:i/>
          <w:iCs/>
          <w:color w:val="000000" w:themeColor="text1"/>
          <w:sz w:val="20"/>
          <w:szCs w:val="20"/>
        </w:rPr>
        <w:t xml:space="preserve"> FAF, Inc., Notice of Apparent Violation and Intent to Assess Forfeiture</w:t>
      </w:r>
      <w:r w:rsidRPr="00C77AB9">
        <w:rPr>
          <w:rFonts w:eastAsia="TimesNewRomanPSMT"/>
          <w:color w:val="000000" w:themeColor="text1"/>
          <w:sz w:val="20"/>
          <w:szCs w:val="20"/>
        </w:rPr>
        <w:t xml:space="preserve">, Case No. 06-786-TR-CVF, Opinion and Order (Nov. 21, 2006), at 2 (granting motion to strike non-record evidence, in part, because “the opposing party would have no opportunity to conduct cross-examination concerning the document or refute the statements contained in the document.”) </w:t>
      </w:r>
      <w:r w:rsidRPr="00C77AB9" w:rsidR="009858F9">
        <w:rPr>
          <w:i/>
          <w:iCs/>
          <w:color w:val="000000" w:themeColor="text1"/>
          <w:sz w:val="20"/>
          <w:szCs w:val="20"/>
        </w:rPr>
        <w:t xml:space="preserve">In </w:t>
      </w:r>
      <w:r w:rsidRPr="00C77AB9" w:rsidR="004D09DD">
        <w:rPr>
          <w:i/>
          <w:iCs/>
          <w:color w:val="000000" w:themeColor="text1"/>
          <w:sz w:val="20"/>
          <w:szCs w:val="20"/>
        </w:rPr>
        <w:t>re</w:t>
      </w:r>
      <w:r w:rsidRPr="00C77AB9" w:rsidR="009858F9">
        <w:rPr>
          <w:i/>
          <w:iCs/>
          <w:color w:val="000000" w:themeColor="text1"/>
          <w:sz w:val="20"/>
          <w:szCs w:val="20"/>
        </w:rPr>
        <w:t xml:space="preserve"> the Application of Ohio American Water Company to Increase its Rates for Water and Sewer Services Provided to its Entire Service Area</w:t>
      </w:r>
      <w:r w:rsidRPr="00C77AB9" w:rsidR="009858F9">
        <w:rPr>
          <w:rFonts w:eastAsia="TimesNewRomanPSMT"/>
          <w:color w:val="000000" w:themeColor="text1"/>
          <w:sz w:val="20"/>
          <w:szCs w:val="20"/>
        </w:rPr>
        <w:t xml:space="preserve">, Case No. 09-391-WS-AIR, Opinion and Order, (May 5, 2010), at 8-9 (granting motion to strike certain portions of post-hearing briefs “for reliance upon non-record evidence.”). </w:t>
      </w:r>
    </w:p>
  </w:footnote>
  <w:footnote w:id="11">
    <w:p w:rsidR="00F657D3" w:rsidRPr="00C77AB9" w:rsidP="00C77AB9" w14:paraId="143DE739" w14:textId="42310BEE">
      <w:pPr>
        <w:spacing w:after="120"/>
        <w:textAlignment w:val="baseline"/>
        <w:rPr>
          <w:sz w:val="20"/>
          <w:szCs w:val="20"/>
        </w:rPr>
      </w:pPr>
      <w:r w:rsidRPr="00C77AB9">
        <w:rPr>
          <w:rStyle w:val="FootnoteReference"/>
          <w:sz w:val="20"/>
          <w:szCs w:val="20"/>
        </w:rPr>
        <w:footnoteRef/>
      </w:r>
      <w:r w:rsidRPr="00C77AB9">
        <w:rPr>
          <w:sz w:val="20"/>
          <w:szCs w:val="20"/>
        </w:rPr>
        <w:t xml:space="preserve"> </w:t>
      </w:r>
      <w:r w:rsidRPr="00C77AB9" w:rsidR="0012117B">
        <w:rPr>
          <w:i/>
          <w:iCs/>
          <w:sz w:val="20"/>
          <w:szCs w:val="20"/>
        </w:rPr>
        <w:t>See</w:t>
      </w:r>
      <w:r w:rsidRPr="00C77AB9" w:rsidR="0012117B">
        <w:rPr>
          <w:sz w:val="20"/>
          <w:szCs w:val="20"/>
        </w:rPr>
        <w:t xml:space="preserve"> </w:t>
      </w:r>
      <w:r w:rsidRPr="00C77AB9" w:rsidR="0012117B">
        <w:rPr>
          <w:i/>
          <w:iCs/>
          <w:sz w:val="20"/>
          <w:szCs w:val="20"/>
          <w:bdr w:val="none" w:sz="0" w:space="0" w:color="auto" w:frame="1"/>
        </w:rPr>
        <w:t>Toliver v. Vectren Energy Delivery of Ohio, Inc.</w:t>
      </w:r>
      <w:r w:rsidRPr="00C77AB9" w:rsidR="0012117B">
        <w:rPr>
          <w:sz w:val="20"/>
          <w:szCs w:val="20"/>
          <w:bdr w:val="none" w:sz="0" w:space="0" w:color="auto" w:frame="1"/>
        </w:rPr>
        <w:t>, 145 Ohio St.3d 346, 2015-Ohio-5055, 49 N.E.3d 1240, ¶ 35 (</w:t>
      </w:r>
      <w:r w:rsidRPr="00C77AB9" w:rsidR="00A74233">
        <w:rPr>
          <w:sz w:val="20"/>
          <w:szCs w:val="20"/>
        </w:rPr>
        <w:t xml:space="preserve">The Court upheld the PUCO’s </w:t>
      </w:r>
      <w:r w:rsidRPr="00C77AB9" w:rsidR="00925319">
        <w:rPr>
          <w:sz w:val="20"/>
          <w:szCs w:val="20"/>
        </w:rPr>
        <w:t xml:space="preserve">grant of Vectren’s Motion to Strike evidence </w:t>
      </w:r>
      <w:r w:rsidRPr="00C77AB9" w:rsidR="008C47F7">
        <w:rPr>
          <w:sz w:val="20"/>
          <w:szCs w:val="20"/>
        </w:rPr>
        <w:t xml:space="preserve">that was introduced after the hearing because it would deny Vectren its right to cross-examine the witness on the </w:t>
      </w:r>
      <w:r w:rsidRPr="00C77AB9" w:rsidR="0000173C">
        <w:rPr>
          <w:sz w:val="20"/>
          <w:szCs w:val="20"/>
        </w:rPr>
        <w:t xml:space="preserve">documents or to introduce evidence to rebut the information in the documents.); </w:t>
      </w:r>
      <w:r w:rsidRPr="00C77AB9" w:rsidR="0000173C">
        <w:rPr>
          <w:i/>
          <w:iCs/>
          <w:sz w:val="20"/>
          <w:szCs w:val="20"/>
        </w:rPr>
        <w:t xml:space="preserve">see also </w:t>
      </w:r>
      <w:r w:rsidRPr="00C77AB9" w:rsidR="00391EBC">
        <w:rPr>
          <w:i/>
          <w:iCs/>
          <w:sz w:val="20"/>
          <w:szCs w:val="20"/>
          <w:bdr w:val="none" w:sz="0" w:space="0" w:color="auto" w:frame="1"/>
        </w:rPr>
        <w:t>Payphone Assn. v. PUC</w:t>
      </w:r>
      <w:r w:rsidRPr="00C77AB9" w:rsidR="00391EBC">
        <w:rPr>
          <w:sz w:val="20"/>
          <w:szCs w:val="20"/>
          <w:bdr w:val="none" w:sz="0" w:space="0" w:color="auto" w:frame="1"/>
        </w:rPr>
        <w:t>, 109 Ohio St.3d 453, 2006-Ohio-2988, 849 N.E.2d 4, ¶ 19 (“</w:t>
      </w:r>
      <w:r w:rsidRPr="00C77AB9" w:rsidR="00391EBC">
        <w:rPr>
          <w:color w:val="212121"/>
          <w:sz w:val="20"/>
          <w:szCs w:val="20"/>
        </w:rPr>
        <w:t>PAO makes substantive arguments based on these letters as if they were part of the </w:t>
      </w:r>
      <w:r w:rsidRPr="00C77AB9" w:rsidR="00391EBC">
        <w:rPr>
          <w:rStyle w:val="sssh"/>
          <w:color w:val="212121"/>
          <w:sz w:val="20"/>
          <w:szCs w:val="20"/>
          <w:bdr w:val="none" w:sz="0" w:space="0" w:color="auto" w:frame="1"/>
        </w:rPr>
        <w:t>record</w:t>
      </w:r>
      <w:r w:rsidRPr="00C77AB9" w:rsidR="00391EBC">
        <w:rPr>
          <w:color w:val="212121"/>
          <w:sz w:val="20"/>
          <w:szCs w:val="20"/>
        </w:rPr>
        <w:t> in this case. Because they were not in evidence, we disregard PAO's arguments concerning them.”).</w:t>
      </w:r>
      <w:r w:rsidRPr="00C77AB9" w:rsidR="00391EBC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A1"/>
    <w:rsid w:val="000002F7"/>
    <w:rsid w:val="0000173C"/>
    <w:rsid w:val="00037137"/>
    <w:rsid w:val="0004353C"/>
    <w:rsid w:val="00081D24"/>
    <w:rsid w:val="00082F5F"/>
    <w:rsid w:val="000B55A6"/>
    <w:rsid w:val="000D2D75"/>
    <w:rsid w:val="0012117B"/>
    <w:rsid w:val="001407A2"/>
    <w:rsid w:val="0015796A"/>
    <w:rsid w:val="001633AC"/>
    <w:rsid w:val="001B728F"/>
    <w:rsid w:val="001C32BD"/>
    <w:rsid w:val="00235378"/>
    <w:rsid w:val="002403D2"/>
    <w:rsid w:val="00293A06"/>
    <w:rsid w:val="002A46E7"/>
    <w:rsid w:val="002C4559"/>
    <w:rsid w:val="002E6E09"/>
    <w:rsid w:val="003373A5"/>
    <w:rsid w:val="00345910"/>
    <w:rsid w:val="003648F8"/>
    <w:rsid w:val="00372D59"/>
    <w:rsid w:val="00390137"/>
    <w:rsid w:val="00391EBC"/>
    <w:rsid w:val="003B7567"/>
    <w:rsid w:val="003D152F"/>
    <w:rsid w:val="003E6D18"/>
    <w:rsid w:val="003F0404"/>
    <w:rsid w:val="00423E3A"/>
    <w:rsid w:val="00437363"/>
    <w:rsid w:val="00443BFC"/>
    <w:rsid w:val="004744FA"/>
    <w:rsid w:val="004A7CC7"/>
    <w:rsid w:val="004A7F30"/>
    <w:rsid w:val="004D09DD"/>
    <w:rsid w:val="00564001"/>
    <w:rsid w:val="0057608B"/>
    <w:rsid w:val="00582D00"/>
    <w:rsid w:val="005B485F"/>
    <w:rsid w:val="005B59B0"/>
    <w:rsid w:val="005B62E5"/>
    <w:rsid w:val="00600AAC"/>
    <w:rsid w:val="00603125"/>
    <w:rsid w:val="00623F9C"/>
    <w:rsid w:val="006358A7"/>
    <w:rsid w:val="0063601E"/>
    <w:rsid w:val="00645FE2"/>
    <w:rsid w:val="006530FE"/>
    <w:rsid w:val="006759E0"/>
    <w:rsid w:val="006B7513"/>
    <w:rsid w:val="006C019B"/>
    <w:rsid w:val="006C0D75"/>
    <w:rsid w:val="006C12A2"/>
    <w:rsid w:val="006C5631"/>
    <w:rsid w:val="00705CBC"/>
    <w:rsid w:val="007239BA"/>
    <w:rsid w:val="00724CEB"/>
    <w:rsid w:val="00731034"/>
    <w:rsid w:val="0074568A"/>
    <w:rsid w:val="007853B3"/>
    <w:rsid w:val="007A4FC2"/>
    <w:rsid w:val="007E0535"/>
    <w:rsid w:val="00807D49"/>
    <w:rsid w:val="008B1E43"/>
    <w:rsid w:val="008C47F7"/>
    <w:rsid w:val="008D0550"/>
    <w:rsid w:val="008D4507"/>
    <w:rsid w:val="00925319"/>
    <w:rsid w:val="00935174"/>
    <w:rsid w:val="00935C21"/>
    <w:rsid w:val="009777B1"/>
    <w:rsid w:val="00982F77"/>
    <w:rsid w:val="009858F9"/>
    <w:rsid w:val="009978BA"/>
    <w:rsid w:val="009C32B6"/>
    <w:rsid w:val="009C75AC"/>
    <w:rsid w:val="009C7BE1"/>
    <w:rsid w:val="009D3C63"/>
    <w:rsid w:val="009F3F5D"/>
    <w:rsid w:val="00A044B5"/>
    <w:rsid w:val="00A11887"/>
    <w:rsid w:val="00A66A5F"/>
    <w:rsid w:val="00A66D3D"/>
    <w:rsid w:val="00A74233"/>
    <w:rsid w:val="00AA2AA1"/>
    <w:rsid w:val="00AF7558"/>
    <w:rsid w:val="00B31959"/>
    <w:rsid w:val="00B64C27"/>
    <w:rsid w:val="00B6529E"/>
    <w:rsid w:val="00B81B2E"/>
    <w:rsid w:val="00B870E6"/>
    <w:rsid w:val="00BA3614"/>
    <w:rsid w:val="00BB1D3F"/>
    <w:rsid w:val="00C24EE9"/>
    <w:rsid w:val="00C27221"/>
    <w:rsid w:val="00C3165A"/>
    <w:rsid w:val="00C70A3E"/>
    <w:rsid w:val="00C77AB9"/>
    <w:rsid w:val="00D0514F"/>
    <w:rsid w:val="00D248C1"/>
    <w:rsid w:val="00D514E6"/>
    <w:rsid w:val="00D54276"/>
    <w:rsid w:val="00D543D2"/>
    <w:rsid w:val="00D626CD"/>
    <w:rsid w:val="00D748A1"/>
    <w:rsid w:val="00DB2E2F"/>
    <w:rsid w:val="00E01570"/>
    <w:rsid w:val="00E32B0F"/>
    <w:rsid w:val="00E779EC"/>
    <w:rsid w:val="00EF62BD"/>
    <w:rsid w:val="00F549BB"/>
    <w:rsid w:val="00F65677"/>
    <w:rsid w:val="00F657D3"/>
    <w:rsid w:val="00F910B4"/>
    <w:rsid w:val="00FB512F"/>
    <w:rsid w:val="00FE5EB4"/>
    <w:rsid w:val="00FE7D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A1"/>
    <w:rPr>
      <w:rFonts w:ascii="Times New Roman" w:hAnsi="Times New Roman" w:cs="Times New Roman"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2A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A1"/>
    <w:rPr>
      <w:rFonts w:ascii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A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A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A1"/>
    <w:rPr>
      <w:rFonts w:ascii="Times New Roman" w:hAnsi="Times New Roman" w:cs="Times New Roman"/>
      <w:color w:val="000000"/>
      <w:szCs w:val="19"/>
    </w:rPr>
  </w:style>
  <w:style w:type="paragraph" w:styleId="NormalWeb">
    <w:name w:val="Normal (Web)"/>
    <w:basedOn w:val="Normal"/>
    <w:uiPriority w:val="99"/>
    <w:unhideWhenUsed/>
    <w:rsid w:val="00600AAC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137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3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137"/>
    <w:pPr>
      <w:ind w:left="720"/>
      <w:contextualSpacing/>
    </w:pPr>
    <w:rPr>
      <w:rFonts w:eastAsia="Times New Roman"/>
      <w:color w:val="auto"/>
      <w:szCs w:val="24"/>
      <w:lang w:bidi="en-US"/>
    </w:rPr>
  </w:style>
  <w:style w:type="paragraph" w:styleId="HTMLPreformatted">
    <w:name w:val="HTML Preformatted"/>
    <w:basedOn w:val="Normal"/>
    <w:link w:val="HTMLPreformattedChar"/>
    <w:rsid w:val="0039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bCs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90137"/>
    <w:rPr>
      <w:rFonts w:ascii="Courier New" w:eastAsia="Courier New" w:hAnsi="Courier New" w:cs="Courier New"/>
      <w:bCs/>
      <w:sz w:val="20"/>
      <w:szCs w:val="20"/>
    </w:rPr>
  </w:style>
  <w:style w:type="paragraph" w:styleId="List">
    <w:name w:val="List"/>
    <w:basedOn w:val="Normal"/>
    <w:rsid w:val="00390137"/>
    <w:pPr>
      <w:ind w:left="360" w:hanging="360"/>
    </w:pPr>
    <w:rPr>
      <w:rFonts w:eastAsia="Times New Roman"/>
      <w:bCs/>
      <w:color w:val="auto"/>
      <w:szCs w:val="20"/>
    </w:rPr>
  </w:style>
  <w:style w:type="character" w:customStyle="1" w:styleId="sssh">
    <w:name w:val="ss_sh"/>
    <w:basedOn w:val="DefaultParagraphFont"/>
    <w:rsid w:val="00391EBC"/>
  </w:style>
  <w:style w:type="paragraph" w:styleId="Revision">
    <w:name w:val="Revision"/>
    <w:hidden/>
    <w:uiPriority w:val="99"/>
    <w:semiHidden/>
    <w:rsid w:val="00B81B2E"/>
    <w:rPr>
      <w:rFonts w:ascii="Times New Roman" w:hAnsi="Times New Roman" w:cs="Times New Roman"/>
      <w:color w:val="000000"/>
      <w:szCs w:val="19"/>
    </w:rPr>
  </w:style>
  <w:style w:type="paragraph" w:styleId="BodyText">
    <w:name w:val="Body Text"/>
    <w:basedOn w:val="Normal"/>
    <w:link w:val="BodyTextChar"/>
    <w:rsid w:val="00C77AB9"/>
    <w:pPr>
      <w:jc w:val="both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77AB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6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kyle.kern@ohioAGO.gov" TargetMode="External" /><Relationship Id="rId11" Type="http://schemas.openxmlformats.org/officeDocument/2006/relationships/hyperlink" Target="mailto:chelsea.fletcher@ohioAGO.gov" TargetMode="External" /><Relationship Id="rId12" Type="http://schemas.openxmlformats.org/officeDocument/2006/relationships/hyperlink" Target="mailto:bmckenney@mcneeslaw.com" TargetMode="External" /><Relationship Id="rId13" Type="http://schemas.openxmlformats.org/officeDocument/2006/relationships/hyperlink" Target="mailto:mjsettineri@vorys.com" TargetMode="External" /><Relationship Id="rId14" Type="http://schemas.openxmlformats.org/officeDocument/2006/relationships/hyperlink" Target="mailto:glpetrucci@vorys.com" TargetMode="External" /><Relationship Id="rId15" Type="http://schemas.openxmlformats.org/officeDocument/2006/relationships/hyperlink" Target="mailto:dromig@armadapower.com" TargetMode="External" /><Relationship Id="rId16" Type="http://schemas.openxmlformats.org/officeDocument/2006/relationships/hyperlink" Target="mailto:dparram@bricker.com" TargetMode="External" /><Relationship Id="rId17" Type="http://schemas.openxmlformats.org/officeDocument/2006/relationships/hyperlink" Target="mailto:rmains@bricker.com" TargetMode="External" /><Relationship Id="rId18" Type="http://schemas.openxmlformats.org/officeDocument/2006/relationships/hyperlink" Target="mailto:khernstein@bricker.com" TargetMode="External" /><Relationship Id="rId19" Type="http://schemas.openxmlformats.org/officeDocument/2006/relationships/hyperlink" Target="mailto:mwarnock@bricker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little@litohio.com" TargetMode="External" /><Relationship Id="rId21" Type="http://schemas.openxmlformats.org/officeDocument/2006/relationships/hyperlink" Target="mailto:hogan@litohio.com" TargetMode="External" /><Relationship Id="rId22" Type="http://schemas.openxmlformats.org/officeDocument/2006/relationships/hyperlink" Target="mailto:ktreadway@oneenergyllc.com" TargetMode="External" /><Relationship Id="rId23" Type="http://schemas.openxmlformats.org/officeDocument/2006/relationships/hyperlink" Target="mailto:jdunn@oneenergyllc.com" TargetMode="External" /><Relationship Id="rId24" Type="http://schemas.openxmlformats.org/officeDocument/2006/relationships/hyperlink" Target="mailto:whitt@whitt-sturtevant.com" TargetMode="External" /><Relationship Id="rId25" Type="http://schemas.openxmlformats.org/officeDocument/2006/relationships/hyperlink" Target="mailto:fykes@whitt-sturtevant.com" TargetMode="External" /><Relationship Id="rId26" Type="http://schemas.openxmlformats.org/officeDocument/2006/relationships/hyperlink" Target="mailto:rhartley@fbtlaw.com" TargetMode="External" /><Relationship Id="rId27" Type="http://schemas.openxmlformats.org/officeDocument/2006/relationships/hyperlink" Target="mailto:cwieg@fbtlaw.com" TargetMode="External" /><Relationship Id="rId28" Type="http://schemas.openxmlformats.org/officeDocument/2006/relationships/hyperlink" Target="mailto:talexander@beneschlaw.com" TargetMode="External" /><Relationship Id="rId29" Type="http://schemas.openxmlformats.org/officeDocument/2006/relationships/hyperlink" Target="mailto:khehmeyer@beneschlaw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ssiewe@beneschlaw.com" TargetMode="External" /><Relationship Id="rId31" Type="http://schemas.openxmlformats.org/officeDocument/2006/relationships/hyperlink" Target="mailto:jweber@elpc.org" TargetMode="External" /><Relationship Id="rId32" Type="http://schemas.openxmlformats.org/officeDocument/2006/relationships/hyperlink" Target="mailto:patricia.schabo@puco.ohio.gov" TargetMode="External" /><Relationship Id="rId33" Type="http://schemas.openxmlformats.org/officeDocument/2006/relationships/hyperlink" Target="mailto:bojko@carpenterlipps.com" TargetMode="External" /><Relationship Id="rId34" Type="http://schemas.openxmlformats.org/officeDocument/2006/relationships/hyperlink" Target="mailto:paul@carpenterlipps.com" TargetMode="External" /><Relationship Id="rId35" Type="http://schemas.openxmlformats.org/officeDocument/2006/relationships/hyperlink" Target="mailto:michael.schuler@aes.com" TargetMode="External" /><Relationship Id="rId36" Type="http://schemas.openxmlformats.org/officeDocument/2006/relationships/hyperlink" Target="mailto:jkylercohn@BKLlawfirm.com" TargetMode="External" /><Relationship Id="rId37" Type="http://schemas.openxmlformats.org/officeDocument/2006/relationships/hyperlink" Target="mailto:bethany.allen@igs.com" TargetMode="External" /><Relationship Id="rId38" Type="http://schemas.openxmlformats.org/officeDocument/2006/relationships/hyperlink" Target="mailto:Joe.oliker@igs.com" TargetMode="External" /><Relationship Id="rId39" Type="http://schemas.openxmlformats.org/officeDocument/2006/relationships/hyperlink" Target="mailto:Michael.nugent@igs.com" TargetMode="External" /><Relationship Id="rId4" Type="http://schemas.openxmlformats.org/officeDocument/2006/relationships/fontTable" Target="fontTable.xml" /><Relationship Id="rId40" Type="http://schemas.openxmlformats.org/officeDocument/2006/relationships/hyperlink" Target="mailto:Evan.betterton@igs.com" TargetMode="External" /><Relationship Id="rId41" Type="http://schemas.openxmlformats.org/officeDocument/2006/relationships/hyperlink" Target="mailto:Stephanie.chmiel@thompsonhine.com" TargetMode="External" /><Relationship Id="rId42" Type="http://schemas.openxmlformats.org/officeDocument/2006/relationships/hyperlink" Target="mailto:Kevin.oles@thompsonhine.com" TargetMode="External" /><Relationship Id="rId43" Type="http://schemas.openxmlformats.org/officeDocument/2006/relationships/hyperlink" Target="mailto:Fdarr2019@gmail.com" TargetMode="External" /><Relationship Id="rId44" Type="http://schemas.openxmlformats.org/officeDocument/2006/relationships/hyperlink" Target="mailto:rdove@keglerbrown.com" TargetMode="External" /><Relationship Id="rId45" Type="http://schemas.openxmlformats.org/officeDocument/2006/relationships/hyperlink" Target="mailto:cgrundmann@spilmanlaw.com" TargetMode="External" /><Relationship Id="rId46" Type="http://schemas.openxmlformats.org/officeDocument/2006/relationships/hyperlink" Target="mailto:dwilliamson@spilmanlaw.com" TargetMode="External" /><Relationship Id="rId47" Type="http://schemas.openxmlformats.org/officeDocument/2006/relationships/hyperlink" Target="mailto:mpritchard@mcneeslaw.com" TargetMode="External" /><Relationship Id="rId48" Type="http://schemas.openxmlformats.org/officeDocument/2006/relationships/hyperlink" Target="mailto:rglover@mcneeslaw.com" TargetMode="External" /><Relationship Id="rId49" Type="http://schemas.openxmlformats.org/officeDocument/2006/relationships/hyperlink" Target="mailto:mleppla@theOEC.org" TargetMode="External" /><Relationship Id="rId5" Type="http://schemas.openxmlformats.org/officeDocument/2006/relationships/customXml" Target="../customXml/item1.xml" /><Relationship Id="rId50" Type="http://schemas.openxmlformats.org/officeDocument/2006/relationships/hyperlink" Target="mailto:tdougherty@theOEC.org" TargetMode="External" /><Relationship Id="rId51" Type="http://schemas.openxmlformats.org/officeDocument/2006/relationships/hyperlink" Target="mailto:ctavenor@theOEC.org" TargetMode="External" /><Relationship Id="rId52" Type="http://schemas.openxmlformats.org/officeDocument/2006/relationships/footer" Target="footer2.xml" /><Relationship Id="rId53" Type="http://schemas.openxmlformats.org/officeDocument/2006/relationships/theme" Target="theme/theme1.xml" /><Relationship Id="rId54" Type="http://schemas.openxmlformats.org/officeDocument/2006/relationships/styles" Target="styles.xml" /><Relationship Id="rId6" Type="http://schemas.openxmlformats.org/officeDocument/2006/relationships/hyperlink" Target="mailto:john.finnigan@occ.ohio.gov" TargetMode="External" /><Relationship Id="rId7" Type="http://schemas.openxmlformats.org/officeDocument/2006/relationships/hyperlink" Target="mailto:ambrosia.wilson@occ.ohio.gov" TargetMode="External" /><Relationship Id="rId8" Type="http://schemas.openxmlformats.org/officeDocument/2006/relationships/footer" Target="footer1.xml" /><Relationship Id="rId9" Type="http://schemas.openxmlformats.org/officeDocument/2006/relationships/hyperlink" Target="mailto:jodi.bair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9331-AE72-4DA0-B6D1-A70B4DE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2022-06-29T14:40:07Z</dcterms:created>
  <dcterms:modified xsi:type="dcterms:W3CDTF">2022-06-29T14:40:07Z</dcterms:modified>
</cp:coreProperties>
</file>