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8703FA" w:rsidRPr="00D923A4" w:rsidP="008703FA">
      <w:pPr>
        <w:jc w:val="center"/>
        <w:rPr>
          <w:rFonts w:eastAsia="Times New Roman" w:cs="Times New Roman"/>
          <w:b/>
          <w:szCs w:val="24"/>
        </w:rPr>
      </w:pPr>
      <w:bookmarkStart w:id="0" w:name="_GoBack"/>
      <w:bookmarkEnd w:id="0"/>
      <w:r w:rsidRPr="00D923A4">
        <w:rPr>
          <w:rFonts w:eastAsia="Times New Roman" w:cs="Times New Roman"/>
          <w:b/>
          <w:szCs w:val="24"/>
        </w:rPr>
        <w:t>BEFORE</w:t>
      </w:r>
    </w:p>
    <w:p w:rsidR="008703FA" w:rsidRPr="00D923A4" w:rsidP="008703FA">
      <w:pPr>
        <w:spacing w:after="240"/>
        <w:jc w:val="center"/>
        <w:rPr>
          <w:rFonts w:eastAsia="Times New Roman" w:cs="Times New Roman"/>
          <w:b/>
          <w:szCs w:val="24"/>
        </w:rPr>
      </w:pPr>
      <w:r w:rsidRPr="00D923A4">
        <w:rPr>
          <w:rFonts w:eastAsia="Times New Roman" w:cs="Times New Roman"/>
          <w:b/>
          <w:szCs w:val="24"/>
        </w:rPr>
        <w:t>THE PUBLIC UTILITIES COMMISSION OF OHIO</w:t>
      </w:r>
    </w:p>
    <w:tbl>
      <w:tblPr>
        <w:tblStyle w:val="TableGrid"/>
        <w:tblW w:w="9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978"/>
        <w:gridCol w:w="900"/>
        <w:gridCol w:w="4878"/>
      </w:tblGrid>
      <w:tr w:rsidTr="008703FA">
        <w:tblPrEx>
          <w:tblW w:w="9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978" w:type="dxa"/>
            <w:hideMark/>
          </w:tcPr>
          <w:p w:rsidR="008703FA" w:rsidRPr="00D923A4" w:rsidP="008703FA">
            <w:pPr>
              <w:spacing w:after="0" w:line="240" w:lineRule="auto"/>
              <w:rPr>
                <w:rStyle w:val="DefaultParagraphFont"/>
                <w:rFonts w:ascii="Times New Roman" w:eastAsia="Times New Roman" w:hAnsi="Times New Roman" w:cs="Times New Roman"/>
                <w:bCs/>
                <w:sz w:val="24"/>
                <w:szCs w:val="24"/>
                <w:lang w:val="en-US" w:eastAsia="en-US" w:bidi="ar-SA"/>
              </w:rPr>
            </w:pPr>
            <w:r w:rsidRPr="00D923A4">
              <w:rPr>
                <w:rFonts w:ascii="Times New Roman" w:eastAsia="Times New Roman" w:hAnsi="Times New Roman" w:cs="Times New Roman"/>
                <w:bCs/>
                <w:sz w:val="24"/>
                <w:szCs w:val="24"/>
                <w:lang w:val="en-US" w:eastAsia="en-US" w:bidi="ar-SA"/>
              </w:rPr>
              <w:t>In the Matter of the Commission’s Review of Ohio Administrative Code Chapters 4901:1-17 and 4901:1-18.</w:t>
            </w:r>
          </w:p>
        </w:tc>
        <w:tc>
          <w:tcPr>
            <w:tcW w:w="900" w:type="dxa"/>
            <w:hideMark/>
          </w:tcPr>
          <w:p w:rsidR="008703FA" w:rsidRPr="00D923A4" w:rsidP="008703FA">
            <w:pPr>
              <w:spacing w:after="0" w:line="240" w:lineRule="auto"/>
              <w:jc w:val="center"/>
              <w:rPr>
                <w:rStyle w:val="DefaultParagraphFont"/>
                <w:rFonts w:ascii="Times New Roman" w:eastAsia="Times New Roman" w:hAnsi="Times New Roman" w:cs="Times New Roman"/>
                <w:bCs/>
                <w:sz w:val="24"/>
                <w:szCs w:val="24"/>
                <w:lang w:val="en-US" w:eastAsia="en-US" w:bidi="ar-SA"/>
              </w:rPr>
            </w:pPr>
            <w:r w:rsidRPr="00D923A4">
              <w:rPr>
                <w:rFonts w:ascii="Times New Roman" w:eastAsia="Times New Roman" w:hAnsi="Times New Roman" w:cs="Times New Roman"/>
                <w:bCs/>
                <w:sz w:val="24"/>
                <w:szCs w:val="24"/>
                <w:lang w:val="en-US" w:eastAsia="en-US" w:bidi="ar-SA"/>
              </w:rPr>
              <w:t>)</w:t>
            </w:r>
          </w:p>
          <w:p w:rsidR="008703FA" w:rsidRPr="00D923A4" w:rsidP="008703FA">
            <w:pPr>
              <w:spacing w:after="0" w:line="240" w:lineRule="auto"/>
              <w:jc w:val="center"/>
              <w:rPr>
                <w:rStyle w:val="DefaultParagraphFont"/>
                <w:rFonts w:ascii="Times New Roman" w:eastAsia="Times New Roman" w:hAnsi="Times New Roman" w:cs="Times New Roman"/>
                <w:bCs/>
                <w:sz w:val="24"/>
                <w:szCs w:val="24"/>
                <w:lang w:val="en-US" w:eastAsia="en-US" w:bidi="ar-SA"/>
              </w:rPr>
            </w:pPr>
            <w:r w:rsidRPr="00D923A4">
              <w:rPr>
                <w:rFonts w:ascii="Times New Roman" w:eastAsia="Times New Roman" w:hAnsi="Times New Roman" w:cs="Times New Roman"/>
                <w:bCs/>
                <w:sz w:val="24"/>
                <w:szCs w:val="24"/>
                <w:lang w:val="en-US" w:eastAsia="en-US" w:bidi="ar-SA"/>
              </w:rPr>
              <w:t>)</w:t>
            </w:r>
          </w:p>
          <w:p w:rsidR="008703FA" w:rsidRPr="00D923A4" w:rsidP="008703FA">
            <w:pPr>
              <w:spacing w:after="0" w:line="240" w:lineRule="auto"/>
              <w:jc w:val="center"/>
              <w:rPr>
                <w:rStyle w:val="DefaultParagraphFont"/>
                <w:rFonts w:ascii="Times New Roman" w:eastAsia="Times New Roman" w:hAnsi="Times New Roman" w:cs="Times New Roman"/>
                <w:bCs/>
                <w:sz w:val="24"/>
                <w:szCs w:val="24"/>
                <w:lang w:val="en-US" w:eastAsia="en-US" w:bidi="ar-SA"/>
              </w:rPr>
            </w:pPr>
            <w:r w:rsidRPr="00D923A4">
              <w:rPr>
                <w:rFonts w:ascii="Times New Roman" w:eastAsia="Times New Roman" w:hAnsi="Times New Roman" w:cs="Times New Roman"/>
                <w:bCs/>
                <w:sz w:val="24"/>
                <w:szCs w:val="24"/>
                <w:lang w:val="en-US" w:eastAsia="en-US" w:bidi="ar-SA"/>
              </w:rPr>
              <w:t>)</w:t>
            </w:r>
          </w:p>
        </w:tc>
        <w:tc>
          <w:tcPr>
            <w:tcW w:w="4878" w:type="dxa"/>
          </w:tcPr>
          <w:p w:rsidR="008703FA" w:rsidRPr="00D923A4" w:rsidP="008703FA">
            <w:pPr>
              <w:spacing w:after="0" w:line="240" w:lineRule="auto"/>
              <w:rPr>
                <w:rStyle w:val="DefaultParagraphFont"/>
                <w:rFonts w:ascii="Times New Roman" w:eastAsia="Times New Roman" w:hAnsi="Times New Roman" w:cs="Times New Roman"/>
                <w:bCs/>
                <w:sz w:val="24"/>
                <w:szCs w:val="24"/>
                <w:lang w:val="en-US" w:eastAsia="en-US" w:bidi="ar-SA"/>
              </w:rPr>
            </w:pPr>
          </w:p>
          <w:p w:rsidR="008703FA" w:rsidRPr="00D923A4" w:rsidP="008703FA">
            <w:pPr>
              <w:spacing w:after="0" w:line="240" w:lineRule="auto"/>
              <w:rPr>
                <w:rStyle w:val="DefaultParagraphFont"/>
                <w:rFonts w:ascii="Times New Roman" w:eastAsia="Times New Roman" w:hAnsi="Times New Roman" w:cs="Times New Roman"/>
                <w:bCs/>
                <w:sz w:val="24"/>
                <w:szCs w:val="24"/>
                <w:lang w:val="en-US" w:eastAsia="en-US" w:bidi="ar-SA"/>
              </w:rPr>
            </w:pPr>
            <w:r w:rsidRPr="00D923A4">
              <w:rPr>
                <w:rFonts w:ascii="Times New Roman" w:eastAsia="Times New Roman" w:hAnsi="Times New Roman" w:cs="Times New Roman"/>
                <w:bCs/>
                <w:sz w:val="24"/>
                <w:szCs w:val="24"/>
                <w:lang w:val="en-US" w:eastAsia="en-US" w:bidi="ar-SA"/>
              </w:rPr>
              <w:t>Case No. 19-0052-AU-ORD</w:t>
            </w:r>
          </w:p>
        </w:tc>
      </w:tr>
    </w:tbl>
    <w:p w:rsidR="008703FA" w:rsidRPr="00D923A4" w:rsidP="008703FA">
      <w:pPr>
        <w:rPr>
          <w:rFonts w:eastAsia="Times New Roman" w:cs="Times New Roman"/>
          <w:b/>
          <w:szCs w:val="24"/>
        </w:rPr>
      </w:pPr>
    </w:p>
    <w:p w:rsidR="008703FA" w:rsidRPr="00D923A4" w:rsidP="008703FA">
      <w:pPr>
        <w:pBdr>
          <w:top w:val="single" w:sz="4" w:space="1" w:color="auto"/>
          <w:bottom w:val="single" w:sz="4" w:space="1" w:color="auto"/>
        </w:pBdr>
        <w:rPr>
          <w:rFonts w:eastAsia="Times New Roman" w:cs="Times New Roman"/>
          <w:b/>
          <w:szCs w:val="24"/>
        </w:rPr>
      </w:pPr>
    </w:p>
    <w:p w:rsidR="008703FA" w:rsidRPr="00D923A4" w:rsidP="008703FA">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 xml:space="preserve">REPLY </w:t>
      </w:r>
      <w:r w:rsidRPr="00D923A4">
        <w:rPr>
          <w:rFonts w:eastAsia="Times New Roman" w:cs="Times New Roman"/>
          <w:b/>
          <w:szCs w:val="24"/>
        </w:rPr>
        <w:t>COMMENTS</w:t>
      </w:r>
    </w:p>
    <w:p w:rsidR="008703FA" w:rsidRPr="00D923A4" w:rsidP="008703FA">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BY</w:t>
      </w:r>
    </w:p>
    <w:p w:rsidR="008703FA" w:rsidP="008703FA">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ADVOCATES FOR BASIC LEGAL EQUALITY, INC.</w:t>
      </w:r>
      <w:r>
        <w:rPr>
          <w:rFonts w:eastAsia="Times New Roman" w:cs="Times New Roman"/>
          <w:b/>
          <w:szCs w:val="24"/>
        </w:rPr>
        <w:t>,</w:t>
      </w:r>
    </w:p>
    <w:p w:rsidR="00CA561B" w:rsidP="00CA561B">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COALITION ON HOMELESSNESS AND HOUSING IN OHIO,</w:t>
      </w:r>
    </w:p>
    <w:p w:rsidR="00C53595" w:rsidRPr="00D923A4" w:rsidP="00CA561B">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ab/>
        <w:t>COMMUNITIES UNITED FOR ACTION,</w:t>
      </w:r>
    </w:p>
    <w:p w:rsidR="008703FA" w:rsidRPr="00D923A4" w:rsidP="008703FA">
      <w:pPr>
        <w:pBdr>
          <w:top w:val="single" w:sz="4" w:space="1" w:color="auto"/>
          <w:bottom w:val="single" w:sz="4" w:space="1" w:color="auto"/>
        </w:pBdr>
        <w:jc w:val="center"/>
        <w:rPr>
          <w:rFonts w:cs="Times New Roman"/>
          <w:b/>
          <w:bCs/>
          <w:szCs w:val="24"/>
        </w:rPr>
      </w:pPr>
      <w:r w:rsidRPr="00D923A4">
        <w:rPr>
          <w:rFonts w:cs="Times New Roman"/>
          <w:b/>
          <w:bCs/>
          <w:szCs w:val="24"/>
        </w:rPr>
        <w:t>THE LEGAL AID SOCIETY OF CLEVELAND</w:t>
      </w:r>
      <w:r>
        <w:rPr>
          <w:rFonts w:cs="Times New Roman"/>
          <w:b/>
          <w:bCs/>
          <w:szCs w:val="24"/>
        </w:rPr>
        <w:t>,</w:t>
      </w:r>
    </w:p>
    <w:p w:rsidR="008703FA" w:rsidRPr="00D923A4" w:rsidP="008703FA">
      <w:pPr>
        <w:pBdr>
          <w:top w:val="single" w:sz="4" w:space="1" w:color="auto"/>
          <w:bottom w:val="single" w:sz="4" w:space="1" w:color="auto"/>
        </w:pBdr>
        <w:jc w:val="center"/>
        <w:rPr>
          <w:rFonts w:cs="Times New Roman"/>
          <w:b/>
          <w:bCs/>
          <w:szCs w:val="24"/>
        </w:rPr>
      </w:pPr>
      <w:r w:rsidRPr="00D923A4">
        <w:rPr>
          <w:rFonts w:cs="Times New Roman"/>
          <w:b/>
          <w:bCs/>
          <w:szCs w:val="24"/>
        </w:rPr>
        <w:t>THE LEGAL AID SOCIETY OF COLUMBUS</w:t>
      </w:r>
      <w:r>
        <w:rPr>
          <w:rFonts w:cs="Times New Roman"/>
          <w:b/>
          <w:bCs/>
          <w:szCs w:val="24"/>
        </w:rPr>
        <w:t>,</w:t>
      </w:r>
      <w:r w:rsidRPr="00D923A4">
        <w:rPr>
          <w:rFonts w:cs="Times New Roman"/>
          <w:b/>
          <w:bCs/>
          <w:szCs w:val="24"/>
        </w:rPr>
        <w:t xml:space="preserve"> </w:t>
      </w:r>
    </w:p>
    <w:p w:rsidR="008703FA" w:rsidRPr="00D923A4" w:rsidP="008703FA">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THE OFFICE OF THE OHIO CONSUMERS’ COUNSEL</w:t>
      </w:r>
      <w:r>
        <w:rPr>
          <w:rFonts w:eastAsia="Times New Roman" w:cs="Times New Roman"/>
          <w:b/>
          <w:szCs w:val="24"/>
        </w:rPr>
        <w:t>,</w:t>
      </w:r>
    </w:p>
    <w:p w:rsidR="008703FA" w:rsidRPr="00D923A4" w:rsidP="008703FA">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OHIO POVERTY LAW CENTER</w:t>
      </w:r>
      <w:r>
        <w:rPr>
          <w:rFonts w:eastAsia="Times New Roman" w:cs="Times New Roman"/>
          <w:b/>
          <w:szCs w:val="24"/>
        </w:rPr>
        <w:t>,</w:t>
      </w:r>
    </w:p>
    <w:p w:rsidR="008703FA" w:rsidRPr="00D923A4" w:rsidP="008703FA">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PRO SENIORS, INC.</w:t>
      </w:r>
      <w:r>
        <w:rPr>
          <w:rFonts w:eastAsia="Times New Roman" w:cs="Times New Roman"/>
          <w:b/>
          <w:szCs w:val="24"/>
        </w:rPr>
        <w:t>,</w:t>
      </w:r>
    </w:p>
    <w:p w:rsidR="008703FA" w:rsidRPr="00D923A4" w:rsidP="008703FA">
      <w:pPr>
        <w:pBdr>
          <w:top w:val="single" w:sz="4" w:space="1" w:color="auto"/>
          <w:bottom w:val="single" w:sz="4" w:space="1" w:color="auto"/>
        </w:pBdr>
        <w:jc w:val="center"/>
        <w:rPr>
          <w:rFonts w:cs="Times New Roman"/>
          <w:b/>
          <w:bCs/>
          <w:szCs w:val="24"/>
        </w:rPr>
      </w:pPr>
      <w:r w:rsidRPr="00D923A4">
        <w:rPr>
          <w:rFonts w:cs="Times New Roman"/>
          <w:b/>
          <w:bCs/>
          <w:szCs w:val="24"/>
        </w:rPr>
        <w:t>AND</w:t>
      </w:r>
    </w:p>
    <w:p w:rsidR="008703FA" w:rsidRPr="00D923A4" w:rsidP="008703FA">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SOUTHEASTERN OHIO LEGAL SERVICES</w:t>
      </w:r>
    </w:p>
    <w:p w:rsidR="008703FA" w:rsidRPr="00D923A4" w:rsidP="008703FA">
      <w:pPr>
        <w:pBdr>
          <w:top w:val="single" w:sz="4" w:space="1" w:color="auto"/>
          <w:bottom w:val="single" w:sz="4" w:space="1" w:color="auto"/>
        </w:pBdr>
        <w:jc w:val="center"/>
        <w:rPr>
          <w:rFonts w:eastAsia="Times New Roman" w:cs="Times New Roman"/>
          <w:b/>
          <w:szCs w:val="24"/>
        </w:rPr>
      </w:pPr>
    </w:p>
    <w:p w:rsidR="008703FA" w:rsidRPr="00D923A4" w:rsidP="008703FA">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August 15</w:t>
      </w:r>
      <w:r w:rsidRPr="00D923A4">
        <w:rPr>
          <w:rFonts w:eastAsia="Times New Roman" w:cs="Times New Roman"/>
          <w:b/>
          <w:szCs w:val="24"/>
        </w:rPr>
        <w:t>, 2019</w:t>
      </w:r>
    </w:p>
    <w:p w:rsidR="008703FA" w:rsidRPr="00D923A4" w:rsidP="008703FA">
      <w:pPr>
        <w:pBdr>
          <w:top w:val="single" w:sz="4" w:space="1" w:color="auto"/>
          <w:bottom w:val="single" w:sz="4" w:space="1" w:color="auto"/>
        </w:pBdr>
        <w:rPr>
          <w:rFonts w:eastAsia="Times New Roman" w:cs="Times New Roman"/>
          <w:b/>
          <w:szCs w:val="24"/>
        </w:rPr>
      </w:pPr>
    </w:p>
    <w:p w:rsidR="008703FA" w:rsidRPr="00D923A4" w:rsidP="008703FA">
      <w:pPr>
        <w:ind w:left="3960"/>
        <w:rPr>
          <w:rFonts w:cs="Times New Roman"/>
          <w:szCs w:val="24"/>
        </w:rPr>
      </w:pPr>
    </w:p>
    <w:tbl>
      <w:tblPr>
        <w:tblStyle w:val="TableGrid1"/>
        <w:tblW w:w="88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225"/>
        <w:gridCol w:w="4590"/>
      </w:tblGrid>
      <w:tr w:rsidTr="008703FA">
        <w:tblPrEx>
          <w:tblW w:w="88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225" w:type="dxa"/>
          </w:tcPr>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Ellis Jacobs (0017435)</w:t>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Advocates for Basic Legal Equality, Inc.</w:t>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130 West Second St., Ste. 700 East</w:t>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Dayton, Ohio 45402</w:t>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Direct:  937-535-4419</w:t>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Fax:  937-535-4600</w:t>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"mailto:ejacobs@ablelaw.org" </w:instrText>
            </w:r>
            <w:r>
              <w:fldChar w:fldCharType="separate"/>
            </w:r>
            <w:r w:rsidRPr="00D923A4" w:rsidR="002D3DCF">
              <w:rPr>
                <w:rFonts w:ascii="Times New Roman" w:hAnsi="Times New Roman" w:eastAsiaTheme="minorHAnsi" w:cs="Times New Roman"/>
                <w:color w:val="0000FF"/>
                <w:sz w:val="24"/>
                <w:szCs w:val="24"/>
                <w:u w:val="single"/>
                <w:lang w:val="en-US" w:eastAsia="en-US" w:bidi="ar-SA"/>
              </w:rPr>
              <w:t>ejacobs@ablelaw.org</w:t>
            </w:r>
            <w:r>
              <w:fldChar w:fldCharType="end"/>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(willing to accept service by e-mail)</w:t>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tc>
        <w:tc>
          <w:tcPr>
            <w:tcW w:w="4590" w:type="dxa"/>
          </w:tcPr>
          <w:p w:rsidR="008703FA"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Joseph V. Maskovyak (0029832)</w:t>
            </w:r>
          </w:p>
          <w:p w:rsidR="00CA561B"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Coalition on Homelessness and Housing in Ohio</w:t>
            </w:r>
          </w:p>
          <w:p w:rsidR="00CA561B"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175 S. High St., Suite 580</w:t>
            </w:r>
          </w:p>
          <w:p w:rsidR="00CA561B"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Columbus 43215</w:t>
            </w:r>
          </w:p>
          <w:p w:rsidR="00CA561B"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614-280-1984 ext. 133</w:t>
            </w:r>
          </w:p>
          <w:p w:rsidR="00CA561B"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"mailto:joemaskovyak@cohhio.org" </w:instrText>
            </w:r>
            <w:r>
              <w:fldChar w:fldCharType="separate"/>
            </w:r>
            <w:r w:rsidRPr="002D364C" w:rsidR="002D3DCF">
              <w:rPr>
                <w:rStyle w:val="Hyperlink"/>
                <w:rFonts w:ascii="Times New Roman" w:hAnsi="Times New Roman" w:eastAsiaTheme="minorHAnsi" w:cs="Times New Roman"/>
                <w:color w:val="0000FF"/>
                <w:sz w:val="24"/>
                <w:szCs w:val="24"/>
                <w:u w:val="single"/>
                <w:lang w:val="en-US" w:eastAsia="en-US" w:bidi="ar-SA"/>
              </w:rPr>
              <w:t>joemaskovyak@cohhio.org</w:t>
            </w:r>
            <w:r>
              <w:fldChar w:fldCharType="end"/>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(willing to accept service by e-mail)</w:t>
            </w:r>
          </w:p>
        </w:tc>
      </w:tr>
      <w:tr w:rsidTr="008703FA">
        <w:tblPrEx>
          <w:tblW w:w="8815" w:type="dxa"/>
          <w:tblInd w:w="0" w:type="dxa"/>
          <w:tblCellMar>
            <w:top w:w="0" w:type="dxa"/>
            <w:left w:w="108" w:type="dxa"/>
            <w:bottom w:w="0" w:type="dxa"/>
            <w:right w:w="108" w:type="dxa"/>
          </w:tblCellMar>
          <w:tblLook w:val="04A0"/>
        </w:tblPrEx>
        <w:tc>
          <w:tcPr>
            <w:tcW w:w="4225" w:type="dxa"/>
          </w:tcPr>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53595" w:rsidP="00C53595">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Ashley Richardson Butler (0092825)</w:t>
            </w:r>
          </w:p>
          <w:p w:rsidR="00C53595" w:rsidRPr="00D923A4" w:rsidP="00C53595">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Counsel for Communities United for Action</w:t>
            </w:r>
          </w:p>
          <w:p w:rsidR="00C53595" w:rsidRPr="00D923A4" w:rsidP="00C53595">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Legal Aid Society of Greater Cincinnati</w:t>
            </w:r>
          </w:p>
          <w:p w:rsidR="00C53595" w:rsidRPr="00D923A4" w:rsidP="00C53595">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215 E. Ninth Street, Suite 200</w:t>
            </w:r>
          </w:p>
          <w:p w:rsidR="00C53595" w:rsidRPr="00D923A4" w:rsidP="00C53595">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Cincinnati, Ohio 45202</w:t>
            </w:r>
          </w:p>
          <w:p w:rsidR="00C53595" w:rsidRPr="00CA561B" w:rsidP="00C53595">
            <w:pPr>
              <w:shd w:val="clear" w:color="auto" w:fill="FFFFFF"/>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"tel:513-362-2821" \t "_blank" </w:instrText>
            </w:r>
            <w:r>
              <w:fldChar w:fldCharType="separate"/>
            </w:r>
            <w:r w:rsidRPr="00CA561B" w:rsidR="002D3DCF">
              <w:rPr>
                <w:rFonts w:ascii="Times New Roman" w:hAnsi="Times New Roman" w:eastAsiaTheme="minorHAnsi" w:cs="Times New Roman"/>
                <w:sz w:val="24"/>
                <w:szCs w:val="24"/>
                <w:lang w:val="en-US" w:eastAsia="en-US" w:bidi="ar-SA"/>
              </w:rPr>
              <w:t>513-362-2877</w:t>
            </w:r>
            <w:r>
              <w:fldChar w:fldCharType="end"/>
            </w:r>
            <w:r w:rsidRPr="00CA561B" w:rsidR="002D3DCF">
              <w:rPr>
                <w:rFonts w:ascii="Times New Roman" w:hAnsi="Times New Roman" w:eastAsiaTheme="minorHAnsi" w:cs="Times New Roman"/>
                <w:sz w:val="24"/>
                <w:szCs w:val="24"/>
                <w:lang w:val="en-US" w:eastAsia="en-US" w:bidi="ar-SA"/>
              </w:rPr>
              <w:t> direct</w:t>
            </w:r>
          </w:p>
          <w:p w:rsidR="00C53595" w:rsidRPr="00D923A4" w:rsidP="00C53595">
            <w:pPr>
              <w:shd w:val="clear" w:color="auto" w:fill="FFFFFF"/>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"tel:513-241-9400" \t "_blank" </w:instrText>
            </w:r>
            <w:r>
              <w:fldChar w:fldCharType="separate"/>
            </w:r>
            <w:r w:rsidRPr="00CA561B" w:rsidR="002D3DCF">
              <w:rPr>
                <w:rFonts w:ascii="Times New Roman" w:hAnsi="Times New Roman" w:eastAsiaTheme="minorHAnsi" w:cs="Times New Roman"/>
                <w:sz w:val="24"/>
                <w:szCs w:val="24"/>
                <w:lang w:val="en-US" w:eastAsia="en-US" w:bidi="ar-SA"/>
              </w:rPr>
              <w:t>513-241-9400</w:t>
            </w:r>
            <w:r>
              <w:fldChar w:fldCharType="end"/>
            </w:r>
            <w:r w:rsidRPr="00D923A4" w:rsidR="002D3DCF">
              <w:rPr>
                <w:rFonts w:ascii="Times New Roman" w:hAnsi="Times New Roman" w:eastAsiaTheme="minorHAnsi" w:cs="Times New Roman"/>
                <w:sz w:val="24"/>
                <w:szCs w:val="24"/>
                <w:lang w:val="en-US" w:eastAsia="en-US" w:bidi="ar-SA"/>
              </w:rPr>
              <w:t> main</w:t>
            </w:r>
          </w:p>
          <w:p w:rsidR="00C53595" w:rsidRPr="00D923A4" w:rsidP="00C53595">
            <w:pPr>
              <w:shd w:val="clear" w:color="auto" w:fill="FFFFFF"/>
              <w:tabs>
                <w:tab w:val="center" w:pos="4680"/>
                <w:tab w:val="right" w:pos="9360"/>
              </w:tabs>
              <w:spacing w:after="0" w:line="240" w:lineRule="auto"/>
              <w:rPr>
                <w:rStyle w:val="DefaultParagraphFont"/>
                <w:rFonts w:ascii="Times New Roman" w:hAnsi="Times New Roman" w:eastAsiaTheme="minorHAnsi" w:cs="Times New Roman"/>
                <w:color w:val="222222"/>
                <w:sz w:val="24"/>
                <w:szCs w:val="24"/>
                <w:lang w:val="en-US" w:eastAsia="en-US" w:bidi="ar-SA"/>
              </w:rPr>
            </w:pPr>
            <w:r w:rsidRPr="00D923A4">
              <w:rPr>
                <w:rFonts w:ascii="Times New Roman" w:hAnsi="Times New Roman" w:eastAsiaTheme="minorHAnsi" w:cs="Times New Roman"/>
                <w:sz w:val="24"/>
                <w:szCs w:val="24"/>
                <w:lang w:val="en-US" w:eastAsia="en-US" w:bidi="ar-SA"/>
              </w:rPr>
              <w:t>513-241-6800 </w:t>
            </w:r>
            <w:r w:rsidRPr="00D923A4">
              <w:rPr>
                <w:rFonts w:ascii="Times New Roman" w:hAnsi="Times New Roman" w:eastAsiaTheme="minorHAnsi" w:cs="Times New Roman"/>
                <w:color w:val="222222"/>
                <w:sz w:val="24"/>
                <w:szCs w:val="24"/>
                <w:lang w:val="en-US" w:eastAsia="en-US" w:bidi="ar-SA"/>
              </w:rPr>
              <w:t>fax</w:t>
            </w:r>
          </w:p>
          <w:p w:rsidR="00C53595" w:rsidRPr="00D923A4" w:rsidP="00C53595">
            <w:pPr>
              <w:shd w:val="clear" w:color="auto" w:fill="FFFFFF"/>
              <w:tabs>
                <w:tab w:val="center" w:pos="4680"/>
                <w:tab w:val="right" w:pos="9360"/>
              </w:tabs>
              <w:spacing w:after="0" w:line="240" w:lineRule="auto"/>
              <w:rPr>
                <w:rStyle w:val="DefaultParagraphFont"/>
                <w:rFonts w:ascii="Times New Roman" w:hAnsi="Times New Roman" w:eastAsiaTheme="minorHAnsi" w:cs="Times New Roman"/>
                <w:color w:val="1155CC"/>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"mailto:abutler@lascinti.org" </w:instrText>
            </w:r>
            <w:r>
              <w:fldChar w:fldCharType="separate"/>
            </w:r>
            <w:r w:rsidRPr="00D923A4" w:rsidR="002D3DCF">
              <w:rPr>
                <w:rFonts w:ascii="Times New Roman" w:hAnsi="Times New Roman" w:eastAsiaTheme="minorHAnsi" w:cs="Times New Roman"/>
                <w:color w:val="0000FF"/>
                <w:sz w:val="24"/>
                <w:szCs w:val="24"/>
                <w:u w:val="single"/>
                <w:lang w:val="en-US" w:eastAsia="en-US" w:bidi="ar-SA"/>
              </w:rPr>
              <w:t>abutler@lascinti.org</w:t>
            </w:r>
            <w:r>
              <w:fldChar w:fldCharType="end"/>
            </w:r>
          </w:p>
          <w:p w:rsidR="00C53595" w:rsidRPr="00D923A4" w:rsidP="00C53595">
            <w:pPr>
              <w:shd w:val="clear" w:color="auto" w:fill="FFFFFF"/>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(willing to accept service by e-mail)</w:t>
            </w:r>
          </w:p>
          <w:p w:rsidR="00C53595"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Melissa Baker Linville (0088163)</w:t>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Staff Attorney</w:t>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The Legal Aid Society of Columbus</w:t>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1108 City Park Ave.</w:t>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Columbus, Ohio 43206</w:t>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Phone:  614-224-8374</w:t>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Direct:  614-737-0155</w:t>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Fax:  614-224-4514</w:t>
            </w:r>
          </w:p>
          <w:p w:rsidR="008703FA"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"mailto:mlinville@columbuslegalaid.org" </w:instrText>
            </w:r>
            <w:r>
              <w:fldChar w:fldCharType="separate"/>
            </w:r>
            <w:r w:rsidRPr="00D923A4" w:rsidR="002D3DCF">
              <w:rPr>
                <w:rFonts w:ascii="Times New Roman" w:hAnsi="Times New Roman" w:eastAsiaTheme="minorHAnsi" w:cs="Times New Roman"/>
                <w:color w:val="0000FF"/>
                <w:sz w:val="24"/>
                <w:szCs w:val="24"/>
                <w:u w:val="single"/>
                <w:lang w:val="en-US" w:eastAsia="en-US" w:bidi="ar-SA"/>
              </w:rPr>
              <w:t>mlinville@columbuslegalaid.org</w:t>
            </w:r>
            <w:r>
              <w:fldChar w:fldCharType="end"/>
            </w:r>
          </w:p>
          <w:p w:rsidR="008703FA"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(willing to accept service by e-mail)</w:t>
            </w:r>
          </w:p>
          <w:p w:rsidR="00CA561B"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A561B"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A561B" w:rsidRPr="00D923A4" w:rsidP="00CA561B">
            <w:pPr>
              <w:tabs>
                <w:tab w:val="center" w:pos="4680"/>
                <w:tab w:val="right" w:pos="9360"/>
              </w:tabs>
              <w:spacing w:after="0" w:line="259"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Bruce Weston (0016973)</w:t>
            </w:r>
          </w:p>
          <w:p w:rsidR="00CA561B" w:rsidRPr="00D923A4" w:rsidP="00CA561B">
            <w:pPr>
              <w:tabs>
                <w:tab w:val="left" w:pos="495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Ohio Consumers’ Counsel</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Amy Botschner O’Brien (0074423)</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Counsel of Record</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David C. Bergmann (0009991) </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Terry Etter (0067445) </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Assistant Consumers’ Counsel </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bCs/>
                <w:sz w:val="24"/>
                <w:szCs w:val="24"/>
                <w:lang w:val="en-US" w:eastAsia="en-US" w:bidi="ar-SA"/>
              </w:rPr>
            </w:pPr>
            <w:r w:rsidRPr="00D923A4">
              <w:rPr>
                <w:rFonts w:ascii="Times New Roman" w:hAnsi="Times New Roman" w:eastAsiaTheme="minorHAnsi" w:cs="Times New Roman"/>
                <w:bCs/>
                <w:sz w:val="24"/>
                <w:szCs w:val="24"/>
                <w:lang w:val="en-US" w:eastAsia="en-US" w:bidi="ar-SA"/>
              </w:rPr>
              <w:t>Office of the Ohio Consumers’ Counsel</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b/>
                <w:sz w:val="24"/>
                <w:szCs w:val="24"/>
                <w:lang w:val="en-US" w:eastAsia="en-US" w:bidi="ar-SA"/>
              </w:rPr>
            </w:pPr>
            <w:r w:rsidRPr="00D923A4">
              <w:rPr>
                <w:rFonts w:ascii="Times New Roman" w:hAnsi="Times New Roman" w:eastAsiaTheme="minorHAnsi" w:cs="Times New Roman"/>
                <w:sz w:val="24"/>
                <w:szCs w:val="24"/>
                <w:lang w:val="en-US" w:eastAsia="en-US" w:bidi="ar-SA"/>
              </w:rPr>
              <w:t>65 East State Street, 7</w:t>
            </w:r>
            <w:r w:rsidRPr="00D923A4">
              <w:rPr>
                <w:rFonts w:ascii="Times New Roman" w:hAnsi="Times New Roman" w:eastAsiaTheme="minorHAnsi" w:cs="Times New Roman"/>
                <w:sz w:val="24"/>
                <w:szCs w:val="24"/>
                <w:vertAlign w:val="superscript"/>
                <w:lang w:val="en-US" w:eastAsia="en-US" w:bidi="ar-SA"/>
              </w:rPr>
              <w:t>th</w:t>
            </w:r>
            <w:r w:rsidRPr="00D923A4">
              <w:rPr>
                <w:rFonts w:ascii="Times New Roman" w:hAnsi="Times New Roman" w:eastAsiaTheme="minorHAnsi" w:cs="Times New Roman"/>
                <w:sz w:val="24"/>
                <w:szCs w:val="24"/>
                <w:lang w:val="en-US" w:eastAsia="en-US" w:bidi="ar-SA"/>
              </w:rPr>
              <w:t xml:space="preserve"> Floor</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b/>
                <w:sz w:val="24"/>
                <w:szCs w:val="24"/>
                <w:lang w:val="en-US" w:eastAsia="en-US" w:bidi="ar-SA"/>
              </w:rPr>
            </w:pPr>
            <w:r w:rsidRPr="00D923A4">
              <w:rPr>
                <w:rFonts w:ascii="Times New Roman" w:hAnsi="Times New Roman" w:eastAsiaTheme="minorHAnsi" w:cs="Times New Roman"/>
                <w:sz w:val="24"/>
                <w:szCs w:val="24"/>
                <w:lang w:val="en-US" w:eastAsia="en-US" w:bidi="ar-SA"/>
              </w:rPr>
              <w:t>Columbus, Ohio 43215-4213</w:t>
            </w:r>
          </w:p>
          <w:p w:rsidR="00CA561B" w:rsidRPr="00D923A4" w:rsidP="00CA561B">
            <w:pPr>
              <w:tabs>
                <w:tab w:val="center" w:pos="4680"/>
                <w:tab w:val="right" w:pos="9360"/>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Telephone [Botschner O’Brien]: </w:t>
            </w:r>
          </w:p>
          <w:p w:rsidR="00CA561B" w:rsidRPr="00D923A4" w:rsidP="00CA561B">
            <w:pPr>
              <w:tabs>
                <w:tab w:val="center" w:pos="4680"/>
                <w:tab w:val="right" w:pos="9360"/>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(614) 466-9575</w:t>
            </w:r>
          </w:p>
          <w:p w:rsidR="00CA561B" w:rsidRPr="00D923A4" w:rsidP="00CA561B">
            <w:pPr>
              <w:tabs>
                <w:tab w:val="center" w:pos="4680"/>
                <w:tab w:val="right" w:pos="9360"/>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Telephone [Bergmann]: (614) 466-9569</w:t>
            </w:r>
          </w:p>
          <w:p w:rsidR="00CA561B" w:rsidRPr="00D923A4" w:rsidP="00CA561B">
            <w:pPr>
              <w:tabs>
                <w:tab w:val="center" w:pos="4680"/>
                <w:tab w:val="right" w:pos="9360"/>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Telephone [Etter]: (614) 466-7964</w:t>
            </w:r>
          </w:p>
          <w:p w:rsidR="00CA561B" w:rsidRPr="00D923A4" w:rsidP="00CA561B">
            <w:pPr>
              <w:tabs>
                <w:tab w:val="center" w:pos="4680"/>
                <w:tab w:val="right" w:pos="9360"/>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"mailto:amy.botschner.obrien@occ.ohio.gov" </w:instrText>
            </w:r>
            <w:r>
              <w:fldChar w:fldCharType="separate"/>
            </w:r>
            <w:r w:rsidRPr="00D923A4" w:rsidR="002D3DCF">
              <w:rPr>
                <w:rFonts w:ascii="Times New Roman" w:hAnsi="Times New Roman" w:eastAsiaTheme="minorHAnsi" w:cs="Times New Roman"/>
                <w:color w:val="0000FF"/>
                <w:sz w:val="24"/>
                <w:szCs w:val="24"/>
                <w:u w:val="single"/>
                <w:lang w:val="en-US" w:eastAsia="en-US" w:bidi="ar-SA"/>
              </w:rPr>
              <w:t>amy.botschner.obrien@occ.ohio.gov</w:t>
            </w:r>
            <w:r>
              <w:fldChar w:fldCharType="end"/>
            </w:r>
          </w:p>
          <w:p w:rsidR="00CA561B" w:rsidRPr="00D923A4" w:rsidP="00CA561B">
            <w:pPr>
              <w:tabs>
                <w:tab w:val="center" w:pos="4680"/>
                <w:tab w:val="right" w:pos="9360"/>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"mailto:David.bergmann@occ.ohio.gov" </w:instrText>
            </w:r>
            <w:r>
              <w:fldChar w:fldCharType="separate"/>
            </w:r>
            <w:r w:rsidRPr="00D923A4" w:rsidR="002D3DCF">
              <w:rPr>
                <w:rFonts w:ascii="Times New Roman" w:hAnsi="Times New Roman" w:eastAsiaTheme="minorHAnsi" w:cs="Times New Roman"/>
                <w:color w:val="0000FF"/>
                <w:sz w:val="24"/>
                <w:szCs w:val="24"/>
                <w:u w:val="single"/>
                <w:lang w:val="en-US" w:eastAsia="en-US" w:bidi="ar-SA"/>
              </w:rPr>
              <w:t>David.bergmann@occ.ohio.gov</w:t>
            </w:r>
            <w:r>
              <w:fldChar w:fldCharType="end"/>
            </w:r>
          </w:p>
          <w:p w:rsidR="00CA561B" w:rsidRPr="00D923A4" w:rsidP="00CA561B">
            <w:pPr>
              <w:tabs>
                <w:tab w:val="center" w:pos="4680"/>
                <w:tab w:val="right" w:pos="9360"/>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"mailto:Terry.etter@occ.ohio.gov" </w:instrText>
            </w:r>
            <w:r>
              <w:fldChar w:fldCharType="separate"/>
            </w:r>
            <w:r w:rsidRPr="00D923A4" w:rsidR="002D3DCF">
              <w:rPr>
                <w:rFonts w:ascii="Times New Roman" w:hAnsi="Times New Roman" w:eastAsiaTheme="minorHAnsi" w:cs="Times New Roman"/>
                <w:color w:val="0000FF"/>
                <w:sz w:val="24"/>
                <w:szCs w:val="24"/>
                <w:u w:val="single"/>
                <w:lang w:val="en-US" w:eastAsia="en-US" w:bidi="ar-SA"/>
              </w:rPr>
              <w:t>Terry.etter@occ.ohio.gov</w:t>
            </w:r>
            <w:r>
              <w:fldChar w:fldCharType="end"/>
            </w:r>
          </w:p>
          <w:p w:rsidR="00CA561B" w:rsidRPr="00D923A4" w:rsidP="00CA561B">
            <w:pPr>
              <w:tabs>
                <w:tab w:val="center" w:pos="4680"/>
                <w:tab w:val="right" w:pos="9360"/>
              </w:tabs>
              <w:spacing w:after="0" w:line="240" w:lineRule="auto"/>
              <w:jc w:val="both"/>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(all will accept service via email)</w:t>
            </w:r>
          </w:p>
          <w:p w:rsidR="00CA561B"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A561B"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Michael Walters (0068921) </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Counsel of Record</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Pro Seniors, Inc.</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7162 Reading Road, Suite 1150</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Cincinnati, Ohio 45237</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Telephone: (513) 458-5532</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"mailto:mwalters@proseniors.org" </w:instrText>
            </w:r>
            <w:r>
              <w:fldChar w:fldCharType="separate"/>
            </w:r>
            <w:r w:rsidRPr="00D923A4" w:rsidR="002D3DCF">
              <w:rPr>
                <w:rFonts w:ascii="Times New Roman" w:hAnsi="Times New Roman" w:eastAsiaTheme="minorHAnsi" w:cs="Times New Roman"/>
                <w:color w:val="0000FF"/>
                <w:sz w:val="24"/>
                <w:szCs w:val="24"/>
                <w:u w:val="single"/>
                <w:lang w:val="en-US" w:eastAsia="en-US" w:bidi="ar-SA"/>
              </w:rPr>
              <w:t>mwalters@proseniors.org</w:t>
            </w:r>
            <w:r>
              <w:fldChar w:fldCharType="end"/>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(willing to accept service by e-mail) </w:t>
            </w:r>
          </w:p>
          <w:p w:rsidR="00CA561B"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8703FA"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A561B"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tc>
        <w:tc>
          <w:tcPr>
            <w:tcW w:w="4590" w:type="dxa"/>
          </w:tcPr>
          <w:p w:rsidR="00CA561B"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53595" w:rsidRPr="00D923A4" w:rsidP="00C53595">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Anne M. Reese (0030876)</w:t>
            </w:r>
            <w:r w:rsidRPr="00D923A4">
              <w:rPr>
                <w:rFonts w:ascii="Times New Roman" w:hAnsi="Times New Roman" w:eastAsiaTheme="minorHAnsi" w:cs="Times New Roman"/>
                <w:sz w:val="24"/>
                <w:szCs w:val="24"/>
                <w:lang w:val="en-US" w:eastAsia="en-US" w:bidi="ar-SA"/>
              </w:rPr>
              <w:tab/>
            </w:r>
          </w:p>
          <w:p w:rsidR="00C53595" w:rsidRPr="00D923A4" w:rsidP="00C53595">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The Legal Aid Society of Cleveland</w:t>
            </w:r>
          </w:p>
          <w:p w:rsidR="00C53595" w:rsidRPr="00D923A4" w:rsidP="00C53595">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121 East Walnut Street</w:t>
            </w:r>
          </w:p>
          <w:p w:rsidR="00C53595" w:rsidRPr="00D923A4" w:rsidP="00C53595">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Jefferson, Ohio 44047</w:t>
            </w:r>
          </w:p>
          <w:p w:rsidR="00C53595" w:rsidRPr="00D923A4" w:rsidP="00C53595">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Telephone:  (440) 210-4537</w:t>
            </w:r>
          </w:p>
          <w:p w:rsidR="00C53595" w:rsidRPr="00D923A4" w:rsidP="00C53595">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"mailto:amreese@lasclev.org" </w:instrText>
            </w:r>
            <w:r>
              <w:fldChar w:fldCharType="separate"/>
            </w:r>
            <w:r w:rsidRPr="00D923A4" w:rsidR="002D3DCF">
              <w:rPr>
                <w:rFonts w:ascii="Times New Roman" w:hAnsi="Times New Roman" w:eastAsiaTheme="minorHAnsi" w:cs="Times New Roman"/>
                <w:color w:val="0000FF"/>
                <w:sz w:val="24"/>
                <w:szCs w:val="24"/>
                <w:u w:val="single"/>
                <w:lang w:val="en-US" w:eastAsia="en-US" w:bidi="ar-SA"/>
              </w:rPr>
              <w:t>amreese@lasclev.org</w:t>
            </w:r>
            <w:r>
              <w:fldChar w:fldCharType="end"/>
            </w:r>
          </w:p>
          <w:p w:rsidR="00C53595" w:rsidRPr="00D923A4" w:rsidP="00C53595">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(willing to accept service by e-mail)</w:t>
            </w:r>
          </w:p>
          <w:p w:rsidR="00C53595"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53595"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53595"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8703FA"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A561B"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Susan Jagers (0061678)</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Ohio Poverty Law Center | Director </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1108 City Park Avenue, Suite 200</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Columbus, Ohio 43206</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Office: 614)-824-2501  </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Mobile: 614-314-5512</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"mailto:sjagers@ohiopovertylaw.org" </w:instrText>
            </w:r>
            <w:r>
              <w:fldChar w:fldCharType="separate"/>
            </w:r>
            <w:r w:rsidRPr="00D923A4" w:rsidR="002D3DCF">
              <w:rPr>
                <w:rFonts w:ascii="Times New Roman" w:hAnsi="Times New Roman" w:eastAsiaTheme="minorHAnsi" w:cs="Times New Roman"/>
                <w:color w:val="0563C1"/>
                <w:sz w:val="24"/>
                <w:szCs w:val="24"/>
                <w:u w:val="single"/>
                <w:lang w:val="en-US" w:eastAsia="en-US" w:bidi="ar-SA"/>
              </w:rPr>
              <w:t>sjagers@ohiopovertylaw.org</w:t>
            </w:r>
            <w:r>
              <w:fldChar w:fldCharType="end"/>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(willing to accept service by e-mail)</w:t>
            </w:r>
          </w:p>
          <w:p w:rsidR="00CA561B"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A561B"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A561B"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A561B"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Peggy P. Lee </w:t>
            </w:r>
            <w:r w:rsidRPr="00D923A4">
              <w:rPr>
                <w:rFonts w:ascii="Times New Roman" w:eastAsia="Calibri" w:hAnsi="Times New Roman" w:cs="Times New Roman"/>
                <w:sz w:val="24"/>
                <w:szCs w:val="24"/>
                <w:lang w:val="en-US" w:eastAsia="en-US" w:bidi="ar-SA"/>
              </w:rPr>
              <w:t>(</w:t>
            </w:r>
            <w:r w:rsidRPr="00D923A4">
              <w:rPr>
                <w:rFonts w:ascii="Times New Roman" w:hAnsi="Times New Roman" w:eastAsiaTheme="minorHAnsi" w:cs="Times New Roman"/>
                <w:sz w:val="24"/>
                <w:szCs w:val="24"/>
                <w:lang w:val="en-US" w:eastAsia="en-US" w:bidi="ar-SA"/>
              </w:rPr>
              <w:t>0067912</w:t>
            </w:r>
            <w:r w:rsidRPr="00D923A4">
              <w:rPr>
                <w:rFonts w:ascii="Times New Roman" w:eastAsia="Calibri" w:hAnsi="Times New Roman" w:cs="Times New Roman"/>
                <w:sz w:val="24"/>
                <w:szCs w:val="24"/>
                <w:lang w:val="en-US" w:eastAsia="en-US" w:bidi="ar-SA"/>
              </w:rPr>
              <w:t>)</w:t>
            </w:r>
            <w:r w:rsidRPr="00D923A4">
              <w:rPr>
                <w:rFonts w:ascii="Times New Roman" w:hAnsi="Times New Roman" w:eastAsiaTheme="minorHAnsi" w:cs="Times New Roman"/>
                <w:sz w:val="24"/>
                <w:szCs w:val="24"/>
                <w:lang w:val="en-US" w:eastAsia="en-US" w:bidi="ar-SA"/>
              </w:rPr>
              <w:t xml:space="preserve"> </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Counsel of Record</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Senior Staff Attorney II</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Southeastern Ohio Legal Services</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964 East State Street</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Athens, Ohio 45701</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color w:val="1F497D"/>
                <w:sz w:val="24"/>
                <w:szCs w:val="24"/>
                <w:lang w:val="en-US" w:eastAsia="en-US" w:bidi="ar-SA"/>
              </w:rPr>
            </w:pPr>
            <w:r w:rsidRPr="00D923A4">
              <w:rPr>
                <w:rFonts w:ascii="Times New Roman" w:hAnsi="Times New Roman" w:eastAsiaTheme="minorHAnsi" w:cs="Times New Roman"/>
                <w:sz w:val="24"/>
                <w:szCs w:val="24"/>
                <w:lang w:val="en-US" w:eastAsia="en-US" w:bidi="ar-SA"/>
              </w:rPr>
              <w:t>Telephone: (740) 594-3558</w:t>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color w:val="1F497D"/>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"mailto:plee@oslsa.org" </w:instrText>
            </w:r>
            <w:r>
              <w:fldChar w:fldCharType="separate"/>
            </w:r>
            <w:r w:rsidRPr="00D923A4" w:rsidR="002D3DCF">
              <w:rPr>
                <w:rFonts w:ascii="Times New Roman" w:hAnsi="Times New Roman" w:eastAsiaTheme="minorHAnsi" w:cs="Times New Roman"/>
                <w:color w:val="0000FF"/>
                <w:sz w:val="24"/>
                <w:szCs w:val="24"/>
                <w:u w:val="single"/>
                <w:lang w:val="en-US" w:eastAsia="en-US" w:bidi="ar-SA"/>
              </w:rPr>
              <w:t>plee@oslsa.org</w:t>
            </w:r>
            <w:r>
              <w:fldChar w:fldCharType="end"/>
            </w:r>
          </w:p>
          <w:p w:rsidR="00CA561B" w:rsidRPr="00D923A4" w:rsidP="00CA561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(willing to accept service by e-mail)</w:t>
            </w:r>
          </w:p>
          <w:p w:rsidR="00CA561B" w:rsidRPr="00D923A4" w:rsidP="008703FA">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tc>
      </w:tr>
    </w:tbl>
    <w:p w:rsidR="00CA561B" w:rsidP="008703FA">
      <w:pPr>
        <w:jc w:val="center"/>
        <w:rPr>
          <w:rFonts w:eastAsia="Times New Roman" w:cs="Times New Roman"/>
          <w:b/>
          <w:szCs w:val="24"/>
          <w:u w:val="single"/>
        </w:rPr>
        <w:sectPr w:rsidSect="008703FA">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titlePg/>
          <w:docGrid w:linePitch="360"/>
        </w:sectPr>
      </w:pPr>
    </w:p>
    <w:p w:rsidR="008703FA" w:rsidRPr="00D923A4" w:rsidP="008703FA">
      <w:pPr>
        <w:jc w:val="center"/>
        <w:rPr>
          <w:rFonts w:eastAsia="Times New Roman" w:cs="Times New Roman"/>
          <w:b/>
          <w:szCs w:val="24"/>
          <w:u w:val="single"/>
        </w:rPr>
      </w:pPr>
      <w:r w:rsidRPr="00D923A4">
        <w:rPr>
          <w:rFonts w:eastAsia="Times New Roman" w:cs="Times New Roman"/>
          <w:b/>
          <w:szCs w:val="24"/>
          <w:u w:val="single"/>
        </w:rPr>
        <w:t>TABLE OF CONTENTS</w:t>
      </w:r>
    </w:p>
    <w:p w:rsidR="008703FA" w:rsidRPr="00D923A4" w:rsidP="008703FA">
      <w:pPr>
        <w:jc w:val="center"/>
        <w:rPr>
          <w:rFonts w:eastAsia="Times New Roman" w:cs="Times New Roman"/>
          <w:b/>
          <w:szCs w:val="24"/>
          <w:u w:val="single"/>
        </w:rPr>
      </w:pPr>
    </w:p>
    <w:p w:rsidR="008703FA" w:rsidRPr="00D923A4" w:rsidP="008703FA">
      <w:pPr>
        <w:jc w:val="center"/>
        <w:rPr>
          <w:rFonts w:eastAsia="Times New Roman" w:cs="Times New Roman"/>
          <w:b/>
          <w:szCs w:val="24"/>
        </w:rPr>
      </w:pP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b/>
          <w:szCs w:val="24"/>
        </w:rPr>
        <w:t>PAGE</w:t>
      </w:r>
    </w:p>
    <w:p w:rsidR="008703FA" w:rsidRPr="00D923A4" w:rsidP="008703FA">
      <w:pPr>
        <w:jc w:val="center"/>
        <w:rPr>
          <w:rFonts w:eastAsia="Times New Roman" w:cs="Times New Roman"/>
          <w:b/>
          <w:szCs w:val="24"/>
        </w:rPr>
      </w:pPr>
    </w:p>
    <w:p w:rsidR="00865D2C">
      <w:pPr>
        <w:pStyle w:val="TOC1"/>
        <w:rPr>
          <w:rFonts w:asciiTheme="minorHAnsi" w:eastAsiaTheme="minorEastAsia" w:hAnsiTheme="minorHAnsi"/>
          <w:caps w:val="0"/>
          <w:noProof/>
          <w:sz w:val="22"/>
        </w:rPr>
      </w:pPr>
      <w:r w:rsidRPr="00D923A4">
        <w:rPr>
          <w:rFonts w:eastAsia="Times New Roman" w:cs="Times New Roman"/>
          <w:caps w:val="0"/>
          <w:szCs w:val="24"/>
        </w:rPr>
        <w:fldChar w:fldCharType="begin"/>
      </w:r>
      <w:r w:rsidRPr="00D923A4">
        <w:rPr>
          <w:rFonts w:eastAsia="Times New Roman" w:cs="Times New Roman"/>
          <w:caps w:val="0"/>
          <w:szCs w:val="24"/>
        </w:rPr>
        <w:instrText xml:space="preserve"> TOC \o "1-3" \h \z \u </w:instrText>
      </w:r>
      <w:r w:rsidRPr="00D923A4">
        <w:rPr>
          <w:rFonts w:eastAsia="Times New Roman" w:cs="Times New Roman"/>
          <w:caps w:val="0"/>
          <w:szCs w:val="24"/>
        </w:rPr>
        <w:fldChar w:fldCharType="separate"/>
      </w:r>
      <w:r>
        <w:fldChar w:fldCharType="begin"/>
      </w:r>
      <w:r>
        <w:instrText xml:space="preserve"> HYPERLINK \l "_Toc16780410" </w:instrText>
      </w:r>
      <w:r>
        <w:fldChar w:fldCharType="separate"/>
      </w:r>
      <w:r w:rsidRPr="007F50BF">
        <w:rPr>
          <w:rStyle w:val="Hyperlink"/>
          <w:noProof/>
        </w:rPr>
        <w:t>I.</w:t>
      </w:r>
      <w:r>
        <w:rPr>
          <w:rFonts w:asciiTheme="minorHAnsi" w:eastAsiaTheme="minorEastAsia" w:hAnsiTheme="minorHAnsi"/>
          <w:caps w:val="0"/>
          <w:noProof/>
          <w:sz w:val="22"/>
        </w:rPr>
        <w:tab/>
      </w:r>
      <w:r w:rsidRPr="007F50BF">
        <w:rPr>
          <w:rStyle w:val="Hyperlink"/>
          <w:noProof/>
        </w:rPr>
        <w:t>INTRODUCTION</w:t>
      </w:r>
      <w:r>
        <w:rPr>
          <w:noProof/>
          <w:webHidden/>
        </w:rPr>
        <w:tab/>
      </w:r>
      <w:r>
        <w:rPr>
          <w:noProof/>
          <w:webHidden/>
        </w:rPr>
        <w:fldChar w:fldCharType="begin"/>
      </w:r>
      <w:r>
        <w:rPr>
          <w:noProof/>
          <w:webHidden/>
        </w:rPr>
        <w:instrText xml:space="preserve"> PAGEREF _Toc16780410 \h </w:instrText>
      </w:r>
      <w:r>
        <w:rPr>
          <w:noProof/>
          <w:webHidden/>
        </w:rPr>
        <w:fldChar w:fldCharType="separate"/>
      </w:r>
      <w:r>
        <w:rPr>
          <w:noProof/>
          <w:webHidden/>
        </w:rPr>
        <w:t>1</w:t>
      </w:r>
      <w:r>
        <w:rPr>
          <w:noProof/>
          <w:webHidden/>
        </w:rPr>
        <w:fldChar w:fldCharType="end"/>
      </w:r>
      <w:r>
        <w:fldChar w:fldCharType="end"/>
      </w:r>
    </w:p>
    <w:p w:rsidR="00865D2C">
      <w:pPr>
        <w:pStyle w:val="TOC1"/>
        <w:rPr>
          <w:rFonts w:asciiTheme="minorHAnsi" w:eastAsiaTheme="minorEastAsia" w:hAnsiTheme="minorHAnsi"/>
          <w:caps w:val="0"/>
          <w:noProof/>
          <w:sz w:val="22"/>
        </w:rPr>
      </w:pPr>
      <w:r>
        <w:fldChar w:fldCharType="begin"/>
      </w:r>
      <w:r>
        <w:instrText xml:space="preserve"> HYPERLINK \l "_Toc16780411" </w:instrText>
      </w:r>
      <w:r>
        <w:fldChar w:fldCharType="separate"/>
      </w:r>
      <w:r w:rsidRPr="007F50BF">
        <w:rPr>
          <w:rStyle w:val="Hyperlink"/>
          <w:noProof/>
        </w:rPr>
        <w:t>II.</w:t>
      </w:r>
      <w:r>
        <w:rPr>
          <w:rFonts w:asciiTheme="minorHAnsi" w:eastAsiaTheme="minorEastAsia" w:hAnsiTheme="minorHAnsi"/>
          <w:caps w:val="0"/>
          <w:noProof/>
          <w:sz w:val="22"/>
        </w:rPr>
        <w:tab/>
      </w:r>
      <w:r w:rsidRPr="007F50BF">
        <w:rPr>
          <w:rStyle w:val="Hyperlink"/>
          <w:noProof/>
        </w:rPr>
        <w:t>RESPONSES TO SECTION ONE RECOMMENDATIONS (PIPP Plus rules and non-PIPP Plus rules CONTAINED IN OHIO ADM. CoDE Chapters 4901:1-18 AND 122:5-3) FOR THE PROTECTION OF AT-RISK CONSUMERS.</w:t>
      </w:r>
      <w:r>
        <w:rPr>
          <w:noProof/>
          <w:webHidden/>
        </w:rPr>
        <w:tab/>
      </w:r>
      <w:r>
        <w:rPr>
          <w:noProof/>
          <w:webHidden/>
        </w:rPr>
        <w:fldChar w:fldCharType="begin"/>
      </w:r>
      <w:r>
        <w:rPr>
          <w:noProof/>
          <w:webHidden/>
        </w:rPr>
        <w:instrText xml:space="preserve"> PAGEREF _Toc16780411 \h </w:instrText>
      </w:r>
      <w:r>
        <w:rPr>
          <w:noProof/>
          <w:webHidden/>
        </w:rPr>
        <w:fldChar w:fldCharType="separate"/>
      </w:r>
      <w:r>
        <w:rPr>
          <w:noProof/>
          <w:webHidden/>
        </w:rPr>
        <w:t>3</w:t>
      </w:r>
      <w:r>
        <w:rPr>
          <w:noProof/>
          <w:webHidden/>
        </w:rPr>
        <w:fldChar w:fldCharType="end"/>
      </w:r>
      <w:r>
        <w:fldChar w:fldCharType="end"/>
      </w:r>
    </w:p>
    <w:p w:rsidR="00865D2C">
      <w:pPr>
        <w:pStyle w:val="TOC2"/>
        <w:tabs>
          <w:tab w:val="left" w:pos="1440"/>
        </w:tabs>
        <w:rPr>
          <w:rFonts w:asciiTheme="minorHAnsi" w:eastAsiaTheme="minorEastAsia" w:hAnsiTheme="minorHAnsi"/>
          <w:noProof/>
          <w:sz w:val="22"/>
        </w:rPr>
      </w:pPr>
      <w:r>
        <w:fldChar w:fldCharType="begin"/>
      </w:r>
      <w:r>
        <w:instrText xml:space="preserve"> HYPERLINK \l "_Toc16780412" </w:instrText>
      </w:r>
      <w:r>
        <w:fldChar w:fldCharType="separate"/>
      </w:r>
      <w:r w:rsidRPr="007F50BF">
        <w:rPr>
          <w:rStyle w:val="Hyperlink"/>
          <w:noProof/>
        </w:rPr>
        <w:t>A.</w:t>
      </w:r>
      <w:r>
        <w:rPr>
          <w:rFonts w:asciiTheme="minorHAnsi" w:eastAsiaTheme="minorEastAsia" w:hAnsiTheme="minorHAnsi"/>
          <w:noProof/>
          <w:sz w:val="22"/>
        </w:rPr>
        <w:tab/>
      </w:r>
      <w:r w:rsidRPr="007F50BF">
        <w:rPr>
          <w:rStyle w:val="Hyperlink"/>
          <w:noProof/>
        </w:rPr>
        <w:t>Consumer Protection Recommendations for the PIPP Rules.</w:t>
      </w:r>
      <w:r>
        <w:rPr>
          <w:noProof/>
          <w:webHidden/>
        </w:rPr>
        <w:tab/>
      </w:r>
      <w:r>
        <w:rPr>
          <w:noProof/>
          <w:webHidden/>
        </w:rPr>
        <w:fldChar w:fldCharType="begin"/>
      </w:r>
      <w:r>
        <w:rPr>
          <w:noProof/>
          <w:webHidden/>
        </w:rPr>
        <w:instrText xml:space="preserve"> PAGEREF _Toc16780412 \h </w:instrText>
      </w:r>
      <w:r>
        <w:rPr>
          <w:noProof/>
          <w:webHidden/>
        </w:rPr>
        <w:fldChar w:fldCharType="separate"/>
      </w:r>
      <w:r>
        <w:rPr>
          <w:noProof/>
          <w:webHidden/>
        </w:rPr>
        <w:t>3</w:t>
      </w:r>
      <w:r>
        <w:rPr>
          <w:noProof/>
          <w:webHidden/>
        </w:rPr>
        <w:fldChar w:fldCharType="end"/>
      </w:r>
      <w:r>
        <w:fldChar w:fldCharType="end"/>
      </w:r>
    </w:p>
    <w:p w:rsidR="00865D2C">
      <w:pPr>
        <w:pStyle w:val="TOC3"/>
        <w:tabs>
          <w:tab w:val="left" w:pos="2160"/>
        </w:tabs>
        <w:rPr>
          <w:rFonts w:asciiTheme="minorHAnsi" w:eastAsiaTheme="minorEastAsia" w:hAnsiTheme="minorHAnsi"/>
          <w:noProof/>
          <w:sz w:val="22"/>
        </w:rPr>
      </w:pPr>
      <w:r>
        <w:fldChar w:fldCharType="begin"/>
      </w:r>
      <w:r>
        <w:instrText xml:space="preserve"> HYPERLINK \l "_Toc16780413" </w:instrText>
      </w:r>
      <w:r>
        <w:fldChar w:fldCharType="separate"/>
      </w:r>
      <w:r w:rsidRPr="007F50BF">
        <w:rPr>
          <w:rStyle w:val="Hyperlink"/>
          <w:noProof/>
        </w:rPr>
        <w:t>1.</w:t>
      </w:r>
      <w:r>
        <w:rPr>
          <w:rFonts w:asciiTheme="minorHAnsi" w:eastAsiaTheme="minorEastAsia" w:hAnsiTheme="minorHAnsi"/>
          <w:noProof/>
          <w:sz w:val="22"/>
        </w:rPr>
        <w:tab/>
      </w:r>
      <w:r w:rsidRPr="007F50BF">
        <w:rPr>
          <w:rStyle w:val="Hyperlink"/>
          <w:noProof/>
        </w:rPr>
        <w:t>Both the Public Utilities Commission of Ohio (“PUCO”) and the Ohio Development Services Agency (“ODSA”) should standardize the rules under Ohio Adm. Code 4901:1-18-12 and 122:5-03 related to payments that customers must make to re-enroll on PIPP when customers missed PIPP payments during those months that customers were actively enrolled in PIPP.</w:t>
      </w:r>
      <w:r>
        <w:rPr>
          <w:noProof/>
          <w:webHidden/>
        </w:rPr>
        <w:tab/>
      </w:r>
      <w:r>
        <w:rPr>
          <w:noProof/>
          <w:webHidden/>
        </w:rPr>
        <w:fldChar w:fldCharType="begin"/>
      </w:r>
      <w:r>
        <w:rPr>
          <w:noProof/>
          <w:webHidden/>
        </w:rPr>
        <w:instrText xml:space="preserve"> PAGEREF _Toc16780413 \h </w:instrText>
      </w:r>
      <w:r>
        <w:rPr>
          <w:noProof/>
          <w:webHidden/>
        </w:rPr>
        <w:fldChar w:fldCharType="separate"/>
      </w:r>
      <w:r>
        <w:rPr>
          <w:noProof/>
          <w:webHidden/>
        </w:rPr>
        <w:t>3</w:t>
      </w:r>
      <w:r>
        <w:rPr>
          <w:noProof/>
          <w:webHidden/>
        </w:rPr>
        <w:fldChar w:fldCharType="end"/>
      </w:r>
      <w:r>
        <w:fldChar w:fldCharType="end"/>
      </w:r>
    </w:p>
    <w:p w:rsidR="00865D2C">
      <w:pPr>
        <w:pStyle w:val="TOC2"/>
        <w:tabs>
          <w:tab w:val="left" w:pos="1440"/>
        </w:tabs>
        <w:rPr>
          <w:rFonts w:asciiTheme="minorHAnsi" w:eastAsiaTheme="minorEastAsia" w:hAnsiTheme="minorHAnsi"/>
          <w:noProof/>
          <w:sz w:val="22"/>
        </w:rPr>
      </w:pPr>
      <w:r>
        <w:fldChar w:fldCharType="begin"/>
      </w:r>
      <w:r>
        <w:instrText xml:space="preserve"> HYPERLINK \l "_Toc16780414" </w:instrText>
      </w:r>
      <w:r>
        <w:fldChar w:fldCharType="separate"/>
      </w:r>
      <w:r w:rsidRPr="007F50BF">
        <w:rPr>
          <w:rStyle w:val="Hyperlink"/>
          <w:noProof/>
        </w:rPr>
        <w:t>B.</w:t>
      </w:r>
      <w:r>
        <w:rPr>
          <w:rFonts w:asciiTheme="minorHAnsi" w:eastAsiaTheme="minorEastAsia" w:hAnsiTheme="minorHAnsi"/>
          <w:noProof/>
          <w:sz w:val="22"/>
        </w:rPr>
        <w:tab/>
      </w:r>
      <w:r w:rsidRPr="007F50BF">
        <w:rPr>
          <w:rStyle w:val="Hyperlink"/>
          <w:noProof/>
        </w:rPr>
        <w:t>Consumer Protection Recommendations for the ODSA PIPP Rules.</w:t>
      </w:r>
      <w:r>
        <w:rPr>
          <w:noProof/>
          <w:webHidden/>
        </w:rPr>
        <w:tab/>
      </w:r>
      <w:r>
        <w:rPr>
          <w:noProof/>
          <w:webHidden/>
        </w:rPr>
        <w:fldChar w:fldCharType="begin"/>
      </w:r>
      <w:r>
        <w:rPr>
          <w:noProof/>
          <w:webHidden/>
        </w:rPr>
        <w:instrText xml:space="preserve"> PAGEREF _Toc16780414 \h </w:instrText>
      </w:r>
      <w:r>
        <w:rPr>
          <w:noProof/>
          <w:webHidden/>
        </w:rPr>
        <w:fldChar w:fldCharType="separate"/>
      </w:r>
      <w:r>
        <w:rPr>
          <w:noProof/>
          <w:webHidden/>
        </w:rPr>
        <w:t>5</w:t>
      </w:r>
      <w:r>
        <w:rPr>
          <w:noProof/>
          <w:webHidden/>
        </w:rPr>
        <w:fldChar w:fldCharType="end"/>
      </w:r>
      <w:r>
        <w:fldChar w:fldCharType="end"/>
      </w:r>
    </w:p>
    <w:p w:rsidR="00865D2C">
      <w:pPr>
        <w:pStyle w:val="TOC3"/>
        <w:tabs>
          <w:tab w:val="left" w:pos="2160"/>
        </w:tabs>
        <w:rPr>
          <w:rFonts w:asciiTheme="minorHAnsi" w:eastAsiaTheme="minorEastAsia" w:hAnsiTheme="minorHAnsi"/>
          <w:noProof/>
          <w:sz w:val="22"/>
        </w:rPr>
      </w:pPr>
      <w:r>
        <w:fldChar w:fldCharType="begin"/>
      </w:r>
      <w:r>
        <w:instrText xml:space="preserve"> HYPERLINK \l "_Toc16780415" </w:instrText>
      </w:r>
      <w:r>
        <w:fldChar w:fldCharType="separate"/>
      </w:r>
      <w:r w:rsidRPr="007F50BF">
        <w:rPr>
          <w:rStyle w:val="Hyperlink"/>
          <w:noProof/>
        </w:rPr>
        <w:t>1.</w:t>
      </w:r>
      <w:r>
        <w:rPr>
          <w:rFonts w:asciiTheme="minorHAnsi" w:eastAsiaTheme="minorEastAsia" w:hAnsiTheme="minorHAnsi"/>
          <w:noProof/>
          <w:sz w:val="22"/>
        </w:rPr>
        <w:tab/>
      </w:r>
      <w:r w:rsidRPr="007F50BF">
        <w:rPr>
          <w:rStyle w:val="Hyperlink"/>
          <w:noProof/>
        </w:rPr>
        <w:t>Under Ohio Adm. Code 122:5-3-05, ODSA should explicitly limit the pre-PIPP arrearages that can be paid through the USF to rates that do not exceed the utility’s Standard Service Offer (“SSO”).</w:t>
      </w:r>
      <w:r>
        <w:rPr>
          <w:noProof/>
          <w:webHidden/>
        </w:rPr>
        <w:tab/>
      </w:r>
      <w:r>
        <w:rPr>
          <w:noProof/>
          <w:webHidden/>
        </w:rPr>
        <w:fldChar w:fldCharType="begin"/>
      </w:r>
      <w:r>
        <w:rPr>
          <w:noProof/>
          <w:webHidden/>
        </w:rPr>
        <w:instrText xml:space="preserve"> PAGEREF _Toc16780415 \h </w:instrText>
      </w:r>
      <w:r>
        <w:rPr>
          <w:noProof/>
          <w:webHidden/>
        </w:rPr>
        <w:fldChar w:fldCharType="separate"/>
      </w:r>
      <w:r>
        <w:rPr>
          <w:noProof/>
          <w:webHidden/>
        </w:rPr>
        <w:t>5</w:t>
      </w:r>
      <w:r>
        <w:rPr>
          <w:noProof/>
          <w:webHidden/>
        </w:rPr>
        <w:fldChar w:fldCharType="end"/>
      </w:r>
      <w:r>
        <w:fldChar w:fldCharType="end"/>
      </w:r>
    </w:p>
    <w:p w:rsidR="00865D2C">
      <w:pPr>
        <w:pStyle w:val="TOC2"/>
        <w:tabs>
          <w:tab w:val="left" w:pos="1440"/>
        </w:tabs>
        <w:rPr>
          <w:rFonts w:asciiTheme="minorHAnsi" w:eastAsiaTheme="minorEastAsia" w:hAnsiTheme="minorHAnsi"/>
          <w:noProof/>
          <w:sz w:val="22"/>
        </w:rPr>
      </w:pPr>
      <w:r>
        <w:fldChar w:fldCharType="begin"/>
      </w:r>
      <w:r>
        <w:instrText xml:space="preserve"> HYPERLINK \l "_Toc16780416" </w:instrText>
      </w:r>
      <w:r>
        <w:fldChar w:fldCharType="separate"/>
      </w:r>
      <w:r w:rsidRPr="007F50BF">
        <w:rPr>
          <w:rStyle w:val="Hyperlink"/>
          <w:noProof/>
        </w:rPr>
        <w:t>C.</w:t>
      </w:r>
      <w:r>
        <w:rPr>
          <w:rFonts w:asciiTheme="minorHAnsi" w:eastAsiaTheme="minorEastAsia" w:hAnsiTheme="minorHAnsi"/>
          <w:noProof/>
          <w:sz w:val="22"/>
        </w:rPr>
        <w:tab/>
      </w:r>
      <w:r w:rsidRPr="007F50BF">
        <w:rPr>
          <w:rStyle w:val="Hyperlink"/>
          <w:noProof/>
        </w:rPr>
        <w:t>Consumer Protection recommendations for the Non-PIPP PUCO rules (Ohio Adm. Code 4901:1-18).</w:t>
      </w:r>
      <w:r>
        <w:rPr>
          <w:noProof/>
          <w:webHidden/>
        </w:rPr>
        <w:tab/>
      </w:r>
      <w:r>
        <w:rPr>
          <w:noProof/>
          <w:webHidden/>
        </w:rPr>
        <w:fldChar w:fldCharType="begin"/>
      </w:r>
      <w:r>
        <w:rPr>
          <w:noProof/>
          <w:webHidden/>
        </w:rPr>
        <w:instrText xml:space="preserve"> PAGEREF _Toc16780416 \h </w:instrText>
      </w:r>
      <w:r>
        <w:rPr>
          <w:noProof/>
          <w:webHidden/>
        </w:rPr>
        <w:fldChar w:fldCharType="separate"/>
      </w:r>
      <w:r>
        <w:rPr>
          <w:noProof/>
          <w:webHidden/>
        </w:rPr>
        <w:t>6</w:t>
      </w:r>
      <w:r>
        <w:rPr>
          <w:noProof/>
          <w:webHidden/>
        </w:rPr>
        <w:fldChar w:fldCharType="end"/>
      </w:r>
      <w:r>
        <w:fldChar w:fldCharType="end"/>
      </w:r>
    </w:p>
    <w:p w:rsidR="00865D2C">
      <w:pPr>
        <w:pStyle w:val="TOC3"/>
        <w:tabs>
          <w:tab w:val="left" w:pos="2160"/>
        </w:tabs>
        <w:rPr>
          <w:rFonts w:asciiTheme="minorHAnsi" w:eastAsiaTheme="minorEastAsia" w:hAnsiTheme="minorHAnsi"/>
          <w:noProof/>
          <w:sz w:val="22"/>
        </w:rPr>
      </w:pPr>
      <w:r>
        <w:fldChar w:fldCharType="begin"/>
      </w:r>
      <w:r>
        <w:instrText xml:space="preserve"> HYPERLINK \l "_Toc16780417" </w:instrText>
      </w:r>
      <w:r>
        <w:fldChar w:fldCharType="separate"/>
      </w:r>
      <w:r w:rsidRPr="007F50BF">
        <w:rPr>
          <w:rStyle w:val="Hyperlink"/>
          <w:noProof/>
        </w:rPr>
        <w:t>1.</w:t>
      </w:r>
      <w:r>
        <w:rPr>
          <w:rFonts w:asciiTheme="minorHAnsi" w:eastAsiaTheme="minorEastAsia" w:hAnsiTheme="minorHAnsi"/>
          <w:noProof/>
          <w:sz w:val="22"/>
        </w:rPr>
        <w:tab/>
      </w:r>
      <w:r w:rsidRPr="007F50BF">
        <w:rPr>
          <w:rStyle w:val="Hyperlink"/>
          <w:noProof/>
        </w:rPr>
        <w:t xml:space="preserve">The PUCO should reject AEP Ohio’s proposal to modify Ohio Adm. Code 4901:1-18-02(D) to require customers who perform </w:t>
      </w:r>
      <w:r w:rsidRPr="007F50BF">
        <w:rPr>
          <w:rStyle w:val="Hyperlink"/>
          <w:i/>
          <w:iCs/>
          <w:noProof/>
        </w:rPr>
        <w:t>any</w:t>
      </w:r>
      <w:r w:rsidRPr="007F50BF">
        <w:rPr>
          <w:rStyle w:val="Hyperlink"/>
          <w:noProof/>
        </w:rPr>
        <w:t xml:space="preserve"> electronic transactions or receive </w:t>
      </w:r>
      <w:r w:rsidRPr="007F50BF">
        <w:rPr>
          <w:rStyle w:val="Hyperlink"/>
          <w:i/>
          <w:iCs/>
          <w:noProof/>
        </w:rPr>
        <w:t>any</w:t>
      </w:r>
      <w:r w:rsidRPr="007F50BF">
        <w:rPr>
          <w:rStyle w:val="Hyperlink"/>
          <w:noProof/>
        </w:rPr>
        <w:t xml:space="preserve"> electronic notices to perform </w:t>
      </w:r>
      <w:r w:rsidRPr="007F50BF">
        <w:rPr>
          <w:rStyle w:val="Hyperlink"/>
          <w:i/>
          <w:iCs/>
          <w:noProof/>
        </w:rPr>
        <w:t>all</w:t>
      </w:r>
      <w:r w:rsidRPr="007F50BF">
        <w:rPr>
          <w:rStyle w:val="Hyperlink"/>
          <w:noProof/>
        </w:rPr>
        <w:t xml:space="preserve"> transactions and receive </w:t>
      </w:r>
      <w:r w:rsidRPr="007F50BF">
        <w:rPr>
          <w:rStyle w:val="Hyperlink"/>
          <w:i/>
          <w:iCs/>
          <w:noProof/>
        </w:rPr>
        <w:t>all</w:t>
      </w:r>
      <w:r w:rsidRPr="007F50BF">
        <w:rPr>
          <w:rStyle w:val="Hyperlink"/>
          <w:noProof/>
        </w:rPr>
        <w:t xml:space="preserve"> transactions electronically.</w:t>
      </w:r>
      <w:r>
        <w:rPr>
          <w:noProof/>
          <w:webHidden/>
        </w:rPr>
        <w:tab/>
      </w:r>
      <w:r>
        <w:rPr>
          <w:noProof/>
          <w:webHidden/>
        </w:rPr>
        <w:fldChar w:fldCharType="begin"/>
      </w:r>
      <w:r>
        <w:rPr>
          <w:noProof/>
          <w:webHidden/>
        </w:rPr>
        <w:instrText xml:space="preserve"> PAGEREF _Toc16780417 \h </w:instrText>
      </w:r>
      <w:r>
        <w:rPr>
          <w:noProof/>
          <w:webHidden/>
        </w:rPr>
        <w:fldChar w:fldCharType="separate"/>
      </w:r>
      <w:r>
        <w:rPr>
          <w:noProof/>
          <w:webHidden/>
        </w:rPr>
        <w:t>6</w:t>
      </w:r>
      <w:r>
        <w:rPr>
          <w:noProof/>
          <w:webHidden/>
        </w:rPr>
        <w:fldChar w:fldCharType="end"/>
      </w:r>
      <w:r>
        <w:fldChar w:fldCharType="end"/>
      </w:r>
    </w:p>
    <w:p w:rsidR="00865D2C">
      <w:pPr>
        <w:pStyle w:val="TOC3"/>
        <w:tabs>
          <w:tab w:val="left" w:pos="2160"/>
        </w:tabs>
        <w:rPr>
          <w:rFonts w:asciiTheme="minorHAnsi" w:eastAsiaTheme="minorEastAsia" w:hAnsiTheme="minorHAnsi"/>
          <w:noProof/>
          <w:sz w:val="22"/>
        </w:rPr>
      </w:pPr>
      <w:r>
        <w:fldChar w:fldCharType="begin"/>
      </w:r>
      <w:r>
        <w:instrText xml:space="preserve"> HYPERLINK \l "_Toc16780418" </w:instrText>
      </w:r>
      <w:r>
        <w:fldChar w:fldCharType="separate"/>
      </w:r>
      <w:r w:rsidRPr="007F50BF">
        <w:rPr>
          <w:rStyle w:val="Hyperlink"/>
          <w:noProof/>
        </w:rPr>
        <w:t>2.</w:t>
      </w:r>
      <w:r>
        <w:rPr>
          <w:rFonts w:asciiTheme="minorHAnsi" w:eastAsiaTheme="minorEastAsia" w:hAnsiTheme="minorHAnsi"/>
          <w:noProof/>
          <w:sz w:val="22"/>
        </w:rPr>
        <w:tab/>
      </w:r>
      <w:r w:rsidRPr="007F50BF">
        <w:rPr>
          <w:rStyle w:val="Hyperlink"/>
          <w:noProof/>
        </w:rPr>
        <w:t>The PUCO should clarify under Ohio Adm. Code 4901:1-18-05(A) that utilities must work with customers to negotiate extended payment plans that are agreeable to the consumer and utility.</w:t>
      </w:r>
      <w:r>
        <w:rPr>
          <w:noProof/>
          <w:webHidden/>
        </w:rPr>
        <w:tab/>
      </w:r>
      <w:r>
        <w:rPr>
          <w:noProof/>
          <w:webHidden/>
        </w:rPr>
        <w:fldChar w:fldCharType="begin"/>
      </w:r>
      <w:r>
        <w:rPr>
          <w:noProof/>
          <w:webHidden/>
        </w:rPr>
        <w:instrText xml:space="preserve"> PAGEREF _Toc16780418 \h </w:instrText>
      </w:r>
      <w:r>
        <w:rPr>
          <w:noProof/>
          <w:webHidden/>
        </w:rPr>
        <w:fldChar w:fldCharType="separate"/>
      </w:r>
      <w:r>
        <w:rPr>
          <w:noProof/>
          <w:webHidden/>
        </w:rPr>
        <w:t>8</w:t>
      </w:r>
      <w:r>
        <w:rPr>
          <w:noProof/>
          <w:webHidden/>
        </w:rPr>
        <w:fldChar w:fldCharType="end"/>
      </w:r>
      <w:r>
        <w:fldChar w:fldCharType="end"/>
      </w:r>
    </w:p>
    <w:p w:rsidR="00865D2C">
      <w:pPr>
        <w:pStyle w:val="TOC3"/>
        <w:tabs>
          <w:tab w:val="left" w:pos="2160"/>
        </w:tabs>
        <w:rPr>
          <w:rFonts w:asciiTheme="minorHAnsi" w:eastAsiaTheme="minorEastAsia" w:hAnsiTheme="minorHAnsi"/>
          <w:noProof/>
          <w:sz w:val="22"/>
        </w:rPr>
      </w:pPr>
      <w:r>
        <w:fldChar w:fldCharType="begin"/>
      </w:r>
      <w:r>
        <w:instrText xml:space="preserve"> HYPERLINK \l "_Toc16780419" </w:instrText>
      </w:r>
      <w:r>
        <w:fldChar w:fldCharType="separate"/>
      </w:r>
      <w:r w:rsidRPr="007F50BF">
        <w:rPr>
          <w:rStyle w:val="Hyperlink"/>
          <w:noProof/>
        </w:rPr>
        <w:t>3.</w:t>
      </w:r>
      <w:r>
        <w:rPr>
          <w:rFonts w:asciiTheme="minorHAnsi" w:eastAsiaTheme="minorEastAsia" w:hAnsiTheme="minorHAnsi"/>
          <w:noProof/>
          <w:sz w:val="22"/>
        </w:rPr>
        <w:tab/>
      </w:r>
      <w:r w:rsidRPr="007F50BF">
        <w:rPr>
          <w:rStyle w:val="Hyperlink"/>
          <w:noProof/>
        </w:rPr>
        <w:t>The PUCO should reject Duke’s proposal to weaken medical certification minimum consumer protections under Ohio Adm. Code 4901:1-18-06(C).</w:t>
      </w:r>
      <w:r>
        <w:rPr>
          <w:noProof/>
          <w:webHidden/>
        </w:rPr>
        <w:tab/>
      </w:r>
      <w:r>
        <w:rPr>
          <w:noProof/>
          <w:webHidden/>
        </w:rPr>
        <w:fldChar w:fldCharType="begin"/>
      </w:r>
      <w:r>
        <w:rPr>
          <w:noProof/>
          <w:webHidden/>
        </w:rPr>
        <w:instrText xml:space="preserve"> PAGEREF _Toc16780419 \h </w:instrText>
      </w:r>
      <w:r>
        <w:rPr>
          <w:noProof/>
          <w:webHidden/>
        </w:rPr>
        <w:fldChar w:fldCharType="separate"/>
      </w:r>
      <w:r>
        <w:rPr>
          <w:noProof/>
          <w:webHidden/>
        </w:rPr>
        <w:t>10</w:t>
      </w:r>
      <w:r>
        <w:rPr>
          <w:noProof/>
          <w:webHidden/>
        </w:rPr>
        <w:fldChar w:fldCharType="end"/>
      </w:r>
      <w:r>
        <w:fldChar w:fldCharType="end"/>
      </w:r>
    </w:p>
    <w:p w:rsidR="00865D2C">
      <w:pPr>
        <w:pStyle w:val="TOC3"/>
        <w:tabs>
          <w:tab w:val="left" w:pos="2160"/>
        </w:tabs>
        <w:rPr>
          <w:rFonts w:asciiTheme="minorHAnsi" w:eastAsiaTheme="minorEastAsia" w:hAnsiTheme="minorHAnsi"/>
          <w:noProof/>
          <w:sz w:val="22"/>
        </w:rPr>
      </w:pPr>
      <w:r>
        <w:fldChar w:fldCharType="begin"/>
      </w:r>
      <w:r>
        <w:instrText xml:space="preserve"> HYPERLINK \l "_Toc16780420" </w:instrText>
      </w:r>
      <w:r>
        <w:fldChar w:fldCharType="separate"/>
      </w:r>
      <w:r w:rsidRPr="007F50BF">
        <w:rPr>
          <w:rStyle w:val="Hyperlink"/>
          <w:noProof/>
        </w:rPr>
        <w:t>4.</w:t>
      </w:r>
      <w:r>
        <w:rPr>
          <w:rFonts w:asciiTheme="minorHAnsi" w:eastAsiaTheme="minorEastAsia" w:hAnsiTheme="minorHAnsi"/>
          <w:noProof/>
          <w:sz w:val="22"/>
        </w:rPr>
        <w:tab/>
      </w:r>
      <w:r w:rsidRPr="007F50BF">
        <w:rPr>
          <w:rStyle w:val="Hyperlink"/>
          <w:noProof/>
        </w:rPr>
        <w:t>The PUCO should eliminate collection trip charges to customers if a utility does not provide the capability to dispatch an employee to accept payment in lieu of disconnecting service in Ohio Adm. Code 4901:1-18-07(C).</w:t>
      </w:r>
      <w:r>
        <w:rPr>
          <w:noProof/>
          <w:webHidden/>
        </w:rPr>
        <w:tab/>
      </w:r>
      <w:r>
        <w:rPr>
          <w:noProof/>
          <w:webHidden/>
        </w:rPr>
        <w:fldChar w:fldCharType="begin"/>
      </w:r>
      <w:r>
        <w:rPr>
          <w:noProof/>
          <w:webHidden/>
        </w:rPr>
        <w:instrText xml:space="preserve"> PAGEREF _Toc16780420 \h </w:instrText>
      </w:r>
      <w:r>
        <w:rPr>
          <w:noProof/>
          <w:webHidden/>
        </w:rPr>
        <w:fldChar w:fldCharType="separate"/>
      </w:r>
      <w:r>
        <w:rPr>
          <w:noProof/>
          <w:webHidden/>
        </w:rPr>
        <w:t>12</w:t>
      </w:r>
      <w:r>
        <w:rPr>
          <w:noProof/>
          <w:webHidden/>
        </w:rPr>
        <w:fldChar w:fldCharType="end"/>
      </w:r>
      <w:r>
        <w:fldChar w:fldCharType="end"/>
      </w:r>
    </w:p>
    <w:p w:rsidR="00865D2C">
      <w:pPr>
        <w:pStyle w:val="TOC3"/>
        <w:tabs>
          <w:tab w:val="left" w:pos="2160"/>
        </w:tabs>
        <w:rPr>
          <w:rFonts w:asciiTheme="minorHAnsi" w:eastAsiaTheme="minorEastAsia" w:hAnsiTheme="minorHAnsi"/>
          <w:noProof/>
          <w:sz w:val="22"/>
        </w:rPr>
      </w:pPr>
      <w:r>
        <w:fldChar w:fldCharType="begin"/>
      </w:r>
      <w:r>
        <w:instrText xml:space="preserve"> HYPERLINK \l "_Toc16780421" </w:instrText>
      </w:r>
      <w:r>
        <w:fldChar w:fldCharType="separate"/>
      </w:r>
      <w:r w:rsidRPr="007F50BF">
        <w:rPr>
          <w:rStyle w:val="Hyperlink"/>
          <w:noProof/>
        </w:rPr>
        <w:t xml:space="preserve">5.  </w:t>
      </w:r>
      <w:r>
        <w:rPr>
          <w:rFonts w:asciiTheme="minorHAnsi" w:eastAsiaTheme="minorEastAsia" w:hAnsiTheme="minorHAnsi"/>
          <w:noProof/>
          <w:sz w:val="22"/>
        </w:rPr>
        <w:tab/>
      </w:r>
      <w:r w:rsidRPr="007F50BF">
        <w:rPr>
          <w:rStyle w:val="Hyperlink"/>
          <w:noProof/>
        </w:rPr>
        <w:t>The PUCO should reject DP&amp;L’s proposal to eliminate the requirement for utilities to provide personal notice on the day services are being disconnected if customers have a meter that can be remotely reconnected.</w:t>
      </w:r>
      <w:r>
        <w:rPr>
          <w:noProof/>
          <w:webHidden/>
        </w:rPr>
        <w:tab/>
      </w:r>
      <w:r>
        <w:rPr>
          <w:noProof/>
          <w:webHidden/>
        </w:rPr>
        <w:fldChar w:fldCharType="begin"/>
      </w:r>
      <w:r>
        <w:rPr>
          <w:noProof/>
          <w:webHidden/>
        </w:rPr>
        <w:instrText xml:space="preserve"> PAGEREF _Toc16780421 \h </w:instrText>
      </w:r>
      <w:r>
        <w:rPr>
          <w:noProof/>
          <w:webHidden/>
        </w:rPr>
        <w:fldChar w:fldCharType="separate"/>
      </w:r>
      <w:r>
        <w:rPr>
          <w:noProof/>
          <w:webHidden/>
        </w:rPr>
        <w:t>13</w:t>
      </w:r>
      <w:r>
        <w:rPr>
          <w:noProof/>
          <w:webHidden/>
        </w:rPr>
        <w:fldChar w:fldCharType="end"/>
      </w:r>
      <w:r>
        <w:fldChar w:fldCharType="end"/>
      </w:r>
    </w:p>
    <w:p w:rsidR="00865D2C">
      <w:pPr>
        <w:pStyle w:val="TOC3"/>
        <w:tabs>
          <w:tab w:val="left" w:pos="2160"/>
        </w:tabs>
        <w:rPr>
          <w:rFonts w:asciiTheme="minorHAnsi" w:eastAsiaTheme="minorEastAsia" w:hAnsiTheme="minorHAnsi"/>
          <w:noProof/>
          <w:sz w:val="22"/>
        </w:rPr>
      </w:pPr>
      <w:r>
        <w:fldChar w:fldCharType="begin"/>
      </w:r>
      <w:r>
        <w:instrText xml:space="preserve"> HYPERLINK \l "_Toc16780422" </w:instrText>
      </w:r>
      <w:r>
        <w:fldChar w:fldCharType="separate"/>
      </w:r>
      <w:r w:rsidRPr="007F50BF">
        <w:rPr>
          <w:rStyle w:val="Hyperlink"/>
          <w:noProof/>
        </w:rPr>
        <w:t xml:space="preserve">6. </w:t>
      </w:r>
      <w:r>
        <w:rPr>
          <w:rFonts w:asciiTheme="minorHAnsi" w:eastAsiaTheme="minorEastAsia" w:hAnsiTheme="minorHAnsi"/>
          <w:noProof/>
          <w:sz w:val="22"/>
        </w:rPr>
        <w:tab/>
      </w:r>
      <w:r w:rsidRPr="007F50BF">
        <w:rPr>
          <w:rStyle w:val="Hyperlink"/>
          <w:noProof/>
        </w:rPr>
        <w:t>The PUCO should require disconnection notices in Ohio Adm. Code 4901:1-18-06(A) and (B) to expire within 30 days of the disconnection date stated on the notice if the services were not previously disconnected.</w:t>
      </w:r>
      <w:r>
        <w:rPr>
          <w:noProof/>
          <w:webHidden/>
        </w:rPr>
        <w:tab/>
      </w:r>
      <w:r>
        <w:rPr>
          <w:noProof/>
          <w:webHidden/>
        </w:rPr>
        <w:fldChar w:fldCharType="begin"/>
      </w:r>
      <w:r>
        <w:rPr>
          <w:noProof/>
          <w:webHidden/>
        </w:rPr>
        <w:instrText xml:space="preserve"> PAGEREF _Toc16780422 \h </w:instrText>
      </w:r>
      <w:r>
        <w:rPr>
          <w:noProof/>
          <w:webHidden/>
        </w:rPr>
        <w:fldChar w:fldCharType="separate"/>
      </w:r>
      <w:r>
        <w:rPr>
          <w:noProof/>
          <w:webHidden/>
        </w:rPr>
        <w:t>14</w:t>
      </w:r>
      <w:r>
        <w:rPr>
          <w:noProof/>
          <w:webHidden/>
        </w:rPr>
        <w:fldChar w:fldCharType="end"/>
      </w:r>
      <w:r>
        <w:fldChar w:fldCharType="end"/>
      </w:r>
    </w:p>
    <w:p w:rsidR="00865D2C">
      <w:pPr>
        <w:pStyle w:val="TOC3"/>
        <w:tabs>
          <w:tab w:val="left" w:pos="2160"/>
        </w:tabs>
        <w:rPr>
          <w:rFonts w:asciiTheme="minorHAnsi" w:eastAsiaTheme="minorEastAsia" w:hAnsiTheme="minorHAnsi"/>
          <w:noProof/>
          <w:sz w:val="22"/>
        </w:rPr>
      </w:pPr>
      <w:r>
        <w:fldChar w:fldCharType="begin"/>
      </w:r>
      <w:r>
        <w:instrText xml:space="preserve"> HYPERLINK \l "_Toc16780423" </w:instrText>
      </w:r>
      <w:r>
        <w:fldChar w:fldCharType="separate"/>
      </w:r>
      <w:r w:rsidRPr="007F50BF">
        <w:rPr>
          <w:rStyle w:val="Hyperlink"/>
          <w:noProof/>
        </w:rPr>
        <w:t xml:space="preserve">7.  </w:t>
      </w:r>
      <w:r>
        <w:rPr>
          <w:rFonts w:asciiTheme="minorHAnsi" w:eastAsiaTheme="minorEastAsia" w:hAnsiTheme="minorHAnsi"/>
          <w:noProof/>
          <w:sz w:val="22"/>
        </w:rPr>
        <w:tab/>
      </w:r>
      <w:r w:rsidRPr="007F50BF">
        <w:rPr>
          <w:rStyle w:val="Hyperlink"/>
          <w:noProof/>
        </w:rPr>
        <w:t>The PUCO should modify Ohio Adm. Code 4901:1-18-07(B)(2) to reflect OPAE’s proposal to limit the regular reconnection fee to $10 for meters that have remote disconnection and reconnection capabilities.</w:t>
      </w:r>
      <w:r>
        <w:rPr>
          <w:noProof/>
          <w:webHidden/>
        </w:rPr>
        <w:tab/>
      </w:r>
      <w:r>
        <w:rPr>
          <w:noProof/>
          <w:webHidden/>
        </w:rPr>
        <w:fldChar w:fldCharType="begin"/>
      </w:r>
      <w:r>
        <w:rPr>
          <w:noProof/>
          <w:webHidden/>
        </w:rPr>
        <w:instrText xml:space="preserve"> PAGEREF _Toc16780423 \h </w:instrText>
      </w:r>
      <w:r>
        <w:rPr>
          <w:noProof/>
          <w:webHidden/>
        </w:rPr>
        <w:fldChar w:fldCharType="separate"/>
      </w:r>
      <w:r>
        <w:rPr>
          <w:noProof/>
          <w:webHidden/>
        </w:rPr>
        <w:t>15</w:t>
      </w:r>
      <w:r>
        <w:rPr>
          <w:noProof/>
          <w:webHidden/>
        </w:rPr>
        <w:fldChar w:fldCharType="end"/>
      </w:r>
      <w:r>
        <w:fldChar w:fldCharType="end"/>
      </w:r>
    </w:p>
    <w:p w:rsidR="00865D2C">
      <w:pPr>
        <w:pStyle w:val="TOC3"/>
        <w:tabs>
          <w:tab w:val="left" w:pos="2160"/>
        </w:tabs>
        <w:rPr>
          <w:rFonts w:asciiTheme="minorHAnsi" w:eastAsiaTheme="minorEastAsia" w:hAnsiTheme="minorHAnsi"/>
          <w:noProof/>
          <w:sz w:val="22"/>
        </w:rPr>
      </w:pPr>
      <w:r>
        <w:fldChar w:fldCharType="begin"/>
      </w:r>
      <w:r>
        <w:instrText xml:space="preserve"> HYPERLINK \l "_Toc16780424" </w:instrText>
      </w:r>
      <w:r>
        <w:fldChar w:fldCharType="separate"/>
      </w:r>
      <w:r w:rsidRPr="007F50BF">
        <w:rPr>
          <w:rStyle w:val="Hyperlink"/>
          <w:noProof/>
        </w:rPr>
        <w:t xml:space="preserve">8.  </w:t>
      </w:r>
      <w:r>
        <w:rPr>
          <w:rFonts w:asciiTheme="minorHAnsi" w:eastAsiaTheme="minorEastAsia" w:hAnsiTheme="minorHAnsi"/>
          <w:noProof/>
          <w:sz w:val="22"/>
        </w:rPr>
        <w:tab/>
      </w:r>
      <w:r w:rsidRPr="007F50BF">
        <w:rPr>
          <w:rStyle w:val="Hyperlink"/>
          <w:noProof/>
        </w:rPr>
        <w:t>The PUCO should reject AEP Ohio’s proposal to weaken the landlord-tenant provisions in Ohio Adm. Code 4901:1-18-08(A) and (G).</w:t>
      </w:r>
      <w:r>
        <w:rPr>
          <w:noProof/>
          <w:webHidden/>
        </w:rPr>
        <w:tab/>
      </w:r>
      <w:r>
        <w:rPr>
          <w:noProof/>
          <w:webHidden/>
        </w:rPr>
        <w:fldChar w:fldCharType="begin"/>
      </w:r>
      <w:r>
        <w:rPr>
          <w:noProof/>
          <w:webHidden/>
        </w:rPr>
        <w:instrText xml:space="preserve"> PAGEREF _Toc16780424 \h </w:instrText>
      </w:r>
      <w:r>
        <w:rPr>
          <w:noProof/>
          <w:webHidden/>
        </w:rPr>
        <w:fldChar w:fldCharType="separate"/>
      </w:r>
      <w:r>
        <w:rPr>
          <w:noProof/>
          <w:webHidden/>
        </w:rPr>
        <w:t>16</w:t>
      </w:r>
      <w:r>
        <w:rPr>
          <w:noProof/>
          <w:webHidden/>
        </w:rPr>
        <w:fldChar w:fldCharType="end"/>
      </w:r>
      <w:r>
        <w:fldChar w:fldCharType="end"/>
      </w:r>
    </w:p>
    <w:p w:rsidR="00865D2C">
      <w:pPr>
        <w:pStyle w:val="TOC3"/>
        <w:tabs>
          <w:tab w:val="left" w:pos="2160"/>
        </w:tabs>
        <w:rPr>
          <w:rFonts w:asciiTheme="minorHAnsi" w:eastAsiaTheme="minorEastAsia" w:hAnsiTheme="minorHAnsi"/>
          <w:noProof/>
          <w:sz w:val="22"/>
        </w:rPr>
      </w:pPr>
      <w:r>
        <w:fldChar w:fldCharType="begin"/>
      </w:r>
      <w:r>
        <w:instrText xml:space="preserve"> HYPERLINK \l "_Toc16780425" </w:instrText>
      </w:r>
      <w:r>
        <w:fldChar w:fldCharType="separate"/>
      </w:r>
      <w:r w:rsidRPr="007F50BF">
        <w:rPr>
          <w:rStyle w:val="Hyperlink"/>
          <w:noProof/>
        </w:rPr>
        <w:t xml:space="preserve">9.  </w:t>
      </w:r>
      <w:r>
        <w:rPr>
          <w:rFonts w:asciiTheme="minorHAnsi" w:eastAsiaTheme="minorEastAsia" w:hAnsiTheme="minorHAnsi"/>
          <w:noProof/>
          <w:sz w:val="22"/>
        </w:rPr>
        <w:tab/>
      </w:r>
      <w:r w:rsidRPr="007F50BF">
        <w:rPr>
          <w:rStyle w:val="Hyperlink"/>
          <w:noProof/>
        </w:rPr>
        <w:t>DP&amp;L’s proposed modifications to Ohio Adm. Code 4901:1-18-10(A) are unnecessary and create ambiguity on the reasons a utility can deny service to new applicants.</w:t>
      </w:r>
      <w:r>
        <w:rPr>
          <w:noProof/>
          <w:webHidden/>
        </w:rPr>
        <w:tab/>
      </w:r>
      <w:r>
        <w:rPr>
          <w:noProof/>
          <w:webHidden/>
        </w:rPr>
        <w:fldChar w:fldCharType="begin"/>
      </w:r>
      <w:r>
        <w:rPr>
          <w:noProof/>
          <w:webHidden/>
        </w:rPr>
        <w:instrText xml:space="preserve"> PAGEREF _Toc16780425 \h </w:instrText>
      </w:r>
      <w:r>
        <w:rPr>
          <w:noProof/>
          <w:webHidden/>
        </w:rPr>
        <w:fldChar w:fldCharType="separate"/>
      </w:r>
      <w:r>
        <w:rPr>
          <w:noProof/>
          <w:webHidden/>
        </w:rPr>
        <w:t>17</w:t>
      </w:r>
      <w:r>
        <w:rPr>
          <w:noProof/>
          <w:webHidden/>
        </w:rPr>
        <w:fldChar w:fldCharType="end"/>
      </w:r>
      <w:r>
        <w:fldChar w:fldCharType="end"/>
      </w:r>
    </w:p>
    <w:p w:rsidR="00865D2C">
      <w:pPr>
        <w:pStyle w:val="TOC1"/>
        <w:rPr>
          <w:rFonts w:asciiTheme="minorHAnsi" w:eastAsiaTheme="minorEastAsia" w:hAnsiTheme="minorHAnsi"/>
          <w:caps w:val="0"/>
          <w:noProof/>
          <w:sz w:val="22"/>
        </w:rPr>
      </w:pPr>
      <w:r>
        <w:fldChar w:fldCharType="begin"/>
      </w:r>
      <w:r>
        <w:instrText xml:space="preserve"> HYPERLINK \l "_Toc16780426" </w:instrText>
      </w:r>
      <w:r>
        <w:fldChar w:fldCharType="separate"/>
      </w:r>
      <w:r w:rsidRPr="007F50BF">
        <w:rPr>
          <w:rStyle w:val="Hyperlink"/>
          <w:noProof/>
        </w:rPr>
        <w:t>III.</w:t>
      </w:r>
      <w:r>
        <w:rPr>
          <w:rFonts w:asciiTheme="minorHAnsi" w:eastAsiaTheme="minorEastAsia" w:hAnsiTheme="minorHAnsi"/>
          <w:caps w:val="0"/>
          <w:noProof/>
          <w:sz w:val="22"/>
        </w:rPr>
        <w:tab/>
      </w:r>
      <w:r w:rsidRPr="007F50BF">
        <w:rPr>
          <w:rStyle w:val="Hyperlink"/>
          <w:noProof/>
        </w:rPr>
        <w:t>RESPONse TO SECTION II RECOMMENDATIONS (PUCO RULES CONTAINED IN OHIO ADM. CODE CHAPTER 4901:1-17)</w:t>
      </w:r>
      <w:r>
        <w:rPr>
          <w:noProof/>
          <w:webHidden/>
        </w:rPr>
        <w:tab/>
      </w:r>
      <w:r>
        <w:rPr>
          <w:noProof/>
          <w:webHidden/>
        </w:rPr>
        <w:fldChar w:fldCharType="begin"/>
      </w:r>
      <w:r>
        <w:rPr>
          <w:noProof/>
          <w:webHidden/>
        </w:rPr>
        <w:instrText xml:space="preserve"> PAGEREF _Toc16780426 \h </w:instrText>
      </w:r>
      <w:r>
        <w:rPr>
          <w:noProof/>
          <w:webHidden/>
        </w:rPr>
        <w:fldChar w:fldCharType="separate"/>
      </w:r>
      <w:r>
        <w:rPr>
          <w:noProof/>
          <w:webHidden/>
        </w:rPr>
        <w:t>18</w:t>
      </w:r>
      <w:r>
        <w:rPr>
          <w:noProof/>
          <w:webHidden/>
        </w:rPr>
        <w:fldChar w:fldCharType="end"/>
      </w:r>
      <w:r>
        <w:fldChar w:fldCharType="end"/>
      </w:r>
    </w:p>
    <w:p w:rsidR="00865D2C">
      <w:pPr>
        <w:pStyle w:val="TOC2"/>
        <w:tabs>
          <w:tab w:val="left" w:pos="1440"/>
        </w:tabs>
        <w:rPr>
          <w:rFonts w:asciiTheme="minorHAnsi" w:eastAsiaTheme="minorEastAsia" w:hAnsiTheme="minorHAnsi"/>
          <w:noProof/>
          <w:sz w:val="22"/>
        </w:rPr>
      </w:pPr>
      <w:r>
        <w:fldChar w:fldCharType="begin"/>
      </w:r>
      <w:r>
        <w:instrText xml:space="preserve"> HYPERLINK \l "_Toc16780427" </w:instrText>
      </w:r>
      <w:r>
        <w:fldChar w:fldCharType="separate"/>
      </w:r>
      <w:r w:rsidRPr="007F50BF">
        <w:rPr>
          <w:rStyle w:val="Hyperlink"/>
          <w:noProof/>
        </w:rPr>
        <w:t>A.</w:t>
      </w:r>
      <w:r>
        <w:rPr>
          <w:rFonts w:asciiTheme="minorHAnsi" w:eastAsiaTheme="minorEastAsia" w:hAnsiTheme="minorHAnsi"/>
          <w:noProof/>
          <w:sz w:val="22"/>
        </w:rPr>
        <w:tab/>
      </w:r>
      <w:r w:rsidRPr="007F50BF">
        <w:rPr>
          <w:rStyle w:val="Hyperlink"/>
          <w:noProof/>
        </w:rPr>
        <w:t>The PUCO should not modify Ohio Adm. Code 4901:1-17-04(B) until an evaluation is performed to determine the impact of additional deposits on consumers.</w:t>
      </w:r>
      <w:r>
        <w:rPr>
          <w:noProof/>
          <w:webHidden/>
        </w:rPr>
        <w:tab/>
      </w:r>
      <w:r>
        <w:rPr>
          <w:noProof/>
          <w:webHidden/>
        </w:rPr>
        <w:fldChar w:fldCharType="begin"/>
      </w:r>
      <w:r>
        <w:rPr>
          <w:noProof/>
          <w:webHidden/>
        </w:rPr>
        <w:instrText xml:space="preserve"> PAGEREF _Toc16780427 \h </w:instrText>
      </w:r>
      <w:r>
        <w:rPr>
          <w:noProof/>
          <w:webHidden/>
        </w:rPr>
        <w:fldChar w:fldCharType="separate"/>
      </w:r>
      <w:r>
        <w:rPr>
          <w:noProof/>
          <w:webHidden/>
        </w:rPr>
        <w:t>18</w:t>
      </w:r>
      <w:r>
        <w:rPr>
          <w:noProof/>
          <w:webHidden/>
        </w:rPr>
        <w:fldChar w:fldCharType="end"/>
      </w:r>
      <w:r>
        <w:fldChar w:fldCharType="end"/>
      </w:r>
    </w:p>
    <w:p w:rsidR="00865D2C">
      <w:pPr>
        <w:pStyle w:val="TOC1"/>
        <w:rPr>
          <w:rFonts w:asciiTheme="minorHAnsi" w:eastAsiaTheme="minorEastAsia" w:hAnsiTheme="minorHAnsi"/>
          <w:caps w:val="0"/>
          <w:noProof/>
          <w:sz w:val="22"/>
        </w:rPr>
      </w:pPr>
      <w:r>
        <w:fldChar w:fldCharType="begin"/>
      </w:r>
      <w:r>
        <w:instrText xml:space="preserve"> HYPERLINK \l "_Toc16780428" </w:instrText>
      </w:r>
      <w:r>
        <w:fldChar w:fldCharType="separate"/>
      </w:r>
      <w:r w:rsidRPr="007F50BF">
        <w:rPr>
          <w:rStyle w:val="Hyperlink"/>
          <w:noProof/>
        </w:rPr>
        <w:t>IV.</w:t>
      </w:r>
      <w:r>
        <w:rPr>
          <w:rFonts w:asciiTheme="minorHAnsi" w:eastAsiaTheme="minorEastAsia" w:hAnsiTheme="minorHAnsi"/>
          <w:caps w:val="0"/>
          <w:noProof/>
          <w:sz w:val="22"/>
        </w:rPr>
        <w:tab/>
      </w:r>
      <w:r w:rsidRPr="007F50BF">
        <w:rPr>
          <w:rStyle w:val="Hyperlink"/>
          <w:noProof/>
        </w:rPr>
        <w:t>CONCLUSION</w:t>
      </w:r>
      <w:r>
        <w:rPr>
          <w:noProof/>
          <w:webHidden/>
        </w:rPr>
        <w:tab/>
      </w:r>
      <w:r>
        <w:rPr>
          <w:noProof/>
          <w:webHidden/>
        </w:rPr>
        <w:fldChar w:fldCharType="begin"/>
      </w:r>
      <w:r>
        <w:rPr>
          <w:noProof/>
          <w:webHidden/>
        </w:rPr>
        <w:instrText xml:space="preserve"> PAGEREF _Toc16780428 \h </w:instrText>
      </w:r>
      <w:r>
        <w:rPr>
          <w:noProof/>
          <w:webHidden/>
        </w:rPr>
        <w:fldChar w:fldCharType="separate"/>
      </w:r>
      <w:r>
        <w:rPr>
          <w:noProof/>
          <w:webHidden/>
        </w:rPr>
        <w:t>20</w:t>
      </w:r>
      <w:r>
        <w:rPr>
          <w:noProof/>
          <w:webHidden/>
        </w:rPr>
        <w:fldChar w:fldCharType="end"/>
      </w:r>
      <w:r>
        <w:fldChar w:fldCharType="end"/>
      </w:r>
    </w:p>
    <w:p w:rsidR="008703FA" w:rsidRPr="00D923A4" w:rsidP="008703FA">
      <w:pPr>
        <w:rPr>
          <w:rFonts w:eastAsia="Times New Roman" w:cs="Times New Roman"/>
          <w:szCs w:val="24"/>
        </w:rPr>
      </w:pPr>
      <w:r w:rsidRPr="00D923A4">
        <w:rPr>
          <w:rFonts w:eastAsia="Times New Roman" w:cs="Times New Roman"/>
          <w:caps/>
          <w:szCs w:val="24"/>
        </w:rPr>
        <w:fldChar w:fldCharType="end"/>
      </w:r>
    </w:p>
    <w:p w:rsidR="008703FA" w:rsidRPr="00D923A4" w:rsidP="008703FA">
      <w:pPr>
        <w:jc w:val="center"/>
        <w:rPr>
          <w:rFonts w:eastAsia="Times New Roman" w:cs="Times New Roman"/>
          <w:szCs w:val="24"/>
        </w:rPr>
        <w:sectPr w:rsidSect="008703FA">
          <w:footerReference w:type="default" r:id="rId11"/>
          <w:footerReference w:type="first" r:id="rId12"/>
          <w:pgSz w:w="12240" w:h="15840"/>
          <w:pgMar w:top="1440" w:right="1800" w:bottom="1440" w:left="1800" w:header="720" w:footer="720" w:gutter="0"/>
          <w:pgNumType w:fmt="lowerRoman" w:start="1"/>
          <w:cols w:space="720"/>
          <w:titlePg/>
          <w:docGrid w:linePitch="360"/>
        </w:sectPr>
      </w:pPr>
    </w:p>
    <w:p w:rsidR="008703FA" w:rsidRPr="00D923A4" w:rsidP="008703FA">
      <w:pPr>
        <w:jc w:val="center"/>
        <w:rPr>
          <w:rFonts w:eastAsia="Times New Roman" w:cs="Times New Roman"/>
          <w:b/>
          <w:szCs w:val="24"/>
        </w:rPr>
      </w:pPr>
      <w:r w:rsidRPr="00D923A4">
        <w:rPr>
          <w:rFonts w:eastAsia="Times New Roman" w:cs="Times New Roman"/>
          <w:b/>
          <w:szCs w:val="24"/>
        </w:rPr>
        <w:t>BEFORE</w:t>
      </w:r>
    </w:p>
    <w:p w:rsidR="008703FA" w:rsidRPr="00D923A4" w:rsidP="008703FA">
      <w:pPr>
        <w:spacing w:after="240"/>
        <w:jc w:val="center"/>
        <w:rPr>
          <w:rFonts w:eastAsia="Times New Roman" w:cs="Times New Roman"/>
          <w:b/>
          <w:szCs w:val="24"/>
        </w:rPr>
      </w:pPr>
      <w:r w:rsidRPr="00D923A4">
        <w:rPr>
          <w:rFonts w:eastAsia="Times New Roman" w:cs="Times New Roman"/>
          <w:b/>
          <w:szCs w:val="24"/>
        </w:rPr>
        <w:t>THE PUBLIC UTILITIES COMMISSION OF OHIO</w:t>
      </w:r>
    </w:p>
    <w:tbl>
      <w:tblPr>
        <w:tblStyle w:val="TableGrid"/>
        <w:tblW w:w="9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978"/>
        <w:gridCol w:w="900"/>
        <w:gridCol w:w="4878"/>
      </w:tblGrid>
      <w:tr w:rsidTr="008703FA">
        <w:tblPrEx>
          <w:tblW w:w="9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978" w:type="dxa"/>
            <w:hideMark/>
          </w:tcPr>
          <w:p w:rsidR="008703FA" w:rsidRPr="00D923A4" w:rsidP="008703FA">
            <w:pPr>
              <w:spacing w:after="0" w:line="240" w:lineRule="auto"/>
              <w:rPr>
                <w:rStyle w:val="DefaultParagraphFont"/>
                <w:rFonts w:ascii="Times New Roman" w:eastAsia="Times New Roman" w:hAnsi="Times New Roman" w:cs="Times New Roman"/>
                <w:b/>
                <w:sz w:val="24"/>
                <w:szCs w:val="24"/>
                <w:lang w:val="en-US" w:eastAsia="en-US" w:bidi="ar-SA"/>
              </w:rPr>
            </w:pPr>
            <w:r w:rsidRPr="00D923A4">
              <w:rPr>
                <w:rFonts w:ascii="Times New Roman" w:hAnsi="Times New Roman" w:eastAsiaTheme="minorHAnsi" w:cs="Times New Roman"/>
                <w:sz w:val="24"/>
                <w:szCs w:val="24"/>
                <w:lang w:val="en-US" w:eastAsia="en-US" w:bidi="ar-SA"/>
              </w:rPr>
              <w:t>In the Matter of the Commission’s Review of Ohio Adm</w:t>
            </w:r>
            <w:r>
              <w:rPr>
                <w:rFonts w:ascii="Times New Roman" w:hAnsi="Times New Roman" w:eastAsiaTheme="minorHAnsi" w:cs="Times New Roman"/>
                <w:sz w:val="24"/>
                <w:szCs w:val="24"/>
                <w:lang w:val="en-US" w:eastAsia="en-US" w:bidi="ar-SA"/>
              </w:rPr>
              <w:t xml:space="preserve">inistrative </w:t>
            </w:r>
            <w:r w:rsidRPr="00D923A4">
              <w:rPr>
                <w:rFonts w:ascii="Times New Roman" w:hAnsi="Times New Roman" w:eastAsiaTheme="minorHAnsi" w:cs="Times New Roman"/>
                <w:sz w:val="24"/>
                <w:szCs w:val="24"/>
                <w:lang w:val="en-US" w:eastAsia="en-US" w:bidi="ar-SA"/>
              </w:rPr>
              <w:t>Code Chapters 4901:1-17 and 4901:1-18.</w:t>
            </w:r>
          </w:p>
        </w:tc>
        <w:tc>
          <w:tcPr>
            <w:tcW w:w="900" w:type="dxa"/>
            <w:hideMark/>
          </w:tcPr>
          <w:p w:rsidR="008703FA" w:rsidRPr="00D923A4" w:rsidP="008703FA">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D923A4">
              <w:rPr>
                <w:rFonts w:ascii="Times New Roman" w:eastAsia="Times New Roman" w:hAnsi="Times New Roman" w:cs="Times New Roman"/>
                <w:sz w:val="24"/>
                <w:szCs w:val="24"/>
                <w:lang w:val="en-US" w:eastAsia="en-US" w:bidi="ar-SA"/>
              </w:rPr>
              <w:t>)</w:t>
            </w:r>
          </w:p>
          <w:p w:rsidR="008703FA" w:rsidRPr="00D923A4" w:rsidP="008703FA">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D923A4">
              <w:rPr>
                <w:rFonts w:ascii="Times New Roman" w:eastAsia="Times New Roman" w:hAnsi="Times New Roman" w:cs="Times New Roman"/>
                <w:sz w:val="24"/>
                <w:szCs w:val="24"/>
                <w:lang w:val="en-US" w:eastAsia="en-US" w:bidi="ar-SA"/>
              </w:rPr>
              <w:t>)</w:t>
            </w:r>
          </w:p>
          <w:p w:rsidR="008703FA" w:rsidRPr="00D923A4" w:rsidP="008703FA">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D923A4">
              <w:rPr>
                <w:rFonts w:ascii="Times New Roman" w:eastAsia="Times New Roman" w:hAnsi="Times New Roman" w:cs="Times New Roman"/>
                <w:sz w:val="24"/>
                <w:szCs w:val="24"/>
                <w:lang w:val="en-US" w:eastAsia="en-US" w:bidi="ar-SA"/>
              </w:rPr>
              <w:t>)</w:t>
            </w:r>
          </w:p>
          <w:p w:rsidR="008703FA" w:rsidRPr="00D923A4" w:rsidP="008703FA">
            <w:pPr>
              <w:spacing w:after="0" w:line="240" w:lineRule="auto"/>
              <w:jc w:val="center"/>
              <w:rPr>
                <w:rStyle w:val="DefaultParagraphFont"/>
                <w:rFonts w:ascii="Times New Roman" w:eastAsia="Times New Roman" w:hAnsi="Times New Roman" w:cs="Times New Roman"/>
                <w:sz w:val="24"/>
                <w:szCs w:val="24"/>
                <w:lang w:val="en-US" w:eastAsia="en-US" w:bidi="ar-SA"/>
              </w:rPr>
            </w:pPr>
          </w:p>
        </w:tc>
        <w:tc>
          <w:tcPr>
            <w:tcW w:w="4878" w:type="dxa"/>
          </w:tcPr>
          <w:p w:rsidR="008703FA" w:rsidRPr="00D923A4" w:rsidP="008703FA">
            <w:pPr>
              <w:spacing w:after="0" w:line="240" w:lineRule="auto"/>
              <w:rPr>
                <w:rStyle w:val="DefaultParagraphFont"/>
                <w:rFonts w:ascii="Times New Roman" w:eastAsia="Times New Roman" w:hAnsi="Times New Roman" w:cs="Times New Roman"/>
                <w:b/>
                <w:sz w:val="24"/>
                <w:szCs w:val="24"/>
                <w:lang w:val="en-US" w:eastAsia="en-US" w:bidi="ar-SA"/>
              </w:rPr>
            </w:pPr>
          </w:p>
          <w:p w:rsidR="008703FA" w:rsidRPr="00D923A4" w:rsidP="008703FA">
            <w:pPr>
              <w:spacing w:after="0" w:line="240" w:lineRule="auto"/>
              <w:rPr>
                <w:rStyle w:val="DefaultParagraphFont"/>
                <w:rFonts w:ascii="Times New Roman" w:eastAsia="Times New Roman" w:hAnsi="Times New Roman" w:cs="Times New Roman"/>
                <w:b/>
                <w:sz w:val="24"/>
                <w:szCs w:val="24"/>
                <w:lang w:val="en-US" w:eastAsia="en-US" w:bidi="ar-SA"/>
              </w:rPr>
            </w:pPr>
            <w:r w:rsidRPr="00D923A4">
              <w:rPr>
                <w:rFonts w:ascii="Times New Roman" w:eastAsia="Times New Roman" w:hAnsi="Times New Roman" w:cs="Times New Roman"/>
                <w:sz w:val="24"/>
                <w:szCs w:val="24"/>
                <w:lang w:val="en-US" w:eastAsia="en-US" w:bidi="ar-SA"/>
              </w:rPr>
              <w:t>Case No. 19-</w:t>
            </w:r>
            <w:r>
              <w:rPr>
                <w:rFonts w:ascii="Times New Roman" w:eastAsia="Times New Roman" w:hAnsi="Times New Roman" w:cs="Times New Roman"/>
                <w:sz w:val="24"/>
                <w:szCs w:val="24"/>
                <w:lang w:val="en-US" w:eastAsia="en-US" w:bidi="ar-SA"/>
              </w:rPr>
              <w:t>00</w:t>
            </w:r>
            <w:r w:rsidRPr="00D923A4">
              <w:rPr>
                <w:rFonts w:ascii="Times New Roman" w:eastAsia="Times New Roman" w:hAnsi="Times New Roman" w:cs="Times New Roman"/>
                <w:sz w:val="24"/>
                <w:szCs w:val="24"/>
                <w:lang w:val="en-US" w:eastAsia="en-US" w:bidi="ar-SA"/>
              </w:rPr>
              <w:t>5</w:t>
            </w:r>
            <w:r>
              <w:rPr>
                <w:rFonts w:ascii="Times New Roman" w:eastAsia="Times New Roman" w:hAnsi="Times New Roman" w:cs="Times New Roman"/>
                <w:sz w:val="24"/>
                <w:szCs w:val="24"/>
                <w:lang w:val="en-US" w:eastAsia="en-US" w:bidi="ar-SA"/>
              </w:rPr>
              <w:t>2</w:t>
            </w:r>
            <w:r w:rsidRPr="00D923A4">
              <w:rPr>
                <w:rFonts w:ascii="Times New Roman" w:eastAsia="Times New Roman" w:hAnsi="Times New Roman" w:cs="Times New Roman"/>
                <w:sz w:val="24"/>
                <w:szCs w:val="24"/>
                <w:lang w:val="en-US" w:eastAsia="en-US" w:bidi="ar-SA"/>
              </w:rPr>
              <w:t>-AU-ORD</w:t>
            </w:r>
          </w:p>
        </w:tc>
      </w:tr>
    </w:tbl>
    <w:p w:rsidR="008703FA" w:rsidRPr="00D923A4" w:rsidP="008703FA">
      <w:pPr>
        <w:rPr>
          <w:rFonts w:eastAsia="Times New Roman" w:cs="Times New Roman"/>
          <w:b/>
          <w:szCs w:val="24"/>
        </w:rPr>
      </w:pPr>
    </w:p>
    <w:p w:rsidR="008703FA" w:rsidRPr="00D923A4" w:rsidP="008703FA">
      <w:pPr>
        <w:pBdr>
          <w:top w:val="single" w:sz="4" w:space="1" w:color="auto"/>
          <w:bottom w:val="single" w:sz="4" w:space="1" w:color="auto"/>
        </w:pBdr>
        <w:rPr>
          <w:rFonts w:eastAsia="Times New Roman" w:cs="Times New Roman"/>
          <w:b/>
          <w:szCs w:val="24"/>
        </w:rPr>
      </w:pPr>
    </w:p>
    <w:p w:rsidR="008703FA" w:rsidRPr="00D923A4" w:rsidP="008703FA">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 xml:space="preserve">REPLY </w:t>
      </w:r>
      <w:r w:rsidRPr="00D923A4">
        <w:rPr>
          <w:rFonts w:eastAsia="Times New Roman" w:cs="Times New Roman"/>
          <w:b/>
          <w:szCs w:val="24"/>
        </w:rPr>
        <w:t>COMMENTS</w:t>
      </w:r>
    </w:p>
    <w:p w:rsidR="008703FA" w:rsidRPr="00D923A4" w:rsidP="008703FA">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BY</w:t>
      </w:r>
    </w:p>
    <w:p w:rsidR="008703FA" w:rsidP="008703FA">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ADVOCATES FOR BASIC LEGAL EQUALITY, INC.</w:t>
      </w:r>
      <w:r>
        <w:rPr>
          <w:rFonts w:eastAsia="Times New Roman" w:cs="Times New Roman"/>
          <w:b/>
          <w:szCs w:val="24"/>
        </w:rPr>
        <w:t>,</w:t>
      </w:r>
    </w:p>
    <w:p w:rsidR="008F2D7F" w:rsidP="008703FA">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COALITION ON HOMELESSNESS AND HOUSING IN OHIO,</w:t>
      </w:r>
    </w:p>
    <w:p w:rsidR="00C53595" w:rsidRPr="00D923A4" w:rsidP="008703FA">
      <w:pPr>
        <w:pBdr>
          <w:top w:val="single" w:sz="4" w:space="1" w:color="auto"/>
          <w:bottom w:val="single" w:sz="4" w:space="1" w:color="auto"/>
        </w:pBdr>
        <w:jc w:val="center"/>
        <w:rPr>
          <w:rFonts w:eastAsia="Times New Roman" w:cs="Times New Roman"/>
          <w:b/>
          <w:szCs w:val="24"/>
        </w:rPr>
      </w:pPr>
      <w:r>
        <w:rPr>
          <w:rFonts w:eastAsia="Times New Roman" w:cs="Times New Roman"/>
          <w:b/>
          <w:szCs w:val="24"/>
        </w:rPr>
        <w:t>COMMUNITIES UNITED FOR ACTION,</w:t>
      </w:r>
    </w:p>
    <w:p w:rsidR="008703FA" w:rsidRPr="00D923A4" w:rsidP="008703FA">
      <w:pPr>
        <w:pBdr>
          <w:top w:val="single" w:sz="4" w:space="1" w:color="auto"/>
          <w:bottom w:val="single" w:sz="4" w:space="1" w:color="auto"/>
        </w:pBdr>
        <w:jc w:val="center"/>
        <w:rPr>
          <w:rFonts w:cs="Times New Roman"/>
          <w:b/>
          <w:bCs/>
          <w:szCs w:val="24"/>
        </w:rPr>
      </w:pPr>
      <w:r w:rsidRPr="00D923A4">
        <w:rPr>
          <w:rFonts w:cs="Times New Roman"/>
          <w:b/>
          <w:bCs/>
          <w:szCs w:val="24"/>
        </w:rPr>
        <w:t>THE LEGAL AID SOCIETY OF CLEVELAND</w:t>
      </w:r>
      <w:r>
        <w:rPr>
          <w:rFonts w:cs="Times New Roman"/>
          <w:b/>
          <w:bCs/>
          <w:szCs w:val="24"/>
        </w:rPr>
        <w:t>,</w:t>
      </w:r>
    </w:p>
    <w:p w:rsidR="008703FA" w:rsidRPr="00D923A4" w:rsidP="008703FA">
      <w:pPr>
        <w:pBdr>
          <w:top w:val="single" w:sz="4" w:space="1" w:color="auto"/>
          <w:bottom w:val="single" w:sz="4" w:space="1" w:color="auto"/>
        </w:pBdr>
        <w:jc w:val="center"/>
        <w:rPr>
          <w:rFonts w:cs="Times New Roman"/>
          <w:b/>
          <w:bCs/>
          <w:szCs w:val="24"/>
        </w:rPr>
      </w:pPr>
      <w:r w:rsidRPr="00D923A4">
        <w:rPr>
          <w:rFonts w:cs="Times New Roman"/>
          <w:b/>
          <w:bCs/>
          <w:szCs w:val="24"/>
        </w:rPr>
        <w:t>THE LEGAL AID SOCIETY OF COLUMBUS</w:t>
      </w:r>
      <w:r>
        <w:rPr>
          <w:rFonts w:cs="Times New Roman"/>
          <w:b/>
          <w:bCs/>
          <w:szCs w:val="24"/>
        </w:rPr>
        <w:t>,</w:t>
      </w:r>
    </w:p>
    <w:p w:rsidR="008703FA" w:rsidRPr="00D923A4" w:rsidP="008703FA">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THE OFFICE OF THE OHIO CONSUMERS’ COUNSEL</w:t>
      </w:r>
      <w:r>
        <w:rPr>
          <w:rFonts w:eastAsia="Times New Roman" w:cs="Times New Roman"/>
          <w:b/>
          <w:szCs w:val="24"/>
        </w:rPr>
        <w:t>,</w:t>
      </w:r>
    </w:p>
    <w:p w:rsidR="008703FA" w:rsidRPr="00D923A4" w:rsidP="008703FA">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OHIO POVERTY LAW CENTER</w:t>
      </w:r>
      <w:r>
        <w:rPr>
          <w:rFonts w:eastAsia="Times New Roman" w:cs="Times New Roman"/>
          <w:b/>
          <w:szCs w:val="24"/>
        </w:rPr>
        <w:t>,</w:t>
      </w:r>
    </w:p>
    <w:p w:rsidR="008703FA" w:rsidRPr="00D923A4" w:rsidP="008703FA">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PRO SENIORS, INC.</w:t>
      </w:r>
      <w:r>
        <w:rPr>
          <w:rFonts w:eastAsia="Times New Roman" w:cs="Times New Roman"/>
          <w:b/>
          <w:szCs w:val="24"/>
        </w:rPr>
        <w:t>,</w:t>
      </w:r>
    </w:p>
    <w:p w:rsidR="008703FA" w:rsidRPr="00D923A4" w:rsidP="008703FA">
      <w:pPr>
        <w:pBdr>
          <w:top w:val="single" w:sz="4" w:space="1" w:color="auto"/>
          <w:bottom w:val="single" w:sz="4" w:space="1" w:color="auto"/>
        </w:pBdr>
        <w:jc w:val="center"/>
        <w:rPr>
          <w:rFonts w:cs="Times New Roman"/>
          <w:b/>
          <w:bCs/>
          <w:szCs w:val="24"/>
        </w:rPr>
      </w:pPr>
      <w:r w:rsidRPr="00D923A4">
        <w:rPr>
          <w:rFonts w:cs="Times New Roman"/>
          <w:b/>
          <w:bCs/>
          <w:szCs w:val="24"/>
        </w:rPr>
        <w:t>AND</w:t>
      </w:r>
    </w:p>
    <w:p w:rsidR="008703FA" w:rsidRPr="00D923A4" w:rsidP="008703FA">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SOUTHEASTERN OHIO LEGAL SERVICES</w:t>
      </w:r>
    </w:p>
    <w:p w:rsidR="008703FA" w:rsidRPr="00D923A4" w:rsidP="008703FA">
      <w:pPr>
        <w:pBdr>
          <w:top w:val="single" w:sz="4" w:space="1" w:color="auto"/>
          <w:bottom w:val="single" w:sz="4" w:space="1" w:color="auto"/>
        </w:pBdr>
        <w:rPr>
          <w:rFonts w:eastAsia="Times New Roman" w:cs="Times New Roman"/>
          <w:b/>
          <w:szCs w:val="24"/>
        </w:rPr>
      </w:pPr>
    </w:p>
    <w:p w:rsidR="008703FA" w:rsidRPr="00D923A4" w:rsidP="008703FA">
      <w:pPr>
        <w:pStyle w:val="Heading1"/>
      </w:pPr>
    </w:p>
    <w:p w:rsidR="008703FA" w:rsidRPr="00D923A4" w:rsidP="008703FA">
      <w:pPr>
        <w:pStyle w:val="Heading1"/>
      </w:pPr>
      <w:bookmarkStart w:id="1" w:name="_Toc14093161"/>
      <w:bookmarkStart w:id="2" w:name="_Toc16780410"/>
      <w:r w:rsidRPr="00D923A4">
        <w:t>I.</w:t>
      </w:r>
      <w:r w:rsidRPr="00D923A4">
        <w:tab/>
        <w:t>INTRODUCTION</w:t>
      </w:r>
      <w:bookmarkEnd w:id="1"/>
      <w:bookmarkEnd w:id="2"/>
    </w:p>
    <w:p w:rsidR="008703FA" w:rsidRPr="00D923A4" w:rsidP="008703FA">
      <w:pPr>
        <w:rPr>
          <w:rFonts w:cs="Times New Roman"/>
          <w:szCs w:val="24"/>
        </w:rPr>
      </w:pPr>
    </w:p>
    <w:p w:rsidR="008703FA" w:rsidRPr="00D923A4" w:rsidP="008703FA">
      <w:pPr>
        <w:spacing w:line="480" w:lineRule="auto"/>
        <w:ind w:firstLine="720"/>
        <w:rPr>
          <w:rFonts w:cs="Times New Roman"/>
          <w:szCs w:val="24"/>
        </w:rPr>
      </w:pPr>
      <w:r>
        <w:rPr>
          <w:rFonts w:cs="Times New Roman"/>
          <w:szCs w:val="24"/>
        </w:rPr>
        <w:t>The rules at issue in this proceeding are</w:t>
      </w:r>
      <w:r w:rsidRPr="00D923A4">
        <w:rPr>
          <w:rFonts w:cs="Times New Roman"/>
          <w:szCs w:val="24"/>
        </w:rPr>
        <w:t xml:space="preserve"> </w:t>
      </w:r>
      <w:r>
        <w:rPr>
          <w:rFonts w:cs="Times New Roman"/>
          <w:szCs w:val="24"/>
        </w:rPr>
        <w:t xml:space="preserve">designed to </w:t>
      </w:r>
      <w:r w:rsidRPr="00D923A4">
        <w:rPr>
          <w:rFonts w:cs="Times New Roman"/>
          <w:szCs w:val="24"/>
        </w:rPr>
        <w:t>protect Ohio residential consumers when the</w:t>
      </w:r>
      <w:r>
        <w:rPr>
          <w:rFonts w:cs="Times New Roman"/>
          <w:szCs w:val="24"/>
        </w:rPr>
        <w:t>y</w:t>
      </w:r>
      <w:r w:rsidRPr="00D923A4">
        <w:rPr>
          <w:rFonts w:cs="Times New Roman"/>
          <w:szCs w:val="24"/>
        </w:rPr>
        <w:t xml:space="preserve"> are most vulnerable and at risk:  those instances when they are facing disconnection of gas and/or electric service, most often due to lack of income to pay their full bills. Specifically, the residential credit rules in Ohio Adm.</w:t>
      </w:r>
      <w:r>
        <w:rPr>
          <w:rFonts w:cs="Times New Roman"/>
          <w:szCs w:val="24"/>
        </w:rPr>
        <w:t xml:space="preserve"> </w:t>
      </w:r>
      <w:r w:rsidRPr="00D923A4">
        <w:rPr>
          <w:rFonts w:cs="Times New Roman"/>
          <w:szCs w:val="24"/>
        </w:rPr>
        <w:t>Code Chapter 4901:1-17, the residential disconnection rules in Ohio Adm.</w:t>
      </w:r>
      <w:r>
        <w:rPr>
          <w:rFonts w:cs="Times New Roman"/>
          <w:szCs w:val="24"/>
        </w:rPr>
        <w:t xml:space="preserve"> </w:t>
      </w:r>
      <w:r w:rsidRPr="00D923A4">
        <w:rPr>
          <w:rFonts w:cs="Times New Roman"/>
          <w:szCs w:val="24"/>
        </w:rPr>
        <w:t>Code Chapter 4901:1-18, and the Percentage of Income Payment Plan Plus (“PIPP”) rules in Ohio Adm.</w:t>
      </w:r>
      <w:r>
        <w:rPr>
          <w:rFonts w:cs="Times New Roman"/>
          <w:szCs w:val="24"/>
        </w:rPr>
        <w:t xml:space="preserve"> </w:t>
      </w:r>
      <w:r w:rsidRPr="00D923A4">
        <w:rPr>
          <w:rFonts w:cs="Times New Roman"/>
          <w:szCs w:val="24"/>
        </w:rPr>
        <w:t xml:space="preserve">Code Chapters 4901:1-18 and 122:5-3 are the subject of a mandatory five-year </w:t>
      </w:r>
      <w:r>
        <w:rPr>
          <w:rFonts w:cs="Times New Roman"/>
          <w:szCs w:val="24"/>
        </w:rPr>
        <w:t xml:space="preserve">PUCO rules </w:t>
      </w:r>
      <w:r w:rsidRPr="00D923A4">
        <w:rPr>
          <w:rFonts w:cs="Times New Roman"/>
          <w:szCs w:val="24"/>
        </w:rPr>
        <w:t>review.</w:t>
      </w:r>
      <w:r>
        <w:rPr>
          <w:rStyle w:val="FootnoteReference"/>
          <w:rFonts w:cs="Times New Roman"/>
          <w:szCs w:val="24"/>
        </w:rPr>
        <w:footnoteReference w:id="3"/>
      </w:r>
      <w:r w:rsidRPr="00D923A4">
        <w:rPr>
          <w:rFonts w:cs="Times New Roman"/>
          <w:szCs w:val="24"/>
        </w:rPr>
        <w:t xml:space="preserve">  </w:t>
      </w:r>
      <w:r>
        <w:rPr>
          <w:rFonts w:cs="Times New Roman"/>
          <w:szCs w:val="24"/>
        </w:rPr>
        <w:t>The recommendations submitted by the Consumer Groups</w:t>
      </w:r>
      <w:r>
        <w:rPr>
          <w:rStyle w:val="FootnoteReference"/>
          <w:rFonts w:cs="Times New Roman"/>
          <w:szCs w:val="24"/>
        </w:rPr>
        <w:footnoteReference w:id="4"/>
      </w:r>
      <w:r>
        <w:rPr>
          <w:rFonts w:cs="Times New Roman"/>
          <w:szCs w:val="24"/>
        </w:rPr>
        <w:t xml:space="preserve"> address necessary and appropriate changes to the rules.  </w:t>
      </w:r>
    </w:p>
    <w:p w:rsidR="008F2D7F" w:rsidP="008703FA">
      <w:pPr>
        <w:spacing w:line="480" w:lineRule="auto"/>
        <w:ind w:firstLine="720"/>
        <w:rPr>
          <w:rFonts w:cs="Times New Roman"/>
          <w:szCs w:val="24"/>
        </w:rPr>
        <w:sectPr w:rsidSect="008703FA">
          <w:footerReference w:type="first" r:id="rId13"/>
          <w:pgSz w:w="12240" w:h="15840"/>
          <w:pgMar w:top="1440" w:right="1800" w:bottom="1440" w:left="1800" w:header="720" w:footer="720" w:gutter="0"/>
          <w:pgNumType w:start="1"/>
          <w:cols w:space="720"/>
          <w:titlePg/>
          <w:docGrid w:linePitch="360"/>
        </w:sectPr>
      </w:pPr>
      <w:r>
        <w:rPr>
          <w:rFonts w:cs="Times New Roman"/>
          <w:szCs w:val="24"/>
        </w:rPr>
        <w:t>The recommended changes to these rules identified in Consumer Groups’ comments should be adopted as they protect vulnerable consumers.</w:t>
      </w:r>
      <w:r w:rsidRPr="00D923A4">
        <w:rPr>
          <w:rFonts w:cs="Times New Roman"/>
          <w:szCs w:val="24"/>
        </w:rPr>
        <w:t xml:space="preserve"> </w:t>
      </w:r>
      <w:r>
        <w:rPr>
          <w:rFonts w:cs="Times New Roman"/>
          <w:szCs w:val="24"/>
        </w:rPr>
        <w:t>Comments were filed by Ohio Power Company (“AEP Ohio”), Ohio Edison Company, the Cleveland Electric Illuminating Company, and the Toledo Edison Company (collectively, “FirstEnergy”), the Dayton Power &amp; Light Company (“DP&amp;L”), the East Ohio Gas Company d/b/a Dominion Energy Ohio and Vectren Energy Delivery of Ohio, Inc. (“DEO/VEDO”), Duke Energy Ohio, Inc. (“Duke”), Columbia Gas of Ohio, Inc. (“Columbia”), Interstate Gas Supply, Inc. (“IGS”), Ohio Partners for Affordable Energy (“OPAE”), The Breathing Association, and the Citizens Coalition. The Consumer Groups’ Reply Comments respond to the recommendations made in these other filings that impact consumer protections.</w:t>
      </w:r>
      <w:r>
        <w:rPr>
          <w:rStyle w:val="FootnoteReference"/>
          <w:rFonts w:cs="Times New Roman"/>
          <w:szCs w:val="24"/>
        </w:rPr>
        <w:footnoteReference w:id="5"/>
      </w:r>
    </w:p>
    <w:p w:rsidR="008703FA" w:rsidRPr="00D923A4" w:rsidP="008703FA">
      <w:pPr>
        <w:pStyle w:val="Heading1"/>
      </w:pPr>
      <w:bookmarkStart w:id="3" w:name="_Toc14093162"/>
      <w:bookmarkStart w:id="4" w:name="_Toc16780411"/>
      <w:r w:rsidRPr="00D923A4">
        <w:t>II.</w:t>
      </w:r>
      <w:r w:rsidRPr="00D923A4">
        <w:tab/>
      </w:r>
      <w:r>
        <w:t xml:space="preserve">RESPONSES TO </w:t>
      </w:r>
      <w:r w:rsidRPr="00D923A4">
        <w:t>SECTION ONE RECOMMENDATIONS (PIPP Plus rules and non-PIPP Plus rules CONTAINED IN OHIO ADM. CoDE Chapters 4901:1-18 AND 122:5-3)</w:t>
      </w:r>
      <w:r>
        <w:t xml:space="preserve"> FOR THE PROTECTION OF AT-RISK CONSUMERS</w:t>
      </w:r>
      <w:r w:rsidRPr="00D923A4">
        <w:t>.</w:t>
      </w:r>
      <w:bookmarkEnd w:id="3"/>
      <w:bookmarkEnd w:id="4"/>
    </w:p>
    <w:p w:rsidR="008703FA" w:rsidRPr="00D923A4" w:rsidP="008703FA">
      <w:pPr>
        <w:rPr>
          <w:rFonts w:cs="Times New Roman"/>
          <w:szCs w:val="24"/>
        </w:rPr>
      </w:pPr>
    </w:p>
    <w:p w:rsidR="008703FA" w:rsidRPr="00D923A4" w:rsidP="008703FA">
      <w:pPr>
        <w:pStyle w:val="Heading2"/>
      </w:pPr>
      <w:bookmarkStart w:id="5" w:name="_Toc14093163"/>
      <w:bookmarkStart w:id="6" w:name="_Toc16780412"/>
      <w:r>
        <w:t>A.</w:t>
      </w:r>
      <w:r>
        <w:tab/>
        <w:t xml:space="preserve">Consumer Protection </w:t>
      </w:r>
      <w:r w:rsidRPr="00D923A4">
        <w:t>Recommendations</w:t>
      </w:r>
      <w:bookmarkEnd w:id="5"/>
      <w:r>
        <w:t xml:space="preserve"> for the PIPP Rules</w:t>
      </w:r>
      <w:r w:rsidRPr="00D923A4">
        <w:t>.</w:t>
      </w:r>
      <w:bookmarkEnd w:id="6"/>
    </w:p>
    <w:p w:rsidR="008703FA" w:rsidRPr="00D923A4" w:rsidP="008703FA">
      <w:pPr>
        <w:pStyle w:val="Heading3"/>
      </w:pPr>
      <w:bookmarkStart w:id="7" w:name="_Toc16780413"/>
      <w:r>
        <w:t>1.</w:t>
      </w:r>
      <w:r>
        <w:tab/>
        <w:t>Both the Public Utilities Commission of Ohio (“PUCO”) and the Ohio Development Services Agency (“ODSA”) should standardize the rules under Ohio Adm. Code 4901:1-18-12 and 122:5-03 related to payments that customers must make to re-enroll on PIPP when customers missed PIPP payments during those months that customers were actively enrolled in PIPP.</w:t>
      </w:r>
      <w:bookmarkEnd w:id="7"/>
    </w:p>
    <w:p w:rsidR="005E7CF3" w:rsidP="008703FA">
      <w:pPr>
        <w:spacing w:line="480" w:lineRule="auto"/>
        <w:ind w:firstLine="720"/>
        <w:rPr>
          <w:rFonts w:cs="Times New Roman"/>
          <w:szCs w:val="24"/>
        </w:rPr>
      </w:pPr>
      <w:r>
        <w:rPr>
          <w:rFonts w:cs="Times New Roman"/>
          <w:szCs w:val="24"/>
        </w:rPr>
        <w:t>The Percentage of Income Payment Plan (“PIPP”) Plus is the essential link for having natural gas and electric services for many low-income Ohioans. The vast majority of PIPP customers have household incomes that are well below the federal poverty guidelines.</w:t>
      </w:r>
      <w:r>
        <w:rPr>
          <w:rStyle w:val="FootnoteReference"/>
          <w:rFonts w:cs="Times New Roman"/>
          <w:szCs w:val="24"/>
        </w:rPr>
        <w:footnoteReference w:id="6"/>
      </w:r>
      <w:r>
        <w:rPr>
          <w:rFonts w:cs="Times New Roman"/>
          <w:szCs w:val="24"/>
        </w:rPr>
        <w:t xml:space="preserve"> In fact, most participants have household incomes that are below 75% of the poverty guidelines.  For a family of three, this means that the annual household income is below $21,300.</w:t>
      </w:r>
      <w:r>
        <w:rPr>
          <w:rStyle w:val="FootnoteReference"/>
          <w:rFonts w:cs="Times New Roman"/>
          <w:szCs w:val="24"/>
        </w:rPr>
        <w:footnoteReference w:id="7"/>
      </w:r>
      <w:r>
        <w:rPr>
          <w:rFonts w:cs="Times New Roman"/>
          <w:szCs w:val="24"/>
        </w:rPr>
        <w:t xml:space="preserve">  Almost 14.5% of Ohio homes are “food insecure,” meaning that there is insufficient daily access to food for maintaining a safe and healthy environment in the home.</w:t>
      </w:r>
      <w:r>
        <w:rPr>
          <w:rStyle w:val="FootnoteReference"/>
          <w:rFonts w:cs="Times New Roman"/>
          <w:szCs w:val="24"/>
        </w:rPr>
        <w:footnoteReference w:id="8"/>
      </w:r>
      <w:r>
        <w:rPr>
          <w:rFonts w:cs="Times New Roman"/>
          <w:szCs w:val="24"/>
        </w:rPr>
        <w:t xml:space="preserve">  The protection of essential gas and electric services for the Ohioans who are living in these circumstances is extremely important.  </w:t>
      </w:r>
    </w:p>
    <w:p w:rsidR="008703FA" w:rsidP="008703FA">
      <w:pPr>
        <w:spacing w:line="480" w:lineRule="auto"/>
        <w:ind w:firstLine="720"/>
        <w:rPr>
          <w:rFonts w:cs="Times New Roman"/>
          <w:szCs w:val="24"/>
        </w:rPr>
      </w:pPr>
      <w:r>
        <w:rPr>
          <w:rFonts w:cs="Times New Roman"/>
          <w:szCs w:val="24"/>
        </w:rPr>
        <w:t xml:space="preserve">In initial comments, the Consumer Groups recommended specific changes in reverification dates, requirements for missed PIPP payments, and access to post PIPP benefits to help customers more effectively use the PIPP program.  One of the major impediments to customers being able to stay on the PIPP program is the requirement to make up missed PIPP payments.    </w:t>
      </w:r>
    </w:p>
    <w:p w:rsidR="005E7CF3" w:rsidP="008703FA">
      <w:pPr>
        <w:spacing w:line="480" w:lineRule="auto"/>
        <w:ind w:firstLine="720"/>
        <w:rPr>
          <w:rFonts w:cs="Times New Roman"/>
          <w:szCs w:val="24"/>
        </w:rPr>
      </w:pPr>
      <w:r>
        <w:rPr>
          <w:rFonts w:cs="Times New Roman"/>
          <w:szCs w:val="24"/>
        </w:rPr>
        <w:t>Under the proposed ODSA rules, customers are responsible for making missed PIPP payments for those months that customers were actively enrolled in PIPP.  In contrast, under the PUCO’s more restrictive proposed rules, customers are responsible for making PIPP payments even during months that they are disconnected or are using medical certificates to prevent disconnection.  In this regard the Consumer Groups recommended that customers only be responsible for making missed PIPP payments during those months that the customer was actively enrolled on PIPP in order to re-enroll on the program.</w:t>
      </w:r>
      <w:r>
        <w:rPr>
          <w:rStyle w:val="FootnoteReference"/>
          <w:rFonts w:cs="Times New Roman"/>
          <w:szCs w:val="24"/>
        </w:rPr>
        <w:footnoteReference w:id="9"/>
      </w:r>
      <w:r w:rsidRPr="00DF1B49">
        <w:rPr>
          <w:rFonts w:cs="Times New Roman"/>
          <w:szCs w:val="24"/>
        </w:rPr>
        <w:t xml:space="preserve"> </w:t>
      </w:r>
      <w:r>
        <w:rPr>
          <w:rFonts w:cs="Times New Roman"/>
          <w:szCs w:val="24"/>
        </w:rPr>
        <w:t xml:space="preserve"> FirstEnergy also suggested that customers should be able to re-enroll on PIPP by making missed PIPP payments for months that the customer was actively enrolled on PIPP.</w:t>
      </w:r>
      <w:r>
        <w:rPr>
          <w:rStyle w:val="FootnoteReference"/>
          <w:rFonts w:cs="Times New Roman"/>
          <w:szCs w:val="24"/>
        </w:rPr>
        <w:footnoteReference w:id="10"/>
      </w:r>
      <w:r>
        <w:rPr>
          <w:rFonts w:cs="Times New Roman"/>
          <w:szCs w:val="24"/>
        </w:rPr>
        <w:t xml:space="preserve">  </w:t>
      </w:r>
    </w:p>
    <w:p w:rsidR="008703FA" w:rsidP="008703FA">
      <w:pPr>
        <w:spacing w:line="480" w:lineRule="auto"/>
        <w:ind w:firstLine="720"/>
        <w:rPr>
          <w:rFonts w:cs="Times New Roman"/>
          <w:szCs w:val="24"/>
        </w:rPr>
      </w:pPr>
      <w:r>
        <w:rPr>
          <w:rFonts w:cs="Times New Roman"/>
          <w:szCs w:val="24"/>
        </w:rPr>
        <w:t>In contrast, Duke proposed limiting the number of months that customers must pay to re-enroll on PIPP to 12 months as opposed to indefinitely.</w:t>
      </w:r>
      <w:r>
        <w:rPr>
          <w:rStyle w:val="FootnoteReference"/>
          <w:rFonts w:cs="Times New Roman"/>
          <w:szCs w:val="24"/>
        </w:rPr>
        <w:footnoteReference w:id="11"/>
      </w:r>
      <w:r>
        <w:rPr>
          <w:rFonts w:cs="Times New Roman"/>
          <w:szCs w:val="24"/>
        </w:rPr>
        <w:t xml:space="preserve">  DP&amp;L commented that ODSA should continue requiring customers to pay missed PIPP payments even for months that customers are not actively enrolled on PIPP.</w:t>
      </w:r>
      <w:r>
        <w:rPr>
          <w:rStyle w:val="FootnoteReference"/>
          <w:rFonts w:cs="Times New Roman"/>
          <w:szCs w:val="24"/>
        </w:rPr>
        <w:footnoteReference w:id="12"/>
      </w:r>
      <w:r>
        <w:rPr>
          <w:rFonts w:cs="Times New Roman"/>
          <w:szCs w:val="24"/>
        </w:rPr>
        <w:t xml:space="preserve"> FirstEnergy further recommended that any monthly charges that are owed during months that the customer was not enrolled in PIPP could be added to the customer arrearages.</w:t>
      </w:r>
      <w:r>
        <w:rPr>
          <w:rStyle w:val="FootnoteReference"/>
          <w:rFonts w:cs="Times New Roman"/>
          <w:szCs w:val="24"/>
        </w:rPr>
        <w:footnoteReference w:id="13"/>
      </w:r>
      <w:r>
        <w:rPr>
          <w:rFonts w:cs="Times New Roman"/>
          <w:szCs w:val="24"/>
        </w:rPr>
        <w:t xml:space="preserve">  This is similar to the pre-PIPP arrearages that are currently tracked and collected through the Universal Service Fund (“USF”). The Citizens Coalition recommended that missed PIPP payments be limited to an amount not to exceed $100.</w:t>
      </w:r>
      <w:r>
        <w:rPr>
          <w:rStyle w:val="FootnoteReference"/>
          <w:rFonts w:cs="Times New Roman"/>
          <w:szCs w:val="24"/>
        </w:rPr>
        <w:footnoteReference w:id="14"/>
      </w:r>
      <w:r>
        <w:rPr>
          <w:rFonts w:cs="Times New Roman"/>
          <w:szCs w:val="24"/>
        </w:rPr>
        <w:t xml:space="preserve"> </w:t>
      </w:r>
    </w:p>
    <w:p w:rsidR="008703FA" w:rsidP="008703FA">
      <w:pPr>
        <w:spacing w:line="480" w:lineRule="auto"/>
        <w:ind w:firstLine="720"/>
        <w:rPr>
          <w:rFonts w:cs="Times New Roman"/>
          <w:szCs w:val="24"/>
        </w:rPr>
      </w:pPr>
      <w:r>
        <w:rPr>
          <w:rFonts w:cs="Times New Roman"/>
          <w:szCs w:val="24"/>
        </w:rPr>
        <w:t>Customers should only be responsible for paying missed monthly PIPP installments for months that customers are actively enrolled on PIPP in order to re-enroll on PIPP.</w:t>
      </w:r>
      <w:r>
        <w:rPr>
          <w:rStyle w:val="FootnoteReference"/>
          <w:rFonts w:cs="Times New Roman"/>
          <w:szCs w:val="24"/>
        </w:rPr>
        <w:footnoteReference w:id="15"/>
      </w:r>
      <w:r>
        <w:rPr>
          <w:rFonts w:cs="Times New Roman"/>
          <w:szCs w:val="24"/>
        </w:rPr>
        <w:t xml:space="preserve">  The balances that can accrue for making missed PIPP payments during months that customers are not actively enrolled on PIPP can be cost prohibitive for many customers (and social service agencies that support customers) to be able to re-enroll on PIPP. Yet PIPP is the only viable payment plan option for many low-income customers to maintain utility service. There are many benefits for both the PUCO and ODSA to standardize gas and electric PIPP rules so that customers fully understand their payment requirements under the program. Consumer groups recommend that the only payments required from customers to re-enroll on gas or electric PIPP are the monthly PIPP installments that were not paid while the customer was actively enrolled on PIPP.</w:t>
      </w:r>
    </w:p>
    <w:p w:rsidR="008703FA" w:rsidP="008703FA">
      <w:pPr>
        <w:pStyle w:val="Heading2"/>
      </w:pPr>
      <w:bookmarkStart w:id="8" w:name="_Toc16780414"/>
      <w:r>
        <w:t>B.</w:t>
      </w:r>
      <w:r>
        <w:tab/>
        <w:t>Consumer Protection Recommendations for the ODSA PIPP Rules.</w:t>
      </w:r>
      <w:bookmarkEnd w:id="8"/>
    </w:p>
    <w:p w:rsidR="008703FA" w:rsidRPr="00D923A4" w:rsidP="008703FA">
      <w:pPr>
        <w:pStyle w:val="Heading3"/>
      </w:pPr>
      <w:bookmarkStart w:id="9" w:name="_Toc16780415"/>
      <w:r>
        <w:t>1.</w:t>
      </w:r>
      <w:r>
        <w:tab/>
        <w:t>Under Ohio Adm. Code 122:5-3-05, ODSA should explicitly limit the pre-PIPP arrearages that can be paid through the USF to rates that do not exceed the utility’s Standard Service Offer (“SSO”).</w:t>
      </w:r>
      <w:bookmarkEnd w:id="9"/>
    </w:p>
    <w:p w:rsidR="008703FA" w:rsidP="008703FA">
      <w:pPr>
        <w:spacing w:line="480" w:lineRule="auto"/>
        <w:ind w:firstLine="720"/>
        <w:rPr>
          <w:rFonts w:cs="Times New Roman"/>
          <w:szCs w:val="24"/>
        </w:rPr>
      </w:pPr>
      <w:r>
        <w:rPr>
          <w:rFonts w:cs="Times New Roman"/>
          <w:szCs w:val="24"/>
        </w:rPr>
        <w:t>IGS commented that suppliers who perform supplier consolidated billing should be able to collect pre-PIPP arrearages through the USF.</w:t>
      </w:r>
      <w:r>
        <w:rPr>
          <w:rStyle w:val="FootnoteReference"/>
          <w:rFonts w:cs="Times New Roman"/>
          <w:szCs w:val="24"/>
        </w:rPr>
        <w:footnoteReference w:id="16"/>
      </w:r>
      <w:r>
        <w:rPr>
          <w:rFonts w:cs="Times New Roman"/>
          <w:szCs w:val="24"/>
        </w:rPr>
        <w:t xml:space="preserve">  Supplier consolidated billing involves marketers who bill customers for both marketer charges and the utility charges on a single monthly consolidated bill. While supplier consolidated billing is limited today to a few relatively small pilot programs, the practice could become more widespread in the future.  Because marketer rates are not regulated by the PUCO, these rates can be substantially higher than the SSO rate that is charged by the electric utilities. And the high marketer rates could increase the costs of the USF above what it would otherwise be if customers were being charged the utility SSO rates. </w:t>
      </w:r>
    </w:p>
    <w:p w:rsidR="008703FA" w:rsidRPr="00ED5313" w:rsidP="008703FA">
      <w:pPr>
        <w:spacing w:line="480" w:lineRule="auto"/>
        <w:ind w:firstLine="720"/>
        <w:rPr>
          <w:rFonts w:cs="Times New Roman"/>
          <w:szCs w:val="24"/>
        </w:rPr>
      </w:pPr>
      <w:r>
        <w:rPr>
          <w:rFonts w:cs="Times New Roman"/>
          <w:szCs w:val="24"/>
        </w:rPr>
        <w:t xml:space="preserve">To avoid potential future problems where pre-PIPP arrearages are driving up the costs of the USF (due to high marketer rates), ODSA should modify Ohio Adm. Code 122:5-3-05 to limit pre-PIPP arrearages that can be collected through the USF. The pre-PIPP arrearages that should be eligible for collection through the USF should not exceed what the charges would be under the utility’s SSO.        </w:t>
      </w:r>
    </w:p>
    <w:p w:rsidR="008703FA" w:rsidP="008703FA">
      <w:pPr>
        <w:pStyle w:val="Heading2"/>
      </w:pPr>
      <w:bookmarkStart w:id="10" w:name="_Toc16780416"/>
      <w:r>
        <w:t>C.</w:t>
      </w:r>
      <w:r>
        <w:tab/>
        <w:t>Consumer Protection recommendations for the Non-PIPP PUCO rules (Ohio Adm. Code 4901:1-18).</w:t>
      </w:r>
      <w:bookmarkEnd w:id="10"/>
    </w:p>
    <w:p w:rsidR="008703FA" w:rsidRPr="00D923A4" w:rsidP="008703FA">
      <w:pPr>
        <w:pStyle w:val="Heading3"/>
      </w:pPr>
      <w:bookmarkStart w:id="11" w:name="_Toc16780417"/>
      <w:r>
        <w:t>1.</w:t>
      </w:r>
      <w:r>
        <w:tab/>
      </w:r>
      <w:r w:rsidRPr="00D923A4">
        <w:t xml:space="preserve">The PUCO should </w:t>
      </w:r>
      <w:r>
        <w:t xml:space="preserve">reject AEP Ohio’s proposal to modify Ohio Adm. Code 4901:1-18-02(D) to require customers who perform </w:t>
      </w:r>
      <w:r w:rsidRPr="00AA7E11">
        <w:rPr>
          <w:i/>
          <w:iCs/>
        </w:rPr>
        <w:t>any</w:t>
      </w:r>
      <w:r>
        <w:t xml:space="preserve"> electronic transactions or receive </w:t>
      </w:r>
      <w:r w:rsidRPr="00C90494">
        <w:rPr>
          <w:i/>
          <w:iCs/>
        </w:rPr>
        <w:t>any</w:t>
      </w:r>
      <w:r>
        <w:t xml:space="preserve"> electronic notices to perform </w:t>
      </w:r>
      <w:r w:rsidRPr="00AA7E11">
        <w:rPr>
          <w:i/>
          <w:iCs/>
        </w:rPr>
        <w:t>all</w:t>
      </w:r>
      <w:r>
        <w:t xml:space="preserve"> transactions and receive </w:t>
      </w:r>
      <w:r w:rsidRPr="00C90494">
        <w:rPr>
          <w:i/>
          <w:iCs/>
        </w:rPr>
        <w:t>all</w:t>
      </w:r>
      <w:r>
        <w:t xml:space="preserve"> transactions electronically.</w:t>
      </w:r>
      <w:bookmarkEnd w:id="11"/>
      <w:r w:rsidRPr="00D923A4">
        <w:t xml:space="preserve"> </w:t>
      </w:r>
    </w:p>
    <w:p w:rsidR="008703FA" w:rsidRPr="00ED5313" w:rsidP="008703FA">
      <w:pPr>
        <w:spacing w:line="480" w:lineRule="auto"/>
        <w:ind w:firstLine="720"/>
        <w:rPr>
          <w:rFonts w:cs="Times New Roman"/>
          <w:szCs w:val="24"/>
        </w:rPr>
      </w:pPr>
      <w:r w:rsidRPr="00ED5313">
        <w:rPr>
          <w:rFonts w:cs="Times New Roman"/>
          <w:szCs w:val="24"/>
        </w:rPr>
        <w:t xml:space="preserve">Ohio Adm. Code 4901:1-18-02(D) enables customers and a utility company to agree on having certain transactions and notices (including disconnection notices) provided electronically.  AEP Ohio has proposed amending the rule such that if </w:t>
      </w:r>
      <w:r>
        <w:rPr>
          <w:rFonts w:cs="Times New Roman"/>
          <w:szCs w:val="24"/>
        </w:rPr>
        <w:t xml:space="preserve">a </w:t>
      </w:r>
      <w:r w:rsidRPr="00ED5313">
        <w:rPr>
          <w:rFonts w:cs="Times New Roman"/>
          <w:szCs w:val="24"/>
        </w:rPr>
        <w:t>customer agree</w:t>
      </w:r>
      <w:r>
        <w:rPr>
          <w:rFonts w:cs="Times New Roman"/>
          <w:szCs w:val="24"/>
        </w:rPr>
        <w:t>s</w:t>
      </w:r>
      <w:r w:rsidRPr="00ED5313">
        <w:rPr>
          <w:rFonts w:cs="Times New Roman"/>
          <w:szCs w:val="24"/>
        </w:rPr>
        <w:t xml:space="preserve"> to receive </w:t>
      </w:r>
      <w:r w:rsidRPr="00C90494">
        <w:rPr>
          <w:rFonts w:cs="Times New Roman"/>
          <w:i/>
          <w:iCs/>
          <w:szCs w:val="24"/>
        </w:rPr>
        <w:t>any</w:t>
      </w:r>
      <w:r w:rsidRPr="00ED5313">
        <w:rPr>
          <w:rFonts w:cs="Times New Roman"/>
          <w:szCs w:val="24"/>
        </w:rPr>
        <w:t xml:space="preserve"> transactions or notices electronically,</w:t>
      </w:r>
      <w:r w:rsidRPr="00ED5313">
        <w:rPr>
          <w:rFonts w:cs="Times New Roman"/>
          <w:b/>
          <w:bCs/>
          <w:szCs w:val="24"/>
        </w:rPr>
        <w:t xml:space="preserve"> </w:t>
      </w:r>
      <w:r w:rsidRPr="00C90494">
        <w:rPr>
          <w:rFonts w:cs="Times New Roman"/>
          <w:szCs w:val="24"/>
        </w:rPr>
        <w:t>then</w:t>
      </w:r>
      <w:r>
        <w:rPr>
          <w:rFonts w:cs="Times New Roman"/>
          <w:szCs w:val="24"/>
        </w:rPr>
        <w:t xml:space="preserve"> </w:t>
      </w:r>
      <w:r w:rsidRPr="00C90494">
        <w:rPr>
          <w:rFonts w:cs="Times New Roman"/>
          <w:i/>
          <w:iCs/>
          <w:szCs w:val="24"/>
        </w:rPr>
        <w:t xml:space="preserve">all </w:t>
      </w:r>
      <w:r w:rsidRPr="00ED5313">
        <w:rPr>
          <w:rFonts w:cs="Times New Roman"/>
          <w:szCs w:val="24"/>
        </w:rPr>
        <w:t xml:space="preserve">transactions and notices </w:t>
      </w:r>
      <w:r>
        <w:rPr>
          <w:rFonts w:cs="Times New Roman"/>
          <w:szCs w:val="24"/>
        </w:rPr>
        <w:t xml:space="preserve">for that customer must </w:t>
      </w:r>
      <w:r w:rsidRPr="00ED5313">
        <w:rPr>
          <w:rFonts w:cs="Times New Roman"/>
          <w:szCs w:val="24"/>
        </w:rPr>
        <w:t>be provided electronically.</w:t>
      </w:r>
      <w:r>
        <w:rPr>
          <w:rStyle w:val="FootnoteReference"/>
          <w:rFonts w:cs="Times New Roman"/>
          <w:szCs w:val="24"/>
        </w:rPr>
        <w:footnoteReference w:id="17"/>
      </w:r>
      <w:r w:rsidRPr="00ED5313">
        <w:rPr>
          <w:rFonts w:cs="Times New Roman"/>
          <w:szCs w:val="24"/>
        </w:rPr>
        <w:t xml:space="preserve">  AEP Ohio</w:t>
      </w:r>
      <w:r>
        <w:rPr>
          <w:rFonts w:cs="Times New Roman"/>
          <w:szCs w:val="24"/>
        </w:rPr>
        <w:t>’s</w:t>
      </w:r>
      <w:r w:rsidRPr="00ED5313">
        <w:rPr>
          <w:rFonts w:cs="Times New Roman"/>
          <w:szCs w:val="24"/>
        </w:rPr>
        <w:t xml:space="preserve"> proposal is overly broad and should be rejected by the PUCO</w:t>
      </w:r>
      <w:r>
        <w:rPr>
          <w:rFonts w:cs="Times New Roman"/>
          <w:szCs w:val="24"/>
        </w:rPr>
        <w:t xml:space="preserve"> because it places customers at risk for not receiving important notices and other information about their electric service. </w:t>
      </w:r>
      <w:r w:rsidRPr="00ED5313">
        <w:rPr>
          <w:rFonts w:cs="Times New Roman"/>
          <w:szCs w:val="24"/>
        </w:rPr>
        <w:t xml:space="preserve">In addition, the PUCO should reexamine the effectiveness of permitting disconnection notices to be provided electronically. </w:t>
      </w:r>
    </w:p>
    <w:p w:rsidR="008703FA" w:rsidRPr="00ED5313" w:rsidP="008703FA">
      <w:pPr>
        <w:spacing w:line="480" w:lineRule="auto"/>
        <w:ind w:firstLine="720"/>
        <w:rPr>
          <w:rFonts w:cs="Times New Roman"/>
          <w:szCs w:val="24"/>
        </w:rPr>
      </w:pPr>
      <w:r>
        <w:rPr>
          <w:rFonts w:cs="Times New Roman"/>
          <w:szCs w:val="24"/>
        </w:rPr>
        <w:t>Under</w:t>
      </w:r>
      <w:r w:rsidRPr="00ED5313">
        <w:rPr>
          <w:rFonts w:cs="Times New Roman"/>
          <w:szCs w:val="24"/>
        </w:rPr>
        <w:t xml:space="preserve"> AEP Ohio</w:t>
      </w:r>
      <w:r>
        <w:rPr>
          <w:rFonts w:cs="Times New Roman"/>
          <w:szCs w:val="24"/>
        </w:rPr>
        <w:t>’s</w:t>
      </w:r>
      <w:r w:rsidRPr="00ED5313">
        <w:rPr>
          <w:rFonts w:cs="Times New Roman"/>
          <w:szCs w:val="24"/>
        </w:rPr>
        <w:t xml:space="preserve"> proposal, customers who </w:t>
      </w:r>
      <w:r>
        <w:rPr>
          <w:rFonts w:cs="Times New Roman"/>
          <w:szCs w:val="24"/>
        </w:rPr>
        <w:t xml:space="preserve">either </w:t>
      </w:r>
      <w:r w:rsidRPr="00ED5313">
        <w:rPr>
          <w:rFonts w:cs="Times New Roman"/>
          <w:szCs w:val="24"/>
        </w:rPr>
        <w:t xml:space="preserve">receive or pay their monthly electric bills electronically would forgo their rights to have </w:t>
      </w:r>
      <w:r>
        <w:rPr>
          <w:rFonts w:cs="Times New Roman"/>
          <w:szCs w:val="24"/>
        </w:rPr>
        <w:t xml:space="preserve">any </w:t>
      </w:r>
      <w:r w:rsidRPr="00ED5313">
        <w:rPr>
          <w:rFonts w:cs="Times New Roman"/>
          <w:szCs w:val="24"/>
        </w:rPr>
        <w:t>transactions</w:t>
      </w:r>
      <w:r>
        <w:rPr>
          <w:rFonts w:cs="Times New Roman"/>
          <w:szCs w:val="24"/>
        </w:rPr>
        <w:t>,</w:t>
      </w:r>
      <w:r w:rsidRPr="00ED5313">
        <w:rPr>
          <w:rFonts w:cs="Times New Roman"/>
          <w:szCs w:val="24"/>
        </w:rPr>
        <w:t xml:space="preserve"> or to receive any notices from the </w:t>
      </w:r>
      <w:r>
        <w:rPr>
          <w:rFonts w:cs="Times New Roman"/>
          <w:szCs w:val="24"/>
        </w:rPr>
        <w:t>u</w:t>
      </w:r>
      <w:r w:rsidRPr="00ED5313">
        <w:rPr>
          <w:rFonts w:cs="Times New Roman"/>
          <w:szCs w:val="24"/>
        </w:rPr>
        <w:t>tility</w:t>
      </w:r>
      <w:r>
        <w:rPr>
          <w:rFonts w:cs="Times New Roman"/>
          <w:szCs w:val="24"/>
        </w:rPr>
        <w:t>,</w:t>
      </w:r>
      <w:r w:rsidRPr="00ED5313">
        <w:rPr>
          <w:rFonts w:cs="Times New Roman"/>
          <w:szCs w:val="24"/>
        </w:rPr>
        <w:t xml:space="preserve"> in any form other than electronic.  This is problematic in situations where customers may not have access to e-mail and other electronic means for receiving important notices pertaining to their utility services. For example, customers who are behind in their electric payments </w:t>
      </w:r>
      <w:r>
        <w:rPr>
          <w:rFonts w:cs="Times New Roman"/>
          <w:szCs w:val="24"/>
        </w:rPr>
        <w:t xml:space="preserve">may </w:t>
      </w:r>
      <w:r w:rsidRPr="00ED5313">
        <w:rPr>
          <w:rFonts w:cs="Times New Roman"/>
          <w:szCs w:val="24"/>
        </w:rPr>
        <w:t>have likely lost access to cable, internet</w:t>
      </w:r>
      <w:r>
        <w:rPr>
          <w:rFonts w:cs="Times New Roman"/>
          <w:szCs w:val="24"/>
        </w:rPr>
        <w:t>,</w:t>
      </w:r>
      <w:r w:rsidRPr="00ED5313">
        <w:rPr>
          <w:rFonts w:cs="Times New Roman"/>
          <w:szCs w:val="24"/>
        </w:rPr>
        <w:t xml:space="preserve"> and cellular services and may be unable to </w:t>
      </w:r>
      <w:r>
        <w:rPr>
          <w:rFonts w:cs="Times New Roman"/>
          <w:szCs w:val="24"/>
        </w:rPr>
        <w:t xml:space="preserve">electronically </w:t>
      </w:r>
      <w:r w:rsidRPr="00ED5313">
        <w:rPr>
          <w:rFonts w:cs="Times New Roman"/>
          <w:szCs w:val="24"/>
        </w:rPr>
        <w:t xml:space="preserve">receive information that is important to their utility service(s).  </w:t>
      </w:r>
      <w:r>
        <w:rPr>
          <w:rFonts w:cs="Times New Roman"/>
          <w:szCs w:val="24"/>
        </w:rPr>
        <w:t>Under AEP’s proposal, t</w:t>
      </w:r>
      <w:r w:rsidRPr="00ED5313">
        <w:rPr>
          <w:rFonts w:cs="Times New Roman"/>
          <w:szCs w:val="24"/>
        </w:rPr>
        <w:t xml:space="preserve">his </w:t>
      </w:r>
      <w:r>
        <w:rPr>
          <w:rFonts w:cs="Times New Roman"/>
          <w:szCs w:val="24"/>
        </w:rPr>
        <w:t xml:space="preserve">would </w:t>
      </w:r>
      <w:r w:rsidRPr="00ED5313">
        <w:rPr>
          <w:rFonts w:cs="Times New Roman"/>
          <w:szCs w:val="24"/>
        </w:rPr>
        <w:t xml:space="preserve">include disconnection notices, additional winter disconnection notices, personal notices on the day services are being disconnected, landlord/tenant notices, final bills, and a host of other important notices impacting customer rights and responsibilities.  </w:t>
      </w:r>
    </w:p>
    <w:p w:rsidR="008703FA" w:rsidRPr="00ED5313" w:rsidP="008703FA">
      <w:pPr>
        <w:spacing w:line="480" w:lineRule="auto"/>
        <w:ind w:firstLine="720"/>
        <w:rPr>
          <w:rFonts w:cs="Times New Roman"/>
          <w:szCs w:val="24"/>
        </w:rPr>
      </w:pPr>
      <w:r w:rsidRPr="00ED5313">
        <w:rPr>
          <w:rFonts w:cs="Times New Roman"/>
          <w:szCs w:val="24"/>
        </w:rPr>
        <w:t>Customers should have the right to decide which transactions and notices (if any) they receive electronic</w:t>
      </w:r>
      <w:r>
        <w:rPr>
          <w:rFonts w:cs="Times New Roman"/>
          <w:szCs w:val="24"/>
        </w:rPr>
        <w:t>al</w:t>
      </w:r>
      <w:r w:rsidRPr="00ED5313">
        <w:rPr>
          <w:rFonts w:cs="Times New Roman"/>
          <w:szCs w:val="24"/>
        </w:rPr>
        <w:t xml:space="preserve">ly and which notices they receive in writing through the mail or in another form. Customers should be informed by the </w:t>
      </w:r>
      <w:r>
        <w:rPr>
          <w:rFonts w:cs="Times New Roman"/>
          <w:szCs w:val="24"/>
        </w:rPr>
        <w:t>u</w:t>
      </w:r>
      <w:r w:rsidRPr="00ED5313">
        <w:rPr>
          <w:rFonts w:cs="Times New Roman"/>
          <w:szCs w:val="24"/>
        </w:rPr>
        <w:t>tility about any risks that they assume by receiving notices (like disconnection notices) electronically rather than through the mail or in-person.</w:t>
      </w:r>
      <w:r>
        <w:rPr>
          <w:rStyle w:val="FootnoteReference"/>
          <w:rFonts w:cs="Times New Roman"/>
          <w:szCs w:val="24"/>
        </w:rPr>
        <w:footnoteReference w:id="18"/>
      </w:r>
      <w:r w:rsidRPr="00ED5313">
        <w:rPr>
          <w:rFonts w:cs="Times New Roman"/>
          <w:szCs w:val="24"/>
        </w:rPr>
        <w:t xml:space="preserve"> Finally, if customers choose to have transactions and notices provided electronically, the utility should have the obligation to obtain written consent from the customer specifying which transactions and notices will be performed electronically. </w:t>
      </w:r>
      <w:r>
        <w:rPr>
          <w:rFonts w:cs="Times New Roman"/>
          <w:szCs w:val="24"/>
        </w:rPr>
        <w:t>AEP’s proposal should be rejected.</w:t>
      </w:r>
    </w:p>
    <w:p w:rsidR="008703FA" w:rsidRPr="00D923A4" w:rsidP="008703FA">
      <w:pPr>
        <w:pStyle w:val="Heading3"/>
      </w:pPr>
      <w:bookmarkStart w:id="12" w:name="_Toc16780418"/>
      <w:r w:rsidRPr="00D923A4">
        <w:t>2.</w:t>
      </w:r>
      <w:r w:rsidRPr="00D923A4">
        <w:tab/>
      </w:r>
      <w:r>
        <w:t>The PUCO should clarify under Ohio Adm. Code 4901:1-18-05(A) that utilities must work with customers to negotiate extended payment plans that are agreeable to the consumer and utility.</w:t>
      </w:r>
      <w:bookmarkEnd w:id="12"/>
      <w:r w:rsidRPr="00D923A4">
        <w:t xml:space="preserve">  </w:t>
      </w:r>
    </w:p>
    <w:p w:rsidR="008703FA" w:rsidP="008703FA">
      <w:pPr>
        <w:spacing w:line="480" w:lineRule="auto"/>
        <w:ind w:firstLine="720"/>
        <w:rPr>
          <w:rFonts w:cs="Times New Roman"/>
          <w:szCs w:val="24"/>
        </w:rPr>
      </w:pPr>
      <w:r w:rsidRPr="00ED5313">
        <w:rPr>
          <w:rFonts w:cs="Times New Roman"/>
          <w:szCs w:val="24"/>
        </w:rPr>
        <w:t>Ohio Adm. Code 4901:1-18-05(A) requires utility compan</w:t>
      </w:r>
      <w:r>
        <w:rPr>
          <w:rFonts w:cs="Times New Roman"/>
          <w:szCs w:val="24"/>
        </w:rPr>
        <w:t>ies</w:t>
      </w:r>
      <w:r w:rsidRPr="00ED5313">
        <w:rPr>
          <w:rFonts w:cs="Times New Roman"/>
          <w:szCs w:val="24"/>
        </w:rPr>
        <w:t xml:space="preserve"> to inform customers who are</w:t>
      </w:r>
      <w:r>
        <w:rPr>
          <w:rFonts w:cs="Times New Roman"/>
          <w:szCs w:val="24"/>
        </w:rPr>
        <w:t xml:space="preserve"> delinquent or </w:t>
      </w:r>
      <w:r w:rsidRPr="00ED5313">
        <w:rPr>
          <w:rFonts w:cs="Times New Roman"/>
          <w:szCs w:val="24"/>
        </w:rPr>
        <w:t xml:space="preserve">seeking to avoid delinquency about the availability of payment extensions or other extended payment plans that </w:t>
      </w:r>
      <w:r>
        <w:rPr>
          <w:rFonts w:cs="Times New Roman"/>
          <w:szCs w:val="24"/>
        </w:rPr>
        <w:t xml:space="preserve">can be arranged </w:t>
      </w:r>
      <w:r w:rsidRPr="00ED5313">
        <w:rPr>
          <w:rFonts w:cs="Times New Roman"/>
          <w:szCs w:val="24"/>
        </w:rPr>
        <w:t xml:space="preserve">on terms that are mutually agreeable between the customer and the utility. To the extent that a customer and utility cannot agree on mutually acceptable payment terms, the utility is required to offer customers one of the </w:t>
      </w:r>
      <w:r>
        <w:rPr>
          <w:rFonts w:cs="Times New Roman"/>
          <w:szCs w:val="24"/>
        </w:rPr>
        <w:t>PUCO</w:t>
      </w:r>
      <w:r w:rsidRPr="00ED5313">
        <w:rPr>
          <w:rFonts w:cs="Times New Roman"/>
          <w:szCs w:val="24"/>
        </w:rPr>
        <w:t xml:space="preserve">-ordered payment plans that are specified in Ohio Adm. Code 4901:1-18-05(B).  </w:t>
      </w:r>
    </w:p>
    <w:p w:rsidR="008703FA" w:rsidRPr="00ED5313" w:rsidP="008703FA">
      <w:pPr>
        <w:spacing w:line="480" w:lineRule="auto"/>
        <w:ind w:firstLine="720"/>
        <w:rPr>
          <w:rFonts w:cs="Times New Roman"/>
          <w:szCs w:val="24"/>
        </w:rPr>
      </w:pPr>
      <w:r w:rsidRPr="00ED5313">
        <w:rPr>
          <w:rFonts w:cs="Times New Roman"/>
          <w:szCs w:val="24"/>
        </w:rPr>
        <w:t>Duke commented that its current practice is to offer additional</w:t>
      </w:r>
      <w:r>
        <w:rPr>
          <w:rFonts w:cs="Times New Roman"/>
          <w:szCs w:val="24"/>
        </w:rPr>
        <w:t>-</w:t>
      </w:r>
      <w:r w:rsidRPr="00ED5313">
        <w:rPr>
          <w:rFonts w:cs="Times New Roman"/>
          <w:szCs w:val="24"/>
        </w:rPr>
        <w:t>day extensions for payments, but not extended payment plans other than the payment plans that are required by the PUCO.</w:t>
      </w:r>
      <w:r>
        <w:rPr>
          <w:rStyle w:val="FootnoteReference"/>
          <w:rFonts w:cs="Times New Roman"/>
          <w:szCs w:val="24"/>
        </w:rPr>
        <w:footnoteReference w:id="19"/>
      </w:r>
      <w:r w:rsidRPr="00ED5313">
        <w:rPr>
          <w:rFonts w:cs="Times New Roman"/>
          <w:szCs w:val="24"/>
        </w:rPr>
        <w:t xml:space="preserve">  Duke sought clarification from the PUCO if a change in its current practices is required.</w:t>
      </w:r>
      <w:r>
        <w:rPr>
          <w:rStyle w:val="FootnoteReference"/>
          <w:rFonts w:cs="Times New Roman"/>
          <w:szCs w:val="24"/>
        </w:rPr>
        <w:footnoteReference w:id="20"/>
      </w:r>
      <w:r w:rsidRPr="00ED5313">
        <w:rPr>
          <w:rFonts w:cs="Times New Roman"/>
          <w:szCs w:val="24"/>
        </w:rPr>
        <w:t xml:space="preserve">  </w:t>
      </w:r>
    </w:p>
    <w:p w:rsidR="008703FA" w:rsidP="008703FA">
      <w:pPr>
        <w:spacing w:line="480" w:lineRule="auto"/>
        <w:ind w:firstLine="720"/>
        <w:rPr>
          <w:rFonts w:cs="Times New Roman"/>
          <w:szCs w:val="24"/>
        </w:rPr>
      </w:pPr>
      <w:r w:rsidRPr="00ED5313">
        <w:rPr>
          <w:rFonts w:cs="Times New Roman"/>
          <w:szCs w:val="24"/>
        </w:rPr>
        <w:t>The payment plans identified in Ohio Adm. Code 4901:1-18-05(B) are the minimum extended payment plan</w:t>
      </w:r>
      <w:r>
        <w:rPr>
          <w:rFonts w:cs="Times New Roman"/>
          <w:szCs w:val="24"/>
        </w:rPr>
        <w:t>s</w:t>
      </w:r>
      <w:r w:rsidRPr="00ED5313">
        <w:rPr>
          <w:rFonts w:cs="Times New Roman"/>
          <w:szCs w:val="24"/>
        </w:rPr>
        <w:t xml:space="preserve"> gas and electric utilities must offer their customers.  The </w:t>
      </w:r>
      <w:r>
        <w:rPr>
          <w:rFonts w:cs="Times New Roman"/>
          <w:szCs w:val="24"/>
        </w:rPr>
        <w:t xml:space="preserve">rule requires each </w:t>
      </w:r>
      <w:r w:rsidRPr="00ED5313">
        <w:rPr>
          <w:rFonts w:cs="Times New Roman"/>
          <w:szCs w:val="24"/>
        </w:rPr>
        <w:t>utility compan</w:t>
      </w:r>
      <w:r>
        <w:rPr>
          <w:rFonts w:cs="Times New Roman"/>
          <w:szCs w:val="24"/>
        </w:rPr>
        <w:t>y to</w:t>
      </w:r>
      <w:r w:rsidRPr="00ED5313">
        <w:rPr>
          <w:rFonts w:cs="Times New Roman"/>
          <w:szCs w:val="24"/>
        </w:rPr>
        <w:t xml:space="preserve"> </w:t>
      </w:r>
      <w:r>
        <w:rPr>
          <w:rFonts w:cs="Times New Roman"/>
          <w:szCs w:val="24"/>
        </w:rPr>
        <w:t>proactively</w:t>
      </w:r>
      <w:r w:rsidRPr="00ED5313">
        <w:rPr>
          <w:rFonts w:cs="Times New Roman"/>
          <w:szCs w:val="24"/>
        </w:rPr>
        <w:t xml:space="preserve"> work with customers to develop extended payment plan terms that are mutually agreeable to both the customer and </w:t>
      </w:r>
      <w:r>
        <w:rPr>
          <w:rFonts w:cs="Times New Roman"/>
          <w:szCs w:val="24"/>
        </w:rPr>
        <w:t>utility</w:t>
      </w:r>
      <w:r w:rsidRPr="00ED5313">
        <w:rPr>
          <w:rFonts w:cs="Times New Roman"/>
          <w:szCs w:val="24"/>
        </w:rPr>
        <w:t xml:space="preserve">. </w:t>
      </w:r>
    </w:p>
    <w:p w:rsidR="008703FA" w:rsidRPr="00ED5313" w:rsidP="008703FA">
      <w:pPr>
        <w:spacing w:line="480" w:lineRule="auto"/>
        <w:ind w:firstLine="720"/>
        <w:rPr>
          <w:rFonts w:cs="Times New Roman"/>
          <w:szCs w:val="24"/>
        </w:rPr>
      </w:pPr>
      <w:r w:rsidRPr="00ED5313">
        <w:rPr>
          <w:rFonts w:cs="Times New Roman"/>
          <w:szCs w:val="24"/>
        </w:rPr>
        <w:t xml:space="preserve">The payment plans </w:t>
      </w:r>
      <w:r>
        <w:rPr>
          <w:rFonts w:cs="Times New Roman"/>
          <w:szCs w:val="24"/>
        </w:rPr>
        <w:t xml:space="preserve">required under the PUCO’s rules </w:t>
      </w:r>
      <w:r w:rsidRPr="00ED5313">
        <w:rPr>
          <w:rFonts w:cs="Times New Roman"/>
          <w:szCs w:val="24"/>
        </w:rPr>
        <w:t>go well beyond the</w:t>
      </w:r>
      <w:r>
        <w:rPr>
          <w:rFonts w:cs="Times New Roman"/>
          <w:szCs w:val="24"/>
        </w:rPr>
        <w:t xml:space="preserve"> extensions</w:t>
      </w:r>
      <w:r w:rsidRPr="00ED5313">
        <w:rPr>
          <w:rFonts w:cs="Times New Roman"/>
          <w:szCs w:val="24"/>
        </w:rPr>
        <w:t xml:space="preserve"> that Duke is offering its customers</w:t>
      </w:r>
      <w:r>
        <w:rPr>
          <w:rFonts w:cs="Times New Roman"/>
          <w:szCs w:val="24"/>
        </w:rPr>
        <w:t>.</w:t>
      </w:r>
      <w:r w:rsidRPr="00ED5313">
        <w:rPr>
          <w:rFonts w:cs="Times New Roman"/>
          <w:szCs w:val="24"/>
        </w:rPr>
        <w:t xml:space="preserve"> </w:t>
      </w:r>
      <w:r>
        <w:rPr>
          <w:rFonts w:cs="Times New Roman"/>
          <w:szCs w:val="24"/>
        </w:rPr>
        <w:t>The PUCO rules</w:t>
      </w:r>
      <w:r w:rsidRPr="00ED5313">
        <w:rPr>
          <w:rFonts w:cs="Times New Roman"/>
          <w:szCs w:val="24"/>
        </w:rPr>
        <w:t xml:space="preserve"> empower consumers to negotiate payment terms that they can actually manage. These win-win extended payment plans benefit both utilities and customers. Customers are far more likely to be able to keep a payment plan that is based on their specific financial needs as opposed to a plan that they really cannot afford.  Utilities benefit from reduced collection expenses and the potential for reductions in uncollectible expenses.</w:t>
      </w:r>
      <w:r>
        <w:rPr>
          <w:rFonts w:cs="Times New Roman"/>
          <w:szCs w:val="24"/>
        </w:rPr>
        <w:t xml:space="preserve"> Duke’s proposal should be rejected.</w:t>
      </w:r>
      <w:r w:rsidRPr="00ED5313">
        <w:rPr>
          <w:rFonts w:cs="Times New Roman"/>
          <w:szCs w:val="24"/>
        </w:rPr>
        <w:t xml:space="preserve">  The PUCO should clarify for Duke </w:t>
      </w:r>
      <w:r>
        <w:rPr>
          <w:rFonts w:cs="Times New Roman"/>
          <w:szCs w:val="24"/>
        </w:rPr>
        <w:t>as well as all PUCO-regulated</w:t>
      </w:r>
      <w:r w:rsidRPr="00ED5313">
        <w:rPr>
          <w:rFonts w:cs="Times New Roman"/>
          <w:szCs w:val="24"/>
        </w:rPr>
        <w:t xml:space="preserve"> gas </w:t>
      </w:r>
      <w:r>
        <w:rPr>
          <w:rFonts w:cs="Times New Roman"/>
          <w:szCs w:val="24"/>
        </w:rPr>
        <w:t>and</w:t>
      </w:r>
      <w:r w:rsidRPr="00ED5313">
        <w:rPr>
          <w:rFonts w:cs="Times New Roman"/>
          <w:szCs w:val="24"/>
        </w:rPr>
        <w:t xml:space="preserve"> electric utilit</w:t>
      </w:r>
      <w:r>
        <w:rPr>
          <w:rFonts w:cs="Times New Roman"/>
          <w:szCs w:val="24"/>
        </w:rPr>
        <w:t>ies</w:t>
      </w:r>
      <w:r w:rsidRPr="00ED5313">
        <w:rPr>
          <w:rFonts w:cs="Times New Roman"/>
          <w:szCs w:val="24"/>
        </w:rPr>
        <w:t xml:space="preserve"> that Ohio Adm. Code 4901:1-18-05(A) requires </w:t>
      </w:r>
      <w:r>
        <w:rPr>
          <w:rFonts w:cs="Times New Roman"/>
          <w:szCs w:val="24"/>
        </w:rPr>
        <w:t xml:space="preserve">them </w:t>
      </w:r>
      <w:r w:rsidRPr="00ED5313">
        <w:rPr>
          <w:rFonts w:cs="Times New Roman"/>
          <w:szCs w:val="24"/>
        </w:rPr>
        <w:t xml:space="preserve">to work with customers </w:t>
      </w:r>
      <w:r>
        <w:rPr>
          <w:rFonts w:cs="Times New Roman"/>
          <w:szCs w:val="24"/>
        </w:rPr>
        <w:t xml:space="preserve">in developing </w:t>
      </w:r>
      <w:r w:rsidRPr="00ED5313">
        <w:rPr>
          <w:rFonts w:cs="Times New Roman"/>
          <w:szCs w:val="24"/>
        </w:rPr>
        <w:t xml:space="preserve">mutually agreeable extended payment plans.  </w:t>
      </w:r>
    </w:p>
    <w:p w:rsidR="008703FA" w:rsidP="008703FA">
      <w:pPr>
        <w:spacing w:line="480" w:lineRule="auto"/>
        <w:ind w:firstLine="720"/>
        <w:rPr>
          <w:rFonts w:cs="Times New Roman"/>
          <w:szCs w:val="24"/>
        </w:rPr>
      </w:pPr>
      <w:r w:rsidRPr="00ED5313">
        <w:rPr>
          <w:rFonts w:cs="Times New Roman"/>
          <w:szCs w:val="24"/>
        </w:rPr>
        <w:t>Mutually</w:t>
      </w:r>
      <w:r>
        <w:rPr>
          <w:rFonts w:cs="Times New Roman"/>
          <w:szCs w:val="24"/>
        </w:rPr>
        <w:t xml:space="preserve"> </w:t>
      </w:r>
      <w:r w:rsidRPr="00ED5313">
        <w:rPr>
          <w:rFonts w:cs="Times New Roman"/>
          <w:szCs w:val="24"/>
        </w:rPr>
        <w:t xml:space="preserve">agreeable extended payment plans are especially important for customers who are removed from PIPP and can have large account balances that may have accrued while the customer was on PIPP. The PUCO Staff proposed modifications to Ohio Adm. Code 4901:1-18-17(B) to require gas utilities to offer mutually agreeable extended payment plans to former PIPP customers. </w:t>
      </w:r>
      <w:r>
        <w:rPr>
          <w:rFonts w:cs="Times New Roman"/>
          <w:szCs w:val="24"/>
        </w:rPr>
        <w:t xml:space="preserve"> The Consumer Groups </w:t>
      </w:r>
      <w:r w:rsidRPr="00ED5313">
        <w:rPr>
          <w:rFonts w:cs="Times New Roman"/>
          <w:szCs w:val="24"/>
        </w:rPr>
        <w:t>recommended that such a plan would not exceed $25 per month plus the customer’s current bill.</w:t>
      </w:r>
      <w:r>
        <w:rPr>
          <w:rStyle w:val="FootnoteReference"/>
          <w:rFonts w:cs="Times New Roman"/>
          <w:szCs w:val="24"/>
        </w:rPr>
        <w:footnoteReference w:id="21"/>
      </w:r>
      <w:r w:rsidRPr="00ED5313">
        <w:rPr>
          <w:rFonts w:cs="Times New Roman"/>
          <w:szCs w:val="24"/>
        </w:rPr>
        <w:t xml:space="preserve">  </w:t>
      </w:r>
    </w:p>
    <w:p w:rsidR="008703FA" w:rsidRPr="00ED5313" w:rsidP="008703FA">
      <w:pPr>
        <w:spacing w:line="480" w:lineRule="auto"/>
        <w:ind w:firstLine="720"/>
        <w:rPr>
          <w:rFonts w:cs="Times New Roman"/>
          <w:szCs w:val="24"/>
        </w:rPr>
      </w:pPr>
      <w:r w:rsidRPr="00ED5313">
        <w:rPr>
          <w:rFonts w:cs="Times New Roman"/>
          <w:szCs w:val="24"/>
        </w:rPr>
        <w:t>The PUCO should</w:t>
      </w:r>
      <w:r>
        <w:rPr>
          <w:rFonts w:cs="Times New Roman"/>
          <w:szCs w:val="24"/>
        </w:rPr>
        <w:t xml:space="preserve"> </w:t>
      </w:r>
      <w:r w:rsidRPr="00ED5313">
        <w:rPr>
          <w:rFonts w:cs="Times New Roman"/>
          <w:szCs w:val="24"/>
        </w:rPr>
        <w:t>modify Ohio Adm. Code 4901:1-18-</w:t>
      </w:r>
      <w:r>
        <w:rPr>
          <w:rFonts w:cs="Times New Roman"/>
          <w:szCs w:val="24"/>
        </w:rPr>
        <w:t>05</w:t>
      </w:r>
      <w:r w:rsidRPr="00ED5313">
        <w:rPr>
          <w:rFonts w:cs="Times New Roman"/>
          <w:szCs w:val="24"/>
        </w:rPr>
        <w:t>(</w:t>
      </w:r>
      <w:r>
        <w:rPr>
          <w:rFonts w:cs="Times New Roman"/>
          <w:szCs w:val="24"/>
        </w:rPr>
        <w:t>A</w:t>
      </w:r>
      <w:r w:rsidRPr="00ED5313">
        <w:rPr>
          <w:rFonts w:cs="Times New Roman"/>
          <w:szCs w:val="24"/>
        </w:rPr>
        <w:t xml:space="preserve">) as recommended by </w:t>
      </w:r>
      <w:r>
        <w:rPr>
          <w:rFonts w:cs="Times New Roman"/>
          <w:szCs w:val="24"/>
        </w:rPr>
        <w:t xml:space="preserve">the Consumer Groups so that </w:t>
      </w:r>
      <w:r w:rsidRPr="00ED5313">
        <w:rPr>
          <w:rFonts w:cs="Times New Roman"/>
          <w:szCs w:val="24"/>
        </w:rPr>
        <w:t>extended payment plan</w:t>
      </w:r>
      <w:r>
        <w:rPr>
          <w:rFonts w:cs="Times New Roman"/>
          <w:szCs w:val="24"/>
        </w:rPr>
        <w:t>s</w:t>
      </w:r>
      <w:r w:rsidRPr="00ED5313">
        <w:rPr>
          <w:rFonts w:cs="Times New Roman"/>
          <w:szCs w:val="24"/>
        </w:rPr>
        <w:t xml:space="preserve"> required of former PIPP customers will not exceed $25 per month plus current charges.</w:t>
      </w:r>
      <w:r>
        <w:rPr>
          <w:rFonts w:cs="Times New Roman"/>
          <w:szCs w:val="24"/>
        </w:rPr>
        <w:t xml:space="preserve"> These payments will contribute to reductions in the cost of the USF and PIPP riders that will benefit all customers. </w:t>
      </w:r>
    </w:p>
    <w:p w:rsidR="008703FA" w:rsidRPr="00D923A4" w:rsidP="008703FA">
      <w:pPr>
        <w:pStyle w:val="Heading3"/>
      </w:pPr>
      <w:bookmarkStart w:id="13" w:name="_Toc16780419"/>
      <w:r w:rsidRPr="00D923A4">
        <w:t>3.</w:t>
      </w:r>
      <w:r w:rsidRPr="00D923A4">
        <w:tab/>
      </w:r>
      <w:r>
        <w:t>The PUCO should reject Duke’s proposal to weaken medical certification minimum consumer protections under Ohio Adm. Code 4901:1-18-06(C).</w:t>
      </w:r>
      <w:bookmarkEnd w:id="13"/>
    </w:p>
    <w:p w:rsidR="00E83FFC" w:rsidP="008703FA">
      <w:pPr>
        <w:spacing w:line="480" w:lineRule="auto"/>
        <w:ind w:firstLine="720"/>
        <w:rPr>
          <w:rFonts w:cs="Times New Roman"/>
          <w:szCs w:val="24"/>
        </w:rPr>
      </w:pPr>
      <w:r>
        <w:rPr>
          <w:rFonts w:cs="Times New Roman"/>
          <w:szCs w:val="24"/>
        </w:rPr>
        <w:t>While the PUCO Staff did not propose any modifications to the medical certification rules in Ohio Adm. Code 4901:1-18-06(C), the Consumer Groups recommended improvements in the medical certification form to protect consumer privacy.</w:t>
      </w:r>
      <w:r>
        <w:rPr>
          <w:rStyle w:val="FootnoteReference"/>
          <w:rFonts w:cs="Times New Roman"/>
          <w:szCs w:val="24"/>
        </w:rPr>
        <w:footnoteReference w:id="22"/>
      </w:r>
      <w:r>
        <w:rPr>
          <w:rFonts w:cs="Times New Roman"/>
          <w:szCs w:val="24"/>
        </w:rPr>
        <w:t xml:space="preserve"> This is necessary because the current medical certification form available on the PUCO website permits patient health information to be redisclosed without the protections afforded under the Health Insurance Portability and Accountability Act (“HIPAA”).</w:t>
      </w:r>
      <w:r>
        <w:rPr>
          <w:rStyle w:val="FootnoteReference"/>
          <w:rFonts w:cs="Times New Roman"/>
          <w:szCs w:val="24"/>
        </w:rPr>
        <w:footnoteReference w:id="23"/>
      </w:r>
      <w:r>
        <w:rPr>
          <w:rFonts w:cs="Times New Roman"/>
          <w:szCs w:val="24"/>
        </w:rPr>
        <w:t xml:space="preserve"> </w:t>
      </w:r>
    </w:p>
    <w:p w:rsidR="008703FA" w:rsidP="008703FA">
      <w:pPr>
        <w:spacing w:line="480" w:lineRule="auto"/>
        <w:ind w:firstLine="720"/>
        <w:rPr>
          <w:rFonts w:cs="Times New Roman"/>
          <w:szCs w:val="24"/>
        </w:rPr>
      </w:pPr>
      <w:r>
        <w:rPr>
          <w:rFonts w:cs="Times New Roman"/>
          <w:szCs w:val="24"/>
        </w:rPr>
        <w:t xml:space="preserve">Under the current rules, Ohio families can obtain a stay on service disconnections for non-payment if a medical professional certifies that any member of the household has a medical condition that is especially dangerous to the individual’s health.  Medical certifications can also be used to stay disconnections if energy is needed to operate medical equipment that is necessary to sustain life.  Each household may seek approval from medical professionals for up to three medical certifications in a twelve-month period (each staying the disconnection for up to 30 days). This is a necessary consumer protection.   </w:t>
      </w:r>
    </w:p>
    <w:p w:rsidR="008703FA" w:rsidP="008703FA">
      <w:pPr>
        <w:spacing w:line="480" w:lineRule="auto"/>
        <w:ind w:firstLine="720"/>
        <w:rPr>
          <w:rFonts w:cs="Times New Roman"/>
          <w:szCs w:val="24"/>
        </w:rPr>
      </w:pPr>
      <w:r>
        <w:rPr>
          <w:rFonts w:cs="Times New Roman"/>
          <w:szCs w:val="24"/>
        </w:rPr>
        <w:t>Duke, however, proposed four modifications that are harmful to consumers to the medical certification rules.</w:t>
      </w:r>
      <w:r>
        <w:rPr>
          <w:rStyle w:val="FootnoteReference"/>
          <w:rFonts w:cs="Times New Roman"/>
          <w:szCs w:val="24"/>
        </w:rPr>
        <w:footnoteReference w:id="24"/>
      </w:r>
      <w:r>
        <w:rPr>
          <w:rFonts w:cs="Times New Roman"/>
          <w:szCs w:val="24"/>
        </w:rPr>
        <w:t xml:space="preserve"> Duke proposed amending Ohio Adm. Code 4901:1-18-06(C)(2)(e) to require customers to satisfy any default on an extended payment plan before being permitted to use another medical certification.</w:t>
      </w:r>
      <w:r>
        <w:rPr>
          <w:rStyle w:val="FootnoteReference"/>
          <w:rFonts w:cs="Times New Roman"/>
          <w:szCs w:val="24"/>
        </w:rPr>
        <w:footnoteReference w:id="25"/>
      </w:r>
      <w:r>
        <w:rPr>
          <w:rFonts w:cs="Times New Roman"/>
          <w:szCs w:val="24"/>
        </w:rPr>
        <w:t xml:space="preserve">  Duke also proposed that customers must obtain medical certification approval from a medical professional within ten days as opposed to the 21-day requirement in the rules.</w:t>
      </w:r>
      <w:r>
        <w:rPr>
          <w:rStyle w:val="FootnoteReference"/>
          <w:rFonts w:cs="Times New Roman"/>
          <w:szCs w:val="24"/>
        </w:rPr>
        <w:footnoteReference w:id="26"/>
      </w:r>
      <w:r>
        <w:rPr>
          <w:rFonts w:cs="Times New Roman"/>
          <w:szCs w:val="24"/>
        </w:rPr>
        <w:t xml:space="preserve">  Duke further proposed limiting the times when it is required to process medical certifications to exclude company holidays and weekends.</w:t>
      </w:r>
      <w:r>
        <w:rPr>
          <w:rStyle w:val="FootnoteReference"/>
          <w:rFonts w:cs="Times New Roman"/>
          <w:szCs w:val="24"/>
        </w:rPr>
        <w:footnoteReference w:id="27"/>
      </w:r>
      <w:r>
        <w:rPr>
          <w:rFonts w:cs="Times New Roman"/>
          <w:szCs w:val="24"/>
        </w:rPr>
        <w:t xml:space="preserve">  Finally, Duke proposed that customers should be limited to two medical certifications in a 12-month period, instead of the three currently allowed in the rule.</w:t>
      </w:r>
      <w:r>
        <w:rPr>
          <w:rStyle w:val="FootnoteReference"/>
          <w:rFonts w:cs="Times New Roman"/>
          <w:szCs w:val="24"/>
        </w:rPr>
        <w:footnoteReference w:id="28"/>
      </w:r>
    </w:p>
    <w:p w:rsidR="008703FA" w:rsidP="008703FA">
      <w:pPr>
        <w:spacing w:line="480" w:lineRule="auto"/>
        <w:ind w:firstLine="720"/>
        <w:rPr>
          <w:rFonts w:cs="Times New Roman"/>
          <w:szCs w:val="24"/>
        </w:rPr>
      </w:pPr>
      <w:r>
        <w:rPr>
          <w:rFonts w:cs="Times New Roman"/>
          <w:szCs w:val="24"/>
        </w:rPr>
        <w:t>The PUCO should reject Duke’s proposed modifications to Ohio Adm. Code 4901:1-18-06(C).  First, Ohio law requires the PUCO to establish rules that protect medically fragile consumers including elderly and the handicapped from being disconnected for non-payment.</w:t>
      </w:r>
      <w:r>
        <w:rPr>
          <w:rStyle w:val="FootnoteReference"/>
          <w:rFonts w:cs="Times New Roman"/>
          <w:szCs w:val="24"/>
        </w:rPr>
        <w:footnoteReference w:id="29"/>
      </w:r>
      <w:r>
        <w:rPr>
          <w:rFonts w:cs="Times New Roman"/>
          <w:szCs w:val="24"/>
        </w:rPr>
        <w:t xml:space="preserve">  Ohio Revised Code 4928.02(L) requires the protection of at-risk consumers, which would include those with medical needs.  Duke’s proposal reduces the current PUCO minimum standards pertaining to medical certifications and would result in the health and safety of more consumers being placed at risk.  Reducing the number of medical certifications available in a 12-month period and attaching unreasonable and unnecessary limitations on their use hurts at-risk consumers and contravenes Ohio law. </w:t>
      </w:r>
    </w:p>
    <w:p w:rsidR="008703FA" w:rsidP="008703FA">
      <w:pPr>
        <w:spacing w:line="480" w:lineRule="auto"/>
        <w:ind w:firstLine="720"/>
        <w:rPr>
          <w:rFonts w:cs="Times New Roman"/>
          <w:szCs w:val="24"/>
        </w:rPr>
      </w:pPr>
      <w:r>
        <w:rPr>
          <w:rFonts w:cs="Times New Roman"/>
          <w:szCs w:val="24"/>
        </w:rPr>
        <w:t xml:space="preserve">Duke provided no rationale or support for any of its anti-consumer proposals.  Ironically, Duke and other utilities are not at risk financially if customers do not pay their bills because the customers’ bad debt is collected through a variety of riders on the bill.  Thus, Duke is proposing changes in the medical certification rules that significantly place customers’ health and safety at risk when, in fact, the utility bears none of the financial risks.  </w:t>
      </w:r>
    </w:p>
    <w:p w:rsidR="008703FA" w:rsidP="008703FA">
      <w:pPr>
        <w:spacing w:line="480" w:lineRule="auto"/>
        <w:ind w:firstLine="720"/>
        <w:rPr>
          <w:rFonts w:cs="Times New Roman"/>
          <w:szCs w:val="24"/>
        </w:rPr>
      </w:pPr>
      <w:r>
        <w:rPr>
          <w:rFonts w:cs="Times New Roman"/>
          <w:szCs w:val="24"/>
        </w:rPr>
        <w:t>Additionally, given that electric utilities are deploying smart meters in large numbers across the state that can be remotely reconnected from the utility’s back offices, medical certifications should be able to be processed at any time where there are smart meters, to avoid medically fragile customers being without electric service.  The remote reconnection capabilities of smart meters are touted by the utilities as one of the benefits consumers receive from these very expensive meters.</w:t>
      </w:r>
      <w:r>
        <w:rPr>
          <w:rStyle w:val="FootnoteReference"/>
          <w:rFonts w:cs="Times New Roman"/>
          <w:szCs w:val="24"/>
        </w:rPr>
        <w:footnoteReference w:id="30"/>
      </w:r>
      <w:r>
        <w:rPr>
          <w:rFonts w:cs="Times New Roman"/>
          <w:szCs w:val="24"/>
        </w:rPr>
        <w:t xml:space="preserve"> In initial comments, the Consumer Groups recommended that advanced metering infrastructure (“AMI” or “advanced”) meters be reconnected within one-hour after payment is made.</w:t>
      </w:r>
      <w:r>
        <w:rPr>
          <w:rStyle w:val="FootnoteReference"/>
          <w:rFonts w:cs="Times New Roman"/>
          <w:szCs w:val="24"/>
        </w:rPr>
        <w:footnoteReference w:id="31"/>
      </w:r>
      <w:r>
        <w:rPr>
          <w:rFonts w:cs="Times New Roman"/>
          <w:szCs w:val="24"/>
        </w:rPr>
        <w:t xml:space="preserve">  Similarly, reconnections should also be completed within one-hour after a  medical certification form is provided to the utility to protect the health and safety of customers. </w:t>
      </w:r>
    </w:p>
    <w:p w:rsidR="008703FA" w:rsidRPr="00D923A4" w:rsidP="008703FA">
      <w:pPr>
        <w:pStyle w:val="Heading3"/>
      </w:pPr>
      <w:bookmarkStart w:id="14" w:name="_Toc16780420"/>
      <w:r w:rsidRPr="00D923A4">
        <w:t>4.</w:t>
      </w:r>
      <w:r w:rsidRPr="00D923A4">
        <w:tab/>
      </w:r>
      <w:r>
        <w:t>The PUCO should eliminate collection trip charges to customers if a utility does not provide the capability to dispatch an employee to accept payment in lieu of disconnecting service in Ohio Adm. Code 4901:1-18-07(C).</w:t>
      </w:r>
      <w:bookmarkEnd w:id="14"/>
    </w:p>
    <w:p w:rsidR="008703FA" w:rsidP="008703FA">
      <w:pPr>
        <w:spacing w:line="480" w:lineRule="auto"/>
        <w:ind w:firstLine="720"/>
        <w:rPr>
          <w:rFonts w:cs="Times New Roman"/>
          <w:szCs w:val="24"/>
        </w:rPr>
      </w:pPr>
      <w:r>
        <w:rPr>
          <w:rFonts w:cs="Times New Roman"/>
          <w:szCs w:val="24"/>
        </w:rPr>
        <w:t>The PUCO Staff proposed no amendments to Ohio Adm. Code 4901:1-18-06(A)(4) related to options that are available to consumers for making payment in the field to avoid disconnection.  FirstEnergy proposed amending these rules to eliminate the requirement for a utility to dispatch an employee to the customer’s home to accept payment on the grounds of safety risks for employees.</w:t>
      </w:r>
      <w:r>
        <w:rPr>
          <w:rStyle w:val="FootnoteReference"/>
          <w:rFonts w:cs="Times New Roman"/>
          <w:szCs w:val="24"/>
        </w:rPr>
        <w:footnoteReference w:id="32"/>
      </w:r>
      <w:r>
        <w:rPr>
          <w:rFonts w:cs="Times New Roman"/>
          <w:szCs w:val="24"/>
        </w:rPr>
        <w:t xml:space="preserve">  Under FirstEnergy’s proposed rule, an employee who is disconnecting service would have the option to either accept payment in lieu of disconnection or make available another means to avoid disconnection.</w:t>
      </w:r>
      <w:r>
        <w:rPr>
          <w:rStyle w:val="FootnoteReference"/>
          <w:rFonts w:cs="Times New Roman"/>
          <w:szCs w:val="24"/>
        </w:rPr>
        <w:footnoteReference w:id="33"/>
      </w:r>
      <w:r>
        <w:rPr>
          <w:rFonts w:cs="Times New Roman"/>
          <w:szCs w:val="24"/>
        </w:rPr>
        <w:t xml:space="preserve"> </w:t>
      </w:r>
    </w:p>
    <w:p w:rsidR="008703FA" w:rsidP="008703FA">
      <w:pPr>
        <w:spacing w:line="480" w:lineRule="auto"/>
        <w:ind w:firstLine="720"/>
        <w:rPr>
          <w:rFonts w:cs="Times New Roman"/>
          <w:szCs w:val="24"/>
        </w:rPr>
      </w:pPr>
      <w:r>
        <w:rPr>
          <w:rFonts w:cs="Times New Roman"/>
          <w:szCs w:val="24"/>
        </w:rPr>
        <w:t>Many Ohio utilities have field collection trip charges in their tariff to collect costs associated with dispatching an employee to a customer’s home to accept payment.</w:t>
      </w:r>
      <w:r>
        <w:rPr>
          <w:rStyle w:val="FootnoteReference"/>
          <w:rFonts w:cs="Times New Roman"/>
          <w:szCs w:val="24"/>
        </w:rPr>
        <w:footnoteReference w:id="34"/>
      </w:r>
      <w:r>
        <w:rPr>
          <w:rFonts w:cs="Times New Roman"/>
          <w:szCs w:val="24"/>
        </w:rPr>
        <w:t xml:space="preserve">  If the PUCO accepts FirstEnergy’s proposal, the PUCO should specify that collection charges must be removed from the tariff if a utility is not capable of dispatching an employee to the customer’s home to accept payment. This clarification that limits the application of collection charges should also be added to Ohio Adm. Code 4901:1-18-07(C).</w:t>
      </w:r>
    </w:p>
    <w:p w:rsidR="008703FA" w:rsidRPr="00D923A4" w:rsidP="008703FA">
      <w:pPr>
        <w:pStyle w:val="Heading3"/>
      </w:pPr>
      <w:bookmarkStart w:id="15" w:name="_Toc16780421"/>
      <w:r>
        <w:t xml:space="preserve">5.  </w:t>
      </w:r>
      <w:r>
        <w:tab/>
        <w:t>The PUCO should reject DP&amp;L’s proposal to eliminate the requirement for utilities to provide personal notice on the day services are being disconnected if customers have a meter that can be remotely reconnected.</w:t>
      </w:r>
      <w:bookmarkEnd w:id="15"/>
    </w:p>
    <w:p w:rsidR="008703FA" w:rsidP="008703FA">
      <w:pPr>
        <w:spacing w:line="480" w:lineRule="auto"/>
        <w:ind w:firstLine="720"/>
        <w:rPr>
          <w:rFonts w:cs="Times New Roman"/>
          <w:szCs w:val="24"/>
        </w:rPr>
      </w:pPr>
      <w:r>
        <w:rPr>
          <w:rFonts w:cs="Times New Roman"/>
          <w:szCs w:val="24"/>
        </w:rPr>
        <w:t>The PUCO Staff did not propose any changes to Ohio Adm. Code 4901:1-18-06(A)(2) that requires utilities to provide customers with personal notice on the day that services are being disconnected.   DP&amp;L proposed modifications to the rules that would not require a personal notification if the customer has a meter with remote disconnection capabilities.</w:t>
      </w:r>
      <w:r>
        <w:rPr>
          <w:rStyle w:val="FootnoteReference"/>
          <w:rFonts w:cs="Times New Roman"/>
          <w:szCs w:val="24"/>
        </w:rPr>
        <w:footnoteReference w:id="35"/>
      </w:r>
      <w:r>
        <w:rPr>
          <w:rFonts w:cs="Times New Roman"/>
          <w:szCs w:val="24"/>
        </w:rPr>
        <w:t xml:space="preserve">  DP&amp;L’s proposals should be rejected by the PUCO.  The personal notice on the day services are being disconnected provides consumers a last chance to make payment to avoid being disconnected.  In addition, the personal notice helps ensure that there are not extenuating circumstances in the customer’s home that would or should delay a disconnection. </w:t>
      </w:r>
    </w:p>
    <w:p w:rsidR="008703FA" w:rsidP="008703FA">
      <w:pPr>
        <w:spacing w:line="480" w:lineRule="auto"/>
        <w:ind w:firstLine="720"/>
        <w:rPr>
          <w:rFonts w:cs="Times New Roman"/>
          <w:szCs w:val="24"/>
        </w:rPr>
      </w:pPr>
      <w:r>
        <w:rPr>
          <w:rFonts w:cs="Times New Roman"/>
          <w:szCs w:val="24"/>
        </w:rPr>
        <w:t>Also, the deployment of AMI systems with remote disconnection capabilities occurs over many years. It would be inappropriate to reduce the consumer protection requirements until and unless the deployment is fully complete and an assessment is performed of the impact on consumers of eliminating personal notice on the day services are disconnected.</w:t>
      </w:r>
    </w:p>
    <w:p w:rsidR="008703FA" w:rsidRPr="005E0A25" w:rsidP="008703FA">
      <w:pPr>
        <w:pStyle w:val="Heading3"/>
        <w:rPr>
          <w:sz w:val="22"/>
        </w:rPr>
      </w:pPr>
      <w:bookmarkStart w:id="16" w:name="_Toc16780422"/>
      <w:r w:rsidRPr="005E0A25">
        <w:t xml:space="preserve">6. </w:t>
      </w:r>
      <w:r>
        <w:tab/>
      </w:r>
      <w:r w:rsidRPr="005E0A25">
        <w:t xml:space="preserve">The PUCO should require disconnection notices in Ohio Adm. Code 4901:1-18-06(A) and (B) to expire within </w:t>
      </w:r>
      <w:r>
        <w:t>30</w:t>
      </w:r>
      <w:r w:rsidRPr="005E0A25">
        <w:t xml:space="preserve"> days of the disconnection date stated on the notice if the services were not previously disconnected.</w:t>
      </w:r>
      <w:bookmarkEnd w:id="16"/>
      <w:r w:rsidRPr="005E0A25">
        <w:t xml:space="preserve">  </w:t>
      </w:r>
    </w:p>
    <w:p w:rsidR="008703FA" w:rsidP="008703FA">
      <w:pPr>
        <w:spacing w:line="480" w:lineRule="auto"/>
        <w:ind w:firstLine="720"/>
      </w:pPr>
      <w:r>
        <w:t>The PUCO Staff proposed a modification to Ohio Adm. Code 4901:1-18-06(B)(3) that results in the additional ten-day disconnection notice that is provided to customers during the winter heating season expiring 60 days after the disconnection date on the bill if services were not previously disconnected.  Once the ten-day notice expires, a utility would be required to then send a new ten-day notice.  AEP Ohio commented that if the ten-day disconnection notice expires, a new fourteen-day notice pursuant to Ohio Adm. Code 4901:1-18-06(A) should be provided to consumers.</w:t>
      </w:r>
      <w:r>
        <w:rPr>
          <w:rStyle w:val="FootnoteReference"/>
        </w:rPr>
        <w:footnoteReference w:id="36"/>
      </w:r>
      <w:r>
        <w:t xml:space="preserve">  </w:t>
      </w:r>
    </w:p>
    <w:p w:rsidR="008703FA" w:rsidP="008703FA">
      <w:pPr>
        <w:spacing w:line="480" w:lineRule="auto"/>
        <w:ind w:firstLine="720"/>
      </w:pPr>
      <w:r>
        <w:t xml:space="preserve">The Consumer Groups agree with AEP Ohio that a new 14-day notice should be issued.  However, the Consumer Groups do not agree that disconnection notices should expire after 60 days.  If a utility does not disconnect service within 30 days of the disconnection date on the notice, a new 14-day disconnection notice should be provided to consumers. During the winter heating months, an additional ten-day disconnection notice following the 14-day notice would then be provided to consumers. This should help keep customers informed about the urgency that is needed to prevent a disconnection of service. </w:t>
      </w:r>
    </w:p>
    <w:p w:rsidR="008703FA" w:rsidRPr="00D923A4" w:rsidP="008703FA">
      <w:pPr>
        <w:pStyle w:val="Heading3"/>
      </w:pPr>
      <w:bookmarkStart w:id="17" w:name="_Toc16780423"/>
      <w:r>
        <w:t xml:space="preserve">7.  </w:t>
      </w:r>
      <w:r>
        <w:tab/>
        <w:t>The PUCO should modify Ohio Adm. Code 4901:1-18-07(B)(2) to reflect OPAE’s proposal to limit the regular reconnection fee to $10 for meters that have remote disconnection and reconnection capabilities.</w:t>
      </w:r>
      <w:bookmarkEnd w:id="17"/>
    </w:p>
    <w:p w:rsidR="008703FA" w:rsidP="008703FA">
      <w:pPr>
        <w:spacing w:line="480" w:lineRule="auto"/>
        <w:ind w:firstLine="720"/>
        <w:rPr>
          <w:rFonts w:cs="Times New Roman"/>
          <w:szCs w:val="24"/>
        </w:rPr>
      </w:pPr>
      <w:r>
        <w:rPr>
          <w:rFonts w:cs="Times New Roman"/>
          <w:szCs w:val="24"/>
        </w:rPr>
        <w:t>OPAE recommend that reconnection fees be limited to an amount not to exceed $10 during normal hours and $15 after regular hours for meters that have remote connection capabilities.</w:t>
      </w:r>
      <w:r>
        <w:rPr>
          <w:rStyle w:val="FootnoteReference"/>
          <w:rFonts w:cs="Times New Roman"/>
          <w:szCs w:val="24"/>
        </w:rPr>
        <w:footnoteReference w:id="37"/>
      </w:r>
      <w:r>
        <w:rPr>
          <w:rFonts w:cs="Times New Roman"/>
          <w:szCs w:val="24"/>
        </w:rPr>
        <w:t xml:space="preserve">  The Consumer Groups support this recommendation.  </w:t>
      </w:r>
    </w:p>
    <w:p w:rsidR="008703FA" w:rsidP="008703FA">
      <w:pPr>
        <w:spacing w:line="480" w:lineRule="auto"/>
        <w:ind w:firstLine="720"/>
        <w:rPr>
          <w:rFonts w:cs="Times New Roman"/>
          <w:szCs w:val="24"/>
        </w:rPr>
      </w:pPr>
      <w:r>
        <w:rPr>
          <w:rFonts w:cs="Times New Roman"/>
          <w:szCs w:val="24"/>
        </w:rPr>
        <w:t>Currently, both Duke and AEP Ohio have either completed or have large-scale, ongoing AMI deployments where the meters can be remotely disconnected and reconnected.  Duke’s tariff supports a $10 reconnection charge if the reconnection can be accomplished remotely.</w:t>
      </w:r>
      <w:r>
        <w:rPr>
          <w:rStyle w:val="FootnoteReference"/>
          <w:rFonts w:cs="Times New Roman"/>
          <w:szCs w:val="24"/>
        </w:rPr>
        <w:footnoteReference w:id="38"/>
      </w:r>
      <w:r>
        <w:rPr>
          <w:rFonts w:cs="Times New Roman"/>
          <w:szCs w:val="24"/>
        </w:rPr>
        <w:t xml:space="preserve"> However, AEP Ohio has installed over a million AMI meters and is continuing to charge a $53 reconnection charge for remotely  reconnecting meters.</w:t>
      </w:r>
      <w:r>
        <w:rPr>
          <w:rStyle w:val="FootnoteReference"/>
          <w:rFonts w:cs="Times New Roman"/>
          <w:szCs w:val="24"/>
        </w:rPr>
        <w:footnoteReference w:id="39"/>
      </w:r>
      <w:r>
        <w:rPr>
          <w:rFonts w:cs="Times New Roman"/>
          <w:szCs w:val="24"/>
        </w:rPr>
        <w:t xml:space="preserve">  AEP charges the same $53.00 reconnection fee if the Utility sends an employee into the field to physically disconnect service at the meter.  FirstEnergy has approval to begin a wide-scale AMI deployment in the near future</w:t>
      </w:r>
      <w:r>
        <w:rPr>
          <w:rStyle w:val="FootnoteReference"/>
          <w:rFonts w:cs="Times New Roman"/>
          <w:szCs w:val="24"/>
        </w:rPr>
        <w:footnoteReference w:id="40"/>
      </w:r>
      <w:r>
        <w:rPr>
          <w:rFonts w:cs="Times New Roman"/>
          <w:szCs w:val="24"/>
        </w:rPr>
        <w:t xml:space="preserve"> and DP&amp;L has a pending application to deploy AMI meters.</w:t>
      </w:r>
      <w:r>
        <w:rPr>
          <w:rStyle w:val="FootnoteReference"/>
          <w:rFonts w:cs="Times New Roman"/>
          <w:szCs w:val="24"/>
        </w:rPr>
        <w:footnoteReference w:id="41"/>
      </w:r>
      <w:r>
        <w:rPr>
          <w:rFonts w:cs="Times New Roman"/>
          <w:szCs w:val="24"/>
        </w:rPr>
        <w:t xml:space="preserve">  To prevent customers from paying unjust and unreasonable reconnection charges, the PUCO should modify Ohio Adm. Code 4901:1-18-07(B)(2) to limit the reconnection charge to no more than $10 for meters that are remotely controlled.      </w:t>
      </w:r>
    </w:p>
    <w:p w:rsidR="008703FA" w:rsidRPr="00D923A4" w:rsidP="008703FA">
      <w:pPr>
        <w:pStyle w:val="Heading3"/>
      </w:pPr>
      <w:bookmarkStart w:id="18" w:name="_Toc16780424"/>
      <w:r>
        <w:t xml:space="preserve">8.  </w:t>
      </w:r>
      <w:r>
        <w:tab/>
        <w:t>The PUCO should reject AEP Ohio’s proposal to weaken the landlord-tenant provisions in Ohio Adm. Code 4901:1-18-08(A) and (G).</w:t>
      </w:r>
      <w:bookmarkEnd w:id="18"/>
    </w:p>
    <w:p w:rsidR="008703FA" w:rsidP="008703FA">
      <w:pPr>
        <w:spacing w:line="480" w:lineRule="auto"/>
        <w:ind w:firstLine="720"/>
        <w:rPr>
          <w:rFonts w:cs="Times New Roman"/>
          <w:szCs w:val="24"/>
        </w:rPr>
      </w:pPr>
      <w:r>
        <w:rPr>
          <w:rFonts w:cs="Times New Roman"/>
          <w:szCs w:val="24"/>
        </w:rPr>
        <w:t>The PUCO Staff did not propose any changes in the landlord-tenant provisions in Ohio Adm. Code 4901:1-8-08.  No changes are needed.  These rules set forth the notification requirements that must be provided to tenants before service can be disconnected for non-payment.  Under the rules, if a landlord does not make payment for master-metered service where the utilities are included in the tenant’s rent, the utility must provide a 14-day notice to the landlord, and then another ten-day notice to the landlord and to each tenant.  This notice is very important because it provides tenants with the information they need regarding their rights under Ohio Revised Code 5321 if the landlord fails to pay the utilities.  These rights include legal remedies through the courts that can help tenants avoid disconnections or to get services reconnected as a result of a landlord’s failure to pay utility bills.  This consumer protection should not be weakened.</w:t>
      </w:r>
    </w:p>
    <w:p w:rsidR="008703FA" w:rsidP="008703FA">
      <w:pPr>
        <w:spacing w:line="480" w:lineRule="auto"/>
        <w:ind w:firstLine="720"/>
        <w:rPr>
          <w:rFonts w:cs="Times New Roman"/>
          <w:szCs w:val="24"/>
        </w:rPr>
      </w:pPr>
      <w:r>
        <w:rPr>
          <w:rFonts w:cs="Times New Roman"/>
          <w:szCs w:val="24"/>
        </w:rPr>
        <w:t>AEP Ohio has proposed that instead of mailing the ten-day notice to individual tenants as required under the rules, it would mail the ten-day notice to “the landlord/ agent and to the ‘premise’.”</w:t>
      </w:r>
      <w:r>
        <w:rPr>
          <w:rStyle w:val="FootnoteReference"/>
          <w:rFonts w:cs="Times New Roman"/>
          <w:szCs w:val="24"/>
        </w:rPr>
        <w:footnoteReference w:id="42"/>
      </w:r>
      <w:r>
        <w:rPr>
          <w:rFonts w:cs="Times New Roman"/>
          <w:szCs w:val="24"/>
        </w:rPr>
        <w:t xml:space="preserve"> This is a bad idea. Mailing a ten-day notice only to the “premises” provides no assurance that individual tenants will be informed of their rights under Ohio law. In fact, the “premise(s)”, would be a building, not a person. There is no description in the AEP Ohio proposal of how the additional notices would be addressed to a building that has no name or specific mailbox. This likely will result in utility services being disconnected without notice to the tenants who have paid their rent (and utilities) to the landlord and are continuing to live in the premises. The most likely results of this change are that the tenant, who is not the customer, will not know that there will be a disconnection until it occurs.  Remedies that are available to help tenants prevent disconnection through local ordinances or state laws such as escrow provisions are rendered meaningless under the AEP proposal. </w:t>
      </w:r>
    </w:p>
    <w:p w:rsidR="008703FA" w:rsidP="008703FA">
      <w:pPr>
        <w:spacing w:line="480" w:lineRule="auto"/>
        <w:ind w:firstLine="720"/>
        <w:rPr>
          <w:rFonts w:cs="Times New Roman"/>
          <w:szCs w:val="24"/>
        </w:rPr>
      </w:pPr>
      <w:r>
        <w:rPr>
          <w:rFonts w:cs="Times New Roman"/>
          <w:szCs w:val="24"/>
        </w:rPr>
        <w:t xml:space="preserve"> Current Ohio Adm. Code 4901:1-18-08(A) and (G) should remain unchanged as originally proposed by Staff.  The PUCO should reject AEP Ohio’s proposed modifications to Ohio Adm. Code 4901:1-18-08(A) and (G).  </w:t>
      </w:r>
    </w:p>
    <w:p w:rsidR="008703FA" w:rsidRPr="00D923A4" w:rsidP="008703FA">
      <w:pPr>
        <w:pStyle w:val="Heading3"/>
      </w:pPr>
      <w:bookmarkStart w:id="19" w:name="_Toc16780425"/>
      <w:r>
        <w:t xml:space="preserve">9.  </w:t>
      </w:r>
      <w:r>
        <w:tab/>
        <w:t>DP&amp;L’s proposed modifications to Ohio Adm. Code 4901:1-18-10(A) are unnecessary and create ambiguity on the reasons a utility can deny service to new applicants.</w:t>
      </w:r>
      <w:bookmarkEnd w:id="19"/>
    </w:p>
    <w:p w:rsidR="0048628A" w:rsidP="008703FA">
      <w:pPr>
        <w:spacing w:line="480" w:lineRule="auto"/>
        <w:ind w:firstLine="720"/>
        <w:rPr>
          <w:rFonts w:cs="Times New Roman"/>
          <w:szCs w:val="24"/>
        </w:rPr>
      </w:pPr>
      <w:r>
        <w:rPr>
          <w:rFonts w:cs="Times New Roman"/>
          <w:szCs w:val="24"/>
        </w:rPr>
        <w:t>Ohio Adm. Code 4901:1-18-10 forbids a utility from refusing service to a new applicant unless the new applicant and a former customer who has a delinquent account from the same address continue to reside at the same address.  The PUCO Staff correctly proposed no modification to the rule.  DP&amp;L has proposed modifying the rule to eliminate the reference to the new applicant for service in determining if a former customer with a past due balance continues to reside at the premises.</w:t>
      </w:r>
      <w:r>
        <w:rPr>
          <w:rStyle w:val="FootnoteReference"/>
          <w:rFonts w:cs="Times New Roman"/>
          <w:szCs w:val="24"/>
        </w:rPr>
        <w:footnoteReference w:id="43"/>
      </w:r>
      <w:r>
        <w:rPr>
          <w:rFonts w:cs="Times New Roman"/>
          <w:szCs w:val="24"/>
        </w:rPr>
        <w:t xml:space="preserve">  DP&amp;L’s proposal should be rejected. </w:t>
      </w:r>
    </w:p>
    <w:p w:rsidR="008703FA" w:rsidP="008703FA">
      <w:pPr>
        <w:spacing w:line="480" w:lineRule="auto"/>
        <w:ind w:firstLine="720"/>
        <w:rPr>
          <w:rFonts w:cs="Times New Roman"/>
          <w:szCs w:val="24"/>
        </w:rPr>
      </w:pPr>
      <w:r>
        <w:rPr>
          <w:rFonts w:cs="Times New Roman"/>
          <w:szCs w:val="24"/>
        </w:rPr>
        <w:t xml:space="preserve">The purpose of this rule is to safeguard that a new applicant for utility service will not be refused service unless the former customer continues to reside at the same address. This is an important distinction because it should be presumed that the credentials of the new applicant stand on their own. DP&amp;L’s proposal could empower a utility to question every applicant for new service about the identity of all household members and the whereabouts of any former customers who may owe the utility money from the same address.  This can cause unnecessary delay in initiating new service and potentially discriminate in the screening of new applicants.  If it is later determined that a former customer with delinquency from the same address continues to reside with the applicant, the rules provide sufficient remedies that are consistent with Ohio law.  The PUCO should not modify Ohio Adm. Code 4901:1-18-10(A) as proposed by DP&amp;L.         </w:t>
      </w:r>
    </w:p>
    <w:p w:rsidR="008703FA" w:rsidRPr="00ED5313" w:rsidP="008703FA">
      <w:pPr>
        <w:ind w:firstLine="720"/>
        <w:rPr>
          <w:rFonts w:cs="Times New Roman"/>
          <w:szCs w:val="24"/>
        </w:rPr>
      </w:pPr>
      <w:r>
        <w:rPr>
          <w:rFonts w:cs="Times New Roman"/>
          <w:szCs w:val="24"/>
        </w:rPr>
        <w:t xml:space="preserve">    </w:t>
      </w:r>
    </w:p>
    <w:p w:rsidR="008703FA" w:rsidP="008703FA">
      <w:pPr>
        <w:pStyle w:val="Heading1"/>
      </w:pPr>
      <w:bookmarkStart w:id="20" w:name="_Toc16780426"/>
      <w:r>
        <w:t>III.</w:t>
      </w:r>
      <w:r>
        <w:tab/>
        <w:t xml:space="preserve">RESPONse TO </w:t>
      </w:r>
      <w:r w:rsidRPr="005F5BC3">
        <w:t>SECTION II RECOMMENDATIONS (PUCO RULES CONTAINED IN OHIO ADM.</w:t>
      </w:r>
      <w:r>
        <w:t xml:space="preserve"> </w:t>
      </w:r>
      <w:r w:rsidRPr="005F5BC3">
        <w:t>CODE CHAPTER 4901:1-17)</w:t>
      </w:r>
      <w:bookmarkEnd w:id="20"/>
    </w:p>
    <w:p w:rsidR="008703FA" w:rsidRPr="005F5BC3" w:rsidP="008703FA"/>
    <w:p w:rsidR="008703FA" w:rsidRPr="005F5BC3" w:rsidP="008703FA">
      <w:pPr>
        <w:pStyle w:val="Heading2"/>
      </w:pPr>
      <w:bookmarkStart w:id="21" w:name="_Toc16780427"/>
      <w:r>
        <w:t>A.</w:t>
      </w:r>
      <w:r>
        <w:tab/>
      </w:r>
      <w:r w:rsidRPr="005F5BC3">
        <w:t>The PUCO should not modify Ohio Adm.</w:t>
      </w:r>
      <w:r>
        <w:t xml:space="preserve"> </w:t>
      </w:r>
      <w:r w:rsidRPr="005F5BC3">
        <w:t>Code 4901:1-17-04(B) until an evaluation is performed to determine the impact of additional deposits on consumers.</w:t>
      </w:r>
      <w:bookmarkEnd w:id="21"/>
    </w:p>
    <w:p w:rsidR="008703FA" w:rsidP="008703FA">
      <w:pPr>
        <w:spacing w:line="480" w:lineRule="auto"/>
        <w:ind w:firstLine="720"/>
        <w:rPr>
          <w:rFonts w:cs="Times New Roman"/>
          <w:szCs w:val="24"/>
        </w:rPr>
      </w:pPr>
      <w:r w:rsidRPr="00F25CD0">
        <w:rPr>
          <w:rFonts w:cs="Times New Roman"/>
          <w:szCs w:val="24"/>
        </w:rPr>
        <w:t xml:space="preserve">The PUCO Staff proposed amending Ohio Adm. Code 4901:1-17-04(B) that would permit utility companies to assess a deposit if customers have not made full payment or payment arrangements for two consecutive bills. </w:t>
      </w:r>
      <w:r>
        <w:rPr>
          <w:rFonts w:cs="Times New Roman"/>
          <w:szCs w:val="24"/>
        </w:rPr>
        <w:t xml:space="preserve">The Consumer Groups request that the PUCO Staff first determine that, prior to the PUCO adopting this modification, this proposal will not increase the number of customer deposits or have a disparate impact on consumers.  </w:t>
      </w:r>
    </w:p>
    <w:p w:rsidR="008703FA" w:rsidRPr="00F25CD0" w:rsidP="008703FA">
      <w:pPr>
        <w:spacing w:line="480" w:lineRule="auto"/>
        <w:ind w:firstLine="720"/>
        <w:rPr>
          <w:rFonts w:cs="Times New Roman"/>
          <w:szCs w:val="24"/>
        </w:rPr>
      </w:pPr>
      <w:r>
        <w:rPr>
          <w:rFonts w:cs="Times New Roman"/>
          <w:szCs w:val="24"/>
        </w:rPr>
        <w:t xml:space="preserve">In its comments, </w:t>
      </w:r>
      <w:r w:rsidRPr="00F25CD0">
        <w:rPr>
          <w:rFonts w:cs="Times New Roman"/>
          <w:szCs w:val="24"/>
        </w:rPr>
        <w:t xml:space="preserve">Duke </w:t>
      </w:r>
      <w:r>
        <w:rPr>
          <w:rFonts w:cs="Times New Roman"/>
          <w:szCs w:val="24"/>
        </w:rPr>
        <w:t>opined</w:t>
      </w:r>
      <w:r w:rsidRPr="00F25CD0">
        <w:rPr>
          <w:rFonts w:cs="Times New Roman"/>
          <w:szCs w:val="24"/>
        </w:rPr>
        <w:t xml:space="preserve"> that this change will require a change in its billing systems and will result in many more “midlife” deposits.</w:t>
      </w:r>
      <w:r>
        <w:rPr>
          <w:rStyle w:val="FootnoteReference"/>
          <w:rFonts w:cs="Times New Roman"/>
          <w:szCs w:val="24"/>
        </w:rPr>
        <w:footnoteReference w:id="44"/>
      </w:r>
      <w:r w:rsidRPr="00F25CD0">
        <w:rPr>
          <w:rFonts w:cs="Times New Roman"/>
          <w:szCs w:val="24"/>
        </w:rPr>
        <w:t xml:space="preserve"> DP&amp;L claim</w:t>
      </w:r>
      <w:r>
        <w:rPr>
          <w:rFonts w:cs="Times New Roman"/>
          <w:szCs w:val="24"/>
        </w:rPr>
        <w:t>ed</w:t>
      </w:r>
      <w:r w:rsidRPr="00F25CD0">
        <w:rPr>
          <w:rFonts w:cs="Times New Roman"/>
          <w:szCs w:val="24"/>
        </w:rPr>
        <w:t xml:space="preserve"> that this change can result in an increase in uncollectible expenses</w:t>
      </w:r>
      <w:r>
        <w:rPr>
          <w:rFonts w:cs="Times New Roman"/>
          <w:szCs w:val="24"/>
        </w:rPr>
        <w:t xml:space="preserve"> because </w:t>
      </w:r>
      <w:r w:rsidRPr="00F25CD0">
        <w:rPr>
          <w:rFonts w:cs="Times New Roman"/>
          <w:szCs w:val="24"/>
        </w:rPr>
        <w:t>past due debt could be extended into an additional billing period. No additional details were provided by DP&amp;L to support its claim. DP&amp;L commented that the Staff</w:t>
      </w:r>
      <w:r>
        <w:rPr>
          <w:rFonts w:cs="Times New Roman"/>
          <w:szCs w:val="24"/>
        </w:rPr>
        <w:t>’s</w:t>
      </w:r>
      <w:r w:rsidRPr="00F25CD0">
        <w:rPr>
          <w:rFonts w:cs="Times New Roman"/>
          <w:szCs w:val="24"/>
        </w:rPr>
        <w:t xml:space="preserve"> proposed rule change would extend the collection of deposits over an additional billing period.</w:t>
      </w:r>
      <w:r>
        <w:rPr>
          <w:rStyle w:val="FootnoteReference"/>
          <w:rFonts w:cs="Times New Roman"/>
          <w:szCs w:val="24"/>
        </w:rPr>
        <w:footnoteReference w:id="45"/>
      </w:r>
      <w:r w:rsidRPr="00F25CD0">
        <w:rPr>
          <w:rFonts w:cs="Times New Roman"/>
          <w:szCs w:val="24"/>
        </w:rPr>
        <w:t xml:space="preserve"> </w:t>
      </w:r>
    </w:p>
    <w:p w:rsidR="008703FA" w:rsidRPr="00F25CD0" w:rsidP="008703FA">
      <w:pPr>
        <w:spacing w:line="480" w:lineRule="auto"/>
        <w:ind w:firstLine="720"/>
        <w:rPr>
          <w:rFonts w:cs="Times New Roman"/>
          <w:szCs w:val="24"/>
        </w:rPr>
      </w:pPr>
      <w:r>
        <w:rPr>
          <w:rFonts w:cs="Times New Roman"/>
          <w:szCs w:val="24"/>
        </w:rPr>
        <w:t>I</w:t>
      </w:r>
      <w:r w:rsidRPr="00F25CD0">
        <w:rPr>
          <w:rFonts w:cs="Times New Roman"/>
          <w:szCs w:val="24"/>
        </w:rPr>
        <w:t xml:space="preserve">f the proposed modification to Ohio Adm. Code 4901:1-17-04(B) results in the collection of more </w:t>
      </w:r>
      <w:r>
        <w:rPr>
          <w:rFonts w:cs="Times New Roman"/>
          <w:szCs w:val="24"/>
        </w:rPr>
        <w:t xml:space="preserve">consumer </w:t>
      </w:r>
      <w:r w:rsidRPr="00F25CD0">
        <w:rPr>
          <w:rFonts w:cs="Times New Roman"/>
          <w:szCs w:val="24"/>
        </w:rPr>
        <w:t xml:space="preserve">deposits, this outcome is not in the public interest.  </w:t>
      </w:r>
      <w:r>
        <w:rPr>
          <w:rFonts w:cs="Times New Roman"/>
          <w:szCs w:val="24"/>
        </w:rPr>
        <w:t>Customer d</w:t>
      </w:r>
      <w:r w:rsidRPr="00F25CD0">
        <w:rPr>
          <w:rFonts w:cs="Times New Roman"/>
          <w:szCs w:val="24"/>
        </w:rPr>
        <w:t xml:space="preserve">eposits are expensive and can contribute to the overall unaffordability of utility services.  If customers are already struggling </w:t>
      </w:r>
      <w:r>
        <w:rPr>
          <w:rFonts w:cs="Times New Roman"/>
          <w:szCs w:val="24"/>
        </w:rPr>
        <w:t xml:space="preserve">to </w:t>
      </w:r>
      <w:r w:rsidRPr="00F25CD0">
        <w:rPr>
          <w:rFonts w:cs="Times New Roman"/>
          <w:szCs w:val="24"/>
        </w:rPr>
        <w:t xml:space="preserve">pay gas and/or electric bills, an additional “midlife” deposit is not particularly helpful in securing payment or in helping customers avoid disconnection.  In addition, </w:t>
      </w:r>
      <w:r>
        <w:rPr>
          <w:rFonts w:cs="Times New Roman"/>
          <w:szCs w:val="24"/>
        </w:rPr>
        <w:t xml:space="preserve">because </w:t>
      </w:r>
      <w:r w:rsidRPr="00F25CD0">
        <w:rPr>
          <w:rFonts w:cs="Times New Roman"/>
          <w:szCs w:val="24"/>
        </w:rPr>
        <w:t>deposits are generally required to reconnect service following disconnection,</w:t>
      </w:r>
      <w:r>
        <w:rPr>
          <w:rStyle w:val="FootnoteReference"/>
          <w:rFonts w:cs="Times New Roman"/>
          <w:szCs w:val="24"/>
        </w:rPr>
        <w:footnoteReference w:id="46"/>
      </w:r>
      <w:r w:rsidRPr="00F25CD0">
        <w:rPr>
          <w:rFonts w:cs="Times New Roman"/>
          <w:szCs w:val="24"/>
        </w:rPr>
        <w:t xml:space="preserve"> the “midlife” deposit would seemingly</w:t>
      </w:r>
      <w:r>
        <w:rPr>
          <w:rFonts w:cs="Times New Roman"/>
          <w:szCs w:val="24"/>
        </w:rPr>
        <w:t xml:space="preserve"> not</w:t>
      </w:r>
      <w:r w:rsidRPr="00F25CD0">
        <w:rPr>
          <w:rFonts w:cs="Times New Roman"/>
          <w:szCs w:val="24"/>
        </w:rPr>
        <w:t xml:space="preserve"> have much impact on reducing uncollectible debt. </w:t>
      </w:r>
    </w:p>
    <w:p w:rsidR="008703FA" w:rsidRPr="00F25CD0" w:rsidP="008703FA">
      <w:pPr>
        <w:spacing w:line="480" w:lineRule="auto"/>
        <w:ind w:firstLine="720"/>
        <w:rPr>
          <w:rFonts w:cs="Times New Roman"/>
          <w:szCs w:val="24"/>
        </w:rPr>
      </w:pPr>
      <w:r w:rsidRPr="00F25CD0">
        <w:rPr>
          <w:rFonts w:cs="Times New Roman"/>
          <w:szCs w:val="24"/>
        </w:rPr>
        <w:t>The PUCO should require Staff to evaluate the written credit procedures that each utility is required to maintain</w:t>
      </w:r>
      <w:r>
        <w:rPr>
          <w:rStyle w:val="FootnoteReference"/>
          <w:rFonts w:cs="Times New Roman"/>
          <w:szCs w:val="24"/>
        </w:rPr>
        <w:footnoteReference w:id="47"/>
      </w:r>
      <w:r w:rsidRPr="00F25CD0">
        <w:rPr>
          <w:rFonts w:cs="Times New Roman"/>
          <w:szCs w:val="24"/>
        </w:rPr>
        <w:t xml:space="preserve"> to determine the impact that a “midlife” deposit will have on consumers. </w:t>
      </w:r>
      <w:r>
        <w:rPr>
          <w:rFonts w:cs="Times New Roman"/>
          <w:szCs w:val="24"/>
        </w:rPr>
        <w:t xml:space="preserve">Changes in procedures that can result in customers being required to pay additional deposits should be discouraged. </w:t>
      </w:r>
      <w:r w:rsidRPr="00F25CD0">
        <w:rPr>
          <w:rFonts w:cs="Times New Roman"/>
          <w:szCs w:val="24"/>
        </w:rPr>
        <w:t xml:space="preserve">In addition, the PUCO should require Staff to evaluate the costs associated with modifying the utility billing systems to implement the “midlife” deposit.  Each of these evaluations should be completed prior to the PUCO approving the Staff proposed rule changes in Ohio Adm. Code 4901:1-17-04(B). </w:t>
      </w:r>
    </w:p>
    <w:p w:rsidR="008703FA" w:rsidRPr="00D923A4" w:rsidP="008703FA">
      <w:pPr>
        <w:ind w:firstLine="720"/>
        <w:rPr>
          <w:rFonts w:cs="Times New Roman"/>
          <w:szCs w:val="24"/>
        </w:rPr>
      </w:pPr>
    </w:p>
    <w:p w:rsidR="008F2D7F" w:rsidP="008703FA">
      <w:pPr>
        <w:pStyle w:val="Heading1"/>
        <w:sectPr w:rsidSect="00694341">
          <w:headerReference w:type="first" r:id="rId14"/>
          <w:pgSz w:w="12240" w:h="15840"/>
          <w:pgMar w:top="1440" w:right="1800" w:bottom="1440" w:left="1800" w:header="720" w:footer="720" w:gutter="0"/>
          <w:cols w:space="720"/>
          <w:titlePg/>
          <w:docGrid w:linePitch="360"/>
        </w:sectPr>
      </w:pPr>
      <w:bookmarkStart w:id="22" w:name="_Toc14093167"/>
    </w:p>
    <w:p w:rsidR="008703FA" w:rsidRPr="00D923A4" w:rsidP="008703FA">
      <w:pPr>
        <w:pStyle w:val="Heading1"/>
      </w:pPr>
      <w:bookmarkStart w:id="23" w:name="_Toc16780428"/>
      <w:r w:rsidRPr="00D923A4">
        <w:t>I</w:t>
      </w:r>
      <w:r>
        <w:t>V</w:t>
      </w:r>
      <w:r w:rsidRPr="00D923A4">
        <w:t>.</w:t>
      </w:r>
      <w:r w:rsidRPr="00D923A4">
        <w:tab/>
        <w:t>CONCLUSION</w:t>
      </w:r>
      <w:bookmarkEnd w:id="22"/>
      <w:bookmarkEnd w:id="23"/>
    </w:p>
    <w:p w:rsidR="008703FA" w:rsidRPr="00D923A4" w:rsidP="008703FA">
      <w:pPr>
        <w:rPr>
          <w:rFonts w:cs="Times New Roman"/>
          <w:szCs w:val="24"/>
        </w:rPr>
      </w:pPr>
    </w:p>
    <w:p w:rsidR="008703FA" w:rsidRPr="00D923A4" w:rsidP="008703FA">
      <w:pPr>
        <w:spacing w:line="480" w:lineRule="auto"/>
        <w:rPr>
          <w:rFonts w:cs="Times New Roman"/>
          <w:szCs w:val="24"/>
        </w:rPr>
      </w:pPr>
      <w:r w:rsidRPr="00D923A4">
        <w:rPr>
          <w:rFonts w:cs="Times New Roman"/>
          <w:szCs w:val="24"/>
        </w:rPr>
        <w:tab/>
        <w:t xml:space="preserve">While </w:t>
      </w:r>
      <w:r>
        <w:rPr>
          <w:rFonts w:cs="Times New Roman"/>
          <w:szCs w:val="24"/>
        </w:rPr>
        <w:t xml:space="preserve">the Consumer Groups </w:t>
      </w:r>
      <w:r w:rsidRPr="00D923A4">
        <w:rPr>
          <w:rFonts w:cs="Times New Roman"/>
          <w:szCs w:val="24"/>
        </w:rPr>
        <w:t>generally support the changes proposed by PUCO Staff and by ODSA</w:t>
      </w:r>
      <w:r>
        <w:rPr>
          <w:rFonts w:cs="Times New Roman"/>
          <w:szCs w:val="24"/>
        </w:rPr>
        <w:t xml:space="preserve"> to Ohio Adm. Code Chapters 4901:1-17 and 4901:1-18,</w:t>
      </w:r>
      <w:r w:rsidRPr="00D923A4">
        <w:rPr>
          <w:rFonts w:cs="Times New Roman"/>
          <w:szCs w:val="24"/>
        </w:rPr>
        <w:t xml:space="preserve"> additional changes need to be made to the</w:t>
      </w:r>
      <w:r>
        <w:rPr>
          <w:rFonts w:cs="Times New Roman"/>
          <w:szCs w:val="24"/>
        </w:rPr>
        <w:t xml:space="preserve">se very important consumer protection rules </w:t>
      </w:r>
      <w:r w:rsidRPr="00D923A4">
        <w:rPr>
          <w:rFonts w:cs="Times New Roman"/>
          <w:szCs w:val="24"/>
        </w:rPr>
        <w:t xml:space="preserve">as discussed in the </w:t>
      </w:r>
      <w:r>
        <w:rPr>
          <w:rFonts w:cs="Times New Roman"/>
          <w:szCs w:val="24"/>
        </w:rPr>
        <w:t xml:space="preserve">Consumer Groups’ </w:t>
      </w:r>
      <w:r w:rsidRPr="00D923A4">
        <w:rPr>
          <w:rFonts w:cs="Times New Roman"/>
          <w:szCs w:val="24"/>
        </w:rPr>
        <w:t>comments</w:t>
      </w:r>
      <w:r>
        <w:rPr>
          <w:rFonts w:cs="Times New Roman"/>
          <w:szCs w:val="24"/>
        </w:rPr>
        <w:t xml:space="preserve"> and reply comments</w:t>
      </w:r>
      <w:r w:rsidRPr="00D923A4">
        <w:rPr>
          <w:rFonts w:cs="Times New Roman"/>
          <w:szCs w:val="24"/>
        </w:rPr>
        <w:t xml:space="preserve">. The PUCO should adopt </w:t>
      </w:r>
      <w:r>
        <w:rPr>
          <w:rFonts w:cs="Times New Roman"/>
          <w:szCs w:val="24"/>
        </w:rPr>
        <w:t xml:space="preserve">the Consumer Groups’ </w:t>
      </w:r>
      <w:r w:rsidRPr="00D923A4">
        <w:rPr>
          <w:rFonts w:cs="Times New Roman"/>
          <w:szCs w:val="24"/>
        </w:rPr>
        <w:t>proposals</w:t>
      </w:r>
      <w:r>
        <w:rPr>
          <w:rFonts w:cs="Times New Roman"/>
          <w:szCs w:val="24"/>
        </w:rPr>
        <w:t>, and reject the utility proposals discussed here.</w:t>
      </w:r>
    </w:p>
    <w:p w:rsidR="008703FA" w:rsidRPr="00D923A4" w:rsidP="008703FA">
      <w:pPr>
        <w:pStyle w:val="BodyTextIndent3"/>
        <w:widowControl w:val="0"/>
        <w:spacing w:line="480" w:lineRule="auto"/>
        <w:ind w:left="4320" w:firstLine="0"/>
        <w:rPr>
          <w:szCs w:val="24"/>
        </w:rPr>
      </w:pPr>
      <w:bookmarkStart w:id="24" w:name="_Hlk14430584"/>
      <w:r w:rsidRPr="00D923A4">
        <w:rPr>
          <w:szCs w:val="24"/>
        </w:rPr>
        <w:t>Respectfully submitted,</w:t>
      </w:r>
    </w:p>
    <w:p w:rsidR="008703FA" w:rsidRPr="00D923A4" w:rsidP="008703FA">
      <w:pPr>
        <w:ind w:left="4320"/>
        <w:rPr>
          <w:rFonts w:cs="Times New Roman"/>
          <w:i/>
          <w:iCs/>
          <w:szCs w:val="24"/>
          <w:u w:val="single"/>
        </w:rPr>
      </w:pPr>
      <w:r w:rsidRPr="00D923A4">
        <w:rPr>
          <w:rFonts w:cs="Times New Roman"/>
          <w:i/>
          <w:iCs/>
          <w:szCs w:val="24"/>
          <w:u w:val="single"/>
        </w:rPr>
        <w:t>/s/ Ellis Jacobs per authorization</w:t>
      </w:r>
    </w:p>
    <w:p w:rsidR="008703FA" w:rsidRPr="00D923A4" w:rsidP="008703FA">
      <w:pPr>
        <w:ind w:left="4320"/>
        <w:rPr>
          <w:rFonts w:cs="Times New Roman"/>
          <w:szCs w:val="24"/>
        </w:rPr>
      </w:pPr>
      <w:r w:rsidRPr="00D923A4">
        <w:rPr>
          <w:rFonts w:cs="Times New Roman"/>
          <w:szCs w:val="24"/>
        </w:rPr>
        <w:t>Ellis Jacobs (0017435)</w:t>
      </w:r>
    </w:p>
    <w:p w:rsidR="008703FA" w:rsidRPr="00D923A4" w:rsidP="008703FA">
      <w:pPr>
        <w:ind w:left="4320"/>
        <w:rPr>
          <w:rFonts w:cs="Times New Roman"/>
          <w:szCs w:val="24"/>
        </w:rPr>
      </w:pPr>
      <w:r w:rsidRPr="00D923A4">
        <w:rPr>
          <w:rFonts w:cs="Times New Roman"/>
          <w:szCs w:val="24"/>
        </w:rPr>
        <w:t>Advocates for Basic Legal Equality, Inc.</w:t>
      </w:r>
    </w:p>
    <w:p w:rsidR="008703FA" w:rsidRPr="00D923A4" w:rsidP="008703FA">
      <w:pPr>
        <w:ind w:left="4320"/>
        <w:rPr>
          <w:rFonts w:cs="Times New Roman"/>
          <w:szCs w:val="24"/>
        </w:rPr>
      </w:pPr>
      <w:r w:rsidRPr="00D923A4">
        <w:rPr>
          <w:rFonts w:cs="Times New Roman"/>
          <w:szCs w:val="24"/>
        </w:rPr>
        <w:t>130 West Second St., Ste. 700 East</w:t>
      </w:r>
    </w:p>
    <w:p w:rsidR="008703FA" w:rsidRPr="00D923A4" w:rsidP="008703FA">
      <w:pPr>
        <w:ind w:left="4320"/>
        <w:rPr>
          <w:rFonts w:cs="Times New Roman"/>
          <w:szCs w:val="24"/>
        </w:rPr>
      </w:pPr>
      <w:r w:rsidRPr="00D923A4">
        <w:rPr>
          <w:rFonts w:cs="Times New Roman"/>
          <w:szCs w:val="24"/>
        </w:rPr>
        <w:t>Dayton, Ohio 45402</w:t>
      </w:r>
    </w:p>
    <w:p w:rsidR="008703FA" w:rsidRPr="00D923A4" w:rsidP="008703FA">
      <w:pPr>
        <w:ind w:left="4320"/>
        <w:rPr>
          <w:rFonts w:cs="Times New Roman"/>
          <w:szCs w:val="24"/>
        </w:rPr>
      </w:pPr>
      <w:r w:rsidRPr="00D923A4">
        <w:rPr>
          <w:rFonts w:cs="Times New Roman"/>
          <w:szCs w:val="24"/>
        </w:rPr>
        <w:t>Direct:  937-535-4419</w:t>
      </w:r>
    </w:p>
    <w:p w:rsidR="008703FA" w:rsidRPr="00D923A4" w:rsidP="008703FA">
      <w:pPr>
        <w:ind w:left="4320"/>
        <w:rPr>
          <w:rFonts w:cs="Times New Roman"/>
          <w:szCs w:val="24"/>
        </w:rPr>
      </w:pPr>
      <w:r w:rsidRPr="00D923A4">
        <w:rPr>
          <w:rFonts w:cs="Times New Roman"/>
          <w:szCs w:val="24"/>
        </w:rPr>
        <w:t>Fax:  937-535-4600</w:t>
      </w:r>
    </w:p>
    <w:p w:rsidR="008703FA" w:rsidRPr="00D923A4" w:rsidP="008703FA">
      <w:pPr>
        <w:ind w:left="4320"/>
        <w:rPr>
          <w:rFonts w:cs="Times New Roman"/>
          <w:szCs w:val="24"/>
        </w:rPr>
      </w:pPr>
      <w:r>
        <w:fldChar w:fldCharType="begin"/>
      </w:r>
      <w:r>
        <w:instrText xml:space="preserve"> HYPERLINK "mailto:ejacobs@ablelaw.org" </w:instrText>
      </w:r>
      <w:r>
        <w:fldChar w:fldCharType="separate"/>
      </w:r>
      <w:r w:rsidRPr="00D923A4" w:rsidR="002D3DCF">
        <w:rPr>
          <w:rStyle w:val="Hyperlink"/>
          <w:rFonts w:cs="Times New Roman"/>
          <w:szCs w:val="24"/>
        </w:rPr>
        <w:t>ejacobs@ablelaw.org</w:t>
      </w:r>
      <w:r>
        <w:fldChar w:fldCharType="end"/>
      </w:r>
    </w:p>
    <w:p w:rsidR="008703FA" w:rsidRPr="00D923A4" w:rsidP="008703FA">
      <w:pPr>
        <w:ind w:left="4320"/>
        <w:rPr>
          <w:rFonts w:cs="Times New Roman"/>
          <w:szCs w:val="24"/>
        </w:rPr>
      </w:pPr>
      <w:r w:rsidRPr="00D923A4">
        <w:rPr>
          <w:rFonts w:cs="Times New Roman"/>
          <w:szCs w:val="24"/>
        </w:rPr>
        <w:t>(willing to accept service by e-mail)</w:t>
      </w:r>
    </w:p>
    <w:p w:rsidR="008703FA" w:rsidP="008703FA">
      <w:pPr>
        <w:ind w:left="4320"/>
        <w:rPr>
          <w:rFonts w:cs="Times New Roman"/>
          <w:i/>
          <w:iCs/>
          <w:szCs w:val="24"/>
          <w:u w:val="single"/>
        </w:rPr>
      </w:pPr>
    </w:p>
    <w:p w:rsidR="008F2D7F" w:rsidRPr="008F2D7F" w:rsidP="008703FA">
      <w:pPr>
        <w:ind w:left="3600" w:firstLine="720"/>
        <w:rPr>
          <w:rFonts w:cs="Times New Roman"/>
          <w:i/>
          <w:iCs/>
          <w:szCs w:val="24"/>
          <w:u w:val="single"/>
        </w:rPr>
      </w:pPr>
      <w:r w:rsidRPr="008F2D7F">
        <w:rPr>
          <w:rFonts w:cs="Times New Roman"/>
          <w:i/>
          <w:iCs/>
          <w:szCs w:val="24"/>
          <w:u w:val="single"/>
        </w:rPr>
        <w:t>/s/ Joseph V. Maskovyak per authorization</w:t>
      </w:r>
    </w:p>
    <w:p w:rsidR="008F2D7F" w:rsidP="008F2D7F">
      <w:pPr>
        <w:tabs>
          <w:tab w:val="right" w:pos="9360"/>
        </w:tabs>
        <w:ind w:left="4320"/>
        <w:rPr>
          <w:rFonts w:cs="Times New Roman"/>
          <w:szCs w:val="24"/>
        </w:rPr>
      </w:pPr>
      <w:r>
        <w:rPr>
          <w:rFonts w:cs="Times New Roman"/>
          <w:szCs w:val="24"/>
        </w:rPr>
        <w:t>Joseph V. Maskovyak (0029832)</w:t>
      </w:r>
    </w:p>
    <w:p w:rsidR="008F2D7F" w:rsidP="008F2D7F">
      <w:pPr>
        <w:tabs>
          <w:tab w:val="center" w:pos="4680"/>
          <w:tab w:val="right" w:pos="9360"/>
        </w:tabs>
        <w:ind w:left="4320"/>
        <w:rPr>
          <w:rFonts w:cs="Times New Roman"/>
          <w:szCs w:val="24"/>
        </w:rPr>
      </w:pPr>
      <w:r>
        <w:rPr>
          <w:rFonts w:cs="Times New Roman"/>
          <w:szCs w:val="24"/>
        </w:rPr>
        <w:t>Coalition on Homelessness and Housing in Ohio</w:t>
      </w:r>
    </w:p>
    <w:p w:rsidR="008F2D7F" w:rsidP="008F2D7F">
      <w:pPr>
        <w:tabs>
          <w:tab w:val="center" w:pos="4680"/>
          <w:tab w:val="right" w:pos="9360"/>
        </w:tabs>
        <w:ind w:left="4320"/>
        <w:rPr>
          <w:rFonts w:cs="Times New Roman"/>
          <w:szCs w:val="24"/>
        </w:rPr>
      </w:pPr>
      <w:r>
        <w:rPr>
          <w:rFonts w:cs="Times New Roman"/>
          <w:szCs w:val="24"/>
        </w:rPr>
        <w:t>175 S. High St., Suite 580</w:t>
      </w:r>
    </w:p>
    <w:p w:rsidR="008F2D7F" w:rsidP="008F2D7F">
      <w:pPr>
        <w:tabs>
          <w:tab w:val="center" w:pos="4680"/>
          <w:tab w:val="right" w:pos="9360"/>
        </w:tabs>
        <w:ind w:left="4320"/>
        <w:rPr>
          <w:rFonts w:cs="Times New Roman"/>
          <w:szCs w:val="24"/>
        </w:rPr>
      </w:pPr>
      <w:r>
        <w:rPr>
          <w:rFonts w:cs="Times New Roman"/>
          <w:szCs w:val="24"/>
        </w:rPr>
        <w:t>Columbus 43215</w:t>
      </w:r>
    </w:p>
    <w:p w:rsidR="008F2D7F" w:rsidP="008F2D7F">
      <w:pPr>
        <w:tabs>
          <w:tab w:val="center" w:pos="4680"/>
          <w:tab w:val="right" w:pos="9360"/>
        </w:tabs>
        <w:ind w:left="4320"/>
        <w:rPr>
          <w:rFonts w:cs="Times New Roman"/>
          <w:szCs w:val="24"/>
        </w:rPr>
      </w:pPr>
      <w:r>
        <w:rPr>
          <w:rFonts w:cs="Times New Roman"/>
          <w:szCs w:val="24"/>
        </w:rPr>
        <w:t>614-280-1984 ext. 133</w:t>
      </w:r>
    </w:p>
    <w:p w:rsidR="008F2D7F" w:rsidP="008F2D7F">
      <w:pPr>
        <w:tabs>
          <w:tab w:val="center" w:pos="4680"/>
          <w:tab w:val="right" w:pos="9360"/>
        </w:tabs>
        <w:ind w:left="4320"/>
        <w:rPr>
          <w:rFonts w:cs="Times New Roman"/>
          <w:szCs w:val="24"/>
        </w:rPr>
      </w:pPr>
      <w:r>
        <w:fldChar w:fldCharType="begin"/>
      </w:r>
      <w:r>
        <w:instrText xml:space="preserve"> HYPERLINK "mailto:joemaskovyak@cohhio.org" </w:instrText>
      </w:r>
      <w:r>
        <w:fldChar w:fldCharType="separate"/>
      </w:r>
      <w:r w:rsidRPr="002D364C" w:rsidR="002D3DCF">
        <w:rPr>
          <w:rStyle w:val="Hyperlink"/>
          <w:rFonts w:cs="Times New Roman"/>
          <w:szCs w:val="24"/>
        </w:rPr>
        <w:t>joemaskovyak@cohhio.org</w:t>
      </w:r>
      <w:r>
        <w:fldChar w:fldCharType="end"/>
      </w:r>
    </w:p>
    <w:p w:rsidR="008F2D7F" w:rsidRPr="008F2D7F" w:rsidP="008F2D7F">
      <w:pPr>
        <w:ind w:left="3600" w:firstLine="720"/>
        <w:rPr>
          <w:rFonts w:cs="Times New Roman"/>
          <w:i/>
          <w:iCs/>
          <w:szCs w:val="24"/>
        </w:rPr>
      </w:pPr>
      <w:r>
        <w:rPr>
          <w:rFonts w:cs="Times New Roman"/>
          <w:szCs w:val="24"/>
        </w:rPr>
        <w:t>(willing to accept service by e-mail)</w:t>
      </w:r>
    </w:p>
    <w:p w:rsidR="008F2D7F" w:rsidP="008703FA">
      <w:pPr>
        <w:ind w:left="3600" w:firstLine="720"/>
        <w:rPr>
          <w:rFonts w:cs="Times New Roman"/>
          <w:i/>
          <w:iCs/>
          <w:szCs w:val="24"/>
          <w:u w:val="single"/>
        </w:rPr>
      </w:pPr>
    </w:p>
    <w:p w:rsidR="00C53595" w:rsidRPr="00D923A4" w:rsidP="00C53595">
      <w:pPr>
        <w:ind w:left="4320"/>
        <w:rPr>
          <w:rFonts w:cs="Times New Roman"/>
          <w:i/>
          <w:iCs/>
          <w:szCs w:val="24"/>
          <w:u w:val="single"/>
        </w:rPr>
      </w:pPr>
      <w:r w:rsidRPr="00D923A4">
        <w:rPr>
          <w:rFonts w:cs="Times New Roman"/>
          <w:i/>
          <w:iCs/>
          <w:szCs w:val="24"/>
          <w:u w:val="single"/>
        </w:rPr>
        <w:t>/s/ Ashley Richardson Butler per authorization</w:t>
      </w:r>
    </w:p>
    <w:p w:rsidR="00C53595" w:rsidP="00C53595">
      <w:pPr>
        <w:ind w:left="4320"/>
        <w:rPr>
          <w:rFonts w:cs="Times New Roman"/>
          <w:szCs w:val="24"/>
        </w:rPr>
      </w:pPr>
      <w:r w:rsidRPr="00D923A4">
        <w:rPr>
          <w:rFonts w:cs="Times New Roman"/>
          <w:szCs w:val="24"/>
        </w:rPr>
        <w:t>Ashley Richardson Butler (0092825)</w:t>
      </w:r>
    </w:p>
    <w:p w:rsidR="00C53595" w:rsidRPr="00D923A4" w:rsidP="00C53595">
      <w:pPr>
        <w:ind w:left="4320"/>
        <w:rPr>
          <w:rFonts w:cs="Times New Roman"/>
          <w:szCs w:val="24"/>
        </w:rPr>
      </w:pPr>
      <w:r>
        <w:rPr>
          <w:rFonts w:cs="Times New Roman"/>
          <w:szCs w:val="24"/>
        </w:rPr>
        <w:t>Counsel for Communities United for Action</w:t>
      </w:r>
    </w:p>
    <w:p w:rsidR="00C53595" w:rsidRPr="00D923A4" w:rsidP="00C53595">
      <w:pPr>
        <w:ind w:left="4320"/>
        <w:rPr>
          <w:rFonts w:cs="Times New Roman"/>
          <w:szCs w:val="24"/>
        </w:rPr>
      </w:pPr>
      <w:r w:rsidRPr="00D923A4">
        <w:rPr>
          <w:rFonts w:cs="Times New Roman"/>
          <w:szCs w:val="24"/>
        </w:rPr>
        <w:t>Legal Aid Society of Greater Cincinnati</w:t>
      </w:r>
    </w:p>
    <w:p w:rsidR="00C53595" w:rsidRPr="00D923A4" w:rsidP="00C53595">
      <w:pPr>
        <w:ind w:left="4320"/>
        <w:rPr>
          <w:rFonts w:cs="Times New Roman"/>
          <w:szCs w:val="24"/>
        </w:rPr>
      </w:pPr>
      <w:r w:rsidRPr="00D923A4">
        <w:rPr>
          <w:rFonts w:cs="Times New Roman"/>
          <w:szCs w:val="24"/>
        </w:rPr>
        <w:t>215 E. Ninth Street, Suite 200</w:t>
      </w:r>
    </w:p>
    <w:p w:rsidR="00C53595" w:rsidRPr="00D923A4" w:rsidP="00C53595">
      <w:pPr>
        <w:ind w:left="4320"/>
        <w:rPr>
          <w:rFonts w:cs="Times New Roman"/>
          <w:szCs w:val="24"/>
        </w:rPr>
      </w:pPr>
      <w:r w:rsidRPr="00D923A4">
        <w:rPr>
          <w:rFonts w:cs="Times New Roman"/>
          <w:szCs w:val="24"/>
        </w:rPr>
        <w:t>Cincinnati, Ohio 45202</w:t>
      </w:r>
    </w:p>
    <w:p w:rsidR="00C53595" w:rsidRPr="00C53595" w:rsidP="00C53595">
      <w:pPr>
        <w:shd w:val="clear" w:color="auto" w:fill="FFFFFF"/>
        <w:ind w:left="4320"/>
        <w:rPr>
          <w:rFonts w:cs="Times New Roman"/>
          <w:szCs w:val="24"/>
        </w:rPr>
      </w:pPr>
      <w:r>
        <w:fldChar w:fldCharType="begin"/>
      </w:r>
      <w:r>
        <w:instrText xml:space="preserve"> HYPERLINK "tel:513-362-2821" \t "_blank" </w:instrText>
      </w:r>
      <w:r>
        <w:fldChar w:fldCharType="separate"/>
      </w:r>
      <w:r w:rsidRPr="00C53595" w:rsidR="002D3DCF">
        <w:rPr>
          <w:rStyle w:val="Hyperlink"/>
          <w:rFonts w:cs="Times New Roman"/>
          <w:color w:val="auto"/>
          <w:szCs w:val="24"/>
          <w:u w:val="none"/>
        </w:rPr>
        <w:t>513-362-2877</w:t>
      </w:r>
      <w:r>
        <w:fldChar w:fldCharType="end"/>
      </w:r>
      <w:r w:rsidRPr="00C53595" w:rsidR="002D3DCF">
        <w:rPr>
          <w:rFonts w:cs="Times New Roman"/>
          <w:szCs w:val="24"/>
        </w:rPr>
        <w:t> direct</w:t>
      </w:r>
    </w:p>
    <w:p w:rsidR="00C53595" w:rsidRPr="00D923A4" w:rsidP="00C53595">
      <w:pPr>
        <w:shd w:val="clear" w:color="auto" w:fill="FFFFFF"/>
        <w:ind w:left="4320"/>
        <w:rPr>
          <w:rFonts w:cs="Times New Roman"/>
          <w:szCs w:val="24"/>
        </w:rPr>
      </w:pPr>
      <w:r>
        <w:fldChar w:fldCharType="begin"/>
      </w:r>
      <w:r>
        <w:instrText xml:space="preserve"> HYPERLINK "tel:513-241-9400" \t "_blank" </w:instrText>
      </w:r>
      <w:r>
        <w:fldChar w:fldCharType="separate"/>
      </w:r>
      <w:r w:rsidRPr="00C53595" w:rsidR="002D3DCF">
        <w:rPr>
          <w:rStyle w:val="Hyperlink"/>
          <w:rFonts w:cs="Times New Roman"/>
          <w:color w:val="auto"/>
          <w:szCs w:val="24"/>
          <w:u w:val="none"/>
        </w:rPr>
        <w:t>513-241-9400</w:t>
      </w:r>
      <w:r>
        <w:fldChar w:fldCharType="end"/>
      </w:r>
      <w:r w:rsidRPr="00D923A4" w:rsidR="002D3DCF">
        <w:rPr>
          <w:rFonts w:cs="Times New Roman"/>
          <w:szCs w:val="24"/>
        </w:rPr>
        <w:t> main</w:t>
      </w:r>
    </w:p>
    <w:p w:rsidR="00C53595" w:rsidRPr="00D923A4" w:rsidP="00C53595">
      <w:pPr>
        <w:shd w:val="clear" w:color="auto" w:fill="FFFFFF"/>
        <w:ind w:left="4320"/>
        <w:rPr>
          <w:rFonts w:cs="Times New Roman"/>
          <w:color w:val="222222"/>
          <w:szCs w:val="24"/>
        </w:rPr>
      </w:pPr>
      <w:r w:rsidRPr="00D923A4">
        <w:rPr>
          <w:rFonts w:cs="Times New Roman"/>
          <w:szCs w:val="24"/>
        </w:rPr>
        <w:t>513-241-6800 </w:t>
      </w:r>
      <w:r w:rsidRPr="00D923A4">
        <w:rPr>
          <w:rFonts w:cs="Times New Roman"/>
          <w:color w:val="222222"/>
          <w:szCs w:val="24"/>
        </w:rPr>
        <w:t>fax</w:t>
      </w:r>
    </w:p>
    <w:p w:rsidR="00C53595" w:rsidRPr="00D923A4" w:rsidP="00C53595">
      <w:pPr>
        <w:shd w:val="clear" w:color="auto" w:fill="FFFFFF"/>
        <w:ind w:left="4320"/>
        <w:rPr>
          <w:rFonts w:cs="Times New Roman"/>
          <w:color w:val="1155CC"/>
          <w:szCs w:val="24"/>
          <w:u w:val="single"/>
        </w:rPr>
      </w:pPr>
      <w:r>
        <w:fldChar w:fldCharType="begin"/>
      </w:r>
      <w:r>
        <w:instrText xml:space="preserve"> HYPERLINK "mailto:abutler@lascinti.org" </w:instrText>
      </w:r>
      <w:r>
        <w:fldChar w:fldCharType="separate"/>
      </w:r>
      <w:r w:rsidRPr="00D923A4" w:rsidR="002D3DCF">
        <w:rPr>
          <w:rStyle w:val="Hyperlink"/>
          <w:rFonts w:cs="Times New Roman"/>
          <w:szCs w:val="24"/>
        </w:rPr>
        <w:t>abutler@lascinti.org</w:t>
      </w:r>
      <w:r>
        <w:fldChar w:fldCharType="end"/>
      </w:r>
    </w:p>
    <w:p w:rsidR="00C53595" w:rsidRPr="00D923A4" w:rsidP="00C53595">
      <w:pPr>
        <w:shd w:val="clear" w:color="auto" w:fill="FFFFFF"/>
        <w:ind w:left="4320"/>
        <w:rPr>
          <w:rFonts w:cs="Times New Roman"/>
          <w:szCs w:val="24"/>
        </w:rPr>
      </w:pPr>
      <w:r w:rsidRPr="00D923A4">
        <w:rPr>
          <w:rFonts w:cs="Times New Roman"/>
          <w:szCs w:val="24"/>
        </w:rPr>
        <w:t>(willing to accept service by e-mail)</w:t>
      </w:r>
    </w:p>
    <w:p w:rsidR="008703FA" w:rsidRPr="00D923A4" w:rsidP="008703FA">
      <w:pPr>
        <w:ind w:left="3600" w:firstLine="720"/>
        <w:rPr>
          <w:rFonts w:cs="Times New Roman"/>
          <w:i/>
          <w:iCs/>
          <w:szCs w:val="24"/>
          <w:u w:val="single"/>
        </w:rPr>
      </w:pPr>
      <w:r w:rsidRPr="00D923A4">
        <w:rPr>
          <w:rFonts w:cs="Times New Roman"/>
          <w:i/>
          <w:iCs/>
          <w:szCs w:val="24"/>
          <w:u w:val="single"/>
        </w:rPr>
        <w:t>/s/ Anne M. Reese per authorization</w:t>
      </w:r>
    </w:p>
    <w:p w:rsidR="008703FA" w:rsidRPr="00D923A4" w:rsidP="008703FA">
      <w:pPr>
        <w:rPr>
          <w:rFonts w:cs="Times New Roman"/>
          <w:szCs w:val="24"/>
        </w:rPr>
      </w:pP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t>Anne M. Reese (0030876)</w:t>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t>The Legal Aid Society of Cleveland</w:t>
      </w:r>
    </w:p>
    <w:p w:rsidR="008703FA" w:rsidRPr="00D923A4" w:rsidP="008703FA">
      <w:pPr>
        <w:rPr>
          <w:rFonts w:cs="Times New Roman"/>
          <w:szCs w:val="24"/>
        </w:rPr>
      </w:pP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t>121 East Walnut Street</w:t>
      </w:r>
    </w:p>
    <w:p w:rsidR="008703FA" w:rsidRPr="00D923A4" w:rsidP="008703FA">
      <w:pPr>
        <w:rPr>
          <w:rFonts w:cs="Times New Roman"/>
          <w:szCs w:val="24"/>
        </w:rPr>
      </w:pP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t>Jefferson, Ohio 44047</w:t>
      </w:r>
    </w:p>
    <w:p w:rsidR="008703FA" w:rsidRPr="00D923A4" w:rsidP="008703FA">
      <w:pPr>
        <w:rPr>
          <w:rFonts w:cs="Times New Roman"/>
          <w:szCs w:val="24"/>
        </w:rPr>
      </w:pP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t>Telephone: (440) 210-4537</w:t>
      </w:r>
    </w:p>
    <w:p w:rsidR="008703FA" w:rsidRPr="00D923A4" w:rsidP="008703FA">
      <w:pPr>
        <w:rPr>
          <w:rFonts w:cs="Times New Roman"/>
          <w:szCs w:val="24"/>
        </w:rPr>
      </w:pP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fldChar w:fldCharType="begin"/>
      </w:r>
      <w:r>
        <w:instrText xml:space="preserve"> HYPERLINK "mailto:amreese@lasclev.org" </w:instrText>
      </w:r>
      <w:r>
        <w:fldChar w:fldCharType="separate"/>
      </w:r>
      <w:r w:rsidRPr="00D923A4">
        <w:rPr>
          <w:rStyle w:val="Hyperlink"/>
          <w:rFonts w:cs="Times New Roman"/>
          <w:szCs w:val="24"/>
        </w:rPr>
        <w:t>amreese@lasclev.org</w:t>
      </w:r>
      <w:r>
        <w:fldChar w:fldCharType="end"/>
      </w:r>
      <w:r w:rsidRPr="00D923A4">
        <w:rPr>
          <w:rFonts w:cs="Times New Roman"/>
          <w:szCs w:val="24"/>
        </w:rPr>
        <w:t>.</w:t>
      </w:r>
    </w:p>
    <w:p w:rsidR="008703FA" w:rsidRPr="00D923A4" w:rsidP="008703FA">
      <w:pPr>
        <w:rPr>
          <w:rFonts w:cs="Times New Roman"/>
          <w:szCs w:val="24"/>
        </w:rPr>
      </w:pP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t>(willing to accept service by e-mail)</w:t>
      </w:r>
    </w:p>
    <w:p w:rsidR="008703FA" w:rsidRPr="00D923A4" w:rsidP="008703FA">
      <w:pPr>
        <w:ind w:left="4320"/>
        <w:rPr>
          <w:rFonts w:cs="Times New Roman"/>
          <w:szCs w:val="24"/>
        </w:rPr>
      </w:pPr>
    </w:p>
    <w:p w:rsidR="008703FA" w:rsidRPr="00D923A4" w:rsidP="008703FA">
      <w:pPr>
        <w:ind w:left="4320"/>
        <w:rPr>
          <w:rFonts w:cs="Times New Roman"/>
          <w:i/>
          <w:iCs/>
          <w:szCs w:val="24"/>
          <w:u w:val="single"/>
        </w:rPr>
      </w:pPr>
      <w:bookmarkEnd w:id="24"/>
    </w:p>
    <w:p w:rsidR="008703FA" w:rsidRPr="00D923A4" w:rsidP="008703FA">
      <w:pPr>
        <w:ind w:left="4320"/>
        <w:rPr>
          <w:rFonts w:cs="Times New Roman"/>
          <w:i/>
          <w:iCs/>
          <w:szCs w:val="24"/>
          <w:u w:val="single"/>
        </w:rPr>
      </w:pPr>
      <w:r w:rsidRPr="00D923A4">
        <w:rPr>
          <w:rFonts w:cs="Times New Roman"/>
          <w:i/>
          <w:iCs/>
          <w:szCs w:val="24"/>
          <w:u w:val="single"/>
        </w:rPr>
        <w:t>/s/ Melissa Baker Linville per authorization</w:t>
      </w:r>
    </w:p>
    <w:p w:rsidR="008703FA" w:rsidRPr="00D923A4" w:rsidP="008703FA">
      <w:pPr>
        <w:ind w:left="4320"/>
        <w:rPr>
          <w:rFonts w:cs="Times New Roman"/>
          <w:szCs w:val="24"/>
        </w:rPr>
      </w:pPr>
      <w:bookmarkStart w:id="25" w:name="_Hlk14430914"/>
      <w:r w:rsidRPr="00D923A4">
        <w:rPr>
          <w:rFonts w:cs="Times New Roman"/>
          <w:szCs w:val="24"/>
        </w:rPr>
        <w:t>Melissa Baker Linville (0088163)</w:t>
      </w:r>
    </w:p>
    <w:p w:rsidR="008703FA" w:rsidRPr="00D923A4" w:rsidP="008703FA">
      <w:pPr>
        <w:ind w:left="4320"/>
        <w:rPr>
          <w:rFonts w:cs="Times New Roman"/>
          <w:szCs w:val="24"/>
        </w:rPr>
      </w:pPr>
      <w:r w:rsidRPr="00D923A4">
        <w:rPr>
          <w:rFonts w:cs="Times New Roman"/>
          <w:szCs w:val="24"/>
        </w:rPr>
        <w:t>Staff Attorney</w:t>
      </w:r>
    </w:p>
    <w:p w:rsidR="008703FA" w:rsidRPr="00D923A4" w:rsidP="008703FA">
      <w:pPr>
        <w:ind w:left="4320"/>
        <w:rPr>
          <w:rFonts w:cs="Times New Roman"/>
          <w:szCs w:val="24"/>
        </w:rPr>
      </w:pPr>
      <w:r w:rsidRPr="00D923A4">
        <w:rPr>
          <w:rFonts w:cs="Times New Roman"/>
          <w:szCs w:val="24"/>
        </w:rPr>
        <w:t>The Legal Aid Society of Columbus</w:t>
      </w:r>
    </w:p>
    <w:p w:rsidR="008703FA" w:rsidRPr="00D923A4" w:rsidP="008703FA">
      <w:pPr>
        <w:ind w:left="4320"/>
        <w:rPr>
          <w:rFonts w:cs="Times New Roman"/>
          <w:szCs w:val="24"/>
        </w:rPr>
      </w:pPr>
      <w:r w:rsidRPr="00D923A4">
        <w:rPr>
          <w:rFonts w:cs="Times New Roman"/>
          <w:szCs w:val="24"/>
        </w:rPr>
        <w:t>1108 City Park Ave.</w:t>
      </w:r>
    </w:p>
    <w:p w:rsidR="008703FA" w:rsidRPr="00D923A4" w:rsidP="008703FA">
      <w:pPr>
        <w:ind w:left="4320"/>
        <w:rPr>
          <w:rFonts w:cs="Times New Roman"/>
          <w:szCs w:val="24"/>
        </w:rPr>
      </w:pPr>
      <w:r w:rsidRPr="00D923A4">
        <w:rPr>
          <w:rFonts w:cs="Times New Roman"/>
          <w:szCs w:val="24"/>
        </w:rPr>
        <w:t>Columbus, Ohio 43206</w:t>
      </w:r>
    </w:p>
    <w:p w:rsidR="008703FA" w:rsidRPr="00D923A4" w:rsidP="008703FA">
      <w:pPr>
        <w:ind w:left="4320"/>
        <w:rPr>
          <w:rFonts w:cs="Times New Roman"/>
          <w:szCs w:val="24"/>
        </w:rPr>
      </w:pPr>
      <w:r w:rsidRPr="00D923A4">
        <w:rPr>
          <w:rFonts w:cs="Times New Roman"/>
          <w:szCs w:val="24"/>
        </w:rPr>
        <w:t>Phone:  614-224-8374</w:t>
      </w:r>
    </w:p>
    <w:p w:rsidR="008703FA" w:rsidRPr="00D923A4" w:rsidP="008703FA">
      <w:pPr>
        <w:ind w:left="4320"/>
        <w:rPr>
          <w:rFonts w:cs="Times New Roman"/>
          <w:szCs w:val="24"/>
        </w:rPr>
      </w:pPr>
      <w:r w:rsidRPr="00D923A4">
        <w:rPr>
          <w:rFonts w:cs="Times New Roman"/>
          <w:szCs w:val="24"/>
        </w:rPr>
        <w:t>Direct:  614-737-0155</w:t>
      </w:r>
    </w:p>
    <w:p w:rsidR="008703FA" w:rsidRPr="00D923A4" w:rsidP="008703FA">
      <w:pPr>
        <w:ind w:left="4320"/>
        <w:rPr>
          <w:rFonts w:cs="Times New Roman"/>
          <w:szCs w:val="24"/>
        </w:rPr>
      </w:pPr>
      <w:r w:rsidRPr="00D923A4">
        <w:rPr>
          <w:rFonts w:cs="Times New Roman"/>
          <w:szCs w:val="24"/>
        </w:rPr>
        <w:t>Fax:  614-224-4514</w:t>
      </w:r>
    </w:p>
    <w:p w:rsidR="008703FA" w:rsidRPr="00D923A4" w:rsidP="008703FA">
      <w:pPr>
        <w:ind w:left="4320"/>
        <w:rPr>
          <w:rFonts w:cs="Times New Roman"/>
          <w:szCs w:val="24"/>
        </w:rPr>
      </w:pPr>
      <w:r>
        <w:fldChar w:fldCharType="begin"/>
      </w:r>
      <w:r>
        <w:instrText xml:space="preserve"> HYPERLINK "mailto:mlinville@columbuslegalaid.org" </w:instrText>
      </w:r>
      <w:r>
        <w:fldChar w:fldCharType="separate"/>
      </w:r>
      <w:r w:rsidRPr="00D923A4" w:rsidR="002D3DCF">
        <w:rPr>
          <w:rStyle w:val="Hyperlink"/>
          <w:rFonts w:cs="Times New Roman"/>
          <w:szCs w:val="24"/>
        </w:rPr>
        <w:t>mlinville@columbuslegalaid.org</w:t>
      </w:r>
      <w:r>
        <w:fldChar w:fldCharType="end"/>
      </w:r>
    </w:p>
    <w:p w:rsidR="008703FA" w:rsidRPr="00D923A4" w:rsidP="008703FA">
      <w:pPr>
        <w:ind w:left="4320"/>
        <w:rPr>
          <w:rFonts w:cs="Times New Roman"/>
          <w:szCs w:val="24"/>
        </w:rPr>
      </w:pPr>
      <w:r w:rsidRPr="00D923A4">
        <w:rPr>
          <w:rFonts w:cs="Times New Roman"/>
          <w:szCs w:val="24"/>
        </w:rPr>
        <w:t>(willing to accept service by e-mail)</w:t>
      </w:r>
    </w:p>
    <w:p w:rsidR="008703FA" w:rsidRPr="00D923A4" w:rsidP="008703FA">
      <w:pPr>
        <w:ind w:left="4320"/>
        <w:rPr>
          <w:rFonts w:cs="Times New Roman"/>
          <w:szCs w:val="24"/>
        </w:rPr>
      </w:pPr>
      <w:bookmarkEnd w:id="25"/>
    </w:p>
    <w:p w:rsidR="008703FA" w:rsidRPr="00D923A4" w:rsidP="008703FA">
      <w:pPr>
        <w:ind w:left="4320"/>
        <w:rPr>
          <w:rFonts w:cs="Times New Roman"/>
          <w:i/>
          <w:iCs/>
          <w:szCs w:val="24"/>
          <w:u w:val="single"/>
        </w:rPr>
      </w:pPr>
    </w:p>
    <w:p w:rsidR="008703FA" w:rsidRPr="00D923A4" w:rsidP="008703FA">
      <w:pPr>
        <w:ind w:left="3600" w:firstLine="720"/>
        <w:rPr>
          <w:rFonts w:cs="Times New Roman"/>
          <w:szCs w:val="24"/>
        </w:rPr>
      </w:pPr>
      <w:r w:rsidRPr="00D923A4">
        <w:rPr>
          <w:rFonts w:cs="Times New Roman"/>
          <w:szCs w:val="24"/>
        </w:rPr>
        <w:t>Bruce Weston (0016973)</w:t>
      </w:r>
    </w:p>
    <w:p w:rsidR="008703FA" w:rsidRPr="00D923A4" w:rsidP="008703FA">
      <w:pPr>
        <w:pStyle w:val="Footer"/>
        <w:tabs>
          <w:tab w:val="left" w:pos="4320"/>
        </w:tabs>
        <w:ind w:left="4320"/>
        <w:rPr>
          <w:rFonts w:cs="Times New Roman"/>
          <w:szCs w:val="24"/>
        </w:rPr>
      </w:pPr>
      <w:r w:rsidRPr="00D923A4">
        <w:rPr>
          <w:rFonts w:cs="Times New Roman"/>
          <w:szCs w:val="24"/>
        </w:rPr>
        <w:t>Ohio Consumers’ Counsel</w:t>
      </w:r>
    </w:p>
    <w:p w:rsidR="008703FA" w:rsidRPr="00D923A4" w:rsidP="008703FA">
      <w:pPr>
        <w:tabs>
          <w:tab w:val="left" w:pos="4320"/>
        </w:tabs>
        <w:ind w:left="4320"/>
        <w:rPr>
          <w:rFonts w:cs="Times New Roman"/>
          <w:szCs w:val="24"/>
        </w:rPr>
      </w:pPr>
    </w:p>
    <w:p w:rsidR="008703FA" w:rsidRPr="00D923A4" w:rsidP="008703FA">
      <w:pPr>
        <w:tabs>
          <w:tab w:val="left" w:pos="4320"/>
        </w:tabs>
        <w:ind w:left="4320"/>
        <w:rPr>
          <w:rFonts w:cs="Times New Roman"/>
          <w:i/>
          <w:iCs/>
          <w:szCs w:val="24"/>
          <w:u w:val="single"/>
        </w:rPr>
      </w:pPr>
      <w:r w:rsidRPr="00D923A4">
        <w:rPr>
          <w:rFonts w:cs="Times New Roman"/>
          <w:i/>
          <w:iCs/>
          <w:szCs w:val="24"/>
          <w:u w:val="single"/>
        </w:rPr>
        <w:t>/s/ Amy Botschner O’Brien</w:t>
      </w:r>
    </w:p>
    <w:p w:rsidR="008703FA" w:rsidRPr="00D923A4" w:rsidP="008703FA">
      <w:pPr>
        <w:tabs>
          <w:tab w:val="left" w:pos="4320"/>
        </w:tabs>
        <w:ind w:left="4320"/>
        <w:rPr>
          <w:rFonts w:cs="Times New Roman"/>
          <w:szCs w:val="24"/>
        </w:rPr>
      </w:pPr>
      <w:r w:rsidRPr="00D923A4">
        <w:rPr>
          <w:rFonts w:cs="Times New Roman"/>
          <w:szCs w:val="24"/>
        </w:rPr>
        <w:t>Amy Botschner O’Brien (0074423)</w:t>
      </w:r>
    </w:p>
    <w:p w:rsidR="008703FA" w:rsidRPr="00D923A4" w:rsidP="008703FA">
      <w:pPr>
        <w:tabs>
          <w:tab w:val="left" w:pos="4320"/>
        </w:tabs>
        <w:ind w:left="4320"/>
        <w:rPr>
          <w:rFonts w:cs="Times New Roman"/>
          <w:szCs w:val="24"/>
        </w:rPr>
      </w:pPr>
      <w:r w:rsidRPr="00D923A4">
        <w:rPr>
          <w:rFonts w:cs="Times New Roman"/>
          <w:szCs w:val="24"/>
        </w:rPr>
        <w:t>Counsel of Record</w:t>
      </w:r>
    </w:p>
    <w:p w:rsidR="008703FA" w:rsidRPr="00D923A4" w:rsidP="008703FA">
      <w:pPr>
        <w:tabs>
          <w:tab w:val="left" w:pos="4320"/>
        </w:tabs>
        <w:ind w:left="4320"/>
        <w:rPr>
          <w:rFonts w:cs="Times New Roman"/>
          <w:szCs w:val="24"/>
        </w:rPr>
      </w:pPr>
      <w:r w:rsidRPr="00D923A4">
        <w:rPr>
          <w:rFonts w:cs="Times New Roman"/>
          <w:szCs w:val="24"/>
        </w:rPr>
        <w:t xml:space="preserve">David C. Bergmann (0009991) </w:t>
      </w:r>
    </w:p>
    <w:p w:rsidR="008703FA" w:rsidRPr="00D923A4" w:rsidP="008703FA">
      <w:pPr>
        <w:tabs>
          <w:tab w:val="left" w:pos="4320"/>
        </w:tabs>
        <w:ind w:left="4320"/>
        <w:rPr>
          <w:rFonts w:cs="Times New Roman"/>
          <w:szCs w:val="24"/>
        </w:rPr>
      </w:pPr>
      <w:r w:rsidRPr="00D923A4">
        <w:rPr>
          <w:rFonts w:cs="Times New Roman"/>
          <w:szCs w:val="24"/>
        </w:rPr>
        <w:t xml:space="preserve">Terry Etter (0067445) </w:t>
      </w:r>
    </w:p>
    <w:p w:rsidR="008703FA" w:rsidRPr="00D923A4" w:rsidP="008703FA">
      <w:pPr>
        <w:tabs>
          <w:tab w:val="left" w:pos="4320"/>
        </w:tabs>
        <w:ind w:left="4320"/>
        <w:rPr>
          <w:rFonts w:cs="Times New Roman"/>
          <w:szCs w:val="24"/>
        </w:rPr>
      </w:pPr>
      <w:r w:rsidRPr="00D923A4">
        <w:rPr>
          <w:rFonts w:cs="Times New Roman"/>
          <w:szCs w:val="24"/>
        </w:rPr>
        <w:t xml:space="preserve">Assistant Consumers’ Counsel </w:t>
      </w:r>
    </w:p>
    <w:p w:rsidR="008703FA" w:rsidRPr="00D923A4" w:rsidP="008703FA">
      <w:pPr>
        <w:tabs>
          <w:tab w:val="left" w:pos="4320"/>
        </w:tabs>
        <w:ind w:left="4320"/>
        <w:rPr>
          <w:rFonts w:cs="Times New Roman"/>
          <w:szCs w:val="24"/>
        </w:rPr>
      </w:pPr>
    </w:p>
    <w:p w:rsidR="008703FA" w:rsidRPr="00D923A4" w:rsidP="008703FA">
      <w:pPr>
        <w:ind w:left="4320"/>
        <w:rPr>
          <w:rFonts w:cs="Times New Roman"/>
          <w:bCs/>
          <w:szCs w:val="24"/>
        </w:rPr>
      </w:pPr>
      <w:r w:rsidRPr="00D923A4">
        <w:rPr>
          <w:rFonts w:cs="Times New Roman"/>
          <w:bCs/>
          <w:szCs w:val="24"/>
        </w:rPr>
        <w:t>Office of the Ohio Consumers’ Counsel</w:t>
      </w:r>
    </w:p>
    <w:p w:rsidR="008703FA" w:rsidRPr="00D923A4" w:rsidP="008703FA">
      <w:pPr>
        <w:ind w:left="4320"/>
        <w:rPr>
          <w:rFonts w:cs="Times New Roman"/>
          <w:b/>
          <w:szCs w:val="24"/>
        </w:rPr>
      </w:pPr>
      <w:r w:rsidRPr="00D923A4">
        <w:rPr>
          <w:rFonts w:cs="Times New Roman"/>
          <w:szCs w:val="24"/>
        </w:rPr>
        <w:t>65 East State Street, 7</w:t>
      </w:r>
      <w:r w:rsidRPr="00D923A4">
        <w:rPr>
          <w:rFonts w:cs="Times New Roman"/>
          <w:szCs w:val="24"/>
          <w:vertAlign w:val="superscript"/>
        </w:rPr>
        <w:t>th</w:t>
      </w:r>
      <w:r w:rsidRPr="00D923A4">
        <w:rPr>
          <w:rFonts w:cs="Times New Roman"/>
          <w:szCs w:val="24"/>
        </w:rPr>
        <w:t xml:space="preserve"> Floor</w:t>
      </w:r>
    </w:p>
    <w:p w:rsidR="008703FA" w:rsidRPr="00D923A4" w:rsidP="008703FA">
      <w:pPr>
        <w:ind w:left="4320"/>
        <w:rPr>
          <w:rFonts w:cs="Times New Roman"/>
          <w:b/>
          <w:szCs w:val="24"/>
        </w:rPr>
      </w:pPr>
      <w:r w:rsidRPr="00D923A4">
        <w:rPr>
          <w:rFonts w:cs="Times New Roman"/>
          <w:szCs w:val="24"/>
        </w:rPr>
        <w:t>Columbus, Ohio 43215-4213</w:t>
      </w:r>
    </w:p>
    <w:p w:rsidR="008703FA" w:rsidRPr="00D923A4" w:rsidP="008703FA">
      <w:pPr>
        <w:autoSpaceDE w:val="0"/>
        <w:autoSpaceDN w:val="0"/>
        <w:adjustRightInd w:val="0"/>
        <w:ind w:left="4320"/>
        <w:rPr>
          <w:rFonts w:cs="Times New Roman"/>
          <w:szCs w:val="24"/>
        </w:rPr>
      </w:pPr>
      <w:r w:rsidRPr="00D923A4">
        <w:rPr>
          <w:rFonts w:cs="Times New Roman"/>
          <w:szCs w:val="24"/>
        </w:rPr>
        <w:t xml:space="preserve">Telephone [Botschner O’Brien]: </w:t>
      </w:r>
    </w:p>
    <w:p w:rsidR="008703FA" w:rsidRPr="00D923A4" w:rsidP="008703FA">
      <w:pPr>
        <w:autoSpaceDE w:val="0"/>
        <w:autoSpaceDN w:val="0"/>
        <w:adjustRightInd w:val="0"/>
        <w:ind w:left="4320"/>
        <w:rPr>
          <w:rFonts w:cs="Times New Roman"/>
          <w:szCs w:val="24"/>
        </w:rPr>
      </w:pPr>
      <w:r w:rsidRPr="00D923A4">
        <w:rPr>
          <w:rFonts w:cs="Times New Roman"/>
          <w:szCs w:val="24"/>
        </w:rPr>
        <w:t>(614) 466-9575</w:t>
      </w:r>
    </w:p>
    <w:p w:rsidR="008703FA" w:rsidRPr="00D923A4" w:rsidP="008703FA">
      <w:pPr>
        <w:autoSpaceDE w:val="0"/>
        <w:autoSpaceDN w:val="0"/>
        <w:adjustRightInd w:val="0"/>
        <w:ind w:left="4320"/>
        <w:rPr>
          <w:rFonts w:cs="Times New Roman"/>
          <w:szCs w:val="24"/>
        </w:rPr>
      </w:pPr>
      <w:r w:rsidRPr="00D923A4">
        <w:rPr>
          <w:rFonts w:cs="Times New Roman"/>
          <w:szCs w:val="24"/>
        </w:rPr>
        <w:t xml:space="preserve">Telephone [Bergmann]: (614) 466-9569 </w:t>
      </w:r>
    </w:p>
    <w:p w:rsidR="008703FA" w:rsidRPr="00D923A4" w:rsidP="008703FA">
      <w:pPr>
        <w:autoSpaceDE w:val="0"/>
        <w:autoSpaceDN w:val="0"/>
        <w:adjustRightInd w:val="0"/>
        <w:ind w:left="4320"/>
        <w:rPr>
          <w:rFonts w:cs="Times New Roman"/>
          <w:szCs w:val="24"/>
        </w:rPr>
      </w:pPr>
      <w:r w:rsidRPr="00D923A4">
        <w:rPr>
          <w:rFonts w:cs="Times New Roman"/>
          <w:szCs w:val="24"/>
        </w:rPr>
        <w:t>Telephone [Etter]: (614) 466-7964</w:t>
      </w:r>
    </w:p>
    <w:p w:rsidR="008703FA" w:rsidRPr="00D923A4" w:rsidP="00C53595">
      <w:pPr>
        <w:spacing w:line="276" w:lineRule="auto"/>
        <w:ind w:left="3600" w:firstLine="720"/>
        <w:rPr>
          <w:rFonts w:cs="Times New Roman"/>
          <w:szCs w:val="24"/>
        </w:rPr>
      </w:pPr>
      <w:r>
        <w:fldChar w:fldCharType="begin"/>
      </w:r>
      <w:r>
        <w:instrText xml:space="preserve"> HYPERLINK "mailto:amy.botschner.obrien@occ.ohio.gov" </w:instrText>
      </w:r>
      <w:r>
        <w:fldChar w:fldCharType="separate"/>
      </w:r>
      <w:r w:rsidRPr="00346360" w:rsidR="002D3DCF">
        <w:rPr>
          <w:rStyle w:val="Hyperlink"/>
          <w:rFonts w:cs="Times New Roman"/>
          <w:szCs w:val="24"/>
        </w:rPr>
        <w:t>amy.botschner.obrien@occ.ohio.gov</w:t>
      </w:r>
      <w:r>
        <w:fldChar w:fldCharType="end"/>
      </w:r>
    </w:p>
    <w:p w:rsidR="008703FA" w:rsidRPr="00D923A4" w:rsidP="00C53595">
      <w:pPr>
        <w:autoSpaceDE w:val="0"/>
        <w:autoSpaceDN w:val="0"/>
        <w:adjustRightInd w:val="0"/>
        <w:ind w:left="4320"/>
        <w:rPr>
          <w:rFonts w:cs="Times New Roman"/>
          <w:szCs w:val="24"/>
        </w:rPr>
      </w:pPr>
      <w:r>
        <w:fldChar w:fldCharType="begin"/>
      </w:r>
      <w:r>
        <w:instrText xml:space="preserve"> HYPERLINK "mailto:david.bergmann@occ.ohio.gov" </w:instrText>
      </w:r>
      <w:r>
        <w:fldChar w:fldCharType="separate"/>
      </w:r>
      <w:r w:rsidRPr="00D923A4" w:rsidR="002D3DCF">
        <w:rPr>
          <w:rStyle w:val="Hyperlink"/>
          <w:rFonts w:cs="Times New Roman"/>
          <w:szCs w:val="24"/>
        </w:rPr>
        <w:t>david.bergmann@occ.ohio.gov</w:t>
      </w:r>
      <w:r>
        <w:fldChar w:fldCharType="end"/>
      </w:r>
    </w:p>
    <w:p w:rsidR="008703FA" w:rsidRPr="00D923A4" w:rsidP="00C53595">
      <w:pPr>
        <w:autoSpaceDE w:val="0"/>
        <w:autoSpaceDN w:val="0"/>
        <w:adjustRightInd w:val="0"/>
        <w:ind w:left="4320"/>
        <w:rPr>
          <w:rFonts w:cs="Times New Roman"/>
          <w:szCs w:val="24"/>
        </w:rPr>
      </w:pPr>
      <w:r>
        <w:fldChar w:fldCharType="begin"/>
      </w:r>
      <w:r>
        <w:instrText xml:space="preserve"> HYPERLINK "mailto:terry.etter@occ.ohio.gov" </w:instrText>
      </w:r>
      <w:r>
        <w:fldChar w:fldCharType="separate"/>
      </w:r>
      <w:r w:rsidRPr="00D923A4" w:rsidR="002D3DCF">
        <w:rPr>
          <w:rStyle w:val="Hyperlink"/>
          <w:rFonts w:cs="Times New Roman"/>
          <w:szCs w:val="24"/>
        </w:rPr>
        <w:t>terry.etter@occ.ohio.gov</w:t>
      </w:r>
      <w:r>
        <w:fldChar w:fldCharType="end"/>
      </w:r>
    </w:p>
    <w:p w:rsidR="008703FA" w:rsidRPr="00D923A4" w:rsidP="00C53595">
      <w:pPr>
        <w:autoSpaceDE w:val="0"/>
        <w:autoSpaceDN w:val="0"/>
        <w:adjustRightInd w:val="0"/>
        <w:ind w:left="4320"/>
        <w:rPr>
          <w:rFonts w:cs="Times New Roman"/>
          <w:szCs w:val="24"/>
        </w:rPr>
      </w:pPr>
      <w:r w:rsidRPr="00D923A4">
        <w:rPr>
          <w:rFonts w:cs="Times New Roman"/>
          <w:szCs w:val="24"/>
        </w:rPr>
        <w:t>(all will accept service via email)</w:t>
      </w:r>
    </w:p>
    <w:p w:rsidR="008703FA" w:rsidRPr="00D923A4" w:rsidP="00C53595">
      <w:pPr>
        <w:ind w:left="4320"/>
        <w:rPr>
          <w:rFonts w:cs="Times New Roman"/>
          <w:szCs w:val="24"/>
        </w:rPr>
      </w:pPr>
    </w:p>
    <w:p w:rsidR="008703FA" w:rsidRPr="00D923A4" w:rsidP="008703FA">
      <w:pPr>
        <w:ind w:left="4320"/>
        <w:rPr>
          <w:rFonts w:cs="Times New Roman"/>
          <w:i/>
          <w:iCs/>
          <w:szCs w:val="24"/>
          <w:u w:val="single"/>
        </w:rPr>
      </w:pPr>
    </w:p>
    <w:p w:rsidR="008703FA" w:rsidRPr="00D923A4" w:rsidP="008703FA">
      <w:pPr>
        <w:ind w:left="4320"/>
        <w:rPr>
          <w:rFonts w:cs="Times New Roman"/>
          <w:i/>
          <w:iCs/>
          <w:szCs w:val="24"/>
          <w:u w:val="single"/>
        </w:rPr>
      </w:pPr>
      <w:r w:rsidRPr="00D923A4">
        <w:rPr>
          <w:rFonts w:cs="Times New Roman"/>
          <w:i/>
          <w:iCs/>
          <w:szCs w:val="24"/>
          <w:u w:val="single"/>
        </w:rPr>
        <w:t>/s/</w:t>
      </w:r>
      <w:r w:rsidRPr="00D923A4">
        <w:rPr>
          <w:rFonts w:cs="Times New Roman"/>
          <w:szCs w:val="24"/>
          <w:u w:val="single"/>
        </w:rPr>
        <w:t xml:space="preserve"> </w:t>
      </w:r>
      <w:r w:rsidRPr="00D923A4">
        <w:rPr>
          <w:rFonts w:cs="Times New Roman"/>
          <w:i/>
          <w:iCs/>
          <w:szCs w:val="24"/>
          <w:u w:val="single"/>
        </w:rPr>
        <w:t>Susan Jagers per authorization</w:t>
      </w:r>
    </w:p>
    <w:p w:rsidR="008703FA" w:rsidRPr="00D923A4" w:rsidP="008703FA">
      <w:pPr>
        <w:ind w:left="4320"/>
        <w:rPr>
          <w:rFonts w:cs="Times New Roman"/>
          <w:szCs w:val="24"/>
        </w:rPr>
      </w:pPr>
      <w:r w:rsidRPr="00D923A4">
        <w:rPr>
          <w:rFonts w:cs="Times New Roman"/>
          <w:szCs w:val="24"/>
        </w:rPr>
        <w:t>Susan Jagers (0061678)</w:t>
      </w:r>
    </w:p>
    <w:p w:rsidR="008703FA" w:rsidRPr="00D923A4" w:rsidP="008703FA">
      <w:pPr>
        <w:ind w:left="4320"/>
        <w:rPr>
          <w:rFonts w:cs="Times New Roman"/>
          <w:szCs w:val="24"/>
        </w:rPr>
      </w:pPr>
      <w:r w:rsidRPr="00D923A4">
        <w:rPr>
          <w:rFonts w:cs="Times New Roman"/>
          <w:szCs w:val="24"/>
        </w:rPr>
        <w:t xml:space="preserve">Ohio Poverty Law Center | Director </w:t>
      </w:r>
    </w:p>
    <w:p w:rsidR="008703FA" w:rsidRPr="00D923A4" w:rsidP="008703FA">
      <w:pPr>
        <w:ind w:left="4320"/>
        <w:rPr>
          <w:rFonts w:cs="Times New Roman"/>
          <w:szCs w:val="24"/>
        </w:rPr>
      </w:pPr>
      <w:r w:rsidRPr="00D923A4">
        <w:rPr>
          <w:rFonts w:cs="Times New Roman"/>
          <w:szCs w:val="24"/>
        </w:rPr>
        <w:t>1108 City Park Avenue, Suite 200</w:t>
      </w:r>
    </w:p>
    <w:p w:rsidR="008703FA" w:rsidRPr="00D923A4" w:rsidP="008703FA">
      <w:pPr>
        <w:ind w:left="4320"/>
        <w:rPr>
          <w:rFonts w:cs="Times New Roman"/>
          <w:szCs w:val="24"/>
        </w:rPr>
      </w:pPr>
      <w:r w:rsidRPr="00D923A4">
        <w:rPr>
          <w:rFonts w:cs="Times New Roman"/>
          <w:szCs w:val="24"/>
        </w:rPr>
        <w:t>Columbus, Ohio 43206</w:t>
      </w:r>
    </w:p>
    <w:p w:rsidR="008703FA" w:rsidRPr="00D923A4" w:rsidP="008703FA">
      <w:pPr>
        <w:ind w:left="4320"/>
        <w:rPr>
          <w:rFonts w:cs="Times New Roman"/>
          <w:szCs w:val="24"/>
        </w:rPr>
      </w:pPr>
      <w:r w:rsidRPr="00D923A4">
        <w:rPr>
          <w:rFonts w:cs="Times New Roman"/>
          <w:szCs w:val="24"/>
        </w:rPr>
        <w:t xml:space="preserve">Office: 614.824.2501  </w:t>
      </w:r>
    </w:p>
    <w:p w:rsidR="008703FA" w:rsidRPr="00D923A4" w:rsidP="008703FA">
      <w:pPr>
        <w:ind w:left="4320"/>
        <w:rPr>
          <w:rFonts w:cs="Times New Roman"/>
          <w:szCs w:val="24"/>
        </w:rPr>
      </w:pPr>
      <w:r w:rsidRPr="00D923A4">
        <w:rPr>
          <w:rFonts w:cs="Times New Roman"/>
          <w:szCs w:val="24"/>
        </w:rPr>
        <w:t>Mobile: 614.314.5512</w:t>
      </w:r>
    </w:p>
    <w:p w:rsidR="008703FA" w:rsidRPr="00D923A4" w:rsidP="008703FA">
      <w:pPr>
        <w:ind w:left="4320"/>
        <w:rPr>
          <w:rFonts w:cs="Times New Roman"/>
          <w:szCs w:val="24"/>
        </w:rPr>
      </w:pPr>
      <w:r>
        <w:fldChar w:fldCharType="begin"/>
      </w:r>
      <w:r>
        <w:instrText xml:space="preserve"> HYPERLINK "mailto:sjagers@ohiopovertylaw.org" </w:instrText>
      </w:r>
      <w:r>
        <w:fldChar w:fldCharType="separate"/>
      </w:r>
      <w:r w:rsidRPr="00D923A4" w:rsidR="002D3DCF">
        <w:rPr>
          <w:rStyle w:val="Hyperlink"/>
          <w:rFonts w:cs="Times New Roman"/>
          <w:color w:val="0563C1"/>
          <w:szCs w:val="24"/>
        </w:rPr>
        <w:t>sjagers@ohiopovertylaw.org</w:t>
      </w:r>
      <w:r>
        <w:fldChar w:fldCharType="end"/>
      </w:r>
    </w:p>
    <w:p w:rsidR="008703FA" w:rsidRPr="00D923A4" w:rsidP="008703FA">
      <w:pPr>
        <w:ind w:left="4320"/>
        <w:rPr>
          <w:rFonts w:cs="Times New Roman"/>
          <w:szCs w:val="24"/>
        </w:rPr>
      </w:pPr>
      <w:r w:rsidRPr="00D923A4">
        <w:rPr>
          <w:rFonts w:cs="Times New Roman"/>
          <w:szCs w:val="24"/>
        </w:rPr>
        <w:t>(willing to accept service by e-mail)</w:t>
      </w:r>
    </w:p>
    <w:p w:rsidR="008703FA" w:rsidRPr="00D923A4" w:rsidP="008703FA">
      <w:pPr>
        <w:ind w:left="3600" w:firstLine="720"/>
        <w:rPr>
          <w:rFonts w:cs="Times New Roman"/>
          <w:i/>
          <w:iCs/>
          <w:szCs w:val="24"/>
          <w:u w:val="single"/>
        </w:rPr>
      </w:pPr>
      <w:bookmarkStart w:id="26" w:name="_Hlk14430688"/>
    </w:p>
    <w:p w:rsidR="008703FA" w:rsidRPr="00D923A4" w:rsidP="008703FA">
      <w:pPr>
        <w:ind w:left="3600" w:firstLine="720"/>
        <w:rPr>
          <w:rFonts w:cs="Times New Roman"/>
          <w:i/>
          <w:iCs/>
          <w:szCs w:val="24"/>
          <w:u w:val="single"/>
        </w:rPr>
      </w:pPr>
    </w:p>
    <w:p w:rsidR="008703FA" w:rsidRPr="00D923A4" w:rsidP="008703FA">
      <w:pPr>
        <w:ind w:left="3600" w:firstLine="720"/>
        <w:rPr>
          <w:rFonts w:cs="Times New Roman"/>
          <w:i/>
          <w:iCs/>
          <w:szCs w:val="24"/>
          <w:u w:val="single"/>
        </w:rPr>
      </w:pPr>
      <w:r w:rsidRPr="00D923A4">
        <w:rPr>
          <w:rFonts w:cs="Times New Roman"/>
          <w:i/>
          <w:iCs/>
          <w:szCs w:val="24"/>
          <w:u w:val="single"/>
        </w:rPr>
        <w:t>/s/ Michael Walters per authorization  </w:t>
      </w:r>
    </w:p>
    <w:p w:rsidR="008703FA" w:rsidRPr="00D923A4" w:rsidP="008703FA">
      <w:pPr>
        <w:ind w:left="4320"/>
        <w:rPr>
          <w:rFonts w:cs="Times New Roman"/>
          <w:szCs w:val="24"/>
        </w:rPr>
      </w:pPr>
      <w:r w:rsidRPr="00D923A4">
        <w:rPr>
          <w:rFonts w:cs="Times New Roman"/>
          <w:szCs w:val="24"/>
        </w:rPr>
        <w:t xml:space="preserve">Michael Walters (0068921), </w:t>
      </w:r>
    </w:p>
    <w:p w:rsidR="008703FA" w:rsidRPr="00D923A4" w:rsidP="008703FA">
      <w:pPr>
        <w:ind w:left="4320"/>
        <w:rPr>
          <w:rFonts w:cs="Times New Roman"/>
          <w:szCs w:val="24"/>
        </w:rPr>
      </w:pPr>
      <w:r w:rsidRPr="00D923A4">
        <w:rPr>
          <w:rFonts w:cs="Times New Roman"/>
          <w:szCs w:val="24"/>
        </w:rPr>
        <w:t>Counsel of Record</w:t>
      </w:r>
    </w:p>
    <w:p w:rsidR="008703FA" w:rsidRPr="00D923A4" w:rsidP="008703FA">
      <w:pPr>
        <w:ind w:left="4320"/>
        <w:rPr>
          <w:rFonts w:cs="Times New Roman"/>
          <w:szCs w:val="24"/>
        </w:rPr>
      </w:pPr>
      <w:r w:rsidRPr="00D923A4">
        <w:rPr>
          <w:rFonts w:cs="Times New Roman"/>
          <w:szCs w:val="24"/>
        </w:rPr>
        <w:t>Pro Seniors, Inc.</w:t>
      </w:r>
    </w:p>
    <w:p w:rsidR="008703FA" w:rsidRPr="00D923A4" w:rsidP="008703FA">
      <w:pPr>
        <w:ind w:left="4320"/>
        <w:rPr>
          <w:rFonts w:cs="Times New Roman"/>
          <w:szCs w:val="24"/>
        </w:rPr>
      </w:pPr>
      <w:r w:rsidRPr="00D923A4">
        <w:rPr>
          <w:rFonts w:cs="Times New Roman"/>
          <w:szCs w:val="24"/>
        </w:rPr>
        <w:t>7162 Reading Road, Suite 1150</w:t>
      </w:r>
    </w:p>
    <w:p w:rsidR="008703FA" w:rsidRPr="00D923A4" w:rsidP="008703FA">
      <w:pPr>
        <w:ind w:left="4320"/>
        <w:rPr>
          <w:rFonts w:cs="Times New Roman"/>
          <w:szCs w:val="24"/>
        </w:rPr>
      </w:pPr>
      <w:r w:rsidRPr="00D923A4">
        <w:rPr>
          <w:rFonts w:cs="Times New Roman"/>
          <w:szCs w:val="24"/>
        </w:rPr>
        <w:t>Cincinnati, Ohio 45237</w:t>
      </w:r>
    </w:p>
    <w:p w:rsidR="008703FA" w:rsidRPr="00D923A4" w:rsidP="008703FA">
      <w:pPr>
        <w:ind w:left="4320"/>
        <w:rPr>
          <w:rFonts w:cs="Times New Roman"/>
          <w:szCs w:val="24"/>
        </w:rPr>
      </w:pPr>
      <w:r w:rsidRPr="00D923A4">
        <w:rPr>
          <w:rFonts w:cs="Times New Roman"/>
          <w:szCs w:val="24"/>
        </w:rPr>
        <w:t>Telephone: (513) 458-5532</w:t>
      </w:r>
    </w:p>
    <w:p w:rsidR="008703FA" w:rsidRPr="00D923A4" w:rsidP="008703FA">
      <w:pPr>
        <w:ind w:left="4320"/>
        <w:rPr>
          <w:rFonts w:cs="Times New Roman"/>
          <w:szCs w:val="24"/>
        </w:rPr>
      </w:pPr>
      <w:r>
        <w:fldChar w:fldCharType="begin"/>
      </w:r>
      <w:r>
        <w:instrText xml:space="preserve"> HYPERLINK "mailto:mwalters@proseniors.org" </w:instrText>
      </w:r>
      <w:r>
        <w:fldChar w:fldCharType="separate"/>
      </w:r>
      <w:r w:rsidRPr="00D923A4" w:rsidR="002D3DCF">
        <w:rPr>
          <w:rStyle w:val="Hyperlink"/>
          <w:rFonts w:cs="Times New Roman"/>
          <w:szCs w:val="24"/>
        </w:rPr>
        <w:t>mwalters@proseniors.org</w:t>
      </w:r>
      <w:r>
        <w:fldChar w:fldCharType="end"/>
      </w:r>
    </w:p>
    <w:p w:rsidR="008703FA" w:rsidRPr="00D923A4" w:rsidP="008703FA">
      <w:pPr>
        <w:ind w:left="4320"/>
        <w:rPr>
          <w:rFonts w:cs="Times New Roman"/>
          <w:szCs w:val="24"/>
        </w:rPr>
      </w:pPr>
      <w:r w:rsidRPr="00D923A4">
        <w:rPr>
          <w:rFonts w:cs="Times New Roman"/>
          <w:szCs w:val="24"/>
        </w:rPr>
        <w:t>(willing to accept service by e-mail)</w:t>
      </w:r>
    </w:p>
    <w:p w:rsidR="008703FA" w:rsidRPr="00D923A4" w:rsidP="008703FA">
      <w:pPr>
        <w:ind w:left="4320"/>
        <w:rPr>
          <w:rFonts w:cs="Times New Roman"/>
          <w:i/>
          <w:szCs w:val="24"/>
          <w:u w:val="single"/>
        </w:rPr>
      </w:pPr>
    </w:p>
    <w:p w:rsidR="008703FA" w:rsidRPr="00D923A4" w:rsidP="008703FA">
      <w:pPr>
        <w:ind w:left="4320"/>
        <w:rPr>
          <w:rFonts w:cs="Times New Roman"/>
          <w:i/>
          <w:szCs w:val="24"/>
          <w:u w:val="single"/>
        </w:rPr>
      </w:pPr>
      <w:bookmarkEnd w:id="26"/>
    </w:p>
    <w:p w:rsidR="008703FA" w:rsidRPr="00D923A4" w:rsidP="008703FA">
      <w:pPr>
        <w:ind w:left="4320"/>
        <w:rPr>
          <w:rFonts w:cs="Times New Roman"/>
          <w:i/>
          <w:szCs w:val="24"/>
          <w:u w:val="single"/>
        </w:rPr>
      </w:pPr>
      <w:r w:rsidRPr="00D923A4">
        <w:rPr>
          <w:rFonts w:cs="Times New Roman"/>
          <w:i/>
          <w:szCs w:val="24"/>
          <w:u w:val="single"/>
        </w:rPr>
        <w:t>/s/ Peggy P. Lee per authorization         </w:t>
      </w:r>
    </w:p>
    <w:p w:rsidR="008703FA" w:rsidRPr="00D923A4" w:rsidP="008703FA">
      <w:pPr>
        <w:ind w:left="4320"/>
        <w:rPr>
          <w:rFonts w:cs="Times New Roman"/>
          <w:szCs w:val="24"/>
        </w:rPr>
      </w:pPr>
      <w:bookmarkStart w:id="27" w:name="_Hlk14430722"/>
      <w:r w:rsidRPr="00D923A4">
        <w:rPr>
          <w:rFonts w:cs="Times New Roman"/>
          <w:szCs w:val="24"/>
        </w:rPr>
        <w:t xml:space="preserve">Peggy P. Lee </w:t>
      </w:r>
      <w:r w:rsidRPr="00D923A4">
        <w:rPr>
          <w:rFonts w:eastAsia="Calibri" w:cs="Times New Roman"/>
          <w:szCs w:val="24"/>
        </w:rPr>
        <w:t>(</w:t>
      </w:r>
      <w:r w:rsidRPr="00D923A4">
        <w:rPr>
          <w:rFonts w:cs="Times New Roman"/>
          <w:szCs w:val="24"/>
        </w:rPr>
        <w:t>0067912</w:t>
      </w:r>
      <w:r w:rsidRPr="00D923A4">
        <w:rPr>
          <w:rFonts w:eastAsia="Calibri" w:cs="Times New Roman"/>
          <w:szCs w:val="24"/>
        </w:rPr>
        <w:t>)</w:t>
      </w:r>
      <w:r w:rsidRPr="00D923A4">
        <w:rPr>
          <w:rFonts w:cs="Times New Roman"/>
          <w:szCs w:val="24"/>
        </w:rPr>
        <w:t xml:space="preserve"> </w:t>
      </w:r>
    </w:p>
    <w:p w:rsidR="008703FA" w:rsidRPr="00D923A4" w:rsidP="008703FA">
      <w:pPr>
        <w:ind w:left="4320"/>
        <w:rPr>
          <w:rFonts w:cs="Times New Roman"/>
          <w:szCs w:val="24"/>
        </w:rPr>
      </w:pPr>
      <w:r w:rsidRPr="00D923A4">
        <w:rPr>
          <w:rFonts w:cs="Times New Roman"/>
          <w:szCs w:val="24"/>
        </w:rPr>
        <w:t>Counsel of Record</w:t>
      </w:r>
    </w:p>
    <w:p w:rsidR="008703FA" w:rsidRPr="00D923A4" w:rsidP="008703FA">
      <w:pPr>
        <w:ind w:left="4320"/>
        <w:rPr>
          <w:rFonts w:cs="Times New Roman"/>
          <w:szCs w:val="24"/>
        </w:rPr>
      </w:pPr>
      <w:r w:rsidRPr="00D923A4">
        <w:rPr>
          <w:rFonts w:cs="Times New Roman"/>
          <w:szCs w:val="24"/>
        </w:rPr>
        <w:t>Senior Staff Attorney II</w:t>
      </w:r>
    </w:p>
    <w:p w:rsidR="008703FA" w:rsidRPr="00D923A4" w:rsidP="008703FA">
      <w:pPr>
        <w:ind w:left="4320"/>
        <w:rPr>
          <w:rFonts w:cs="Times New Roman"/>
          <w:szCs w:val="24"/>
        </w:rPr>
      </w:pPr>
      <w:r w:rsidRPr="00D923A4">
        <w:rPr>
          <w:rFonts w:cs="Times New Roman"/>
          <w:szCs w:val="24"/>
        </w:rPr>
        <w:t>Southeastern Ohio Legal Services</w:t>
      </w:r>
    </w:p>
    <w:p w:rsidR="008703FA" w:rsidRPr="00D923A4" w:rsidP="008703FA">
      <w:pPr>
        <w:ind w:left="4320"/>
        <w:rPr>
          <w:rFonts w:cs="Times New Roman"/>
          <w:szCs w:val="24"/>
        </w:rPr>
      </w:pPr>
      <w:r w:rsidRPr="00D923A4">
        <w:rPr>
          <w:rFonts w:cs="Times New Roman"/>
          <w:szCs w:val="24"/>
        </w:rPr>
        <w:t>964 East State Street</w:t>
      </w:r>
    </w:p>
    <w:p w:rsidR="008703FA" w:rsidRPr="00D923A4" w:rsidP="008703FA">
      <w:pPr>
        <w:ind w:left="4320"/>
        <w:rPr>
          <w:rFonts w:cs="Times New Roman"/>
          <w:szCs w:val="24"/>
        </w:rPr>
      </w:pPr>
      <w:r w:rsidRPr="00D923A4">
        <w:rPr>
          <w:rFonts w:cs="Times New Roman"/>
          <w:szCs w:val="24"/>
        </w:rPr>
        <w:t>Athens, Ohio 45701</w:t>
      </w:r>
    </w:p>
    <w:p w:rsidR="008703FA" w:rsidRPr="00D923A4" w:rsidP="008703FA">
      <w:pPr>
        <w:ind w:left="4320"/>
        <w:rPr>
          <w:rFonts w:cs="Times New Roman"/>
          <w:color w:val="1F497D"/>
          <w:szCs w:val="24"/>
        </w:rPr>
      </w:pPr>
      <w:r w:rsidRPr="00D923A4">
        <w:rPr>
          <w:rFonts w:cs="Times New Roman"/>
          <w:szCs w:val="24"/>
        </w:rPr>
        <w:t>Telephone: (740) 594-3558</w:t>
      </w:r>
    </w:p>
    <w:p w:rsidR="008703FA" w:rsidRPr="00D923A4" w:rsidP="008703FA">
      <w:pPr>
        <w:ind w:left="4320"/>
        <w:rPr>
          <w:rFonts w:cs="Times New Roman"/>
          <w:color w:val="1F497D"/>
          <w:szCs w:val="24"/>
        </w:rPr>
      </w:pPr>
      <w:r>
        <w:fldChar w:fldCharType="begin"/>
      </w:r>
      <w:r>
        <w:instrText xml:space="preserve"> HYPERLINK "mailto:plee@oslsa.org" </w:instrText>
      </w:r>
      <w:r>
        <w:fldChar w:fldCharType="separate"/>
      </w:r>
      <w:r w:rsidRPr="00D923A4" w:rsidR="002D3DCF">
        <w:rPr>
          <w:rStyle w:val="Hyperlink"/>
          <w:rFonts w:cs="Times New Roman"/>
          <w:szCs w:val="24"/>
        </w:rPr>
        <w:t>plee@oslsa.org</w:t>
      </w:r>
      <w:r>
        <w:fldChar w:fldCharType="end"/>
      </w:r>
    </w:p>
    <w:p w:rsidR="008703FA" w:rsidRPr="00D923A4" w:rsidP="008703FA">
      <w:pPr>
        <w:ind w:left="4320"/>
        <w:rPr>
          <w:rFonts w:cs="Times New Roman"/>
          <w:szCs w:val="24"/>
        </w:rPr>
      </w:pPr>
      <w:r w:rsidRPr="00D923A4">
        <w:rPr>
          <w:rFonts w:cs="Times New Roman"/>
          <w:szCs w:val="24"/>
        </w:rPr>
        <w:t>(willing to accept service by e-mail)</w:t>
      </w:r>
    </w:p>
    <w:p w:rsidR="008703FA" w:rsidRPr="00D923A4" w:rsidP="008703FA">
      <w:pPr>
        <w:shd w:val="clear" w:color="auto" w:fill="FFFFFF"/>
        <w:ind w:left="4320"/>
        <w:rPr>
          <w:rFonts w:cs="Times New Roman"/>
          <w:szCs w:val="24"/>
        </w:rPr>
      </w:pPr>
      <w:bookmarkEnd w:id="27"/>
    </w:p>
    <w:p w:rsidR="008703FA" w:rsidRPr="00D923A4" w:rsidP="008703FA">
      <w:pPr>
        <w:ind w:left="4320"/>
        <w:rPr>
          <w:rFonts w:cs="Times New Roman"/>
          <w:szCs w:val="24"/>
        </w:rPr>
      </w:pPr>
    </w:p>
    <w:p w:rsidR="008703FA" w:rsidP="008703FA">
      <w:pPr>
        <w:ind w:left="3600"/>
        <w:rPr>
          <w:rFonts w:cs="Times New Roman"/>
          <w:szCs w:val="24"/>
        </w:rPr>
        <w:sectPr w:rsidSect="008F2D7F">
          <w:headerReference w:type="first" r:id="rId15"/>
          <w:pgSz w:w="12240" w:h="15840"/>
          <w:pgMar w:top="1440" w:right="1800" w:bottom="1440" w:left="1800" w:header="720" w:footer="720" w:gutter="0"/>
          <w:cols w:space="720"/>
          <w:titlePg/>
          <w:docGrid w:linePitch="360"/>
        </w:sectPr>
      </w:pPr>
    </w:p>
    <w:p w:rsidR="008703FA" w:rsidRPr="00D923A4" w:rsidP="008703FA">
      <w:pPr>
        <w:jc w:val="center"/>
        <w:rPr>
          <w:rFonts w:eastAsia="Calibri" w:cs="Times New Roman"/>
          <w:b/>
          <w:bCs/>
          <w:szCs w:val="24"/>
          <w:u w:val="single"/>
        </w:rPr>
      </w:pPr>
      <w:r w:rsidRPr="00D923A4">
        <w:rPr>
          <w:rFonts w:eastAsia="Calibri" w:cs="Times New Roman"/>
          <w:b/>
          <w:bCs/>
          <w:szCs w:val="24"/>
          <w:u w:val="single"/>
        </w:rPr>
        <w:t>CERTIFICATE OF SERVICE</w:t>
      </w:r>
    </w:p>
    <w:p w:rsidR="008703FA" w:rsidRPr="00D923A4" w:rsidP="008703FA">
      <w:pPr>
        <w:spacing w:line="480" w:lineRule="atLeast"/>
        <w:ind w:firstLine="720"/>
        <w:rPr>
          <w:rFonts w:eastAsia="Calibri" w:cs="Times New Roman"/>
          <w:szCs w:val="24"/>
        </w:rPr>
      </w:pPr>
      <w:r w:rsidRPr="00D923A4">
        <w:rPr>
          <w:rFonts w:eastAsia="Calibri" w:cs="Times New Roman"/>
          <w:szCs w:val="24"/>
        </w:rPr>
        <w:t xml:space="preserve">I hereby certify that a copy of these </w:t>
      </w:r>
      <w:r>
        <w:rPr>
          <w:rFonts w:eastAsia="Calibri" w:cs="Times New Roman"/>
          <w:szCs w:val="24"/>
        </w:rPr>
        <w:t xml:space="preserve">Reply </w:t>
      </w:r>
      <w:r w:rsidRPr="00D923A4">
        <w:rPr>
          <w:rFonts w:eastAsia="Calibri" w:cs="Times New Roman"/>
          <w:szCs w:val="24"/>
        </w:rPr>
        <w:t xml:space="preserve">Comments was served on the persons stated below via electronic transmission, this </w:t>
      </w:r>
      <w:r>
        <w:rPr>
          <w:rFonts w:eastAsia="Calibri" w:cs="Times New Roman"/>
          <w:szCs w:val="24"/>
        </w:rPr>
        <w:t>15th</w:t>
      </w:r>
      <w:r w:rsidRPr="00D923A4">
        <w:rPr>
          <w:rFonts w:eastAsia="Calibri" w:cs="Times New Roman"/>
          <w:szCs w:val="24"/>
        </w:rPr>
        <w:t xml:space="preserve"> day of </w:t>
      </w:r>
      <w:r>
        <w:rPr>
          <w:rFonts w:eastAsia="Calibri" w:cs="Times New Roman"/>
          <w:szCs w:val="24"/>
        </w:rPr>
        <w:t>August</w:t>
      </w:r>
      <w:r w:rsidRPr="00D923A4">
        <w:rPr>
          <w:rFonts w:eastAsia="Calibri" w:cs="Times New Roman"/>
          <w:szCs w:val="24"/>
        </w:rPr>
        <w:t xml:space="preserve"> 2019.</w:t>
      </w:r>
    </w:p>
    <w:p w:rsidR="008703FA" w:rsidRPr="00D923A4" w:rsidP="008703FA">
      <w:pPr>
        <w:spacing w:line="480" w:lineRule="atLeast"/>
        <w:ind w:firstLine="720"/>
        <w:rPr>
          <w:rFonts w:eastAsia="Calibri" w:cs="Times New Roman"/>
          <w:szCs w:val="24"/>
        </w:rPr>
      </w:pPr>
    </w:p>
    <w:p w:rsidR="008703FA" w:rsidRPr="00D923A4" w:rsidP="008703FA">
      <w:pPr>
        <w:rPr>
          <w:rFonts w:eastAsia="Calibri" w:cs="Times New Roman"/>
          <w:szCs w:val="24"/>
        </w:rPr>
      </w:pPr>
    </w:p>
    <w:p w:rsidR="008703FA" w:rsidRPr="00D923A4" w:rsidP="008703FA">
      <w:pPr>
        <w:tabs>
          <w:tab w:val="left" w:pos="4320"/>
        </w:tabs>
        <w:rPr>
          <w:rFonts w:eastAsia="Calibri" w:cs="Times New Roman"/>
          <w:i/>
          <w:szCs w:val="24"/>
          <w:highlight w:val="yellow"/>
          <w:u w:val="single"/>
        </w:rPr>
      </w:pPr>
      <w:r w:rsidRPr="00D923A4">
        <w:rPr>
          <w:rFonts w:eastAsia="Calibri" w:cs="Times New Roman"/>
          <w:iCs/>
          <w:szCs w:val="24"/>
        </w:rPr>
        <w:tab/>
      </w:r>
      <w:r w:rsidRPr="00D923A4">
        <w:rPr>
          <w:rFonts w:eastAsia="Calibri" w:cs="Times New Roman"/>
          <w:iCs/>
          <w:szCs w:val="24"/>
        </w:rPr>
        <w:tab/>
      </w:r>
      <w:r w:rsidRPr="00D923A4">
        <w:rPr>
          <w:rFonts w:eastAsia="Calibri" w:cs="Times New Roman"/>
          <w:i/>
          <w:szCs w:val="24"/>
          <w:u w:val="single"/>
        </w:rPr>
        <w:t>/s/ Amy Botschner O’Brien</w:t>
      </w:r>
    </w:p>
    <w:p w:rsidR="008703FA" w:rsidRPr="00D923A4" w:rsidP="008703FA">
      <w:pPr>
        <w:tabs>
          <w:tab w:val="left" w:pos="4320"/>
        </w:tabs>
        <w:rPr>
          <w:rFonts w:eastAsia="Calibri" w:cs="Times New Roman"/>
          <w:iCs/>
          <w:szCs w:val="24"/>
        </w:rPr>
      </w:pPr>
      <w:r w:rsidRPr="00D923A4">
        <w:rPr>
          <w:rFonts w:eastAsia="Calibri" w:cs="Times New Roman"/>
          <w:iCs/>
          <w:szCs w:val="24"/>
        </w:rPr>
        <w:tab/>
      </w:r>
      <w:r w:rsidRPr="00D923A4">
        <w:rPr>
          <w:rFonts w:eastAsia="Calibri" w:cs="Times New Roman"/>
          <w:iCs/>
          <w:szCs w:val="24"/>
        </w:rPr>
        <w:tab/>
        <w:t>Amy Botschner O’Brien</w:t>
      </w:r>
    </w:p>
    <w:p w:rsidR="008703FA" w:rsidRPr="00D923A4" w:rsidP="008703FA">
      <w:pPr>
        <w:tabs>
          <w:tab w:val="left" w:pos="4320"/>
        </w:tabs>
        <w:rPr>
          <w:rFonts w:eastAsia="Calibri" w:cs="Times New Roman"/>
          <w:iCs/>
          <w:szCs w:val="24"/>
        </w:rPr>
      </w:pPr>
      <w:r w:rsidRPr="00D923A4">
        <w:rPr>
          <w:rFonts w:eastAsia="Calibri" w:cs="Times New Roman"/>
          <w:iCs/>
          <w:szCs w:val="24"/>
        </w:rPr>
        <w:tab/>
      </w:r>
      <w:r w:rsidRPr="00D923A4">
        <w:rPr>
          <w:rFonts w:eastAsia="Calibri" w:cs="Times New Roman"/>
          <w:iCs/>
          <w:szCs w:val="24"/>
        </w:rPr>
        <w:tab/>
        <w:t>Assistant Consumers’ Counsel</w:t>
      </w:r>
    </w:p>
    <w:p w:rsidR="008703FA" w:rsidRPr="00D923A4" w:rsidP="008703FA">
      <w:pPr>
        <w:rPr>
          <w:rFonts w:eastAsia="Times New Roman" w:cs="Times New Roman"/>
          <w:szCs w:val="24"/>
        </w:rPr>
      </w:pPr>
    </w:p>
    <w:p w:rsidR="008703FA" w:rsidRPr="00D923A4" w:rsidP="008703FA">
      <w:pPr>
        <w:rPr>
          <w:rFonts w:eastAsia="Times New Roman" w:cs="Times New Roman"/>
          <w:szCs w:val="24"/>
        </w:rPr>
      </w:pPr>
    </w:p>
    <w:p w:rsidR="008703FA" w:rsidRPr="00D923A4" w:rsidP="008703FA">
      <w:pPr>
        <w:pStyle w:val="CommentText"/>
        <w:jc w:val="center"/>
        <w:rPr>
          <w:rFonts w:cs="Times New Roman"/>
          <w:b/>
          <w:sz w:val="24"/>
          <w:szCs w:val="24"/>
          <w:u w:val="single"/>
        </w:rPr>
      </w:pPr>
      <w:r w:rsidRPr="00D923A4">
        <w:rPr>
          <w:rFonts w:cs="Times New Roman"/>
          <w:b/>
          <w:sz w:val="24"/>
          <w:szCs w:val="24"/>
          <w:u w:val="single"/>
        </w:rPr>
        <w:t>SERVICE LIST</w:t>
      </w:r>
    </w:p>
    <w:p w:rsidR="008703FA" w:rsidRPr="00D923A4" w:rsidP="008703FA">
      <w:pPr>
        <w:pStyle w:val="CommentText"/>
        <w:jc w:val="center"/>
        <w:rPr>
          <w:rFonts w:cs="Times New Roman"/>
          <w:b/>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23"/>
        <w:gridCol w:w="4315"/>
      </w:tblGrid>
      <w:tr w:rsidTr="008703FA">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8703FA" w:rsidRPr="00D923A4" w:rsidP="008703FA">
            <w:pPr>
              <w:spacing w:after="0" w:line="240" w:lineRule="auto"/>
              <w:jc w:val="both"/>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"mailto:John.jones@ohioattorneygeneral.gov" </w:instrText>
            </w:r>
            <w:r>
              <w:fldChar w:fldCharType="separate"/>
            </w:r>
            <w:r w:rsidRPr="00D923A4" w:rsidR="002D3DCF">
              <w:rPr>
                <w:rStyle w:val="Hyperlink"/>
                <w:rFonts w:ascii="Times New Roman" w:hAnsi="Times New Roman" w:eastAsiaTheme="minorHAnsi" w:cs="Times New Roman"/>
                <w:color w:val="0000FF"/>
                <w:sz w:val="24"/>
                <w:szCs w:val="24"/>
                <w:u w:val="single"/>
                <w:lang w:val="en-US" w:eastAsia="en-US" w:bidi="ar-SA"/>
              </w:rPr>
              <w:t>John.jones@ohioattorneygeneral.gov</w:t>
            </w:r>
            <w:r>
              <w:fldChar w:fldCharType="end"/>
            </w:r>
          </w:p>
          <w:p w:rsidR="008703FA" w:rsidRPr="00D923A4" w:rsidP="008703FA">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"mailto:stnourse@aep.com" </w:instrText>
            </w:r>
            <w:r>
              <w:fldChar w:fldCharType="separate"/>
            </w:r>
            <w:r w:rsidRPr="00D923A4" w:rsidR="002D3DCF">
              <w:rPr>
                <w:rStyle w:val="Hyperlink"/>
                <w:rFonts w:ascii="Times New Roman" w:hAnsi="Times New Roman" w:eastAsiaTheme="minorHAnsi" w:cs="Times New Roman"/>
                <w:color w:val="0000FF"/>
                <w:sz w:val="24"/>
                <w:szCs w:val="24"/>
                <w:u w:val="single"/>
                <w:lang w:val="en-US" w:eastAsia="en-US" w:bidi="ar-SA"/>
              </w:rPr>
              <w:t>stnourse@aep.com</w:t>
            </w:r>
            <w:r>
              <w:fldChar w:fldCharType="end"/>
            </w:r>
          </w:p>
          <w:p w:rsidR="008703FA" w:rsidRPr="00D923A4" w:rsidP="008703FA">
            <w:pPr>
              <w:spacing w:after="0" w:line="240" w:lineRule="auto"/>
              <w:jc w:val="both"/>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"mailto:cmblend@aep.com" </w:instrText>
            </w:r>
            <w:r>
              <w:fldChar w:fldCharType="separate"/>
            </w:r>
            <w:r w:rsidRPr="00D923A4" w:rsidR="002D3DCF">
              <w:rPr>
                <w:rStyle w:val="Hyperlink"/>
                <w:rFonts w:ascii="Times New Roman" w:hAnsi="Times New Roman" w:eastAsiaTheme="minorHAnsi" w:cs="Times New Roman"/>
                <w:color w:val="0000FF"/>
                <w:sz w:val="24"/>
                <w:szCs w:val="24"/>
                <w:u w:val="single"/>
                <w:lang w:val="en-US" w:eastAsia="en-US" w:bidi="ar-SA"/>
              </w:rPr>
              <w:t>cmblend@aep.com</w:t>
            </w:r>
            <w:r>
              <w:fldChar w:fldCharType="end"/>
            </w:r>
          </w:p>
          <w:p w:rsidR="008703FA" w:rsidRPr="00D923A4" w:rsidP="008703FA">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"mailto:sseiple@nisource.com" </w:instrText>
            </w:r>
            <w:r>
              <w:fldChar w:fldCharType="separate"/>
            </w:r>
            <w:r w:rsidRPr="00D923A4" w:rsidR="002D3DCF">
              <w:rPr>
                <w:rStyle w:val="Hyperlink"/>
                <w:rFonts w:ascii="Times New Roman" w:hAnsi="Times New Roman" w:eastAsiaTheme="minorHAnsi" w:cs="Times New Roman"/>
                <w:color w:val="0000FF"/>
                <w:sz w:val="24"/>
                <w:szCs w:val="24"/>
                <w:u w:val="single"/>
                <w:lang w:val="en-US" w:eastAsia="en-US" w:bidi="ar-SA"/>
              </w:rPr>
              <w:t>sseiple@nisource.com</w:t>
            </w:r>
            <w:r>
              <w:fldChar w:fldCharType="end"/>
            </w:r>
          </w:p>
          <w:p w:rsidR="008703FA" w:rsidP="008703FA">
            <w:pPr>
              <w:spacing w:after="0" w:line="240" w:lineRule="auto"/>
              <w:jc w:val="both"/>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"mailto:josephclark@nisource.com" </w:instrText>
            </w:r>
            <w:r>
              <w:fldChar w:fldCharType="separate"/>
            </w:r>
            <w:r w:rsidRPr="00D923A4" w:rsidR="002D3DCF">
              <w:rPr>
                <w:rStyle w:val="Hyperlink"/>
                <w:rFonts w:ascii="Times New Roman" w:hAnsi="Times New Roman" w:eastAsiaTheme="minorHAnsi" w:cs="Times New Roman"/>
                <w:color w:val="0000FF"/>
                <w:sz w:val="24"/>
                <w:szCs w:val="24"/>
                <w:u w:val="single"/>
                <w:lang w:val="en-US" w:eastAsia="en-US" w:bidi="ar-SA"/>
              </w:rPr>
              <w:t>josephclark@nisource.com</w:t>
            </w:r>
            <w:r>
              <w:fldChar w:fldCharType="end"/>
            </w:r>
          </w:p>
          <w:p w:rsidR="008F2D7F" w:rsidP="008703FA">
            <w:pPr>
              <w:spacing w:after="0" w:line="240" w:lineRule="auto"/>
              <w:jc w:val="both"/>
              <w:rPr>
                <w:rStyle w:val="Hyperlink"/>
                <w:rFonts w:ascii="Times New Roman" w:hAnsi="Times New Roman" w:eastAsiaTheme="minorHAnsi"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"mailto:Colette.harrell@breathingassociation.org" </w:instrText>
            </w:r>
            <w:r>
              <w:fldChar w:fldCharType="separate"/>
            </w:r>
            <w:r w:rsidRPr="00346360" w:rsidR="002D3DCF">
              <w:rPr>
                <w:rStyle w:val="Hyperlink"/>
                <w:rFonts w:ascii="Times New Roman" w:hAnsi="Times New Roman" w:eastAsiaTheme="minorHAnsi" w:cstheme="minorBidi"/>
                <w:color w:val="0000FF"/>
                <w:sz w:val="24"/>
                <w:szCs w:val="22"/>
                <w:u w:val="single"/>
                <w:lang w:val="en-US" w:eastAsia="en-US" w:bidi="ar-SA"/>
              </w:rPr>
              <w:t>Colette.harrell@breathingassociation.org</w:t>
            </w:r>
            <w:r>
              <w:fldChar w:fldCharType="end"/>
            </w:r>
          </w:p>
          <w:p w:rsidR="004E0330" w:rsidP="008703FA">
            <w:pPr>
              <w:spacing w:after="0" w:line="240" w:lineRule="auto"/>
              <w:jc w:val="both"/>
              <w:rPr>
                <w:rStyle w:val="Hyperlink"/>
                <w:rFonts w:ascii="Times New Roman" w:hAnsi="Times New Roman" w:eastAsiaTheme="minorHAnsi"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"mailto:Michael.schuler@aes.com" </w:instrText>
            </w:r>
            <w:r>
              <w:fldChar w:fldCharType="separate"/>
            </w:r>
            <w:r w:rsidRPr="00346360" w:rsidR="002D3DCF">
              <w:rPr>
                <w:rStyle w:val="Hyperlink"/>
                <w:rFonts w:ascii="Times New Roman" w:hAnsi="Times New Roman" w:eastAsiaTheme="minorHAnsi" w:cstheme="minorBidi"/>
                <w:color w:val="0000FF"/>
                <w:sz w:val="24"/>
                <w:szCs w:val="22"/>
                <w:u w:val="single"/>
                <w:lang w:val="en-US" w:eastAsia="en-US" w:bidi="ar-SA"/>
              </w:rPr>
              <w:t>Michael.schuler@aes.com</w:t>
            </w:r>
            <w:r>
              <w:fldChar w:fldCharType="end"/>
            </w:r>
          </w:p>
          <w:p w:rsidR="004E0330" w:rsidP="008703FA">
            <w:pPr>
              <w:spacing w:after="0" w:line="240" w:lineRule="auto"/>
              <w:jc w:val="both"/>
              <w:rPr>
                <w:rStyle w:val="Hyperlink"/>
                <w:rFonts w:ascii="Times New Roman" w:hAnsi="Times New Roman" w:eastAsiaTheme="minorHAnsi"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"mailto:edanford@firstenergycorp.com" </w:instrText>
            </w:r>
            <w:r>
              <w:fldChar w:fldCharType="separate"/>
            </w:r>
            <w:r w:rsidRPr="00346360" w:rsidR="002D3DCF">
              <w:rPr>
                <w:rStyle w:val="Hyperlink"/>
                <w:rFonts w:ascii="Times New Roman" w:hAnsi="Times New Roman" w:eastAsiaTheme="minorHAnsi" w:cstheme="minorBidi"/>
                <w:color w:val="0000FF"/>
                <w:sz w:val="24"/>
                <w:szCs w:val="22"/>
                <w:u w:val="single"/>
                <w:lang w:val="en-US" w:eastAsia="en-US" w:bidi="ar-SA"/>
              </w:rPr>
              <w:t>edanford@firstenergycorp.com</w:t>
            </w:r>
            <w:r>
              <w:fldChar w:fldCharType="end"/>
            </w:r>
          </w:p>
          <w:p w:rsidR="004E0330" w:rsidP="008703FA">
            <w:pPr>
              <w:spacing w:after="0" w:line="240" w:lineRule="auto"/>
              <w:jc w:val="both"/>
              <w:rPr>
                <w:rStyle w:val="Hyperlink"/>
                <w:rFonts w:ascii="Times New Roman" w:hAnsi="Times New Roman" w:eastAsiaTheme="minorHAnsi"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"mailto:Andrew.j.campbell@dominionenergy.com" </w:instrText>
            </w:r>
            <w:r>
              <w:fldChar w:fldCharType="separate"/>
            </w:r>
            <w:r w:rsidRPr="00346360" w:rsidR="002D3DCF">
              <w:rPr>
                <w:rStyle w:val="Hyperlink"/>
                <w:rFonts w:ascii="Times New Roman" w:hAnsi="Times New Roman" w:eastAsiaTheme="minorHAnsi" w:cstheme="minorBidi"/>
                <w:color w:val="0000FF"/>
                <w:sz w:val="24"/>
                <w:szCs w:val="22"/>
                <w:u w:val="single"/>
                <w:lang w:val="en-US" w:eastAsia="en-US" w:bidi="ar-SA"/>
              </w:rPr>
              <w:t>Andrew.j.campbell@dominionenergy.com</w:t>
            </w:r>
            <w:r>
              <w:fldChar w:fldCharType="end"/>
            </w:r>
          </w:p>
          <w:p w:rsidR="004E0330" w:rsidP="008703FA">
            <w:pPr>
              <w:spacing w:after="0" w:line="240" w:lineRule="auto"/>
              <w:jc w:val="both"/>
              <w:rPr>
                <w:rStyle w:val="Hyperlink"/>
                <w:rFonts w:ascii="Times New Roman" w:hAnsi="Times New Roman" w:eastAsiaTheme="minorHAnsi"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"mailto:kennedy@whitt-sturtevant.com" </w:instrText>
            </w:r>
            <w:r>
              <w:fldChar w:fldCharType="separate"/>
            </w:r>
            <w:r w:rsidRPr="00346360" w:rsidR="002D3DCF">
              <w:rPr>
                <w:rStyle w:val="Hyperlink"/>
                <w:rFonts w:ascii="Times New Roman" w:hAnsi="Times New Roman" w:eastAsiaTheme="minorHAnsi" w:cstheme="minorBidi"/>
                <w:color w:val="0000FF"/>
                <w:sz w:val="24"/>
                <w:szCs w:val="22"/>
                <w:u w:val="single"/>
                <w:lang w:val="en-US" w:eastAsia="en-US" w:bidi="ar-SA"/>
              </w:rPr>
              <w:t>kennedy@whitt-sturtevant.com</w:t>
            </w:r>
            <w:r>
              <w:fldChar w:fldCharType="end"/>
            </w:r>
          </w:p>
          <w:p w:rsidR="004E0330" w:rsidP="008703FA">
            <w:pPr>
              <w:spacing w:after="0" w:line="240" w:lineRule="auto"/>
              <w:jc w:val="both"/>
              <w:rPr>
                <w:rStyle w:val="Hyperlink"/>
                <w:rFonts w:ascii="Times New Roman" w:hAnsi="Times New Roman" w:eastAsiaTheme="minorHAnsi"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"mailto:glover@whitt-sturtevant.com" </w:instrText>
            </w:r>
            <w:r>
              <w:fldChar w:fldCharType="separate"/>
            </w:r>
            <w:r w:rsidRPr="00346360" w:rsidR="002D3DCF">
              <w:rPr>
                <w:rStyle w:val="Hyperlink"/>
                <w:rFonts w:ascii="Times New Roman" w:hAnsi="Times New Roman" w:eastAsiaTheme="minorHAnsi" w:cstheme="minorBidi"/>
                <w:color w:val="0000FF"/>
                <w:sz w:val="24"/>
                <w:szCs w:val="22"/>
                <w:u w:val="single"/>
                <w:lang w:val="en-US" w:eastAsia="en-US" w:bidi="ar-SA"/>
              </w:rPr>
              <w:t>glover@whitt-sturtevant.com</w:t>
            </w:r>
            <w:r>
              <w:fldChar w:fldCharType="end"/>
            </w:r>
          </w:p>
          <w:p w:rsidR="008F2D7F" w:rsidRPr="00D923A4" w:rsidP="008703FA">
            <w:pPr>
              <w:spacing w:after="0" w:line="240" w:lineRule="auto"/>
              <w:jc w:val="both"/>
              <w:rPr>
                <w:rStyle w:val="DefaultParagraphFont"/>
                <w:rFonts w:ascii="Times New Roman" w:hAnsi="Times New Roman" w:eastAsiaTheme="minorHAnsi" w:cs="Times New Roman"/>
                <w:sz w:val="24"/>
                <w:szCs w:val="24"/>
                <w:lang w:val="en-US" w:eastAsia="en-US" w:bidi="ar-SA"/>
              </w:rPr>
            </w:pPr>
          </w:p>
          <w:p w:rsidR="008703FA" w:rsidRPr="00D923A4" w:rsidP="008703FA">
            <w:pPr>
              <w:spacing w:after="0" w:line="240" w:lineRule="auto"/>
              <w:jc w:val="both"/>
              <w:rPr>
                <w:rStyle w:val="DefaultParagraphFont"/>
                <w:rFonts w:ascii="Times New Roman" w:hAnsi="Times New Roman" w:eastAsiaTheme="minorHAnsi" w:cs="Times New Roman"/>
                <w:sz w:val="24"/>
                <w:szCs w:val="24"/>
                <w:lang w:val="en-US" w:eastAsia="en-US" w:bidi="ar-SA"/>
              </w:rPr>
            </w:pPr>
          </w:p>
          <w:p w:rsidR="008703FA" w:rsidRPr="00D923A4" w:rsidP="008703FA">
            <w:pPr>
              <w:spacing w:after="0" w:line="240" w:lineRule="auto"/>
              <w:jc w:val="both"/>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Attorney Examiner:</w:t>
            </w:r>
          </w:p>
          <w:p w:rsidR="008703FA" w:rsidRPr="00D923A4" w:rsidP="008703FA">
            <w:pPr>
              <w:spacing w:after="0" w:line="240" w:lineRule="auto"/>
              <w:jc w:val="both"/>
              <w:rPr>
                <w:rStyle w:val="DefaultParagraphFont"/>
                <w:rFonts w:ascii="Times New Roman" w:hAnsi="Times New Roman" w:eastAsiaTheme="minorHAnsi" w:cs="Times New Roman"/>
                <w:sz w:val="24"/>
                <w:szCs w:val="24"/>
                <w:lang w:val="en-US" w:eastAsia="en-US" w:bidi="ar-SA"/>
              </w:rPr>
            </w:pPr>
          </w:p>
          <w:p w:rsidR="008703FA" w:rsidRPr="00D923A4" w:rsidP="008703FA">
            <w:pPr>
              <w:spacing w:after="0" w:line="240" w:lineRule="auto"/>
              <w:jc w:val="both"/>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"mailto:Greta.see@puco.ohio.gov" </w:instrText>
            </w:r>
            <w:r>
              <w:fldChar w:fldCharType="separate"/>
            </w:r>
            <w:r w:rsidRPr="00D923A4" w:rsidR="002D3DCF">
              <w:rPr>
                <w:rStyle w:val="Hyperlink"/>
                <w:rFonts w:ascii="Times New Roman" w:hAnsi="Times New Roman" w:eastAsiaTheme="minorHAnsi" w:cs="Times New Roman"/>
                <w:color w:val="0000FF"/>
                <w:sz w:val="24"/>
                <w:szCs w:val="24"/>
                <w:u w:val="single"/>
                <w:lang w:val="en-US" w:eastAsia="en-US" w:bidi="ar-SA"/>
              </w:rPr>
              <w:t>Greta.see@puco.ohio.gov</w:t>
            </w:r>
            <w:r>
              <w:fldChar w:fldCharType="end"/>
            </w:r>
          </w:p>
          <w:p w:rsidR="008703FA" w:rsidRPr="00D923A4" w:rsidP="008703FA">
            <w:pPr>
              <w:spacing w:after="0" w:line="240" w:lineRule="auto"/>
              <w:jc w:val="both"/>
              <w:rPr>
                <w:rStyle w:val="DefaultParagraphFont"/>
                <w:rFonts w:ascii="Times New Roman" w:hAnsi="Times New Roman" w:eastAsiaTheme="minorHAnsi" w:cs="Times New Roman"/>
                <w:sz w:val="24"/>
                <w:szCs w:val="24"/>
                <w:lang w:val="en-US" w:eastAsia="en-US" w:bidi="ar-SA"/>
              </w:rPr>
            </w:pPr>
          </w:p>
        </w:tc>
        <w:tc>
          <w:tcPr>
            <w:tcW w:w="4315" w:type="dxa"/>
          </w:tcPr>
          <w:p w:rsidR="008703FA" w:rsidP="008703FA">
            <w:pPr>
              <w:autoSpaceDE w:val="0"/>
              <w:autoSpaceDN w:val="0"/>
              <w:adjustRightInd w:val="0"/>
              <w:spacing w:after="0" w:line="240" w:lineRule="auto"/>
              <w:ind w:left="360"/>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"mailto:Rocco.DAscenzo@duke-energy.com" </w:instrText>
            </w:r>
            <w:r>
              <w:fldChar w:fldCharType="separate"/>
            </w:r>
            <w:r w:rsidRPr="00346360" w:rsidR="002D3DCF">
              <w:rPr>
                <w:rStyle w:val="Hyperlink"/>
                <w:rFonts w:ascii="Times New Roman" w:hAnsi="Times New Roman" w:eastAsiaTheme="minorHAnsi" w:cs="Times New Roman"/>
                <w:color w:val="0000FF"/>
                <w:sz w:val="24"/>
                <w:szCs w:val="24"/>
                <w:u w:val="single"/>
                <w:lang w:val="en-US" w:eastAsia="en-US" w:bidi="ar-SA"/>
              </w:rPr>
              <w:t>Rocco.DAscenzo@duke-energy.com</w:t>
            </w:r>
            <w:r>
              <w:fldChar w:fldCharType="end"/>
            </w:r>
          </w:p>
          <w:p w:rsidR="008703FA" w:rsidP="008703FA">
            <w:pPr>
              <w:autoSpaceDE w:val="0"/>
              <w:autoSpaceDN w:val="0"/>
              <w:adjustRightInd w:val="0"/>
              <w:spacing w:after="0" w:line="240" w:lineRule="auto"/>
              <w:ind w:left="360"/>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"mailto:Elizabeth.Watts@duke-energy.com" </w:instrText>
            </w:r>
            <w:r>
              <w:fldChar w:fldCharType="separate"/>
            </w:r>
            <w:r w:rsidRPr="00346360" w:rsidR="002D3DCF">
              <w:rPr>
                <w:rStyle w:val="Hyperlink"/>
                <w:rFonts w:ascii="Times New Roman" w:hAnsi="Times New Roman" w:eastAsiaTheme="minorHAnsi" w:cs="Times New Roman"/>
                <w:color w:val="0000FF"/>
                <w:sz w:val="24"/>
                <w:szCs w:val="24"/>
                <w:u w:val="single"/>
                <w:lang w:val="en-US" w:eastAsia="en-US" w:bidi="ar-SA"/>
              </w:rPr>
              <w:t>Elizabeth.Watts@duke-energy.com</w:t>
            </w:r>
            <w:r>
              <w:fldChar w:fldCharType="end"/>
            </w:r>
          </w:p>
          <w:p w:rsidR="008703FA" w:rsidP="008703FA">
            <w:pPr>
              <w:autoSpaceDE w:val="0"/>
              <w:autoSpaceDN w:val="0"/>
              <w:adjustRightInd w:val="0"/>
              <w:spacing w:after="0" w:line="240" w:lineRule="auto"/>
              <w:ind w:left="360"/>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"mailto:Jeanne.Kingery@duke-energy.com" </w:instrText>
            </w:r>
            <w:r>
              <w:fldChar w:fldCharType="separate"/>
            </w:r>
            <w:r w:rsidRPr="00346360" w:rsidR="002D3DCF">
              <w:rPr>
                <w:rStyle w:val="Hyperlink"/>
                <w:rFonts w:ascii="Times New Roman" w:hAnsi="Times New Roman" w:eastAsiaTheme="minorHAnsi" w:cs="Times New Roman"/>
                <w:color w:val="0000FF"/>
                <w:sz w:val="24"/>
                <w:szCs w:val="24"/>
                <w:u w:val="single"/>
                <w:lang w:val="en-US" w:eastAsia="en-US" w:bidi="ar-SA"/>
              </w:rPr>
              <w:t>Jeanne.Kingery@duke-energy.com</w:t>
            </w:r>
            <w:r>
              <w:fldChar w:fldCharType="end"/>
            </w:r>
          </w:p>
          <w:p w:rsidR="008703FA" w:rsidP="008703FA">
            <w:pPr>
              <w:spacing w:after="0" w:line="240" w:lineRule="auto"/>
              <w:ind w:left="360"/>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"mailto:Larisa.Vaysman@duke-energy.com" </w:instrText>
            </w:r>
            <w:r>
              <w:fldChar w:fldCharType="separate"/>
            </w:r>
            <w:r w:rsidRPr="00346360" w:rsidR="002D3DCF">
              <w:rPr>
                <w:rStyle w:val="Hyperlink"/>
                <w:rFonts w:ascii="Times New Roman" w:hAnsi="Times New Roman" w:eastAsiaTheme="minorHAnsi" w:cs="Times New Roman"/>
                <w:color w:val="0000FF"/>
                <w:sz w:val="24"/>
                <w:szCs w:val="24"/>
                <w:u w:val="single"/>
                <w:lang w:val="en-US" w:eastAsia="en-US" w:bidi="ar-SA"/>
              </w:rPr>
              <w:t>Larisa.Vaysman@duke-energy.com</w:t>
            </w:r>
            <w:r>
              <w:fldChar w:fldCharType="end"/>
            </w:r>
          </w:p>
          <w:p w:rsidR="008F2D7F" w:rsidP="008703FA">
            <w:pPr>
              <w:spacing w:after="0" w:line="240" w:lineRule="auto"/>
              <w:ind w:left="360"/>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"mailto:meissnerjoseph@yahoo.com" </w:instrText>
            </w:r>
            <w:r>
              <w:fldChar w:fldCharType="separate"/>
            </w:r>
            <w:r w:rsidRPr="00346360" w:rsidR="002D3DCF">
              <w:rPr>
                <w:rStyle w:val="Hyperlink"/>
                <w:rFonts w:ascii="Times New Roman" w:hAnsi="Times New Roman" w:eastAsiaTheme="minorHAnsi" w:cs="Times New Roman"/>
                <w:color w:val="0000FF"/>
                <w:sz w:val="24"/>
                <w:szCs w:val="24"/>
                <w:u w:val="single"/>
                <w:lang w:val="en-US" w:eastAsia="en-US" w:bidi="ar-SA"/>
              </w:rPr>
              <w:t>meissnerjoseph@yahoo.com</w:t>
            </w:r>
            <w:r>
              <w:fldChar w:fldCharType="end"/>
            </w:r>
          </w:p>
          <w:p w:rsidR="004E0330" w:rsidP="008703FA">
            <w:pPr>
              <w:spacing w:after="0" w:line="240" w:lineRule="auto"/>
              <w:ind w:left="360"/>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"mailto:Bethany.allen@igs.com" </w:instrText>
            </w:r>
            <w:r>
              <w:fldChar w:fldCharType="separate"/>
            </w:r>
            <w:r w:rsidRPr="00346360" w:rsidR="002D3DCF">
              <w:rPr>
                <w:rStyle w:val="Hyperlink"/>
                <w:rFonts w:ascii="Times New Roman" w:hAnsi="Times New Roman" w:eastAsiaTheme="minorHAnsi" w:cs="Times New Roman"/>
                <w:color w:val="0000FF"/>
                <w:sz w:val="24"/>
                <w:szCs w:val="24"/>
                <w:u w:val="single"/>
                <w:lang w:val="en-US" w:eastAsia="en-US" w:bidi="ar-SA"/>
              </w:rPr>
              <w:t>Bethany.allen@igs.com</w:t>
            </w:r>
            <w:r>
              <w:fldChar w:fldCharType="end"/>
            </w:r>
          </w:p>
          <w:p w:rsidR="004E0330" w:rsidP="008703FA">
            <w:pPr>
              <w:spacing w:after="0" w:line="240" w:lineRule="auto"/>
              <w:ind w:left="360"/>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"mailto:Joe.oliker@igs.com" </w:instrText>
            </w:r>
            <w:r>
              <w:fldChar w:fldCharType="separate"/>
            </w:r>
            <w:r w:rsidRPr="00346360" w:rsidR="002D3DCF">
              <w:rPr>
                <w:rStyle w:val="Hyperlink"/>
                <w:rFonts w:ascii="Times New Roman" w:hAnsi="Times New Roman" w:eastAsiaTheme="minorHAnsi" w:cs="Times New Roman"/>
                <w:color w:val="0000FF"/>
                <w:sz w:val="24"/>
                <w:szCs w:val="24"/>
                <w:u w:val="single"/>
                <w:lang w:val="en-US" w:eastAsia="en-US" w:bidi="ar-SA"/>
              </w:rPr>
              <w:t>Joe.ol</w:t>
            </w:r>
            <w:r w:rsidRPr="00346360" w:rsidR="002D3DCF">
              <w:rPr>
                <w:rStyle w:val="Hyperlink"/>
                <w:rFonts w:ascii="Times New Roman" w:hAnsi="Times New Roman" w:eastAsiaTheme="minorHAnsi" w:cstheme="minorBidi"/>
                <w:color w:val="0000FF"/>
                <w:sz w:val="24"/>
                <w:szCs w:val="22"/>
                <w:u w:val="single"/>
                <w:lang w:val="en-US" w:eastAsia="en-US" w:bidi="ar-SA"/>
              </w:rPr>
              <w:t>i</w:t>
            </w:r>
            <w:r w:rsidRPr="00346360" w:rsidR="002D3DCF">
              <w:rPr>
                <w:rStyle w:val="Hyperlink"/>
                <w:rFonts w:ascii="Times New Roman" w:hAnsi="Times New Roman" w:eastAsiaTheme="minorHAnsi" w:cs="Times New Roman"/>
                <w:color w:val="0000FF"/>
                <w:sz w:val="24"/>
                <w:szCs w:val="24"/>
                <w:u w:val="single"/>
                <w:lang w:val="en-US" w:eastAsia="en-US" w:bidi="ar-SA"/>
              </w:rPr>
              <w:t>ker@igs.com</w:t>
            </w:r>
            <w:r>
              <w:fldChar w:fldCharType="end"/>
            </w:r>
          </w:p>
          <w:p w:rsidR="004E0330" w:rsidP="008703FA">
            <w:pPr>
              <w:spacing w:after="0" w:line="240" w:lineRule="auto"/>
              <w:ind w:left="360"/>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"mailto:drinebolt@opae.org" </w:instrText>
            </w:r>
            <w:r>
              <w:fldChar w:fldCharType="separate"/>
            </w:r>
            <w:r w:rsidRPr="00346360" w:rsidR="002D3DCF">
              <w:rPr>
                <w:rStyle w:val="Hyperlink"/>
                <w:rFonts w:ascii="Times New Roman" w:hAnsi="Times New Roman" w:eastAsiaTheme="minorHAnsi" w:cs="Times New Roman"/>
                <w:color w:val="0000FF"/>
                <w:sz w:val="24"/>
                <w:szCs w:val="24"/>
                <w:u w:val="single"/>
                <w:lang w:val="en-US" w:eastAsia="en-US" w:bidi="ar-SA"/>
              </w:rPr>
              <w:t>drinebolt@opae.org</w:t>
            </w:r>
            <w:r>
              <w:fldChar w:fldCharType="end"/>
            </w:r>
          </w:p>
          <w:p w:rsidR="004E0330" w:rsidP="008703FA">
            <w:pPr>
              <w:spacing w:after="0" w:line="240" w:lineRule="auto"/>
              <w:ind w:left="360"/>
              <w:jc w:val="both"/>
              <w:rPr>
                <w:rStyle w:val="DefaultParagraphFont"/>
                <w:rFonts w:ascii="Times New Roman" w:hAnsi="Times New Roman" w:eastAsiaTheme="minorHAnsi" w:cs="Times New Roman"/>
                <w:color w:val="0000FF"/>
                <w:sz w:val="24"/>
                <w:szCs w:val="24"/>
                <w:lang w:val="en-US" w:eastAsia="en-US" w:bidi="ar-SA"/>
              </w:rPr>
            </w:pPr>
          </w:p>
          <w:p w:rsidR="004E0330" w:rsidP="008703FA">
            <w:pPr>
              <w:spacing w:after="0" w:line="240" w:lineRule="auto"/>
              <w:ind w:left="360"/>
              <w:jc w:val="both"/>
              <w:rPr>
                <w:rStyle w:val="DefaultParagraphFont"/>
                <w:rFonts w:ascii="Times New Roman" w:hAnsi="Times New Roman" w:eastAsiaTheme="minorHAnsi" w:cs="Times New Roman"/>
                <w:color w:val="0000FF"/>
                <w:sz w:val="24"/>
                <w:szCs w:val="24"/>
                <w:lang w:val="en-US" w:eastAsia="en-US" w:bidi="ar-SA"/>
              </w:rPr>
            </w:pPr>
          </w:p>
          <w:p w:rsidR="008F2D7F" w:rsidP="008703FA">
            <w:pPr>
              <w:spacing w:after="0" w:line="240" w:lineRule="auto"/>
              <w:ind w:left="360"/>
              <w:jc w:val="both"/>
              <w:rPr>
                <w:rStyle w:val="DefaultParagraphFont"/>
                <w:rFonts w:ascii="Times New Roman" w:hAnsi="Times New Roman" w:eastAsiaTheme="minorHAnsi" w:cs="Times New Roman"/>
                <w:color w:val="0000FF"/>
                <w:sz w:val="24"/>
                <w:szCs w:val="24"/>
                <w:lang w:val="en-US" w:eastAsia="en-US" w:bidi="ar-SA"/>
              </w:rPr>
            </w:pPr>
          </w:p>
          <w:p w:rsidR="008F2D7F" w:rsidRPr="00D923A4" w:rsidP="008703FA">
            <w:pPr>
              <w:spacing w:after="0" w:line="240" w:lineRule="auto"/>
              <w:ind w:left="360"/>
              <w:jc w:val="both"/>
              <w:rPr>
                <w:rStyle w:val="DefaultParagraphFont"/>
                <w:rFonts w:ascii="Times New Roman" w:hAnsi="Times New Roman" w:eastAsiaTheme="minorHAnsi" w:cs="Times New Roman"/>
                <w:sz w:val="24"/>
                <w:szCs w:val="24"/>
                <w:lang w:val="en-US" w:eastAsia="en-US" w:bidi="ar-SA"/>
              </w:rPr>
            </w:pPr>
          </w:p>
        </w:tc>
      </w:tr>
    </w:tbl>
    <w:p w:rsidR="008703FA" w:rsidRPr="00D923A4" w:rsidP="008703FA">
      <w:pPr>
        <w:jc w:val="both"/>
        <w:rPr>
          <w:rFonts w:cs="Times New Roman"/>
          <w:szCs w:val="24"/>
        </w:rPr>
      </w:pPr>
    </w:p>
    <w:sectPr w:rsidSect="008703FA">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5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7320057"/>
      <w:docPartObj>
        <w:docPartGallery w:val="Page Numbers (Bottom of Page)"/>
        <w:docPartUnique/>
      </w:docPartObj>
    </w:sdtPr>
    <w:sdtEndPr>
      <w:rPr>
        <w:noProof/>
      </w:rPr>
    </w:sdtEndPr>
    <w:sdtContent>
      <w:p w:rsidR="004558C4">
        <w:pPr>
          <w:pStyle w:val="Footer"/>
          <w:jc w:val="center"/>
        </w:pPr>
      </w:p>
    </w:sdtContent>
  </w:sdt>
  <w:p w:rsidR="00455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8C4">
    <w:pPr>
      <w:pStyle w:val="Footer"/>
      <w:jc w:val="center"/>
    </w:pPr>
  </w:p>
  <w:p w:rsidR="004558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7780601"/>
      <w:docPartObj>
        <w:docPartGallery w:val="Page Numbers (Bottom of Page)"/>
        <w:docPartUnique/>
      </w:docPartObj>
    </w:sdtPr>
    <w:sdtEndPr>
      <w:rPr>
        <w:noProof/>
      </w:rPr>
    </w:sdtEndPr>
    <w:sdtContent>
      <w:p w:rsidR="004558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8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9725129"/>
      <w:docPartObj>
        <w:docPartGallery w:val="Page Numbers (Bottom of Page)"/>
        <w:docPartUnique/>
      </w:docPartObj>
    </w:sdtPr>
    <w:sdtEndPr>
      <w:rPr>
        <w:noProof/>
      </w:rPr>
    </w:sdtEndPr>
    <w:sdtContent>
      <w:p w:rsidR="004558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8C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8850694"/>
      <w:docPartObj>
        <w:docPartGallery w:val="Page Numbers (Bottom of Page)"/>
        <w:docPartUnique/>
      </w:docPartObj>
    </w:sdtPr>
    <w:sdtEndPr>
      <w:rPr>
        <w:noProof/>
      </w:rPr>
    </w:sdtEndPr>
    <w:sdtContent>
      <w:p w:rsidR="004558C4">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4558C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8C4">
    <w:pPr>
      <w:pStyle w:val="Footer"/>
      <w:jc w:val="center"/>
    </w:pPr>
  </w:p>
  <w:p w:rsidR="004558C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0701702"/>
      <w:docPartObj>
        <w:docPartGallery w:val="Page Numbers (Bottom of Page)"/>
        <w:docPartUnique/>
      </w:docPartObj>
    </w:sdtPr>
    <w:sdtEndPr>
      <w:rPr>
        <w:noProof/>
      </w:rPr>
    </w:sdtEndPr>
    <w:sdtContent>
      <w:p w:rsidR="004558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3DCF" w:rsidP="008703FA">
      <w:r>
        <w:separator/>
      </w:r>
    </w:p>
  </w:footnote>
  <w:footnote w:type="continuationSeparator" w:id="1">
    <w:p w:rsidR="002D3DCF" w:rsidP="008703FA">
      <w:r>
        <w:continuationSeparator/>
      </w:r>
    </w:p>
  </w:footnote>
  <w:footnote w:type="continuationNotice" w:id="2">
    <w:p w:rsidR="002D3DCF"/>
  </w:footnote>
  <w:footnote w:id="3">
    <w:p w:rsidR="004558C4" w:rsidRPr="006B65F0" w:rsidP="008703FA">
      <w:pPr>
        <w:pStyle w:val="FootnoteText"/>
        <w:rPr>
          <w:szCs w:val="20"/>
        </w:rPr>
      </w:pPr>
      <w:r w:rsidRPr="006B65F0">
        <w:rPr>
          <w:rStyle w:val="FootnoteReference"/>
          <w:szCs w:val="20"/>
        </w:rPr>
        <w:footnoteRef/>
      </w:r>
      <w:r w:rsidRPr="006B65F0">
        <w:rPr>
          <w:szCs w:val="20"/>
        </w:rPr>
        <w:t xml:space="preserve"> </w:t>
      </w:r>
      <w:r>
        <w:rPr>
          <w:szCs w:val="20"/>
        </w:rPr>
        <w:t xml:space="preserve">R.C. </w:t>
      </w:r>
      <w:r w:rsidRPr="006B65F0">
        <w:rPr>
          <w:szCs w:val="20"/>
        </w:rPr>
        <w:t>111.15(B) and 106.03(A).</w:t>
      </w:r>
    </w:p>
  </w:footnote>
  <w:footnote w:id="4">
    <w:p w:rsidR="004558C4" w:rsidP="00DF313C">
      <w:pPr>
        <w:pStyle w:val="FootnoteText"/>
      </w:pPr>
      <w:r>
        <w:rPr>
          <w:rStyle w:val="FootnoteReference"/>
        </w:rPr>
        <w:footnoteRef/>
      </w:r>
      <w:r>
        <w:t xml:space="preserve"> Initial Comments of the Advocates for Basic Legal Equality, Inc., The Legal Aid Society of Cleveland, The Legal Aid Society of Columbus, The Legal Aid Society of Greater Cincinnati, The Office of the Ohio Consumers’ Counsel, Ohio Poverty Law Center, Pro Seniors, Inc., and Southeastern Ohio Legal Services (July 19, 2019).)(collectively, “Consumer Groups”).  These reply comments also support the separate comments of a number of legal aid societies that were filed with ODSA and recently included in the PUCO docket (</w:t>
      </w:r>
      <w:r w:rsidRPr="001D49F9">
        <w:rPr>
          <w:i/>
          <w:iCs/>
        </w:rPr>
        <w:t>see</w:t>
      </w:r>
      <w:r>
        <w:rPr>
          <w:i/>
          <w:iCs/>
        </w:rPr>
        <w:t xml:space="preserve"> </w:t>
      </w:r>
      <w:r>
        <w:t xml:space="preserve">August 9, 2019 Entry), that proposed a separate application for customers who do not meet the eligibility and documentation requirements for the federal energy assistance programs. These reply comments also support the comments of The Breathing Association recently included in this docket. </w:t>
      </w:r>
      <w:r w:rsidRPr="001D49F9">
        <w:rPr>
          <w:i/>
          <w:iCs/>
        </w:rPr>
        <w:t>See</w:t>
      </w:r>
      <w:r>
        <w:t xml:space="preserve">, August 9 Entry. </w:t>
      </w:r>
    </w:p>
  </w:footnote>
  <w:footnote w:id="5">
    <w:p w:rsidR="004558C4">
      <w:pPr>
        <w:pStyle w:val="FootnoteText"/>
      </w:pPr>
      <w:r>
        <w:rPr>
          <w:rStyle w:val="FootnoteReference"/>
        </w:rPr>
        <w:footnoteRef/>
      </w:r>
      <w:r>
        <w:t xml:space="preserve"> Failure to respond to any particular proposal should not be deemed to be acquiescence to that proposal.  </w:t>
      </w:r>
    </w:p>
  </w:footnote>
  <w:footnote w:id="6">
    <w:p w:rsidR="004558C4">
      <w:pPr>
        <w:pStyle w:val="FootnoteText"/>
      </w:pPr>
      <w:r>
        <w:rPr>
          <w:rStyle w:val="FootnoteReference"/>
        </w:rPr>
        <w:footnoteRef/>
      </w:r>
      <w:r>
        <w:t xml:space="preserve"> In comments, Columbia Gas of Ohio recommended an additional review to look at expanding the eligibility for participating in PIPP. Consumer Groups are not opposed to an evaluation if the program can be provided in a cost-effective manner that helps all low-income customers avoid loss of utility services.</w:t>
      </w:r>
    </w:p>
  </w:footnote>
  <w:footnote w:id="7">
    <w:p w:rsidR="004558C4" w:rsidP="008703FA">
      <w:pPr>
        <w:pStyle w:val="FootnoteText"/>
      </w:pPr>
      <w:r>
        <w:rPr>
          <w:rStyle w:val="FootnoteReference"/>
        </w:rPr>
        <w:footnoteRef/>
      </w:r>
      <w:r>
        <w:t xml:space="preserve"> </w:t>
      </w:r>
      <w:r>
        <w:fldChar w:fldCharType="begin"/>
      </w:r>
      <w:r>
        <w:instrText xml:space="preserve"> HYPERLINK "https://aspe.hhs.gov/poverty-guidelines" </w:instrText>
      </w:r>
      <w:r>
        <w:fldChar w:fldCharType="separate"/>
      </w:r>
      <w:r w:rsidRPr="00DC2800">
        <w:rPr>
          <w:color w:val="0000FF"/>
          <w:sz w:val="24"/>
          <w:u w:val="single"/>
        </w:rPr>
        <w:t>https://aspe.hhs.gov/poverty-guidelines</w:t>
      </w:r>
      <w:r>
        <w:fldChar w:fldCharType="end"/>
      </w:r>
      <w:r>
        <w:rPr>
          <w:color w:val="0000FF"/>
          <w:sz w:val="24"/>
          <w:u w:val="single"/>
        </w:rPr>
        <w:t>.</w:t>
      </w:r>
      <w:r>
        <w:rPr>
          <w:sz w:val="24"/>
        </w:rPr>
        <w:t xml:space="preserve"> </w:t>
      </w:r>
    </w:p>
  </w:footnote>
  <w:footnote w:id="8">
    <w:p w:rsidR="004558C4" w:rsidP="008703FA">
      <w:pPr>
        <w:pStyle w:val="FootnoteText"/>
      </w:pPr>
      <w:r>
        <w:rPr>
          <w:rStyle w:val="FootnoteReference"/>
        </w:rPr>
        <w:footnoteRef/>
      </w:r>
      <w:r>
        <w:t xml:space="preserve"> </w:t>
      </w:r>
      <w:r>
        <w:fldChar w:fldCharType="begin"/>
      </w:r>
      <w:r>
        <w:instrText xml:space="preserve"> HYPERLINK "https://public.tableau.com/profile/feeding.america.research" \l "!/vizhome/2017StateWorkbook-Public_15568266651950/CountyDetailDataPublic" </w:instrText>
      </w:r>
      <w:r>
        <w:fldChar w:fldCharType="separate"/>
      </w:r>
      <w:r w:rsidRPr="00C6606F">
        <w:rPr>
          <w:rStyle w:val="Hyperlink"/>
          <w:sz w:val="24"/>
        </w:rPr>
        <w:t>https://public.tableau.com/profile/feeding.america.research#!/vizhome/2017StateWorkbook-Public_15568266651950/CountyDetailDataPublic</w:t>
      </w:r>
      <w:r>
        <w:fldChar w:fldCharType="end"/>
      </w:r>
      <w:r>
        <w:rPr>
          <w:rStyle w:val="Hyperlink"/>
          <w:sz w:val="24"/>
        </w:rPr>
        <w:t>.</w:t>
      </w:r>
      <w:r>
        <w:rPr>
          <w:sz w:val="24"/>
        </w:rPr>
        <w:t xml:space="preserve"> </w:t>
      </w:r>
    </w:p>
  </w:footnote>
  <w:footnote w:id="9">
    <w:p w:rsidR="00C95F45">
      <w:pPr>
        <w:pStyle w:val="FootnoteText"/>
      </w:pPr>
      <w:r>
        <w:rPr>
          <w:rStyle w:val="FootnoteReference"/>
        </w:rPr>
        <w:footnoteRef/>
      </w:r>
      <w:r>
        <w:t xml:space="preserve"> Consumer Groups Initial Comments at 9-10.</w:t>
      </w:r>
    </w:p>
  </w:footnote>
  <w:footnote w:id="10">
    <w:p w:rsidR="00DF1B49" w:rsidP="00DF1B49">
      <w:pPr>
        <w:pStyle w:val="FootnoteText"/>
      </w:pPr>
      <w:r>
        <w:rPr>
          <w:rStyle w:val="FootnoteReference"/>
        </w:rPr>
        <w:footnoteRef/>
      </w:r>
      <w:r>
        <w:t xml:space="preserve"> Comments of Ohio Edison Company, The Cleveland Electric Illuminating Company, and the Toledo Edison Company (“First Energy”) at 3 (July 19, 2019).</w:t>
      </w:r>
    </w:p>
  </w:footnote>
  <w:footnote w:id="11">
    <w:p w:rsidR="004558C4" w:rsidP="008703FA">
      <w:pPr>
        <w:pStyle w:val="FootnoteText"/>
      </w:pPr>
      <w:r>
        <w:rPr>
          <w:rStyle w:val="FootnoteReference"/>
        </w:rPr>
        <w:footnoteRef/>
      </w:r>
      <w:r>
        <w:t xml:space="preserve"> Initial Comments of Duke Energy Ohio, Inc.  at 4 (July 19, 2019).</w:t>
      </w:r>
    </w:p>
  </w:footnote>
  <w:footnote w:id="12">
    <w:p w:rsidR="004558C4" w:rsidP="008703FA">
      <w:pPr>
        <w:pStyle w:val="FootnoteText"/>
      </w:pPr>
      <w:r>
        <w:rPr>
          <w:rStyle w:val="FootnoteReference"/>
        </w:rPr>
        <w:footnoteRef/>
      </w:r>
      <w:r>
        <w:t xml:space="preserve"> Comments of the Dayton Power &amp; Light at 6 (July 19, 2019).</w:t>
      </w:r>
    </w:p>
  </w:footnote>
  <w:footnote w:id="13">
    <w:p w:rsidR="004558C4" w:rsidP="008703FA">
      <w:pPr>
        <w:pStyle w:val="FootnoteText"/>
      </w:pPr>
      <w:r>
        <w:rPr>
          <w:rStyle w:val="FootnoteReference"/>
        </w:rPr>
        <w:footnoteRef/>
      </w:r>
      <w:r>
        <w:t xml:space="preserve"> </w:t>
      </w:r>
      <w:r w:rsidRPr="005F5BC3">
        <w:rPr>
          <w:i/>
          <w:iCs/>
        </w:rPr>
        <w:t>Id.</w:t>
      </w:r>
    </w:p>
  </w:footnote>
  <w:footnote w:id="14">
    <w:p w:rsidR="004558C4" w:rsidP="008703FA">
      <w:pPr>
        <w:pStyle w:val="FootnoteText"/>
      </w:pPr>
      <w:r>
        <w:rPr>
          <w:rStyle w:val="FootnoteReference"/>
        </w:rPr>
        <w:footnoteRef/>
      </w:r>
      <w:r>
        <w:t xml:space="preserve"> Comments by the Citizens Coalition at 5 (July 22, 2019).</w:t>
      </w:r>
    </w:p>
  </w:footnote>
  <w:footnote w:id="15">
    <w:p w:rsidR="004558C4" w:rsidP="008703FA">
      <w:pPr>
        <w:pStyle w:val="FootnoteText"/>
      </w:pPr>
      <w:r>
        <w:rPr>
          <w:rStyle w:val="FootnoteReference"/>
        </w:rPr>
        <w:footnoteRef/>
      </w:r>
      <w:r>
        <w:t xml:space="preserve"> Consumer Groups Initial Comments at 4.</w:t>
      </w:r>
    </w:p>
  </w:footnote>
  <w:footnote w:id="16">
    <w:p w:rsidR="004558C4" w:rsidP="008703FA">
      <w:pPr>
        <w:pStyle w:val="FootnoteText"/>
      </w:pPr>
      <w:r>
        <w:rPr>
          <w:rStyle w:val="FootnoteReference"/>
        </w:rPr>
        <w:footnoteRef/>
      </w:r>
      <w:r>
        <w:t xml:space="preserve"> Initial Comments of Interstate Gas Supply, Inc. at 3 (July 19, 2019).</w:t>
      </w:r>
    </w:p>
  </w:footnote>
  <w:footnote w:id="17">
    <w:p w:rsidR="004558C4">
      <w:pPr>
        <w:pStyle w:val="FootnoteText"/>
      </w:pPr>
      <w:r>
        <w:rPr>
          <w:rStyle w:val="FootnoteReference"/>
        </w:rPr>
        <w:footnoteRef/>
      </w:r>
      <w:r>
        <w:t xml:space="preserve"> Initial Comments of Ohio Power Company at 1 (July 19, 2019).</w:t>
      </w:r>
    </w:p>
  </w:footnote>
  <w:footnote w:id="18">
    <w:p w:rsidR="004558C4" w:rsidRPr="009F02E3">
      <w:pPr>
        <w:pStyle w:val="FootnoteText"/>
      </w:pPr>
      <w:r>
        <w:rPr>
          <w:rStyle w:val="FootnoteReference"/>
        </w:rPr>
        <w:footnoteRef/>
      </w:r>
      <w:r>
        <w:t xml:space="preserve"> For example, FirstEnergy and DP&amp;L still must provide in-person notice to customers on the day service is to be disconnected.  Only AEP Ohio and Duke have received waivers of this requirement in areas where they have installed advanced meters.  Consumers in FirstEnergy and DP&amp;L service territories should not lose this important consumer protection simply because they’ve agreed to receive </w:t>
      </w:r>
      <w:r>
        <w:rPr>
          <w:i/>
          <w:iCs/>
        </w:rPr>
        <w:t>some</w:t>
      </w:r>
      <w:r>
        <w:t xml:space="preserve"> communications electronically.</w:t>
      </w:r>
    </w:p>
  </w:footnote>
  <w:footnote w:id="19">
    <w:p w:rsidR="004558C4" w:rsidP="008703FA">
      <w:pPr>
        <w:pStyle w:val="FootnoteText"/>
      </w:pPr>
      <w:r>
        <w:rPr>
          <w:rStyle w:val="FootnoteReference"/>
        </w:rPr>
        <w:footnoteRef/>
      </w:r>
      <w:r>
        <w:t xml:space="preserve"> Duke Initial Comments at 2.</w:t>
      </w:r>
    </w:p>
  </w:footnote>
  <w:footnote w:id="20">
    <w:p w:rsidR="004558C4" w:rsidP="008703FA">
      <w:pPr>
        <w:pStyle w:val="FootnoteText"/>
      </w:pPr>
      <w:r>
        <w:rPr>
          <w:rStyle w:val="FootnoteReference"/>
        </w:rPr>
        <w:footnoteRef/>
      </w:r>
      <w:r>
        <w:t xml:space="preserve"> </w:t>
      </w:r>
      <w:r w:rsidRPr="00AA7E11">
        <w:rPr>
          <w:i/>
          <w:iCs/>
        </w:rPr>
        <w:t>Id</w:t>
      </w:r>
      <w:r>
        <w:t>.</w:t>
      </w:r>
    </w:p>
  </w:footnote>
  <w:footnote w:id="21">
    <w:p w:rsidR="004558C4" w:rsidP="008703FA">
      <w:pPr>
        <w:pStyle w:val="FootnoteText"/>
      </w:pPr>
      <w:r>
        <w:rPr>
          <w:rStyle w:val="FootnoteReference"/>
        </w:rPr>
        <w:footnoteRef/>
      </w:r>
      <w:r>
        <w:t xml:space="preserve"> Consumer Groups Initial Comments at 8.</w:t>
      </w:r>
    </w:p>
  </w:footnote>
  <w:footnote w:id="22">
    <w:p w:rsidR="004558C4">
      <w:pPr>
        <w:pStyle w:val="FootnoteText"/>
      </w:pPr>
      <w:r>
        <w:rPr>
          <w:rStyle w:val="FootnoteReference"/>
        </w:rPr>
        <w:footnoteRef/>
      </w:r>
      <w:r>
        <w:t xml:space="preserve"> </w:t>
      </w:r>
      <w:r w:rsidRPr="00736013">
        <w:rPr>
          <w:i/>
          <w:iCs/>
        </w:rPr>
        <w:t>Id</w:t>
      </w:r>
      <w:r>
        <w:t>. at 16.</w:t>
      </w:r>
    </w:p>
  </w:footnote>
  <w:footnote w:id="23">
    <w:p w:rsidR="004558C4">
      <w:pPr>
        <w:pStyle w:val="FootnoteText"/>
      </w:pPr>
      <w:r>
        <w:rPr>
          <w:rStyle w:val="FootnoteReference"/>
        </w:rPr>
        <w:footnoteRef/>
      </w:r>
      <w:r>
        <w:t xml:space="preserve"> </w:t>
      </w:r>
      <w:r w:rsidRPr="00736013">
        <w:rPr>
          <w:i/>
          <w:iCs/>
        </w:rPr>
        <w:t>Id</w:t>
      </w:r>
      <w:r>
        <w:t>.</w:t>
      </w:r>
    </w:p>
  </w:footnote>
  <w:footnote w:id="24">
    <w:p w:rsidR="004558C4">
      <w:pPr>
        <w:pStyle w:val="FootnoteText"/>
      </w:pPr>
      <w:r>
        <w:rPr>
          <w:rStyle w:val="FootnoteReference"/>
        </w:rPr>
        <w:footnoteRef/>
      </w:r>
      <w:r>
        <w:t xml:space="preserve"> Duke Energy Initial Comments at 3-4. </w:t>
      </w:r>
    </w:p>
  </w:footnote>
  <w:footnote w:id="25">
    <w:p w:rsidR="004558C4">
      <w:pPr>
        <w:pStyle w:val="FootnoteText"/>
      </w:pPr>
      <w:r>
        <w:rPr>
          <w:rStyle w:val="FootnoteReference"/>
        </w:rPr>
        <w:footnoteRef/>
      </w:r>
      <w:r>
        <w:t xml:space="preserve"> </w:t>
      </w:r>
      <w:r w:rsidRPr="00AA7E11">
        <w:rPr>
          <w:i/>
          <w:iCs/>
        </w:rPr>
        <w:t>Id</w:t>
      </w:r>
      <w:r>
        <w:t>. at 3.</w:t>
      </w:r>
    </w:p>
  </w:footnote>
  <w:footnote w:id="26">
    <w:p w:rsidR="004558C4">
      <w:pPr>
        <w:pStyle w:val="FootnoteText"/>
      </w:pPr>
      <w:r>
        <w:rPr>
          <w:rStyle w:val="FootnoteReference"/>
        </w:rPr>
        <w:footnoteRef/>
      </w:r>
      <w:r>
        <w:t xml:space="preserve"> </w:t>
      </w:r>
      <w:r w:rsidRPr="00AA7E11">
        <w:rPr>
          <w:i/>
          <w:iCs/>
        </w:rPr>
        <w:t>Id</w:t>
      </w:r>
      <w:r>
        <w:t>.</w:t>
      </w:r>
    </w:p>
  </w:footnote>
  <w:footnote w:id="27">
    <w:p w:rsidR="004558C4">
      <w:pPr>
        <w:pStyle w:val="FootnoteText"/>
      </w:pPr>
      <w:r>
        <w:rPr>
          <w:rStyle w:val="FootnoteReference"/>
        </w:rPr>
        <w:footnoteRef/>
      </w:r>
      <w:r>
        <w:t xml:space="preserve"> </w:t>
      </w:r>
      <w:r w:rsidRPr="00AA7E11">
        <w:rPr>
          <w:i/>
          <w:iCs/>
        </w:rPr>
        <w:t>Id</w:t>
      </w:r>
      <w:r>
        <w:rPr>
          <w:i/>
          <w:iCs/>
        </w:rPr>
        <w:t>.</w:t>
      </w:r>
    </w:p>
  </w:footnote>
  <w:footnote w:id="28">
    <w:p w:rsidR="004558C4">
      <w:pPr>
        <w:pStyle w:val="FootnoteText"/>
      </w:pPr>
      <w:r>
        <w:rPr>
          <w:rStyle w:val="FootnoteReference"/>
        </w:rPr>
        <w:footnoteRef/>
      </w:r>
      <w:r>
        <w:t xml:space="preserve"> </w:t>
      </w:r>
      <w:r w:rsidRPr="00AA7E11">
        <w:rPr>
          <w:i/>
          <w:iCs/>
        </w:rPr>
        <w:t>Id</w:t>
      </w:r>
      <w:r>
        <w:t>. at 4.</w:t>
      </w:r>
    </w:p>
  </w:footnote>
  <w:footnote w:id="29">
    <w:p w:rsidR="004558C4" w:rsidP="008703FA">
      <w:pPr>
        <w:pStyle w:val="FootnoteText"/>
      </w:pPr>
      <w:r>
        <w:rPr>
          <w:rStyle w:val="FootnoteReference"/>
        </w:rPr>
        <w:footnoteRef/>
      </w:r>
      <w:r>
        <w:t xml:space="preserve"> R.C. 4933.122(C).</w:t>
      </w:r>
    </w:p>
  </w:footnote>
  <w:footnote w:id="30">
    <w:p w:rsidR="004558C4">
      <w:pPr>
        <w:pStyle w:val="FootnoteText"/>
      </w:pPr>
      <w:r>
        <w:rPr>
          <w:rStyle w:val="FootnoteReference"/>
        </w:rPr>
        <w:footnoteRef/>
      </w:r>
      <w:r>
        <w:t xml:space="preserve"> For examples in Application in Case 13-1939-EL-RDR and 16-481-EL-UNC, Case No. 18-1875-EL-GRD.</w:t>
      </w:r>
    </w:p>
  </w:footnote>
  <w:footnote w:id="31">
    <w:p w:rsidR="004558C4" w:rsidP="008703FA">
      <w:pPr>
        <w:pStyle w:val="FootnoteText"/>
      </w:pPr>
      <w:r>
        <w:rPr>
          <w:rStyle w:val="FootnoteReference"/>
        </w:rPr>
        <w:footnoteRef/>
      </w:r>
      <w:r>
        <w:t xml:space="preserve"> Consumer Groups Initial Comments at 15.</w:t>
      </w:r>
    </w:p>
  </w:footnote>
  <w:footnote w:id="32">
    <w:p w:rsidR="004558C4" w:rsidP="008703FA">
      <w:pPr>
        <w:pStyle w:val="FootnoteText"/>
      </w:pPr>
      <w:r>
        <w:rPr>
          <w:rStyle w:val="FootnoteReference"/>
        </w:rPr>
        <w:footnoteRef/>
      </w:r>
      <w:r>
        <w:t xml:space="preserve"> FirstEnergy Initial Comments at 6.</w:t>
      </w:r>
    </w:p>
  </w:footnote>
  <w:footnote w:id="33">
    <w:p w:rsidR="004558C4" w:rsidP="008703FA">
      <w:pPr>
        <w:pStyle w:val="FootnoteText"/>
      </w:pPr>
      <w:r>
        <w:rPr>
          <w:rStyle w:val="FootnoteReference"/>
        </w:rPr>
        <w:footnoteRef/>
      </w:r>
      <w:r>
        <w:t xml:space="preserve"> </w:t>
      </w:r>
      <w:r w:rsidRPr="00AA7E11">
        <w:rPr>
          <w:i/>
          <w:iCs/>
        </w:rPr>
        <w:t>Id.</w:t>
      </w:r>
    </w:p>
  </w:footnote>
  <w:footnote w:id="34">
    <w:p w:rsidR="004558C4">
      <w:pPr>
        <w:pStyle w:val="FootnoteText"/>
      </w:pPr>
      <w:r>
        <w:rPr>
          <w:rStyle w:val="FootnoteReference"/>
        </w:rPr>
        <w:footnoteRef/>
      </w:r>
      <w:r>
        <w:t xml:space="preserve"> See Ohio Edison Tariff, Sheet 75 as one example. Other electric utilities have equivalent collection trip charges. </w:t>
      </w:r>
    </w:p>
  </w:footnote>
  <w:footnote w:id="35">
    <w:p w:rsidR="004558C4" w:rsidP="008703FA">
      <w:pPr>
        <w:pStyle w:val="FootnoteText"/>
      </w:pPr>
      <w:r>
        <w:rPr>
          <w:rStyle w:val="FootnoteReference"/>
        </w:rPr>
        <w:footnoteRef/>
      </w:r>
      <w:r>
        <w:t xml:space="preserve"> DP&amp;L Initial Comments at 3.</w:t>
      </w:r>
    </w:p>
  </w:footnote>
  <w:footnote w:id="36">
    <w:p w:rsidR="004558C4">
      <w:pPr>
        <w:pStyle w:val="FootnoteText"/>
      </w:pPr>
      <w:r>
        <w:rPr>
          <w:rStyle w:val="FootnoteReference"/>
        </w:rPr>
        <w:footnoteRef/>
      </w:r>
      <w:r>
        <w:t xml:space="preserve"> Comments of AEP Ohio at 2 (July 19, 2019).</w:t>
      </w:r>
    </w:p>
  </w:footnote>
  <w:footnote w:id="37">
    <w:p w:rsidR="004558C4">
      <w:pPr>
        <w:pStyle w:val="FootnoteText"/>
      </w:pPr>
      <w:r>
        <w:rPr>
          <w:rStyle w:val="FootnoteReference"/>
        </w:rPr>
        <w:footnoteRef/>
      </w:r>
      <w:r>
        <w:t xml:space="preserve"> Comments of Ohio Partners for Affordable Energy at 14 (July 19, 2019). </w:t>
      </w:r>
    </w:p>
  </w:footnote>
  <w:footnote w:id="38">
    <w:p w:rsidR="004558C4" w:rsidP="008703FA">
      <w:pPr>
        <w:pStyle w:val="FootnoteText"/>
      </w:pPr>
      <w:r>
        <w:rPr>
          <w:rStyle w:val="FootnoteReference"/>
        </w:rPr>
        <w:footnoteRef/>
      </w:r>
      <w:r>
        <w:t xml:space="preserve"> Duke Energy Ohio Tariff, Sheet No. 92.4.</w:t>
      </w:r>
    </w:p>
  </w:footnote>
  <w:footnote w:id="39">
    <w:p w:rsidR="004558C4" w:rsidP="008703FA">
      <w:pPr>
        <w:pStyle w:val="FootnoteText"/>
      </w:pPr>
      <w:r>
        <w:rPr>
          <w:rStyle w:val="FootnoteReference"/>
        </w:rPr>
        <w:footnoteRef/>
      </w:r>
      <w:r>
        <w:t xml:space="preserve"> AEP Ohio Tariff 3</w:t>
      </w:r>
      <w:r w:rsidRPr="00A97465">
        <w:rPr>
          <w:vertAlign w:val="superscript"/>
        </w:rPr>
        <w:t>rd</w:t>
      </w:r>
      <w:r>
        <w:t xml:space="preserve"> Revised Sheet No. 103-21.</w:t>
      </w:r>
    </w:p>
  </w:footnote>
  <w:footnote w:id="40">
    <w:p w:rsidR="004558C4">
      <w:pPr>
        <w:pStyle w:val="FootnoteText"/>
      </w:pPr>
      <w:r>
        <w:rPr>
          <w:rStyle w:val="FootnoteReference"/>
        </w:rPr>
        <w:footnoteRef/>
      </w:r>
      <w:r>
        <w:t xml:space="preserve"> </w:t>
      </w:r>
      <w:r>
        <w:rPr>
          <w:i/>
          <w:iCs/>
        </w:rPr>
        <w:t xml:space="preserve">In the Matter of the Filing by Ohio Edison Company, The Cleveland Electric Illuminating Company and the Toledo Edison Company of a Grid Modernization Business Plan, </w:t>
      </w:r>
      <w:r w:rsidRPr="002D31B0">
        <w:t>Case No. 16-481-EL-UNC, Opinion and Order (July 17, 2019)</w:t>
      </w:r>
      <w:r>
        <w:rPr>
          <w:i/>
          <w:iCs/>
        </w:rPr>
        <w:t>.</w:t>
      </w:r>
    </w:p>
  </w:footnote>
  <w:footnote w:id="41">
    <w:p w:rsidR="004558C4">
      <w:pPr>
        <w:pStyle w:val="FootnoteText"/>
      </w:pPr>
      <w:r>
        <w:rPr>
          <w:rStyle w:val="FootnoteReference"/>
        </w:rPr>
        <w:footnoteRef/>
      </w:r>
      <w:r>
        <w:t xml:space="preserve"> </w:t>
      </w:r>
      <w:r w:rsidRPr="001D49F9">
        <w:rPr>
          <w:i/>
          <w:iCs/>
        </w:rPr>
        <w:t>In the Matter of the Application of The Dayton Power and Light Company for Approval of Its Plan to Modernize Its Distribution Grid</w:t>
      </w:r>
      <w:r>
        <w:t xml:space="preserve">, Case 18-1875-EL-GRD (December 21, 2018). </w:t>
      </w:r>
    </w:p>
  </w:footnote>
  <w:footnote w:id="42">
    <w:p w:rsidR="004558C4" w:rsidP="00C762E2">
      <w:pPr>
        <w:pStyle w:val="FootnoteText"/>
      </w:pPr>
      <w:r>
        <w:rPr>
          <w:rStyle w:val="FootnoteReference"/>
        </w:rPr>
        <w:footnoteRef/>
      </w:r>
      <w:r>
        <w:t xml:space="preserve"> AEP Ohio Initial Comments at 4.</w:t>
      </w:r>
    </w:p>
  </w:footnote>
  <w:footnote w:id="43">
    <w:p w:rsidR="004558C4">
      <w:pPr>
        <w:pStyle w:val="FootnoteText"/>
      </w:pPr>
      <w:r>
        <w:rPr>
          <w:rStyle w:val="FootnoteReference"/>
        </w:rPr>
        <w:footnoteRef/>
      </w:r>
      <w:r>
        <w:t xml:space="preserve"> DP&amp;L Initial Comments at 3-4. </w:t>
      </w:r>
    </w:p>
  </w:footnote>
  <w:footnote w:id="44">
    <w:p w:rsidR="004558C4" w:rsidP="008703FA">
      <w:pPr>
        <w:pStyle w:val="FootnoteText"/>
      </w:pPr>
      <w:r>
        <w:rPr>
          <w:rStyle w:val="FootnoteReference"/>
        </w:rPr>
        <w:footnoteRef/>
      </w:r>
      <w:r>
        <w:t xml:space="preserve"> Duke Initial Comments at 1. </w:t>
      </w:r>
    </w:p>
  </w:footnote>
  <w:footnote w:id="45">
    <w:p w:rsidR="004558C4" w:rsidP="008703FA">
      <w:pPr>
        <w:pStyle w:val="FootnoteText"/>
      </w:pPr>
      <w:r>
        <w:rPr>
          <w:rStyle w:val="FootnoteReference"/>
        </w:rPr>
        <w:footnoteRef/>
      </w:r>
      <w:r>
        <w:t xml:space="preserve"> DP&amp;L Comments at 7.</w:t>
      </w:r>
    </w:p>
  </w:footnote>
  <w:footnote w:id="46">
    <w:p w:rsidR="004558C4" w:rsidP="008703FA">
      <w:pPr>
        <w:pStyle w:val="FootnoteText"/>
      </w:pPr>
      <w:r>
        <w:rPr>
          <w:rStyle w:val="FootnoteReference"/>
        </w:rPr>
        <w:footnoteRef/>
      </w:r>
      <w:r>
        <w:t xml:space="preserve"> Ohio Adm. Code 4901:1-18-07(A)(2).</w:t>
      </w:r>
    </w:p>
  </w:footnote>
  <w:footnote w:id="47">
    <w:p w:rsidR="004558C4" w:rsidP="008703FA">
      <w:pPr>
        <w:pStyle w:val="FootnoteText"/>
      </w:pPr>
      <w:r>
        <w:rPr>
          <w:rStyle w:val="FootnoteReference"/>
        </w:rPr>
        <w:footnoteRef/>
      </w:r>
      <w:r>
        <w:t xml:space="preserve"> Ohio Adm. Code 4901:1-17-02(D).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5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5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55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43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8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DBAAED6"/>
    <w:lvl w:ilvl="0">
      <w:start w:val="1"/>
      <w:numFmt w:val="decimal"/>
      <w:lvlText w:val="%1."/>
      <w:lvlJc w:val="left"/>
      <w:pPr>
        <w:tabs>
          <w:tab w:val="num" w:pos="1800"/>
        </w:tabs>
        <w:ind w:left="1800" w:hanging="360"/>
      </w:pPr>
    </w:lvl>
  </w:abstractNum>
  <w:abstractNum w:abstractNumId="1">
    <w:nsid w:val="FFFFFF7D"/>
    <w:multiLevelType w:val="singleLevel"/>
    <w:tmpl w:val="69567D0A"/>
    <w:lvl w:ilvl="0">
      <w:start w:val="1"/>
      <w:numFmt w:val="decimal"/>
      <w:lvlText w:val="%1."/>
      <w:lvlJc w:val="left"/>
      <w:pPr>
        <w:tabs>
          <w:tab w:val="num" w:pos="1440"/>
        </w:tabs>
        <w:ind w:left="1440" w:hanging="360"/>
      </w:pPr>
    </w:lvl>
  </w:abstractNum>
  <w:abstractNum w:abstractNumId="2">
    <w:nsid w:val="FFFFFF7E"/>
    <w:multiLevelType w:val="singleLevel"/>
    <w:tmpl w:val="CACA2CE2"/>
    <w:lvl w:ilvl="0">
      <w:start w:val="1"/>
      <w:numFmt w:val="decimal"/>
      <w:lvlText w:val="%1."/>
      <w:lvlJc w:val="left"/>
      <w:pPr>
        <w:tabs>
          <w:tab w:val="num" w:pos="1080"/>
        </w:tabs>
        <w:ind w:left="1080" w:hanging="360"/>
      </w:pPr>
    </w:lvl>
  </w:abstractNum>
  <w:abstractNum w:abstractNumId="3">
    <w:nsid w:val="FFFFFF7F"/>
    <w:multiLevelType w:val="singleLevel"/>
    <w:tmpl w:val="5EB24F2C"/>
    <w:lvl w:ilvl="0">
      <w:start w:val="1"/>
      <w:numFmt w:val="decimal"/>
      <w:lvlText w:val="%1."/>
      <w:lvlJc w:val="left"/>
      <w:pPr>
        <w:tabs>
          <w:tab w:val="num" w:pos="720"/>
        </w:tabs>
        <w:ind w:left="720" w:hanging="360"/>
      </w:pPr>
    </w:lvl>
  </w:abstractNum>
  <w:abstractNum w:abstractNumId="4">
    <w:nsid w:val="FFFFFF80"/>
    <w:multiLevelType w:val="singleLevel"/>
    <w:tmpl w:val="3CE205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A46E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B42C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DA5C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222560"/>
    <w:lvl w:ilvl="0">
      <w:start w:val="1"/>
      <w:numFmt w:val="decimal"/>
      <w:lvlText w:val="%1."/>
      <w:lvlJc w:val="left"/>
      <w:pPr>
        <w:tabs>
          <w:tab w:val="num" w:pos="360"/>
        </w:tabs>
        <w:ind w:left="360" w:hanging="360"/>
      </w:pPr>
    </w:lvl>
  </w:abstractNum>
  <w:abstractNum w:abstractNumId="9">
    <w:nsid w:val="FFFFFF89"/>
    <w:multiLevelType w:val="singleLevel"/>
    <w:tmpl w:val="19869A96"/>
    <w:lvl w:ilvl="0">
      <w:start w:val="1"/>
      <w:numFmt w:val="bullet"/>
      <w:lvlText w:val=""/>
      <w:lvlJc w:val="left"/>
      <w:pPr>
        <w:tabs>
          <w:tab w:val="num" w:pos="360"/>
        </w:tabs>
        <w:ind w:left="360" w:hanging="360"/>
      </w:pPr>
      <w:rPr>
        <w:rFonts w:ascii="Symbol" w:hAnsi="Symbol" w:hint="default"/>
      </w:rPr>
    </w:lvl>
  </w:abstractNum>
  <w:abstractNum w:abstractNumId="10">
    <w:nsid w:val="0734124F"/>
    <w:multiLevelType w:val="hybridMultilevel"/>
    <w:tmpl w:val="CADA9A6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1C4486"/>
    <w:multiLevelType w:val="hybridMultilevel"/>
    <w:tmpl w:val="D6F05F5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08C17FB8"/>
    <w:multiLevelType w:val="hybridMultilevel"/>
    <w:tmpl w:val="58B6A00C"/>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2822D32"/>
    <w:multiLevelType w:val="hybridMultilevel"/>
    <w:tmpl w:val="052CE0A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71E1A93"/>
    <w:multiLevelType w:val="hybridMultilevel"/>
    <w:tmpl w:val="A4CA6C4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C3B065F"/>
    <w:multiLevelType w:val="hybridMultilevel"/>
    <w:tmpl w:val="E584976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2E5D5E84"/>
    <w:multiLevelType w:val="hybridMultilevel"/>
    <w:tmpl w:val="3B9666F4"/>
    <w:lvl w:ilvl="0">
      <w:start w:val="5"/>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7">
    <w:nsid w:val="307F3F7C"/>
    <w:multiLevelType w:val="hybridMultilevel"/>
    <w:tmpl w:val="0FEC3F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16E7B4F"/>
    <w:multiLevelType w:val="hybridMultilevel"/>
    <w:tmpl w:val="777418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6C27B70"/>
    <w:multiLevelType w:val="hybridMultilevel"/>
    <w:tmpl w:val="5EF8E92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38C23A62"/>
    <w:multiLevelType w:val="hybridMultilevel"/>
    <w:tmpl w:val="8620F3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7AA65EB"/>
    <w:multiLevelType w:val="hybridMultilevel"/>
    <w:tmpl w:val="0066B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BE32F93"/>
    <w:multiLevelType w:val="hybridMultilevel"/>
    <w:tmpl w:val="1A1866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F055E96"/>
    <w:multiLevelType w:val="hybridMultilevel"/>
    <w:tmpl w:val="B0E0EF7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92B481C"/>
    <w:multiLevelType w:val="hybridMultilevel"/>
    <w:tmpl w:val="3AA2C8AA"/>
    <w:lvl w:ilvl="0">
      <w:start w:val="1"/>
      <w:numFmt w:val="decimal"/>
      <w:lvlText w:val="(%1)"/>
      <w:lvlJc w:val="left"/>
      <w:pPr>
        <w:ind w:left="1140" w:hanging="360"/>
      </w:pPr>
      <w:rPr>
        <w:rFonts w:hint="default"/>
        <w:color w:val="auto"/>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25">
    <w:nsid w:val="7F70445A"/>
    <w:multiLevelType w:val="hybridMultilevel"/>
    <w:tmpl w:val="78B63E8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22"/>
  </w:num>
  <w:num w:numId="3">
    <w:abstractNumId w:val="12"/>
  </w:num>
  <w:num w:numId="4">
    <w:abstractNumId w:val="20"/>
  </w:num>
  <w:num w:numId="5">
    <w:abstractNumId w:val="21"/>
  </w:num>
  <w:num w:numId="6">
    <w:abstractNumId w:val="10"/>
  </w:num>
  <w:num w:numId="7">
    <w:abstractNumId w:val="14"/>
  </w:num>
  <w:num w:numId="8">
    <w:abstractNumId w:val="25"/>
  </w:num>
  <w:num w:numId="9">
    <w:abstractNumId w:val="13"/>
  </w:num>
  <w:num w:numId="10">
    <w:abstractNumId w:val="19"/>
  </w:num>
  <w:num w:numId="11">
    <w:abstractNumId w:val="18"/>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E64"/>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B11B64"/>
    <w:pPr>
      <w:keepNext/>
      <w:ind w:left="720" w:hanging="720"/>
      <w:outlineLvl w:val="0"/>
    </w:pPr>
    <w:rPr>
      <w:rFonts w:eastAsia="Times New Roman" w:cs="Times New Roman"/>
      <w:b/>
      <w:bCs/>
      <w:caps/>
      <w:szCs w:val="24"/>
    </w:rPr>
  </w:style>
  <w:style w:type="paragraph" w:styleId="Heading2">
    <w:name w:val="heading 2"/>
    <w:basedOn w:val="Normal"/>
    <w:next w:val="Normal"/>
    <w:link w:val="Heading2Char"/>
    <w:autoRedefine/>
    <w:uiPriority w:val="9"/>
    <w:unhideWhenUsed/>
    <w:qFormat/>
    <w:rsid w:val="005F5BC3"/>
    <w:pPr>
      <w:keepNext/>
      <w:keepLines/>
      <w:spacing w:after="240"/>
      <w:ind w:left="1440" w:hanging="720"/>
      <w:outlineLvl w:val="1"/>
    </w:pPr>
    <w:rPr>
      <w:rFonts w:eastAsia="Times New Roman" w:cs="Times New Roman"/>
      <w:b/>
      <w:bCs/>
      <w:szCs w:val="24"/>
    </w:rPr>
  </w:style>
  <w:style w:type="paragraph" w:styleId="Heading3">
    <w:name w:val="heading 3"/>
    <w:basedOn w:val="Normal"/>
    <w:next w:val="Normal"/>
    <w:link w:val="Heading3Char"/>
    <w:autoRedefine/>
    <w:uiPriority w:val="9"/>
    <w:unhideWhenUsed/>
    <w:qFormat/>
    <w:rsid w:val="00B11B64"/>
    <w:pPr>
      <w:keepNext/>
      <w:keepLines/>
      <w:spacing w:after="240"/>
      <w:ind w:left="2160" w:hanging="720"/>
      <w:outlineLvl w:val="2"/>
    </w:pPr>
    <w:rPr>
      <w:rFonts w:ascii="Times New Roman Bold" w:hAnsi="Times New Roman Bold"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2,Footnote Text Char2 Char Char,Footnote Text Char2 Char1 Char1 Char Char,Footnote Text Char3 Char1 Char Char,Footnote Text Char3 Char1 Char Char Char Char,f,fn,fn Char2 Char"/>
    <w:basedOn w:val="Normal"/>
    <w:link w:val="FootnoteTextChar"/>
    <w:uiPriority w:val="99"/>
    <w:rsid w:val="00EE6EB6"/>
    <w:pPr>
      <w:spacing w:after="120"/>
    </w:pPr>
    <w:rPr>
      <w:sz w:val="20"/>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uiPriority w:val="99"/>
    <w:rsid w:val="00EE6EB6"/>
    <w:rPr>
      <w:rFonts w:ascii="Times New Roman" w:hAnsi="Times New Roman"/>
      <w:sz w:val="20"/>
    </w:rPr>
  </w:style>
  <w:style w:type="paragraph" w:customStyle="1" w:styleId="FootnoteText1">
    <w:name w:val="Footnote Text1"/>
    <w:basedOn w:val="Normal"/>
    <w:qFormat/>
    <w:rsid w:val="00F67600"/>
    <w:pPr>
      <w:spacing w:after="120"/>
    </w:pPr>
    <w:rPr>
      <w:rFonts w:eastAsia="Calibri" w:cs="Times New Roman"/>
      <w:sz w:val="20"/>
      <w:szCs w:val="20"/>
    </w:rPr>
  </w:style>
  <w:style w:type="character" w:customStyle="1" w:styleId="FootnoteTextChar1">
    <w:name w:val="Footnote Text Char1"/>
    <w:aliases w:val="Footnote Text Char Char Char Char,Footnote Text Char Char4 Char Char Char Char,Footnote Text Char1 Char Char,Footnote Text Char4 Char Char,Footnote Text Char4 Char Char Char Char,Footnote Text Char4 Char1 Char Char Char Char Char"/>
    <w:rsid w:val="00D95CC4"/>
  </w:style>
  <w:style w:type="character" w:styleId="FootnoteReference">
    <w:name w:val="footnote reference"/>
    <w:basedOn w:val="DefaultParagraphFont"/>
    <w:uiPriority w:val="99"/>
    <w:semiHidden/>
    <w:unhideWhenUsed/>
    <w:rsid w:val="00751DEB"/>
    <w:rPr>
      <w:vertAlign w:val="superscript"/>
    </w:rPr>
  </w:style>
  <w:style w:type="table" w:styleId="TableGrid">
    <w:name w:val="Table Grid"/>
    <w:basedOn w:val="TableNormal"/>
    <w:uiPriority w:val="59"/>
    <w:rsid w:val="0075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AB3"/>
    <w:pPr>
      <w:tabs>
        <w:tab w:val="center" w:pos="4680"/>
        <w:tab w:val="right" w:pos="9360"/>
      </w:tabs>
    </w:pPr>
  </w:style>
  <w:style w:type="character" w:customStyle="1" w:styleId="HeaderChar">
    <w:name w:val="Header Char"/>
    <w:basedOn w:val="DefaultParagraphFont"/>
    <w:link w:val="Header"/>
    <w:uiPriority w:val="99"/>
    <w:rsid w:val="009C4AB3"/>
    <w:rPr>
      <w:rFonts w:ascii="Times New Roman" w:hAnsi="Times New Roman"/>
      <w:sz w:val="24"/>
    </w:rPr>
  </w:style>
  <w:style w:type="paragraph" w:styleId="Footer">
    <w:name w:val="footer"/>
    <w:basedOn w:val="Normal"/>
    <w:link w:val="FooterChar"/>
    <w:uiPriority w:val="99"/>
    <w:unhideWhenUsed/>
    <w:rsid w:val="009C4AB3"/>
    <w:pPr>
      <w:tabs>
        <w:tab w:val="center" w:pos="4680"/>
        <w:tab w:val="right" w:pos="9360"/>
      </w:tabs>
    </w:pPr>
  </w:style>
  <w:style w:type="character" w:customStyle="1" w:styleId="FooterChar">
    <w:name w:val="Footer Char"/>
    <w:basedOn w:val="DefaultParagraphFont"/>
    <w:link w:val="Footer"/>
    <w:uiPriority w:val="99"/>
    <w:rsid w:val="009C4AB3"/>
    <w:rPr>
      <w:rFonts w:ascii="Times New Roman" w:hAnsi="Times New Roman"/>
      <w:sz w:val="24"/>
    </w:rPr>
  </w:style>
  <w:style w:type="paragraph" w:styleId="ListParagraph">
    <w:name w:val="List Paragraph"/>
    <w:basedOn w:val="Normal"/>
    <w:uiPriority w:val="34"/>
    <w:qFormat/>
    <w:rsid w:val="00576097"/>
    <w:pPr>
      <w:ind w:left="720"/>
      <w:contextualSpacing/>
    </w:pPr>
  </w:style>
  <w:style w:type="character" w:styleId="Hyperlink">
    <w:name w:val="Hyperlink"/>
    <w:basedOn w:val="DefaultParagraphFont"/>
    <w:uiPriority w:val="99"/>
    <w:unhideWhenUsed/>
    <w:rsid w:val="00CB0AF9"/>
    <w:rPr>
      <w:color w:val="0000FF"/>
      <w:u w:val="single"/>
    </w:rPr>
  </w:style>
  <w:style w:type="character" w:styleId="CommentReference">
    <w:name w:val="annotation reference"/>
    <w:basedOn w:val="DefaultParagraphFont"/>
    <w:uiPriority w:val="99"/>
    <w:semiHidden/>
    <w:unhideWhenUsed/>
    <w:rsid w:val="00FB5452"/>
    <w:rPr>
      <w:sz w:val="16"/>
      <w:szCs w:val="16"/>
    </w:rPr>
  </w:style>
  <w:style w:type="paragraph" w:styleId="CommentText">
    <w:name w:val="annotation text"/>
    <w:basedOn w:val="Normal"/>
    <w:link w:val="CommentTextChar"/>
    <w:unhideWhenUsed/>
    <w:rsid w:val="00FB5452"/>
    <w:rPr>
      <w:sz w:val="20"/>
      <w:szCs w:val="20"/>
    </w:rPr>
  </w:style>
  <w:style w:type="character" w:customStyle="1" w:styleId="CommentTextChar">
    <w:name w:val="Comment Text Char"/>
    <w:basedOn w:val="DefaultParagraphFont"/>
    <w:link w:val="CommentText"/>
    <w:rsid w:val="00FB54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5452"/>
    <w:rPr>
      <w:b/>
      <w:bCs/>
    </w:rPr>
  </w:style>
  <w:style w:type="character" w:customStyle="1" w:styleId="CommentSubjectChar">
    <w:name w:val="Comment Subject Char"/>
    <w:basedOn w:val="CommentTextChar"/>
    <w:link w:val="CommentSubject"/>
    <w:uiPriority w:val="99"/>
    <w:semiHidden/>
    <w:rsid w:val="00FB5452"/>
    <w:rPr>
      <w:rFonts w:ascii="Times New Roman" w:hAnsi="Times New Roman"/>
      <w:b/>
      <w:bCs/>
      <w:sz w:val="20"/>
      <w:szCs w:val="20"/>
    </w:rPr>
  </w:style>
  <w:style w:type="paragraph" w:styleId="BalloonText">
    <w:name w:val="Balloon Text"/>
    <w:basedOn w:val="Normal"/>
    <w:link w:val="BalloonTextChar"/>
    <w:uiPriority w:val="99"/>
    <w:semiHidden/>
    <w:unhideWhenUsed/>
    <w:rsid w:val="00FB5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52"/>
    <w:rPr>
      <w:rFonts w:ascii="Segoe UI" w:hAnsi="Segoe UI" w:cs="Segoe UI"/>
      <w:sz w:val="18"/>
      <w:szCs w:val="18"/>
    </w:rPr>
  </w:style>
  <w:style w:type="character" w:customStyle="1" w:styleId="Heading1Char">
    <w:name w:val="Heading 1 Char"/>
    <w:basedOn w:val="DefaultParagraphFont"/>
    <w:link w:val="Heading1"/>
    <w:rsid w:val="00B11B64"/>
    <w:rPr>
      <w:rFonts w:ascii="Times New Roman" w:eastAsia="Times New Roman" w:hAnsi="Times New Roman" w:cs="Times New Roman"/>
      <w:b/>
      <w:bCs/>
      <w:caps/>
      <w:sz w:val="24"/>
      <w:szCs w:val="24"/>
    </w:rPr>
  </w:style>
  <w:style w:type="paragraph" w:styleId="BodyTextIndent3">
    <w:name w:val="Body Text Indent 3"/>
    <w:basedOn w:val="Normal"/>
    <w:link w:val="BodyTextIndent3Char"/>
    <w:rsid w:val="00B970FD"/>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B970F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012456"/>
    <w:rPr>
      <w:color w:val="605E5C"/>
      <w:shd w:val="clear" w:color="auto" w:fill="E1DFDD"/>
    </w:rPr>
  </w:style>
  <w:style w:type="paragraph" w:styleId="BodyText">
    <w:name w:val="Body Text"/>
    <w:basedOn w:val="Normal"/>
    <w:link w:val="BodyTextChar"/>
    <w:uiPriority w:val="99"/>
    <w:semiHidden/>
    <w:unhideWhenUsed/>
    <w:rsid w:val="006D7866"/>
    <w:pPr>
      <w:spacing w:after="120"/>
    </w:pPr>
  </w:style>
  <w:style w:type="character" w:customStyle="1" w:styleId="BodyTextChar">
    <w:name w:val="Body Text Char"/>
    <w:basedOn w:val="DefaultParagraphFont"/>
    <w:link w:val="BodyText"/>
    <w:uiPriority w:val="99"/>
    <w:semiHidden/>
    <w:rsid w:val="006D7866"/>
    <w:rPr>
      <w:rFonts w:ascii="Times New Roman" w:hAnsi="Times New Roman"/>
      <w:sz w:val="24"/>
    </w:rPr>
  </w:style>
  <w:style w:type="character" w:customStyle="1" w:styleId="Heading2Char">
    <w:name w:val="Heading 2 Char"/>
    <w:basedOn w:val="DefaultParagraphFont"/>
    <w:link w:val="Heading2"/>
    <w:uiPriority w:val="9"/>
    <w:rsid w:val="005F5BC3"/>
    <w:rPr>
      <w:rFonts w:ascii="Times New Roman" w:eastAsia="Times New Roman" w:hAnsi="Times New Roman" w:cs="Times New Roman"/>
      <w:b/>
      <w:bCs/>
      <w:sz w:val="24"/>
      <w:szCs w:val="24"/>
    </w:rPr>
  </w:style>
  <w:style w:type="paragraph" w:styleId="TOC1">
    <w:name w:val="toc 1"/>
    <w:basedOn w:val="Normal"/>
    <w:next w:val="Normal"/>
    <w:autoRedefine/>
    <w:uiPriority w:val="39"/>
    <w:unhideWhenUsed/>
    <w:qFormat/>
    <w:rsid w:val="003D0711"/>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3D0711"/>
    <w:pPr>
      <w:tabs>
        <w:tab w:val="decimal" w:leader="dot" w:pos="8640"/>
      </w:tabs>
      <w:spacing w:after="240"/>
      <w:ind w:left="1440" w:hanging="720"/>
    </w:pPr>
  </w:style>
  <w:style w:type="character" w:customStyle="1" w:styleId="UnresolvedMention2">
    <w:name w:val="Unresolved Mention2"/>
    <w:basedOn w:val="DefaultParagraphFont"/>
    <w:uiPriority w:val="99"/>
    <w:rsid w:val="00607DC6"/>
    <w:rPr>
      <w:color w:val="808080"/>
      <w:shd w:val="clear" w:color="auto" w:fill="E6E6E6"/>
    </w:rPr>
  </w:style>
  <w:style w:type="character" w:customStyle="1" w:styleId="UnresolvedMention3">
    <w:name w:val="Unresolved Mention3"/>
    <w:basedOn w:val="DefaultParagraphFont"/>
    <w:uiPriority w:val="99"/>
    <w:semiHidden/>
    <w:unhideWhenUsed/>
    <w:rsid w:val="0003675C"/>
    <w:rPr>
      <w:color w:val="605E5C"/>
      <w:shd w:val="clear" w:color="auto" w:fill="E1DFDD"/>
    </w:rPr>
  </w:style>
  <w:style w:type="character" w:customStyle="1" w:styleId="Heading3Char">
    <w:name w:val="Heading 3 Char"/>
    <w:basedOn w:val="DefaultParagraphFont"/>
    <w:link w:val="Heading3"/>
    <w:uiPriority w:val="9"/>
    <w:rsid w:val="00B11B64"/>
    <w:rPr>
      <w:rFonts w:ascii="Times New Roman Bold" w:hAnsi="Times New Roman Bold" w:eastAsiaTheme="majorEastAsia" w:cstheme="majorBidi"/>
      <w:b/>
      <w:sz w:val="24"/>
      <w:szCs w:val="24"/>
    </w:rPr>
  </w:style>
  <w:style w:type="paragraph" w:styleId="TOC3">
    <w:name w:val="toc 3"/>
    <w:basedOn w:val="Normal"/>
    <w:next w:val="Normal"/>
    <w:autoRedefine/>
    <w:uiPriority w:val="39"/>
    <w:unhideWhenUsed/>
    <w:qFormat/>
    <w:rsid w:val="006B1E64"/>
    <w:pPr>
      <w:tabs>
        <w:tab w:val="decimal" w:leader="dot" w:pos="8640"/>
      </w:tabs>
      <w:spacing w:after="240"/>
      <w:ind w:left="2160" w:hanging="720"/>
    </w:pPr>
  </w:style>
  <w:style w:type="table" w:customStyle="1" w:styleId="TableGrid1">
    <w:name w:val="Table Grid1"/>
    <w:basedOn w:val="TableNormal"/>
    <w:next w:val="TableGrid"/>
    <w:uiPriority w:val="39"/>
    <w:rsid w:val="00022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rsid w:val="0036206F"/>
    <w:rPr>
      <w:color w:val="605E5C"/>
      <w:shd w:val="clear" w:color="auto" w:fill="E1DFDD"/>
    </w:rPr>
  </w:style>
  <w:style w:type="character" w:customStyle="1" w:styleId="UnresolvedMention5">
    <w:name w:val="Unresolved Mention5"/>
    <w:basedOn w:val="DefaultParagraphFont"/>
    <w:uiPriority w:val="99"/>
    <w:rsid w:val="00DF3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6343</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19-0052 Reply coments w-out redlines.DOCX</vt:lpstr>
    </vt:vector>
  </TitlesOfParts>
  <Company/>
  <LinksUpToDate>false</LinksUpToDate>
  <CharactersWithSpaces>42415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2019-08-15T20:53:35Z</dcterms:created>
  <dcterms:modified xsi:type="dcterms:W3CDTF">2019-08-15T20:53:35Z</dcterms:modified>
</cp:coreProperties>
</file>