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D6479" w14:textId="77777777" w:rsidR="00A80A0E" w:rsidRPr="007F0BF3" w:rsidRDefault="00A80A0E" w:rsidP="00A80A0E">
      <w:pPr>
        <w:pStyle w:val="Title"/>
        <w:rPr>
          <w:szCs w:val="32"/>
        </w:rPr>
      </w:pPr>
      <w:r w:rsidRPr="007F0BF3">
        <w:rPr>
          <w:szCs w:val="32"/>
        </w:rPr>
        <w:t>Before</w:t>
      </w:r>
    </w:p>
    <w:p w14:paraId="260438B8" w14:textId="77777777" w:rsidR="00A80A0E" w:rsidRPr="007F0BF3" w:rsidRDefault="00A80A0E" w:rsidP="00A80A0E">
      <w:pPr>
        <w:jc w:val="center"/>
        <w:rPr>
          <w:rFonts w:cs="Arial"/>
          <w:b/>
          <w:smallCaps/>
          <w:sz w:val="32"/>
          <w:szCs w:val="32"/>
        </w:rPr>
      </w:pPr>
      <w:r w:rsidRPr="007F0BF3">
        <w:rPr>
          <w:rFonts w:cs="Arial"/>
          <w:b/>
          <w:smallCaps/>
          <w:sz w:val="32"/>
          <w:szCs w:val="32"/>
        </w:rPr>
        <w:t>The Public Utilities Commission of Ohio</w:t>
      </w:r>
    </w:p>
    <w:p w14:paraId="0B00BE9E" w14:textId="1264EB5C" w:rsidR="00A80A0E" w:rsidRDefault="00A80A0E" w:rsidP="00A80A0E">
      <w:pPr>
        <w:autoSpaceDE w:val="0"/>
        <w:autoSpaceDN w:val="0"/>
        <w:adjustRightInd w:val="0"/>
        <w:rPr>
          <w:rFonts w:cs="Arial"/>
        </w:rPr>
      </w:pPr>
    </w:p>
    <w:p w14:paraId="44A5EA95" w14:textId="77777777" w:rsidR="007F0BF3" w:rsidRDefault="007F0BF3" w:rsidP="00A80A0E">
      <w:pPr>
        <w:autoSpaceDE w:val="0"/>
        <w:autoSpaceDN w:val="0"/>
        <w:adjustRightInd w:val="0"/>
        <w:rPr>
          <w:rFonts w:cs="Arial"/>
        </w:rPr>
      </w:pPr>
    </w:p>
    <w:p w14:paraId="39831820" w14:textId="77777777" w:rsidR="005F47C1" w:rsidRDefault="005F47C1" w:rsidP="005F47C1">
      <w:pPr>
        <w:tabs>
          <w:tab w:val="left" w:pos="4860"/>
          <w:tab w:val="left" w:pos="5400"/>
        </w:tabs>
        <w:autoSpaceDE w:val="0"/>
        <w:autoSpaceDN w:val="0"/>
        <w:adjustRightInd w:val="0"/>
        <w:jc w:val="both"/>
        <w:rPr>
          <w:rFonts w:cs="Arial"/>
        </w:rPr>
      </w:pPr>
      <w:r>
        <w:rPr>
          <w:rFonts w:cs="Arial"/>
        </w:rPr>
        <w:t xml:space="preserve">In the Matter of the Application of the </w:t>
      </w:r>
      <w:r>
        <w:rPr>
          <w:rFonts w:cs="Arial"/>
        </w:rPr>
        <w:tab/>
        <w:t>)</w:t>
      </w:r>
    </w:p>
    <w:p w14:paraId="75416255" w14:textId="77777777" w:rsidR="005F47C1" w:rsidRDefault="005F47C1" w:rsidP="005F47C1">
      <w:pPr>
        <w:tabs>
          <w:tab w:val="left" w:pos="4860"/>
          <w:tab w:val="left" w:pos="5400"/>
        </w:tabs>
        <w:autoSpaceDE w:val="0"/>
        <w:autoSpaceDN w:val="0"/>
        <w:adjustRightInd w:val="0"/>
        <w:jc w:val="both"/>
        <w:rPr>
          <w:rFonts w:cs="Arial"/>
        </w:rPr>
      </w:pPr>
      <w:r>
        <w:rPr>
          <w:rFonts w:cs="Arial"/>
        </w:rPr>
        <w:t>Ohio Development Services Agency</w:t>
      </w:r>
      <w:r>
        <w:rPr>
          <w:rFonts w:cs="Arial"/>
        </w:rPr>
        <w:tab/>
        <w:t>)</w:t>
      </w:r>
    </w:p>
    <w:p w14:paraId="6866477E" w14:textId="77777777" w:rsidR="005F47C1" w:rsidRDefault="005F47C1" w:rsidP="005F47C1">
      <w:pPr>
        <w:tabs>
          <w:tab w:val="left" w:pos="4860"/>
          <w:tab w:val="left" w:pos="5400"/>
        </w:tabs>
        <w:autoSpaceDE w:val="0"/>
        <w:autoSpaceDN w:val="0"/>
        <w:adjustRightInd w:val="0"/>
        <w:jc w:val="both"/>
        <w:rPr>
          <w:rFonts w:cs="Arial"/>
        </w:rPr>
      </w:pPr>
      <w:r>
        <w:rPr>
          <w:rFonts w:cs="Arial"/>
        </w:rPr>
        <w:t>for an Order Approving Adjustments</w:t>
      </w:r>
      <w:r>
        <w:rPr>
          <w:rFonts w:cs="Arial"/>
        </w:rPr>
        <w:tab/>
        <w:t>)</w:t>
      </w:r>
      <w:r>
        <w:rPr>
          <w:rFonts w:cs="Arial"/>
        </w:rPr>
        <w:tab/>
        <w:t>Case No. 18-976-EL-USF</w:t>
      </w:r>
    </w:p>
    <w:p w14:paraId="36D1AD47" w14:textId="77777777" w:rsidR="005F47C1" w:rsidRDefault="005F47C1" w:rsidP="005F47C1">
      <w:pPr>
        <w:tabs>
          <w:tab w:val="left" w:pos="4860"/>
          <w:tab w:val="left" w:pos="5400"/>
        </w:tabs>
        <w:autoSpaceDE w:val="0"/>
        <w:autoSpaceDN w:val="0"/>
        <w:adjustRightInd w:val="0"/>
        <w:jc w:val="both"/>
        <w:rPr>
          <w:rFonts w:cs="Arial"/>
        </w:rPr>
      </w:pPr>
      <w:r>
        <w:rPr>
          <w:rFonts w:cs="Arial"/>
        </w:rPr>
        <w:t xml:space="preserve">to the Universal Service Fund Riders of </w:t>
      </w:r>
      <w:r>
        <w:rPr>
          <w:rFonts w:cs="Arial"/>
        </w:rPr>
        <w:tab/>
        <w:t>)</w:t>
      </w:r>
    </w:p>
    <w:p w14:paraId="24F143FA" w14:textId="77777777" w:rsidR="005F47C1" w:rsidRDefault="005F47C1" w:rsidP="005F47C1">
      <w:pPr>
        <w:tabs>
          <w:tab w:val="left" w:pos="4860"/>
          <w:tab w:val="left" w:pos="5400"/>
        </w:tabs>
        <w:autoSpaceDE w:val="0"/>
        <w:autoSpaceDN w:val="0"/>
        <w:adjustRightInd w:val="0"/>
        <w:jc w:val="both"/>
        <w:rPr>
          <w:rFonts w:cs="Arial"/>
        </w:rPr>
      </w:pPr>
      <w:r>
        <w:rPr>
          <w:rFonts w:cs="Arial"/>
        </w:rPr>
        <w:t xml:space="preserve">Jurisdictional Ohio Electric Distribution </w:t>
      </w:r>
      <w:r>
        <w:rPr>
          <w:rFonts w:cs="Arial"/>
        </w:rPr>
        <w:tab/>
        <w:t>)</w:t>
      </w:r>
    </w:p>
    <w:p w14:paraId="56C996B9" w14:textId="77777777" w:rsidR="005F47C1" w:rsidRDefault="005F47C1" w:rsidP="005F47C1">
      <w:pPr>
        <w:tabs>
          <w:tab w:val="left" w:pos="4860"/>
          <w:tab w:val="left" w:pos="5400"/>
        </w:tabs>
        <w:autoSpaceDE w:val="0"/>
        <w:autoSpaceDN w:val="0"/>
        <w:adjustRightInd w:val="0"/>
        <w:jc w:val="both"/>
        <w:rPr>
          <w:rFonts w:cs="Arial"/>
        </w:rPr>
      </w:pPr>
      <w:r>
        <w:rPr>
          <w:rFonts w:cs="Arial"/>
        </w:rPr>
        <w:t>Utilities.</w:t>
      </w:r>
      <w:r>
        <w:rPr>
          <w:rFonts w:cs="Arial"/>
        </w:rPr>
        <w:tab/>
        <w:t>)</w:t>
      </w:r>
    </w:p>
    <w:p w14:paraId="78C96DC5" w14:textId="7376A056" w:rsidR="00A80A0E" w:rsidRDefault="00A80A0E" w:rsidP="005B4BB0">
      <w:pPr>
        <w:pStyle w:val="BodyText"/>
        <w:tabs>
          <w:tab w:val="left" w:pos="5040"/>
        </w:tabs>
        <w:ind w:left="5040" w:hanging="5040"/>
        <w:rPr>
          <w:sz w:val="28"/>
        </w:rPr>
      </w:pPr>
    </w:p>
    <w:p w14:paraId="62850943" w14:textId="77777777" w:rsidR="00A80A0E" w:rsidRPr="007F0BF3" w:rsidRDefault="00A80A0E" w:rsidP="00553ACB">
      <w:pPr>
        <w:pStyle w:val="Heading1"/>
        <w:numPr>
          <w:ilvl w:val="0"/>
          <w:numId w:val="0"/>
        </w:numPr>
        <w:pBdr>
          <w:top w:val="single" w:sz="12" w:space="1" w:color="auto"/>
        </w:pBdr>
        <w:tabs>
          <w:tab w:val="left" w:pos="7320"/>
        </w:tabs>
        <w:spacing w:before="0" w:after="0"/>
        <w:jc w:val="center"/>
        <w:rPr>
          <w:rFonts w:ascii="Arial Bold" w:hAnsi="Arial Bold"/>
          <w:smallCaps/>
          <w:sz w:val="32"/>
        </w:rPr>
      </w:pPr>
    </w:p>
    <w:p w14:paraId="24C1425B" w14:textId="650D0D47" w:rsidR="00195AC6" w:rsidRPr="007F0BF3" w:rsidRDefault="005F47C1" w:rsidP="00553ACB">
      <w:pPr>
        <w:jc w:val="center"/>
        <w:rPr>
          <w:rFonts w:ascii="Arial Bold" w:hAnsi="Arial Bold"/>
          <w:b/>
          <w:smallCaps/>
          <w:sz w:val="32"/>
        </w:rPr>
      </w:pPr>
      <w:r w:rsidRPr="007F0BF3">
        <w:rPr>
          <w:rFonts w:ascii="Arial Bold" w:hAnsi="Arial Bold"/>
          <w:b/>
          <w:smallCaps/>
          <w:sz w:val="32"/>
        </w:rPr>
        <w:t>Industrial Energy Users-Ohio’s Reply</w:t>
      </w:r>
    </w:p>
    <w:p w14:paraId="251B6FEE" w14:textId="0BCA74F4" w:rsidR="00195AC6" w:rsidRPr="007F0BF3" w:rsidRDefault="005F47C1" w:rsidP="00553ACB">
      <w:pPr>
        <w:jc w:val="center"/>
        <w:rPr>
          <w:rFonts w:ascii="Arial Bold" w:hAnsi="Arial Bold"/>
          <w:b/>
          <w:smallCaps/>
          <w:sz w:val="32"/>
        </w:rPr>
      </w:pPr>
      <w:r w:rsidRPr="007F0BF3">
        <w:rPr>
          <w:rFonts w:ascii="Arial Bold" w:hAnsi="Arial Bold"/>
          <w:b/>
          <w:smallCaps/>
          <w:sz w:val="32"/>
        </w:rPr>
        <w:t>to the Objections of</w:t>
      </w:r>
    </w:p>
    <w:p w14:paraId="28A1D341" w14:textId="048F3907" w:rsidR="00195AC6" w:rsidRPr="007F0BF3" w:rsidRDefault="005F47C1" w:rsidP="00553ACB">
      <w:pPr>
        <w:jc w:val="center"/>
        <w:rPr>
          <w:rFonts w:ascii="Arial Bold" w:hAnsi="Arial Bold"/>
          <w:b/>
          <w:smallCaps/>
          <w:sz w:val="32"/>
        </w:rPr>
      </w:pPr>
      <w:r w:rsidRPr="007F0BF3">
        <w:rPr>
          <w:rFonts w:ascii="Arial Bold" w:hAnsi="Arial Bold"/>
          <w:b/>
          <w:smallCaps/>
          <w:sz w:val="32"/>
        </w:rPr>
        <w:t>Ohio Partners for Affordable Energy</w:t>
      </w:r>
    </w:p>
    <w:p w14:paraId="63323DA0" w14:textId="77777777" w:rsidR="00A80A0E" w:rsidRDefault="00A80A0E" w:rsidP="00A80A0E">
      <w:pPr>
        <w:pStyle w:val="Title"/>
        <w:pBdr>
          <w:bottom w:val="single" w:sz="12" w:space="1" w:color="auto"/>
        </w:pBdr>
        <w:rPr>
          <w:sz w:val="28"/>
          <w:u w:val="single"/>
        </w:rPr>
      </w:pPr>
    </w:p>
    <w:p w14:paraId="19731B3D" w14:textId="77777777" w:rsidR="00A80A0E" w:rsidRDefault="00A80A0E" w:rsidP="00A80A0E">
      <w:pPr>
        <w:pStyle w:val="Title"/>
        <w:rPr>
          <w:sz w:val="28"/>
          <w:u w:val="single"/>
        </w:rPr>
      </w:pPr>
    </w:p>
    <w:p w14:paraId="6FE8AD27" w14:textId="77777777" w:rsidR="00A80A0E" w:rsidRDefault="00A80A0E" w:rsidP="00A80A0E">
      <w:pPr>
        <w:pStyle w:val="Title"/>
        <w:rPr>
          <w:sz w:val="28"/>
          <w:u w:val="single"/>
        </w:rPr>
      </w:pPr>
    </w:p>
    <w:p w14:paraId="4C47A1A3" w14:textId="77777777" w:rsidR="00A80A0E" w:rsidRDefault="00A80A0E" w:rsidP="00A80A0E">
      <w:pPr>
        <w:pStyle w:val="Title"/>
        <w:rPr>
          <w:sz w:val="28"/>
          <w:u w:val="single"/>
        </w:rPr>
      </w:pPr>
    </w:p>
    <w:p w14:paraId="7310B66A" w14:textId="77777777" w:rsidR="00A80A0E" w:rsidRDefault="00A80A0E" w:rsidP="00A80A0E">
      <w:pPr>
        <w:pStyle w:val="Title"/>
        <w:rPr>
          <w:sz w:val="28"/>
          <w:u w:val="single"/>
        </w:rPr>
      </w:pPr>
    </w:p>
    <w:p w14:paraId="6332F64B" w14:textId="77777777" w:rsidR="00A80A0E" w:rsidRDefault="00A80A0E" w:rsidP="00A80A0E">
      <w:pPr>
        <w:pStyle w:val="Title"/>
        <w:rPr>
          <w:sz w:val="28"/>
          <w:u w:val="single"/>
        </w:rPr>
      </w:pPr>
    </w:p>
    <w:p w14:paraId="351F89C4" w14:textId="77777777" w:rsidR="00A80A0E" w:rsidRDefault="00A80A0E" w:rsidP="00A80A0E">
      <w:pPr>
        <w:pStyle w:val="Title"/>
        <w:rPr>
          <w:sz w:val="28"/>
          <w:u w:val="single"/>
        </w:rPr>
      </w:pPr>
    </w:p>
    <w:p w14:paraId="724CE2F8" w14:textId="77777777" w:rsidR="00A80A0E" w:rsidRDefault="00A80A0E" w:rsidP="00A80A0E">
      <w:pPr>
        <w:pStyle w:val="Title"/>
        <w:rPr>
          <w:sz w:val="28"/>
          <w:u w:val="single"/>
        </w:rPr>
      </w:pPr>
    </w:p>
    <w:p w14:paraId="0AAC2CFF" w14:textId="77777777" w:rsidR="00553ACB" w:rsidRDefault="00553ACB" w:rsidP="00A80A0E">
      <w:pPr>
        <w:pStyle w:val="Title"/>
        <w:rPr>
          <w:sz w:val="28"/>
          <w:u w:val="single"/>
        </w:rPr>
      </w:pPr>
    </w:p>
    <w:p w14:paraId="0A46F181" w14:textId="77777777" w:rsidR="00B02F4F" w:rsidRDefault="00B02F4F" w:rsidP="00A80A0E">
      <w:pPr>
        <w:pStyle w:val="Title"/>
        <w:rPr>
          <w:sz w:val="28"/>
          <w:u w:val="single"/>
        </w:rPr>
      </w:pPr>
    </w:p>
    <w:p w14:paraId="688D00FC" w14:textId="2C253EE1" w:rsidR="00587CD7" w:rsidRDefault="00587CD7" w:rsidP="00A80A0E">
      <w:pPr>
        <w:pStyle w:val="Title"/>
        <w:rPr>
          <w:sz w:val="28"/>
          <w:u w:val="single"/>
        </w:rPr>
      </w:pPr>
    </w:p>
    <w:p w14:paraId="2BEA1508" w14:textId="400D2C2B" w:rsidR="007F0BF3" w:rsidRDefault="007F0BF3" w:rsidP="00A80A0E">
      <w:pPr>
        <w:pStyle w:val="Title"/>
        <w:rPr>
          <w:sz w:val="28"/>
          <w:u w:val="single"/>
        </w:rPr>
      </w:pPr>
    </w:p>
    <w:p w14:paraId="54644F8D" w14:textId="77777777" w:rsidR="001C7397" w:rsidRDefault="001C7397" w:rsidP="00A80A0E">
      <w:pPr>
        <w:pStyle w:val="Title"/>
        <w:rPr>
          <w:sz w:val="28"/>
          <w:u w:val="single"/>
        </w:rPr>
      </w:pPr>
    </w:p>
    <w:p w14:paraId="046BB777" w14:textId="77777777" w:rsidR="00892A23" w:rsidRDefault="00892A23" w:rsidP="00A80A0E">
      <w:pPr>
        <w:pStyle w:val="Title"/>
        <w:rPr>
          <w:sz w:val="28"/>
          <w:u w:val="single"/>
        </w:rPr>
      </w:pPr>
    </w:p>
    <w:p w14:paraId="336A03A2" w14:textId="77777777" w:rsidR="00587CD7" w:rsidRDefault="00587CD7" w:rsidP="00A80A0E">
      <w:pPr>
        <w:pStyle w:val="Title"/>
        <w:rPr>
          <w:sz w:val="28"/>
          <w:u w:val="single"/>
        </w:rPr>
      </w:pPr>
    </w:p>
    <w:p w14:paraId="051A288F" w14:textId="77777777" w:rsidR="00A80A0E" w:rsidRDefault="00A80A0E" w:rsidP="00553ACB">
      <w:pPr>
        <w:pStyle w:val="BodyText3"/>
        <w:widowControl w:val="0"/>
        <w:ind w:left="4320"/>
        <w:jc w:val="both"/>
        <w:rPr>
          <w:rFonts w:ascii="Arial" w:hAnsi="Arial" w:cs="Arial"/>
          <w:b w:val="0"/>
          <w:bCs/>
        </w:rPr>
      </w:pPr>
      <w:r>
        <w:rPr>
          <w:rFonts w:ascii="Arial" w:hAnsi="Arial" w:cs="Arial"/>
          <w:b w:val="0"/>
          <w:bCs/>
        </w:rPr>
        <w:t>Frank P. Darr (Reg. No. 0025469)</w:t>
      </w:r>
    </w:p>
    <w:p w14:paraId="5792AD18" w14:textId="77777777" w:rsidR="00A80A0E" w:rsidRDefault="00A80A0E" w:rsidP="00553ACB">
      <w:pPr>
        <w:tabs>
          <w:tab w:val="right" w:pos="8640"/>
        </w:tabs>
        <w:ind w:left="4320"/>
        <w:jc w:val="both"/>
        <w:rPr>
          <w:rFonts w:cs="Arial"/>
        </w:rPr>
      </w:pPr>
      <w:r>
        <w:rPr>
          <w:rFonts w:cs="Arial"/>
        </w:rPr>
        <w:t>(Counsel of Record)</w:t>
      </w:r>
    </w:p>
    <w:p w14:paraId="310765EF" w14:textId="77777777" w:rsidR="00A80A0E" w:rsidRDefault="00A80A0E" w:rsidP="00553ACB">
      <w:pPr>
        <w:pStyle w:val="BodyText3"/>
        <w:widowControl w:val="0"/>
        <w:ind w:left="4320"/>
        <w:jc w:val="both"/>
        <w:rPr>
          <w:rFonts w:ascii="Arial" w:hAnsi="Arial" w:cs="Arial"/>
          <w:b w:val="0"/>
          <w:bCs/>
        </w:rPr>
      </w:pPr>
      <w:r>
        <w:rPr>
          <w:rFonts w:ascii="Arial" w:hAnsi="Arial" w:cs="Arial"/>
          <w:b w:val="0"/>
          <w:bCs/>
        </w:rPr>
        <w:t>Matthew R. Pritchard (Reg. No. 0088070)</w:t>
      </w:r>
    </w:p>
    <w:p w14:paraId="03DE511A" w14:textId="77777777" w:rsidR="00A80A0E" w:rsidRDefault="00A80A0E" w:rsidP="00553ACB">
      <w:pPr>
        <w:pStyle w:val="BodyText3"/>
        <w:widowControl w:val="0"/>
        <w:ind w:left="4320"/>
        <w:jc w:val="both"/>
        <w:rPr>
          <w:rFonts w:ascii="Arial" w:hAnsi="Arial" w:cs="Arial"/>
          <w:b w:val="0"/>
          <w:bCs/>
          <w:smallCaps/>
          <w:szCs w:val="24"/>
        </w:rPr>
      </w:pPr>
      <w:r>
        <w:rPr>
          <w:rFonts w:ascii="Arial" w:hAnsi="Arial" w:cs="Arial"/>
          <w:b w:val="0"/>
          <w:bCs/>
          <w:smallCaps/>
          <w:szCs w:val="24"/>
        </w:rPr>
        <w:t>McNees Wallace &amp; Nurick LLC</w:t>
      </w:r>
    </w:p>
    <w:p w14:paraId="02DA0CAB" w14:textId="77777777" w:rsidR="00A80A0E" w:rsidRDefault="00A80A0E" w:rsidP="00553ACB">
      <w:pPr>
        <w:pStyle w:val="BodyText3"/>
        <w:widowControl w:val="0"/>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0224B4C5" w14:textId="77777777" w:rsidR="00A80A0E" w:rsidRDefault="00A80A0E" w:rsidP="00553ACB">
      <w:pPr>
        <w:pStyle w:val="BodyText"/>
        <w:ind w:left="4320"/>
      </w:pPr>
      <w:r>
        <w:t>Columbus, OH  43215</w:t>
      </w:r>
    </w:p>
    <w:p w14:paraId="5537A955" w14:textId="77777777" w:rsidR="00A80A0E" w:rsidRDefault="00A80A0E" w:rsidP="00553ACB">
      <w:pPr>
        <w:pStyle w:val="BodyText"/>
        <w:ind w:left="4320"/>
      </w:pPr>
      <w:r>
        <w:t>Telephone:  (614) 469-8000</w:t>
      </w:r>
    </w:p>
    <w:p w14:paraId="53680275" w14:textId="77777777" w:rsidR="00A80A0E" w:rsidRDefault="00A80A0E" w:rsidP="00553ACB">
      <w:pPr>
        <w:pStyle w:val="BodyText"/>
        <w:ind w:left="4320"/>
      </w:pPr>
      <w:r>
        <w:t>Telecopier:  (614) 469-4653</w:t>
      </w:r>
    </w:p>
    <w:p w14:paraId="583319DF" w14:textId="77777777" w:rsidR="00A80A0E" w:rsidRDefault="00A80A0E" w:rsidP="00553ACB">
      <w:pPr>
        <w:pStyle w:val="BodyText"/>
        <w:ind w:left="4320"/>
      </w:pPr>
      <w:r>
        <w:t>fdarr@mwncmh.com</w:t>
      </w:r>
    </w:p>
    <w:p w14:paraId="3B7451E9" w14:textId="3940D7FE" w:rsidR="00A80A0E" w:rsidRDefault="00A80A0E" w:rsidP="00553ACB">
      <w:pPr>
        <w:pStyle w:val="BodyText"/>
        <w:ind w:left="4320"/>
      </w:pPr>
      <w:r>
        <w:t>mpritchard@mwn</w:t>
      </w:r>
      <w:bookmarkStart w:id="0" w:name="_GoBack"/>
      <w:bookmarkEnd w:id="0"/>
      <w:r>
        <w:t>cmh.com</w:t>
      </w:r>
    </w:p>
    <w:p w14:paraId="78771F93" w14:textId="77777777" w:rsidR="00A80A0E" w:rsidRDefault="00A80A0E" w:rsidP="00553ACB">
      <w:pPr>
        <w:tabs>
          <w:tab w:val="left" w:pos="4320"/>
          <w:tab w:val="right" w:pos="8640"/>
        </w:tabs>
        <w:ind w:left="4320"/>
        <w:jc w:val="both"/>
      </w:pPr>
    </w:p>
    <w:p w14:paraId="0D0332A2" w14:textId="73FFCE02" w:rsidR="00A80A0E" w:rsidRDefault="00A80A0E" w:rsidP="00553ACB">
      <w:pPr>
        <w:pStyle w:val="Title"/>
        <w:tabs>
          <w:tab w:val="left" w:pos="4320"/>
        </w:tabs>
        <w:ind w:left="4320" w:hanging="4320"/>
        <w:jc w:val="left"/>
        <w:sectPr w:rsidR="00A80A0E" w:rsidSect="001C7397">
          <w:headerReference w:type="even" r:id="rId8"/>
          <w:headerReference w:type="default" r:id="rId9"/>
          <w:footerReference w:type="even" r:id="rId10"/>
          <w:footerReference w:type="default" r:id="rId11"/>
          <w:headerReference w:type="first" r:id="rId12"/>
          <w:footerReference w:type="first" r:id="rId13"/>
          <w:pgSz w:w="12240" w:h="15840"/>
          <w:pgMar w:top="1440" w:right="1296" w:bottom="720" w:left="1440" w:header="720" w:footer="720" w:gutter="0"/>
          <w:pgNumType w:start="1"/>
          <w:cols w:space="720"/>
        </w:sectPr>
      </w:pPr>
      <w:r>
        <w:rPr>
          <w:sz w:val="24"/>
        </w:rPr>
        <w:t>July 10, 201</w:t>
      </w:r>
      <w:r w:rsidR="007A3C69">
        <w:rPr>
          <w:sz w:val="24"/>
        </w:rPr>
        <w:t>8</w:t>
      </w:r>
      <w:r>
        <w:rPr>
          <w:sz w:val="24"/>
        </w:rPr>
        <w:tab/>
        <w:t>Attorneys for Industrial Energy Users</w:t>
      </w:r>
      <w:r w:rsidR="00283701">
        <w:rPr>
          <w:sz w:val="24"/>
        </w:rPr>
        <w:t>-</w:t>
      </w:r>
      <w:r w:rsidR="00553ACB">
        <w:rPr>
          <w:sz w:val="24"/>
        </w:rPr>
        <w:t>Ohio</w:t>
      </w:r>
    </w:p>
    <w:p w14:paraId="5F318F72" w14:textId="77777777" w:rsidR="007F0BF3" w:rsidRPr="007F0BF3" w:rsidRDefault="007F0BF3" w:rsidP="007F0BF3">
      <w:pPr>
        <w:pStyle w:val="Title"/>
        <w:rPr>
          <w:sz w:val="28"/>
          <w:szCs w:val="28"/>
        </w:rPr>
      </w:pPr>
      <w:r w:rsidRPr="007F0BF3">
        <w:rPr>
          <w:sz w:val="28"/>
          <w:szCs w:val="28"/>
        </w:rPr>
        <w:lastRenderedPageBreak/>
        <w:t>Before</w:t>
      </w:r>
    </w:p>
    <w:p w14:paraId="0B58F4FD" w14:textId="77777777" w:rsidR="007F0BF3" w:rsidRPr="007F0BF3" w:rsidRDefault="007F0BF3" w:rsidP="007F0BF3">
      <w:pPr>
        <w:jc w:val="center"/>
        <w:rPr>
          <w:rFonts w:cs="Arial"/>
          <w:b/>
          <w:smallCaps/>
          <w:sz w:val="28"/>
          <w:szCs w:val="28"/>
        </w:rPr>
      </w:pPr>
      <w:r w:rsidRPr="007F0BF3">
        <w:rPr>
          <w:rFonts w:cs="Arial"/>
          <w:b/>
          <w:smallCaps/>
          <w:sz w:val="28"/>
          <w:szCs w:val="28"/>
        </w:rPr>
        <w:t>The Public Utilities Commission of Ohio</w:t>
      </w:r>
    </w:p>
    <w:p w14:paraId="6EBB48F3" w14:textId="77777777" w:rsidR="007F0BF3" w:rsidRPr="007F0BF3" w:rsidRDefault="007F0BF3" w:rsidP="007F0BF3">
      <w:pPr>
        <w:autoSpaceDE w:val="0"/>
        <w:autoSpaceDN w:val="0"/>
        <w:adjustRightInd w:val="0"/>
        <w:rPr>
          <w:rFonts w:cs="Arial"/>
        </w:rPr>
      </w:pPr>
    </w:p>
    <w:p w14:paraId="3FC5C1A3" w14:textId="77777777" w:rsidR="007F0BF3" w:rsidRPr="007F0BF3" w:rsidRDefault="007F0BF3" w:rsidP="007F0BF3">
      <w:pPr>
        <w:tabs>
          <w:tab w:val="left" w:pos="4860"/>
          <w:tab w:val="left" w:pos="5400"/>
        </w:tabs>
        <w:autoSpaceDE w:val="0"/>
        <w:autoSpaceDN w:val="0"/>
        <w:adjustRightInd w:val="0"/>
        <w:jc w:val="both"/>
        <w:rPr>
          <w:rFonts w:cs="Arial"/>
        </w:rPr>
      </w:pPr>
      <w:r w:rsidRPr="007F0BF3">
        <w:rPr>
          <w:rFonts w:cs="Arial"/>
        </w:rPr>
        <w:t xml:space="preserve">In the Matter of the Application of the </w:t>
      </w:r>
      <w:r w:rsidRPr="007F0BF3">
        <w:rPr>
          <w:rFonts w:cs="Arial"/>
        </w:rPr>
        <w:tab/>
        <w:t>)</w:t>
      </w:r>
    </w:p>
    <w:p w14:paraId="20A25EE3" w14:textId="77777777" w:rsidR="007F0BF3" w:rsidRPr="007F0BF3" w:rsidRDefault="007F0BF3" w:rsidP="007F0BF3">
      <w:pPr>
        <w:tabs>
          <w:tab w:val="left" w:pos="4860"/>
          <w:tab w:val="left" w:pos="5400"/>
        </w:tabs>
        <w:autoSpaceDE w:val="0"/>
        <w:autoSpaceDN w:val="0"/>
        <w:adjustRightInd w:val="0"/>
        <w:jc w:val="both"/>
        <w:rPr>
          <w:rFonts w:cs="Arial"/>
        </w:rPr>
      </w:pPr>
      <w:r w:rsidRPr="007F0BF3">
        <w:rPr>
          <w:rFonts w:cs="Arial"/>
        </w:rPr>
        <w:t>Ohio Development Services Agency</w:t>
      </w:r>
      <w:r w:rsidRPr="007F0BF3">
        <w:rPr>
          <w:rFonts w:cs="Arial"/>
        </w:rPr>
        <w:tab/>
        <w:t>)</w:t>
      </w:r>
    </w:p>
    <w:p w14:paraId="101EE7AF" w14:textId="77777777" w:rsidR="007F0BF3" w:rsidRPr="007F0BF3" w:rsidRDefault="007F0BF3" w:rsidP="007F0BF3">
      <w:pPr>
        <w:tabs>
          <w:tab w:val="left" w:pos="4860"/>
          <w:tab w:val="left" w:pos="5400"/>
        </w:tabs>
        <w:autoSpaceDE w:val="0"/>
        <w:autoSpaceDN w:val="0"/>
        <w:adjustRightInd w:val="0"/>
        <w:jc w:val="both"/>
        <w:rPr>
          <w:rFonts w:cs="Arial"/>
        </w:rPr>
      </w:pPr>
      <w:r w:rsidRPr="007F0BF3">
        <w:rPr>
          <w:rFonts w:cs="Arial"/>
        </w:rPr>
        <w:t>for an Order Approving Adjustments</w:t>
      </w:r>
      <w:r w:rsidRPr="007F0BF3">
        <w:rPr>
          <w:rFonts w:cs="Arial"/>
        </w:rPr>
        <w:tab/>
        <w:t>)</w:t>
      </w:r>
      <w:r w:rsidRPr="007F0BF3">
        <w:rPr>
          <w:rFonts w:cs="Arial"/>
        </w:rPr>
        <w:tab/>
        <w:t>Case No. 18-976-EL-USF</w:t>
      </w:r>
    </w:p>
    <w:p w14:paraId="0CAAE76A" w14:textId="77777777" w:rsidR="007F0BF3" w:rsidRPr="007F0BF3" w:rsidRDefault="007F0BF3" w:rsidP="007F0BF3">
      <w:pPr>
        <w:tabs>
          <w:tab w:val="left" w:pos="4860"/>
          <w:tab w:val="left" w:pos="5400"/>
        </w:tabs>
        <w:autoSpaceDE w:val="0"/>
        <w:autoSpaceDN w:val="0"/>
        <w:adjustRightInd w:val="0"/>
        <w:jc w:val="both"/>
        <w:rPr>
          <w:rFonts w:cs="Arial"/>
        </w:rPr>
      </w:pPr>
      <w:r w:rsidRPr="007F0BF3">
        <w:rPr>
          <w:rFonts w:cs="Arial"/>
        </w:rPr>
        <w:t xml:space="preserve">to the Universal Service Fund Riders of </w:t>
      </w:r>
      <w:r w:rsidRPr="007F0BF3">
        <w:rPr>
          <w:rFonts w:cs="Arial"/>
        </w:rPr>
        <w:tab/>
        <w:t>)</w:t>
      </w:r>
    </w:p>
    <w:p w14:paraId="137C81E3" w14:textId="77777777" w:rsidR="007F0BF3" w:rsidRPr="007F0BF3" w:rsidRDefault="007F0BF3" w:rsidP="007F0BF3">
      <w:pPr>
        <w:tabs>
          <w:tab w:val="left" w:pos="4860"/>
          <w:tab w:val="left" w:pos="5400"/>
        </w:tabs>
        <w:autoSpaceDE w:val="0"/>
        <w:autoSpaceDN w:val="0"/>
        <w:adjustRightInd w:val="0"/>
        <w:jc w:val="both"/>
        <w:rPr>
          <w:rFonts w:cs="Arial"/>
        </w:rPr>
      </w:pPr>
      <w:r w:rsidRPr="007F0BF3">
        <w:rPr>
          <w:rFonts w:cs="Arial"/>
        </w:rPr>
        <w:t xml:space="preserve">Jurisdictional Ohio Electric Distribution </w:t>
      </w:r>
      <w:r w:rsidRPr="007F0BF3">
        <w:rPr>
          <w:rFonts w:cs="Arial"/>
        </w:rPr>
        <w:tab/>
        <w:t>)</w:t>
      </w:r>
    </w:p>
    <w:p w14:paraId="2A8F93AB" w14:textId="77777777" w:rsidR="007F0BF3" w:rsidRPr="007F0BF3" w:rsidRDefault="007F0BF3" w:rsidP="007F0BF3">
      <w:pPr>
        <w:tabs>
          <w:tab w:val="left" w:pos="4860"/>
          <w:tab w:val="left" w:pos="5400"/>
        </w:tabs>
        <w:autoSpaceDE w:val="0"/>
        <w:autoSpaceDN w:val="0"/>
        <w:adjustRightInd w:val="0"/>
        <w:jc w:val="both"/>
        <w:rPr>
          <w:rFonts w:cs="Arial"/>
        </w:rPr>
      </w:pPr>
      <w:r w:rsidRPr="007F0BF3">
        <w:rPr>
          <w:rFonts w:cs="Arial"/>
        </w:rPr>
        <w:t>Utilities.</w:t>
      </w:r>
      <w:r w:rsidRPr="007F0BF3">
        <w:rPr>
          <w:rFonts w:cs="Arial"/>
        </w:rPr>
        <w:tab/>
        <w:t>)</w:t>
      </w:r>
    </w:p>
    <w:p w14:paraId="6120D56B" w14:textId="77777777" w:rsidR="007F0BF3" w:rsidRPr="007F0BF3" w:rsidRDefault="007F0BF3" w:rsidP="007F0BF3">
      <w:pPr>
        <w:pStyle w:val="BodyText"/>
        <w:tabs>
          <w:tab w:val="left" w:pos="5040"/>
        </w:tabs>
      </w:pPr>
    </w:p>
    <w:p w14:paraId="43A862F5" w14:textId="77777777" w:rsidR="007F0BF3" w:rsidRPr="007F0BF3" w:rsidRDefault="007F0BF3" w:rsidP="007F0BF3">
      <w:pPr>
        <w:pStyle w:val="Heading1"/>
        <w:numPr>
          <w:ilvl w:val="0"/>
          <w:numId w:val="0"/>
        </w:numPr>
        <w:pBdr>
          <w:top w:val="single" w:sz="12" w:space="1" w:color="auto"/>
        </w:pBdr>
        <w:tabs>
          <w:tab w:val="left" w:pos="7320"/>
        </w:tabs>
        <w:spacing w:before="0" w:after="0"/>
        <w:jc w:val="center"/>
        <w:rPr>
          <w:rFonts w:ascii="Arial Bold" w:hAnsi="Arial Bold"/>
          <w:smallCaps/>
          <w:sz w:val="28"/>
          <w:szCs w:val="28"/>
        </w:rPr>
      </w:pPr>
    </w:p>
    <w:p w14:paraId="2DE918DD" w14:textId="77777777" w:rsidR="007F0BF3" w:rsidRPr="007F0BF3" w:rsidRDefault="007F0BF3" w:rsidP="007F0BF3">
      <w:pPr>
        <w:jc w:val="center"/>
        <w:rPr>
          <w:rFonts w:ascii="Arial Bold" w:hAnsi="Arial Bold"/>
          <w:b/>
          <w:smallCaps/>
          <w:sz w:val="28"/>
          <w:szCs w:val="28"/>
        </w:rPr>
      </w:pPr>
      <w:r w:rsidRPr="007F0BF3">
        <w:rPr>
          <w:rFonts w:ascii="Arial Bold" w:hAnsi="Arial Bold"/>
          <w:b/>
          <w:smallCaps/>
          <w:sz w:val="28"/>
          <w:szCs w:val="28"/>
        </w:rPr>
        <w:t>Industrial Energy Users-Ohio’s Reply</w:t>
      </w:r>
    </w:p>
    <w:p w14:paraId="626B912D" w14:textId="77777777" w:rsidR="007F0BF3" w:rsidRPr="007F0BF3" w:rsidRDefault="007F0BF3" w:rsidP="007F0BF3">
      <w:pPr>
        <w:jc w:val="center"/>
        <w:rPr>
          <w:rFonts w:ascii="Arial Bold" w:hAnsi="Arial Bold"/>
          <w:b/>
          <w:smallCaps/>
          <w:sz w:val="28"/>
          <w:szCs w:val="28"/>
        </w:rPr>
      </w:pPr>
      <w:r w:rsidRPr="007F0BF3">
        <w:rPr>
          <w:rFonts w:ascii="Arial Bold" w:hAnsi="Arial Bold"/>
          <w:b/>
          <w:smallCaps/>
          <w:sz w:val="28"/>
          <w:szCs w:val="28"/>
        </w:rPr>
        <w:t>to the Objections of</w:t>
      </w:r>
    </w:p>
    <w:p w14:paraId="53AD62B5" w14:textId="77777777" w:rsidR="007F0BF3" w:rsidRPr="007F0BF3" w:rsidRDefault="007F0BF3" w:rsidP="007F0BF3">
      <w:pPr>
        <w:jc w:val="center"/>
        <w:rPr>
          <w:rFonts w:ascii="Arial Bold" w:hAnsi="Arial Bold"/>
          <w:b/>
          <w:smallCaps/>
          <w:sz w:val="28"/>
          <w:szCs w:val="28"/>
        </w:rPr>
      </w:pPr>
      <w:r w:rsidRPr="007F0BF3">
        <w:rPr>
          <w:rFonts w:ascii="Arial Bold" w:hAnsi="Arial Bold"/>
          <w:b/>
          <w:smallCaps/>
          <w:sz w:val="28"/>
          <w:szCs w:val="28"/>
        </w:rPr>
        <w:t>Ohio Partners for Affordable Energy</w:t>
      </w:r>
    </w:p>
    <w:p w14:paraId="3DB0A128" w14:textId="77777777" w:rsidR="007F0BF3" w:rsidRPr="007F0BF3" w:rsidRDefault="007F0BF3" w:rsidP="007F0BF3">
      <w:pPr>
        <w:pStyle w:val="Title"/>
        <w:pBdr>
          <w:bottom w:val="single" w:sz="12" w:space="1" w:color="auto"/>
        </w:pBdr>
        <w:rPr>
          <w:sz w:val="28"/>
          <w:szCs w:val="28"/>
          <w:u w:val="single"/>
        </w:rPr>
      </w:pPr>
    </w:p>
    <w:p w14:paraId="3C23487C" w14:textId="77777777" w:rsidR="007F0BF3" w:rsidRPr="007F0BF3" w:rsidRDefault="007F0BF3" w:rsidP="007F0BF3">
      <w:pPr>
        <w:pStyle w:val="Title"/>
        <w:rPr>
          <w:sz w:val="28"/>
          <w:szCs w:val="28"/>
          <w:u w:val="single"/>
        </w:rPr>
      </w:pPr>
    </w:p>
    <w:p w14:paraId="0295C11A" w14:textId="21467CE3" w:rsidR="008E3BF4" w:rsidRDefault="00352166" w:rsidP="00BF0890">
      <w:pPr>
        <w:spacing w:line="480" w:lineRule="auto"/>
        <w:ind w:firstLine="720"/>
        <w:jc w:val="both"/>
      </w:pPr>
      <w:r>
        <w:t xml:space="preserve">Pursuant to the Attorney Examiner’s June </w:t>
      </w:r>
      <w:r w:rsidR="007A3C69">
        <w:t>4</w:t>
      </w:r>
      <w:r>
        <w:t>, 201</w:t>
      </w:r>
      <w:r w:rsidR="007A3C69">
        <w:t>8</w:t>
      </w:r>
      <w:r>
        <w:t xml:space="preserve"> Entry in this matter, Industrial Energy Users-Ohio (“IEU-Ohio”) submits this reply to the objections filed in this matter by Ohio Partners for Affordable Energy (“OPAE”).</w:t>
      </w:r>
      <w:r w:rsidR="00B64E29">
        <w:t xml:space="preserve">  In its objections, OPAE repeats its previously</w:t>
      </w:r>
      <w:r w:rsidR="00597EB5">
        <w:t>-</w:t>
      </w:r>
      <w:r w:rsidR="00B64E29">
        <w:t>r</w:t>
      </w:r>
      <w:r w:rsidR="00F059D6">
        <w:t>ejected objections to continuation of</w:t>
      </w:r>
      <w:r w:rsidR="00B64E29">
        <w:t xml:space="preserve"> the two-</w:t>
      </w:r>
      <w:r w:rsidR="00497C69">
        <w:t xml:space="preserve">step declining </w:t>
      </w:r>
      <w:r w:rsidR="00B64E29">
        <w:t xml:space="preserve">block rate design for the Universal Service Fund (“USF”) </w:t>
      </w:r>
      <w:r w:rsidR="00597EB5">
        <w:t>r</w:t>
      </w:r>
      <w:r w:rsidR="00B64E29">
        <w:t>iders that has been in place since 2001.  As discussed below, OPAE’s objection</w:t>
      </w:r>
      <w:r w:rsidR="00597EB5">
        <w:t>s</w:t>
      </w:r>
      <w:r w:rsidR="00B64E29">
        <w:t xml:space="preserve"> </w:t>
      </w:r>
      <w:r w:rsidR="00597EB5">
        <w:t xml:space="preserve">are </w:t>
      </w:r>
      <w:r w:rsidR="00B64E29">
        <w:t>without merit and should again be rejected.</w:t>
      </w:r>
    </w:p>
    <w:p w14:paraId="461DC2F5" w14:textId="77777777" w:rsidR="00B64E29" w:rsidRDefault="00EF0221" w:rsidP="00A72E1B">
      <w:pPr>
        <w:pStyle w:val="Heading1"/>
      </w:pPr>
      <w:r>
        <w:t>background</w:t>
      </w:r>
    </w:p>
    <w:p w14:paraId="7ECD19E7" w14:textId="77777777" w:rsidR="00BF0890" w:rsidRDefault="00BF0890" w:rsidP="00BF0890">
      <w:pPr>
        <w:spacing w:line="480" w:lineRule="auto"/>
        <w:ind w:firstLine="720"/>
        <w:jc w:val="both"/>
      </w:pPr>
      <w:r>
        <w:t xml:space="preserve">R.C. 4928.52 requires the director of </w:t>
      </w:r>
      <w:r w:rsidR="00597EB5">
        <w:t>the Ohio Development Services Agency (“</w:t>
      </w:r>
      <w:r>
        <w:t>ODSA</w:t>
      </w:r>
      <w:r w:rsidR="00597EB5">
        <w:t>”)</w:t>
      </w:r>
      <w:r>
        <w:t xml:space="preserve"> to file an application before the Public Utilities Commission of Ohio (“Commission”) if the director determines that the current USF rider rates are insufficient to cover the costs of the USF fund.  </w:t>
      </w:r>
      <w:r w:rsidR="00EF0221">
        <w:t xml:space="preserve"> This </w:t>
      </w:r>
      <w:r w:rsidR="00597EB5">
        <w:t>s</w:t>
      </w:r>
      <w:r w:rsidR="00EF0221">
        <w:t>ection further authorizes the Commission to adjust the USF rider rates “by the minimum amount necessary to provide the additional revenue</w:t>
      </w:r>
      <w:r w:rsidR="00597EB5">
        <w:t>s</w:t>
      </w:r>
      <w:r w:rsidR="00EF0221">
        <w:t xml:space="preserve">” needed to fund the USF program.  Finally, this </w:t>
      </w:r>
      <w:r w:rsidR="00597EB5">
        <w:t>s</w:t>
      </w:r>
      <w:r w:rsidR="00EF0221">
        <w:t xml:space="preserve">ection provides that the USF rates established under this Section “shall be set in such a manner </w:t>
      </w:r>
      <w:r w:rsidR="00597EB5">
        <w:t xml:space="preserve">so </w:t>
      </w:r>
      <w:r w:rsidR="00EF0221">
        <w:t xml:space="preserve">as not to shift </w:t>
      </w:r>
      <w:r w:rsidR="00EF0221">
        <w:lastRenderedPageBreak/>
        <w:t>among the customer classes of electric distribution utilities the costs of funding” the USF program.</w:t>
      </w:r>
    </w:p>
    <w:p w14:paraId="1D67AF27" w14:textId="2B212BA4" w:rsidR="00BF0890" w:rsidRDefault="00BF0890" w:rsidP="00BF0890">
      <w:pPr>
        <w:spacing w:line="480" w:lineRule="auto"/>
        <w:ind w:firstLine="720"/>
        <w:jc w:val="both"/>
      </w:pPr>
      <w:r>
        <w:t>For a number of years, a stipulated process has been followed whereby ODSA files a notice of intent addressing the methodology ODSA intends to use to calculate the USF revenue requir</w:t>
      </w:r>
      <w:r w:rsidR="00EF0221">
        <w:t>ement and USF rider rate design followed by an application to establish specific USF rider rates.</w:t>
      </w:r>
      <w:r w:rsidR="0045789B">
        <w:rPr>
          <w:rStyle w:val="FootnoteReference"/>
        </w:rPr>
        <w:footnoteReference w:id="1"/>
      </w:r>
      <w:r w:rsidR="00EF0221">
        <w:t xml:space="preserve">  On </w:t>
      </w:r>
      <w:r w:rsidR="00D00632">
        <w:t>May 31</w:t>
      </w:r>
      <w:r w:rsidR="00EF0221">
        <w:t>, 201</w:t>
      </w:r>
      <w:r w:rsidR="00D00632">
        <w:t>8</w:t>
      </w:r>
      <w:r w:rsidR="00EF0221">
        <w:t xml:space="preserve">, ODSA filed its </w:t>
      </w:r>
      <w:r w:rsidR="00313017">
        <w:t>Notice of Intent (“</w:t>
      </w:r>
      <w:r w:rsidR="00EF0221">
        <w:t>NOI</w:t>
      </w:r>
      <w:r w:rsidR="00313017">
        <w:t>”)</w:t>
      </w:r>
      <w:r w:rsidR="00EF0221">
        <w:t>.  In the NOI, ODSA proposes to continue utilizing the two-step declining block rate design which has been in approved and in place every year since 2001.</w:t>
      </w:r>
      <w:r w:rsidR="00EF0221">
        <w:rPr>
          <w:rStyle w:val="FootnoteReference"/>
        </w:rPr>
        <w:footnoteReference w:id="2"/>
      </w:r>
    </w:p>
    <w:p w14:paraId="2DB724F0" w14:textId="756F0155" w:rsidR="00130203" w:rsidRDefault="00130203" w:rsidP="00130203">
      <w:pPr>
        <w:spacing w:line="480" w:lineRule="auto"/>
        <w:ind w:firstLine="720"/>
        <w:jc w:val="both"/>
        <w:rPr>
          <w:rFonts w:cs="Arial"/>
        </w:rPr>
      </w:pPr>
      <w:r>
        <w:rPr>
          <w:rFonts w:cs="Arial"/>
        </w:rPr>
        <w:t>Under this rate design, the first block of the rate applies to all monthly consumption up to and including 833,000 kWh.</w:t>
      </w:r>
      <w:r w:rsidR="007F0BF3">
        <w:rPr>
          <w:rFonts w:cs="Arial"/>
        </w:rPr>
        <w:t xml:space="preserve"> </w:t>
      </w:r>
      <w:r>
        <w:rPr>
          <w:rFonts w:cs="Arial"/>
        </w:rPr>
        <w:t xml:space="preserve"> The second block rate applies to all consumption above 833,000 kWh per month.</w:t>
      </w:r>
      <w:r>
        <w:rPr>
          <w:rFonts w:cs="Arial"/>
          <w:i/>
        </w:rPr>
        <w:t xml:space="preserve">  </w:t>
      </w:r>
      <w:r>
        <w:rPr>
          <w:rFonts w:cs="Arial"/>
        </w:rPr>
        <w:t xml:space="preserve">For each </w:t>
      </w:r>
      <w:r w:rsidR="0018060B">
        <w:rPr>
          <w:rFonts w:cs="Arial"/>
        </w:rPr>
        <w:t>electric distribution utility (“</w:t>
      </w:r>
      <w:r>
        <w:rPr>
          <w:rFonts w:cs="Arial"/>
        </w:rPr>
        <w:t>EDU</w:t>
      </w:r>
      <w:r w:rsidR="0018060B">
        <w:rPr>
          <w:rFonts w:cs="Arial"/>
        </w:rPr>
        <w:t>”)</w:t>
      </w:r>
      <w:r>
        <w:rPr>
          <w:rFonts w:cs="Arial"/>
        </w:rPr>
        <w:t xml:space="preserve">, the rate per kWh for the second block will be set at the lower of the </w:t>
      </w:r>
      <w:r w:rsidR="0018060B">
        <w:rPr>
          <w:rFonts w:cs="Arial"/>
        </w:rPr>
        <w:t>Percentage of Income Payment Plan (“</w:t>
      </w:r>
      <w:r>
        <w:rPr>
          <w:rFonts w:cs="Arial"/>
        </w:rPr>
        <w:t>PIPP</w:t>
      </w:r>
      <w:r w:rsidR="0018060B">
        <w:rPr>
          <w:rFonts w:cs="Arial"/>
        </w:rPr>
        <w:t>”)</w:t>
      </w:r>
      <w:r>
        <w:rPr>
          <w:rFonts w:cs="Arial"/>
        </w:rPr>
        <w:t xml:space="preserve"> charge in effect in October 1999 or the per-kWh rate that would apply if the EDU’s annual USF rider revenue requirement were to be recovered through a single block per-kWh rate.  The rate for the first block rate will be set at the level necessary to produce the remainder of the EDU’s annual USF rider revenue requirement.  Thus, in those instances where the EDU’s October 1999 PIPP charge exceeds the per-kWh rate that would apply if the EDU’s annual USF rider revenue requirement were to be recovered through a single block per-kWh rate, the rate for both consumption blocks will be the same.</w:t>
      </w:r>
    </w:p>
    <w:p w14:paraId="6610E6BF" w14:textId="74A1C58E" w:rsidR="00130203" w:rsidRDefault="00130203" w:rsidP="00130203">
      <w:pPr>
        <w:spacing w:line="480" w:lineRule="auto"/>
        <w:jc w:val="both"/>
        <w:rPr>
          <w:rFonts w:cs="Arial"/>
        </w:rPr>
      </w:pPr>
      <w:r>
        <w:rPr>
          <w:rFonts w:cs="Arial"/>
        </w:rPr>
        <w:lastRenderedPageBreak/>
        <w:tab/>
        <w:t xml:space="preserve">The two-step USF rider rate design was implemented in ODSA’s first USF rider adjustment case (Case No. 01-2411-EL-UNC) as a result of negotiations that led to a stipulation agreed to by all parties to that proceeding and approved by the Commission in its December 20, 2001 order in that docket.  The two-step declining block rate was proposed as a means of limiting the substantial financial impact on the state’s largest electric consumers that would have resulted if the USF rider revenue requirements were to be recovered through the uniform per-kWh rate design of the USF riders initially approved by the Commission in the electric transition plan (“ETP”) cases.  </w:t>
      </w:r>
      <w:r w:rsidR="004B01B0">
        <w:rPr>
          <w:rFonts w:cs="Arial"/>
        </w:rPr>
        <w:t>In each case from 2001 to 2016, a stipulation was entered into to address and resolve issues regarding the NOI, including the rate design for the USF riders.  The 2017 case was tried without a stipulation.  In each case, the Commission approved the use of the two-step declining block rate design.</w:t>
      </w:r>
    </w:p>
    <w:p w14:paraId="31712C3E" w14:textId="77777777" w:rsidR="00EF0221" w:rsidRDefault="00EF0221" w:rsidP="00EF0221">
      <w:pPr>
        <w:pStyle w:val="Heading1"/>
      </w:pPr>
      <w:r>
        <w:t>argument</w:t>
      </w:r>
    </w:p>
    <w:p w14:paraId="7D151938" w14:textId="77777777" w:rsidR="005D0A84" w:rsidRDefault="005D0A84" w:rsidP="005D0A84">
      <w:pPr>
        <w:pStyle w:val="Heading2"/>
      </w:pPr>
      <w:r>
        <w:t xml:space="preserve">OPAE fails to present the information the Commission indicated was required for it to </w:t>
      </w:r>
      <w:r w:rsidR="00C936F8">
        <w:t>determine if a rate design violated R.C. 4928.52(C)</w:t>
      </w:r>
    </w:p>
    <w:p w14:paraId="3A25B926" w14:textId="47E32455" w:rsidR="003329C1" w:rsidRDefault="008C4A51" w:rsidP="0052059E">
      <w:pPr>
        <w:spacing w:line="480" w:lineRule="auto"/>
        <w:ind w:firstLine="720"/>
        <w:jc w:val="both"/>
        <w:rPr>
          <w:rFonts w:cs="Arial"/>
          <w:color w:val="000000" w:themeColor="text1"/>
        </w:rPr>
      </w:pPr>
      <w:r>
        <w:rPr>
          <w:rFonts w:cs="Arial"/>
          <w:color w:val="000000" w:themeColor="text1"/>
        </w:rPr>
        <w:t>To support its claim that the two-step declining block rate design violates R.</w:t>
      </w:r>
      <w:r w:rsidR="001310EC">
        <w:rPr>
          <w:rFonts w:cs="Arial"/>
          <w:color w:val="000000" w:themeColor="text1"/>
        </w:rPr>
        <w:t>C</w:t>
      </w:r>
      <w:r>
        <w:rPr>
          <w:rFonts w:cs="Arial"/>
          <w:color w:val="000000" w:themeColor="text1"/>
        </w:rPr>
        <w:t>. 4928.52(C), OPAE presents a</w:t>
      </w:r>
      <w:r w:rsidR="001310EC">
        <w:rPr>
          <w:rFonts w:cs="Arial"/>
          <w:color w:val="000000" w:themeColor="text1"/>
        </w:rPr>
        <w:t xml:space="preserve">n analysis based on a </w:t>
      </w:r>
      <w:r>
        <w:rPr>
          <w:rFonts w:cs="Arial"/>
          <w:color w:val="000000" w:themeColor="text1"/>
        </w:rPr>
        <w:t>hypothetical customer</w:t>
      </w:r>
      <w:r w:rsidR="001310EC">
        <w:rPr>
          <w:rFonts w:cs="Arial"/>
          <w:color w:val="000000" w:themeColor="text1"/>
        </w:rPr>
        <w:t>.</w:t>
      </w:r>
      <w:r w:rsidR="001310EC">
        <w:rPr>
          <w:rStyle w:val="FootnoteReference"/>
          <w:rFonts w:cs="Arial"/>
          <w:color w:val="000000" w:themeColor="text1"/>
        </w:rPr>
        <w:footnoteReference w:id="3"/>
      </w:r>
      <w:r w:rsidR="001310EC">
        <w:rPr>
          <w:rFonts w:cs="Arial"/>
          <w:color w:val="000000" w:themeColor="text1"/>
        </w:rPr>
        <w:t xml:space="preserve">  This is the same type of analysis OPAE presented to the Commission in the 2015 and 2017 USF cases.  However, i</w:t>
      </w:r>
      <w:r w:rsidR="005D0A84">
        <w:rPr>
          <w:rFonts w:cs="Arial"/>
          <w:color w:val="000000" w:themeColor="text1"/>
        </w:rPr>
        <w:t xml:space="preserve">n the </w:t>
      </w:r>
      <w:r w:rsidR="005D0A84" w:rsidRPr="00283701">
        <w:rPr>
          <w:rFonts w:cs="Arial"/>
          <w:color w:val="000000" w:themeColor="text1"/>
        </w:rPr>
        <w:t xml:space="preserve">2015 </w:t>
      </w:r>
      <w:r w:rsidR="00A84815" w:rsidRPr="00283701">
        <w:rPr>
          <w:rFonts w:cs="Arial"/>
          <w:color w:val="000000" w:themeColor="text1"/>
        </w:rPr>
        <w:t>and 201</w:t>
      </w:r>
      <w:r w:rsidR="00903191">
        <w:rPr>
          <w:rFonts w:cs="Arial"/>
          <w:color w:val="000000" w:themeColor="text1"/>
        </w:rPr>
        <w:t>7</w:t>
      </w:r>
      <w:r w:rsidR="00A84815" w:rsidRPr="00283701">
        <w:rPr>
          <w:rFonts w:cs="Arial"/>
          <w:color w:val="000000" w:themeColor="text1"/>
        </w:rPr>
        <w:t xml:space="preserve"> USF </w:t>
      </w:r>
      <w:r w:rsidR="007F0BF3">
        <w:rPr>
          <w:rFonts w:cs="Arial"/>
          <w:color w:val="000000" w:themeColor="text1"/>
        </w:rPr>
        <w:t>c</w:t>
      </w:r>
      <w:r w:rsidR="00A84815" w:rsidRPr="00283701">
        <w:rPr>
          <w:rFonts w:cs="Arial"/>
          <w:color w:val="000000" w:themeColor="text1"/>
        </w:rPr>
        <w:t>ases</w:t>
      </w:r>
      <w:r w:rsidR="007F0BF3">
        <w:rPr>
          <w:rFonts w:cs="Arial"/>
          <w:color w:val="000000" w:themeColor="text1"/>
        </w:rPr>
        <w:t>,</w:t>
      </w:r>
      <w:r w:rsidR="00A84815">
        <w:rPr>
          <w:rFonts w:cs="Arial"/>
          <w:i/>
          <w:color w:val="000000" w:themeColor="text1"/>
        </w:rPr>
        <w:t xml:space="preserve"> </w:t>
      </w:r>
      <w:r w:rsidR="00A84815">
        <w:rPr>
          <w:rFonts w:cs="Arial"/>
          <w:color w:val="000000" w:themeColor="text1"/>
        </w:rPr>
        <w:t>the Commission rejected OPAE’s theoretical challenge to the two-step declining block rate design</w:t>
      </w:r>
      <w:r w:rsidR="00C936F8">
        <w:rPr>
          <w:rFonts w:cs="Arial"/>
          <w:color w:val="000000" w:themeColor="text1"/>
        </w:rPr>
        <w:t>.</w:t>
      </w:r>
      <w:r w:rsidR="00BE13FE">
        <w:rPr>
          <w:rStyle w:val="FootnoteReference"/>
          <w:rFonts w:cs="Arial"/>
          <w:color w:val="000000" w:themeColor="text1"/>
        </w:rPr>
        <w:footnoteReference w:id="4"/>
      </w:r>
      <w:r w:rsidR="005D0A84">
        <w:rPr>
          <w:rFonts w:cs="Arial"/>
          <w:color w:val="000000" w:themeColor="text1"/>
        </w:rPr>
        <w:t xml:space="preserve"> </w:t>
      </w:r>
      <w:r w:rsidR="00C936F8">
        <w:rPr>
          <w:rFonts w:cs="Arial"/>
          <w:color w:val="000000" w:themeColor="text1"/>
        </w:rPr>
        <w:t xml:space="preserve"> T</w:t>
      </w:r>
      <w:r w:rsidR="005D0A84">
        <w:rPr>
          <w:rFonts w:cs="Arial"/>
          <w:color w:val="000000" w:themeColor="text1"/>
        </w:rPr>
        <w:t xml:space="preserve">he Commission held </w:t>
      </w:r>
      <w:r w:rsidR="005D0A84">
        <w:rPr>
          <w:rFonts w:cs="Arial"/>
          <w:color w:val="000000" w:themeColor="text1"/>
        </w:rPr>
        <w:lastRenderedPageBreak/>
        <w:t>that for it to find that the existing rate design violates R.C. 4928.52(C)</w:t>
      </w:r>
      <w:r w:rsidR="00EB2DF7">
        <w:rPr>
          <w:rFonts w:cs="Arial"/>
          <w:color w:val="000000" w:themeColor="text1"/>
        </w:rPr>
        <w:t>,</w:t>
      </w:r>
      <w:r w:rsidR="005D0A84">
        <w:rPr>
          <w:rFonts w:cs="Arial"/>
          <w:color w:val="000000" w:themeColor="text1"/>
        </w:rPr>
        <w:t xml:space="preserve"> OPAE must “demonstrate to what degree costs shift </w:t>
      </w:r>
      <w:r w:rsidR="00EB2DF7">
        <w:rPr>
          <w:rFonts w:cs="Arial"/>
          <w:color w:val="000000" w:themeColor="text1"/>
        </w:rPr>
        <w:t xml:space="preserve">between </w:t>
      </w:r>
      <w:r w:rsidR="005D0A84">
        <w:rPr>
          <w:rFonts w:cs="Arial"/>
          <w:color w:val="000000" w:themeColor="text1"/>
        </w:rPr>
        <w:t>the customer classes” result from the utilization of a specific rate design.</w:t>
      </w:r>
      <w:r w:rsidR="00C936F8">
        <w:rPr>
          <w:rStyle w:val="FootnoteReference"/>
          <w:rFonts w:cs="Arial"/>
          <w:color w:val="000000" w:themeColor="text1"/>
        </w:rPr>
        <w:footnoteReference w:id="5"/>
      </w:r>
      <w:r w:rsidR="005D0A84">
        <w:rPr>
          <w:rFonts w:cs="Arial"/>
          <w:color w:val="000000" w:themeColor="text1"/>
        </w:rPr>
        <w:t xml:space="preserve">  </w:t>
      </w:r>
      <w:r w:rsidR="003329C1">
        <w:rPr>
          <w:rFonts w:cs="Arial"/>
          <w:color w:val="000000" w:themeColor="text1"/>
        </w:rPr>
        <w:t xml:space="preserve">OPAE </w:t>
      </w:r>
      <w:r w:rsidR="001310EC">
        <w:rPr>
          <w:rFonts w:cs="Arial"/>
          <w:color w:val="000000" w:themeColor="text1"/>
        </w:rPr>
        <w:t xml:space="preserve">has again </w:t>
      </w:r>
      <w:r w:rsidR="003329C1">
        <w:rPr>
          <w:rFonts w:cs="Arial"/>
          <w:color w:val="000000" w:themeColor="text1"/>
        </w:rPr>
        <w:t>failed to present the required information.</w:t>
      </w:r>
    </w:p>
    <w:p w14:paraId="2706F5C5" w14:textId="309D0811" w:rsidR="00094C1B" w:rsidRDefault="003329C1" w:rsidP="0052059E">
      <w:pPr>
        <w:spacing w:line="480" w:lineRule="auto"/>
        <w:ind w:firstLine="720"/>
        <w:jc w:val="both"/>
        <w:rPr>
          <w:rFonts w:cs="Arial"/>
          <w:color w:val="000000" w:themeColor="text1"/>
        </w:rPr>
      </w:pPr>
      <w:r>
        <w:rPr>
          <w:rFonts w:cs="Arial"/>
          <w:color w:val="000000" w:themeColor="text1"/>
        </w:rPr>
        <w:t xml:space="preserve">OPAE’s </w:t>
      </w:r>
      <w:r w:rsidR="00094C1B">
        <w:rPr>
          <w:rFonts w:cs="Arial"/>
          <w:color w:val="000000" w:themeColor="text1"/>
        </w:rPr>
        <w:t xml:space="preserve">analysis is </w:t>
      </w:r>
      <w:r>
        <w:rPr>
          <w:rFonts w:cs="Arial"/>
          <w:color w:val="000000" w:themeColor="text1"/>
        </w:rPr>
        <w:t>limited to a discussion of a hypothetical customer served by Ohio Power using exactly 833,000 kWh</w:t>
      </w:r>
      <w:r w:rsidR="002D4BDB">
        <w:rPr>
          <w:rFonts w:cs="Arial"/>
          <w:color w:val="000000" w:themeColor="text1"/>
        </w:rPr>
        <w:t xml:space="preserve"> per </w:t>
      </w:r>
      <w:r>
        <w:rPr>
          <w:rFonts w:cs="Arial"/>
          <w:color w:val="000000" w:themeColor="text1"/>
        </w:rPr>
        <w:t>month.</w:t>
      </w:r>
      <w:r>
        <w:rPr>
          <w:rStyle w:val="FootnoteReference"/>
          <w:rFonts w:cs="Arial"/>
          <w:color w:val="000000" w:themeColor="text1"/>
        </w:rPr>
        <w:footnoteReference w:id="6"/>
      </w:r>
      <w:r>
        <w:rPr>
          <w:rFonts w:cs="Arial"/>
          <w:color w:val="000000" w:themeColor="text1"/>
        </w:rPr>
        <w:t xml:space="preserve">  OPAE concludes</w:t>
      </w:r>
      <w:r w:rsidR="00094C1B">
        <w:rPr>
          <w:rFonts w:cs="Arial"/>
          <w:color w:val="000000" w:themeColor="text1"/>
        </w:rPr>
        <w:t xml:space="preserve"> that this hypothetical customer would have paid less through Ohio Power’s 2018 USF rider under a uniform kWh rate than under the </w:t>
      </w:r>
      <w:r w:rsidR="001310EC">
        <w:rPr>
          <w:rFonts w:cs="Arial"/>
          <w:color w:val="000000" w:themeColor="text1"/>
        </w:rPr>
        <w:t xml:space="preserve">actual </w:t>
      </w:r>
      <w:r w:rsidR="00094C1B">
        <w:rPr>
          <w:rFonts w:cs="Arial"/>
          <w:color w:val="000000" w:themeColor="text1"/>
        </w:rPr>
        <w:t>two-step declining block rate design</w:t>
      </w:r>
      <w:r w:rsidR="001310EC">
        <w:rPr>
          <w:rFonts w:cs="Arial"/>
          <w:color w:val="000000" w:themeColor="text1"/>
        </w:rPr>
        <w:t xml:space="preserve"> for 2018</w:t>
      </w:r>
      <w:r w:rsidR="00094C1B">
        <w:rPr>
          <w:rFonts w:cs="Arial"/>
          <w:color w:val="000000" w:themeColor="text1"/>
        </w:rPr>
        <w:t>.</w:t>
      </w:r>
      <w:r w:rsidR="00094C1B">
        <w:rPr>
          <w:rStyle w:val="FootnoteReference"/>
          <w:rFonts w:cs="Arial"/>
          <w:color w:val="000000" w:themeColor="text1"/>
        </w:rPr>
        <w:footnoteReference w:id="7"/>
      </w:r>
      <w:r w:rsidR="00094C1B">
        <w:rPr>
          <w:rFonts w:cs="Arial"/>
          <w:color w:val="000000" w:themeColor="text1"/>
        </w:rPr>
        <w:t xml:space="preserve">  This hypothetical analysis, limited to a one-year review of a hypothetical customer’s usage within a single EDU’s service area, does not discuss customer classes at all, let alone demonstrate a cost shift among the customer classes.</w:t>
      </w:r>
    </w:p>
    <w:p w14:paraId="2D757CFF" w14:textId="13D61CFA" w:rsidR="007F4B70" w:rsidRDefault="005420FB" w:rsidP="0052059E">
      <w:pPr>
        <w:spacing w:line="480" w:lineRule="auto"/>
        <w:ind w:firstLine="720"/>
        <w:jc w:val="both"/>
        <w:rPr>
          <w:rFonts w:cs="Arial"/>
          <w:color w:val="000000" w:themeColor="text1"/>
        </w:rPr>
      </w:pPr>
      <w:r>
        <w:rPr>
          <w:rFonts w:cs="Arial"/>
          <w:color w:val="000000" w:themeColor="text1"/>
        </w:rPr>
        <w:t>Although OPAE failed to demonstrate that the two-step declining block rate design results in a material cost shift among the customer classes, it has conceded that its proposed alternative rate design would shift costs among customers</w:t>
      </w:r>
      <w:r w:rsidR="007F4B70">
        <w:rPr>
          <w:rFonts w:cs="Arial"/>
          <w:color w:val="000000" w:themeColor="text1"/>
        </w:rPr>
        <w:t>.</w:t>
      </w:r>
      <w:r w:rsidR="007F4B70">
        <w:rPr>
          <w:rStyle w:val="FootnoteReference"/>
          <w:rFonts w:cs="Arial"/>
          <w:color w:val="000000" w:themeColor="text1"/>
        </w:rPr>
        <w:footnoteReference w:id="8"/>
      </w:r>
    </w:p>
    <w:p w14:paraId="7DEB3EA2" w14:textId="77777777" w:rsidR="005D0A84" w:rsidRDefault="0052059E" w:rsidP="0052059E">
      <w:pPr>
        <w:spacing w:line="480" w:lineRule="auto"/>
        <w:ind w:firstLine="720"/>
        <w:jc w:val="both"/>
        <w:rPr>
          <w:rFonts w:cs="Arial"/>
          <w:color w:val="000000" w:themeColor="text1"/>
        </w:rPr>
      </w:pPr>
      <w:r>
        <w:rPr>
          <w:rFonts w:cs="Arial"/>
          <w:color w:val="000000" w:themeColor="text1"/>
        </w:rPr>
        <w:t>Because OPAE has failed to present the information necessary to support a finding that the existing rate design violates R.C. 4928.52(C) or that its preferred rate design satisfies R.C. 4928.52(C), the Commission must reject OPAE’s objections.</w:t>
      </w:r>
    </w:p>
    <w:p w14:paraId="19141C44" w14:textId="77777777" w:rsidR="00497C69" w:rsidRDefault="00497C69">
      <w:pPr>
        <w:rPr>
          <w:rFonts w:eastAsiaTheme="majorEastAsia" w:cs="Arial"/>
          <w:b/>
          <w:szCs w:val="26"/>
        </w:rPr>
      </w:pPr>
      <w:r>
        <w:br w:type="page"/>
      </w:r>
    </w:p>
    <w:p w14:paraId="44CECE8D" w14:textId="2831C9B6" w:rsidR="005D0A84" w:rsidRDefault="005D0A84" w:rsidP="005D0A84">
      <w:pPr>
        <w:pStyle w:val="Heading2"/>
      </w:pPr>
      <w:r>
        <w:lastRenderedPageBreak/>
        <w:t>OPAE’s preferred uniform kWh rate design runs contrary to rate design principles and would result in unreasonable cost shifts</w:t>
      </w:r>
    </w:p>
    <w:p w14:paraId="4CD6E13F" w14:textId="568E3548" w:rsidR="0016750D" w:rsidRDefault="005D0A84" w:rsidP="0016750D">
      <w:pPr>
        <w:spacing w:line="480" w:lineRule="auto"/>
        <w:ind w:firstLine="720"/>
        <w:jc w:val="both"/>
        <w:rPr>
          <w:rFonts w:cs="Arial"/>
          <w:color w:val="000000" w:themeColor="text1"/>
        </w:rPr>
      </w:pPr>
      <w:r>
        <w:rPr>
          <w:rFonts w:cs="Arial"/>
          <w:color w:val="000000" w:themeColor="text1"/>
        </w:rPr>
        <w:t>A</w:t>
      </w:r>
      <w:r w:rsidR="0016750D">
        <w:rPr>
          <w:rFonts w:cs="Arial"/>
          <w:color w:val="000000" w:themeColor="text1"/>
        </w:rPr>
        <w:t xml:space="preserve"> volumetric or uniform per</w:t>
      </w:r>
      <w:r w:rsidR="007F0BF3">
        <w:rPr>
          <w:rFonts w:cs="Arial"/>
          <w:color w:val="000000" w:themeColor="text1"/>
        </w:rPr>
        <w:t>-</w:t>
      </w:r>
      <w:r w:rsidR="0016750D">
        <w:rPr>
          <w:rFonts w:cs="Arial"/>
          <w:color w:val="000000" w:themeColor="text1"/>
        </w:rPr>
        <w:t xml:space="preserve">kWh rate design such as that suggested by OPAE in its objections is not a reasonable rate design when the underlying cost it distributes to customers is </w:t>
      </w:r>
      <w:r w:rsidR="0016750D" w:rsidRPr="0016750D">
        <w:t>unrelated</w:t>
      </w:r>
      <w:r w:rsidR="0016750D">
        <w:rPr>
          <w:rFonts w:cs="Arial"/>
          <w:color w:val="000000" w:themeColor="text1"/>
        </w:rPr>
        <w:t xml:space="preserve"> to kWh consumption.  There is no relationship between the amount of revenue that needs to be collected to fund USF programs and customers’ kWh usage.  </w:t>
      </w:r>
    </w:p>
    <w:p w14:paraId="6A8C088C" w14:textId="77777777" w:rsidR="0016750D" w:rsidRDefault="0016750D" w:rsidP="0016750D">
      <w:pPr>
        <w:spacing w:line="480" w:lineRule="auto"/>
        <w:jc w:val="both"/>
        <w:rPr>
          <w:rFonts w:cs="Arial"/>
          <w:color w:val="000000" w:themeColor="text1"/>
        </w:rPr>
      </w:pPr>
      <w:r>
        <w:rPr>
          <w:rFonts w:cs="Arial"/>
          <w:color w:val="000000" w:themeColor="text1"/>
        </w:rPr>
        <w:tab/>
      </w:r>
      <w:r w:rsidR="005B02C1">
        <w:rPr>
          <w:rFonts w:cs="Arial"/>
          <w:color w:val="000000" w:themeColor="text1"/>
        </w:rPr>
        <w:t xml:space="preserve">In other contexts, </w:t>
      </w:r>
      <w:r>
        <w:rPr>
          <w:rFonts w:cs="Arial"/>
          <w:color w:val="000000" w:themeColor="text1"/>
        </w:rPr>
        <w:t>the Commission has also rejected OPAE’s arguments urging the Commission to authorize rates with a volumetric rate design to collect costs unrelated to consumption.  In 2008 and 2009, the Commission considered and authorized changes to the rate design of the four major gas utility companies in Ohio.</w:t>
      </w:r>
      <w:r>
        <w:rPr>
          <w:rFonts w:cs="Arial"/>
          <w:color w:val="000000" w:themeColor="text1"/>
          <w:vertAlign w:val="superscript"/>
        </w:rPr>
        <w:footnoteReference w:id="9"/>
      </w:r>
      <w:r>
        <w:rPr>
          <w:rFonts w:cs="Arial"/>
          <w:color w:val="000000" w:themeColor="text1"/>
        </w:rPr>
        <w:t xml:space="preserve">  In each of those cases, the Commission issued orders providing for the recovery of the gas utilities’ fixed distribution costs through a straight-fixed variable (“SFV”) rate design, which recovers most of the fixed costs through a flat monthly charge.</w:t>
      </w:r>
      <w:r>
        <w:rPr>
          <w:rFonts w:cs="Arial"/>
          <w:color w:val="000000" w:themeColor="text1"/>
          <w:vertAlign w:val="superscript"/>
        </w:rPr>
        <w:footnoteReference w:id="10"/>
      </w:r>
      <w:r>
        <w:rPr>
          <w:rFonts w:cs="Arial"/>
          <w:color w:val="000000" w:themeColor="text1"/>
        </w:rPr>
        <w:t xml:space="preserve">  OPAE was a party in each of those proceedings and urged the Commission to adopt a rate design that would have heavily relied on a volumetric rate design to collect costs unrelated to consumption.</w:t>
      </w:r>
      <w:r>
        <w:rPr>
          <w:rFonts w:cs="Arial"/>
          <w:color w:val="000000" w:themeColor="text1"/>
          <w:vertAlign w:val="superscript"/>
        </w:rPr>
        <w:footnoteReference w:id="11"/>
      </w:r>
      <w:r>
        <w:rPr>
          <w:rFonts w:cs="Arial"/>
          <w:color w:val="000000" w:themeColor="text1"/>
        </w:rPr>
        <w:t xml:space="preserve">  The </w:t>
      </w:r>
      <w:r>
        <w:rPr>
          <w:rFonts w:cs="Arial"/>
          <w:color w:val="000000" w:themeColor="text1"/>
        </w:rPr>
        <w:lastRenderedPageBreak/>
        <w:t>Commission rejected OPAE’s arguments in each proceeding and, as noted above, adopted the SFV rate design.</w:t>
      </w:r>
      <w:r>
        <w:rPr>
          <w:rFonts w:cs="Arial"/>
          <w:color w:val="000000" w:themeColor="text1"/>
          <w:vertAlign w:val="superscript"/>
        </w:rPr>
        <w:footnoteReference w:id="12"/>
      </w:r>
      <w:r>
        <w:rPr>
          <w:rFonts w:cs="Arial"/>
          <w:color w:val="000000" w:themeColor="text1"/>
        </w:rPr>
        <w:t xml:space="preserve"> </w:t>
      </w:r>
    </w:p>
    <w:p w14:paraId="4B5EBE33" w14:textId="0E4594BC" w:rsidR="00E47ADF" w:rsidRDefault="0016750D" w:rsidP="00E47ADF">
      <w:pPr>
        <w:spacing w:line="480" w:lineRule="auto"/>
        <w:jc w:val="both"/>
        <w:rPr>
          <w:rFonts w:cs="Arial"/>
        </w:rPr>
      </w:pPr>
      <w:r>
        <w:rPr>
          <w:rFonts w:cs="Arial"/>
          <w:color w:val="000000" w:themeColor="text1"/>
        </w:rPr>
        <w:tab/>
      </w:r>
      <w:r>
        <w:rPr>
          <w:rFonts w:cs="Arial"/>
        </w:rPr>
        <w:t>Other states, such as Wisconsin and Michigan, recognize the large burden a uniform per-kWh charge would have on large industrial customers</w:t>
      </w:r>
      <w:r w:rsidR="005B02C1">
        <w:rPr>
          <w:rFonts w:cs="Arial"/>
        </w:rPr>
        <w:t xml:space="preserve"> for funding low-income assistance programs</w:t>
      </w:r>
      <w:r>
        <w:rPr>
          <w:rFonts w:cs="Arial"/>
        </w:rPr>
        <w:t xml:space="preserve"> and implement other rate designs.  In Wisconsin, charges are capped for non-residential customers at $1</w:t>
      </w:r>
      <w:r w:rsidR="00E47ADF">
        <w:rPr>
          <w:rFonts w:cs="Arial"/>
        </w:rPr>
        <w:t>72.87</w:t>
      </w:r>
      <w:r w:rsidR="002D4BDB">
        <w:rPr>
          <w:rFonts w:cs="Arial"/>
        </w:rPr>
        <w:t xml:space="preserve"> per </w:t>
      </w:r>
      <w:r>
        <w:rPr>
          <w:rFonts w:cs="Arial"/>
        </w:rPr>
        <w:t>month for the largest electricity users in the state.</w:t>
      </w:r>
      <w:r>
        <w:rPr>
          <w:rStyle w:val="FootnoteReference"/>
          <w:rFonts w:cs="Arial"/>
        </w:rPr>
        <w:footnoteReference w:id="13"/>
      </w:r>
      <w:r>
        <w:rPr>
          <w:rFonts w:cs="Arial"/>
        </w:rPr>
        <w:t xml:space="preserve">  In Michigan, charges are capped at $1 per meter per month for all customer classes.</w:t>
      </w:r>
      <w:r>
        <w:rPr>
          <w:rStyle w:val="FootnoteReference"/>
          <w:rFonts w:cs="Arial"/>
        </w:rPr>
        <w:footnoteReference w:id="14"/>
      </w:r>
      <w:r>
        <w:rPr>
          <w:rFonts w:cs="Arial"/>
        </w:rPr>
        <w:t xml:space="preserve">  </w:t>
      </w:r>
    </w:p>
    <w:p w14:paraId="02477CB7" w14:textId="0645731B" w:rsidR="00331F1C" w:rsidRDefault="00E47ADF" w:rsidP="00283701">
      <w:pPr>
        <w:spacing w:line="480" w:lineRule="auto"/>
        <w:jc w:val="both"/>
        <w:rPr>
          <w:rFonts w:cs="Arial"/>
        </w:rPr>
      </w:pPr>
      <w:r>
        <w:rPr>
          <w:rFonts w:cs="Arial"/>
        </w:rPr>
        <w:tab/>
      </w:r>
      <w:r w:rsidR="0016750D">
        <w:rPr>
          <w:rFonts w:cs="Arial"/>
        </w:rPr>
        <w:t xml:space="preserve">The Pennsylvania Public Utility Commission has </w:t>
      </w:r>
      <w:r w:rsidR="005B02C1">
        <w:rPr>
          <w:rFonts w:cs="Arial"/>
        </w:rPr>
        <w:t xml:space="preserve">also </w:t>
      </w:r>
      <w:r w:rsidR="0016750D">
        <w:rPr>
          <w:rFonts w:cs="Arial"/>
        </w:rPr>
        <w:t>excluded non-residential customers from funding Pennsylvania’s universal service fund because “[u]niversal service programs, by their nature, are narrowly tailored to the residential customers and therefore, should be funded only by the residential class.”</w:t>
      </w:r>
      <w:r w:rsidR="0016750D">
        <w:rPr>
          <w:rStyle w:val="FootnoteReference"/>
          <w:rFonts w:cs="Arial"/>
        </w:rPr>
        <w:footnoteReference w:id="15"/>
      </w:r>
      <w:r w:rsidR="0016750D">
        <w:rPr>
          <w:rFonts w:cs="Arial"/>
        </w:rPr>
        <w:t xml:space="preserve">  Accordingly, Ohio’s industrial customers are already contributing amounts significantly greater than what has been deemed reasonable in other states.  </w:t>
      </w:r>
    </w:p>
    <w:p w14:paraId="0B882478" w14:textId="77777777" w:rsidR="0052059E" w:rsidRDefault="0052059E" w:rsidP="005B02C1">
      <w:pPr>
        <w:spacing w:line="480" w:lineRule="auto"/>
        <w:ind w:firstLine="720"/>
        <w:jc w:val="both"/>
        <w:rPr>
          <w:rFonts w:cs="Arial"/>
        </w:rPr>
      </w:pPr>
      <w:r>
        <w:rPr>
          <w:rFonts w:cs="Arial"/>
        </w:rPr>
        <w:lastRenderedPageBreak/>
        <w:t xml:space="preserve">In sum, OPAE’s preferred uniform kWh rate design is unreasonable and </w:t>
      </w:r>
      <w:r w:rsidR="0056768E">
        <w:rPr>
          <w:rFonts w:cs="Arial"/>
        </w:rPr>
        <w:t xml:space="preserve">unlawful and </w:t>
      </w:r>
      <w:r>
        <w:rPr>
          <w:rFonts w:cs="Arial"/>
        </w:rPr>
        <w:t>should again be rejected.</w:t>
      </w:r>
    </w:p>
    <w:p w14:paraId="28482331" w14:textId="77777777" w:rsidR="004B01B0" w:rsidRDefault="004B01B0" w:rsidP="004B01B0">
      <w:pPr>
        <w:pStyle w:val="Heading2"/>
      </w:pPr>
      <w:r>
        <w:t>The existing two-step declining block rate design is lawful as previously confirmed by the Commission</w:t>
      </w:r>
    </w:p>
    <w:p w14:paraId="727AD442" w14:textId="36B143B7" w:rsidR="004B01B0" w:rsidRDefault="00E47ADF" w:rsidP="004B01B0">
      <w:pPr>
        <w:spacing w:line="480" w:lineRule="auto"/>
        <w:ind w:firstLine="720"/>
        <w:jc w:val="both"/>
      </w:pPr>
      <w:r>
        <w:t>OPAE’s opposition to the two-step declining block rate design is based on the same arguments that the Commission previously rejected.</w:t>
      </w:r>
      <w:r w:rsidR="004B01B0">
        <w:t xml:space="preserve">  As it has done in prior USF cases, the Commission should again reject OPAE’s argument that the existing rate design violates R.C. 4928.52(C).</w:t>
      </w:r>
    </w:p>
    <w:p w14:paraId="6D2DD06D" w14:textId="77777777" w:rsidR="004B01B0" w:rsidRDefault="004B01B0" w:rsidP="004B01B0">
      <w:pPr>
        <w:spacing w:line="480" w:lineRule="auto"/>
        <w:ind w:firstLine="720"/>
        <w:jc w:val="both"/>
      </w:pPr>
      <w:r>
        <w:t xml:space="preserve">The Commission has implicitly or explicitly rejected OPAE’s argument that the two-step declining block rate design violates R.C. 4928.52(C) in each and every USF case.  In the 2012, 2015, and 2017 USF cases, the Commission explicitly rejected OPAE’s argument that this rate design was unlawful.  </w:t>
      </w:r>
      <w:r>
        <w:rPr>
          <w:rFonts w:cs="Arial"/>
          <w:color w:val="000000" w:themeColor="text1"/>
        </w:rPr>
        <w:t xml:space="preserve">In the </w:t>
      </w:r>
      <w:r w:rsidRPr="005F2388">
        <w:rPr>
          <w:rFonts w:cs="Arial"/>
          <w:color w:val="000000" w:themeColor="text1"/>
        </w:rPr>
        <w:t xml:space="preserve">2012 USF </w:t>
      </w:r>
      <w:r>
        <w:rPr>
          <w:rFonts w:cs="Arial"/>
          <w:color w:val="000000" w:themeColor="text1"/>
        </w:rPr>
        <w:t>c</w:t>
      </w:r>
      <w:r w:rsidRPr="005F2388">
        <w:rPr>
          <w:rFonts w:cs="Arial"/>
          <w:color w:val="000000" w:themeColor="text1"/>
        </w:rPr>
        <w:t>ase</w:t>
      </w:r>
      <w:r>
        <w:rPr>
          <w:rFonts w:cs="Arial"/>
          <w:color w:val="000000" w:themeColor="text1"/>
        </w:rPr>
        <w:t>, the Commission authorized a stipulation that continued the previously-approved two-step declining block rate design and held that it “continue[s] to find OPAE's arguments that the two-step declining block USF rate design violates Section 4928.52(C), Revised Code, to be unpersuasive.”</w:t>
      </w:r>
      <w:r>
        <w:rPr>
          <w:rFonts w:cs="Arial"/>
          <w:color w:val="000000" w:themeColor="text1"/>
          <w:vertAlign w:val="superscript"/>
        </w:rPr>
        <w:footnoteReference w:id="16"/>
      </w:r>
      <w:r>
        <w:rPr>
          <w:rFonts w:cs="Arial"/>
          <w:color w:val="000000" w:themeColor="text1"/>
        </w:rPr>
        <w:t xml:space="preserve">  In the 2015 and 2017 USF cases, the Commission further rejected OPAE’s claim that, on its face, the two-step declining block rate design violated R.C. 4928.52(C).</w:t>
      </w:r>
      <w:r>
        <w:rPr>
          <w:rStyle w:val="FootnoteReference"/>
          <w:rFonts w:cs="Arial"/>
          <w:color w:val="000000" w:themeColor="text1"/>
        </w:rPr>
        <w:footnoteReference w:id="17"/>
      </w:r>
      <w:r>
        <w:rPr>
          <w:rFonts w:cs="Arial"/>
          <w:color w:val="000000" w:themeColor="text1"/>
        </w:rPr>
        <w:t xml:space="preserve">  Finally, i</w:t>
      </w:r>
      <w:r>
        <w:t>n adopting stipulations in the 2001 through 2016 USF cases, the Commission determined that the two-step declining block rate design does not violate R.C. 4928.52(C).</w:t>
      </w:r>
      <w:r>
        <w:rPr>
          <w:rStyle w:val="FootnoteReference"/>
        </w:rPr>
        <w:footnoteReference w:id="18"/>
      </w:r>
      <w:r>
        <w:t xml:space="preserve">  </w:t>
      </w:r>
    </w:p>
    <w:p w14:paraId="0FA9D9B6" w14:textId="11A1C788" w:rsidR="004B01B0" w:rsidRDefault="004B01B0" w:rsidP="00283701">
      <w:pPr>
        <w:spacing w:line="480" w:lineRule="auto"/>
        <w:ind w:firstLine="720"/>
        <w:jc w:val="both"/>
      </w:pPr>
      <w:r>
        <w:rPr>
          <w:rFonts w:cs="Arial"/>
          <w:color w:val="000000" w:themeColor="text1"/>
        </w:rPr>
        <w:lastRenderedPageBreak/>
        <w:t>Because OPAE offers no new arguments and no rationale for why the Commission should deviate from its prior holding, the Commission should respect its precedent and again reject OPAE’s argument that the existing rate design violates R.C. 4928.52(C).</w:t>
      </w:r>
      <w:r>
        <w:rPr>
          <w:rStyle w:val="FootnoteReference"/>
          <w:rFonts w:cs="Arial"/>
          <w:color w:val="000000" w:themeColor="text1"/>
        </w:rPr>
        <w:footnoteReference w:id="19"/>
      </w:r>
    </w:p>
    <w:p w14:paraId="00EBB49D" w14:textId="4DE61B15" w:rsidR="0056768E" w:rsidRDefault="0056768E" w:rsidP="0056768E">
      <w:pPr>
        <w:pStyle w:val="Heading2"/>
      </w:pPr>
      <w:r>
        <w:t xml:space="preserve">OPAE’s discussion of the separate USF riders for the Ohio Power and Columbus Southern Power rate zones is misplaced </w:t>
      </w:r>
    </w:p>
    <w:p w14:paraId="6D7CAB29" w14:textId="05719E82" w:rsidR="0056768E" w:rsidRDefault="00B44B06" w:rsidP="00B44B06">
      <w:pPr>
        <w:spacing w:line="480" w:lineRule="auto"/>
      </w:pPr>
      <w:r>
        <w:tab/>
        <w:t>In its objections</w:t>
      </w:r>
      <w:r w:rsidR="00617D48">
        <w:t>,</w:t>
      </w:r>
      <w:r>
        <w:t xml:space="preserve"> OPAE also addresses Ohio Power’s request in the 2015 USF case to merge the USF Riders for the OP and CSP rate zones.  OPAE’s characterization of Ohio Power’s request is incorrect and had nothing to do with altering the two-step declining block rate design.</w:t>
      </w:r>
    </w:p>
    <w:p w14:paraId="62BF476C" w14:textId="77777777" w:rsidR="00B44B06" w:rsidRPr="0056768E" w:rsidRDefault="00B44B06" w:rsidP="00B44B06">
      <w:pPr>
        <w:spacing w:line="480" w:lineRule="auto"/>
      </w:pPr>
      <w:r>
        <w:tab/>
        <w:t xml:space="preserve">Initially, it is not clear why OPAE is addressing a request AEP-Ohio made in the 2015 USF case to </w:t>
      </w:r>
      <w:r w:rsidR="00E82B99">
        <w:t xml:space="preserve">combine the CSP and OP rate zones into a single rider utilizing the </w:t>
      </w:r>
      <w:r>
        <w:t>two-step declining block rate design</w:t>
      </w:r>
      <w:r w:rsidR="00B227CB">
        <w:t>;</w:t>
      </w:r>
      <w:r>
        <w:t xml:space="preserve"> </w:t>
      </w:r>
      <w:r w:rsidR="00B227CB">
        <w:t>a request that</w:t>
      </w:r>
      <w:r>
        <w:t xml:space="preserve"> was rejected by the Commission in the 2015 USF case, and which has not been raised by any party</w:t>
      </w:r>
      <w:r w:rsidR="00B227CB">
        <w:t>, including AEP-Ohio,</w:t>
      </w:r>
      <w:r>
        <w:t xml:space="preserve"> in this case or the prior two USF cases.</w:t>
      </w:r>
      <w:r>
        <w:rPr>
          <w:rStyle w:val="FootnoteReference"/>
        </w:rPr>
        <w:footnoteReference w:id="20"/>
      </w:r>
    </w:p>
    <w:p w14:paraId="5F23DE90" w14:textId="5A938410" w:rsidR="0056768E" w:rsidRPr="00497C69" w:rsidRDefault="00E82B99" w:rsidP="005B02C1">
      <w:pPr>
        <w:spacing w:line="480" w:lineRule="auto"/>
        <w:ind w:firstLine="720"/>
        <w:jc w:val="both"/>
        <w:rPr>
          <w:rFonts w:cs="Arial"/>
        </w:rPr>
      </w:pPr>
      <w:r>
        <w:rPr>
          <w:rFonts w:cs="Arial"/>
        </w:rPr>
        <w:t>Moreover, OPAE’s characterization of AEP-Ohio’s proposal is incorrect.  AEP</w:t>
      </w:r>
      <w:r w:rsidR="00617D48">
        <w:rPr>
          <w:rFonts w:cs="Arial"/>
        </w:rPr>
        <w:noBreakHyphen/>
      </w:r>
      <w:r>
        <w:rPr>
          <w:rFonts w:cs="Arial"/>
        </w:rPr>
        <w:t xml:space="preserve">Ohio was proposing to </w:t>
      </w:r>
      <w:r w:rsidR="009B3049">
        <w:rPr>
          <w:rFonts w:cs="Arial"/>
        </w:rPr>
        <w:t>combine the rate zones into a single rider, not combine the two rate blocks into a uniform rate.  AEP-Ohio’s testimony in support of its objections plainly demonstrate</w:t>
      </w:r>
      <w:r w:rsidR="00617D48">
        <w:rPr>
          <w:rFonts w:cs="Arial"/>
        </w:rPr>
        <w:t>s</w:t>
      </w:r>
      <w:r w:rsidR="009B3049">
        <w:rPr>
          <w:rFonts w:cs="Arial"/>
        </w:rPr>
        <w:t xml:space="preserve"> this.  AEP-Ohio witness Gill testified what the first and second block rates would be under the two-step declining block rate design and </w:t>
      </w:r>
      <w:r w:rsidR="004D1D5B">
        <w:rPr>
          <w:rFonts w:cs="Arial"/>
        </w:rPr>
        <w:t>further identified the estimated</w:t>
      </w:r>
      <w:r w:rsidR="009B3049">
        <w:rPr>
          <w:rFonts w:cs="Arial"/>
        </w:rPr>
        <w:t xml:space="preserve"> bill impacts of its proposed rate zone merger while utilizing the two-step </w:t>
      </w:r>
      <w:r w:rsidR="009B3049">
        <w:rPr>
          <w:rFonts w:cs="Arial"/>
        </w:rPr>
        <w:lastRenderedPageBreak/>
        <w:t>declining block rate design.</w:t>
      </w:r>
      <w:r w:rsidR="009B3049">
        <w:rPr>
          <w:rStyle w:val="FootnoteReference"/>
          <w:rFonts w:cs="Arial"/>
        </w:rPr>
        <w:footnoteReference w:id="21"/>
      </w:r>
      <w:r w:rsidR="004D1D5B">
        <w:rPr>
          <w:rFonts w:cs="Arial"/>
        </w:rPr>
        <w:t xml:space="preserve">  </w:t>
      </w:r>
      <w:r w:rsidR="00497C69">
        <w:rPr>
          <w:rFonts w:cs="Arial"/>
        </w:rPr>
        <w:t>AEP</w:t>
      </w:r>
      <w:r w:rsidR="00497C69">
        <w:rPr>
          <w:rFonts w:cs="Arial"/>
        </w:rPr>
        <w:noBreakHyphen/>
        <w:t xml:space="preserve">Ohio’s request in the </w:t>
      </w:r>
      <w:r w:rsidR="00497C69" w:rsidRPr="00497C69">
        <w:rPr>
          <w:rFonts w:cs="Arial"/>
        </w:rPr>
        <w:t>2015 USF case</w:t>
      </w:r>
      <w:r w:rsidR="00497C69">
        <w:rPr>
          <w:rFonts w:cs="Arial"/>
        </w:rPr>
        <w:t xml:space="preserve"> was completely related to the arguments contained in OPAE’s objections and does not provide any support for OPAE’s position.</w:t>
      </w:r>
    </w:p>
    <w:p w14:paraId="7E1E1C77" w14:textId="77777777" w:rsidR="00BF0890" w:rsidRPr="00BF0890" w:rsidRDefault="00BF0890" w:rsidP="00BF0890">
      <w:pPr>
        <w:pStyle w:val="Heading1"/>
      </w:pPr>
      <w:r>
        <w:t>conclusion</w:t>
      </w:r>
    </w:p>
    <w:p w14:paraId="6436FF7C" w14:textId="77777777" w:rsidR="00F63822" w:rsidRDefault="005B02C1" w:rsidP="00BE13FE">
      <w:pPr>
        <w:spacing w:line="480" w:lineRule="auto"/>
        <w:ind w:firstLine="720"/>
        <w:jc w:val="both"/>
      </w:pPr>
      <w:r>
        <w:t xml:space="preserve">The existing USF rider rate design is lawful, as the Commission has concluded in each of its annual orders approving the USF riders since 2001.  In objecting to the continuation of the </w:t>
      </w:r>
      <w:r w:rsidR="0052059E">
        <w:t>existing two-step declining block</w:t>
      </w:r>
      <w:r>
        <w:t xml:space="preserve"> rate design</w:t>
      </w:r>
      <w:r w:rsidR="0052059E">
        <w:t xml:space="preserve"> for the USF riders</w:t>
      </w:r>
      <w:r>
        <w:t>, OPAE presents the Commission with the same arguments and flawed analysis that the Commission previously rejected.  Because the existing rate design is lawful and OPAE has not presented the Commission with any new arguments, the Commission should again reject OPAE’s objection to the continuation of the existing USF rider rate design.</w:t>
      </w:r>
    </w:p>
    <w:p w14:paraId="2CF4146F" w14:textId="77777777" w:rsidR="00195AC6" w:rsidRDefault="00195AC6" w:rsidP="00195AC6">
      <w:pPr>
        <w:tabs>
          <w:tab w:val="left" w:pos="4320"/>
          <w:tab w:val="right" w:pos="8640"/>
        </w:tabs>
        <w:jc w:val="both"/>
        <w:rPr>
          <w:rFonts w:cs="Arial"/>
        </w:rPr>
      </w:pPr>
      <w:r>
        <w:rPr>
          <w:rFonts w:cs="Arial"/>
        </w:rPr>
        <w:tab/>
        <w:t>Respectfully submitted,</w:t>
      </w:r>
    </w:p>
    <w:p w14:paraId="2AC0BEBE" w14:textId="77777777" w:rsidR="00195AC6" w:rsidRDefault="00195AC6" w:rsidP="00195AC6">
      <w:pPr>
        <w:tabs>
          <w:tab w:val="left" w:pos="4320"/>
          <w:tab w:val="right" w:pos="8640"/>
        </w:tabs>
        <w:jc w:val="both"/>
        <w:rPr>
          <w:rFonts w:cs="Arial"/>
        </w:rPr>
      </w:pPr>
    </w:p>
    <w:p w14:paraId="3F623F63" w14:textId="77777777" w:rsidR="00195AC6" w:rsidRPr="00320E03" w:rsidRDefault="00195AC6" w:rsidP="00195AC6">
      <w:pPr>
        <w:tabs>
          <w:tab w:val="left" w:pos="4320"/>
          <w:tab w:val="right" w:pos="8640"/>
        </w:tabs>
        <w:jc w:val="both"/>
        <w:rPr>
          <w:rFonts w:cs="Arial"/>
          <w:i/>
          <w:u w:val="single"/>
        </w:rPr>
      </w:pPr>
      <w:r w:rsidRPr="00320E03">
        <w:rPr>
          <w:rFonts w:cs="Arial"/>
          <w:i/>
        </w:rPr>
        <w:tab/>
      </w:r>
      <w:r w:rsidRPr="00320E03">
        <w:rPr>
          <w:rFonts w:cs="Arial"/>
          <w:i/>
          <w:u w:val="single"/>
        </w:rPr>
        <w:t>/s/ Matthew R. Pritchard</w:t>
      </w:r>
      <w:r w:rsidRPr="00320E03">
        <w:rPr>
          <w:rFonts w:cs="Arial"/>
          <w:i/>
          <w:u w:val="single"/>
        </w:rPr>
        <w:tab/>
      </w:r>
    </w:p>
    <w:p w14:paraId="372693EE" w14:textId="77777777" w:rsidR="00195AC6" w:rsidRDefault="00195AC6" w:rsidP="00195AC6">
      <w:pPr>
        <w:pStyle w:val="BodyText3"/>
        <w:widowControl w:val="0"/>
        <w:tabs>
          <w:tab w:val="left" w:pos="4320"/>
        </w:tabs>
        <w:ind w:left="4320"/>
        <w:jc w:val="both"/>
        <w:rPr>
          <w:rFonts w:ascii="Arial" w:hAnsi="Arial" w:cs="Arial"/>
          <w:b w:val="0"/>
          <w:bCs/>
        </w:rPr>
      </w:pPr>
      <w:r>
        <w:rPr>
          <w:rFonts w:ascii="Arial" w:hAnsi="Arial" w:cs="Arial"/>
          <w:b w:val="0"/>
          <w:bCs/>
        </w:rPr>
        <w:t>Frank P. Darr (Reg. No. 0025469)</w:t>
      </w:r>
    </w:p>
    <w:p w14:paraId="5E05D891" w14:textId="77777777" w:rsidR="00195AC6" w:rsidRDefault="00195AC6" w:rsidP="00195AC6">
      <w:pPr>
        <w:tabs>
          <w:tab w:val="left" w:pos="4320"/>
          <w:tab w:val="right" w:pos="8640"/>
        </w:tabs>
        <w:ind w:left="4320"/>
        <w:jc w:val="both"/>
        <w:rPr>
          <w:rFonts w:cs="Arial"/>
        </w:rPr>
      </w:pPr>
      <w:r>
        <w:rPr>
          <w:rFonts w:cs="Arial"/>
        </w:rPr>
        <w:t>(Counsel of Record)</w:t>
      </w:r>
    </w:p>
    <w:p w14:paraId="21521AFA" w14:textId="77777777" w:rsidR="00195AC6" w:rsidRDefault="00195AC6" w:rsidP="00195AC6">
      <w:pPr>
        <w:pStyle w:val="BodyText3"/>
        <w:widowControl w:val="0"/>
        <w:tabs>
          <w:tab w:val="left" w:pos="4320"/>
        </w:tabs>
        <w:ind w:left="4320"/>
        <w:jc w:val="both"/>
        <w:rPr>
          <w:rFonts w:ascii="Arial" w:hAnsi="Arial" w:cs="Arial"/>
          <w:b w:val="0"/>
          <w:bCs/>
        </w:rPr>
      </w:pPr>
      <w:r>
        <w:rPr>
          <w:rFonts w:ascii="Arial" w:hAnsi="Arial" w:cs="Arial"/>
          <w:b w:val="0"/>
          <w:bCs/>
        </w:rPr>
        <w:t>Matthew R. Pritchard (Reg. No. 0088070)</w:t>
      </w:r>
    </w:p>
    <w:p w14:paraId="65E1BCAA" w14:textId="77777777" w:rsidR="00195AC6" w:rsidRDefault="00195AC6" w:rsidP="00195AC6">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14:paraId="200FA96A" w14:textId="77777777" w:rsidR="00195AC6" w:rsidRDefault="00195AC6" w:rsidP="00195AC6">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13E31151" w14:textId="77777777" w:rsidR="00195AC6" w:rsidRDefault="00195AC6" w:rsidP="00195AC6">
      <w:pPr>
        <w:pStyle w:val="BodyText"/>
        <w:tabs>
          <w:tab w:val="left" w:pos="4320"/>
        </w:tabs>
        <w:ind w:left="4320"/>
      </w:pPr>
      <w:r>
        <w:t>Columbus, OH  43215</w:t>
      </w:r>
    </w:p>
    <w:p w14:paraId="091C00AF" w14:textId="77777777" w:rsidR="00195AC6" w:rsidRDefault="00195AC6" w:rsidP="00195AC6">
      <w:pPr>
        <w:pStyle w:val="BodyText"/>
        <w:tabs>
          <w:tab w:val="left" w:pos="4320"/>
        </w:tabs>
        <w:ind w:left="4320"/>
      </w:pPr>
      <w:r>
        <w:t>Telephone:  (614) 469-8000</w:t>
      </w:r>
    </w:p>
    <w:p w14:paraId="1252EC27" w14:textId="77777777" w:rsidR="00195AC6" w:rsidRDefault="00195AC6" w:rsidP="00195AC6">
      <w:pPr>
        <w:pStyle w:val="BodyText"/>
        <w:tabs>
          <w:tab w:val="left" w:pos="4320"/>
        </w:tabs>
        <w:ind w:left="4320"/>
      </w:pPr>
      <w:r>
        <w:t>Telecopier:  (614) 469-4653</w:t>
      </w:r>
    </w:p>
    <w:p w14:paraId="123A5EF3" w14:textId="77777777" w:rsidR="00195AC6" w:rsidRDefault="00195AC6" w:rsidP="00195AC6">
      <w:pPr>
        <w:pStyle w:val="BodyText"/>
        <w:tabs>
          <w:tab w:val="left" w:pos="4320"/>
        </w:tabs>
        <w:ind w:left="4320"/>
      </w:pPr>
      <w:r>
        <w:t>fdarr@mwncmh.com</w:t>
      </w:r>
    </w:p>
    <w:p w14:paraId="64594E64" w14:textId="77777777" w:rsidR="00195AC6" w:rsidRDefault="00195AC6" w:rsidP="00195AC6">
      <w:pPr>
        <w:pStyle w:val="BodyText"/>
        <w:tabs>
          <w:tab w:val="left" w:pos="4320"/>
        </w:tabs>
        <w:ind w:left="4320"/>
      </w:pPr>
      <w:r>
        <w:t>mpritchard@mwncmh.com</w:t>
      </w:r>
    </w:p>
    <w:p w14:paraId="5121426C" w14:textId="77777777" w:rsidR="00195AC6" w:rsidRDefault="00195AC6" w:rsidP="00195AC6">
      <w:pPr>
        <w:pStyle w:val="BodyText"/>
        <w:tabs>
          <w:tab w:val="left" w:pos="4320"/>
        </w:tabs>
      </w:pPr>
    </w:p>
    <w:p w14:paraId="03FDF8E3" w14:textId="77777777" w:rsidR="00195AC6" w:rsidRDefault="00195AC6" w:rsidP="00195AC6">
      <w:pPr>
        <w:pStyle w:val="Title"/>
        <w:tabs>
          <w:tab w:val="left" w:pos="4320"/>
        </w:tabs>
        <w:jc w:val="left"/>
        <w:rPr>
          <w:smallCaps w:val="0"/>
          <w:sz w:val="24"/>
        </w:rPr>
      </w:pPr>
      <w:r>
        <w:rPr>
          <w:smallCaps w:val="0"/>
          <w:sz w:val="24"/>
        </w:rPr>
        <w:tab/>
        <w:t>Attorneys for Industrial Energy Users-Ohio</w:t>
      </w:r>
    </w:p>
    <w:p w14:paraId="4141D32A" w14:textId="77777777" w:rsidR="00195AC6" w:rsidRDefault="00195AC6" w:rsidP="00195AC6">
      <w:pPr>
        <w:tabs>
          <w:tab w:val="left" w:pos="2160"/>
          <w:tab w:val="left" w:pos="2280"/>
        </w:tabs>
        <w:jc w:val="center"/>
        <w:rPr>
          <w:rFonts w:cs="Arial"/>
          <w:b/>
        </w:rPr>
        <w:sectPr w:rsidR="00195AC6" w:rsidSect="00F51F6D">
          <w:headerReference w:type="default" r:id="rId14"/>
          <w:foot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26"/>
        </w:sectPr>
      </w:pPr>
    </w:p>
    <w:p w14:paraId="154EBCAA" w14:textId="77777777" w:rsidR="00195AC6" w:rsidRDefault="00195AC6" w:rsidP="00195AC6">
      <w:pPr>
        <w:tabs>
          <w:tab w:val="left" w:pos="2160"/>
          <w:tab w:val="left" w:pos="2280"/>
        </w:tabs>
        <w:jc w:val="center"/>
        <w:rPr>
          <w:rFonts w:ascii="Arial Bold" w:hAnsi="Arial Bold" w:cs="Arial"/>
          <w:b/>
          <w:smallCaps/>
          <w:sz w:val="28"/>
          <w:u w:val="single"/>
        </w:rPr>
      </w:pPr>
      <w:r>
        <w:rPr>
          <w:rFonts w:ascii="Arial Bold" w:hAnsi="Arial Bold" w:cs="Arial"/>
          <w:b/>
          <w:smallCaps/>
          <w:sz w:val="28"/>
          <w:u w:val="single"/>
        </w:rPr>
        <w:lastRenderedPageBreak/>
        <w:t>Certificate of Service</w:t>
      </w:r>
    </w:p>
    <w:p w14:paraId="08A88766" w14:textId="77777777" w:rsidR="00195AC6" w:rsidRDefault="00195AC6" w:rsidP="00195AC6">
      <w:pPr>
        <w:rPr>
          <w:rFonts w:cs="Arial"/>
        </w:rPr>
      </w:pPr>
    </w:p>
    <w:p w14:paraId="445F0C07" w14:textId="15F308C9" w:rsidR="00195AC6" w:rsidRPr="00E66B49" w:rsidRDefault="00195AC6" w:rsidP="00553ACB">
      <w:pPr>
        <w:spacing w:line="480" w:lineRule="auto"/>
        <w:ind w:firstLine="720"/>
        <w:jc w:val="both"/>
      </w:pPr>
      <w:r w:rsidRPr="00E66B49">
        <w:t>In accordance with Rule 4901-1-05, Ohio Ad</w:t>
      </w:r>
      <w:r>
        <w:t>ministrative Code, the PUCO's e</w:t>
      </w:r>
      <w:r>
        <w:noBreakHyphen/>
      </w:r>
      <w:r w:rsidRPr="00E66B49">
        <w:t xml:space="preserve">filing system will electronically serve notice of the filing of this document upon the following parties.  In addition, I hereby certify that a service copy of the foregoing </w:t>
      </w:r>
      <w:r w:rsidRPr="00553ACB">
        <w:rPr>
          <w:i/>
        </w:rPr>
        <w:t>Industrial Energy Users-Ohio’s Reply to the Objections of Ohio Partners for Affordable Energy</w:t>
      </w:r>
      <w:r>
        <w:t xml:space="preserve"> </w:t>
      </w:r>
      <w:r w:rsidRPr="00E66B49">
        <w:t xml:space="preserve">was sent by, or on behalf of, the undersigned counsel for IEU-Ohio to the following parties of record this </w:t>
      </w:r>
      <w:r>
        <w:t>10</w:t>
      </w:r>
      <w:r w:rsidRPr="00553ACB">
        <w:rPr>
          <w:vertAlign w:val="superscript"/>
        </w:rPr>
        <w:t>th</w:t>
      </w:r>
      <w:r>
        <w:t xml:space="preserve"> </w:t>
      </w:r>
      <w:r w:rsidRPr="00E66B49">
        <w:t xml:space="preserve">day of </w:t>
      </w:r>
      <w:r>
        <w:t>July 201</w:t>
      </w:r>
      <w:r w:rsidR="00617D48">
        <w:t>8</w:t>
      </w:r>
      <w:r>
        <w:t xml:space="preserve">, </w:t>
      </w:r>
      <w:r w:rsidRPr="00E66B49">
        <w:rPr>
          <w:i/>
        </w:rPr>
        <w:t>via</w:t>
      </w:r>
      <w:r w:rsidRPr="00E66B49">
        <w:t xml:space="preserve"> electronic transmission. </w:t>
      </w:r>
    </w:p>
    <w:p w14:paraId="0D5D3652" w14:textId="77777777" w:rsidR="00195AC6" w:rsidRPr="00320E03" w:rsidRDefault="00195AC6" w:rsidP="00195AC6">
      <w:pPr>
        <w:tabs>
          <w:tab w:val="center" w:pos="7200"/>
          <w:tab w:val="right" w:pos="9360"/>
        </w:tabs>
        <w:ind w:left="5040"/>
        <w:rPr>
          <w:rFonts w:cs="Arial"/>
          <w:i/>
          <w:u w:val="single"/>
        </w:rPr>
      </w:pPr>
      <w:r w:rsidRPr="00320E03">
        <w:rPr>
          <w:rFonts w:cs="Arial"/>
          <w:i/>
          <w:u w:val="single"/>
        </w:rPr>
        <w:t>/s/ Matthew R. Pritchard</w:t>
      </w:r>
      <w:r w:rsidRPr="00320E03">
        <w:rPr>
          <w:rFonts w:cs="Arial"/>
          <w:i/>
          <w:u w:val="single"/>
        </w:rPr>
        <w:tab/>
      </w:r>
    </w:p>
    <w:p w14:paraId="4BF9B018" w14:textId="77777777" w:rsidR="00195AC6" w:rsidRPr="00294B9F" w:rsidRDefault="00195AC6" w:rsidP="00195AC6">
      <w:pPr>
        <w:tabs>
          <w:tab w:val="center" w:pos="7200"/>
          <w:tab w:val="right" w:pos="9360"/>
        </w:tabs>
        <w:ind w:left="5760"/>
        <w:rPr>
          <w:rFonts w:cs="Arial"/>
          <w:u w:val="single"/>
        </w:rPr>
      </w:pPr>
      <w:r>
        <w:rPr>
          <w:rFonts w:cs="Arial"/>
        </w:rPr>
        <w:t>Matthew R. Pritchard</w:t>
      </w:r>
    </w:p>
    <w:p w14:paraId="44E56D6C" w14:textId="77777777" w:rsidR="00195AC6" w:rsidRDefault="00195AC6" w:rsidP="00195AC6">
      <w:pPr>
        <w:autoSpaceDE w:val="0"/>
        <w:autoSpaceDN w:val="0"/>
        <w:adjustRightInd w:val="0"/>
        <w:rPr>
          <w:rFonts w:cs="Arial"/>
          <w:b/>
          <w:sz w:val="20"/>
          <w:szCs w:val="20"/>
        </w:rPr>
      </w:pPr>
    </w:p>
    <w:p w14:paraId="30A3A6DF" w14:textId="77777777" w:rsidR="00195AC6" w:rsidRDefault="00195AC6" w:rsidP="00195AC6">
      <w:pPr>
        <w:autoSpaceDE w:val="0"/>
        <w:autoSpaceDN w:val="0"/>
        <w:adjustRightInd w:val="0"/>
        <w:rPr>
          <w:rFonts w:cs="Arial"/>
          <w:b/>
          <w:sz w:val="20"/>
          <w:szCs w:val="20"/>
        </w:rPr>
        <w:sectPr w:rsidR="00195AC6" w:rsidSect="00597EB5">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pgNumType w:start="1"/>
          <w:cols w:space="720"/>
          <w:titlePg/>
          <w:docGrid w:linePitch="360"/>
        </w:sectPr>
      </w:pPr>
    </w:p>
    <w:p w14:paraId="29A3FDDF" w14:textId="77777777" w:rsidR="00617D48" w:rsidRPr="0009515E" w:rsidRDefault="00617D48" w:rsidP="00617D48">
      <w:pPr>
        <w:autoSpaceDE w:val="0"/>
        <w:autoSpaceDN w:val="0"/>
        <w:adjustRightInd w:val="0"/>
        <w:rPr>
          <w:rFonts w:eastAsia="Calibri" w:cs="Arial"/>
          <w:b/>
          <w:sz w:val="19"/>
          <w:szCs w:val="19"/>
        </w:rPr>
      </w:pPr>
      <w:r w:rsidRPr="0009515E">
        <w:rPr>
          <w:rFonts w:eastAsia="Calibri" w:cs="Arial"/>
          <w:b/>
          <w:sz w:val="19"/>
          <w:szCs w:val="19"/>
        </w:rPr>
        <w:t>Dane Stinson</w:t>
      </w:r>
    </w:p>
    <w:p w14:paraId="134F20F7" w14:textId="77777777" w:rsidR="00617D48" w:rsidRPr="0009515E" w:rsidRDefault="00617D48" w:rsidP="00617D48">
      <w:pPr>
        <w:autoSpaceDE w:val="0"/>
        <w:autoSpaceDN w:val="0"/>
        <w:adjustRightInd w:val="0"/>
        <w:rPr>
          <w:rFonts w:eastAsia="Calibri" w:cs="Arial"/>
          <w:smallCaps/>
          <w:sz w:val="19"/>
          <w:szCs w:val="19"/>
        </w:rPr>
      </w:pPr>
      <w:r w:rsidRPr="0009515E">
        <w:rPr>
          <w:rFonts w:eastAsia="Calibri" w:cs="Arial"/>
          <w:smallCaps/>
          <w:sz w:val="19"/>
          <w:szCs w:val="19"/>
        </w:rPr>
        <w:t>Bricker &amp; Eckler LLP</w:t>
      </w:r>
    </w:p>
    <w:p w14:paraId="5DB06C1C" w14:textId="77777777" w:rsidR="00617D48" w:rsidRPr="0009515E" w:rsidRDefault="00617D48" w:rsidP="00617D48">
      <w:pPr>
        <w:autoSpaceDE w:val="0"/>
        <w:autoSpaceDN w:val="0"/>
        <w:adjustRightInd w:val="0"/>
        <w:rPr>
          <w:rFonts w:eastAsia="Calibri" w:cs="Arial"/>
          <w:sz w:val="19"/>
          <w:szCs w:val="19"/>
        </w:rPr>
      </w:pPr>
      <w:r w:rsidRPr="0009515E">
        <w:rPr>
          <w:rFonts w:eastAsia="Calibri" w:cs="Arial"/>
          <w:sz w:val="19"/>
          <w:szCs w:val="19"/>
        </w:rPr>
        <w:t>100 South Third Street</w:t>
      </w:r>
    </w:p>
    <w:p w14:paraId="543059D8" w14:textId="77777777" w:rsidR="00617D48" w:rsidRPr="0009515E" w:rsidRDefault="00617D48" w:rsidP="00617D48">
      <w:pPr>
        <w:autoSpaceDE w:val="0"/>
        <w:autoSpaceDN w:val="0"/>
        <w:adjustRightInd w:val="0"/>
        <w:rPr>
          <w:rFonts w:eastAsia="Calibri" w:cs="Arial"/>
          <w:sz w:val="19"/>
          <w:szCs w:val="19"/>
        </w:rPr>
      </w:pPr>
      <w:r w:rsidRPr="0009515E">
        <w:rPr>
          <w:rFonts w:eastAsia="Calibri" w:cs="Arial"/>
          <w:sz w:val="19"/>
          <w:szCs w:val="19"/>
        </w:rPr>
        <w:t>Columbus, OH 43215-4291</w:t>
      </w:r>
    </w:p>
    <w:p w14:paraId="5DF38DFB" w14:textId="77777777" w:rsidR="00617D48" w:rsidRPr="0009515E" w:rsidRDefault="00617D48" w:rsidP="00617D48">
      <w:pPr>
        <w:autoSpaceDE w:val="0"/>
        <w:autoSpaceDN w:val="0"/>
        <w:adjustRightInd w:val="0"/>
        <w:rPr>
          <w:rFonts w:eastAsia="Calibri" w:cs="Arial"/>
          <w:sz w:val="19"/>
          <w:szCs w:val="19"/>
        </w:rPr>
      </w:pPr>
      <w:r w:rsidRPr="0009515E">
        <w:rPr>
          <w:rFonts w:eastAsia="Calibri" w:cs="Arial"/>
          <w:sz w:val="19"/>
          <w:szCs w:val="19"/>
        </w:rPr>
        <w:t>dstinson@bricker.com</w:t>
      </w:r>
    </w:p>
    <w:p w14:paraId="639AC035" w14:textId="77777777" w:rsidR="00617D48" w:rsidRPr="0009515E" w:rsidRDefault="00617D48" w:rsidP="00617D48">
      <w:pPr>
        <w:tabs>
          <w:tab w:val="left" w:pos="2160"/>
          <w:tab w:val="left" w:pos="2280"/>
        </w:tabs>
        <w:rPr>
          <w:rFonts w:eastAsia="Calibri" w:cs="Arial"/>
          <w:sz w:val="19"/>
          <w:szCs w:val="19"/>
        </w:rPr>
      </w:pPr>
    </w:p>
    <w:p w14:paraId="42CC8BEB" w14:textId="77777777" w:rsidR="00617D48" w:rsidRPr="0009515E" w:rsidRDefault="00617D48" w:rsidP="00617D48">
      <w:pPr>
        <w:tabs>
          <w:tab w:val="left" w:pos="2160"/>
          <w:tab w:val="left" w:pos="2280"/>
        </w:tabs>
        <w:rPr>
          <w:rFonts w:ascii="Arial Bold" w:hAnsi="Arial Bold" w:cs="Arial"/>
          <w:b/>
          <w:smallCaps/>
          <w:sz w:val="19"/>
          <w:szCs w:val="19"/>
        </w:rPr>
      </w:pPr>
      <w:r w:rsidRPr="0009515E">
        <w:rPr>
          <w:rFonts w:ascii="Arial Bold" w:eastAsia="Calibri" w:hAnsi="Arial Bold" w:cs="Arial"/>
          <w:b/>
          <w:smallCaps/>
          <w:sz w:val="19"/>
          <w:szCs w:val="19"/>
        </w:rPr>
        <w:t>Counsel for the Ohio Development Services Agency (ODSA)</w:t>
      </w:r>
    </w:p>
    <w:p w14:paraId="3C2087F8" w14:textId="77777777" w:rsidR="00617D48" w:rsidRPr="0009515E" w:rsidRDefault="00617D48" w:rsidP="00617D48">
      <w:pPr>
        <w:autoSpaceDE w:val="0"/>
        <w:autoSpaceDN w:val="0"/>
        <w:adjustRightInd w:val="0"/>
        <w:rPr>
          <w:rFonts w:cs="Arial"/>
          <w:sz w:val="19"/>
          <w:szCs w:val="19"/>
        </w:rPr>
      </w:pPr>
    </w:p>
    <w:p w14:paraId="470D0784" w14:textId="1BA0CBF4" w:rsidR="00617D48" w:rsidRPr="0009515E" w:rsidRDefault="00617D48" w:rsidP="00617D48">
      <w:pPr>
        <w:autoSpaceDE w:val="0"/>
        <w:autoSpaceDN w:val="0"/>
        <w:adjustRightInd w:val="0"/>
        <w:rPr>
          <w:rFonts w:eastAsia="Calibri" w:cs="Arial"/>
          <w:sz w:val="19"/>
          <w:szCs w:val="19"/>
        </w:rPr>
      </w:pPr>
      <w:r w:rsidRPr="0009515E">
        <w:rPr>
          <w:rFonts w:eastAsia="Calibri" w:cs="Arial"/>
          <w:b/>
          <w:sz w:val="19"/>
          <w:szCs w:val="19"/>
        </w:rPr>
        <w:t xml:space="preserve">Christen M. Blend </w:t>
      </w:r>
    </w:p>
    <w:p w14:paraId="59E6254C" w14:textId="77777777" w:rsidR="00617D48" w:rsidRPr="0009515E" w:rsidRDefault="00617D48" w:rsidP="00617D48">
      <w:pPr>
        <w:autoSpaceDE w:val="0"/>
        <w:autoSpaceDN w:val="0"/>
        <w:adjustRightInd w:val="0"/>
        <w:rPr>
          <w:rFonts w:eastAsia="Calibri" w:cs="Arial"/>
          <w:smallCaps/>
          <w:sz w:val="19"/>
          <w:szCs w:val="19"/>
        </w:rPr>
      </w:pPr>
      <w:r w:rsidRPr="0009515E">
        <w:rPr>
          <w:rFonts w:eastAsia="Calibri" w:cs="Arial"/>
          <w:smallCaps/>
          <w:sz w:val="19"/>
          <w:szCs w:val="19"/>
        </w:rPr>
        <w:t>American Electric Power Service Corporation</w:t>
      </w:r>
    </w:p>
    <w:p w14:paraId="6D31C659" w14:textId="77777777" w:rsidR="00617D48" w:rsidRPr="0009515E" w:rsidRDefault="00617D48" w:rsidP="00617D48">
      <w:pPr>
        <w:autoSpaceDE w:val="0"/>
        <w:autoSpaceDN w:val="0"/>
        <w:adjustRightInd w:val="0"/>
        <w:rPr>
          <w:rFonts w:eastAsia="Calibri" w:cs="Arial"/>
          <w:sz w:val="19"/>
          <w:szCs w:val="19"/>
        </w:rPr>
      </w:pPr>
      <w:r w:rsidRPr="0009515E">
        <w:rPr>
          <w:rFonts w:eastAsia="Calibri" w:cs="Arial"/>
          <w:sz w:val="19"/>
          <w:szCs w:val="19"/>
        </w:rPr>
        <w:t>1 Riverside Plaza, 29</w:t>
      </w:r>
      <w:r w:rsidRPr="0009515E">
        <w:rPr>
          <w:rFonts w:eastAsia="Calibri" w:cs="Arial"/>
          <w:sz w:val="19"/>
          <w:szCs w:val="19"/>
          <w:vertAlign w:val="superscript"/>
        </w:rPr>
        <w:t>th</w:t>
      </w:r>
      <w:r w:rsidRPr="0009515E">
        <w:rPr>
          <w:rFonts w:eastAsia="Calibri" w:cs="Arial"/>
          <w:sz w:val="19"/>
          <w:szCs w:val="19"/>
        </w:rPr>
        <w:t xml:space="preserve"> Floor</w:t>
      </w:r>
    </w:p>
    <w:p w14:paraId="29933A32" w14:textId="77777777" w:rsidR="00617D48" w:rsidRPr="0009515E" w:rsidRDefault="00617D48" w:rsidP="00617D48">
      <w:pPr>
        <w:autoSpaceDE w:val="0"/>
        <w:autoSpaceDN w:val="0"/>
        <w:adjustRightInd w:val="0"/>
        <w:rPr>
          <w:rFonts w:eastAsia="Calibri" w:cs="Arial"/>
          <w:sz w:val="19"/>
          <w:szCs w:val="19"/>
        </w:rPr>
      </w:pPr>
      <w:r w:rsidRPr="0009515E">
        <w:rPr>
          <w:rFonts w:eastAsia="Calibri" w:cs="Arial"/>
          <w:sz w:val="19"/>
          <w:szCs w:val="19"/>
        </w:rPr>
        <w:t>Columbus, OH 43215</w:t>
      </w:r>
    </w:p>
    <w:p w14:paraId="102C5F5E" w14:textId="77777777" w:rsidR="00617D48" w:rsidRPr="0009515E" w:rsidRDefault="00617D48" w:rsidP="00617D48">
      <w:pPr>
        <w:autoSpaceDE w:val="0"/>
        <w:autoSpaceDN w:val="0"/>
        <w:adjustRightInd w:val="0"/>
        <w:rPr>
          <w:rFonts w:eastAsia="Calibri" w:cs="Arial"/>
          <w:sz w:val="19"/>
          <w:szCs w:val="19"/>
        </w:rPr>
      </w:pPr>
      <w:r w:rsidRPr="0009515E">
        <w:rPr>
          <w:rFonts w:eastAsia="Calibri" w:cs="Arial"/>
          <w:sz w:val="19"/>
          <w:szCs w:val="19"/>
        </w:rPr>
        <w:t>cmblend@aep.com</w:t>
      </w:r>
    </w:p>
    <w:p w14:paraId="11534C67" w14:textId="77777777" w:rsidR="00617D48" w:rsidRPr="0009515E" w:rsidRDefault="00617D48" w:rsidP="00617D48">
      <w:pPr>
        <w:tabs>
          <w:tab w:val="left" w:pos="2160"/>
          <w:tab w:val="left" w:pos="2280"/>
        </w:tabs>
        <w:rPr>
          <w:rFonts w:eastAsia="Calibri" w:cs="Arial"/>
          <w:sz w:val="19"/>
          <w:szCs w:val="19"/>
        </w:rPr>
      </w:pPr>
    </w:p>
    <w:p w14:paraId="43A6C82F" w14:textId="77777777" w:rsidR="00617D48" w:rsidRPr="0009515E" w:rsidRDefault="00617D48" w:rsidP="00617D48">
      <w:pPr>
        <w:tabs>
          <w:tab w:val="left" w:pos="2160"/>
          <w:tab w:val="left" w:pos="2280"/>
        </w:tabs>
        <w:rPr>
          <w:rFonts w:ascii="Arial Bold" w:hAnsi="Arial Bold" w:cs="Arial"/>
          <w:b/>
          <w:smallCaps/>
          <w:sz w:val="19"/>
          <w:szCs w:val="19"/>
        </w:rPr>
      </w:pPr>
      <w:r w:rsidRPr="0009515E">
        <w:rPr>
          <w:rFonts w:ascii="Arial Bold" w:eastAsia="Calibri" w:hAnsi="Arial Bold" w:cs="Arial"/>
          <w:b/>
          <w:smallCaps/>
          <w:sz w:val="19"/>
          <w:szCs w:val="19"/>
        </w:rPr>
        <w:t>Counsel for Ohio Power Company</w:t>
      </w:r>
    </w:p>
    <w:p w14:paraId="705A98D3" w14:textId="77777777" w:rsidR="00617D48" w:rsidRPr="0009515E" w:rsidRDefault="00617D48" w:rsidP="00617D48">
      <w:pPr>
        <w:autoSpaceDE w:val="0"/>
        <w:autoSpaceDN w:val="0"/>
        <w:adjustRightInd w:val="0"/>
        <w:rPr>
          <w:rFonts w:cs="Arial"/>
          <w:sz w:val="19"/>
          <w:szCs w:val="19"/>
        </w:rPr>
      </w:pPr>
    </w:p>
    <w:p w14:paraId="5EA5CA1E" w14:textId="77777777" w:rsidR="00617D48" w:rsidRPr="0009515E" w:rsidRDefault="00617D48" w:rsidP="00617D48">
      <w:pPr>
        <w:autoSpaceDE w:val="0"/>
        <w:autoSpaceDN w:val="0"/>
        <w:adjustRightInd w:val="0"/>
        <w:rPr>
          <w:rFonts w:eastAsia="Calibri" w:cs="Arial"/>
          <w:sz w:val="19"/>
          <w:szCs w:val="19"/>
        </w:rPr>
      </w:pPr>
      <w:r w:rsidRPr="0009515E">
        <w:rPr>
          <w:rFonts w:eastAsia="Calibri" w:cs="Arial"/>
          <w:b/>
          <w:sz w:val="19"/>
          <w:szCs w:val="19"/>
        </w:rPr>
        <w:t xml:space="preserve">Randall V. Griffin </w:t>
      </w:r>
    </w:p>
    <w:p w14:paraId="1947B74B" w14:textId="77777777" w:rsidR="00617D48" w:rsidRPr="0009515E" w:rsidRDefault="00617D48" w:rsidP="00617D48">
      <w:pPr>
        <w:autoSpaceDE w:val="0"/>
        <w:autoSpaceDN w:val="0"/>
        <w:adjustRightInd w:val="0"/>
        <w:rPr>
          <w:rFonts w:eastAsia="Calibri" w:cs="Arial"/>
          <w:sz w:val="19"/>
          <w:szCs w:val="19"/>
        </w:rPr>
      </w:pPr>
      <w:r w:rsidRPr="0009515E">
        <w:rPr>
          <w:rFonts w:eastAsia="Calibri" w:cs="Arial"/>
          <w:b/>
          <w:sz w:val="19"/>
          <w:szCs w:val="19"/>
        </w:rPr>
        <w:t>Judi L. Sobecki</w:t>
      </w:r>
    </w:p>
    <w:p w14:paraId="6F4F7C47" w14:textId="77777777" w:rsidR="00617D48" w:rsidRPr="0009515E" w:rsidRDefault="00617D48" w:rsidP="00617D48">
      <w:pPr>
        <w:autoSpaceDE w:val="0"/>
        <w:autoSpaceDN w:val="0"/>
        <w:adjustRightInd w:val="0"/>
        <w:rPr>
          <w:rFonts w:eastAsia="Calibri" w:cs="Arial"/>
          <w:sz w:val="19"/>
          <w:szCs w:val="19"/>
        </w:rPr>
      </w:pPr>
      <w:r w:rsidRPr="0009515E">
        <w:rPr>
          <w:rFonts w:eastAsia="Calibri" w:cs="Arial"/>
          <w:b/>
          <w:sz w:val="19"/>
          <w:szCs w:val="19"/>
        </w:rPr>
        <w:t>Michael J. Schuler</w:t>
      </w:r>
    </w:p>
    <w:p w14:paraId="575FAD4C" w14:textId="77777777" w:rsidR="00617D48" w:rsidRPr="0009515E" w:rsidRDefault="00617D48" w:rsidP="00617D48">
      <w:pPr>
        <w:autoSpaceDE w:val="0"/>
        <w:autoSpaceDN w:val="0"/>
        <w:adjustRightInd w:val="0"/>
        <w:rPr>
          <w:rFonts w:eastAsia="Calibri" w:cs="Arial"/>
          <w:smallCaps/>
          <w:sz w:val="19"/>
          <w:szCs w:val="19"/>
        </w:rPr>
      </w:pPr>
      <w:r w:rsidRPr="0009515E">
        <w:rPr>
          <w:rFonts w:eastAsia="Calibri" w:cs="Arial"/>
          <w:smallCaps/>
          <w:sz w:val="19"/>
          <w:szCs w:val="19"/>
        </w:rPr>
        <w:t>The Dayton Power &amp; Light Company</w:t>
      </w:r>
    </w:p>
    <w:p w14:paraId="0C88200B" w14:textId="77777777" w:rsidR="00617D48" w:rsidRPr="0009515E" w:rsidRDefault="00617D48" w:rsidP="00617D48">
      <w:pPr>
        <w:autoSpaceDE w:val="0"/>
        <w:autoSpaceDN w:val="0"/>
        <w:adjustRightInd w:val="0"/>
        <w:rPr>
          <w:rFonts w:eastAsia="Calibri" w:cs="Arial"/>
          <w:sz w:val="19"/>
          <w:szCs w:val="19"/>
        </w:rPr>
      </w:pPr>
      <w:r w:rsidRPr="0009515E">
        <w:rPr>
          <w:rFonts w:eastAsia="Calibri" w:cs="Arial"/>
          <w:sz w:val="19"/>
          <w:szCs w:val="19"/>
        </w:rPr>
        <w:t>1065 Woodman Avenue</w:t>
      </w:r>
    </w:p>
    <w:p w14:paraId="5D41FAE5" w14:textId="77777777" w:rsidR="00617D48" w:rsidRPr="0009515E" w:rsidRDefault="00617D48" w:rsidP="00617D48">
      <w:pPr>
        <w:autoSpaceDE w:val="0"/>
        <w:autoSpaceDN w:val="0"/>
        <w:adjustRightInd w:val="0"/>
        <w:rPr>
          <w:rFonts w:eastAsia="Calibri" w:cs="Arial"/>
          <w:sz w:val="19"/>
          <w:szCs w:val="19"/>
        </w:rPr>
      </w:pPr>
      <w:r w:rsidRPr="0009515E">
        <w:rPr>
          <w:rFonts w:eastAsia="Calibri" w:cs="Arial"/>
          <w:sz w:val="19"/>
          <w:szCs w:val="19"/>
        </w:rPr>
        <w:t>Dayton, OH  45432</w:t>
      </w:r>
    </w:p>
    <w:p w14:paraId="4743062C" w14:textId="77777777" w:rsidR="00617D48" w:rsidRPr="0009515E" w:rsidRDefault="00617D48" w:rsidP="00617D48">
      <w:pPr>
        <w:autoSpaceDE w:val="0"/>
        <w:autoSpaceDN w:val="0"/>
        <w:adjustRightInd w:val="0"/>
        <w:rPr>
          <w:rFonts w:eastAsia="Calibri" w:cs="Arial"/>
          <w:sz w:val="19"/>
          <w:szCs w:val="19"/>
        </w:rPr>
      </w:pPr>
      <w:r w:rsidRPr="0009515E">
        <w:rPr>
          <w:rFonts w:eastAsia="Calibri" w:cs="Arial"/>
          <w:sz w:val="19"/>
          <w:szCs w:val="19"/>
        </w:rPr>
        <w:t>Randall.Griffin@dplinc.com</w:t>
      </w:r>
    </w:p>
    <w:p w14:paraId="71509DCC" w14:textId="77777777" w:rsidR="00617D48" w:rsidRPr="0009515E" w:rsidRDefault="00617D48" w:rsidP="00617D48">
      <w:pPr>
        <w:autoSpaceDE w:val="0"/>
        <w:autoSpaceDN w:val="0"/>
        <w:adjustRightInd w:val="0"/>
        <w:rPr>
          <w:rFonts w:eastAsia="Calibri" w:cs="Arial"/>
          <w:sz w:val="19"/>
          <w:szCs w:val="19"/>
        </w:rPr>
      </w:pPr>
      <w:r w:rsidRPr="0009515E">
        <w:rPr>
          <w:rFonts w:eastAsia="Calibri" w:cs="Arial"/>
          <w:sz w:val="19"/>
          <w:szCs w:val="19"/>
        </w:rPr>
        <w:t>Judi.Sobecki@dplinc.com</w:t>
      </w:r>
    </w:p>
    <w:p w14:paraId="3CC296D1" w14:textId="77777777" w:rsidR="00617D48" w:rsidRPr="0009515E" w:rsidRDefault="00617D48" w:rsidP="00617D48">
      <w:pPr>
        <w:autoSpaceDE w:val="0"/>
        <w:autoSpaceDN w:val="0"/>
        <w:adjustRightInd w:val="0"/>
        <w:rPr>
          <w:rFonts w:eastAsia="Calibri" w:cs="Arial"/>
          <w:sz w:val="19"/>
          <w:szCs w:val="19"/>
        </w:rPr>
      </w:pPr>
      <w:r w:rsidRPr="0009515E">
        <w:rPr>
          <w:rFonts w:eastAsia="Calibri" w:cs="Arial"/>
          <w:sz w:val="19"/>
          <w:szCs w:val="19"/>
        </w:rPr>
        <w:t>Michael.Schuler@aes.com</w:t>
      </w:r>
    </w:p>
    <w:p w14:paraId="1020A592" w14:textId="77777777" w:rsidR="00617D48" w:rsidRPr="0009515E" w:rsidRDefault="00617D48" w:rsidP="00617D48">
      <w:pPr>
        <w:tabs>
          <w:tab w:val="left" w:pos="2160"/>
          <w:tab w:val="left" w:pos="2280"/>
        </w:tabs>
        <w:rPr>
          <w:rFonts w:eastAsia="Calibri" w:cs="Arial"/>
          <w:sz w:val="19"/>
          <w:szCs w:val="19"/>
        </w:rPr>
      </w:pPr>
    </w:p>
    <w:p w14:paraId="4F7C9D1E" w14:textId="77777777" w:rsidR="00617D48" w:rsidRPr="0009515E" w:rsidRDefault="00617D48" w:rsidP="00617D48">
      <w:pPr>
        <w:tabs>
          <w:tab w:val="left" w:pos="2160"/>
          <w:tab w:val="left" w:pos="2280"/>
        </w:tabs>
        <w:rPr>
          <w:rFonts w:ascii="Arial Bold" w:hAnsi="Arial Bold" w:cs="Arial"/>
          <w:b/>
          <w:smallCaps/>
          <w:sz w:val="19"/>
          <w:szCs w:val="19"/>
        </w:rPr>
      </w:pPr>
      <w:r w:rsidRPr="0009515E">
        <w:rPr>
          <w:rFonts w:ascii="Arial Bold" w:eastAsia="Calibri" w:hAnsi="Arial Bold" w:cs="Arial"/>
          <w:b/>
          <w:smallCaps/>
          <w:sz w:val="19"/>
          <w:szCs w:val="19"/>
        </w:rPr>
        <w:t>Counsel for The Dayton Power &amp; Light Company</w:t>
      </w:r>
    </w:p>
    <w:p w14:paraId="7AA461E2" w14:textId="77777777" w:rsidR="00617D48" w:rsidRPr="0009515E" w:rsidRDefault="00617D48" w:rsidP="00617D48">
      <w:pPr>
        <w:autoSpaceDE w:val="0"/>
        <w:autoSpaceDN w:val="0"/>
        <w:adjustRightInd w:val="0"/>
        <w:rPr>
          <w:rFonts w:cs="Arial"/>
          <w:sz w:val="19"/>
          <w:szCs w:val="19"/>
        </w:rPr>
      </w:pPr>
    </w:p>
    <w:p w14:paraId="0F4C2114" w14:textId="77777777" w:rsidR="00617D48" w:rsidRPr="0009515E" w:rsidRDefault="00617D48" w:rsidP="00617D48">
      <w:pPr>
        <w:autoSpaceDE w:val="0"/>
        <w:autoSpaceDN w:val="0"/>
        <w:adjustRightInd w:val="0"/>
        <w:rPr>
          <w:rFonts w:eastAsia="Calibri" w:cs="Arial"/>
          <w:sz w:val="19"/>
          <w:szCs w:val="19"/>
        </w:rPr>
      </w:pPr>
      <w:r w:rsidRPr="0009515E">
        <w:rPr>
          <w:rFonts w:eastAsia="Calibri" w:cs="Arial"/>
          <w:b/>
          <w:sz w:val="19"/>
          <w:szCs w:val="19"/>
        </w:rPr>
        <w:t>Elizabeth H. Watts</w:t>
      </w:r>
    </w:p>
    <w:p w14:paraId="769DA70C" w14:textId="77777777" w:rsidR="00617D48" w:rsidRPr="0009515E" w:rsidRDefault="00617D48" w:rsidP="00617D48">
      <w:pPr>
        <w:autoSpaceDE w:val="0"/>
        <w:autoSpaceDN w:val="0"/>
        <w:adjustRightInd w:val="0"/>
        <w:rPr>
          <w:rFonts w:eastAsia="Calibri" w:cs="Arial"/>
          <w:smallCaps/>
          <w:sz w:val="19"/>
          <w:szCs w:val="19"/>
        </w:rPr>
      </w:pPr>
      <w:r w:rsidRPr="0009515E">
        <w:rPr>
          <w:rFonts w:eastAsia="Calibri" w:cs="Arial"/>
          <w:smallCaps/>
          <w:sz w:val="19"/>
          <w:szCs w:val="19"/>
        </w:rPr>
        <w:t>Duke Energy Ohio, Inc.</w:t>
      </w:r>
    </w:p>
    <w:p w14:paraId="191E6CB3" w14:textId="77777777" w:rsidR="00617D48" w:rsidRPr="000A68DE" w:rsidRDefault="00617D48" w:rsidP="00617D48">
      <w:pPr>
        <w:autoSpaceDE w:val="0"/>
        <w:autoSpaceDN w:val="0"/>
        <w:adjustRightInd w:val="0"/>
        <w:rPr>
          <w:rFonts w:eastAsia="Calibri" w:cs="Arial"/>
          <w:color w:val="000000" w:themeColor="text1"/>
          <w:sz w:val="19"/>
          <w:szCs w:val="19"/>
        </w:rPr>
      </w:pPr>
      <w:r w:rsidRPr="000A68DE">
        <w:rPr>
          <w:rFonts w:eastAsia="Calibri" w:cs="Arial"/>
          <w:color w:val="000000" w:themeColor="text1"/>
          <w:sz w:val="19"/>
          <w:szCs w:val="19"/>
        </w:rPr>
        <w:t>155 East Broad Street</w:t>
      </w:r>
    </w:p>
    <w:p w14:paraId="3F3CD3E3" w14:textId="77777777" w:rsidR="00617D48" w:rsidRPr="000A68DE" w:rsidRDefault="00617D48" w:rsidP="00617D48">
      <w:pPr>
        <w:autoSpaceDE w:val="0"/>
        <w:autoSpaceDN w:val="0"/>
        <w:adjustRightInd w:val="0"/>
        <w:rPr>
          <w:rFonts w:eastAsia="Calibri" w:cs="Arial"/>
          <w:color w:val="000000" w:themeColor="text1"/>
          <w:sz w:val="19"/>
          <w:szCs w:val="19"/>
        </w:rPr>
      </w:pPr>
      <w:r w:rsidRPr="000A68DE">
        <w:rPr>
          <w:rFonts w:eastAsia="Calibri" w:cs="Arial"/>
          <w:color w:val="000000" w:themeColor="text1"/>
          <w:sz w:val="19"/>
          <w:szCs w:val="19"/>
        </w:rPr>
        <w:t>Columbus, OH  43215</w:t>
      </w:r>
    </w:p>
    <w:p w14:paraId="6B3177CA" w14:textId="1F80649E" w:rsidR="00617D48" w:rsidRPr="000A68DE" w:rsidRDefault="00B0731E" w:rsidP="000A68DE">
      <w:pPr>
        <w:autoSpaceDE w:val="0"/>
        <w:autoSpaceDN w:val="0"/>
        <w:adjustRightInd w:val="0"/>
        <w:rPr>
          <w:rFonts w:eastAsia="Calibri" w:cs="Arial"/>
          <w:color w:val="000000" w:themeColor="text1"/>
          <w:sz w:val="19"/>
          <w:szCs w:val="19"/>
        </w:rPr>
      </w:pPr>
      <w:hyperlink r:id="rId24" w:history="1">
        <w:r w:rsidR="000A68DE" w:rsidRPr="000A68DE">
          <w:rPr>
            <w:rStyle w:val="Hyperlink"/>
            <w:rFonts w:eastAsia="Calibri" w:cs="Arial"/>
            <w:color w:val="000000" w:themeColor="text1"/>
            <w:sz w:val="19"/>
            <w:szCs w:val="19"/>
            <w:u w:val="none"/>
          </w:rPr>
          <w:t>Elizabeth.Watts@duke-energy.com</w:t>
        </w:r>
      </w:hyperlink>
    </w:p>
    <w:p w14:paraId="0C3B5A52" w14:textId="77777777" w:rsidR="000A68DE" w:rsidRPr="000A68DE" w:rsidRDefault="000A68DE" w:rsidP="000A68DE">
      <w:pPr>
        <w:autoSpaceDE w:val="0"/>
        <w:autoSpaceDN w:val="0"/>
        <w:adjustRightInd w:val="0"/>
        <w:rPr>
          <w:rFonts w:eastAsia="Calibri" w:cs="Arial"/>
          <w:color w:val="000000" w:themeColor="text1"/>
          <w:sz w:val="19"/>
          <w:szCs w:val="19"/>
        </w:rPr>
      </w:pPr>
    </w:p>
    <w:p w14:paraId="5D942E9F" w14:textId="683E41E3" w:rsidR="00617D48" w:rsidRPr="0009515E" w:rsidRDefault="00617D48" w:rsidP="00497C69">
      <w:pPr>
        <w:tabs>
          <w:tab w:val="left" w:pos="2160"/>
          <w:tab w:val="left" w:pos="2280"/>
        </w:tabs>
        <w:rPr>
          <w:rFonts w:cs="Arial"/>
          <w:sz w:val="19"/>
          <w:szCs w:val="19"/>
        </w:rPr>
      </w:pPr>
      <w:r w:rsidRPr="0009515E">
        <w:rPr>
          <w:rFonts w:ascii="Arial Bold" w:eastAsia="Calibri" w:hAnsi="Arial Bold" w:cs="Arial"/>
          <w:b/>
          <w:smallCaps/>
          <w:sz w:val="19"/>
          <w:szCs w:val="19"/>
        </w:rPr>
        <w:t>Counsel for Duke Energy Ohio, Inc.</w:t>
      </w:r>
    </w:p>
    <w:p w14:paraId="18CD64BA" w14:textId="77777777" w:rsidR="00617D48" w:rsidRPr="0009515E" w:rsidRDefault="00617D48" w:rsidP="00617D48">
      <w:pPr>
        <w:autoSpaceDE w:val="0"/>
        <w:autoSpaceDN w:val="0"/>
        <w:adjustRightInd w:val="0"/>
        <w:rPr>
          <w:rFonts w:eastAsia="Calibri" w:cs="Arial"/>
          <w:b/>
          <w:sz w:val="19"/>
          <w:szCs w:val="19"/>
        </w:rPr>
      </w:pPr>
      <w:r w:rsidRPr="0009515E">
        <w:rPr>
          <w:rFonts w:cs="Arial"/>
          <w:b/>
          <w:sz w:val="19"/>
          <w:szCs w:val="19"/>
        </w:rPr>
        <w:br w:type="column"/>
      </w:r>
      <w:r w:rsidRPr="0009515E">
        <w:rPr>
          <w:rFonts w:eastAsia="Calibri" w:cs="Arial"/>
          <w:b/>
          <w:sz w:val="19"/>
          <w:szCs w:val="19"/>
        </w:rPr>
        <w:t>Carrie M. Dunn-Lucco</w:t>
      </w:r>
    </w:p>
    <w:p w14:paraId="1A9DFAAE" w14:textId="77777777" w:rsidR="00617D48" w:rsidRPr="0009515E" w:rsidRDefault="00617D48" w:rsidP="00617D48">
      <w:pPr>
        <w:autoSpaceDE w:val="0"/>
        <w:autoSpaceDN w:val="0"/>
        <w:adjustRightInd w:val="0"/>
        <w:rPr>
          <w:rFonts w:eastAsia="Calibri" w:cs="Arial"/>
          <w:b/>
          <w:sz w:val="19"/>
          <w:szCs w:val="19"/>
        </w:rPr>
      </w:pPr>
      <w:r w:rsidRPr="0009515E">
        <w:rPr>
          <w:rFonts w:eastAsia="Calibri" w:cs="Arial"/>
          <w:b/>
          <w:sz w:val="19"/>
          <w:szCs w:val="19"/>
        </w:rPr>
        <w:t>Joshua R. Eckert</w:t>
      </w:r>
    </w:p>
    <w:p w14:paraId="39A6A726" w14:textId="77777777" w:rsidR="00617D48" w:rsidRPr="0009515E" w:rsidRDefault="00617D48" w:rsidP="00617D48">
      <w:pPr>
        <w:autoSpaceDE w:val="0"/>
        <w:autoSpaceDN w:val="0"/>
        <w:adjustRightInd w:val="0"/>
        <w:rPr>
          <w:rFonts w:eastAsia="Calibri" w:cs="Arial"/>
          <w:smallCaps/>
          <w:sz w:val="19"/>
          <w:szCs w:val="19"/>
        </w:rPr>
      </w:pPr>
      <w:r w:rsidRPr="0009515E">
        <w:rPr>
          <w:rFonts w:eastAsia="Calibri" w:cs="Arial"/>
          <w:smallCaps/>
          <w:sz w:val="19"/>
          <w:szCs w:val="19"/>
        </w:rPr>
        <w:t>FirstEnergy Corp.</w:t>
      </w:r>
    </w:p>
    <w:p w14:paraId="496730A6" w14:textId="77777777" w:rsidR="00617D48" w:rsidRPr="0009515E" w:rsidRDefault="00617D48" w:rsidP="00617D48">
      <w:pPr>
        <w:autoSpaceDE w:val="0"/>
        <w:autoSpaceDN w:val="0"/>
        <w:adjustRightInd w:val="0"/>
        <w:rPr>
          <w:rFonts w:eastAsia="Calibri" w:cs="Arial"/>
          <w:sz w:val="19"/>
          <w:szCs w:val="19"/>
        </w:rPr>
      </w:pPr>
      <w:r w:rsidRPr="0009515E">
        <w:rPr>
          <w:rFonts w:eastAsia="Calibri" w:cs="Arial"/>
          <w:sz w:val="19"/>
          <w:szCs w:val="19"/>
        </w:rPr>
        <w:t>76 South Main Street</w:t>
      </w:r>
    </w:p>
    <w:p w14:paraId="16C233F6" w14:textId="77777777" w:rsidR="00617D48" w:rsidRPr="0009515E" w:rsidRDefault="00617D48" w:rsidP="00617D48">
      <w:pPr>
        <w:autoSpaceDE w:val="0"/>
        <w:autoSpaceDN w:val="0"/>
        <w:adjustRightInd w:val="0"/>
        <w:rPr>
          <w:rFonts w:eastAsia="Calibri" w:cs="Arial"/>
          <w:sz w:val="19"/>
          <w:szCs w:val="19"/>
        </w:rPr>
      </w:pPr>
      <w:r w:rsidRPr="0009515E">
        <w:rPr>
          <w:rFonts w:eastAsia="Calibri" w:cs="Arial"/>
          <w:sz w:val="19"/>
          <w:szCs w:val="19"/>
        </w:rPr>
        <w:t>Akron, OH  44308</w:t>
      </w:r>
    </w:p>
    <w:p w14:paraId="33502E2C" w14:textId="77777777" w:rsidR="00617D48" w:rsidRPr="0009515E" w:rsidRDefault="00617D48" w:rsidP="00617D48">
      <w:pPr>
        <w:autoSpaceDE w:val="0"/>
        <w:autoSpaceDN w:val="0"/>
        <w:adjustRightInd w:val="0"/>
        <w:rPr>
          <w:rFonts w:eastAsia="Calibri" w:cs="Arial"/>
          <w:sz w:val="19"/>
          <w:szCs w:val="19"/>
        </w:rPr>
      </w:pPr>
      <w:r w:rsidRPr="0009515E">
        <w:rPr>
          <w:rFonts w:eastAsia="Calibri" w:cs="Arial"/>
          <w:sz w:val="19"/>
          <w:szCs w:val="19"/>
        </w:rPr>
        <w:t>Cdunn-lucco@firstenergycorp.com</w:t>
      </w:r>
    </w:p>
    <w:p w14:paraId="2608249A" w14:textId="77777777" w:rsidR="00617D48" w:rsidRPr="0009515E" w:rsidRDefault="00617D48" w:rsidP="00617D48">
      <w:pPr>
        <w:autoSpaceDE w:val="0"/>
        <w:autoSpaceDN w:val="0"/>
        <w:adjustRightInd w:val="0"/>
        <w:rPr>
          <w:rFonts w:eastAsia="Calibri" w:cs="Arial"/>
          <w:sz w:val="19"/>
          <w:szCs w:val="19"/>
        </w:rPr>
      </w:pPr>
      <w:r w:rsidRPr="0009515E">
        <w:rPr>
          <w:rFonts w:eastAsia="Calibri" w:cs="Arial"/>
          <w:sz w:val="19"/>
          <w:szCs w:val="19"/>
        </w:rPr>
        <w:t>jeckert@firstenergycorp.com</w:t>
      </w:r>
    </w:p>
    <w:p w14:paraId="217100E3" w14:textId="77777777" w:rsidR="00617D48" w:rsidRPr="0009515E" w:rsidRDefault="00617D48" w:rsidP="00617D48">
      <w:pPr>
        <w:tabs>
          <w:tab w:val="left" w:pos="2160"/>
          <w:tab w:val="left" w:pos="2280"/>
        </w:tabs>
        <w:rPr>
          <w:rFonts w:eastAsia="Calibri" w:cs="Arial"/>
          <w:sz w:val="19"/>
          <w:szCs w:val="19"/>
        </w:rPr>
      </w:pPr>
    </w:p>
    <w:p w14:paraId="073BCF3F" w14:textId="77777777" w:rsidR="00617D48" w:rsidRPr="0009515E" w:rsidRDefault="00617D48" w:rsidP="00617D48">
      <w:pPr>
        <w:tabs>
          <w:tab w:val="left" w:pos="2160"/>
          <w:tab w:val="left" w:pos="2280"/>
        </w:tabs>
        <w:rPr>
          <w:rFonts w:cs="Arial"/>
          <w:sz w:val="19"/>
          <w:szCs w:val="19"/>
        </w:rPr>
      </w:pPr>
      <w:r w:rsidRPr="0009515E">
        <w:rPr>
          <w:rFonts w:ascii="Arial Bold" w:eastAsia="Calibri" w:hAnsi="Arial Bold" w:cs="Arial"/>
          <w:b/>
          <w:smallCaps/>
          <w:sz w:val="19"/>
          <w:szCs w:val="19"/>
        </w:rPr>
        <w:t>Counsel for FirstEnergy Corp.</w:t>
      </w:r>
    </w:p>
    <w:p w14:paraId="1C8A6201" w14:textId="77777777" w:rsidR="00617D48" w:rsidRPr="0009515E" w:rsidRDefault="00617D48" w:rsidP="00617D48">
      <w:pPr>
        <w:tabs>
          <w:tab w:val="left" w:pos="2160"/>
          <w:tab w:val="left" w:pos="2280"/>
        </w:tabs>
        <w:rPr>
          <w:rFonts w:cs="Arial"/>
          <w:b/>
          <w:sz w:val="19"/>
          <w:szCs w:val="19"/>
        </w:rPr>
      </w:pPr>
    </w:p>
    <w:p w14:paraId="03DE8A19" w14:textId="77777777" w:rsidR="00617D48" w:rsidRPr="0009515E" w:rsidRDefault="00617D48" w:rsidP="00617D48">
      <w:pPr>
        <w:tabs>
          <w:tab w:val="left" w:pos="2160"/>
          <w:tab w:val="left" w:pos="2280"/>
        </w:tabs>
        <w:rPr>
          <w:rFonts w:cs="Arial"/>
          <w:sz w:val="19"/>
          <w:szCs w:val="19"/>
        </w:rPr>
      </w:pPr>
      <w:r w:rsidRPr="0009515E">
        <w:rPr>
          <w:rFonts w:cs="Arial"/>
          <w:b/>
          <w:sz w:val="19"/>
          <w:szCs w:val="19"/>
        </w:rPr>
        <w:t xml:space="preserve">Amy </w:t>
      </w:r>
      <w:proofErr w:type="spellStart"/>
      <w:r w:rsidRPr="0009515E">
        <w:rPr>
          <w:rFonts w:cs="Arial"/>
          <w:b/>
          <w:sz w:val="19"/>
          <w:szCs w:val="19"/>
        </w:rPr>
        <w:t>Botschner</w:t>
      </w:r>
      <w:proofErr w:type="spellEnd"/>
      <w:r w:rsidRPr="0009515E">
        <w:rPr>
          <w:rFonts w:cs="Arial"/>
          <w:b/>
          <w:sz w:val="19"/>
          <w:szCs w:val="19"/>
        </w:rPr>
        <w:t>-O’Brien</w:t>
      </w:r>
      <w:r w:rsidRPr="0009515E">
        <w:rPr>
          <w:rFonts w:cs="Arial"/>
          <w:sz w:val="19"/>
          <w:szCs w:val="19"/>
        </w:rPr>
        <w:t xml:space="preserve"> (Reg. No. 0074423)</w:t>
      </w:r>
    </w:p>
    <w:p w14:paraId="0B648A5F" w14:textId="77777777" w:rsidR="00617D48" w:rsidRPr="0009515E" w:rsidRDefault="00617D48" w:rsidP="00617D48">
      <w:pPr>
        <w:tabs>
          <w:tab w:val="left" w:pos="2160"/>
          <w:tab w:val="left" w:pos="2280"/>
        </w:tabs>
        <w:rPr>
          <w:rFonts w:cs="Arial"/>
          <w:sz w:val="19"/>
          <w:szCs w:val="19"/>
        </w:rPr>
      </w:pPr>
      <w:r w:rsidRPr="0009515E">
        <w:rPr>
          <w:rFonts w:cs="Arial"/>
          <w:sz w:val="19"/>
          <w:szCs w:val="19"/>
        </w:rPr>
        <w:t>(Counsel of Record)</w:t>
      </w:r>
    </w:p>
    <w:p w14:paraId="2B1D1536" w14:textId="77777777" w:rsidR="00617D48" w:rsidRPr="0009515E" w:rsidRDefault="00617D48" w:rsidP="00617D48">
      <w:pPr>
        <w:tabs>
          <w:tab w:val="left" w:pos="2160"/>
          <w:tab w:val="left" w:pos="2280"/>
        </w:tabs>
        <w:rPr>
          <w:rFonts w:cs="Arial"/>
          <w:sz w:val="19"/>
          <w:szCs w:val="19"/>
        </w:rPr>
      </w:pPr>
      <w:r w:rsidRPr="0009515E">
        <w:rPr>
          <w:rFonts w:cs="Arial"/>
          <w:b/>
          <w:sz w:val="19"/>
          <w:szCs w:val="19"/>
        </w:rPr>
        <w:t>Christopher Healey</w:t>
      </w:r>
      <w:r w:rsidRPr="0009515E">
        <w:rPr>
          <w:rFonts w:cs="Arial"/>
          <w:sz w:val="19"/>
          <w:szCs w:val="19"/>
        </w:rPr>
        <w:t xml:space="preserve"> (Reg. No. 0086027)</w:t>
      </w:r>
    </w:p>
    <w:p w14:paraId="15C38306" w14:textId="77777777" w:rsidR="00617D48" w:rsidRPr="0009515E" w:rsidRDefault="00617D48" w:rsidP="00617D48">
      <w:pPr>
        <w:tabs>
          <w:tab w:val="left" w:pos="2160"/>
          <w:tab w:val="left" w:pos="2280"/>
        </w:tabs>
        <w:rPr>
          <w:rFonts w:cs="Arial"/>
          <w:sz w:val="19"/>
          <w:szCs w:val="19"/>
        </w:rPr>
      </w:pPr>
      <w:r w:rsidRPr="0009515E">
        <w:rPr>
          <w:rFonts w:cs="Arial"/>
          <w:sz w:val="19"/>
          <w:szCs w:val="19"/>
        </w:rPr>
        <w:t>Assistant Consumers’ Counsel</w:t>
      </w:r>
    </w:p>
    <w:p w14:paraId="08863ED2" w14:textId="77777777" w:rsidR="00617D48" w:rsidRPr="0009515E" w:rsidRDefault="00617D48" w:rsidP="00617D48">
      <w:pPr>
        <w:tabs>
          <w:tab w:val="left" w:pos="2160"/>
          <w:tab w:val="left" w:pos="2280"/>
        </w:tabs>
        <w:rPr>
          <w:rFonts w:cs="Arial"/>
          <w:smallCaps/>
          <w:sz w:val="19"/>
          <w:szCs w:val="19"/>
        </w:rPr>
      </w:pPr>
      <w:r w:rsidRPr="0009515E">
        <w:rPr>
          <w:rFonts w:cs="Arial"/>
          <w:smallCaps/>
          <w:sz w:val="19"/>
          <w:szCs w:val="19"/>
        </w:rPr>
        <w:t>Office of the Ohio Consumers’ Counsel</w:t>
      </w:r>
    </w:p>
    <w:p w14:paraId="2124B643" w14:textId="77777777" w:rsidR="00617D48" w:rsidRPr="0009515E" w:rsidRDefault="00617D48" w:rsidP="00617D48">
      <w:pPr>
        <w:tabs>
          <w:tab w:val="left" w:pos="2160"/>
          <w:tab w:val="left" w:pos="2280"/>
        </w:tabs>
        <w:rPr>
          <w:rFonts w:cs="Arial"/>
          <w:sz w:val="19"/>
          <w:szCs w:val="19"/>
        </w:rPr>
      </w:pPr>
      <w:r w:rsidRPr="0009515E">
        <w:rPr>
          <w:rFonts w:cs="Arial"/>
          <w:sz w:val="19"/>
          <w:szCs w:val="19"/>
        </w:rPr>
        <w:t>65 East State Street, 7</w:t>
      </w:r>
      <w:r w:rsidRPr="0009515E">
        <w:rPr>
          <w:rFonts w:cs="Arial"/>
          <w:sz w:val="19"/>
          <w:szCs w:val="19"/>
          <w:vertAlign w:val="superscript"/>
        </w:rPr>
        <w:t>th</w:t>
      </w:r>
      <w:r w:rsidRPr="0009515E">
        <w:rPr>
          <w:rFonts w:cs="Arial"/>
          <w:sz w:val="19"/>
          <w:szCs w:val="19"/>
        </w:rPr>
        <w:t xml:space="preserve"> Floor</w:t>
      </w:r>
    </w:p>
    <w:p w14:paraId="1870F61E" w14:textId="77777777" w:rsidR="00617D48" w:rsidRPr="0009515E" w:rsidRDefault="00617D48" w:rsidP="00617D48">
      <w:pPr>
        <w:tabs>
          <w:tab w:val="left" w:pos="2160"/>
          <w:tab w:val="left" w:pos="2280"/>
        </w:tabs>
        <w:rPr>
          <w:rFonts w:cs="Arial"/>
          <w:sz w:val="19"/>
          <w:szCs w:val="19"/>
        </w:rPr>
      </w:pPr>
      <w:r w:rsidRPr="0009515E">
        <w:rPr>
          <w:rFonts w:cs="Arial"/>
          <w:sz w:val="19"/>
          <w:szCs w:val="19"/>
        </w:rPr>
        <w:t>Columbus, OH 43215</w:t>
      </w:r>
    </w:p>
    <w:p w14:paraId="409EA534" w14:textId="77777777" w:rsidR="00617D48" w:rsidRPr="0009515E" w:rsidRDefault="00617D48" w:rsidP="00617D48">
      <w:pPr>
        <w:autoSpaceDE w:val="0"/>
        <w:autoSpaceDN w:val="0"/>
        <w:adjustRightInd w:val="0"/>
        <w:rPr>
          <w:rFonts w:cs="Arial"/>
          <w:sz w:val="19"/>
          <w:szCs w:val="19"/>
        </w:rPr>
      </w:pPr>
      <w:r w:rsidRPr="0009515E">
        <w:rPr>
          <w:rFonts w:cs="Arial"/>
          <w:sz w:val="19"/>
          <w:szCs w:val="19"/>
        </w:rPr>
        <w:t>Amy.botschner.obrien@occ.ohio.gov</w:t>
      </w:r>
    </w:p>
    <w:p w14:paraId="2134A099" w14:textId="77777777" w:rsidR="00617D48" w:rsidRPr="0009515E" w:rsidRDefault="00617D48" w:rsidP="00617D48">
      <w:pPr>
        <w:autoSpaceDE w:val="0"/>
        <w:autoSpaceDN w:val="0"/>
        <w:adjustRightInd w:val="0"/>
        <w:rPr>
          <w:rFonts w:ascii="Arial Bold" w:hAnsi="Arial Bold" w:cs="Arial"/>
          <w:b/>
          <w:smallCaps/>
          <w:sz w:val="19"/>
          <w:szCs w:val="19"/>
        </w:rPr>
      </w:pPr>
      <w:r w:rsidRPr="0009515E">
        <w:rPr>
          <w:rFonts w:cs="Arial"/>
          <w:sz w:val="19"/>
          <w:szCs w:val="19"/>
        </w:rPr>
        <w:t>Christopher.Healey@occ.ohio.gov</w:t>
      </w:r>
    </w:p>
    <w:p w14:paraId="7B01C5DA" w14:textId="77777777" w:rsidR="00617D48" w:rsidRPr="0009515E" w:rsidRDefault="00617D48" w:rsidP="00617D48">
      <w:pPr>
        <w:autoSpaceDE w:val="0"/>
        <w:autoSpaceDN w:val="0"/>
        <w:adjustRightInd w:val="0"/>
        <w:rPr>
          <w:rFonts w:ascii="Arial Bold" w:hAnsi="Arial Bold" w:cs="Arial"/>
          <w:b/>
          <w:smallCaps/>
          <w:sz w:val="19"/>
          <w:szCs w:val="19"/>
        </w:rPr>
      </w:pPr>
    </w:p>
    <w:p w14:paraId="0E1025D9" w14:textId="77777777" w:rsidR="00617D48" w:rsidRPr="0009515E" w:rsidRDefault="00617D48" w:rsidP="00617D48">
      <w:pPr>
        <w:autoSpaceDE w:val="0"/>
        <w:autoSpaceDN w:val="0"/>
        <w:adjustRightInd w:val="0"/>
        <w:rPr>
          <w:rFonts w:ascii="Arial Bold" w:hAnsi="Arial Bold" w:cs="Arial"/>
          <w:b/>
          <w:smallCaps/>
          <w:sz w:val="19"/>
          <w:szCs w:val="19"/>
        </w:rPr>
      </w:pPr>
      <w:r w:rsidRPr="0009515E">
        <w:rPr>
          <w:rFonts w:ascii="Arial Bold" w:hAnsi="Arial Bold" w:cs="Arial"/>
          <w:b/>
          <w:smallCaps/>
          <w:sz w:val="19"/>
          <w:szCs w:val="19"/>
        </w:rPr>
        <w:t>Counsel for the Office of the Ohio Consumers’ Counsel</w:t>
      </w:r>
    </w:p>
    <w:p w14:paraId="1C88ADCE" w14:textId="77777777" w:rsidR="00617D48" w:rsidRPr="0009515E" w:rsidRDefault="00617D48" w:rsidP="00617D48">
      <w:pPr>
        <w:autoSpaceDE w:val="0"/>
        <w:autoSpaceDN w:val="0"/>
        <w:adjustRightInd w:val="0"/>
        <w:rPr>
          <w:rFonts w:ascii="Arial Bold" w:hAnsi="Arial Bold" w:cs="Arial"/>
          <w:b/>
          <w:smallCaps/>
          <w:sz w:val="19"/>
          <w:szCs w:val="19"/>
        </w:rPr>
      </w:pPr>
    </w:p>
    <w:p w14:paraId="4280859D" w14:textId="77777777" w:rsidR="00617D48" w:rsidRPr="0009515E" w:rsidRDefault="00617D48" w:rsidP="00617D48">
      <w:pPr>
        <w:tabs>
          <w:tab w:val="left" w:pos="2160"/>
          <w:tab w:val="left" w:pos="2280"/>
        </w:tabs>
        <w:rPr>
          <w:rFonts w:cs="Arial"/>
          <w:b/>
          <w:sz w:val="19"/>
          <w:szCs w:val="19"/>
        </w:rPr>
      </w:pPr>
      <w:r>
        <w:rPr>
          <w:rFonts w:cs="Arial"/>
          <w:b/>
          <w:sz w:val="19"/>
          <w:szCs w:val="19"/>
        </w:rPr>
        <w:t>Colleen L. Mooney</w:t>
      </w:r>
    </w:p>
    <w:p w14:paraId="5792A057" w14:textId="77777777" w:rsidR="00617D48" w:rsidRPr="0009515E" w:rsidRDefault="00617D48" w:rsidP="00617D48">
      <w:pPr>
        <w:tabs>
          <w:tab w:val="left" w:pos="2160"/>
          <w:tab w:val="left" w:pos="2280"/>
        </w:tabs>
        <w:rPr>
          <w:rFonts w:cs="Arial"/>
          <w:smallCaps/>
          <w:sz w:val="19"/>
          <w:szCs w:val="19"/>
        </w:rPr>
      </w:pPr>
      <w:r>
        <w:rPr>
          <w:rFonts w:cs="Arial"/>
          <w:smallCaps/>
          <w:sz w:val="19"/>
          <w:szCs w:val="19"/>
        </w:rPr>
        <w:t>Ohio Partners for Affordable Energy</w:t>
      </w:r>
    </w:p>
    <w:p w14:paraId="2F1E0E4F" w14:textId="77777777" w:rsidR="00617D48" w:rsidRPr="0009515E" w:rsidRDefault="00617D48" w:rsidP="00617D48">
      <w:pPr>
        <w:tabs>
          <w:tab w:val="left" w:pos="2160"/>
          <w:tab w:val="left" w:pos="2280"/>
        </w:tabs>
        <w:rPr>
          <w:rFonts w:cs="Arial"/>
          <w:sz w:val="19"/>
          <w:szCs w:val="19"/>
        </w:rPr>
      </w:pPr>
      <w:r>
        <w:rPr>
          <w:rFonts w:cs="Arial"/>
          <w:sz w:val="19"/>
          <w:szCs w:val="19"/>
        </w:rPr>
        <w:t>P.O. Box 12451</w:t>
      </w:r>
    </w:p>
    <w:p w14:paraId="2F17CB56" w14:textId="77777777" w:rsidR="00617D48" w:rsidRPr="0009515E" w:rsidRDefault="00617D48" w:rsidP="00617D48">
      <w:pPr>
        <w:tabs>
          <w:tab w:val="left" w:pos="2160"/>
          <w:tab w:val="left" w:pos="2280"/>
        </w:tabs>
        <w:rPr>
          <w:rFonts w:cs="Arial"/>
          <w:sz w:val="19"/>
          <w:szCs w:val="19"/>
        </w:rPr>
      </w:pPr>
      <w:r w:rsidRPr="0009515E">
        <w:rPr>
          <w:rFonts w:cs="Arial"/>
          <w:sz w:val="19"/>
          <w:szCs w:val="19"/>
        </w:rPr>
        <w:t xml:space="preserve">Columbus, OH </w:t>
      </w:r>
      <w:r>
        <w:rPr>
          <w:rFonts w:cs="Arial"/>
          <w:sz w:val="19"/>
          <w:szCs w:val="19"/>
        </w:rPr>
        <w:t>43212-2451</w:t>
      </w:r>
    </w:p>
    <w:p w14:paraId="3EE06587" w14:textId="77777777" w:rsidR="00617D48" w:rsidRPr="0009515E" w:rsidRDefault="00617D48" w:rsidP="00617D48">
      <w:pPr>
        <w:autoSpaceDE w:val="0"/>
        <w:autoSpaceDN w:val="0"/>
        <w:adjustRightInd w:val="0"/>
        <w:rPr>
          <w:rFonts w:ascii="Arial Bold" w:hAnsi="Arial Bold" w:cs="Arial"/>
          <w:b/>
          <w:smallCaps/>
          <w:sz w:val="19"/>
          <w:szCs w:val="19"/>
        </w:rPr>
      </w:pPr>
      <w:r>
        <w:rPr>
          <w:rFonts w:cs="Arial"/>
          <w:sz w:val="19"/>
          <w:szCs w:val="19"/>
        </w:rPr>
        <w:t>cmooney@ohiopartners.org</w:t>
      </w:r>
    </w:p>
    <w:p w14:paraId="41A3CA3A" w14:textId="77777777" w:rsidR="00617D48" w:rsidRPr="0009515E" w:rsidRDefault="00617D48" w:rsidP="00617D48">
      <w:pPr>
        <w:autoSpaceDE w:val="0"/>
        <w:autoSpaceDN w:val="0"/>
        <w:adjustRightInd w:val="0"/>
        <w:rPr>
          <w:rFonts w:ascii="Arial Bold" w:hAnsi="Arial Bold" w:cs="Arial"/>
          <w:b/>
          <w:smallCaps/>
          <w:sz w:val="19"/>
          <w:szCs w:val="19"/>
        </w:rPr>
      </w:pPr>
    </w:p>
    <w:p w14:paraId="4391F946" w14:textId="77777777" w:rsidR="00617D48" w:rsidRPr="0009515E" w:rsidRDefault="00617D48" w:rsidP="00617D48">
      <w:pPr>
        <w:autoSpaceDE w:val="0"/>
        <w:autoSpaceDN w:val="0"/>
        <w:adjustRightInd w:val="0"/>
        <w:rPr>
          <w:rFonts w:ascii="Arial Bold" w:hAnsi="Arial Bold" w:cs="Arial"/>
          <w:b/>
          <w:smallCaps/>
          <w:sz w:val="19"/>
          <w:szCs w:val="19"/>
        </w:rPr>
      </w:pPr>
      <w:r w:rsidRPr="0009515E">
        <w:rPr>
          <w:rFonts w:ascii="Arial Bold" w:hAnsi="Arial Bold" w:cs="Arial"/>
          <w:b/>
          <w:smallCaps/>
          <w:sz w:val="19"/>
          <w:szCs w:val="19"/>
        </w:rPr>
        <w:t xml:space="preserve">Counsel for </w:t>
      </w:r>
      <w:r>
        <w:rPr>
          <w:rFonts w:ascii="Arial Bold" w:hAnsi="Arial Bold" w:cs="Arial"/>
          <w:b/>
          <w:smallCaps/>
          <w:sz w:val="19"/>
          <w:szCs w:val="19"/>
        </w:rPr>
        <w:t>Ohio Partners for Affordable Energy</w:t>
      </w:r>
    </w:p>
    <w:p w14:paraId="5214C2FA" w14:textId="77777777" w:rsidR="00617D48" w:rsidRPr="0009515E" w:rsidRDefault="00617D48" w:rsidP="00617D48">
      <w:pPr>
        <w:autoSpaceDE w:val="0"/>
        <w:autoSpaceDN w:val="0"/>
        <w:adjustRightInd w:val="0"/>
        <w:rPr>
          <w:rFonts w:ascii="Arial Bold" w:hAnsi="Arial Bold" w:cs="Arial"/>
          <w:b/>
          <w:smallCaps/>
          <w:sz w:val="19"/>
          <w:szCs w:val="19"/>
        </w:rPr>
      </w:pPr>
    </w:p>
    <w:p w14:paraId="0188D4C7" w14:textId="377286C5" w:rsidR="00617D48" w:rsidRDefault="00497C69" w:rsidP="00617D48">
      <w:pPr>
        <w:tabs>
          <w:tab w:val="left" w:pos="2160"/>
          <w:tab w:val="left" w:pos="2280"/>
        </w:tabs>
        <w:rPr>
          <w:rFonts w:cs="Arial"/>
          <w:b/>
          <w:sz w:val="19"/>
          <w:szCs w:val="19"/>
        </w:rPr>
      </w:pPr>
      <w:r>
        <w:rPr>
          <w:rFonts w:cs="Arial"/>
          <w:b/>
          <w:sz w:val="19"/>
          <w:szCs w:val="19"/>
        </w:rPr>
        <w:br w:type="column"/>
      </w:r>
      <w:r w:rsidR="00617D48">
        <w:rPr>
          <w:rFonts w:cs="Arial"/>
          <w:b/>
          <w:sz w:val="19"/>
          <w:szCs w:val="19"/>
        </w:rPr>
        <w:lastRenderedPageBreak/>
        <w:t xml:space="preserve">Kimberly W. </w:t>
      </w:r>
      <w:proofErr w:type="spellStart"/>
      <w:r w:rsidR="00617D48">
        <w:rPr>
          <w:rFonts w:cs="Arial"/>
          <w:b/>
          <w:sz w:val="19"/>
          <w:szCs w:val="19"/>
        </w:rPr>
        <w:t>Bojko</w:t>
      </w:r>
      <w:proofErr w:type="spellEnd"/>
      <w:r w:rsidR="00617D48">
        <w:rPr>
          <w:rFonts w:cs="Arial"/>
          <w:b/>
          <w:sz w:val="19"/>
          <w:szCs w:val="19"/>
        </w:rPr>
        <w:t xml:space="preserve"> </w:t>
      </w:r>
      <w:r w:rsidR="00617D48" w:rsidRPr="00EC0990">
        <w:rPr>
          <w:rFonts w:cs="Arial"/>
          <w:sz w:val="19"/>
          <w:szCs w:val="19"/>
        </w:rPr>
        <w:t>(Counsel of Record)</w:t>
      </w:r>
    </w:p>
    <w:p w14:paraId="7957959B" w14:textId="77777777" w:rsidR="00617D48" w:rsidRPr="0009515E" w:rsidRDefault="00617D48" w:rsidP="00617D48">
      <w:pPr>
        <w:tabs>
          <w:tab w:val="left" w:pos="2160"/>
          <w:tab w:val="left" w:pos="2280"/>
        </w:tabs>
        <w:rPr>
          <w:rFonts w:cs="Arial"/>
          <w:b/>
          <w:sz w:val="19"/>
          <w:szCs w:val="19"/>
        </w:rPr>
      </w:pPr>
      <w:r>
        <w:rPr>
          <w:rFonts w:cs="Arial"/>
          <w:b/>
          <w:sz w:val="19"/>
          <w:szCs w:val="19"/>
        </w:rPr>
        <w:t>Angela Paul Whitfield</w:t>
      </w:r>
    </w:p>
    <w:p w14:paraId="301347CF" w14:textId="77777777" w:rsidR="00617D48" w:rsidRPr="0009515E" w:rsidRDefault="00617D48" w:rsidP="00617D48">
      <w:pPr>
        <w:tabs>
          <w:tab w:val="left" w:pos="2160"/>
          <w:tab w:val="left" w:pos="2280"/>
        </w:tabs>
        <w:rPr>
          <w:rFonts w:cs="Arial"/>
          <w:smallCaps/>
          <w:sz w:val="19"/>
          <w:szCs w:val="19"/>
        </w:rPr>
      </w:pPr>
      <w:r>
        <w:rPr>
          <w:rFonts w:cs="Arial"/>
          <w:smallCaps/>
          <w:sz w:val="19"/>
          <w:szCs w:val="19"/>
        </w:rPr>
        <w:t xml:space="preserve">Carpenter </w:t>
      </w:r>
      <w:proofErr w:type="spellStart"/>
      <w:r>
        <w:rPr>
          <w:rFonts w:cs="Arial"/>
          <w:smallCaps/>
          <w:sz w:val="19"/>
          <w:szCs w:val="19"/>
        </w:rPr>
        <w:t>Lipps</w:t>
      </w:r>
      <w:proofErr w:type="spellEnd"/>
      <w:r>
        <w:rPr>
          <w:rFonts w:cs="Arial"/>
          <w:smallCaps/>
          <w:sz w:val="19"/>
          <w:szCs w:val="19"/>
        </w:rPr>
        <w:t xml:space="preserve"> &amp; Leland LLP</w:t>
      </w:r>
    </w:p>
    <w:p w14:paraId="6EB68FD0" w14:textId="77777777" w:rsidR="00617D48" w:rsidRDefault="00617D48" w:rsidP="00617D48">
      <w:pPr>
        <w:tabs>
          <w:tab w:val="left" w:pos="2160"/>
          <w:tab w:val="left" w:pos="2280"/>
        </w:tabs>
        <w:rPr>
          <w:rFonts w:cs="Arial"/>
          <w:sz w:val="19"/>
          <w:szCs w:val="19"/>
        </w:rPr>
      </w:pPr>
      <w:r>
        <w:rPr>
          <w:rFonts w:cs="Arial"/>
          <w:sz w:val="19"/>
          <w:szCs w:val="19"/>
        </w:rPr>
        <w:t>280 North High Street, Suite 1300</w:t>
      </w:r>
    </w:p>
    <w:p w14:paraId="6CB80091" w14:textId="77777777" w:rsidR="00617D48" w:rsidRPr="0009515E" w:rsidRDefault="00617D48" w:rsidP="00617D48">
      <w:pPr>
        <w:tabs>
          <w:tab w:val="left" w:pos="2160"/>
          <w:tab w:val="left" w:pos="2280"/>
        </w:tabs>
        <w:rPr>
          <w:rFonts w:cs="Arial"/>
          <w:sz w:val="19"/>
          <w:szCs w:val="19"/>
        </w:rPr>
      </w:pPr>
      <w:r>
        <w:rPr>
          <w:rFonts w:cs="Arial"/>
          <w:sz w:val="19"/>
          <w:szCs w:val="19"/>
        </w:rPr>
        <w:t>Columbus, OH  43215</w:t>
      </w:r>
    </w:p>
    <w:p w14:paraId="69FAAAFE" w14:textId="77777777" w:rsidR="00617D48" w:rsidRDefault="00617D48" w:rsidP="00617D48">
      <w:pPr>
        <w:autoSpaceDE w:val="0"/>
        <w:autoSpaceDN w:val="0"/>
        <w:adjustRightInd w:val="0"/>
        <w:rPr>
          <w:rFonts w:cs="Arial"/>
          <w:sz w:val="19"/>
          <w:szCs w:val="19"/>
        </w:rPr>
      </w:pPr>
      <w:r>
        <w:rPr>
          <w:rFonts w:cs="Arial"/>
          <w:sz w:val="19"/>
          <w:szCs w:val="19"/>
        </w:rPr>
        <w:t>bojko@carpenterlipps.com</w:t>
      </w:r>
    </w:p>
    <w:p w14:paraId="507EB6E7" w14:textId="77777777" w:rsidR="00617D48" w:rsidRPr="0009515E" w:rsidRDefault="00617D48" w:rsidP="00617D48">
      <w:pPr>
        <w:autoSpaceDE w:val="0"/>
        <w:autoSpaceDN w:val="0"/>
        <w:adjustRightInd w:val="0"/>
        <w:rPr>
          <w:rFonts w:ascii="Arial Bold" w:hAnsi="Arial Bold" w:cs="Arial"/>
          <w:b/>
          <w:smallCaps/>
          <w:sz w:val="19"/>
          <w:szCs w:val="19"/>
        </w:rPr>
      </w:pPr>
      <w:r>
        <w:rPr>
          <w:rFonts w:cs="Arial"/>
          <w:sz w:val="19"/>
          <w:szCs w:val="19"/>
        </w:rPr>
        <w:t>paul@carpenterlipps.com</w:t>
      </w:r>
    </w:p>
    <w:p w14:paraId="283B9396" w14:textId="77777777" w:rsidR="00617D48" w:rsidRPr="0009515E" w:rsidRDefault="00617D48" w:rsidP="00617D48">
      <w:pPr>
        <w:autoSpaceDE w:val="0"/>
        <w:autoSpaceDN w:val="0"/>
        <w:adjustRightInd w:val="0"/>
        <w:rPr>
          <w:rFonts w:ascii="Arial Bold" w:hAnsi="Arial Bold" w:cs="Arial"/>
          <w:b/>
          <w:smallCaps/>
          <w:sz w:val="19"/>
          <w:szCs w:val="19"/>
        </w:rPr>
      </w:pPr>
    </w:p>
    <w:p w14:paraId="1099A8E7" w14:textId="77777777" w:rsidR="00617D48" w:rsidRPr="0009515E" w:rsidRDefault="00617D48" w:rsidP="00617D48">
      <w:pPr>
        <w:autoSpaceDE w:val="0"/>
        <w:autoSpaceDN w:val="0"/>
        <w:adjustRightInd w:val="0"/>
        <w:rPr>
          <w:rFonts w:ascii="Arial Bold" w:hAnsi="Arial Bold" w:cs="Arial"/>
          <w:b/>
          <w:smallCaps/>
          <w:sz w:val="19"/>
          <w:szCs w:val="19"/>
        </w:rPr>
      </w:pPr>
      <w:r w:rsidRPr="0009515E">
        <w:rPr>
          <w:rFonts w:ascii="Arial Bold" w:hAnsi="Arial Bold" w:cs="Arial"/>
          <w:b/>
          <w:smallCaps/>
          <w:sz w:val="19"/>
          <w:szCs w:val="19"/>
        </w:rPr>
        <w:t xml:space="preserve">Counsel for </w:t>
      </w:r>
      <w:r>
        <w:rPr>
          <w:rFonts w:ascii="Arial Bold" w:hAnsi="Arial Bold" w:cs="Arial"/>
          <w:b/>
          <w:smallCaps/>
          <w:sz w:val="19"/>
          <w:szCs w:val="19"/>
        </w:rPr>
        <w:t>The Kroger Co.</w:t>
      </w:r>
    </w:p>
    <w:p w14:paraId="51073C63" w14:textId="77777777" w:rsidR="00497C69" w:rsidRDefault="00497C69" w:rsidP="00617D48">
      <w:pPr>
        <w:tabs>
          <w:tab w:val="left" w:pos="2160"/>
          <w:tab w:val="left" w:pos="2280"/>
        </w:tabs>
        <w:rPr>
          <w:rFonts w:cs="Arial"/>
          <w:b/>
          <w:sz w:val="19"/>
          <w:szCs w:val="19"/>
        </w:rPr>
      </w:pPr>
    </w:p>
    <w:p w14:paraId="71F15D5D" w14:textId="3FA8FD39" w:rsidR="00617D48" w:rsidRPr="0009515E" w:rsidRDefault="00617D48" w:rsidP="00617D48">
      <w:pPr>
        <w:tabs>
          <w:tab w:val="left" w:pos="2160"/>
          <w:tab w:val="left" w:pos="2280"/>
        </w:tabs>
        <w:rPr>
          <w:rFonts w:cs="Arial"/>
          <w:b/>
          <w:sz w:val="19"/>
          <w:szCs w:val="19"/>
        </w:rPr>
      </w:pPr>
      <w:r w:rsidRPr="0009515E">
        <w:rPr>
          <w:rFonts w:cs="Arial"/>
          <w:b/>
          <w:sz w:val="19"/>
          <w:szCs w:val="19"/>
        </w:rPr>
        <w:t>Thomas W. McNamee</w:t>
      </w:r>
    </w:p>
    <w:p w14:paraId="5397A282" w14:textId="77777777" w:rsidR="00617D48" w:rsidRPr="0009515E" w:rsidRDefault="00617D48" w:rsidP="00617D48">
      <w:pPr>
        <w:tabs>
          <w:tab w:val="left" w:pos="2160"/>
          <w:tab w:val="left" w:pos="2280"/>
        </w:tabs>
        <w:rPr>
          <w:rFonts w:cs="Arial"/>
          <w:sz w:val="19"/>
          <w:szCs w:val="19"/>
        </w:rPr>
      </w:pPr>
      <w:r w:rsidRPr="0009515E">
        <w:rPr>
          <w:rFonts w:cs="Arial"/>
          <w:sz w:val="19"/>
          <w:szCs w:val="19"/>
        </w:rPr>
        <w:t>Public Utilities Section</w:t>
      </w:r>
    </w:p>
    <w:p w14:paraId="7B423A74" w14:textId="77777777" w:rsidR="00617D48" w:rsidRPr="0009515E" w:rsidRDefault="00617D48" w:rsidP="00617D48">
      <w:pPr>
        <w:tabs>
          <w:tab w:val="left" w:pos="2160"/>
          <w:tab w:val="left" w:pos="2280"/>
        </w:tabs>
        <w:rPr>
          <w:rFonts w:cs="Arial"/>
          <w:smallCaps/>
          <w:sz w:val="19"/>
          <w:szCs w:val="19"/>
        </w:rPr>
      </w:pPr>
      <w:r w:rsidRPr="0009515E">
        <w:rPr>
          <w:rFonts w:cs="Arial"/>
          <w:smallCaps/>
          <w:sz w:val="19"/>
          <w:szCs w:val="19"/>
        </w:rPr>
        <w:t xml:space="preserve">Office of the Ohio Attorney General </w:t>
      </w:r>
    </w:p>
    <w:p w14:paraId="36C95D31" w14:textId="77777777" w:rsidR="00617D48" w:rsidRPr="0009515E" w:rsidRDefault="00617D48" w:rsidP="00617D48">
      <w:pPr>
        <w:tabs>
          <w:tab w:val="left" w:pos="2160"/>
          <w:tab w:val="left" w:pos="2280"/>
        </w:tabs>
        <w:rPr>
          <w:rFonts w:cs="Arial"/>
          <w:sz w:val="19"/>
          <w:szCs w:val="19"/>
        </w:rPr>
      </w:pPr>
      <w:r w:rsidRPr="0009515E">
        <w:rPr>
          <w:rFonts w:cs="Arial"/>
          <w:sz w:val="19"/>
          <w:szCs w:val="19"/>
        </w:rPr>
        <w:t>30 East Broad Street, 16th Floor</w:t>
      </w:r>
    </w:p>
    <w:p w14:paraId="6608EDC0" w14:textId="77777777" w:rsidR="00617D48" w:rsidRPr="0009515E" w:rsidRDefault="00617D48" w:rsidP="00617D48">
      <w:pPr>
        <w:tabs>
          <w:tab w:val="left" w:pos="2160"/>
          <w:tab w:val="left" w:pos="2280"/>
        </w:tabs>
        <w:rPr>
          <w:rFonts w:cs="Arial"/>
          <w:sz w:val="19"/>
          <w:szCs w:val="19"/>
        </w:rPr>
      </w:pPr>
      <w:r w:rsidRPr="0009515E">
        <w:rPr>
          <w:rFonts w:cs="Arial"/>
          <w:sz w:val="19"/>
          <w:szCs w:val="19"/>
        </w:rPr>
        <w:t>Columbus, OH 43215-3793</w:t>
      </w:r>
    </w:p>
    <w:p w14:paraId="7F95CD7E" w14:textId="77777777" w:rsidR="00617D48" w:rsidRPr="0009515E" w:rsidRDefault="00617D48" w:rsidP="00617D48">
      <w:pPr>
        <w:autoSpaceDE w:val="0"/>
        <w:autoSpaceDN w:val="0"/>
        <w:adjustRightInd w:val="0"/>
        <w:rPr>
          <w:rFonts w:ascii="Arial Bold" w:hAnsi="Arial Bold" w:cs="Arial"/>
          <w:b/>
          <w:smallCaps/>
          <w:sz w:val="19"/>
          <w:szCs w:val="19"/>
        </w:rPr>
      </w:pPr>
      <w:r w:rsidRPr="0009515E">
        <w:rPr>
          <w:rFonts w:cs="Arial"/>
          <w:sz w:val="19"/>
          <w:szCs w:val="19"/>
        </w:rPr>
        <w:t>thomas.mcnamee@ohioattorneygeneral.gov</w:t>
      </w:r>
    </w:p>
    <w:p w14:paraId="30F94672" w14:textId="77777777" w:rsidR="00617D48" w:rsidRPr="0009515E" w:rsidRDefault="00617D48" w:rsidP="00617D48">
      <w:pPr>
        <w:autoSpaceDE w:val="0"/>
        <w:autoSpaceDN w:val="0"/>
        <w:adjustRightInd w:val="0"/>
        <w:rPr>
          <w:rFonts w:ascii="Arial Bold" w:hAnsi="Arial Bold" w:cs="Arial"/>
          <w:b/>
          <w:smallCaps/>
          <w:sz w:val="19"/>
          <w:szCs w:val="19"/>
        </w:rPr>
      </w:pPr>
    </w:p>
    <w:p w14:paraId="66105E00" w14:textId="77777777" w:rsidR="00617D48" w:rsidRPr="0009515E" w:rsidRDefault="00617D48" w:rsidP="00617D48">
      <w:pPr>
        <w:autoSpaceDE w:val="0"/>
        <w:autoSpaceDN w:val="0"/>
        <w:adjustRightInd w:val="0"/>
        <w:rPr>
          <w:rFonts w:ascii="Arial Bold" w:hAnsi="Arial Bold" w:cs="Arial"/>
          <w:b/>
          <w:smallCaps/>
          <w:sz w:val="19"/>
          <w:szCs w:val="19"/>
        </w:rPr>
      </w:pPr>
      <w:r w:rsidRPr="0009515E">
        <w:rPr>
          <w:rFonts w:ascii="Arial Bold" w:hAnsi="Arial Bold" w:cs="Arial"/>
          <w:b/>
          <w:smallCaps/>
          <w:sz w:val="19"/>
          <w:szCs w:val="19"/>
        </w:rPr>
        <w:t>Counsel for the Staff of the Public Utilities Commission of Ohio</w:t>
      </w:r>
    </w:p>
    <w:p w14:paraId="1CF316FF" w14:textId="77777777" w:rsidR="00617D48" w:rsidRPr="0009515E" w:rsidRDefault="00617D48" w:rsidP="00617D48">
      <w:pPr>
        <w:autoSpaceDE w:val="0"/>
        <w:autoSpaceDN w:val="0"/>
        <w:adjustRightInd w:val="0"/>
        <w:rPr>
          <w:rFonts w:ascii="Arial Bold" w:hAnsi="Arial Bold" w:cs="Arial"/>
          <w:b/>
          <w:smallCaps/>
          <w:sz w:val="19"/>
          <w:szCs w:val="19"/>
        </w:rPr>
      </w:pPr>
    </w:p>
    <w:p w14:paraId="34C5E4D1" w14:textId="77777777" w:rsidR="00617D48" w:rsidRPr="0009515E" w:rsidRDefault="00617D48" w:rsidP="00617D48">
      <w:pPr>
        <w:tabs>
          <w:tab w:val="left" w:pos="4680"/>
        </w:tabs>
        <w:rPr>
          <w:rFonts w:cs="Arial"/>
          <w:b/>
          <w:color w:val="000000"/>
          <w:sz w:val="19"/>
          <w:szCs w:val="19"/>
        </w:rPr>
      </w:pPr>
      <w:r w:rsidRPr="0009515E">
        <w:rPr>
          <w:rFonts w:cs="Arial"/>
          <w:b/>
          <w:color w:val="000000"/>
          <w:sz w:val="19"/>
          <w:szCs w:val="19"/>
        </w:rPr>
        <w:t xml:space="preserve">Greta See </w:t>
      </w:r>
    </w:p>
    <w:p w14:paraId="26E7F7E6" w14:textId="77777777" w:rsidR="00617D48" w:rsidRPr="0009515E" w:rsidRDefault="00617D48" w:rsidP="00617D48">
      <w:pPr>
        <w:tabs>
          <w:tab w:val="left" w:pos="4680"/>
        </w:tabs>
        <w:rPr>
          <w:rFonts w:cs="Arial"/>
          <w:smallCaps/>
          <w:color w:val="000000"/>
          <w:sz w:val="19"/>
          <w:szCs w:val="19"/>
        </w:rPr>
      </w:pPr>
      <w:r w:rsidRPr="0009515E">
        <w:rPr>
          <w:rFonts w:cs="Arial"/>
          <w:smallCaps/>
          <w:color w:val="000000"/>
          <w:sz w:val="19"/>
          <w:szCs w:val="19"/>
        </w:rPr>
        <w:t>Public Utilities Commission of Ohio</w:t>
      </w:r>
    </w:p>
    <w:p w14:paraId="2C1E0175" w14:textId="77777777" w:rsidR="00617D48" w:rsidRPr="0009515E" w:rsidRDefault="00617D48" w:rsidP="00617D48">
      <w:pPr>
        <w:tabs>
          <w:tab w:val="left" w:pos="4680"/>
        </w:tabs>
        <w:rPr>
          <w:rFonts w:cs="Arial"/>
          <w:color w:val="000000"/>
          <w:sz w:val="19"/>
          <w:szCs w:val="19"/>
        </w:rPr>
      </w:pPr>
      <w:r w:rsidRPr="0009515E">
        <w:rPr>
          <w:rFonts w:cs="Arial"/>
          <w:color w:val="000000"/>
          <w:sz w:val="19"/>
          <w:szCs w:val="19"/>
        </w:rPr>
        <w:t>180 East Broad Street, 12</w:t>
      </w:r>
      <w:r w:rsidRPr="0009515E">
        <w:rPr>
          <w:rFonts w:cs="Arial"/>
          <w:color w:val="000000"/>
          <w:sz w:val="19"/>
          <w:szCs w:val="19"/>
          <w:vertAlign w:val="superscript"/>
        </w:rPr>
        <w:t>th</w:t>
      </w:r>
      <w:r w:rsidRPr="0009515E">
        <w:rPr>
          <w:rFonts w:cs="Arial"/>
          <w:color w:val="000000"/>
          <w:sz w:val="19"/>
          <w:szCs w:val="19"/>
        </w:rPr>
        <w:t xml:space="preserve"> Floor</w:t>
      </w:r>
    </w:p>
    <w:p w14:paraId="162AA33F" w14:textId="77777777" w:rsidR="00617D48" w:rsidRPr="0009515E" w:rsidRDefault="00617D48" w:rsidP="00617D48">
      <w:pPr>
        <w:tabs>
          <w:tab w:val="left" w:pos="4680"/>
        </w:tabs>
        <w:rPr>
          <w:rFonts w:cs="Arial"/>
          <w:color w:val="000000"/>
          <w:sz w:val="19"/>
          <w:szCs w:val="19"/>
        </w:rPr>
      </w:pPr>
      <w:r w:rsidRPr="0009515E">
        <w:rPr>
          <w:rFonts w:cs="Arial"/>
          <w:color w:val="000000"/>
          <w:sz w:val="19"/>
          <w:szCs w:val="19"/>
        </w:rPr>
        <w:t>Columbus, OH  43215</w:t>
      </w:r>
    </w:p>
    <w:p w14:paraId="7CC57522" w14:textId="77777777" w:rsidR="00617D48" w:rsidRPr="0009515E" w:rsidRDefault="00617D48" w:rsidP="00617D48">
      <w:pPr>
        <w:tabs>
          <w:tab w:val="left" w:pos="4680"/>
        </w:tabs>
        <w:rPr>
          <w:rFonts w:cs="Arial"/>
          <w:color w:val="000000"/>
          <w:sz w:val="19"/>
          <w:szCs w:val="19"/>
        </w:rPr>
      </w:pPr>
      <w:r w:rsidRPr="0009515E">
        <w:rPr>
          <w:rFonts w:cs="Arial"/>
          <w:color w:val="000000"/>
          <w:sz w:val="19"/>
          <w:szCs w:val="19"/>
        </w:rPr>
        <w:t>Greta.See@puc.state.oh.us</w:t>
      </w:r>
    </w:p>
    <w:p w14:paraId="3E2BA3F8" w14:textId="77777777" w:rsidR="00617D48" w:rsidRPr="0009515E" w:rsidRDefault="00617D48" w:rsidP="00617D48">
      <w:pPr>
        <w:tabs>
          <w:tab w:val="left" w:pos="4680"/>
        </w:tabs>
        <w:rPr>
          <w:rFonts w:cs="Arial"/>
          <w:color w:val="000000"/>
          <w:sz w:val="19"/>
          <w:szCs w:val="19"/>
        </w:rPr>
      </w:pPr>
    </w:p>
    <w:p w14:paraId="2B3E3C6F" w14:textId="77777777" w:rsidR="00617D48" w:rsidRPr="0009515E" w:rsidRDefault="00617D48" w:rsidP="00617D48">
      <w:pPr>
        <w:tabs>
          <w:tab w:val="left" w:pos="2160"/>
          <w:tab w:val="left" w:pos="2280"/>
        </w:tabs>
        <w:rPr>
          <w:rFonts w:ascii="Arial Bold" w:hAnsi="Arial Bold" w:cs="Arial"/>
          <w:b/>
          <w:smallCaps/>
          <w:sz w:val="19"/>
          <w:szCs w:val="19"/>
        </w:rPr>
      </w:pPr>
      <w:r w:rsidRPr="0009515E">
        <w:rPr>
          <w:rFonts w:cs="Arial"/>
          <w:b/>
          <w:smallCaps/>
          <w:color w:val="000000"/>
          <w:sz w:val="19"/>
          <w:szCs w:val="19"/>
        </w:rPr>
        <w:t>Attorney Examiner</w:t>
      </w:r>
    </w:p>
    <w:p w14:paraId="62D79C2E" w14:textId="77777777" w:rsidR="00195AC6" w:rsidRDefault="00195AC6" w:rsidP="00BE13FE">
      <w:pPr>
        <w:spacing w:line="480" w:lineRule="auto"/>
        <w:ind w:firstLine="720"/>
        <w:jc w:val="both"/>
      </w:pPr>
    </w:p>
    <w:sectPr w:rsidR="00195AC6" w:rsidSect="00195AC6">
      <w:headerReference w:type="default" r:id="rId25"/>
      <w:footerReference w:type="default" r:id="rId26"/>
      <w:headerReference w:type="first" r:id="rId27"/>
      <w:footerReference w:type="first" r:id="rId28"/>
      <w:type w:val="continuous"/>
      <w:pgSz w:w="12240" w:h="15840" w:code="1"/>
      <w:pgMar w:top="1440" w:right="1440" w:bottom="1440" w:left="1440" w:header="720" w:footer="720"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30A13" w14:textId="77777777" w:rsidR="00B0731E" w:rsidRDefault="00B0731E" w:rsidP="00EE7D04">
      <w:r>
        <w:separator/>
      </w:r>
    </w:p>
  </w:endnote>
  <w:endnote w:type="continuationSeparator" w:id="0">
    <w:p w14:paraId="020629BF" w14:textId="77777777" w:rsidR="00B0731E" w:rsidRDefault="00B0731E" w:rsidP="00EE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DCEBC" w14:textId="77777777" w:rsidR="005B4BB0" w:rsidRDefault="005B4BB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8DAC3" w14:textId="31D8E5B8" w:rsidR="00283701" w:rsidRPr="00EE7D04" w:rsidRDefault="000A68DE" w:rsidP="00EE7D04">
    <w:pPr>
      <w:pStyle w:val="Footer"/>
    </w:pPr>
    <w:r w:rsidRPr="000A68DE">
      <w:rPr>
        <w:noProof/>
        <w:vanish/>
        <w:sz w:val="16"/>
      </w:rPr>
      <w:t>{</w:t>
    </w:r>
    <w:r w:rsidRPr="000A68DE">
      <w:rPr>
        <w:noProof/>
        <w:sz w:val="16"/>
      </w:rPr>
      <w:t>C0112911:1</w:t>
    </w:r>
    <w:r w:rsidRPr="000A68DE">
      <w:rPr>
        <w:noProof/>
        <w:vanish/>
        <w:sz w:val="16"/>
      </w:rPr>
      <w:t>}</w:t>
    </w:r>
    <w:r w:rsidR="00283701">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0C940" w14:textId="11CAC94F" w:rsidR="00F51F6D" w:rsidRPr="003B3077" w:rsidRDefault="000A68DE" w:rsidP="003B3077">
    <w:pPr>
      <w:pStyle w:val="Footer"/>
    </w:pPr>
    <w:r w:rsidRPr="000A68DE">
      <w:rPr>
        <w:noProof/>
        <w:vanish/>
        <w:sz w:val="16"/>
      </w:rPr>
      <w:t>{</w:t>
    </w:r>
    <w:r w:rsidRPr="000A68DE">
      <w:rPr>
        <w:noProof/>
        <w:sz w:val="16"/>
      </w:rPr>
      <w:t>C0112911:1</w:t>
    </w:r>
    <w:r w:rsidRPr="000A68DE">
      <w:rPr>
        <w:noProof/>
        <w:vanish/>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291AA" w14:textId="77777777" w:rsidR="005B4BB0" w:rsidRDefault="005B4B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82941" w14:textId="1804FD50" w:rsidR="00283701" w:rsidRPr="003B3077" w:rsidRDefault="000A68DE" w:rsidP="003B3077">
    <w:pPr>
      <w:pStyle w:val="Footer"/>
    </w:pPr>
    <w:r w:rsidRPr="000A68DE">
      <w:rPr>
        <w:noProof/>
        <w:vanish/>
        <w:sz w:val="16"/>
      </w:rPr>
      <w:t>{</w:t>
    </w:r>
    <w:r w:rsidRPr="000A68DE">
      <w:rPr>
        <w:noProof/>
        <w:sz w:val="16"/>
      </w:rPr>
      <w:t>C0112911:1</w:t>
    </w:r>
    <w:r w:rsidRPr="000A68DE">
      <w:rPr>
        <w:noProof/>
        <w:vanish/>
        <w:sz w:val="16"/>
      </w:rPr>
      <w:t>}</w:t>
    </w:r>
    <w:r w:rsidR="00283701" w:rsidRPr="00283701">
      <w:rPr>
        <w:noProof/>
        <w:sz w:val="22"/>
      </w:rPr>
      <w:tab/>
    </w:r>
    <w:r w:rsidR="00283701" w:rsidRPr="00283701">
      <w:rPr>
        <w:noProof/>
        <w:sz w:val="22"/>
      </w:rPr>
      <w:fldChar w:fldCharType="begin"/>
    </w:r>
    <w:r w:rsidR="00283701" w:rsidRPr="00283701">
      <w:rPr>
        <w:noProof/>
        <w:sz w:val="22"/>
      </w:rPr>
      <w:instrText xml:space="preserve"> PAGE   \* MERGEFORMAT </w:instrText>
    </w:r>
    <w:r w:rsidR="00283701" w:rsidRPr="00283701">
      <w:rPr>
        <w:noProof/>
        <w:sz w:val="22"/>
      </w:rPr>
      <w:fldChar w:fldCharType="separate"/>
    </w:r>
    <w:r w:rsidR="00283701" w:rsidRPr="00283701">
      <w:rPr>
        <w:noProof/>
        <w:sz w:val="22"/>
      </w:rPr>
      <w:t>1</w:t>
    </w:r>
    <w:r w:rsidR="00283701" w:rsidRPr="00283701">
      <w:rPr>
        <w:noProof/>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E4C26" w14:textId="6B20DC4A" w:rsidR="00283701" w:rsidRPr="0040373B" w:rsidRDefault="000A68DE" w:rsidP="0040373B">
    <w:pPr>
      <w:pStyle w:val="Footer"/>
    </w:pPr>
    <w:r w:rsidRPr="000A68DE">
      <w:rPr>
        <w:noProof/>
        <w:vanish/>
        <w:sz w:val="16"/>
      </w:rPr>
      <w:t>{</w:t>
    </w:r>
    <w:r w:rsidRPr="000A68DE">
      <w:rPr>
        <w:noProof/>
        <w:sz w:val="16"/>
      </w:rPr>
      <w:t>C0112911:1</w:t>
    </w:r>
    <w:r w:rsidRPr="000A68DE">
      <w:rPr>
        <w:noProof/>
        <w:vanish/>
        <w:sz w:val="16"/>
      </w:rPr>
      <w:t>}</w:t>
    </w:r>
    <w:r w:rsidR="0040373B">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B6E56" w14:textId="77777777" w:rsidR="00F51F6D" w:rsidRDefault="00F51F6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B341A" w14:textId="10C86C72" w:rsidR="00F51F6D" w:rsidRPr="00BE13FE" w:rsidRDefault="000A68DE" w:rsidP="00EE7D04">
    <w:pPr>
      <w:pStyle w:val="Footer"/>
    </w:pPr>
    <w:r w:rsidRPr="000A68DE">
      <w:rPr>
        <w:noProof/>
        <w:vanish/>
        <w:sz w:val="16"/>
      </w:rPr>
      <w:t>{</w:t>
    </w:r>
    <w:r w:rsidRPr="000A68DE">
      <w:rPr>
        <w:noProof/>
        <w:sz w:val="16"/>
      </w:rPr>
      <w:t>C0112911:1</w:t>
    </w:r>
    <w:r w:rsidRPr="000A68DE">
      <w:rPr>
        <w:noProof/>
        <w:vanish/>
        <w:sz w:val="16"/>
      </w:rPr>
      <w:t>}</w:t>
    </w:r>
    <w:r w:rsidR="00F51F6D" w:rsidRPr="00BE13FE">
      <w:rPr>
        <w:noProof/>
        <w:sz w:val="16"/>
      </w:rPr>
      <w:tab/>
    </w:r>
    <w:r w:rsidR="00F51F6D" w:rsidRPr="00126205">
      <w:rPr>
        <w:noProof/>
        <w:sz w:val="22"/>
        <w:szCs w:val="22"/>
      </w:rPr>
      <w:fldChar w:fldCharType="begin"/>
    </w:r>
    <w:r w:rsidR="00F51F6D" w:rsidRPr="00126205">
      <w:rPr>
        <w:noProof/>
        <w:sz w:val="22"/>
        <w:szCs w:val="22"/>
      </w:rPr>
      <w:instrText xml:space="preserve"> PAGE   \* MERGEFORMAT </w:instrText>
    </w:r>
    <w:r w:rsidR="00F51F6D" w:rsidRPr="00126205">
      <w:rPr>
        <w:noProof/>
        <w:sz w:val="22"/>
        <w:szCs w:val="22"/>
      </w:rPr>
      <w:fldChar w:fldCharType="separate"/>
    </w:r>
    <w:r w:rsidR="00E47ADF">
      <w:rPr>
        <w:noProof/>
        <w:sz w:val="22"/>
        <w:szCs w:val="22"/>
      </w:rPr>
      <w:t>2</w:t>
    </w:r>
    <w:r w:rsidR="00F51F6D" w:rsidRPr="00126205">
      <w:rPr>
        <w:noProof/>
        <w:sz w:val="22"/>
        <w:szCs w:val="22"/>
      </w:rPr>
      <w:fldChar w:fldCharType="end"/>
    </w:r>
    <w:r w:rsidR="00F51F6D" w:rsidRPr="00BE13FE">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27271" w14:textId="039CFFF7" w:rsidR="00F51F6D" w:rsidRPr="00EE7D04" w:rsidRDefault="000A68DE" w:rsidP="00EE7D04">
    <w:pPr>
      <w:pStyle w:val="Footer"/>
    </w:pPr>
    <w:r w:rsidRPr="000A68DE">
      <w:rPr>
        <w:noProof/>
        <w:vanish/>
        <w:sz w:val="16"/>
      </w:rPr>
      <w:t>{</w:t>
    </w:r>
    <w:r w:rsidRPr="000A68DE">
      <w:rPr>
        <w:noProof/>
        <w:sz w:val="16"/>
      </w:rPr>
      <w:t>C0112911:1</w:t>
    </w:r>
    <w:r w:rsidRPr="000A68DE">
      <w:rPr>
        <w:noProof/>
        <w:vanish/>
        <w:sz w:val="16"/>
      </w:rPr>
      <w:t>}</w:t>
    </w:r>
    <w:r w:rsidR="00F51F6D">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1CF2B" w14:textId="5CD14E3A" w:rsidR="00283701" w:rsidRPr="00BE13FE" w:rsidRDefault="000A68DE" w:rsidP="00EE7D04">
    <w:pPr>
      <w:pStyle w:val="Footer"/>
    </w:pPr>
    <w:r w:rsidRPr="000A68DE">
      <w:rPr>
        <w:noProof/>
        <w:vanish/>
        <w:sz w:val="16"/>
      </w:rPr>
      <w:t>{</w:t>
    </w:r>
    <w:r w:rsidRPr="000A68DE">
      <w:rPr>
        <w:noProof/>
        <w:sz w:val="16"/>
      </w:rPr>
      <w:t>C0112911:1</w:t>
    </w:r>
    <w:r w:rsidRPr="000A68DE">
      <w:rPr>
        <w:noProof/>
        <w:vanish/>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46093" w14:textId="77777777" w:rsidR="00B0731E" w:rsidRDefault="00B0731E" w:rsidP="00EE7D04">
      <w:pPr>
        <w:rPr>
          <w:noProof/>
        </w:rPr>
      </w:pPr>
      <w:r>
        <w:rPr>
          <w:noProof/>
        </w:rPr>
        <w:separator/>
      </w:r>
    </w:p>
  </w:footnote>
  <w:footnote w:type="continuationSeparator" w:id="0">
    <w:p w14:paraId="12F3D28C" w14:textId="77777777" w:rsidR="00B0731E" w:rsidRDefault="00B0731E" w:rsidP="00EE7D04">
      <w:r>
        <w:continuationSeparator/>
      </w:r>
    </w:p>
  </w:footnote>
  <w:footnote w:id="1">
    <w:p w14:paraId="7A736AD3" w14:textId="77777777" w:rsidR="00F51F6D" w:rsidRPr="0045789B" w:rsidRDefault="00F51F6D" w:rsidP="004D1D5B">
      <w:pPr>
        <w:pStyle w:val="FootnoteText"/>
        <w:spacing w:after="120"/>
        <w:jc w:val="both"/>
      </w:pPr>
      <w:r>
        <w:rPr>
          <w:rStyle w:val="FootnoteReference"/>
        </w:rPr>
        <w:footnoteRef/>
      </w:r>
      <w:r>
        <w:t xml:space="preserve"> </w:t>
      </w:r>
      <w:r>
        <w:rPr>
          <w:i/>
        </w:rPr>
        <w:t>See e.g.</w:t>
      </w:r>
      <w:r>
        <w:t>, Ohio Development Services Agency Notice of Intent to File an Application for Adjustments to Universal Service Fund Riders at 1-2 (noting that the notice of intent process was first adopted in 2004) (May 31, 2018) (“NOI”).</w:t>
      </w:r>
    </w:p>
  </w:footnote>
  <w:footnote w:id="2">
    <w:p w14:paraId="38D61FBB" w14:textId="274CBD93" w:rsidR="00F51F6D" w:rsidRDefault="00F51F6D" w:rsidP="004D1D5B">
      <w:pPr>
        <w:pStyle w:val="FootnoteText"/>
        <w:spacing w:after="120"/>
        <w:jc w:val="both"/>
      </w:pPr>
      <w:r w:rsidRPr="001C7397">
        <w:rPr>
          <w:rStyle w:val="FootnoteReference"/>
        </w:rPr>
        <w:footnoteRef/>
      </w:r>
      <w:r w:rsidRPr="001C7397">
        <w:t xml:space="preserve"> NOI at 11.</w:t>
      </w:r>
    </w:p>
  </w:footnote>
  <w:footnote w:id="3">
    <w:p w14:paraId="6E7D8306" w14:textId="15A63674" w:rsidR="001310EC" w:rsidRDefault="001310EC" w:rsidP="001C7397">
      <w:pPr>
        <w:pStyle w:val="FootnoteText"/>
        <w:spacing w:after="120"/>
      </w:pPr>
      <w:r>
        <w:rPr>
          <w:rStyle w:val="FootnoteReference"/>
        </w:rPr>
        <w:footnoteRef/>
      </w:r>
      <w:r>
        <w:t xml:space="preserve"> </w:t>
      </w:r>
      <w:r w:rsidR="001C7397">
        <w:t>Ohio Partners for Affordable Energy’s Motion to Intervene and Memorandum in Support and Objections at 5 (June 29, 2018) (“OPAE Objections”)</w:t>
      </w:r>
      <w:r>
        <w:t>.</w:t>
      </w:r>
    </w:p>
  </w:footnote>
  <w:footnote w:id="4">
    <w:p w14:paraId="6D954827" w14:textId="6690E29E" w:rsidR="00F51F6D" w:rsidRPr="00A84815" w:rsidRDefault="00F51F6D" w:rsidP="004D1D5B">
      <w:pPr>
        <w:pStyle w:val="FootnoteText"/>
        <w:spacing w:after="120"/>
        <w:jc w:val="both"/>
      </w:pPr>
      <w:r>
        <w:rPr>
          <w:rStyle w:val="FootnoteReference"/>
        </w:rPr>
        <w:footnoteRef/>
      </w:r>
      <w:r>
        <w:t xml:space="preserve"> </w:t>
      </w:r>
      <w:r w:rsidRPr="009C79FD">
        <w:rPr>
          <w:i/>
        </w:rPr>
        <w:t>In the Matter of the Application of the Ohio Development Services Agency for an Order Approving Adjustments to the Universal Service Fund Riders of Jurisdictional Ohio Electric Distribution Utilities</w:t>
      </w:r>
      <w:r>
        <w:t>, Case No. 15-1046-EL-USF, Opinion and Order at 20-21 (Oct. 28, 2015) (“</w:t>
      </w:r>
      <w:r>
        <w:rPr>
          <w:i/>
        </w:rPr>
        <w:t>2015 USF Case</w:t>
      </w:r>
      <w:r>
        <w:t xml:space="preserve">”); </w:t>
      </w:r>
      <w:r w:rsidR="001C7397">
        <w:rPr>
          <w:i/>
        </w:rPr>
        <w:t>In the Matter of the Application of the Ohio Development Services Agency for an Order Approving Adjustments to the Universal Service Fund Rider of Jurisdictional Ohio Electric Distribution Utilities</w:t>
      </w:r>
      <w:r w:rsidR="001C7397">
        <w:t>,</w:t>
      </w:r>
      <w:r w:rsidR="001C7397">
        <w:rPr>
          <w:i/>
        </w:rPr>
        <w:t xml:space="preserve"> </w:t>
      </w:r>
      <w:r w:rsidR="001C7397">
        <w:t>Case No. 17-1377-EL-USF, Opinion and Order at 25-26 (Oct. 11, 2017) (“</w:t>
      </w:r>
      <w:r w:rsidR="001C7397">
        <w:rPr>
          <w:i/>
        </w:rPr>
        <w:t>2017 USF Case</w:t>
      </w:r>
      <w:r w:rsidR="001C7397">
        <w:t>”).</w:t>
      </w:r>
    </w:p>
  </w:footnote>
  <w:footnote w:id="5">
    <w:p w14:paraId="12FDEB52" w14:textId="7665D98C" w:rsidR="00F51F6D" w:rsidRPr="007F0BF3" w:rsidRDefault="00F51F6D" w:rsidP="004D1D5B">
      <w:pPr>
        <w:pStyle w:val="FootnoteText"/>
        <w:spacing w:after="120"/>
        <w:jc w:val="both"/>
      </w:pPr>
      <w:r>
        <w:rPr>
          <w:rStyle w:val="FootnoteReference"/>
        </w:rPr>
        <w:footnoteRef/>
      </w:r>
      <w:r>
        <w:t xml:space="preserve"> </w:t>
      </w:r>
      <w:r>
        <w:rPr>
          <w:i/>
        </w:rPr>
        <w:t>2015 USF Case</w:t>
      </w:r>
      <w:r>
        <w:t>, Opinion and Order at 21.</w:t>
      </w:r>
    </w:p>
  </w:footnote>
  <w:footnote w:id="6">
    <w:p w14:paraId="5A78816A" w14:textId="7F6689A0" w:rsidR="003329C1" w:rsidRDefault="003329C1" w:rsidP="00903191">
      <w:pPr>
        <w:pStyle w:val="FootnoteText"/>
        <w:spacing w:after="120"/>
      </w:pPr>
      <w:r>
        <w:rPr>
          <w:rStyle w:val="FootnoteReference"/>
        </w:rPr>
        <w:footnoteRef/>
      </w:r>
      <w:r>
        <w:t xml:space="preserve"> OPAE Objections at 5.</w:t>
      </w:r>
    </w:p>
  </w:footnote>
  <w:footnote w:id="7">
    <w:p w14:paraId="43604E03" w14:textId="2B20029E" w:rsidR="00094C1B" w:rsidRPr="00283701" w:rsidRDefault="00094C1B" w:rsidP="00903191">
      <w:pPr>
        <w:pStyle w:val="FootnoteText"/>
        <w:spacing w:after="120"/>
        <w:rPr>
          <w:i/>
        </w:rPr>
      </w:pPr>
      <w:r>
        <w:rPr>
          <w:rStyle w:val="FootnoteReference"/>
        </w:rPr>
        <w:footnoteRef/>
      </w:r>
      <w:r>
        <w:t xml:space="preserve"> </w:t>
      </w:r>
      <w:r>
        <w:rPr>
          <w:i/>
        </w:rPr>
        <w:t>Id.</w:t>
      </w:r>
    </w:p>
  </w:footnote>
  <w:footnote w:id="8">
    <w:p w14:paraId="323952AD" w14:textId="682F2DC2" w:rsidR="00F51F6D" w:rsidRDefault="00F51F6D" w:rsidP="00903191">
      <w:pPr>
        <w:pStyle w:val="FootnoteText"/>
        <w:spacing w:after="120"/>
        <w:jc w:val="both"/>
      </w:pPr>
      <w:r>
        <w:rPr>
          <w:rStyle w:val="FootnoteReference"/>
        </w:rPr>
        <w:footnoteRef/>
      </w:r>
      <w:r>
        <w:t xml:space="preserve"> </w:t>
      </w:r>
      <w:r w:rsidR="002D4BDB">
        <w:t xml:space="preserve">OPAE </w:t>
      </w:r>
      <w:r>
        <w:t>Objections at 5 (adoption of OPAE’s proposed uniform kWh rate would have shifted $15.6 million to large industrial and commercial customers using more than 833,000 kWh per month).</w:t>
      </w:r>
    </w:p>
  </w:footnote>
  <w:footnote w:id="9">
    <w:p w14:paraId="37450EFA" w14:textId="77777777" w:rsidR="00F51F6D" w:rsidRDefault="00F51F6D" w:rsidP="004D1D5B">
      <w:pPr>
        <w:pStyle w:val="FootnoteText"/>
        <w:spacing w:after="120"/>
        <w:jc w:val="both"/>
        <w:rPr>
          <w:i/>
        </w:rPr>
      </w:pPr>
      <w:r>
        <w:rPr>
          <w:rStyle w:val="FootnoteReference"/>
        </w:rPr>
        <w:footnoteRef/>
      </w:r>
      <w:r>
        <w:t xml:space="preserve"> </w:t>
      </w:r>
      <w:r>
        <w:rPr>
          <w:i/>
        </w:rPr>
        <w:t>In the Matter of Aligning Electric Distribution Utility Rate Structure with Ohio's Public Policies to Promote Competition, Energy Efficiency, and Distributed Generation</w:t>
      </w:r>
      <w:r>
        <w:t>, Case No. 10-3126-EL-UNC, Finding and Order at 19-20 (Aug. 21, 2013)</w:t>
      </w:r>
      <w:r>
        <w:rPr>
          <w:i/>
        </w:rPr>
        <w:t xml:space="preserve"> (citing In re Duke Energy Ohio, </w:t>
      </w:r>
      <w:r>
        <w:t>Case No. 07-589-GA-AIR, Opinion and Order (May 28, 2008) (“</w:t>
      </w:r>
      <w:r>
        <w:rPr>
          <w:i/>
        </w:rPr>
        <w:t>2007 Duke Rate Case</w:t>
      </w:r>
      <w:r>
        <w:t>”);</w:t>
      </w:r>
      <w:r>
        <w:rPr>
          <w:i/>
        </w:rPr>
        <w:t xml:space="preserve"> In re Dominion East Ohio</w:t>
      </w:r>
      <w:r>
        <w:t>, Case No. 07</w:t>
      </w:r>
      <w:r>
        <w:noBreakHyphen/>
        <w:t>829</w:t>
      </w:r>
      <w:r>
        <w:noBreakHyphen/>
        <w:t>GA</w:t>
      </w:r>
      <w:r>
        <w:noBreakHyphen/>
        <w:t>AIR, Opinion and Order (Oct. 15, 2008) (“</w:t>
      </w:r>
      <w:r>
        <w:rPr>
          <w:i/>
        </w:rPr>
        <w:t>2007 Dominion Rate Case</w:t>
      </w:r>
      <w:r>
        <w:t>”);</w:t>
      </w:r>
      <w:r>
        <w:rPr>
          <w:i/>
        </w:rPr>
        <w:t xml:space="preserve"> In re Columbia Gas of Ohio</w:t>
      </w:r>
      <w:r>
        <w:t>, Case No. 08</w:t>
      </w:r>
      <w:r>
        <w:noBreakHyphen/>
        <w:t>72</w:t>
      </w:r>
      <w:r>
        <w:noBreakHyphen/>
        <w:t>GA</w:t>
      </w:r>
      <w:r>
        <w:noBreakHyphen/>
        <w:t>AIR, Opinion and Order (Dec. 3, 2008) (“</w:t>
      </w:r>
      <w:r>
        <w:rPr>
          <w:i/>
        </w:rPr>
        <w:t>2008 Columbia Rate Case</w:t>
      </w:r>
      <w:r>
        <w:t xml:space="preserve">”); and </w:t>
      </w:r>
      <w:r>
        <w:rPr>
          <w:i/>
        </w:rPr>
        <w:t>In re Vectren Energy Delivery of Ohio</w:t>
      </w:r>
      <w:r>
        <w:t>, Case No. 07-1080-GA-AIR, Opinion and Order (Jan. 7, 2009) (“</w:t>
      </w:r>
      <w:r>
        <w:rPr>
          <w:i/>
        </w:rPr>
        <w:t>2007 VEDO Rate Case</w:t>
      </w:r>
      <w:r>
        <w:t>”)).</w:t>
      </w:r>
    </w:p>
  </w:footnote>
  <w:footnote w:id="10">
    <w:p w14:paraId="6F5C4EFB" w14:textId="77777777" w:rsidR="00F51F6D" w:rsidRDefault="00F51F6D" w:rsidP="004D1D5B">
      <w:pPr>
        <w:pStyle w:val="FootnoteText"/>
        <w:spacing w:after="120"/>
        <w:jc w:val="both"/>
        <w:rPr>
          <w:i/>
        </w:rPr>
      </w:pPr>
      <w:r>
        <w:rPr>
          <w:rStyle w:val="FootnoteReference"/>
        </w:rPr>
        <w:footnoteRef/>
      </w:r>
      <w:r>
        <w:t xml:space="preserve"> </w:t>
      </w:r>
      <w:r>
        <w:rPr>
          <w:i/>
        </w:rPr>
        <w:t>Id.</w:t>
      </w:r>
    </w:p>
  </w:footnote>
  <w:footnote w:id="11">
    <w:p w14:paraId="434EDBEF" w14:textId="77777777" w:rsidR="00F51F6D" w:rsidRDefault="00F51F6D" w:rsidP="004D1D5B">
      <w:pPr>
        <w:pStyle w:val="FootnoteText"/>
        <w:spacing w:after="120"/>
        <w:jc w:val="both"/>
      </w:pPr>
      <w:r>
        <w:rPr>
          <w:rStyle w:val="FootnoteReference"/>
        </w:rPr>
        <w:footnoteRef/>
      </w:r>
      <w:r>
        <w:t xml:space="preserve"> </w:t>
      </w:r>
      <w:r>
        <w:rPr>
          <w:i/>
        </w:rPr>
        <w:t>2007 Duke Rate Case</w:t>
      </w:r>
      <w:r>
        <w:t xml:space="preserve">, Opinion and Order at 13 (May 28, 2008); </w:t>
      </w:r>
      <w:r>
        <w:rPr>
          <w:i/>
        </w:rPr>
        <w:t>2007 Dominion Rate Case</w:t>
      </w:r>
      <w:r>
        <w:t xml:space="preserve">, Opinion and Order at 15 (Oct. 15, 2008); </w:t>
      </w:r>
      <w:r>
        <w:rPr>
          <w:i/>
        </w:rPr>
        <w:t>2008 Columbia Rate Case</w:t>
      </w:r>
      <w:r>
        <w:t xml:space="preserve">, Opinion and Order at 16-17 (Dec. 3, 2008); </w:t>
      </w:r>
      <w:r>
        <w:rPr>
          <w:i/>
        </w:rPr>
        <w:t>2007 VEDO Rate Case</w:t>
      </w:r>
      <w:r>
        <w:t>, Opinion and Order at 8 (Jan. 7, 2009).</w:t>
      </w:r>
    </w:p>
  </w:footnote>
  <w:footnote w:id="12">
    <w:p w14:paraId="43583744" w14:textId="58D1B144" w:rsidR="00F51F6D" w:rsidRDefault="00F51F6D" w:rsidP="004D1D5B">
      <w:pPr>
        <w:pStyle w:val="FootnoteText"/>
        <w:spacing w:after="120"/>
        <w:jc w:val="both"/>
      </w:pPr>
      <w:r>
        <w:rPr>
          <w:rStyle w:val="FootnoteReference"/>
        </w:rPr>
        <w:footnoteRef/>
      </w:r>
      <w:r>
        <w:t xml:space="preserve"> </w:t>
      </w:r>
      <w:r>
        <w:rPr>
          <w:i/>
        </w:rPr>
        <w:t>2007 Duke Rate Case</w:t>
      </w:r>
      <w:r>
        <w:t>, Opinion and Order at 17-20 (May 28, 2008);</w:t>
      </w:r>
      <w:r>
        <w:rPr>
          <w:i/>
          <w:sz w:val="24"/>
          <w:szCs w:val="24"/>
        </w:rPr>
        <w:t xml:space="preserve"> </w:t>
      </w:r>
      <w:r>
        <w:rPr>
          <w:i/>
        </w:rPr>
        <w:t>2007 Dominion Rate Case</w:t>
      </w:r>
      <w:r>
        <w:t xml:space="preserve">, Opinion and Order at 23-24 (Oct. 15, 2008); </w:t>
      </w:r>
      <w:r>
        <w:rPr>
          <w:i/>
        </w:rPr>
        <w:t>2008 Columbia Rate Case</w:t>
      </w:r>
      <w:r>
        <w:t xml:space="preserve">, Opinion and Order at 19-20 (Dec. 3, 2008); </w:t>
      </w:r>
      <w:r>
        <w:rPr>
          <w:i/>
        </w:rPr>
        <w:t>2007 VEDO Rate Case</w:t>
      </w:r>
      <w:r>
        <w:t>, Opinion and Order at 11-12 (Jan. 7, 2009).</w:t>
      </w:r>
      <w:r w:rsidR="00E47ADF">
        <w:t xml:space="preserve">  </w:t>
      </w:r>
      <w:r w:rsidR="00E47ADF">
        <w:rPr>
          <w:rFonts w:cs="Arial"/>
          <w:color w:val="000000" w:themeColor="text1"/>
        </w:rPr>
        <w:t>More recently, the Commission confirmed in Case Nos. 10-3126-EL-UNC and 12</w:t>
      </w:r>
      <w:r w:rsidR="00E47ADF">
        <w:rPr>
          <w:rFonts w:cs="Arial"/>
          <w:color w:val="000000" w:themeColor="text1"/>
        </w:rPr>
        <w:noBreakHyphen/>
        <w:t>3255</w:t>
      </w:r>
      <w:r w:rsidR="00E47ADF">
        <w:rPr>
          <w:rFonts w:cs="Arial"/>
          <w:color w:val="000000" w:themeColor="text1"/>
        </w:rPr>
        <w:noBreakHyphen/>
        <w:t>EL</w:t>
      </w:r>
      <w:r w:rsidR="00E47ADF">
        <w:rPr>
          <w:rFonts w:cs="Arial"/>
          <w:color w:val="000000" w:themeColor="text1"/>
        </w:rPr>
        <w:noBreakHyphen/>
        <w:t xml:space="preserve">RDR that it was inappropriate to collect fixed costs through volumetric charges because the costs were unrelated to consumption.  </w:t>
      </w:r>
      <w:r w:rsidR="00E47ADF">
        <w:rPr>
          <w:i/>
        </w:rPr>
        <w:t>In the Matter of Aligning Electric Distribution Utility Rate Structure with Ohio's Public Policies to Promote Competition, Energy Efficiency, and Distributed Generation</w:t>
      </w:r>
      <w:r w:rsidR="00E47ADF">
        <w:t xml:space="preserve">, Case No. 10-3126-EL-UNC, Finding and Order at 1, 19-20 (Aug. 21, 2013); </w:t>
      </w:r>
      <w:r w:rsidR="00E47ADF">
        <w:rPr>
          <w:i/>
        </w:rPr>
        <w:t>In the Matter of the Application of Ohio Power Company to Establish Initial Storm Damage Recovery Rider Rates</w:t>
      </w:r>
      <w:r w:rsidR="00E47ADF">
        <w:t>, Case No. 12-3255-EL-RDR, Opinion and Order at 29 (Apr. 2, 2014) (rejecting OCC’s request to collect distribution costs through an energy allocator).</w:t>
      </w:r>
    </w:p>
  </w:footnote>
  <w:footnote w:id="13">
    <w:p w14:paraId="67B518D9" w14:textId="1BE38874" w:rsidR="00F51F6D" w:rsidRDefault="00F51F6D" w:rsidP="004D1D5B">
      <w:pPr>
        <w:pStyle w:val="FootnoteText"/>
        <w:spacing w:after="120"/>
        <w:jc w:val="both"/>
        <w:rPr>
          <w:i/>
        </w:rPr>
      </w:pPr>
      <w:r>
        <w:rPr>
          <w:rStyle w:val="FootnoteReference"/>
        </w:rPr>
        <w:footnoteRef/>
      </w:r>
      <w:r>
        <w:t xml:space="preserve"> Wisconsin Public Service Commission, </w:t>
      </w:r>
      <w:r>
        <w:rPr>
          <w:i/>
        </w:rPr>
        <w:t>WI Low-Income Assistance Fee</w:t>
      </w:r>
      <w:r>
        <w:t xml:space="preserve">, available at: </w:t>
      </w:r>
      <w:r w:rsidRPr="005B4BB0">
        <w:t>http://www.wisconsinpublicservice.com/business/wi_lowincome.aspx</w:t>
      </w:r>
      <w:r>
        <w:t xml:space="preserve">.  Residential customer charges are capped at $3.15 per month; small business customer charges are capped at $14.94 per month; the largest business customers are capped at $172.87 per month.  </w:t>
      </w:r>
      <w:r>
        <w:rPr>
          <w:i/>
        </w:rPr>
        <w:t xml:space="preserve">Id. </w:t>
      </w:r>
    </w:p>
  </w:footnote>
  <w:footnote w:id="14">
    <w:p w14:paraId="2987256F" w14:textId="4A44C967" w:rsidR="00F51F6D" w:rsidRDefault="00F51F6D" w:rsidP="004D1D5B">
      <w:pPr>
        <w:pStyle w:val="FootnoteText"/>
        <w:spacing w:after="120"/>
        <w:jc w:val="both"/>
      </w:pPr>
      <w:r>
        <w:rPr>
          <w:rStyle w:val="FootnoteReference"/>
        </w:rPr>
        <w:footnoteRef/>
      </w:r>
      <w:r>
        <w:t xml:space="preserve"> </w:t>
      </w:r>
      <w:r>
        <w:rPr>
          <w:i/>
        </w:rPr>
        <w:t xml:space="preserve">In the matter on the Commission’s own motion to implement the provisions of 2013 </w:t>
      </w:r>
      <w:r w:rsidR="00903191">
        <w:rPr>
          <w:i/>
        </w:rPr>
        <w:br/>
      </w:r>
      <w:r>
        <w:rPr>
          <w:i/>
        </w:rPr>
        <w:t>PA 95</w:t>
      </w:r>
      <w:r>
        <w:t>, MPSC Case No. U-17377, Order at 1-2 (July 29, 201</w:t>
      </w:r>
      <w:r w:rsidR="003C33B4">
        <w:t>7</w:t>
      </w:r>
      <w:r>
        <w:t>)</w:t>
      </w:r>
      <w:r w:rsidR="002D4BDB">
        <w:t>.</w:t>
      </w:r>
    </w:p>
  </w:footnote>
  <w:footnote w:id="15">
    <w:p w14:paraId="40B3DCAE" w14:textId="5648BC9C" w:rsidR="00F51F6D" w:rsidRDefault="00F51F6D" w:rsidP="004D1D5B">
      <w:pPr>
        <w:pStyle w:val="FootnoteText"/>
        <w:spacing w:after="120"/>
        <w:jc w:val="both"/>
        <w:rPr>
          <w:b/>
          <w:color w:val="000000"/>
          <w:sz w:val="26"/>
          <w:szCs w:val="26"/>
        </w:rPr>
      </w:pPr>
      <w:r>
        <w:rPr>
          <w:vertAlign w:val="superscript"/>
        </w:rPr>
        <w:footnoteRef/>
      </w:r>
      <w:r>
        <w:rPr>
          <w:vertAlign w:val="superscript"/>
        </w:rPr>
        <w:t xml:space="preserve"> </w:t>
      </w:r>
      <w:r>
        <w:rPr>
          <w:i/>
        </w:rPr>
        <w:t>Customer Assistance Programs: Funding Levels and Cost-Recovery Mechanisms</w:t>
      </w:r>
      <w:r>
        <w:t>, Pennsylvania PUC Docket No. M-00051923, Order at 32 (Oct.19, 2006)</w:t>
      </w:r>
      <w:r w:rsidR="003C33B4">
        <w:t xml:space="preserve">, available at: </w:t>
      </w:r>
      <w:hyperlink r:id="rId1" w:history="1">
        <w:r w:rsidR="001F445B" w:rsidRPr="00283A71">
          <w:rPr>
            <w:rStyle w:val="Hyperlink"/>
          </w:rPr>
          <w:t>http://www.puc.state.pa.us//PcDocs/646476.doc</w:t>
        </w:r>
      </w:hyperlink>
      <w:r>
        <w:t>.</w:t>
      </w:r>
      <w:r w:rsidR="001F445B">
        <w:t xml:space="preserve"> </w:t>
      </w:r>
    </w:p>
  </w:footnote>
  <w:footnote w:id="16">
    <w:p w14:paraId="06706F79" w14:textId="77777777" w:rsidR="00F51F6D" w:rsidRPr="00296ED6" w:rsidRDefault="00F51F6D" w:rsidP="004B01B0">
      <w:pPr>
        <w:pStyle w:val="FootnoteText"/>
        <w:spacing w:after="120"/>
        <w:jc w:val="both"/>
        <w:rPr>
          <w:rFonts w:eastAsia="Calibri"/>
        </w:rPr>
      </w:pPr>
      <w:r>
        <w:rPr>
          <w:rStyle w:val="FootnoteReference"/>
        </w:rPr>
        <w:footnoteRef/>
      </w:r>
      <w:r>
        <w:t xml:space="preserve"> </w:t>
      </w:r>
      <w:r w:rsidRPr="009C79FD">
        <w:rPr>
          <w:i/>
        </w:rPr>
        <w:t xml:space="preserve">In the Matter of the Application of the </w:t>
      </w:r>
      <w:r>
        <w:rPr>
          <w:i/>
        </w:rPr>
        <w:t xml:space="preserve">Ohio Department of Development </w:t>
      </w:r>
      <w:r w:rsidRPr="009C79FD">
        <w:rPr>
          <w:i/>
        </w:rPr>
        <w:t>for an Order Approving Adjustments to the Universal Service Fund Riders of Jurisdictional Ohio Electric Distribution Utilities</w:t>
      </w:r>
      <w:r>
        <w:t>, Case No. 12-1719-EL-USF, Opinion and Order at 5-6, 8-10 (Sept. 19, 2012) (“</w:t>
      </w:r>
      <w:r>
        <w:rPr>
          <w:i/>
        </w:rPr>
        <w:t xml:space="preserve">2012 USF </w:t>
      </w:r>
      <w:r w:rsidRPr="00296ED6">
        <w:rPr>
          <w:i/>
        </w:rPr>
        <w:t>Case</w:t>
      </w:r>
      <w:r w:rsidRPr="00296ED6">
        <w:t>”).</w:t>
      </w:r>
    </w:p>
  </w:footnote>
  <w:footnote w:id="17">
    <w:p w14:paraId="227117E0" w14:textId="244196D4" w:rsidR="00F51F6D" w:rsidRPr="00A84815" w:rsidRDefault="00F51F6D" w:rsidP="002D4BDB">
      <w:pPr>
        <w:pStyle w:val="FootnoteText"/>
        <w:spacing w:after="120"/>
        <w:jc w:val="both"/>
      </w:pPr>
      <w:r>
        <w:rPr>
          <w:rStyle w:val="FootnoteReference"/>
        </w:rPr>
        <w:footnoteRef/>
      </w:r>
      <w:r>
        <w:t xml:space="preserve"> </w:t>
      </w:r>
      <w:r w:rsidR="0040373B">
        <w:rPr>
          <w:i/>
        </w:rPr>
        <w:t>2017 USF Case</w:t>
      </w:r>
      <w:r>
        <w:t>, Opinion and Order at 2</w:t>
      </w:r>
      <w:r w:rsidR="002D4BDB">
        <w:t xml:space="preserve">6 (citing </w:t>
      </w:r>
      <w:r w:rsidR="002D4BDB">
        <w:rPr>
          <w:i/>
        </w:rPr>
        <w:t>2015 USF Case</w:t>
      </w:r>
      <w:r w:rsidR="002D4BDB">
        <w:t>, Opinion and Order at 21 (Oct. 28, 2015))</w:t>
      </w:r>
      <w:r>
        <w:t>.</w:t>
      </w:r>
    </w:p>
  </w:footnote>
  <w:footnote w:id="18">
    <w:p w14:paraId="67ADB893" w14:textId="77777777" w:rsidR="00F51F6D" w:rsidRPr="00A84815" w:rsidRDefault="00F51F6D" w:rsidP="004B01B0">
      <w:pPr>
        <w:pStyle w:val="FootnoteText"/>
        <w:spacing w:after="120"/>
        <w:rPr>
          <w:i/>
        </w:rPr>
      </w:pPr>
      <w:r>
        <w:rPr>
          <w:rStyle w:val="FootnoteReference"/>
        </w:rPr>
        <w:footnoteRef/>
      </w:r>
      <w:r>
        <w:t xml:space="preserve"> </w:t>
      </w:r>
      <w:r>
        <w:rPr>
          <w:i/>
        </w:rPr>
        <w:t>See id.</w:t>
      </w:r>
    </w:p>
  </w:footnote>
  <w:footnote w:id="19">
    <w:p w14:paraId="0E8ED531" w14:textId="77777777" w:rsidR="00F51F6D" w:rsidRPr="009C79FD" w:rsidRDefault="00F51F6D" w:rsidP="004B01B0">
      <w:pPr>
        <w:pStyle w:val="FootnoteText"/>
        <w:spacing w:after="120"/>
        <w:jc w:val="both"/>
      </w:pPr>
      <w:r w:rsidRPr="00296ED6">
        <w:rPr>
          <w:rStyle w:val="FootnoteReference"/>
        </w:rPr>
        <w:footnoteRef/>
      </w:r>
      <w:r w:rsidRPr="00296ED6">
        <w:t xml:space="preserve"> </w:t>
      </w:r>
      <w:r w:rsidRPr="00296ED6">
        <w:rPr>
          <w:i/>
        </w:rPr>
        <w:t>In re Application of Duke Energy Ohio Inc.</w:t>
      </w:r>
      <w:r w:rsidRPr="00296ED6">
        <w:t xml:space="preserve">, </w:t>
      </w:r>
      <w:r>
        <w:t xml:space="preserve">150 Ohio St.3d 437, </w:t>
      </w:r>
      <w:r w:rsidRPr="00296ED6">
        <w:t xml:space="preserve">2017-Ohio-5536 at </w:t>
      </w:r>
      <w:r w:rsidRPr="00296ED6">
        <w:rPr>
          <w:rFonts w:cs="Arial"/>
        </w:rPr>
        <w:t>¶</w:t>
      </w:r>
      <w:r w:rsidRPr="00296ED6">
        <w:t xml:space="preserve"> 23 (</w:t>
      </w:r>
      <w:r w:rsidRPr="00296ED6">
        <w:rPr>
          <w:i/>
        </w:rPr>
        <w:t xml:space="preserve">quoting Cleveland Elec. </w:t>
      </w:r>
      <w:proofErr w:type="spellStart"/>
      <w:r w:rsidRPr="00296ED6">
        <w:rPr>
          <w:i/>
        </w:rPr>
        <w:t>Illum</w:t>
      </w:r>
      <w:proofErr w:type="spellEnd"/>
      <w:r w:rsidRPr="00296ED6">
        <w:rPr>
          <w:i/>
        </w:rPr>
        <w:t>. Co. v. Pub. Util. Comm.</w:t>
      </w:r>
      <w:r w:rsidRPr="00296ED6">
        <w:t>, 42 Ohio St.2d 403, 431 (1975)).</w:t>
      </w:r>
    </w:p>
  </w:footnote>
  <w:footnote w:id="20">
    <w:p w14:paraId="4F25D261" w14:textId="77777777" w:rsidR="00F51F6D" w:rsidRPr="00B227CB" w:rsidRDefault="00F51F6D" w:rsidP="004D1D5B">
      <w:pPr>
        <w:pStyle w:val="FootnoteText"/>
        <w:spacing w:after="120"/>
      </w:pPr>
      <w:r>
        <w:rPr>
          <w:rStyle w:val="FootnoteReference"/>
        </w:rPr>
        <w:footnoteRef/>
      </w:r>
      <w:r>
        <w:t xml:space="preserve"> </w:t>
      </w:r>
      <w:r>
        <w:rPr>
          <w:i/>
        </w:rPr>
        <w:t>See 2015 USF Case</w:t>
      </w:r>
      <w:r>
        <w:t xml:space="preserve">, Opinion and Order at 22; </w:t>
      </w:r>
      <w:r>
        <w:rPr>
          <w:i/>
        </w:rPr>
        <w:t>2015 USF Case</w:t>
      </w:r>
      <w:r>
        <w:t>, Testimony of AEP-Ohio Witness Gill at 1, 6, Exhibit DRG-1.</w:t>
      </w:r>
    </w:p>
  </w:footnote>
  <w:footnote w:id="21">
    <w:p w14:paraId="7904C4E7" w14:textId="77777777" w:rsidR="00F51F6D" w:rsidRDefault="00F51F6D" w:rsidP="004D1D5B">
      <w:pPr>
        <w:pStyle w:val="FootnoteText"/>
        <w:spacing w:after="120"/>
      </w:pPr>
      <w:r>
        <w:rPr>
          <w:rStyle w:val="FootnoteReference"/>
        </w:rPr>
        <w:footnoteRef/>
      </w:r>
      <w:r>
        <w:t xml:space="preserve"> </w:t>
      </w:r>
      <w:r>
        <w:rPr>
          <w:i/>
        </w:rPr>
        <w:t>2015 USF Case</w:t>
      </w:r>
      <w:r>
        <w:t>, Testimony of AEP-Ohio Witness Gill at 6, Exhibit DRG-1.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0931D" w14:textId="77777777" w:rsidR="005B4BB0" w:rsidRDefault="005B4BB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E3408" w14:textId="77777777" w:rsidR="00283701" w:rsidRDefault="002837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D26D5" w14:textId="77777777" w:rsidR="005B4BB0" w:rsidRDefault="005B4B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7EFEB" w14:textId="77777777" w:rsidR="005B4BB0" w:rsidRDefault="005B4B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8F3F8" w14:textId="77777777" w:rsidR="00283701" w:rsidRDefault="002837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F298A" w14:textId="77777777" w:rsidR="00283701" w:rsidRDefault="002837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4FF87" w14:textId="77777777" w:rsidR="00F51F6D" w:rsidRDefault="00F51F6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8A0D4" w14:textId="77777777" w:rsidR="00F51F6D" w:rsidRDefault="00F51F6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9CEA8" w14:textId="77777777" w:rsidR="00F51F6D" w:rsidRDefault="00F51F6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C639" w14:textId="77777777" w:rsidR="00283701" w:rsidRDefault="00283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604F1"/>
    <w:multiLevelType w:val="multilevel"/>
    <w:tmpl w:val="D3760856"/>
    <w:name w:val="IEU-Ohio PUCO Basic-Scheme 1"/>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5F7"/>
    <w:rsid w:val="00013753"/>
    <w:rsid w:val="00061F7C"/>
    <w:rsid w:val="00094C1B"/>
    <w:rsid w:val="000A68DE"/>
    <w:rsid w:val="00125388"/>
    <w:rsid w:val="00126205"/>
    <w:rsid w:val="00130203"/>
    <w:rsid w:val="001310EC"/>
    <w:rsid w:val="001625D8"/>
    <w:rsid w:val="0016750D"/>
    <w:rsid w:val="0018060B"/>
    <w:rsid w:val="00195AC6"/>
    <w:rsid w:val="001A6FBD"/>
    <w:rsid w:val="001C7397"/>
    <w:rsid w:val="001E44E1"/>
    <w:rsid w:val="001F445B"/>
    <w:rsid w:val="00217E3F"/>
    <w:rsid w:val="0023648B"/>
    <w:rsid w:val="00283701"/>
    <w:rsid w:val="00296ED6"/>
    <w:rsid w:val="002D2640"/>
    <w:rsid w:val="002D4BDB"/>
    <w:rsid w:val="00313017"/>
    <w:rsid w:val="00331F1C"/>
    <w:rsid w:val="003329C1"/>
    <w:rsid w:val="003462EE"/>
    <w:rsid w:val="00352166"/>
    <w:rsid w:val="003B3077"/>
    <w:rsid w:val="003B5C85"/>
    <w:rsid w:val="003C33B4"/>
    <w:rsid w:val="003E1034"/>
    <w:rsid w:val="0040373B"/>
    <w:rsid w:val="0045789B"/>
    <w:rsid w:val="00497C69"/>
    <w:rsid w:val="004A59E2"/>
    <w:rsid w:val="004B01B0"/>
    <w:rsid w:val="004D1D5B"/>
    <w:rsid w:val="004D5A2C"/>
    <w:rsid w:val="005158B5"/>
    <w:rsid w:val="0052059E"/>
    <w:rsid w:val="005420FB"/>
    <w:rsid w:val="00553ACB"/>
    <w:rsid w:val="0056768E"/>
    <w:rsid w:val="00577DF7"/>
    <w:rsid w:val="00587CD7"/>
    <w:rsid w:val="00597EB5"/>
    <w:rsid w:val="005B02C1"/>
    <w:rsid w:val="005B4BB0"/>
    <w:rsid w:val="005D0A84"/>
    <w:rsid w:val="005F47C1"/>
    <w:rsid w:val="00616C2B"/>
    <w:rsid w:val="00617D48"/>
    <w:rsid w:val="00665E7A"/>
    <w:rsid w:val="006B1EF2"/>
    <w:rsid w:val="006C60F6"/>
    <w:rsid w:val="006D53C7"/>
    <w:rsid w:val="00727664"/>
    <w:rsid w:val="00745666"/>
    <w:rsid w:val="007A05F7"/>
    <w:rsid w:val="007A3C69"/>
    <w:rsid w:val="007D0284"/>
    <w:rsid w:val="007D6E45"/>
    <w:rsid w:val="007D7E96"/>
    <w:rsid w:val="007E10C1"/>
    <w:rsid w:val="007F0BF3"/>
    <w:rsid w:val="007F4B70"/>
    <w:rsid w:val="0080427F"/>
    <w:rsid w:val="00841A51"/>
    <w:rsid w:val="00892A23"/>
    <w:rsid w:val="008C4A51"/>
    <w:rsid w:val="008E3BF4"/>
    <w:rsid w:val="008E7D27"/>
    <w:rsid w:val="00903191"/>
    <w:rsid w:val="00923261"/>
    <w:rsid w:val="0094675D"/>
    <w:rsid w:val="009614E6"/>
    <w:rsid w:val="009B250D"/>
    <w:rsid w:val="009B3049"/>
    <w:rsid w:val="009C79FD"/>
    <w:rsid w:val="00A101AD"/>
    <w:rsid w:val="00A72E1B"/>
    <w:rsid w:val="00A80A0E"/>
    <w:rsid w:val="00A84815"/>
    <w:rsid w:val="00AE5368"/>
    <w:rsid w:val="00AE585F"/>
    <w:rsid w:val="00B02F4F"/>
    <w:rsid w:val="00B05C76"/>
    <w:rsid w:val="00B0731E"/>
    <w:rsid w:val="00B227CB"/>
    <w:rsid w:val="00B318FD"/>
    <w:rsid w:val="00B34CCF"/>
    <w:rsid w:val="00B44B06"/>
    <w:rsid w:val="00B64E29"/>
    <w:rsid w:val="00BE13FE"/>
    <w:rsid w:val="00BF0890"/>
    <w:rsid w:val="00C0405A"/>
    <w:rsid w:val="00C154B8"/>
    <w:rsid w:val="00C17B91"/>
    <w:rsid w:val="00C30C33"/>
    <w:rsid w:val="00C7144D"/>
    <w:rsid w:val="00C936F8"/>
    <w:rsid w:val="00CD70D6"/>
    <w:rsid w:val="00D00632"/>
    <w:rsid w:val="00D10F32"/>
    <w:rsid w:val="00D1483F"/>
    <w:rsid w:val="00D251A7"/>
    <w:rsid w:val="00D53A74"/>
    <w:rsid w:val="00D62255"/>
    <w:rsid w:val="00D71EDE"/>
    <w:rsid w:val="00D93242"/>
    <w:rsid w:val="00E47ADF"/>
    <w:rsid w:val="00E52ABF"/>
    <w:rsid w:val="00E67755"/>
    <w:rsid w:val="00E82B99"/>
    <w:rsid w:val="00E873A5"/>
    <w:rsid w:val="00EB2DF7"/>
    <w:rsid w:val="00EB4F6B"/>
    <w:rsid w:val="00EC20CD"/>
    <w:rsid w:val="00EE7D04"/>
    <w:rsid w:val="00EF0221"/>
    <w:rsid w:val="00F059D6"/>
    <w:rsid w:val="00F3680E"/>
    <w:rsid w:val="00F51F6D"/>
    <w:rsid w:val="00F63822"/>
    <w:rsid w:val="00F763E8"/>
    <w:rsid w:val="00FB4A0B"/>
    <w:rsid w:val="00FD3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4676F"/>
  <w15:chartTrackingRefBased/>
  <w15:docId w15:val="{257B827E-9826-4576-BB96-0B3EE727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2E1B"/>
    <w:pPr>
      <w:numPr>
        <w:numId w:val="1"/>
      </w:numPr>
      <w:spacing w:before="180" w:after="240"/>
      <w:jc w:val="both"/>
      <w:outlineLvl w:val="0"/>
    </w:pPr>
    <w:rPr>
      <w:rFonts w:eastAsiaTheme="majorEastAsia" w:cs="Arial"/>
      <w:b/>
      <w:caps/>
      <w:szCs w:val="32"/>
      <w:u w:val="single"/>
    </w:rPr>
  </w:style>
  <w:style w:type="paragraph" w:styleId="Heading2">
    <w:name w:val="heading 2"/>
    <w:basedOn w:val="Normal"/>
    <w:next w:val="Normal"/>
    <w:link w:val="Heading2Char"/>
    <w:uiPriority w:val="9"/>
    <w:unhideWhenUsed/>
    <w:qFormat/>
    <w:rsid w:val="00A72E1B"/>
    <w:pPr>
      <w:numPr>
        <w:ilvl w:val="1"/>
        <w:numId w:val="1"/>
      </w:numPr>
      <w:tabs>
        <w:tab w:val="left" w:pos="1440"/>
      </w:tabs>
      <w:spacing w:after="240"/>
      <w:jc w:val="both"/>
      <w:outlineLvl w:val="1"/>
    </w:pPr>
    <w:rPr>
      <w:rFonts w:eastAsiaTheme="majorEastAsia" w:cs="Arial"/>
      <w:b/>
      <w:szCs w:val="26"/>
    </w:rPr>
  </w:style>
  <w:style w:type="paragraph" w:styleId="Heading3">
    <w:name w:val="heading 3"/>
    <w:basedOn w:val="Normal"/>
    <w:next w:val="Normal"/>
    <w:link w:val="Heading3Char"/>
    <w:uiPriority w:val="9"/>
    <w:semiHidden/>
    <w:unhideWhenUsed/>
    <w:qFormat/>
    <w:rsid w:val="00A72E1B"/>
    <w:pPr>
      <w:numPr>
        <w:ilvl w:val="2"/>
        <w:numId w:val="1"/>
      </w:numPr>
      <w:tabs>
        <w:tab w:val="left" w:pos="2160"/>
      </w:tabs>
      <w:spacing w:after="240"/>
      <w:jc w:val="both"/>
      <w:outlineLvl w:val="2"/>
    </w:pPr>
    <w:rPr>
      <w:rFonts w:eastAsiaTheme="majorEastAsia" w:cs="Arial"/>
      <w:b/>
    </w:rPr>
  </w:style>
  <w:style w:type="paragraph" w:styleId="Heading4">
    <w:name w:val="heading 4"/>
    <w:basedOn w:val="Normal"/>
    <w:next w:val="Normal"/>
    <w:link w:val="Heading4Char"/>
    <w:uiPriority w:val="9"/>
    <w:semiHidden/>
    <w:unhideWhenUsed/>
    <w:qFormat/>
    <w:rsid w:val="00A72E1B"/>
    <w:pPr>
      <w:numPr>
        <w:ilvl w:val="3"/>
        <w:numId w:val="1"/>
      </w:numPr>
      <w:tabs>
        <w:tab w:val="left" w:pos="2880"/>
      </w:tabs>
      <w:spacing w:after="240"/>
      <w:jc w:val="both"/>
      <w:outlineLvl w:val="3"/>
    </w:pPr>
    <w:rPr>
      <w:rFonts w:eastAsiaTheme="majorEastAsia" w:cs="Arial"/>
      <w:b/>
      <w:i/>
      <w:iCs/>
    </w:rPr>
  </w:style>
  <w:style w:type="paragraph" w:styleId="Heading5">
    <w:name w:val="heading 5"/>
    <w:basedOn w:val="Normal"/>
    <w:next w:val="Normal"/>
    <w:link w:val="Heading5Char"/>
    <w:uiPriority w:val="9"/>
    <w:semiHidden/>
    <w:unhideWhenUsed/>
    <w:qFormat/>
    <w:rsid w:val="00A72E1B"/>
    <w:pPr>
      <w:numPr>
        <w:ilvl w:val="4"/>
        <w:numId w:val="1"/>
      </w:numPr>
      <w:tabs>
        <w:tab w:val="left" w:pos="3600"/>
      </w:tabs>
      <w:spacing w:after="240"/>
      <w:jc w:val="both"/>
      <w:outlineLvl w:val="4"/>
    </w:pPr>
    <w:rPr>
      <w:rFonts w:eastAsiaTheme="majorEastAsia" w:cs="Arial"/>
      <w:color w:val="243F60" w:themeColor="accent1" w:themeShade="7F"/>
    </w:rPr>
  </w:style>
  <w:style w:type="paragraph" w:styleId="Heading6">
    <w:name w:val="heading 6"/>
    <w:basedOn w:val="Normal"/>
    <w:next w:val="Normal"/>
    <w:link w:val="Heading6Char"/>
    <w:uiPriority w:val="9"/>
    <w:semiHidden/>
    <w:unhideWhenUsed/>
    <w:qFormat/>
    <w:rsid w:val="00A72E1B"/>
    <w:pPr>
      <w:numPr>
        <w:ilvl w:val="5"/>
        <w:numId w:val="1"/>
      </w:numPr>
      <w:tabs>
        <w:tab w:val="left" w:pos="4320"/>
      </w:tabs>
      <w:spacing w:after="240"/>
      <w:jc w:val="both"/>
      <w:outlineLvl w:val="5"/>
    </w:pPr>
    <w:rPr>
      <w:rFonts w:eastAsiaTheme="majorEastAsia" w:cs="Arial"/>
      <w:color w:val="243F60" w:themeColor="accent1" w:themeShade="7F"/>
    </w:rPr>
  </w:style>
  <w:style w:type="paragraph" w:styleId="Heading7">
    <w:name w:val="heading 7"/>
    <w:basedOn w:val="Normal"/>
    <w:next w:val="Normal"/>
    <w:link w:val="Heading7Char"/>
    <w:uiPriority w:val="9"/>
    <w:semiHidden/>
    <w:unhideWhenUsed/>
    <w:qFormat/>
    <w:rsid w:val="00A72E1B"/>
    <w:pPr>
      <w:numPr>
        <w:ilvl w:val="6"/>
        <w:numId w:val="1"/>
      </w:numPr>
      <w:tabs>
        <w:tab w:val="left" w:pos="5040"/>
      </w:tabs>
      <w:spacing w:after="240"/>
      <w:jc w:val="both"/>
      <w:outlineLvl w:val="6"/>
    </w:pPr>
    <w:rPr>
      <w:rFonts w:eastAsiaTheme="majorEastAsia" w:cs="Arial"/>
      <w:iCs/>
      <w:color w:val="404040" w:themeColor="text1" w:themeTint="BF"/>
    </w:rPr>
  </w:style>
  <w:style w:type="paragraph" w:styleId="Heading8">
    <w:name w:val="heading 8"/>
    <w:basedOn w:val="Normal"/>
    <w:next w:val="Normal"/>
    <w:link w:val="Heading8Char"/>
    <w:uiPriority w:val="9"/>
    <w:semiHidden/>
    <w:unhideWhenUsed/>
    <w:qFormat/>
    <w:rsid w:val="00A72E1B"/>
    <w:pPr>
      <w:numPr>
        <w:ilvl w:val="7"/>
        <w:numId w:val="1"/>
      </w:numPr>
      <w:tabs>
        <w:tab w:val="left" w:pos="5760"/>
      </w:tabs>
      <w:spacing w:after="240"/>
      <w:jc w:val="both"/>
      <w:outlineLvl w:val="7"/>
    </w:pPr>
    <w:rPr>
      <w:rFonts w:eastAsiaTheme="majorEastAsia" w:cs="Arial"/>
      <w:color w:val="404040" w:themeColor="text1" w:themeTint="BF"/>
      <w:szCs w:val="21"/>
    </w:rPr>
  </w:style>
  <w:style w:type="paragraph" w:styleId="Heading9">
    <w:name w:val="heading 9"/>
    <w:basedOn w:val="Normal"/>
    <w:next w:val="Normal"/>
    <w:link w:val="Heading9Char"/>
    <w:uiPriority w:val="9"/>
    <w:semiHidden/>
    <w:unhideWhenUsed/>
    <w:qFormat/>
    <w:rsid w:val="00A72E1B"/>
    <w:pPr>
      <w:numPr>
        <w:ilvl w:val="8"/>
        <w:numId w:val="1"/>
      </w:numPr>
      <w:tabs>
        <w:tab w:val="left" w:pos="6480"/>
      </w:tabs>
      <w:spacing w:after="240"/>
      <w:jc w:val="both"/>
      <w:outlineLvl w:val="8"/>
    </w:pPr>
    <w:rPr>
      <w:rFonts w:eastAsiaTheme="majorEastAsia" w:cs="Arial"/>
      <w:iCs/>
      <w:color w:val="404040" w:themeColor="text1"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D04"/>
    <w:pPr>
      <w:tabs>
        <w:tab w:val="center" w:pos="4680"/>
        <w:tab w:val="right" w:pos="9360"/>
      </w:tabs>
    </w:pPr>
  </w:style>
  <w:style w:type="character" w:customStyle="1" w:styleId="HeaderChar">
    <w:name w:val="Header Char"/>
    <w:basedOn w:val="DefaultParagraphFont"/>
    <w:link w:val="Header"/>
    <w:uiPriority w:val="99"/>
    <w:rsid w:val="00EE7D04"/>
  </w:style>
  <w:style w:type="paragraph" w:styleId="Footer">
    <w:name w:val="footer"/>
    <w:basedOn w:val="Normal"/>
    <w:link w:val="FooterChar"/>
    <w:uiPriority w:val="99"/>
    <w:unhideWhenUsed/>
    <w:rsid w:val="00EE7D04"/>
    <w:pPr>
      <w:tabs>
        <w:tab w:val="center" w:pos="4680"/>
        <w:tab w:val="right" w:pos="9360"/>
      </w:tabs>
    </w:pPr>
  </w:style>
  <w:style w:type="character" w:customStyle="1" w:styleId="FooterChar">
    <w:name w:val="Footer Char"/>
    <w:basedOn w:val="DefaultParagraphFont"/>
    <w:link w:val="Footer"/>
    <w:uiPriority w:val="99"/>
    <w:rsid w:val="00EE7D04"/>
  </w:style>
  <w:style w:type="character" w:customStyle="1" w:styleId="Heading1Char">
    <w:name w:val="Heading 1 Char"/>
    <w:basedOn w:val="DefaultParagraphFont"/>
    <w:link w:val="Heading1"/>
    <w:uiPriority w:val="9"/>
    <w:rsid w:val="00A72E1B"/>
    <w:rPr>
      <w:rFonts w:eastAsiaTheme="majorEastAsia" w:cs="Arial"/>
      <w:b/>
      <w:caps/>
      <w:szCs w:val="32"/>
      <w:u w:val="single"/>
    </w:rPr>
  </w:style>
  <w:style w:type="character" w:customStyle="1" w:styleId="Heading2Char">
    <w:name w:val="Heading 2 Char"/>
    <w:basedOn w:val="DefaultParagraphFont"/>
    <w:link w:val="Heading2"/>
    <w:uiPriority w:val="9"/>
    <w:rsid w:val="00A72E1B"/>
    <w:rPr>
      <w:rFonts w:eastAsiaTheme="majorEastAsia" w:cs="Arial"/>
      <w:b/>
      <w:szCs w:val="26"/>
    </w:rPr>
  </w:style>
  <w:style w:type="character" w:customStyle="1" w:styleId="Heading3Char">
    <w:name w:val="Heading 3 Char"/>
    <w:basedOn w:val="DefaultParagraphFont"/>
    <w:link w:val="Heading3"/>
    <w:uiPriority w:val="9"/>
    <w:semiHidden/>
    <w:rsid w:val="00A72E1B"/>
    <w:rPr>
      <w:rFonts w:eastAsiaTheme="majorEastAsia" w:cs="Arial"/>
      <w:b/>
    </w:rPr>
  </w:style>
  <w:style w:type="character" w:customStyle="1" w:styleId="Heading4Char">
    <w:name w:val="Heading 4 Char"/>
    <w:basedOn w:val="DefaultParagraphFont"/>
    <w:link w:val="Heading4"/>
    <w:uiPriority w:val="9"/>
    <w:semiHidden/>
    <w:rsid w:val="00A72E1B"/>
    <w:rPr>
      <w:rFonts w:eastAsiaTheme="majorEastAsia" w:cs="Arial"/>
      <w:b/>
      <w:i/>
      <w:iCs/>
    </w:rPr>
  </w:style>
  <w:style w:type="character" w:customStyle="1" w:styleId="Heading5Char">
    <w:name w:val="Heading 5 Char"/>
    <w:basedOn w:val="DefaultParagraphFont"/>
    <w:link w:val="Heading5"/>
    <w:uiPriority w:val="9"/>
    <w:semiHidden/>
    <w:rsid w:val="00A72E1B"/>
    <w:rPr>
      <w:rFonts w:eastAsiaTheme="majorEastAsia" w:cs="Arial"/>
      <w:color w:val="243F60" w:themeColor="accent1" w:themeShade="7F"/>
    </w:rPr>
  </w:style>
  <w:style w:type="character" w:customStyle="1" w:styleId="Heading6Char">
    <w:name w:val="Heading 6 Char"/>
    <w:basedOn w:val="DefaultParagraphFont"/>
    <w:link w:val="Heading6"/>
    <w:uiPriority w:val="9"/>
    <w:semiHidden/>
    <w:rsid w:val="00A72E1B"/>
    <w:rPr>
      <w:rFonts w:eastAsiaTheme="majorEastAsia" w:cs="Arial"/>
      <w:color w:val="243F60" w:themeColor="accent1" w:themeShade="7F"/>
    </w:rPr>
  </w:style>
  <w:style w:type="character" w:customStyle="1" w:styleId="Heading7Char">
    <w:name w:val="Heading 7 Char"/>
    <w:basedOn w:val="DefaultParagraphFont"/>
    <w:link w:val="Heading7"/>
    <w:uiPriority w:val="9"/>
    <w:semiHidden/>
    <w:rsid w:val="00A72E1B"/>
    <w:rPr>
      <w:rFonts w:eastAsiaTheme="majorEastAsia" w:cs="Arial"/>
      <w:iCs/>
      <w:color w:val="404040" w:themeColor="text1" w:themeTint="BF"/>
    </w:rPr>
  </w:style>
  <w:style w:type="character" w:customStyle="1" w:styleId="Heading8Char">
    <w:name w:val="Heading 8 Char"/>
    <w:basedOn w:val="DefaultParagraphFont"/>
    <w:link w:val="Heading8"/>
    <w:uiPriority w:val="9"/>
    <w:semiHidden/>
    <w:rsid w:val="00A72E1B"/>
    <w:rPr>
      <w:rFonts w:eastAsiaTheme="majorEastAsia" w:cs="Arial"/>
      <w:color w:val="404040" w:themeColor="text1" w:themeTint="BF"/>
      <w:szCs w:val="21"/>
    </w:rPr>
  </w:style>
  <w:style w:type="character" w:customStyle="1" w:styleId="Heading9Char">
    <w:name w:val="Heading 9 Char"/>
    <w:basedOn w:val="DefaultParagraphFont"/>
    <w:link w:val="Heading9"/>
    <w:uiPriority w:val="9"/>
    <w:semiHidden/>
    <w:rsid w:val="00A72E1B"/>
    <w:rPr>
      <w:rFonts w:eastAsiaTheme="majorEastAsia" w:cs="Arial"/>
      <w:iCs/>
      <w:color w:val="404040" w:themeColor="text1" w:themeTint="BF"/>
      <w:szCs w:val="21"/>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 Char,ft,ft Char,fn,char,Footnote Text Char1"/>
    <w:basedOn w:val="Normal"/>
    <w:link w:val="FootnoteTextChar"/>
    <w:uiPriority w:val="99"/>
    <w:unhideWhenUsed/>
    <w:qFormat/>
    <w:rsid w:val="00EF0221"/>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 Char Char1"/>
    <w:basedOn w:val="DefaultParagraphFont"/>
    <w:link w:val="FootnoteText"/>
    <w:uiPriority w:val="99"/>
    <w:rsid w:val="00EF0221"/>
    <w:rPr>
      <w:sz w:val="20"/>
      <w:szCs w:val="20"/>
    </w:rPr>
  </w:style>
  <w:style w:type="character" w:styleId="FootnoteReference">
    <w:name w:val="footnote reference"/>
    <w:basedOn w:val="DefaultParagraphFont"/>
    <w:uiPriority w:val="99"/>
    <w:semiHidden/>
    <w:unhideWhenUsed/>
    <w:rsid w:val="00EF0221"/>
    <w:rPr>
      <w:vertAlign w:val="superscript"/>
    </w:rPr>
  </w:style>
  <w:style w:type="paragraph" w:styleId="BalloonText">
    <w:name w:val="Balloon Text"/>
    <w:basedOn w:val="Normal"/>
    <w:link w:val="BalloonTextChar"/>
    <w:uiPriority w:val="99"/>
    <w:semiHidden/>
    <w:unhideWhenUsed/>
    <w:rsid w:val="00E873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3A5"/>
    <w:rPr>
      <w:rFonts w:ascii="Segoe UI" w:hAnsi="Segoe UI" w:cs="Segoe UI"/>
      <w:sz w:val="18"/>
      <w:szCs w:val="18"/>
    </w:rPr>
  </w:style>
  <w:style w:type="paragraph" w:styleId="Title">
    <w:name w:val="Title"/>
    <w:basedOn w:val="Normal"/>
    <w:link w:val="TitleChar"/>
    <w:qFormat/>
    <w:rsid w:val="00A80A0E"/>
    <w:pPr>
      <w:jc w:val="center"/>
    </w:pPr>
    <w:rPr>
      <w:rFonts w:eastAsia="Times New Roman" w:cs="Arial"/>
      <w:b/>
      <w:smallCaps/>
      <w:sz w:val="32"/>
    </w:rPr>
  </w:style>
  <w:style w:type="character" w:customStyle="1" w:styleId="TitleChar">
    <w:name w:val="Title Char"/>
    <w:basedOn w:val="DefaultParagraphFont"/>
    <w:link w:val="Title"/>
    <w:rsid w:val="00A80A0E"/>
    <w:rPr>
      <w:rFonts w:eastAsia="Times New Roman" w:cs="Arial"/>
      <w:b/>
      <w:smallCaps/>
      <w:sz w:val="32"/>
    </w:rPr>
  </w:style>
  <w:style w:type="paragraph" w:styleId="BodyText">
    <w:name w:val="Body Text"/>
    <w:basedOn w:val="Normal"/>
    <w:link w:val="BodyTextChar"/>
    <w:semiHidden/>
    <w:unhideWhenUsed/>
    <w:rsid w:val="00A80A0E"/>
    <w:pPr>
      <w:jc w:val="both"/>
    </w:pPr>
    <w:rPr>
      <w:rFonts w:eastAsia="Times New Roman" w:cs="Arial"/>
    </w:rPr>
  </w:style>
  <w:style w:type="character" w:customStyle="1" w:styleId="BodyTextChar">
    <w:name w:val="Body Text Char"/>
    <w:basedOn w:val="DefaultParagraphFont"/>
    <w:link w:val="BodyText"/>
    <w:semiHidden/>
    <w:rsid w:val="00A80A0E"/>
    <w:rPr>
      <w:rFonts w:eastAsia="Times New Roman" w:cs="Arial"/>
    </w:rPr>
  </w:style>
  <w:style w:type="paragraph" w:styleId="BodyText3">
    <w:name w:val="Body Text 3"/>
    <w:basedOn w:val="Normal"/>
    <w:link w:val="BodyText3Char"/>
    <w:semiHidden/>
    <w:unhideWhenUsed/>
    <w:rsid w:val="00A80A0E"/>
    <w:rPr>
      <w:rFonts w:ascii="Times New Roman" w:eastAsia="Times New Roman" w:hAnsi="Times New Roman" w:cs="Times New Roman"/>
      <w:b/>
      <w:szCs w:val="20"/>
    </w:rPr>
  </w:style>
  <w:style w:type="character" w:customStyle="1" w:styleId="BodyText3Char">
    <w:name w:val="Body Text 3 Char"/>
    <w:basedOn w:val="DefaultParagraphFont"/>
    <w:link w:val="BodyText3"/>
    <w:semiHidden/>
    <w:rsid w:val="00A80A0E"/>
    <w:rPr>
      <w:rFonts w:ascii="Times New Roman" w:eastAsia="Times New Roman" w:hAnsi="Times New Roman" w:cs="Times New Roman"/>
      <w:b/>
      <w:szCs w:val="20"/>
    </w:rPr>
  </w:style>
  <w:style w:type="character" w:styleId="Hyperlink">
    <w:name w:val="Hyperlink"/>
    <w:basedOn w:val="DefaultParagraphFont"/>
    <w:uiPriority w:val="99"/>
    <w:unhideWhenUsed/>
    <w:rsid w:val="00AE5368"/>
    <w:rPr>
      <w:color w:val="0000FF" w:themeColor="hyperlink"/>
      <w:u w:val="single"/>
    </w:rPr>
  </w:style>
  <w:style w:type="character" w:styleId="FollowedHyperlink">
    <w:name w:val="FollowedHyperlink"/>
    <w:basedOn w:val="DefaultParagraphFont"/>
    <w:uiPriority w:val="99"/>
    <w:semiHidden/>
    <w:unhideWhenUsed/>
    <w:rsid w:val="00AE5368"/>
    <w:rPr>
      <w:color w:val="800080" w:themeColor="followedHyperlink"/>
      <w:u w:val="single"/>
    </w:rPr>
  </w:style>
  <w:style w:type="character" w:styleId="CommentReference">
    <w:name w:val="annotation reference"/>
    <w:basedOn w:val="DefaultParagraphFont"/>
    <w:uiPriority w:val="99"/>
    <w:semiHidden/>
    <w:unhideWhenUsed/>
    <w:rsid w:val="004D1D5B"/>
    <w:rPr>
      <w:sz w:val="16"/>
      <w:szCs w:val="16"/>
    </w:rPr>
  </w:style>
  <w:style w:type="paragraph" w:styleId="CommentText">
    <w:name w:val="annotation text"/>
    <w:basedOn w:val="Normal"/>
    <w:link w:val="CommentTextChar"/>
    <w:uiPriority w:val="99"/>
    <w:semiHidden/>
    <w:unhideWhenUsed/>
    <w:rsid w:val="004D1D5B"/>
    <w:rPr>
      <w:sz w:val="20"/>
      <w:szCs w:val="20"/>
    </w:rPr>
  </w:style>
  <w:style w:type="character" w:customStyle="1" w:styleId="CommentTextChar">
    <w:name w:val="Comment Text Char"/>
    <w:basedOn w:val="DefaultParagraphFont"/>
    <w:link w:val="CommentText"/>
    <w:uiPriority w:val="99"/>
    <w:semiHidden/>
    <w:rsid w:val="004D1D5B"/>
    <w:rPr>
      <w:sz w:val="20"/>
      <w:szCs w:val="20"/>
    </w:rPr>
  </w:style>
  <w:style w:type="paragraph" w:styleId="CommentSubject">
    <w:name w:val="annotation subject"/>
    <w:basedOn w:val="CommentText"/>
    <w:next w:val="CommentText"/>
    <w:link w:val="CommentSubjectChar"/>
    <w:uiPriority w:val="99"/>
    <w:semiHidden/>
    <w:unhideWhenUsed/>
    <w:rsid w:val="004D1D5B"/>
    <w:rPr>
      <w:b/>
      <w:bCs/>
    </w:rPr>
  </w:style>
  <w:style w:type="character" w:customStyle="1" w:styleId="CommentSubjectChar">
    <w:name w:val="Comment Subject Char"/>
    <w:basedOn w:val="CommentTextChar"/>
    <w:link w:val="CommentSubject"/>
    <w:uiPriority w:val="99"/>
    <w:semiHidden/>
    <w:rsid w:val="004D1D5B"/>
    <w:rPr>
      <w:b/>
      <w:bCs/>
      <w:sz w:val="20"/>
      <w:szCs w:val="20"/>
    </w:rPr>
  </w:style>
  <w:style w:type="character" w:styleId="UnresolvedMention">
    <w:name w:val="Unresolved Mention"/>
    <w:basedOn w:val="DefaultParagraphFont"/>
    <w:uiPriority w:val="99"/>
    <w:semiHidden/>
    <w:unhideWhenUsed/>
    <w:rsid w:val="005F47C1"/>
    <w:rPr>
      <w:color w:val="808080"/>
      <w:shd w:val="clear" w:color="auto" w:fill="E6E6E6"/>
    </w:rPr>
  </w:style>
  <w:style w:type="paragraph" w:styleId="Revision">
    <w:name w:val="Revision"/>
    <w:hidden/>
    <w:uiPriority w:val="99"/>
    <w:semiHidden/>
    <w:rsid w:val="007F0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77110">
      <w:bodyDiv w:val="1"/>
      <w:marLeft w:val="0"/>
      <w:marRight w:val="0"/>
      <w:marTop w:val="0"/>
      <w:marBottom w:val="0"/>
      <w:divBdr>
        <w:top w:val="none" w:sz="0" w:space="0" w:color="auto"/>
        <w:left w:val="none" w:sz="0" w:space="0" w:color="auto"/>
        <w:bottom w:val="none" w:sz="0" w:space="0" w:color="auto"/>
        <w:right w:val="none" w:sz="0" w:space="0" w:color="auto"/>
      </w:divBdr>
    </w:div>
    <w:div w:id="225191691">
      <w:bodyDiv w:val="1"/>
      <w:marLeft w:val="0"/>
      <w:marRight w:val="0"/>
      <w:marTop w:val="0"/>
      <w:marBottom w:val="0"/>
      <w:divBdr>
        <w:top w:val="none" w:sz="0" w:space="0" w:color="auto"/>
        <w:left w:val="none" w:sz="0" w:space="0" w:color="auto"/>
        <w:bottom w:val="none" w:sz="0" w:space="0" w:color="auto"/>
        <w:right w:val="none" w:sz="0" w:space="0" w:color="auto"/>
      </w:divBdr>
    </w:div>
    <w:div w:id="105168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Elizabeth.Watts@duke-energy.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uc.state.pa.us//PcDocs/64647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1F862-1DF6-47D2-9089-E9C341288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2375</Words>
  <Characters>13302</Characters>
  <Application>Microsoft Office Word</Application>
  <DocSecurity>0</DocSecurity>
  <PresentationFormat>15|.DOCX</PresentationFormat>
  <Lines>237</Lines>
  <Paragraphs>275</Paragraphs>
  <ScaleCrop>false</ScaleCrop>
  <HeadingPairs>
    <vt:vector size="2" baseType="variant">
      <vt:variant>
        <vt:lpstr>Title</vt:lpstr>
      </vt:variant>
      <vt:variant>
        <vt:i4>1</vt:i4>
      </vt:variant>
    </vt:vector>
  </HeadingPairs>
  <TitlesOfParts>
    <vt:vector size="1" baseType="lpstr">
      <vt:lpstr>IEU Reply to OPAE Objections 7-10-18.docx</vt:lpstr>
    </vt:vector>
  </TitlesOfParts>
  <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IEU Reply to OPAE Objections 7-10-18.docx</dc:title>
  <dc:subject>C0112911:1</dc:subject>
  <dc:creator>Ryan, Debbie</dc:creator>
  <cp:keywords/>
  <dc:description/>
  <cp:lastModifiedBy>Ryan, Debbie</cp:lastModifiedBy>
  <cp:revision>8</cp:revision>
  <cp:lastPrinted>2018-07-10T14:06:00Z</cp:lastPrinted>
  <dcterms:created xsi:type="dcterms:W3CDTF">2018-07-10T13:50:00Z</dcterms:created>
  <dcterms:modified xsi:type="dcterms:W3CDTF">2018-07-10T14:09:00Z</dcterms:modified>
</cp:coreProperties>
</file>