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40B60" w:rsidRPr="00AC42B6" w:rsidP="00140B60" w14:paraId="6EC279E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AC42B6">
        <w:rPr>
          <w:rFonts w:ascii="Times New Roman" w:hAnsi="Times New Roman" w:cs="Times New Roman"/>
          <w:b/>
          <w:bCs/>
          <w:sz w:val="24"/>
          <w:szCs w:val="24"/>
        </w:rPr>
        <w:t>BEFORE</w:t>
      </w:r>
    </w:p>
    <w:p w:rsidR="00140B60" w:rsidRPr="00AC42B6" w:rsidP="00140B60" w14:paraId="35CB9512" w14:textId="77777777">
      <w:pPr>
        <w:pStyle w:val="HTMLPreformatted"/>
        <w:jc w:val="center"/>
        <w:rPr>
          <w:rFonts w:ascii="Times New Roman" w:hAnsi="Times New Roman" w:cs="Times New Roman"/>
          <w:b/>
          <w:bCs/>
          <w:sz w:val="24"/>
          <w:szCs w:val="24"/>
        </w:rPr>
      </w:pPr>
      <w:r w:rsidRPr="00AC42B6">
        <w:rPr>
          <w:rFonts w:ascii="Times New Roman" w:hAnsi="Times New Roman" w:cs="Times New Roman"/>
          <w:b/>
          <w:bCs/>
          <w:sz w:val="24"/>
          <w:szCs w:val="24"/>
        </w:rPr>
        <w:t>THE PUBLIC UTILITIES COMMISSION OF OHIO</w:t>
      </w:r>
    </w:p>
    <w:p w:rsidR="00140B60" w:rsidRPr="00AC42B6" w:rsidP="00140B60" w14:paraId="5E229AA5" w14:textId="77777777">
      <w:pPr>
        <w:pStyle w:val="HTMLPreformatted"/>
        <w:rPr>
          <w:rFonts w:ascii="Times New Roman" w:hAnsi="Times New Roman" w:cs="Times New Roman"/>
          <w:sz w:val="24"/>
          <w:szCs w:val="24"/>
        </w:rPr>
      </w:pPr>
    </w:p>
    <w:tbl>
      <w:tblPr>
        <w:tblW w:w="9360" w:type="dxa"/>
        <w:tblLook w:val="01E0"/>
      </w:tblPr>
      <w:tblGrid>
        <w:gridCol w:w="4590"/>
        <w:gridCol w:w="360"/>
        <w:gridCol w:w="4410"/>
      </w:tblGrid>
      <w:tr w14:paraId="3B0BEDB5" w14:textId="77777777" w:rsidTr="00EE1D34">
        <w:tblPrEx>
          <w:tblW w:w="9360" w:type="dxa"/>
          <w:tblLook w:val="01E0"/>
        </w:tblPrEx>
        <w:trPr>
          <w:trHeight w:val="807"/>
        </w:trPr>
        <w:tc>
          <w:tcPr>
            <w:tcW w:w="4590" w:type="dxa"/>
            <w:shd w:val="clear" w:color="auto" w:fill="auto"/>
          </w:tcPr>
          <w:p w:rsidR="00140B60" w:rsidRPr="00AC42B6" w:rsidP="00140B60" w14:paraId="7093943D"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In the Matter of the Review of the Power Purchase Agreement Rider of Ohio Power Company for 2018.</w:t>
            </w:r>
          </w:p>
          <w:p w:rsidR="00140B60" w:rsidRPr="00AC42B6" w:rsidP="00140B60" w14:paraId="68AAE25E" w14:textId="77777777">
            <w:pPr>
              <w:pStyle w:val="HTMLPreformatted"/>
              <w:rPr>
                <w:rFonts w:ascii="Times New Roman" w:hAnsi="Times New Roman" w:cs="Times New Roman"/>
                <w:sz w:val="24"/>
                <w:szCs w:val="24"/>
              </w:rPr>
            </w:pPr>
          </w:p>
          <w:p w:rsidR="00140B60" w:rsidRPr="00AC42B6" w:rsidP="00140B60" w14:paraId="7EBB13E0"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In the Matter of the Review of the Power Purchase Agreement Rider of Ohio Power Company for 2019.</w:t>
            </w:r>
          </w:p>
        </w:tc>
        <w:tc>
          <w:tcPr>
            <w:tcW w:w="360" w:type="dxa"/>
            <w:shd w:val="clear" w:color="auto" w:fill="auto"/>
          </w:tcPr>
          <w:p w:rsidR="00140B60" w:rsidRPr="00AC42B6" w:rsidP="00140B60" w14:paraId="69F66F82"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140B60" w:rsidRPr="00AC42B6" w:rsidP="00140B60" w14:paraId="2E20C73D"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140B60" w:rsidRPr="00AC42B6" w:rsidP="00140B60" w14:paraId="3A88300C"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140B60" w:rsidRPr="00AC42B6" w:rsidP="00140B60" w14:paraId="15A821BE" w14:textId="77777777">
            <w:pPr>
              <w:pStyle w:val="HTMLPreformatted"/>
              <w:rPr>
                <w:rFonts w:ascii="Times New Roman" w:hAnsi="Times New Roman" w:cs="Times New Roman"/>
                <w:sz w:val="24"/>
                <w:szCs w:val="24"/>
              </w:rPr>
            </w:pPr>
          </w:p>
          <w:p w:rsidR="00140B60" w:rsidRPr="00AC42B6" w:rsidP="00140B60" w14:paraId="6E232048"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140B60" w:rsidRPr="00AC42B6" w:rsidP="00140B60" w14:paraId="549A5514"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140B60" w:rsidRPr="00AC42B6" w:rsidP="00140B60" w14:paraId="3FBEC1E6"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EE1D34" w:rsidRPr="00AC42B6" w:rsidP="00140B60" w14:paraId="14216209" w14:textId="77777777">
            <w:pPr>
              <w:pStyle w:val="HTMLPreformatted"/>
              <w:rPr>
                <w:rFonts w:ascii="Times New Roman" w:hAnsi="Times New Roman" w:cs="Times New Roman"/>
                <w:sz w:val="24"/>
                <w:szCs w:val="24"/>
              </w:rPr>
            </w:pPr>
          </w:p>
          <w:p w:rsidR="00EE1D34" w:rsidRPr="00AC42B6" w:rsidP="00140B60" w14:paraId="5FBA9FB3" w14:textId="77777777">
            <w:pPr>
              <w:pStyle w:val="HTMLPreformatted"/>
              <w:rPr>
                <w:rFonts w:ascii="Times New Roman" w:hAnsi="Times New Roman" w:cs="Times New Roman"/>
                <w:sz w:val="24"/>
                <w:szCs w:val="24"/>
              </w:rPr>
            </w:pPr>
          </w:p>
        </w:tc>
        <w:tc>
          <w:tcPr>
            <w:tcW w:w="4410" w:type="dxa"/>
            <w:shd w:val="clear" w:color="auto" w:fill="auto"/>
          </w:tcPr>
          <w:p w:rsidR="00140B60" w:rsidRPr="00AC42B6" w:rsidP="00140B60" w14:paraId="158D8B38" w14:textId="77777777">
            <w:pPr>
              <w:pStyle w:val="HTMLPreformatted"/>
              <w:rPr>
                <w:rFonts w:ascii="Times New Roman" w:hAnsi="Times New Roman" w:cs="Times New Roman"/>
                <w:sz w:val="24"/>
                <w:szCs w:val="24"/>
              </w:rPr>
            </w:pPr>
          </w:p>
          <w:p w:rsidR="00140B60" w:rsidRPr="00AC42B6" w:rsidP="00140B60" w14:paraId="72229A1D"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Case No. 18-1004-EL-RDR</w:t>
            </w:r>
          </w:p>
          <w:p w:rsidR="00140B60" w:rsidRPr="00AC42B6" w:rsidP="00140B60" w14:paraId="347F4246" w14:textId="77777777">
            <w:pPr>
              <w:pStyle w:val="HTMLPreformatted"/>
              <w:rPr>
                <w:rFonts w:ascii="Times New Roman" w:hAnsi="Times New Roman" w:cs="Times New Roman"/>
                <w:sz w:val="24"/>
                <w:szCs w:val="24"/>
              </w:rPr>
            </w:pPr>
          </w:p>
          <w:p w:rsidR="00140B60" w:rsidRPr="00AC42B6" w:rsidP="00140B60" w14:paraId="111E3519" w14:textId="77777777">
            <w:pPr>
              <w:pStyle w:val="HTMLPreformatted"/>
              <w:rPr>
                <w:rFonts w:ascii="Times New Roman" w:hAnsi="Times New Roman" w:cs="Times New Roman"/>
                <w:sz w:val="24"/>
                <w:szCs w:val="24"/>
              </w:rPr>
            </w:pPr>
          </w:p>
          <w:p w:rsidR="00140B60" w:rsidRPr="00AC42B6" w:rsidP="00140B60" w14:paraId="4EE7C65D" w14:textId="77777777">
            <w:pPr>
              <w:pStyle w:val="HTMLPreformatted"/>
              <w:rPr>
                <w:rFonts w:ascii="Times New Roman" w:hAnsi="Times New Roman" w:cs="Times New Roman"/>
                <w:sz w:val="24"/>
                <w:szCs w:val="24"/>
              </w:rPr>
            </w:pPr>
          </w:p>
          <w:p w:rsidR="00140B60" w:rsidRPr="00AC42B6" w:rsidP="00140B60" w14:paraId="2CB1C629"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Case No. 18-1759-EL-RDR</w:t>
            </w:r>
          </w:p>
        </w:tc>
      </w:tr>
    </w:tbl>
    <w:p w:rsidR="00140B60" w:rsidRPr="00AC42B6" w:rsidP="00140B60" w14:paraId="53AB1849" w14:textId="77777777">
      <w:pPr>
        <w:pStyle w:val="HTMLPreformatted"/>
        <w:pBdr>
          <w:top w:val="single" w:sz="12" w:space="1" w:color="auto"/>
        </w:pBdr>
        <w:rPr>
          <w:rFonts w:ascii="Times New Roman" w:hAnsi="Times New Roman" w:cs="Times New Roman"/>
          <w:sz w:val="24"/>
          <w:szCs w:val="24"/>
        </w:rPr>
      </w:pPr>
    </w:p>
    <w:p w:rsidR="00B52C13" w:rsidRPr="00AC42B6" w:rsidP="00140B60" w14:paraId="65CF990F" w14:textId="77777777">
      <w:pPr>
        <w:jc w:val="center"/>
        <w:rPr>
          <w:rFonts w:ascii="Times New Roman" w:eastAsia="Times New Roman" w:hAnsi="Times New Roman" w:cs="Times New Roman"/>
          <w:b/>
          <w:bCs/>
          <w:w w:val="90"/>
          <w:sz w:val="24"/>
          <w:szCs w:val="24"/>
        </w:rPr>
      </w:pPr>
      <w:r w:rsidRPr="00AC42B6">
        <w:rPr>
          <w:rFonts w:ascii="Times New Roman" w:eastAsia="Times New Roman" w:hAnsi="Times New Roman" w:cs="Times New Roman"/>
          <w:b/>
          <w:bCs/>
          <w:w w:val="90"/>
          <w:sz w:val="24"/>
          <w:szCs w:val="24"/>
        </w:rPr>
        <w:t>MEMORANDUM CONTRA TO</w:t>
      </w:r>
    </w:p>
    <w:p w:rsidR="00761249" w:rsidRPr="00AC42B6" w:rsidP="00140B60" w14:paraId="682FCDE8" w14:textId="77777777">
      <w:pPr>
        <w:jc w:val="center"/>
        <w:rPr>
          <w:rFonts w:ascii="Times New Roman" w:eastAsia="Times New Roman" w:hAnsi="Times New Roman" w:cs="Times New Roman"/>
          <w:b/>
          <w:bCs/>
          <w:w w:val="90"/>
          <w:sz w:val="24"/>
          <w:szCs w:val="24"/>
        </w:rPr>
      </w:pPr>
      <w:r w:rsidRPr="00AC42B6">
        <w:rPr>
          <w:rFonts w:ascii="Times New Roman" w:eastAsia="Times New Roman" w:hAnsi="Times New Roman" w:cs="Times New Roman"/>
          <w:b/>
          <w:bCs/>
          <w:w w:val="90"/>
          <w:sz w:val="24"/>
          <w:szCs w:val="24"/>
        </w:rPr>
        <w:t xml:space="preserve">MOTION OF </w:t>
      </w:r>
      <w:r w:rsidRPr="00AC42B6" w:rsidR="00B101CF">
        <w:rPr>
          <w:rFonts w:ascii="Times New Roman" w:eastAsia="Times New Roman" w:hAnsi="Times New Roman" w:cs="Times New Roman"/>
          <w:b/>
          <w:bCs/>
          <w:w w:val="90"/>
          <w:sz w:val="24"/>
          <w:szCs w:val="24"/>
        </w:rPr>
        <w:t>AEP OHIO</w:t>
      </w:r>
      <w:r w:rsidRPr="00AC42B6">
        <w:rPr>
          <w:rFonts w:ascii="Times New Roman" w:eastAsia="Times New Roman" w:hAnsi="Times New Roman" w:cs="Times New Roman"/>
          <w:b/>
          <w:bCs/>
          <w:w w:val="90"/>
          <w:sz w:val="24"/>
          <w:szCs w:val="24"/>
        </w:rPr>
        <w:t xml:space="preserve"> FOR PROTECTIVE ORDER</w:t>
      </w:r>
    </w:p>
    <w:p w:rsidR="00140B60" w:rsidRPr="00AC42B6" w:rsidP="00140B60" w14:paraId="0CFB27FC" w14:textId="77777777">
      <w:pPr>
        <w:jc w:val="center"/>
        <w:rPr>
          <w:rFonts w:ascii="Times New Roman" w:eastAsia="Times New Roman" w:hAnsi="Times New Roman" w:cs="Times New Roman"/>
          <w:b/>
          <w:bCs/>
          <w:sz w:val="24"/>
          <w:szCs w:val="24"/>
        </w:rPr>
      </w:pPr>
      <w:r w:rsidRPr="00AC42B6">
        <w:rPr>
          <w:rFonts w:ascii="Times New Roman" w:eastAsia="Times New Roman" w:hAnsi="Times New Roman" w:cs="Times New Roman"/>
          <w:b/>
          <w:bCs/>
          <w:w w:val="90"/>
          <w:sz w:val="24"/>
          <w:szCs w:val="24"/>
        </w:rPr>
        <w:t>BY</w:t>
      </w:r>
    </w:p>
    <w:p w:rsidR="00140B60" w:rsidRPr="00AC42B6" w:rsidP="00140B60" w14:paraId="1A3994D6" w14:textId="77777777">
      <w:pPr>
        <w:jc w:val="center"/>
        <w:rPr>
          <w:rFonts w:ascii="Times New Roman" w:hAnsi="Times New Roman" w:cs="Times New Roman"/>
          <w:b/>
          <w:bCs/>
          <w:sz w:val="24"/>
          <w:szCs w:val="24"/>
        </w:rPr>
      </w:pPr>
      <w:r w:rsidRPr="00AC42B6">
        <w:rPr>
          <w:rFonts w:ascii="Times New Roman" w:hAnsi="Times New Roman" w:cs="Times New Roman"/>
          <w:b/>
          <w:bCs/>
          <w:w w:val="105"/>
          <w:sz w:val="24"/>
          <w:szCs w:val="24"/>
        </w:rPr>
        <w:t>OFFICE</w:t>
      </w:r>
      <w:r w:rsidRPr="00AC42B6">
        <w:rPr>
          <w:rFonts w:ascii="Times New Roman" w:hAnsi="Times New Roman" w:cs="Times New Roman"/>
          <w:b/>
          <w:bCs/>
          <w:spacing w:val="1"/>
          <w:w w:val="105"/>
          <w:sz w:val="24"/>
          <w:szCs w:val="24"/>
        </w:rPr>
        <w:t xml:space="preserve"> </w:t>
      </w:r>
      <w:r w:rsidRPr="00AC42B6">
        <w:rPr>
          <w:rFonts w:ascii="Times New Roman" w:hAnsi="Times New Roman" w:cs="Times New Roman"/>
          <w:b/>
          <w:bCs/>
          <w:w w:val="105"/>
          <w:sz w:val="24"/>
          <w:szCs w:val="24"/>
        </w:rPr>
        <w:t>OF</w:t>
      </w:r>
      <w:r w:rsidRPr="00AC42B6">
        <w:rPr>
          <w:rFonts w:ascii="Times New Roman" w:hAnsi="Times New Roman" w:cs="Times New Roman"/>
          <w:b/>
          <w:bCs/>
          <w:spacing w:val="-23"/>
          <w:w w:val="105"/>
          <w:sz w:val="24"/>
          <w:szCs w:val="24"/>
        </w:rPr>
        <w:t xml:space="preserve"> </w:t>
      </w:r>
      <w:r w:rsidRPr="00AC42B6">
        <w:rPr>
          <w:rFonts w:ascii="Times New Roman" w:hAnsi="Times New Roman" w:cs="Times New Roman"/>
          <w:b/>
          <w:bCs/>
          <w:w w:val="105"/>
          <w:sz w:val="24"/>
          <w:szCs w:val="24"/>
        </w:rPr>
        <w:t>THE</w:t>
      </w:r>
      <w:r w:rsidRPr="00AC42B6">
        <w:rPr>
          <w:rFonts w:ascii="Times New Roman" w:hAnsi="Times New Roman" w:cs="Times New Roman"/>
          <w:b/>
          <w:bCs/>
          <w:spacing w:val="-9"/>
          <w:w w:val="105"/>
          <w:sz w:val="24"/>
          <w:szCs w:val="24"/>
        </w:rPr>
        <w:t xml:space="preserve"> </w:t>
      </w:r>
      <w:r w:rsidRPr="00AC42B6">
        <w:rPr>
          <w:rFonts w:ascii="Times New Roman" w:hAnsi="Times New Roman" w:cs="Times New Roman"/>
          <w:b/>
          <w:bCs/>
          <w:w w:val="105"/>
          <w:sz w:val="24"/>
          <w:szCs w:val="24"/>
        </w:rPr>
        <w:t>OHIO</w:t>
      </w:r>
      <w:r w:rsidRPr="00AC42B6">
        <w:rPr>
          <w:rFonts w:ascii="Times New Roman" w:hAnsi="Times New Roman" w:cs="Times New Roman"/>
          <w:b/>
          <w:bCs/>
          <w:spacing w:val="1"/>
          <w:w w:val="105"/>
          <w:sz w:val="24"/>
          <w:szCs w:val="24"/>
        </w:rPr>
        <w:t xml:space="preserve"> </w:t>
      </w:r>
      <w:r w:rsidRPr="00AC42B6">
        <w:rPr>
          <w:rFonts w:ascii="Times New Roman" w:hAnsi="Times New Roman" w:cs="Times New Roman"/>
          <w:b/>
          <w:bCs/>
          <w:w w:val="105"/>
          <w:sz w:val="24"/>
          <w:szCs w:val="24"/>
        </w:rPr>
        <w:t>CONSUMERS'</w:t>
      </w:r>
      <w:r w:rsidRPr="00AC42B6">
        <w:rPr>
          <w:rFonts w:ascii="Times New Roman" w:hAnsi="Times New Roman" w:cs="Times New Roman"/>
          <w:b/>
          <w:bCs/>
          <w:spacing w:val="21"/>
          <w:w w:val="105"/>
          <w:sz w:val="24"/>
          <w:szCs w:val="24"/>
        </w:rPr>
        <w:t xml:space="preserve"> </w:t>
      </w:r>
      <w:r w:rsidRPr="00AC42B6">
        <w:rPr>
          <w:rFonts w:ascii="Times New Roman" w:hAnsi="Times New Roman" w:cs="Times New Roman"/>
          <w:b/>
          <w:bCs/>
          <w:w w:val="105"/>
          <w:sz w:val="24"/>
          <w:szCs w:val="24"/>
        </w:rPr>
        <w:t>COUNSEL</w:t>
      </w:r>
    </w:p>
    <w:p w:rsidR="00140B60" w:rsidRPr="00AC42B6" w:rsidP="00140B60" w14:paraId="2E0FA89D" w14:textId="77777777">
      <w:pPr>
        <w:pBdr>
          <w:bottom w:val="single" w:sz="12" w:space="1" w:color="auto"/>
        </w:pBdr>
        <w:tabs>
          <w:tab w:val="left" w:pos="4320"/>
        </w:tabs>
        <w:rPr>
          <w:rFonts w:ascii="Times New Roman" w:hAnsi="Times New Roman" w:cs="Times New Roman"/>
          <w:sz w:val="24"/>
          <w:szCs w:val="24"/>
        </w:rPr>
      </w:pPr>
    </w:p>
    <w:p w:rsidR="00140B60" w:rsidRPr="00AC42B6" w:rsidP="00140B60" w14:paraId="29C464D4" w14:textId="77777777">
      <w:pPr>
        <w:tabs>
          <w:tab w:val="left" w:pos="4320"/>
        </w:tabs>
        <w:rPr>
          <w:rFonts w:ascii="Times New Roman" w:hAnsi="Times New Roman" w:cs="Times New Roman"/>
          <w:sz w:val="24"/>
          <w:szCs w:val="24"/>
        </w:rPr>
      </w:pPr>
    </w:p>
    <w:p w:rsidR="00140B60" w:rsidRPr="00AC42B6" w:rsidP="00E34345" w14:paraId="6E5CF20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EE1D34" w:rsidRPr="00AC42B6" w:rsidP="00140B60" w14:paraId="7EBDEEA6" w14:textId="77777777">
      <w:pPr>
        <w:pStyle w:val="Footer"/>
        <w:tabs>
          <w:tab w:val="left" w:pos="4320"/>
        </w:tabs>
        <w:ind w:left="4320"/>
        <w:rPr>
          <w:rFonts w:ascii="Times New Roman" w:hAnsi="Times New Roman" w:cs="Times New Roman"/>
          <w:sz w:val="24"/>
          <w:szCs w:val="24"/>
        </w:rPr>
      </w:pPr>
    </w:p>
    <w:p w:rsidR="00EE1D34" w:rsidRPr="00AC42B6" w:rsidP="00140B60" w14:paraId="57795D19" w14:textId="77777777">
      <w:pPr>
        <w:pStyle w:val="Footer"/>
        <w:tabs>
          <w:tab w:val="left" w:pos="4320"/>
        </w:tabs>
        <w:ind w:left="4320"/>
        <w:rPr>
          <w:rFonts w:ascii="Times New Roman" w:hAnsi="Times New Roman" w:cs="Times New Roman"/>
          <w:sz w:val="24"/>
          <w:szCs w:val="24"/>
        </w:rPr>
      </w:pPr>
    </w:p>
    <w:p w:rsidR="00140B60" w:rsidRPr="00AC42B6" w:rsidP="00140B60" w14:paraId="65F57F97" w14:textId="77777777">
      <w:pPr>
        <w:pStyle w:val="Foote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Bruce Weston (0016973)</w:t>
      </w:r>
    </w:p>
    <w:p w:rsidR="00140B60" w:rsidRPr="00AC42B6" w:rsidP="00140B60" w14:paraId="162CB932" w14:textId="77777777">
      <w:pP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Ohio Consumers’ Counsel</w:t>
      </w:r>
    </w:p>
    <w:p w:rsidR="00140B60" w:rsidRPr="00AC42B6" w:rsidP="00140B60" w14:paraId="4CC977DF" w14:textId="77777777">
      <w:pPr>
        <w:pStyle w:val="ListParagraph"/>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ab/>
      </w:r>
    </w:p>
    <w:p w:rsidR="00140B60" w:rsidRPr="00AC42B6" w:rsidP="00140B60" w14:paraId="68089581" w14:textId="77777777">
      <w:pP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Christopher Healey (0086027)</w:t>
      </w:r>
    </w:p>
    <w:p w:rsidR="00140B60" w:rsidRPr="00AC42B6" w:rsidP="00140B60" w14:paraId="2C5C5A7E" w14:textId="77777777">
      <w:pP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Counsel of Record</w:t>
      </w:r>
    </w:p>
    <w:p w:rsidR="00140B60" w:rsidRPr="00AC42B6" w:rsidP="00140B60" w14:paraId="6E086B70" w14:textId="77777777">
      <w:pP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William Michael (0070921)</w:t>
      </w:r>
    </w:p>
    <w:p w:rsidR="00140B60" w:rsidRPr="00AC42B6" w:rsidP="00140B60" w14:paraId="540E9575" w14:textId="77777777">
      <w:pP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John Finnigan (0018689)</w:t>
      </w:r>
      <w:r w:rsidRPr="00AC42B6">
        <w:rPr>
          <w:rFonts w:ascii="Times New Roman" w:hAnsi="Times New Roman" w:cs="Times New Roman"/>
          <w:sz w:val="24"/>
          <w:szCs w:val="24"/>
        </w:rPr>
        <w:br/>
        <w:t>Assistant Consumers’ Counsel</w:t>
      </w:r>
    </w:p>
    <w:p w:rsidR="00AE3DA5" w:rsidRPr="00AC42B6" w14:paraId="4E888763" w14:textId="77777777">
      <w:pPr>
        <w:rPr>
          <w:rFonts w:ascii="Times New Roman" w:hAnsi="Times New Roman" w:cs="Times New Roman"/>
          <w:sz w:val="24"/>
          <w:szCs w:val="24"/>
        </w:rPr>
      </w:pPr>
    </w:p>
    <w:p w:rsidR="00140B60" w:rsidRPr="00AC42B6" w:rsidP="00140B60" w14:paraId="66BED1A8" w14:textId="77777777">
      <w:pPr>
        <w:tabs>
          <w:tab w:val="left" w:pos="4320"/>
        </w:tabs>
        <w:ind w:left="4320"/>
        <w:rPr>
          <w:rFonts w:ascii="Times New Roman" w:hAnsi="Times New Roman" w:cs="Times New Roman"/>
          <w:b/>
          <w:bCs/>
          <w:sz w:val="24"/>
          <w:szCs w:val="24"/>
        </w:rPr>
      </w:pPr>
      <w:r w:rsidRPr="00AC42B6">
        <w:rPr>
          <w:rFonts w:ascii="Times New Roman" w:hAnsi="Times New Roman" w:cs="Times New Roman"/>
          <w:b/>
          <w:sz w:val="24"/>
          <w:szCs w:val="24"/>
        </w:rPr>
        <w:t>Office of the Ohio Consumers’ Counsel</w:t>
      </w:r>
    </w:p>
    <w:p w:rsidR="00140B60" w:rsidRPr="00AC42B6" w:rsidP="00140B60" w14:paraId="417DFB10" w14:textId="77777777">
      <w:pPr>
        <w:ind w:left="4320"/>
        <w:rPr>
          <w:rFonts w:ascii="Times New Roman" w:hAnsi="Times New Roman" w:cs="Times New Roman"/>
          <w:sz w:val="24"/>
          <w:szCs w:val="24"/>
        </w:rPr>
      </w:pPr>
      <w:r w:rsidRPr="00AC42B6">
        <w:rPr>
          <w:rFonts w:ascii="Times New Roman" w:hAnsi="Times New Roman" w:cs="Times New Roman"/>
          <w:sz w:val="24"/>
          <w:szCs w:val="24"/>
        </w:rPr>
        <w:t xml:space="preserve">65 East State Street, </w:t>
      </w:r>
      <w:r w:rsidRPr="00AC42B6" w:rsidR="00753316">
        <w:rPr>
          <w:rFonts w:ascii="Times New Roman" w:hAnsi="Times New Roman" w:cs="Times New Roman"/>
          <w:sz w:val="24"/>
          <w:szCs w:val="24"/>
        </w:rPr>
        <w:t>Suite 700</w:t>
      </w:r>
    </w:p>
    <w:p w:rsidR="00140B60" w:rsidRPr="00AC42B6" w:rsidP="00140B60" w14:paraId="19157745" w14:textId="77777777">
      <w:pPr>
        <w:ind w:left="4320"/>
        <w:rPr>
          <w:rFonts w:ascii="Times New Roman" w:hAnsi="Times New Roman" w:cs="Times New Roman"/>
          <w:sz w:val="24"/>
          <w:szCs w:val="24"/>
        </w:rPr>
      </w:pPr>
      <w:r w:rsidRPr="00AC42B6">
        <w:rPr>
          <w:rFonts w:ascii="Times New Roman" w:hAnsi="Times New Roman" w:cs="Times New Roman"/>
          <w:sz w:val="24"/>
          <w:szCs w:val="24"/>
        </w:rPr>
        <w:t>Columbus, Ohio 43215</w:t>
      </w:r>
    </w:p>
    <w:p w:rsidR="00140B60" w:rsidRPr="00AC42B6" w:rsidP="00140B60" w14:paraId="678D5F77" w14:textId="77777777">
      <w:pPr>
        <w:autoSpaceDE w:val="0"/>
        <w:autoSpaceDN w:val="0"/>
        <w:adjustRightInd w:val="0"/>
        <w:ind w:left="4320"/>
        <w:rPr>
          <w:rFonts w:ascii="Times New Roman" w:hAnsi="Times New Roman" w:cs="Times New Roman"/>
          <w:sz w:val="24"/>
          <w:szCs w:val="24"/>
        </w:rPr>
      </w:pPr>
      <w:r w:rsidRPr="00AC42B6">
        <w:rPr>
          <w:rFonts w:ascii="Times New Roman" w:hAnsi="Times New Roman" w:cs="Times New Roman"/>
          <w:sz w:val="24"/>
          <w:szCs w:val="24"/>
        </w:rPr>
        <w:t>Telephone [Healey]: (614) 466-9571</w:t>
      </w:r>
    </w:p>
    <w:p w:rsidR="00140B60" w:rsidRPr="00AC42B6" w:rsidP="00140B60" w14:paraId="35944A6C" w14:textId="77777777">
      <w:pPr>
        <w:autoSpaceDE w:val="0"/>
        <w:autoSpaceDN w:val="0"/>
        <w:adjustRightInd w:val="0"/>
        <w:ind w:left="4320"/>
        <w:rPr>
          <w:rFonts w:ascii="Times New Roman" w:hAnsi="Times New Roman" w:cs="Times New Roman"/>
          <w:sz w:val="24"/>
          <w:szCs w:val="24"/>
        </w:rPr>
      </w:pPr>
      <w:r w:rsidRPr="00AC42B6">
        <w:rPr>
          <w:rFonts w:ascii="Times New Roman" w:hAnsi="Times New Roman" w:cs="Times New Roman"/>
          <w:sz w:val="24"/>
          <w:szCs w:val="24"/>
        </w:rPr>
        <w:t>Telephone [Michael]: (614) 466-1291</w:t>
      </w:r>
    </w:p>
    <w:p w:rsidR="00140B60" w:rsidRPr="00AC42B6" w:rsidP="00140B60" w14:paraId="14F7E42F" w14:textId="77777777">
      <w:pPr>
        <w:pStyle w:val="ListParagraph"/>
        <w:autoSpaceDE w:val="0"/>
        <w:autoSpaceDN w:val="0"/>
        <w:adjustRightInd w:val="0"/>
        <w:ind w:left="4320"/>
        <w:rPr>
          <w:rFonts w:ascii="Times New Roman" w:hAnsi="Times New Roman" w:cs="Times New Roman"/>
          <w:sz w:val="24"/>
          <w:szCs w:val="24"/>
        </w:rPr>
      </w:pPr>
      <w:r w:rsidRPr="00AC42B6">
        <w:rPr>
          <w:rFonts w:ascii="Times New Roman" w:hAnsi="Times New Roman" w:cs="Times New Roman"/>
          <w:sz w:val="24"/>
          <w:szCs w:val="24"/>
        </w:rPr>
        <w:t>Telephone [Finnigan]: (614) 466-9585</w:t>
      </w:r>
    </w:p>
    <w:p w:rsidR="00140B60" w:rsidRPr="00AC42B6" w:rsidP="00140B60" w14:paraId="04F9957A" w14:textId="77777777">
      <w:pPr>
        <w:pStyle w:val="ListParagraph"/>
        <w:autoSpaceDE w:val="0"/>
        <w:autoSpaceDN w:val="0"/>
        <w:adjustRightInd w:val="0"/>
        <w:ind w:left="4320"/>
        <w:rPr>
          <w:rFonts w:ascii="Times New Roman" w:hAnsi="Times New Roman" w:cs="Times New Roman"/>
          <w:color w:val="0000FF"/>
          <w:sz w:val="24"/>
          <w:szCs w:val="24"/>
          <w:u w:val="single"/>
        </w:rPr>
      </w:pPr>
      <w:r w:rsidRPr="00AC42B6">
        <w:rPr>
          <w:rFonts w:ascii="Times New Roman" w:hAnsi="Times New Roman" w:cs="Times New Roman"/>
          <w:color w:val="0000FF"/>
          <w:sz w:val="24"/>
          <w:szCs w:val="24"/>
          <w:u w:val="single"/>
        </w:rPr>
        <w:t>christopher.healey@occ.ohio.gov</w:t>
      </w:r>
    </w:p>
    <w:p w:rsidR="00140B60" w:rsidRPr="00AC42B6" w:rsidP="00140B60" w14:paraId="75E817D9" w14:textId="77777777">
      <w:pPr>
        <w:pStyle w:val="ListParagraph"/>
        <w:autoSpaceDE w:val="0"/>
        <w:autoSpaceDN w:val="0"/>
        <w:adjustRightInd w:val="0"/>
        <w:ind w:left="4320"/>
        <w:rPr>
          <w:rStyle w:val="Hyperlink"/>
          <w:rFonts w:ascii="Times New Roman" w:hAnsi="Times New Roman" w:cs="Times New Roman"/>
          <w:sz w:val="24"/>
          <w:szCs w:val="24"/>
        </w:rPr>
      </w:pPr>
      <w:r w:rsidRPr="00AC42B6">
        <w:rPr>
          <w:rFonts w:ascii="Times New Roman" w:hAnsi="Times New Roman" w:cs="Times New Roman"/>
          <w:color w:val="0000FF"/>
          <w:sz w:val="24"/>
          <w:szCs w:val="24"/>
          <w:u w:val="single"/>
        </w:rPr>
        <w:t>william.michael@occ.ohio.gov</w:t>
      </w:r>
    </w:p>
    <w:p w:rsidR="00140B60" w:rsidRPr="00AC42B6" w:rsidP="00140B60" w14:paraId="63E7D851" w14:textId="77777777">
      <w:pPr>
        <w:pStyle w:val="ListParagraph"/>
        <w:autoSpaceDE w:val="0"/>
        <w:autoSpaceDN w:val="0"/>
        <w:adjustRightInd w:val="0"/>
        <w:ind w:left="4320"/>
        <w:rPr>
          <w:rStyle w:val="Hyperlink"/>
          <w:rFonts w:ascii="Times New Roman" w:hAnsi="Times New Roman" w:cs="Times New Roman"/>
          <w:sz w:val="24"/>
          <w:szCs w:val="24"/>
        </w:rPr>
      </w:pPr>
      <w:r w:rsidRPr="00AC42B6">
        <w:rPr>
          <w:rFonts w:ascii="Times New Roman" w:hAnsi="Times New Roman" w:cs="Times New Roman"/>
          <w:color w:val="0000FF"/>
          <w:sz w:val="24"/>
          <w:szCs w:val="24"/>
          <w:u w:val="single"/>
        </w:rPr>
        <w:t>john.finnigan@occ.ohio.gov</w:t>
      </w:r>
    </w:p>
    <w:p w:rsidR="00140B60" w:rsidRPr="00AC42B6" w:rsidP="00EE1D34" w14:paraId="50627843" w14:textId="77777777">
      <w:pPr>
        <w:autoSpaceDE w:val="0"/>
        <w:autoSpaceDN w:val="0"/>
        <w:adjustRightInd w:val="0"/>
        <w:rPr>
          <w:rStyle w:val="Hyperlink"/>
          <w:rFonts w:ascii="Times New Roman" w:hAnsi="Times New Roman" w:cs="Times New Roman"/>
          <w:color w:val="auto"/>
          <w:sz w:val="24"/>
          <w:szCs w:val="24"/>
          <w:u w:val="none"/>
        </w:rPr>
      </w:pPr>
      <w:r w:rsidRPr="00AC42B6">
        <w:rPr>
          <w:rStyle w:val="Hyperlink"/>
          <w:rFonts w:ascii="Times New Roman" w:hAnsi="Times New Roman" w:cs="Times New Roman"/>
          <w:color w:val="auto"/>
          <w:sz w:val="24"/>
          <w:szCs w:val="24"/>
          <w:u w:val="none"/>
        </w:rPr>
        <w:t>Dec</w:t>
      </w:r>
      <w:r w:rsidRPr="00AC42B6" w:rsidR="00C401BF">
        <w:rPr>
          <w:rStyle w:val="Hyperlink"/>
          <w:rFonts w:ascii="Times New Roman" w:hAnsi="Times New Roman" w:cs="Times New Roman"/>
          <w:color w:val="auto"/>
          <w:sz w:val="24"/>
          <w:szCs w:val="24"/>
          <w:u w:val="none"/>
        </w:rPr>
        <w:t xml:space="preserve">ember </w:t>
      </w:r>
      <w:r w:rsidRPr="00AC42B6" w:rsidR="00EC328A">
        <w:rPr>
          <w:rStyle w:val="Hyperlink"/>
          <w:rFonts w:ascii="Times New Roman" w:hAnsi="Times New Roman" w:cs="Times New Roman"/>
          <w:color w:val="auto"/>
          <w:sz w:val="24"/>
          <w:szCs w:val="24"/>
          <w:u w:val="none"/>
        </w:rPr>
        <w:t>20</w:t>
      </w:r>
      <w:r w:rsidRPr="00AC42B6" w:rsidR="00C401BF">
        <w:rPr>
          <w:rStyle w:val="Hyperlink"/>
          <w:rFonts w:ascii="Times New Roman" w:hAnsi="Times New Roman" w:cs="Times New Roman"/>
          <w:color w:val="auto"/>
          <w:sz w:val="24"/>
          <w:szCs w:val="24"/>
          <w:u w:val="none"/>
        </w:rPr>
        <w:t>, 2021</w:t>
      </w:r>
      <w:r w:rsidRPr="00AC42B6" w:rsidR="00C401BF">
        <w:rPr>
          <w:rStyle w:val="Hyperlink"/>
          <w:rFonts w:ascii="Times New Roman" w:hAnsi="Times New Roman" w:cs="Times New Roman"/>
          <w:color w:val="auto"/>
          <w:sz w:val="24"/>
          <w:szCs w:val="24"/>
          <w:u w:val="none"/>
        </w:rPr>
        <w:tab/>
      </w:r>
      <w:r w:rsidRPr="00AC42B6" w:rsidR="00C401BF">
        <w:rPr>
          <w:rStyle w:val="Hyperlink"/>
          <w:rFonts w:ascii="Times New Roman" w:hAnsi="Times New Roman" w:cs="Times New Roman"/>
          <w:color w:val="auto"/>
          <w:sz w:val="24"/>
          <w:szCs w:val="24"/>
          <w:u w:val="none"/>
        </w:rPr>
        <w:tab/>
      </w:r>
      <w:r w:rsidRPr="00AC42B6" w:rsidR="00C401BF">
        <w:rPr>
          <w:rStyle w:val="Hyperlink"/>
          <w:rFonts w:ascii="Times New Roman" w:hAnsi="Times New Roman" w:cs="Times New Roman"/>
          <w:color w:val="auto"/>
          <w:sz w:val="24"/>
          <w:szCs w:val="24"/>
          <w:u w:val="none"/>
        </w:rPr>
        <w:tab/>
      </w:r>
      <w:r w:rsidRPr="00AC42B6" w:rsidR="00C401BF">
        <w:rPr>
          <w:rStyle w:val="Hyperlink"/>
          <w:rFonts w:ascii="Times New Roman" w:hAnsi="Times New Roman" w:cs="Times New Roman"/>
          <w:color w:val="auto"/>
          <w:sz w:val="24"/>
          <w:szCs w:val="24"/>
          <w:u w:val="none"/>
        </w:rPr>
        <w:tab/>
        <w:t>(willing to accept service by e-mail)</w:t>
      </w:r>
    </w:p>
    <w:p w:rsidR="00543857" w:rsidRPr="00AC42B6" w:rsidP="00EE1D34" w14:paraId="6CAC7E33" w14:textId="77777777">
      <w:pPr>
        <w:autoSpaceDE w:val="0"/>
        <w:autoSpaceDN w:val="0"/>
        <w:adjustRightInd w:val="0"/>
        <w:rPr>
          <w:rStyle w:val="Hyperlink"/>
          <w:rFonts w:ascii="Times New Roman" w:hAnsi="Times New Roman" w:cs="Times New Roman"/>
          <w:color w:val="auto"/>
          <w:sz w:val="24"/>
          <w:szCs w:val="24"/>
          <w:u w:val="none"/>
        </w:rPr>
      </w:pPr>
    </w:p>
    <w:p w:rsidR="00501B37" w:rsidRPr="00AC42B6" w:rsidP="00EE1D34" w14:paraId="30725EE4" w14:textId="77777777">
      <w:pPr>
        <w:autoSpaceDE w:val="0"/>
        <w:autoSpaceDN w:val="0"/>
        <w:adjustRightInd w:val="0"/>
        <w:rPr>
          <w:rStyle w:val="Hyperlink"/>
          <w:rFonts w:ascii="Times New Roman" w:hAnsi="Times New Roman" w:cs="Times New Roman"/>
          <w:color w:val="auto"/>
          <w:sz w:val="24"/>
          <w:szCs w:val="24"/>
          <w:u w:val="none"/>
        </w:rPr>
        <w:sectPr w:rsidSect="00E17C81">
          <w:footerReference w:type="even" r:id="rId6"/>
          <w:footerReference w:type="default" r:id="rId7"/>
          <w:pgSz w:w="12240" w:h="15840"/>
          <w:pgMar w:top="1440" w:right="1440" w:bottom="1440" w:left="1440" w:header="1547" w:footer="432" w:gutter="0"/>
          <w:pgNumType w:start="2"/>
          <w:cols w:space="720"/>
          <w:docGrid w:linePitch="299"/>
        </w:sectPr>
      </w:pPr>
    </w:p>
    <w:p w:rsidR="00543857" w:rsidRPr="00AC42B6" w:rsidP="00543857" w14:paraId="2EAF2E1D" w14:textId="77777777">
      <w:pPr>
        <w:autoSpaceDE w:val="0"/>
        <w:autoSpaceDN w:val="0"/>
        <w:adjustRightInd w:val="0"/>
        <w:jc w:val="center"/>
        <w:rPr>
          <w:rStyle w:val="Hyperlink"/>
          <w:rFonts w:ascii="Times New Roman" w:hAnsi="Times New Roman" w:cs="Times New Roman"/>
          <w:b/>
          <w:bCs/>
          <w:color w:val="auto"/>
          <w:sz w:val="24"/>
          <w:szCs w:val="24"/>
        </w:rPr>
      </w:pPr>
      <w:r w:rsidRPr="00AC42B6">
        <w:rPr>
          <w:rStyle w:val="Hyperlink"/>
          <w:rFonts w:ascii="Times New Roman" w:hAnsi="Times New Roman" w:cs="Times New Roman"/>
          <w:b/>
          <w:bCs/>
          <w:color w:val="auto"/>
          <w:sz w:val="24"/>
          <w:szCs w:val="24"/>
        </w:rPr>
        <w:t>TABLE OF CONTENTS</w:t>
      </w:r>
    </w:p>
    <w:p w:rsidR="00543857" w:rsidRPr="00AC42B6" w:rsidP="00543857" w14:paraId="1188EDD9" w14:textId="77777777">
      <w:pPr>
        <w:autoSpaceDE w:val="0"/>
        <w:autoSpaceDN w:val="0"/>
        <w:adjustRightInd w:val="0"/>
        <w:jc w:val="center"/>
        <w:rPr>
          <w:rStyle w:val="Hyperlink"/>
          <w:rFonts w:ascii="Times New Roman" w:hAnsi="Times New Roman" w:cs="Times New Roman"/>
          <w:b/>
          <w:bCs/>
          <w:color w:val="auto"/>
          <w:sz w:val="24"/>
          <w:szCs w:val="24"/>
          <w:u w:val="none"/>
        </w:rPr>
      </w:pP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sidR="00501B37">
        <w:rPr>
          <w:rStyle w:val="Hyperlink"/>
          <w:rFonts w:ascii="Times New Roman" w:hAnsi="Times New Roman" w:cs="Times New Roman"/>
          <w:color w:val="auto"/>
          <w:sz w:val="24"/>
          <w:szCs w:val="24"/>
          <w:u w:val="none"/>
        </w:rPr>
        <w:t xml:space="preserve">           </w:t>
      </w:r>
      <w:r w:rsidRPr="00AC42B6">
        <w:rPr>
          <w:rStyle w:val="Hyperlink"/>
          <w:rFonts w:ascii="Times New Roman" w:hAnsi="Times New Roman" w:cs="Times New Roman"/>
          <w:b/>
          <w:bCs/>
          <w:color w:val="auto"/>
          <w:sz w:val="24"/>
          <w:szCs w:val="24"/>
          <w:u w:val="none"/>
        </w:rPr>
        <w:t>PAGE</w:t>
      </w:r>
    </w:p>
    <w:p w:rsidR="00543857" w:rsidRPr="00AC42B6" w:rsidP="00543857" w14:paraId="4D19531B" w14:textId="77777777">
      <w:pPr>
        <w:autoSpaceDE w:val="0"/>
        <w:autoSpaceDN w:val="0"/>
        <w:adjustRightInd w:val="0"/>
        <w:jc w:val="center"/>
        <w:rPr>
          <w:rStyle w:val="Hyperlink"/>
          <w:rFonts w:ascii="Times New Roman" w:hAnsi="Times New Roman" w:cs="Times New Roman"/>
          <w:color w:val="auto"/>
          <w:sz w:val="24"/>
          <w:szCs w:val="24"/>
          <w:u w:val="none"/>
        </w:rPr>
      </w:pPr>
    </w:p>
    <w:p w:rsidR="00AC42B6" w14:paraId="3880AA52" w14:textId="6ED31AA7">
      <w:pPr>
        <w:pStyle w:val="TOC1"/>
        <w:rPr>
          <w:rFonts w:asciiTheme="minorHAnsi" w:eastAsiaTheme="minorEastAsia" w:hAnsiTheme="minorHAnsi"/>
          <w:caps w:val="0"/>
          <w:noProof/>
          <w:sz w:val="22"/>
        </w:rPr>
      </w:pPr>
      <w:r w:rsidRPr="00AC42B6">
        <w:rPr>
          <w:rFonts w:cs="Times New Roman"/>
          <w:b/>
          <w:bCs/>
          <w:szCs w:val="24"/>
        </w:rPr>
        <w:fldChar w:fldCharType="begin"/>
      </w:r>
      <w:r w:rsidRPr="00AC42B6">
        <w:rPr>
          <w:rFonts w:cs="Times New Roman"/>
          <w:b/>
          <w:bCs/>
          <w:szCs w:val="24"/>
        </w:rPr>
        <w:instrText xml:space="preserve"> TOC \o "1-3" \h \z \u </w:instrText>
      </w:r>
      <w:r w:rsidRPr="00AC42B6">
        <w:rPr>
          <w:rFonts w:cs="Times New Roman"/>
          <w:b/>
          <w:bCs/>
          <w:szCs w:val="24"/>
        </w:rPr>
        <w:fldChar w:fldCharType="separate"/>
      </w:r>
      <w:hyperlink w:anchor="_Toc90912417" w:history="1">
        <w:r w:rsidRPr="00364DF1">
          <w:rPr>
            <w:rStyle w:val="Hyperlink"/>
            <w:rFonts w:cs="Times New Roman"/>
            <w:noProof/>
          </w:rPr>
          <w:t xml:space="preserve">I. </w:t>
        </w:r>
        <w:r>
          <w:rPr>
            <w:rFonts w:asciiTheme="minorHAnsi" w:eastAsiaTheme="minorEastAsia" w:hAnsiTheme="minorHAnsi"/>
            <w:caps w:val="0"/>
            <w:noProof/>
            <w:sz w:val="22"/>
          </w:rPr>
          <w:tab/>
        </w:r>
        <w:r w:rsidRPr="00364DF1">
          <w:rPr>
            <w:rStyle w:val="Hyperlink"/>
            <w:rFonts w:cs="Times New Roman"/>
            <w:noProof/>
          </w:rPr>
          <w:t>INTRODUCTION</w:t>
        </w:r>
        <w:r>
          <w:rPr>
            <w:noProof/>
            <w:webHidden/>
          </w:rPr>
          <w:tab/>
        </w:r>
        <w:r>
          <w:rPr>
            <w:noProof/>
            <w:webHidden/>
          </w:rPr>
          <w:fldChar w:fldCharType="begin"/>
        </w:r>
        <w:r>
          <w:rPr>
            <w:noProof/>
            <w:webHidden/>
          </w:rPr>
          <w:instrText xml:space="preserve"> PAGEREF _Toc90912417 \h </w:instrText>
        </w:r>
        <w:r>
          <w:rPr>
            <w:noProof/>
            <w:webHidden/>
          </w:rPr>
          <w:fldChar w:fldCharType="separate"/>
        </w:r>
        <w:r>
          <w:rPr>
            <w:noProof/>
            <w:webHidden/>
          </w:rPr>
          <w:t>1</w:t>
        </w:r>
        <w:r>
          <w:rPr>
            <w:noProof/>
            <w:webHidden/>
          </w:rPr>
          <w:fldChar w:fldCharType="end"/>
        </w:r>
      </w:hyperlink>
    </w:p>
    <w:p w:rsidR="00AC42B6" w14:paraId="3B12E9E6" w14:textId="024698ED">
      <w:pPr>
        <w:pStyle w:val="TOC2"/>
        <w:tabs>
          <w:tab w:val="left" w:pos="1440"/>
        </w:tabs>
        <w:rPr>
          <w:rFonts w:asciiTheme="minorHAnsi" w:eastAsiaTheme="minorEastAsia" w:hAnsiTheme="minorHAnsi"/>
          <w:noProof/>
          <w:sz w:val="22"/>
        </w:rPr>
      </w:pPr>
      <w:hyperlink w:anchor="_Toc90912418" w:history="1">
        <w:r w:rsidRPr="00364DF1">
          <w:rPr>
            <w:rStyle w:val="Hyperlink"/>
            <w:rFonts w:cs="Times New Roman"/>
            <w:noProof/>
          </w:rPr>
          <w:t>A.</w:t>
        </w:r>
        <w:r>
          <w:rPr>
            <w:rFonts w:asciiTheme="minorHAnsi" w:eastAsiaTheme="minorEastAsia" w:hAnsiTheme="minorHAnsi"/>
            <w:noProof/>
            <w:sz w:val="22"/>
          </w:rPr>
          <w:tab/>
        </w:r>
        <w:r w:rsidRPr="00364DF1">
          <w:rPr>
            <w:rStyle w:val="Hyperlink"/>
            <w:rFonts w:cs="Times New Roman"/>
            <w:noProof/>
          </w:rPr>
          <w:t>The scope of this proceeding is whether it is just and reasonable for AEP Ohio to charge consumers for its share of the OVEC coal plant subsidy charges.  The discovery OCC seeks is well within this scope.</w:t>
        </w:r>
        <w:r>
          <w:rPr>
            <w:noProof/>
            <w:webHidden/>
          </w:rPr>
          <w:tab/>
        </w:r>
        <w:r>
          <w:rPr>
            <w:noProof/>
            <w:webHidden/>
          </w:rPr>
          <w:fldChar w:fldCharType="begin"/>
        </w:r>
        <w:r>
          <w:rPr>
            <w:noProof/>
            <w:webHidden/>
          </w:rPr>
          <w:instrText xml:space="preserve"> PAGEREF _Toc90912418 \h </w:instrText>
        </w:r>
        <w:r>
          <w:rPr>
            <w:noProof/>
            <w:webHidden/>
          </w:rPr>
          <w:fldChar w:fldCharType="separate"/>
        </w:r>
        <w:r>
          <w:rPr>
            <w:noProof/>
            <w:webHidden/>
          </w:rPr>
          <w:t>4</w:t>
        </w:r>
        <w:r>
          <w:rPr>
            <w:noProof/>
            <w:webHidden/>
          </w:rPr>
          <w:fldChar w:fldCharType="end"/>
        </w:r>
      </w:hyperlink>
    </w:p>
    <w:p w:rsidR="00AC42B6" w14:paraId="5FA3FBC9" w14:textId="3F8AD446">
      <w:pPr>
        <w:pStyle w:val="TOC3"/>
        <w:tabs>
          <w:tab w:val="left" w:pos="2160"/>
        </w:tabs>
        <w:rPr>
          <w:rFonts w:asciiTheme="minorHAnsi" w:eastAsiaTheme="minorEastAsia" w:hAnsiTheme="minorHAnsi"/>
          <w:noProof/>
          <w:sz w:val="22"/>
        </w:rPr>
      </w:pPr>
      <w:hyperlink w:anchor="_Toc90912419" w:history="1">
        <w:r w:rsidRPr="00364DF1">
          <w:rPr>
            <w:rStyle w:val="Hyperlink"/>
            <w:rFonts w:cs="Times New Roman"/>
            <w:noProof/>
          </w:rPr>
          <w:t>1.</w:t>
        </w:r>
        <w:r>
          <w:rPr>
            <w:rFonts w:asciiTheme="minorHAnsi" w:eastAsiaTheme="minorEastAsia" w:hAnsiTheme="minorHAnsi"/>
            <w:noProof/>
            <w:sz w:val="22"/>
          </w:rPr>
          <w:tab/>
        </w:r>
        <w:r w:rsidRPr="00364DF1">
          <w:rPr>
            <w:rStyle w:val="Hyperlink"/>
            <w:rFonts w:cs="Times New Roman"/>
            <w:noProof/>
          </w:rPr>
          <w:t>The PUCO may properly consider evidence relating to its original approval of AEP’s collection of OVEC coal plant charges in deciding whether the OVEC charges are just and reasonable to make Ohioans pay.</w:t>
        </w:r>
        <w:r>
          <w:rPr>
            <w:noProof/>
            <w:webHidden/>
          </w:rPr>
          <w:tab/>
        </w:r>
        <w:r>
          <w:rPr>
            <w:noProof/>
            <w:webHidden/>
          </w:rPr>
          <w:fldChar w:fldCharType="begin"/>
        </w:r>
        <w:r>
          <w:rPr>
            <w:noProof/>
            <w:webHidden/>
          </w:rPr>
          <w:instrText xml:space="preserve"> PAGEREF _Toc90912419 \h </w:instrText>
        </w:r>
        <w:r>
          <w:rPr>
            <w:noProof/>
            <w:webHidden/>
          </w:rPr>
          <w:fldChar w:fldCharType="separate"/>
        </w:r>
        <w:r>
          <w:rPr>
            <w:noProof/>
            <w:webHidden/>
          </w:rPr>
          <w:t>4</w:t>
        </w:r>
        <w:r>
          <w:rPr>
            <w:noProof/>
            <w:webHidden/>
          </w:rPr>
          <w:fldChar w:fldCharType="end"/>
        </w:r>
      </w:hyperlink>
    </w:p>
    <w:p w:rsidR="00AC42B6" w14:paraId="30FF490E" w14:textId="71DA6577">
      <w:pPr>
        <w:pStyle w:val="TOC3"/>
        <w:tabs>
          <w:tab w:val="left" w:pos="2160"/>
        </w:tabs>
        <w:rPr>
          <w:rFonts w:asciiTheme="minorHAnsi" w:eastAsiaTheme="minorEastAsia" w:hAnsiTheme="minorHAnsi"/>
          <w:noProof/>
          <w:sz w:val="22"/>
        </w:rPr>
      </w:pPr>
      <w:hyperlink w:anchor="_Toc90912420" w:history="1">
        <w:r w:rsidRPr="00364DF1">
          <w:rPr>
            <w:rStyle w:val="Hyperlink"/>
            <w:rFonts w:eastAsia="Times New Roman" w:cs="Times New Roman"/>
            <w:noProof/>
          </w:rPr>
          <w:t>2.</w:t>
        </w:r>
        <w:r>
          <w:rPr>
            <w:rFonts w:asciiTheme="minorHAnsi" w:eastAsiaTheme="minorEastAsia" w:hAnsiTheme="minorHAnsi"/>
            <w:noProof/>
            <w:sz w:val="22"/>
          </w:rPr>
          <w:tab/>
        </w:r>
        <w:r w:rsidRPr="00364DF1">
          <w:rPr>
            <w:rStyle w:val="Hyperlink"/>
            <w:rFonts w:eastAsia="Times New Roman" w:cs="Times New Roman"/>
            <w:noProof/>
          </w:rPr>
          <w:t>The PUCO may properly consider actions by AEP Ohio’s parent company and affiliates in deciding whether the OVEC charges are just and reasonable.</w:t>
        </w:r>
        <w:r>
          <w:rPr>
            <w:noProof/>
            <w:webHidden/>
          </w:rPr>
          <w:tab/>
        </w:r>
        <w:r>
          <w:rPr>
            <w:noProof/>
            <w:webHidden/>
          </w:rPr>
          <w:fldChar w:fldCharType="begin"/>
        </w:r>
        <w:r>
          <w:rPr>
            <w:noProof/>
            <w:webHidden/>
          </w:rPr>
          <w:instrText xml:space="preserve"> PAGEREF _Toc90912420 \h </w:instrText>
        </w:r>
        <w:r>
          <w:rPr>
            <w:noProof/>
            <w:webHidden/>
          </w:rPr>
          <w:fldChar w:fldCharType="separate"/>
        </w:r>
        <w:r>
          <w:rPr>
            <w:noProof/>
            <w:webHidden/>
          </w:rPr>
          <w:t>10</w:t>
        </w:r>
        <w:r>
          <w:rPr>
            <w:noProof/>
            <w:webHidden/>
          </w:rPr>
          <w:fldChar w:fldCharType="end"/>
        </w:r>
      </w:hyperlink>
    </w:p>
    <w:p w:rsidR="00AC42B6" w14:paraId="4CA25B4D" w14:textId="66F59E56">
      <w:pPr>
        <w:pStyle w:val="TOC2"/>
        <w:tabs>
          <w:tab w:val="left" w:pos="1440"/>
        </w:tabs>
        <w:rPr>
          <w:rFonts w:asciiTheme="minorHAnsi" w:eastAsiaTheme="minorEastAsia" w:hAnsiTheme="minorHAnsi"/>
          <w:noProof/>
          <w:sz w:val="22"/>
        </w:rPr>
      </w:pPr>
      <w:hyperlink w:anchor="_Toc90912421" w:history="1">
        <w:r w:rsidRPr="00364DF1">
          <w:rPr>
            <w:rStyle w:val="Hyperlink"/>
            <w:rFonts w:cs="Times New Roman"/>
            <w:noProof/>
          </w:rPr>
          <w:t>B.</w:t>
        </w:r>
        <w:r>
          <w:rPr>
            <w:rFonts w:asciiTheme="minorHAnsi" w:eastAsiaTheme="minorEastAsia" w:hAnsiTheme="minorHAnsi"/>
            <w:noProof/>
            <w:sz w:val="22"/>
          </w:rPr>
          <w:tab/>
        </w:r>
        <w:r w:rsidRPr="00364DF1">
          <w:rPr>
            <w:rStyle w:val="Hyperlink"/>
            <w:rFonts w:cs="Times New Roman"/>
            <w:noProof/>
          </w:rPr>
          <w:t>The PUCO may properly consider AEP Ohio’s actions after the audit period in deciding whether the OVEC charges are just and reasonable.</w:t>
        </w:r>
        <w:r>
          <w:rPr>
            <w:noProof/>
            <w:webHidden/>
          </w:rPr>
          <w:tab/>
        </w:r>
        <w:r>
          <w:rPr>
            <w:noProof/>
            <w:webHidden/>
          </w:rPr>
          <w:fldChar w:fldCharType="begin"/>
        </w:r>
        <w:r>
          <w:rPr>
            <w:noProof/>
            <w:webHidden/>
          </w:rPr>
          <w:instrText xml:space="preserve"> PAGEREF _Toc90912421 \h </w:instrText>
        </w:r>
        <w:r>
          <w:rPr>
            <w:noProof/>
            <w:webHidden/>
          </w:rPr>
          <w:fldChar w:fldCharType="separate"/>
        </w:r>
        <w:r>
          <w:rPr>
            <w:noProof/>
            <w:webHidden/>
          </w:rPr>
          <w:t>16</w:t>
        </w:r>
        <w:r>
          <w:rPr>
            <w:noProof/>
            <w:webHidden/>
          </w:rPr>
          <w:fldChar w:fldCharType="end"/>
        </w:r>
      </w:hyperlink>
    </w:p>
    <w:p w:rsidR="00AC42B6" w14:paraId="0B95822D" w14:textId="1182F9CD">
      <w:pPr>
        <w:pStyle w:val="TOC1"/>
        <w:rPr>
          <w:rFonts w:asciiTheme="minorHAnsi" w:eastAsiaTheme="minorEastAsia" w:hAnsiTheme="minorHAnsi"/>
          <w:caps w:val="0"/>
          <w:noProof/>
          <w:sz w:val="22"/>
        </w:rPr>
      </w:pPr>
      <w:hyperlink w:anchor="_Toc90912422" w:history="1">
        <w:r w:rsidRPr="00364DF1">
          <w:rPr>
            <w:rStyle w:val="Hyperlink"/>
            <w:rFonts w:cs="Times New Roman"/>
            <w:noProof/>
          </w:rPr>
          <w:t>II.</w:t>
        </w:r>
        <w:r>
          <w:rPr>
            <w:rFonts w:asciiTheme="minorHAnsi" w:eastAsiaTheme="minorEastAsia" w:hAnsiTheme="minorHAnsi"/>
            <w:caps w:val="0"/>
            <w:noProof/>
            <w:sz w:val="22"/>
          </w:rPr>
          <w:tab/>
        </w:r>
        <w:r w:rsidRPr="00364DF1">
          <w:rPr>
            <w:rStyle w:val="Hyperlink"/>
            <w:rFonts w:cs="Times New Roman"/>
            <w:noProof/>
          </w:rPr>
          <w:t>CONCLUSION</w:t>
        </w:r>
        <w:r>
          <w:rPr>
            <w:noProof/>
            <w:webHidden/>
          </w:rPr>
          <w:tab/>
        </w:r>
        <w:r>
          <w:rPr>
            <w:noProof/>
            <w:webHidden/>
          </w:rPr>
          <w:fldChar w:fldCharType="begin"/>
        </w:r>
        <w:r>
          <w:rPr>
            <w:noProof/>
            <w:webHidden/>
          </w:rPr>
          <w:instrText xml:space="preserve"> PAGEREF _Toc90912422 \h </w:instrText>
        </w:r>
        <w:r>
          <w:rPr>
            <w:noProof/>
            <w:webHidden/>
          </w:rPr>
          <w:fldChar w:fldCharType="separate"/>
        </w:r>
        <w:r>
          <w:rPr>
            <w:noProof/>
            <w:webHidden/>
          </w:rPr>
          <w:t>17</w:t>
        </w:r>
        <w:r>
          <w:rPr>
            <w:noProof/>
            <w:webHidden/>
          </w:rPr>
          <w:fldChar w:fldCharType="end"/>
        </w:r>
      </w:hyperlink>
    </w:p>
    <w:p w:rsidR="00140B60" w:rsidRPr="00AC42B6" w:rsidP="00E34345" w14:paraId="5513701D" w14:textId="01AFAC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AC42B6">
        <w:rPr>
          <w:rFonts w:ascii="Times New Roman" w:hAnsi="Times New Roman" w:cs="Times New Roman"/>
          <w:b/>
          <w:bCs/>
          <w:sz w:val="24"/>
          <w:szCs w:val="24"/>
        </w:rPr>
        <w:fldChar w:fldCharType="end"/>
      </w:r>
    </w:p>
    <w:p w:rsidR="00140B60" w:rsidRPr="00AC42B6" w:rsidP="00E34345" w14:paraId="65C0FA2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140B60" w:rsidRPr="00AC42B6" w:rsidP="00E34345" w14:paraId="3748910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sectPr w:rsidSect="00501B37">
          <w:footerReference w:type="default" r:id="rId8"/>
          <w:pgSz w:w="12240" w:h="15840"/>
          <w:pgMar w:top="1440" w:right="1440" w:bottom="1440" w:left="1440" w:header="1547" w:footer="432" w:gutter="0"/>
          <w:pgNumType w:fmt="lowerRoman" w:start="1"/>
          <w:cols w:space="720"/>
          <w:docGrid w:linePitch="299"/>
        </w:sectPr>
      </w:pPr>
    </w:p>
    <w:p w:rsidR="004065F9" w:rsidRPr="00AC42B6" w:rsidP="00E34345" w14:paraId="75F015C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AC42B6">
        <w:rPr>
          <w:rFonts w:ascii="Times New Roman" w:hAnsi="Times New Roman" w:cs="Times New Roman"/>
          <w:b/>
          <w:bCs/>
          <w:sz w:val="24"/>
          <w:szCs w:val="24"/>
        </w:rPr>
        <w:t>BEFORE</w:t>
      </w:r>
    </w:p>
    <w:p w:rsidR="004065F9" w:rsidRPr="00AC42B6" w:rsidP="004065F9" w14:paraId="16814107" w14:textId="77777777">
      <w:pPr>
        <w:pStyle w:val="HTMLPreformatted"/>
        <w:jc w:val="center"/>
        <w:rPr>
          <w:rFonts w:ascii="Times New Roman" w:hAnsi="Times New Roman" w:cs="Times New Roman"/>
          <w:b/>
          <w:bCs/>
          <w:sz w:val="24"/>
          <w:szCs w:val="24"/>
        </w:rPr>
      </w:pPr>
      <w:r w:rsidRPr="00AC42B6">
        <w:rPr>
          <w:rFonts w:ascii="Times New Roman" w:hAnsi="Times New Roman" w:cs="Times New Roman"/>
          <w:b/>
          <w:bCs/>
          <w:sz w:val="24"/>
          <w:szCs w:val="24"/>
        </w:rPr>
        <w:t>THE PUBLIC UTILITIES COMMISSION OF OHIO</w:t>
      </w:r>
    </w:p>
    <w:p w:rsidR="00140B60" w:rsidRPr="00AC42B6" w:rsidP="00140B60" w14:paraId="77A85E37" w14:textId="77777777">
      <w:pPr>
        <w:pStyle w:val="HTMLPreformatted"/>
        <w:rPr>
          <w:rFonts w:ascii="Times New Roman" w:hAnsi="Times New Roman" w:cs="Times New Roman"/>
          <w:sz w:val="24"/>
          <w:szCs w:val="24"/>
        </w:rPr>
      </w:pPr>
    </w:p>
    <w:tbl>
      <w:tblPr>
        <w:tblW w:w="9360" w:type="dxa"/>
        <w:tblLook w:val="01E0"/>
      </w:tblPr>
      <w:tblGrid>
        <w:gridCol w:w="4590"/>
        <w:gridCol w:w="360"/>
        <w:gridCol w:w="4410"/>
      </w:tblGrid>
      <w:tr w14:paraId="5B8758DA" w14:textId="77777777" w:rsidTr="00140B60">
        <w:tblPrEx>
          <w:tblW w:w="9360" w:type="dxa"/>
          <w:tblLook w:val="01E0"/>
        </w:tblPrEx>
        <w:trPr>
          <w:trHeight w:val="807"/>
        </w:trPr>
        <w:tc>
          <w:tcPr>
            <w:tcW w:w="4590" w:type="dxa"/>
            <w:shd w:val="clear" w:color="auto" w:fill="auto"/>
          </w:tcPr>
          <w:p w:rsidR="00140B60" w:rsidRPr="00AC42B6" w:rsidP="00140B60" w14:paraId="1133586C"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In the Matter of the Review of the Power Purchase Agreement Rider of Ohio Power Company for 2018.</w:t>
            </w:r>
          </w:p>
          <w:p w:rsidR="00140B60" w:rsidRPr="00AC42B6" w:rsidP="00140B60" w14:paraId="79D3E532" w14:textId="77777777">
            <w:pPr>
              <w:pStyle w:val="HTMLPreformatted"/>
              <w:rPr>
                <w:rFonts w:ascii="Times New Roman" w:hAnsi="Times New Roman" w:cs="Times New Roman"/>
                <w:sz w:val="24"/>
                <w:szCs w:val="24"/>
              </w:rPr>
            </w:pPr>
          </w:p>
          <w:p w:rsidR="00140B60" w:rsidRPr="00AC42B6" w:rsidP="00140B60" w14:paraId="510CB7AF"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In the Matter of the Review of the Power Purchase Agreement Rider of Ohio Power Company for 2019.</w:t>
            </w:r>
          </w:p>
        </w:tc>
        <w:tc>
          <w:tcPr>
            <w:tcW w:w="360" w:type="dxa"/>
            <w:shd w:val="clear" w:color="auto" w:fill="auto"/>
          </w:tcPr>
          <w:p w:rsidR="00140B60" w:rsidRPr="00AC42B6" w:rsidP="00140B60" w14:paraId="6FEF8C9D"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140B60" w:rsidRPr="00AC42B6" w:rsidP="00140B60" w14:paraId="53F24D48"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140B60" w:rsidRPr="00AC42B6" w:rsidP="00140B60" w14:paraId="118BB2E1"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140B60" w:rsidRPr="00AC42B6" w:rsidP="00140B60" w14:paraId="375A0E8C" w14:textId="77777777">
            <w:pPr>
              <w:pStyle w:val="HTMLPreformatted"/>
              <w:rPr>
                <w:rFonts w:ascii="Times New Roman" w:hAnsi="Times New Roman" w:cs="Times New Roman"/>
                <w:sz w:val="24"/>
                <w:szCs w:val="24"/>
              </w:rPr>
            </w:pPr>
          </w:p>
          <w:p w:rsidR="00140B60" w:rsidRPr="00AC42B6" w:rsidP="00140B60" w14:paraId="14ECDC2A"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140B60" w:rsidRPr="00AC42B6" w:rsidP="00140B60" w14:paraId="5DC6FFC9"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p w:rsidR="00140B60" w:rsidRPr="00AC42B6" w:rsidP="00140B60" w14:paraId="364FBBA1"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w:t>
            </w:r>
          </w:p>
        </w:tc>
        <w:tc>
          <w:tcPr>
            <w:tcW w:w="4410" w:type="dxa"/>
            <w:shd w:val="clear" w:color="auto" w:fill="auto"/>
          </w:tcPr>
          <w:p w:rsidR="00140B60" w:rsidRPr="00AC42B6" w:rsidP="00140B60" w14:paraId="2BDDE1C3" w14:textId="77777777">
            <w:pPr>
              <w:pStyle w:val="HTMLPreformatted"/>
              <w:rPr>
                <w:rFonts w:ascii="Times New Roman" w:hAnsi="Times New Roman" w:cs="Times New Roman"/>
                <w:sz w:val="24"/>
                <w:szCs w:val="24"/>
              </w:rPr>
            </w:pPr>
          </w:p>
          <w:p w:rsidR="00140B60" w:rsidRPr="00AC42B6" w:rsidP="00140B60" w14:paraId="7A2ABA3F"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Case No. 18-1004-EL-RDR</w:t>
            </w:r>
          </w:p>
          <w:p w:rsidR="00140B60" w:rsidRPr="00AC42B6" w:rsidP="00140B60" w14:paraId="5437FCDE" w14:textId="77777777">
            <w:pPr>
              <w:pStyle w:val="HTMLPreformatted"/>
              <w:rPr>
                <w:rFonts w:ascii="Times New Roman" w:hAnsi="Times New Roman" w:cs="Times New Roman"/>
                <w:sz w:val="24"/>
                <w:szCs w:val="24"/>
              </w:rPr>
            </w:pPr>
          </w:p>
          <w:p w:rsidR="00140B60" w:rsidRPr="00AC42B6" w:rsidP="00140B60" w14:paraId="02ECC5C4" w14:textId="77777777">
            <w:pPr>
              <w:pStyle w:val="HTMLPreformatted"/>
              <w:rPr>
                <w:rFonts w:ascii="Times New Roman" w:hAnsi="Times New Roman" w:cs="Times New Roman"/>
                <w:sz w:val="24"/>
                <w:szCs w:val="24"/>
              </w:rPr>
            </w:pPr>
          </w:p>
          <w:p w:rsidR="00140B60" w:rsidRPr="00AC42B6" w:rsidP="00140B60" w14:paraId="506BA002" w14:textId="77777777">
            <w:pPr>
              <w:pStyle w:val="HTMLPreformatted"/>
              <w:rPr>
                <w:rFonts w:ascii="Times New Roman" w:hAnsi="Times New Roman" w:cs="Times New Roman"/>
                <w:sz w:val="24"/>
                <w:szCs w:val="24"/>
              </w:rPr>
            </w:pPr>
          </w:p>
          <w:p w:rsidR="00140B60" w:rsidRPr="00AC42B6" w:rsidP="00140B60" w14:paraId="4BE64239" w14:textId="77777777">
            <w:pPr>
              <w:pStyle w:val="HTMLPreformatted"/>
              <w:rPr>
                <w:rFonts w:ascii="Times New Roman" w:hAnsi="Times New Roman" w:cs="Times New Roman"/>
                <w:sz w:val="24"/>
                <w:szCs w:val="24"/>
              </w:rPr>
            </w:pPr>
            <w:r w:rsidRPr="00AC42B6">
              <w:rPr>
                <w:rFonts w:ascii="Times New Roman" w:hAnsi="Times New Roman" w:cs="Times New Roman"/>
                <w:sz w:val="24"/>
                <w:szCs w:val="24"/>
              </w:rPr>
              <w:t>Case No. 18-1759-EL-RDR</w:t>
            </w:r>
          </w:p>
        </w:tc>
      </w:tr>
    </w:tbl>
    <w:p w:rsidR="00140B60" w:rsidRPr="00AC42B6" w:rsidP="00140B60" w14:paraId="72687C5B" w14:textId="77777777">
      <w:pPr>
        <w:pStyle w:val="HTMLPreformatted"/>
        <w:rPr>
          <w:rFonts w:ascii="Times New Roman" w:hAnsi="Times New Roman" w:cs="Times New Roman"/>
          <w:sz w:val="24"/>
          <w:szCs w:val="24"/>
        </w:rPr>
      </w:pPr>
    </w:p>
    <w:p w:rsidR="004065F9" w:rsidRPr="00AC42B6" w:rsidP="004065F9" w14:paraId="2D77B51B" w14:textId="77777777">
      <w:pPr>
        <w:pStyle w:val="HTMLPreformatted"/>
        <w:pBdr>
          <w:top w:val="single" w:sz="12" w:space="1" w:color="auto"/>
        </w:pBdr>
        <w:rPr>
          <w:rFonts w:ascii="Times New Roman" w:hAnsi="Times New Roman" w:cs="Times New Roman"/>
          <w:sz w:val="24"/>
          <w:szCs w:val="24"/>
        </w:rPr>
      </w:pPr>
    </w:p>
    <w:p w:rsidR="00761249" w:rsidRPr="00AC42B6" w:rsidP="00761249" w14:paraId="646BA4FF" w14:textId="77777777">
      <w:pPr>
        <w:jc w:val="center"/>
        <w:rPr>
          <w:rFonts w:ascii="Times New Roman" w:eastAsia="Times New Roman" w:hAnsi="Times New Roman" w:cs="Times New Roman"/>
          <w:b/>
          <w:bCs/>
          <w:w w:val="90"/>
          <w:sz w:val="24"/>
          <w:szCs w:val="24"/>
        </w:rPr>
      </w:pPr>
      <w:bookmarkStart w:id="0" w:name="_Hlk83824422"/>
      <w:r w:rsidRPr="00AC42B6">
        <w:rPr>
          <w:rFonts w:ascii="Times New Roman" w:eastAsia="Times New Roman" w:hAnsi="Times New Roman" w:cs="Times New Roman"/>
          <w:b/>
          <w:bCs/>
          <w:w w:val="90"/>
          <w:sz w:val="24"/>
          <w:szCs w:val="24"/>
        </w:rPr>
        <w:t>MEMORANDUM CONTRA TO</w:t>
      </w:r>
    </w:p>
    <w:p w:rsidR="00761249" w:rsidRPr="00AC42B6" w:rsidP="00CE5A89" w14:paraId="10A5C2D3" w14:textId="77777777">
      <w:pPr>
        <w:jc w:val="center"/>
        <w:rPr>
          <w:rFonts w:ascii="Times New Roman" w:eastAsia="Times New Roman" w:hAnsi="Times New Roman" w:cs="Times New Roman"/>
          <w:b/>
          <w:bCs/>
          <w:w w:val="90"/>
          <w:sz w:val="24"/>
          <w:szCs w:val="24"/>
        </w:rPr>
      </w:pPr>
      <w:r w:rsidRPr="00AC42B6">
        <w:rPr>
          <w:rFonts w:ascii="Times New Roman" w:eastAsia="Times New Roman" w:hAnsi="Times New Roman" w:cs="Times New Roman"/>
          <w:b/>
          <w:bCs/>
          <w:w w:val="90"/>
          <w:sz w:val="24"/>
          <w:szCs w:val="24"/>
        </w:rPr>
        <w:t xml:space="preserve">MOTION OF </w:t>
      </w:r>
      <w:r w:rsidRPr="00AC42B6" w:rsidR="00EC328A">
        <w:rPr>
          <w:rFonts w:ascii="Times New Roman" w:eastAsia="Times New Roman" w:hAnsi="Times New Roman" w:cs="Times New Roman"/>
          <w:b/>
          <w:bCs/>
          <w:w w:val="90"/>
          <w:sz w:val="24"/>
          <w:szCs w:val="24"/>
        </w:rPr>
        <w:t>AEP OHIO</w:t>
      </w:r>
      <w:r w:rsidRPr="00AC42B6">
        <w:rPr>
          <w:rFonts w:ascii="Times New Roman" w:eastAsia="Times New Roman" w:hAnsi="Times New Roman" w:cs="Times New Roman"/>
          <w:b/>
          <w:bCs/>
          <w:w w:val="90"/>
          <w:sz w:val="24"/>
          <w:szCs w:val="24"/>
        </w:rPr>
        <w:t xml:space="preserve"> FOR PROTECTIVE ORDER</w:t>
      </w:r>
    </w:p>
    <w:p w:rsidR="004065F9" w:rsidRPr="00AC42B6" w:rsidP="00CE5A89" w14:paraId="422FD99E" w14:textId="77777777">
      <w:pPr>
        <w:jc w:val="center"/>
        <w:rPr>
          <w:rFonts w:ascii="Times New Roman" w:eastAsia="Times New Roman" w:hAnsi="Times New Roman" w:cs="Times New Roman"/>
          <w:b/>
          <w:bCs/>
          <w:sz w:val="24"/>
          <w:szCs w:val="24"/>
        </w:rPr>
      </w:pPr>
      <w:r w:rsidRPr="00AC42B6">
        <w:rPr>
          <w:rFonts w:ascii="Times New Roman" w:eastAsia="Times New Roman" w:hAnsi="Times New Roman" w:cs="Times New Roman"/>
          <w:b/>
          <w:bCs/>
          <w:w w:val="90"/>
          <w:sz w:val="24"/>
          <w:szCs w:val="24"/>
        </w:rPr>
        <w:t>BY</w:t>
      </w:r>
    </w:p>
    <w:p w:rsidR="004065F9" w:rsidRPr="00AC42B6" w:rsidP="00CE5A89" w14:paraId="40BC4862" w14:textId="77777777">
      <w:pPr>
        <w:jc w:val="center"/>
        <w:rPr>
          <w:rFonts w:ascii="Times New Roman" w:hAnsi="Times New Roman" w:cs="Times New Roman"/>
          <w:b/>
          <w:bCs/>
          <w:sz w:val="24"/>
          <w:szCs w:val="24"/>
        </w:rPr>
      </w:pPr>
      <w:r w:rsidRPr="00AC42B6">
        <w:rPr>
          <w:rFonts w:ascii="Times New Roman" w:hAnsi="Times New Roman" w:cs="Times New Roman"/>
          <w:b/>
          <w:bCs/>
          <w:w w:val="105"/>
          <w:sz w:val="24"/>
          <w:szCs w:val="24"/>
        </w:rPr>
        <w:t>OFFICE</w:t>
      </w:r>
      <w:r w:rsidRPr="00AC42B6">
        <w:rPr>
          <w:rFonts w:ascii="Times New Roman" w:hAnsi="Times New Roman" w:cs="Times New Roman"/>
          <w:b/>
          <w:bCs/>
          <w:spacing w:val="1"/>
          <w:w w:val="105"/>
          <w:sz w:val="24"/>
          <w:szCs w:val="24"/>
        </w:rPr>
        <w:t xml:space="preserve"> </w:t>
      </w:r>
      <w:r w:rsidRPr="00AC42B6">
        <w:rPr>
          <w:rFonts w:ascii="Times New Roman" w:hAnsi="Times New Roman" w:cs="Times New Roman"/>
          <w:b/>
          <w:bCs/>
          <w:w w:val="105"/>
          <w:sz w:val="24"/>
          <w:szCs w:val="24"/>
        </w:rPr>
        <w:t>OF</w:t>
      </w:r>
      <w:r w:rsidRPr="00AC42B6">
        <w:rPr>
          <w:rFonts w:ascii="Times New Roman" w:hAnsi="Times New Roman" w:cs="Times New Roman"/>
          <w:b/>
          <w:bCs/>
          <w:spacing w:val="-23"/>
          <w:w w:val="105"/>
          <w:sz w:val="24"/>
          <w:szCs w:val="24"/>
        </w:rPr>
        <w:t xml:space="preserve"> </w:t>
      </w:r>
      <w:r w:rsidRPr="00AC42B6">
        <w:rPr>
          <w:rFonts w:ascii="Times New Roman" w:hAnsi="Times New Roman" w:cs="Times New Roman"/>
          <w:b/>
          <w:bCs/>
          <w:w w:val="105"/>
          <w:sz w:val="24"/>
          <w:szCs w:val="24"/>
        </w:rPr>
        <w:t>THE</w:t>
      </w:r>
      <w:r w:rsidRPr="00AC42B6">
        <w:rPr>
          <w:rFonts w:ascii="Times New Roman" w:hAnsi="Times New Roman" w:cs="Times New Roman"/>
          <w:b/>
          <w:bCs/>
          <w:spacing w:val="-9"/>
          <w:w w:val="105"/>
          <w:sz w:val="24"/>
          <w:szCs w:val="24"/>
        </w:rPr>
        <w:t xml:space="preserve"> </w:t>
      </w:r>
      <w:r w:rsidRPr="00AC42B6">
        <w:rPr>
          <w:rFonts w:ascii="Times New Roman" w:hAnsi="Times New Roman" w:cs="Times New Roman"/>
          <w:b/>
          <w:bCs/>
          <w:w w:val="105"/>
          <w:sz w:val="24"/>
          <w:szCs w:val="24"/>
        </w:rPr>
        <w:t>OHIO</w:t>
      </w:r>
      <w:r w:rsidRPr="00AC42B6">
        <w:rPr>
          <w:rFonts w:ascii="Times New Roman" w:hAnsi="Times New Roman" w:cs="Times New Roman"/>
          <w:b/>
          <w:bCs/>
          <w:spacing w:val="1"/>
          <w:w w:val="105"/>
          <w:sz w:val="24"/>
          <w:szCs w:val="24"/>
        </w:rPr>
        <w:t xml:space="preserve"> </w:t>
      </w:r>
      <w:r w:rsidRPr="00AC42B6">
        <w:rPr>
          <w:rFonts w:ascii="Times New Roman" w:hAnsi="Times New Roman" w:cs="Times New Roman"/>
          <w:b/>
          <w:bCs/>
          <w:w w:val="105"/>
          <w:sz w:val="24"/>
          <w:szCs w:val="24"/>
        </w:rPr>
        <w:t>CONSUMERS'</w:t>
      </w:r>
      <w:r w:rsidRPr="00AC42B6">
        <w:rPr>
          <w:rFonts w:ascii="Times New Roman" w:hAnsi="Times New Roman" w:cs="Times New Roman"/>
          <w:b/>
          <w:bCs/>
          <w:spacing w:val="21"/>
          <w:w w:val="105"/>
          <w:sz w:val="24"/>
          <w:szCs w:val="24"/>
        </w:rPr>
        <w:t xml:space="preserve"> </w:t>
      </w:r>
      <w:r w:rsidRPr="00AC42B6">
        <w:rPr>
          <w:rFonts w:ascii="Times New Roman" w:hAnsi="Times New Roman" w:cs="Times New Roman"/>
          <w:b/>
          <w:bCs/>
          <w:w w:val="105"/>
          <w:sz w:val="24"/>
          <w:szCs w:val="24"/>
        </w:rPr>
        <w:t>COUNSEL</w:t>
      </w:r>
    </w:p>
    <w:bookmarkEnd w:id="0"/>
    <w:p w:rsidR="004065F9" w:rsidRPr="00AC42B6" w:rsidP="004065F9" w14:paraId="1231A41B" w14:textId="77777777">
      <w:pPr>
        <w:pBdr>
          <w:bottom w:val="single" w:sz="12" w:space="1" w:color="auto"/>
        </w:pBdr>
        <w:tabs>
          <w:tab w:val="left" w:pos="4320"/>
        </w:tabs>
        <w:rPr>
          <w:rFonts w:ascii="Times New Roman" w:hAnsi="Times New Roman" w:cs="Times New Roman"/>
          <w:sz w:val="24"/>
          <w:szCs w:val="24"/>
        </w:rPr>
      </w:pPr>
    </w:p>
    <w:p w:rsidR="00A6590B" w:rsidRPr="00AC42B6" w:rsidP="008775E4" w14:paraId="157164BF" w14:textId="77777777">
      <w:pPr>
        <w:pStyle w:val="BodyText"/>
        <w:ind w:firstLine="620"/>
        <w:rPr>
          <w:rFonts w:cs="Times New Roman"/>
          <w:color w:val="000000"/>
          <w:sz w:val="24"/>
          <w:szCs w:val="24"/>
        </w:rPr>
      </w:pPr>
      <w:bookmarkStart w:id="1" w:name="_Hlk73625886"/>
    </w:p>
    <w:p w:rsidR="00A6590B" w:rsidRPr="00AC42B6" w:rsidP="002A51D5" w14:paraId="3A32AB0F" w14:textId="77777777">
      <w:pPr>
        <w:pStyle w:val="Heading1"/>
        <w:rPr>
          <w:rFonts w:ascii="Times New Roman" w:hAnsi="Times New Roman" w:cs="Times New Roman"/>
          <w:szCs w:val="24"/>
        </w:rPr>
      </w:pPr>
      <w:bookmarkStart w:id="2" w:name="_Toc90912417"/>
      <w:r w:rsidRPr="00AC42B6">
        <w:rPr>
          <w:rFonts w:ascii="Times New Roman" w:hAnsi="Times New Roman" w:cs="Times New Roman"/>
          <w:szCs w:val="24"/>
        </w:rPr>
        <w:t xml:space="preserve">I. </w:t>
      </w:r>
      <w:r w:rsidRPr="00AC42B6">
        <w:rPr>
          <w:rFonts w:ascii="Times New Roman" w:hAnsi="Times New Roman" w:cs="Times New Roman"/>
          <w:szCs w:val="24"/>
        </w:rPr>
        <w:tab/>
        <w:t>INTRODUCTION</w:t>
      </w:r>
      <w:bookmarkEnd w:id="2"/>
    </w:p>
    <w:p w:rsidR="00B101CF" w:rsidRPr="00AC42B6" w:rsidP="00A6590B" w14:paraId="44D936B7" w14:textId="77777777">
      <w:pPr>
        <w:pStyle w:val="BodyTextIndent3"/>
        <w:spacing w:after="0" w:line="480" w:lineRule="auto"/>
        <w:ind w:left="0" w:right="-312" w:firstLine="720"/>
        <w:rPr>
          <w:rFonts w:ascii="Times New Roman" w:eastAsia="Times New Roman" w:hAnsi="Times New Roman" w:cs="Times New Roman"/>
          <w:sz w:val="24"/>
          <w:szCs w:val="24"/>
        </w:rPr>
      </w:pPr>
      <w:r w:rsidRPr="00AC42B6">
        <w:rPr>
          <w:rFonts w:ascii="Times New Roman" w:eastAsia="Times New Roman" w:hAnsi="Times New Roman" w:cs="Times New Roman"/>
          <w:sz w:val="24"/>
          <w:szCs w:val="24"/>
        </w:rPr>
        <w:t xml:space="preserve">The </w:t>
      </w:r>
      <w:r w:rsidRPr="00AC42B6" w:rsidR="00A6590B">
        <w:rPr>
          <w:rFonts w:ascii="Times New Roman" w:eastAsia="Times New Roman" w:hAnsi="Times New Roman" w:cs="Times New Roman"/>
          <w:sz w:val="24"/>
          <w:szCs w:val="24"/>
        </w:rPr>
        <w:t xml:space="preserve">PUCO ordered a prudence audit of </w:t>
      </w:r>
      <w:r w:rsidRPr="00AC42B6">
        <w:rPr>
          <w:rFonts w:ascii="Times New Roman" w:eastAsia="Times New Roman" w:hAnsi="Times New Roman" w:cs="Times New Roman"/>
          <w:sz w:val="24"/>
          <w:szCs w:val="24"/>
        </w:rPr>
        <w:t xml:space="preserve">AEP Ohio’s charges to a million consumers for two uneconomic and polluting OVEC coal plants, for the period </w:t>
      </w:r>
      <w:r w:rsidRPr="00AC42B6" w:rsidR="00A6590B">
        <w:rPr>
          <w:rFonts w:ascii="Times New Roman" w:hAnsi="Times New Roman" w:cs="Times New Roman"/>
          <w:sz w:val="24"/>
          <w:szCs w:val="24"/>
        </w:rPr>
        <w:t>January 1, 2018 through December 31, 2019</w:t>
      </w:r>
      <w:r w:rsidRPr="00AC42B6">
        <w:rPr>
          <w:rFonts w:ascii="Times New Roman" w:hAnsi="Times New Roman" w:cs="Times New Roman"/>
          <w:sz w:val="24"/>
          <w:szCs w:val="24"/>
        </w:rPr>
        <w:t>.</w:t>
      </w:r>
      <w:r w:rsidRPr="00AC42B6" w:rsidR="00A6590B">
        <w:rPr>
          <w:rFonts w:ascii="Times New Roman" w:eastAsia="Times New Roman" w:hAnsi="Times New Roman" w:cs="Times New Roman"/>
          <w:sz w:val="24"/>
          <w:szCs w:val="24"/>
        </w:rPr>
        <w:t xml:space="preserve"> The PUCO has authorized </w:t>
      </w:r>
      <w:r w:rsidRPr="00AC42B6">
        <w:rPr>
          <w:rFonts w:ascii="Times New Roman" w:eastAsia="Times New Roman" w:hAnsi="Times New Roman" w:cs="Times New Roman"/>
          <w:sz w:val="24"/>
          <w:szCs w:val="24"/>
        </w:rPr>
        <w:t xml:space="preserve">corporate welfare </w:t>
      </w:r>
      <w:r w:rsidRPr="00AC42B6" w:rsidR="00736E35">
        <w:rPr>
          <w:rFonts w:ascii="Times New Roman" w:eastAsia="Times New Roman" w:hAnsi="Times New Roman" w:cs="Times New Roman"/>
          <w:sz w:val="24"/>
          <w:szCs w:val="24"/>
        </w:rPr>
        <w:t xml:space="preserve">for </w:t>
      </w:r>
      <w:r w:rsidRPr="00AC42B6" w:rsidR="00A6590B">
        <w:rPr>
          <w:rFonts w:ascii="Times New Roman" w:eastAsia="Times New Roman" w:hAnsi="Times New Roman" w:cs="Times New Roman"/>
          <w:sz w:val="24"/>
          <w:szCs w:val="24"/>
        </w:rPr>
        <w:t>AEP</w:t>
      </w:r>
      <w:r w:rsidRPr="00AC42B6" w:rsidR="00857C4F">
        <w:rPr>
          <w:rFonts w:ascii="Times New Roman" w:eastAsia="Times New Roman" w:hAnsi="Times New Roman" w:cs="Times New Roman"/>
          <w:sz w:val="24"/>
          <w:szCs w:val="24"/>
        </w:rPr>
        <w:t xml:space="preserve"> Ohio</w:t>
      </w:r>
      <w:r w:rsidRPr="00AC42B6" w:rsidR="00A6590B">
        <w:rPr>
          <w:rFonts w:ascii="Times New Roman" w:eastAsia="Times New Roman" w:hAnsi="Times New Roman" w:cs="Times New Roman"/>
          <w:sz w:val="24"/>
          <w:szCs w:val="24"/>
        </w:rPr>
        <w:t xml:space="preserve"> </w:t>
      </w:r>
      <w:r w:rsidRPr="00AC42B6" w:rsidR="00736E35">
        <w:rPr>
          <w:rFonts w:ascii="Times New Roman" w:eastAsia="Times New Roman" w:hAnsi="Times New Roman" w:cs="Times New Roman"/>
          <w:sz w:val="24"/>
          <w:szCs w:val="24"/>
        </w:rPr>
        <w:t>by way of allowing</w:t>
      </w:r>
      <w:r w:rsidRPr="00AC42B6" w:rsidR="00A6590B">
        <w:rPr>
          <w:rFonts w:ascii="Times New Roman" w:eastAsia="Times New Roman" w:hAnsi="Times New Roman" w:cs="Times New Roman"/>
          <w:sz w:val="24"/>
          <w:szCs w:val="24"/>
        </w:rPr>
        <w:t xml:space="preserve"> charge</w:t>
      </w:r>
      <w:r w:rsidRPr="00AC42B6" w:rsidR="00736E35">
        <w:rPr>
          <w:rFonts w:ascii="Times New Roman" w:eastAsia="Times New Roman" w:hAnsi="Times New Roman" w:cs="Times New Roman"/>
          <w:sz w:val="24"/>
          <w:szCs w:val="24"/>
        </w:rPr>
        <w:t>s to</w:t>
      </w:r>
      <w:r w:rsidRPr="00AC42B6" w:rsidR="00A6590B">
        <w:rPr>
          <w:rFonts w:ascii="Times New Roman" w:eastAsia="Times New Roman" w:hAnsi="Times New Roman" w:cs="Times New Roman"/>
          <w:sz w:val="24"/>
          <w:szCs w:val="24"/>
        </w:rPr>
        <w:t xml:space="preserve"> </w:t>
      </w:r>
      <w:r w:rsidRPr="00AC42B6" w:rsidR="00736E35">
        <w:rPr>
          <w:rFonts w:ascii="Times New Roman" w:eastAsia="Times New Roman" w:hAnsi="Times New Roman" w:cs="Times New Roman"/>
          <w:sz w:val="24"/>
          <w:szCs w:val="24"/>
        </w:rPr>
        <w:t xml:space="preserve">consumers </w:t>
      </w:r>
      <w:r w:rsidRPr="00AC42B6" w:rsidR="00A6590B">
        <w:rPr>
          <w:rFonts w:ascii="Times New Roman" w:eastAsia="Times New Roman" w:hAnsi="Times New Roman" w:cs="Times New Roman"/>
          <w:sz w:val="24"/>
          <w:szCs w:val="24"/>
        </w:rPr>
        <w:t>to subsidize the</w:t>
      </w:r>
      <w:r w:rsidRPr="00AC42B6" w:rsidR="00736E35">
        <w:rPr>
          <w:rFonts w:ascii="Times New Roman" w:eastAsia="Times New Roman" w:hAnsi="Times New Roman" w:cs="Times New Roman"/>
          <w:sz w:val="24"/>
          <w:szCs w:val="24"/>
        </w:rPr>
        <w:t xml:space="preserve"> coal</w:t>
      </w:r>
      <w:r w:rsidRPr="00AC42B6" w:rsidR="00A6590B">
        <w:rPr>
          <w:rFonts w:ascii="Times New Roman" w:eastAsia="Times New Roman" w:hAnsi="Times New Roman" w:cs="Times New Roman"/>
          <w:sz w:val="24"/>
          <w:szCs w:val="24"/>
        </w:rPr>
        <w:t xml:space="preserve"> plants if the cost of producing the power exceeds the </w:t>
      </w:r>
      <w:r w:rsidRPr="00AC42B6">
        <w:rPr>
          <w:rFonts w:ascii="Times New Roman" w:eastAsia="Times New Roman" w:hAnsi="Times New Roman" w:cs="Times New Roman"/>
          <w:sz w:val="24"/>
          <w:szCs w:val="24"/>
        </w:rPr>
        <w:t xml:space="preserve">market </w:t>
      </w:r>
      <w:r w:rsidRPr="00AC42B6" w:rsidR="00A6590B">
        <w:rPr>
          <w:rFonts w:ascii="Times New Roman" w:eastAsia="Times New Roman" w:hAnsi="Times New Roman" w:cs="Times New Roman"/>
          <w:sz w:val="24"/>
          <w:szCs w:val="24"/>
        </w:rPr>
        <w:t xml:space="preserve">revenues.   </w:t>
      </w:r>
    </w:p>
    <w:p w:rsidR="00A6590B" w:rsidRPr="00AC42B6" w:rsidP="00A6590B" w14:paraId="5C14E345" w14:textId="77777777">
      <w:pPr>
        <w:pStyle w:val="BodyTextIndent3"/>
        <w:spacing w:after="0" w:line="480" w:lineRule="auto"/>
        <w:ind w:left="0" w:right="-312" w:firstLine="720"/>
        <w:rPr>
          <w:rFonts w:ascii="Times New Roman" w:eastAsia="Times New Roman" w:hAnsi="Times New Roman" w:cs="Times New Roman"/>
          <w:sz w:val="24"/>
          <w:szCs w:val="24"/>
        </w:rPr>
      </w:pPr>
      <w:r w:rsidRPr="00AC42B6">
        <w:rPr>
          <w:rFonts w:ascii="Times New Roman" w:eastAsia="Times New Roman" w:hAnsi="Times New Roman" w:cs="Times New Roman"/>
          <w:sz w:val="24"/>
          <w:szCs w:val="24"/>
        </w:rPr>
        <w:t>AEP Ohio derives revenues from bidding the plants’ power output into the PJM markets.</w:t>
      </w:r>
      <w:r>
        <w:rPr>
          <w:rStyle w:val="FootnoteReference"/>
          <w:rFonts w:ascii="Times New Roman" w:eastAsia="Times New Roman" w:hAnsi="Times New Roman" w:cs="Times New Roman"/>
          <w:sz w:val="24"/>
          <w:szCs w:val="24"/>
        </w:rPr>
        <w:footnoteReference w:id="2"/>
      </w:r>
      <w:r w:rsidRPr="00AC42B6">
        <w:rPr>
          <w:rFonts w:ascii="Times New Roman" w:eastAsia="Times New Roman" w:hAnsi="Times New Roman" w:cs="Times New Roman"/>
          <w:sz w:val="24"/>
          <w:szCs w:val="24"/>
        </w:rPr>
        <w:t xml:space="preserve"> To minimize charges to consumers, therefore, it is essential that the two power plants be operated prudently and efficiently</w:t>
      </w:r>
      <w:r w:rsidRPr="00AC42B6" w:rsidR="00736E35">
        <w:rPr>
          <w:rFonts w:ascii="Times New Roman" w:eastAsia="Times New Roman" w:hAnsi="Times New Roman" w:cs="Times New Roman"/>
          <w:sz w:val="24"/>
          <w:szCs w:val="24"/>
        </w:rPr>
        <w:t xml:space="preserve">. </w:t>
      </w:r>
      <w:r w:rsidRPr="00AC42B6">
        <w:rPr>
          <w:rFonts w:ascii="Times New Roman" w:eastAsia="Times New Roman" w:hAnsi="Times New Roman" w:cs="Times New Roman"/>
          <w:sz w:val="24"/>
          <w:szCs w:val="24"/>
        </w:rPr>
        <w:t xml:space="preserve"> </w:t>
      </w:r>
      <w:r w:rsidRPr="00AC42B6" w:rsidR="00736E35">
        <w:rPr>
          <w:rFonts w:ascii="Times New Roman" w:eastAsia="Times New Roman" w:hAnsi="Times New Roman" w:cs="Times New Roman"/>
          <w:sz w:val="24"/>
          <w:szCs w:val="24"/>
        </w:rPr>
        <w:t>A</w:t>
      </w:r>
      <w:r w:rsidRPr="00AC42B6">
        <w:rPr>
          <w:rFonts w:ascii="Times New Roman" w:eastAsia="Times New Roman" w:hAnsi="Times New Roman" w:cs="Times New Roman"/>
          <w:sz w:val="24"/>
          <w:szCs w:val="24"/>
        </w:rPr>
        <w:t xml:space="preserve">nd </w:t>
      </w:r>
      <w:r w:rsidRPr="00AC42B6" w:rsidR="00736E35">
        <w:rPr>
          <w:rFonts w:ascii="Times New Roman" w:eastAsia="Times New Roman" w:hAnsi="Times New Roman" w:cs="Times New Roman"/>
          <w:sz w:val="24"/>
          <w:szCs w:val="24"/>
        </w:rPr>
        <w:t xml:space="preserve">consumer protection should mean </w:t>
      </w:r>
      <w:r w:rsidRPr="00AC42B6">
        <w:rPr>
          <w:rFonts w:ascii="Times New Roman" w:eastAsia="Times New Roman" w:hAnsi="Times New Roman" w:cs="Times New Roman"/>
          <w:sz w:val="24"/>
          <w:szCs w:val="24"/>
        </w:rPr>
        <w:t xml:space="preserve">AEP Ohio </w:t>
      </w:r>
      <w:r w:rsidRPr="00AC42B6" w:rsidR="00736E35">
        <w:rPr>
          <w:rFonts w:ascii="Times New Roman" w:eastAsia="Times New Roman" w:hAnsi="Times New Roman" w:cs="Times New Roman"/>
          <w:sz w:val="24"/>
          <w:szCs w:val="24"/>
        </w:rPr>
        <w:t xml:space="preserve">is </w:t>
      </w:r>
      <w:r w:rsidRPr="00AC42B6">
        <w:rPr>
          <w:rFonts w:ascii="Times New Roman" w:eastAsia="Times New Roman" w:hAnsi="Times New Roman" w:cs="Times New Roman"/>
          <w:sz w:val="24"/>
          <w:szCs w:val="24"/>
        </w:rPr>
        <w:t>act</w:t>
      </w:r>
      <w:r w:rsidRPr="00AC42B6" w:rsidR="00736E35">
        <w:rPr>
          <w:rFonts w:ascii="Times New Roman" w:eastAsia="Times New Roman" w:hAnsi="Times New Roman" w:cs="Times New Roman"/>
          <w:sz w:val="24"/>
          <w:szCs w:val="24"/>
        </w:rPr>
        <w:t>ing</w:t>
      </w:r>
      <w:r w:rsidRPr="00AC42B6">
        <w:rPr>
          <w:rFonts w:ascii="Times New Roman" w:eastAsia="Times New Roman" w:hAnsi="Times New Roman" w:cs="Times New Roman"/>
          <w:sz w:val="24"/>
          <w:szCs w:val="24"/>
        </w:rPr>
        <w:t xml:space="preserve"> prudently and reasonably in bidding its energy and capacity into the competitive PJM markets. </w:t>
      </w:r>
    </w:p>
    <w:p w:rsidR="008775E4" w:rsidRPr="00AC42B6" w14:paraId="285FB146" w14:textId="77777777">
      <w:pPr>
        <w:rPr>
          <w:rFonts w:ascii="Times New Roman" w:eastAsia="Times New Roman" w:hAnsi="Times New Roman" w:cs="Times New Roman"/>
          <w:sz w:val="24"/>
          <w:szCs w:val="24"/>
        </w:rPr>
      </w:pPr>
      <w:bookmarkStart w:id="3" w:name="_Hlk90875722"/>
      <w:r w:rsidRPr="00AC42B6">
        <w:rPr>
          <w:rFonts w:ascii="Times New Roman" w:eastAsia="Times New Roman" w:hAnsi="Times New Roman" w:cs="Times New Roman"/>
          <w:sz w:val="24"/>
          <w:szCs w:val="24"/>
        </w:rPr>
        <w:br w:type="page"/>
      </w:r>
    </w:p>
    <w:p w:rsidR="00495BB1" w:rsidRPr="00AC42B6" w:rsidP="00A6590B" w14:paraId="7A2090C9" w14:textId="77777777">
      <w:pPr>
        <w:pStyle w:val="BodyTextIndent3"/>
        <w:spacing w:after="0" w:line="480" w:lineRule="auto"/>
        <w:ind w:left="0" w:right="-312" w:firstLine="720"/>
        <w:rPr>
          <w:rFonts w:ascii="Times New Roman" w:eastAsia="Times New Roman" w:hAnsi="Times New Roman" w:cs="Times New Roman"/>
          <w:sz w:val="24"/>
          <w:szCs w:val="24"/>
        </w:rPr>
      </w:pPr>
      <w:r w:rsidRPr="00AC42B6">
        <w:rPr>
          <w:rFonts w:ascii="Times New Roman" w:eastAsia="Times New Roman" w:hAnsi="Times New Roman" w:cs="Times New Roman"/>
          <w:sz w:val="24"/>
          <w:szCs w:val="24"/>
        </w:rPr>
        <w:t xml:space="preserve">When the PUCO approved this charge, the PUCO expected that the charge would produce a net benefit for customers over the lifetime of the charge.  Commissioner Trombold </w:t>
      </w:r>
      <w:r w:rsidRPr="00AC42B6" w:rsidR="00736E35">
        <w:rPr>
          <w:rFonts w:ascii="Times New Roman" w:eastAsia="Times New Roman" w:hAnsi="Times New Roman" w:cs="Times New Roman"/>
          <w:sz w:val="24"/>
          <w:szCs w:val="24"/>
        </w:rPr>
        <w:t>wrote</w:t>
      </w:r>
      <w:r w:rsidRPr="00AC42B6">
        <w:rPr>
          <w:rFonts w:ascii="Times New Roman" w:eastAsia="Times New Roman" w:hAnsi="Times New Roman" w:cs="Times New Roman"/>
          <w:sz w:val="24"/>
          <w:szCs w:val="24"/>
        </w:rPr>
        <w:t>:</w:t>
      </w:r>
    </w:p>
    <w:p w:rsidR="00BB00D7" w:rsidRPr="00AC42B6" w:rsidP="00BB00D7" w14:paraId="4E5F5E5D" w14:textId="77777777">
      <w:pPr>
        <w:ind w:left="1440" w:right="1440"/>
        <w:rPr>
          <w:rFonts w:ascii="Times New Roman" w:hAnsi="Times New Roman" w:cs="Times New Roman"/>
          <w:sz w:val="24"/>
          <w:szCs w:val="24"/>
        </w:rPr>
      </w:pPr>
      <w:r w:rsidRPr="00AC42B6">
        <w:rPr>
          <w:rFonts w:ascii="Times New Roman" w:hAnsi="Times New Roman" w:cs="Times New Roman"/>
          <w:sz w:val="24"/>
          <w:szCs w:val="24"/>
        </w:rPr>
        <w:t xml:space="preserve">Based on the forecasts submitted by the Company and evidence in the record, </w:t>
      </w:r>
      <w:r w:rsidRPr="00AC42B6">
        <w:rPr>
          <w:rFonts w:ascii="Times New Roman" w:hAnsi="Times New Roman" w:cs="Times New Roman"/>
          <w:i/>
          <w:iCs/>
          <w:sz w:val="24"/>
          <w:szCs w:val="24"/>
        </w:rPr>
        <w:t>it is my clear expectation, just as it is Commissioner Haque's, that the PPA rider approved today will result in a credit (i.e. benefit) to ratepaye</w:t>
      </w:r>
      <w:r w:rsidRPr="00AC42B6" w:rsidR="00AC6257">
        <w:rPr>
          <w:rFonts w:ascii="Times New Roman" w:hAnsi="Times New Roman" w:cs="Times New Roman"/>
          <w:i/>
          <w:iCs/>
          <w:sz w:val="24"/>
          <w:szCs w:val="24"/>
        </w:rPr>
        <w:t>rs over th</w:t>
      </w:r>
      <w:r w:rsidRPr="00AC42B6">
        <w:rPr>
          <w:rFonts w:ascii="Times New Roman" w:hAnsi="Times New Roman" w:cs="Times New Roman"/>
          <w:i/>
          <w:iCs/>
          <w:sz w:val="24"/>
          <w:szCs w:val="24"/>
        </w:rPr>
        <w:t>e next eight years.</w:t>
      </w:r>
      <w:r>
        <w:rPr>
          <w:rStyle w:val="FootnoteReference"/>
          <w:rFonts w:ascii="Times New Roman" w:hAnsi="Times New Roman" w:cs="Times New Roman"/>
          <w:sz w:val="24"/>
          <w:szCs w:val="24"/>
        </w:rPr>
        <w:footnoteReference w:id="3"/>
      </w:r>
      <w:r w:rsidRPr="00AC42B6">
        <w:rPr>
          <w:rFonts w:ascii="Times New Roman" w:hAnsi="Times New Roman" w:cs="Times New Roman"/>
          <w:sz w:val="24"/>
          <w:szCs w:val="24"/>
        </w:rPr>
        <w:t xml:space="preserve">  </w:t>
      </w:r>
    </w:p>
    <w:p w:rsidR="00BB00D7" w:rsidRPr="00AC42B6" w:rsidP="00BB00D7" w14:paraId="3BB3ECA1" w14:textId="77777777">
      <w:pPr>
        <w:ind w:right="1440"/>
        <w:rPr>
          <w:rFonts w:ascii="Times New Roman" w:hAnsi="Times New Roman" w:cs="Times New Roman"/>
          <w:sz w:val="24"/>
          <w:szCs w:val="24"/>
        </w:rPr>
      </w:pPr>
    </w:p>
    <w:p w:rsidR="00495BB1" w:rsidRPr="00AC42B6" w:rsidP="004978B1" w14:paraId="0089A3F9" w14:textId="7E9619AA">
      <w:pPr>
        <w:pStyle w:val="BodyTextIndent3"/>
        <w:spacing w:after="0" w:line="480" w:lineRule="auto"/>
        <w:ind w:left="0" w:right="-312"/>
        <w:rPr>
          <w:rFonts w:ascii="Times New Roman" w:hAnsi="Times New Roman" w:cs="Times New Roman"/>
          <w:b/>
          <w:bCs/>
          <w:sz w:val="24"/>
          <w:szCs w:val="24"/>
        </w:rPr>
      </w:pPr>
      <w:r w:rsidRPr="00AC42B6">
        <w:rPr>
          <w:rFonts w:ascii="Times New Roman" w:eastAsia="Times New Roman" w:hAnsi="Times New Roman" w:cs="Times New Roman"/>
          <w:sz w:val="24"/>
          <w:szCs w:val="24"/>
        </w:rPr>
        <w:tab/>
        <w:t xml:space="preserve">Commissioner Trombold made this observation in 2016.  </w:t>
      </w:r>
      <w:r w:rsidRPr="00AC42B6" w:rsidR="00736E35">
        <w:rPr>
          <w:rFonts w:ascii="Times New Roman" w:eastAsia="Times New Roman" w:hAnsi="Times New Roman" w:cs="Times New Roman"/>
          <w:sz w:val="24"/>
          <w:szCs w:val="24"/>
        </w:rPr>
        <w:t xml:space="preserve">Chair Haque said </w:t>
      </w:r>
      <w:r w:rsidRPr="00AC42B6" w:rsidR="002B250F">
        <w:rPr>
          <w:rFonts w:ascii="Times New Roman" w:eastAsia="Times New Roman" w:hAnsi="Times New Roman" w:cs="Times New Roman"/>
          <w:sz w:val="24"/>
          <w:szCs w:val="24"/>
        </w:rPr>
        <w:t>“</w:t>
      </w:r>
      <w:r w:rsidRPr="00AC42B6" w:rsidR="005F3E9A">
        <w:rPr>
          <w:rFonts w:ascii="Times New Roman" w:eastAsia="Times New Roman" w:hAnsi="Times New Roman" w:cs="Times New Roman"/>
          <w:sz w:val="24"/>
          <w:szCs w:val="24"/>
        </w:rPr>
        <w:t>[t]his should not be perceived as a blank check, and consumers should not be treated like a trust account.”</w:t>
      </w:r>
      <w:r>
        <w:rPr>
          <w:rStyle w:val="FootnoteReference"/>
          <w:rFonts w:ascii="Times New Roman" w:eastAsia="Times New Roman" w:hAnsi="Times New Roman" w:cs="Times New Roman"/>
          <w:sz w:val="24"/>
          <w:szCs w:val="24"/>
        </w:rPr>
        <w:footnoteReference w:id="4"/>
      </w:r>
      <w:r w:rsidRPr="00AC42B6" w:rsidR="00736E35">
        <w:rPr>
          <w:rFonts w:ascii="Times New Roman" w:eastAsia="Times New Roman" w:hAnsi="Times New Roman" w:cs="Times New Roman"/>
          <w:sz w:val="24"/>
          <w:szCs w:val="24"/>
        </w:rPr>
        <w:t xml:space="preserve">  </w:t>
      </w:r>
      <w:r w:rsidRPr="00AC42B6" w:rsidR="00AB4369">
        <w:rPr>
          <w:rFonts w:ascii="Times New Roman" w:eastAsia="Times New Roman" w:hAnsi="Times New Roman" w:cs="Times New Roman"/>
          <w:sz w:val="24"/>
          <w:szCs w:val="24"/>
        </w:rPr>
        <w:t>Now, f</w:t>
      </w:r>
      <w:r w:rsidRPr="00AC42B6">
        <w:rPr>
          <w:rFonts w:ascii="Times New Roman" w:eastAsia="Times New Roman" w:hAnsi="Times New Roman" w:cs="Times New Roman"/>
          <w:sz w:val="24"/>
          <w:szCs w:val="24"/>
        </w:rPr>
        <w:t xml:space="preserve">ive years later, this </w:t>
      </w:r>
      <w:r w:rsidRPr="00AC42B6" w:rsidR="00A6307C">
        <w:rPr>
          <w:rFonts w:ascii="Times New Roman" w:eastAsia="Times New Roman" w:hAnsi="Times New Roman" w:cs="Times New Roman"/>
          <w:sz w:val="24"/>
          <w:szCs w:val="24"/>
        </w:rPr>
        <w:t xml:space="preserve">expected net </w:t>
      </w:r>
      <w:r w:rsidRPr="00AC42B6" w:rsidR="00BF0FE9">
        <w:rPr>
          <w:rFonts w:ascii="Times New Roman" w:eastAsia="Times New Roman" w:hAnsi="Times New Roman" w:cs="Times New Roman"/>
          <w:sz w:val="24"/>
          <w:szCs w:val="24"/>
        </w:rPr>
        <w:t xml:space="preserve">consumer </w:t>
      </w:r>
      <w:r w:rsidRPr="00AC42B6" w:rsidR="00A6307C">
        <w:rPr>
          <w:rFonts w:ascii="Times New Roman" w:eastAsia="Times New Roman" w:hAnsi="Times New Roman" w:cs="Times New Roman"/>
          <w:sz w:val="24"/>
          <w:szCs w:val="24"/>
        </w:rPr>
        <w:t xml:space="preserve">benefit (credit) </w:t>
      </w:r>
      <w:r w:rsidRPr="00AC42B6" w:rsidR="00BF0FE9">
        <w:rPr>
          <w:rFonts w:ascii="Times New Roman" w:eastAsia="Times New Roman" w:hAnsi="Times New Roman" w:cs="Times New Roman"/>
          <w:sz w:val="24"/>
          <w:szCs w:val="24"/>
        </w:rPr>
        <w:t>has</w:t>
      </w:r>
      <w:r w:rsidRPr="00AC42B6" w:rsidR="00A6307C">
        <w:rPr>
          <w:rFonts w:ascii="Times New Roman" w:eastAsia="Times New Roman" w:hAnsi="Times New Roman" w:cs="Times New Roman"/>
          <w:sz w:val="24"/>
          <w:szCs w:val="24"/>
        </w:rPr>
        <w:t xml:space="preserve"> not </w:t>
      </w:r>
      <w:r w:rsidRPr="00AC42B6">
        <w:rPr>
          <w:rFonts w:ascii="Times New Roman" w:eastAsia="Times New Roman" w:hAnsi="Times New Roman" w:cs="Times New Roman"/>
          <w:sz w:val="24"/>
          <w:szCs w:val="24"/>
        </w:rPr>
        <w:t>happen</w:t>
      </w:r>
      <w:r w:rsidRPr="00AC42B6" w:rsidR="00BF0FE9">
        <w:rPr>
          <w:rFonts w:ascii="Times New Roman" w:eastAsia="Times New Roman" w:hAnsi="Times New Roman" w:cs="Times New Roman"/>
          <w:sz w:val="24"/>
          <w:szCs w:val="24"/>
        </w:rPr>
        <w:t>ed</w:t>
      </w:r>
      <w:r w:rsidRPr="00AC42B6" w:rsidR="00B101CF">
        <w:rPr>
          <w:rFonts w:ascii="Times New Roman" w:eastAsia="Times New Roman" w:hAnsi="Times New Roman" w:cs="Times New Roman"/>
          <w:sz w:val="24"/>
          <w:szCs w:val="24"/>
        </w:rPr>
        <w:t>.</w:t>
      </w:r>
      <w:r w:rsidRPr="00AC42B6" w:rsidR="008D420E">
        <w:rPr>
          <w:rFonts w:ascii="Times New Roman" w:eastAsia="Times New Roman" w:hAnsi="Times New Roman" w:cs="Times New Roman"/>
          <w:sz w:val="24"/>
          <w:szCs w:val="24"/>
        </w:rPr>
        <w:t xml:space="preserve"> No surprise there.</w:t>
      </w:r>
      <w:r w:rsidRPr="00AC42B6" w:rsidR="00B101CF">
        <w:rPr>
          <w:rFonts w:ascii="Times New Roman" w:eastAsia="Times New Roman" w:hAnsi="Times New Roman" w:cs="Times New Roman"/>
          <w:sz w:val="24"/>
          <w:szCs w:val="24"/>
        </w:rPr>
        <w:t xml:space="preserve">  </w:t>
      </w:r>
      <w:r w:rsidRPr="00AC42B6">
        <w:rPr>
          <w:rFonts w:ascii="Times New Roman" w:eastAsia="Times New Roman" w:hAnsi="Times New Roman" w:cs="Times New Roman"/>
          <w:sz w:val="24"/>
          <w:szCs w:val="24"/>
        </w:rPr>
        <w:t xml:space="preserve">  </w:t>
      </w:r>
      <w:r w:rsidRPr="00AC42B6" w:rsidR="00AB4369">
        <w:rPr>
          <w:rFonts w:ascii="Times New Roman" w:eastAsia="Times New Roman" w:hAnsi="Times New Roman" w:cs="Times New Roman"/>
          <w:sz w:val="24"/>
          <w:szCs w:val="24"/>
        </w:rPr>
        <w:t>The amount of the subsidy has been much greater than forecasted in 2016 as shown below:</w:t>
      </w:r>
    </w:p>
    <w:p w:rsidR="00495BB1" w:rsidRPr="00AC42B6" w:rsidP="00495BB1" w14:paraId="3B6445DF" w14:textId="77777777">
      <w:pPr>
        <w:spacing w:line="480" w:lineRule="auto"/>
        <w:jc w:val="center"/>
        <w:rPr>
          <w:rFonts w:ascii="Times New Roman" w:hAnsi="Times New Roman" w:cs="Times New Roman"/>
          <w:sz w:val="24"/>
          <w:szCs w:val="24"/>
        </w:rPr>
      </w:pPr>
      <w:r w:rsidRPr="00AC42B6">
        <w:rPr>
          <w:rFonts w:ascii="Times New Roman" w:hAnsi="Times New Roman" w:cs="Times New Roman"/>
          <w:b/>
          <w:bCs/>
          <w:sz w:val="24"/>
          <w:szCs w:val="24"/>
        </w:rPr>
        <w:t>Figure 1: Annual OVEC Subsidy Collection</w:t>
      </w:r>
      <w:r>
        <w:rPr>
          <w:rStyle w:val="FootnoteReference"/>
          <w:rFonts w:ascii="Times New Roman" w:hAnsi="Times New Roman" w:cs="Times New Roman"/>
          <w:b/>
          <w:bCs/>
          <w:sz w:val="24"/>
          <w:szCs w:val="24"/>
        </w:rPr>
        <w:footnoteReference w:id="5"/>
      </w:r>
    </w:p>
    <w:p w:rsidR="00495BB1" w:rsidRPr="00AC42B6" w:rsidP="00495BB1" w14:paraId="10D9619E" w14:textId="77777777">
      <w:pPr>
        <w:spacing w:line="480" w:lineRule="auto"/>
        <w:rPr>
          <w:rFonts w:ascii="Times New Roman" w:hAnsi="Times New Roman" w:cs="Times New Roman"/>
          <w:sz w:val="24"/>
          <w:szCs w:val="24"/>
        </w:rPr>
      </w:pPr>
      <w:r w:rsidRPr="00AC42B6">
        <w:rPr>
          <w:rFonts w:ascii="Times New Roman" w:hAnsi="Times New Roman" w:cs="Times New Roman"/>
          <w:noProof/>
          <w:sz w:val="24"/>
          <w:szCs w:val="24"/>
        </w:rPr>
        <w:drawing>
          <wp:inline distT="0" distB="0" distL="0" distR="0">
            <wp:extent cx="5657850" cy="265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30045"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657850" cy="2654300"/>
                    </a:xfrm>
                    <a:prstGeom prst="rect">
                      <a:avLst/>
                    </a:prstGeom>
                    <a:noFill/>
                    <a:ln>
                      <a:noFill/>
                    </a:ln>
                  </pic:spPr>
                </pic:pic>
              </a:graphicData>
            </a:graphic>
          </wp:inline>
        </w:drawing>
      </w:r>
    </w:p>
    <w:p w:rsidR="004978B1" w:rsidRPr="00AC42B6" w:rsidP="008775E4" w14:paraId="7E82B506" w14:textId="77777777">
      <w:pPr>
        <w:pStyle w:val="BodyTextIndent3"/>
        <w:spacing w:after="0" w:line="480" w:lineRule="auto"/>
        <w:ind w:left="0" w:right="-312"/>
        <w:rPr>
          <w:rFonts w:ascii="Times New Roman" w:hAnsi="Times New Roman" w:cs="Times New Roman"/>
          <w:sz w:val="24"/>
          <w:szCs w:val="24"/>
        </w:rPr>
      </w:pPr>
      <w:r w:rsidRPr="00AC42B6">
        <w:rPr>
          <w:rFonts w:ascii="Times New Roman" w:eastAsia="Times New Roman" w:hAnsi="Times New Roman" w:cs="Times New Roman"/>
          <w:b/>
          <w:bCs/>
          <w:sz w:val="24"/>
          <w:szCs w:val="24"/>
        </w:rPr>
        <w:tab/>
      </w:r>
      <w:r w:rsidRPr="00AC42B6">
        <w:rPr>
          <w:rFonts w:ascii="Times New Roman" w:hAnsi="Times New Roman" w:cs="Times New Roman"/>
          <w:sz w:val="24"/>
          <w:szCs w:val="24"/>
        </w:rPr>
        <w:t xml:space="preserve"> </w:t>
      </w:r>
    </w:p>
    <w:p w:rsidR="004978B1" w:rsidRPr="00AC42B6" w14:paraId="7767A415" w14:textId="77777777">
      <w:pPr>
        <w:rPr>
          <w:rFonts w:ascii="Times New Roman" w:hAnsi="Times New Roman" w:cs="Times New Roman"/>
          <w:sz w:val="24"/>
          <w:szCs w:val="24"/>
        </w:rPr>
      </w:pPr>
      <w:r w:rsidRPr="00AC42B6">
        <w:rPr>
          <w:rFonts w:ascii="Times New Roman" w:hAnsi="Times New Roman" w:cs="Times New Roman"/>
          <w:sz w:val="24"/>
          <w:szCs w:val="24"/>
        </w:rPr>
        <w:br w:type="page"/>
      </w:r>
    </w:p>
    <w:p w:rsidR="00A517CB" w:rsidRPr="00AC42B6" w:rsidP="004978B1" w14:paraId="5E0EB20A" w14:textId="2ED3A80E">
      <w:pPr>
        <w:pStyle w:val="BodyTextIndent3"/>
        <w:spacing w:after="0" w:line="480" w:lineRule="auto"/>
        <w:ind w:left="0" w:right="-312" w:firstLine="720"/>
        <w:rPr>
          <w:rFonts w:ascii="Times New Roman" w:hAnsi="Times New Roman" w:cs="Times New Roman"/>
          <w:sz w:val="24"/>
          <w:szCs w:val="24"/>
        </w:rPr>
      </w:pPr>
      <w:r w:rsidRPr="00AC42B6">
        <w:rPr>
          <w:rFonts w:ascii="Times New Roman" w:hAnsi="Times New Roman" w:cs="Times New Roman"/>
          <w:sz w:val="24"/>
          <w:szCs w:val="24"/>
        </w:rPr>
        <w:t>The PUCO-appointed auditor, London Economics International LLC</w:t>
      </w:r>
      <w:r w:rsidRPr="00AC42B6" w:rsidR="002B250F">
        <w:rPr>
          <w:rFonts w:ascii="Times New Roman" w:hAnsi="Times New Roman" w:cs="Times New Roman"/>
          <w:sz w:val="24"/>
          <w:szCs w:val="24"/>
        </w:rPr>
        <w:t xml:space="preserve"> (“LEI”)</w:t>
      </w:r>
      <w:r w:rsidRPr="00AC42B6">
        <w:rPr>
          <w:rFonts w:ascii="Times New Roman" w:hAnsi="Times New Roman" w:cs="Times New Roman"/>
          <w:sz w:val="24"/>
          <w:szCs w:val="24"/>
        </w:rPr>
        <w:t xml:space="preserve">, </w:t>
      </w:r>
      <w:r w:rsidRPr="00AC42B6" w:rsidR="006147C5">
        <w:rPr>
          <w:rFonts w:ascii="Times New Roman" w:hAnsi="Times New Roman" w:cs="Times New Roman"/>
          <w:sz w:val="24"/>
          <w:szCs w:val="24"/>
        </w:rPr>
        <w:t xml:space="preserve">then </w:t>
      </w:r>
      <w:r w:rsidRPr="00AC42B6">
        <w:rPr>
          <w:rFonts w:ascii="Times New Roman" w:hAnsi="Times New Roman" w:cs="Times New Roman"/>
          <w:sz w:val="24"/>
          <w:szCs w:val="24"/>
        </w:rPr>
        <w:t>discovered a problem</w:t>
      </w:r>
      <w:r w:rsidRPr="00AC42B6" w:rsidR="006147C5">
        <w:rPr>
          <w:rFonts w:ascii="Times New Roman" w:hAnsi="Times New Roman" w:cs="Times New Roman"/>
          <w:sz w:val="24"/>
          <w:szCs w:val="24"/>
        </w:rPr>
        <w:t>.</w:t>
      </w:r>
      <w:r w:rsidRPr="00AC42B6">
        <w:rPr>
          <w:rFonts w:ascii="Times New Roman" w:hAnsi="Times New Roman" w:cs="Times New Roman"/>
          <w:sz w:val="24"/>
          <w:szCs w:val="24"/>
        </w:rPr>
        <w:t xml:space="preserve"> </w:t>
      </w:r>
      <w:r w:rsidRPr="00AC42B6" w:rsidR="006147C5">
        <w:rPr>
          <w:rFonts w:ascii="Times New Roman" w:hAnsi="Times New Roman" w:cs="Times New Roman"/>
          <w:sz w:val="24"/>
          <w:szCs w:val="24"/>
        </w:rPr>
        <w:t>The</w:t>
      </w:r>
      <w:r w:rsidRPr="00AC42B6">
        <w:rPr>
          <w:rFonts w:ascii="Times New Roman" w:hAnsi="Times New Roman" w:cs="Times New Roman"/>
          <w:sz w:val="24"/>
          <w:szCs w:val="24"/>
        </w:rPr>
        <w:t xml:space="preserve"> PUCO’s premise </w:t>
      </w:r>
      <w:r w:rsidRPr="00AC42B6" w:rsidR="006147C5">
        <w:rPr>
          <w:rFonts w:ascii="Times New Roman" w:hAnsi="Times New Roman" w:cs="Times New Roman"/>
          <w:sz w:val="24"/>
          <w:szCs w:val="24"/>
        </w:rPr>
        <w:t xml:space="preserve">about consumer protection </w:t>
      </w:r>
      <w:r w:rsidRPr="00AC42B6">
        <w:rPr>
          <w:rFonts w:ascii="Times New Roman" w:hAnsi="Times New Roman" w:cs="Times New Roman"/>
          <w:sz w:val="24"/>
          <w:szCs w:val="24"/>
        </w:rPr>
        <w:t>was flawed because</w:t>
      </w:r>
      <w:r w:rsidRPr="00AC42B6" w:rsidR="006147C5">
        <w:rPr>
          <w:rFonts w:ascii="Times New Roman" w:hAnsi="Times New Roman" w:cs="Times New Roman"/>
          <w:sz w:val="24"/>
          <w:szCs w:val="24"/>
        </w:rPr>
        <w:t>, among other things,</w:t>
      </w:r>
      <w:r w:rsidRPr="00AC42B6">
        <w:rPr>
          <w:rFonts w:ascii="Times New Roman" w:hAnsi="Times New Roman" w:cs="Times New Roman"/>
          <w:sz w:val="24"/>
          <w:szCs w:val="24"/>
        </w:rPr>
        <w:t xml:space="preserve"> the PUCO</w:t>
      </w:r>
      <w:r w:rsidRPr="00AC42B6" w:rsidR="00E773D4">
        <w:rPr>
          <w:rFonts w:ascii="Times New Roman" w:hAnsi="Times New Roman" w:cs="Times New Roman"/>
          <w:sz w:val="24"/>
          <w:szCs w:val="24"/>
        </w:rPr>
        <w:t xml:space="preserve"> used</w:t>
      </w:r>
      <w:r w:rsidRPr="00AC42B6">
        <w:rPr>
          <w:rFonts w:ascii="Times New Roman" w:hAnsi="Times New Roman" w:cs="Times New Roman"/>
          <w:sz w:val="24"/>
          <w:szCs w:val="24"/>
        </w:rPr>
        <w:t xml:space="preserve"> incorrect information.  The auditor stated that </w:t>
      </w:r>
      <w:r w:rsidRPr="00AC42B6" w:rsidR="00E773D4">
        <w:rPr>
          <w:rFonts w:ascii="Times New Roman" w:hAnsi="Times New Roman" w:cs="Times New Roman"/>
          <w:sz w:val="24"/>
          <w:szCs w:val="24"/>
        </w:rPr>
        <w:t xml:space="preserve">an earlier </w:t>
      </w:r>
      <w:r w:rsidRPr="00AC42B6">
        <w:rPr>
          <w:rFonts w:ascii="Times New Roman" w:hAnsi="Times New Roman" w:cs="Times New Roman"/>
          <w:sz w:val="24"/>
          <w:szCs w:val="24"/>
        </w:rPr>
        <w:t xml:space="preserve">calculation of the net benefit assumed that the levelized cost of entry </w:t>
      </w:r>
      <w:r w:rsidRPr="00AC42B6" w:rsidR="00735B8A">
        <w:rPr>
          <w:rFonts w:ascii="Times New Roman" w:hAnsi="Times New Roman" w:cs="Times New Roman"/>
          <w:sz w:val="24"/>
          <w:szCs w:val="24"/>
        </w:rPr>
        <w:t xml:space="preserve">for new generation in PJM was </w:t>
      </w:r>
      <w:r w:rsidRPr="00AC42B6">
        <w:rPr>
          <w:rFonts w:ascii="Times New Roman" w:hAnsi="Times New Roman" w:cs="Times New Roman"/>
          <w:sz w:val="24"/>
          <w:szCs w:val="24"/>
        </w:rPr>
        <w:t>$96.53/MWh.</w:t>
      </w:r>
      <w:r>
        <w:rPr>
          <w:rStyle w:val="FootnoteReference"/>
          <w:rFonts w:ascii="Times New Roman" w:hAnsi="Times New Roman" w:cs="Times New Roman"/>
          <w:sz w:val="24"/>
          <w:szCs w:val="24"/>
        </w:rPr>
        <w:footnoteReference w:id="6"/>
      </w:r>
      <w:r w:rsidRPr="00AC42B6">
        <w:rPr>
          <w:rFonts w:ascii="Times New Roman" w:hAnsi="Times New Roman" w:cs="Times New Roman"/>
          <w:sz w:val="24"/>
          <w:szCs w:val="24"/>
        </w:rPr>
        <w:t xml:space="preserve">  The auditor noted</w:t>
      </w:r>
      <w:r w:rsidRPr="00AC42B6" w:rsidR="00735B8A">
        <w:rPr>
          <w:rFonts w:ascii="Times New Roman" w:hAnsi="Times New Roman" w:cs="Times New Roman"/>
          <w:sz w:val="24"/>
          <w:szCs w:val="24"/>
        </w:rPr>
        <w:t>, however,</w:t>
      </w:r>
      <w:r w:rsidRPr="00AC42B6">
        <w:rPr>
          <w:rFonts w:ascii="Times New Roman" w:hAnsi="Times New Roman" w:cs="Times New Roman"/>
          <w:sz w:val="24"/>
          <w:szCs w:val="24"/>
        </w:rPr>
        <w:t xml:space="preserve"> that the true levelized cost of entry </w:t>
      </w:r>
      <w:r w:rsidRPr="00AC42B6" w:rsidR="002B250F">
        <w:rPr>
          <w:rFonts w:ascii="Times New Roman" w:hAnsi="Times New Roman" w:cs="Times New Roman"/>
          <w:sz w:val="24"/>
          <w:szCs w:val="24"/>
        </w:rPr>
        <w:t>was actually lower than OVEC’s operating costs.</w:t>
      </w:r>
      <w:r>
        <w:rPr>
          <w:rStyle w:val="FootnoteReference"/>
          <w:rFonts w:ascii="Times New Roman" w:hAnsi="Times New Roman" w:cs="Times New Roman"/>
          <w:sz w:val="24"/>
          <w:szCs w:val="24"/>
        </w:rPr>
        <w:footnoteReference w:id="7"/>
      </w:r>
      <w:r w:rsidRPr="00AC42B6" w:rsidR="002B250F">
        <w:rPr>
          <w:rFonts w:ascii="Times New Roman" w:hAnsi="Times New Roman" w:cs="Times New Roman"/>
          <w:sz w:val="24"/>
          <w:szCs w:val="24"/>
        </w:rPr>
        <w:t xml:space="preserve">  </w:t>
      </w:r>
      <w:r w:rsidRPr="00AC42B6" w:rsidR="006147C5">
        <w:rPr>
          <w:rFonts w:ascii="Times New Roman" w:hAnsi="Times New Roman" w:cs="Times New Roman"/>
          <w:sz w:val="24"/>
          <w:szCs w:val="24"/>
        </w:rPr>
        <w:t>That led</w:t>
      </w:r>
      <w:r w:rsidRPr="00AC42B6" w:rsidR="00735B8A">
        <w:rPr>
          <w:rFonts w:ascii="Times New Roman" w:hAnsi="Times New Roman" w:cs="Times New Roman"/>
          <w:sz w:val="24"/>
          <w:szCs w:val="24"/>
        </w:rPr>
        <w:t xml:space="preserve"> the auditor to conclude</w:t>
      </w:r>
      <w:r w:rsidRPr="00AC42B6">
        <w:rPr>
          <w:rFonts w:ascii="Times New Roman" w:hAnsi="Times New Roman" w:cs="Times New Roman"/>
          <w:sz w:val="24"/>
          <w:szCs w:val="24"/>
        </w:rPr>
        <w:t xml:space="preserve"> that the OVEC plants “are not viable” in a competitive context (</w:t>
      </w:r>
      <w:r w:rsidRPr="00AC42B6">
        <w:rPr>
          <w:rFonts w:ascii="Times New Roman" w:hAnsi="Times New Roman" w:cs="Times New Roman"/>
          <w:i/>
          <w:iCs/>
          <w:sz w:val="24"/>
          <w:szCs w:val="24"/>
        </w:rPr>
        <w:t xml:space="preserve">i.e., </w:t>
      </w:r>
      <w:r w:rsidRPr="00AC42B6">
        <w:rPr>
          <w:rFonts w:ascii="Times New Roman" w:hAnsi="Times New Roman" w:cs="Times New Roman"/>
          <w:sz w:val="24"/>
          <w:szCs w:val="24"/>
        </w:rPr>
        <w:t>will not result in a net credit for consumers).</w:t>
      </w:r>
      <w:r>
        <w:rPr>
          <w:rStyle w:val="FootnoteReference"/>
          <w:rFonts w:ascii="Times New Roman" w:hAnsi="Times New Roman" w:cs="Times New Roman"/>
          <w:sz w:val="24"/>
          <w:szCs w:val="24"/>
        </w:rPr>
        <w:footnoteReference w:id="8"/>
      </w:r>
      <w:r w:rsidRPr="00AC42B6">
        <w:rPr>
          <w:rFonts w:ascii="Times New Roman" w:hAnsi="Times New Roman" w:cs="Times New Roman"/>
          <w:sz w:val="24"/>
          <w:szCs w:val="24"/>
        </w:rPr>
        <w:t xml:space="preserve">  </w:t>
      </w:r>
    </w:p>
    <w:bookmarkEnd w:id="3"/>
    <w:p w:rsidR="00AB4369" w:rsidRPr="00AC42B6" w:rsidP="00735B8A" w14:paraId="74D0FF93" w14:textId="49DA2BF2">
      <w:pPr>
        <w:pStyle w:val="BodyTextIndent3"/>
        <w:spacing w:after="0" w:line="480" w:lineRule="auto"/>
        <w:ind w:left="0" w:right="-312"/>
        <w:rPr>
          <w:rFonts w:ascii="Times New Roman" w:hAnsi="Times New Roman" w:cs="Times New Roman"/>
          <w:sz w:val="24"/>
          <w:szCs w:val="24"/>
        </w:rPr>
      </w:pPr>
      <w:r w:rsidRPr="00AC42B6">
        <w:rPr>
          <w:rFonts w:ascii="Times New Roman" w:hAnsi="Times New Roman" w:cs="Times New Roman"/>
          <w:sz w:val="24"/>
          <w:szCs w:val="24"/>
        </w:rPr>
        <w:tab/>
        <w:t>T</w:t>
      </w:r>
      <w:r w:rsidRPr="00AC42B6" w:rsidR="00A91709">
        <w:rPr>
          <w:rFonts w:ascii="Times New Roman" w:hAnsi="Times New Roman" w:cs="Times New Roman"/>
          <w:sz w:val="24"/>
          <w:szCs w:val="24"/>
        </w:rPr>
        <w:t xml:space="preserve">he PUCO now has an opportunity to correct this situation and </w:t>
      </w:r>
      <w:r w:rsidRPr="00AC42B6" w:rsidR="000139F0">
        <w:rPr>
          <w:rFonts w:ascii="Times New Roman" w:hAnsi="Times New Roman" w:cs="Times New Roman"/>
          <w:sz w:val="24"/>
          <w:szCs w:val="24"/>
        </w:rPr>
        <w:t>protect</w:t>
      </w:r>
      <w:r w:rsidRPr="00AC42B6" w:rsidR="00A91709">
        <w:rPr>
          <w:rFonts w:ascii="Times New Roman" w:hAnsi="Times New Roman" w:cs="Times New Roman"/>
          <w:sz w:val="24"/>
          <w:szCs w:val="24"/>
        </w:rPr>
        <w:t xml:space="preserve"> AEP Ohio’s consumers.  </w:t>
      </w:r>
      <w:r w:rsidRPr="00AC42B6" w:rsidR="006147C5">
        <w:rPr>
          <w:rFonts w:ascii="Times New Roman" w:hAnsi="Times New Roman" w:cs="Times New Roman"/>
          <w:sz w:val="24"/>
          <w:szCs w:val="24"/>
        </w:rPr>
        <w:t xml:space="preserve">But </w:t>
      </w:r>
      <w:r w:rsidRPr="00AC42B6">
        <w:rPr>
          <w:rFonts w:ascii="Times New Roman" w:hAnsi="Times New Roman" w:cs="Times New Roman"/>
          <w:sz w:val="24"/>
          <w:szCs w:val="24"/>
        </w:rPr>
        <w:t>AEP Ohio</w:t>
      </w:r>
      <w:r w:rsidRPr="00AC42B6" w:rsidR="000139F0">
        <w:rPr>
          <w:rFonts w:ascii="Times New Roman" w:hAnsi="Times New Roman" w:cs="Times New Roman"/>
          <w:sz w:val="24"/>
          <w:szCs w:val="24"/>
        </w:rPr>
        <w:t xml:space="preserve"> is not cooperating</w:t>
      </w:r>
      <w:r w:rsidRPr="00AC42B6" w:rsidR="006147C5">
        <w:rPr>
          <w:rFonts w:ascii="Times New Roman" w:hAnsi="Times New Roman" w:cs="Times New Roman"/>
          <w:sz w:val="24"/>
          <w:szCs w:val="24"/>
        </w:rPr>
        <w:t xml:space="preserve"> with the PUCO’s process</w:t>
      </w:r>
      <w:r w:rsidRPr="00AC42B6">
        <w:rPr>
          <w:rFonts w:ascii="Times New Roman" w:hAnsi="Times New Roman" w:cs="Times New Roman"/>
          <w:sz w:val="24"/>
          <w:szCs w:val="24"/>
        </w:rPr>
        <w:t xml:space="preserve">.  When OCC sought to depose an </w:t>
      </w:r>
      <w:r w:rsidRPr="00AC42B6" w:rsidR="004F5B65">
        <w:rPr>
          <w:rFonts w:ascii="Times New Roman" w:hAnsi="Times New Roman" w:cs="Times New Roman"/>
          <w:sz w:val="24"/>
          <w:szCs w:val="24"/>
        </w:rPr>
        <w:t>AEP</w:t>
      </w:r>
      <w:r w:rsidRPr="00AC42B6" w:rsidR="00D72E86">
        <w:rPr>
          <w:rFonts w:ascii="Times New Roman" w:hAnsi="Times New Roman" w:cs="Times New Roman"/>
          <w:sz w:val="24"/>
          <w:szCs w:val="24"/>
        </w:rPr>
        <w:t xml:space="preserve"> Ohio</w:t>
      </w:r>
      <w:r w:rsidRPr="00AC42B6">
        <w:rPr>
          <w:rFonts w:ascii="Times New Roman" w:hAnsi="Times New Roman" w:cs="Times New Roman"/>
          <w:sz w:val="24"/>
          <w:szCs w:val="24"/>
        </w:rPr>
        <w:t xml:space="preserve"> witness, AEP Ohio filed a motion to quash.</w:t>
      </w:r>
      <w:r>
        <w:rPr>
          <w:rStyle w:val="FootnoteReference"/>
          <w:rFonts w:ascii="Times New Roman" w:hAnsi="Times New Roman" w:cs="Times New Roman"/>
          <w:sz w:val="24"/>
          <w:szCs w:val="24"/>
        </w:rPr>
        <w:footnoteReference w:id="9"/>
      </w:r>
      <w:r w:rsidRPr="00AC42B6">
        <w:rPr>
          <w:rFonts w:ascii="Times New Roman" w:hAnsi="Times New Roman" w:cs="Times New Roman"/>
          <w:sz w:val="24"/>
          <w:szCs w:val="24"/>
        </w:rPr>
        <w:t xml:space="preserve"> When OCC sought to depose an OVEC witness, AEP Ohio filed a motion to quash.</w:t>
      </w:r>
      <w:r>
        <w:rPr>
          <w:rStyle w:val="FootnoteReference"/>
          <w:rFonts w:ascii="Times New Roman" w:hAnsi="Times New Roman" w:cs="Times New Roman"/>
          <w:sz w:val="24"/>
          <w:szCs w:val="24"/>
        </w:rPr>
        <w:footnoteReference w:id="10"/>
      </w:r>
      <w:r w:rsidRPr="00AC42B6">
        <w:rPr>
          <w:rFonts w:ascii="Times New Roman" w:hAnsi="Times New Roman" w:cs="Times New Roman"/>
          <w:sz w:val="24"/>
          <w:szCs w:val="24"/>
        </w:rPr>
        <w:t xml:space="preserve">  The Attorney Examiner </w:t>
      </w:r>
      <w:r w:rsidRPr="00AC42B6" w:rsidR="00C04233">
        <w:rPr>
          <w:rFonts w:ascii="Times New Roman" w:hAnsi="Times New Roman" w:cs="Times New Roman"/>
          <w:sz w:val="24"/>
          <w:szCs w:val="24"/>
        </w:rPr>
        <w:t xml:space="preserve">ordered </w:t>
      </w:r>
      <w:r w:rsidRPr="00AC42B6">
        <w:rPr>
          <w:rFonts w:ascii="Times New Roman" w:hAnsi="Times New Roman" w:cs="Times New Roman"/>
          <w:sz w:val="24"/>
          <w:szCs w:val="24"/>
        </w:rPr>
        <w:t xml:space="preserve">AEP Ohio to </w:t>
      </w:r>
      <w:r w:rsidRPr="00AC42B6" w:rsidR="00C04233">
        <w:rPr>
          <w:rFonts w:ascii="Times New Roman" w:hAnsi="Times New Roman" w:cs="Times New Roman"/>
          <w:sz w:val="24"/>
          <w:szCs w:val="24"/>
        </w:rPr>
        <w:t xml:space="preserve">produce a witness </w:t>
      </w:r>
      <w:r w:rsidRPr="00AC42B6">
        <w:rPr>
          <w:rFonts w:ascii="Times New Roman" w:hAnsi="Times New Roman" w:cs="Times New Roman"/>
          <w:sz w:val="24"/>
          <w:szCs w:val="24"/>
        </w:rPr>
        <w:t>for deposition.</w:t>
      </w:r>
      <w:r>
        <w:rPr>
          <w:rStyle w:val="FootnoteReference"/>
          <w:rFonts w:ascii="Times New Roman" w:hAnsi="Times New Roman" w:cs="Times New Roman"/>
          <w:sz w:val="24"/>
          <w:szCs w:val="24"/>
        </w:rPr>
        <w:footnoteReference w:id="11"/>
      </w:r>
      <w:r w:rsidRPr="00AC42B6">
        <w:rPr>
          <w:rFonts w:ascii="Times New Roman" w:hAnsi="Times New Roman" w:cs="Times New Roman"/>
          <w:sz w:val="24"/>
          <w:szCs w:val="24"/>
        </w:rPr>
        <w:t xml:space="preserve">  Now AEP Ohio has filed a new motion for protective order stating that it will produce a witness for deposition, but </w:t>
      </w:r>
      <w:r w:rsidRPr="00AC42B6" w:rsidR="00C04233">
        <w:rPr>
          <w:rFonts w:ascii="Times New Roman" w:hAnsi="Times New Roman" w:cs="Times New Roman"/>
          <w:sz w:val="24"/>
          <w:szCs w:val="24"/>
        </w:rPr>
        <w:t xml:space="preserve">it </w:t>
      </w:r>
      <w:r w:rsidRPr="00AC42B6">
        <w:rPr>
          <w:rFonts w:ascii="Times New Roman" w:hAnsi="Times New Roman" w:cs="Times New Roman"/>
          <w:sz w:val="24"/>
          <w:szCs w:val="24"/>
        </w:rPr>
        <w:t>won’t produce the information requested by OCC.</w:t>
      </w:r>
      <w:r>
        <w:rPr>
          <w:rStyle w:val="FootnoteReference"/>
          <w:rFonts w:ascii="Times New Roman" w:hAnsi="Times New Roman" w:cs="Times New Roman"/>
          <w:sz w:val="24"/>
          <w:szCs w:val="24"/>
        </w:rPr>
        <w:footnoteReference w:id="12"/>
      </w:r>
      <w:r w:rsidRPr="00AC42B6" w:rsidR="003964BA">
        <w:rPr>
          <w:rFonts w:ascii="Times New Roman" w:hAnsi="Times New Roman" w:cs="Times New Roman"/>
          <w:sz w:val="24"/>
          <w:szCs w:val="24"/>
        </w:rPr>
        <w:t xml:space="preserve">  The PUCO should not </w:t>
      </w:r>
      <w:r w:rsidRPr="00AC42B6" w:rsidR="00DC67E2">
        <w:rPr>
          <w:rFonts w:ascii="Times New Roman" w:hAnsi="Times New Roman" w:cs="Times New Roman"/>
          <w:sz w:val="24"/>
          <w:szCs w:val="24"/>
        </w:rPr>
        <w:t xml:space="preserve">allow </w:t>
      </w:r>
      <w:r w:rsidRPr="00AC42B6" w:rsidR="003964BA">
        <w:rPr>
          <w:rFonts w:ascii="Times New Roman" w:hAnsi="Times New Roman" w:cs="Times New Roman"/>
          <w:sz w:val="24"/>
          <w:szCs w:val="24"/>
        </w:rPr>
        <w:t>AEP</w:t>
      </w:r>
      <w:r w:rsidRPr="00AC42B6" w:rsidR="00D72E86">
        <w:rPr>
          <w:rFonts w:ascii="Times New Roman" w:hAnsi="Times New Roman" w:cs="Times New Roman"/>
          <w:sz w:val="24"/>
          <w:szCs w:val="24"/>
        </w:rPr>
        <w:t xml:space="preserve"> Ohio</w:t>
      </w:r>
      <w:r w:rsidRPr="00AC42B6" w:rsidR="003964BA">
        <w:rPr>
          <w:rFonts w:ascii="Times New Roman" w:hAnsi="Times New Roman" w:cs="Times New Roman"/>
          <w:sz w:val="24"/>
          <w:szCs w:val="24"/>
        </w:rPr>
        <w:t xml:space="preserve">’s </w:t>
      </w:r>
      <w:r w:rsidRPr="00AC42B6" w:rsidR="00B101CF">
        <w:rPr>
          <w:rFonts w:ascii="Times New Roman" w:hAnsi="Times New Roman" w:cs="Times New Roman"/>
          <w:sz w:val="24"/>
          <w:szCs w:val="24"/>
        </w:rPr>
        <w:t>obstructionist</w:t>
      </w:r>
      <w:r w:rsidRPr="00AC42B6" w:rsidR="003964BA">
        <w:rPr>
          <w:rFonts w:ascii="Times New Roman" w:hAnsi="Times New Roman" w:cs="Times New Roman"/>
          <w:sz w:val="24"/>
          <w:szCs w:val="24"/>
        </w:rPr>
        <w:t xml:space="preserve"> tactics to </w:t>
      </w:r>
      <w:r w:rsidRPr="00AC42B6" w:rsidR="00B101CF">
        <w:rPr>
          <w:rFonts w:ascii="Times New Roman" w:hAnsi="Times New Roman" w:cs="Times New Roman"/>
          <w:sz w:val="24"/>
          <w:szCs w:val="24"/>
        </w:rPr>
        <w:t>deny OCC</w:t>
      </w:r>
      <w:r w:rsidRPr="00AC42B6" w:rsidR="006147C5">
        <w:rPr>
          <w:rFonts w:ascii="Times New Roman" w:hAnsi="Times New Roman" w:cs="Times New Roman"/>
          <w:sz w:val="24"/>
          <w:szCs w:val="24"/>
        </w:rPr>
        <w:t xml:space="preserve"> its</w:t>
      </w:r>
      <w:r w:rsidRPr="00AC42B6" w:rsidR="003964BA">
        <w:rPr>
          <w:rFonts w:ascii="Times New Roman" w:hAnsi="Times New Roman" w:cs="Times New Roman"/>
          <w:sz w:val="24"/>
          <w:szCs w:val="24"/>
        </w:rPr>
        <w:t xml:space="preserve"> discovery.</w:t>
      </w:r>
    </w:p>
    <w:p w:rsidR="004978B1" w:rsidRPr="00AC42B6" w:rsidP="00735B8A" w14:paraId="10E9915B" w14:textId="77777777">
      <w:pPr>
        <w:pStyle w:val="BodyTextIndent3"/>
        <w:spacing w:after="0" w:line="480" w:lineRule="auto"/>
        <w:ind w:left="0" w:right="-312"/>
        <w:rPr>
          <w:rFonts w:ascii="Times New Roman" w:hAnsi="Times New Roman" w:cs="Times New Roman"/>
          <w:sz w:val="24"/>
          <w:szCs w:val="24"/>
        </w:rPr>
      </w:pPr>
      <w:r w:rsidRPr="00AC42B6">
        <w:rPr>
          <w:rFonts w:ascii="Times New Roman" w:hAnsi="Times New Roman" w:cs="Times New Roman"/>
          <w:sz w:val="24"/>
          <w:szCs w:val="24"/>
        </w:rPr>
        <w:tab/>
      </w:r>
    </w:p>
    <w:p w:rsidR="004978B1" w:rsidRPr="00AC42B6" w14:paraId="6B7A19B6" w14:textId="77777777">
      <w:pPr>
        <w:rPr>
          <w:rFonts w:ascii="Times New Roman" w:hAnsi="Times New Roman" w:cs="Times New Roman"/>
          <w:sz w:val="24"/>
          <w:szCs w:val="24"/>
        </w:rPr>
      </w:pPr>
      <w:r w:rsidRPr="00AC42B6">
        <w:rPr>
          <w:rFonts w:ascii="Times New Roman" w:hAnsi="Times New Roman" w:cs="Times New Roman"/>
          <w:sz w:val="24"/>
          <w:szCs w:val="24"/>
        </w:rPr>
        <w:br w:type="page"/>
      </w:r>
    </w:p>
    <w:p w:rsidR="00C04233" w:rsidRPr="00AC42B6" w:rsidP="004978B1" w14:paraId="46394A29" w14:textId="77777777">
      <w:pPr>
        <w:pStyle w:val="BodyTextIndent3"/>
        <w:spacing w:after="0" w:line="480" w:lineRule="auto"/>
        <w:ind w:left="0" w:right="-312" w:firstLine="720"/>
        <w:rPr>
          <w:rFonts w:ascii="Times New Roman" w:hAnsi="Times New Roman" w:cs="Times New Roman"/>
          <w:sz w:val="24"/>
          <w:szCs w:val="24"/>
        </w:rPr>
      </w:pPr>
      <w:r w:rsidRPr="00AC42B6">
        <w:rPr>
          <w:rFonts w:ascii="Times New Roman" w:hAnsi="Times New Roman" w:cs="Times New Roman"/>
          <w:sz w:val="24"/>
          <w:szCs w:val="24"/>
        </w:rPr>
        <w:t xml:space="preserve">OCC respectfully requests that the PUCO </w:t>
      </w:r>
      <w:r w:rsidRPr="00AC42B6" w:rsidR="00DC67E2">
        <w:rPr>
          <w:rFonts w:ascii="Times New Roman" w:hAnsi="Times New Roman" w:cs="Times New Roman"/>
          <w:sz w:val="24"/>
          <w:szCs w:val="24"/>
        </w:rPr>
        <w:t xml:space="preserve">reject </w:t>
      </w:r>
      <w:r w:rsidRPr="00AC42B6">
        <w:rPr>
          <w:rFonts w:ascii="Times New Roman" w:hAnsi="Times New Roman" w:cs="Times New Roman"/>
          <w:sz w:val="24"/>
          <w:szCs w:val="24"/>
        </w:rPr>
        <w:t xml:space="preserve">AEP Ohio’s latest motion for protective order so that OCC can </w:t>
      </w:r>
      <w:r w:rsidRPr="00AC42B6" w:rsidR="00DC67E2">
        <w:rPr>
          <w:rFonts w:ascii="Times New Roman" w:hAnsi="Times New Roman" w:cs="Times New Roman"/>
          <w:sz w:val="24"/>
          <w:szCs w:val="24"/>
        </w:rPr>
        <w:t xml:space="preserve">obtain information to </w:t>
      </w:r>
      <w:r w:rsidRPr="00AC42B6">
        <w:rPr>
          <w:rFonts w:ascii="Times New Roman" w:hAnsi="Times New Roman" w:cs="Times New Roman"/>
          <w:sz w:val="24"/>
          <w:szCs w:val="24"/>
        </w:rPr>
        <w:t>protect consumers from the</w:t>
      </w:r>
      <w:r w:rsidRPr="00AC42B6" w:rsidR="00514B1D">
        <w:rPr>
          <w:rFonts w:ascii="Times New Roman" w:hAnsi="Times New Roman" w:cs="Times New Roman"/>
          <w:sz w:val="24"/>
          <w:szCs w:val="24"/>
        </w:rPr>
        <w:t xml:space="preserve"> imprudent </w:t>
      </w:r>
      <w:r w:rsidRPr="00AC42B6">
        <w:rPr>
          <w:rFonts w:ascii="Times New Roman" w:hAnsi="Times New Roman" w:cs="Times New Roman"/>
          <w:sz w:val="24"/>
          <w:szCs w:val="24"/>
        </w:rPr>
        <w:t>OVEC subsidy charges.</w:t>
      </w:r>
    </w:p>
    <w:p w:rsidR="00A6590B" w:rsidRPr="00AC42B6" w:rsidP="006B662E" w14:paraId="1EDEE83B" w14:textId="77777777">
      <w:pPr>
        <w:pStyle w:val="Heading2"/>
        <w:rPr>
          <w:rFonts w:ascii="Times New Roman" w:hAnsi="Times New Roman" w:cs="Times New Roman"/>
        </w:rPr>
      </w:pPr>
      <w:bookmarkStart w:id="4" w:name="_Toc90912418"/>
      <w:r w:rsidRPr="00AC42B6">
        <w:rPr>
          <w:rFonts w:ascii="Times New Roman" w:hAnsi="Times New Roman" w:cs="Times New Roman"/>
        </w:rPr>
        <w:t xml:space="preserve">The scope of this proceeding is </w:t>
      </w:r>
      <w:r w:rsidRPr="00AC42B6" w:rsidR="00DC3750">
        <w:rPr>
          <w:rFonts w:ascii="Times New Roman" w:hAnsi="Times New Roman" w:cs="Times New Roman"/>
        </w:rPr>
        <w:t>whether it is just and reasonable for AEP</w:t>
      </w:r>
      <w:r w:rsidRPr="00AC42B6" w:rsidR="00EC328A">
        <w:rPr>
          <w:rFonts w:ascii="Times New Roman" w:hAnsi="Times New Roman" w:cs="Times New Roman"/>
        </w:rPr>
        <w:t xml:space="preserve"> Ohio</w:t>
      </w:r>
      <w:r w:rsidRPr="00AC42B6" w:rsidR="00DC3750">
        <w:rPr>
          <w:rFonts w:ascii="Times New Roman" w:hAnsi="Times New Roman" w:cs="Times New Roman"/>
        </w:rPr>
        <w:t xml:space="preserve"> to charge consumers for </w:t>
      </w:r>
      <w:r w:rsidRPr="00AC42B6" w:rsidR="00DC67E2">
        <w:rPr>
          <w:rFonts w:ascii="Times New Roman" w:hAnsi="Times New Roman" w:cs="Times New Roman"/>
        </w:rPr>
        <w:t xml:space="preserve">its share of </w:t>
      </w:r>
      <w:r w:rsidRPr="00AC42B6" w:rsidR="00DC3750">
        <w:rPr>
          <w:rFonts w:ascii="Times New Roman" w:hAnsi="Times New Roman" w:cs="Times New Roman"/>
        </w:rPr>
        <w:t xml:space="preserve">the OVEC </w:t>
      </w:r>
      <w:r w:rsidRPr="00AC42B6" w:rsidR="006147C5">
        <w:rPr>
          <w:rFonts w:ascii="Times New Roman" w:hAnsi="Times New Roman" w:cs="Times New Roman"/>
        </w:rPr>
        <w:t xml:space="preserve">coal plant </w:t>
      </w:r>
      <w:r w:rsidRPr="00AC42B6" w:rsidR="00DC3750">
        <w:rPr>
          <w:rFonts w:ascii="Times New Roman" w:hAnsi="Times New Roman" w:cs="Times New Roman"/>
        </w:rPr>
        <w:t>subsidy</w:t>
      </w:r>
      <w:r w:rsidRPr="00AC42B6" w:rsidR="00514B1D">
        <w:rPr>
          <w:rFonts w:ascii="Times New Roman" w:hAnsi="Times New Roman" w:cs="Times New Roman"/>
        </w:rPr>
        <w:t xml:space="preserve"> charges</w:t>
      </w:r>
      <w:r w:rsidRPr="00AC42B6" w:rsidR="00DC3750">
        <w:rPr>
          <w:rFonts w:ascii="Times New Roman" w:hAnsi="Times New Roman" w:cs="Times New Roman"/>
        </w:rPr>
        <w:t>.  The discovery OCC seeks is well within this scope.</w:t>
      </w:r>
      <w:bookmarkEnd w:id="4"/>
    </w:p>
    <w:p w:rsidR="00DC3750" w:rsidRPr="00AC42B6" w:rsidP="00DC3750" w14:paraId="687FD109" w14:textId="77777777">
      <w:pPr>
        <w:pStyle w:val="BodyText"/>
        <w:spacing w:line="480" w:lineRule="auto"/>
        <w:ind w:left="0" w:firstLine="720"/>
        <w:rPr>
          <w:rFonts w:cs="Times New Roman"/>
          <w:color w:val="000000"/>
          <w:sz w:val="24"/>
          <w:szCs w:val="24"/>
        </w:rPr>
      </w:pPr>
      <w:r w:rsidRPr="00AC42B6">
        <w:rPr>
          <w:rFonts w:cs="Times New Roman"/>
          <w:color w:val="000000"/>
          <w:sz w:val="24"/>
          <w:szCs w:val="24"/>
        </w:rPr>
        <w:t>The PUCO opened these cases to audit AEP</w:t>
      </w:r>
      <w:r w:rsidRPr="00AC42B6" w:rsidR="00EC328A">
        <w:rPr>
          <w:rFonts w:cs="Times New Roman"/>
          <w:color w:val="000000"/>
          <w:sz w:val="24"/>
          <w:szCs w:val="24"/>
        </w:rPr>
        <w:t xml:space="preserve"> Ohio</w:t>
      </w:r>
      <w:r w:rsidRPr="00AC42B6">
        <w:rPr>
          <w:rFonts w:cs="Times New Roman"/>
          <w:color w:val="000000"/>
          <w:sz w:val="24"/>
          <w:szCs w:val="24"/>
        </w:rPr>
        <w:t>’s OVEC charges for 2018 and 2019.  The PUCO may, as part of this investigation, consider evidence relating to its original approval of the OVEC charges in the PPA Rider</w:t>
      </w:r>
      <w:r w:rsidRPr="00AC42B6" w:rsidR="00AC6257">
        <w:rPr>
          <w:rFonts w:cs="Times New Roman"/>
          <w:color w:val="000000"/>
          <w:sz w:val="24"/>
          <w:szCs w:val="24"/>
        </w:rPr>
        <w:t>, regardless of when the evidence occurred or was produced</w:t>
      </w:r>
      <w:r w:rsidRPr="00AC42B6">
        <w:rPr>
          <w:rFonts w:cs="Times New Roman"/>
          <w:color w:val="000000"/>
          <w:sz w:val="24"/>
          <w:szCs w:val="24"/>
        </w:rPr>
        <w:t xml:space="preserve">.  The PUCO may also consider </w:t>
      </w:r>
      <w:r w:rsidRPr="00AC42B6" w:rsidR="00AC6257">
        <w:rPr>
          <w:rFonts w:cs="Times New Roman"/>
          <w:color w:val="000000"/>
          <w:sz w:val="24"/>
          <w:szCs w:val="24"/>
        </w:rPr>
        <w:t>actions</w:t>
      </w:r>
      <w:r w:rsidRPr="00AC42B6">
        <w:rPr>
          <w:rFonts w:cs="Times New Roman"/>
          <w:color w:val="000000"/>
          <w:sz w:val="24"/>
          <w:szCs w:val="24"/>
        </w:rPr>
        <w:t xml:space="preserve"> taken by AEP</w:t>
      </w:r>
      <w:r w:rsidRPr="00AC42B6" w:rsidR="00EC328A">
        <w:rPr>
          <w:rFonts w:cs="Times New Roman"/>
          <w:color w:val="000000"/>
          <w:sz w:val="24"/>
          <w:szCs w:val="24"/>
        </w:rPr>
        <w:t xml:space="preserve"> Ohio</w:t>
      </w:r>
      <w:r w:rsidRPr="00AC42B6">
        <w:rPr>
          <w:rFonts w:cs="Times New Roman"/>
          <w:color w:val="000000"/>
          <w:sz w:val="24"/>
          <w:szCs w:val="24"/>
        </w:rPr>
        <w:t>’s parent company and affiliates that relate to the reasonableness of AEP</w:t>
      </w:r>
      <w:r w:rsidRPr="00AC42B6" w:rsidR="00EC328A">
        <w:rPr>
          <w:rFonts w:cs="Times New Roman"/>
          <w:color w:val="000000"/>
          <w:sz w:val="24"/>
          <w:szCs w:val="24"/>
        </w:rPr>
        <w:t xml:space="preserve"> Ohio</w:t>
      </w:r>
      <w:r w:rsidRPr="00AC42B6">
        <w:rPr>
          <w:rFonts w:cs="Times New Roman"/>
          <w:color w:val="000000"/>
          <w:sz w:val="24"/>
          <w:szCs w:val="24"/>
        </w:rPr>
        <w:t>’s OVEC charges.</w:t>
      </w:r>
    </w:p>
    <w:p w:rsidR="00DC3750" w:rsidRPr="00AC42B6" w:rsidP="004978B1" w14:paraId="0A83298E" w14:textId="77777777">
      <w:pPr>
        <w:pStyle w:val="Heading3"/>
        <w:rPr>
          <w:rFonts w:ascii="Times New Roman" w:hAnsi="Times New Roman" w:cs="Times New Roman"/>
        </w:rPr>
      </w:pPr>
      <w:bookmarkStart w:id="5" w:name="_Toc90912419"/>
      <w:r w:rsidRPr="00AC42B6">
        <w:rPr>
          <w:rFonts w:ascii="Times New Roman" w:hAnsi="Times New Roman" w:cs="Times New Roman"/>
        </w:rPr>
        <w:t xml:space="preserve">The PUCO </w:t>
      </w:r>
      <w:r w:rsidRPr="00AC42B6" w:rsidR="003202D9">
        <w:rPr>
          <w:rFonts w:ascii="Times New Roman" w:hAnsi="Times New Roman" w:cs="Times New Roman"/>
        </w:rPr>
        <w:t>may properly</w:t>
      </w:r>
      <w:r w:rsidRPr="00AC42B6">
        <w:rPr>
          <w:rFonts w:ascii="Times New Roman" w:hAnsi="Times New Roman" w:cs="Times New Roman"/>
        </w:rPr>
        <w:t xml:space="preserve"> consider </w:t>
      </w:r>
      <w:r w:rsidRPr="00AC42B6" w:rsidR="0025068D">
        <w:rPr>
          <w:rFonts w:ascii="Times New Roman" w:hAnsi="Times New Roman" w:cs="Times New Roman"/>
        </w:rPr>
        <w:t xml:space="preserve">evidence relating to its original approval of </w:t>
      </w:r>
      <w:r w:rsidRPr="00AC42B6" w:rsidR="006147C5">
        <w:rPr>
          <w:rFonts w:ascii="Times New Roman" w:hAnsi="Times New Roman" w:cs="Times New Roman"/>
        </w:rPr>
        <w:t xml:space="preserve">AEP’s collection of </w:t>
      </w:r>
      <w:r w:rsidRPr="00AC42B6" w:rsidR="0025068D">
        <w:rPr>
          <w:rFonts w:ascii="Times New Roman" w:hAnsi="Times New Roman" w:cs="Times New Roman"/>
        </w:rPr>
        <w:t xml:space="preserve">OVEC </w:t>
      </w:r>
      <w:r w:rsidRPr="00AC42B6" w:rsidR="006147C5">
        <w:rPr>
          <w:rFonts w:ascii="Times New Roman" w:hAnsi="Times New Roman" w:cs="Times New Roman"/>
        </w:rPr>
        <w:t xml:space="preserve">coal plant </w:t>
      </w:r>
      <w:r w:rsidRPr="00AC42B6" w:rsidR="003202D9">
        <w:rPr>
          <w:rFonts w:ascii="Times New Roman" w:hAnsi="Times New Roman" w:cs="Times New Roman"/>
        </w:rPr>
        <w:t>c</w:t>
      </w:r>
      <w:r w:rsidRPr="00AC42B6" w:rsidR="0025068D">
        <w:rPr>
          <w:rFonts w:ascii="Times New Roman" w:hAnsi="Times New Roman" w:cs="Times New Roman"/>
        </w:rPr>
        <w:t>harges</w:t>
      </w:r>
      <w:r w:rsidRPr="00AC42B6" w:rsidR="003202D9">
        <w:rPr>
          <w:rFonts w:ascii="Times New Roman" w:hAnsi="Times New Roman" w:cs="Times New Roman"/>
        </w:rPr>
        <w:t xml:space="preserve"> in deciding whether the OVEC charges are just and reasonable</w:t>
      </w:r>
      <w:r w:rsidRPr="00AC42B6" w:rsidR="006147C5">
        <w:rPr>
          <w:rFonts w:ascii="Times New Roman" w:hAnsi="Times New Roman" w:cs="Times New Roman"/>
        </w:rPr>
        <w:t xml:space="preserve"> to make Ohioans pay</w:t>
      </w:r>
      <w:r w:rsidRPr="00AC42B6" w:rsidR="0025068D">
        <w:rPr>
          <w:rFonts w:ascii="Times New Roman" w:hAnsi="Times New Roman" w:cs="Times New Roman"/>
        </w:rPr>
        <w:t>.</w:t>
      </w:r>
      <w:bookmarkEnd w:id="5"/>
    </w:p>
    <w:p w:rsidR="0025068D" w:rsidRPr="00AC42B6" w:rsidP="0025068D" w14:paraId="64DDD38C" w14:textId="77777777">
      <w:pPr>
        <w:pStyle w:val="BodyText"/>
        <w:spacing w:line="480" w:lineRule="auto"/>
        <w:ind w:left="0" w:firstLine="720"/>
        <w:rPr>
          <w:rFonts w:cs="Times New Roman"/>
          <w:color w:val="000000"/>
          <w:sz w:val="24"/>
          <w:szCs w:val="24"/>
        </w:rPr>
      </w:pPr>
      <w:r w:rsidRPr="00AC42B6">
        <w:rPr>
          <w:rFonts w:cs="Times New Roman"/>
          <w:color w:val="000000"/>
          <w:sz w:val="24"/>
          <w:szCs w:val="24"/>
        </w:rPr>
        <w:t>AEP</w:t>
      </w:r>
      <w:r w:rsidRPr="00AC42B6" w:rsidR="00EC328A">
        <w:rPr>
          <w:rFonts w:cs="Times New Roman"/>
          <w:color w:val="000000"/>
          <w:sz w:val="24"/>
          <w:szCs w:val="24"/>
        </w:rPr>
        <w:t xml:space="preserve"> Ohio</w:t>
      </w:r>
      <w:r w:rsidRPr="00AC42B6">
        <w:rPr>
          <w:rFonts w:cs="Times New Roman"/>
          <w:color w:val="000000"/>
          <w:sz w:val="24"/>
          <w:szCs w:val="24"/>
        </w:rPr>
        <w:t xml:space="preserve"> argues that OCC should not be allowed to seek discovery on </w:t>
      </w:r>
      <w:r w:rsidRPr="00AC42B6" w:rsidR="00703EED">
        <w:rPr>
          <w:rFonts w:cs="Times New Roman"/>
          <w:color w:val="000000"/>
          <w:sz w:val="24"/>
          <w:szCs w:val="24"/>
        </w:rPr>
        <w:t xml:space="preserve">any </w:t>
      </w:r>
      <w:r w:rsidRPr="00AC42B6">
        <w:rPr>
          <w:rFonts w:cs="Times New Roman"/>
          <w:color w:val="000000"/>
          <w:sz w:val="24"/>
          <w:szCs w:val="24"/>
        </w:rPr>
        <w:t>matters relat</w:t>
      </w:r>
      <w:r w:rsidRPr="00AC42B6" w:rsidR="00703EED">
        <w:rPr>
          <w:rFonts w:cs="Times New Roman"/>
          <w:color w:val="000000"/>
          <w:sz w:val="24"/>
          <w:szCs w:val="24"/>
        </w:rPr>
        <w:t>ing</w:t>
      </w:r>
      <w:r w:rsidRPr="00AC42B6">
        <w:rPr>
          <w:rFonts w:cs="Times New Roman"/>
          <w:color w:val="000000"/>
          <w:sz w:val="24"/>
          <w:szCs w:val="24"/>
        </w:rPr>
        <w:t xml:space="preserve"> to the PUCO’s original approval of the OVEC charges.  AEP</w:t>
      </w:r>
      <w:r w:rsidRPr="00AC42B6" w:rsidR="00EC328A">
        <w:rPr>
          <w:rFonts w:cs="Times New Roman"/>
          <w:color w:val="000000"/>
          <w:sz w:val="24"/>
          <w:szCs w:val="24"/>
        </w:rPr>
        <w:t xml:space="preserve"> Ohio</w:t>
      </w:r>
      <w:r w:rsidRPr="00AC42B6">
        <w:rPr>
          <w:rFonts w:cs="Times New Roman"/>
          <w:color w:val="000000"/>
          <w:sz w:val="24"/>
          <w:szCs w:val="24"/>
        </w:rPr>
        <w:t>’s position is contrary to established PUCO precedent and the PUCO’s order opening these cases.  The PUCO should therefore reject AEP</w:t>
      </w:r>
      <w:r w:rsidRPr="00AC42B6" w:rsidR="00EC328A">
        <w:rPr>
          <w:rFonts w:cs="Times New Roman"/>
          <w:color w:val="000000"/>
          <w:sz w:val="24"/>
          <w:szCs w:val="24"/>
        </w:rPr>
        <w:t xml:space="preserve"> Ohio</w:t>
      </w:r>
      <w:r w:rsidRPr="00AC42B6">
        <w:rPr>
          <w:rFonts w:cs="Times New Roman"/>
          <w:color w:val="000000"/>
          <w:sz w:val="24"/>
          <w:szCs w:val="24"/>
        </w:rPr>
        <w:t>’s motion for protective order.</w:t>
      </w:r>
    </w:p>
    <w:p w:rsidR="0025068D" w:rsidRPr="00AC42B6" w:rsidP="0025068D" w14:paraId="2D098D15" w14:textId="77777777">
      <w:pPr>
        <w:pStyle w:val="BodyText"/>
        <w:spacing w:line="480" w:lineRule="auto"/>
        <w:ind w:left="0" w:firstLine="720"/>
        <w:rPr>
          <w:rFonts w:cs="Times New Roman"/>
          <w:color w:val="000000"/>
          <w:sz w:val="24"/>
          <w:szCs w:val="24"/>
        </w:rPr>
      </w:pPr>
      <w:r w:rsidRPr="00AC42B6">
        <w:rPr>
          <w:rFonts w:cs="Times New Roman"/>
          <w:color w:val="000000"/>
          <w:sz w:val="24"/>
          <w:szCs w:val="24"/>
        </w:rPr>
        <w:t>AEP</w:t>
      </w:r>
      <w:r w:rsidRPr="00AC42B6" w:rsidR="00EC328A">
        <w:rPr>
          <w:rFonts w:cs="Times New Roman"/>
          <w:color w:val="000000"/>
          <w:sz w:val="24"/>
          <w:szCs w:val="24"/>
        </w:rPr>
        <w:t xml:space="preserve"> Ohio</w:t>
      </w:r>
      <w:r w:rsidRPr="00AC42B6">
        <w:rPr>
          <w:rFonts w:cs="Times New Roman"/>
          <w:color w:val="000000"/>
          <w:sz w:val="24"/>
          <w:szCs w:val="24"/>
        </w:rPr>
        <w:t xml:space="preserve"> claims that it is entitled to a protective order on the following items because they relate to the PUCO’s original approval of the OVEC charges and cannot be relitigated:</w:t>
      </w:r>
    </w:p>
    <w:p w:rsidR="005E135E" w:rsidRPr="00AC42B6" w:rsidP="004978B1" w14:paraId="627635B2" w14:textId="77777777">
      <w:pPr>
        <w:pStyle w:val="ListParagraph"/>
        <w:widowControl/>
        <w:numPr>
          <w:ilvl w:val="0"/>
          <w:numId w:val="25"/>
        </w:numPr>
        <w:ind w:left="1440" w:hanging="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“Any analysis of competitive bidding process that AEP used before </w:t>
      </w:r>
    </w:p>
    <w:p w:rsidR="005E135E" w:rsidRPr="00AC42B6" w:rsidP="00E773D4" w14:paraId="6BF6CA0C" w14:textId="77777777">
      <w:pPr>
        <w:pStyle w:val="BodyText"/>
        <w:ind w:left="1440"/>
        <w:rPr>
          <w:rFonts w:cs="Times New Roman"/>
          <w:color w:val="000000"/>
          <w:sz w:val="24"/>
          <w:szCs w:val="24"/>
        </w:rPr>
      </w:pPr>
      <w:r w:rsidRPr="00AC42B6">
        <w:rPr>
          <w:rFonts w:cs="Times New Roman"/>
          <w:color w:val="000000"/>
          <w:sz w:val="24"/>
          <w:szCs w:val="24"/>
        </w:rPr>
        <w:t>selecting the OVEC contact to be provided for consumers under the PPA Rider</w:t>
      </w:r>
      <w:r w:rsidRPr="00AC42B6" w:rsidR="0040754D">
        <w:rPr>
          <w:rFonts w:cs="Times New Roman"/>
          <w:color w:val="000000"/>
          <w:sz w:val="24"/>
          <w:szCs w:val="24"/>
        </w:rPr>
        <w:t>;</w:t>
      </w:r>
      <w:r w:rsidRPr="00AC42B6">
        <w:rPr>
          <w:rFonts w:cs="Times New Roman"/>
          <w:color w:val="000000"/>
          <w:sz w:val="24"/>
          <w:szCs w:val="24"/>
        </w:rPr>
        <w:t xml:space="preserve">” </w:t>
      </w:r>
      <w:r w:rsidRPr="00AC42B6" w:rsidR="0040754D">
        <w:rPr>
          <w:rFonts w:cs="Times New Roman"/>
          <w:color w:val="000000"/>
          <w:sz w:val="24"/>
          <w:szCs w:val="24"/>
        </w:rPr>
        <w:t>and</w:t>
      </w:r>
    </w:p>
    <w:p w:rsidR="005E135E" w:rsidRPr="00AC42B6" w:rsidP="004978B1" w14:paraId="75B22D23" w14:textId="77777777">
      <w:pPr>
        <w:pStyle w:val="BodyText"/>
        <w:ind w:left="1440" w:hanging="720"/>
        <w:rPr>
          <w:rFonts w:cs="Times New Roman"/>
          <w:color w:val="000000"/>
          <w:sz w:val="24"/>
          <w:szCs w:val="24"/>
        </w:rPr>
      </w:pPr>
    </w:p>
    <w:p w:rsidR="005E135E" w:rsidRPr="00AC42B6" w:rsidP="004978B1" w14:paraId="4F7A7E71" w14:textId="51D4C2AC">
      <w:pPr>
        <w:pStyle w:val="BodyText"/>
        <w:numPr>
          <w:ilvl w:val="0"/>
          <w:numId w:val="25"/>
        </w:numPr>
        <w:ind w:left="1440" w:hanging="720"/>
        <w:rPr>
          <w:rFonts w:cs="Times New Roman"/>
          <w:color w:val="000000"/>
          <w:sz w:val="24"/>
          <w:szCs w:val="24"/>
        </w:rPr>
      </w:pPr>
      <w:r w:rsidRPr="00AC42B6">
        <w:rPr>
          <w:rFonts w:cs="Times New Roman"/>
          <w:color w:val="000000"/>
          <w:sz w:val="24"/>
          <w:szCs w:val="24"/>
        </w:rPr>
        <w:t>“Any analysis performed by AEP to show that the OVEC contract would be the least-cost resource available to serve consumers before selecting the OVEC contact to be provided for consumers under the PPA Rider.” (Notice of Deposition, Matter ## 5-6 and Document Request ## 5-6.)</w:t>
      </w:r>
      <w:r>
        <w:rPr>
          <w:rStyle w:val="FootnoteReference"/>
          <w:rFonts w:cs="Times New Roman"/>
          <w:color w:val="000000"/>
          <w:sz w:val="24"/>
          <w:szCs w:val="24"/>
        </w:rPr>
        <w:footnoteReference w:id="13"/>
      </w:r>
    </w:p>
    <w:p w:rsidR="00E773D4" w:rsidRPr="00AC42B6" w:rsidP="00E773D4" w14:paraId="6A3D1F91" w14:textId="77777777">
      <w:pPr>
        <w:pStyle w:val="BodyText"/>
        <w:ind w:left="1440"/>
        <w:rPr>
          <w:rFonts w:cs="Times New Roman"/>
          <w:color w:val="000000"/>
          <w:sz w:val="24"/>
          <w:szCs w:val="24"/>
        </w:rPr>
      </w:pPr>
    </w:p>
    <w:p w:rsidR="00DC3750" w:rsidRPr="00AC42B6" w:rsidP="0040754D" w14:paraId="29519017" w14:textId="77777777">
      <w:pPr>
        <w:pStyle w:val="BodyText"/>
        <w:spacing w:line="480" w:lineRule="auto"/>
        <w:ind w:left="0" w:firstLine="720"/>
        <w:rPr>
          <w:rFonts w:cs="Times New Roman"/>
          <w:color w:val="000000"/>
          <w:sz w:val="24"/>
          <w:szCs w:val="24"/>
        </w:rPr>
      </w:pPr>
      <w:r w:rsidRPr="00AC42B6">
        <w:rPr>
          <w:rFonts w:cs="Times New Roman"/>
          <w:color w:val="000000"/>
          <w:sz w:val="24"/>
          <w:szCs w:val="24"/>
        </w:rPr>
        <w:t>The PUCO approved the OVEC charges in a 2016 ruling.</w:t>
      </w:r>
      <w:r>
        <w:rPr>
          <w:rStyle w:val="FootnoteReference"/>
          <w:rFonts w:cs="Times New Roman"/>
          <w:color w:val="000000"/>
          <w:sz w:val="24"/>
          <w:szCs w:val="24"/>
        </w:rPr>
        <w:footnoteReference w:id="14"/>
      </w:r>
      <w:r w:rsidRPr="00AC42B6">
        <w:rPr>
          <w:rFonts w:cs="Times New Roman"/>
          <w:color w:val="000000"/>
          <w:sz w:val="24"/>
          <w:szCs w:val="24"/>
        </w:rPr>
        <w:t xml:space="preserve">  Subsequent events have shown that the OVEC charges are </w:t>
      </w:r>
      <w:r w:rsidRPr="00AC42B6" w:rsidR="004509E4">
        <w:rPr>
          <w:rFonts w:cs="Times New Roman"/>
          <w:color w:val="000000"/>
          <w:sz w:val="24"/>
          <w:szCs w:val="24"/>
        </w:rPr>
        <w:t>unjust and</w:t>
      </w:r>
      <w:r w:rsidRPr="00AC42B6">
        <w:rPr>
          <w:rFonts w:cs="Times New Roman"/>
          <w:color w:val="000000"/>
          <w:sz w:val="24"/>
          <w:szCs w:val="24"/>
        </w:rPr>
        <w:t xml:space="preserve"> unreasonable.  AEP</w:t>
      </w:r>
      <w:r w:rsidRPr="00AC42B6" w:rsidR="00EC328A">
        <w:rPr>
          <w:rFonts w:cs="Times New Roman"/>
          <w:color w:val="000000"/>
          <w:sz w:val="24"/>
          <w:szCs w:val="24"/>
        </w:rPr>
        <w:t xml:space="preserve"> Ohio</w:t>
      </w:r>
      <w:r w:rsidRPr="00AC42B6">
        <w:rPr>
          <w:rFonts w:cs="Times New Roman"/>
          <w:color w:val="000000"/>
          <w:sz w:val="24"/>
          <w:szCs w:val="24"/>
        </w:rPr>
        <w:t xml:space="preserve"> is </w:t>
      </w:r>
      <w:r w:rsidRPr="00AC42B6" w:rsidR="00703EED">
        <w:rPr>
          <w:rFonts w:cs="Times New Roman"/>
          <w:color w:val="000000"/>
          <w:sz w:val="24"/>
          <w:szCs w:val="24"/>
        </w:rPr>
        <w:t xml:space="preserve">now </w:t>
      </w:r>
      <w:r w:rsidRPr="00AC42B6">
        <w:rPr>
          <w:rFonts w:cs="Times New Roman"/>
          <w:color w:val="000000"/>
          <w:sz w:val="24"/>
          <w:szCs w:val="24"/>
        </w:rPr>
        <w:t xml:space="preserve">trying to prevent the PUCO from considering </w:t>
      </w:r>
      <w:r w:rsidRPr="00AC42B6" w:rsidR="00703EED">
        <w:rPr>
          <w:rFonts w:cs="Times New Roman"/>
          <w:color w:val="000000"/>
          <w:sz w:val="24"/>
          <w:szCs w:val="24"/>
        </w:rPr>
        <w:t xml:space="preserve">this </w:t>
      </w:r>
      <w:r w:rsidRPr="00AC42B6">
        <w:rPr>
          <w:rFonts w:cs="Times New Roman"/>
          <w:color w:val="000000"/>
          <w:sz w:val="24"/>
          <w:szCs w:val="24"/>
        </w:rPr>
        <w:t>evidence because AEP</w:t>
      </w:r>
      <w:r w:rsidRPr="00AC42B6" w:rsidR="00D72E86">
        <w:rPr>
          <w:rFonts w:cs="Times New Roman"/>
          <w:color w:val="000000"/>
          <w:sz w:val="24"/>
          <w:szCs w:val="24"/>
        </w:rPr>
        <w:t xml:space="preserve"> Ohio</w:t>
      </w:r>
      <w:r w:rsidRPr="00AC42B6">
        <w:rPr>
          <w:rFonts w:cs="Times New Roman"/>
          <w:color w:val="000000"/>
          <w:sz w:val="24"/>
          <w:szCs w:val="24"/>
        </w:rPr>
        <w:t xml:space="preserve"> doesn’t want the PUCO to </w:t>
      </w:r>
      <w:r w:rsidRPr="00AC42B6" w:rsidR="00703EED">
        <w:rPr>
          <w:rFonts w:cs="Times New Roman"/>
          <w:color w:val="000000"/>
          <w:sz w:val="24"/>
          <w:szCs w:val="24"/>
        </w:rPr>
        <w:t>hear</w:t>
      </w:r>
      <w:r w:rsidRPr="00AC42B6">
        <w:rPr>
          <w:rFonts w:cs="Times New Roman"/>
          <w:color w:val="000000"/>
          <w:sz w:val="24"/>
          <w:szCs w:val="24"/>
        </w:rPr>
        <w:t xml:space="preserve"> the whole </w:t>
      </w:r>
      <w:r w:rsidRPr="00AC42B6" w:rsidR="00703EED">
        <w:rPr>
          <w:rFonts w:cs="Times New Roman"/>
          <w:color w:val="000000"/>
          <w:sz w:val="24"/>
          <w:szCs w:val="24"/>
        </w:rPr>
        <w:t>story</w:t>
      </w:r>
      <w:r w:rsidRPr="00AC42B6">
        <w:rPr>
          <w:rFonts w:cs="Times New Roman"/>
          <w:color w:val="000000"/>
          <w:sz w:val="24"/>
          <w:szCs w:val="24"/>
        </w:rPr>
        <w:t xml:space="preserve"> of how unreasonable the OVEC charges really are. </w:t>
      </w:r>
      <w:r w:rsidRPr="00AC42B6" w:rsidR="00703EED">
        <w:rPr>
          <w:rFonts w:cs="Times New Roman"/>
          <w:color w:val="000000"/>
          <w:sz w:val="24"/>
          <w:szCs w:val="24"/>
        </w:rPr>
        <w:t xml:space="preserve"> The PUCO should hear this evidence because it relates to an issue raised in the auditor’s report and in the PUCO’s RFP laying out the scope of this case.</w:t>
      </w:r>
    </w:p>
    <w:p w:rsidR="00CC62C2" w:rsidRPr="00AC42B6" w:rsidP="00CC62C2" w14:paraId="3911906E" w14:textId="77777777">
      <w:pPr>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When approving the OVEC subsidy charge, the PUCO relied on AEP Ohio’s analysis in concluding the OVEC charges would be a net credit for consumers.  Commissioner Trombold summarized this point as follows:</w:t>
      </w:r>
    </w:p>
    <w:p w:rsidR="00CC62C2" w:rsidRPr="00AC42B6" w:rsidP="00CC62C2" w14:paraId="71DEB023" w14:textId="77777777">
      <w:pPr>
        <w:ind w:left="1440" w:right="144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The PPA mechanism proposed by the Company is designed to operate as a financial hedge against such price volatility, wherein consumers pay more when market prices are low but pay less when market prices are high. </w:t>
      </w:r>
      <w:r w:rsidRPr="00AC42B6">
        <w:rPr>
          <w:rFonts w:ascii="Times New Roman" w:eastAsia="Times New Roman" w:hAnsi="Times New Roman" w:cs="Times New Roman"/>
          <w:i/>
          <w:iCs/>
          <w:color w:val="000000"/>
          <w:sz w:val="24"/>
          <w:szCs w:val="24"/>
        </w:rPr>
        <w:t xml:space="preserve">Based on the forecasts submitted by the </w:t>
      </w:r>
      <w:r w:rsidRPr="00AC42B6">
        <w:rPr>
          <w:rFonts w:ascii="Times New Roman" w:eastAsia="Times New Roman" w:hAnsi="Times New Roman" w:cs="Times New Roman"/>
          <w:i/>
          <w:iCs/>
          <w:color w:val="000000"/>
          <w:sz w:val="24"/>
          <w:szCs w:val="24"/>
        </w:rPr>
        <w:br/>
        <w:t>Company</w:t>
      </w:r>
      <w:r w:rsidRPr="00AC42B6">
        <w:rPr>
          <w:rFonts w:ascii="Times New Roman" w:eastAsia="Times New Roman" w:hAnsi="Times New Roman" w:cs="Times New Roman"/>
          <w:color w:val="000000"/>
          <w:sz w:val="24"/>
          <w:szCs w:val="24"/>
        </w:rPr>
        <w:t xml:space="preserve"> and evidence in the record, it is my clear expectation, just as it is Commissioner Haque's, that </w:t>
      </w:r>
      <w:r w:rsidRPr="00AC42B6">
        <w:rPr>
          <w:rFonts w:ascii="Times New Roman" w:eastAsia="Times New Roman" w:hAnsi="Times New Roman" w:cs="Times New Roman"/>
          <w:i/>
          <w:iCs/>
          <w:color w:val="000000"/>
          <w:sz w:val="24"/>
          <w:szCs w:val="24"/>
        </w:rPr>
        <w:t>the PPA rider approved today will result in a credit (i.e. benefit) to ratepayers over the next eight years.</w:t>
      </w:r>
      <w:r>
        <w:rPr>
          <w:rStyle w:val="FootnoteReference"/>
          <w:rFonts w:ascii="Times New Roman" w:eastAsia="Times New Roman" w:hAnsi="Times New Roman" w:cs="Times New Roman"/>
          <w:color w:val="000000"/>
          <w:sz w:val="24"/>
          <w:szCs w:val="24"/>
        </w:rPr>
        <w:footnoteReference w:id="15"/>
      </w:r>
      <w:r w:rsidRPr="00AC42B6">
        <w:rPr>
          <w:rFonts w:ascii="Times New Roman" w:eastAsia="Times New Roman" w:hAnsi="Times New Roman" w:cs="Times New Roman"/>
          <w:color w:val="000000"/>
          <w:sz w:val="24"/>
          <w:szCs w:val="24"/>
        </w:rPr>
        <w:t xml:space="preserve"> </w:t>
      </w:r>
    </w:p>
    <w:p w:rsidR="00CC62C2" w:rsidRPr="00AC42B6" w:rsidP="00CC62C2" w14:paraId="0718294D" w14:textId="77777777">
      <w:pPr>
        <w:ind w:left="1440" w:right="1440"/>
        <w:rPr>
          <w:rFonts w:ascii="Times New Roman" w:eastAsia="Times New Roman" w:hAnsi="Times New Roman" w:cs="Times New Roman"/>
          <w:color w:val="000000"/>
          <w:sz w:val="24"/>
          <w:szCs w:val="24"/>
        </w:rPr>
      </w:pPr>
    </w:p>
    <w:p w:rsidR="00CC62C2" w:rsidRPr="00AC42B6" w:rsidP="008775E4" w14:paraId="44F528BE" w14:textId="3C243D63">
      <w:pPr>
        <w:spacing w:line="480" w:lineRule="auto"/>
        <w:ind w:firstLine="720"/>
        <w:rPr>
          <w:rFonts w:ascii="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However, AEP’s analysis deserves a closer review. </w:t>
      </w:r>
      <w:r w:rsidRPr="00AC42B6" w:rsidR="004B7538">
        <w:rPr>
          <w:rFonts w:ascii="Times New Roman" w:eastAsia="Times New Roman" w:hAnsi="Times New Roman" w:cs="Times New Roman"/>
          <w:color w:val="000000"/>
          <w:sz w:val="24"/>
          <w:szCs w:val="24"/>
        </w:rPr>
        <w:t>LEI</w:t>
      </w:r>
      <w:r w:rsidRPr="00AC42B6" w:rsidR="00E773D4">
        <w:rPr>
          <w:rFonts w:ascii="Times New Roman" w:eastAsia="Times New Roman" w:hAnsi="Times New Roman" w:cs="Times New Roman"/>
          <w:color w:val="000000"/>
          <w:sz w:val="24"/>
          <w:szCs w:val="24"/>
        </w:rPr>
        <w:t>,</w:t>
      </w:r>
      <w:r w:rsidRPr="00AC42B6" w:rsidR="004B7538">
        <w:rPr>
          <w:rFonts w:ascii="Times New Roman" w:eastAsia="Times New Roman" w:hAnsi="Times New Roman" w:cs="Times New Roman"/>
          <w:color w:val="000000"/>
          <w:sz w:val="24"/>
          <w:szCs w:val="24"/>
        </w:rPr>
        <w:t xml:space="preserve"> </w:t>
      </w:r>
      <w:r w:rsidRPr="00AC42B6" w:rsidR="0040754D">
        <w:rPr>
          <w:rFonts w:ascii="Times New Roman" w:eastAsia="Times New Roman" w:hAnsi="Times New Roman" w:cs="Times New Roman"/>
          <w:color w:val="000000"/>
          <w:sz w:val="24"/>
          <w:szCs w:val="24"/>
        </w:rPr>
        <w:t xml:space="preserve">the PUCO’s auditor, discovered that </w:t>
      </w:r>
      <w:r w:rsidRPr="00AC42B6" w:rsidR="00E773D4">
        <w:rPr>
          <w:rFonts w:ascii="Times New Roman" w:eastAsia="Times New Roman" w:hAnsi="Times New Roman" w:cs="Times New Roman"/>
          <w:color w:val="000000"/>
          <w:sz w:val="24"/>
          <w:szCs w:val="24"/>
        </w:rPr>
        <w:t xml:space="preserve">earlier estimates of </w:t>
      </w:r>
      <w:r w:rsidRPr="00AC42B6" w:rsidR="004B7538">
        <w:rPr>
          <w:rFonts w:ascii="Times New Roman" w:eastAsia="Times New Roman" w:hAnsi="Times New Roman" w:cs="Times New Roman"/>
          <w:color w:val="000000"/>
          <w:sz w:val="24"/>
          <w:szCs w:val="24"/>
        </w:rPr>
        <w:t xml:space="preserve">the OVEC charges </w:t>
      </w:r>
      <w:r w:rsidRPr="00AC42B6">
        <w:rPr>
          <w:rFonts w:ascii="Times New Roman" w:eastAsia="Times New Roman" w:hAnsi="Times New Roman" w:cs="Times New Roman"/>
          <w:color w:val="000000"/>
          <w:sz w:val="24"/>
          <w:szCs w:val="24"/>
        </w:rPr>
        <w:t xml:space="preserve">were based on </w:t>
      </w:r>
      <w:r w:rsidRPr="00AC42B6" w:rsidR="00E773D4">
        <w:rPr>
          <w:rFonts w:ascii="Times New Roman" w:eastAsia="Times New Roman" w:hAnsi="Times New Roman" w:cs="Times New Roman"/>
          <w:color w:val="000000"/>
          <w:sz w:val="24"/>
          <w:szCs w:val="24"/>
        </w:rPr>
        <w:t xml:space="preserve">2010 </w:t>
      </w:r>
      <w:r w:rsidRPr="00AC42B6">
        <w:rPr>
          <w:rFonts w:ascii="Times New Roman" w:eastAsia="Times New Roman" w:hAnsi="Times New Roman" w:cs="Times New Roman"/>
          <w:color w:val="000000"/>
          <w:sz w:val="24"/>
          <w:szCs w:val="24"/>
        </w:rPr>
        <w:t xml:space="preserve">gas prices that since that time have </w:t>
      </w:r>
      <w:r w:rsidRPr="00AC42B6" w:rsidR="00E773D4">
        <w:rPr>
          <w:rFonts w:ascii="Times New Roman" w:eastAsia="Times New Roman" w:hAnsi="Times New Roman" w:cs="Times New Roman"/>
          <w:color w:val="000000"/>
          <w:sz w:val="24"/>
          <w:szCs w:val="24"/>
        </w:rPr>
        <w:t xml:space="preserve">greatly </w:t>
      </w:r>
      <w:r w:rsidRPr="00AC42B6">
        <w:rPr>
          <w:rFonts w:ascii="Times New Roman" w:eastAsia="Times New Roman" w:hAnsi="Times New Roman" w:cs="Times New Roman"/>
          <w:color w:val="000000"/>
          <w:sz w:val="24"/>
          <w:szCs w:val="24"/>
        </w:rPr>
        <w:t xml:space="preserve">decreased. </w:t>
      </w:r>
      <w:r w:rsidRPr="00AC42B6">
        <w:rPr>
          <w:rFonts w:ascii="Times New Roman" w:hAnsi="Times New Roman" w:cs="Times New Roman"/>
          <w:color w:val="000000"/>
          <w:sz w:val="24"/>
          <w:szCs w:val="24"/>
        </w:rPr>
        <w:t>LEI’s audit report states:</w:t>
      </w:r>
    </w:p>
    <w:p w:rsidR="00CC62C2" w:rsidRPr="00AC42B6" w:rsidP="00CC62C2" w14:paraId="0C28DC97" w14:textId="77777777">
      <w:pPr>
        <w:pStyle w:val="BodyText"/>
        <w:ind w:left="1440" w:right="1440"/>
        <w:rPr>
          <w:rFonts w:cs="Times New Roman"/>
          <w:color w:val="000000"/>
          <w:sz w:val="24"/>
          <w:szCs w:val="24"/>
        </w:rPr>
      </w:pPr>
      <w:r w:rsidRPr="00AC42B6">
        <w:rPr>
          <w:rFonts w:cs="Times New Roman"/>
          <w:color w:val="000000"/>
          <w:sz w:val="24"/>
          <w:szCs w:val="24"/>
        </w:rPr>
        <w:t>LEI’s LCOE [Levelized Cost of Entry] analysis…contrasts with the analysis provided by AEP Ohio in Summary of Benchmark Study…. The Benchmark Study results are based on Energy Information Administration data from 2010, which puts the levelized cost of energy from a CCGT at $96.53/MWh. This cost is much higher than LEI’s LCOE partly as the result of the assumed prices for natural gas used in the analysis. In the time since 2010, natural gas prices have declined, reducing the LCOE for new CCGTs.</w:t>
      </w:r>
      <w:r>
        <w:rPr>
          <w:rStyle w:val="FootnoteReference"/>
          <w:rFonts w:cs="Times New Roman"/>
          <w:color w:val="000000"/>
          <w:sz w:val="24"/>
          <w:szCs w:val="24"/>
        </w:rPr>
        <w:footnoteReference w:id="16"/>
      </w:r>
    </w:p>
    <w:p w:rsidR="00CC62C2" w:rsidRPr="00AC42B6" w:rsidP="004978B1" w14:paraId="16A33EFC" w14:textId="77777777">
      <w:pPr>
        <w:ind w:firstLine="720"/>
        <w:rPr>
          <w:rFonts w:ascii="Times New Roman" w:eastAsia="Times New Roman" w:hAnsi="Times New Roman" w:cs="Times New Roman"/>
          <w:color w:val="000000"/>
          <w:sz w:val="24"/>
          <w:szCs w:val="24"/>
        </w:rPr>
      </w:pPr>
    </w:p>
    <w:p w:rsidR="00CC62C2" w:rsidRPr="00AC42B6" w:rsidP="00E773D4" w14:paraId="0FB410E2" w14:textId="0C2FCE55">
      <w:pPr>
        <w:pStyle w:val="BodyText"/>
        <w:spacing w:line="493" w:lineRule="auto"/>
        <w:ind w:left="0" w:firstLine="720"/>
        <w:rPr>
          <w:rFonts w:cs="Times New Roman"/>
          <w:color w:val="000000"/>
          <w:sz w:val="24"/>
          <w:szCs w:val="24"/>
        </w:rPr>
      </w:pPr>
      <w:r w:rsidRPr="00AC42B6">
        <w:rPr>
          <w:rFonts w:cs="Times New Roman"/>
          <w:color w:val="000000"/>
          <w:sz w:val="24"/>
          <w:szCs w:val="24"/>
        </w:rPr>
        <w:t>The Auditor found that:</w:t>
      </w:r>
      <w:r w:rsidRPr="00AC42B6" w:rsidR="00E773D4">
        <w:rPr>
          <w:rFonts w:cs="Times New Roman"/>
          <w:color w:val="000000"/>
          <w:sz w:val="24"/>
          <w:szCs w:val="24"/>
        </w:rPr>
        <w:t xml:space="preserve"> </w:t>
      </w:r>
      <w:r w:rsidRPr="00AC42B6">
        <w:rPr>
          <w:rFonts w:cs="Times New Roman"/>
          <w:color w:val="000000"/>
          <w:sz w:val="24"/>
          <w:szCs w:val="24"/>
        </w:rPr>
        <w:t>“[s]ince the cost of the OVEC plants, at over $50/MWh is even higher than the levelized cost of building a new CCGT, it also implies that in a competitive context, the OVEC plants would not be viable on a going-forward basis.”</w:t>
      </w:r>
      <w:r>
        <w:rPr>
          <w:rStyle w:val="FootnoteReference"/>
          <w:rFonts w:cs="Times New Roman"/>
          <w:color w:val="000000"/>
          <w:sz w:val="24"/>
          <w:szCs w:val="24"/>
        </w:rPr>
        <w:footnoteReference w:id="17"/>
      </w:r>
      <w:r w:rsidRPr="00AC42B6">
        <w:rPr>
          <w:rFonts w:cs="Times New Roman"/>
          <w:color w:val="000000"/>
          <w:sz w:val="24"/>
          <w:szCs w:val="24"/>
        </w:rPr>
        <w:t xml:space="preserve"> However, </w:t>
      </w:r>
      <w:r w:rsidRPr="00AC42B6" w:rsidR="00102460">
        <w:rPr>
          <w:rFonts w:cs="Times New Roman"/>
          <w:color w:val="000000"/>
          <w:sz w:val="24"/>
          <w:szCs w:val="24"/>
        </w:rPr>
        <w:t>AEP</w:t>
      </w:r>
      <w:r w:rsidRPr="00AC42B6" w:rsidR="00F40B78">
        <w:rPr>
          <w:rFonts w:cs="Times New Roman"/>
          <w:color w:val="000000"/>
          <w:sz w:val="24"/>
          <w:szCs w:val="24"/>
        </w:rPr>
        <w:t xml:space="preserve"> Ohio</w:t>
      </w:r>
      <w:r w:rsidRPr="00AC42B6" w:rsidR="00102460">
        <w:rPr>
          <w:rFonts w:cs="Times New Roman"/>
          <w:color w:val="000000"/>
          <w:sz w:val="24"/>
          <w:szCs w:val="24"/>
        </w:rPr>
        <w:t xml:space="preserve">’s original analysis showed that, over the life of the PPA Rider, the OVEC charges would be a net credit for consumers.  </w:t>
      </w:r>
      <w:r w:rsidRPr="00AC42B6" w:rsidR="00D81285">
        <w:rPr>
          <w:rFonts w:cs="Times New Roman"/>
          <w:color w:val="000000"/>
          <w:sz w:val="24"/>
          <w:szCs w:val="24"/>
        </w:rPr>
        <w:tab/>
      </w:r>
    </w:p>
    <w:p w:rsidR="003F1448" w:rsidRPr="00AC42B6" w:rsidP="008775E4" w14:paraId="09F85E95" w14:textId="77777777">
      <w:pPr>
        <w:pStyle w:val="BodyText"/>
        <w:spacing w:line="493" w:lineRule="auto"/>
        <w:ind w:left="0" w:firstLine="720"/>
        <w:rPr>
          <w:rFonts w:cs="Times New Roman"/>
          <w:color w:val="000000"/>
          <w:sz w:val="24"/>
          <w:szCs w:val="24"/>
        </w:rPr>
      </w:pPr>
      <w:r w:rsidRPr="00AC42B6">
        <w:rPr>
          <w:rFonts w:cs="Times New Roman"/>
          <w:color w:val="000000"/>
          <w:sz w:val="24"/>
          <w:szCs w:val="24"/>
        </w:rPr>
        <w:t xml:space="preserve">The PUCO </w:t>
      </w:r>
      <w:r w:rsidRPr="00AC42B6" w:rsidR="001F1876">
        <w:rPr>
          <w:rFonts w:cs="Times New Roman"/>
          <w:color w:val="000000"/>
          <w:sz w:val="24"/>
          <w:szCs w:val="24"/>
        </w:rPr>
        <w:t>should</w:t>
      </w:r>
      <w:r w:rsidRPr="00AC42B6">
        <w:rPr>
          <w:rFonts w:cs="Times New Roman"/>
          <w:color w:val="000000"/>
          <w:sz w:val="24"/>
          <w:szCs w:val="24"/>
        </w:rPr>
        <w:t xml:space="preserve"> consider </w:t>
      </w:r>
      <w:r w:rsidRPr="00AC42B6" w:rsidR="008547E0">
        <w:rPr>
          <w:rFonts w:cs="Times New Roman"/>
          <w:color w:val="000000"/>
          <w:sz w:val="24"/>
          <w:szCs w:val="24"/>
        </w:rPr>
        <w:t xml:space="preserve">the </w:t>
      </w:r>
      <w:r w:rsidRPr="00AC42B6" w:rsidR="00F40B78">
        <w:rPr>
          <w:rFonts w:cs="Times New Roman"/>
          <w:color w:val="000000"/>
          <w:sz w:val="24"/>
          <w:szCs w:val="24"/>
        </w:rPr>
        <w:t>a</w:t>
      </w:r>
      <w:r w:rsidRPr="00AC42B6" w:rsidR="008547E0">
        <w:rPr>
          <w:rFonts w:cs="Times New Roman"/>
          <w:color w:val="000000"/>
          <w:sz w:val="24"/>
          <w:szCs w:val="24"/>
        </w:rPr>
        <w:t>uditor’s</w:t>
      </w:r>
      <w:r w:rsidRPr="00AC42B6" w:rsidR="00E7264F">
        <w:rPr>
          <w:rFonts w:cs="Times New Roman"/>
          <w:color w:val="000000"/>
          <w:sz w:val="24"/>
          <w:szCs w:val="24"/>
        </w:rPr>
        <w:t xml:space="preserve"> new information that “the OVEC plants would not be viable on a going-forward basis”</w:t>
      </w:r>
      <w:r>
        <w:rPr>
          <w:rStyle w:val="FootnoteReference"/>
          <w:rFonts w:cs="Times New Roman"/>
          <w:color w:val="000000"/>
          <w:sz w:val="24"/>
          <w:szCs w:val="24"/>
        </w:rPr>
        <w:footnoteReference w:id="18"/>
      </w:r>
      <w:r w:rsidRPr="00AC42B6">
        <w:rPr>
          <w:rFonts w:cs="Times New Roman"/>
          <w:color w:val="000000"/>
          <w:sz w:val="24"/>
          <w:szCs w:val="24"/>
        </w:rPr>
        <w:t xml:space="preserve"> </w:t>
      </w:r>
      <w:r w:rsidRPr="00AC42B6" w:rsidR="00E7264F">
        <w:rPr>
          <w:rFonts w:cs="Times New Roman"/>
          <w:color w:val="000000"/>
          <w:sz w:val="24"/>
          <w:szCs w:val="24"/>
        </w:rPr>
        <w:t xml:space="preserve">and how this is different from earlier projections of OVEC’s costs. </w:t>
      </w:r>
      <w:r w:rsidRPr="00AC42B6">
        <w:rPr>
          <w:rFonts w:cs="Times New Roman"/>
          <w:color w:val="000000"/>
          <w:sz w:val="24"/>
          <w:szCs w:val="24"/>
        </w:rPr>
        <w:t>This is part of the auditor’s report.  The PUCO’s request for proposal s</w:t>
      </w:r>
      <w:r w:rsidRPr="00AC42B6" w:rsidR="00445050">
        <w:rPr>
          <w:rFonts w:cs="Times New Roman"/>
          <w:color w:val="000000"/>
          <w:sz w:val="24"/>
          <w:szCs w:val="24"/>
        </w:rPr>
        <w:t>ought</w:t>
      </w:r>
      <w:r w:rsidRPr="00AC42B6">
        <w:rPr>
          <w:rFonts w:cs="Times New Roman"/>
          <w:color w:val="000000"/>
          <w:sz w:val="24"/>
          <w:szCs w:val="24"/>
        </w:rPr>
        <w:t xml:space="preserve"> an auditor to determine whether “the Company’s actions were in the best interest of retail ratepayers.”</w:t>
      </w:r>
      <w:r>
        <w:rPr>
          <w:rStyle w:val="FootnoteReference"/>
          <w:rFonts w:cs="Times New Roman"/>
          <w:color w:val="000000"/>
          <w:sz w:val="24"/>
          <w:szCs w:val="24"/>
        </w:rPr>
        <w:footnoteReference w:id="19"/>
      </w:r>
      <w:r w:rsidRPr="00AC42B6" w:rsidR="00F73C6F">
        <w:rPr>
          <w:rFonts w:cs="Times New Roman"/>
          <w:color w:val="000000"/>
          <w:sz w:val="24"/>
          <w:szCs w:val="24"/>
        </w:rPr>
        <w:t xml:space="preserve">  The discovery OCC seeks in the notice of deposition goes to this issue.</w:t>
      </w:r>
      <w:r w:rsidRPr="00AC42B6" w:rsidR="00A409FF">
        <w:rPr>
          <w:rFonts w:cs="Times New Roman"/>
          <w:color w:val="000000"/>
          <w:sz w:val="24"/>
          <w:szCs w:val="24"/>
        </w:rPr>
        <w:t xml:space="preserve">  This information is clearly within the scope of discovery in this case.</w:t>
      </w:r>
      <w:r w:rsidRPr="00AC42B6">
        <w:rPr>
          <w:rFonts w:cs="Times New Roman"/>
          <w:color w:val="000000"/>
          <w:sz w:val="24"/>
          <w:szCs w:val="24"/>
        </w:rPr>
        <w:t xml:space="preserve"> </w:t>
      </w:r>
    </w:p>
    <w:p w:rsidR="00445AA1" w:rsidRPr="00AC42B6" w:rsidP="00DC5ED3" w14:paraId="1851419D" w14:textId="77777777">
      <w:pPr>
        <w:pStyle w:val="BodyText"/>
        <w:spacing w:line="493" w:lineRule="auto"/>
        <w:ind w:left="0" w:firstLine="720"/>
        <w:rPr>
          <w:rFonts w:cs="Times New Roman"/>
          <w:color w:val="000000"/>
          <w:sz w:val="24"/>
          <w:szCs w:val="24"/>
        </w:rPr>
      </w:pPr>
      <w:r w:rsidRPr="00AC42B6">
        <w:rPr>
          <w:rFonts w:cs="Times New Roman"/>
          <w:color w:val="000000"/>
          <w:sz w:val="24"/>
          <w:szCs w:val="24"/>
        </w:rPr>
        <w:t>Considering what was deleted from the draft PUCO audit report, the PUCO will only hear this information if OCC presents it. AEP Ohio is asking the PUCO to prevent this evidence from being heard in the public domain.</w:t>
      </w:r>
    </w:p>
    <w:p w:rsidR="004978B1" w:rsidRPr="00AC42B6" w14:paraId="004EE274" w14:textId="77777777">
      <w:pPr>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br w:type="page"/>
      </w:r>
    </w:p>
    <w:p w:rsidR="00866DE8" w:rsidRPr="00AC42B6" w:rsidP="00092281" w14:paraId="6D523B61" w14:textId="77777777">
      <w:pPr>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In </w:t>
      </w:r>
      <w:r w:rsidRPr="00AC42B6" w:rsidR="00092281">
        <w:rPr>
          <w:rFonts w:ascii="Times New Roman" w:eastAsia="Times New Roman" w:hAnsi="Times New Roman" w:cs="Times New Roman"/>
          <w:i/>
          <w:iCs/>
          <w:color w:val="000000"/>
          <w:sz w:val="24"/>
          <w:szCs w:val="24"/>
        </w:rPr>
        <w:t xml:space="preserve">In </w:t>
      </w:r>
      <w:r w:rsidRPr="00AC42B6">
        <w:rPr>
          <w:rFonts w:ascii="Times New Roman" w:eastAsia="Times New Roman" w:hAnsi="Times New Roman" w:cs="Times New Roman"/>
          <w:i/>
          <w:iCs/>
          <w:color w:val="000000"/>
          <w:sz w:val="24"/>
          <w:szCs w:val="24"/>
        </w:rPr>
        <w:t>re Dominion Purchased Gas Adjustment Clause</w:t>
      </w:r>
      <w:r w:rsidRPr="00AC42B6" w:rsidR="00092281">
        <w:rPr>
          <w:rFonts w:ascii="Times New Roman" w:eastAsia="Times New Roman" w:hAnsi="Times New Roman" w:cs="Times New Roman"/>
          <w:i/>
          <w:iCs/>
          <w:color w:val="000000"/>
          <w:sz w:val="24"/>
          <w:szCs w:val="24"/>
        </w:rPr>
        <w:t xml:space="preserve">, </w:t>
      </w:r>
      <w:r w:rsidRPr="00AC42B6">
        <w:rPr>
          <w:rFonts w:ascii="Times New Roman" w:eastAsia="Times New Roman" w:hAnsi="Times New Roman" w:cs="Times New Roman"/>
          <w:color w:val="000000"/>
          <w:sz w:val="24"/>
          <w:szCs w:val="24"/>
        </w:rPr>
        <w:t>the PUCO ruled that OCC could obtain discovery of certain transactions going back ten years even though the case only involved a prudency review of Dominion’s gas costs for the two-year period ending October 31, 2005.</w:t>
      </w:r>
      <w:r>
        <w:rPr>
          <w:rStyle w:val="FootnoteReference"/>
          <w:rFonts w:ascii="Times New Roman" w:eastAsia="Times New Roman" w:hAnsi="Times New Roman" w:cs="Times New Roman"/>
          <w:color w:val="000000"/>
          <w:sz w:val="24"/>
          <w:szCs w:val="24"/>
        </w:rPr>
        <w:footnoteReference w:id="20"/>
      </w:r>
      <w:r w:rsidRPr="00AC42B6" w:rsidR="00092281">
        <w:rPr>
          <w:rFonts w:ascii="Times New Roman" w:eastAsia="Times New Roman" w:hAnsi="Times New Roman" w:cs="Times New Roman"/>
          <w:color w:val="000000"/>
          <w:sz w:val="24"/>
          <w:szCs w:val="24"/>
        </w:rPr>
        <w:t xml:space="preserve">  </w:t>
      </w:r>
      <w:r w:rsidRPr="00AC42B6">
        <w:rPr>
          <w:rFonts w:ascii="Times New Roman" w:eastAsia="Times New Roman" w:hAnsi="Times New Roman" w:cs="Times New Roman"/>
          <w:color w:val="000000"/>
          <w:sz w:val="24"/>
          <w:szCs w:val="24"/>
        </w:rPr>
        <w:t xml:space="preserve"> </w:t>
      </w:r>
    </w:p>
    <w:p w:rsidR="00866DE8" w:rsidRPr="00AC42B6" w:rsidP="00092281" w14:paraId="06BCDDC5" w14:textId="77777777">
      <w:pPr>
        <w:spacing w:line="480" w:lineRule="auto"/>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The Attorney Examiner reasoned that the sought-after discovery was relevant to whether the costs during the audit period (and during the prior audit periods) was just and reasonable.</w:t>
      </w:r>
      <w:r>
        <w:rPr>
          <w:rStyle w:val="FootnoteReference"/>
          <w:rFonts w:ascii="Times New Roman" w:eastAsia="Times New Roman" w:hAnsi="Times New Roman" w:cs="Times New Roman"/>
          <w:color w:val="000000"/>
          <w:sz w:val="24"/>
          <w:szCs w:val="24"/>
        </w:rPr>
        <w:footnoteReference w:id="21"/>
      </w:r>
      <w:r w:rsidRPr="00AC42B6">
        <w:rPr>
          <w:rFonts w:ascii="Times New Roman" w:eastAsia="Times New Roman" w:hAnsi="Times New Roman" w:cs="Times New Roman"/>
          <w:color w:val="000000"/>
          <w:sz w:val="24"/>
          <w:szCs w:val="24"/>
        </w:rPr>
        <w:t xml:space="preserve">  The </w:t>
      </w:r>
      <w:r w:rsidRPr="00AC42B6" w:rsidR="00092281">
        <w:rPr>
          <w:rFonts w:ascii="Times New Roman" w:eastAsia="Times New Roman" w:hAnsi="Times New Roman" w:cs="Times New Roman"/>
          <w:color w:val="000000"/>
          <w:sz w:val="24"/>
          <w:szCs w:val="24"/>
        </w:rPr>
        <w:t xml:space="preserve">ruling also discusses </w:t>
      </w:r>
      <w:r w:rsidRPr="00AC42B6">
        <w:rPr>
          <w:rFonts w:ascii="Times New Roman" w:eastAsia="Times New Roman" w:hAnsi="Times New Roman" w:cs="Times New Roman"/>
          <w:color w:val="000000"/>
          <w:sz w:val="24"/>
          <w:szCs w:val="24"/>
        </w:rPr>
        <w:t>several other cases where the PUCO allowed discovery of matters outside the audit period.</w:t>
      </w:r>
      <w:r>
        <w:rPr>
          <w:rStyle w:val="FootnoteReference"/>
          <w:rFonts w:ascii="Times New Roman" w:eastAsia="Times New Roman" w:hAnsi="Times New Roman" w:cs="Times New Roman"/>
          <w:color w:val="000000"/>
          <w:sz w:val="24"/>
          <w:szCs w:val="24"/>
        </w:rPr>
        <w:footnoteReference w:id="22"/>
      </w:r>
    </w:p>
    <w:p w:rsidR="00866DE8" w:rsidRPr="00AC42B6" w:rsidP="00D81285" w14:paraId="1694953A" w14:textId="2C7D5546">
      <w:pPr>
        <w:pStyle w:val="BodyText"/>
        <w:spacing w:line="493" w:lineRule="auto"/>
        <w:ind w:left="0"/>
        <w:rPr>
          <w:rFonts w:cs="Times New Roman"/>
          <w:color w:val="000000"/>
          <w:sz w:val="24"/>
          <w:szCs w:val="24"/>
        </w:rPr>
      </w:pPr>
      <w:r w:rsidRPr="00AC42B6">
        <w:rPr>
          <w:rFonts w:cs="Times New Roman"/>
          <w:color w:val="000000"/>
          <w:sz w:val="24"/>
          <w:szCs w:val="24"/>
        </w:rPr>
        <w:tab/>
      </w:r>
      <w:r w:rsidRPr="00AC42B6" w:rsidR="00E7264F">
        <w:rPr>
          <w:rFonts w:cs="Times New Roman"/>
          <w:color w:val="000000"/>
          <w:sz w:val="24"/>
          <w:szCs w:val="24"/>
        </w:rPr>
        <w:t>The PUCO’s order approving the PPA Rider noted</w:t>
      </w:r>
      <w:r w:rsidRPr="00AC42B6" w:rsidR="00501177">
        <w:rPr>
          <w:rFonts w:cs="Times New Roman"/>
          <w:color w:val="000000"/>
          <w:sz w:val="24"/>
          <w:szCs w:val="24"/>
        </w:rPr>
        <w:t>: “Our approval of AEP Ohio’s request was based on evidence in the record reflecting that the OVEC PPA alone is projected to provide ratepayers with a net credit of approximately $110 million…”</w:t>
      </w:r>
      <w:r>
        <w:rPr>
          <w:rStyle w:val="FootnoteReference"/>
          <w:rFonts w:cs="Times New Roman"/>
          <w:color w:val="000000"/>
          <w:sz w:val="24"/>
          <w:szCs w:val="24"/>
        </w:rPr>
        <w:footnoteReference w:id="23"/>
      </w:r>
      <w:r w:rsidRPr="00AC42B6" w:rsidR="00501177">
        <w:rPr>
          <w:rFonts w:cs="Times New Roman"/>
          <w:color w:val="000000"/>
          <w:sz w:val="24"/>
          <w:szCs w:val="24"/>
        </w:rPr>
        <w:t xml:space="preserve">  </w:t>
      </w:r>
      <w:r w:rsidRPr="00AC42B6" w:rsidR="00D62E5D">
        <w:rPr>
          <w:rFonts w:cs="Times New Roman"/>
          <w:color w:val="000000"/>
          <w:sz w:val="24"/>
          <w:szCs w:val="24"/>
        </w:rPr>
        <w:t>The PUCO is entitled to weigh those earlier cost projections against the actual costs.  The PUCO could conclude that current evidence shows that it is unlikely the PPA Rider will ever result in a credit</w:t>
      </w:r>
      <w:r w:rsidRPr="00AC42B6" w:rsidR="00E773D4">
        <w:rPr>
          <w:rFonts w:cs="Times New Roman"/>
          <w:color w:val="000000"/>
          <w:sz w:val="24"/>
          <w:szCs w:val="24"/>
        </w:rPr>
        <w:t xml:space="preserve"> </w:t>
      </w:r>
      <w:r w:rsidRPr="00AC42B6" w:rsidR="00D62E5D">
        <w:rPr>
          <w:rFonts w:cs="Times New Roman"/>
          <w:color w:val="000000"/>
          <w:sz w:val="24"/>
          <w:szCs w:val="24"/>
        </w:rPr>
        <w:t>and could disallow the OVEC costs on that basis.  As t</w:t>
      </w:r>
      <w:r w:rsidRPr="00AC42B6">
        <w:rPr>
          <w:rFonts w:cs="Times New Roman"/>
          <w:color w:val="000000"/>
          <w:sz w:val="24"/>
          <w:szCs w:val="24"/>
        </w:rPr>
        <w:t>he Ohio Supreme Court established this point in a prior AEP</w:t>
      </w:r>
      <w:r w:rsidRPr="00AC42B6" w:rsidR="00F40B78">
        <w:rPr>
          <w:rFonts w:cs="Times New Roman"/>
          <w:color w:val="000000"/>
          <w:sz w:val="24"/>
          <w:szCs w:val="24"/>
        </w:rPr>
        <w:t xml:space="preserve"> Ohio</w:t>
      </w:r>
      <w:r w:rsidRPr="00AC42B6">
        <w:rPr>
          <w:rFonts w:cs="Times New Roman"/>
          <w:color w:val="000000"/>
          <w:sz w:val="24"/>
          <w:szCs w:val="24"/>
        </w:rPr>
        <w:t xml:space="preserve"> case:</w:t>
      </w:r>
    </w:p>
    <w:p w:rsidR="0094438C" w:rsidRPr="00AC42B6" w:rsidP="0094438C" w14:paraId="5D2D908F" w14:textId="77777777">
      <w:pPr>
        <w:widowControl/>
        <w:ind w:left="1440" w:right="1440"/>
        <w:rPr>
          <w:rFonts w:ascii="Times New Roman" w:eastAsia="Times New Roman" w:hAnsi="Times New Roman" w:cs="Times New Roman"/>
          <w:color w:val="000000"/>
          <w:sz w:val="24"/>
          <w:szCs w:val="24"/>
        </w:rPr>
      </w:pPr>
      <w:r w:rsidRPr="00AC42B6">
        <w:rPr>
          <w:rFonts w:ascii="Times New Roman" w:eastAsia="Times New Roman" w:hAnsi="Times New Roman" w:cs="Times New Roman"/>
          <w:b/>
          <w:bCs/>
          <w:color w:val="000000"/>
          <w:sz w:val="24"/>
          <w:szCs w:val="24"/>
        </w:rPr>
        <w:t xml:space="preserve">The commission is entitled to modify a prior order, provided </w:t>
      </w:r>
      <w:r w:rsidRPr="00AC42B6">
        <w:rPr>
          <w:rFonts w:ascii="Times New Roman" w:eastAsia="Times New Roman" w:hAnsi="Times New Roman" w:cs="Times New Roman"/>
          <w:b/>
          <w:bCs/>
          <w:color w:val="000000"/>
          <w:sz w:val="24"/>
          <w:szCs w:val="24"/>
        </w:rPr>
        <w:br/>
        <w:t xml:space="preserve">that it explains the change and the new regulatory course is </w:t>
      </w:r>
      <w:r w:rsidRPr="00AC42B6">
        <w:rPr>
          <w:rFonts w:ascii="Times New Roman" w:eastAsia="Times New Roman" w:hAnsi="Times New Roman" w:cs="Times New Roman"/>
          <w:b/>
          <w:bCs/>
          <w:color w:val="000000"/>
          <w:sz w:val="24"/>
          <w:szCs w:val="24"/>
        </w:rPr>
        <w:br/>
        <w:t>permissible.</w:t>
      </w:r>
      <w:r w:rsidRPr="00AC42B6">
        <w:rPr>
          <w:rFonts w:ascii="Times New Roman" w:eastAsia="Times New Roman" w:hAnsi="Times New Roman" w:cs="Times New Roman"/>
          <w:color w:val="000000"/>
          <w:sz w:val="24"/>
          <w:szCs w:val="24"/>
        </w:rPr>
        <w:t xml:space="preserve"> </w:t>
      </w:r>
      <w:r w:rsidRPr="00AC42B6">
        <w:rPr>
          <w:rFonts w:ascii="Times New Roman" w:eastAsia="Times New Roman" w:hAnsi="Times New Roman" w:cs="Times New Roman"/>
          <w:color w:val="000000"/>
          <w:sz w:val="24"/>
          <w:szCs w:val="24"/>
        </w:rPr>
        <w:br/>
      </w:r>
      <w:r w:rsidRPr="00AC42B6">
        <w:rPr>
          <w:rFonts w:ascii="Times New Roman" w:eastAsia="Times New Roman" w:hAnsi="Times New Roman" w:cs="Times New Roman"/>
          <w:color w:val="000000"/>
          <w:sz w:val="24"/>
          <w:szCs w:val="24"/>
        </w:rPr>
        <w:br/>
        <w:t xml:space="preserve">We have instructed the commission to ‘respect its own precedents </w:t>
      </w:r>
      <w:r w:rsidRPr="00AC42B6">
        <w:rPr>
          <w:rFonts w:ascii="Times New Roman" w:eastAsia="Times New Roman" w:hAnsi="Times New Roman" w:cs="Times New Roman"/>
          <w:color w:val="000000"/>
          <w:sz w:val="24"/>
          <w:szCs w:val="24"/>
        </w:rPr>
        <w:br/>
        <w:t xml:space="preserve">in its decisions to assure the predictability which is essential in all </w:t>
      </w:r>
      <w:r w:rsidRPr="00AC42B6">
        <w:rPr>
          <w:rFonts w:ascii="Times New Roman" w:eastAsia="Times New Roman" w:hAnsi="Times New Roman" w:cs="Times New Roman"/>
          <w:color w:val="000000"/>
          <w:sz w:val="24"/>
          <w:szCs w:val="24"/>
        </w:rPr>
        <w:br/>
        <w:t xml:space="preserve">areas of the law, including administrative law.’ This does not </w:t>
      </w:r>
      <w:r w:rsidRPr="00AC42B6">
        <w:rPr>
          <w:rFonts w:ascii="Times New Roman" w:eastAsia="Times New Roman" w:hAnsi="Times New Roman" w:cs="Times New Roman"/>
          <w:color w:val="000000"/>
          <w:sz w:val="24"/>
          <w:szCs w:val="24"/>
        </w:rPr>
        <w:br/>
        <w:t xml:space="preserve">mean, however, that the commission may never revisit a particular </w:t>
      </w:r>
      <w:r w:rsidRPr="00AC42B6">
        <w:rPr>
          <w:rFonts w:ascii="Times New Roman" w:eastAsia="Times New Roman" w:hAnsi="Times New Roman" w:cs="Times New Roman"/>
          <w:color w:val="000000"/>
          <w:sz w:val="24"/>
          <w:szCs w:val="24"/>
        </w:rPr>
        <w:br/>
        <w:t xml:space="preserve">decision, only that if the commission does change course, it must </w:t>
      </w:r>
      <w:r w:rsidRPr="00AC42B6">
        <w:rPr>
          <w:rFonts w:ascii="Times New Roman" w:eastAsia="Times New Roman" w:hAnsi="Times New Roman" w:cs="Times New Roman"/>
          <w:color w:val="000000"/>
          <w:sz w:val="24"/>
          <w:szCs w:val="24"/>
        </w:rPr>
        <w:br/>
        <w:t xml:space="preserve">explain why. ‘When the commission has made a lawful order, it is </w:t>
      </w:r>
      <w:r w:rsidRPr="00AC42B6">
        <w:rPr>
          <w:rFonts w:ascii="Times New Roman" w:eastAsia="Times New Roman" w:hAnsi="Times New Roman" w:cs="Times New Roman"/>
          <w:color w:val="000000"/>
          <w:sz w:val="24"/>
          <w:szCs w:val="24"/>
        </w:rPr>
        <w:br/>
        <w:t xml:space="preserve">bound by certain institutional constraints to justify that change </w:t>
      </w:r>
      <w:r w:rsidRPr="00AC42B6">
        <w:rPr>
          <w:rFonts w:ascii="Times New Roman" w:eastAsia="Times New Roman" w:hAnsi="Times New Roman" w:cs="Times New Roman"/>
          <w:color w:val="000000"/>
          <w:sz w:val="24"/>
          <w:szCs w:val="24"/>
        </w:rPr>
        <w:br/>
        <w:t xml:space="preserve">before such order may be changed or modified.’ The court has not </w:t>
      </w:r>
      <w:r w:rsidRPr="00AC42B6">
        <w:rPr>
          <w:rFonts w:ascii="Times New Roman" w:eastAsia="Times New Roman" w:hAnsi="Times New Roman" w:cs="Times New Roman"/>
          <w:color w:val="000000"/>
          <w:sz w:val="24"/>
          <w:szCs w:val="24"/>
        </w:rPr>
        <w:br/>
        <w:t xml:space="preserve">set the explanatory hurdle very high. In a case in which the </w:t>
      </w:r>
      <w:r w:rsidRPr="00AC42B6">
        <w:rPr>
          <w:rFonts w:ascii="Times New Roman" w:eastAsia="Times New Roman" w:hAnsi="Times New Roman" w:cs="Times New Roman"/>
          <w:color w:val="000000"/>
          <w:sz w:val="24"/>
          <w:szCs w:val="24"/>
        </w:rPr>
        <w:br/>
        <w:t xml:space="preserve">commission did not follow its earlier precedent, we said that if the </w:t>
      </w:r>
      <w:r w:rsidRPr="00AC42B6">
        <w:rPr>
          <w:rFonts w:ascii="Times New Roman" w:eastAsia="Times New Roman" w:hAnsi="Times New Roman" w:cs="Times New Roman"/>
          <w:color w:val="000000"/>
          <w:sz w:val="24"/>
          <w:szCs w:val="24"/>
        </w:rPr>
        <w:br/>
        <w:t xml:space="preserve">commission had put ‘[a] few simple sentences’ in its order to </w:t>
      </w:r>
      <w:r w:rsidRPr="00AC42B6">
        <w:rPr>
          <w:rFonts w:ascii="Times New Roman" w:eastAsia="Times New Roman" w:hAnsi="Times New Roman" w:cs="Times New Roman"/>
          <w:color w:val="000000"/>
          <w:sz w:val="24"/>
          <w:szCs w:val="24"/>
        </w:rPr>
        <w:br/>
        <w:t xml:space="preserve">explain why the earlier case was no longer controlling, it would </w:t>
      </w:r>
      <w:r w:rsidRPr="00AC42B6">
        <w:rPr>
          <w:rFonts w:ascii="Times New Roman" w:eastAsia="Times New Roman" w:hAnsi="Times New Roman" w:cs="Times New Roman"/>
          <w:color w:val="000000"/>
          <w:sz w:val="24"/>
          <w:szCs w:val="24"/>
        </w:rPr>
        <w:br/>
        <w:t>have been sufficient.</w:t>
      </w:r>
      <w:r>
        <w:rPr>
          <w:rStyle w:val="FootnoteReference"/>
          <w:rFonts w:ascii="Times New Roman" w:eastAsia="Times New Roman" w:hAnsi="Times New Roman" w:cs="Times New Roman"/>
          <w:color w:val="000000"/>
          <w:sz w:val="24"/>
          <w:szCs w:val="24"/>
        </w:rPr>
        <w:footnoteReference w:id="24"/>
      </w:r>
      <w:r w:rsidRPr="00AC42B6">
        <w:rPr>
          <w:rFonts w:ascii="Times New Roman" w:eastAsia="Times New Roman" w:hAnsi="Times New Roman" w:cs="Times New Roman"/>
          <w:color w:val="000000"/>
          <w:sz w:val="24"/>
          <w:szCs w:val="24"/>
        </w:rPr>
        <w:t xml:space="preserve"> </w:t>
      </w:r>
    </w:p>
    <w:p w:rsidR="00BF28E1" w:rsidRPr="00AC42B6" w:rsidP="00BF28E1" w14:paraId="380FAA85" w14:textId="77777777">
      <w:pPr>
        <w:widowControl/>
        <w:ind w:right="1440"/>
        <w:rPr>
          <w:rFonts w:ascii="Times New Roman" w:eastAsia="Times New Roman" w:hAnsi="Times New Roman" w:cs="Times New Roman"/>
          <w:b/>
          <w:bCs/>
          <w:color w:val="000000"/>
          <w:sz w:val="24"/>
          <w:szCs w:val="24"/>
        </w:rPr>
      </w:pPr>
    </w:p>
    <w:p w:rsidR="00A41262" w:rsidRPr="00AC42B6" w:rsidP="00A41262" w14:paraId="4C0D91B9"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The discovery OCC seeks goes to the point that the OVEC rider will never act as a bill credit; therefore, the PPA Rider mechanism is illusory and is unjust and unreasonable.  Then-PUCO Chair Haque addressed this point when the PUCO originally approved the OVEC charges:</w:t>
      </w:r>
    </w:p>
    <w:p w:rsidR="00A41262" w:rsidRPr="00AC42B6" w:rsidP="00A409FF" w14:paraId="3F9C4524" w14:textId="77777777">
      <w:pPr>
        <w:widowControl/>
        <w:ind w:left="1440" w:right="1440"/>
        <w:rPr>
          <w:rFonts w:ascii="Times New Roman" w:eastAsia="Times New Roman" w:hAnsi="Times New Roman" w:cs="Times New Roman"/>
          <w:i/>
          <w:iCs/>
          <w:color w:val="000000"/>
          <w:sz w:val="24"/>
          <w:szCs w:val="24"/>
        </w:rPr>
      </w:pPr>
      <w:r w:rsidRPr="00AC42B6">
        <w:rPr>
          <w:rFonts w:ascii="Times New Roman" w:eastAsia="Times New Roman" w:hAnsi="Times New Roman" w:cs="Times New Roman"/>
          <w:color w:val="000000"/>
          <w:sz w:val="24"/>
          <w:szCs w:val="24"/>
        </w:rPr>
        <w:t>After a period of charges, I expect to see credits from the PPA riders. I'm not going to give definitive timelines, but that is my expectation. If this mechanism is truly a hedge, wherein consumers will pay w</w:t>
      </w:r>
      <w:r w:rsidRPr="00AC42B6" w:rsidR="00A409FF">
        <w:rPr>
          <w:rFonts w:ascii="Times New Roman" w:eastAsia="Times New Roman" w:hAnsi="Times New Roman" w:cs="Times New Roman"/>
          <w:color w:val="000000"/>
          <w:sz w:val="24"/>
          <w:szCs w:val="24"/>
        </w:rPr>
        <w:t>hen</w:t>
      </w:r>
      <w:r w:rsidRPr="00AC42B6">
        <w:rPr>
          <w:rFonts w:ascii="Times New Roman" w:eastAsia="Times New Roman" w:hAnsi="Times New Roman" w:cs="Times New Roman"/>
          <w:color w:val="000000"/>
          <w:sz w:val="24"/>
          <w:szCs w:val="24"/>
        </w:rPr>
        <w:t xml:space="preserve"> market prices are low, but will be credited money back when market prices are high, then what exactly is the point of the hedge if ratepayers never experience the credits? If ratepayers never experience the credits, then </w:t>
      </w:r>
      <w:r w:rsidRPr="00AC42B6">
        <w:rPr>
          <w:rFonts w:ascii="Times New Roman" w:eastAsia="Times New Roman" w:hAnsi="Times New Roman" w:cs="Times New Roman"/>
          <w:i/>
          <w:iCs/>
          <w:color w:val="000000"/>
          <w:sz w:val="24"/>
          <w:szCs w:val="24"/>
        </w:rPr>
        <w:t>the PPA rider mechanism would then act as a somewhat illusory insurance policy.</w:t>
      </w:r>
      <w:r>
        <w:rPr>
          <w:rStyle w:val="FootnoteReference"/>
          <w:rFonts w:ascii="Times New Roman" w:eastAsia="Times New Roman" w:hAnsi="Times New Roman" w:cs="Times New Roman"/>
          <w:i/>
          <w:iCs/>
          <w:color w:val="000000"/>
          <w:sz w:val="24"/>
          <w:szCs w:val="24"/>
        </w:rPr>
        <w:footnoteReference w:id="25"/>
      </w:r>
      <w:r w:rsidRPr="00AC42B6" w:rsidR="0087522A">
        <w:rPr>
          <w:rFonts w:ascii="Times New Roman" w:eastAsia="Times New Roman" w:hAnsi="Times New Roman" w:cs="Times New Roman"/>
          <w:i/>
          <w:iCs/>
          <w:color w:val="000000"/>
          <w:sz w:val="24"/>
          <w:szCs w:val="24"/>
        </w:rPr>
        <w:tab/>
      </w:r>
    </w:p>
    <w:p w:rsidR="00A409FF" w:rsidRPr="00AC42B6" w:rsidP="00A409FF" w14:paraId="6915553C" w14:textId="77777777">
      <w:pPr>
        <w:widowControl/>
        <w:ind w:left="1440" w:right="1440"/>
        <w:rPr>
          <w:rFonts w:ascii="Times New Roman" w:eastAsia="Times New Roman" w:hAnsi="Times New Roman" w:cs="Times New Roman"/>
          <w:color w:val="000000"/>
          <w:sz w:val="24"/>
          <w:szCs w:val="24"/>
        </w:rPr>
      </w:pPr>
    </w:p>
    <w:p w:rsidR="00D22AD3" w:rsidRPr="00AC42B6" w:rsidP="00D22AD3" w14:paraId="7273D2DC" w14:textId="77777777">
      <w:pPr>
        <w:widowControl/>
        <w:spacing w:line="480" w:lineRule="auto"/>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b/>
        <w:t>The discovery OCC seeks goes to whether the OVEC charges will ever result in a credit for consumers.  The PUCO is entitled to consider this evidence because, as Commissioner Haque noted, if the OVEC charges do not result in a net credit then it is an illusory insurance policy and would therefore be unjust and unreasonable.</w:t>
      </w:r>
    </w:p>
    <w:p w:rsidR="00B0728C" w:rsidRPr="00AC42B6" w:rsidP="00D22AD3" w14:paraId="606D299F" w14:textId="2C965AF7">
      <w:pPr>
        <w:widowControl/>
        <w:spacing w:line="480" w:lineRule="auto"/>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b/>
        <w:t>When the PUCO originally approved AEP Ohio’s PPA Rider</w:t>
      </w:r>
      <w:r w:rsidRPr="00AC42B6" w:rsidR="00B35DBD">
        <w:rPr>
          <w:rFonts w:ascii="Times New Roman" w:eastAsia="Times New Roman" w:hAnsi="Times New Roman" w:cs="Times New Roman"/>
          <w:color w:val="000000"/>
          <w:sz w:val="24"/>
          <w:szCs w:val="24"/>
        </w:rPr>
        <w:t xml:space="preserve"> in an ESP case</w:t>
      </w:r>
      <w:r w:rsidRPr="00AC42B6">
        <w:rPr>
          <w:rFonts w:ascii="Times New Roman" w:eastAsia="Times New Roman" w:hAnsi="Times New Roman" w:cs="Times New Roman"/>
          <w:color w:val="000000"/>
          <w:sz w:val="24"/>
          <w:szCs w:val="24"/>
        </w:rPr>
        <w:t>, OCC argued that the costs of the PPA Rider</w:t>
      </w:r>
      <w:r w:rsidRPr="00AC42B6" w:rsidR="00415F3E">
        <w:rPr>
          <w:rFonts w:ascii="Times New Roman" w:eastAsia="Times New Roman" w:hAnsi="Times New Roman" w:cs="Times New Roman"/>
          <w:color w:val="000000"/>
          <w:sz w:val="24"/>
          <w:szCs w:val="24"/>
        </w:rPr>
        <w:t xml:space="preserve"> </w:t>
      </w:r>
      <w:r w:rsidRPr="00AC42B6">
        <w:rPr>
          <w:rFonts w:ascii="Times New Roman" w:eastAsia="Times New Roman" w:hAnsi="Times New Roman" w:cs="Times New Roman"/>
          <w:color w:val="000000"/>
          <w:sz w:val="24"/>
          <w:szCs w:val="24"/>
        </w:rPr>
        <w:t>would render the ESP too costly such that it was not “more favorable in the aggregate” than a market-rate offer.</w:t>
      </w:r>
      <w:r>
        <w:rPr>
          <w:rStyle w:val="FootnoteReference"/>
          <w:rFonts w:ascii="Times New Roman" w:eastAsia="Times New Roman" w:hAnsi="Times New Roman" w:cs="Times New Roman"/>
          <w:color w:val="000000"/>
          <w:sz w:val="24"/>
          <w:szCs w:val="24"/>
        </w:rPr>
        <w:footnoteReference w:id="26"/>
      </w:r>
      <w:r w:rsidRPr="00AC42B6" w:rsidR="00826301">
        <w:rPr>
          <w:rFonts w:ascii="Times New Roman" w:eastAsia="Times New Roman" w:hAnsi="Times New Roman" w:cs="Times New Roman"/>
          <w:color w:val="000000"/>
          <w:sz w:val="24"/>
          <w:szCs w:val="24"/>
        </w:rPr>
        <w:t xml:space="preserve">  The premise for </w:t>
      </w:r>
      <w:r w:rsidRPr="00AC42B6" w:rsidR="00E915D4">
        <w:rPr>
          <w:rFonts w:ascii="Times New Roman" w:eastAsia="Times New Roman" w:hAnsi="Times New Roman" w:cs="Times New Roman"/>
          <w:color w:val="000000"/>
          <w:sz w:val="24"/>
          <w:szCs w:val="24"/>
        </w:rPr>
        <w:t>the PUCO’s approval of the PPA Rider was that the rider’s costs were subject to approval in the next ESP case and the PUCO would determine at that time whether the ESP costs were more favorable in the aggregate than the market-rate option.</w:t>
      </w:r>
      <w:r w:rsidRPr="00AC42B6" w:rsidR="00A5652C">
        <w:rPr>
          <w:rFonts w:ascii="Times New Roman" w:eastAsia="Times New Roman" w:hAnsi="Times New Roman" w:cs="Times New Roman"/>
          <w:color w:val="000000"/>
          <w:sz w:val="24"/>
          <w:szCs w:val="24"/>
        </w:rPr>
        <w:t xml:space="preserve">  As the PUCO’s Merit Brief notes in OCC’s appeal of the ESP to the Supreme Court of Ohio:</w:t>
      </w:r>
    </w:p>
    <w:p w:rsidR="00A5652C" w:rsidRPr="00AC42B6" w:rsidP="00DC5ED3" w14:paraId="56E2A196" w14:textId="77777777">
      <w:pPr>
        <w:widowControl/>
        <w:tabs>
          <w:tab w:val="left" w:pos="8010"/>
        </w:tabs>
        <w:ind w:left="1440" w:right="144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Finally, with respect to costs associated with future filings required by the stipulation, the Commission properly found that OCC’s concerns were premature, The future filings are only commitments for future approval, not modifications to the existing ESP.  The Commission will consider any such costs, if they are approved for recovery, in AEP Ohio’s next ESP proceeding, when the ESP/MRO test is applied.</w:t>
      </w:r>
      <w:r>
        <w:rPr>
          <w:rStyle w:val="FootnoteReference"/>
          <w:rFonts w:ascii="Times New Roman" w:eastAsia="Times New Roman" w:hAnsi="Times New Roman" w:cs="Times New Roman"/>
          <w:color w:val="000000"/>
          <w:sz w:val="24"/>
          <w:szCs w:val="24"/>
        </w:rPr>
        <w:footnoteReference w:id="27"/>
      </w:r>
    </w:p>
    <w:p w:rsidR="00A5652C" w:rsidRPr="00AC42B6" w:rsidP="00A5652C" w14:paraId="4F5DD5C0" w14:textId="77777777">
      <w:pPr>
        <w:widowControl/>
        <w:rPr>
          <w:rFonts w:ascii="Times New Roman" w:eastAsia="Times New Roman" w:hAnsi="Times New Roman" w:cs="Times New Roman"/>
          <w:color w:val="000000"/>
          <w:sz w:val="24"/>
          <w:szCs w:val="24"/>
        </w:rPr>
      </w:pPr>
    </w:p>
    <w:p w:rsidR="00815321" w:rsidRPr="00AC42B6" w:rsidP="00815321" w14:paraId="5DDE13EB" w14:textId="77777777">
      <w:pPr>
        <w:widowControl/>
        <w:spacing w:line="480" w:lineRule="auto"/>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b/>
        <w:t>The Supreme Court confirmed this point when it affirmed the PUCO’s ruling approving the ESP: “the renewable-energy projects at issue were to be developed in the future, and the commission would determine</w:t>
      </w:r>
      <w:r w:rsidRPr="00AC42B6" w:rsidR="00CC07B9">
        <w:rPr>
          <w:rFonts w:ascii="Times New Roman" w:eastAsia="Times New Roman" w:hAnsi="Times New Roman" w:cs="Times New Roman"/>
          <w:color w:val="000000"/>
          <w:sz w:val="24"/>
          <w:szCs w:val="24"/>
        </w:rPr>
        <w:t xml:space="preserve"> any cost recovery</w:t>
      </w:r>
      <w:r w:rsidRPr="00AC42B6">
        <w:rPr>
          <w:rFonts w:ascii="Times New Roman" w:eastAsia="Times New Roman" w:hAnsi="Times New Roman" w:cs="Times New Roman"/>
          <w:color w:val="000000"/>
          <w:sz w:val="24"/>
          <w:szCs w:val="24"/>
        </w:rPr>
        <w:t xml:space="preserve"> [under the PPA Rider] </w:t>
      </w:r>
      <w:r w:rsidRPr="00AC42B6" w:rsidR="00CC07B9">
        <w:rPr>
          <w:rFonts w:ascii="Times New Roman" w:eastAsia="Times New Roman" w:hAnsi="Times New Roman" w:cs="Times New Roman"/>
          <w:color w:val="000000"/>
          <w:sz w:val="24"/>
          <w:szCs w:val="24"/>
        </w:rPr>
        <w:t>in Ohio Power’s next ESP case.”</w:t>
      </w:r>
      <w:r>
        <w:rPr>
          <w:rStyle w:val="FootnoteReference"/>
          <w:rFonts w:ascii="Times New Roman" w:eastAsia="Times New Roman" w:hAnsi="Times New Roman" w:cs="Times New Roman"/>
          <w:color w:val="000000"/>
          <w:sz w:val="24"/>
          <w:szCs w:val="24"/>
        </w:rPr>
        <w:footnoteReference w:id="28"/>
      </w:r>
      <w:r w:rsidRPr="00AC42B6" w:rsidR="00C56DEC">
        <w:rPr>
          <w:rFonts w:ascii="Times New Roman" w:eastAsia="Times New Roman" w:hAnsi="Times New Roman" w:cs="Times New Roman"/>
          <w:color w:val="000000"/>
          <w:sz w:val="24"/>
          <w:szCs w:val="24"/>
        </w:rPr>
        <w:t xml:space="preserve">  </w:t>
      </w:r>
    </w:p>
    <w:p w:rsidR="00A5652C" w:rsidRPr="00AC42B6" w:rsidP="00291299" w14:paraId="2BAF112A" w14:textId="56D21DE1">
      <w:pPr>
        <w:widowControl/>
        <w:spacing w:line="480" w:lineRule="auto"/>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b/>
      </w:r>
      <w:r w:rsidRPr="00AC42B6" w:rsidR="00793E5D">
        <w:rPr>
          <w:rFonts w:ascii="Times New Roman" w:eastAsia="Times New Roman" w:hAnsi="Times New Roman" w:cs="Times New Roman"/>
          <w:color w:val="000000"/>
          <w:sz w:val="24"/>
          <w:szCs w:val="24"/>
        </w:rPr>
        <w:t xml:space="preserve"> OCC was unable to </w:t>
      </w:r>
      <w:r w:rsidRPr="00AC42B6">
        <w:rPr>
          <w:rFonts w:ascii="Times New Roman" w:eastAsia="Times New Roman" w:hAnsi="Times New Roman" w:cs="Times New Roman"/>
          <w:color w:val="000000"/>
          <w:sz w:val="24"/>
          <w:szCs w:val="24"/>
        </w:rPr>
        <w:t>present evidence of OVEC costs when the ESP was originally approved (because</w:t>
      </w:r>
      <w:r w:rsidRPr="00AC42B6" w:rsidR="00793E5D">
        <w:rPr>
          <w:rFonts w:ascii="Times New Roman" w:eastAsia="Times New Roman" w:hAnsi="Times New Roman" w:cs="Times New Roman"/>
          <w:color w:val="000000"/>
          <w:sz w:val="24"/>
          <w:szCs w:val="24"/>
        </w:rPr>
        <w:t xml:space="preserve"> the PUCO ruled</w:t>
      </w:r>
      <w:r w:rsidRPr="00AC42B6">
        <w:rPr>
          <w:rFonts w:ascii="Times New Roman" w:eastAsia="Times New Roman" w:hAnsi="Times New Roman" w:cs="Times New Roman"/>
          <w:color w:val="000000"/>
          <w:sz w:val="24"/>
          <w:szCs w:val="24"/>
        </w:rPr>
        <w:t xml:space="preserve"> it was premature – the actual costs were not known)</w:t>
      </w:r>
      <w:r w:rsidRPr="00AC42B6" w:rsidR="00414CD7">
        <w:rPr>
          <w:rFonts w:ascii="Times New Roman" w:eastAsia="Times New Roman" w:hAnsi="Times New Roman" w:cs="Times New Roman"/>
          <w:color w:val="000000"/>
          <w:sz w:val="24"/>
          <w:szCs w:val="24"/>
        </w:rPr>
        <w:t>.</w:t>
      </w:r>
      <w:r w:rsidRPr="00AC42B6">
        <w:rPr>
          <w:rFonts w:ascii="Times New Roman" w:eastAsia="Times New Roman" w:hAnsi="Times New Roman" w:cs="Times New Roman"/>
          <w:color w:val="000000"/>
          <w:sz w:val="24"/>
          <w:szCs w:val="24"/>
        </w:rPr>
        <w:t xml:space="preserve"> </w:t>
      </w:r>
      <w:r w:rsidRPr="00AC42B6" w:rsidR="00414CD7">
        <w:rPr>
          <w:rFonts w:ascii="Times New Roman" w:eastAsia="Times New Roman" w:hAnsi="Times New Roman" w:cs="Times New Roman"/>
          <w:color w:val="000000"/>
          <w:sz w:val="24"/>
          <w:szCs w:val="24"/>
        </w:rPr>
        <w:t>A</w:t>
      </w:r>
      <w:r w:rsidRPr="00AC42B6">
        <w:rPr>
          <w:rFonts w:ascii="Times New Roman" w:eastAsia="Times New Roman" w:hAnsi="Times New Roman" w:cs="Times New Roman"/>
          <w:color w:val="000000"/>
          <w:sz w:val="24"/>
          <w:szCs w:val="24"/>
        </w:rPr>
        <w:t xml:space="preserve">nd now that the actual costs are known, </w:t>
      </w:r>
      <w:r w:rsidRPr="00AC42B6" w:rsidR="00414CD7">
        <w:rPr>
          <w:rFonts w:ascii="Times New Roman" w:eastAsia="Times New Roman" w:hAnsi="Times New Roman" w:cs="Times New Roman"/>
          <w:color w:val="000000"/>
          <w:sz w:val="24"/>
          <w:szCs w:val="24"/>
        </w:rPr>
        <w:t xml:space="preserve">AEP Ohio argues that </w:t>
      </w:r>
      <w:r w:rsidRPr="00AC42B6">
        <w:rPr>
          <w:rFonts w:ascii="Times New Roman" w:eastAsia="Times New Roman" w:hAnsi="Times New Roman" w:cs="Times New Roman"/>
          <w:color w:val="000000"/>
          <w:sz w:val="24"/>
          <w:szCs w:val="24"/>
        </w:rPr>
        <w:t xml:space="preserve">OCC can’t present evidence of the actual costs vs. projected costs (because it’s too late – the PUCO already approved the ESP).  Under AEP Ohio’s approach, the PUCO would never be allowed to consider whether the actual OVEC costs </w:t>
      </w:r>
      <w:r w:rsidRPr="00AC42B6" w:rsidR="00793E5D">
        <w:rPr>
          <w:rFonts w:ascii="Times New Roman" w:eastAsia="Times New Roman" w:hAnsi="Times New Roman" w:cs="Times New Roman"/>
          <w:color w:val="000000"/>
          <w:sz w:val="24"/>
          <w:szCs w:val="24"/>
        </w:rPr>
        <w:t>are</w:t>
      </w:r>
      <w:r w:rsidRPr="00AC42B6">
        <w:rPr>
          <w:rFonts w:ascii="Times New Roman" w:eastAsia="Times New Roman" w:hAnsi="Times New Roman" w:cs="Times New Roman"/>
          <w:color w:val="000000"/>
          <w:sz w:val="24"/>
          <w:szCs w:val="24"/>
        </w:rPr>
        <w:t xml:space="preserve"> unreasonably higher than the </w:t>
      </w:r>
      <w:r w:rsidRPr="00AC42B6" w:rsidR="00793E5D">
        <w:rPr>
          <w:rFonts w:ascii="Times New Roman" w:eastAsia="Times New Roman" w:hAnsi="Times New Roman" w:cs="Times New Roman"/>
          <w:color w:val="000000"/>
          <w:sz w:val="24"/>
          <w:szCs w:val="24"/>
        </w:rPr>
        <w:t>original projections</w:t>
      </w:r>
      <w:r w:rsidRPr="00AC42B6" w:rsidR="00414CD7">
        <w:rPr>
          <w:rFonts w:ascii="Times New Roman" w:eastAsia="Times New Roman" w:hAnsi="Times New Roman" w:cs="Times New Roman"/>
          <w:color w:val="000000"/>
          <w:sz w:val="24"/>
          <w:szCs w:val="24"/>
        </w:rPr>
        <w:t xml:space="preserve">. </w:t>
      </w:r>
      <w:r w:rsidRPr="00AC42B6">
        <w:rPr>
          <w:rFonts w:ascii="Times New Roman" w:eastAsia="Times New Roman" w:hAnsi="Times New Roman" w:cs="Times New Roman"/>
          <w:color w:val="000000"/>
          <w:sz w:val="24"/>
          <w:szCs w:val="24"/>
        </w:rPr>
        <w:t xml:space="preserve"> </w:t>
      </w:r>
      <w:r w:rsidRPr="00AC42B6" w:rsidR="00793E5D">
        <w:rPr>
          <w:rFonts w:ascii="Times New Roman" w:eastAsia="Times New Roman" w:hAnsi="Times New Roman" w:cs="Times New Roman"/>
          <w:color w:val="000000"/>
          <w:sz w:val="24"/>
          <w:szCs w:val="24"/>
        </w:rPr>
        <w:t xml:space="preserve">This </w:t>
      </w:r>
      <w:r w:rsidRPr="00AC42B6" w:rsidR="00414CD7">
        <w:rPr>
          <w:rFonts w:ascii="Times New Roman" w:eastAsia="Times New Roman" w:hAnsi="Times New Roman" w:cs="Times New Roman"/>
          <w:color w:val="000000"/>
          <w:sz w:val="24"/>
          <w:szCs w:val="24"/>
        </w:rPr>
        <w:t xml:space="preserve">would prevent </w:t>
      </w:r>
      <w:r w:rsidRPr="00AC42B6" w:rsidR="00793E5D">
        <w:rPr>
          <w:rFonts w:ascii="Times New Roman" w:eastAsia="Times New Roman" w:hAnsi="Times New Roman" w:cs="Times New Roman"/>
          <w:color w:val="000000"/>
          <w:sz w:val="24"/>
          <w:szCs w:val="24"/>
        </w:rPr>
        <w:t xml:space="preserve">the PUCO from </w:t>
      </w:r>
      <w:r w:rsidRPr="00AC42B6" w:rsidR="00414CD7">
        <w:rPr>
          <w:rFonts w:ascii="Times New Roman" w:eastAsia="Times New Roman" w:hAnsi="Times New Roman" w:cs="Times New Roman"/>
          <w:color w:val="000000"/>
          <w:sz w:val="24"/>
          <w:szCs w:val="24"/>
        </w:rPr>
        <w:t>considering</w:t>
      </w:r>
      <w:r w:rsidRPr="00AC42B6">
        <w:rPr>
          <w:rFonts w:ascii="Times New Roman" w:eastAsia="Times New Roman" w:hAnsi="Times New Roman" w:cs="Times New Roman"/>
          <w:color w:val="000000"/>
          <w:sz w:val="24"/>
          <w:szCs w:val="24"/>
        </w:rPr>
        <w:t xml:space="preserve"> whether the PPA Rider really would </w:t>
      </w:r>
      <w:r w:rsidRPr="00AC42B6" w:rsidR="00E773D4">
        <w:rPr>
          <w:rFonts w:ascii="Times New Roman" w:eastAsia="Times New Roman" w:hAnsi="Times New Roman" w:cs="Times New Roman"/>
          <w:color w:val="000000"/>
          <w:sz w:val="24"/>
          <w:szCs w:val="24"/>
        </w:rPr>
        <w:t xml:space="preserve">provide any net credits for consumers to </w:t>
      </w:r>
      <w:r w:rsidRPr="00AC42B6">
        <w:rPr>
          <w:rFonts w:ascii="Times New Roman" w:eastAsia="Times New Roman" w:hAnsi="Times New Roman" w:cs="Times New Roman"/>
          <w:color w:val="000000"/>
          <w:sz w:val="24"/>
          <w:szCs w:val="24"/>
        </w:rPr>
        <w:t xml:space="preserve">act as a “hedge.”  </w:t>
      </w:r>
    </w:p>
    <w:p w:rsidR="00BF28E1" w:rsidRPr="00AC42B6" w:rsidP="00D7106D" w14:paraId="76323638"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The discovery OCC seeks goes to </w:t>
      </w:r>
      <w:r w:rsidRPr="00AC42B6" w:rsidR="00962B81">
        <w:rPr>
          <w:rFonts w:ascii="Times New Roman" w:eastAsia="Times New Roman" w:hAnsi="Times New Roman" w:cs="Times New Roman"/>
          <w:color w:val="000000"/>
          <w:sz w:val="24"/>
          <w:szCs w:val="24"/>
        </w:rPr>
        <w:t>earlier</w:t>
      </w:r>
      <w:r w:rsidRPr="00AC42B6" w:rsidR="00793E5D">
        <w:rPr>
          <w:rFonts w:ascii="Times New Roman" w:eastAsia="Times New Roman" w:hAnsi="Times New Roman" w:cs="Times New Roman"/>
          <w:color w:val="000000"/>
          <w:sz w:val="24"/>
          <w:szCs w:val="24"/>
        </w:rPr>
        <w:t xml:space="preserve"> projections of OVEC costs and it is relevant to the issue of whether the PPA Rider will really produce a net credit of approximately $110 million.   If the evidence shows this net credit will never occur, the PUCO could conclude that the OVEC costs are unjust and unreasonable.  </w:t>
      </w:r>
      <w:r w:rsidRPr="00AC42B6">
        <w:rPr>
          <w:rFonts w:ascii="Times New Roman" w:eastAsia="Times New Roman" w:hAnsi="Times New Roman" w:cs="Times New Roman"/>
          <w:color w:val="000000"/>
          <w:sz w:val="24"/>
          <w:szCs w:val="24"/>
        </w:rPr>
        <w:t>Prior PUCO cases establish that the PUCO can consider evidence from outside the audit period if it relates to whether the charges covered by the audit are just and reasonable.  The information OCC seeks go to this point and are a proper topic for discovery.  The PUCO should therefore overrule 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’s motion for protective order.</w:t>
      </w:r>
    </w:p>
    <w:p w:rsidR="003202D9" w:rsidRPr="00AC42B6" w:rsidP="007637E3" w14:paraId="7F570ADC" w14:textId="77777777">
      <w:pPr>
        <w:pStyle w:val="Heading3"/>
        <w:rPr>
          <w:rFonts w:ascii="Times New Roman" w:eastAsia="Times New Roman" w:hAnsi="Times New Roman" w:cs="Times New Roman"/>
        </w:rPr>
      </w:pPr>
      <w:bookmarkStart w:id="6" w:name="_Toc90912420"/>
      <w:r w:rsidRPr="00AC42B6">
        <w:rPr>
          <w:rFonts w:ascii="Times New Roman" w:eastAsia="Times New Roman" w:hAnsi="Times New Roman" w:cs="Times New Roman"/>
        </w:rPr>
        <w:t>The PUCO may properly consider actions by AEP</w:t>
      </w:r>
      <w:r w:rsidRPr="00AC42B6" w:rsidR="00291299">
        <w:rPr>
          <w:rFonts w:ascii="Times New Roman" w:eastAsia="Times New Roman" w:hAnsi="Times New Roman" w:cs="Times New Roman"/>
        </w:rPr>
        <w:t xml:space="preserve"> Ohio</w:t>
      </w:r>
      <w:r w:rsidRPr="00AC42B6">
        <w:rPr>
          <w:rFonts w:ascii="Times New Roman" w:eastAsia="Times New Roman" w:hAnsi="Times New Roman" w:cs="Times New Roman"/>
        </w:rPr>
        <w:t>’s parent company and affiliates in deciding whether the OVEC charges are just and reasonable.</w:t>
      </w:r>
      <w:bookmarkEnd w:id="6"/>
    </w:p>
    <w:p w:rsidR="00D7106D" w:rsidRPr="00AC42B6" w:rsidP="00490EC1" w14:paraId="49489853"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claims that it is entitled to a protective order </w:t>
      </w:r>
      <w:r w:rsidRPr="00AC42B6" w:rsidR="00B025A1">
        <w:rPr>
          <w:rFonts w:ascii="Times New Roman" w:eastAsia="Times New Roman" w:hAnsi="Times New Roman" w:cs="Times New Roman"/>
          <w:color w:val="000000"/>
          <w:sz w:val="24"/>
          <w:szCs w:val="24"/>
        </w:rPr>
        <w:t>for the following</w:t>
      </w:r>
      <w:r w:rsidRPr="00AC42B6">
        <w:rPr>
          <w:rFonts w:ascii="Times New Roman" w:eastAsia="Times New Roman" w:hAnsi="Times New Roman" w:cs="Times New Roman"/>
          <w:color w:val="000000"/>
          <w:sz w:val="24"/>
          <w:szCs w:val="24"/>
        </w:rPr>
        <w:t xml:space="preserve"> items because they relate to actions by 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’s parent company or affiliates</w:t>
      </w:r>
      <w:r w:rsidRPr="00AC42B6" w:rsidR="00B025A1">
        <w:rPr>
          <w:rFonts w:ascii="Times New Roman" w:eastAsia="Times New Roman" w:hAnsi="Times New Roman" w:cs="Times New Roman"/>
          <w:color w:val="000000"/>
          <w:sz w:val="24"/>
          <w:szCs w:val="24"/>
        </w:rPr>
        <w:t>:</w:t>
      </w:r>
      <w:r w:rsidRPr="00AC42B6" w:rsidR="00490EC1">
        <w:rPr>
          <w:rFonts w:ascii="Times New Roman" w:eastAsia="Times New Roman" w:hAnsi="Times New Roman" w:cs="Times New Roman"/>
          <w:color w:val="000000"/>
          <w:sz w:val="24"/>
          <w:szCs w:val="24"/>
        </w:rPr>
        <w:t xml:space="preserve"> </w:t>
      </w:r>
    </w:p>
    <w:p w:rsidR="00D7106D" w:rsidRPr="00AC42B6" w:rsidP="004978B1" w14:paraId="0108927B" w14:textId="77777777">
      <w:pPr>
        <w:pStyle w:val="ListParagraph"/>
        <w:widowControl/>
        <w:numPr>
          <w:ilvl w:val="0"/>
          <w:numId w:val="25"/>
        </w:numPr>
        <w:ind w:left="1440" w:hanging="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“How the OVEC plants or Inter-Company Power Agreement should be reflected in the AEP Sustainability Report.” (Notice of Deposition, Matter # 23 and Document Request # 27.)</w:t>
      </w:r>
    </w:p>
    <w:p w:rsidR="00D7106D" w:rsidRPr="00AC42B6" w:rsidP="004978B1" w14:paraId="40E8227E" w14:textId="77777777">
      <w:pPr>
        <w:widowControl/>
        <w:ind w:left="1440" w:hanging="720"/>
        <w:rPr>
          <w:rStyle w:val="markedcontent"/>
          <w:rFonts w:ascii="Times New Roman" w:hAnsi="Times New Roman" w:cs="Times New Roman"/>
          <w:sz w:val="24"/>
          <w:szCs w:val="24"/>
        </w:rPr>
      </w:pPr>
    </w:p>
    <w:p w:rsidR="00D7106D" w:rsidRPr="00AC42B6" w:rsidP="004978B1" w14:paraId="24802341" w14:textId="77777777">
      <w:pPr>
        <w:pStyle w:val="ListParagraph"/>
        <w:widowControl/>
        <w:numPr>
          <w:ilvl w:val="0"/>
          <w:numId w:val="25"/>
        </w:numPr>
        <w:ind w:left="1440" w:hanging="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w:t>
      </w:r>
      <w:r w:rsidRPr="00AC42B6" w:rsidR="00B6641C">
        <w:rPr>
          <w:rFonts w:ascii="Times New Roman" w:eastAsia="Times New Roman" w:hAnsi="Times New Roman" w:cs="Times New Roman"/>
          <w:color w:val="000000"/>
          <w:sz w:val="24"/>
          <w:szCs w:val="24"/>
        </w:rPr>
        <w:t>[T]</w:t>
      </w:r>
      <w:r w:rsidRPr="00AC42B6">
        <w:rPr>
          <w:rFonts w:ascii="Times New Roman" w:eastAsia="Times New Roman" w:hAnsi="Times New Roman" w:cs="Times New Roman"/>
          <w:color w:val="000000"/>
          <w:sz w:val="24"/>
          <w:szCs w:val="24"/>
        </w:rPr>
        <w:t>he policy or procedure relating to committing plants into the PJM or MISO Day-Ahead Energy Market that Ohio Power Company or any of its affiliates follows for any plants it owns in PJM or MISO.” (Notice of Deposition, Matter #16 and Document Request # 22.)</w:t>
      </w:r>
    </w:p>
    <w:p w:rsidR="00D7106D" w:rsidRPr="00AC42B6" w:rsidP="004978B1" w14:paraId="62D52DA2" w14:textId="77777777">
      <w:pPr>
        <w:widowControl/>
        <w:ind w:left="1440" w:hanging="720"/>
        <w:rPr>
          <w:rFonts w:ascii="Times New Roman" w:eastAsia="Times New Roman" w:hAnsi="Times New Roman" w:cs="Times New Roman"/>
          <w:color w:val="000000"/>
          <w:sz w:val="24"/>
          <w:szCs w:val="24"/>
        </w:rPr>
      </w:pPr>
    </w:p>
    <w:p w:rsidR="00B6641C" w:rsidRPr="00AC42B6" w:rsidP="004978B1" w14:paraId="27448276" w14:textId="77777777">
      <w:pPr>
        <w:pStyle w:val="ListParagraph"/>
        <w:widowControl/>
        <w:numPr>
          <w:ilvl w:val="0"/>
          <w:numId w:val="25"/>
        </w:numPr>
        <w:ind w:left="1440" w:hanging="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“Any financial analysis of projected PJM or MISO Energy Market revenues vs. variable operating cost plus shut-down and start-up costs that Ohio Power Company or any of its affiliates currently use to decide how to commit plants into the PJM or MISO Day-Ahead Energy Market.” (Id., Matter # 21 and Document Request # 25.)</w:t>
      </w:r>
    </w:p>
    <w:p w:rsidR="00B6641C" w:rsidRPr="00AC42B6" w:rsidP="00B6641C" w14:paraId="0A4D9DD8" w14:textId="77777777">
      <w:pPr>
        <w:pStyle w:val="ListParagraph"/>
        <w:rPr>
          <w:rFonts w:ascii="Times New Roman" w:eastAsia="Times New Roman" w:hAnsi="Times New Roman" w:cs="Times New Roman"/>
          <w:color w:val="000000"/>
          <w:sz w:val="24"/>
          <w:szCs w:val="24"/>
        </w:rPr>
      </w:pPr>
    </w:p>
    <w:p w:rsidR="00B6641C" w:rsidRPr="00AC42B6" w:rsidP="00B6641C" w14:paraId="5EAD2B0D"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objects to OCC’s discovery about the AEP Sustainability Report on the ground that the parent company is not the subject of this hearing and the Sustainability Report has nothing to do with this prudency review.  Neither objection is valid.</w:t>
      </w:r>
    </w:p>
    <w:p w:rsidR="00573BAE" w:rsidRPr="00AC42B6" w:rsidP="00B6641C" w14:paraId="34598BC8"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OCC’s discovery requests also seek information on 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’s affiliates’ policies and practices for committing generation into a regional transmission organization’s Day-Ahead Energy Market.  The auditor criticized 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for this practice.</w:t>
      </w:r>
      <w:r>
        <w:rPr>
          <w:rStyle w:val="FootnoteReference"/>
          <w:rFonts w:ascii="Times New Roman" w:eastAsia="Times New Roman" w:hAnsi="Times New Roman" w:cs="Times New Roman"/>
          <w:color w:val="000000"/>
          <w:sz w:val="24"/>
          <w:szCs w:val="24"/>
        </w:rPr>
        <w:footnoteReference w:id="29"/>
      </w:r>
      <w:r w:rsidRPr="00AC42B6" w:rsidR="00483B2B">
        <w:rPr>
          <w:rFonts w:ascii="Times New Roman" w:eastAsia="Times New Roman" w:hAnsi="Times New Roman" w:cs="Times New Roman"/>
          <w:color w:val="000000"/>
          <w:sz w:val="24"/>
          <w:szCs w:val="24"/>
        </w:rPr>
        <w:t xml:space="preserve">  If AEP</w:t>
      </w:r>
      <w:r w:rsidRPr="00AC42B6" w:rsidR="00291299">
        <w:rPr>
          <w:rFonts w:ascii="Times New Roman" w:eastAsia="Times New Roman" w:hAnsi="Times New Roman" w:cs="Times New Roman"/>
          <w:color w:val="000000"/>
          <w:sz w:val="24"/>
          <w:szCs w:val="24"/>
        </w:rPr>
        <w:t xml:space="preserve"> Ohio</w:t>
      </w:r>
      <w:r w:rsidRPr="00AC42B6" w:rsidR="00483B2B">
        <w:rPr>
          <w:rFonts w:ascii="Times New Roman" w:eastAsia="Times New Roman" w:hAnsi="Times New Roman" w:cs="Times New Roman"/>
          <w:color w:val="000000"/>
          <w:sz w:val="24"/>
          <w:szCs w:val="24"/>
        </w:rPr>
        <w:t>’s affiliates follow different policies and practices, then this would be relevant to whether AEP</w:t>
      </w:r>
      <w:r w:rsidRPr="00AC42B6" w:rsidR="00291299">
        <w:rPr>
          <w:rFonts w:ascii="Times New Roman" w:eastAsia="Times New Roman" w:hAnsi="Times New Roman" w:cs="Times New Roman"/>
          <w:color w:val="000000"/>
          <w:sz w:val="24"/>
          <w:szCs w:val="24"/>
        </w:rPr>
        <w:t xml:space="preserve"> Ohio</w:t>
      </w:r>
      <w:r w:rsidRPr="00AC42B6" w:rsidR="00483B2B">
        <w:rPr>
          <w:rFonts w:ascii="Times New Roman" w:eastAsia="Times New Roman" w:hAnsi="Times New Roman" w:cs="Times New Roman"/>
          <w:color w:val="000000"/>
          <w:sz w:val="24"/>
          <w:szCs w:val="24"/>
        </w:rPr>
        <w:t xml:space="preserve"> and OVEC acted prudently.</w:t>
      </w:r>
    </w:p>
    <w:p w:rsidR="00E87B77" w:rsidRPr="00AC42B6" w:rsidP="00E87B77" w14:paraId="6A544D5F" w14:textId="77777777">
      <w:pPr>
        <w:pStyle w:val="ListParagraph"/>
        <w:ind w:right="1440"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A prudent decision is defined as: </w:t>
      </w:r>
    </w:p>
    <w:p w:rsidR="00483B2B" w:rsidRPr="00AC42B6" w:rsidP="00E87B77" w14:paraId="3F292DEC" w14:textId="77777777">
      <w:pPr>
        <w:pStyle w:val="ListParagraph"/>
        <w:ind w:left="1440" w:right="1440"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br/>
        <w:t xml:space="preserve">One which reflects what a reasonable person would have done in </w:t>
      </w:r>
      <w:r w:rsidRPr="00AC42B6">
        <w:rPr>
          <w:rFonts w:ascii="Times New Roman" w:eastAsia="Times New Roman" w:hAnsi="Times New Roman" w:cs="Times New Roman"/>
          <w:color w:val="000000"/>
          <w:sz w:val="24"/>
          <w:szCs w:val="24"/>
        </w:rPr>
        <w:br/>
        <w:t xml:space="preserve">light of conditions and circumstances which were known or </w:t>
      </w:r>
      <w:r w:rsidRPr="00AC42B6">
        <w:rPr>
          <w:rFonts w:ascii="Times New Roman" w:eastAsia="Times New Roman" w:hAnsi="Times New Roman" w:cs="Times New Roman"/>
          <w:color w:val="000000"/>
          <w:sz w:val="24"/>
          <w:szCs w:val="24"/>
        </w:rPr>
        <w:br/>
        <w:t xml:space="preserve">reasonably should have been known at the time the decision was </w:t>
      </w:r>
      <w:r w:rsidRPr="00AC42B6">
        <w:rPr>
          <w:rFonts w:ascii="Times New Roman" w:eastAsia="Times New Roman" w:hAnsi="Times New Roman" w:cs="Times New Roman"/>
          <w:color w:val="000000"/>
          <w:sz w:val="24"/>
          <w:szCs w:val="24"/>
        </w:rPr>
        <w:br/>
        <w:t xml:space="preserve">made. The standard contemplates a retrospective, factual inquiry, </w:t>
      </w:r>
      <w:r w:rsidRPr="00AC42B6">
        <w:rPr>
          <w:rFonts w:ascii="Times New Roman" w:eastAsia="Times New Roman" w:hAnsi="Times New Roman" w:cs="Times New Roman"/>
          <w:color w:val="000000"/>
          <w:sz w:val="24"/>
          <w:szCs w:val="24"/>
        </w:rPr>
        <w:br/>
        <w:t xml:space="preserve">without the use of hindsight judgment, into the decision-making </w:t>
      </w:r>
      <w:r w:rsidRPr="00AC42B6">
        <w:rPr>
          <w:rFonts w:ascii="Times New Roman" w:eastAsia="Times New Roman" w:hAnsi="Times New Roman" w:cs="Times New Roman"/>
          <w:color w:val="000000"/>
          <w:sz w:val="24"/>
          <w:szCs w:val="24"/>
        </w:rPr>
        <w:br/>
        <w:t>process of the utility's management.</w:t>
      </w:r>
      <w:r>
        <w:rPr>
          <w:rStyle w:val="FootnoteReference"/>
          <w:rFonts w:ascii="Times New Roman" w:eastAsia="Times New Roman" w:hAnsi="Times New Roman" w:cs="Times New Roman"/>
          <w:color w:val="000000"/>
          <w:sz w:val="24"/>
          <w:szCs w:val="24"/>
        </w:rPr>
        <w:footnoteReference w:id="30"/>
      </w:r>
      <w:r w:rsidRPr="00AC42B6">
        <w:rPr>
          <w:rFonts w:ascii="Times New Roman" w:eastAsia="Times New Roman" w:hAnsi="Times New Roman" w:cs="Times New Roman"/>
          <w:color w:val="000000"/>
          <w:sz w:val="24"/>
          <w:szCs w:val="24"/>
        </w:rPr>
        <w:t xml:space="preserve"> </w:t>
      </w:r>
    </w:p>
    <w:p w:rsidR="00483B2B" w:rsidRPr="00AC42B6" w:rsidP="00483B2B" w14:paraId="29D38C9B" w14:textId="77777777">
      <w:pPr>
        <w:pStyle w:val="ListParagraph"/>
        <w:ind w:left="1440" w:right="1440" w:firstLine="720"/>
        <w:rPr>
          <w:rFonts w:ascii="Times New Roman" w:eastAsia="Times New Roman" w:hAnsi="Times New Roman" w:cs="Times New Roman"/>
          <w:color w:val="000000"/>
          <w:sz w:val="24"/>
          <w:szCs w:val="24"/>
        </w:rPr>
      </w:pPr>
    </w:p>
    <w:p w:rsidR="00483B2B" w:rsidRPr="00AC42B6" w:rsidP="002E72FB" w14:paraId="33C5CFEE" w14:textId="77777777">
      <w:pPr>
        <w:widowControl/>
        <w:spacing w:line="480" w:lineRule="auto"/>
        <w:rPr>
          <w:rFonts w:ascii="Times New Roman" w:eastAsia="Times New Roman" w:hAnsi="Times New Roman" w:cs="Times New Roman"/>
          <w:color w:val="000000"/>
          <w:sz w:val="24"/>
          <w:szCs w:val="24"/>
        </w:rPr>
      </w:pPr>
      <w:r w:rsidRPr="00AC42B6">
        <w:rPr>
          <w:rFonts w:ascii="Times New Roman" w:eastAsia="Times New Roman" w:hAnsi="Times New Roman" w:cs="Times New Roman"/>
          <w:b/>
          <w:bCs/>
          <w:color w:val="000000"/>
          <w:sz w:val="24"/>
          <w:szCs w:val="24"/>
        </w:rPr>
        <w:tab/>
      </w:r>
      <w:r w:rsidRPr="00AC42B6">
        <w:rPr>
          <w:rFonts w:ascii="Times New Roman" w:eastAsia="Times New Roman" w:hAnsi="Times New Roman" w:cs="Times New Roman"/>
          <w:color w:val="000000"/>
          <w:sz w:val="24"/>
          <w:szCs w:val="24"/>
        </w:rPr>
        <w:t xml:space="preserve">One way to establish prudency is to compare a utility’s actions to </w:t>
      </w:r>
      <w:r w:rsidRPr="00AC42B6" w:rsidR="002E72FB">
        <w:rPr>
          <w:rFonts w:ascii="Times New Roman" w:eastAsia="Times New Roman" w:hAnsi="Times New Roman" w:cs="Times New Roman"/>
          <w:color w:val="000000"/>
          <w:sz w:val="24"/>
          <w:szCs w:val="24"/>
        </w:rPr>
        <w:t xml:space="preserve">industry standards (i.e., other utilities’ practices).  This is a common practice, as shown by </w:t>
      </w:r>
      <w:r w:rsidRPr="00AC42B6" w:rsidR="00E87B77">
        <w:rPr>
          <w:rFonts w:ascii="Times New Roman" w:eastAsia="Times New Roman" w:hAnsi="Times New Roman" w:cs="Times New Roman"/>
          <w:color w:val="000000"/>
          <w:sz w:val="24"/>
          <w:szCs w:val="24"/>
        </w:rPr>
        <w:t>AEP</w:t>
      </w:r>
      <w:r w:rsidRPr="00AC42B6" w:rsidR="00291299">
        <w:rPr>
          <w:rFonts w:ascii="Times New Roman" w:eastAsia="Times New Roman" w:hAnsi="Times New Roman" w:cs="Times New Roman"/>
          <w:color w:val="000000"/>
          <w:sz w:val="24"/>
          <w:szCs w:val="24"/>
        </w:rPr>
        <w:t xml:space="preserve"> Ohio</w:t>
      </w:r>
      <w:r w:rsidRPr="00AC42B6" w:rsidR="00E87B77">
        <w:rPr>
          <w:rFonts w:ascii="Times New Roman" w:eastAsia="Times New Roman" w:hAnsi="Times New Roman" w:cs="Times New Roman"/>
          <w:color w:val="000000"/>
          <w:sz w:val="24"/>
          <w:szCs w:val="24"/>
        </w:rPr>
        <w:t>’s own</w:t>
      </w:r>
      <w:r w:rsidRPr="00AC42B6" w:rsidR="002E72FB">
        <w:rPr>
          <w:rFonts w:ascii="Times New Roman" w:eastAsia="Times New Roman" w:hAnsi="Times New Roman" w:cs="Times New Roman"/>
          <w:color w:val="000000"/>
          <w:sz w:val="24"/>
          <w:szCs w:val="24"/>
        </w:rPr>
        <w:t xml:space="preserve"> statement referenced above about how AEP</w:t>
      </w:r>
      <w:r w:rsidRPr="00AC42B6" w:rsidR="00291299">
        <w:rPr>
          <w:rFonts w:ascii="Times New Roman" w:eastAsia="Times New Roman" w:hAnsi="Times New Roman" w:cs="Times New Roman"/>
          <w:color w:val="000000"/>
          <w:sz w:val="24"/>
          <w:szCs w:val="24"/>
        </w:rPr>
        <w:t xml:space="preserve"> Ohio</w:t>
      </w:r>
      <w:r w:rsidRPr="00AC42B6" w:rsidR="002E72FB">
        <w:rPr>
          <w:rFonts w:ascii="Times New Roman" w:eastAsia="Times New Roman" w:hAnsi="Times New Roman" w:cs="Times New Roman"/>
          <w:color w:val="000000"/>
          <w:sz w:val="24"/>
          <w:szCs w:val="24"/>
        </w:rPr>
        <w:t xml:space="preserve"> develops its environmental compliance strategy by studying the best practices of </w:t>
      </w:r>
      <w:r w:rsidRPr="00AC42B6" w:rsidR="00E87B77">
        <w:rPr>
          <w:rFonts w:ascii="Times New Roman" w:eastAsia="Times New Roman" w:hAnsi="Times New Roman" w:cs="Times New Roman"/>
          <w:color w:val="000000"/>
          <w:sz w:val="24"/>
          <w:szCs w:val="24"/>
        </w:rPr>
        <w:t>its</w:t>
      </w:r>
      <w:r w:rsidRPr="00AC42B6" w:rsidR="002E72FB">
        <w:rPr>
          <w:rFonts w:ascii="Times New Roman" w:eastAsia="Times New Roman" w:hAnsi="Times New Roman" w:cs="Times New Roman"/>
          <w:color w:val="000000"/>
          <w:sz w:val="24"/>
          <w:szCs w:val="24"/>
        </w:rPr>
        <w:t xml:space="preserve"> affiliated utility operating companies.  </w:t>
      </w:r>
      <w:r w:rsidRPr="00AC42B6" w:rsidR="00E87B77">
        <w:rPr>
          <w:rFonts w:ascii="Times New Roman" w:eastAsia="Times New Roman" w:hAnsi="Times New Roman" w:cs="Times New Roman"/>
          <w:color w:val="000000"/>
          <w:sz w:val="24"/>
          <w:szCs w:val="24"/>
        </w:rPr>
        <w:t>In the present case, t</w:t>
      </w:r>
      <w:r w:rsidRPr="00AC42B6" w:rsidR="002E72FB">
        <w:rPr>
          <w:rFonts w:ascii="Times New Roman" w:eastAsia="Times New Roman" w:hAnsi="Times New Roman" w:cs="Times New Roman"/>
          <w:color w:val="000000"/>
          <w:sz w:val="24"/>
          <w:szCs w:val="24"/>
        </w:rPr>
        <w:t xml:space="preserve">he auditor </w:t>
      </w:r>
      <w:r w:rsidRPr="00AC42B6" w:rsidR="00E87B77">
        <w:rPr>
          <w:rFonts w:ascii="Times New Roman" w:eastAsia="Times New Roman" w:hAnsi="Times New Roman" w:cs="Times New Roman"/>
          <w:color w:val="000000"/>
          <w:sz w:val="24"/>
          <w:szCs w:val="24"/>
        </w:rPr>
        <w:t xml:space="preserve">took the same approach and </w:t>
      </w:r>
      <w:r w:rsidRPr="00AC42B6" w:rsidR="002E72FB">
        <w:rPr>
          <w:rFonts w:ascii="Times New Roman" w:eastAsia="Times New Roman" w:hAnsi="Times New Roman" w:cs="Times New Roman"/>
          <w:color w:val="000000"/>
          <w:sz w:val="24"/>
          <w:szCs w:val="24"/>
        </w:rPr>
        <w:t>judged the prudency of AEP</w:t>
      </w:r>
      <w:r w:rsidRPr="00AC42B6" w:rsidR="00291299">
        <w:rPr>
          <w:rFonts w:ascii="Times New Roman" w:eastAsia="Times New Roman" w:hAnsi="Times New Roman" w:cs="Times New Roman"/>
          <w:color w:val="000000"/>
          <w:sz w:val="24"/>
          <w:szCs w:val="24"/>
        </w:rPr>
        <w:t xml:space="preserve"> Ohio</w:t>
      </w:r>
      <w:r w:rsidRPr="00AC42B6" w:rsidR="002E72FB">
        <w:rPr>
          <w:rFonts w:ascii="Times New Roman" w:eastAsia="Times New Roman" w:hAnsi="Times New Roman" w:cs="Times New Roman"/>
          <w:color w:val="000000"/>
          <w:sz w:val="24"/>
          <w:szCs w:val="24"/>
        </w:rPr>
        <w:t xml:space="preserve">’s </w:t>
      </w:r>
      <w:r w:rsidRPr="00AC42B6" w:rsidR="00777F48">
        <w:rPr>
          <w:rFonts w:ascii="Times New Roman" w:eastAsia="Times New Roman" w:hAnsi="Times New Roman" w:cs="Times New Roman"/>
          <w:color w:val="000000"/>
          <w:sz w:val="24"/>
          <w:szCs w:val="24"/>
        </w:rPr>
        <w:t xml:space="preserve">and OVEC’s practices for </w:t>
      </w:r>
      <w:r w:rsidRPr="00AC42B6" w:rsidR="002E72FB">
        <w:rPr>
          <w:rFonts w:ascii="Times New Roman" w:eastAsia="Times New Roman" w:hAnsi="Times New Roman" w:cs="Times New Roman"/>
          <w:color w:val="000000"/>
          <w:sz w:val="24"/>
          <w:szCs w:val="24"/>
        </w:rPr>
        <w:t>commit</w:t>
      </w:r>
      <w:r w:rsidRPr="00AC42B6" w:rsidR="00777F48">
        <w:rPr>
          <w:rFonts w:ascii="Times New Roman" w:eastAsia="Times New Roman" w:hAnsi="Times New Roman" w:cs="Times New Roman"/>
          <w:color w:val="000000"/>
          <w:sz w:val="24"/>
          <w:szCs w:val="24"/>
        </w:rPr>
        <w:t>ting</w:t>
      </w:r>
      <w:r w:rsidRPr="00AC42B6" w:rsidR="002E72FB">
        <w:rPr>
          <w:rFonts w:ascii="Times New Roman" w:eastAsia="Times New Roman" w:hAnsi="Times New Roman" w:cs="Times New Roman"/>
          <w:color w:val="000000"/>
          <w:sz w:val="24"/>
          <w:szCs w:val="24"/>
        </w:rPr>
        <w:t xml:space="preserve"> the plants into the Day-Ahead Energy Market by comparing </w:t>
      </w:r>
      <w:r w:rsidRPr="00AC42B6" w:rsidR="00E87B77">
        <w:rPr>
          <w:rFonts w:ascii="Times New Roman" w:eastAsia="Times New Roman" w:hAnsi="Times New Roman" w:cs="Times New Roman"/>
          <w:color w:val="000000"/>
          <w:sz w:val="24"/>
          <w:szCs w:val="24"/>
        </w:rPr>
        <w:t>this</w:t>
      </w:r>
      <w:r w:rsidRPr="00AC42B6" w:rsidR="002E72FB">
        <w:rPr>
          <w:rFonts w:ascii="Times New Roman" w:eastAsia="Times New Roman" w:hAnsi="Times New Roman" w:cs="Times New Roman"/>
          <w:color w:val="000000"/>
          <w:sz w:val="24"/>
          <w:szCs w:val="24"/>
        </w:rPr>
        <w:t xml:space="preserve"> to how other utilities do it.</w:t>
      </w:r>
      <w:r>
        <w:rPr>
          <w:rStyle w:val="FootnoteReference"/>
          <w:rFonts w:ascii="Times New Roman" w:eastAsia="Times New Roman" w:hAnsi="Times New Roman" w:cs="Times New Roman"/>
          <w:color w:val="000000"/>
          <w:sz w:val="24"/>
          <w:szCs w:val="24"/>
        </w:rPr>
        <w:footnoteReference w:id="31"/>
      </w:r>
      <w:r w:rsidRPr="00AC42B6" w:rsidR="00777F48">
        <w:rPr>
          <w:rFonts w:ascii="Times New Roman" w:eastAsia="Times New Roman" w:hAnsi="Times New Roman" w:cs="Times New Roman"/>
          <w:color w:val="000000"/>
          <w:sz w:val="24"/>
          <w:szCs w:val="24"/>
        </w:rPr>
        <w:t xml:space="preserve">  This demonstrates that information from AEP</w:t>
      </w:r>
      <w:r w:rsidRPr="00AC42B6" w:rsidR="00291299">
        <w:rPr>
          <w:rFonts w:ascii="Times New Roman" w:eastAsia="Times New Roman" w:hAnsi="Times New Roman" w:cs="Times New Roman"/>
          <w:color w:val="000000"/>
          <w:sz w:val="24"/>
          <w:szCs w:val="24"/>
        </w:rPr>
        <w:t xml:space="preserve"> Ohio</w:t>
      </w:r>
      <w:r w:rsidRPr="00AC42B6" w:rsidR="00777F48">
        <w:rPr>
          <w:rFonts w:ascii="Times New Roman" w:eastAsia="Times New Roman" w:hAnsi="Times New Roman" w:cs="Times New Roman"/>
          <w:color w:val="000000"/>
          <w:sz w:val="24"/>
          <w:szCs w:val="24"/>
        </w:rPr>
        <w:t>’s affiliates is relevant</w:t>
      </w:r>
      <w:r w:rsidRPr="00AC42B6" w:rsidR="00E87B77">
        <w:rPr>
          <w:rFonts w:ascii="Times New Roman" w:eastAsia="Times New Roman" w:hAnsi="Times New Roman" w:cs="Times New Roman"/>
          <w:color w:val="000000"/>
          <w:sz w:val="24"/>
          <w:szCs w:val="24"/>
        </w:rPr>
        <w:t xml:space="preserve"> – because it provides </w:t>
      </w:r>
      <w:r w:rsidRPr="00AC42B6" w:rsidR="00291299">
        <w:rPr>
          <w:rFonts w:ascii="Times New Roman" w:eastAsia="Times New Roman" w:hAnsi="Times New Roman" w:cs="Times New Roman"/>
          <w:color w:val="000000"/>
          <w:sz w:val="24"/>
          <w:szCs w:val="24"/>
        </w:rPr>
        <w:t>evidence of the industry</w:t>
      </w:r>
      <w:r w:rsidRPr="00AC42B6" w:rsidR="00E87B77">
        <w:rPr>
          <w:rFonts w:ascii="Times New Roman" w:eastAsia="Times New Roman" w:hAnsi="Times New Roman" w:cs="Times New Roman"/>
          <w:color w:val="000000"/>
          <w:sz w:val="24"/>
          <w:szCs w:val="24"/>
        </w:rPr>
        <w:t xml:space="preserve"> standard against which the PUCO can compare AEP</w:t>
      </w:r>
      <w:r w:rsidRPr="00AC42B6" w:rsidR="00291299">
        <w:rPr>
          <w:rFonts w:ascii="Times New Roman" w:eastAsia="Times New Roman" w:hAnsi="Times New Roman" w:cs="Times New Roman"/>
          <w:color w:val="000000"/>
          <w:sz w:val="24"/>
          <w:szCs w:val="24"/>
        </w:rPr>
        <w:t xml:space="preserve"> Ohio</w:t>
      </w:r>
      <w:r w:rsidRPr="00AC42B6" w:rsidR="00E87B77">
        <w:rPr>
          <w:rFonts w:ascii="Times New Roman" w:eastAsia="Times New Roman" w:hAnsi="Times New Roman" w:cs="Times New Roman"/>
          <w:color w:val="000000"/>
          <w:sz w:val="24"/>
          <w:szCs w:val="24"/>
        </w:rPr>
        <w:t>’s and OVEC’s actions to determine whether they were prudent</w:t>
      </w:r>
      <w:r w:rsidRPr="00AC42B6" w:rsidR="00777F48">
        <w:rPr>
          <w:rFonts w:ascii="Times New Roman" w:eastAsia="Times New Roman" w:hAnsi="Times New Roman" w:cs="Times New Roman"/>
          <w:color w:val="000000"/>
          <w:sz w:val="24"/>
          <w:szCs w:val="24"/>
        </w:rPr>
        <w:t>.</w:t>
      </w:r>
    </w:p>
    <w:p w:rsidR="00777F48" w:rsidRPr="00AC42B6" w:rsidP="00777F48" w14:paraId="46C6AB16"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argues that some of the information OCC seeks may not be in its possession, custody or control.</w:t>
      </w:r>
      <w:r>
        <w:rPr>
          <w:rStyle w:val="FootnoteReference"/>
          <w:rFonts w:ascii="Times New Roman" w:eastAsia="Times New Roman" w:hAnsi="Times New Roman" w:cs="Times New Roman"/>
          <w:color w:val="000000"/>
          <w:sz w:val="24"/>
          <w:szCs w:val="24"/>
        </w:rPr>
        <w:footnoteReference w:id="32"/>
      </w:r>
      <w:r w:rsidRPr="00AC42B6">
        <w:rPr>
          <w:rFonts w:ascii="Times New Roman" w:eastAsia="Times New Roman" w:hAnsi="Times New Roman" w:cs="Times New Roman"/>
          <w:color w:val="000000"/>
          <w:sz w:val="24"/>
          <w:szCs w:val="24"/>
        </w:rPr>
        <w:t xml:space="preserve">  This argument is without merit.  </w:t>
      </w:r>
      <w:r w:rsidRPr="00AC42B6" w:rsidR="00B6641C">
        <w:rPr>
          <w:rFonts w:ascii="Times New Roman" w:eastAsia="Times New Roman" w:hAnsi="Times New Roman" w:cs="Times New Roman"/>
          <w:color w:val="000000"/>
          <w:sz w:val="24"/>
          <w:szCs w:val="24"/>
        </w:rPr>
        <w:t>AEP</w:t>
      </w:r>
      <w:r w:rsidRPr="00AC42B6" w:rsidR="00291299">
        <w:rPr>
          <w:rFonts w:ascii="Times New Roman" w:eastAsia="Times New Roman" w:hAnsi="Times New Roman" w:cs="Times New Roman"/>
          <w:color w:val="000000"/>
          <w:sz w:val="24"/>
          <w:szCs w:val="24"/>
        </w:rPr>
        <w:t xml:space="preserve"> Ohio</w:t>
      </w:r>
      <w:r w:rsidRPr="00AC42B6" w:rsidR="00B6641C">
        <w:rPr>
          <w:rFonts w:ascii="Times New Roman" w:eastAsia="Times New Roman" w:hAnsi="Times New Roman" w:cs="Times New Roman"/>
          <w:color w:val="000000"/>
          <w:sz w:val="24"/>
          <w:szCs w:val="24"/>
        </w:rPr>
        <w:t xml:space="preserve"> </w:t>
      </w:r>
      <w:r w:rsidRPr="00AC42B6" w:rsidR="00A72F14">
        <w:rPr>
          <w:rFonts w:ascii="Times New Roman" w:eastAsia="Times New Roman" w:hAnsi="Times New Roman" w:cs="Times New Roman"/>
          <w:color w:val="000000"/>
          <w:sz w:val="24"/>
          <w:szCs w:val="24"/>
        </w:rPr>
        <w:t>can</w:t>
      </w:r>
      <w:r w:rsidRPr="00AC42B6" w:rsidR="00B6641C">
        <w:rPr>
          <w:rFonts w:ascii="Times New Roman" w:eastAsia="Times New Roman" w:hAnsi="Times New Roman" w:cs="Times New Roman"/>
          <w:color w:val="000000"/>
          <w:sz w:val="24"/>
          <w:szCs w:val="24"/>
        </w:rPr>
        <w:t xml:space="preserve"> obtain information from its parent company when it serves AEP</w:t>
      </w:r>
      <w:r w:rsidRPr="00AC42B6" w:rsidR="00291299">
        <w:rPr>
          <w:rFonts w:ascii="Times New Roman" w:eastAsia="Times New Roman" w:hAnsi="Times New Roman" w:cs="Times New Roman"/>
          <w:color w:val="000000"/>
          <w:sz w:val="24"/>
          <w:szCs w:val="24"/>
        </w:rPr>
        <w:t xml:space="preserve"> Ohio</w:t>
      </w:r>
      <w:r w:rsidRPr="00AC42B6" w:rsidR="00B6641C">
        <w:rPr>
          <w:rFonts w:ascii="Times New Roman" w:eastAsia="Times New Roman" w:hAnsi="Times New Roman" w:cs="Times New Roman"/>
          <w:color w:val="000000"/>
          <w:sz w:val="24"/>
          <w:szCs w:val="24"/>
        </w:rPr>
        <w:t>’s benefit.  For example, the PUCO’s standard filing requirements require AEP</w:t>
      </w:r>
      <w:r w:rsidRPr="00AC42B6" w:rsidR="00291299">
        <w:rPr>
          <w:rFonts w:ascii="Times New Roman" w:eastAsia="Times New Roman" w:hAnsi="Times New Roman" w:cs="Times New Roman"/>
          <w:color w:val="000000"/>
          <w:sz w:val="24"/>
          <w:szCs w:val="24"/>
        </w:rPr>
        <w:t xml:space="preserve"> Ohio</w:t>
      </w:r>
      <w:r w:rsidRPr="00AC42B6" w:rsidR="00B6641C">
        <w:rPr>
          <w:rFonts w:ascii="Times New Roman" w:eastAsia="Times New Roman" w:hAnsi="Times New Roman" w:cs="Times New Roman"/>
          <w:color w:val="000000"/>
          <w:sz w:val="24"/>
          <w:szCs w:val="24"/>
        </w:rPr>
        <w:t xml:space="preserve"> to present financial data, such as common equity information for both AEP</w:t>
      </w:r>
      <w:r w:rsidRPr="00AC42B6" w:rsidR="00291299">
        <w:rPr>
          <w:rFonts w:ascii="Times New Roman" w:eastAsia="Times New Roman" w:hAnsi="Times New Roman" w:cs="Times New Roman"/>
          <w:color w:val="000000"/>
          <w:sz w:val="24"/>
          <w:szCs w:val="24"/>
        </w:rPr>
        <w:t xml:space="preserve"> Ohio</w:t>
      </w:r>
      <w:r w:rsidRPr="00AC42B6" w:rsidR="00B6641C">
        <w:rPr>
          <w:rFonts w:ascii="Times New Roman" w:eastAsia="Times New Roman" w:hAnsi="Times New Roman" w:cs="Times New Roman"/>
          <w:color w:val="000000"/>
          <w:sz w:val="24"/>
          <w:szCs w:val="24"/>
        </w:rPr>
        <w:t xml:space="preserve"> and its parent company.</w:t>
      </w:r>
      <w:r>
        <w:rPr>
          <w:rStyle w:val="FootnoteReference"/>
          <w:rFonts w:ascii="Times New Roman" w:eastAsia="Times New Roman" w:hAnsi="Times New Roman" w:cs="Times New Roman"/>
          <w:color w:val="000000"/>
          <w:sz w:val="24"/>
          <w:szCs w:val="24"/>
        </w:rPr>
        <w:footnoteReference w:id="33"/>
      </w:r>
      <w:r w:rsidRPr="00AC42B6" w:rsidR="00595A4A">
        <w:rPr>
          <w:rFonts w:ascii="Times New Roman" w:eastAsia="Times New Roman" w:hAnsi="Times New Roman" w:cs="Times New Roman"/>
          <w:color w:val="000000"/>
          <w:sz w:val="24"/>
          <w:szCs w:val="24"/>
        </w:rPr>
        <w:t xml:space="preserve">  The standard filing requirements also require AEP</w:t>
      </w:r>
      <w:r w:rsidRPr="00AC42B6" w:rsidR="00291299">
        <w:rPr>
          <w:rFonts w:ascii="Times New Roman" w:eastAsia="Times New Roman" w:hAnsi="Times New Roman" w:cs="Times New Roman"/>
          <w:color w:val="000000"/>
          <w:sz w:val="24"/>
          <w:szCs w:val="24"/>
        </w:rPr>
        <w:t xml:space="preserve"> Ohio</w:t>
      </w:r>
      <w:r w:rsidRPr="00AC42B6" w:rsidR="00595A4A">
        <w:rPr>
          <w:rFonts w:ascii="Times New Roman" w:eastAsia="Times New Roman" w:hAnsi="Times New Roman" w:cs="Times New Roman"/>
          <w:color w:val="000000"/>
          <w:sz w:val="24"/>
          <w:szCs w:val="24"/>
        </w:rPr>
        <w:t xml:space="preserve"> to provide information on the nature of participation of the parent company and affiliates in AEP</w:t>
      </w:r>
      <w:r w:rsidRPr="00AC42B6" w:rsidR="00291299">
        <w:rPr>
          <w:rFonts w:ascii="Times New Roman" w:eastAsia="Times New Roman" w:hAnsi="Times New Roman" w:cs="Times New Roman"/>
          <w:color w:val="000000"/>
          <w:sz w:val="24"/>
          <w:szCs w:val="24"/>
        </w:rPr>
        <w:t xml:space="preserve"> Ohio</w:t>
      </w:r>
      <w:r w:rsidRPr="00AC42B6" w:rsidR="00595A4A">
        <w:rPr>
          <w:rFonts w:ascii="Times New Roman" w:eastAsia="Times New Roman" w:hAnsi="Times New Roman" w:cs="Times New Roman"/>
          <w:color w:val="000000"/>
          <w:sz w:val="24"/>
          <w:szCs w:val="24"/>
        </w:rPr>
        <w:t>’s management processes.</w:t>
      </w:r>
      <w:r w:rsidRPr="00AC42B6" w:rsidR="00C92F63">
        <w:rPr>
          <w:rFonts w:ascii="Times New Roman" w:eastAsia="Times New Roman" w:hAnsi="Times New Roman" w:cs="Times New Roman"/>
          <w:color w:val="000000"/>
          <w:sz w:val="24"/>
          <w:szCs w:val="24"/>
        </w:rPr>
        <w:t xml:space="preserve">  </w:t>
      </w:r>
      <w:r w:rsidRPr="00AC42B6" w:rsidR="00A72F14">
        <w:rPr>
          <w:rFonts w:ascii="Times New Roman" w:eastAsia="Times New Roman" w:hAnsi="Times New Roman" w:cs="Times New Roman"/>
          <w:color w:val="000000"/>
          <w:sz w:val="24"/>
          <w:szCs w:val="24"/>
        </w:rPr>
        <w:t>When AEP</w:t>
      </w:r>
      <w:r w:rsidRPr="00AC42B6" w:rsidR="00291299">
        <w:rPr>
          <w:rFonts w:ascii="Times New Roman" w:eastAsia="Times New Roman" w:hAnsi="Times New Roman" w:cs="Times New Roman"/>
          <w:color w:val="000000"/>
          <w:sz w:val="24"/>
          <w:szCs w:val="24"/>
        </w:rPr>
        <w:t xml:space="preserve"> Ohio</w:t>
      </w:r>
      <w:r w:rsidRPr="00AC42B6" w:rsidR="00A72F14">
        <w:rPr>
          <w:rFonts w:ascii="Times New Roman" w:eastAsia="Times New Roman" w:hAnsi="Times New Roman" w:cs="Times New Roman"/>
          <w:color w:val="000000"/>
          <w:sz w:val="24"/>
          <w:szCs w:val="24"/>
        </w:rPr>
        <w:t xml:space="preserve"> prepares its FERC Form 1, it obtains needed information from the parent company about the parent’s management, finances and operations.  </w:t>
      </w:r>
      <w:r w:rsidRPr="00AC42B6" w:rsidR="00C92F63">
        <w:rPr>
          <w:rFonts w:ascii="Times New Roman" w:eastAsia="Times New Roman" w:hAnsi="Times New Roman" w:cs="Times New Roman"/>
          <w:color w:val="000000"/>
          <w:sz w:val="24"/>
          <w:szCs w:val="24"/>
        </w:rPr>
        <w:t>AEP</w:t>
      </w:r>
      <w:r w:rsidRPr="00AC42B6" w:rsidR="00291299">
        <w:rPr>
          <w:rFonts w:ascii="Times New Roman" w:eastAsia="Times New Roman" w:hAnsi="Times New Roman" w:cs="Times New Roman"/>
          <w:color w:val="000000"/>
          <w:sz w:val="24"/>
          <w:szCs w:val="24"/>
        </w:rPr>
        <w:t xml:space="preserve"> Ohio</w:t>
      </w:r>
      <w:r w:rsidRPr="00AC42B6" w:rsidR="00C92F63">
        <w:rPr>
          <w:rFonts w:ascii="Times New Roman" w:eastAsia="Times New Roman" w:hAnsi="Times New Roman" w:cs="Times New Roman"/>
          <w:color w:val="000000"/>
          <w:sz w:val="24"/>
          <w:szCs w:val="24"/>
        </w:rPr>
        <w:t xml:space="preserve"> also obtains data from its affiliate companies when it serves AEP</w:t>
      </w:r>
      <w:r w:rsidRPr="00AC42B6" w:rsidR="00291299">
        <w:rPr>
          <w:rFonts w:ascii="Times New Roman" w:eastAsia="Times New Roman" w:hAnsi="Times New Roman" w:cs="Times New Roman"/>
          <w:color w:val="000000"/>
          <w:sz w:val="24"/>
          <w:szCs w:val="24"/>
        </w:rPr>
        <w:t xml:space="preserve"> Ohio</w:t>
      </w:r>
      <w:r w:rsidRPr="00AC42B6" w:rsidR="00C92F63">
        <w:rPr>
          <w:rFonts w:ascii="Times New Roman" w:eastAsia="Times New Roman" w:hAnsi="Times New Roman" w:cs="Times New Roman"/>
          <w:color w:val="000000"/>
          <w:sz w:val="24"/>
          <w:szCs w:val="24"/>
        </w:rPr>
        <w:t xml:space="preserve">’s </w:t>
      </w:r>
      <w:r w:rsidRPr="00AC42B6" w:rsidR="00A72F14">
        <w:rPr>
          <w:rFonts w:ascii="Times New Roman" w:eastAsia="Times New Roman" w:hAnsi="Times New Roman" w:cs="Times New Roman"/>
          <w:color w:val="000000"/>
          <w:sz w:val="24"/>
          <w:szCs w:val="24"/>
        </w:rPr>
        <w:t>purposes</w:t>
      </w:r>
      <w:r w:rsidRPr="00AC42B6" w:rsidR="00C92F63">
        <w:rPr>
          <w:rFonts w:ascii="Times New Roman" w:eastAsia="Times New Roman" w:hAnsi="Times New Roman" w:cs="Times New Roman"/>
          <w:color w:val="000000"/>
          <w:sz w:val="24"/>
          <w:szCs w:val="24"/>
        </w:rPr>
        <w:t>.  AEP’s website explains that the company develops its environmental compliance strategy by sharing “best practices across our entire system to improve performance across AEP.”</w:t>
      </w:r>
      <w:r>
        <w:rPr>
          <w:rStyle w:val="FootnoteReference"/>
          <w:rFonts w:ascii="Times New Roman" w:eastAsia="Times New Roman" w:hAnsi="Times New Roman" w:cs="Times New Roman"/>
          <w:color w:val="000000"/>
          <w:sz w:val="24"/>
          <w:szCs w:val="24"/>
        </w:rPr>
        <w:footnoteReference w:id="34"/>
      </w:r>
      <w:r w:rsidRPr="00AC42B6" w:rsidR="006149B8">
        <w:rPr>
          <w:rFonts w:ascii="Times New Roman" w:eastAsia="Times New Roman" w:hAnsi="Times New Roman" w:cs="Times New Roman"/>
          <w:color w:val="000000"/>
          <w:sz w:val="24"/>
          <w:szCs w:val="24"/>
        </w:rPr>
        <w:t xml:space="preserve">  This demonstrates that AEP</w:t>
      </w:r>
      <w:r w:rsidRPr="00AC42B6" w:rsidR="00291299">
        <w:rPr>
          <w:rFonts w:ascii="Times New Roman" w:eastAsia="Times New Roman" w:hAnsi="Times New Roman" w:cs="Times New Roman"/>
          <w:color w:val="000000"/>
          <w:sz w:val="24"/>
          <w:szCs w:val="24"/>
        </w:rPr>
        <w:t xml:space="preserve"> Ohio</w:t>
      </w:r>
      <w:r w:rsidRPr="00AC42B6" w:rsidR="006149B8">
        <w:rPr>
          <w:rFonts w:ascii="Times New Roman" w:eastAsia="Times New Roman" w:hAnsi="Times New Roman" w:cs="Times New Roman"/>
          <w:color w:val="000000"/>
          <w:sz w:val="24"/>
          <w:szCs w:val="24"/>
        </w:rPr>
        <w:t xml:space="preserve"> can obtain information from its parent company </w:t>
      </w:r>
      <w:r w:rsidRPr="00AC42B6" w:rsidR="00A409FF">
        <w:rPr>
          <w:rFonts w:ascii="Times New Roman" w:eastAsia="Times New Roman" w:hAnsi="Times New Roman" w:cs="Times New Roman"/>
          <w:color w:val="000000"/>
          <w:sz w:val="24"/>
          <w:szCs w:val="24"/>
        </w:rPr>
        <w:t>and</w:t>
      </w:r>
      <w:r w:rsidRPr="00AC42B6" w:rsidR="006149B8">
        <w:rPr>
          <w:rFonts w:ascii="Times New Roman" w:eastAsia="Times New Roman" w:hAnsi="Times New Roman" w:cs="Times New Roman"/>
          <w:color w:val="000000"/>
          <w:sz w:val="24"/>
          <w:szCs w:val="24"/>
        </w:rPr>
        <w:t xml:space="preserve"> affiliates simply by asking for it. </w:t>
      </w:r>
    </w:p>
    <w:p w:rsidR="004978B1" w:rsidRPr="00AC42B6" w:rsidP="00777F48" w14:paraId="4E9E4BB9"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AEP is organized into separate corporate entities, but it runs its operation as a single, common enterprise for the greater good of the parent holding company.  </w:t>
      </w:r>
      <w:r w:rsidRPr="00AC42B6" w:rsidR="00D263E5">
        <w:rPr>
          <w:rFonts w:ascii="Times New Roman" w:eastAsia="Times New Roman" w:hAnsi="Times New Roman" w:cs="Times New Roman"/>
          <w:color w:val="000000"/>
          <w:sz w:val="24"/>
          <w:szCs w:val="24"/>
        </w:rPr>
        <w:t>The same persons serve as executive officers for the parent company and subsidiaries, as shown below:</w:t>
      </w:r>
    </w:p>
    <w:p w:rsidR="004978B1" w:rsidRPr="00AC42B6" w14:paraId="29CBE528" w14:textId="77777777">
      <w:pPr>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br w:type="page"/>
      </w:r>
    </w:p>
    <w:tbl>
      <w:tblPr>
        <w:tblStyle w:val="TableGrid"/>
        <w:tblW w:w="0" w:type="auto"/>
        <w:tblInd w:w="1345" w:type="dxa"/>
        <w:tblLook w:val="04A0"/>
      </w:tblPr>
      <w:tblGrid>
        <w:gridCol w:w="3330"/>
        <w:gridCol w:w="3330"/>
      </w:tblGrid>
      <w:tr w14:paraId="2B55BF21" w14:textId="77777777" w:rsidTr="00D263E5">
        <w:tblPrEx>
          <w:tblW w:w="0" w:type="auto"/>
          <w:tblInd w:w="1345" w:type="dxa"/>
          <w:tblLook w:val="04A0"/>
        </w:tblPrEx>
        <w:tc>
          <w:tcPr>
            <w:tcW w:w="3330" w:type="dxa"/>
          </w:tcPr>
          <w:p w:rsidR="00874F44" w:rsidRPr="00AC42B6" w:rsidP="00D263E5" w14:paraId="0E22E70E" w14:textId="77777777">
            <w:pPr>
              <w:jc w:val="center"/>
              <w:rPr>
                <w:b/>
                <w:bCs/>
                <w:color w:val="000000"/>
                <w:sz w:val="24"/>
                <w:szCs w:val="24"/>
              </w:rPr>
            </w:pPr>
            <w:r w:rsidRPr="00AC42B6">
              <w:rPr>
                <w:b/>
                <w:bCs/>
                <w:color w:val="000000"/>
                <w:sz w:val="24"/>
                <w:szCs w:val="24"/>
              </w:rPr>
              <w:t>AEP, Inc.</w:t>
            </w:r>
          </w:p>
          <w:p w:rsidR="00874F44" w:rsidRPr="00AC42B6" w:rsidP="00D263E5" w14:paraId="6C06CE6A" w14:textId="77777777">
            <w:pPr>
              <w:jc w:val="center"/>
              <w:rPr>
                <w:b/>
                <w:bCs/>
                <w:color w:val="000000"/>
                <w:sz w:val="24"/>
                <w:szCs w:val="24"/>
              </w:rPr>
            </w:pPr>
            <w:r w:rsidRPr="00AC42B6">
              <w:rPr>
                <w:b/>
                <w:bCs/>
                <w:color w:val="000000"/>
                <w:sz w:val="24"/>
                <w:szCs w:val="24"/>
              </w:rPr>
              <w:t>Executive Officers</w:t>
            </w:r>
            <w:r>
              <w:rPr>
                <w:rStyle w:val="FootnoteReference"/>
                <w:b/>
                <w:bCs/>
                <w:color w:val="000000"/>
                <w:sz w:val="24"/>
                <w:szCs w:val="24"/>
              </w:rPr>
              <w:footnoteReference w:id="35"/>
            </w:r>
          </w:p>
        </w:tc>
        <w:tc>
          <w:tcPr>
            <w:tcW w:w="3330" w:type="dxa"/>
          </w:tcPr>
          <w:p w:rsidR="00874F44" w:rsidRPr="00AC42B6" w:rsidP="00D263E5" w14:paraId="5C29998A" w14:textId="77777777">
            <w:pPr>
              <w:jc w:val="center"/>
              <w:rPr>
                <w:b/>
                <w:bCs/>
                <w:color w:val="000000"/>
                <w:sz w:val="24"/>
                <w:szCs w:val="24"/>
              </w:rPr>
            </w:pPr>
            <w:r w:rsidRPr="00AC42B6">
              <w:rPr>
                <w:b/>
                <w:bCs/>
                <w:color w:val="000000"/>
                <w:sz w:val="24"/>
                <w:szCs w:val="24"/>
              </w:rPr>
              <w:t>AEP Ohio</w:t>
            </w:r>
          </w:p>
          <w:p w:rsidR="00874F44" w:rsidRPr="00AC42B6" w:rsidP="00D263E5" w14:paraId="42F425AA" w14:textId="77777777">
            <w:pPr>
              <w:jc w:val="center"/>
              <w:rPr>
                <w:b/>
                <w:bCs/>
                <w:color w:val="000000"/>
                <w:sz w:val="24"/>
                <w:szCs w:val="24"/>
              </w:rPr>
            </w:pPr>
            <w:r w:rsidRPr="00AC42B6">
              <w:rPr>
                <w:b/>
                <w:bCs/>
                <w:color w:val="000000"/>
                <w:sz w:val="24"/>
                <w:szCs w:val="24"/>
              </w:rPr>
              <w:t>Executive Officers</w:t>
            </w:r>
            <w:r>
              <w:rPr>
                <w:rStyle w:val="FootnoteReference"/>
                <w:b/>
                <w:bCs/>
                <w:color w:val="000000"/>
                <w:sz w:val="24"/>
                <w:szCs w:val="24"/>
              </w:rPr>
              <w:footnoteReference w:id="36"/>
            </w:r>
          </w:p>
        </w:tc>
      </w:tr>
      <w:tr w14:paraId="2239095B" w14:textId="77777777" w:rsidTr="00D263E5">
        <w:tblPrEx>
          <w:tblW w:w="0" w:type="auto"/>
          <w:tblInd w:w="1345" w:type="dxa"/>
          <w:tblLook w:val="04A0"/>
        </w:tblPrEx>
        <w:tc>
          <w:tcPr>
            <w:tcW w:w="3330" w:type="dxa"/>
          </w:tcPr>
          <w:p w:rsidR="00874F44" w:rsidRPr="00AC42B6" w:rsidP="00874F44" w14:paraId="13921CB3" w14:textId="77777777">
            <w:pPr>
              <w:rPr>
                <w:b/>
                <w:bCs/>
                <w:color w:val="000000"/>
                <w:sz w:val="24"/>
                <w:szCs w:val="24"/>
              </w:rPr>
            </w:pPr>
            <w:r w:rsidRPr="00AC42B6">
              <w:rPr>
                <w:b/>
                <w:bCs/>
                <w:color w:val="000000"/>
                <w:sz w:val="24"/>
                <w:szCs w:val="24"/>
              </w:rPr>
              <w:t>Nicolas K. Akins</w:t>
            </w:r>
          </w:p>
          <w:p w:rsidR="00874F44" w:rsidRPr="00AC42B6" w:rsidP="00874F44" w14:paraId="6763ABFB" w14:textId="77777777">
            <w:pPr>
              <w:rPr>
                <w:color w:val="000000"/>
                <w:sz w:val="24"/>
                <w:szCs w:val="24"/>
              </w:rPr>
            </w:pPr>
            <w:r w:rsidRPr="00AC42B6">
              <w:rPr>
                <w:color w:val="000000"/>
                <w:sz w:val="24"/>
                <w:szCs w:val="24"/>
              </w:rPr>
              <w:t>Chairman of the Board,</w:t>
            </w:r>
          </w:p>
          <w:p w:rsidR="00874F44" w:rsidRPr="00AC42B6" w:rsidP="00874F44" w14:paraId="75C9BBC9" w14:textId="77777777">
            <w:pPr>
              <w:rPr>
                <w:color w:val="000000"/>
                <w:sz w:val="24"/>
                <w:szCs w:val="24"/>
              </w:rPr>
            </w:pPr>
            <w:r w:rsidRPr="00AC42B6">
              <w:rPr>
                <w:color w:val="000000"/>
                <w:sz w:val="24"/>
                <w:szCs w:val="24"/>
              </w:rPr>
              <w:t>President &amp; CEO</w:t>
            </w:r>
          </w:p>
        </w:tc>
        <w:tc>
          <w:tcPr>
            <w:tcW w:w="3330" w:type="dxa"/>
          </w:tcPr>
          <w:p w:rsidR="00874F44" w:rsidRPr="00AC42B6" w:rsidP="00874F44" w14:paraId="5735F4AC" w14:textId="77777777">
            <w:pPr>
              <w:rPr>
                <w:b/>
                <w:bCs/>
                <w:color w:val="000000"/>
                <w:sz w:val="24"/>
                <w:szCs w:val="24"/>
              </w:rPr>
            </w:pPr>
            <w:r w:rsidRPr="00AC42B6">
              <w:rPr>
                <w:b/>
                <w:bCs/>
                <w:color w:val="000000"/>
                <w:sz w:val="24"/>
                <w:szCs w:val="24"/>
              </w:rPr>
              <w:t>Nicolas K. Akins</w:t>
            </w:r>
          </w:p>
          <w:p w:rsidR="00D263E5" w:rsidRPr="00AC42B6" w:rsidP="00874F44" w14:paraId="4BF83EA1" w14:textId="77777777">
            <w:pPr>
              <w:rPr>
                <w:color w:val="000000"/>
                <w:sz w:val="24"/>
                <w:szCs w:val="24"/>
              </w:rPr>
            </w:pPr>
            <w:r w:rsidRPr="00AC42B6">
              <w:rPr>
                <w:color w:val="000000"/>
                <w:sz w:val="24"/>
                <w:szCs w:val="24"/>
              </w:rPr>
              <w:t>Chairman of the Board</w:t>
            </w:r>
          </w:p>
          <w:p w:rsidR="00D263E5" w:rsidRPr="00AC42B6" w:rsidP="00874F44" w14:paraId="0D877FA8" w14:textId="77777777">
            <w:pPr>
              <w:rPr>
                <w:color w:val="000000"/>
                <w:sz w:val="24"/>
                <w:szCs w:val="24"/>
              </w:rPr>
            </w:pPr>
            <w:r w:rsidRPr="00AC42B6">
              <w:rPr>
                <w:color w:val="000000"/>
                <w:sz w:val="24"/>
                <w:szCs w:val="24"/>
              </w:rPr>
              <w:t>&amp; CEO</w:t>
            </w:r>
          </w:p>
        </w:tc>
      </w:tr>
      <w:tr w14:paraId="6CB9EC42" w14:textId="77777777" w:rsidTr="00D263E5">
        <w:tblPrEx>
          <w:tblW w:w="0" w:type="auto"/>
          <w:tblInd w:w="1345" w:type="dxa"/>
          <w:tblLook w:val="04A0"/>
        </w:tblPrEx>
        <w:tc>
          <w:tcPr>
            <w:tcW w:w="3330" w:type="dxa"/>
          </w:tcPr>
          <w:p w:rsidR="00874F44" w:rsidRPr="00AC42B6" w:rsidP="00874F44" w14:paraId="012899D1" w14:textId="77777777">
            <w:pPr>
              <w:rPr>
                <w:b/>
                <w:bCs/>
                <w:color w:val="000000"/>
                <w:sz w:val="24"/>
                <w:szCs w:val="24"/>
              </w:rPr>
            </w:pPr>
            <w:r w:rsidRPr="00AC42B6">
              <w:rPr>
                <w:b/>
                <w:bCs/>
                <w:color w:val="000000"/>
                <w:sz w:val="24"/>
                <w:szCs w:val="24"/>
              </w:rPr>
              <w:t>David M. Feinberg</w:t>
            </w:r>
          </w:p>
          <w:p w:rsidR="00874F44" w:rsidRPr="00AC42B6" w:rsidP="00874F44" w14:paraId="0DA18B6B" w14:textId="77777777">
            <w:pPr>
              <w:rPr>
                <w:color w:val="000000"/>
                <w:sz w:val="24"/>
                <w:szCs w:val="24"/>
              </w:rPr>
            </w:pPr>
            <w:r w:rsidRPr="00AC42B6">
              <w:rPr>
                <w:color w:val="000000"/>
                <w:sz w:val="24"/>
                <w:szCs w:val="24"/>
              </w:rPr>
              <w:t>Executive VP, General</w:t>
            </w:r>
          </w:p>
          <w:p w:rsidR="00874F44" w:rsidRPr="00AC42B6" w:rsidP="00874F44" w14:paraId="096E4CF6" w14:textId="77777777">
            <w:pPr>
              <w:rPr>
                <w:color w:val="000000"/>
                <w:sz w:val="24"/>
                <w:szCs w:val="24"/>
              </w:rPr>
            </w:pPr>
            <w:r w:rsidRPr="00AC42B6">
              <w:rPr>
                <w:color w:val="000000"/>
                <w:sz w:val="24"/>
                <w:szCs w:val="24"/>
              </w:rPr>
              <w:t>Counsel &amp; Secretary</w:t>
            </w:r>
          </w:p>
        </w:tc>
        <w:tc>
          <w:tcPr>
            <w:tcW w:w="3330" w:type="dxa"/>
          </w:tcPr>
          <w:p w:rsidR="00874F44" w:rsidRPr="00AC42B6" w:rsidP="00874F44" w14:paraId="678B241D" w14:textId="77777777">
            <w:pPr>
              <w:rPr>
                <w:b/>
                <w:bCs/>
                <w:color w:val="000000"/>
                <w:sz w:val="24"/>
                <w:szCs w:val="24"/>
              </w:rPr>
            </w:pPr>
            <w:r w:rsidRPr="00AC42B6">
              <w:rPr>
                <w:b/>
                <w:bCs/>
                <w:color w:val="000000"/>
                <w:sz w:val="24"/>
                <w:szCs w:val="24"/>
              </w:rPr>
              <w:t>David M. Feinberg</w:t>
            </w:r>
          </w:p>
          <w:p w:rsidR="00D263E5" w:rsidRPr="00AC42B6" w:rsidP="00D263E5" w14:paraId="5FF54B35" w14:textId="77777777">
            <w:pPr>
              <w:rPr>
                <w:color w:val="000000"/>
                <w:sz w:val="24"/>
                <w:szCs w:val="24"/>
              </w:rPr>
            </w:pPr>
            <w:r w:rsidRPr="00AC42B6">
              <w:rPr>
                <w:color w:val="000000"/>
                <w:sz w:val="24"/>
                <w:szCs w:val="24"/>
              </w:rPr>
              <w:t>Executive VP, General</w:t>
            </w:r>
          </w:p>
          <w:p w:rsidR="00D263E5" w:rsidRPr="00AC42B6" w:rsidP="00D263E5" w14:paraId="60530A2B" w14:textId="77777777">
            <w:pPr>
              <w:rPr>
                <w:color w:val="000000"/>
                <w:sz w:val="24"/>
                <w:szCs w:val="24"/>
              </w:rPr>
            </w:pPr>
            <w:r w:rsidRPr="00AC42B6">
              <w:rPr>
                <w:color w:val="000000"/>
                <w:sz w:val="24"/>
                <w:szCs w:val="24"/>
              </w:rPr>
              <w:t>Counsel &amp; Secretary</w:t>
            </w:r>
          </w:p>
        </w:tc>
      </w:tr>
      <w:tr w14:paraId="6C47E526" w14:textId="77777777" w:rsidTr="00D263E5">
        <w:tblPrEx>
          <w:tblW w:w="0" w:type="auto"/>
          <w:tblInd w:w="1345" w:type="dxa"/>
          <w:tblLook w:val="04A0"/>
        </w:tblPrEx>
        <w:tc>
          <w:tcPr>
            <w:tcW w:w="3330" w:type="dxa"/>
          </w:tcPr>
          <w:p w:rsidR="00874F44" w:rsidRPr="00AC42B6" w:rsidP="00874F44" w14:paraId="33A99B9C" w14:textId="77777777">
            <w:pPr>
              <w:rPr>
                <w:b/>
                <w:bCs/>
                <w:color w:val="000000"/>
                <w:sz w:val="24"/>
                <w:szCs w:val="24"/>
              </w:rPr>
            </w:pPr>
            <w:r w:rsidRPr="00AC42B6">
              <w:rPr>
                <w:b/>
                <w:bCs/>
                <w:color w:val="000000"/>
                <w:sz w:val="24"/>
                <w:szCs w:val="24"/>
              </w:rPr>
              <w:t>Lisa M. Barton</w:t>
            </w:r>
          </w:p>
          <w:p w:rsidR="00874F44" w:rsidRPr="00AC42B6" w:rsidP="00874F44" w14:paraId="0CC37E6D" w14:textId="77777777">
            <w:pPr>
              <w:rPr>
                <w:color w:val="000000"/>
                <w:sz w:val="24"/>
                <w:szCs w:val="24"/>
              </w:rPr>
            </w:pPr>
            <w:r w:rsidRPr="00AC42B6">
              <w:rPr>
                <w:color w:val="000000"/>
                <w:sz w:val="24"/>
                <w:szCs w:val="24"/>
              </w:rPr>
              <w:t>Executive VP &amp; CEO</w:t>
            </w:r>
          </w:p>
        </w:tc>
        <w:tc>
          <w:tcPr>
            <w:tcW w:w="3330" w:type="dxa"/>
          </w:tcPr>
          <w:p w:rsidR="00874F44" w:rsidRPr="00AC42B6" w:rsidP="00874F44" w14:paraId="42D5CB67" w14:textId="77777777">
            <w:pPr>
              <w:rPr>
                <w:b/>
                <w:bCs/>
                <w:color w:val="000000"/>
                <w:sz w:val="24"/>
                <w:szCs w:val="24"/>
              </w:rPr>
            </w:pPr>
            <w:r w:rsidRPr="00AC42B6">
              <w:rPr>
                <w:b/>
                <w:bCs/>
                <w:color w:val="000000"/>
                <w:sz w:val="24"/>
                <w:szCs w:val="24"/>
              </w:rPr>
              <w:t>Lisa M. Barton</w:t>
            </w:r>
          </w:p>
          <w:p w:rsidR="00D263E5" w:rsidRPr="00AC42B6" w:rsidP="00874F44" w14:paraId="1EE903EA" w14:textId="77777777">
            <w:pPr>
              <w:rPr>
                <w:color w:val="000000"/>
                <w:sz w:val="24"/>
                <w:szCs w:val="24"/>
              </w:rPr>
            </w:pPr>
            <w:r w:rsidRPr="00AC42B6">
              <w:rPr>
                <w:color w:val="000000"/>
                <w:sz w:val="24"/>
                <w:szCs w:val="24"/>
              </w:rPr>
              <w:t>Executive VP - Transmission</w:t>
            </w:r>
          </w:p>
        </w:tc>
      </w:tr>
      <w:tr w14:paraId="0C235974" w14:textId="77777777" w:rsidTr="00D263E5">
        <w:tblPrEx>
          <w:tblW w:w="0" w:type="auto"/>
          <w:tblInd w:w="1345" w:type="dxa"/>
          <w:tblLook w:val="04A0"/>
        </w:tblPrEx>
        <w:tc>
          <w:tcPr>
            <w:tcW w:w="3330" w:type="dxa"/>
          </w:tcPr>
          <w:p w:rsidR="00874F44" w:rsidRPr="00AC42B6" w:rsidP="00874F44" w14:paraId="1D2EC50A" w14:textId="77777777">
            <w:pPr>
              <w:rPr>
                <w:b/>
                <w:bCs/>
                <w:color w:val="000000"/>
                <w:sz w:val="24"/>
                <w:szCs w:val="24"/>
              </w:rPr>
            </w:pPr>
            <w:r w:rsidRPr="00AC42B6">
              <w:rPr>
                <w:b/>
                <w:bCs/>
                <w:color w:val="000000"/>
                <w:sz w:val="24"/>
                <w:szCs w:val="24"/>
              </w:rPr>
              <w:t>Laura L. Hillebrand</w:t>
            </w:r>
          </w:p>
          <w:p w:rsidR="00874F44" w:rsidRPr="00AC42B6" w:rsidP="00874F44" w14:paraId="2649C935" w14:textId="77777777">
            <w:pPr>
              <w:rPr>
                <w:color w:val="000000"/>
                <w:sz w:val="24"/>
                <w:szCs w:val="24"/>
              </w:rPr>
            </w:pPr>
            <w:r w:rsidRPr="00AC42B6">
              <w:rPr>
                <w:color w:val="000000"/>
                <w:sz w:val="24"/>
                <w:szCs w:val="24"/>
              </w:rPr>
              <w:t xml:space="preserve">Executive VP </w:t>
            </w:r>
            <w:r w:rsidRPr="00AC42B6" w:rsidR="00D263E5">
              <w:rPr>
                <w:color w:val="000000"/>
                <w:sz w:val="24"/>
                <w:szCs w:val="24"/>
              </w:rPr>
              <w:t>&amp;</w:t>
            </w:r>
          </w:p>
          <w:p w:rsidR="00D263E5" w:rsidRPr="00AC42B6" w:rsidP="00874F44" w14:paraId="77B8AF0C" w14:textId="77777777">
            <w:pPr>
              <w:rPr>
                <w:color w:val="000000"/>
                <w:sz w:val="24"/>
                <w:szCs w:val="24"/>
              </w:rPr>
            </w:pPr>
            <w:r w:rsidRPr="00AC42B6">
              <w:rPr>
                <w:color w:val="000000"/>
                <w:sz w:val="24"/>
                <w:szCs w:val="24"/>
              </w:rPr>
              <w:t>Chief Admin. Officer</w:t>
            </w:r>
          </w:p>
        </w:tc>
        <w:tc>
          <w:tcPr>
            <w:tcW w:w="3330" w:type="dxa"/>
          </w:tcPr>
          <w:p w:rsidR="00874F44" w:rsidRPr="00AC42B6" w:rsidP="00874F44" w14:paraId="0320536D" w14:textId="77777777">
            <w:pPr>
              <w:rPr>
                <w:b/>
                <w:bCs/>
                <w:color w:val="000000"/>
                <w:sz w:val="24"/>
                <w:szCs w:val="24"/>
              </w:rPr>
            </w:pPr>
            <w:r w:rsidRPr="00AC42B6">
              <w:rPr>
                <w:b/>
                <w:bCs/>
                <w:color w:val="000000"/>
                <w:sz w:val="24"/>
                <w:szCs w:val="24"/>
              </w:rPr>
              <w:t>Laura L. Hillebrand</w:t>
            </w:r>
          </w:p>
          <w:p w:rsidR="00D263E5" w:rsidRPr="00AC42B6" w:rsidP="00874F44" w14:paraId="0A2D3E03" w14:textId="77777777">
            <w:pPr>
              <w:rPr>
                <w:color w:val="000000"/>
                <w:sz w:val="24"/>
                <w:szCs w:val="24"/>
              </w:rPr>
            </w:pPr>
            <w:r w:rsidRPr="00AC42B6">
              <w:rPr>
                <w:color w:val="000000"/>
                <w:sz w:val="24"/>
                <w:szCs w:val="24"/>
              </w:rPr>
              <w:t xml:space="preserve">Executive VP &amp; </w:t>
            </w:r>
          </w:p>
          <w:p w:rsidR="00D263E5" w:rsidRPr="00AC42B6" w:rsidP="00874F44" w14:paraId="04B0C287" w14:textId="77777777">
            <w:pPr>
              <w:rPr>
                <w:color w:val="000000"/>
                <w:sz w:val="24"/>
                <w:szCs w:val="24"/>
              </w:rPr>
            </w:pPr>
            <w:r w:rsidRPr="00AC42B6">
              <w:rPr>
                <w:color w:val="000000"/>
                <w:sz w:val="24"/>
                <w:szCs w:val="24"/>
              </w:rPr>
              <w:t>Chief Admin. Officer</w:t>
            </w:r>
          </w:p>
        </w:tc>
      </w:tr>
    </w:tbl>
    <w:p w:rsidR="00874F44" w:rsidRPr="00AC42B6" w:rsidP="004978B1" w14:paraId="432B6600" w14:textId="77777777">
      <w:pPr>
        <w:widowControl/>
        <w:rPr>
          <w:rFonts w:ascii="Times New Roman" w:eastAsia="Times New Roman" w:hAnsi="Times New Roman" w:cs="Times New Roman"/>
          <w:color w:val="000000"/>
          <w:sz w:val="24"/>
          <w:szCs w:val="24"/>
        </w:rPr>
      </w:pPr>
    </w:p>
    <w:p w:rsidR="00B01C53" w:rsidRPr="00AC42B6" w:rsidP="002E4B86" w14:paraId="72F4DD0A"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AEP</w:t>
      </w:r>
      <w:r w:rsidRPr="00AC42B6" w:rsidR="00291299">
        <w:rPr>
          <w:rFonts w:ascii="Times New Roman" w:eastAsia="Times New Roman" w:hAnsi="Times New Roman" w:cs="Times New Roman"/>
          <w:color w:val="000000"/>
          <w:sz w:val="24"/>
          <w:szCs w:val="24"/>
        </w:rPr>
        <w:t>’s annual report</w:t>
      </w:r>
      <w:r w:rsidRPr="00AC42B6">
        <w:rPr>
          <w:rFonts w:ascii="Times New Roman" w:eastAsia="Times New Roman" w:hAnsi="Times New Roman" w:cs="Times New Roman"/>
          <w:color w:val="000000"/>
          <w:sz w:val="24"/>
          <w:szCs w:val="24"/>
        </w:rPr>
        <w:t xml:space="preserve"> describes the nature of th</w:t>
      </w:r>
      <w:r w:rsidRPr="00AC42B6" w:rsidR="00A409FF">
        <w:rPr>
          <w:rFonts w:ascii="Times New Roman" w:eastAsia="Times New Roman" w:hAnsi="Times New Roman" w:cs="Times New Roman"/>
          <w:color w:val="000000"/>
          <w:sz w:val="24"/>
          <w:szCs w:val="24"/>
        </w:rPr>
        <w:t>e single</w:t>
      </w:r>
      <w:r w:rsidRPr="00AC42B6">
        <w:rPr>
          <w:rFonts w:ascii="Times New Roman" w:eastAsia="Times New Roman" w:hAnsi="Times New Roman" w:cs="Times New Roman"/>
          <w:color w:val="000000"/>
          <w:sz w:val="24"/>
          <w:szCs w:val="24"/>
        </w:rPr>
        <w:t xml:space="preserve"> corporate enterprise as follows:</w:t>
      </w:r>
    </w:p>
    <w:p w:rsidR="00B01C53" w:rsidRPr="00AC42B6" w:rsidP="00B01C53" w14:paraId="36D0AB64" w14:textId="77777777">
      <w:pPr>
        <w:widowControl/>
        <w:ind w:left="1440" w:right="144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The member companies of the AEP System have contractual, financial and other business relationships with the other member companies, such as participation in the AEP System savings and retirement plans and tax returns, sales of electricity and transportation and handling of fuel. The companies of the AEP System also obtain certain accounting, administrative, information systems, engineering, financial, legal, maintenance and other services at cost from a common provider, AEPSC [AEP Service Company].</w:t>
      </w:r>
      <w:r>
        <w:rPr>
          <w:rStyle w:val="FootnoteReference"/>
          <w:rFonts w:ascii="Times New Roman" w:eastAsia="Times New Roman" w:hAnsi="Times New Roman" w:cs="Times New Roman"/>
          <w:color w:val="000000"/>
          <w:sz w:val="24"/>
          <w:szCs w:val="24"/>
        </w:rPr>
        <w:footnoteReference w:id="37"/>
      </w:r>
    </w:p>
    <w:p w:rsidR="00B01C53" w:rsidRPr="00AC42B6" w:rsidP="00B01C53" w14:paraId="7E4BDE63" w14:textId="77777777">
      <w:pPr>
        <w:widowControl/>
        <w:rPr>
          <w:rFonts w:ascii="Times New Roman" w:eastAsia="Times New Roman" w:hAnsi="Times New Roman" w:cs="Times New Roman"/>
          <w:color w:val="000000"/>
          <w:sz w:val="24"/>
          <w:szCs w:val="24"/>
        </w:rPr>
      </w:pPr>
    </w:p>
    <w:p w:rsidR="0032410B" w:rsidRPr="00AC42B6" w:rsidP="002E4B86" w14:paraId="3F9F6B9C"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The PUCO’s jurisdiction extends not only to </w:t>
      </w:r>
      <w:r w:rsidRPr="00AC42B6" w:rsidR="002E4B86">
        <w:rPr>
          <w:rFonts w:ascii="Times New Roman" w:eastAsia="Times New Roman" w:hAnsi="Times New Roman" w:cs="Times New Roman"/>
          <w:color w:val="000000"/>
          <w:sz w:val="24"/>
          <w:szCs w:val="24"/>
        </w:rPr>
        <w:t>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but also to the “records and accounts of any companies which are part of an electric utility holding company system.”</w:t>
      </w:r>
      <w:r>
        <w:rPr>
          <w:rStyle w:val="FootnoteReference"/>
          <w:rFonts w:ascii="Times New Roman" w:eastAsia="Times New Roman" w:hAnsi="Times New Roman" w:cs="Times New Roman"/>
          <w:color w:val="000000"/>
          <w:sz w:val="24"/>
          <w:szCs w:val="24"/>
        </w:rPr>
        <w:footnoteReference w:id="38"/>
      </w:r>
      <w:r w:rsidRPr="00AC42B6">
        <w:rPr>
          <w:rFonts w:ascii="Times New Roman" w:eastAsia="Times New Roman" w:hAnsi="Times New Roman" w:cs="Times New Roman"/>
          <w:color w:val="000000"/>
          <w:sz w:val="24"/>
          <w:szCs w:val="24"/>
        </w:rPr>
        <w:t xml:space="preserve"> The PUCO has jurisdiction over the records of 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and all its affiliates that “in any way affect or relate to the costs associated with the provision of electric utility service.”</w:t>
      </w:r>
      <w:r>
        <w:rPr>
          <w:rStyle w:val="FootnoteReference"/>
          <w:rFonts w:ascii="Times New Roman" w:eastAsia="Times New Roman" w:hAnsi="Times New Roman" w:cs="Times New Roman"/>
          <w:color w:val="000000"/>
          <w:sz w:val="24"/>
          <w:szCs w:val="24"/>
        </w:rPr>
        <w:footnoteReference w:id="39"/>
      </w:r>
      <w:r w:rsidRPr="00AC42B6">
        <w:rPr>
          <w:rFonts w:ascii="Times New Roman" w:eastAsia="Times New Roman" w:hAnsi="Times New Roman" w:cs="Times New Roman"/>
          <w:color w:val="000000"/>
          <w:sz w:val="24"/>
          <w:szCs w:val="24"/>
        </w:rPr>
        <w:t xml:space="preserve"> This statute means that even if the records are in the custody and control of 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’s parent company or affiliates, the PUCO can reach those holding company system records. Other provisions of the Revised Code, Chapter 49, also permit the PUCO to examine books, accounts, or other records kept by an electric utility or their affiliate as it relates to the utility business requiring corporate separation.</w:t>
      </w:r>
      <w:r>
        <w:rPr>
          <w:rStyle w:val="FootnoteReference"/>
          <w:rFonts w:ascii="Times New Roman" w:eastAsia="Times New Roman" w:hAnsi="Times New Roman" w:cs="Times New Roman"/>
          <w:color w:val="000000"/>
          <w:sz w:val="24"/>
          <w:szCs w:val="24"/>
        </w:rPr>
        <w:footnoteReference w:id="40"/>
      </w:r>
    </w:p>
    <w:p w:rsidR="0032410B" w:rsidRPr="00AC42B6" w:rsidP="002E4B86" w14:paraId="61F00C06"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In addition to the PUCO’s statutory jurisdiction over these records, the guidance under </w:t>
      </w:r>
      <w:r w:rsidRPr="00AC42B6">
        <w:rPr>
          <w:rFonts w:ascii="Times New Roman" w:eastAsia="Times New Roman" w:hAnsi="Times New Roman" w:cs="Times New Roman"/>
          <w:color w:val="000000"/>
          <w:sz w:val="24"/>
          <w:szCs w:val="24"/>
        </w:rPr>
        <w:br/>
        <w:t>the Ohio Rules of Civil Procedure indicates that AEP</w:t>
      </w:r>
      <w:r w:rsidRPr="00AC42B6" w:rsidR="00291299">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’s objection relating to the possession, custody or control of the records is without merit. Civil Rule 34 permits litigants to discover certain items “in the responding party’s possession, custody, or control.” A litigant “may obtain discovery from a subsidiary of a party from whom discovery is sought if the party from whom discovery is sought has control of the subsidiary.”</w:t>
      </w:r>
      <w:r>
        <w:rPr>
          <w:rStyle w:val="FootnoteReference"/>
          <w:rFonts w:ascii="Times New Roman" w:eastAsia="Times New Roman" w:hAnsi="Times New Roman" w:cs="Times New Roman"/>
          <w:color w:val="000000"/>
          <w:sz w:val="24"/>
          <w:szCs w:val="24"/>
        </w:rPr>
        <w:footnoteReference w:id="41"/>
      </w:r>
      <w:r w:rsidRPr="00AC42B6">
        <w:rPr>
          <w:rFonts w:ascii="Times New Roman" w:eastAsia="Times New Roman" w:hAnsi="Times New Roman" w:cs="Times New Roman"/>
          <w:color w:val="000000"/>
          <w:sz w:val="24"/>
          <w:szCs w:val="24"/>
        </w:rPr>
        <w:t xml:space="preserve"> </w:t>
      </w:r>
    </w:p>
    <w:p w:rsidR="00777F48" w:rsidRPr="00AC42B6" w:rsidP="002E4B86" w14:paraId="510A1F8A"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In </w:t>
      </w:r>
      <w:r w:rsidRPr="00AC42B6">
        <w:rPr>
          <w:rFonts w:ascii="Times New Roman" w:eastAsia="Times New Roman" w:hAnsi="Times New Roman" w:cs="Times New Roman"/>
          <w:i/>
          <w:iCs/>
          <w:color w:val="000000"/>
          <w:sz w:val="24"/>
          <w:szCs w:val="24"/>
        </w:rPr>
        <w:t>Sedgwick v. Kawasaki Cycleworks, Inc</w:t>
      </w:r>
      <w:r w:rsidRPr="00AC42B6">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42"/>
      </w:r>
      <w:r w:rsidRPr="00AC42B6">
        <w:rPr>
          <w:rFonts w:ascii="Times New Roman" w:eastAsia="Times New Roman" w:hAnsi="Times New Roman" w:cs="Times New Roman"/>
          <w:color w:val="000000"/>
          <w:sz w:val="24"/>
          <w:szCs w:val="24"/>
        </w:rPr>
        <w:t xml:space="preserve"> the court noted that a subsidiary can be </w:t>
      </w:r>
      <w:r w:rsidRPr="00AC42B6">
        <w:rPr>
          <w:rFonts w:ascii="Times New Roman" w:eastAsia="Times New Roman" w:hAnsi="Times New Roman" w:cs="Times New Roman"/>
          <w:color w:val="000000"/>
          <w:sz w:val="24"/>
          <w:szCs w:val="24"/>
        </w:rPr>
        <w:br/>
        <w:t xml:space="preserve">required to provide this type of discovery if nominally separate corporate entities “are in fact a </w:t>
      </w:r>
      <w:r w:rsidRPr="00AC42B6">
        <w:rPr>
          <w:rFonts w:ascii="Times New Roman" w:eastAsia="Times New Roman" w:hAnsi="Times New Roman" w:cs="Times New Roman"/>
          <w:color w:val="000000"/>
          <w:sz w:val="24"/>
          <w:szCs w:val="24"/>
        </w:rPr>
        <w:br/>
        <w:t>single unit.”</w:t>
      </w:r>
      <w:r>
        <w:rPr>
          <w:rStyle w:val="FootnoteReference"/>
          <w:rFonts w:ascii="Times New Roman" w:eastAsia="Times New Roman" w:hAnsi="Times New Roman" w:cs="Times New Roman"/>
          <w:color w:val="000000"/>
          <w:sz w:val="24"/>
          <w:szCs w:val="24"/>
        </w:rPr>
        <w:footnoteReference w:id="43"/>
      </w:r>
      <w:r w:rsidRPr="00AC42B6">
        <w:rPr>
          <w:rFonts w:ascii="Times New Roman" w:eastAsia="Times New Roman" w:hAnsi="Times New Roman" w:cs="Times New Roman"/>
          <w:color w:val="000000"/>
          <w:sz w:val="24"/>
          <w:szCs w:val="24"/>
        </w:rPr>
        <w:t xml:space="preserve"> To determine whether related corporations are a single unit, a court must find </w:t>
      </w:r>
      <w:r w:rsidRPr="00AC42B6" w:rsidR="0032410B">
        <w:rPr>
          <w:rFonts w:ascii="Times New Roman" w:eastAsia="Times New Roman" w:hAnsi="Times New Roman" w:cs="Times New Roman"/>
          <w:color w:val="000000"/>
          <w:sz w:val="24"/>
          <w:szCs w:val="24"/>
        </w:rPr>
        <w:t xml:space="preserve">: </w:t>
      </w:r>
      <w:r w:rsidRPr="00AC42B6">
        <w:rPr>
          <w:rFonts w:ascii="Times New Roman" w:eastAsia="Times New Roman" w:hAnsi="Times New Roman" w:cs="Times New Roman"/>
          <w:color w:val="000000"/>
          <w:sz w:val="24"/>
          <w:szCs w:val="24"/>
        </w:rPr>
        <w:t xml:space="preserve">“(1) control of one by another; (2) that one was the mere conduit of the business of the other; and (3) the recognition of their separate existence would sanction a fraud, permit oppression and </w:t>
      </w:r>
      <w:r w:rsidRPr="00AC42B6" w:rsidR="007637E3">
        <w:rPr>
          <w:rFonts w:ascii="Times New Roman" w:eastAsia="Times New Roman" w:hAnsi="Times New Roman" w:cs="Times New Roman"/>
          <w:color w:val="000000"/>
          <w:sz w:val="24"/>
          <w:szCs w:val="24"/>
        </w:rPr>
        <w:t>injustice</w:t>
      </w:r>
      <w:r w:rsidRPr="00AC42B6">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44"/>
      </w:r>
      <w:r w:rsidRPr="00AC42B6">
        <w:rPr>
          <w:rFonts w:ascii="Times New Roman" w:eastAsia="Times New Roman" w:hAnsi="Times New Roman" w:cs="Times New Roman"/>
          <w:color w:val="000000"/>
          <w:sz w:val="24"/>
          <w:szCs w:val="24"/>
        </w:rPr>
        <w:t xml:space="preserve"> OCC’s discovery request meets this “single unit” standard</w:t>
      </w:r>
      <w:r w:rsidRPr="00AC42B6" w:rsidR="0032410B">
        <w:rPr>
          <w:rFonts w:ascii="Times New Roman" w:eastAsia="Times New Roman" w:hAnsi="Times New Roman" w:cs="Times New Roman"/>
          <w:color w:val="000000"/>
          <w:sz w:val="24"/>
          <w:szCs w:val="24"/>
        </w:rPr>
        <w:t xml:space="preserve"> due to the control the parent company exercises over the affiliates and the fact that the </w:t>
      </w:r>
      <w:r w:rsidRPr="00AC42B6" w:rsidR="004C521D">
        <w:rPr>
          <w:rFonts w:ascii="Times New Roman" w:eastAsia="Times New Roman" w:hAnsi="Times New Roman" w:cs="Times New Roman"/>
          <w:color w:val="000000"/>
          <w:sz w:val="24"/>
          <w:szCs w:val="24"/>
        </w:rPr>
        <w:t>utility operating companies carry out the business strategies and operating practices developed at the parent company level.  It would be an injustice for AEP</w:t>
      </w:r>
      <w:r w:rsidRPr="00AC42B6" w:rsidR="00291299">
        <w:rPr>
          <w:rFonts w:ascii="Times New Roman" w:eastAsia="Times New Roman" w:hAnsi="Times New Roman" w:cs="Times New Roman"/>
          <w:color w:val="000000"/>
          <w:sz w:val="24"/>
          <w:szCs w:val="24"/>
        </w:rPr>
        <w:t xml:space="preserve"> Ohio</w:t>
      </w:r>
      <w:r w:rsidRPr="00AC42B6" w:rsidR="004C521D">
        <w:rPr>
          <w:rFonts w:ascii="Times New Roman" w:eastAsia="Times New Roman" w:hAnsi="Times New Roman" w:cs="Times New Roman"/>
          <w:color w:val="000000"/>
          <w:sz w:val="24"/>
          <w:szCs w:val="24"/>
        </w:rPr>
        <w:t xml:space="preserve"> to summon information from affiliates at will </w:t>
      </w:r>
      <w:r w:rsidRPr="00AC42B6" w:rsidR="00E87B77">
        <w:rPr>
          <w:rFonts w:ascii="Times New Roman" w:eastAsia="Times New Roman" w:hAnsi="Times New Roman" w:cs="Times New Roman"/>
          <w:color w:val="000000"/>
          <w:sz w:val="24"/>
          <w:szCs w:val="24"/>
        </w:rPr>
        <w:t>when it suits their own purposes</w:t>
      </w:r>
      <w:r w:rsidRPr="00AC42B6" w:rsidR="004C521D">
        <w:rPr>
          <w:rFonts w:ascii="Times New Roman" w:eastAsia="Times New Roman" w:hAnsi="Times New Roman" w:cs="Times New Roman"/>
          <w:color w:val="000000"/>
          <w:sz w:val="24"/>
          <w:szCs w:val="24"/>
        </w:rPr>
        <w:t>, but to refuse to produce such information when requested by a third party or the PUCO.</w:t>
      </w:r>
    </w:p>
    <w:p w:rsidR="00E41BF0" w:rsidRPr="00AC42B6" w:rsidP="00E41BF0" w14:paraId="0C68D76A" w14:textId="77777777">
      <w:pPr>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C</w:t>
      </w:r>
      <w:r w:rsidRPr="00AC42B6" w:rsidR="004C521D">
        <w:rPr>
          <w:rFonts w:ascii="Times New Roman" w:eastAsia="Times New Roman" w:hAnsi="Times New Roman" w:cs="Times New Roman"/>
          <w:color w:val="000000"/>
          <w:sz w:val="24"/>
          <w:szCs w:val="24"/>
        </w:rPr>
        <w:t>ourts assess the underlying business relationship between parent and subsidiary</w:t>
      </w:r>
      <w:r w:rsidRPr="00AC42B6" w:rsidR="00E87B77">
        <w:rPr>
          <w:rFonts w:ascii="Times New Roman" w:eastAsia="Times New Roman" w:hAnsi="Times New Roman" w:cs="Times New Roman"/>
          <w:color w:val="000000"/>
          <w:sz w:val="24"/>
          <w:szCs w:val="24"/>
        </w:rPr>
        <w:t xml:space="preserve"> (or affiliates)</w:t>
      </w:r>
      <w:r w:rsidRPr="00AC42B6" w:rsidR="004C521D">
        <w:rPr>
          <w:rFonts w:ascii="Times New Roman" w:eastAsia="Times New Roman" w:hAnsi="Times New Roman" w:cs="Times New Roman"/>
          <w:color w:val="000000"/>
          <w:sz w:val="24"/>
          <w:szCs w:val="24"/>
        </w:rPr>
        <w:t xml:space="preserve"> to determine whether a subsidiary may be required to provide its parent’s documents in discovery. In </w:t>
      </w:r>
      <w:r w:rsidRPr="00AC42B6" w:rsidR="004C521D">
        <w:rPr>
          <w:rFonts w:ascii="Times New Roman" w:eastAsia="Times New Roman" w:hAnsi="Times New Roman" w:cs="Times New Roman"/>
          <w:i/>
          <w:iCs/>
          <w:color w:val="000000"/>
          <w:sz w:val="24"/>
          <w:szCs w:val="24"/>
        </w:rPr>
        <w:t>Dri-Steem Corp. v. NEP, Inc.,</w:t>
      </w:r>
      <w:r>
        <w:rPr>
          <w:rStyle w:val="FootnoteReference"/>
          <w:rFonts w:ascii="Times New Roman" w:eastAsia="Times New Roman" w:hAnsi="Times New Roman" w:cs="Times New Roman"/>
          <w:i/>
          <w:iCs/>
          <w:color w:val="000000"/>
          <w:sz w:val="24"/>
          <w:szCs w:val="24"/>
        </w:rPr>
        <w:footnoteReference w:id="45"/>
      </w:r>
      <w:r w:rsidRPr="00AC42B6" w:rsidR="004C521D">
        <w:rPr>
          <w:rFonts w:ascii="Times New Roman" w:eastAsia="Times New Roman" w:hAnsi="Times New Roman" w:cs="Times New Roman"/>
          <w:color w:val="000000"/>
          <w:sz w:val="24"/>
          <w:szCs w:val="24"/>
        </w:rPr>
        <w:t xml:space="preserve"> the court summarized the approach that courts have taken nationwide, noting that there are certain circumstances under which a subsidiary may be required to turn over information in the possession of the parent: </w:t>
      </w:r>
    </w:p>
    <w:p w:rsidR="00972E12" w:rsidRPr="00AC42B6" w:rsidP="007637E3" w14:paraId="2D1CAEAA" w14:textId="77777777">
      <w:pPr>
        <w:ind w:left="1354"/>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Where the relationship is such that the subsidiary can secure </w:t>
      </w:r>
      <w:r w:rsidRPr="00AC42B6">
        <w:rPr>
          <w:rFonts w:ascii="Times New Roman" w:eastAsia="Times New Roman" w:hAnsi="Times New Roman" w:cs="Times New Roman"/>
          <w:color w:val="000000"/>
          <w:sz w:val="24"/>
          <w:szCs w:val="24"/>
        </w:rPr>
        <w:br/>
        <w:t xml:space="preserve">documents of the parent to meet its own business needs, courts </w:t>
      </w:r>
      <w:r w:rsidRPr="00AC42B6">
        <w:rPr>
          <w:rFonts w:ascii="Times New Roman" w:eastAsia="Times New Roman" w:hAnsi="Times New Roman" w:cs="Times New Roman"/>
          <w:color w:val="000000"/>
          <w:sz w:val="24"/>
          <w:szCs w:val="24"/>
        </w:rPr>
        <w:br/>
        <w:t xml:space="preserve">have not permitted the subsidiary to deny control for purposes of </w:t>
      </w:r>
      <w:r w:rsidRPr="00AC42B6">
        <w:rPr>
          <w:rFonts w:ascii="Times New Roman" w:eastAsia="Times New Roman" w:hAnsi="Times New Roman" w:cs="Times New Roman"/>
          <w:color w:val="000000"/>
          <w:sz w:val="24"/>
          <w:szCs w:val="24"/>
        </w:rPr>
        <w:br/>
        <w:t xml:space="preserve">discovery by an opposing party. </w:t>
      </w:r>
      <w:r w:rsidRPr="00AC42B6">
        <w:rPr>
          <w:rFonts w:ascii="Times New Roman" w:eastAsia="Times New Roman" w:hAnsi="Times New Roman" w:cs="Times New Roman"/>
          <w:i/>
          <w:iCs/>
          <w:color w:val="000000"/>
          <w:sz w:val="24"/>
          <w:szCs w:val="24"/>
        </w:rPr>
        <w:t xml:space="preserve">See e.g., First National City Bank </w:t>
      </w:r>
      <w:r w:rsidRPr="00AC42B6">
        <w:rPr>
          <w:rFonts w:ascii="Times New Roman" w:eastAsia="Times New Roman" w:hAnsi="Times New Roman" w:cs="Times New Roman"/>
          <w:i/>
          <w:iCs/>
          <w:color w:val="000000"/>
          <w:sz w:val="24"/>
          <w:szCs w:val="24"/>
        </w:rPr>
        <w:br/>
        <w:t>v. Internal Revenue Service</w:t>
      </w:r>
      <w:r w:rsidRPr="00AC42B6">
        <w:rPr>
          <w:rFonts w:ascii="Times New Roman" w:eastAsia="Times New Roman" w:hAnsi="Times New Roman" w:cs="Times New Roman"/>
          <w:color w:val="000000"/>
          <w:sz w:val="24"/>
          <w:szCs w:val="24"/>
        </w:rPr>
        <w:t xml:space="preserve">, 271 F.2d 616, 618 (2d Cir. 1959) (where there is access to the documents when the need arises </w:t>
      </w:r>
      <w:r w:rsidRPr="00AC42B6">
        <w:rPr>
          <w:rFonts w:ascii="Times New Roman" w:eastAsia="Times New Roman" w:hAnsi="Times New Roman" w:cs="Times New Roman"/>
          <w:color w:val="000000"/>
          <w:sz w:val="24"/>
          <w:szCs w:val="24"/>
        </w:rPr>
        <w:br/>
        <w:t xml:space="preserve">in the ordinary course of business, there is sufficient control when </w:t>
      </w:r>
      <w:r w:rsidRPr="00AC42B6">
        <w:rPr>
          <w:rFonts w:ascii="Times New Roman" w:eastAsia="Times New Roman" w:hAnsi="Times New Roman" w:cs="Times New Roman"/>
          <w:color w:val="000000"/>
          <w:sz w:val="24"/>
          <w:szCs w:val="24"/>
        </w:rPr>
        <w:br/>
        <w:t xml:space="preserve">the need arises because of governmental requirements); </w:t>
      </w:r>
      <w:r w:rsidRPr="00AC42B6">
        <w:rPr>
          <w:rFonts w:ascii="Times New Roman" w:eastAsia="Times New Roman" w:hAnsi="Times New Roman" w:cs="Times New Roman"/>
          <w:i/>
          <w:iCs/>
          <w:color w:val="000000"/>
          <w:sz w:val="24"/>
          <w:szCs w:val="24"/>
        </w:rPr>
        <w:t xml:space="preserve">Cooper </w:t>
      </w:r>
      <w:r w:rsidRPr="00AC42B6">
        <w:rPr>
          <w:rFonts w:ascii="Times New Roman" w:eastAsia="Times New Roman" w:hAnsi="Times New Roman" w:cs="Times New Roman"/>
          <w:i/>
          <w:iCs/>
          <w:color w:val="000000"/>
          <w:sz w:val="24"/>
          <w:szCs w:val="24"/>
        </w:rPr>
        <w:br/>
        <w:t>Industries v. British Aerospace Corporation</w:t>
      </w:r>
      <w:r w:rsidRPr="00AC42B6">
        <w:rPr>
          <w:rFonts w:ascii="Times New Roman" w:eastAsia="Times New Roman" w:hAnsi="Times New Roman" w:cs="Times New Roman"/>
          <w:color w:val="000000"/>
          <w:sz w:val="24"/>
          <w:szCs w:val="24"/>
        </w:rPr>
        <w:t xml:space="preserve">, 102 F.R.D. 918, 919 </w:t>
      </w:r>
      <w:r w:rsidRPr="00AC42B6">
        <w:rPr>
          <w:rFonts w:ascii="Times New Roman" w:eastAsia="Times New Roman" w:hAnsi="Times New Roman" w:cs="Times New Roman"/>
          <w:color w:val="000000"/>
          <w:sz w:val="24"/>
          <w:szCs w:val="24"/>
        </w:rPr>
        <w:br/>
        <w:t xml:space="preserve">(S.D.N.Y. 1984) (where wholly-owned defendant subsidiary was </w:t>
      </w:r>
      <w:r w:rsidRPr="00AC42B6">
        <w:rPr>
          <w:rFonts w:ascii="Times New Roman" w:eastAsia="Times New Roman" w:hAnsi="Times New Roman" w:cs="Times New Roman"/>
          <w:color w:val="000000"/>
          <w:sz w:val="24"/>
          <w:szCs w:val="24"/>
        </w:rPr>
        <w:br/>
        <w:t xml:space="preserve">the marketer and servicer of parent's aircraft in the United States, it </w:t>
      </w:r>
      <w:r w:rsidRPr="00AC42B6">
        <w:rPr>
          <w:rFonts w:ascii="Times New Roman" w:eastAsia="Times New Roman" w:hAnsi="Times New Roman" w:cs="Times New Roman"/>
          <w:color w:val="000000"/>
          <w:sz w:val="24"/>
          <w:szCs w:val="24"/>
        </w:rPr>
        <w:br/>
        <w:t xml:space="preserve">was found “inconceivable” that subsidiary could not obtain aircraft </w:t>
      </w:r>
      <w:r w:rsidRPr="00AC42B6">
        <w:rPr>
          <w:rFonts w:ascii="Times New Roman" w:eastAsia="Times New Roman" w:hAnsi="Times New Roman" w:cs="Times New Roman"/>
          <w:color w:val="000000"/>
          <w:sz w:val="24"/>
          <w:szCs w:val="24"/>
        </w:rPr>
        <w:br/>
        <w:t xml:space="preserve">manuals and related documents); </w:t>
      </w:r>
      <w:r w:rsidRPr="00AC42B6">
        <w:rPr>
          <w:rFonts w:ascii="Times New Roman" w:eastAsia="Times New Roman" w:hAnsi="Times New Roman" w:cs="Times New Roman"/>
          <w:i/>
          <w:iCs/>
          <w:color w:val="000000"/>
          <w:sz w:val="24"/>
          <w:szCs w:val="24"/>
        </w:rPr>
        <w:t xml:space="preserve">Compagnie Francaise </w:t>
      </w:r>
      <w:r w:rsidRPr="00AC42B6">
        <w:rPr>
          <w:rFonts w:ascii="Times New Roman" w:eastAsia="Times New Roman" w:hAnsi="Times New Roman" w:cs="Times New Roman"/>
          <w:i/>
          <w:iCs/>
          <w:color w:val="000000"/>
          <w:sz w:val="24"/>
          <w:szCs w:val="24"/>
        </w:rPr>
        <w:br/>
        <w:t xml:space="preserve">D'Assurance Pour le Commerce Exterieur v. Phillips Petroleum </w:t>
      </w:r>
      <w:r w:rsidRPr="00AC42B6">
        <w:rPr>
          <w:rFonts w:ascii="Times New Roman" w:eastAsia="Times New Roman" w:hAnsi="Times New Roman" w:cs="Times New Roman"/>
          <w:i/>
          <w:iCs/>
          <w:color w:val="000000"/>
          <w:sz w:val="24"/>
          <w:szCs w:val="24"/>
        </w:rPr>
        <w:br/>
        <w:t>Co.,</w:t>
      </w:r>
      <w:r w:rsidRPr="00AC42B6">
        <w:rPr>
          <w:rFonts w:ascii="Times New Roman" w:eastAsia="Times New Roman" w:hAnsi="Times New Roman" w:cs="Times New Roman"/>
          <w:color w:val="000000"/>
          <w:sz w:val="24"/>
          <w:szCs w:val="24"/>
        </w:rPr>
        <w:t xml:space="preserve"> 105 F.R.D. 16, 35 (S.D.N.Y. 1984) (agent organization should </w:t>
      </w:r>
      <w:r w:rsidRPr="00AC42B6">
        <w:rPr>
          <w:rFonts w:ascii="Times New Roman" w:eastAsia="Times New Roman" w:hAnsi="Times New Roman" w:cs="Times New Roman"/>
          <w:color w:val="000000"/>
          <w:sz w:val="24"/>
          <w:szCs w:val="24"/>
        </w:rPr>
        <w:br/>
        <w:t xml:space="preserve">be required to produce documents held by its principals). District </w:t>
      </w:r>
      <w:r w:rsidRPr="00AC42B6">
        <w:rPr>
          <w:rFonts w:ascii="Times New Roman" w:eastAsia="Times New Roman" w:hAnsi="Times New Roman" w:cs="Times New Roman"/>
          <w:color w:val="000000"/>
          <w:sz w:val="24"/>
          <w:szCs w:val="24"/>
        </w:rPr>
        <w:br/>
        <w:t xml:space="preserve">courts in this circuit have found that a wholly-owned subsidiary </w:t>
      </w:r>
      <w:r w:rsidRPr="00AC42B6">
        <w:rPr>
          <w:rFonts w:ascii="Times New Roman" w:eastAsia="Times New Roman" w:hAnsi="Times New Roman" w:cs="Times New Roman"/>
          <w:color w:val="000000"/>
          <w:sz w:val="24"/>
          <w:szCs w:val="24"/>
        </w:rPr>
        <w:br/>
        <w:t xml:space="preserve">has access and control over documents in the possession of its </w:t>
      </w:r>
      <w:r w:rsidRPr="00AC42B6">
        <w:rPr>
          <w:rFonts w:ascii="Times New Roman" w:eastAsia="Times New Roman" w:hAnsi="Times New Roman" w:cs="Times New Roman"/>
          <w:color w:val="000000"/>
          <w:sz w:val="24"/>
          <w:szCs w:val="24"/>
        </w:rPr>
        <w:br/>
        <w:t xml:space="preserve">parent corporation when it markets the products of the parent </w:t>
      </w:r>
      <w:r w:rsidRPr="00AC42B6">
        <w:rPr>
          <w:rFonts w:ascii="Times New Roman" w:eastAsia="Times New Roman" w:hAnsi="Times New Roman" w:cs="Times New Roman"/>
          <w:color w:val="000000"/>
          <w:sz w:val="24"/>
          <w:szCs w:val="24"/>
        </w:rPr>
        <w:br/>
        <w:t xml:space="preserve">company, when the two companies share databases dealing with a </w:t>
      </w:r>
      <w:r w:rsidRPr="00AC42B6">
        <w:rPr>
          <w:rFonts w:ascii="Times New Roman" w:eastAsia="Times New Roman" w:hAnsi="Times New Roman" w:cs="Times New Roman"/>
          <w:color w:val="000000"/>
          <w:sz w:val="24"/>
          <w:szCs w:val="24"/>
        </w:rPr>
        <w:br/>
        <w:t xml:space="preserve">variety of documents and records, and when the subsidiary is able </w:t>
      </w:r>
      <w:r w:rsidRPr="00AC42B6">
        <w:rPr>
          <w:rFonts w:ascii="Times New Roman" w:eastAsia="Times New Roman" w:hAnsi="Times New Roman" w:cs="Times New Roman"/>
          <w:color w:val="000000"/>
          <w:sz w:val="24"/>
          <w:szCs w:val="24"/>
        </w:rPr>
        <w:br/>
        <w:t xml:space="preserve">to obtain high-level documents from the parent company when it </w:t>
      </w:r>
      <w:r w:rsidRPr="00AC42B6">
        <w:rPr>
          <w:rFonts w:ascii="Times New Roman" w:eastAsia="Times New Roman" w:hAnsi="Times New Roman" w:cs="Times New Roman"/>
          <w:color w:val="000000"/>
          <w:sz w:val="24"/>
          <w:szCs w:val="24"/>
        </w:rPr>
        <w:br/>
        <w:t xml:space="preserve">requests them. </w:t>
      </w:r>
      <w:r w:rsidRPr="00AC42B6">
        <w:rPr>
          <w:rFonts w:ascii="Times New Roman" w:eastAsia="Times New Roman" w:hAnsi="Times New Roman" w:cs="Times New Roman"/>
          <w:i/>
          <w:iCs/>
          <w:color w:val="000000"/>
          <w:sz w:val="24"/>
          <w:szCs w:val="24"/>
        </w:rPr>
        <w:t xml:space="preserve">See Choice-Intersil Microsystems, Inc. v. Agere </w:t>
      </w:r>
      <w:r w:rsidRPr="00AC42B6">
        <w:rPr>
          <w:rFonts w:ascii="Times New Roman" w:eastAsia="Times New Roman" w:hAnsi="Times New Roman" w:cs="Times New Roman"/>
          <w:i/>
          <w:iCs/>
          <w:color w:val="000000"/>
          <w:sz w:val="24"/>
          <w:szCs w:val="24"/>
        </w:rPr>
        <w:br/>
        <w:t>Sys., Inc.</w:t>
      </w:r>
      <w:r w:rsidRPr="00AC42B6">
        <w:rPr>
          <w:rFonts w:ascii="Times New Roman" w:eastAsia="Times New Roman" w:hAnsi="Times New Roman" w:cs="Times New Roman"/>
          <w:color w:val="000000"/>
          <w:sz w:val="24"/>
          <w:szCs w:val="24"/>
        </w:rPr>
        <w:t>, 224 F.R.D. 471, 473 (N.D. Cal. 2004).</w:t>
      </w:r>
      <w:r>
        <w:rPr>
          <w:rStyle w:val="FootnoteReference"/>
          <w:rFonts w:ascii="Times New Roman" w:eastAsia="Times New Roman" w:hAnsi="Times New Roman" w:cs="Times New Roman"/>
          <w:color w:val="000000"/>
          <w:sz w:val="24"/>
          <w:szCs w:val="24"/>
        </w:rPr>
        <w:footnoteReference w:id="46"/>
      </w:r>
      <w:r w:rsidRPr="00AC42B6">
        <w:rPr>
          <w:rFonts w:ascii="Times New Roman" w:eastAsia="Times New Roman" w:hAnsi="Times New Roman" w:cs="Times New Roman"/>
          <w:color w:val="000000"/>
          <w:sz w:val="24"/>
          <w:szCs w:val="24"/>
        </w:rPr>
        <w:t xml:space="preserve"> </w:t>
      </w:r>
    </w:p>
    <w:p w:rsidR="007B002F" w:rsidRPr="00AC42B6" w:rsidP="007B002F" w14:paraId="4065693A" w14:textId="77777777">
      <w:pPr>
        <w:ind w:left="1440" w:firstLine="720"/>
        <w:rPr>
          <w:rFonts w:ascii="Times New Roman" w:eastAsia="Times New Roman" w:hAnsi="Times New Roman" w:cs="Times New Roman"/>
          <w:color w:val="000000"/>
          <w:sz w:val="24"/>
          <w:szCs w:val="24"/>
        </w:rPr>
      </w:pPr>
    </w:p>
    <w:p w:rsidR="004978B1" w:rsidRPr="00AC42B6" w14:paraId="0D82BC20" w14:textId="77777777">
      <w:pPr>
        <w:rPr>
          <w:rFonts w:ascii="Times New Roman" w:hAnsi="Times New Roman" w:cs="Times New Roman"/>
          <w:sz w:val="24"/>
          <w:szCs w:val="24"/>
        </w:rPr>
      </w:pPr>
      <w:r w:rsidRPr="00AC42B6">
        <w:rPr>
          <w:rFonts w:ascii="Times New Roman" w:hAnsi="Times New Roman" w:cs="Times New Roman"/>
          <w:sz w:val="24"/>
          <w:szCs w:val="24"/>
        </w:rPr>
        <w:br w:type="page"/>
      </w:r>
    </w:p>
    <w:p w:rsidR="00C62914" w:rsidRPr="00AC42B6" w:rsidP="00A1512F" w14:paraId="6B77DA3C" w14:textId="77777777">
      <w:pPr>
        <w:spacing w:line="480" w:lineRule="auto"/>
        <w:ind w:firstLine="720"/>
        <w:rPr>
          <w:rFonts w:ascii="Times New Roman" w:eastAsia="Times New Roman" w:hAnsi="Times New Roman" w:cs="Times New Roman"/>
          <w:b/>
          <w:bCs/>
          <w:color w:val="000000"/>
          <w:sz w:val="24"/>
          <w:szCs w:val="24"/>
        </w:rPr>
      </w:pPr>
      <w:r w:rsidRPr="00AC42B6">
        <w:rPr>
          <w:rFonts w:ascii="Times New Roman" w:hAnsi="Times New Roman" w:cs="Times New Roman"/>
          <w:sz w:val="24"/>
          <w:szCs w:val="24"/>
        </w:rPr>
        <w:t>Following these standards, the PUCO should require AEP</w:t>
      </w:r>
      <w:r w:rsidRPr="00AC42B6" w:rsidR="00291299">
        <w:rPr>
          <w:rFonts w:ascii="Times New Roman" w:hAnsi="Times New Roman" w:cs="Times New Roman"/>
          <w:sz w:val="24"/>
          <w:szCs w:val="24"/>
        </w:rPr>
        <w:t xml:space="preserve"> Ohio</w:t>
      </w:r>
      <w:r w:rsidRPr="00AC42B6">
        <w:rPr>
          <w:rFonts w:ascii="Times New Roman" w:hAnsi="Times New Roman" w:cs="Times New Roman"/>
          <w:sz w:val="24"/>
          <w:szCs w:val="24"/>
        </w:rPr>
        <w:t xml:space="preserve"> to produce information being held </w:t>
      </w:r>
      <w:r w:rsidRPr="00AC42B6" w:rsidR="00294201">
        <w:rPr>
          <w:rFonts w:ascii="Times New Roman" w:hAnsi="Times New Roman" w:cs="Times New Roman"/>
          <w:sz w:val="24"/>
          <w:szCs w:val="24"/>
        </w:rPr>
        <w:t xml:space="preserve">by </w:t>
      </w:r>
      <w:r w:rsidRPr="00AC42B6">
        <w:rPr>
          <w:rFonts w:ascii="Times New Roman" w:hAnsi="Times New Roman" w:cs="Times New Roman"/>
          <w:sz w:val="24"/>
          <w:szCs w:val="24"/>
        </w:rPr>
        <w:t>its affiliates concerning policies and practices for bidding into a regional transmission organization’s Day-Ahead Energy Market.   As shown above, AEP</w:t>
      </w:r>
      <w:r w:rsidRPr="00AC42B6" w:rsidR="00291299">
        <w:rPr>
          <w:rFonts w:ascii="Times New Roman" w:hAnsi="Times New Roman" w:cs="Times New Roman"/>
          <w:sz w:val="24"/>
          <w:szCs w:val="24"/>
        </w:rPr>
        <w:t xml:space="preserve"> Ohio</w:t>
      </w:r>
      <w:r w:rsidRPr="00AC42B6">
        <w:rPr>
          <w:rFonts w:ascii="Times New Roman" w:hAnsi="Times New Roman" w:cs="Times New Roman"/>
          <w:sz w:val="24"/>
          <w:szCs w:val="24"/>
        </w:rPr>
        <w:t xml:space="preserve"> can secure documents from the parent company. and its affiliates when the need arises in the ordinary course of business.  Under the case law discussed above, the PUCO should therefore require AEP</w:t>
      </w:r>
      <w:r w:rsidRPr="00AC42B6" w:rsidR="00291299">
        <w:rPr>
          <w:rFonts w:ascii="Times New Roman" w:hAnsi="Times New Roman" w:cs="Times New Roman"/>
          <w:sz w:val="24"/>
          <w:szCs w:val="24"/>
        </w:rPr>
        <w:t xml:space="preserve"> Ohio</w:t>
      </w:r>
      <w:r w:rsidRPr="00AC42B6">
        <w:rPr>
          <w:rFonts w:ascii="Times New Roman" w:hAnsi="Times New Roman" w:cs="Times New Roman"/>
          <w:sz w:val="24"/>
          <w:szCs w:val="24"/>
        </w:rPr>
        <w:t xml:space="preserve"> to produce information on its affiliates’ bidding policies and practices.</w:t>
      </w:r>
    </w:p>
    <w:p w:rsidR="003202D9" w:rsidRPr="00AC42B6" w:rsidP="006B662E" w14:paraId="6FFC1BFE" w14:textId="77777777">
      <w:pPr>
        <w:pStyle w:val="Heading2"/>
        <w:rPr>
          <w:rFonts w:ascii="Times New Roman" w:hAnsi="Times New Roman" w:cs="Times New Roman"/>
        </w:rPr>
      </w:pPr>
      <w:bookmarkStart w:id="7" w:name="_Toc90912421"/>
      <w:r w:rsidRPr="00AC42B6">
        <w:rPr>
          <w:rFonts w:ascii="Times New Roman" w:hAnsi="Times New Roman" w:cs="Times New Roman"/>
        </w:rPr>
        <w:t>The PUCO may properly consider AEP</w:t>
      </w:r>
      <w:r w:rsidRPr="00AC42B6" w:rsidR="006B662E">
        <w:rPr>
          <w:rFonts w:ascii="Times New Roman" w:hAnsi="Times New Roman" w:cs="Times New Roman"/>
        </w:rPr>
        <w:t xml:space="preserve"> Ohio</w:t>
      </w:r>
      <w:r w:rsidRPr="00AC42B6">
        <w:rPr>
          <w:rFonts w:ascii="Times New Roman" w:hAnsi="Times New Roman" w:cs="Times New Roman"/>
        </w:rPr>
        <w:t>’s actions after the audit period in deciding whether the OVEC charges are just and reasonable.</w:t>
      </w:r>
      <w:bookmarkEnd w:id="7"/>
    </w:p>
    <w:p w:rsidR="00A1512F" w:rsidRPr="00AC42B6" w:rsidP="00A84352" w14:paraId="35CAC434"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AEP</w:t>
      </w:r>
      <w:r w:rsidRPr="00AC42B6" w:rsidR="006B662E">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also seeks a protective order to block the discovery of information that occurred o</w:t>
      </w:r>
      <w:r w:rsidRPr="00AC42B6" w:rsidR="00A84352">
        <w:rPr>
          <w:rFonts w:ascii="Times New Roman" w:eastAsia="Times New Roman" w:hAnsi="Times New Roman" w:cs="Times New Roman"/>
          <w:color w:val="000000"/>
          <w:sz w:val="24"/>
          <w:szCs w:val="24"/>
        </w:rPr>
        <w:t>r was prepared after</w:t>
      </w:r>
      <w:r w:rsidRPr="00AC42B6">
        <w:rPr>
          <w:rFonts w:ascii="Times New Roman" w:eastAsia="Times New Roman" w:hAnsi="Times New Roman" w:cs="Times New Roman"/>
          <w:color w:val="000000"/>
          <w:sz w:val="24"/>
          <w:szCs w:val="24"/>
        </w:rPr>
        <w:t xml:space="preserve"> the audit period.</w:t>
      </w:r>
      <w:r w:rsidRPr="00AC42B6" w:rsidR="00A84352">
        <w:rPr>
          <w:rFonts w:ascii="Times New Roman" w:eastAsia="Times New Roman" w:hAnsi="Times New Roman" w:cs="Times New Roman"/>
          <w:color w:val="000000"/>
          <w:sz w:val="24"/>
          <w:szCs w:val="24"/>
        </w:rPr>
        <w:t xml:space="preserve">  Once again, AEP</w:t>
      </w:r>
      <w:r w:rsidRPr="00AC42B6" w:rsidR="006B662E">
        <w:rPr>
          <w:rFonts w:ascii="Times New Roman" w:eastAsia="Times New Roman" w:hAnsi="Times New Roman" w:cs="Times New Roman"/>
          <w:color w:val="000000"/>
          <w:sz w:val="24"/>
          <w:szCs w:val="24"/>
        </w:rPr>
        <w:t xml:space="preserve"> Ohio</w:t>
      </w:r>
      <w:r w:rsidRPr="00AC42B6" w:rsidR="00A84352">
        <w:rPr>
          <w:rFonts w:ascii="Times New Roman" w:eastAsia="Times New Roman" w:hAnsi="Times New Roman" w:cs="Times New Roman"/>
          <w:color w:val="000000"/>
          <w:sz w:val="24"/>
          <w:szCs w:val="24"/>
        </w:rPr>
        <w:t xml:space="preserve"> relies on</w:t>
      </w:r>
      <w:r w:rsidRPr="00AC42B6">
        <w:rPr>
          <w:rFonts w:ascii="Times New Roman" w:eastAsia="Times New Roman" w:hAnsi="Times New Roman" w:cs="Times New Roman"/>
          <w:color w:val="000000"/>
          <w:sz w:val="24"/>
          <w:szCs w:val="24"/>
        </w:rPr>
        <w:t xml:space="preserve"> </w:t>
      </w:r>
      <w:r w:rsidRPr="00AC42B6">
        <w:rPr>
          <w:rFonts w:ascii="Times New Roman" w:eastAsia="Times New Roman" w:hAnsi="Times New Roman" w:cs="Times New Roman"/>
          <w:i/>
          <w:iCs/>
          <w:color w:val="000000"/>
          <w:sz w:val="24"/>
          <w:szCs w:val="24"/>
        </w:rPr>
        <w:t>In re Dominion Purchased Gas Adjustment Clause</w:t>
      </w:r>
      <w:r w:rsidRPr="00AC42B6" w:rsidR="00DC45D1">
        <w:rPr>
          <w:rFonts w:ascii="Times New Roman" w:eastAsia="Times New Roman" w:hAnsi="Times New Roman" w:cs="Times New Roman"/>
          <w:color w:val="000000"/>
          <w:sz w:val="24"/>
          <w:szCs w:val="24"/>
        </w:rPr>
        <w:t>. H</w:t>
      </w:r>
      <w:r w:rsidRPr="00AC42B6" w:rsidR="00A84352">
        <w:rPr>
          <w:rFonts w:ascii="Times New Roman" w:eastAsia="Times New Roman" w:hAnsi="Times New Roman" w:cs="Times New Roman"/>
          <w:color w:val="000000"/>
          <w:sz w:val="24"/>
          <w:szCs w:val="24"/>
        </w:rPr>
        <w:t>owever, this ruling actually supports OCC’s position</w:t>
      </w:r>
      <w:r w:rsidRPr="00AC42B6" w:rsidR="00DC45D1">
        <w:rPr>
          <w:rFonts w:ascii="Times New Roman" w:eastAsia="Times New Roman" w:hAnsi="Times New Roman" w:cs="Times New Roman"/>
          <w:color w:val="000000"/>
          <w:sz w:val="24"/>
          <w:szCs w:val="24"/>
        </w:rPr>
        <w:t>. That is</w:t>
      </w:r>
      <w:r w:rsidRPr="00AC42B6" w:rsidR="00A84352">
        <w:rPr>
          <w:rFonts w:ascii="Times New Roman" w:eastAsia="Times New Roman" w:hAnsi="Times New Roman" w:cs="Times New Roman"/>
          <w:color w:val="000000"/>
          <w:sz w:val="24"/>
          <w:szCs w:val="24"/>
        </w:rPr>
        <w:t xml:space="preserve"> because</w:t>
      </w:r>
      <w:r w:rsidRPr="00AC42B6" w:rsidR="00DC45D1">
        <w:rPr>
          <w:rFonts w:ascii="Times New Roman" w:eastAsia="Times New Roman" w:hAnsi="Times New Roman" w:cs="Times New Roman"/>
          <w:color w:val="000000"/>
          <w:sz w:val="24"/>
          <w:szCs w:val="24"/>
        </w:rPr>
        <w:t>,</w:t>
      </w:r>
      <w:r w:rsidRPr="00AC42B6" w:rsidR="00A84352">
        <w:rPr>
          <w:rFonts w:ascii="Times New Roman" w:eastAsia="Times New Roman" w:hAnsi="Times New Roman" w:cs="Times New Roman"/>
          <w:color w:val="000000"/>
          <w:sz w:val="24"/>
          <w:szCs w:val="24"/>
        </w:rPr>
        <w:t xml:space="preserve"> in that case, </w:t>
      </w:r>
      <w:r w:rsidRPr="00AC42B6">
        <w:rPr>
          <w:rFonts w:ascii="Times New Roman" w:eastAsia="Times New Roman" w:hAnsi="Times New Roman" w:cs="Times New Roman"/>
          <w:color w:val="000000"/>
          <w:sz w:val="24"/>
          <w:szCs w:val="24"/>
        </w:rPr>
        <w:t>the PUCO ruled that OCC could obtain discovery of certain transactions going back ten years even though the case only involved a prudency review of Dominion’s gas costs for the two-year period ending October 31, 2005.</w:t>
      </w:r>
      <w:r>
        <w:rPr>
          <w:rStyle w:val="FootnoteReference"/>
          <w:rFonts w:ascii="Times New Roman" w:eastAsia="Times New Roman" w:hAnsi="Times New Roman" w:cs="Times New Roman"/>
          <w:color w:val="000000"/>
          <w:sz w:val="24"/>
          <w:szCs w:val="24"/>
        </w:rPr>
        <w:footnoteReference w:id="47"/>
      </w:r>
      <w:r w:rsidRPr="00AC42B6">
        <w:rPr>
          <w:rFonts w:ascii="Times New Roman" w:eastAsia="Times New Roman" w:hAnsi="Times New Roman" w:cs="Times New Roman"/>
          <w:color w:val="000000"/>
          <w:sz w:val="24"/>
          <w:szCs w:val="24"/>
        </w:rPr>
        <w:t xml:space="preserve">   The Attorney Examiner reasoned that the sought-after discovery was relevant to whether the costs during the audit period (and during the prior audit periods) was just and reasonable.</w:t>
      </w:r>
      <w:r>
        <w:rPr>
          <w:rStyle w:val="FootnoteReference"/>
          <w:rFonts w:ascii="Times New Roman" w:eastAsia="Times New Roman" w:hAnsi="Times New Roman" w:cs="Times New Roman"/>
          <w:color w:val="000000"/>
          <w:sz w:val="24"/>
          <w:szCs w:val="24"/>
        </w:rPr>
        <w:footnoteReference w:id="48"/>
      </w:r>
    </w:p>
    <w:p w:rsidR="00A84352" w:rsidRPr="00AC42B6" w:rsidP="00A84352" w14:paraId="3ED5CC24"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In the present case, OCC seeks discovery of information that occurred or was prepared after the audit period, but this information is relevant to whether OVEC’s charges for 2018 and 2019 are just and reasonable.  As discussed earlier, the PUCO approved the OVEC charges based on AEP</w:t>
      </w:r>
      <w:r w:rsidRPr="00AC42B6" w:rsidR="006B662E">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’s projection (which the auditor now reveals had a faulty assumption) that the OVEC charges would be a net credit over the lifetime of the “hedge” mechanism.  If information that occurred or was produced after the audit period shows that the OVEC charges will never be a net credit, then the PUCO should not approve collection of any above-market charges for 2018 or 2019 because this would be unjust and unreasonable.</w:t>
      </w:r>
    </w:p>
    <w:p w:rsidR="00A84352" w:rsidRPr="00AC42B6" w:rsidP="007637E3" w14:paraId="2B056555" w14:textId="77777777">
      <w:pPr>
        <w:pStyle w:val="Heading1"/>
        <w:rPr>
          <w:rFonts w:ascii="Times New Roman" w:hAnsi="Times New Roman" w:cs="Times New Roman"/>
          <w:szCs w:val="24"/>
        </w:rPr>
      </w:pPr>
      <w:bookmarkStart w:id="8" w:name="_Toc90912422"/>
      <w:r w:rsidRPr="00AC42B6">
        <w:rPr>
          <w:rFonts w:ascii="Times New Roman" w:hAnsi="Times New Roman" w:cs="Times New Roman"/>
          <w:szCs w:val="24"/>
        </w:rPr>
        <w:t>II.</w:t>
      </w:r>
      <w:r w:rsidRPr="00AC42B6">
        <w:rPr>
          <w:rFonts w:ascii="Times New Roman" w:hAnsi="Times New Roman" w:cs="Times New Roman"/>
          <w:szCs w:val="24"/>
        </w:rPr>
        <w:tab/>
        <w:t>CONCLUSION</w:t>
      </w:r>
      <w:bookmarkEnd w:id="8"/>
    </w:p>
    <w:p w:rsidR="006B662E" w:rsidRPr="00AC42B6" w:rsidP="00E41BF0" w14:paraId="090D4912"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 xml:space="preserve">OCC needs </w:t>
      </w:r>
      <w:r w:rsidRPr="00AC42B6" w:rsidR="00DC45D1">
        <w:rPr>
          <w:rFonts w:ascii="Times New Roman" w:eastAsia="Times New Roman" w:hAnsi="Times New Roman" w:cs="Times New Roman"/>
          <w:color w:val="000000"/>
          <w:sz w:val="24"/>
          <w:szCs w:val="24"/>
        </w:rPr>
        <w:t>information from AEP Ohio for case preparation as part of</w:t>
      </w:r>
      <w:r w:rsidRPr="00AC42B6">
        <w:rPr>
          <w:rFonts w:ascii="Times New Roman" w:eastAsia="Times New Roman" w:hAnsi="Times New Roman" w:cs="Times New Roman"/>
          <w:color w:val="000000"/>
          <w:sz w:val="24"/>
          <w:szCs w:val="24"/>
        </w:rPr>
        <w:t xml:space="preserve"> protect</w:t>
      </w:r>
      <w:r w:rsidRPr="00AC42B6" w:rsidR="00DC45D1">
        <w:rPr>
          <w:rFonts w:ascii="Times New Roman" w:eastAsia="Times New Roman" w:hAnsi="Times New Roman" w:cs="Times New Roman"/>
          <w:color w:val="000000"/>
          <w:sz w:val="24"/>
          <w:szCs w:val="24"/>
        </w:rPr>
        <w:t>ing</w:t>
      </w:r>
      <w:r w:rsidRPr="00AC42B6">
        <w:rPr>
          <w:rFonts w:ascii="Times New Roman" w:eastAsia="Times New Roman" w:hAnsi="Times New Roman" w:cs="Times New Roman"/>
          <w:color w:val="000000"/>
          <w:sz w:val="24"/>
          <w:szCs w:val="24"/>
        </w:rPr>
        <w:t xml:space="preserve"> consumers from the </w:t>
      </w:r>
      <w:r w:rsidRPr="00AC42B6" w:rsidR="00B8353E">
        <w:rPr>
          <w:rFonts w:ascii="Times New Roman" w:eastAsia="Times New Roman" w:hAnsi="Times New Roman" w:cs="Times New Roman"/>
          <w:color w:val="000000"/>
          <w:sz w:val="24"/>
          <w:szCs w:val="24"/>
        </w:rPr>
        <w:t xml:space="preserve">OVEC subsidy charge.  </w:t>
      </w:r>
      <w:r w:rsidRPr="00AC42B6" w:rsidR="00DC45D1">
        <w:rPr>
          <w:rFonts w:ascii="Times New Roman" w:eastAsia="Times New Roman" w:hAnsi="Times New Roman" w:cs="Times New Roman"/>
          <w:color w:val="000000"/>
          <w:sz w:val="24"/>
          <w:szCs w:val="24"/>
        </w:rPr>
        <w:t>T</w:t>
      </w:r>
      <w:r w:rsidRPr="00AC42B6" w:rsidR="00B8353E">
        <w:rPr>
          <w:rFonts w:ascii="Times New Roman" w:eastAsia="Times New Roman" w:hAnsi="Times New Roman" w:cs="Times New Roman"/>
          <w:color w:val="000000"/>
          <w:sz w:val="24"/>
          <w:szCs w:val="24"/>
        </w:rPr>
        <w:t xml:space="preserve">he information OCC seeks is relevant to the issue of whether the OVEC subsidy charge is just and reasonable.  </w:t>
      </w:r>
    </w:p>
    <w:p w:rsidR="004B4919" w:rsidRPr="00AC42B6" w:rsidP="00E41BF0" w14:paraId="5DB8ED30" w14:textId="77777777">
      <w:pPr>
        <w:widowControl/>
        <w:spacing w:line="480" w:lineRule="auto"/>
        <w:ind w:firstLine="720"/>
        <w:rPr>
          <w:rFonts w:ascii="Times New Roman" w:eastAsia="Times New Roman" w:hAnsi="Times New Roman" w:cs="Times New Roman"/>
          <w:color w:val="000000"/>
          <w:sz w:val="24"/>
          <w:szCs w:val="24"/>
        </w:rPr>
      </w:pPr>
      <w:r w:rsidRPr="00AC42B6">
        <w:rPr>
          <w:rFonts w:ascii="Times New Roman" w:eastAsia="Times New Roman" w:hAnsi="Times New Roman" w:cs="Times New Roman"/>
          <w:color w:val="000000"/>
          <w:sz w:val="24"/>
          <w:szCs w:val="24"/>
        </w:rPr>
        <w:t>At every turn, AEP</w:t>
      </w:r>
      <w:r w:rsidRPr="00AC42B6" w:rsidR="006B662E">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has attempted to block OCC’s efforts to obtain information.  When OCC sought a deposition from AEP</w:t>
      </w:r>
      <w:r w:rsidRPr="00AC42B6" w:rsidR="006B662E">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’s designated representative, AEP</w:t>
      </w:r>
      <w:r w:rsidRPr="00AC42B6" w:rsidR="006B662E">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filed a motion for protective order.</w:t>
      </w:r>
      <w:r>
        <w:rPr>
          <w:rStyle w:val="FootnoteReference"/>
          <w:rFonts w:ascii="Times New Roman" w:eastAsia="Times New Roman" w:hAnsi="Times New Roman" w:cs="Times New Roman"/>
          <w:color w:val="000000"/>
          <w:sz w:val="24"/>
          <w:szCs w:val="24"/>
        </w:rPr>
        <w:footnoteReference w:id="49"/>
      </w:r>
      <w:r w:rsidRPr="00AC42B6">
        <w:rPr>
          <w:rFonts w:ascii="Times New Roman" w:eastAsia="Times New Roman" w:hAnsi="Times New Roman" w:cs="Times New Roman"/>
          <w:color w:val="000000"/>
          <w:sz w:val="24"/>
          <w:szCs w:val="24"/>
        </w:rPr>
        <w:t xml:space="preserve">  When OCC sought a subpoena to depose OVEC’s designated representative, AEP</w:t>
      </w:r>
      <w:r w:rsidRPr="00AC42B6" w:rsidR="006B662E">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filed a motion to quash.</w:t>
      </w:r>
      <w:r>
        <w:rPr>
          <w:rStyle w:val="FootnoteReference"/>
          <w:rFonts w:ascii="Times New Roman" w:eastAsia="Times New Roman" w:hAnsi="Times New Roman" w:cs="Times New Roman"/>
          <w:color w:val="000000"/>
          <w:sz w:val="24"/>
          <w:szCs w:val="24"/>
        </w:rPr>
        <w:footnoteReference w:id="50"/>
      </w:r>
      <w:r w:rsidRPr="00AC42B6">
        <w:rPr>
          <w:rFonts w:ascii="Times New Roman" w:eastAsia="Times New Roman" w:hAnsi="Times New Roman" w:cs="Times New Roman"/>
          <w:color w:val="000000"/>
          <w:sz w:val="24"/>
          <w:szCs w:val="24"/>
        </w:rPr>
        <w:t xml:space="preserve">  The PUCO </w:t>
      </w:r>
      <w:r w:rsidRPr="00AC42B6" w:rsidR="004F5B65">
        <w:rPr>
          <w:rFonts w:ascii="Times New Roman" w:eastAsia="Times New Roman" w:hAnsi="Times New Roman" w:cs="Times New Roman"/>
          <w:color w:val="000000"/>
          <w:sz w:val="24"/>
          <w:szCs w:val="24"/>
        </w:rPr>
        <w:t>approved</w:t>
      </w:r>
      <w:r w:rsidRPr="00AC42B6">
        <w:rPr>
          <w:rFonts w:ascii="Times New Roman" w:eastAsia="Times New Roman" w:hAnsi="Times New Roman" w:cs="Times New Roman"/>
          <w:color w:val="000000"/>
          <w:sz w:val="24"/>
          <w:szCs w:val="24"/>
        </w:rPr>
        <w:t xml:space="preserve"> OCC’s </w:t>
      </w:r>
      <w:r w:rsidRPr="00AC42B6" w:rsidR="004F5B65">
        <w:rPr>
          <w:rFonts w:ascii="Times New Roman" w:eastAsia="Times New Roman" w:hAnsi="Times New Roman" w:cs="Times New Roman"/>
          <w:color w:val="000000"/>
          <w:sz w:val="24"/>
          <w:szCs w:val="24"/>
        </w:rPr>
        <w:t xml:space="preserve">request to depose </w:t>
      </w:r>
      <w:r w:rsidRPr="00AC42B6">
        <w:rPr>
          <w:rFonts w:ascii="Times New Roman" w:eastAsia="Times New Roman" w:hAnsi="Times New Roman" w:cs="Times New Roman"/>
          <w:color w:val="000000"/>
          <w:sz w:val="24"/>
          <w:szCs w:val="24"/>
        </w:rPr>
        <w:t>AEP</w:t>
      </w:r>
      <w:r w:rsidRPr="00AC42B6" w:rsidR="006B662E">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’s corporate representative</w:t>
      </w:r>
      <w:r>
        <w:rPr>
          <w:rStyle w:val="FootnoteReference"/>
          <w:rFonts w:ascii="Times New Roman" w:eastAsia="Times New Roman" w:hAnsi="Times New Roman" w:cs="Times New Roman"/>
          <w:color w:val="000000"/>
          <w:sz w:val="24"/>
          <w:szCs w:val="24"/>
        </w:rPr>
        <w:footnoteReference w:id="51"/>
      </w:r>
      <w:r w:rsidRPr="00AC42B6">
        <w:rPr>
          <w:rFonts w:ascii="Times New Roman" w:eastAsia="Times New Roman" w:hAnsi="Times New Roman" w:cs="Times New Roman"/>
          <w:color w:val="000000"/>
          <w:sz w:val="24"/>
          <w:szCs w:val="24"/>
        </w:rPr>
        <w:t xml:space="preserve"> and AEP</w:t>
      </w:r>
      <w:r w:rsidRPr="00AC42B6" w:rsidR="006B662E">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 xml:space="preserve"> now seeks to produce the witness for deposition but to unreasonably limit the deposition topics and documents so that the witness would not produce any meaningful information.  The PUCO should overrule AEP</w:t>
      </w:r>
      <w:r w:rsidRPr="00AC42B6" w:rsidR="006B662E">
        <w:rPr>
          <w:rFonts w:ascii="Times New Roman" w:eastAsia="Times New Roman" w:hAnsi="Times New Roman" w:cs="Times New Roman"/>
          <w:color w:val="000000"/>
          <w:sz w:val="24"/>
          <w:szCs w:val="24"/>
        </w:rPr>
        <w:t xml:space="preserve"> Ohio</w:t>
      </w:r>
      <w:r w:rsidRPr="00AC42B6">
        <w:rPr>
          <w:rFonts w:ascii="Times New Roman" w:eastAsia="Times New Roman" w:hAnsi="Times New Roman" w:cs="Times New Roman"/>
          <w:color w:val="000000"/>
          <w:sz w:val="24"/>
          <w:szCs w:val="24"/>
        </w:rPr>
        <w:t>’s motion for protective order and allow OCC to obtain the information it needs to investigate the  OVEC subsidy charge</w:t>
      </w:r>
      <w:r w:rsidRPr="00AC42B6" w:rsidR="00DC45D1">
        <w:rPr>
          <w:rFonts w:ascii="Times New Roman" w:eastAsia="Times New Roman" w:hAnsi="Times New Roman" w:cs="Times New Roman"/>
          <w:color w:val="000000"/>
          <w:sz w:val="24"/>
          <w:szCs w:val="24"/>
        </w:rPr>
        <w:t xml:space="preserve"> for protection of a million residential AEP consumers</w:t>
      </w:r>
      <w:r w:rsidRPr="00AC42B6">
        <w:rPr>
          <w:rFonts w:ascii="Times New Roman" w:eastAsia="Times New Roman" w:hAnsi="Times New Roman" w:cs="Times New Roman"/>
          <w:color w:val="000000"/>
          <w:sz w:val="24"/>
          <w:szCs w:val="24"/>
        </w:rPr>
        <w:t>.</w:t>
      </w:r>
    </w:p>
    <w:p w:rsidR="007637E3" w:rsidRPr="00AC42B6" w:rsidP="007637E3" w14:paraId="1A702661" w14:textId="77777777">
      <w:pPr>
        <w:pStyle w:val="Footer"/>
        <w:tabs>
          <w:tab w:val="left" w:pos="4320"/>
        </w:tabs>
        <w:ind w:left="4320"/>
        <w:rPr>
          <w:rFonts w:ascii="Times New Roman" w:hAnsi="Times New Roman" w:cs="Times New Roman"/>
          <w:sz w:val="24"/>
          <w:szCs w:val="24"/>
        </w:rPr>
      </w:pPr>
    </w:p>
    <w:p w:rsidR="007637E3" w:rsidRPr="00AC42B6" w:rsidP="007637E3" w14:paraId="5B7D05D8" w14:textId="77777777">
      <w:pPr>
        <w:pStyle w:val="Footer"/>
        <w:tabs>
          <w:tab w:val="left" w:pos="4320"/>
        </w:tabs>
        <w:ind w:left="4320"/>
        <w:rPr>
          <w:rFonts w:ascii="Times New Roman" w:hAnsi="Times New Roman" w:cs="Times New Roman"/>
          <w:sz w:val="24"/>
          <w:szCs w:val="24"/>
        </w:rPr>
      </w:pPr>
    </w:p>
    <w:p w:rsidR="007637E3" w:rsidRPr="00AC42B6" w:rsidP="007637E3" w14:paraId="6656088E" w14:textId="77777777">
      <w:pPr>
        <w:pStyle w:val="Footer"/>
        <w:tabs>
          <w:tab w:val="left" w:pos="4320"/>
        </w:tabs>
        <w:ind w:left="4320"/>
        <w:rPr>
          <w:rFonts w:ascii="Times New Roman" w:hAnsi="Times New Roman" w:cs="Times New Roman"/>
          <w:sz w:val="24"/>
          <w:szCs w:val="24"/>
        </w:rPr>
      </w:pPr>
    </w:p>
    <w:p w:rsidR="004978B1" w:rsidRPr="00AC42B6" w14:paraId="0D932EAB" w14:textId="77777777">
      <w:pPr>
        <w:rPr>
          <w:rFonts w:ascii="Times New Roman" w:hAnsi="Times New Roman" w:cs="Times New Roman"/>
          <w:sz w:val="24"/>
          <w:szCs w:val="24"/>
        </w:rPr>
      </w:pPr>
      <w:r w:rsidRPr="00AC42B6">
        <w:rPr>
          <w:rFonts w:ascii="Times New Roman" w:hAnsi="Times New Roman" w:cs="Times New Roman"/>
          <w:sz w:val="24"/>
          <w:szCs w:val="24"/>
        </w:rPr>
        <w:br w:type="page"/>
      </w:r>
    </w:p>
    <w:p w:rsidR="007637E3" w:rsidRPr="00AC42B6" w:rsidP="007637E3" w14:paraId="62720BFE" w14:textId="77777777">
      <w:pPr>
        <w:pStyle w:val="Foote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Respectfully submitted,</w:t>
      </w:r>
    </w:p>
    <w:p w:rsidR="007637E3" w:rsidRPr="00AC42B6" w:rsidP="007637E3" w14:paraId="4C43001D" w14:textId="77777777">
      <w:pPr>
        <w:pStyle w:val="Footer"/>
        <w:tabs>
          <w:tab w:val="left" w:pos="4320"/>
        </w:tabs>
        <w:ind w:left="4320"/>
        <w:rPr>
          <w:rFonts w:ascii="Times New Roman" w:hAnsi="Times New Roman" w:cs="Times New Roman"/>
          <w:sz w:val="24"/>
          <w:szCs w:val="24"/>
        </w:rPr>
      </w:pPr>
    </w:p>
    <w:p w:rsidR="007637E3" w:rsidRPr="00AC42B6" w:rsidP="007637E3" w14:paraId="41684781" w14:textId="77777777">
      <w:pPr>
        <w:pStyle w:val="Foote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Bruce Weston (0016973)</w:t>
      </w:r>
    </w:p>
    <w:p w:rsidR="007637E3" w:rsidRPr="00AC42B6" w:rsidP="007637E3" w14:paraId="588BFA13" w14:textId="77777777">
      <w:pP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Ohio Consumers’ Counsel</w:t>
      </w:r>
    </w:p>
    <w:p w:rsidR="007637E3" w:rsidRPr="00AC42B6" w:rsidP="007637E3" w14:paraId="0D059F6B" w14:textId="77777777">
      <w:pPr>
        <w:pStyle w:val="ListParagraph"/>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ab/>
      </w:r>
    </w:p>
    <w:p w:rsidR="007637E3" w:rsidRPr="00AC42B6" w:rsidP="007637E3" w14:paraId="2BC190A8" w14:textId="77777777">
      <w:pPr>
        <w:pStyle w:val="ListParagraph"/>
        <w:tabs>
          <w:tab w:val="left" w:pos="4320"/>
        </w:tabs>
        <w:ind w:left="4320"/>
        <w:rPr>
          <w:rFonts w:ascii="Times New Roman" w:hAnsi="Times New Roman" w:cs="Times New Roman"/>
          <w:i/>
          <w:iCs/>
          <w:sz w:val="24"/>
          <w:szCs w:val="24"/>
          <w:u w:val="single"/>
        </w:rPr>
      </w:pPr>
      <w:r w:rsidRPr="00AC42B6">
        <w:rPr>
          <w:rFonts w:ascii="Times New Roman" w:hAnsi="Times New Roman" w:cs="Times New Roman"/>
          <w:i/>
          <w:iCs/>
          <w:sz w:val="24"/>
          <w:szCs w:val="24"/>
          <w:u w:val="single"/>
        </w:rPr>
        <w:t>/s/ John Finnigan</w:t>
      </w:r>
    </w:p>
    <w:p w:rsidR="007637E3" w:rsidRPr="00AC42B6" w:rsidP="007637E3" w14:paraId="3BD74D21" w14:textId="77777777">
      <w:pP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Christopher Healey (0086027)</w:t>
      </w:r>
    </w:p>
    <w:p w:rsidR="007637E3" w:rsidRPr="00AC42B6" w:rsidP="007637E3" w14:paraId="4DB6CB7F" w14:textId="77777777">
      <w:pP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Counsel of Record</w:t>
      </w:r>
    </w:p>
    <w:p w:rsidR="007637E3" w:rsidRPr="00AC42B6" w:rsidP="007637E3" w14:paraId="78A99F2D" w14:textId="77777777">
      <w:pP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William Michael (0070921)</w:t>
      </w:r>
    </w:p>
    <w:p w:rsidR="007637E3" w:rsidRPr="00AC42B6" w:rsidP="007637E3" w14:paraId="1E4C6B99" w14:textId="77777777">
      <w:pPr>
        <w:tabs>
          <w:tab w:val="left" w:pos="4320"/>
        </w:tabs>
        <w:ind w:left="4320"/>
        <w:rPr>
          <w:rFonts w:ascii="Times New Roman" w:hAnsi="Times New Roman" w:cs="Times New Roman"/>
          <w:sz w:val="24"/>
          <w:szCs w:val="24"/>
        </w:rPr>
      </w:pPr>
      <w:r w:rsidRPr="00AC42B6">
        <w:rPr>
          <w:rFonts w:ascii="Times New Roman" w:hAnsi="Times New Roman" w:cs="Times New Roman"/>
          <w:sz w:val="24"/>
          <w:szCs w:val="24"/>
        </w:rPr>
        <w:t>John Finnigan (0018689)</w:t>
      </w:r>
      <w:r w:rsidRPr="00AC42B6">
        <w:rPr>
          <w:rFonts w:ascii="Times New Roman" w:hAnsi="Times New Roman" w:cs="Times New Roman"/>
          <w:sz w:val="24"/>
          <w:szCs w:val="24"/>
        </w:rPr>
        <w:br/>
        <w:t>Assistant Consumers’ Counsel</w:t>
      </w:r>
    </w:p>
    <w:p w:rsidR="007637E3" w:rsidRPr="00AC42B6" w:rsidP="007637E3" w14:paraId="74C895EF" w14:textId="77777777">
      <w:pPr>
        <w:rPr>
          <w:rFonts w:ascii="Times New Roman" w:hAnsi="Times New Roman" w:cs="Times New Roman"/>
          <w:sz w:val="24"/>
          <w:szCs w:val="24"/>
        </w:rPr>
      </w:pPr>
    </w:p>
    <w:p w:rsidR="007637E3" w:rsidRPr="00AC42B6" w:rsidP="007637E3" w14:paraId="4E2CEB5B" w14:textId="77777777">
      <w:pPr>
        <w:tabs>
          <w:tab w:val="left" w:pos="4320"/>
        </w:tabs>
        <w:ind w:left="4320"/>
        <w:rPr>
          <w:rFonts w:ascii="Times New Roman" w:hAnsi="Times New Roman" w:cs="Times New Roman"/>
          <w:b/>
          <w:bCs/>
          <w:sz w:val="24"/>
          <w:szCs w:val="24"/>
        </w:rPr>
      </w:pPr>
      <w:r w:rsidRPr="00AC42B6">
        <w:rPr>
          <w:rFonts w:ascii="Times New Roman" w:hAnsi="Times New Roman" w:cs="Times New Roman"/>
          <w:b/>
          <w:sz w:val="24"/>
          <w:szCs w:val="24"/>
        </w:rPr>
        <w:t>Office of the Ohio Consumers’ Counsel</w:t>
      </w:r>
    </w:p>
    <w:p w:rsidR="007637E3" w:rsidRPr="00AC42B6" w:rsidP="007637E3" w14:paraId="2C4DF3E0" w14:textId="77777777">
      <w:pPr>
        <w:ind w:left="4320"/>
        <w:rPr>
          <w:rFonts w:ascii="Times New Roman" w:hAnsi="Times New Roman" w:cs="Times New Roman"/>
          <w:sz w:val="24"/>
          <w:szCs w:val="24"/>
        </w:rPr>
      </w:pPr>
      <w:r w:rsidRPr="00AC42B6">
        <w:rPr>
          <w:rFonts w:ascii="Times New Roman" w:hAnsi="Times New Roman" w:cs="Times New Roman"/>
          <w:sz w:val="24"/>
          <w:szCs w:val="24"/>
        </w:rPr>
        <w:t>65 East State Street, Suite 700</w:t>
      </w:r>
    </w:p>
    <w:p w:rsidR="007637E3" w:rsidRPr="00AC42B6" w:rsidP="007637E3" w14:paraId="4591AED8" w14:textId="77777777">
      <w:pPr>
        <w:ind w:left="4320"/>
        <w:rPr>
          <w:rFonts w:ascii="Times New Roman" w:hAnsi="Times New Roman" w:cs="Times New Roman"/>
          <w:sz w:val="24"/>
          <w:szCs w:val="24"/>
        </w:rPr>
      </w:pPr>
      <w:r w:rsidRPr="00AC42B6">
        <w:rPr>
          <w:rFonts w:ascii="Times New Roman" w:hAnsi="Times New Roman" w:cs="Times New Roman"/>
          <w:sz w:val="24"/>
          <w:szCs w:val="24"/>
        </w:rPr>
        <w:t>Columbus, Ohio 43215</w:t>
      </w:r>
    </w:p>
    <w:p w:rsidR="007637E3" w:rsidRPr="00AC42B6" w:rsidP="007637E3" w14:paraId="00ED5F7A" w14:textId="77777777">
      <w:pPr>
        <w:autoSpaceDE w:val="0"/>
        <w:autoSpaceDN w:val="0"/>
        <w:adjustRightInd w:val="0"/>
        <w:ind w:left="4320"/>
        <w:rPr>
          <w:rFonts w:ascii="Times New Roman" w:hAnsi="Times New Roman" w:cs="Times New Roman"/>
          <w:sz w:val="24"/>
          <w:szCs w:val="24"/>
        </w:rPr>
      </w:pPr>
      <w:r w:rsidRPr="00AC42B6">
        <w:rPr>
          <w:rFonts w:ascii="Times New Roman" w:hAnsi="Times New Roman" w:cs="Times New Roman"/>
          <w:sz w:val="24"/>
          <w:szCs w:val="24"/>
        </w:rPr>
        <w:t>Telephone [Healey]: (614) 466-9571</w:t>
      </w:r>
    </w:p>
    <w:p w:rsidR="007637E3" w:rsidRPr="00AC42B6" w:rsidP="007637E3" w14:paraId="2D7477FB" w14:textId="77777777">
      <w:pPr>
        <w:autoSpaceDE w:val="0"/>
        <w:autoSpaceDN w:val="0"/>
        <w:adjustRightInd w:val="0"/>
        <w:ind w:left="4320"/>
        <w:rPr>
          <w:rFonts w:ascii="Times New Roman" w:hAnsi="Times New Roman" w:cs="Times New Roman"/>
          <w:sz w:val="24"/>
          <w:szCs w:val="24"/>
        </w:rPr>
      </w:pPr>
      <w:r w:rsidRPr="00AC42B6">
        <w:rPr>
          <w:rFonts w:ascii="Times New Roman" w:hAnsi="Times New Roman" w:cs="Times New Roman"/>
          <w:sz w:val="24"/>
          <w:szCs w:val="24"/>
        </w:rPr>
        <w:t>Telephone [Michael]: (614) 466-1291</w:t>
      </w:r>
    </w:p>
    <w:p w:rsidR="007637E3" w:rsidRPr="00AC42B6" w:rsidP="007637E3" w14:paraId="682B958D" w14:textId="77777777">
      <w:pPr>
        <w:pStyle w:val="ListParagraph"/>
        <w:autoSpaceDE w:val="0"/>
        <w:autoSpaceDN w:val="0"/>
        <w:adjustRightInd w:val="0"/>
        <w:ind w:left="4320"/>
        <w:rPr>
          <w:rFonts w:ascii="Times New Roman" w:hAnsi="Times New Roman" w:cs="Times New Roman"/>
          <w:sz w:val="24"/>
          <w:szCs w:val="24"/>
        </w:rPr>
      </w:pPr>
      <w:r w:rsidRPr="00AC42B6">
        <w:rPr>
          <w:rFonts w:ascii="Times New Roman" w:hAnsi="Times New Roman" w:cs="Times New Roman"/>
          <w:sz w:val="24"/>
          <w:szCs w:val="24"/>
        </w:rPr>
        <w:t>Telephone [Finnigan]: (614) 466-9585</w:t>
      </w:r>
    </w:p>
    <w:p w:rsidR="007637E3" w:rsidRPr="00AC42B6" w:rsidP="007637E3" w14:paraId="6B151E7F" w14:textId="77777777">
      <w:pPr>
        <w:pStyle w:val="ListParagraph"/>
        <w:autoSpaceDE w:val="0"/>
        <w:autoSpaceDN w:val="0"/>
        <w:adjustRightInd w:val="0"/>
        <w:ind w:left="4320"/>
        <w:rPr>
          <w:rFonts w:ascii="Times New Roman" w:hAnsi="Times New Roman" w:cs="Times New Roman"/>
          <w:color w:val="0000FF"/>
          <w:sz w:val="24"/>
          <w:szCs w:val="24"/>
          <w:u w:val="single"/>
        </w:rPr>
      </w:pPr>
      <w:r w:rsidRPr="00AC42B6">
        <w:rPr>
          <w:rFonts w:ascii="Times New Roman" w:hAnsi="Times New Roman" w:cs="Times New Roman"/>
          <w:color w:val="0000FF"/>
          <w:sz w:val="24"/>
          <w:szCs w:val="24"/>
          <w:u w:val="single"/>
        </w:rPr>
        <w:t>christopher.healey@occ.ohio.gov</w:t>
      </w:r>
    </w:p>
    <w:p w:rsidR="007637E3" w:rsidRPr="00AC42B6" w:rsidP="007637E3" w14:paraId="243FCF3F" w14:textId="77777777">
      <w:pPr>
        <w:pStyle w:val="ListParagraph"/>
        <w:autoSpaceDE w:val="0"/>
        <w:autoSpaceDN w:val="0"/>
        <w:adjustRightInd w:val="0"/>
        <w:ind w:left="4320"/>
        <w:rPr>
          <w:rStyle w:val="Hyperlink"/>
          <w:rFonts w:ascii="Times New Roman" w:hAnsi="Times New Roman" w:cs="Times New Roman"/>
          <w:sz w:val="24"/>
          <w:szCs w:val="24"/>
        </w:rPr>
      </w:pPr>
      <w:r w:rsidRPr="00AC42B6">
        <w:rPr>
          <w:rFonts w:ascii="Times New Roman" w:hAnsi="Times New Roman" w:cs="Times New Roman"/>
          <w:color w:val="0000FF"/>
          <w:sz w:val="24"/>
          <w:szCs w:val="24"/>
          <w:u w:val="single"/>
        </w:rPr>
        <w:t>william.michael@occ.ohio.gov</w:t>
      </w:r>
    </w:p>
    <w:p w:rsidR="007637E3" w:rsidRPr="00AC42B6" w:rsidP="007637E3" w14:paraId="3EFE66F3" w14:textId="77777777">
      <w:pPr>
        <w:pStyle w:val="ListParagraph"/>
        <w:autoSpaceDE w:val="0"/>
        <w:autoSpaceDN w:val="0"/>
        <w:adjustRightInd w:val="0"/>
        <w:ind w:left="4320"/>
        <w:rPr>
          <w:rStyle w:val="Hyperlink"/>
          <w:rFonts w:ascii="Times New Roman" w:hAnsi="Times New Roman" w:cs="Times New Roman"/>
          <w:sz w:val="24"/>
          <w:szCs w:val="24"/>
        </w:rPr>
      </w:pPr>
      <w:r w:rsidRPr="00AC42B6">
        <w:rPr>
          <w:rFonts w:ascii="Times New Roman" w:hAnsi="Times New Roman" w:cs="Times New Roman"/>
          <w:color w:val="0000FF"/>
          <w:sz w:val="24"/>
          <w:szCs w:val="24"/>
          <w:u w:val="single"/>
        </w:rPr>
        <w:t>john.finnigan@occ.ohio.gov</w:t>
      </w:r>
    </w:p>
    <w:p w:rsidR="007637E3" w:rsidRPr="00AC42B6" w:rsidP="007637E3" w14:paraId="40C0418F" w14:textId="77777777">
      <w:pPr>
        <w:autoSpaceDE w:val="0"/>
        <w:autoSpaceDN w:val="0"/>
        <w:adjustRightInd w:val="0"/>
        <w:rPr>
          <w:rStyle w:val="Hyperlink"/>
          <w:rFonts w:ascii="Times New Roman" w:hAnsi="Times New Roman" w:cs="Times New Roman"/>
          <w:color w:val="auto"/>
          <w:sz w:val="24"/>
          <w:szCs w:val="24"/>
          <w:u w:val="none"/>
        </w:rPr>
      </w:pP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r>
      <w:r w:rsidRPr="00AC42B6">
        <w:rPr>
          <w:rStyle w:val="Hyperlink"/>
          <w:rFonts w:ascii="Times New Roman" w:hAnsi="Times New Roman" w:cs="Times New Roman"/>
          <w:color w:val="auto"/>
          <w:sz w:val="24"/>
          <w:szCs w:val="24"/>
          <w:u w:val="none"/>
        </w:rPr>
        <w:tab/>
        <w:t>(willing to accept service by e-mail)</w:t>
      </w:r>
    </w:p>
    <w:p w:rsidR="007637E3" w:rsidRPr="00AC42B6" w:rsidP="007637E3" w14:paraId="2A9FD727" w14:textId="77777777">
      <w:pPr>
        <w:widowControl/>
        <w:spacing w:line="480" w:lineRule="auto"/>
        <w:rPr>
          <w:rFonts w:ascii="Times New Roman" w:eastAsia="Times New Roman" w:hAnsi="Times New Roman" w:cs="Times New Roman"/>
          <w:color w:val="000000"/>
          <w:sz w:val="24"/>
          <w:szCs w:val="24"/>
        </w:rPr>
      </w:pPr>
    </w:p>
    <w:p w:rsidR="00E41BF0" w:rsidRPr="00AC42B6" w:rsidP="00E41BF0" w14:paraId="510DC297" w14:textId="77777777">
      <w:pPr>
        <w:widowControl/>
        <w:spacing w:line="480" w:lineRule="auto"/>
        <w:ind w:firstLine="720"/>
        <w:rPr>
          <w:rFonts w:ascii="Times New Roman" w:eastAsia="Times New Roman" w:hAnsi="Times New Roman" w:cs="Times New Roman"/>
          <w:color w:val="000000"/>
          <w:sz w:val="24"/>
          <w:szCs w:val="24"/>
        </w:rPr>
      </w:pPr>
    </w:p>
    <w:p w:rsidR="004B4919" w:rsidRPr="00AC42B6" w:rsidP="004B4919" w14:paraId="17EF0961" w14:textId="77777777">
      <w:pPr>
        <w:widowControl/>
        <w:rPr>
          <w:rFonts w:ascii="Times New Roman" w:eastAsia="Times New Roman" w:hAnsi="Times New Roman" w:cs="Times New Roman"/>
          <w:b/>
          <w:bCs/>
          <w:color w:val="000000"/>
          <w:sz w:val="24"/>
          <w:szCs w:val="24"/>
        </w:rPr>
      </w:pPr>
    </w:p>
    <w:p w:rsidR="0094438C" w:rsidRPr="00AC42B6" w:rsidP="0094438C" w14:paraId="48477EA4" w14:textId="77777777">
      <w:pPr>
        <w:widowControl/>
        <w:rPr>
          <w:rFonts w:ascii="Times New Roman" w:eastAsia="Times New Roman" w:hAnsi="Times New Roman" w:cs="Times New Roman"/>
          <w:color w:val="000000"/>
          <w:sz w:val="24"/>
          <w:szCs w:val="24"/>
        </w:rPr>
      </w:pPr>
    </w:p>
    <w:p w:rsidR="007637E3" w:rsidRPr="00AC42B6" w:rsidP="0094438C" w14:paraId="79D24074" w14:textId="77777777">
      <w:pPr>
        <w:widowControl/>
        <w:rPr>
          <w:rFonts w:ascii="Times New Roman" w:eastAsia="Times New Roman" w:hAnsi="Times New Roman" w:cs="Times New Roman"/>
          <w:color w:val="000000"/>
          <w:sz w:val="24"/>
          <w:szCs w:val="24"/>
        </w:rPr>
      </w:pPr>
    </w:p>
    <w:p w:rsidR="007637E3" w:rsidRPr="00AC42B6" w:rsidP="0094438C" w14:paraId="11FF8B0B" w14:textId="77777777">
      <w:pPr>
        <w:widowControl/>
        <w:rPr>
          <w:rFonts w:ascii="Times New Roman" w:eastAsia="Times New Roman" w:hAnsi="Times New Roman" w:cs="Times New Roman"/>
          <w:color w:val="000000"/>
          <w:sz w:val="24"/>
          <w:szCs w:val="24"/>
        </w:rPr>
      </w:pPr>
    </w:p>
    <w:p w:rsidR="007637E3" w:rsidRPr="00AC42B6" w:rsidP="0094438C" w14:paraId="1385E3DD" w14:textId="77777777">
      <w:pPr>
        <w:widowControl/>
        <w:rPr>
          <w:rFonts w:ascii="Times New Roman" w:eastAsia="Times New Roman" w:hAnsi="Times New Roman" w:cs="Times New Roman"/>
          <w:color w:val="000000"/>
          <w:sz w:val="24"/>
          <w:szCs w:val="24"/>
        </w:rPr>
      </w:pPr>
    </w:p>
    <w:p w:rsidR="007637E3" w:rsidRPr="00AC42B6" w:rsidP="0094438C" w14:paraId="128357F9" w14:textId="77777777">
      <w:pPr>
        <w:widowControl/>
        <w:rPr>
          <w:rFonts w:ascii="Times New Roman" w:eastAsia="Times New Roman" w:hAnsi="Times New Roman" w:cs="Times New Roman"/>
          <w:color w:val="000000"/>
          <w:sz w:val="24"/>
          <w:szCs w:val="24"/>
        </w:rPr>
      </w:pPr>
    </w:p>
    <w:p w:rsidR="007637E3" w:rsidRPr="00AC42B6" w:rsidP="0094438C" w14:paraId="53D2B842" w14:textId="77777777">
      <w:pPr>
        <w:widowControl/>
        <w:rPr>
          <w:rFonts w:ascii="Times New Roman" w:eastAsia="Times New Roman" w:hAnsi="Times New Roman" w:cs="Times New Roman"/>
          <w:color w:val="000000"/>
          <w:sz w:val="24"/>
          <w:szCs w:val="24"/>
        </w:rPr>
      </w:pPr>
    </w:p>
    <w:p w:rsidR="007637E3" w:rsidRPr="00AC42B6" w:rsidP="0094438C" w14:paraId="55F39CC8" w14:textId="77777777">
      <w:pPr>
        <w:widowControl/>
        <w:rPr>
          <w:rFonts w:ascii="Times New Roman" w:eastAsia="Times New Roman" w:hAnsi="Times New Roman" w:cs="Times New Roman"/>
          <w:color w:val="000000"/>
          <w:sz w:val="24"/>
          <w:szCs w:val="24"/>
        </w:rPr>
      </w:pPr>
    </w:p>
    <w:p w:rsidR="007637E3" w:rsidRPr="00AC42B6" w:rsidP="0094438C" w14:paraId="7DD29891" w14:textId="77777777">
      <w:pPr>
        <w:widowControl/>
        <w:rPr>
          <w:rFonts w:ascii="Times New Roman" w:eastAsia="Times New Roman" w:hAnsi="Times New Roman" w:cs="Times New Roman"/>
          <w:color w:val="000000"/>
          <w:sz w:val="24"/>
          <w:szCs w:val="24"/>
        </w:rPr>
      </w:pPr>
    </w:p>
    <w:p w:rsidR="007637E3" w:rsidRPr="00AC42B6" w:rsidP="0094438C" w14:paraId="1333F2CE" w14:textId="77777777">
      <w:pPr>
        <w:widowControl/>
        <w:rPr>
          <w:rFonts w:ascii="Times New Roman" w:eastAsia="Times New Roman" w:hAnsi="Times New Roman" w:cs="Times New Roman"/>
          <w:color w:val="000000"/>
          <w:sz w:val="24"/>
          <w:szCs w:val="24"/>
        </w:rPr>
      </w:pPr>
    </w:p>
    <w:p w:rsidR="007637E3" w:rsidRPr="00AC42B6" w:rsidP="0094438C" w14:paraId="4AF693B0" w14:textId="77777777">
      <w:pPr>
        <w:widowControl/>
        <w:rPr>
          <w:rFonts w:ascii="Times New Roman" w:eastAsia="Times New Roman" w:hAnsi="Times New Roman" w:cs="Times New Roman"/>
          <w:color w:val="000000"/>
          <w:sz w:val="24"/>
          <w:szCs w:val="24"/>
        </w:rPr>
      </w:pPr>
    </w:p>
    <w:p w:rsidR="007637E3" w:rsidRPr="00AC42B6" w:rsidP="0094438C" w14:paraId="708CB262" w14:textId="77777777">
      <w:pPr>
        <w:widowControl/>
        <w:rPr>
          <w:rFonts w:ascii="Times New Roman" w:eastAsia="Times New Roman" w:hAnsi="Times New Roman" w:cs="Times New Roman"/>
          <w:color w:val="000000"/>
          <w:sz w:val="24"/>
          <w:szCs w:val="24"/>
        </w:rPr>
      </w:pPr>
    </w:p>
    <w:bookmarkEnd w:id="1"/>
    <w:p w:rsidR="007637E3" w:rsidRPr="00AC42B6" w:rsidP="00A6590B" w14:paraId="60A44592" w14:textId="77777777">
      <w:pPr>
        <w:jc w:val="center"/>
        <w:rPr>
          <w:rFonts w:ascii="Times New Roman" w:hAnsi="Times New Roman" w:cs="Times New Roman"/>
          <w:b/>
          <w:sz w:val="24"/>
          <w:szCs w:val="24"/>
          <w:u w:val="single"/>
        </w:rPr>
      </w:pPr>
    </w:p>
    <w:p w:rsidR="007637E3" w:rsidRPr="00AC42B6" w:rsidP="00A6590B" w14:paraId="190DE881" w14:textId="77777777">
      <w:pPr>
        <w:jc w:val="center"/>
        <w:rPr>
          <w:rFonts w:ascii="Times New Roman" w:hAnsi="Times New Roman" w:cs="Times New Roman"/>
          <w:b/>
          <w:sz w:val="24"/>
          <w:szCs w:val="24"/>
          <w:u w:val="single"/>
        </w:rPr>
      </w:pPr>
    </w:p>
    <w:p w:rsidR="007637E3" w:rsidRPr="00AC42B6" w:rsidP="00A6590B" w14:paraId="459D5702" w14:textId="77777777">
      <w:pPr>
        <w:jc w:val="center"/>
        <w:rPr>
          <w:rFonts w:ascii="Times New Roman" w:hAnsi="Times New Roman" w:cs="Times New Roman"/>
          <w:b/>
          <w:sz w:val="24"/>
          <w:szCs w:val="24"/>
          <w:u w:val="single"/>
        </w:rPr>
      </w:pPr>
    </w:p>
    <w:p w:rsidR="007637E3" w:rsidRPr="00AC42B6" w:rsidP="00A6590B" w14:paraId="401FBFC5" w14:textId="77777777">
      <w:pPr>
        <w:jc w:val="center"/>
        <w:rPr>
          <w:rFonts w:ascii="Times New Roman" w:hAnsi="Times New Roman" w:cs="Times New Roman"/>
          <w:b/>
          <w:sz w:val="24"/>
          <w:szCs w:val="24"/>
          <w:u w:val="single"/>
        </w:rPr>
      </w:pPr>
    </w:p>
    <w:p w:rsidR="007637E3" w:rsidRPr="00AC42B6" w:rsidP="00A6590B" w14:paraId="1D0CAC74" w14:textId="77777777">
      <w:pPr>
        <w:jc w:val="center"/>
        <w:rPr>
          <w:rFonts w:ascii="Times New Roman" w:hAnsi="Times New Roman" w:cs="Times New Roman"/>
          <w:b/>
          <w:sz w:val="24"/>
          <w:szCs w:val="24"/>
          <w:u w:val="single"/>
        </w:rPr>
      </w:pPr>
    </w:p>
    <w:p w:rsidR="007637E3" w:rsidRPr="00AC42B6" w:rsidP="00A6590B" w14:paraId="0A40A759" w14:textId="77777777">
      <w:pPr>
        <w:jc w:val="center"/>
        <w:rPr>
          <w:rFonts w:ascii="Times New Roman" w:hAnsi="Times New Roman" w:cs="Times New Roman"/>
          <w:b/>
          <w:sz w:val="24"/>
          <w:szCs w:val="24"/>
          <w:u w:val="single"/>
        </w:rPr>
      </w:pPr>
    </w:p>
    <w:p w:rsidR="007637E3" w:rsidRPr="00AC42B6" w:rsidP="00A6590B" w14:paraId="6D60C690" w14:textId="77777777">
      <w:pPr>
        <w:jc w:val="center"/>
        <w:rPr>
          <w:rFonts w:ascii="Times New Roman" w:hAnsi="Times New Roman" w:cs="Times New Roman"/>
          <w:b/>
          <w:sz w:val="24"/>
          <w:szCs w:val="24"/>
          <w:u w:val="single"/>
        </w:rPr>
      </w:pPr>
    </w:p>
    <w:p w:rsidR="007637E3" w:rsidRPr="00AC42B6" w:rsidP="00A6590B" w14:paraId="34AE7C39" w14:textId="77777777">
      <w:pPr>
        <w:jc w:val="center"/>
        <w:rPr>
          <w:rFonts w:ascii="Times New Roman" w:hAnsi="Times New Roman" w:cs="Times New Roman"/>
          <w:b/>
          <w:sz w:val="24"/>
          <w:szCs w:val="24"/>
          <w:u w:val="single"/>
        </w:rPr>
      </w:pPr>
    </w:p>
    <w:p w:rsidR="0061608D" w:rsidRPr="00AC42B6" w:rsidP="00A6590B" w14:paraId="24E05E91" w14:textId="77777777">
      <w:pPr>
        <w:jc w:val="center"/>
        <w:rPr>
          <w:rFonts w:ascii="Times New Roman" w:hAnsi="Times New Roman" w:cs="Times New Roman"/>
          <w:b/>
          <w:sz w:val="24"/>
          <w:szCs w:val="24"/>
          <w:u w:val="single"/>
        </w:rPr>
      </w:pPr>
      <w:r w:rsidRPr="00AC42B6">
        <w:rPr>
          <w:rFonts w:ascii="Times New Roman" w:hAnsi="Times New Roman" w:cs="Times New Roman"/>
          <w:b/>
          <w:sz w:val="24"/>
          <w:szCs w:val="24"/>
          <w:u w:val="single"/>
        </w:rPr>
        <w:t>CERTIFICATE OF SERVICE</w:t>
      </w:r>
    </w:p>
    <w:p w:rsidR="0061608D" w:rsidRPr="00AC42B6" w:rsidP="00A6590B" w14:paraId="4E989B92" w14:textId="77777777">
      <w:pPr>
        <w:jc w:val="center"/>
        <w:rPr>
          <w:rFonts w:ascii="Times New Roman" w:hAnsi="Times New Roman" w:cs="Times New Roman"/>
          <w:bCs/>
          <w:sz w:val="24"/>
          <w:szCs w:val="24"/>
        </w:rPr>
      </w:pPr>
    </w:p>
    <w:p w:rsidR="0061608D" w:rsidRPr="00AC42B6" w:rsidP="00A6590B" w14:paraId="4F950109" w14:textId="77777777">
      <w:pPr>
        <w:suppressAutoHyphens/>
        <w:spacing w:line="480" w:lineRule="auto"/>
        <w:ind w:firstLine="720"/>
        <w:rPr>
          <w:rFonts w:ascii="Times New Roman" w:hAnsi="Times New Roman" w:cs="Times New Roman"/>
          <w:spacing w:val="-3"/>
          <w:sz w:val="24"/>
          <w:szCs w:val="24"/>
        </w:rPr>
      </w:pPr>
      <w:r w:rsidRPr="00AC42B6">
        <w:rPr>
          <w:rFonts w:ascii="Times New Roman" w:hAnsi="Times New Roman" w:cs="Times New Roman"/>
          <w:spacing w:val="-3"/>
          <w:sz w:val="24"/>
          <w:szCs w:val="24"/>
        </w:rPr>
        <w:t xml:space="preserve">It is hereby certified that a true copy of the foregoing </w:t>
      </w:r>
      <w:r w:rsidRPr="00AC42B6" w:rsidR="00724700">
        <w:rPr>
          <w:rFonts w:ascii="Times New Roman" w:hAnsi="Times New Roman" w:cs="Times New Roman"/>
          <w:spacing w:val="-3"/>
          <w:sz w:val="24"/>
          <w:szCs w:val="24"/>
        </w:rPr>
        <w:t>Memorandum Contra w</w:t>
      </w:r>
      <w:r w:rsidRPr="00AC42B6">
        <w:rPr>
          <w:rFonts w:ascii="Times New Roman" w:hAnsi="Times New Roman" w:cs="Times New Roman"/>
          <w:spacing w:val="-3"/>
          <w:sz w:val="24"/>
          <w:szCs w:val="24"/>
        </w:rPr>
        <w:t xml:space="preserve">as served upon the persons listed below by electronic transmission this </w:t>
      </w:r>
      <w:r w:rsidRPr="00AC42B6" w:rsidR="004978B1">
        <w:rPr>
          <w:rFonts w:ascii="Times New Roman" w:hAnsi="Times New Roman" w:cs="Times New Roman"/>
          <w:spacing w:val="-3"/>
          <w:sz w:val="24"/>
          <w:szCs w:val="24"/>
        </w:rPr>
        <w:t>20</w:t>
      </w:r>
      <w:r w:rsidRPr="00AC42B6" w:rsidR="007637E3">
        <w:rPr>
          <w:rFonts w:ascii="Times New Roman" w:hAnsi="Times New Roman" w:cs="Times New Roman"/>
          <w:spacing w:val="-3"/>
          <w:sz w:val="24"/>
          <w:szCs w:val="24"/>
          <w:vertAlign w:val="superscript"/>
        </w:rPr>
        <w:t>th</w:t>
      </w:r>
      <w:r w:rsidRPr="00AC42B6">
        <w:rPr>
          <w:rFonts w:ascii="Times New Roman" w:hAnsi="Times New Roman" w:cs="Times New Roman"/>
          <w:spacing w:val="-3"/>
          <w:sz w:val="24"/>
          <w:szCs w:val="24"/>
        </w:rPr>
        <w:t xml:space="preserve"> day of </w:t>
      </w:r>
      <w:r w:rsidRPr="00AC42B6" w:rsidR="002C4ECD">
        <w:rPr>
          <w:rFonts w:ascii="Times New Roman" w:hAnsi="Times New Roman" w:cs="Times New Roman"/>
          <w:spacing w:val="-3"/>
          <w:sz w:val="24"/>
          <w:szCs w:val="24"/>
        </w:rPr>
        <w:t>Dec</w:t>
      </w:r>
      <w:r w:rsidRPr="00AC42B6" w:rsidR="00AA023A">
        <w:rPr>
          <w:rFonts w:ascii="Times New Roman" w:hAnsi="Times New Roman" w:cs="Times New Roman"/>
          <w:spacing w:val="-3"/>
          <w:sz w:val="24"/>
          <w:szCs w:val="24"/>
        </w:rPr>
        <w:t>em</w:t>
      </w:r>
      <w:r w:rsidRPr="00AC42B6" w:rsidR="003F75C1">
        <w:rPr>
          <w:rFonts w:ascii="Times New Roman" w:hAnsi="Times New Roman" w:cs="Times New Roman"/>
          <w:spacing w:val="-3"/>
          <w:sz w:val="24"/>
          <w:szCs w:val="24"/>
        </w:rPr>
        <w:t>ber</w:t>
      </w:r>
      <w:r w:rsidRPr="00AC42B6">
        <w:rPr>
          <w:rFonts w:ascii="Times New Roman" w:hAnsi="Times New Roman" w:cs="Times New Roman"/>
          <w:spacing w:val="-3"/>
          <w:sz w:val="24"/>
          <w:szCs w:val="24"/>
        </w:rPr>
        <w:t xml:space="preserve"> 2021.</w:t>
      </w:r>
    </w:p>
    <w:p w:rsidR="007E0640" w:rsidRPr="00AC42B6" w:rsidP="00A6590B" w14:paraId="22559DAC" w14:textId="77777777">
      <w:pPr>
        <w:rPr>
          <w:rFonts w:ascii="Times New Roman" w:hAnsi="Times New Roman" w:cs="Times New Roman"/>
          <w:b/>
          <w:bCs/>
          <w:i/>
          <w:iCs/>
          <w:sz w:val="24"/>
          <w:szCs w:val="24"/>
          <w:u w:val="single"/>
        </w:rPr>
      </w:pP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i/>
          <w:iCs/>
          <w:sz w:val="24"/>
          <w:szCs w:val="24"/>
          <w:u w:val="single"/>
        </w:rPr>
        <w:t>/s/ John Finnigan</w:t>
      </w:r>
    </w:p>
    <w:p w:rsidR="007E0640" w:rsidRPr="00AC42B6" w:rsidP="00A6590B" w14:paraId="498E9C6F" w14:textId="77777777">
      <w:pPr>
        <w:rPr>
          <w:rFonts w:ascii="Times New Roman" w:hAnsi="Times New Roman" w:cs="Times New Roman"/>
          <w:b/>
          <w:bCs/>
          <w:sz w:val="24"/>
          <w:szCs w:val="24"/>
        </w:rPr>
      </w:pP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t>John Finnigan (0018689)</w:t>
      </w:r>
    </w:p>
    <w:p w:rsidR="007E0640" w:rsidRPr="00AC42B6" w:rsidP="00A6590B" w14:paraId="7F143D11" w14:textId="77777777">
      <w:pPr>
        <w:rPr>
          <w:rFonts w:ascii="Times New Roman" w:hAnsi="Times New Roman" w:cs="Times New Roman"/>
          <w:b/>
          <w:bCs/>
          <w:sz w:val="24"/>
          <w:szCs w:val="24"/>
        </w:rPr>
      </w:pP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r>
      <w:r w:rsidRPr="00AC42B6">
        <w:rPr>
          <w:rFonts w:ascii="Times New Roman" w:hAnsi="Times New Roman" w:cs="Times New Roman"/>
          <w:sz w:val="24"/>
          <w:szCs w:val="24"/>
        </w:rPr>
        <w:tab/>
        <w:t>Assistant Consumers’ Counsel</w:t>
      </w:r>
    </w:p>
    <w:p w:rsidR="0061608D" w:rsidRPr="00AC42B6" w:rsidP="00A6590B" w14:paraId="4677A0D9" w14:textId="77777777">
      <w:pPr>
        <w:pStyle w:val="EndnoteText"/>
        <w:widowControl/>
        <w:rPr>
          <w:rFonts w:ascii="Times New Roman" w:hAnsi="Times New Roman"/>
          <w:snapToGrid/>
          <w:szCs w:val="24"/>
        </w:rPr>
      </w:pPr>
    </w:p>
    <w:p w:rsidR="0061608D" w:rsidRPr="00AC42B6" w:rsidP="00A6590B" w14:paraId="76627F6B" w14:textId="77777777">
      <w:pPr>
        <w:suppressLineNumbers/>
        <w:rPr>
          <w:rFonts w:ascii="Times New Roman" w:hAnsi="Times New Roman" w:cs="Times New Roman"/>
          <w:sz w:val="24"/>
          <w:szCs w:val="24"/>
          <w:u w:val="single"/>
        </w:rPr>
      </w:pPr>
    </w:p>
    <w:p w:rsidR="0061608D" w:rsidRPr="00AC42B6" w:rsidP="00A6590B" w14:paraId="3BBF1CDD" w14:textId="77777777">
      <w:pPr>
        <w:suppressLineNumbers/>
        <w:rPr>
          <w:rFonts w:ascii="Times New Roman" w:hAnsi="Times New Roman" w:cs="Times New Roman"/>
          <w:sz w:val="24"/>
          <w:szCs w:val="24"/>
        </w:rPr>
      </w:pPr>
      <w:r w:rsidRPr="00AC42B6">
        <w:rPr>
          <w:rFonts w:ascii="Times New Roman" w:hAnsi="Times New Roman" w:cs="Times New Roman"/>
          <w:sz w:val="24"/>
          <w:szCs w:val="24"/>
        </w:rPr>
        <w:t>The PUCO’s e-filing system will electronically serve notice of the filing of this document on the following parties:</w:t>
      </w:r>
    </w:p>
    <w:p w:rsidR="00501B37" w:rsidRPr="00AC42B6" w:rsidP="00A6590B" w14:paraId="2DC320D4" w14:textId="77777777">
      <w:pPr>
        <w:pStyle w:val="CommentText"/>
        <w:jc w:val="center"/>
        <w:rPr>
          <w:rFonts w:ascii="Times New Roman" w:hAnsi="Times New Roman" w:cs="Times New Roman"/>
          <w:b/>
          <w:sz w:val="24"/>
          <w:szCs w:val="24"/>
          <w:u w:val="single"/>
        </w:rPr>
      </w:pPr>
    </w:p>
    <w:p w:rsidR="00501B37" w:rsidRPr="00AC42B6" w:rsidP="00A6590B" w14:paraId="31CF36FD" w14:textId="77777777">
      <w:pPr>
        <w:pStyle w:val="CommentText"/>
        <w:jc w:val="center"/>
        <w:rPr>
          <w:rFonts w:ascii="Times New Roman" w:hAnsi="Times New Roman" w:cs="Times New Roman"/>
          <w:b/>
          <w:sz w:val="24"/>
          <w:szCs w:val="24"/>
          <w:u w:val="single"/>
        </w:rPr>
      </w:pPr>
    </w:p>
    <w:p w:rsidR="003D71EE" w:rsidRPr="00AC42B6" w:rsidP="00A6590B" w14:paraId="757D56CF" w14:textId="77777777">
      <w:pPr>
        <w:pStyle w:val="CommentText"/>
        <w:jc w:val="center"/>
        <w:rPr>
          <w:rFonts w:ascii="Times New Roman" w:hAnsi="Times New Roman" w:cs="Times New Roman"/>
          <w:b/>
          <w:sz w:val="24"/>
          <w:szCs w:val="24"/>
          <w:u w:val="single"/>
        </w:rPr>
      </w:pPr>
    </w:p>
    <w:p w:rsidR="004978B1" w:rsidRPr="00AC42B6" w:rsidP="004978B1" w14:paraId="6478274D" w14:textId="77777777">
      <w:pPr>
        <w:pStyle w:val="CommentText"/>
        <w:jc w:val="center"/>
        <w:rPr>
          <w:rFonts w:ascii="Times New Roman" w:hAnsi="Times New Roman" w:cs="Times New Roman"/>
          <w:b/>
          <w:sz w:val="24"/>
          <w:szCs w:val="24"/>
          <w:u w:val="single"/>
        </w:rPr>
      </w:pPr>
      <w:r w:rsidRPr="00AC42B6">
        <w:rPr>
          <w:rFonts w:ascii="Times New Roman" w:hAnsi="Times New Roman" w:cs="Times New Roman"/>
          <w:b/>
          <w:sz w:val="24"/>
          <w:szCs w:val="24"/>
          <w:u w:val="single"/>
        </w:rPr>
        <w:t>SERVICE LIST</w:t>
      </w:r>
    </w:p>
    <w:p w:rsidR="004978B1" w:rsidRPr="00AC42B6" w:rsidP="004978B1" w14:paraId="7088A896" w14:textId="77777777">
      <w:pPr>
        <w:pStyle w:val="CommentText"/>
        <w:jc w:val="center"/>
        <w:rPr>
          <w:rFonts w:ascii="Times New Roman" w:hAnsi="Times New Roman" w:cs="Times New Roman"/>
          <w:b/>
          <w:sz w:val="24"/>
          <w:szCs w:val="24"/>
          <w:u w:val="single"/>
        </w:rPr>
      </w:pPr>
    </w:p>
    <w:p w:rsidR="004978B1" w:rsidRPr="00AC42B6" w:rsidP="004978B1" w14:paraId="45B866BF" w14:textId="77777777">
      <w:pPr>
        <w:pStyle w:val="CommentText"/>
        <w:jc w:val="center"/>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1F6FA9AE" w14:textId="77777777" w:rsidTr="00CF3E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4978B1" w:rsidRPr="00AC42B6" w:rsidP="00CF3EF6" w14:paraId="4E4A88B9" w14:textId="77777777">
            <w:pPr>
              <w:pStyle w:val="BodyText"/>
              <w:ind w:left="0"/>
              <w:rPr>
                <w:bCs/>
                <w:sz w:val="24"/>
                <w:szCs w:val="24"/>
              </w:rPr>
            </w:pPr>
            <w:hyperlink r:id="rId10" w:history="1">
              <w:r w:rsidRPr="00AC42B6" w:rsidR="00576CDD">
                <w:rPr>
                  <w:rStyle w:val="Hyperlink"/>
                  <w:sz w:val="24"/>
                  <w:szCs w:val="24"/>
                </w:rPr>
                <w:t>kyle</w:t>
              </w:r>
              <w:r w:rsidRPr="00AC42B6" w:rsidR="00576CDD">
                <w:rPr>
                  <w:rStyle w:val="Hyperlink"/>
                  <w:bCs/>
                  <w:sz w:val="24"/>
                  <w:szCs w:val="24"/>
                </w:rPr>
                <w:t>.kern@ohioAGO.gov</w:t>
              </w:r>
            </w:hyperlink>
          </w:p>
          <w:p w:rsidR="004978B1" w:rsidRPr="00AC42B6" w:rsidP="00CF3EF6" w14:paraId="1C6C0B28" w14:textId="77777777">
            <w:pPr>
              <w:pStyle w:val="BodyText"/>
              <w:ind w:left="0"/>
              <w:rPr>
                <w:bCs/>
                <w:sz w:val="24"/>
                <w:szCs w:val="24"/>
              </w:rPr>
            </w:pPr>
            <w:hyperlink r:id="rId11" w:history="1">
              <w:r w:rsidRPr="00AC42B6" w:rsidR="00576CDD">
                <w:rPr>
                  <w:rStyle w:val="Hyperlink"/>
                  <w:bCs/>
                  <w:sz w:val="24"/>
                  <w:szCs w:val="24"/>
                </w:rPr>
                <w:t>thomas.lindgren@ohioAGO.gov</w:t>
              </w:r>
            </w:hyperlink>
          </w:p>
          <w:p w:rsidR="004978B1" w:rsidRPr="00AC42B6" w:rsidP="00CF3EF6" w14:paraId="77F4D139" w14:textId="77777777">
            <w:pPr>
              <w:autoSpaceDE w:val="0"/>
              <w:autoSpaceDN w:val="0"/>
              <w:adjustRightInd w:val="0"/>
              <w:rPr>
                <w:sz w:val="24"/>
                <w:szCs w:val="24"/>
              </w:rPr>
            </w:pPr>
            <w:hyperlink r:id="rId12" w:history="1">
              <w:r w:rsidRPr="00AC42B6" w:rsidR="00576CDD">
                <w:rPr>
                  <w:rStyle w:val="Hyperlink"/>
                  <w:sz w:val="24"/>
                  <w:szCs w:val="24"/>
                </w:rPr>
                <w:t>mkurtz@BKLlawfirm.com</w:t>
              </w:r>
            </w:hyperlink>
          </w:p>
          <w:p w:rsidR="004978B1" w:rsidRPr="00AC42B6" w:rsidP="00CF3EF6" w14:paraId="060B73CB" w14:textId="77777777">
            <w:pPr>
              <w:autoSpaceDE w:val="0"/>
              <w:autoSpaceDN w:val="0"/>
              <w:adjustRightInd w:val="0"/>
              <w:rPr>
                <w:sz w:val="24"/>
                <w:szCs w:val="24"/>
              </w:rPr>
            </w:pPr>
            <w:hyperlink r:id="rId13" w:history="1">
              <w:r w:rsidRPr="00AC42B6" w:rsidR="00576CDD">
                <w:rPr>
                  <w:rStyle w:val="Hyperlink"/>
                  <w:sz w:val="24"/>
                  <w:szCs w:val="24"/>
                </w:rPr>
                <w:t>kboehm@BKLlawfirm.com</w:t>
              </w:r>
            </w:hyperlink>
          </w:p>
          <w:p w:rsidR="004978B1" w:rsidRPr="00AC42B6" w:rsidP="00CF3EF6" w14:paraId="0065DE6F" w14:textId="77777777">
            <w:pPr>
              <w:pStyle w:val="BodyText"/>
              <w:ind w:left="0"/>
              <w:rPr>
                <w:rFonts w:eastAsiaTheme="minorHAnsi"/>
                <w:sz w:val="24"/>
                <w:szCs w:val="24"/>
              </w:rPr>
            </w:pPr>
            <w:hyperlink r:id="rId14" w:history="1">
              <w:r w:rsidRPr="00AC42B6" w:rsidR="00576CDD">
                <w:rPr>
                  <w:rStyle w:val="Hyperlink"/>
                  <w:rFonts w:eastAsiaTheme="minorHAnsi"/>
                  <w:sz w:val="24"/>
                  <w:szCs w:val="24"/>
                </w:rPr>
                <w:t>jkylercohn@BKLlawfirm.com</w:t>
              </w:r>
            </w:hyperlink>
          </w:p>
          <w:p w:rsidR="004978B1" w:rsidRPr="00AC42B6" w:rsidP="00CF3EF6" w14:paraId="5F12F7D4" w14:textId="77777777">
            <w:pPr>
              <w:autoSpaceDE w:val="0"/>
              <w:autoSpaceDN w:val="0"/>
              <w:adjustRightInd w:val="0"/>
              <w:rPr>
                <w:sz w:val="24"/>
                <w:szCs w:val="24"/>
              </w:rPr>
            </w:pPr>
            <w:hyperlink r:id="rId15" w:history="1">
              <w:r w:rsidRPr="00AC42B6" w:rsidR="00576CDD">
                <w:rPr>
                  <w:rStyle w:val="Hyperlink"/>
                  <w:sz w:val="24"/>
                  <w:szCs w:val="24"/>
                </w:rPr>
                <w:t>rdove@keglerbrown.com</w:t>
              </w:r>
            </w:hyperlink>
          </w:p>
          <w:p w:rsidR="004978B1" w:rsidRPr="00AC42B6" w:rsidP="00CF3EF6" w14:paraId="75BA5FFF" w14:textId="77777777">
            <w:pPr>
              <w:pStyle w:val="BodyText"/>
              <w:ind w:left="0"/>
              <w:rPr>
                <w:rFonts w:eastAsiaTheme="minorHAnsi"/>
                <w:sz w:val="24"/>
                <w:szCs w:val="24"/>
              </w:rPr>
            </w:pPr>
          </w:p>
          <w:p w:rsidR="004978B1" w:rsidRPr="00AC42B6" w:rsidP="00CF3EF6" w14:paraId="0A01BC04" w14:textId="77777777">
            <w:pPr>
              <w:pStyle w:val="BodyText"/>
              <w:ind w:left="0"/>
              <w:rPr>
                <w:rStyle w:val="Hyperlink"/>
                <w:rFonts w:eastAsiaTheme="minorHAnsi"/>
                <w:sz w:val="24"/>
                <w:szCs w:val="24"/>
              </w:rPr>
            </w:pPr>
          </w:p>
          <w:p w:rsidR="004978B1" w:rsidRPr="00AC42B6" w:rsidP="00CF3EF6" w14:paraId="7F969B06" w14:textId="77777777">
            <w:pPr>
              <w:pStyle w:val="BodyText"/>
              <w:ind w:left="0"/>
              <w:rPr>
                <w:bCs/>
                <w:sz w:val="24"/>
                <w:szCs w:val="24"/>
              </w:rPr>
            </w:pPr>
            <w:r w:rsidRPr="00AC42B6">
              <w:rPr>
                <w:bCs/>
                <w:sz w:val="24"/>
                <w:szCs w:val="24"/>
              </w:rPr>
              <w:t>Attorney Examiners:</w:t>
            </w:r>
          </w:p>
          <w:p w:rsidR="004978B1" w:rsidRPr="00AC42B6" w:rsidP="00CF3EF6" w14:paraId="4FC63083" w14:textId="77777777">
            <w:pPr>
              <w:pStyle w:val="BodyText"/>
              <w:ind w:left="0"/>
              <w:rPr>
                <w:bCs/>
                <w:sz w:val="24"/>
                <w:szCs w:val="24"/>
              </w:rPr>
            </w:pPr>
            <w:hyperlink r:id="rId16" w:history="1">
              <w:r w:rsidRPr="00AC42B6" w:rsidR="00576CDD">
                <w:rPr>
                  <w:rStyle w:val="Hyperlink"/>
                  <w:sz w:val="24"/>
                  <w:szCs w:val="24"/>
                </w:rPr>
                <w:t>s</w:t>
              </w:r>
              <w:r w:rsidRPr="00AC42B6" w:rsidR="00576CDD">
                <w:rPr>
                  <w:rStyle w:val="Hyperlink"/>
                  <w:bCs/>
                  <w:sz w:val="24"/>
                  <w:szCs w:val="24"/>
                </w:rPr>
                <w:t>arah.parrot@puco.ohio.gov</w:t>
              </w:r>
            </w:hyperlink>
          </w:p>
          <w:p w:rsidR="004978B1" w:rsidRPr="00AC42B6" w:rsidP="00CF3EF6" w14:paraId="013FEAD5" w14:textId="77777777">
            <w:pPr>
              <w:pStyle w:val="BodyText"/>
              <w:ind w:left="0"/>
              <w:rPr>
                <w:bCs/>
                <w:sz w:val="24"/>
                <w:szCs w:val="24"/>
              </w:rPr>
            </w:pPr>
            <w:hyperlink r:id="rId17" w:history="1">
              <w:r w:rsidRPr="00AC42B6" w:rsidR="00576CDD">
                <w:rPr>
                  <w:rStyle w:val="Hyperlink"/>
                  <w:sz w:val="24"/>
                  <w:szCs w:val="24"/>
                </w:rPr>
                <w:t>g</w:t>
              </w:r>
              <w:r w:rsidRPr="00AC42B6" w:rsidR="00576CDD">
                <w:rPr>
                  <w:rStyle w:val="Hyperlink"/>
                  <w:bCs/>
                  <w:sz w:val="24"/>
                  <w:szCs w:val="24"/>
                </w:rPr>
                <w:t>reta.see@puco.ohio.gov</w:t>
              </w:r>
            </w:hyperlink>
          </w:p>
          <w:p w:rsidR="004978B1" w:rsidRPr="00AC42B6" w:rsidP="00CF3EF6" w14:paraId="0C20ADAC" w14:textId="77777777">
            <w:pPr>
              <w:pStyle w:val="BodyText"/>
              <w:ind w:left="0"/>
              <w:rPr>
                <w:rStyle w:val="Hyperlink"/>
                <w:rFonts w:eastAsia="Courier New"/>
                <w:sz w:val="24"/>
                <w:szCs w:val="24"/>
              </w:rPr>
            </w:pPr>
          </w:p>
          <w:p w:rsidR="004978B1" w:rsidRPr="00AC42B6" w:rsidP="00CF3EF6" w14:paraId="5CB34D1E" w14:textId="77777777">
            <w:pPr>
              <w:pStyle w:val="BodyText"/>
              <w:ind w:left="0"/>
              <w:rPr>
                <w:rStyle w:val="Hyperlink"/>
                <w:rFonts w:eastAsiaTheme="minorHAnsi"/>
                <w:sz w:val="24"/>
                <w:szCs w:val="24"/>
              </w:rPr>
            </w:pPr>
          </w:p>
          <w:p w:rsidR="004978B1" w:rsidRPr="00AC42B6" w:rsidP="00CF3EF6" w14:paraId="65A24EA0" w14:textId="77777777">
            <w:pPr>
              <w:pStyle w:val="CommentText"/>
              <w:jc w:val="center"/>
              <w:rPr>
                <w:b/>
                <w:sz w:val="24"/>
                <w:szCs w:val="24"/>
              </w:rPr>
            </w:pPr>
          </w:p>
          <w:p w:rsidR="004978B1" w:rsidRPr="00AC42B6" w:rsidP="00CF3EF6" w14:paraId="1EAF46AA" w14:textId="77777777">
            <w:pPr>
              <w:pStyle w:val="CommentText"/>
              <w:spacing w:line="276" w:lineRule="auto"/>
              <w:rPr>
                <w:rStyle w:val="Hyperlink"/>
                <w:rFonts w:eastAsia="Courier New"/>
                <w:sz w:val="24"/>
                <w:szCs w:val="24"/>
              </w:rPr>
            </w:pPr>
          </w:p>
          <w:p w:rsidR="004978B1" w:rsidRPr="00AC42B6" w:rsidP="00CF3EF6" w14:paraId="4536A8DF" w14:textId="77777777">
            <w:pPr>
              <w:pStyle w:val="CommentText"/>
              <w:rPr>
                <w:bCs/>
                <w:sz w:val="24"/>
                <w:szCs w:val="24"/>
              </w:rPr>
            </w:pPr>
          </w:p>
        </w:tc>
        <w:tc>
          <w:tcPr>
            <w:tcW w:w="4675" w:type="dxa"/>
          </w:tcPr>
          <w:p w:rsidR="004978B1" w:rsidRPr="00AC42B6" w:rsidP="00CF3EF6" w14:paraId="5CF946EE" w14:textId="77777777">
            <w:pPr>
              <w:autoSpaceDE w:val="0"/>
              <w:autoSpaceDN w:val="0"/>
              <w:adjustRightInd w:val="0"/>
              <w:rPr>
                <w:sz w:val="24"/>
                <w:szCs w:val="24"/>
              </w:rPr>
            </w:pPr>
            <w:hyperlink r:id="rId18" w:history="1">
              <w:r w:rsidRPr="00AC42B6" w:rsidR="00576CDD">
                <w:rPr>
                  <w:rStyle w:val="Hyperlink"/>
                  <w:sz w:val="24"/>
                  <w:szCs w:val="24"/>
                </w:rPr>
                <w:t>stnourse@aep.com</w:t>
              </w:r>
            </w:hyperlink>
          </w:p>
          <w:p w:rsidR="004978B1" w:rsidRPr="00AC42B6" w:rsidP="00CF3EF6" w14:paraId="62230315" w14:textId="77777777">
            <w:pPr>
              <w:autoSpaceDE w:val="0"/>
              <w:autoSpaceDN w:val="0"/>
              <w:adjustRightInd w:val="0"/>
              <w:rPr>
                <w:rStyle w:val="Hyperlink"/>
                <w:sz w:val="24"/>
                <w:szCs w:val="24"/>
              </w:rPr>
            </w:pPr>
            <w:hyperlink r:id="rId19" w:history="1">
              <w:r w:rsidRPr="00AC42B6" w:rsidR="00576CDD">
                <w:rPr>
                  <w:rStyle w:val="Hyperlink"/>
                  <w:sz w:val="24"/>
                  <w:szCs w:val="24"/>
                </w:rPr>
                <w:t>mpritchard@mcneeslaw.com</w:t>
              </w:r>
            </w:hyperlink>
          </w:p>
          <w:p w:rsidR="004978B1" w:rsidRPr="00AC42B6" w:rsidP="00CF3EF6" w14:paraId="743A28AC" w14:textId="77777777">
            <w:pPr>
              <w:autoSpaceDE w:val="0"/>
              <w:autoSpaceDN w:val="0"/>
              <w:adjustRightInd w:val="0"/>
              <w:rPr>
                <w:color w:val="0000FF"/>
                <w:sz w:val="24"/>
                <w:szCs w:val="24"/>
              </w:rPr>
            </w:pPr>
            <w:hyperlink r:id="rId20" w:history="1">
              <w:r w:rsidRPr="00AC42B6" w:rsidR="00576CDD">
                <w:rPr>
                  <w:rStyle w:val="Hyperlink"/>
                  <w:sz w:val="24"/>
                  <w:szCs w:val="24"/>
                </w:rPr>
                <w:t>tlong@mcneeslaw.com</w:t>
              </w:r>
            </w:hyperlink>
          </w:p>
          <w:p w:rsidR="004978B1" w:rsidRPr="00AC42B6" w:rsidP="00CF3EF6" w14:paraId="76374BD6" w14:textId="77777777">
            <w:pPr>
              <w:autoSpaceDE w:val="0"/>
              <w:autoSpaceDN w:val="0"/>
              <w:adjustRightInd w:val="0"/>
              <w:rPr>
                <w:color w:val="0000FF"/>
                <w:sz w:val="24"/>
                <w:szCs w:val="24"/>
              </w:rPr>
            </w:pPr>
            <w:hyperlink r:id="rId21" w:history="1">
              <w:r w:rsidRPr="00AC42B6" w:rsidR="00576CDD">
                <w:rPr>
                  <w:rStyle w:val="Hyperlink"/>
                  <w:sz w:val="24"/>
                  <w:szCs w:val="24"/>
                </w:rPr>
                <w:t>bmckenney@mcneeslaw.com</w:t>
              </w:r>
            </w:hyperlink>
          </w:p>
          <w:p w:rsidR="004978B1" w:rsidRPr="00AC42B6" w:rsidP="00CF3EF6" w14:paraId="42654C99" w14:textId="77777777">
            <w:pPr>
              <w:autoSpaceDE w:val="0"/>
              <w:autoSpaceDN w:val="0"/>
              <w:adjustRightInd w:val="0"/>
              <w:rPr>
                <w:sz w:val="24"/>
                <w:szCs w:val="24"/>
              </w:rPr>
            </w:pPr>
            <w:hyperlink r:id="rId22" w:history="1">
              <w:r w:rsidRPr="00AC42B6" w:rsidR="00576CDD">
                <w:rPr>
                  <w:rStyle w:val="Hyperlink"/>
                  <w:sz w:val="24"/>
                  <w:szCs w:val="24"/>
                </w:rPr>
                <w:t>megan.wachpress@sierraclub.org</w:t>
              </w:r>
            </w:hyperlink>
          </w:p>
          <w:p w:rsidR="004978B1" w:rsidRPr="00AC42B6" w:rsidP="00CF3EF6" w14:paraId="43386D29" w14:textId="77777777">
            <w:pPr>
              <w:autoSpaceDE w:val="0"/>
              <w:autoSpaceDN w:val="0"/>
              <w:adjustRightInd w:val="0"/>
              <w:rPr>
                <w:sz w:val="24"/>
                <w:szCs w:val="24"/>
              </w:rPr>
            </w:pPr>
            <w:hyperlink r:id="rId23" w:history="1">
              <w:r w:rsidRPr="00AC42B6" w:rsidR="00576CDD">
                <w:rPr>
                  <w:rStyle w:val="Hyperlink"/>
                  <w:sz w:val="24"/>
                  <w:szCs w:val="24"/>
                </w:rPr>
                <w:t>bojko@carpenterlipps.com</w:t>
              </w:r>
            </w:hyperlink>
          </w:p>
          <w:p w:rsidR="004978B1" w:rsidRPr="00AC42B6" w:rsidP="00CF3EF6" w14:paraId="66C0A718" w14:textId="77777777">
            <w:pPr>
              <w:autoSpaceDE w:val="0"/>
              <w:autoSpaceDN w:val="0"/>
              <w:adjustRightInd w:val="0"/>
              <w:rPr>
                <w:sz w:val="24"/>
                <w:szCs w:val="24"/>
              </w:rPr>
            </w:pPr>
            <w:hyperlink r:id="rId24" w:history="1">
              <w:r w:rsidRPr="00AC42B6" w:rsidR="00576CDD">
                <w:rPr>
                  <w:rStyle w:val="Hyperlink"/>
                  <w:sz w:val="24"/>
                  <w:szCs w:val="24"/>
                </w:rPr>
                <w:t>donadio@carpenterlipps.com</w:t>
              </w:r>
            </w:hyperlink>
          </w:p>
          <w:p w:rsidR="004978B1" w:rsidRPr="00AC42B6" w:rsidP="00CF3EF6" w14:paraId="07D71E76" w14:textId="77777777">
            <w:pPr>
              <w:autoSpaceDE w:val="0"/>
              <w:autoSpaceDN w:val="0"/>
              <w:adjustRightInd w:val="0"/>
              <w:rPr>
                <w:rStyle w:val="Hyperlink"/>
                <w:rFonts w:eastAsiaTheme="minorHAnsi"/>
                <w:sz w:val="24"/>
                <w:szCs w:val="24"/>
              </w:rPr>
            </w:pPr>
            <w:hyperlink r:id="rId25" w:history="1">
              <w:r w:rsidRPr="00AC42B6" w:rsidR="00576CDD">
                <w:rPr>
                  <w:rStyle w:val="Hyperlink"/>
                  <w:rFonts w:eastAsiaTheme="minorHAnsi"/>
                  <w:sz w:val="24"/>
                  <w:szCs w:val="24"/>
                </w:rPr>
                <w:t>paul@carpenterlipps.com</w:t>
              </w:r>
            </w:hyperlink>
          </w:p>
          <w:p w:rsidR="004978B1" w:rsidRPr="00AC42B6" w:rsidP="00CF3EF6" w14:paraId="62B84711" w14:textId="77777777">
            <w:pPr>
              <w:autoSpaceDE w:val="0"/>
              <w:autoSpaceDN w:val="0"/>
              <w:adjustRightInd w:val="0"/>
              <w:rPr>
                <w:sz w:val="24"/>
                <w:szCs w:val="24"/>
              </w:rPr>
            </w:pPr>
          </w:p>
          <w:p w:rsidR="004978B1" w:rsidRPr="00AC42B6" w:rsidP="00CF3EF6" w14:paraId="528B4BD7" w14:textId="77777777">
            <w:pPr>
              <w:autoSpaceDE w:val="0"/>
              <w:autoSpaceDN w:val="0"/>
              <w:adjustRightInd w:val="0"/>
              <w:rPr>
                <w:sz w:val="24"/>
                <w:szCs w:val="24"/>
              </w:rPr>
            </w:pPr>
          </w:p>
          <w:p w:rsidR="004978B1" w:rsidRPr="00AC42B6" w:rsidP="00CF3EF6" w14:paraId="44E949D4" w14:textId="77777777">
            <w:pPr>
              <w:autoSpaceDE w:val="0"/>
              <w:autoSpaceDN w:val="0"/>
              <w:adjustRightInd w:val="0"/>
              <w:rPr>
                <w:rStyle w:val="Hyperlink"/>
                <w:rFonts w:eastAsia="Courier New"/>
                <w:sz w:val="24"/>
                <w:szCs w:val="24"/>
              </w:rPr>
            </w:pPr>
          </w:p>
          <w:p w:rsidR="004978B1" w:rsidRPr="00AC42B6" w:rsidP="00CF3EF6" w14:paraId="44C211DF" w14:textId="77777777">
            <w:pPr>
              <w:autoSpaceDE w:val="0"/>
              <w:autoSpaceDN w:val="0"/>
              <w:adjustRightInd w:val="0"/>
              <w:rPr>
                <w:rStyle w:val="Hyperlink"/>
                <w:rFonts w:eastAsia="Courier New"/>
                <w:sz w:val="24"/>
                <w:szCs w:val="24"/>
              </w:rPr>
            </w:pPr>
          </w:p>
          <w:p w:rsidR="004978B1" w:rsidRPr="00AC42B6" w:rsidP="00CF3EF6" w14:paraId="64347944" w14:textId="77777777">
            <w:pPr>
              <w:autoSpaceDE w:val="0"/>
              <w:autoSpaceDN w:val="0"/>
              <w:adjustRightInd w:val="0"/>
              <w:rPr>
                <w:rStyle w:val="Hyperlink"/>
                <w:rFonts w:eastAsia="Courier New"/>
                <w:sz w:val="24"/>
                <w:szCs w:val="24"/>
              </w:rPr>
            </w:pPr>
          </w:p>
          <w:p w:rsidR="004978B1" w:rsidRPr="00AC42B6" w:rsidP="00CF3EF6" w14:paraId="4C1D1D10" w14:textId="77777777">
            <w:pPr>
              <w:autoSpaceDE w:val="0"/>
              <w:autoSpaceDN w:val="0"/>
              <w:adjustRightInd w:val="0"/>
              <w:rPr>
                <w:rStyle w:val="Hyperlink"/>
                <w:rFonts w:eastAsia="Courier New"/>
                <w:sz w:val="24"/>
                <w:szCs w:val="24"/>
              </w:rPr>
            </w:pPr>
          </w:p>
          <w:p w:rsidR="004978B1" w:rsidRPr="00AC42B6" w:rsidP="00CF3EF6" w14:paraId="13F0D637" w14:textId="77777777">
            <w:pPr>
              <w:pStyle w:val="CommentText"/>
              <w:spacing w:line="276" w:lineRule="auto"/>
              <w:rPr>
                <w:rStyle w:val="Hyperlink"/>
                <w:rFonts w:eastAsia="Courier New"/>
                <w:sz w:val="24"/>
                <w:szCs w:val="24"/>
              </w:rPr>
            </w:pPr>
          </w:p>
          <w:p w:rsidR="004978B1" w:rsidRPr="00AC42B6" w:rsidP="00CF3EF6" w14:paraId="1956C8EF" w14:textId="77777777">
            <w:pPr>
              <w:autoSpaceDE w:val="0"/>
              <w:autoSpaceDN w:val="0"/>
              <w:adjustRightInd w:val="0"/>
              <w:rPr>
                <w:bCs/>
                <w:sz w:val="24"/>
                <w:szCs w:val="24"/>
              </w:rPr>
            </w:pPr>
          </w:p>
          <w:p w:rsidR="004978B1" w:rsidRPr="00AC42B6" w:rsidP="00CF3EF6" w14:paraId="31674135" w14:textId="77777777">
            <w:pPr>
              <w:autoSpaceDE w:val="0"/>
              <w:autoSpaceDN w:val="0"/>
              <w:adjustRightInd w:val="0"/>
              <w:rPr>
                <w:rStyle w:val="Hyperlink"/>
                <w:rFonts w:eastAsia="Courier New"/>
                <w:sz w:val="24"/>
                <w:szCs w:val="24"/>
              </w:rPr>
            </w:pPr>
          </w:p>
          <w:p w:rsidR="004978B1" w:rsidRPr="00AC42B6" w:rsidP="00CF3EF6" w14:paraId="613D5390" w14:textId="77777777">
            <w:pPr>
              <w:autoSpaceDE w:val="0"/>
              <w:autoSpaceDN w:val="0"/>
              <w:adjustRightInd w:val="0"/>
              <w:rPr>
                <w:rStyle w:val="Hyperlink"/>
                <w:rFonts w:eastAsia="Courier New"/>
                <w:bCs/>
                <w:sz w:val="24"/>
                <w:szCs w:val="24"/>
              </w:rPr>
            </w:pPr>
          </w:p>
          <w:p w:rsidR="004978B1" w:rsidRPr="00AC42B6" w:rsidP="00CF3EF6" w14:paraId="08BB95D4" w14:textId="77777777">
            <w:pPr>
              <w:pStyle w:val="CommentText"/>
              <w:rPr>
                <w:b/>
                <w:sz w:val="24"/>
                <w:szCs w:val="24"/>
              </w:rPr>
            </w:pPr>
          </w:p>
        </w:tc>
      </w:tr>
    </w:tbl>
    <w:p w:rsidR="0061608D" w:rsidRPr="00AC42B6" w:rsidP="00A6590B" w14:paraId="19CD2C83" w14:textId="77777777">
      <w:pPr>
        <w:pStyle w:val="EndnoteText"/>
        <w:widowControl/>
        <w:rPr>
          <w:rFonts w:ascii="Times New Roman" w:hAnsi="Times New Roman"/>
          <w:snapToGrid/>
          <w:szCs w:val="24"/>
        </w:rPr>
      </w:pPr>
    </w:p>
    <w:p w:rsidR="0061608D" w:rsidRPr="00AC42B6" w:rsidP="00A6590B" w14:paraId="6F316F2F" w14:textId="77777777">
      <w:pPr>
        <w:pStyle w:val="CommentText"/>
        <w:rPr>
          <w:rFonts w:ascii="Times New Roman" w:hAnsi="Times New Roman" w:cs="Times New Roman"/>
          <w:sz w:val="24"/>
          <w:szCs w:val="24"/>
        </w:rPr>
      </w:pPr>
    </w:p>
    <w:p w:rsidR="007E0640" w:rsidRPr="00AC42B6" w:rsidP="00A6590B" w14:paraId="568356DC" w14:textId="77777777">
      <w:pPr>
        <w:pStyle w:val="CommentText"/>
        <w:rPr>
          <w:rFonts w:ascii="Times New Roman" w:hAnsi="Times New Roman" w:cs="Times New Roman"/>
          <w:sz w:val="24"/>
          <w:szCs w:val="24"/>
          <w:u w:val="single"/>
        </w:rPr>
      </w:pPr>
    </w:p>
    <w:p w:rsidR="00232054" w:rsidRPr="00AC42B6" w:rsidP="0061608D" w14:paraId="07A80846" w14:textId="77777777">
      <w:pPr>
        <w:pStyle w:val="CommentText"/>
        <w:jc w:val="center"/>
        <w:rPr>
          <w:rFonts w:ascii="Times New Roman" w:hAnsi="Times New Roman" w:cs="Times New Roman"/>
          <w:b/>
          <w:sz w:val="24"/>
          <w:szCs w:val="24"/>
          <w:u w:val="single"/>
        </w:rPr>
      </w:pPr>
    </w:p>
    <w:sectPr w:rsidSect="008775E4">
      <w:headerReference w:type="even" r:id="rId26"/>
      <w:headerReference w:type="default" r:id="rId27"/>
      <w:footerReference w:type="even" r:id="rId28"/>
      <w:footerReference w:type="default" r:id="rId29"/>
      <w:pgSz w:w="12240" w:h="15840"/>
      <w:pgMar w:top="1440" w:right="1440" w:bottom="1440" w:left="1440" w:header="1547" w:footer="432"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C4F" w14:paraId="73FD9FCE" w14:textId="77777777">
    <w:pPr>
      <w:pStyle w:val="Footer"/>
      <w:jc w:val="center"/>
    </w:pPr>
  </w:p>
  <w:p w:rsidR="00857C4F" w:rsidRPr="00061F3F" w14:paraId="63E896A6" w14:textId="77777777">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956251"/>
      <w:docPartObj>
        <w:docPartGallery w:val="Page Numbers (Bottom of Page)"/>
        <w:docPartUnique/>
      </w:docPartObj>
    </w:sdtPr>
    <w:sdtEndPr>
      <w:rPr>
        <w:noProof/>
      </w:rPr>
    </w:sdtEndPr>
    <w:sdtContent>
      <w:p w:rsidR="00857C4F" w14:paraId="24C7293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57C4F" w:rsidRPr="00AE3DA5" w14:paraId="07850105" w14:textId="77777777">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5343713"/>
      <w:docPartObj>
        <w:docPartGallery w:val="Page Numbers (Bottom of Page)"/>
        <w:docPartUnique/>
      </w:docPartObj>
    </w:sdtPr>
    <w:sdtEndPr>
      <w:rPr>
        <w:noProof/>
      </w:rPr>
    </w:sdtEndPr>
    <w:sdtContent>
      <w:p w:rsidR="00857C4F" w14:paraId="45FB41A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57C4F" w:rsidRPr="00AE3DA5" w14:paraId="5311C70E" w14:textId="77777777">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5365231"/>
      <w:docPartObj>
        <w:docPartGallery w:val="Page Numbers (Bottom of Page)"/>
        <w:docPartUnique/>
      </w:docPartObj>
    </w:sdtPr>
    <w:sdtEndPr>
      <w:rPr>
        <w:rFonts w:ascii="Times New Roman" w:hAnsi="Times New Roman" w:cs="Times New Roman"/>
        <w:noProof/>
        <w:sz w:val="24"/>
        <w:szCs w:val="24"/>
      </w:rPr>
    </w:sdtEndPr>
    <w:sdtContent>
      <w:p w:rsidR="00857C4F" w:rsidRPr="005F065E" w14:paraId="59A43C48" w14:textId="77777777">
        <w:pPr>
          <w:pStyle w:val="Footer"/>
          <w:jc w:val="center"/>
          <w:rPr>
            <w:rFonts w:ascii="Times New Roman" w:hAnsi="Times New Roman" w:cs="Times New Roman"/>
            <w:sz w:val="24"/>
            <w:szCs w:val="24"/>
          </w:rPr>
        </w:pPr>
        <w:r w:rsidRPr="005F065E">
          <w:rPr>
            <w:rFonts w:ascii="Times New Roman" w:hAnsi="Times New Roman" w:cs="Times New Roman"/>
            <w:sz w:val="24"/>
            <w:szCs w:val="24"/>
          </w:rPr>
          <w:fldChar w:fldCharType="begin"/>
        </w:r>
        <w:r w:rsidRPr="005F065E">
          <w:rPr>
            <w:rFonts w:ascii="Times New Roman" w:hAnsi="Times New Roman" w:cs="Times New Roman"/>
            <w:sz w:val="24"/>
            <w:szCs w:val="24"/>
          </w:rPr>
          <w:instrText xml:space="preserve"> PAGE   \* MERGEFORMAT </w:instrText>
        </w:r>
        <w:r w:rsidRPr="005F065E">
          <w:rPr>
            <w:rFonts w:ascii="Times New Roman" w:hAnsi="Times New Roman" w:cs="Times New Roman"/>
            <w:sz w:val="24"/>
            <w:szCs w:val="24"/>
          </w:rPr>
          <w:fldChar w:fldCharType="separate"/>
        </w:r>
        <w:r w:rsidRPr="005F065E">
          <w:rPr>
            <w:rFonts w:ascii="Times New Roman" w:hAnsi="Times New Roman" w:cs="Times New Roman"/>
            <w:noProof/>
            <w:sz w:val="24"/>
            <w:szCs w:val="24"/>
          </w:rPr>
          <w:t>2</w:t>
        </w:r>
        <w:r w:rsidRPr="005F065E">
          <w:rPr>
            <w:rFonts w:ascii="Times New Roman" w:hAnsi="Times New Roman" w:cs="Times New Roman"/>
            <w:noProof/>
            <w:sz w:val="24"/>
            <w:szCs w:val="24"/>
          </w:rPr>
          <w:fldChar w:fldCharType="end"/>
        </w:r>
      </w:p>
    </w:sdtContent>
  </w:sdt>
  <w:p w:rsidR="00857C4F" w:rsidRPr="00061F3F" w14:paraId="0CA98A00" w14:textId="77777777">
    <w:pPr>
      <w:pStyle w:val="Footer"/>
      <w:jc w:val="cen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0052430"/>
      <w:docPartObj>
        <w:docPartGallery w:val="Page Numbers (Bottom of Page)"/>
        <w:docPartUnique/>
      </w:docPartObj>
    </w:sdtPr>
    <w:sdtEndPr>
      <w:rPr>
        <w:rFonts w:ascii="Times New Roman" w:hAnsi="Times New Roman" w:cs="Times New Roman"/>
        <w:noProof/>
        <w:sz w:val="24"/>
        <w:szCs w:val="24"/>
      </w:rPr>
    </w:sdtEndPr>
    <w:sdtContent>
      <w:p w:rsidR="00857C4F" w:rsidRPr="00E17C81" w14:paraId="623F4726" w14:textId="77777777">
        <w:pPr>
          <w:pStyle w:val="Footer"/>
          <w:jc w:val="center"/>
          <w:rPr>
            <w:rFonts w:ascii="Times New Roman" w:hAnsi="Times New Roman" w:cs="Times New Roman"/>
            <w:sz w:val="24"/>
            <w:szCs w:val="24"/>
          </w:rPr>
        </w:pPr>
        <w:r w:rsidRPr="00E17C81">
          <w:rPr>
            <w:rFonts w:ascii="Times New Roman" w:hAnsi="Times New Roman" w:cs="Times New Roman"/>
            <w:sz w:val="24"/>
            <w:szCs w:val="24"/>
          </w:rPr>
          <w:fldChar w:fldCharType="begin"/>
        </w:r>
        <w:r w:rsidRPr="00E17C81">
          <w:rPr>
            <w:rFonts w:ascii="Times New Roman" w:hAnsi="Times New Roman" w:cs="Times New Roman"/>
            <w:sz w:val="24"/>
            <w:szCs w:val="24"/>
          </w:rPr>
          <w:instrText xml:space="preserve"> PAGE   \* MERGEFORMAT </w:instrText>
        </w:r>
        <w:r w:rsidRPr="00E17C81">
          <w:rPr>
            <w:rFonts w:ascii="Times New Roman" w:hAnsi="Times New Roman" w:cs="Times New Roman"/>
            <w:sz w:val="24"/>
            <w:szCs w:val="24"/>
          </w:rPr>
          <w:fldChar w:fldCharType="separate"/>
        </w:r>
        <w:r w:rsidRPr="00E17C81">
          <w:rPr>
            <w:rFonts w:ascii="Times New Roman" w:hAnsi="Times New Roman" w:cs="Times New Roman"/>
            <w:noProof/>
            <w:sz w:val="24"/>
            <w:szCs w:val="24"/>
          </w:rPr>
          <w:t>2</w:t>
        </w:r>
        <w:r w:rsidRPr="00E17C81">
          <w:rPr>
            <w:rFonts w:ascii="Times New Roman" w:hAnsi="Times New Roman" w:cs="Times New Roman"/>
            <w:noProof/>
            <w:sz w:val="24"/>
            <w:szCs w:val="24"/>
          </w:rPr>
          <w:fldChar w:fldCharType="end"/>
        </w:r>
      </w:p>
    </w:sdtContent>
  </w:sdt>
  <w:p w:rsidR="00857C4F" w14:paraId="309959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76CDD" w14:paraId="32D503C8" w14:textId="77777777">
      <w:r>
        <w:separator/>
      </w:r>
    </w:p>
  </w:footnote>
  <w:footnote w:type="continuationSeparator" w:id="1">
    <w:p w:rsidR="00576CDD" w14:paraId="3CA711F3" w14:textId="77777777">
      <w:r>
        <w:continuationSeparator/>
      </w:r>
    </w:p>
  </w:footnote>
  <w:footnote w:id="2">
    <w:p w:rsidR="00857C4F" w:rsidRPr="00D9260E" w:rsidP="00D9260E" w14:paraId="4BF99DBE" w14:textId="77777777">
      <w:pPr>
        <w:pStyle w:val="FootnoteText"/>
        <w:spacing w:after="120"/>
        <w:rPr>
          <w:b/>
          <w:bCs/>
        </w:rPr>
      </w:pPr>
      <w:r w:rsidRPr="00D9260E">
        <w:rPr>
          <w:rStyle w:val="FootnoteReference"/>
        </w:rPr>
        <w:footnoteRef/>
      </w:r>
      <w:r w:rsidRPr="00D9260E">
        <w:t xml:space="preserve"> </w:t>
      </w:r>
      <w:r w:rsidRPr="00D9260E">
        <w:rPr>
          <w:i/>
          <w:iCs/>
        </w:rPr>
        <w:t>In the Matter of the Application of Ohio Power Company for Authority to Establish A Standard Service Offer Pursuant to R.C. 4928.143, in the Form of an Electric Security Plan</w:t>
      </w:r>
      <w:r w:rsidRPr="00D9260E">
        <w:t>, Case No. 16-1852-EL-SSO Opinion and Order (Apr. 25, 2018).</w:t>
      </w:r>
    </w:p>
  </w:footnote>
  <w:footnote w:id="3">
    <w:p w:rsidR="00857C4F" w:rsidRPr="00D9260E" w:rsidP="00D9260E" w14:paraId="422572A4" w14:textId="77777777">
      <w:pPr>
        <w:pStyle w:val="FootnoteText"/>
        <w:spacing w:after="120"/>
      </w:pPr>
      <w:r w:rsidRPr="00D9260E">
        <w:rPr>
          <w:rStyle w:val="FootnoteReference"/>
        </w:rPr>
        <w:footnoteRef/>
      </w:r>
      <w:r w:rsidRPr="00D9260E">
        <w:t xml:space="preserve"> </w:t>
      </w:r>
      <w:r w:rsidRPr="00D9260E">
        <w:rPr>
          <w:i/>
          <w:iCs/>
        </w:rPr>
        <w:t xml:space="preserve">In the Matter of the Application Seeking Approval of Ohio Power Company's Proposal to Enter into an Affiliate Power Purchase Agreement for Inclusion in the Power Purchase Agreement Rider, </w:t>
      </w:r>
      <w:r w:rsidRPr="00D9260E">
        <w:t>Case No. 14-1693-EL-RDR. Opinion and Order, Concurring Opinion of Commissioner M. Beth Trombold at 2 (Mar. 31, 2016) (Emphasis added).</w:t>
      </w:r>
    </w:p>
  </w:footnote>
  <w:footnote w:id="4">
    <w:p w:rsidR="005F3E9A" w:rsidRPr="00D9260E" w:rsidP="00D9260E" w14:paraId="31ABD7A5" w14:textId="77777777">
      <w:pPr>
        <w:pStyle w:val="FootnoteText"/>
        <w:spacing w:after="120"/>
      </w:pPr>
      <w:r w:rsidRPr="00D9260E">
        <w:rPr>
          <w:rStyle w:val="FootnoteReference"/>
        </w:rPr>
        <w:footnoteRef/>
      </w:r>
      <w:r w:rsidRPr="00D9260E">
        <w:t xml:space="preserve"> </w:t>
      </w:r>
      <w:r w:rsidRPr="00D9260E">
        <w:rPr>
          <w:i/>
          <w:iCs/>
        </w:rPr>
        <w:t xml:space="preserve">Id., </w:t>
      </w:r>
      <w:r w:rsidRPr="00D9260E">
        <w:t>Concurring Opinion of Commissioner Haque at p. 5.</w:t>
      </w:r>
    </w:p>
  </w:footnote>
  <w:footnote w:id="5">
    <w:p w:rsidR="00857C4F" w:rsidRPr="00D9260E" w:rsidP="00D9260E" w14:paraId="287C9528" w14:textId="77777777">
      <w:pPr>
        <w:pStyle w:val="FootnoteText"/>
        <w:spacing w:after="120"/>
      </w:pPr>
      <w:r w:rsidRPr="00D9260E">
        <w:rPr>
          <w:rStyle w:val="FootnoteReference"/>
        </w:rPr>
        <w:footnoteRef/>
      </w:r>
      <w:r w:rsidRPr="00D9260E">
        <w:t xml:space="preserve"> This chart appears in Runnerstone, LLC, </w:t>
      </w:r>
      <w:r w:rsidRPr="00D9260E">
        <w:rPr>
          <w:i/>
          <w:iCs/>
        </w:rPr>
        <w:t xml:space="preserve">While HB 6’s Remaining Provisions are Debated, Subsidies to Ohio Utilities Double to $150M Annually for Two Aged Coal Plants </w:t>
      </w:r>
      <w:r w:rsidRPr="00D9260E">
        <w:t>(Sept. 30, 2021).</w:t>
      </w:r>
    </w:p>
  </w:footnote>
  <w:footnote w:id="6">
    <w:p w:rsidR="00857C4F" w:rsidRPr="00D9260E" w:rsidP="00D9260E" w14:paraId="4E72EC8F" w14:textId="77777777">
      <w:pPr>
        <w:pStyle w:val="FootnoteText"/>
        <w:spacing w:after="120"/>
      </w:pPr>
      <w:r w:rsidRPr="00D9260E">
        <w:rPr>
          <w:rStyle w:val="FootnoteReference"/>
        </w:rPr>
        <w:footnoteRef/>
      </w:r>
      <w:r w:rsidRPr="00D9260E">
        <w:t xml:space="preserve"> Audit Report at 31 (Sept. 16, 2020). </w:t>
      </w:r>
    </w:p>
  </w:footnote>
  <w:footnote w:id="7">
    <w:p w:rsidR="002B250F" w14:paraId="2E49A307" w14:textId="4B60C158">
      <w:pPr>
        <w:pStyle w:val="FootnoteText"/>
        <w:rPr>
          <w:i/>
          <w:iCs/>
        </w:rPr>
      </w:pPr>
      <w:r>
        <w:rPr>
          <w:rStyle w:val="FootnoteReference"/>
        </w:rPr>
        <w:footnoteRef/>
      </w:r>
      <w:r>
        <w:t xml:space="preserve"> </w:t>
      </w:r>
      <w:r>
        <w:rPr>
          <w:i/>
          <w:iCs/>
        </w:rPr>
        <w:t>Id.</w:t>
      </w:r>
    </w:p>
    <w:p w:rsidR="002B250F" w:rsidRPr="002B250F" w14:paraId="59E62323" w14:textId="77777777">
      <w:pPr>
        <w:pStyle w:val="FootnoteText"/>
      </w:pPr>
    </w:p>
  </w:footnote>
  <w:footnote w:id="8">
    <w:p w:rsidR="00857C4F" w:rsidRPr="00D9260E" w:rsidP="00D9260E" w14:paraId="29E9F94D" w14:textId="77777777">
      <w:pPr>
        <w:pStyle w:val="FootnoteText"/>
        <w:spacing w:after="120"/>
      </w:pPr>
      <w:r w:rsidRPr="00D9260E">
        <w:rPr>
          <w:rStyle w:val="FootnoteReference"/>
        </w:rPr>
        <w:footnoteRef/>
      </w:r>
      <w:r w:rsidRPr="00D9260E">
        <w:t xml:space="preserve"> </w:t>
      </w:r>
      <w:r w:rsidRPr="00D9260E">
        <w:rPr>
          <w:i/>
          <w:iCs/>
        </w:rPr>
        <w:t>Id.</w:t>
      </w:r>
      <w:r w:rsidRPr="00D9260E">
        <w:t>.</w:t>
      </w:r>
    </w:p>
  </w:footnote>
  <w:footnote w:id="9">
    <w:p w:rsidR="00857C4F" w:rsidRPr="00D9260E" w:rsidP="00D9260E" w14:paraId="100DC02A" w14:textId="77777777">
      <w:pPr>
        <w:pStyle w:val="FootnoteText"/>
        <w:spacing w:after="120"/>
      </w:pPr>
      <w:r w:rsidRPr="00D9260E">
        <w:rPr>
          <w:rStyle w:val="FootnoteReference"/>
        </w:rPr>
        <w:footnoteRef/>
      </w:r>
      <w:r w:rsidRPr="00D9260E">
        <w:t xml:space="preserve"> AEP Ohio Motion for a Protective Order (Sept. 16, 2020).</w:t>
      </w:r>
    </w:p>
  </w:footnote>
  <w:footnote w:id="10">
    <w:p w:rsidR="00857C4F" w:rsidRPr="00D9260E" w:rsidP="00D9260E" w14:paraId="7A91BFC8" w14:textId="77777777">
      <w:pPr>
        <w:pStyle w:val="FootnoteText"/>
        <w:spacing w:after="120"/>
      </w:pPr>
      <w:r w:rsidRPr="00D9260E">
        <w:rPr>
          <w:rStyle w:val="FootnoteReference"/>
        </w:rPr>
        <w:footnoteRef/>
      </w:r>
      <w:r w:rsidRPr="00D9260E">
        <w:t xml:space="preserve"> AEP Ohio Motion to Quash OVEC Subpoena (Dec. 1, 2021).</w:t>
      </w:r>
    </w:p>
  </w:footnote>
  <w:footnote w:id="11">
    <w:p w:rsidR="00857C4F" w:rsidRPr="00D9260E" w:rsidP="00D9260E" w14:paraId="44774229" w14:textId="77777777">
      <w:pPr>
        <w:pStyle w:val="FootnoteText"/>
        <w:spacing w:after="120"/>
      </w:pPr>
      <w:r w:rsidRPr="00D9260E">
        <w:rPr>
          <w:rStyle w:val="FootnoteReference"/>
        </w:rPr>
        <w:footnoteRef/>
      </w:r>
      <w:r w:rsidRPr="00D9260E">
        <w:t xml:space="preserve"> Entry at ¶ 27 (Oct. 5, 2021).</w:t>
      </w:r>
    </w:p>
  </w:footnote>
  <w:footnote w:id="12">
    <w:p w:rsidR="00857C4F" w:rsidRPr="00D9260E" w:rsidP="00D9260E" w14:paraId="2E31E4F4" w14:textId="77777777">
      <w:pPr>
        <w:pStyle w:val="FootnoteText"/>
        <w:spacing w:after="120"/>
      </w:pPr>
      <w:r w:rsidRPr="00D9260E">
        <w:rPr>
          <w:rStyle w:val="FootnoteReference"/>
        </w:rPr>
        <w:footnoteRef/>
      </w:r>
      <w:r w:rsidRPr="00D9260E">
        <w:t xml:space="preserve"> AEP Ohio Motion for a Protective Order (Dec. 3, 2021).</w:t>
      </w:r>
    </w:p>
    <w:p w:rsidR="00857C4F" w:rsidRPr="00D9260E" w:rsidP="00D9260E" w14:paraId="4B29381C" w14:textId="77777777">
      <w:pPr>
        <w:pStyle w:val="FootnoteText"/>
        <w:spacing w:after="120"/>
      </w:pPr>
    </w:p>
  </w:footnote>
  <w:footnote w:id="13">
    <w:p w:rsidR="00857C4F" w:rsidRPr="00D9260E" w:rsidP="00D9260E" w14:paraId="075A715A" w14:textId="77777777">
      <w:pPr>
        <w:pStyle w:val="FootnoteText"/>
        <w:spacing w:after="120"/>
      </w:pPr>
      <w:r w:rsidRPr="00D9260E">
        <w:rPr>
          <w:rStyle w:val="FootnoteReference"/>
        </w:rPr>
        <w:footnoteRef/>
      </w:r>
      <w:r w:rsidRPr="00D9260E">
        <w:t xml:space="preserve"> AEP Ohio Motion for Protective Order at 4-5.</w:t>
      </w:r>
    </w:p>
  </w:footnote>
  <w:footnote w:id="14">
    <w:p w:rsidR="00857C4F" w:rsidRPr="00D9260E" w:rsidP="00D9260E" w14:paraId="33BB41BE" w14:textId="77777777">
      <w:pPr>
        <w:pStyle w:val="FootnoteText"/>
        <w:spacing w:after="120"/>
      </w:pPr>
      <w:r w:rsidRPr="00D9260E">
        <w:rPr>
          <w:rStyle w:val="FootnoteReference"/>
        </w:rPr>
        <w:footnoteRef/>
      </w:r>
      <w:r w:rsidRPr="00D9260E">
        <w:t xml:space="preserve"> </w:t>
      </w:r>
      <w:r w:rsidRPr="00D9260E">
        <w:rPr>
          <w:i/>
          <w:iCs/>
        </w:rPr>
        <w:t>In the Matter of the Application Seeking Approval of Ohio Power Company’s Proposal to Enter into an Affiliate Purchase Power Agreement</w:t>
      </w:r>
      <w:r w:rsidRPr="00D9260E">
        <w:t>, Case No. 14-1693-EL-RDR, Opinion and Order (Mar. 31, 2016)</w:t>
      </w:r>
      <w:r w:rsidR="004978B1">
        <w:t>.</w:t>
      </w:r>
    </w:p>
  </w:footnote>
  <w:footnote w:id="15">
    <w:p w:rsidR="00CC62C2" w:rsidRPr="00D9260E" w:rsidP="00D9260E" w14:paraId="31D5EAC5" w14:textId="77777777">
      <w:pPr>
        <w:pStyle w:val="FootnoteText"/>
        <w:spacing w:after="120"/>
      </w:pPr>
      <w:r w:rsidRPr="00D9260E">
        <w:rPr>
          <w:rStyle w:val="FootnoteReference"/>
        </w:rPr>
        <w:footnoteRef/>
      </w:r>
      <w:r w:rsidRPr="00D9260E">
        <w:t xml:space="preserve"> </w:t>
      </w:r>
      <w:r w:rsidRPr="00D9260E">
        <w:rPr>
          <w:i/>
          <w:iCs/>
        </w:rPr>
        <w:t>Id.</w:t>
      </w:r>
      <w:r w:rsidRPr="00D9260E">
        <w:t>, Concurring Opinion of Chairman Trombold at p.2 (Mar. 31, 2016) (Emphasis added).</w:t>
      </w:r>
    </w:p>
  </w:footnote>
  <w:footnote w:id="16">
    <w:p w:rsidR="00CC62C2" w:rsidRPr="00D9260E" w:rsidP="00D9260E" w14:paraId="769C4BC0" w14:textId="77777777">
      <w:pPr>
        <w:pStyle w:val="FootnoteText"/>
        <w:spacing w:after="120"/>
      </w:pPr>
      <w:r w:rsidRPr="00D9260E">
        <w:rPr>
          <w:rStyle w:val="FootnoteReference"/>
        </w:rPr>
        <w:footnoteRef/>
      </w:r>
      <w:r w:rsidRPr="00D9260E">
        <w:t xml:space="preserve"> Audit Report at 24 (Sept. 16, 2020).</w:t>
      </w:r>
    </w:p>
  </w:footnote>
  <w:footnote w:id="17">
    <w:p w:rsidR="00F35EAD" w:rsidRPr="00D9260E" w:rsidP="00D9260E" w14:paraId="6512E9D4" w14:textId="77777777">
      <w:pPr>
        <w:pStyle w:val="FootnoteText"/>
        <w:spacing w:after="120"/>
        <w:rPr>
          <w:i/>
          <w:iCs/>
        </w:rPr>
      </w:pPr>
      <w:r w:rsidRPr="00D9260E">
        <w:rPr>
          <w:rStyle w:val="FootnoteReference"/>
        </w:rPr>
        <w:footnoteRef/>
      </w:r>
      <w:r w:rsidRPr="00D9260E">
        <w:t xml:space="preserve"> </w:t>
      </w:r>
      <w:r w:rsidRPr="00D9260E">
        <w:rPr>
          <w:i/>
          <w:iCs/>
        </w:rPr>
        <w:t>Id.</w:t>
      </w:r>
    </w:p>
  </w:footnote>
  <w:footnote w:id="18">
    <w:p w:rsidR="00E7264F" w:rsidRPr="00D9260E" w:rsidP="00D9260E" w14:paraId="21A14535" w14:textId="77777777">
      <w:pPr>
        <w:pStyle w:val="FootnoteText"/>
        <w:spacing w:after="120"/>
        <w:rPr>
          <w:i/>
          <w:iCs/>
        </w:rPr>
      </w:pPr>
      <w:r w:rsidRPr="00D9260E">
        <w:rPr>
          <w:rStyle w:val="FootnoteReference"/>
        </w:rPr>
        <w:footnoteRef/>
      </w:r>
      <w:r w:rsidRPr="00D9260E">
        <w:t xml:space="preserve"> </w:t>
      </w:r>
      <w:r w:rsidRPr="00D9260E">
        <w:rPr>
          <w:i/>
          <w:iCs/>
        </w:rPr>
        <w:t>Id.</w:t>
      </w:r>
    </w:p>
  </w:footnote>
  <w:footnote w:id="19">
    <w:p w:rsidR="00857C4F" w:rsidRPr="00D9260E" w:rsidP="00D9260E" w14:paraId="42E8B7E7" w14:textId="77777777">
      <w:pPr>
        <w:pStyle w:val="FootnoteText"/>
        <w:spacing w:after="120"/>
      </w:pPr>
      <w:r w:rsidRPr="00D9260E">
        <w:rPr>
          <w:rStyle w:val="FootnoteReference"/>
        </w:rPr>
        <w:footnoteRef/>
      </w:r>
      <w:r w:rsidRPr="00D9260E">
        <w:t xml:space="preserve"> </w:t>
      </w:r>
      <w:r w:rsidRPr="00D9260E">
        <w:rPr>
          <w:i/>
          <w:iCs/>
        </w:rPr>
        <w:t>In the Matter of the Review of the Power Purchase Agreement Rider of Ohio Power Company for 2018 and 2019</w:t>
      </w:r>
      <w:r w:rsidRPr="00D9260E">
        <w:t xml:space="preserve">, </w:t>
      </w:r>
      <w:r w:rsidRPr="00D9260E">
        <w:br/>
        <w:t xml:space="preserve">Case Nos. 18-1004-EL-RDR &amp; 18-1759, Entry, Attachment: Request for Proposal No. RA20-PPA-1: An </w:t>
      </w:r>
      <w:r w:rsidRPr="00D9260E">
        <w:br/>
        <w:t>Independent Audit of the Power Purchase Agreement Rider of Ohio Power Company at 4 (Jan. 15, 2020).</w:t>
      </w:r>
    </w:p>
  </w:footnote>
  <w:footnote w:id="20">
    <w:p w:rsidR="00857C4F" w:rsidRPr="00D9260E" w:rsidP="00D9260E" w14:paraId="74E3F4DA" w14:textId="77777777">
      <w:pPr>
        <w:pStyle w:val="FootnoteText"/>
        <w:spacing w:after="120"/>
      </w:pPr>
      <w:r w:rsidRPr="00D9260E">
        <w:rPr>
          <w:rStyle w:val="FootnoteReference"/>
        </w:rPr>
        <w:footnoteRef/>
      </w:r>
      <w:r w:rsidRPr="00D9260E">
        <w:t xml:space="preserve"> </w:t>
      </w:r>
      <w:r w:rsidRPr="00D9260E">
        <w:rPr>
          <w:i/>
          <w:iCs/>
        </w:rPr>
        <w:t xml:space="preserve">In the Matter of the Regulation of the Purchased Gas Adjustment Clause Contained Within the Rate Schedules of </w:t>
      </w:r>
      <w:r w:rsidRPr="00D9260E">
        <w:rPr>
          <w:i/>
          <w:iCs/>
        </w:rPr>
        <w:br/>
        <w:t>the East Ohio Gas Company d/b/a Dominion East Ohio and Related Matter</w:t>
      </w:r>
      <w:r w:rsidRPr="00D9260E">
        <w:t>, Case No. 05-219-GA-GCR, Entry, 2006 Ohio PUC LEXIS 841 (July 28, 2006).</w:t>
      </w:r>
    </w:p>
  </w:footnote>
  <w:footnote w:id="21">
    <w:p w:rsidR="00857C4F" w:rsidRPr="00D9260E" w:rsidP="00D9260E" w14:paraId="68354A86" w14:textId="77777777">
      <w:pPr>
        <w:pStyle w:val="FootnoteText"/>
        <w:spacing w:after="120"/>
      </w:pPr>
      <w:r w:rsidRPr="00D9260E">
        <w:rPr>
          <w:rStyle w:val="FootnoteReference"/>
        </w:rPr>
        <w:footnoteRef/>
      </w:r>
      <w:r w:rsidRPr="00D9260E">
        <w:t xml:space="preserve"> </w:t>
      </w:r>
      <w:r w:rsidRPr="00D9260E">
        <w:rPr>
          <w:i/>
          <w:iCs/>
        </w:rPr>
        <w:t xml:space="preserve">Id. </w:t>
      </w:r>
      <w:r w:rsidRPr="00D9260E">
        <w:t>at ¶ 14.</w:t>
      </w:r>
    </w:p>
  </w:footnote>
  <w:footnote w:id="22">
    <w:p w:rsidR="00857C4F" w:rsidRPr="00D9260E" w:rsidP="00D9260E" w14:paraId="5F78F648" w14:textId="77777777">
      <w:pPr>
        <w:pStyle w:val="FootnoteText"/>
        <w:spacing w:after="120"/>
      </w:pPr>
      <w:r w:rsidRPr="00D9260E">
        <w:rPr>
          <w:rStyle w:val="FootnoteReference"/>
        </w:rPr>
        <w:footnoteRef/>
      </w:r>
      <w:r w:rsidRPr="00D9260E">
        <w:t xml:space="preserve"> </w:t>
      </w:r>
      <w:r w:rsidRPr="00D9260E">
        <w:rPr>
          <w:i/>
          <w:iCs/>
        </w:rPr>
        <w:t xml:space="preserve">Id. </w:t>
      </w:r>
      <w:r w:rsidRPr="00D9260E">
        <w:t>at ¶</w:t>
      </w:r>
      <w:r w:rsidRPr="00D9260E" w:rsidR="00D62E5D">
        <w:t>¶</w:t>
      </w:r>
      <w:r w:rsidRPr="00D9260E">
        <w:t xml:space="preserve"> 12-13.</w:t>
      </w:r>
      <w:r w:rsidRPr="00D9260E" w:rsidR="00501177">
        <w:t xml:space="preserve"> </w:t>
      </w:r>
    </w:p>
  </w:footnote>
  <w:footnote w:id="23">
    <w:p w:rsidR="00501177" w:rsidRPr="00D9260E" w:rsidP="00D9260E" w14:paraId="3E8D0ECF" w14:textId="77777777">
      <w:pPr>
        <w:pStyle w:val="FootnoteText"/>
        <w:spacing w:after="120"/>
      </w:pPr>
      <w:r w:rsidRPr="00D9260E">
        <w:rPr>
          <w:rStyle w:val="FootnoteReference"/>
        </w:rPr>
        <w:footnoteRef/>
      </w:r>
      <w:r w:rsidRPr="00D9260E">
        <w:t xml:space="preserve">  </w:t>
      </w:r>
      <w:r w:rsidRPr="00D9260E">
        <w:rPr>
          <w:i/>
          <w:iCs/>
        </w:rPr>
        <w:t>In the Matter of the Application Seeking Approval of Ohio Power Company’s Proposal to Enter into an Affiliate Purchase Power Agreement</w:t>
      </w:r>
      <w:r w:rsidRPr="00D9260E">
        <w:t>, Case No. 14-1693-EL-RDR, Fifth Entry on Rehearing at ¶ 40 (Apr. 5, 2017).</w:t>
      </w:r>
    </w:p>
    <w:p w:rsidR="00501177" w:rsidRPr="00D9260E" w:rsidP="00D9260E" w14:paraId="447DEF32" w14:textId="77777777">
      <w:pPr>
        <w:pStyle w:val="FootnoteText"/>
        <w:spacing w:after="120"/>
      </w:pPr>
    </w:p>
  </w:footnote>
  <w:footnote w:id="24">
    <w:p w:rsidR="00857C4F" w:rsidRPr="00D9260E" w:rsidP="00D9260E" w14:paraId="2E4E1C65" w14:textId="77777777">
      <w:pPr>
        <w:pStyle w:val="FootnoteText"/>
        <w:spacing w:after="120"/>
      </w:pPr>
      <w:r w:rsidRPr="00D9260E">
        <w:rPr>
          <w:rStyle w:val="FootnoteReference"/>
        </w:rPr>
        <w:footnoteRef/>
      </w:r>
      <w:r w:rsidRPr="00D9260E">
        <w:t xml:space="preserve"> </w:t>
      </w:r>
      <w:r w:rsidRPr="00D9260E">
        <w:rPr>
          <w:i/>
          <w:iCs/>
        </w:rPr>
        <w:t>In re Application of Ohio Power Co</w:t>
      </w:r>
      <w:r w:rsidRPr="00D9260E">
        <w:t>., 144 Ohio St.3d 1, 2015-Ohio-2056 at ¶ 16 (Citations omitted).</w:t>
      </w:r>
    </w:p>
  </w:footnote>
  <w:footnote w:id="25">
    <w:p w:rsidR="00857C4F" w:rsidRPr="00D9260E" w:rsidP="00D9260E" w14:paraId="05A41042" w14:textId="77777777">
      <w:pPr>
        <w:pStyle w:val="FootnoteText"/>
        <w:spacing w:after="120"/>
      </w:pPr>
      <w:r w:rsidRPr="00D9260E">
        <w:rPr>
          <w:rStyle w:val="FootnoteReference"/>
        </w:rPr>
        <w:footnoteRef/>
      </w:r>
      <w:r w:rsidRPr="00D9260E">
        <w:t xml:space="preserve"> </w:t>
      </w:r>
      <w:r w:rsidRPr="00D9260E">
        <w:rPr>
          <w:i/>
          <w:iCs/>
        </w:rPr>
        <w:t>In the Matter of the Application Seeking Approval of Ohio Power Company’s Proposal to Enter into an Affiliate Purchase Power Agreement</w:t>
      </w:r>
      <w:r w:rsidRPr="00D9260E">
        <w:t>, Case No. 14-1693-EL-RDR, Opinion and Order, Concurring Opinion of Commissioner Haque at 4 (Mar. 31, 2016).</w:t>
      </w:r>
    </w:p>
  </w:footnote>
  <w:footnote w:id="26">
    <w:p w:rsidR="00857C4F" w:rsidRPr="00D9260E" w:rsidP="00D9260E" w14:paraId="021064FC" w14:textId="77777777">
      <w:pPr>
        <w:pStyle w:val="FootnoteText"/>
        <w:spacing w:after="120"/>
      </w:pPr>
      <w:r w:rsidRPr="00D9260E">
        <w:rPr>
          <w:rStyle w:val="FootnoteReference"/>
        </w:rPr>
        <w:footnoteRef/>
      </w:r>
      <w:r w:rsidRPr="00D9260E">
        <w:t xml:space="preserve"> </w:t>
      </w:r>
      <w:r w:rsidRPr="00D9260E">
        <w:rPr>
          <w:i/>
          <w:iCs/>
        </w:rPr>
        <w:t>In the Matter of the Application Seeking Approval of Ohio Power Company’s Proposal to Enter into an Affiliate Purchase Power Agreement</w:t>
      </w:r>
      <w:r w:rsidRPr="00D9260E">
        <w:t>, Case No. 14-1693-EL-RDR, OCC Application for Rehearing at 44-47 (May 2, 2016).</w:t>
      </w:r>
    </w:p>
  </w:footnote>
  <w:footnote w:id="27">
    <w:p w:rsidR="00857C4F" w:rsidRPr="00D9260E" w:rsidP="00D9260E" w14:paraId="49FEC314" w14:textId="77777777">
      <w:pPr>
        <w:pStyle w:val="FootnoteText"/>
        <w:spacing w:after="120"/>
      </w:pPr>
      <w:r w:rsidRPr="00D9260E">
        <w:rPr>
          <w:rStyle w:val="FootnoteReference"/>
        </w:rPr>
        <w:footnoteRef/>
      </w:r>
      <w:r w:rsidRPr="00D9260E">
        <w:t xml:space="preserve"> </w:t>
      </w:r>
      <w:r w:rsidRPr="00D9260E">
        <w:rPr>
          <w:i/>
          <w:iCs/>
        </w:rPr>
        <w:t xml:space="preserve">In re Application of Ohio Power Co., </w:t>
      </w:r>
      <w:r w:rsidRPr="00D9260E">
        <w:t>155 Ohio St.3d 326, 2018-Ohio-4698, Appellee’s Merit Brief of Public Utilities Commission of Ohio at 34 (Oct. 23, 2017).</w:t>
      </w:r>
    </w:p>
  </w:footnote>
  <w:footnote w:id="28">
    <w:p w:rsidR="00857C4F" w:rsidRPr="00D9260E" w:rsidP="00D9260E" w14:paraId="4D8EC490" w14:textId="77777777">
      <w:pPr>
        <w:pStyle w:val="FootnoteText"/>
        <w:spacing w:after="120"/>
      </w:pPr>
      <w:r w:rsidRPr="00D9260E">
        <w:rPr>
          <w:rStyle w:val="FootnoteReference"/>
        </w:rPr>
        <w:footnoteRef/>
      </w:r>
      <w:r w:rsidRPr="00D9260E">
        <w:t xml:space="preserve"> </w:t>
      </w:r>
      <w:r w:rsidRPr="00D9260E">
        <w:rPr>
          <w:i/>
          <w:iCs/>
        </w:rPr>
        <w:t xml:space="preserve">Id., </w:t>
      </w:r>
      <w:r w:rsidRPr="00D9260E">
        <w:t>Opinion at ¶ 37.</w:t>
      </w:r>
    </w:p>
  </w:footnote>
  <w:footnote w:id="29">
    <w:p w:rsidR="00857C4F" w:rsidRPr="00D9260E" w:rsidP="00D9260E" w14:paraId="7917A12D" w14:textId="77777777">
      <w:pPr>
        <w:pStyle w:val="FootnoteText"/>
        <w:spacing w:after="120"/>
      </w:pPr>
      <w:r w:rsidRPr="00D9260E">
        <w:rPr>
          <w:rStyle w:val="FootnoteReference"/>
        </w:rPr>
        <w:footnoteRef/>
      </w:r>
      <w:r w:rsidRPr="00D9260E">
        <w:t xml:space="preserve"> Audit Report at 39-54 (Sept. 16, 2020).</w:t>
      </w:r>
    </w:p>
  </w:footnote>
  <w:footnote w:id="30">
    <w:p w:rsidR="00857C4F" w:rsidRPr="00D9260E" w:rsidP="00D9260E" w14:paraId="1A8F2586" w14:textId="77777777">
      <w:pPr>
        <w:pStyle w:val="FootnoteText"/>
        <w:spacing w:after="120"/>
      </w:pPr>
      <w:r w:rsidRPr="00D9260E">
        <w:rPr>
          <w:rStyle w:val="FootnoteReference"/>
        </w:rPr>
        <w:footnoteRef/>
      </w:r>
      <w:r w:rsidRPr="00D9260E">
        <w:t xml:space="preserve"> </w:t>
      </w:r>
      <w:r w:rsidRPr="00D9260E">
        <w:rPr>
          <w:i/>
          <w:iCs/>
        </w:rPr>
        <w:t>Cincinnati v. Pub. Util. Comm</w:t>
      </w:r>
      <w:r w:rsidRPr="00D9260E">
        <w:t>., 67 Ohio St. 3d 523, 530, 620 N.E.2d 826, 830 (1993).</w:t>
      </w:r>
    </w:p>
  </w:footnote>
  <w:footnote w:id="31">
    <w:p w:rsidR="00857C4F" w:rsidRPr="00D9260E" w:rsidP="00D9260E" w14:paraId="009F47FF" w14:textId="77777777">
      <w:pPr>
        <w:pStyle w:val="FootnoteText"/>
        <w:spacing w:after="120"/>
      </w:pPr>
      <w:r w:rsidRPr="00D9260E">
        <w:rPr>
          <w:rStyle w:val="FootnoteReference"/>
        </w:rPr>
        <w:footnoteRef/>
      </w:r>
      <w:r w:rsidRPr="00D9260E">
        <w:t xml:space="preserve"> Audit Report at 21-22 (Sept. 16, 2020).</w:t>
      </w:r>
    </w:p>
  </w:footnote>
  <w:footnote w:id="32">
    <w:p w:rsidR="00857C4F" w:rsidRPr="00D9260E" w:rsidP="00D9260E" w14:paraId="7999AB98" w14:textId="77777777">
      <w:pPr>
        <w:pStyle w:val="FootnoteText"/>
        <w:spacing w:after="120"/>
      </w:pPr>
      <w:r w:rsidRPr="00D9260E">
        <w:rPr>
          <w:rStyle w:val="FootnoteReference"/>
        </w:rPr>
        <w:footnoteRef/>
      </w:r>
      <w:r w:rsidRPr="00D9260E">
        <w:t xml:space="preserve"> AEP Motion for Protective Order at 5-6 (Dec. 3, 2021).</w:t>
      </w:r>
    </w:p>
  </w:footnote>
  <w:footnote w:id="33">
    <w:p w:rsidR="00857C4F" w:rsidRPr="00D9260E" w:rsidP="00D9260E" w14:paraId="1758DBA3" w14:textId="77777777">
      <w:pPr>
        <w:pStyle w:val="FootnoteText"/>
        <w:spacing w:after="120"/>
      </w:pPr>
      <w:r w:rsidRPr="00D9260E">
        <w:rPr>
          <w:rStyle w:val="FootnoteReference"/>
        </w:rPr>
        <w:footnoteRef/>
      </w:r>
      <w:r w:rsidRPr="00D9260E">
        <w:t xml:space="preserve"> O.A.C. Chapter 4901-7. Standard Filing Requirements for Rate Increases, Page 105 of 165.</w:t>
      </w:r>
    </w:p>
  </w:footnote>
  <w:footnote w:id="34">
    <w:p w:rsidR="00857C4F" w:rsidRPr="00D9260E" w:rsidP="00D9260E" w14:paraId="46EEAD25" w14:textId="77777777">
      <w:pPr>
        <w:pStyle w:val="ListParagraph"/>
        <w:spacing w:after="120"/>
        <w:rPr>
          <w:rFonts w:ascii="Times New Roman" w:hAnsi="Times New Roman" w:cs="Times New Roman"/>
          <w:sz w:val="20"/>
          <w:szCs w:val="20"/>
        </w:rPr>
      </w:pPr>
      <w:r w:rsidRPr="00D9260E">
        <w:rPr>
          <w:rStyle w:val="FootnoteReference"/>
          <w:rFonts w:ascii="Times New Roman" w:hAnsi="Times New Roman" w:cs="Times New Roman"/>
          <w:sz w:val="20"/>
          <w:szCs w:val="20"/>
        </w:rPr>
        <w:footnoteRef/>
      </w:r>
      <w:r w:rsidRPr="00D9260E">
        <w:rPr>
          <w:rFonts w:ascii="Times New Roman" w:hAnsi="Times New Roman" w:cs="Times New Roman"/>
          <w:sz w:val="20"/>
          <w:szCs w:val="20"/>
        </w:rPr>
        <w:t xml:space="preserve"> AEP web page, Environmental Compliance - http://www.aepsustainability.com/environment/performance/.</w:t>
      </w:r>
    </w:p>
  </w:footnote>
  <w:footnote w:id="35">
    <w:p w:rsidR="00857C4F" w:rsidRPr="00D9260E" w:rsidP="00D9260E" w14:paraId="4D752F5F" w14:textId="77777777">
      <w:pPr>
        <w:pStyle w:val="FootnoteText"/>
        <w:spacing w:after="120"/>
      </w:pPr>
      <w:r w:rsidRPr="00D9260E">
        <w:rPr>
          <w:rStyle w:val="FootnoteReference"/>
        </w:rPr>
        <w:footnoteRef/>
      </w:r>
      <w:r w:rsidRPr="00D9260E">
        <w:t xml:space="preserve"> American Electric Power Co Inc. Form 10-K at 32 (Feb. 25, 2021).</w:t>
      </w:r>
    </w:p>
  </w:footnote>
  <w:footnote w:id="36">
    <w:p w:rsidR="00857C4F" w:rsidRPr="00D9260E" w:rsidP="00D9260E" w14:paraId="23A71B91" w14:textId="77777777">
      <w:pPr>
        <w:pStyle w:val="FootnoteText"/>
        <w:spacing w:after="120"/>
      </w:pPr>
      <w:r w:rsidRPr="00D9260E">
        <w:rPr>
          <w:rStyle w:val="FootnoteReference"/>
        </w:rPr>
        <w:footnoteRef/>
      </w:r>
      <w:r w:rsidRPr="00D9260E">
        <w:t xml:space="preserve"> AEP FERC Form 1 (2020).</w:t>
      </w:r>
    </w:p>
  </w:footnote>
  <w:footnote w:id="37">
    <w:p w:rsidR="00857C4F" w:rsidRPr="00D9260E" w:rsidP="00D9260E" w14:paraId="5CD94B29" w14:textId="77777777">
      <w:pPr>
        <w:pStyle w:val="FootnoteText"/>
        <w:spacing w:after="120"/>
      </w:pPr>
      <w:r w:rsidRPr="00D9260E">
        <w:rPr>
          <w:rStyle w:val="FootnoteReference"/>
        </w:rPr>
        <w:footnoteRef/>
      </w:r>
      <w:r w:rsidRPr="00D9260E">
        <w:t xml:space="preserve"> American Electric Power Co Inc. Form 10-K at 1 (Feb. 25, 2021).</w:t>
      </w:r>
    </w:p>
  </w:footnote>
  <w:footnote w:id="38">
    <w:p w:rsidR="00857C4F" w:rsidRPr="00D9260E" w:rsidP="00D9260E" w14:paraId="17255AA9" w14:textId="77777777">
      <w:pPr>
        <w:pStyle w:val="FootnoteText"/>
        <w:spacing w:after="120"/>
      </w:pPr>
      <w:r w:rsidRPr="00D9260E">
        <w:rPr>
          <w:rStyle w:val="FootnoteReference"/>
        </w:rPr>
        <w:footnoteRef/>
      </w:r>
      <w:r w:rsidRPr="00D9260E">
        <w:t xml:space="preserve"> R.C. 4905.05.</w:t>
      </w:r>
    </w:p>
  </w:footnote>
  <w:footnote w:id="39">
    <w:p w:rsidR="00857C4F" w:rsidRPr="00D9260E" w:rsidP="00D9260E" w14:paraId="0F13B50D" w14:textId="77777777">
      <w:pPr>
        <w:pStyle w:val="FootnoteText"/>
        <w:spacing w:after="120"/>
        <w:rPr>
          <w:i/>
          <w:iCs/>
        </w:rPr>
      </w:pPr>
      <w:r w:rsidRPr="00D9260E">
        <w:rPr>
          <w:rStyle w:val="FootnoteReference"/>
        </w:rPr>
        <w:footnoteRef/>
      </w:r>
      <w:r w:rsidRPr="00D9260E">
        <w:t xml:space="preserve"> </w:t>
      </w:r>
      <w:r w:rsidRPr="00D9260E">
        <w:rPr>
          <w:i/>
          <w:iCs/>
        </w:rPr>
        <w:t>Id.</w:t>
      </w:r>
    </w:p>
  </w:footnote>
  <w:footnote w:id="40">
    <w:p w:rsidR="00857C4F" w:rsidRPr="00D9260E" w:rsidP="00D9260E" w14:paraId="02157B49" w14:textId="77777777">
      <w:pPr>
        <w:pStyle w:val="FootnoteText"/>
        <w:spacing w:after="120"/>
      </w:pPr>
      <w:r w:rsidRPr="00D9260E">
        <w:rPr>
          <w:rStyle w:val="FootnoteReference"/>
        </w:rPr>
        <w:footnoteRef/>
      </w:r>
      <w:r w:rsidRPr="00D9260E">
        <w:t xml:space="preserve"> R.C. 4928.18.</w:t>
      </w:r>
    </w:p>
  </w:footnote>
  <w:footnote w:id="41">
    <w:p w:rsidR="00857C4F" w:rsidRPr="00D9260E" w:rsidP="00D9260E" w14:paraId="0D273E8B" w14:textId="77777777">
      <w:pPr>
        <w:pStyle w:val="FootnoteText"/>
        <w:spacing w:after="120"/>
      </w:pPr>
      <w:r w:rsidRPr="00D9260E">
        <w:rPr>
          <w:rStyle w:val="FootnoteReference"/>
        </w:rPr>
        <w:footnoteRef/>
      </w:r>
      <w:r w:rsidRPr="00D9260E">
        <w:t xml:space="preserve"> 36 Ohio Jur.3d Discovery and Depositions § 10, citing </w:t>
      </w:r>
      <w:r w:rsidRPr="00D9260E">
        <w:rPr>
          <w:i/>
          <w:iCs/>
        </w:rPr>
        <w:t>Owens-Corning Fiberglas Corp. v. Allstate Ins. Co</w:t>
      </w:r>
      <w:r w:rsidRPr="00D9260E">
        <w:t xml:space="preserve">., 74 </w:t>
      </w:r>
      <w:r w:rsidRPr="00D9260E">
        <w:br/>
        <w:t>Ohio Misc. 2d 174, 660 N.E.2d 765 (C.P. 1993).</w:t>
      </w:r>
    </w:p>
  </w:footnote>
  <w:footnote w:id="42">
    <w:p w:rsidR="00857C4F" w:rsidRPr="00D9260E" w:rsidP="00D9260E" w14:paraId="3597159E" w14:textId="77777777">
      <w:pPr>
        <w:pStyle w:val="FootnoteText"/>
        <w:spacing w:after="120"/>
      </w:pPr>
      <w:r w:rsidRPr="00D9260E">
        <w:rPr>
          <w:rStyle w:val="FootnoteReference"/>
        </w:rPr>
        <w:footnoteRef/>
      </w:r>
      <w:r w:rsidRPr="00D9260E">
        <w:t xml:space="preserve"> 24 Ohio App.3d 109, 111, 493 N.E.2d 308, 311 (10th Dist.1985).</w:t>
      </w:r>
    </w:p>
  </w:footnote>
  <w:footnote w:id="43">
    <w:p w:rsidR="00857C4F" w:rsidRPr="00D9260E" w:rsidP="00D9260E" w14:paraId="002524EF" w14:textId="77777777">
      <w:pPr>
        <w:pStyle w:val="FootnoteText"/>
        <w:spacing w:after="120"/>
        <w:rPr>
          <w:i/>
          <w:iCs/>
        </w:rPr>
      </w:pPr>
      <w:r w:rsidRPr="00D9260E">
        <w:rPr>
          <w:rStyle w:val="FootnoteReference"/>
        </w:rPr>
        <w:footnoteRef/>
      </w:r>
      <w:r w:rsidRPr="00D9260E">
        <w:t xml:space="preserve"> </w:t>
      </w:r>
      <w:r w:rsidRPr="00D9260E">
        <w:rPr>
          <w:i/>
          <w:iCs/>
        </w:rPr>
        <w:t>Id.</w:t>
      </w:r>
    </w:p>
  </w:footnote>
  <w:footnote w:id="44">
    <w:p w:rsidR="00857C4F" w:rsidRPr="00D9260E" w:rsidP="00D9260E" w14:paraId="2C06A783" w14:textId="77777777">
      <w:pPr>
        <w:pStyle w:val="FootnoteText"/>
        <w:spacing w:after="120"/>
        <w:rPr>
          <w:i/>
          <w:iCs/>
        </w:rPr>
      </w:pPr>
      <w:r w:rsidRPr="00D9260E">
        <w:rPr>
          <w:rStyle w:val="FootnoteReference"/>
        </w:rPr>
        <w:footnoteRef/>
      </w:r>
      <w:r w:rsidRPr="00D9260E">
        <w:t xml:space="preserve"> </w:t>
      </w:r>
      <w:r w:rsidRPr="00D9260E">
        <w:rPr>
          <w:i/>
          <w:iCs/>
        </w:rPr>
        <w:t>Id.</w:t>
      </w:r>
    </w:p>
  </w:footnote>
  <w:footnote w:id="45">
    <w:p w:rsidR="00857C4F" w:rsidRPr="00D9260E" w:rsidP="00D9260E" w14:paraId="16551965" w14:textId="77777777">
      <w:pPr>
        <w:pStyle w:val="FootnoteText"/>
        <w:spacing w:after="120"/>
      </w:pPr>
      <w:r w:rsidRPr="00D9260E">
        <w:rPr>
          <w:rStyle w:val="FootnoteReference"/>
        </w:rPr>
        <w:footnoteRef/>
      </w:r>
      <w:r w:rsidRPr="00D9260E">
        <w:t xml:space="preserve"> 2014 WL 12776884 (D. Or. 2014).</w:t>
      </w:r>
    </w:p>
  </w:footnote>
  <w:footnote w:id="46">
    <w:p w:rsidR="00857C4F" w:rsidRPr="00D9260E" w:rsidP="00D9260E" w14:paraId="59BC0085" w14:textId="77777777">
      <w:pPr>
        <w:pStyle w:val="FootnoteText"/>
        <w:spacing w:after="120"/>
      </w:pPr>
      <w:r w:rsidRPr="00D9260E">
        <w:rPr>
          <w:rStyle w:val="FootnoteReference"/>
        </w:rPr>
        <w:footnoteRef/>
      </w:r>
      <w:r w:rsidRPr="00D9260E">
        <w:t xml:space="preserve"> </w:t>
      </w:r>
      <w:r w:rsidRPr="00D9260E">
        <w:rPr>
          <w:i/>
          <w:iCs/>
        </w:rPr>
        <w:t xml:space="preserve">Id. </w:t>
      </w:r>
      <w:r w:rsidRPr="00D9260E">
        <w:t>at *2.</w:t>
      </w:r>
    </w:p>
  </w:footnote>
  <w:footnote w:id="47">
    <w:p w:rsidR="00857C4F" w:rsidRPr="00D9260E" w:rsidP="00D9260E" w14:paraId="1C6CDD70" w14:textId="77777777">
      <w:pPr>
        <w:pStyle w:val="FootnoteText"/>
        <w:spacing w:after="120"/>
      </w:pPr>
      <w:r w:rsidRPr="00D9260E">
        <w:rPr>
          <w:rStyle w:val="FootnoteReference"/>
        </w:rPr>
        <w:footnoteRef/>
      </w:r>
      <w:r w:rsidRPr="00D9260E">
        <w:t xml:space="preserve"> </w:t>
      </w:r>
      <w:r w:rsidRPr="00D9260E">
        <w:rPr>
          <w:i/>
          <w:iCs/>
        </w:rPr>
        <w:t xml:space="preserve">In the Matter of the Regulation of the Purchased Gas Adjustment Clause Contained Within the Rate Schedules of </w:t>
      </w:r>
      <w:r w:rsidRPr="00D9260E">
        <w:rPr>
          <w:i/>
          <w:iCs/>
        </w:rPr>
        <w:br/>
        <w:t>the East Ohio Gas Company d/b/a Dominion East Ohio and Related Matter</w:t>
      </w:r>
      <w:r w:rsidRPr="00D9260E">
        <w:t>, Case No. 05-219-GA-GCR, Entry, 2006 Ohio PUC LEXIS 841 (July 28, 2006).</w:t>
      </w:r>
    </w:p>
  </w:footnote>
  <w:footnote w:id="48">
    <w:p w:rsidR="00857C4F" w:rsidRPr="00D9260E" w:rsidP="00D9260E" w14:paraId="1777D37A" w14:textId="77777777">
      <w:pPr>
        <w:pStyle w:val="FootnoteText"/>
        <w:spacing w:after="120"/>
      </w:pPr>
      <w:r w:rsidRPr="00D9260E">
        <w:rPr>
          <w:rStyle w:val="FootnoteReference"/>
        </w:rPr>
        <w:footnoteRef/>
      </w:r>
      <w:r w:rsidRPr="00D9260E">
        <w:t xml:space="preserve"> </w:t>
      </w:r>
      <w:r w:rsidRPr="00D9260E">
        <w:rPr>
          <w:i/>
          <w:iCs/>
        </w:rPr>
        <w:t xml:space="preserve">Id. </w:t>
      </w:r>
      <w:r w:rsidRPr="00D9260E">
        <w:t>at ¶ 14.</w:t>
      </w:r>
    </w:p>
  </w:footnote>
  <w:footnote w:id="49">
    <w:p w:rsidR="00857C4F" w:rsidRPr="00D9260E" w:rsidP="00D9260E" w14:paraId="6AF8B53A" w14:textId="77777777">
      <w:pPr>
        <w:pStyle w:val="FootnoteText"/>
        <w:spacing w:after="120"/>
      </w:pPr>
      <w:r w:rsidRPr="00D9260E">
        <w:rPr>
          <w:rStyle w:val="FootnoteReference"/>
        </w:rPr>
        <w:footnoteRef/>
      </w:r>
      <w:r w:rsidRPr="00D9260E">
        <w:t xml:space="preserve"> AEP Ohio Motion for a Protective Order (Sept. 16, 2020).</w:t>
      </w:r>
    </w:p>
  </w:footnote>
  <w:footnote w:id="50">
    <w:p w:rsidR="00857C4F" w:rsidRPr="00D9260E" w:rsidP="00D9260E" w14:paraId="624D5DF7" w14:textId="77777777">
      <w:pPr>
        <w:pStyle w:val="FootnoteText"/>
        <w:spacing w:after="120"/>
      </w:pPr>
      <w:r w:rsidRPr="00D9260E">
        <w:rPr>
          <w:rStyle w:val="FootnoteReference"/>
        </w:rPr>
        <w:footnoteRef/>
      </w:r>
      <w:r w:rsidRPr="00D9260E">
        <w:t xml:space="preserve"> AEP Ohio Motion to Quash OVEC Subpoena (Dec. 1, 2021).</w:t>
      </w:r>
    </w:p>
  </w:footnote>
  <w:footnote w:id="51">
    <w:p w:rsidR="00857C4F" w:rsidRPr="00D9260E" w:rsidP="00D9260E" w14:paraId="4D1ABC26" w14:textId="77777777">
      <w:pPr>
        <w:pStyle w:val="FootnoteText"/>
        <w:spacing w:after="120"/>
      </w:pPr>
      <w:r w:rsidRPr="00D9260E">
        <w:rPr>
          <w:rStyle w:val="FootnoteReference"/>
        </w:rPr>
        <w:footnoteRef/>
      </w:r>
      <w:r w:rsidRPr="00D9260E">
        <w:t xml:space="preserve"> Entry at ¶ 27 (Oct. 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7C4F" w14:paraId="7C3EDE2D" w14:textId="77777777">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75E4" w14:paraId="78514C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B20750"/>
    <w:multiLevelType w:val="hybridMultilevel"/>
    <w:tmpl w:val="1BFA8D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DCB5F41"/>
    <w:multiLevelType w:val="hybridMultilevel"/>
    <w:tmpl w:val="D34A335C"/>
    <w:lvl w:ilvl="0">
      <w:start w:val="1"/>
      <w:numFmt w:val="lowerLetter"/>
      <w:lvlText w:val="%1."/>
      <w:lvlJc w:val="left"/>
      <w:pPr>
        <w:ind w:left="900" w:hanging="360"/>
      </w:pPr>
      <w:rPr>
        <w:rFonts w:ascii="Times New Roman" w:eastAsia="Times New Roman" w:hAnsi="Times New Roman"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FB75794"/>
    <w:multiLevelType w:val="hybridMultilevel"/>
    <w:tmpl w:val="20D62D68"/>
    <w:lvl w:ilvl="0">
      <w:start w:val="1"/>
      <w:numFmt w:val="decimal"/>
      <w:lvlText w:val="%1"/>
      <w:lvlJc w:val="left"/>
      <w:pPr>
        <w:ind w:hanging="101"/>
      </w:pPr>
      <w:rPr>
        <w:rFonts w:ascii="Times New Roman" w:eastAsia="Times New Roman" w:hAnsi="Times New Roman" w:hint="default"/>
        <w:color w:val="1F1F1F"/>
        <w:w w:val="82"/>
        <w:position w:val="9"/>
        <w:sz w:val="13"/>
        <w:szCs w:val="13"/>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2F663EF"/>
    <w:multiLevelType w:val="hybridMultilevel"/>
    <w:tmpl w:val="259C59DE"/>
    <w:lvl w:ilvl="0">
      <w:start w:val="1"/>
      <w:numFmt w:val="lowerLetter"/>
      <w:lvlText w:val="(%1)"/>
      <w:lvlJc w:val="left"/>
      <w:pPr>
        <w:ind w:left="1080" w:hanging="360"/>
      </w:pPr>
      <w:rPr>
        <w:rFonts w:ascii="Arial" w:hAnsi="Arial" w:cs="Arial" w:hint="default"/>
        <w:sz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EDE33BC"/>
    <w:multiLevelType w:val="hybridMultilevel"/>
    <w:tmpl w:val="BF4E9E4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2FC66F5A"/>
    <w:multiLevelType w:val="hybridMultilevel"/>
    <w:tmpl w:val="D34A335C"/>
    <w:lvl w:ilvl="0">
      <w:start w:val="1"/>
      <w:numFmt w:val="lowerLetter"/>
      <w:lvlText w:val="%1."/>
      <w:lvlJc w:val="left"/>
      <w:pPr>
        <w:ind w:left="900" w:hanging="360"/>
      </w:pPr>
      <w:rPr>
        <w:rFonts w:ascii="Times New Roman" w:eastAsia="Times New Roman" w:hAnsi="Times New Roman" w:cs="Times New Roman"/>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31106C0E"/>
    <w:multiLevelType w:val="hybridMultilevel"/>
    <w:tmpl w:val="D6263260"/>
    <w:lvl w:ilvl="0">
      <w:start w:val="614"/>
      <w:numFmt w:val="bullet"/>
      <w:lvlText w:val=""/>
      <w:lvlJc w:val="left"/>
      <w:pPr>
        <w:ind w:left="1800" w:hanging="360"/>
      </w:pPr>
      <w:rPr>
        <w:rFonts w:ascii="Symbol" w:hAnsi="Symbol" w:eastAsiaTheme="minorHAnsi" w:cs="Times New Roman" w:hint="default"/>
        <w:color w:val="00000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36BF7A74"/>
    <w:multiLevelType w:val="hybridMultilevel"/>
    <w:tmpl w:val="8E62D2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834C29"/>
    <w:multiLevelType w:val="hybridMultilevel"/>
    <w:tmpl w:val="5064A682"/>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415D41B9"/>
    <w:multiLevelType w:val="hybridMultilevel"/>
    <w:tmpl w:val="3A4277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379472B"/>
    <w:multiLevelType w:val="hybridMultilevel"/>
    <w:tmpl w:val="9A0A0850"/>
    <w:lvl w:ilvl="0">
      <w:start w:val="1"/>
      <w:numFmt w:val="decimal"/>
      <w:lvlText w:val="(%1)"/>
      <w:lvlJc w:val="left"/>
      <w:pPr>
        <w:ind w:left="360" w:firstLine="0"/>
      </w:pPr>
      <w:rPr>
        <w:rFonts w:asciiTheme="minorHAnsi" w:hAnsiTheme="minorHAnsi"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83545E"/>
    <w:multiLevelType w:val="hybridMultilevel"/>
    <w:tmpl w:val="CB4E0D0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F66276"/>
    <w:multiLevelType w:val="hybridMultilevel"/>
    <w:tmpl w:val="A538FCC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2B3604E"/>
    <w:multiLevelType w:val="hybridMultilevel"/>
    <w:tmpl w:val="1BF28032"/>
    <w:lvl w:ilvl="0">
      <w:start w:val="1"/>
      <w:numFmt w:val="upperLetter"/>
      <w:lvlText w:val="%1."/>
      <w:lvlJc w:val="left"/>
      <w:pPr>
        <w:ind w:left="108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59391BE6"/>
    <w:multiLevelType w:val="hybridMultilevel"/>
    <w:tmpl w:val="3160AD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9A1494E"/>
    <w:multiLevelType w:val="hybridMultilevel"/>
    <w:tmpl w:val="A66E5C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0D623B"/>
    <w:multiLevelType w:val="hybridMultilevel"/>
    <w:tmpl w:val="FEB04CF8"/>
    <w:lvl w:ilvl="0">
      <w:start w:val="1"/>
      <w:numFmt w:val="upperLetter"/>
      <w:pStyle w:val="Heading2"/>
      <w:lvlText w:val="%1."/>
      <w:lvlJc w:val="left"/>
      <w:pPr>
        <w:ind w:left="153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A4A1AF6"/>
    <w:multiLevelType w:val="hybridMultilevel"/>
    <w:tmpl w:val="552C09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C1F49DA"/>
    <w:multiLevelType w:val="hybridMultilevel"/>
    <w:tmpl w:val="B396EE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0A14887"/>
    <w:multiLevelType w:val="hybridMultilevel"/>
    <w:tmpl w:val="72D0360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3CF3E88"/>
    <w:multiLevelType w:val="hybridMultilevel"/>
    <w:tmpl w:val="90BE30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C4A1CB3"/>
    <w:multiLevelType w:val="hybridMultilevel"/>
    <w:tmpl w:val="43765C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6C23F5B"/>
    <w:multiLevelType w:val="hybridMultilevel"/>
    <w:tmpl w:val="552C09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7CE9599B"/>
    <w:multiLevelType w:val="hybridMultilevel"/>
    <w:tmpl w:val="C0F656F2"/>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7F647818"/>
    <w:multiLevelType w:val="hybridMultilevel"/>
    <w:tmpl w:val="13EED952"/>
    <w:lvl w:ilvl="0">
      <w:start w:val="10"/>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2"/>
  </w:num>
  <w:num w:numId="2">
    <w:abstractNumId w:val="22"/>
  </w:num>
  <w:num w:numId="3">
    <w:abstractNumId w:val="17"/>
  </w:num>
  <w:num w:numId="4">
    <w:abstractNumId w:val="5"/>
  </w:num>
  <w:num w:numId="5">
    <w:abstractNumId w:val="1"/>
  </w:num>
  <w:num w:numId="6">
    <w:abstractNumId w:val="23"/>
  </w:num>
  <w:num w:numId="7">
    <w:abstractNumId w:val="11"/>
  </w:num>
  <w:num w:numId="8">
    <w:abstractNumId w:val="13"/>
  </w:num>
  <w:num w:numId="9">
    <w:abstractNumId w:val="24"/>
  </w:num>
  <w:num w:numId="10">
    <w:abstractNumId w:val="0"/>
  </w:num>
  <w:num w:numId="11">
    <w:abstractNumId w:val="18"/>
  </w:num>
  <w:num w:numId="12">
    <w:abstractNumId w:val="21"/>
  </w:num>
  <w:num w:numId="13">
    <w:abstractNumId w:val="3"/>
  </w:num>
  <w:num w:numId="14">
    <w:abstractNumId w:val="10"/>
  </w:num>
  <w:num w:numId="15">
    <w:abstractNumId w:val="14"/>
  </w:num>
  <w:num w:numId="16">
    <w:abstractNumId w:val="6"/>
  </w:num>
  <w:num w:numId="17">
    <w:abstractNumId w:val="7"/>
  </w:num>
  <w:num w:numId="18">
    <w:abstractNumId w:val="16"/>
  </w:num>
  <w:num w:numId="19">
    <w:abstractNumId w:val="12"/>
  </w:num>
  <w:num w:numId="20">
    <w:abstractNumId w:val="20"/>
  </w:num>
  <w:num w:numId="21">
    <w:abstractNumId w:val="19"/>
  </w:num>
  <w:num w:numId="22">
    <w:abstractNumId w:val="9"/>
  </w:num>
  <w:num w:numId="23">
    <w:abstractNumId w:val="15"/>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evenAndOddHeaders/>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90"/>
    <w:rsid w:val="000006B6"/>
    <w:rsid w:val="00000A1C"/>
    <w:rsid w:val="000020B1"/>
    <w:rsid w:val="00006BD0"/>
    <w:rsid w:val="00012AE8"/>
    <w:rsid w:val="0001388F"/>
    <w:rsid w:val="000139F0"/>
    <w:rsid w:val="00013E08"/>
    <w:rsid w:val="00016E2E"/>
    <w:rsid w:val="00020C3E"/>
    <w:rsid w:val="00022727"/>
    <w:rsid w:val="0002313D"/>
    <w:rsid w:val="0002326F"/>
    <w:rsid w:val="00030BBD"/>
    <w:rsid w:val="00036B5D"/>
    <w:rsid w:val="00042C81"/>
    <w:rsid w:val="0004574A"/>
    <w:rsid w:val="00046E9D"/>
    <w:rsid w:val="000530FB"/>
    <w:rsid w:val="00060306"/>
    <w:rsid w:val="00060AFE"/>
    <w:rsid w:val="0006106D"/>
    <w:rsid w:val="00061B6B"/>
    <w:rsid w:val="00061F3F"/>
    <w:rsid w:val="00063D53"/>
    <w:rsid w:val="000706BE"/>
    <w:rsid w:val="000712FB"/>
    <w:rsid w:val="00075D6F"/>
    <w:rsid w:val="00084DF6"/>
    <w:rsid w:val="00086857"/>
    <w:rsid w:val="00087DA4"/>
    <w:rsid w:val="00092281"/>
    <w:rsid w:val="00092D60"/>
    <w:rsid w:val="00093715"/>
    <w:rsid w:val="00094EB4"/>
    <w:rsid w:val="000A0DED"/>
    <w:rsid w:val="000A1752"/>
    <w:rsid w:val="000A6538"/>
    <w:rsid w:val="000A76C7"/>
    <w:rsid w:val="000B36E1"/>
    <w:rsid w:val="000B589C"/>
    <w:rsid w:val="000B7004"/>
    <w:rsid w:val="000C188D"/>
    <w:rsid w:val="000C4535"/>
    <w:rsid w:val="000D531E"/>
    <w:rsid w:val="000E04F0"/>
    <w:rsid w:val="000E1412"/>
    <w:rsid w:val="000E5522"/>
    <w:rsid w:val="00100433"/>
    <w:rsid w:val="00100DD8"/>
    <w:rsid w:val="00102460"/>
    <w:rsid w:val="001028E5"/>
    <w:rsid w:val="001047C6"/>
    <w:rsid w:val="001060AE"/>
    <w:rsid w:val="0011225E"/>
    <w:rsid w:val="001159C3"/>
    <w:rsid w:val="0012162B"/>
    <w:rsid w:val="00130228"/>
    <w:rsid w:val="00130496"/>
    <w:rsid w:val="00131AC6"/>
    <w:rsid w:val="001331D5"/>
    <w:rsid w:val="00140B60"/>
    <w:rsid w:val="00146E0C"/>
    <w:rsid w:val="00147831"/>
    <w:rsid w:val="0015570C"/>
    <w:rsid w:val="00156488"/>
    <w:rsid w:val="0016291E"/>
    <w:rsid w:val="00170F8E"/>
    <w:rsid w:val="00171C3E"/>
    <w:rsid w:val="0017384F"/>
    <w:rsid w:val="00177060"/>
    <w:rsid w:val="00180E16"/>
    <w:rsid w:val="00183619"/>
    <w:rsid w:val="0018795C"/>
    <w:rsid w:val="001928BF"/>
    <w:rsid w:val="001A38D0"/>
    <w:rsid w:val="001B1F6A"/>
    <w:rsid w:val="001B2970"/>
    <w:rsid w:val="001B2B66"/>
    <w:rsid w:val="001B687F"/>
    <w:rsid w:val="001D0026"/>
    <w:rsid w:val="001D0788"/>
    <w:rsid w:val="001D1EF1"/>
    <w:rsid w:val="001E3E9B"/>
    <w:rsid w:val="001E6EDA"/>
    <w:rsid w:val="001F1145"/>
    <w:rsid w:val="001F1876"/>
    <w:rsid w:val="001F3D48"/>
    <w:rsid w:val="001F5386"/>
    <w:rsid w:val="002018BE"/>
    <w:rsid w:val="002134F7"/>
    <w:rsid w:val="00217B93"/>
    <w:rsid w:val="002228B9"/>
    <w:rsid w:val="00223924"/>
    <w:rsid w:val="00224968"/>
    <w:rsid w:val="00227D70"/>
    <w:rsid w:val="002318E5"/>
    <w:rsid w:val="00232054"/>
    <w:rsid w:val="002340F6"/>
    <w:rsid w:val="002346A8"/>
    <w:rsid w:val="00236E89"/>
    <w:rsid w:val="00237690"/>
    <w:rsid w:val="00242FD2"/>
    <w:rsid w:val="00244CA7"/>
    <w:rsid w:val="002457A3"/>
    <w:rsid w:val="0024619F"/>
    <w:rsid w:val="00246BC6"/>
    <w:rsid w:val="0025068D"/>
    <w:rsid w:val="00257EC9"/>
    <w:rsid w:val="00262437"/>
    <w:rsid w:val="002627E4"/>
    <w:rsid w:val="00271CA4"/>
    <w:rsid w:val="00274842"/>
    <w:rsid w:val="00275D50"/>
    <w:rsid w:val="002760AC"/>
    <w:rsid w:val="0028233E"/>
    <w:rsid w:val="00282BEC"/>
    <w:rsid w:val="00287525"/>
    <w:rsid w:val="00290840"/>
    <w:rsid w:val="00291299"/>
    <w:rsid w:val="0029357A"/>
    <w:rsid w:val="00294201"/>
    <w:rsid w:val="002A41F0"/>
    <w:rsid w:val="002A51D5"/>
    <w:rsid w:val="002A7DE4"/>
    <w:rsid w:val="002B1F1E"/>
    <w:rsid w:val="002B250F"/>
    <w:rsid w:val="002B6BD7"/>
    <w:rsid w:val="002B7843"/>
    <w:rsid w:val="002C138E"/>
    <w:rsid w:val="002C2004"/>
    <w:rsid w:val="002C4963"/>
    <w:rsid w:val="002C4ECD"/>
    <w:rsid w:val="002D1C76"/>
    <w:rsid w:val="002D529D"/>
    <w:rsid w:val="002E23E1"/>
    <w:rsid w:val="002E2513"/>
    <w:rsid w:val="002E4B86"/>
    <w:rsid w:val="002E4C61"/>
    <w:rsid w:val="002E72FB"/>
    <w:rsid w:val="002E7C55"/>
    <w:rsid w:val="002F06CA"/>
    <w:rsid w:val="002F10F1"/>
    <w:rsid w:val="002F3157"/>
    <w:rsid w:val="002F4168"/>
    <w:rsid w:val="002F53F2"/>
    <w:rsid w:val="002F73E0"/>
    <w:rsid w:val="00300373"/>
    <w:rsid w:val="00304657"/>
    <w:rsid w:val="00305DEE"/>
    <w:rsid w:val="003202D9"/>
    <w:rsid w:val="00323BE0"/>
    <w:rsid w:val="0032410B"/>
    <w:rsid w:val="00342348"/>
    <w:rsid w:val="00346D8D"/>
    <w:rsid w:val="00355D9B"/>
    <w:rsid w:val="00360421"/>
    <w:rsid w:val="00363F2F"/>
    <w:rsid w:val="00364DF1"/>
    <w:rsid w:val="00367187"/>
    <w:rsid w:val="00370161"/>
    <w:rsid w:val="0037326E"/>
    <w:rsid w:val="00374E05"/>
    <w:rsid w:val="003758F4"/>
    <w:rsid w:val="00377672"/>
    <w:rsid w:val="00382D85"/>
    <w:rsid w:val="00390191"/>
    <w:rsid w:val="00390718"/>
    <w:rsid w:val="00392B27"/>
    <w:rsid w:val="003940D0"/>
    <w:rsid w:val="003964BA"/>
    <w:rsid w:val="003975CA"/>
    <w:rsid w:val="003977CD"/>
    <w:rsid w:val="003A234B"/>
    <w:rsid w:val="003A3E4A"/>
    <w:rsid w:val="003A620C"/>
    <w:rsid w:val="003B22E2"/>
    <w:rsid w:val="003B5938"/>
    <w:rsid w:val="003C15D6"/>
    <w:rsid w:val="003D3424"/>
    <w:rsid w:val="003D3621"/>
    <w:rsid w:val="003D40DD"/>
    <w:rsid w:val="003D71EE"/>
    <w:rsid w:val="003F1448"/>
    <w:rsid w:val="003F2DDD"/>
    <w:rsid w:val="003F3E29"/>
    <w:rsid w:val="003F7433"/>
    <w:rsid w:val="003F75C1"/>
    <w:rsid w:val="003F779B"/>
    <w:rsid w:val="00400296"/>
    <w:rsid w:val="0040077C"/>
    <w:rsid w:val="00404B04"/>
    <w:rsid w:val="004065F9"/>
    <w:rsid w:val="0040754D"/>
    <w:rsid w:val="00414CD7"/>
    <w:rsid w:val="0041560D"/>
    <w:rsid w:val="00415F3E"/>
    <w:rsid w:val="00424F22"/>
    <w:rsid w:val="0042512D"/>
    <w:rsid w:val="0043189E"/>
    <w:rsid w:val="0043367E"/>
    <w:rsid w:val="00440A70"/>
    <w:rsid w:val="00440D0C"/>
    <w:rsid w:val="00442061"/>
    <w:rsid w:val="004441CC"/>
    <w:rsid w:val="00445050"/>
    <w:rsid w:val="0044524D"/>
    <w:rsid w:val="00445AA1"/>
    <w:rsid w:val="00450261"/>
    <w:rsid w:val="004509E4"/>
    <w:rsid w:val="004547F8"/>
    <w:rsid w:val="0046406A"/>
    <w:rsid w:val="0046677E"/>
    <w:rsid w:val="00466D7E"/>
    <w:rsid w:val="0046710B"/>
    <w:rsid w:val="0047399C"/>
    <w:rsid w:val="00482B36"/>
    <w:rsid w:val="00483B2B"/>
    <w:rsid w:val="00484C4B"/>
    <w:rsid w:val="00484E1B"/>
    <w:rsid w:val="00487AFA"/>
    <w:rsid w:val="00490EC1"/>
    <w:rsid w:val="00491294"/>
    <w:rsid w:val="0049196D"/>
    <w:rsid w:val="00492955"/>
    <w:rsid w:val="00494BFF"/>
    <w:rsid w:val="00495BB1"/>
    <w:rsid w:val="00496FA3"/>
    <w:rsid w:val="00497200"/>
    <w:rsid w:val="004978B1"/>
    <w:rsid w:val="004A058D"/>
    <w:rsid w:val="004A1513"/>
    <w:rsid w:val="004B0E71"/>
    <w:rsid w:val="004B4919"/>
    <w:rsid w:val="004B5FC7"/>
    <w:rsid w:val="004B730C"/>
    <w:rsid w:val="004B7538"/>
    <w:rsid w:val="004C2859"/>
    <w:rsid w:val="004C3423"/>
    <w:rsid w:val="004C3EBD"/>
    <w:rsid w:val="004C521D"/>
    <w:rsid w:val="004C6F66"/>
    <w:rsid w:val="004D346B"/>
    <w:rsid w:val="004D45B2"/>
    <w:rsid w:val="004D5CFC"/>
    <w:rsid w:val="004E2261"/>
    <w:rsid w:val="004E36D5"/>
    <w:rsid w:val="004E5303"/>
    <w:rsid w:val="004E708F"/>
    <w:rsid w:val="004F207C"/>
    <w:rsid w:val="004F243C"/>
    <w:rsid w:val="004F5B65"/>
    <w:rsid w:val="004F7CAF"/>
    <w:rsid w:val="00501177"/>
    <w:rsid w:val="0050199E"/>
    <w:rsid w:val="00501B37"/>
    <w:rsid w:val="005076AF"/>
    <w:rsid w:val="00514B1D"/>
    <w:rsid w:val="00515AB1"/>
    <w:rsid w:val="00520887"/>
    <w:rsid w:val="0052174C"/>
    <w:rsid w:val="00523D84"/>
    <w:rsid w:val="00524130"/>
    <w:rsid w:val="005273AF"/>
    <w:rsid w:val="005313D5"/>
    <w:rsid w:val="00534F2B"/>
    <w:rsid w:val="00536C8A"/>
    <w:rsid w:val="00537020"/>
    <w:rsid w:val="00540E51"/>
    <w:rsid w:val="00540F43"/>
    <w:rsid w:val="00543857"/>
    <w:rsid w:val="0054448A"/>
    <w:rsid w:val="00544DB1"/>
    <w:rsid w:val="0054609C"/>
    <w:rsid w:val="00554170"/>
    <w:rsid w:val="00565310"/>
    <w:rsid w:val="005710C1"/>
    <w:rsid w:val="005732B2"/>
    <w:rsid w:val="00573BAE"/>
    <w:rsid w:val="00576CDD"/>
    <w:rsid w:val="005776CC"/>
    <w:rsid w:val="00580621"/>
    <w:rsid w:val="005817E4"/>
    <w:rsid w:val="00583249"/>
    <w:rsid w:val="0058507B"/>
    <w:rsid w:val="00586CAB"/>
    <w:rsid w:val="005909E6"/>
    <w:rsid w:val="00592911"/>
    <w:rsid w:val="00595A4A"/>
    <w:rsid w:val="005A6870"/>
    <w:rsid w:val="005A6E67"/>
    <w:rsid w:val="005B3330"/>
    <w:rsid w:val="005B3CE8"/>
    <w:rsid w:val="005C39AA"/>
    <w:rsid w:val="005C4677"/>
    <w:rsid w:val="005C4F97"/>
    <w:rsid w:val="005D1728"/>
    <w:rsid w:val="005D2219"/>
    <w:rsid w:val="005E07D1"/>
    <w:rsid w:val="005E135E"/>
    <w:rsid w:val="005E6EF5"/>
    <w:rsid w:val="005F065E"/>
    <w:rsid w:val="005F0A84"/>
    <w:rsid w:val="005F3E9A"/>
    <w:rsid w:val="006025BB"/>
    <w:rsid w:val="00605F66"/>
    <w:rsid w:val="006079AF"/>
    <w:rsid w:val="006147C5"/>
    <w:rsid w:val="006149B8"/>
    <w:rsid w:val="00614CA2"/>
    <w:rsid w:val="0061608D"/>
    <w:rsid w:val="00621EFF"/>
    <w:rsid w:val="006229CB"/>
    <w:rsid w:val="006267FF"/>
    <w:rsid w:val="00633B05"/>
    <w:rsid w:val="00634879"/>
    <w:rsid w:val="00645B4B"/>
    <w:rsid w:val="00650F05"/>
    <w:rsid w:val="00660062"/>
    <w:rsid w:val="00662A6F"/>
    <w:rsid w:val="006646B0"/>
    <w:rsid w:val="006700F9"/>
    <w:rsid w:val="00675A65"/>
    <w:rsid w:val="00685049"/>
    <w:rsid w:val="006852E0"/>
    <w:rsid w:val="00685B6B"/>
    <w:rsid w:val="00685DFC"/>
    <w:rsid w:val="0068781F"/>
    <w:rsid w:val="006956FD"/>
    <w:rsid w:val="006A49C9"/>
    <w:rsid w:val="006A73AD"/>
    <w:rsid w:val="006A7429"/>
    <w:rsid w:val="006B0651"/>
    <w:rsid w:val="006B0F0B"/>
    <w:rsid w:val="006B1AC9"/>
    <w:rsid w:val="006B662E"/>
    <w:rsid w:val="006B77F2"/>
    <w:rsid w:val="006B7E28"/>
    <w:rsid w:val="006C0235"/>
    <w:rsid w:val="006C0287"/>
    <w:rsid w:val="006C1F8C"/>
    <w:rsid w:val="006C21FF"/>
    <w:rsid w:val="006C562B"/>
    <w:rsid w:val="006C5955"/>
    <w:rsid w:val="006D00D2"/>
    <w:rsid w:val="006D3B6F"/>
    <w:rsid w:val="006D6CD1"/>
    <w:rsid w:val="006D70A4"/>
    <w:rsid w:val="006E33BE"/>
    <w:rsid w:val="006E3A4B"/>
    <w:rsid w:val="006E765A"/>
    <w:rsid w:val="00703EED"/>
    <w:rsid w:val="00705CB7"/>
    <w:rsid w:val="00706E73"/>
    <w:rsid w:val="00707222"/>
    <w:rsid w:val="007107D0"/>
    <w:rsid w:val="00724700"/>
    <w:rsid w:val="007255E9"/>
    <w:rsid w:val="00725B09"/>
    <w:rsid w:val="00730B1E"/>
    <w:rsid w:val="00731EB4"/>
    <w:rsid w:val="007320E0"/>
    <w:rsid w:val="00735B8A"/>
    <w:rsid w:val="00736B2D"/>
    <w:rsid w:val="00736E35"/>
    <w:rsid w:val="00740930"/>
    <w:rsid w:val="00745DA2"/>
    <w:rsid w:val="00747C76"/>
    <w:rsid w:val="00753316"/>
    <w:rsid w:val="007544DC"/>
    <w:rsid w:val="00754A6B"/>
    <w:rsid w:val="00760D27"/>
    <w:rsid w:val="00761249"/>
    <w:rsid w:val="00761DE3"/>
    <w:rsid w:val="007637E3"/>
    <w:rsid w:val="0076690F"/>
    <w:rsid w:val="00766CD4"/>
    <w:rsid w:val="00770242"/>
    <w:rsid w:val="0077126D"/>
    <w:rsid w:val="0077174C"/>
    <w:rsid w:val="00777F48"/>
    <w:rsid w:val="007804DA"/>
    <w:rsid w:val="0078198C"/>
    <w:rsid w:val="0079014D"/>
    <w:rsid w:val="00792991"/>
    <w:rsid w:val="00793E5D"/>
    <w:rsid w:val="00794636"/>
    <w:rsid w:val="007974A9"/>
    <w:rsid w:val="007A0A47"/>
    <w:rsid w:val="007A45A2"/>
    <w:rsid w:val="007B002F"/>
    <w:rsid w:val="007B0889"/>
    <w:rsid w:val="007B3F61"/>
    <w:rsid w:val="007B4C3D"/>
    <w:rsid w:val="007B55B2"/>
    <w:rsid w:val="007B56F0"/>
    <w:rsid w:val="007B613F"/>
    <w:rsid w:val="007B7C87"/>
    <w:rsid w:val="007C1EEE"/>
    <w:rsid w:val="007C2711"/>
    <w:rsid w:val="007C5364"/>
    <w:rsid w:val="007C65C2"/>
    <w:rsid w:val="007D349E"/>
    <w:rsid w:val="007D6750"/>
    <w:rsid w:val="007E0640"/>
    <w:rsid w:val="007E0D4E"/>
    <w:rsid w:val="007E1831"/>
    <w:rsid w:val="007E4952"/>
    <w:rsid w:val="007E4979"/>
    <w:rsid w:val="007E7D6A"/>
    <w:rsid w:val="007F23A8"/>
    <w:rsid w:val="007F35A7"/>
    <w:rsid w:val="007F7230"/>
    <w:rsid w:val="00801425"/>
    <w:rsid w:val="00801775"/>
    <w:rsid w:val="00806289"/>
    <w:rsid w:val="0080705C"/>
    <w:rsid w:val="00812BD4"/>
    <w:rsid w:val="00814C04"/>
    <w:rsid w:val="00815321"/>
    <w:rsid w:val="0081561C"/>
    <w:rsid w:val="00820895"/>
    <w:rsid w:val="00826301"/>
    <w:rsid w:val="00833093"/>
    <w:rsid w:val="008356CD"/>
    <w:rsid w:val="0084089C"/>
    <w:rsid w:val="00841E5F"/>
    <w:rsid w:val="00841FAA"/>
    <w:rsid w:val="008479F9"/>
    <w:rsid w:val="00850664"/>
    <w:rsid w:val="00850D8B"/>
    <w:rsid w:val="008547E0"/>
    <w:rsid w:val="00856931"/>
    <w:rsid w:val="00856BF4"/>
    <w:rsid w:val="00857C4F"/>
    <w:rsid w:val="00860B27"/>
    <w:rsid w:val="008663AC"/>
    <w:rsid w:val="00866A77"/>
    <w:rsid w:val="00866DE8"/>
    <w:rsid w:val="00867307"/>
    <w:rsid w:val="00867BC9"/>
    <w:rsid w:val="00871C9B"/>
    <w:rsid w:val="008722F7"/>
    <w:rsid w:val="0087338F"/>
    <w:rsid w:val="00874F44"/>
    <w:rsid w:val="0087522A"/>
    <w:rsid w:val="0087556E"/>
    <w:rsid w:val="008775E4"/>
    <w:rsid w:val="00880EA8"/>
    <w:rsid w:val="00882A96"/>
    <w:rsid w:val="008852C2"/>
    <w:rsid w:val="008856AF"/>
    <w:rsid w:val="00893B7C"/>
    <w:rsid w:val="00896B82"/>
    <w:rsid w:val="008A432F"/>
    <w:rsid w:val="008A5B5B"/>
    <w:rsid w:val="008B78BB"/>
    <w:rsid w:val="008C2027"/>
    <w:rsid w:val="008C39E9"/>
    <w:rsid w:val="008C4DE2"/>
    <w:rsid w:val="008D3280"/>
    <w:rsid w:val="008D3F54"/>
    <w:rsid w:val="008D420E"/>
    <w:rsid w:val="008D5249"/>
    <w:rsid w:val="008E0305"/>
    <w:rsid w:val="008E0BA5"/>
    <w:rsid w:val="008E7B1D"/>
    <w:rsid w:val="008F01FE"/>
    <w:rsid w:val="008F083A"/>
    <w:rsid w:val="008F3C4D"/>
    <w:rsid w:val="00904A15"/>
    <w:rsid w:val="00905A68"/>
    <w:rsid w:val="009070DA"/>
    <w:rsid w:val="009134B2"/>
    <w:rsid w:val="0091354B"/>
    <w:rsid w:val="009163FF"/>
    <w:rsid w:val="00920C4D"/>
    <w:rsid w:val="00921123"/>
    <w:rsid w:val="00925B68"/>
    <w:rsid w:val="00927F89"/>
    <w:rsid w:val="00934171"/>
    <w:rsid w:val="009342DA"/>
    <w:rsid w:val="0094438C"/>
    <w:rsid w:val="00946D73"/>
    <w:rsid w:val="009624CE"/>
    <w:rsid w:val="00962B81"/>
    <w:rsid w:val="009671E8"/>
    <w:rsid w:val="009721E9"/>
    <w:rsid w:val="00972E12"/>
    <w:rsid w:val="0097331E"/>
    <w:rsid w:val="00973328"/>
    <w:rsid w:val="00974C46"/>
    <w:rsid w:val="00974E6D"/>
    <w:rsid w:val="009767C7"/>
    <w:rsid w:val="00977DB5"/>
    <w:rsid w:val="00981F1F"/>
    <w:rsid w:val="00984D2E"/>
    <w:rsid w:val="00987EAF"/>
    <w:rsid w:val="009917E7"/>
    <w:rsid w:val="00994CE4"/>
    <w:rsid w:val="009B305F"/>
    <w:rsid w:val="009C0954"/>
    <w:rsid w:val="009C44C3"/>
    <w:rsid w:val="009D41E0"/>
    <w:rsid w:val="009D59AF"/>
    <w:rsid w:val="009D7C85"/>
    <w:rsid w:val="009E21C6"/>
    <w:rsid w:val="009F2191"/>
    <w:rsid w:val="009F316E"/>
    <w:rsid w:val="009F3762"/>
    <w:rsid w:val="00A02475"/>
    <w:rsid w:val="00A0743B"/>
    <w:rsid w:val="00A14378"/>
    <w:rsid w:val="00A1512F"/>
    <w:rsid w:val="00A15EBD"/>
    <w:rsid w:val="00A20897"/>
    <w:rsid w:val="00A208C6"/>
    <w:rsid w:val="00A22FD0"/>
    <w:rsid w:val="00A25503"/>
    <w:rsid w:val="00A26CFA"/>
    <w:rsid w:val="00A352A5"/>
    <w:rsid w:val="00A3549D"/>
    <w:rsid w:val="00A409FF"/>
    <w:rsid w:val="00A41262"/>
    <w:rsid w:val="00A42D89"/>
    <w:rsid w:val="00A45316"/>
    <w:rsid w:val="00A46CCA"/>
    <w:rsid w:val="00A517CB"/>
    <w:rsid w:val="00A51CE1"/>
    <w:rsid w:val="00A56202"/>
    <w:rsid w:val="00A5652C"/>
    <w:rsid w:val="00A60608"/>
    <w:rsid w:val="00A61D58"/>
    <w:rsid w:val="00A6307C"/>
    <w:rsid w:val="00A6510D"/>
    <w:rsid w:val="00A6590B"/>
    <w:rsid w:val="00A71696"/>
    <w:rsid w:val="00A72F14"/>
    <w:rsid w:val="00A74DB5"/>
    <w:rsid w:val="00A80A7B"/>
    <w:rsid w:val="00A82D84"/>
    <w:rsid w:val="00A8375F"/>
    <w:rsid w:val="00A84352"/>
    <w:rsid w:val="00A91709"/>
    <w:rsid w:val="00A94226"/>
    <w:rsid w:val="00AA023A"/>
    <w:rsid w:val="00AA1080"/>
    <w:rsid w:val="00AA3CA2"/>
    <w:rsid w:val="00AA5B96"/>
    <w:rsid w:val="00AA72BA"/>
    <w:rsid w:val="00AB0E15"/>
    <w:rsid w:val="00AB1964"/>
    <w:rsid w:val="00AB4042"/>
    <w:rsid w:val="00AB4369"/>
    <w:rsid w:val="00AC1765"/>
    <w:rsid w:val="00AC40CC"/>
    <w:rsid w:val="00AC42B6"/>
    <w:rsid w:val="00AC6257"/>
    <w:rsid w:val="00AD6075"/>
    <w:rsid w:val="00AE109A"/>
    <w:rsid w:val="00AE3DA5"/>
    <w:rsid w:val="00AF17F8"/>
    <w:rsid w:val="00AF1CC9"/>
    <w:rsid w:val="00AF3155"/>
    <w:rsid w:val="00AF6D52"/>
    <w:rsid w:val="00B016D2"/>
    <w:rsid w:val="00B0193F"/>
    <w:rsid w:val="00B01C53"/>
    <w:rsid w:val="00B025A1"/>
    <w:rsid w:val="00B02B6F"/>
    <w:rsid w:val="00B031C7"/>
    <w:rsid w:val="00B040D2"/>
    <w:rsid w:val="00B0436C"/>
    <w:rsid w:val="00B066EB"/>
    <w:rsid w:val="00B0728C"/>
    <w:rsid w:val="00B101CF"/>
    <w:rsid w:val="00B12C69"/>
    <w:rsid w:val="00B13090"/>
    <w:rsid w:val="00B13273"/>
    <w:rsid w:val="00B16D5C"/>
    <w:rsid w:val="00B17C08"/>
    <w:rsid w:val="00B20BFE"/>
    <w:rsid w:val="00B216AC"/>
    <w:rsid w:val="00B24704"/>
    <w:rsid w:val="00B26914"/>
    <w:rsid w:val="00B30E87"/>
    <w:rsid w:val="00B33A3C"/>
    <w:rsid w:val="00B3467E"/>
    <w:rsid w:val="00B356FB"/>
    <w:rsid w:val="00B35DBD"/>
    <w:rsid w:val="00B4192B"/>
    <w:rsid w:val="00B41E4A"/>
    <w:rsid w:val="00B43571"/>
    <w:rsid w:val="00B45D06"/>
    <w:rsid w:val="00B4710B"/>
    <w:rsid w:val="00B47D46"/>
    <w:rsid w:val="00B522A9"/>
    <w:rsid w:val="00B522FC"/>
    <w:rsid w:val="00B52C13"/>
    <w:rsid w:val="00B54335"/>
    <w:rsid w:val="00B5470B"/>
    <w:rsid w:val="00B55123"/>
    <w:rsid w:val="00B6641C"/>
    <w:rsid w:val="00B74C28"/>
    <w:rsid w:val="00B83104"/>
    <w:rsid w:val="00B8334F"/>
    <w:rsid w:val="00B8353E"/>
    <w:rsid w:val="00B854FB"/>
    <w:rsid w:val="00B93912"/>
    <w:rsid w:val="00B95357"/>
    <w:rsid w:val="00B97CAF"/>
    <w:rsid w:val="00BA02EB"/>
    <w:rsid w:val="00BA264E"/>
    <w:rsid w:val="00BA2C7C"/>
    <w:rsid w:val="00BA30F5"/>
    <w:rsid w:val="00BA3121"/>
    <w:rsid w:val="00BB00D7"/>
    <w:rsid w:val="00BB1639"/>
    <w:rsid w:val="00BB3F17"/>
    <w:rsid w:val="00BB4000"/>
    <w:rsid w:val="00BB4867"/>
    <w:rsid w:val="00BB6C31"/>
    <w:rsid w:val="00BB730D"/>
    <w:rsid w:val="00BC058E"/>
    <w:rsid w:val="00BC1E56"/>
    <w:rsid w:val="00BD0C11"/>
    <w:rsid w:val="00BD4155"/>
    <w:rsid w:val="00BD541F"/>
    <w:rsid w:val="00BD78A7"/>
    <w:rsid w:val="00BD795C"/>
    <w:rsid w:val="00BE488A"/>
    <w:rsid w:val="00BE622C"/>
    <w:rsid w:val="00BF0BFC"/>
    <w:rsid w:val="00BF0FE9"/>
    <w:rsid w:val="00BF28E1"/>
    <w:rsid w:val="00C04233"/>
    <w:rsid w:val="00C070B8"/>
    <w:rsid w:val="00C12E48"/>
    <w:rsid w:val="00C1393B"/>
    <w:rsid w:val="00C16847"/>
    <w:rsid w:val="00C23C23"/>
    <w:rsid w:val="00C267F9"/>
    <w:rsid w:val="00C31100"/>
    <w:rsid w:val="00C33526"/>
    <w:rsid w:val="00C34832"/>
    <w:rsid w:val="00C401BF"/>
    <w:rsid w:val="00C44815"/>
    <w:rsid w:val="00C455FF"/>
    <w:rsid w:val="00C46A20"/>
    <w:rsid w:val="00C47DBA"/>
    <w:rsid w:val="00C51F27"/>
    <w:rsid w:val="00C53A22"/>
    <w:rsid w:val="00C53C04"/>
    <w:rsid w:val="00C56DEC"/>
    <w:rsid w:val="00C572DF"/>
    <w:rsid w:val="00C57F47"/>
    <w:rsid w:val="00C6249A"/>
    <w:rsid w:val="00C62914"/>
    <w:rsid w:val="00C6303E"/>
    <w:rsid w:val="00C63A51"/>
    <w:rsid w:val="00C721D8"/>
    <w:rsid w:val="00C757D5"/>
    <w:rsid w:val="00C82ADC"/>
    <w:rsid w:val="00C84612"/>
    <w:rsid w:val="00C87E11"/>
    <w:rsid w:val="00C92F63"/>
    <w:rsid w:val="00CA7FCD"/>
    <w:rsid w:val="00CB2EBD"/>
    <w:rsid w:val="00CB3847"/>
    <w:rsid w:val="00CB7A47"/>
    <w:rsid w:val="00CC07B9"/>
    <w:rsid w:val="00CC0A00"/>
    <w:rsid w:val="00CC1982"/>
    <w:rsid w:val="00CC2AFA"/>
    <w:rsid w:val="00CC62C2"/>
    <w:rsid w:val="00CC6D8C"/>
    <w:rsid w:val="00CD0002"/>
    <w:rsid w:val="00CD4E25"/>
    <w:rsid w:val="00CE46AA"/>
    <w:rsid w:val="00CE5A89"/>
    <w:rsid w:val="00CE7843"/>
    <w:rsid w:val="00CF1C5B"/>
    <w:rsid w:val="00CF3EF6"/>
    <w:rsid w:val="00D00E88"/>
    <w:rsid w:val="00D020C8"/>
    <w:rsid w:val="00D0732E"/>
    <w:rsid w:val="00D1046E"/>
    <w:rsid w:val="00D12F7B"/>
    <w:rsid w:val="00D20495"/>
    <w:rsid w:val="00D22AD3"/>
    <w:rsid w:val="00D23B5D"/>
    <w:rsid w:val="00D24C5C"/>
    <w:rsid w:val="00D263E5"/>
    <w:rsid w:val="00D33A45"/>
    <w:rsid w:val="00D33B67"/>
    <w:rsid w:val="00D40418"/>
    <w:rsid w:val="00D444E6"/>
    <w:rsid w:val="00D46441"/>
    <w:rsid w:val="00D52DD4"/>
    <w:rsid w:val="00D56CA1"/>
    <w:rsid w:val="00D62E5D"/>
    <w:rsid w:val="00D637D0"/>
    <w:rsid w:val="00D64851"/>
    <w:rsid w:val="00D65020"/>
    <w:rsid w:val="00D65CD6"/>
    <w:rsid w:val="00D67865"/>
    <w:rsid w:val="00D67CCB"/>
    <w:rsid w:val="00D67EDC"/>
    <w:rsid w:val="00D7106D"/>
    <w:rsid w:val="00D71774"/>
    <w:rsid w:val="00D72E86"/>
    <w:rsid w:val="00D75F81"/>
    <w:rsid w:val="00D770A7"/>
    <w:rsid w:val="00D81285"/>
    <w:rsid w:val="00D824DD"/>
    <w:rsid w:val="00D83443"/>
    <w:rsid w:val="00D868A1"/>
    <w:rsid w:val="00D9260E"/>
    <w:rsid w:val="00D950C4"/>
    <w:rsid w:val="00D97BCE"/>
    <w:rsid w:val="00DA1E3E"/>
    <w:rsid w:val="00DA24A1"/>
    <w:rsid w:val="00DA2C59"/>
    <w:rsid w:val="00DB02AE"/>
    <w:rsid w:val="00DB2665"/>
    <w:rsid w:val="00DB7E8D"/>
    <w:rsid w:val="00DC3750"/>
    <w:rsid w:val="00DC3C92"/>
    <w:rsid w:val="00DC45D1"/>
    <w:rsid w:val="00DC5ED3"/>
    <w:rsid w:val="00DC67E2"/>
    <w:rsid w:val="00DD15A7"/>
    <w:rsid w:val="00DD5A4B"/>
    <w:rsid w:val="00DE5EA5"/>
    <w:rsid w:val="00DE63E9"/>
    <w:rsid w:val="00DF0D6E"/>
    <w:rsid w:val="00DF540F"/>
    <w:rsid w:val="00DF6229"/>
    <w:rsid w:val="00E0462E"/>
    <w:rsid w:val="00E1003A"/>
    <w:rsid w:val="00E14F7A"/>
    <w:rsid w:val="00E14FAC"/>
    <w:rsid w:val="00E16DF4"/>
    <w:rsid w:val="00E17C81"/>
    <w:rsid w:val="00E17FB0"/>
    <w:rsid w:val="00E20D2A"/>
    <w:rsid w:val="00E21C8D"/>
    <w:rsid w:val="00E243C3"/>
    <w:rsid w:val="00E24676"/>
    <w:rsid w:val="00E34345"/>
    <w:rsid w:val="00E3740C"/>
    <w:rsid w:val="00E37E53"/>
    <w:rsid w:val="00E40B9F"/>
    <w:rsid w:val="00E41BF0"/>
    <w:rsid w:val="00E41E02"/>
    <w:rsid w:val="00E42041"/>
    <w:rsid w:val="00E42537"/>
    <w:rsid w:val="00E50254"/>
    <w:rsid w:val="00E64B30"/>
    <w:rsid w:val="00E660A0"/>
    <w:rsid w:val="00E66D9A"/>
    <w:rsid w:val="00E7264F"/>
    <w:rsid w:val="00E75F95"/>
    <w:rsid w:val="00E76070"/>
    <w:rsid w:val="00E773D4"/>
    <w:rsid w:val="00E80DA4"/>
    <w:rsid w:val="00E8106C"/>
    <w:rsid w:val="00E84990"/>
    <w:rsid w:val="00E87847"/>
    <w:rsid w:val="00E87B77"/>
    <w:rsid w:val="00E90583"/>
    <w:rsid w:val="00E915D4"/>
    <w:rsid w:val="00E93099"/>
    <w:rsid w:val="00E96924"/>
    <w:rsid w:val="00EA2109"/>
    <w:rsid w:val="00EA225E"/>
    <w:rsid w:val="00EA48AF"/>
    <w:rsid w:val="00EB0B32"/>
    <w:rsid w:val="00EB2590"/>
    <w:rsid w:val="00EB6239"/>
    <w:rsid w:val="00EB73C4"/>
    <w:rsid w:val="00EC2F32"/>
    <w:rsid w:val="00EC3185"/>
    <w:rsid w:val="00EC328A"/>
    <w:rsid w:val="00EC673F"/>
    <w:rsid w:val="00EC7C07"/>
    <w:rsid w:val="00ED2699"/>
    <w:rsid w:val="00ED3FC8"/>
    <w:rsid w:val="00ED4456"/>
    <w:rsid w:val="00EE1D34"/>
    <w:rsid w:val="00EE46FE"/>
    <w:rsid w:val="00EE5286"/>
    <w:rsid w:val="00F02FAC"/>
    <w:rsid w:val="00F02FF0"/>
    <w:rsid w:val="00F043DF"/>
    <w:rsid w:val="00F05D56"/>
    <w:rsid w:val="00F15655"/>
    <w:rsid w:val="00F228D1"/>
    <w:rsid w:val="00F2298F"/>
    <w:rsid w:val="00F23B06"/>
    <w:rsid w:val="00F24A78"/>
    <w:rsid w:val="00F24B10"/>
    <w:rsid w:val="00F25C77"/>
    <w:rsid w:val="00F3084F"/>
    <w:rsid w:val="00F30982"/>
    <w:rsid w:val="00F30DA3"/>
    <w:rsid w:val="00F325F6"/>
    <w:rsid w:val="00F35EAD"/>
    <w:rsid w:val="00F375A9"/>
    <w:rsid w:val="00F40B78"/>
    <w:rsid w:val="00F44705"/>
    <w:rsid w:val="00F52782"/>
    <w:rsid w:val="00F531D5"/>
    <w:rsid w:val="00F62D95"/>
    <w:rsid w:val="00F63246"/>
    <w:rsid w:val="00F73C6F"/>
    <w:rsid w:val="00F76E7D"/>
    <w:rsid w:val="00F77B54"/>
    <w:rsid w:val="00F81588"/>
    <w:rsid w:val="00F821C1"/>
    <w:rsid w:val="00F8253A"/>
    <w:rsid w:val="00F92403"/>
    <w:rsid w:val="00F93A0D"/>
    <w:rsid w:val="00FA0D71"/>
    <w:rsid w:val="00FA0EA5"/>
    <w:rsid w:val="00FA4344"/>
    <w:rsid w:val="00FA4A82"/>
    <w:rsid w:val="00FA602C"/>
    <w:rsid w:val="00FA6997"/>
    <w:rsid w:val="00FB1600"/>
    <w:rsid w:val="00FB4292"/>
    <w:rsid w:val="00FB699B"/>
    <w:rsid w:val="00FC1B93"/>
    <w:rsid w:val="00FD01F0"/>
    <w:rsid w:val="00FD0D70"/>
    <w:rsid w:val="00FD46E3"/>
    <w:rsid w:val="00FE1875"/>
    <w:rsid w:val="00FE49AF"/>
    <w:rsid w:val="00FE584A"/>
    <w:rsid w:val="00FE684A"/>
    <w:rsid w:val="00FF3B29"/>
    <w:rsid w:val="00FF5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640"/>
  </w:style>
  <w:style w:type="paragraph" w:styleId="Heading1">
    <w:name w:val="heading 1"/>
    <w:basedOn w:val="Normal"/>
    <w:autoRedefine/>
    <w:uiPriority w:val="9"/>
    <w:qFormat/>
    <w:rsid w:val="00CE5A89"/>
    <w:pPr>
      <w:spacing w:after="240"/>
      <w:ind w:left="720" w:hanging="720"/>
      <w:outlineLvl w:val="0"/>
    </w:pPr>
    <w:rPr>
      <w:rFonts w:ascii="Times New Roman Bold" w:eastAsia="Times New Roman" w:hAnsi="Times New Roman Bold"/>
      <w:b/>
      <w:bCs/>
      <w:caps/>
      <w:sz w:val="24"/>
      <w:szCs w:val="25"/>
    </w:rPr>
  </w:style>
  <w:style w:type="paragraph" w:styleId="Heading2">
    <w:name w:val="heading 2"/>
    <w:basedOn w:val="Normal"/>
    <w:autoRedefine/>
    <w:uiPriority w:val="9"/>
    <w:unhideWhenUsed/>
    <w:qFormat/>
    <w:rsid w:val="006B662E"/>
    <w:pPr>
      <w:widowControl/>
      <w:numPr>
        <w:numId w:val="18"/>
      </w:numPr>
      <w:autoSpaceDE w:val="0"/>
      <w:autoSpaceDN w:val="0"/>
      <w:adjustRightInd w:val="0"/>
      <w:spacing w:after="240"/>
      <w:ind w:left="1440" w:hanging="720"/>
      <w:outlineLvl w:val="1"/>
    </w:pPr>
    <w:rPr>
      <w:rFonts w:ascii="Times New Roman Bold" w:eastAsia="Times New Roman" w:hAnsi="Times New Roman Bold"/>
      <w:b/>
      <w:sz w:val="24"/>
      <w:szCs w:val="24"/>
    </w:rPr>
  </w:style>
  <w:style w:type="paragraph" w:styleId="Heading3">
    <w:name w:val="heading 3"/>
    <w:basedOn w:val="Normal"/>
    <w:next w:val="Normal"/>
    <w:link w:val="Heading3Char"/>
    <w:autoRedefine/>
    <w:uiPriority w:val="9"/>
    <w:unhideWhenUsed/>
    <w:qFormat/>
    <w:rsid w:val="007637E3"/>
    <w:pPr>
      <w:keepNext/>
      <w:keepLines/>
      <w:numPr>
        <w:numId w:val="24"/>
      </w:numPr>
      <w:spacing w:after="240"/>
      <w:ind w:left="2160" w:hanging="720"/>
      <w:outlineLvl w:val="2"/>
    </w:pPr>
    <w:rPr>
      <w:rFonts w:ascii="Times New Roman Bold" w:hAnsi="Times New Roman Bold"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5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40F"/>
    <w:rPr>
      <w:rFonts w:ascii="Segoe UI" w:hAnsi="Segoe UI" w:cs="Segoe UI"/>
      <w:sz w:val="18"/>
      <w:szCs w:val="18"/>
    </w:rPr>
  </w:style>
  <w:style w:type="character" w:styleId="CommentReference">
    <w:name w:val="annotation reference"/>
    <w:basedOn w:val="DefaultParagraphFont"/>
    <w:uiPriority w:val="99"/>
    <w:semiHidden/>
    <w:unhideWhenUsed/>
    <w:rsid w:val="00DF540F"/>
    <w:rPr>
      <w:sz w:val="16"/>
      <w:szCs w:val="16"/>
    </w:rPr>
  </w:style>
  <w:style w:type="paragraph" w:styleId="CommentText">
    <w:name w:val="annotation text"/>
    <w:basedOn w:val="Normal"/>
    <w:link w:val="CommentTextChar"/>
    <w:unhideWhenUsed/>
    <w:rsid w:val="00DF540F"/>
    <w:rPr>
      <w:sz w:val="20"/>
      <w:szCs w:val="20"/>
    </w:rPr>
  </w:style>
  <w:style w:type="character" w:customStyle="1" w:styleId="CommentTextChar">
    <w:name w:val="Comment Text Char"/>
    <w:basedOn w:val="DefaultParagraphFont"/>
    <w:link w:val="CommentText"/>
    <w:rsid w:val="00DF540F"/>
    <w:rPr>
      <w:sz w:val="20"/>
      <w:szCs w:val="20"/>
    </w:rPr>
  </w:style>
  <w:style w:type="paragraph" w:styleId="CommentSubject">
    <w:name w:val="annotation subject"/>
    <w:basedOn w:val="CommentText"/>
    <w:next w:val="CommentText"/>
    <w:link w:val="CommentSubjectChar"/>
    <w:uiPriority w:val="99"/>
    <w:semiHidden/>
    <w:unhideWhenUsed/>
    <w:rsid w:val="00DF540F"/>
    <w:rPr>
      <w:b/>
      <w:bCs/>
    </w:rPr>
  </w:style>
  <w:style w:type="character" w:customStyle="1" w:styleId="CommentSubjectChar">
    <w:name w:val="Comment Subject Char"/>
    <w:basedOn w:val="CommentTextChar"/>
    <w:link w:val="CommentSubject"/>
    <w:uiPriority w:val="99"/>
    <w:semiHidden/>
    <w:rsid w:val="00DF540F"/>
    <w:rPr>
      <w:b/>
      <w:bCs/>
      <w:sz w:val="20"/>
      <w:szCs w:val="20"/>
    </w:rPr>
  </w:style>
  <w:style w:type="paragraph" w:styleId="BodyTextIndent3">
    <w:name w:val="Body Text Indent 3"/>
    <w:basedOn w:val="Normal"/>
    <w:link w:val="BodyTextIndent3Char"/>
    <w:uiPriority w:val="99"/>
    <w:unhideWhenUsed/>
    <w:rsid w:val="00DF540F"/>
    <w:pPr>
      <w:spacing w:after="120"/>
      <w:ind w:left="360"/>
    </w:pPr>
    <w:rPr>
      <w:sz w:val="16"/>
      <w:szCs w:val="16"/>
    </w:rPr>
  </w:style>
  <w:style w:type="character" w:customStyle="1" w:styleId="BodyTextIndent3Char">
    <w:name w:val="Body Text Indent 3 Char"/>
    <w:basedOn w:val="DefaultParagraphFont"/>
    <w:link w:val="BodyTextIndent3"/>
    <w:uiPriority w:val="99"/>
    <w:rsid w:val="00DF540F"/>
    <w:rPr>
      <w:sz w:val="16"/>
      <w:szCs w:val="16"/>
    </w:rPr>
  </w:style>
  <w:style w:type="character" w:styleId="Hyperlink">
    <w:name w:val="Hyperlink"/>
    <w:uiPriority w:val="99"/>
    <w:rsid w:val="00DF540F"/>
    <w:rPr>
      <w:color w:val="0000FF"/>
      <w:u w:val="single"/>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qFormat/>
    <w:rsid w:val="00DF540F"/>
    <w:pPr>
      <w:widowControl/>
    </w:pPr>
    <w:rPr>
      <w:rFonts w:ascii="Times New Roman" w:eastAsia="Times New Roman" w:hAnsi="Times New Roman" w:cs="Times New Roman"/>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DF540F"/>
    <w:rPr>
      <w:rFonts w:ascii="Times New Roman" w:eastAsia="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rsid w:val="00DF540F"/>
    <w:rPr>
      <w:vertAlign w:val="superscript"/>
    </w:rPr>
  </w:style>
  <w:style w:type="paragraph" w:styleId="HTMLPreformatted">
    <w:name w:val="HTML Preformatted"/>
    <w:aliases w:val=" Char,Char"/>
    <w:basedOn w:val="Normal"/>
    <w:link w:val="HTMLPreformattedChar"/>
    <w:rsid w:val="004065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4065F9"/>
    <w:rPr>
      <w:rFonts w:ascii="Courier New" w:eastAsia="Courier New" w:hAnsi="Courier New" w:cs="Courier New"/>
      <w:sz w:val="20"/>
      <w:szCs w:val="20"/>
    </w:rPr>
  </w:style>
  <w:style w:type="paragraph" w:styleId="Header">
    <w:name w:val="header"/>
    <w:basedOn w:val="Normal"/>
    <w:link w:val="HeaderChar"/>
    <w:uiPriority w:val="99"/>
    <w:unhideWhenUsed/>
    <w:rsid w:val="004065F9"/>
    <w:pPr>
      <w:tabs>
        <w:tab w:val="center" w:pos="4680"/>
        <w:tab w:val="right" w:pos="9360"/>
      </w:tabs>
    </w:pPr>
  </w:style>
  <w:style w:type="character" w:customStyle="1" w:styleId="HeaderChar">
    <w:name w:val="Header Char"/>
    <w:basedOn w:val="DefaultParagraphFont"/>
    <w:link w:val="Header"/>
    <w:uiPriority w:val="99"/>
    <w:rsid w:val="004065F9"/>
  </w:style>
  <w:style w:type="paragraph" w:styleId="Footer">
    <w:name w:val="footer"/>
    <w:basedOn w:val="Normal"/>
    <w:link w:val="FooterChar"/>
    <w:uiPriority w:val="99"/>
    <w:unhideWhenUsed/>
    <w:rsid w:val="004065F9"/>
    <w:pPr>
      <w:tabs>
        <w:tab w:val="center" w:pos="4680"/>
        <w:tab w:val="right" w:pos="9360"/>
      </w:tabs>
    </w:pPr>
  </w:style>
  <w:style w:type="character" w:customStyle="1" w:styleId="FooterChar">
    <w:name w:val="Footer Char"/>
    <w:basedOn w:val="DefaultParagraphFont"/>
    <w:link w:val="Footer"/>
    <w:uiPriority w:val="99"/>
    <w:rsid w:val="004065F9"/>
  </w:style>
  <w:style w:type="paragraph" w:styleId="BodyTextIndent">
    <w:name w:val="Body Text Indent"/>
    <w:basedOn w:val="Normal"/>
    <w:link w:val="BodyTextIndentChar"/>
    <w:uiPriority w:val="99"/>
    <w:semiHidden/>
    <w:unhideWhenUsed/>
    <w:rsid w:val="00E34345"/>
    <w:pPr>
      <w:spacing w:after="120"/>
      <w:ind w:left="360"/>
    </w:pPr>
  </w:style>
  <w:style w:type="character" w:customStyle="1" w:styleId="BodyTextIndentChar">
    <w:name w:val="Body Text Indent Char"/>
    <w:basedOn w:val="DefaultParagraphFont"/>
    <w:link w:val="BodyTextIndent"/>
    <w:uiPriority w:val="99"/>
    <w:semiHidden/>
    <w:rsid w:val="00E34345"/>
  </w:style>
  <w:style w:type="paragraph" w:styleId="EndnoteText">
    <w:name w:val="endnote text"/>
    <w:basedOn w:val="Normal"/>
    <w:link w:val="EndnoteTextChar"/>
    <w:semiHidden/>
    <w:rsid w:val="00E50254"/>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E50254"/>
    <w:rPr>
      <w:rFonts w:ascii="Courier New" w:eastAsia="Times New Roman" w:hAnsi="Courier New" w:cs="Times New Roman"/>
      <w:snapToGrid w:val="0"/>
      <w:sz w:val="24"/>
      <w:szCs w:val="20"/>
    </w:rPr>
  </w:style>
  <w:style w:type="table" w:styleId="TableGrid">
    <w:name w:val="Table Grid"/>
    <w:basedOn w:val="TableNormal"/>
    <w:uiPriority w:val="39"/>
    <w:rsid w:val="00E5025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30FB"/>
    <w:rPr>
      <w:color w:val="605E5C"/>
      <w:shd w:val="clear" w:color="auto" w:fill="E1DFDD"/>
    </w:rPr>
  </w:style>
  <w:style w:type="paragraph" w:styleId="NormalWeb">
    <w:name w:val="Normal (Web)"/>
    <w:basedOn w:val="Normal"/>
    <w:uiPriority w:val="99"/>
    <w:unhideWhenUsed/>
    <w:rsid w:val="00AC40CC"/>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66EB"/>
    <w:rPr>
      <w:color w:val="800080" w:themeColor="followedHyperlink"/>
      <w:u w:val="single"/>
    </w:rPr>
  </w:style>
  <w:style w:type="paragraph" w:styleId="TOC1">
    <w:name w:val="toc 1"/>
    <w:basedOn w:val="Normal"/>
    <w:next w:val="Normal"/>
    <w:autoRedefine/>
    <w:uiPriority w:val="39"/>
    <w:unhideWhenUsed/>
    <w:qFormat/>
    <w:rsid w:val="001E3E9B"/>
    <w:pPr>
      <w:tabs>
        <w:tab w:val="decimal" w:leader="dot" w:pos="9360"/>
      </w:tabs>
      <w:spacing w:after="240"/>
      <w:ind w:left="720" w:hanging="720"/>
      <w:outlineLvl w:val="0"/>
    </w:pPr>
    <w:rPr>
      <w:rFonts w:ascii="Times New Roman" w:hAnsi="Times New Roman"/>
      <w:caps/>
      <w:sz w:val="24"/>
    </w:rPr>
  </w:style>
  <w:style w:type="paragraph" w:styleId="TOC2">
    <w:name w:val="toc 2"/>
    <w:basedOn w:val="Normal"/>
    <w:next w:val="Normal"/>
    <w:autoRedefine/>
    <w:uiPriority w:val="39"/>
    <w:unhideWhenUsed/>
    <w:qFormat/>
    <w:rsid w:val="001E3E9B"/>
    <w:pPr>
      <w:tabs>
        <w:tab w:val="decimal" w:leader="dot" w:pos="9360"/>
      </w:tabs>
      <w:spacing w:after="240"/>
      <w:ind w:left="1440" w:hanging="720"/>
      <w:outlineLvl w:val="1"/>
    </w:pPr>
    <w:rPr>
      <w:rFonts w:ascii="Times New Roman" w:hAnsi="Times New Roman"/>
      <w:sz w:val="24"/>
    </w:rPr>
  </w:style>
  <w:style w:type="character" w:customStyle="1" w:styleId="markedcontent">
    <w:name w:val="markedcontent"/>
    <w:basedOn w:val="DefaultParagraphFont"/>
    <w:rsid w:val="00896B82"/>
  </w:style>
  <w:style w:type="paragraph" w:customStyle="1" w:styleId="BodyA">
    <w:name w:val="Body A"/>
    <w:rsid w:val="00130496"/>
    <w:pPr>
      <w:widowControl/>
      <w:pBdr>
        <w:top w:val="nil"/>
        <w:left w:val="nil"/>
        <w:bottom w:val="nil"/>
        <w:right w:val="nil"/>
        <w:between w:val="nil"/>
        <w:bar w:val="nil"/>
      </w:pBdr>
      <w:spacing w:line="480" w:lineRule="auto"/>
      <w:ind w:left="720" w:hanging="720"/>
    </w:pPr>
    <w:rPr>
      <w:rFonts w:ascii="Times New Roman" w:eastAsia="Arial Unicode MS" w:hAnsi="Arial Unicode MS" w:cs="Arial Unicode MS"/>
      <w:color w:val="000000"/>
      <w:sz w:val="24"/>
      <w:szCs w:val="24"/>
      <w:u w:color="000000"/>
      <w:bdr w:val="nil"/>
    </w:rPr>
  </w:style>
  <w:style w:type="paragraph" w:styleId="Caption">
    <w:name w:val="caption"/>
    <w:basedOn w:val="Normal"/>
    <w:next w:val="Normal"/>
    <w:unhideWhenUsed/>
    <w:qFormat/>
    <w:rsid w:val="00543857"/>
    <w:pPr>
      <w:widowControl/>
      <w:spacing w:after="80"/>
      <w:ind w:left="720" w:right="720"/>
    </w:pPr>
    <w:rPr>
      <w:rFonts w:ascii="Times New Roman" w:eastAsia="Times New Roman" w:hAnsi="Times New Roman" w:cs="Times New Roman"/>
      <w:b/>
      <w:bCs/>
      <w:sz w:val="20"/>
      <w:szCs w:val="20"/>
    </w:rPr>
  </w:style>
  <w:style w:type="paragraph" w:customStyle="1" w:styleId="A2">
    <w:name w:val="A2"/>
    <w:basedOn w:val="Normal"/>
    <w:qFormat/>
    <w:rsid w:val="006D00D2"/>
    <w:pPr>
      <w:widowControl/>
      <w:ind w:left="720"/>
    </w:pPr>
    <w:rPr>
      <w:rFonts w:ascii="Times New Roman" w:eastAsia="Times New Roman" w:hAnsi="Times New Roman" w:cs="Times New Roman"/>
      <w:sz w:val="24"/>
      <w:szCs w:val="20"/>
    </w:rPr>
  </w:style>
  <w:style w:type="character" w:customStyle="1" w:styleId="xn-location">
    <w:name w:val="xn-location"/>
    <w:basedOn w:val="DefaultParagraphFont"/>
    <w:rsid w:val="009163FF"/>
  </w:style>
  <w:style w:type="character" w:customStyle="1" w:styleId="xn-chron">
    <w:name w:val="xn-chron"/>
    <w:basedOn w:val="DefaultParagraphFont"/>
    <w:rsid w:val="009163FF"/>
  </w:style>
  <w:style w:type="paragraph" w:styleId="Revision">
    <w:name w:val="Revision"/>
    <w:hidden/>
    <w:uiPriority w:val="99"/>
    <w:semiHidden/>
    <w:rsid w:val="009134B2"/>
    <w:pPr>
      <w:widowControl/>
    </w:pPr>
  </w:style>
  <w:style w:type="character" w:customStyle="1" w:styleId="Heading3Char">
    <w:name w:val="Heading 3 Char"/>
    <w:basedOn w:val="DefaultParagraphFont"/>
    <w:link w:val="Heading3"/>
    <w:uiPriority w:val="9"/>
    <w:rsid w:val="007637E3"/>
    <w:rPr>
      <w:rFonts w:ascii="Times New Roman Bold" w:hAnsi="Times New Roman Bold" w:eastAsiaTheme="majorEastAsia" w:cstheme="majorBidi"/>
      <w:b/>
      <w:sz w:val="24"/>
      <w:szCs w:val="24"/>
    </w:rPr>
  </w:style>
  <w:style w:type="character" w:customStyle="1" w:styleId="BodyTextChar">
    <w:name w:val="Body Text Char"/>
    <w:basedOn w:val="DefaultParagraphFont"/>
    <w:link w:val="BodyText"/>
    <w:uiPriority w:val="1"/>
    <w:rsid w:val="004978B1"/>
    <w:rPr>
      <w:rFonts w:ascii="Times New Roman" w:eastAsia="Times New Roman" w:hAnsi="Times New Roman"/>
      <w:sz w:val="23"/>
      <w:szCs w:val="23"/>
    </w:rPr>
  </w:style>
  <w:style w:type="paragraph" w:styleId="TOC3">
    <w:name w:val="toc 3"/>
    <w:basedOn w:val="Normal"/>
    <w:next w:val="Normal"/>
    <w:autoRedefine/>
    <w:uiPriority w:val="39"/>
    <w:unhideWhenUsed/>
    <w:qFormat/>
    <w:rsid w:val="00962B81"/>
    <w:pPr>
      <w:tabs>
        <w:tab w:val="decimal" w:leader="dot" w:pos="9360"/>
      </w:tabs>
      <w:spacing w:after="240"/>
      <w:ind w:left="2160" w:hanging="720"/>
      <w:outlineLvl w:val="2"/>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kyle.kern@ohioAGO.gov" TargetMode="External" /><Relationship Id="rId11" Type="http://schemas.openxmlformats.org/officeDocument/2006/relationships/hyperlink" Target="mailto:thomas.lindgren@ohioAGO.gov" TargetMode="External" /><Relationship Id="rId12" Type="http://schemas.openxmlformats.org/officeDocument/2006/relationships/hyperlink" Target="mailto:mkurtz@BKLlawfirm.com" TargetMode="External" /><Relationship Id="rId13" Type="http://schemas.openxmlformats.org/officeDocument/2006/relationships/hyperlink" Target="mailto:kboehm@BKLlawfirm.com" TargetMode="External" /><Relationship Id="rId14" Type="http://schemas.openxmlformats.org/officeDocument/2006/relationships/hyperlink" Target="mailto:jkylercohn@BKLlawfirm.com" TargetMode="External" /><Relationship Id="rId15" Type="http://schemas.openxmlformats.org/officeDocument/2006/relationships/hyperlink" Target="mailto:rdove@keglerbrown.com" TargetMode="External" /><Relationship Id="rId16" Type="http://schemas.openxmlformats.org/officeDocument/2006/relationships/hyperlink" Target="mailto:sarah.parrot@puco.ohio.gov" TargetMode="External" /><Relationship Id="rId17" Type="http://schemas.openxmlformats.org/officeDocument/2006/relationships/hyperlink" Target="mailto:greta.see@puco.ohio.gov" TargetMode="External" /><Relationship Id="rId18" Type="http://schemas.openxmlformats.org/officeDocument/2006/relationships/hyperlink" Target="mailto:stnourse@aep.com" TargetMode="External" /><Relationship Id="rId19" Type="http://schemas.openxmlformats.org/officeDocument/2006/relationships/hyperlink" Target="mailto:mpritchard@mcneeslaw.com" TargetMode="External" /><Relationship Id="rId2" Type="http://schemas.openxmlformats.org/officeDocument/2006/relationships/settings" Target="settings.xml" /><Relationship Id="rId20" Type="http://schemas.openxmlformats.org/officeDocument/2006/relationships/hyperlink" Target="mailto:tlong@mcneeslaw.com" TargetMode="External" /><Relationship Id="rId21" Type="http://schemas.openxmlformats.org/officeDocument/2006/relationships/hyperlink" Target="mailto:bmckenney@mcneeslaw.com" TargetMode="External" /><Relationship Id="rId22" Type="http://schemas.openxmlformats.org/officeDocument/2006/relationships/hyperlink" Target="mailto:megan.wachpress@sierraclub.org" TargetMode="External" /><Relationship Id="rId23" Type="http://schemas.openxmlformats.org/officeDocument/2006/relationships/hyperlink" Target="mailto:bojko@carpenterlipps.com" TargetMode="External" /><Relationship Id="rId24" Type="http://schemas.openxmlformats.org/officeDocument/2006/relationships/hyperlink" Target="mailto:donadio@carpenterlipps.com" TargetMode="External" /><Relationship Id="rId25" Type="http://schemas.openxmlformats.org/officeDocument/2006/relationships/hyperlink" Target="mailto:paul@carpenterlipps.com" TargetMode="External" /><Relationship Id="rId26" Type="http://schemas.openxmlformats.org/officeDocument/2006/relationships/header" Target="header1.xml" /><Relationship Id="rId27" Type="http://schemas.openxmlformats.org/officeDocument/2006/relationships/header" Target="header2.xml" /><Relationship Id="rId28" Type="http://schemas.openxmlformats.org/officeDocument/2006/relationships/footer" Target="footer4.xml" /><Relationship Id="rId29" Type="http://schemas.openxmlformats.org/officeDocument/2006/relationships/footer" Target="footer5.xml" /><Relationship Id="rId3" Type="http://schemas.openxmlformats.org/officeDocument/2006/relationships/webSettings" Target="web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1766-4E9E-4469-866F-66EDAFFD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4646</Words>
  <Characters>26484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18-1004 - OCC reply comments.docx  -  Read-Only.docx</vt:lpstr>
    </vt:vector>
  </TitlesOfParts>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2021-12-20T22:07:13Z</dcterms:created>
  <dcterms:modified xsi:type="dcterms:W3CDTF">2021-12-20T22:07:13Z</dcterms:modified>
</cp:coreProperties>
</file>