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0D" w:rsidRPr="00454A08" w:rsidRDefault="00B9190D" w:rsidP="007405D7">
      <w:pPr>
        <w:tabs>
          <w:tab w:val="right" w:pos="9270"/>
        </w:tabs>
        <w:rPr>
          <w:b/>
          <w:bCs/>
          <w:i/>
          <w:iCs/>
        </w:rPr>
      </w:pPr>
      <w:bookmarkStart w:id="0" w:name="_GoBack"/>
      <w:bookmarkEnd w:id="0"/>
      <w:r>
        <w:rPr>
          <w:b/>
          <w:bCs/>
        </w:rPr>
        <w:tab/>
      </w:r>
      <w:r w:rsidRPr="00454A08">
        <w:rPr>
          <w:b/>
          <w:bCs/>
          <w:i/>
          <w:iCs/>
        </w:rPr>
        <w:t>OCC EXHIBIT NO. ______</w:t>
      </w:r>
    </w:p>
    <w:p w:rsidR="00B9190D" w:rsidRPr="00454A08" w:rsidRDefault="00B9190D">
      <w:pPr>
        <w:jc w:val="center"/>
        <w:rPr>
          <w:b/>
          <w:bCs/>
        </w:rPr>
      </w:pPr>
    </w:p>
    <w:p w:rsidR="00B9190D" w:rsidRPr="00454A08" w:rsidRDefault="00B9190D">
      <w:pPr>
        <w:jc w:val="center"/>
        <w:rPr>
          <w:b/>
          <w:bCs/>
        </w:rPr>
      </w:pPr>
      <w:r w:rsidRPr="00454A08">
        <w:rPr>
          <w:b/>
          <w:bCs/>
        </w:rPr>
        <w:t>BEFORE</w:t>
      </w:r>
    </w:p>
    <w:p w:rsidR="00B9190D" w:rsidRPr="00454A08" w:rsidRDefault="00B9190D">
      <w:pPr>
        <w:jc w:val="center"/>
        <w:rPr>
          <w:b/>
          <w:bCs/>
        </w:rPr>
      </w:pPr>
      <w:r w:rsidRPr="00454A08">
        <w:rPr>
          <w:b/>
          <w:bCs/>
        </w:rPr>
        <w:t>THE PUBLIC UTILITIES COMMISSION OF OHIO</w:t>
      </w:r>
    </w:p>
    <w:p w:rsidR="00B9190D" w:rsidRPr="00454A08" w:rsidRDefault="00B9190D">
      <w:pPr>
        <w:rPr>
          <w:b/>
          <w:bCs/>
        </w:rPr>
      </w:pPr>
    </w:p>
    <w:tbl>
      <w:tblPr>
        <w:tblW w:w="9092" w:type="dxa"/>
        <w:tblInd w:w="-106" w:type="dxa"/>
        <w:tblLook w:val="01E0" w:firstRow="1" w:lastRow="1" w:firstColumn="1" w:lastColumn="1" w:noHBand="0" w:noVBand="0"/>
      </w:tblPr>
      <w:tblGrid>
        <w:gridCol w:w="4332"/>
        <w:gridCol w:w="360"/>
        <w:gridCol w:w="4400"/>
      </w:tblGrid>
      <w:tr w:rsidR="00B9190D" w:rsidRPr="00454A08">
        <w:trPr>
          <w:trHeight w:val="807"/>
        </w:trPr>
        <w:tc>
          <w:tcPr>
            <w:tcW w:w="4332" w:type="dxa"/>
          </w:tcPr>
          <w:p w:rsidR="00B9190D" w:rsidRDefault="00B9190D" w:rsidP="00CC3B45">
            <w:pPr>
              <w:autoSpaceDE w:val="0"/>
              <w:autoSpaceDN w:val="0"/>
              <w:adjustRightInd w:val="0"/>
            </w:pPr>
            <w:r>
              <w:t>In the Matter of the Application of Ohio</w:t>
            </w:r>
          </w:p>
          <w:p w:rsidR="00B9190D" w:rsidRDefault="00B9190D" w:rsidP="00CC3B45">
            <w:pPr>
              <w:autoSpaceDE w:val="0"/>
              <w:autoSpaceDN w:val="0"/>
              <w:adjustRightInd w:val="0"/>
            </w:pPr>
            <w:r>
              <w:t>Edison Company, The Cleveland Electric</w:t>
            </w:r>
          </w:p>
          <w:p w:rsidR="00B9190D" w:rsidRDefault="00B9190D" w:rsidP="00CC3B45">
            <w:pPr>
              <w:autoSpaceDE w:val="0"/>
              <w:autoSpaceDN w:val="0"/>
              <w:adjustRightInd w:val="0"/>
            </w:pPr>
            <w:r>
              <w:t>Illuminating Company, and The Toledo</w:t>
            </w:r>
          </w:p>
          <w:p w:rsidR="00B9190D" w:rsidRDefault="00B9190D" w:rsidP="00CC3B45">
            <w:pPr>
              <w:autoSpaceDE w:val="0"/>
              <w:autoSpaceDN w:val="0"/>
              <w:adjustRightInd w:val="0"/>
            </w:pPr>
            <w:r>
              <w:t>Edison Company For Approval of Their</w:t>
            </w:r>
          </w:p>
          <w:p w:rsidR="00B9190D" w:rsidRDefault="00B9190D" w:rsidP="00CC3B45">
            <w:pPr>
              <w:autoSpaceDE w:val="0"/>
              <w:autoSpaceDN w:val="0"/>
              <w:adjustRightInd w:val="0"/>
            </w:pPr>
            <w:r>
              <w:t>Energy Efficiency and Peak Demand</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 xml:space="preserve">Reduction Program Portfolio Plans for 2013 through 2015. </w:t>
            </w:r>
          </w:p>
        </w:tc>
        <w:tc>
          <w:tcPr>
            <w:tcW w:w="360" w:type="dxa"/>
          </w:tcPr>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w:t>
            </w:r>
          </w:p>
          <w:p w:rsidR="00B9190D" w:rsidRPr="00F938F3" w:rsidRDefault="00B9190D" w:rsidP="00CC3B45">
            <w:pPr>
              <w:pStyle w:val="HTMLPreformatted"/>
              <w:rPr>
                <w:rFonts w:ascii="Times New Roman" w:hAnsi="Times New Roman" w:cs="Times New Roman"/>
                <w:sz w:val="24"/>
                <w:szCs w:val="24"/>
              </w:rPr>
            </w:pPr>
          </w:p>
        </w:tc>
        <w:tc>
          <w:tcPr>
            <w:tcW w:w="4400" w:type="dxa"/>
          </w:tcPr>
          <w:p w:rsidR="00B9190D" w:rsidRPr="00F938F3" w:rsidRDefault="00B9190D" w:rsidP="00CC3B45">
            <w:pPr>
              <w:pStyle w:val="HTMLPreformatted"/>
              <w:rPr>
                <w:rFonts w:ascii="Times New Roman" w:hAnsi="Times New Roman" w:cs="Times New Roman"/>
                <w:sz w:val="24"/>
                <w:szCs w:val="24"/>
              </w:rPr>
            </w:pP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Case No. 12-2190-EL-POR</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Case No. 12-2191-EL-POR</w:t>
            </w:r>
          </w:p>
          <w:p w:rsidR="00B9190D" w:rsidRPr="00F938F3" w:rsidRDefault="00B9190D" w:rsidP="00CC3B45">
            <w:pPr>
              <w:pStyle w:val="HTMLPreformatted"/>
              <w:rPr>
                <w:rFonts w:ascii="Times New Roman" w:hAnsi="Times New Roman" w:cs="Times New Roman"/>
                <w:sz w:val="24"/>
                <w:szCs w:val="24"/>
              </w:rPr>
            </w:pPr>
            <w:r w:rsidRPr="00F938F3">
              <w:rPr>
                <w:rFonts w:ascii="Times New Roman" w:hAnsi="Times New Roman" w:cs="Times New Roman"/>
                <w:sz w:val="24"/>
                <w:szCs w:val="24"/>
              </w:rPr>
              <w:t>Case No. 12-2192-EL-POR</w:t>
            </w:r>
          </w:p>
          <w:p w:rsidR="00B9190D" w:rsidRPr="00F938F3" w:rsidRDefault="00B9190D" w:rsidP="00CC3B45">
            <w:pPr>
              <w:pStyle w:val="HTMLPreformatted"/>
              <w:rPr>
                <w:rFonts w:ascii="Times New Roman" w:hAnsi="Times New Roman" w:cs="Times New Roman"/>
                <w:sz w:val="24"/>
                <w:szCs w:val="24"/>
              </w:rPr>
            </w:pPr>
          </w:p>
          <w:p w:rsidR="00B9190D" w:rsidRPr="00F938F3" w:rsidRDefault="00B9190D" w:rsidP="00CC3B45">
            <w:pPr>
              <w:pStyle w:val="HTMLPreformatted"/>
              <w:rPr>
                <w:rFonts w:ascii="Times New Roman" w:hAnsi="Times New Roman" w:cs="Times New Roman"/>
                <w:sz w:val="24"/>
                <w:szCs w:val="24"/>
              </w:rPr>
            </w:pPr>
          </w:p>
          <w:p w:rsidR="00B9190D" w:rsidRPr="00F938F3" w:rsidRDefault="00B9190D" w:rsidP="00CC3B45">
            <w:pPr>
              <w:pStyle w:val="HTMLPreformatted"/>
              <w:rPr>
                <w:rFonts w:ascii="Times New Roman" w:hAnsi="Times New Roman" w:cs="Times New Roman"/>
                <w:sz w:val="24"/>
                <w:szCs w:val="24"/>
              </w:rPr>
            </w:pPr>
          </w:p>
        </w:tc>
      </w:tr>
    </w:tbl>
    <w:p w:rsidR="00B9190D" w:rsidRPr="00454A08" w:rsidRDefault="00B9190D"/>
    <w:p w:rsidR="00B9190D" w:rsidRPr="00454A08" w:rsidRDefault="00B9190D"/>
    <w:p w:rsidR="00B9190D" w:rsidRPr="00454A08" w:rsidRDefault="00B9190D"/>
    <w:p w:rsidR="00B9190D" w:rsidRPr="00454A08" w:rsidRDefault="00B9190D"/>
    <w:p w:rsidR="00B9190D" w:rsidRPr="00454A08" w:rsidRDefault="00B9190D">
      <w:pPr>
        <w:jc w:val="center"/>
        <w:rPr>
          <w:b/>
          <w:bCs/>
        </w:rPr>
      </w:pPr>
      <w:r w:rsidRPr="00454A08">
        <w:rPr>
          <w:b/>
          <w:bCs/>
        </w:rPr>
        <w:t>DIRECT TESTIMONY</w:t>
      </w:r>
    </w:p>
    <w:p w:rsidR="00B9190D" w:rsidRPr="00454A08" w:rsidRDefault="00B9190D">
      <w:pPr>
        <w:jc w:val="center"/>
        <w:rPr>
          <w:b/>
          <w:bCs/>
        </w:rPr>
      </w:pPr>
      <w:r w:rsidRPr="00454A08">
        <w:rPr>
          <w:b/>
          <w:bCs/>
        </w:rPr>
        <w:t>OF</w:t>
      </w:r>
    </w:p>
    <w:p w:rsidR="00B9190D" w:rsidRPr="00454A08" w:rsidRDefault="00B9190D">
      <w:pPr>
        <w:jc w:val="center"/>
        <w:rPr>
          <w:b/>
          <w:bCs/>
        </w:rPr>
      </w:pPr>
      <w:r w:rsidRPr="00454A08">
        <w:rPr>
          <w:b/>
          <w:bCs/>
        </w:rPr>
        <w:t>WILSON GONZALEZ</w:t>
      </w:r>
    </w:p>
    <w:p w:rsidR="00B9190D" w:rsidRPr="00454A08" w:rsidRDefault="00B9190D"/>
    <w:p w:rsidR="00B9190D" w:rsidRPr="00454A08" w:rsidRDefault="00B9190D"/>
    <w:p w:rsidR="00B9190D" w:rsidRPr="00454A08" w:rsidRDefault="00B9190D"/>
    <w:p w:rsidR="00B9190D" w:rsidRPr="00454A08" w:rsidRDefault="00B9190D">
      <w:pPr>
        <w:jc w:val="center"/>
        <w:rPr>
          <w:b/>
          <w:bCs/>
        </w:rPr>
      </w:pPr>
      <w:r w:rsidRPr="00454A08">
        <w:rPr>
          <w:b/>
          <w:bCs/>
        </w:rPr>
        <w:t>On Behalf of</w:t>
      </w:r>
    </w:p>
    <w:p w:rsidR="00B9190D" w:rsidRPr="00454A08" w:rsidRDefault="00B9190D">
      <w:pPr>
        <w:jc w:val="center"/>
        <w:rPr>
          <w:b/>
          <w:bCs/>
          <w:caps/>
        </w:rPr>
      </w:pPr>
      <w:r w:rsidRPr="00454A08">
        <w:rPr>
          <w:b/>
          <w:bCs/>
        </w:rPr>
        <w:t>The Office of the Ohio Consumers' Counsel</w:t>
      </w:r>
    </w:p>
    <w:p w:rsidR="00B9190D" w:rsidRPr="00454A08" w:rsidRDefault="00B9190D">
      <w:pPr>
        <w:jc w:val="center"/>
        <w:rPr>
          <w:i/>
          <w:iCs/>
        </w:rPr>
      </w:pPr>
      <w:r w:rsidRPr="00454A08">
        <w:rPr>
          <w:i/>
          <w:iCs/>
        </w:rPr>
        <w:t>10 West Broad Street, Suite 1800</w:t>
      </w:r>
    </w:p>
    <w:p w:rsidR="00B9190D" w:rsidRPr="00454A08" w:rsidRDefault="00B9190D">
      <w:pPr>
        <w:jc w:val="center"/>
        <w:rPr>
          <w:i/>
          <w:iCs/>
        </w:rPr>
      </w:pPr>
      <w:r w:rsidRPr="00454A08">
        <w:rPr>
          <w:i/>
          <w:iCs/>
        </w:rPr>
        <w:t>Columbus, Ohio 43215-3485</w:t>
      </w:r>
    </w:p>
    <w:p w:rsidR="00B9190D" w:rsidRPr="00454A08" w:rsidRDefault="00B9190D">
      <w:pPr>
        <w:jc w:val="center"/>
        <w:rPr>
          <w:i/>
          <w:iCs/>
        </w:rPr>
      </w:pPr>
      <w:r w:rsidRPr="00454A08">
        <w:rPr>
          <w:i/>
          <w:iCs/>
        </w:rPr>
        <w:t>(614) 466-8574</w:t>
      </w:r>
    </w:p>
    <w:p w:rsidR="00B9190D" w:rsidRPr="00454A08" w:rsidRDefault="00B9190D"/>
    <w:p w:rsidR="00B9190D" w:rsidRPr="00454A08" w:rsidRDefault="00B9190D"/>
    <w:p w:rsidR="00B9190D" w:rsidRPr="00454A08" w:rsidRDefault="00B9190D"/>
    <w:p w:rsidR="00B9190D" w:rsidRDefault="00B9190D">
      <w:pPr>
        <w:jc w:val="center"/>
        <w:rPr>
          <w:b/>
          <w:bCs/>
          <w:i/>
          <w:iCs/>
        </w:rPr>
        <w:sectPr w:rsidR="00B9190D" w:rsidSect="00114C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r>
        <w:rPr>
          <w:b/>
          <w:bCs/>
          <w:i/>
          <w:iCs/>
        </w:rPr>
        <w:t>October 5, 2012</w:t>
      </w:r>
    </w:p>
    <w:p w:rsidR="00B9190D" w:rsidRPr="00454A08" w:rsidRDefault="00B9190D">
      <w:pPr>
        <w:jc w:val="center"/>
        <w:rPr>
          <w:b/>
          <w:bCs/>
        </w:rPr>
      </w:pPr>
      <w:r w:rsidRPr="00454A08">
        <w:rPr>
          <w:b/>
          <w:bCs/>
        </w:rPr>
        <w:lastRenderedPageBreak/>
        <w:t>TABLE OF CONTENTS</w:t>
      </w:r>
    </w:p>
    <w:p w:rsidR="00B9190D" w:rsidRDefault="00B9190D" w:rsidP="00DD0AC6">
      <w:pPr>
        <w:ind w:right="720"/>
        <w:jc w:val="right"/>
        <w:rPr>
          <w:b/>
          <w:bCs/>
          <w:u w:val="single"/>
        </w:rPr>
      </w:pPr>
      <w:r w:rsidRPr="00454A08">
        <w:rPr>
          <w:b/>
          <w:bCs/>
          <w:u w:val="single"/>
        </w:rPr>
        <w:t>Page</w:t>
      </w:r>
    </w:p>
    <w:p w:rsidR="00B9190D" w:rsidRPr="00454A08" w:rsidRDefault="00B9190D">
      <w:pPr>
        <w:jc w:val="right"/>
        <w:rPr>
          <w:b/>
          <w:bCs/>
          <w:u w:val="single"/>
        </w:rPr>
      </w:pPr>
    </w:p>
    <w:p w:rsidR="00B47634" w:rsidRDefault="00B9190D">
      <w:pPr>
        <w:pStyle w:val="TOC1"/>
        <w:rPr>
          <w:rFonts w:asciiTheme="minorHAnsi" w:eastAsiaTheme="minorEastAsia" w:hAnsiTheme="minorHAnsi" w:cstheme="minorBidi"/>
          <w:caps w:val="0"/>
          <w:noProof/>
          <w:sz w:val="22"/>
          <w:szCs w:val="22"/>
        </w:rPr>
      </w:pPr>
      <w:r>
        <w:fldChar w:fldCharType="begin"/>
      </w:r>
      <w:r>
        <w:instrText xml:space="preserve"> TOC \o "1-1" \h \z \u </w:instrText>
      </w:r>
      <w:r>
        <w:fldChar w:fldCharType="separate"/>
      </w:r>
      <w:hyperlink w:anchor="_Toc337216651" w:history="1">
        <w:r w:rsidR="00B47634" w:rsidRPr="001B32FA">
          <w:rPr>
            <w:rStyle w:val="Hyperlink"/>
            <w:noProof/>
          </w:rPr>
          <w:t>I.</w:t>
        </w:r>
        <w:r w:rsidR="00B47634">
          <w:rPr>
            <w:rFonts w:asciiTheme="minorHAnsi" w:eastAsiaTheme="minorEastAsia" w:hAnsiTheme="minorHAnsi" w:cstheme="minorBidi"/>
            <w:caps w:val="0"/>
            <w:noProof/>
            <w:sz w:val="22"/>
            <w:szCs w:val="22"/>
          </w:rPr>
          <w:tab/>
        </w:r>
        <w:r w:rsidR="00B47634" w:rsidRPr="001B32FA">
          <w:rPr>
            <w:rStyle w:val="Hyperlink"/>
            <w:noProof/>
          </w:rPr>
          <w:t>INTRODUCTION</w:t>
        </w:r>
        <w:r w:rsidR="00B47634">
          <w:rPr>
            <w:noProof/>
            <w:webHidden/>
          </w:rPr>
          <w:tab/>
        </w:r>
        <w:r w:rsidR="00B47634">
          <w:rPr>
            <w:noProof/>
            <w:webHidden/>
          </w:rPr>
          <w:fldChar w:fldCharType="begin"/>
        </w:r>
        <w:r w:rsidR="00B47634">
          <w:rPr>
            <w:noProof/>
            <w:webHidden/>
          </w:rPr>
          <w:instrText xml:space="preserve"> PAGEREF _Toc337216651 \h </w:instrText>
        </w:r>
        <w:r w:rsidR="00B47634">
          <w:rPr>
            <w:noProof/>
            <w:webHidden/>
          </w:rPr>
        </w:r>
        <w:r w:rsidR="00B47634">
          <w:rPr>
            <w:noProof/>
            <w:webHidden/>
          </w:rPr>
          <w:fldChar w:fldCharType="separate"/>
        </w:r>
        <w:r w:rsidR="00164627">
          <w:rPr>
            <w:noProof/>
            <w:webHidden/>
          </w:rPr>
          <w:t>1</w:t>
        </w:r>
        <w:r w:rsidR="00B47634">
          <w:rPr>
            <w:noProof/>
            <w:webHidden/>
          </w:rPr>
          <w:fldChar w:fldCharType="end"/>
        </w:r>
      </w:hyperlink>
    </w:p>
    <w:p w:rsidR="00B47634" w:rsidRDefault="00347054">
      <w:pPr>
        <w:pStyle w:val="TOC1"/>
        <w:rPr>
          <w:rFonts w:asciiTheme="minorHAnsi" w:eastAsiaTheme="minorEastAsia" w:hAnsiTheme="minorHAnsi" w:cstheme="minorBidi"/>
          <w:caps w:val="0"/>
          <w:noProof/>
          <w:sz w:val="22"/>
          <w:szCs w:val="22"/>
        </w:rPr>
      </w:pPr>
      <w:hyperlink w:anchor="_Toc337216652" w:history="1">
        <w:r w:rsidR="00B47634" w:rsidRPr="001B32FA">
          <w:rPr>
            <w:rStyle w:val="Hyperlink"/>
            <w:noProof/>
          </w:rPr>
          <w:t>II.</w:t>
        </w:r>
        <w:r w:rsidR="00B47634">
          <w:rPr>
            <w:rFonts w:asciiTheme="minorHAnsi" w:eastAsiaTheme="minorEastAsia" w:hAnsiTheme="minorHAnsi" w:cstheme="minorBidi"/>
            <w:caps w:val="0"/>
            <w:noProof/>
            <w:sz w:val="22"/>
            <w:szCs w:val="22"/>
          </w:rPr>
          <w:tab/>
        </w:r>
        <w:r w:rsidR="00B47634" w:rsidRPr="001B32FA">
          <w:rPr>
            <w:rStyle w:val="Hyperlink"/>
            <w:noProof/>
          </w:rPr>
          <w:t>PURPOSE OF TESTIMONY AND RECOMMENDATIONS</w:t>
        </w:r>
        <w:r w:rsidR="00B47634">
          <w:rPr>
            <w:noProof/>
            <w:webHidden/>
          </w:rPr>
          <w:tab/>
        </w:r>
        <w:r w:rsidR="00B47634">
          <w:rPr>
            <w:noProof/>
            <w:webHidden/>
          </w:rPr>
          <w:fldChar w:fldCharType="begin"/>
        </w:r>
        <w:r w:rsidR="00B47634">
          <w:rPr>
            <w:noProof/>
            <w:webHidden/>
          </w:rPr>
          <w:instrText xml:space="preserve"> PAGEREF _Toc337216652 \h </w:instrText>
        </w:r>
        <w:r w:rsidR="00B47634">
          <w:rPr>
            <w:noProof/>
            <w:webHidden/>
          </w:rPr>
        </w:r>
        <w:r w:rsidR="00B47634">
          <w:rPr>
            <w:noProof/>
            <w:webHidden/>
          </w:rPr>
          <w:fldChar w:fldCharType="separate"/>
        </w:r>
        <w:r w:rsidR="00164627">
          <w:rPr>
            <w:noProof/>
            <w:webHidden/>
          </w:rPr>
          <w:t>4</w:t>
        </w:r>
        <w:r w:rsidR="00B47634">
          <w:rPr>
            <w:noProof/>
            <w:webHidden/>
          </w:rPr>
          <w:fldChar w:fldCharType="end"/>
        </w:r>
      </w:hyperlink>
    </w:p>
    <w:p w:rsidR="00B47634" w:rsidRDefault="00347054">
      <w:pPr>
        <w:pStyle w:val="TOC1"/>
        <w:rPr>
          <w:rFonts w:asciiTheme="minorHAnsi" w:eastAsiaTheme="minorEastAsia" w:hAnsiTheme="minorHAnsi" w:cstheme="minorBidi"/>
          <w:caps w:val="0"/>
          <w:noProof/>
          <w:sz w:val="22"/>
          <w:szCs w:val="22"/>
        </w:rPr>
      </w:pPr>
      <w:hyperlink w:anchor="_Toc337216653" w:history="1">
        <w:r w:rsidR="00B47634" w:rsidRPr="001B32FA">
          <w:rPr>
            <w:rStyle w:val="Hyperlink"/>
            <w:noProof/>
          </w:rPr>
          <w:t>III.</w:t>
        </w:r>
        <w:r w:rsidR="00B47634">
          <w:rPr>
            <w:rFonts w:asciiTheme="minorHAnsi" w:eastAsiaTheme="minorEastAsia" w:hAnsiTheme="minorHAnsi" w:cstheme="minorBidi"/>
            <w:caps w:val="0"/>
            <w:noProof/>
            <w:sz w:val="22"/>
            <w:szCs w:val="22"/>
          </w:rPr>
          <w:tab/>
        </w:r>
        <w:r w:rsidR="00B47634" w:rsidRPr="001B32FA">
          <w:rPr>
            <w:rStyle w:val="Hyperlink"/>
            <w:noProof/>
          </w:rPr>
          <w:t xml:space="preserve">EVALUATION OF FIRSTENERGY’S PROPOSED SHARED </w:t>
        </w:r>
        <w:r w:rsidR="00B47634">
          <w:rPr>
            <w:rStyle w:val="Hyperlink"/>
            <w:noProof/>
          </w:rPr>
          <w:br/>
        </w:r>
        <w:r w:rsidR="00B47634" w:rsidRPr="001B32FA">
          <w:rPr>
            <w:rStyle w:val="Hyperlink"/>
            <w:noProof/>
          </w:rPr>
          <w:t>SAVINGS INCENTIVE MECHANISM.</w:t>
        </w:r>
        <w:r w:rsidR="00B47634">
          <w:rPr>
            <w:noProof/>
            <w:webHidden/>
          </w:rPr>
          <w:tab/>
        </w:r>
        <w:r w:rsidR="00B47634">
          <w:rPr>
            <w:noProof/>
            <w:webHidden/>
          </w:rPr>
          <w:fldChar w:fldCharType="begin"/>
        </w:r>
        <w:r w:rsidR="00B47634">
          <w:rPr>
            <w:noProof/>
            <w:webHidden/>
          </w:rPr>
          <w:instrText xml:space="preserve"> PAGEREF _Toc337216653 \h </w:instrText>
        </w:r>
        <w:r w:rsidR="00B47634">
          <w:rPr>
            <w:noProof/>
            <w:webHidden/>
          </w:rPr>
        </w:r>
        <w:r w:rsidR="00B47634">
          <w:rPr>
            <w:noProof/>
            <w:webHidden/>
          </w:rPr>
          <w:fldChar w:fldCharType="separate"/>
        </w:r>
        <w:r w:rsidR="00164627">
          <w:rPr>
            <w:noProof/>
            <w:webHidden/>
          </w:rPr>
          <w:t>5</w:t>
        </w:r>
        <w:r w:rsidR="00B47634">
          <w:rPr>
            <w:noProof/>
            <w:webHidden/>
          </w:rPr>
          <w:fldChar w:fldCharType="end"/>
        </w:r>
      </w:hyperlink>
    </w:p>
    <w:p w:rsidR="00B47634" w:rsidRDefault="00347054">
      <w:pPr>
        <w:pStyle w:val="TOC1"/>
        <w:rPr>
          <w:rFonts w:asciiTheme="minorHAnsi" w:eastAsiaTheme="minorEastAsia" w:hAnsiTheme="minorHAnsi" w:cstheme="minorBidi"/>
          <w:caps w:val="0"/>
          <w:noProof/>
          <w:sz w:val="22"/>
          <w:szCs w:val="22"/>
        </w:rPr>
      </w:pPr>
      <w:hyperlink w:anchor="_Toc337216654" w:history="1">
        <w:r w:rsidR="00B47634" w:rsidRPr="001B32FA">
          <w:rPr>
            <w:rStyle w:val="Hyperlink"/>
            <w:noProof/>
          </w:rPr>
          <w:t>IV.</w:t>
        </w:r>
        <w:r w:rsidR="00B47634">
          <w:rPr>
            <w:rFonts w:asciiTheme="minorHAnsi" w:eastAsiaTheme="minorEastAsia" w:hAnsiTheme="minorHAnsi" w:cstheme="minorBidi"/>
            <w:caps w:val="0"/>
            <w:noProof/>
            <w:sz w:val="22"/>
            <w:szCs w:val="22"/>
          </w:rPr>
          <w:tab/>
        </w:r>
        <w:r w:rsidR="00B47634" w:rsidRPr="001B32FA">
          <w:rPr>
            <w:rStyle w:val="Hyperlink"/>
            <w:noProof/>
          </w:rPr>
          <w:t xml:space="preserve">Bidding Energy Efficiency and Load Management </w:t>
        </w:r>
        <w:r w:rsidR="00B47634">
          <w:rPr>
            <w:rStyle w:val="Hyperlink"/>
            <w:noProof/>
          </w:rPr>
          <w:br/>
        </w:r>
        <w:r w:rsidR="00B47634" w:rsidRPr="001B32FA">
          <w:rPr>
            <w:rStyle w:val="Hyperlink"/>
            <w:noProof/>
          </w:rPr>
          <w:t>Resources into Future PJM RPM BASE RESIDUAL AUCTIONS.</w:t>
        </w:r>
        <w:r w:rsidR="00B47634">
          <w:rPr>
            <w:noProof/>
            <w:webHidden/>
          </w:rPr>
          <w:tab/>
        </w:r>
        <w:r w:rsidR="00B47634">
          <w:rPr>
            <w:noProof/>
            <w:webHidden/>
          </w:rPr>
          <w:fldChar w:fldCharType="begin"/>
        </w:r>
        <w:r w:rsidR="00B47634">
          <w:rPr>
            <w:noProof/>
            <w:webHidden/>
          </w:rPr>
          <w:instrText xml:space="preserve"> PAGEREF _Toc337216654 \h </w:instrText>
        </w:r>
        <w:r w:rsidR="00B47634">
          <w:rPr>
            <w:noProof/>
            <w:webHidden/>
          </w:rPr>
        </w:r>
        <w:r w:rsidR="00B47634">
          <w:rPr>
            <w:noProof/>
            <w:webHidden/>
          </w:rPr>
          <w:fldChar w:fldCharType="separate"/>
        </w:r>
        <w:r w:rsidR="00164627">
          <w:rPr>
            <w:noProof/>
            <w:webHidden/>
          </w:rPr>
          <w:t>18</w:t>
        </w:r>
        <w:r w:rsidR="00B47634">
          <w:rPr>
            <w:noProof/>
            <w:webHidden/>
          </w:rPr>
          <w:fldChar w:fldCharType="end"/>
        </w:r>
      </w:hyperlink>
    </w:p>
    <w:p w:rsidR="00B47634" w:rsidRDefault="00347054">
      <w:pPr>
        <w:pStyle w:val="TOC1"/>
        <w:rPr>
          <w:rFonts w:asciiTheme="minorHAnsi" w:eastAsiaTheme="minorEastAsia" w:hAnsiTheme="minorHAnsi" w:cstheme="minorBidi"/>
          <w:caps w:val="0"/>
          <w:noProof/>
          <w:sz w:val="22"/>
          <w:szCs w:val="22"/>
        </w:rPr>
      </w:pPr>
      <w:hyperlink w:anchor="_Toc337216655" w:history="1">
        <w:r w:rsidR="00B47634" w:rsidRPr="001B32FA">
          <w:rPr>
            <w:rStyle w:val="Hyperlink"/>
            <w:noProof/>
          </w:rPr>
          <w:t>V.</w:t>
        </w:r>
        <w:r w:rsidR="00B47634">
          <w:rPr>
            <w:rFonts w:asciiTheme="minorHAnsi" w:eastAsiaTheme="minorEastAsia" w:hAnsiTheme="minorHAnsi" w:cstheme="minorBidi"/>
            <w:caps w:val="0"/>
            <w:noProof/>
            <w:sz w:val="22"/>
            <w:szCs w:val="22"/>
          </w:rPr>
          <w:tab/>
        </w:r>
        <w:r w:rsidR="00B47634" w:rsidRPr="001B32FA">
          <w:rPr>
            <w:rStyle w:val="Hyperlink"/>
            <w:noProof/>
          </w:rPr>
          <w:t>CONCLUSION</w:t>
        </w:r>
        <w:r w:rsidR="00B47634">
          <w:rPr>
            <w:noProof/>
            <w:webHidden/>
          </w:rPr>
          <w:tab/>
        </w:r>
        <w:r w:rsidR="00B47634">
          <w:rPr>
            <w:noProof/>
            <w:webHidden/>
          </w:rPr>
          <w:fldChar w:fldCharType="begin"/>
        </w:r>
        <w:r w:rsidR="00B47634">
          <w:rPr>
            <w:noProof/>
            <w:webHidden/>
          </w:rPr>
          <w:instrText xml:space="preserve"> PAGEREF _Toc337216655 \h </w:instrText>
        </w:r>
        <w:r w:rsidR="00B47634">
          <w:rPr>
            <w:noProof/>
            <w:webHidden/>
          </w:rPr>
        </w:r>
        <w:r w:rsidR="00B47634">
          <w:rPr>
            <w:noProof/>
            <w:webHidden/>
          </w:rPr>
          <w:fldChar w:fldCharType="separate"/>
        </w:r>
        <w:r w:rsidR="00164627">
          <w:rPr>
            <w:noProof/>
            <w:webHidden/>
          </w:rPr>
          <w:t>25</w:t>
        </w:r>
        <w:r w:rsidR="00B47634">
          <w:rPr>
            <w:noProof/>
            <w:webHidden/>
          </w:rPr>
          <w:fldChar w:fldCharType="end"/>
        </w:r>
      </w:hyperlink>
    </w:p>
    <w:p w:rsidR="00B9190D" w:rsidRPr="00454A08" w:rsidRDefault="00B9190D" w:rsidP="005F1D7F">
      <w:pPr>
        <w:spacing w:after="120" w:line="480" w:lineRule="auto"/>
      </w:pPr>
      <w:r>
        <w:fldChar w:fldCharType="end"/>
      </w:r>
    </w:p>
    <w:p w:rsidR="00B9190D" w:rsidRDefault="00B9190D" w:rsidP="005F1D7F">
      <w:pPr>
        <w:tabs>
          <w:tab w:val="left" w:pos="720"/>
          <w:tab w:val="left" w:pos="1440"/>
          <w:tab w:val="left" w:pos="2160"/>
          <w:tab w:val="decimal" w:leader="dot" w:pos="8640"/>
        </w:tabs>
        <w:rPr>
          <w:u w:val="single"/>
        </w:rPr>
      </w:pPr>
      <w:r>
        <w:rPr>
          <w:u w:val="single"/>
        </w:rPr>
        <w:t xml:space="preserve">SCHEDULES: </w:t>
      </w:r>
    </w:p>
    <w:p w:rsidR="00B9190D" w:rsidRDefault="00B9190D" w:rsidP="005F1D7F">
      <w:pPr>
        <w:tabs>
          <w:tab w:val="left" w:pos="720"/>
          <w:tab w:val="left" w:pos="1440"/>
          <w:tab w:val="left" w:pos="2160"/>
          <w:tab w:val="decimal" w:leader="dot" w:pos="8640"/>
        </w:tabs>
        <w:rPr>
          <w:u w:val="single"/>
        </w:rPr>
      </w:pPr>
    </w:p>
    <w:p w:rsidR="00B9190D" w:rsidRDefault="00B9190D" w:rsidP="00AF3933">
      <w:pPr>
        <w:autoSpaceDE w:val="0"/>
        <w:autoSpaceDN w:val="0"/>
        <w:adjustRightInd w:val="0"/>
        <w:spacing w:after="120"/>
        <w:ind w:left="1440" w:hanging="1440"/>
      </w:pPr>
      <w:r w:rsidRPr="000D091D">
        <w:t>Exhibit WG-1</w:t>
      </w:r>
      <w:r>
        <w:t>:</w:t>
      </w:r>
      <w:r w:rsidRPr="000D091D">
        <w:tab/>
      </w:r>
      <w:r>
        <w:tab/>
      </w:r>
      <w:r w:rsidRPr="000D091D">
        <w:t>Cases Testified In</w:t>
      </w:r>
    </w:p>
    <w:p w:rsidR="00B9190D" w:rsidRPr="000D091D" w:rsidRDefault="00B9190D" w:rsidP="00AF3933">
      <w:pPr>
        <w:autoSpaceDE w:val="0"/>
        <w:autoSpaceDN w:val="0"/>
        <w:adjustRightInd w:val="0"/>
        <w:spacing w:after="120"/>
        <w:ind w:left="1440" w:hanging="1440"/>
      </w:pPr>
      <w:r>
        <w:t>Exhibit WG-2:</w:t>
      </w:r>
      <w:r>
        <w:tab/>
      </w:r>
      <w:r>
        <w:tab/>
        <w:t>Estimated Lost Distribution Revenues</w:t>
      </w:r>
    </w:p>
    <w:p w:rsidR="00B9190D" w:rsidRDefault="00B9190D" w:rsidP="00D0362D">
      <w:pPr>
        <w:autoSpaceDE w:val="0"/>
        <w:autoSpaceDN w:val="0"/>
        <w:adjustRightInd w:val="0"/>
        <w:spacing w:after="240"/>
        <w:ind w:left="720" w:hanging="720"/>
        <w:rPr>
          <w:u w:val="single"/>
        </w:rPr>
      </w:pPr>
    </w:p>
    <w:p w:rsidR="00B9190D" w:rsidRPr="00454A08" w:rsidRDefault="00B9190D" w:rsidP="00D0362D">
      <w:pPr>
        <w:autoSpaceDE w:val="0"/>
        <w:autoSpaceDN w:val="0"/>
        <w:adjustRightInd w:val="0"/>
        <w:spacing w:after="240"/>
        <w:ind w:left="720" w:hanging="720"/>
        <w:rPr>
          <w:u w:val="single"/>
        </w:rPr>
      </w:pPr>
      <w:r w:rsidRPr="00454A08">
        <w:rPr>
          <w:u w:val="single"/>
        </w:rPr>
        <w:t>ATTACHMENT:</w:t>
      </w:r>
    </w:p>
    <w:p w:rsidR="00B9190D" w:rsidRDefault="00B9190D" w:rsidP="005F1D7F">
      <w:pPr>
        <w:autoSpaceDE w:val="0"/>
        <w:autoSpaceDN w:val="0"/>
        <w:adjustRightInd w:val="0"/>
        <w:spacing w:after="120"/>
      </w:pPr>
      <w:r>
        <w:t>Attachment 1 Response to OCC Request Set 2- INT 23.</w:t>
      </w:r>
    </w:p>
    <w:p w:rsidR="00B9190D" w:rsidRDefault="00B9190D">
      <w:pPr>
        <w:autoSpaceDE w:val="0"/>
        <w:autoSpaceDN w:val="0"/>
        <w:adjustRightInd w:val="0"/>
      </w:pPr>
    </w:p>
    <w:p w:rsidR="00B9190D" w:rsidRPr="00454A08" w:rsidRDefault="00B9190D">
      <w:pPr>
        <w:autoSpaceDE w:val="0"/>
        <w:autoSpaceDN w:val="0"/>
        <w:adjustRightInd w:val="0"/>
        <w:sectPr w:rsidR="00B9190D" w:rsidRPr="00454A08" w:rsidSect="00114CD3">
          <w:headerReference w:type="default" r:id="rId14"/>
          <w:footerReference w:type="default" r:id="rId15"/>
          <w:headerReference w:type="first" r:id="rId16"/>
          <w:pgSz w:w="12240" w:h="15840" w:code="1"/>
          <w:pgMar w:top="1440" w:right="1440" w:bottom="1440" w:left="1440" w:header="720" w:footer="720" w:gutter="0"/>
          <w:pgNumType w:fmt="lowerRoman" w:start="1"/>
          <w:cols w:space="720"/>
          <w:titlePg/>
          <w:docGrid w:linePitch="360"/>
        </w:sectPr>
      </w:pPr>
    </w:p>
    <w:p w:rsidR="00B9190D" w:rsidRPr="00BC6E41" w:rsidRDefault="00B9190D" w:rsidP="00C60BC8">
      <w:pPr>
        <w:pStyle w:val="Heading1"/>
      </w:pPr>
      <w:bookmarkStart w:id="1" w:name="_Toc247688898"/>
      <w:bookmarkStart w:id="2" w:name="_Toc258266222"/>
      <w:bookmarkStart w:id="3" w:name="_Toc258267102"/>
      <w:bookmarkStart w:id="4" w:name="_Toc325370168"/>
      <w:bookmarkStart w:id="5" w:name="_Toc337216651"/>
      <w:r w:rsidRPr="00BC6E41">
        <w:lastRenderedPageBreak/>
        <w:t>INTRODUCTION</w:t>
      </w:r>
      <w:bookmarkEnd w:id="1"/>
      <w:bookmarkEnd w:id="2"/>
      <w:bookmarkEnd w:id="3"/>
      <w:bookmarkEnd w:id="4"/>
      <w:bookmarkEnd w:id="5"/>
    </w:p>
    <w:p w:rsidR="00B9190D" w:rsidRPr="00D0362D" w:rsidRDefault="00B9190D" w:rsidP="007405D7">
      <w:pPr>
        <w:spacing w:line="480" w:lineRule="auto"/>
      </w:pPr>
    </w:p>
    <w:p w:rsidR="00B9190D" w:rsidRPr="00454A08" w:rsidRDefault="00B9190D" w:rsidP="007405D7">
      <w:pPr>
        <w:autoSpaceDE w:val="0"/>
        <w:autoSpaceDN w:val="0"/>
        <w:adjustRightInd w:val="0"/>
        <w:spacing w:line="480" w:lineRule="auto"/>
        <w:ind w:left="720" w:hanging="720"/>
        <w:rPr>
          <w:b/>
          <w:bCs/>
          <w:i/>
          <w:iCs/>
        </w:rPr>
      </w:pPr>
      <w:r w:rsidRPr="00454A08">
        <w:rPr>
          <w:b/>
          <w:bCs/>
          <w:i/>
          <w:iCs/>
        </w:rPr>
        <w:t>Q1.</w:t>
      </w:r>
      <w:r w:rsidRPr="00454A08">
        <w:rPr>
          <w:b/>
          <w:bCs/>
          <w:i/>
          <w:iCs/>
        </w:rPr>
        <w:tab/>
        <w:t>PLEASE STATE YOUR NAME, ADDRESS AND POSITION.</w:t>
      </w:r>
    </w:p>
    <w:p w:rsidR="00B9190D" w:rsidRPr="00454A08" w:rsidRDefault="00B9190D" w:rsidP="007405D7">
      <w:pPr>
        <w:autoSpaceDE w:val="0"/>
        <w:autoSpaceDN w:val="0"/>
        <w:adjustRightInd w:val="0"/>
        <w:spacing w:line="480" w:lineRule="auto"/>
        <w:ind w:left="720" w:hanging="720"/>
      </w:pPr>
      <w:r w:rsidRPr="00454A08">
        <w:rPr>
          <w:b/>
          <w:bCs/>
          <w:i/>
          <w:iCs/>
        </w:rPr>
        <w:t>A1.</w:t>
      </w:r>
      <w:r w:rsidRPr="00454A08">
        <w:rPr>
          <w:b/>
          <w:bCs/>
          <w:i/>
          <w:iCs/>
        </w:rPr>
        <w:tab/>
      </w:r>
      <w:r w:rsidRPr="00454A08">
        <w:t xml:space="preserve">My name is Wilson Gonzalez.  My business address is 10 West Broad Street, Suite 1800, Columbus, Ohio, 43215-3485.  I am employed by the Office of the Ohio Consumers’ Counsel (“OCC”) as a </w:t>
      </w:r>
      <w:r>
        <w:t>Senior Energy Policy Advisor</w:t>
      </w:r>
      <w:r w:rsidRPr="00454A08">
        <w:t xml:space="preserve">. </w:t>
      </w:r>
    </w:p>
    <w:p w:rsidR="00B9190D" w:rsidRPr="00454A08" w:rsidRDefault="00B9190D" w:rsidP="007405D7">
      <w:pPr>
        <w:autoSpaceDE w:val="0"/>
        <w:autoSpaceDN w:val="0"/>
        <w:adjustRightInd w:val="0"/>
        <w:spacing w:line="480" w:lineRule="auto"/>
        <w:ind w:left="720" w:hanging="720"/>
      </w:pPr>
    </w:p>
    <w:p w:rsidR="00B9190D" w:rsidRPr="00454A08" w:rsidRDefault="00B9190D" w:rsidP="007405D7">
      <w:pPr>
        <w:autoSpaceDE w:val="0"/>
        <w:autoSpaceDN w:val="0"/>
        <w:adjustRightInd w:val="0"/>
        <w:spacing w:line="480" w:lineRule="auto"/>
        <w:ind w:left="720" w:hanging="720"/>
        <w:rPr>
          <w:b/>
          <w:bCs/>
        </w:rPr>
      </w:pPr>
      <w:r w:rsidRPr="00454A08">
        <w:rPr>
          <w:b/>
          <w:bCs/>
          <w:i/>
          <w:iCs/>
        </w:rPr>
        <w:t>Q2.</w:t>
      </w:r>
      <w:r w:rsidRPr="00454A08">
        <w:rPr>
          <w:b/>
          <w:bCs/>
          <w:i/>
          <w:iCs/>
        </w:rPr>
        <w:tab/>
        <w:t>PLEASE DESCRIBE YOUR EDUCATIONAL BACKGROUND AND PROFESSIONAL EXPERIENCE.</w:t>
      </w:r>
    </w:p>
    <w:p w:rsidR="00B9190D" w:rsidRDefault="00B9190D" w:rsidP="007405D7">
      <w:pPr>
        <w:autoSpaceDE w:val="0"/>
        <w:autoSpaceDN w:val="0"/>
        <w:adjustRightInd w:val="0"/>
        <w:spacing w:line="480" w:lineRule="auto"/>
        <w:ind w:left="720" w:hanging="720"/>
      </w:pPr>
      <w:r w:rsidRPr="00454A08">
        <w:rPr>
          <w:b/>
          <w:bCs/>
          <w:i/>
          <w:iCs/>
        </w:rPr>
        <w:t>A2.</w:t>
      </w:r>
      <w:r w:rsidRPr="00454A08">
        <w:rPr>
          <w:b/>
          <w:bCs/>
          <w:i/>
          <w:iCs/>
        </w:rPr>
        <w:tab/>
      </w:r>
      <w:r w:rsidRPr="00454A08">
        <w:t>I have a Bachelor of Arts degree in Economics from Yale University</w:t>
      </w:r>
      <w:r>
        <w:t>,</w:t>
      </w:r>
      <w:r w:rsidRPr="00454A08">
        <w:t xml:space="preserve"> and a Master of Arts degree in Economics from the University of Massachusetts at Amherst.  I also completed coursework and passed my comprehensive exams towards a Ph.D. in Economics at the University of Massachusetts at Amherst.  </w:t>
      </w:r>
    </w:p>
    <w:p w:rsidR="00B9190D" w:rsidRDefault="00B9190D" w:rsidP="007405D7">
      <w:pPr>
        <w:autoSpaceDE w:val="0"/>
        <w:autoSpaceDN w:val="0"/>
        <w:adjustRightInd w:val="0"/>
        <w:spacing w:line="480" w:lineRule="auto"/>
        <w:ind w:left="720" w:hanging="720"/>
      </w:pPr>
    </w:p>
    <w:p w:rsidR="00B9190D" w:rsidRPr="00454A08" w:rsidRDefault="00B9190D" w:rsidP="007405D7">
      <w:pPr>
        <w:autoSpaceDE w:val="0"/>
        <w:autoSpaceDN w:val="0"/>
        <w:adjustRightInd w:val="0"/>
        <w:spacing w:line="480" w:lineRule="auto"/>
        <w:ind w:left="720" w:hanging="720"/>
      </w:pPr>
      <w:r>
        <w:rPr>
          <w:b/>
          <w:bCs/>
          <w:i/>
          <w:iCs/>
        </w:rPr>
        <w:tab/>
      </w:r>
      <w:r w:rsidRPr="00454A08">
        <w:t xml:space="preserve">I have been employed in the energy industry since 1986, first with the Connecticut Energy Office (Senior Economist, 1986-1992), then </w:t>
      </w:r>
      <w:r>
        <w:t xml:space="preserve">with </w:t>
      </w:r>
      <w:r w:rsidRPr="00454A08">
        <w:t>Columbia Gas Distribution Companies (“Columbia Gas”) (Integrated Resource Planning Coordinator, 1992-1996)</w:t>
      </w:r>
      <w:r>
        <w:t>,</w:t>
      </w:r>
      <w:r w:rsidRPr="00454A08">
        <w:t xml:space="preserve"> and </w:t>
      </w:r>
      <w:r>
        <w:t xml:space="preserve">finally with </w:t>
      </w:r>
      <w:r w:rsidRPr="00454A08">
        <w:t xml:space="preserve">American Electric Power (“AEP”) (Marketing Profitability Coordinator and Market Research Consultant, 1996-2002).  I have been </w:t>
      </w:r>
      <w:r>
        <w:t>managing</w:t>
      </w:r>
      <w:r w:rsidRPr="00454A08">
        <w:t xml:space="preserve"> the Resource Planning activities within OCC since 2004, and have been involved in numerous electric industry cases before the Public Utilities Commission of Ohio (“PUCO” or “Commission”).</w:t>
      </w:r>
    </w:p>
    <w:p w:rsidR="00B9190D" w:rsidRPr="00454A08" w:rsidRDefault="00B9190D" w:rsidP="007405D7">
      <w:pPr>
        <w:pStyle w:val="BodyText"/>
        <w:autoSpaceDE w:val="0"/>
        <w:autoSpaceDN w:val="0"/>
        <w:adjustRightInd w:val="0"/>
        <w:spacing w:after="0" w:line="480" w:lineRule="auto"/>
        <w:ind w:left="720" w:hanging="720"/>
        <w:rPr>
          <w:b/>
          <w:bCs/>
          <w:sz w:val="24"/>
          <w:szCs w:val="24"/>
        </w:rPr>
      </w:pPr>
      <w:r w:rsidRPr="00454A08">
        <w:rPr>
          <w:b/>
          <w:bCs/>
          <w:i/>
          <w:iCs/>
          <w:sz w:val="24"/>
          <w:szCs w:val="24"/>
        </w:rPr>
        <w:br w:type="page"/>
      </w:r>
      <w:r w:rsidRPr="00454A08">
        <w:rPr>
          <w:b/>
          <w:bCs/>
          <w:i/>
          <w:iCs/>
          <w:sz w:val="24"/>
          <w:szCs w:val="24"/>
        </w:rPr>
        <w:lastRenderedPageBreak/>
        <w:t>Q3.</w:t>
      </w:r>
      <w:r w:rsidRPr="00454A08">
        <w:rPr>
          <w:i/>
          <w:iCs/>
          <w:sz w:val="24"/>
          <w:szCs w:val="24"/>
        </w:rPr>
        <w:tab/>
      </w:r>
      <w:r>
        <w:rPr>
          <w:b/>
          <w:bCs/>
          <w:i/>
          <w:iCs/>
          <w:sz w:val="24"/>
          <w:szCs w:val="24"/>
        </w:rPr>
        <w:t xml:space="preserve">WHAT HAS BEEN </w:t>
      </w:r>
      <w:r w:rsidRPr="00454A08">
        <w:rPr>
          <w:b/>
          <w:bCs/>
          <w:i/>
          <w:iCs/>
          <w:sz w:val="24"/>
          <w:szCs w:val="24"/>
        </w:rPr>
        <w:t xml:space="preserve">YOUR EXPERIENCE DIRECTLY RELATED TO </w:t>
      </w:r>
      <w:r>
        <w:rPr>
          <w:b/>
          <w:bCs/>
          <w:i/>
          <w:iCs/>
          <w:sz w:val="24"/>
          <w:szCs w:val="24"/>
        </w:rPr>
        <w:t>ENERGY EFFICIENCY AND PEAK DEMAND REDUCTION (“EE/PDR”) RELATED PORTFOLIO</w:t>
      </w:r>
      <w:r w:rsidR="00075199">
        <w:rPr>
          <w:b/>
          <w:bCs/>
          <w:i/>
          <w:iCs/>
          <w:sz w:val="24"/>
          <w:szCs w:val="24"/>
        </w:rPr>
        <w:t xml:space="preserve"> </w:t>
      </w:r>
      <w:r w:rsidRPr="00454A08">
        <w:rPr>
          <w:b/>
          <w:bCs/>
          <w:i/>
          <w:iCs/>
          <w:sz w:val="24"/>
          <w:szCs w:val="24"/>
        </w:rPr>
        <w:t>PROCEEDINGS IN OHIO</w:t>
      </w:r>
      <w:r>
        <w:rPr>
          <w:b/>
          <w:bCs/>
          <w:i/>
          <w:iCs/>
          <w:sz w:val="24"/>
          <w:szCs w:val="24"/>
        </w:rPr>
        <w:t>?</w:t>
      </w:r>
    </w:p>
    <w:p w:rsidR="00B9190D" w:rsidRDefault="00B9190D" w:rsidP="007405D7">
      <w:pPr>
        <w:pStyle w:val="BodyText"/>
        <w:spacing w:after="0" w:line="480" w:lineRule="auto"/>
        <w:ind w:left="720" w:hanging="720"/>
        <w:rPr>
          <w:sz w:val="24"/>
          <w:szCs w:val="24"/>
        </w:rPr>
      </w:pPr>
      <w:r w:rsidRPr="00454A08">
        <w:rPr>
          <w:b/>
          <w:bCs/>
          <w:i/>
          <w:iCs/>
          <w:sz w:val="24"/>
          <w:szCs w:val="24"/>
        </w:rPr>
        <w:t>A3.</w:t>
      </w:r>
      <w:r w:rsidRPr="00454A08">
        <w:rPr>
          <w:i/>
          <w:iCs/>
          <w:sz w:val="24"/>
          <w:szCs w:val="24"/>
        </w:rPr>
        <w:tab/>
      </w:r>
      <w:r w:rsidRPr="00454A08">
        <w:rPr>
          <w:sz w:val="24"/>
          <w:szCs w:val="24"/>
        </w:rPr>
        <w:t xml:space="preserve">I have </w:t>
      </w:r>
      <w:r>
        <w:rPr>
          <w:sz w:val="24"/>
          <w:szCs w:val="24"/>
        </w:rPr>
        <w:t xml:space="preserve">been directly involved in negotiations leading to settlements approved by the PUCO in AEP’s two EE/PDR Portfolio Cases (09-1089-EL-POR, et al. and 11-5568-EL-POR et al.).  In addition, </w:t>
      </w:r>
      <w:r w:rsidRPr="00454A08">
        <w:rPr>
          <w:sz w:val="24"/>
          <w:szCs w:val="24"/>
        </w:rPr>
        <w:t xml:space="preserve">I filed testimony </w:t>
      </w:r>
      <w:r>
        <w:rPr>
          <w:sz w:val="24"/>
          <w:szCs w:val="24"/>
        </w:rPr>
        <w:t>in the Duke EE/PDR Portfolio Case, 09-1999-EL-POR.  I was also on the OCC case team for the FirstEnergy Companies’ first EE/PDR Portfolio, Case No. 09-1947-EL-POR.</w:t>
      </w:r>
    </w:p>
    <w:p w:rsidR="00B9190D" w:rsidRDefault="00B9190D" w:rsidP="007405D7">
      <w:pPr>
        <w:pStyle w:val="BodyText"/>
        <w:spacing w:after="0" w:line="480" w:lineRule="auto"/>
        <w:ind w:left="720" w:hanging="720"/>
        <w:rPr>
          <w:sz w:val="24"/>
          <w:szCs w:val="24"/>
        </w:rPr>
      </w:pPr>
    </w:p>
    <w:p w:rsidR="00B9190D" w:rsidRDefault="00B9190D" w:rsidP="007405D7">
      <w:pPr>
        <w:pStyle w:val="BodyText"/>
        <w:spacing w:after="0" w:line="480" w:lineRule="auto"/>
        <w:ind w:left="720" w:hanging="720"/>
        <w:rPr>
          <w:b/>
          <w:bCs/>
          <w:i/>
          <w:iCs/>
          <w:sz w:val="24"/>
          <w:szCs w:val="24"/>
        </w:rPr>
      </w:pPr>
      <w:r w:rsidRPr="00BC6E41">
        <w:rPr>
          <w:b/>
          <w:bCs/>
          <w:i/>
          <w:iCs/>
          <w:sz w:val="24"/>
          <w:szCs w:val="24"/>
        </w:rPr>
        <w:t>Q</w:t>
      </w:r>
      <w:r>
        <w:rPr>
          <w:b/>
          <w:bCs/>
          <w:i/>
          <w:iCs/>
          <w:sz w:val="24"/>
          <w:szCs w:val="24"/>
        </w:rPr>
        <w:t>4</w:t>
      </w:r>
      <w:r>
        <w:rPr>
          <w:sz w:val="24"/>
          <w:szCs w:val="24"/>
        </w:rPr>
        <w:t>.</w:t>
      </w:r>
      <w:r>
        <w:rPr>
          <w:sz w:val="24"/>
          <w:szCs w:val="24"/>
        </w:rPr>
        <w:tab/>
      </w:r>
      <w:r>
        <w:rPr>
          <w:b/>
          <w:bCs/>
          <w:i/>
          <w:iCs/>
          <w:sz w:val="24"/>
          <w:szCs w:val="24"/>
        </w:rPr>
        <w:t xml:space="preserve">WHAT HAS BEEN </w:t>
      </w:r>
      <w:r w:rsidRPr="00454A08">
        <w:rPr>
          <w:b/>
          <w:bCs/>
          <w:i/>
          <w:iCs/>
          <w:sz w:val="24"/>
          <w:szCs w:val="24"/>
        </w:rPr>
        <w:t xml:space="preserve">YOUR </w:t>
      </w:r>
      <w:r>
        <w:rPr>
          <w:b/>
          <w:bCs/>
          <w:i/>
          <w:iCs/>
          <w:sz w:val="24"/>
          <w:szCs w:val="24"/>
        </w:rPr>
        <w:t>EXPERIENCE IN OTHER</w:t>
      </w:r>
      <w:r w:rsidR="00075199">
        <w:rPr>
          <w:b/>
          <w:bCs/>
          <w:i/>
          <w:iCs/>
          <w:sz w:val="24"/>
          <w:szCs w:val="24"/>
        </w:rPr>
        <w:t xml:space="preserve"> </w:t>
      </w:r>
      <w:r>
        <w:rPr>
          <w:b/>
          <w:bCs/>
          <w:i/>
          <w:iCs/>
          <w:sz w:val="24"/>
          <w:szCs w:val="24"/>
        </w:rPr>
        <w:t>REGULATORY PROCEEDINGS?</w:t>
      </w:r>
    </w:p>
    <w:p w:rsidR="00B9190D" w:rsidRDefault="00B9190D" w:rsidP="007405D7">
      <w:pPr>
        <w:tabs>
          <w:tab w:val="left" w:pos="-720"/>
        </w:tabs>
        <w:spacing w:line="480" w:lineRule="auto"/>
        <w:ind w:left="720" w:right="-288" w:hanging="720"/>
      </w:pPr>
      <w:r w:rsidRPr="00BC6E41">
        <w:rPr>
          <w:b/>
          <w:bCs/>
          <w:i/>
          <w:iCs/>
        </w:rPr>
        <w:t>A4.</w:t>
      </w:r>
      <w:r>
        <w:tab/>
      </w:r>
      <w:r w:rsidRPr="00454A08">
        <w:t xml:space="preserve">I have been </w:t>
      </w:r>
      <w:r>
        <w:t xml:space="preserve">immersed </w:t>
      </w:r>
      <w:r w:rsidRPr="00454A08">
        <w:t>with many aspects of electric utility regulation since 1986</w:t>
      </w:r>
      <w:r w:rsidR="00DD0AC6">
        <w:t>.  To this end I have been involved in</w:t>
      </w:r>
      <w:r w:rsidRPr="00454A08">
        <w:t xml:space="preserve"> Rate Design and integrated resource planning</w:t>
      </w:r>
      <w:r>
        <w:t>, including transmission and non-transmission alternative planning</w:t>
      </w:r>
      <w:r w:rsidRPr="00454A08">
        <w:t>.  While at the Connecticut Energy Office</w:t>
      </w:r>
      <w:r>
        <w:t xml:space="preserve">, </w:t>
      </w:r>
      <w:r w:rsidRPr="00454A08">
        <w:t xml:space="preserve">I </w:t>
      </w:r>
      <w:r>
        <w:t xml:space="preserve">was a participant </w:t>
      </w:r>
      <w:r w:rsidRPr="00454A08">
        <w:t xml:space="preserve">in one of the first </w:t>
      </w:r>
      <w:r>
        <w:t>demand-side management (“</w:t>
      </w:r>
      <w:r w:rsidRPr="00454A08">
        <w:t>DSM</w:t>
      </w:r>
      <w:r>
        <w:t>”)</w:t>
      </w:r>
      <w:r w:rsidRPr="00454A08">
        <w:t xml:space="preserve"> collaborative processes in the country (Connecticut Department of the Public Utilities Commission </w:t>
      </w:r>
      <w:r>
        <w:t xml:space="preserve">(“DPUC”) </w:t>
      </w:r>
      <w:r w:rsidRPr="00454A08">
        <w:t>Docket No. 87-07-01).  I analyzed the performance and cost-effectiveness of many efficiency programs for Connecticut’s electric and gas utilities that led to demonstration projects, policy recommendations, DSM programs (including rate design recommendations)</w:t>
      </w:r>
      <w:r w:rsidR="00DD0AC6">
        <w:t>,</w:t>
      </w:r>
      <w:r w:rsidRPr="00454A08">
        <w:t xml:space="preserve"> and energy efficiency standards.  I also performed all the analytical modeling for United Illuminating’s first integrated resource plan filed before the DPUC in 1990.  </w:t>
      </w:r>
    </w:p>
    <w:p w:rsidR="00FB35C1" w:rsidRDefault="00FB35C1" w:rsidP="007405D7">
      <w:pPr>
        <w:tabs>
          <w:tab w:val="left" w:pos="-720"/>
        </w:tabs>
        <w:spacing w:line="480" w:lineRule="auto"/>
        <w:ind w:left="720" w:right="-288" w:hanging="720"/>
      </w:pPr>
    </w:p>
    <w:p w:rsidR="00B9190D" w:rsidRDefault="00B9190D" w:rsidP="007405D7">
      <w:pPr>
        <w:tabs>
          <w:tab w:val="left" w:pos="-720"/>
        </w:tabs>
        <w:spacing w:line="480" w:lineRule="auto"/>
        <w:ind w:left="720" w:right="-288" w:hanging="720"/>
      </w:pPr>
      <w:r>
        <w:rPr>
          <w:b/>
          <w:bCs/>
          <w:i/>
          <w:iCs/>
        </w:rPr>
        <w:tab/>
      </w:r>
      <w:r w:rsidRPr="00454A08">
        <w:t xml:space="preserve">At Columbia Gas, I was responsible for coordinating </w:t>
      </w:r>
      <w:r w:rsidR="00DD0AC6">
        <w:t>the Company’s</w:t>
      </w:r>
      <w:r w:rsidRPr="00454A08">
        <w:t xml:space="preserve"> Integrated Resource Plan within the corporate planning department and DSM program development activities in the marketing department.  I </w:t>
      </w:r>
      <w:r>
        <w:t xml:space="preserve">also </w:t>
      </w:r>
      <w:r w:rsidRPr="00454A08">
        <w:t>designed and managed residential DSM programs in Maryland and Virginia</w:t>
      </w:r>
      <w:r>
        <w:t xml:space="preserve"> while at Columbia</w:t>
      </w:r>
      <w:r w:rsidRPr="00454A08">
        <w:t>.</w:t>
      </w:r>
    </w:p>
    <w:p w:rsidR="00B9190D" w:rsidRDefault="00B9190D" w:rsidP="007405D7">
      <w:pPr>
        <w:tabs>
          <w:tab w:val="left" w:pos="-720"/>
        </w:tabs>
        <w:spacing w:line="480" w:lineRule="auto"/>
        <w:ind w:left="720" w:right="-288" w:hanging="720"/>
      </w:pPr>
    </w:p>
    <w:p w:rsidR="00B9190D" w:rsidRDefault="00B9190D" w:rsidP="007405D7">
      <w:pPr>
        <w:tabs>
          <w:tab w:val="left" w:pos="-720"/>
        </w:tabs>
        <w:spacing w:line="480" w:lineRule="auto"/>
        <w:ind w:left="720" w:right="-288" w:hanging="720"/>
      </w:pPr>
      <w:r>
        <w:tab/>
        <w:t>While at</w:t>
      </w:r>
      <w:r w:rsidRPr="00454A08">
        <w:t xml:space="preserve"> AEP, I conducted numerous cost</w:t>
      </w:r>
      <w:r>
        <w:t>-</w:t>
      </w:r>
      <w:r w:rsidRPr="00454A08">
        <w:t xml:space="preserve">benefit analyses of programs being sponsored by AEP’s corporate marketing department, including </w:t>
      </w:r>
      <w:r>
        <w:t>its</w:t>
      </w:r>
      <w:r w:rsidRPr="00454A08">
        <w:t xml:space="preserve"> residential load control water heater program.</w:t>
      </w:r>
    </w:p>
    <w:p w:rsidR="00B9190D" w:rsidRPr="00454A08" w:rsidRDefault="00B9190D" w:rsidP="007405D7">
      <w:pPr>
        <w:tabs>
          <w:tab w:val="left" w:pos="-720"/>
        </w:tabs>
        <w:spacing w:line="480" w:lineRule="auto"/>
        <w:ind w:left="720" w:right="-288"/>
      </w:pPr>
    </w:p>
    <w:p w:rsidR="00B9190D" w:rsidRPr="00454A08" w:rsidRDefault="00B9190D" w:rsidP="007405D7">
      <w:pPr>
        <w:tabs>
          <w:tab w:val="left" w:pos="-720"/>
        </w:tabs>
        <w:spacing w:line="480" w:lineRule="auto"/>
        <w:ind w:left="720" w:right="-288"/>
        <w:rPr>
          <w:spacing w:val="-1"/>
        </w:rPr>
      </w:pPr>
      <w:r w:rsidRPr="00454A08">
        <w:t xml:space="preserve">For the past </w:t>
      </w:r>
      <w:r>
        <w:t>8</w:t>
      </w:r>
      <w:r w:rsidRPr="00454A08">
        <w:t xml:space="preserve"> years at OCC, I have (among other matters)</w:t>
      </w:r>
      <w:r w:rsidRPr="00454A08">
        <w:rPr>
          <w:spacing w:val="-1"/>
        </w:rPr>
        <w:t>:</w:t>
      </w:r>
    </w:p>
    <w:p w:rsidR="00B9190D" w:rsidRPr="00454A08"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t xml:space="preserve">Been </w:t>
      </w:r>
      <w:r>
        <w:rPr>
          <w:spacing w:val="-1"/>
        </w:rPr>
        <w:t xml:space="preserve">a principal participant </w:t>
      </w:r>
      <w:r w:rsidRPr="00454A08">
        <w:rPr>
          <w:spacing w:val="-1"/>
        </w:rPr>
        <w:t>in DSM negotiations resulting in million</w:t>
      </w:r>
      <w:r>
        <w:rPr>
          <w:spacing w:val="-1"/>
        </w:rPr>
        <w:t>s of dollars</w:t>
      </w:r>
      <w:r w:rsidRPr="00454A08">
        <w:rPr>
          <w:spacing w:val="-1"/>
        </w:rPr>
        <w:t xml:space="preserve"> in energy efficiency programs with Ohio’s investor</w:t>
      </w:r>
      <w:r>
        <w:rPr>
          <w:spacing w:val="-1"/>
        </w:rPr>
        <w:t>-</w:t>
      </w:r>
      <w:r w:rsidRPr="00454A08">
        <w:rPr>
          <w:spacing w:val="-1"/>
        </w:rPr>
        <w:t>owned utilities;</w:t>
      </w:r>
    </w:p>
    <w:p w:rsidR="00B9190D" w:rsidRPr="00454A08"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t>Prepared DSM</w:t>
      </w:r>
      <w:r>
        <w:rPr>
          <w:spacing w:val="-1"/>
        </w:rPr>
        <w:t xml:space="preserve">-related </w:t>
      </w:r>
      <w:r w:rsidRPr="00454A08">
        <w:rPr>
          <w:spacing w:val="-1"/>
        </w:rPr>
        <w:t xml:space="preserve">testimony in </w:t>
      </w:r>
      <w:r w:rsidR="00DD0AC6">
        <w:rPr>
          <w:spacing w:val="-1"/>
        </w:rPr>
        <w:t>a number of</w:t>
      </w:r>
      <w:r>
        <w:rPr>
          <w:spacing w:val="-1"/>
        </w:rPr>
        <w:t xml:space="preserve"> </w:t>
      </w:r>
      <w:r w:rsidRPr="00454A08">
        <w:rPr>
          <w:spacing w:val="-1"/>
        </w:rPr>
        <w:t>Commission cases;</w:t>
      </w:r>
    </w:p>
    <w:p w:rsidR="00B9190D" w:rsidRPr="00454A08"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t xml:space="preserve">Testified before the Ohio House Alternative Energy Committee </w:t>
      </w:r>
      <w:r>
        <w:rPr>
          <w:spacing w:val="-1"/>
        </w:rPr>
        <w:t xml:space="preserve">and Senate Energy and Public Utilities Committee </w:t>
      </w:r>
      <w:r w:rsidRPr="00454A08">
        <w:rPr>
          <w:spacing w:val="-1"/>
        </w:rPr>
        <w:t>in support of energy efficiency</w:t>
      </w:r>
      <w:r>
        <w:rPr>
          <w:spacing w:val="-1"/>
        </w:rPr>
        <w:t>,</w:t>
      </w:r>
      <w:r w:rsidRPr="00454A08">
        <w:rPr>
          <w:spacing w:val="-1"/>
        </w:rPr>
        <w:t xml:space="preserve"> demand response</w:t>
      </w:r>
      <w:r w:rsidR="00DD0AC6">
        <w:rPr>
          <w:spacing w:val="-1"/>
        </w:rPr>
        <w:t>,</w:t>
      </w:r>
      <w:r>
        <w:rPr>
          <w:spacing w:val="-1"/>
        </w:rPr>
        <w:t xml:space="preserve"> and resource planning</w:t>
      </w:r>
      <w:r w:rsidRPr="00454A08">
        <w:rPr>
          <w:spacing w:val="-1"/>
        </w:rPr>
        <w:t>;</w:t>
      </w:r>
    </w:p>
    <w:p w:rsidR="00B9190D" w:rsidRPr="00454A08"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t xml:space="preserve">Assisted in the preparation of energy efficiency and renewable energy testimony and amendments for S.B. 221, H.B. 357, and </w:t>
      </w:r>
      <w:r>
        <w:rPr>
          <w:spacing w:val="-1"/>
        </w:rPr>
        <w:t>S</w:t>
      </w:r>
      <w:r w:rsidRPr="00454A08">
        <w:rPr>
          <w:spacing w:val="-1"/>
        </w:rPr>
        <w:t xml:space="preserve">.B. </w:t>
      </w:r>
      <w:r>
        <w:rPr>
          <w:spacing w:val="-1"/>
        </w:rPr>
        <w:t>315</w:t>
      </w:r>
      <w:r w:rsidRPr="00454A08">
        <w:rPr>
          <w:spacing w:val="-1"/>
        </w:rPr>
        <w:t>;</w:t>
      </w:r>
    </w:p>
    <w:p w:rsidR="00B9190D"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t>Testified before the PUCO on rate design issues</w:t>
      </w:r>
      <w:r>
        <w:rPr>
          <w:spacing w:val="-1"/>
        </w:rPr>
        <w:t>; and</w:t>
      </w:r>
    </w:p>
    <w:p w:rsidR="00B9190D" w:rsidRDefault="00B9190D" w:rsidP="00314058">
      <w:pPr>
        <w:tabs>
          <w:tab w:val="left" w:pos="-720"/>
        </w:tabs>
        <w:spacing w:line="480" w:lineRule="auto"/>
        <w:ind w:left="2160" w:right="720" w:hanging="720"/>
        <w:rPr>
          <w:spacing w:val="-1"/>
        </w:rPr>
      </w:pPr>
      <w:r w:rsidRPr="00454A08">
        <w:rPr>
          <w:spacing w:val="-1"/>
        </w:rPr>
        <w:t>•</w:t>
      </w:r>
      <w:r w:rsidRPr="00454A08">
        <w:rPr>
          <w:spacing w:val="-1"/>
        </w:rPr>
        <w:tab/>
      </w:r>
      <w:r>
        <w:rPr>
          <w:spacing w:val="-1"/>
        </w:rPr>
        <w:t>Worked extensively on a range of topics regarding FirstEnergy</w:t>
      </w:r>
      <w:r w:rsidR="00DD0AC6">
        <w:rPr>
          <w:spacing w:val="-1"/>
        </w:rPr>
        <w:t>’s</w:t>
      </w:r>
      <w:r>
        <w:rPr>
          <w:spacing w:val="-1"/>
        </w:rPr>
        <w:t xml:space="preserve"> SSO proposals.</w:t>
      </w:r>
    </w:p>
    <w:p w:rsidR="00DD0AC6" w:rsidRDefault="00DD0AC6" w:rsidP="00314058">
      <w:pPr>
        <w:tabs>
          <w:tab w:val="left" w:pos="-720"/>
        </w:tabs>
        <w:spacing w:line="480" w:lineRule="auto"/>
        <w:ind w:left="2160" w:right="720" w:hanging="720"/>
        <w:rPr>
          <w:spacing w:val="-1"/>
        </w:rPr>
      </w:pPr>
    </w:p>
    <w:p w:rsidR="00B9190D" w:rsidRPr="00454A08" w:rsidRDefault="00B9190D" w:rsidP="007405D7">
      <w:pPr>
        <w:autoSpaceDE w:val="0"/>
        <w:autoSpaceDN w:val="0"/>
        <w:adjustRightInd w:val="0"/>
        <w:spacing w:line="480" w:lineRule="auto"/>
        <w:ind w:left="720" w:hanging="720"/>
        <w:rPr>
          <w:b/>
          <w:bCs/>
          <w:i/>
          <w:iCs/>
        </w:rPr>
      </w:pPr>
      <w:r w:rsidRPr="00454A08">
        <w:rPr>
          <w:b/>
          <w:bCs/>
          <w:i/>
          <w:iCs/>
        </w:rPr>
        <w:t>Q</w:t>
      </w:r>
      <w:r>
        <w:rPr>
          <w:b/>
          <w:bCs/>
          <w:i/>
          <w:iCs/>
        </w:rPr>
        <w:t>5</w:t>
      </w:r>
      <w:r w:rsidRPr="00454A08">
        <w:rPr>
          <w:b/>
          <w:bCs/>
          <w:i/>
          <w:iCs/>
        </w:rPr>
        <w:t>.</w:t>
      </w:r>
      <w:r w:rsidRPr="00454A08">
        <w:rPr>
          <w:b/>
          <w:bCs/>
          <w:i/>
          <w:iCs/>
        </w:rPr>
        <w:tab/>
        <w:t>HAVE YOU PREVIOUSLY SUBMITTED TESTIMONY BEFORE THE PUBLIC UTILITIES COMMISSION OF OHIO?</w:t>
      </w:r>
    </w:p>
    <w:p w:rsidR="00B9190D" w:rsidRDefault="00B9190D" w:rsidP="007405D7">
      <w:pPr>
        <w:autoSpaceDE w:val="0"/>
        <w:autoSpaceDN w:val="0"/>
        <w:adjustRightInd w:val="0"/>
        <w:spacing w:line="480" w:lineRule="auto"/>
        <w:ind w:left="720" w:hanging="720"/>
      </w:pPr>
      <w:r w:rsidRPr="00454A08">
        <w:rPr>
          <w:b/>
          <w:bCs/>
          <w:i/>
          <w:iCs/>
        </w:rPr>
        <w:t>A</w:t>
      </w:r>
      <w:r>
        <w:rPr>
          <w:b/>
          <w:bCs/>
          <w:i/>
          <w:iCs/>
        </w:rPr>
        <w:t>5</w:t>
      </w:r>
      <w:r w:rsidRPr="00454A08">
        <w:rPr>
          <w:b/>
          <w:bCs/>
          <w:i/>
          <w:iCs/>
        </w:rPr>
        <w:t>.</w:t>
      </w:r>
      <w:r w:rsidRPr="00454A08">
        <w:tab/>
        <w:t xml:space="preserve">Yes.  </w:t>
      </w:r>
      <w:r>
        <w:t>This information is attached as Exhibit WG-1.</w:t>
      </w:r>
    </w:p>
    <w:p w:rsidR="00B9190D" w:rsidRPr="00454A08" w:rsidRDefault="00B9190D" w:rsidP="007405D7">
      <w:pPr>
        <w:autoSpaceDE w:val="0"/>
        <w:autoSpaceDN w:val="0"/>
        <w:adjustRightInd w:val="0"/>
        <w:spacing w:line="480" w:lineRule="auto"/>
        <w:ind w:left="720" w:hanging="720"/>
      </w:pPr>
    </w:p>
    <w:p w:rsidR="00B9190D" w:rsidRPr="00454A08" w:rsidRDefault="00B9190D" w:rsidP="007405D7">
      <w:pPr>
        <w:autoSpaceDE w:val="0"/>
        <w:autoSpaceDN w:val="0"/>
        <w:adjustRightInd w:val="0"/>
        <w:spacing w:line="480" w:lineRule="auto"/>
        <w:ind w:left="720" w:hanging="720"/>
        <w:rPr>
          <w:b/>
          <w:bCs/>
          <w:i/>
          <w:iCs/>
        </w:rPr>
      </w:pPr>
      <w:r w:rsidRPr="00454A08">
        <w:rPr>
          <w:b/>
          <w:bCs/>
          <w:i/>
          <w:iCs/>
        </w:rPr>
        <w:t>Q</w:t>
      </w:r>
      <w:r>
        <w:rPr>
          <w:b/>
          <w:bCs/>
          <w:i/>
          <w:iCs/>
        </w:rPr>
        <w:t>6</w:t>
      </w:r>
      <w:r w:rsidRPr="00454A08">
        <w:rPr>
          <w:b/>
          <w:bCs/>
          <w:i/>
          <w:iCs/>
        </w:rPr>
        <w:t>.</w:t>
      </w:r>
      <w:r w:rsidRPr="00454A08">
        <w:rPr>
          <w:b/>
          <w:bCs/>
          <w:i/>
          <w:iCs/>
        </w:rPr>
        <w:tab/>
        <w:t>WHAT DOCUMENTS HAVE YOU REVIEWED IN THE PREPARATION OF YOUR TESTIMONY?</w:t>
      </w:r>
    </w:p>
    <w:p w:rsidR="00B9190D" w:rsidRPr="00454A08" w:rsidRDefault="00B9190D" w:rsidP="007405D7">
      <w:pPr>
        <w:autoSpaceDE w:val="0"/>
        <w:autoSpaceDN w:val="0"/>
        <w:adjustRightInd w:val="0"/>
        <w:spacing w:line="480" w:lineRule="auto"/>
        <w:ind w:left="720" w:hanging="720"/>
      </w:pPr>
      <w:r w:rsidRPr="00454A08">
        <w:rPr>
          <w:b/>
          <w:bCs/>
          <w:i/>
          <w:iCs/>
        </w:rPr>
        <w:t>A</w:t>
      </w:r>
      <w:r>
        <w:rPr>
          <w:b/>
          <w:bCs/>
          <w:i/>
          <w:iCs/>
        </w:rPr>
        <w:t>6</w:t>
      </w:r>
      <w:r w:rsidRPr="00454A08">
        <w:rPr>
          <w:b/>
          <w:bCs/>
        </w:rPr>
        <w:t>.</w:t>
      </w:r>
      <w:r w:rsidRPr="00454A08">
        <w:rPr>
          <w:b/>
          <w:bCs/>
        </w:rPr>
        <w:tab/>
      </w:r>
      <w:r w:rsidRPr="00454A08">
        <w:t>I have reviewed the</w:t>
      </w:r>
      <w:r>
        <w:t xml:space="preserve"> Companies’ EE/PDR </w:t>
      </w:r>
      <w:r w:rsidRPr="00454A08">
        <w:t xml:space="preserve">Application </w:t>
      </w:r>
      <w:r>
        <w:t xml:space="preserve">filed in this docket on </w:t>
      </w:r>
      <w:r w:rsidRPr="00454A08">
        <w:t>July</w:t>
      </w:r>
      <w:r>
        <w:t xml:space="preserve"> 31, 2012.  In addition, I reviewed Text Attachments A, B, C to the Application, </w:t>
      </w:r>
      <w:r w:rsidRPr="00454A08">
        <w:t xml:space="preserve">and the Direct Testimony of </w:t>
      </w:r>
      <w:r>
        <w:t xml:space="preserve">the </w:t>
      </w:r>
      <w:r w:rsidRPr="00454A08">
        <w:t>Compan</w:t>
      </w:r>
      <w:r>
        <w:t>ies’</w:t>
      </w:r>
      <w:r w:rsidRPr="00454A08">
        <w:t xml:space="preserve"> witness</w:t>
      </w:r>
      <w:r>
        <w:t>es.</w:t>
      </w:r>
      <w:r w:rsidRPr="00454A08">
        <w:t xml:space="preserve"> I have </w:t>
      </w:r>
      <w:r>
        <w:t xml:space="preserve">also </w:t>
      </w:r>
      <w:r w:rsidRPr="00454A08">
        <w:t xml:space="preserve">reviewed </w:t>
      </w:r>
      <w:r>
        <w:t xml:space="preserve">the Companies’ responses to certain discovery </w:t>
      </w:r>
      <w:r w:rsidR="00DD0AC6">
        <w:t xml:space="preserve">requests </w:t>
      </w:r>
      <w:r>
        <w:t>in this case. Finally, I have reviewed the Objections filed in this case on September 17, 2012.</w:t>
      </w:r>
    </w:p>
    <w:p w:rsidR="00B9190D" w:rsidRPr="00454A08" w:rsidRDefault="00B9190D" w:rsidP="007405D7">
      <w:pPr>
        <w:autoSpaceDE w:val="0"/>
        <w:autoSpaceDN w:val="0"/>
        <w:adjustRightInd w:val="0"/>
        <w:spacing w:line="480" w:lineRule="auto"/>
        <w:ind w:left="720" w:hanging="720"/>
      </w:pPr>
    </w:p>
    <w:p w:rsidR="00B9190D" w:rsidRDefault="00B9190D" w:rsidP="00C60BC8">
      <w:pPr>
        <w:pStyle w:val="Heading1"/>
      </w:pPr>
      <w:bookmarkStart w:id="6" w:name="_Toc247688899"/>
      <w:bookmarkStart w:id="7" w:name="_Toc258266223"/>
      <w:bookmarkStart w:id="8" w:name="_Toc258267103"/>
      <w:bookmarkStart w:id="9" w:name="_Toc325370169"/>
      <w:bookmarkStart w:id="10" w:name="_Toc337216652"/>
      <w:r w:rsidRPr="00454A08">
        <w:t xml:space="preserve">PURPOSE OF </w:t>
      </w:r>
      <w:bookmarkEnd w:id="6"/>
      <w:bookmarkEnd w:id="7"/>
      <w:bookmarkEnd w:id="8"/>
      <w:r w:rsidRPr="00454A08">
        <w:t>TESTIMONY</w:t>
      </w:r>
      <w:r>
        <w:t xml:space="preserve"> AND RECOMMENDATIONS</w:t>
      </w:r>
      <w:bookmarkEnd w:id="9"/>
      <w:bookmarkEnd w:id="10"/>
    </w:p>
    <w:p w:rsidR="00B9190D" w:rsidRPr="00A5664E" w:rsidRDefault="00B9190D" w:rsidP="007405D7">
      <w:pPr>
        <w:spacing w:line="480" w:lineRule="auto"/>
        <w:ind w:left="1080"/>
      </w:pPr>
    </w:p>
    <w:p w:rsidR="00B9190D" w:rsidRDefault="00B9190D" w:rsidP="007405D7">
      <w:pPr>
        <w:autoSpaceDE w:val="0"/>
        <w:autoSpaceDN w:val="0"/>
        <w:adjustRightInd w:val="0"/>
        <w:spacing w:line="480" w:lineRule="auto"/>
        <w:ind w:left="720" w:hanging="720"/>
        <w:rPr>
          <w:b/>
          <w:bCs/>
          <w:i/>
          <w:iCs/>
        </w:rPr>
      </w:pPr>
      <w:r w:rsidRPr="00454A08">
        <w:rPr>
          <w:b/>
          <w:bCs/>
          <w:i/>
          <w:iCs/>
        </w:rPr>
        <w:t>Q</w:t>
      </w:r>
      <w:r>
        <w:rPr>
          <w:b/>
          <w:bCs/>
          <w:i/>
          <w:iCs/>
        </w:rPr>
        <w:t>7</w:t>
      </w:r>
      <w:r w:rsidRPr="00454A08">
        <w:rPr>
          <w:b/>
          <w:bCs/>
          <w:i/>
          <w:iCs/>
        </w:rPr>
        <w:t>.</w:t>
      </w:r>
      <w:r w:rsidRPr="00454A08">
        <w:rPr>
          <w:b/>
          <w:bCs/>
          <w:i/>
          <w:iCs/>
        </w:rPr>
        <w:tab/>
        <w:t>WHAT IS THE PURPOSE OF YOUR TESTIMONY?</w:t>
      </w:r>
    </w:p>
    <w:p w:rsidR="00B9190D" w:rsidRDefault="00B9190D" w:rsidP="007405D7">
      <w:pPr>
        <w:autoSpaceDE w:val="0"/>
        <w:autoSpaceDN w:val="0"/>
        <w:adjustRightInd w:val="0"/>
        <w:spacing w:line="480" w:lineRule="auto"/>
        <w:ind w:left="720" w:hanging="720"/>
      </w:pPr>
      <w:r>
        <w:rPr>
          <w:b/>
          <w:bCs/>
          <w:i/>
          <w:iCs/>
        </w:rPr>
        <w:t>A7.</w:t>
      </w:r>
      <w:r>
        <w:rPr>
          <w:b/>
          <w:bCs/>
          <w:i/>
          <w:iCs/>
        </w:rPr>
        <w:tab/>
      </w:r>
      <w:r>
        <w:t xml:space="preserve">The purpose of my testimony is 1) to review the Companies’ proposed incentive mechanism and its impact on consumers, and 2) to propose a conceptual framework for the Companies to bid their eligible EE/PDR into the next three PJM Reliability Pricing Model (“RPM”) Base Residual Auctions (“BRA”) for the benefit of all of </w:t>
      </w:r>
      <w:r w:rsidR="00DD0AC6">
        <w:t>the Companies’</w:t>
      </w:r>
      <w:r>
        <w:t xml:space="preserve"> customers.  </w:t>
      </w:r>
    </w:p>
    <w:p w:rsidR="00B9190D" w:rsidRDefault="00B9190D" w:rsidP="007405D7">
      <w:pPr>
        <w:autoSpaceDE w:val="0"/>
        <w:autoSpaceDN w:val="0"/>
        <w:adjustRightInd w:val="0"/>
        <w:spacing w:line="480" w:lineRule="auto"/>
        <w:ind w:left="720" w:hanging="720"/>
        <w:rPr>
          <w:b/>
          <w:bCs/>
          <w:i/>
          <w:iCs/>
        </w:rPr>
      </w:pPr>
      <w:r>
        <w:br w:type="page"/>
      </w:r>
      <w:r w:rsidRPr="00454A08">
        <w:rPr>
          <w:b/>
          <w:bCs/>
          <w:i/>
          <w:iCs/>
        </w:rPr>
        <w:t>Q</w:t>
      </w:r>
      <w:r>
        <w:rPr>
          <w:b/>
          <w:bCs/>
          <w:i/>
          <w:iCs/>
        </w:rPr>
        <w:t>8</w:t>
      </w:r>
      <w:r w:rsidRPr="00454A08">
        <w:rPr>
          <w:b/>
          <w:bCs/>
          <w:i/>
          <w:iCs/>
        </w:rPr>
        <w:t>.</w:t>
      </w:r>
      <w:r w:rsidRPr="00454A08">
        <w:rPr>
          <w:b/>
          <w:bCs/>
          <w:i/>
          <w:iCs/>
        </w:rPr>
        <w:tab/>
      </w:r>
      <w:r>
        <w:rPr>
          <w:b/>
          <w:bCs/>
          <w:i/>
          <w:iCs/>
        </w:rPr>
        <w:t>PLEASE SUMMARIZE YOUR RECOMMENDATIONS.</w:t>
      </w:r>
    </w:p>
    <w:p w:rsidR="00B9190D" w:rsidRDefault="00B9190D" w:rsidP="00A45765">
      <w:pPr>
        <w:spacing w:line="480" w:lineRule="auto"/>
        <w:ind w:left="720" w:hanging="720"/>
      </w:pPr>
      <w:r w:rsidRPr="00454A08">
        <w:rPr>
          <w:b/>
          <w:bCs/>
          <w:i/>
          <w:iCs/>
        </w:rPr>
        <w:t>A</w:t>
      </w:r>
      <w:r>
        <w:rPr>
          <w:b/>
          <w:bCs/>
          <w:i/>
          <w:iCs/>
        </w:rPr>
        <w:t>8</w:t>
      </w:r>
      <w:r w:rsidRPr="00454A08">
        <w:rPr>
          <w:b/>
          <w:bCs/>
        </w:rPr>
        <w:t>.</w:t>
      </w:r>
      <w:r w:rsidRPr="00454A08">
        <w:rPr>
          <w:b/>
          <w:bCs/>
        </w:rPr>
        <w:tab/>
      </w:r>
      <w:r w:rsidRPr="002E1C3C">
        <w:t>I p</w:t>
      </w:r>
      <w:r w:rsidRPr="00454A08">
        <w:t xml:space="preserve">ropose that the Commission </w:t>
      </w:r>
      <w:r>
        <w:t>modify FirstEnergy’s proposed incentive mechanism to better balance the Companies’ interest with consumers’ interests.  Specifically, I recommend:</w:t>
      </w:r>
    </w:p>
    <w:p w:rsidR="00B9190D" w:rsidRPr="00EF1222" w:rsidRDefault="00B9190D" w:rsidP="00314058">
      <w:pPr>
        <w:numPr>
          <w:ilvl w:val="3"/>
          <w:numId w:val="1"/>
        </w:numPr>
        <w:tabs>
          <w:tab w:val="clear" w:pos="2880"/>
        </w:tabs>
        <w:spacing w:line="480" w:lineRule="auto"/>
        <w:ind w:left="2160" w:hanging="720"/>
      </w:pPr>
      <w:r>
        <w:t xml:space="preserve">The Companies should receive no shared savings incentive for simply meeting Ohio’s EE/PDR savings benchmarks contained in R.C. </w:t>
      </w:r>
      <w:r w:rsidRPr="00071ECB">
        <w:t>4928.66(A)(1)(b</w:t>
      </w:r>
      <w:r>
        <w:t xml:space="preserve">). </w:t>
      </w:r>
    </w:p>
    <w:p w:rsidR="00B9190D" w:rsidRPr="00EF1222" w:rsidRDefault="00B9190D" w:rsidP="00314058">
      <w:pPr>
        <w:numPr>
          <w:ilvl w:val="3"/>
          <w:numId w:val="1"/>
        </w:numPr>
        <w:tabs>
          <w:tab w:val="clear" w:pos="2880"/>
        </w:tabs>
        <w:spacing w:line="480" w:lineRule="auto"/>
        <w:ind w:left="2160" w:hanging="720"/>
      </w:pPr>
      <w:r>
        <w:t>The Companies should receive a more modest apportionment of the shared savings, and one more</w:t>
      </w:r>
      <w:r w:rsidR="00DD0AC6">
        <w:t xml:space="preserve"> that is</w:t>
      </w:r>
      <w:r>
        <w:t xml:space="preserve"> in line with other states, over a different tiered arrangement for EE/PDR savings that exceed Ohio’s legal requirements contained in R.C. </w:t>
      </w:r>
      <w:r w:rsidRPr="00071ECB">
        <w:t>4928.66(A)(1)(b</w:t>
      </w:r>
      <w:r>
        <w:t>).</w:t>
      </w:r>
    </w:p>
    <w:p w:rsidR="00B9190D" w:rsidRPr="006D0F52" w:rsidRDefault="00B9190D" w:rsidP="00314058">
      <w:pPr>
        <w:numPr>
          <w:ilvl w:val="3"/>
          <w:numId w:val="1"/>
        </w:numPr>
        <w:tabs>
          <w:tab w:val="clear" w:pos="2880"/>
        </w:tabs>
        <w:spacing w:line="480" w:lineRule="auto"/>
        <w:ind w:left="2160" w:hanging="720"/>
      </w:pPr>
      <w:r>
        <w:t>The Companies should be capped on any incentive award of eight percent of program spending calculated on a pre-tax basis.</w:t>
      </w:r>
    </w:p>
    <w:p w:rsidR="00B9190D" w:rsidRDefault="00B9190D" w:rsidP="00314058">
      <w:pPr>
        <w:numPr>
          <w:ilvl w:val="3"/>
          <w:numId w:val="1"/>
        </w:numPr>
        <w:tabs>
          <w:tab w:val="clear" w:pos="2880"/>
        </w:tabs>
        <w:spacing w:line="480" w:lineRule="auto"/>
        <w:ind w:left="2160" w:hanging="720"/>
      </w:pPr>
      <w:r>
        <w:t>The Companies should be required to bid all eligible EE/PDR into the PJM RPM</w:t>
      </w:r>
      <w:r w:rsidR="00DD0AC6">
        <w:t xml:space="preserve"> </w:t>
      </w:r>
      <w:r>
        <w:t xml:space="preserve">BRA in a manner that maximizes customers’ benefits and reduces the Companies’ risk.  </w:t>
      </w:r>
    </w:p>
    <w:p w:rsidR="00B9190D" w:rsidRDefault="00B9190D" w:rsidP="007405D7">
      <w:pPr>
        <w:spacing w:line="480" w:lineRule="auto"/>
        <w:ind w:left="720" w:hanging="720"/>
      </w:pPr>
    </w:p>
    <w:p w:rsidR="00B9190D" w:rsidRDefault="00B9190D" w:rsidP="00C60BC8">
      <w:pPr>
        <w:pStyle w:val="Heading1"/>
      </w:pPr>
      <w:bookmarkStart w:id="11" w:name="_Toc337216653"/>
      <w:r>
        <w:t>EVALUATION OF FIRSTENERGY’S PROPOSED SHARED SAVINGS INCENTIVE MECHANISM.</w:t>
      </w:r>
      <w:bookmarkEnd w:id="11"/>
    </w:p>
    <w:p w:rsidR="00075199" w:rsidRPr="00075199" w:rsidRDefault="00075199" w:rsidP="00075199"/>
    <w:p w:rsidR="00B9190D" w:rsidRDefault="00B9190D" w:rsidP="00371C82">
      <w:pPr>
        <w:spacing w:line="480" w:lineRule="auto"/>
        <w:ind w:left="720" w:hanging="720"/>
        <w:rPr>
          <w:b/>
          <w:bCs/>
          <w:i/>
          <w:iCs/>
        </w:rPr>
      </w:pPr>
      <w:r>
        <w:rPr>
          <w:b/>
          <w:bCs/>
          <w:i/>
          <w:iCs/>
        </w:rPr>
        <w:t>Q</w:t>
      </w:r>
      <w:r w:rsidR="00501519">
        <w:rPr>
          <w:b/>
          <w:bCs/>
          <w:i/>
          <w:iCs/>
        </w:rPr>
        <w:t>9</w:t>
      </w:r>
      <w:r w:rsidRPr="00D8280E">
        <w:rPr>
          <w:b/>
          <w:bCs/>
          <w:i/>
          <w:iCs/>
        </w:rPr>
        <w:t>.</w:t>
      </w:r>
      <w:r w:rsidRPr="00D8280E">
        <w:rPr>
          <w:b/>
          <w:bCs/>
          <w:i/>
          <w:iCs/>
        </w:rPr>
        <w:tab/>
      </w:r>
      <w:r>
        <w:rPr>
          <w:b/>
          <w:bCs/>
          <w:i/>
          <w:iCs/>
        </w:rPr>
        <w:t>WHAT TYPICALLY ARE THE THREE COMPONENTS OF COST-RECOVERY FOR ENERGY EFFICIENCY PROGRAMS DISCUSSED AT COMMISSION PROCEEDINGS?</w:t>
      </w:r>
    </w:p>
    <w:p w:rsidR="00B9190D" w:rsidRDefault="00B9190D" w:rsidP="00371C82">
      <w:pPr>
        <w:spacing w:line="480" w:lineRule="auto"/>
        <w:ind w:left="720" w:hanging="720"/>
      </w:pPr>
      <w:r w:rsidRPr="00A5664E">
        <w:rPr>
          <w:b/>
          <w:bCs/>
          <w:i/>
          <w:iCs/>
        </w:rPr>
        <w:t>A</w:t>
      </w:r>
      <w:r w:rsidR="00501519">
        <w:rPr>
          <w:b/>
          <w:bCs/>
          <w:i/>
          <w:iCs/>
        </w:rPr>
        <w:t>9</w:t>
      </w:r>
      <w:r w:rsidRPr="00A5664E">
        <w:rPr>
          <w:b/>
          <w:bCs/>
          <w:i/>
          <w:iCs/>
        </w:rPr>
        <w:t>.</w:t>
      </w:r>
      <w:r>
        <w:rPr>
          <w:b/>
          <w:bCs/>
          <w:i/>
          <w:iCs/>
        </w:rPr>
        <w:tab/>
      </w:r>
      <w:r>
        <w:t xml:space="preserve">The three components of an energy efficiency program usually discussed, and that customers are generally asked to pay for, are </w:t>
      </w:r>
      <w:r w:rsidR="00DD0AC6">
        <w:t xml:space="preserve">1) </w:t>
      </w:r>
      <w:r>
        <w:t xml:space="preserve">the recovery of program costs, </w:t>
      </w:r>
      <w:r w:rsidR="00DD0AC6">
        <w:t xml:space="preserve">2) </w:t>
      </w:r>
      <w:r>
        <w:t xml:space="preserve">the collection of some program induced lost revenues, and </w:t>
      </w:r>
      <w:r w:rsidR="00DD0AC6">
        <w:t xml:space="preserve">3) </w:t>
      </w:r>
      <w:r>
        <w:t>a performance incentive.  Together, these three components can make up a utility’s total cost-recovery.</w:t>
      </w:r>
    </w:p>
    <w:p w:rsidR="00B9190D" w:rsidRDefault="00B9190D" w:rsidP="00371C82">
      <w:pPr>
        <w:spacing w:line="480" w:lineRule="auto"/>
      </w:pPr>
    </w:p>
    <w:p w:rsidR="00B9190D" w:rsidRDefault="00B9190D" w:rsidP="00371C82">
      <w:pPr>
        <w:spacing w:line="480" w:lineRule="auto"/>
        <w:ind w:left="720" w:hanging="720"/>
        <w:rPr>
          <w:b/>
          <w:bCs/>
          <w:i/>
          <w:iCs/>
        </w:rPr>
      </w:pPr>
      <w:r>
        <w:rPr>
          <w:b/>
          <w:bCs/>
          <w:i/>
          <w:iCs/>
        </w:rPr>
        <w:t>Q1</w:t>
      </w:r>
      <w:r w:rsidR="00501519">
        <w:rPr>
          <w:b/>
          <w:bCs/>
          <w:i/>
          <w:iCs/>
        </w:rPr>
        <w:t>0</w:t>
      </w:r>
      <w:r w:rsidRPr="00D8280E">
        <w:rPr>
          <w:b/>
          <w:bCs/>
          <w:i/>
          <w:iCs/>
        </w:rPr>
        <w:t>.</w:t>
      </w:r>
      <w:r w:rsidRPr="00D8280E">
        <w:rPr>
          <w:b/>
          <w:bCs/>
          <w:i/>
          <w:iCs/>
        </w:rPr>
        <w:tab/>
      </w:r>
      <w:r>
        <w:rPr>
          <w:b/>
          <w:bCs/>
          <w:i/>
          <w:iCs/>
        </w:rPr>
        <w:t>DOES FIRSTENERGY’S PORTFOLIO APPLICATION CONTAIN ALL THREE ELEMENTS OF COST-RECOVERY?</w:t>
      </w:r>
    </w:p>
    <w:p w:rsidR="00B9190D" w:rsidRDefault="00B9190D" w:rsidP="00371C82">
      <w:pPr>
        <w:spacing w:line="480" w:lineRule="auto"/>
        <w:ind w:left="720" w:hanging="720"/>
      </w:pPr>
      <w:r w:rsidRPr="00A5664E">
        <w:rPr>
          <w:b/>
          <w:bCs/>
          <w:i/>
          <w:iCs/>
        </w:rPr>
        <w:t>A1</w:t>
      </w:r>
      <w:r w:rsidR="00501519">
        <w:rPr>
          <w:b/>
          <w:bCs/>
          <w:i/>
          <w:iCs/>
        </w:rPr>
        <w:t>0</w:t>
      </w:r>
      <w:r w:rsidRPr="00A5664E">
        <w:rPr>
          <w:b/>
          <w:bCs/>
          <w:i/>
          <w:iCs/>
        </w:rPr>
        <w:t>.</w:t>
      </w:r>
      <w:r>
        <w:rPr>
          <w:b/>
          <w:bCs/>
          <w:i/>
          <w:iCs/>
        </w:rPr>
        <w:tab/>
      </w:r>
      <w:r w:rsidRPr="00114CD3">
        <w:t>No.  The Compan</w:t>
      </w:r>
      <w:r>
        <w:t>ies’ Portfolio Application contains a budget for programs to be implemented in the years 2013 through 2015</w:t>
      </w:r>
      <w:r w:rsidR="00DD0AC6">
        <w:t>,</w:t>
      </w:r>
      <w:r>
        <w:t xml:space="preserve"> and to be collected from customers via pre-existing Rider DSE (Demand Side Management and Energy Efficiency Rider).   The Application also contains a shared savings performance incentive with money to be collected from customers.  The payment by customers for energy efficiency induced lost revenues are not a part of this case and were addressed in the Companies’ recent Electric Security Plan Case No. 12-1230-EL-SSO.</w:t>
      </w:r>
    </w:p>
    <w:p w:rsidR="00501519" w:rsidRDefault="00501519" w:rsidP="00371C82">
      <w:pPr>
        <w:spacing w:line="480" w:lineRule="auto"/>
        <w:ind w:left="720" w:hanging="720"/>
      </w:pPr>
    </w:p>
    <w:p w:rsidR="00B9190D" w:rsidRPr="004F46C9" w:rsidRDefault="00B9190D" w:rsidP="00DF6E37">
      <w:pPr>
        <w:autoSpaceDE w:val="0"/>
        <w:autoSpaceDN w:val="0"/>
        <w:adjustRightInd w:val="0"/>
        <w:spacing w:line="480" w:lineRule="auto"/>
        <w:ind w:left="720" w:hanging="720"/>
        <w:rPr>
          <w:b/>
          <w:bCs/>
          <w:i/>
          <w:iCs/>
        </w:rPr>
      </w:pPr>
      <w:r w:rsidRPr="004F46C9">
        <w:rPr>
          <w:b/>
          <w:bCs/>
          <w:i/>
          <w:iCs/>
        </w:rPr>
        <w:t>Q</w:t>
      </w:r>
      <w:r w:rsidR="00501519">
        <w:rPr>
          <w:b/>
          <w:bCs/>
          <w:i/>
          <w:iCs/>
        </w:rPr>
        <w:t>11</w:t>
      </w:r>
      <w:r>
        <w:rPr>
          <w:b/>
          <w:bCs/>
          <w:i/>
          <w:iCs/>
        </w:rPr>
        <w:t>.</w:t>
      </w:r>
      <w:r>
        <w:rPr>
          <w:b/>
          <w:bCs/>
          <w:i/>
          <w:iCs/>
        </w:rPr>
        <w:tab/>
      </w:r>
      <w:r w:rsidRPr="004F46C9">
        <w:rPr>
          <w:b/>
          <w:bCs/>
          <w:i/>
          <w:iCs/>
        </w:rPr>
        <w:t xml:space="preserve">WHAT </w:t>
      </w:r>
      <w:r>
        <w:rPr>
          <w:b/>
          <w:bCs/>
          <w:i/>
          <w:iCs/>
        </w:rPr>
        <w:t>IS A SHARED SAVINGS INCENTIVE MECHANISM</w:t>
      </w:r>
      <w:r w:rsidRPr="004F46C9">
        <w:rPr>
          <w:b/>
          <w:bCs/>
          <w:i/>
          <w:iCs/>
        </w:rPr>
        <w:t>?</w:t>
      </w:r>
    </w:p>
    <w:p w:rsidR="00B9190D" w:rsidRDefault="00B9190D" w:rsidP="00501519">
      <w:pPr>
        <w:spacing w:line="480" w:lineRule="auto"/>
        <w:ind w:left="720" w:hanging="720"/>
      </w:pPr>
      <w:r w:rsidRPr="00A5664E">
        <w:rPr>
          <w:b/>
          <w:bCs/>
          <w:i/>
          <w:iCs/>
        </w:rPr>
        <w:t>A</w:t>
      </w:r>
      <w:r w:rsidR="00501519">
        <w:rPr>
          <w:b/>
          <w:bCs/>
          <w:i/>
          <w:iCs/>
        </w:rPr>
        <w:t>11</w:t>
      </w:r>
      <w:r w:rsidRPr="00A5664E">
        <w:rPr>
          <w:b/>
          <w:bCs/>
          <w:i/>
          <w:iCs/>
        </w:rPr>
        <w:t>.</w:t>
      </w:r>
      <w:r>
        <w:rPr>
          <w:b/>
          <w:bCs/>
          <w:i/>
          <w:iCs/>
        </w:rPr>
        <w:tab/>
      </w:r>
      <w:r>
        <w:t>A shared savings incentive mechanism is a tool used by regulators to reward exemplary utility performance in delivering energy efficiency and peak demand reduction programs to its customers.   It usually takes the form of a utility sharing in a portion of the net benefits created by the utility programs.   The net benefits are typically the avoided energy and capacity dollar savings minus the utility and individual customer costs of the programs implemented.</w:t>
      </w:r>
    </w:p>
    <w:p w:rsidR="00B9190D" w:rsidRPr="004F46C9" w:rsidRDefault="00B9190D" w:rsidP="00B16E35">
      <w:pPr>
        <w:autoSpaceDE w:val="0"/>
        <w:autoSpaceDN w:val="0"/>
        <w:adjustRightInd w:val="0"/>
        <w:spacing w:line="480" w:lineRule="auto"/>
        <w:ind w:left="720" w:hanging="720"/>
        <w:rPr>
          <w:b/>
          <w:bCs/>
          <w:i/>
          <w:iCs/>
        </w:rPr>
      </w:pPr>
      <w:r w:rsidRPr="004F46C9">
        <w:rPr>
          <w:b/>
          <w:bCs/>
          <w:i/>
          <w:iCs/>
        </w:rPr>
        <w:t>Q</w:t>
      </w:r>
      <w:r w:rsidR="00501519">
        <w:rPr>
          <w:b/>
          <w:bCs/>
          <w:i/>
          <w:iCs/>
        </w:rPr>
        <w:t>12</w:t>
      </w:r>
      <w:r>
        <w:rPr>
          <w:b/>
          <w:bCs/>
          <w:i/>
          <w:iCs/>
        </w:rPr>
        <w:t>.</w:t>
      </w:r>
      <w:r>
        <w:rPr>
          <w:b/>
          <w:bCs/>
          <w:i/>
          <w:iCs/>
        </w:rPr>
        <w:tab/>
        <w:t>ARE UTILITY ENERGY EFFICIENCY PORTFOLIO PLAN SHARED SAVINGS INCENTIVE MECHANISMS ALLOWED IN OHIO</w:t>
      </w:r>
      <w:r w:rsidRPr="004F46C9">
        <w:rPr>
          <w:b/>
          <w:bCs/>
          <w:i/>
          <w:iCs/>
        </w:rPr>
        <w:t>?</w:t>
      </w:r>
    </w:p>
    <w:p w:rsidR="00B9190D" w:rsidRDefault="00B9190D" w:rsidP="00501519">
      <w:pPr>
        <w:spacing w:line="480" w:lineRule="auto"/>
        <w:ind w:left="720" w:hanging="720"/>
      </w:pPr>
      <w:r w:rsidRPr="00A5664E">
        <w:rPr>
          <w:b/>
          <w:bCs/>
          <w:i/>
          <w:iCs/>
        </w:rPr>
        <w:t>A</w:t>
      </w:r>
      <w:r w:rsidR="00501519">
        <w:rPr>
          <w:b/>
          <w:bCs/>
          <w:i/>
          <w:iCs/>
        </w:rPr>
        <w:t>12</w:t>
      </w:r>
      <w:r w:rsidRPr="00A5664E">
        <w:rPr>
          <w:b/>
          <w:bCs/>
          <w:i/>
          <w:iCs/>
        </w:rPr>
        <w:t>.</w:t>
      </w:r>
      <w:r>
        <w:rPr>
          <w:b/>
          <w:bCs/>
          <w:i/>
          <w:iCs/>
        </w:rPr>
        <w:tab/>
      </w:r>
      <w:r>
        <w:t>Yes. Ohio Administrative Code 4901:1-39-07 states that with the filing of its Portfolio Plan, the “electric utility may submit a request for recovery of an approved rate adjustment mechanism, commencing after approval of the electric utility’s program portfolio plan, of costs due to electric utility peak-demand reduction, demand response, energy efficiency program costs, appropriate lost distribution revenues, and shared savings. Any such recovery shall be subject to annual reconciliation after issuance of the commission verification report issued pursuant to this chapter.”</w:t>
      </w:r>
    </w:p>
    <w:p w:rsidR="00501519" w:rsidRPr="00075199" w:rsidRDefault="00501519" w:rsidP="00501519">
      <w:pPr>
        <w:spacing w:line="480" w:lineRule="auto"/>
        <w:ind w:left="720" w:hanging="720"/>
      </w:pPr>
    </w:p>
    <w:p w:rsidR="00B9190D" w:rsidRPr="004F46C9" w:rsidRDefault="00B9190D" w:rsidP="007405D7">
      <w:pPr>
        <w:autoSpaceDE w:val="0"/>
        <w:autoSpaceDN w:val="0"/>
        <w:adjustRightInd w:val="0"/>
        <w:spacing w:line="480" w:lineRule="auto"/>
        <w:ind w:left="720" w:hanging="720"/>
        <w:rPr>
          <w:b/>
          <w:bCs/>
          <w:i/>
          <w:iCs/>
        </w:rPr>
      </w:pPr>
      <w:r w:rsidRPr="004F46C9">
        <w:rPr>
          <w:b/>
          <w:bCs/>
          <w:i/>
          <w:iCs/>
        </w:rPr>
        <w:t>Q</w:t>
      </w:r>
      <w:r w:rsidR="00501519">
        <w:rPr>
          <w:b/>
          <w:bCs/>
          <w:i/>
          <w:iCs/>
        </w:rPr>
        <w:t>13</w:t>
      </w:r>
      <w:r>
        <w:rPr>
          <w:b/>
          <w:bCs/>
          <w:i/>
          <w:iCs/>
        </w:rPr>
        <w:t>.</w:t>
      </w:r>
      <w:r>
        <w:rPr>
          <w:b/>
          <w:bCs/>
          <w:i/>
          <w:iCs/>
        </w:rPr>
        <w:tab/>
      </w:r>
      <w:r w:rsidRPr="004F46C9">
        <w:rPr>
          <w:b/>
          <w:bCs/>
          <w:i/>
          <w:iCs/>
        </w:rPr>
        <w:t xml:space="preserve">WHAT </w:t>
      </w:r>
      <w:r>
        <w:rPr>
          <w:b/>
          <w:bCs/>
          <w:i/>
          <w:iCs/>
        </w:rPr>
        <w:t>ARE THE COMPANIES PROPOSING AS AN INCENTIVE MECHANISM</w:t>
      </w:r>
      <w:r w:rsidRPr="004F46C9">
        <w:rPr>
          <w:b/>
          <w:bCs/>
          <w:i/>
          <w:iCs/>
        </w:rPr>
        <w:t>?</w:t>
      </w:r>
    </w:p>
    <w:p w:rsidR="00B9190D" w:rsidRDefault="00B9190D" w:rsidP="00A45765">
      <w:pPr>
        <w:autoSpaceDE w:val="0"/>
        <w:autoSpaceDN w:val="0"/>
        <w:adjustRightInd w:val="0"/>
        <w:spacing w:line="480" w:lineRule="auto"/>
        <w:ind w:left="720" w:hanging="720"/>
      </w:pPr>
      <w:r w:rsidRPr="00A5664E">
        <w:rPr>
          <w:b/>
          <w:bCs/>
          <w:i/>
          <w:iCs/>
        </w:rPr>
        <w:t>A</w:t>
      </w:r>
      <w:r w:rsidR="00501519">
        <w:rPr>
          <w:b/>
          <w:bCs/>
          <w:i/>
          <w:iCs/>
        </w:rPr>
        <w:t>13</w:t>
      </w:r>
      <w:r w:rsidRPr="00A5664E">
        <w:rPr>
          <w:b/>
          <w:bCs/>
          <w:i/>
          <w:iCs/>
        </w:rPr>
        <w:t>.</w:t>
      </w:r>
      <w:r>
        <w:tab/>
        <w:t>Through the Direct Testimony of Eren Demiray, FirstEnergy proposes a tiered shared savings incentive with the following structure:</w:t>
      </w:r>
      <w:r>
        <w:rPr>
          <w:rStyle w:val="FootnoteReference"/>
        </w:rPr>
        <w:footnoteReference w:id="1"/>
      </w:r>
    </w:p>
    <w:p w:rsidR="00B9190D" w:rsidRDefault="00B9190D" w:rsidP="00A45765">
      <w:pPr>
        <w:autoSpaceDE w:val="0"/>
        <w:autoSpaceDN w:val="0"/>
        <w:adjustRightInd w:val="0"/>
        <w:spacing w:line="480" w:lineRule="auto"/>
        <w:ind w:left="720" w:hanging="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1587"/>
        <w:gridCol w:w="1349"/>
      </w:tblGrid>
      <w:tr w:rsidR="00B9190D" w:rsidRPr="006B5393">
        <w:trPr>
          <w:jc w:val="center"/>
        </w:trPr>
        <w:tc>
          <w:tcPr>
            <w:tcW w:w="1163" w:type="dxa"/>
            <w:shd w:val="clear" w:color="auto" w:fill="000000"/>
          </w:tcPr>
          <w:p w:rsidR="00B9190D" w:rsidRPr="006B5393" w:rsidRDefault="00B9190D" w:rsidP="00151FBE">
            <w:pPr>
              <w:autoSpaceDE w:val="0"/>
              <w:autoSpaceDN w:val="0"/>
              <w:adjustRightInd w:val="0"/>
              <w:rPr>
                <w:b/>
                <w:bCs/>
                <w:color w:val="FFFFFF"/>
              </w:rPr>
            </w:pPr>
            <w:r w:rsidRPr="006B5393">
              <w:rPr>
                <w:b/>
                <w:bCs/>
                <w:color w:val="FFFFFF"/>
              </w:rPr>
              <w:t>Incentive Tier</w:t>
            </w:r>
          </w:p>
        </w:tc>
        <w:tc>
          <w:tcPr>
            <w:tcW w:w="1587" w:type="dxa"/>
            <w:shd w:val="clear" w:color="auto" w:fill="000000"/>
          </w:tcPr>
          <w:p w:rsidR="00B9190D" w:rsidRPr="006B5393" w:rsidRDefault="00B9190D" w:rsidP="00151FBE">
            <w:pPr>
              <w:autoSpaceDE w:val="0"/>
              <w:autoSpaceDN w:val="0"/>
              <w:adjustRightInd w:val="0"/>
              <w:rPr>
                <w:b/>
                <w:bCs/>
                <w:color w:val="FFFFFF"/>
              </w:rPr>
            </w:pPr>
            <w:r w:rsidRPr="006B5393">
              <w:rPr>
                <w:b/>
                <w:bCs/>
                <w:color w:val="FFFFFF"/>
              </w:rPr>
              <w:t>Compliance Percentage</w:t>
            </w:r>
          </w:p>
        </w:tc>
        <w:tc>
          <w:tcPr>
            <w:tcW w:w="1349" w:type="dxa"/>
            <w:shd w:val="clear" w:color="auto" w:fill="000000"/>
          </w:tcPr>
          <w:p w:rsidR="00B9190D" w:rsidRPr="006B5393" w:rsidRDefault="00B9190D" w:rsidP="00151FBE">
            <w:pPr>
              <w:autoSpaceDE w:val="0"/>
              <w:autoSpaceDN w:val="0"/>
              <w:adjustRightInd w:val="0"/>
              <w:rPr>
                <w:b/>
                <w:bCs/>
                <w:color w:val="FFFFFF"/>
              </w:rPr>
            </w:pPr>
            <w:r w:rsidRPr="006B5393">
              <w:rPr>
                <w:b/>
                <w:bCs/>
                <w:color w:val="FFFFFF"/>
              </w:rPr>
              <w:t>Incentive Percentage</w:t>
            </w:r>
          </w:p>
        </w:tc>
      </w:tr>
      <w:tr w:rsidR="00B9190D" w:rsidRPr="006B5393">
        <w:trPr>
          <w:jc w:val="center"/>
        </w:trPr>
        <w:tc>
          <w:tcPr>
            <w:tcW w:w="1163"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1</w:t>
            </w:r>
          </w:p>
          <w:p w:rsidR="00B9190D" w:rsidRDefault="00B9190D" w:rsidP="00075199">
            <w:pPr>
              <w:autoSpaceDE w:val="0"/>
              <w:autoSpaceDN w:val="0"/>
              <w:adjustRightInd w:val="0"/>
              <w:jc w:val="right"/>
              <w:rPr>
                <w:rFonts w:ascii="Times New Roman Bold" w:hAnsi="Times New Roman Bold" w:cs="Times New Roman Bold"/>
                <w:b/>
                <w:bCs/>
                <w:color w:val="000000"/>
              </w:rPr>
            </w:pPr>
          </w:p>
        </w:tc>
        <w:tc>
          <w:tcPr>
            <w:tcW w:w="1587"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&lt; 100%</w:t>
            </w:r>
          </w:p>
        </w:tc>
        <w:tc>
          <w:tcPr>
            <w:tcW w:w="1349"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0.0%</w:t>
            </w:r>
          </w:p>
        </w:tc>
      </w:tr>
      <w:tr w:rsidR="00B9190D" w:rsidRPr="006B5393">
        <w:trPr>
          <w:jc w:val="center"/>
        </w:trPr>
        <w:tc>
          <w:tcPr>
            <w:tcW w:w="1163"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2</w:t>
            </w:r>
          </w:p>
        </w:tc>
        <w:tc>
          <w:tcPr>
            <w:tcW w:w="1587"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100-105%</w:t>
            </w:r>
          </w:p>
        </w:tc>
        <w:tc>
          <w:tcPr>
            <w:tcW w:w="1349"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5.0%</w:t>
            </w:r>
          </w:p>
        </w:tc>
      </w:tr>
      <w:tr w:rsidR="00B9190D" w:rsidRPr="006B5393">
        <w:trPr>
          <w:jc w:val="center"/>
        </w:trPr>
        <w:tc>
          <w:tcPr>
            <w:tcW w:w="1163" w:type="dxa"/>
          </w:tcPr>
          <w:p w:rsidR="00B9190D" w:rsidRDefault="00B9190D" w:rsidP="00075199">
            <w:pPr>
              <w:autoSpaceDE w:val="0"/>
              <w:autoSpaceDN w:val="0"/>
              <w:adjustRightInd w:val="0"/>
              <w:jc w:val="right"/>
              <w:rPr>
                <w:rFonts w:ascii="Cambria" w:eastAsia="MS Gothic" w:hAnsi="Cambria"/>
                <w:color w:val="000000"/>
              </w:rPr>
            </w:pPr>
            <w:r w:rsidRPr="006B5393">
              <w:rPr>
                <w:color w:val="000000"/>
              </w:rPr>
              <w:t>3</w:t>
            </w:r>
          </w:p>
        </w:tc>
        <w:tc>
          <w:tcPr>
            <w:tcW w:w="1587"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&gt;105-110%</w:t>
            </w:r>
          </w:p>
        </w:tc>
        <w:tc>
          <w:tcPr>
            <w:tcW w:w="1349"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7.5%</w:t>
            </w:r>
          </w:p>
        </w:tc>
      </w:tr>
      <w:tr w:rsidR="00B9190D" w:rsidRPr="006B5393">
        <w:trPr>
          <w:jc w:val="center"/>
        </w:trPr>
        <w:tc>
          <w:tcPr>
            <w:tcW w:w="1163"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4</w:t>
            </w:r>
          </w:p>
        </w:tc>
        <w:tc>
          <w:tcPr>
            <w:tcW w:w="1587"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&gt; 110-115%</w:t>
            </w:r>
          </w:p>
        </w:tc>
        <w:tc>
          <w:tcPr>
            <w:tcW w:w="1349"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10.0%</w:t>
            </w:r>
          </w:p>
        </w:tc>
      </w:tr>
      <w:tr w:rsidR="00B9190D" w:rsidRPr="006B5393">
        <w:trPr>
          <w:jc w:val="center"/>
        </w:trPr>
        <w:tc>
          <w:tcPr>
            <w:tcW w:w="1163"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5</w:t>
            </w:r>
          </w:p>
        </w:tc>
        <w:tc>
          <w:tcPr>
            <w:tcW w:w="1587"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&gt; 115%</w:t>
            </w:r>
          </w:p>
        </w:tc>
        <w:tc>
          <w:tcPr>
            <w:tcW w:w="1349" w:type="dxa"/>
          </w:tcPr>
          <w:p w:rsidR="00B9190D" w:rsidRDefault="00B9190D" w:rsidP="00075199">
            <w:pPr>
              <w:autoSpaceDE w:val="0"/>
              <w:autoSpaceDN w:val="0"/>
              <w:adjustRightInd w:val="0"/>
              <w:jc w:val="right"/>
              <w:rPr>
                <w:rFonts w:ascii="Cambria" w:eastAsia="MS Gothic" w:hAnsi="Cambria"/>
                <w:b/>
                <w:bCs/>
                <w:color w:val="000000"/>
                <w:sz w:val="26"/>
                <w:szCs w:val="26"/>
              </w:rPr>
            </w:pPr>
            <w:r w:rsidRPr="006B5393">
              <w:rPr>
                <w:color w:val="000000"/>
              </w:rPr>
              <w:t>13.0%</w:t>
            </w:r>
          </w:p>
        </w:tc>
      </w:tr>
    </w:tbl>
    <w:p w:rsidR="00B9190D" w:rsidRDefault="00B9190D" w:rsidP="00151FBE">
      <w:pPr>
        <w:rPr>
          <w:b/>
          <w:bCs/>
        </w:rPr>
      </w:pPr>
    </w:p>
    <w:p w:rsidR="00B9190D" w:rsidRDefault="00B9190D" w:rsidP="00F90629">
      <w:pPr>
        <w:autoSpaceDE w:val="0"/>
        <w:autoSpaceDN w:val="0"/>
        <w:adjustRightInd w:val="0"/>
        <w:spacing w:line="480" w:lineRule="auto"/>
        <w:ind w:left="720"/>
      </w:pPr>
      <w:r>
        <w:t>For example, the shared savings incentive mechanism proposed by FirstEnergy allows the Companies to collect from customers up to a maximum of 13 percent of the avoided energy and capacity costs for savings (minus utility program costs) if they achieve 115 percent of the statutory benchmark in EE/PDR.</w:t>
      </w:r>
      <w:r>
        <w:rPr>
          <w:rStyle w:val="FootnoteReference"/>
        </w:rPr>
        <w:footnoteReference w:id="2"/>
      </w:r>
      <w:r>
        <w:t xml:space="preserve">  If FirstEnergy does not meet the annual benchmark, it receives no incentive and is subject to a penalty.</w:t>
      </w:r>
      <w:r>
        <w:rPr>
          <w:rStyle w:val="FootnoteReference"/>
        </w:rPr>
        <w:footnoteReference w:id="3"/>
      </w:r>
    </w:p>
    <w:p w:rsidR="00FB35C1" w:rsidRDefault="00FB35C1" w:rsidP="00F90629">
      <w:pPr>
        <w:autoSpaceDE w:val="0"/>
        <w:autoSpaceDN w:val="0"/>
        <w:adjustRightInd w:val="0"/>
        <w:spacing w:line="480" w:lineRule="auto"/>
        <w:ind w:left="720"/>
      </w:pPr>
    </w:p>
    <w:p w:rsidR="00B9190D" w:rsidRDefault="00B9190D" w:rsidP="005E697C">
      <w:pPr>
        <w:autoSpaceDE w:val="0"/>
        <w:autoSpaceDN w:val="0"/>
        <w:adjustRightInd w:val="0"/>
        <w:spacing w:line="480" w:lineRule="auto"/>
        <w:ind w:left="720"/>
      </w:pPr>
      <w:r>
        <w:t>The Companies suggest that the net shared savings used in determining the incentive be calculated net of the Utility Cost Test (“UCT”).</w:t>
      </w:r>
      <w:r>
        <w:rPr>
          <w:rStyle w:val="FootnoteReference"/>
        </w:rPr>
        <w:footnoteReference w:id="4"/>
      </w:r>
      <w:r>
        <w:t xml:space="preserve">  Under the Companies’ proposal, FirstEnergy is entitled to an incentive for exceeding the energy savings thresholds in the above table, and the incentive dollar amount would be calculated in after-tax dollars and without a “hard” dollar cap.</w:t>
      </w:r>
      <w:r>
        <w:rPr>
          <w:rStyle w:val="FootnoteReference"/>
        </w:rPr>
        <w:footnoteReference w:id="5"/>
      </w:r>
      <w:r>
        <w:t xml:space="preserve"> A hard cap places a ceiling on the incentive dollar the utility may collect from its customers.   </w:t>
      </w:r>
    </w:p>
    <w:p w:rsidR="00501519" w:rsidRDefault="00501519" w:rsidP="005E697C">
      <w:pPr>
        <w:autoSpaceDE w:val="0"/>
        <w:autoSpaceDN w:val="0"/>
        <w:adjustRightInd w:val="0"/>
        <w:spacing w:line="480" w:lineRule="auto"/>
        <w:ind w:left="720"/>
      </w:pPr>
    </w:p>
    <w:p w:rsidR="00B9190D" w:rsidRPr="00454A08" w:rsidRDefault="00B9190D" w:rsidP="005E697C">
      <w:pPr>
        <w:autoSpaceDE w:val="0"/>
        <w:autoSpaceDN w:val="0"/>
        <w:adjustRightInd w:val="0"/>
        <w:spacing w:line="480" w:lineRule="auto"/>
        <w:ind w:left="720" w:hanging="720"/>
        <w:rPr>
          <w:b/>
          <w:bCs/>
          <w:i/>
          <w:iCs/>
        </w:rPr>
      </w:pPr>
      <w:r w:rsidRPr="00454A08">
        <w:rPr>
          <w:b/>
          <w:bCs/>
          <w:i/>
          <w:iCs/>
        </w:rPr>
        <w:t>Q</w:t>
      </w:r>
      <w:r>
        <w:rPr>
          <w:b/>
          <w:bCs/>
          <w:i/>
          <w:iCs/>
        </w:rPr>
        <w:t>1</w:t>
      </w:r>
      <w:r w:rsidR="00501519">
        <w:rPr>
          <w:b/>
          <w:bCs/>
          <w:i/>
          <w:iCs/>
        </w:rPr>
        <w:t>4</w:t>
      </w:r>
      <w:r w:rsidRPr="00454A08">
        <w:rPr>
          <w:b/>
          <w:bCs/>
          <w:i/>
          <w:iCs/>
        </w:rPr>
        <w:t>.</w:t>
      </w:r>
      <w:r w:rsidRPr="00454A08">
        <w:rPr>
          <w:b/>
          <w:bCs/>
          <w:i/>
          <w:iCs/>
        </w:rPr>
        <w:tab/>
      </w:r>
      <w:r>
        <w:rPr>
          <w:b/>
          <w:bCs/>
          <w:i/>
          <w:iCs/>
        </w:rPr>
        <w:t>HAS FIRSTENERGY PROVIDED AN EXAMPLE OF HOW THE INCENTIVE WOULD OPERATE</w:t>
      </w:r>
      <w:r w:rsidRPr="00454A08">
        <w:rPr>
          <w:b/>
          <w:bCs/>
          <w:i/>
          <w:iCs/>
        </w:rPr>
        <w:t>?</w:t>
      </w:r>
    </w:p>
    <w:p w:rsidR="00B9190D" w:rsidRPr="00A5664E" w:rsidRDefault="00B9190D" w:rsidP="00A102F7">
      <w:pPr>
        <w:spacing w:line="480" w:lineRule="auto"/>
        <w:ind w:left="720" w:hanging="720"/>
      </w:pPr>
      <w:r w:rsidRPr="00454A08">
        <w:rPr>
          <w:b/>
          <w:bCs/>
          <w:i/>
          <w:iCs/>
        </w:rPr>
        <w:t>A</w:t>
      </w:r>
      <w:r>
        <w:rPr>
          <w:b/>
          <w:bCs/>
          <w:i/>
          <w:iCs/>
        </w:rPr>
        <w:t>1</w:t>
      </w:r>
      <w:r w:rsidR="00501519">
        <w:rPr>
          <w:b/>
          <w:bCs/>
          <w:i/>
          <w:iCs/>
        </w:rPr>
        <w:t>4</w:t>
      </w:r>
      <w:r w:rsidRPr="00454A08">
        <w:rPr>
          <w:b/>
          <w:bCs/>
          <w:i/>
          <w:iCs/>
        </w:rPr>
        <w:t>.</w:t>
      </w:r>
      <w:r w:rsidRPr="00454A08">
        <w:rPr>
          <w:b/>
          <w:bCs/>
          <w:i/>
          <w:iCs/>
        </w:rPr>
        <w:tab/>
      </w:r>
      <w:r>
        <w:t xml:space="preserve">Yes.  In Exhibits EGD-1 through EGD-4, FirstEnergy witness Demiray provides a number of tables illustrating the proposed incentive mechanism. </w:t>
      </w:r>
    </w:p>
    <w:p w:rsidR="00B9190D" w:rsidRDefault="00B9190D" w:rsidP="007405D7">
      <w:pPr>
        <w:spacing w:line="480" w:lineRule="auto"/>
        <w:ind w:left="720" w:hanging="720"/>
      </w:pPr>
    </w:p>
    <w:p w:rsidR="00B9190D" w:rsidRPr="000D091D" w:rsidRDefault="00B9190D" w:rsidP="007405D7">
      <w:pPr>
        <w:spacing w:line="480" w:lineRule="auto"/>
        <w:ind w:left="720" w:hanging="720"/>
        <w:rPr>
          <w:i/>
          <w:iCs/>
        </w:rPr>
      </w:pPr>
      <w:r>
        <w:rPr>
          <w:b/>
          <w:bCs/>
          <w:i/>
          <w:iCs/>
        </w:rPr>
        <w:t>Q1</w:t>
      </w:r>
      <w:r w:rsidR="00501519">
        <w:rPr>
          <w:b/>
          <w:bCs/>
          <w:i/>
          <w:iCs/>
        </w:rPr>
        <w:t>5</w:t>
      </w:r>
      <w:r w:rsidRPr="000D091D">
        <w:rPr>
          <w:b/>
          <w:bCs/>
          <w:i/>
          <w:iCs/>
        </w:rPr>
        <w:t>.</w:t>
      </w:r>
      <w:r w:rsidRPr="000D091D">
        <w:rPr>
          <w:b/>
          <w:bCs/>
          <w:i/>
          <w:iCs/>
        </w:rPr>
        <w:tab/>
      </w:r>
      <w:r>
        <w:rPr>
          <w:b/>
          <w:bCs/>
          <w:i/>
          <w:iCs/>
        </w:rPr>
        <w:t>HAS FIRSTENERGY PROVIDED AN EXAMPLE OF PROJECTED INCENTIVE LEVELS BASED ON THE ESTIMATED SAVINGS LEVELS CONTAINED IN ITS PORTFOLIO FILING</w:t>
      </w:r>
      <w:r w:rsidRPr="000D091D">
        <w:rPr>
          <w:b/>
          <w:bCs/>
          <w:i/>
          <w:iCs/>
        </w:rPr>
        <w:t>?</w:t>
      </w:r>
    </w:p>
    <w:p w:rsidR="00B9190D" w:rsidRDefault="00B9190D" w:rsidP="00A102F7">
      <w:pPr>
        <w:spacing w:line="480" w:lineRule="auto"/>
        <w:ind w:left="720" w:hanging="720"/>
      </w:pPr>
      <w:r w:rsidRPr="00A5664E">
        <w:rPr>
          <w:b/>
          <w:bCs/>
          <w:i/>
          <w:iCs/>
        </w:rPr>
        <w:t>A</w:t>
      </w:r>
      <w:r>
        <w:rPr>
          <w:b/>
          <w:bCs/>
          <w:i/>
          <w:iCs/>
        </w:rPr>
        <w:t>1</w:t>
      </w:r>
      <w:r w:rsidR="00501519">
        <w:rPr>
          <w:b/>
          <w:bCs/>
          <w:i/>
          <w:iCs/>
        </w:rPr>
        <w:t>5</w:t>
      </w:r>
      <w:r w:rsidRPr="00A5664E">
        <w:rPr>
          <w:b/>
          <w:bCs/>
          <w:i/>
          <w:iCs/>
        </w:rPr>
        <w:t>.</w:t>
      </w:r>
      <w:r>
        <w:tab/>
        <w:t xml:space="preserve">No. In fact, the Companies’ exhibits contain disclaimers such as: “[a]ll values in </w:t>
      </w:r>
    </w:p>
    <w:p w:rsidR="00B9190D" w:rsidRDefault="00B9190D" w:rsidP="00314058">
      <w:pPr>
        <w:spacing w:line="480" w:lineRule="auto"/>
        <w:ind w:left="720"/>
      </w:pPr>
      <w:r>
        <w:t xml:space="preserve">the above scenario are illustrative and for the purpose of discussion only. Actual values will be calculated consistent with information as presented in the </w:t>
      </w:r>
      <w:r w:rsidR="00F23F7D">
        <w:t>FirstEnergy’s</w:t>
      </w:r>
      <w:r>
        <w:t xml:space="preserve"> Annual Portfolio Status Report, with discounted lifetime costs and benefits determined under the Utility Cost Test, and calculated in line with industry standards.”</w:t>
      </w:r>
      <w:r>
        <w:rPr>
          <w:rStyle w:val="FootnoteReference"/>
        </w:rPr>
        <w:footnoteReference w:id="6"/>
      </w:r>
    </w:p>
    <w:p w:rsidR="00B9190D" w:rsidRDefault="00B9190D" w:rsidP="00A102F7">
      <w:pPr>
        <w:spacing w:line="480" w:lineRule="auto"/>
        <w:ind w:left="720" w:hanging="720"/>
      </w:pPr>
    </w:p>
    <w:p w:rsidR="00B9190D" w:rsidRPr="00454A08" w:rsidRDefault="00B9190D" w:rsidP="00A45765">
      <w:pPr>
        <w:spacing w:line="480" w:lineRule="auto"/>
        <w:ind w:left="720" w:hanging="720"/>
        <w:rPr>
          <w:b/>
          <w:bCs/>
          <w:i/>
          <w:iCs/>
        </w:rPr>
      </w:pPr>
      <w:r>
        <w:rPr>
          <w:b/>
          <w:bCs/>
          <w:i/>
          <w:iCs/>
        </w:rPr>
        <w:t>Q1</w:t>
      </w:r>
      <w:r w:rsidR="00A13706">
        <w:rPr>
          <w:b/>
          <w:bCs/>
          <w:i/>
          <w:iCs/>
        </w:rPr>
        <w:t>6</w:t>
      </w:r>
      <w:r w:rsidRPr="00454A08">
        <w:rPr>
          <w:b/>
          <w:bCs/>
          <w:i/>
          <w:iCs/>
        </w:rPr>
        <w:t>.</w:t>
      </w:r>
      <w:r w:rsidRPr="00454A08">
        <w:rPr>
          <w:b/>
          <w:bCs/>
          <w:i/>
          <w:iCs/>
        </w:rPr>
        <w:tab/>
      </w:r>
      <w:r>
        <w:rPr>
          <w:b/>
          <w:bCs/>
          <w:i/>
          <w:iCs/>
        </w:rPr>
        <w:t>DO YOU HAVE ANY OTHER CONCERNS WITH FIRSTENERGY’S SHARED SAVINGS INCENTIVE PROPOSAL</w:t>
      </w:r>
      <w:r w:rsidRPr="00454A08">
        <w:rPr>
          <w:b/>
          <w:bCs/>
          <w:i/>
          <w:iCs/>
        </w:rPr>
        <w:t>?</w:t>
      </w:r>
    </w:p>
    <w:p w:rsidR="00B9190D" w:rsidRDefault="00B9190D" w:rsidP="00A45765">
      <w:pPr>
        <w:spacing w:line="480" w:lineRule="auto"/>
        <w:ind w:left="720" w:hanging="720"/>
      </w:pPr>
      <w:r>
        <w:rPr>
          <w:b/>
          <w:bCs/>
          <w:i/>
          <w:iCs/>
        </w:rPr>
        <w:t>A1</w:t>
      </w:r>
      <w:r w:rsidR="00A13706">
        <w:rPr>
          <w:b/>
          <w:bCs/>
          <w:i/>
          <w:iCs/>
        </w:rPr>
        <w:t>6</w:t>
      </w:r>
      <w:r w:rsidRPr="00A346E9">
        <w:rPr>
          <w:b/>
          <w:bCs/>
          <w:i/>
          <w:iCs/>
        </w:rPr>
        <w:t>.</w:t>
      </w:r>
      <w:r>
        <w:tab/>
        <w:t>Yes.  As I explain in detail below, I have the following additional concerns with FirstEnergy’s proposed incentive mechanism and its potential rate impact for consumers:</w:t>
      </w:r>
    </w:p>
    <w:p w:rsidR="00B9190D" w:rsidRPr="005F559C" w:rsidRDefault="00B9190D" w:rsidP="00314058">
      <w:pPr>
        <w:numPr>
          <w:ilvl w:val="0"/>
          <w:numId w:val="9"/>
        </w:numPr>
        <w:spacing w:line="480" w:lineRule="auto"/>
        <w:ind w:left="2160" w:right="720" w:hanging="720"/>
      </w:pPr>
      <w:r>
        <w:t>The tiered incentive percentage levels are excessive because of the level of lost distribution revenues the Companies can charge to customers.</w:t>
      </w:r>
    </w:p>
    <w:p w:rsidR="00B9190D" w:rsidRPr="005F559C" w:rsidRDefault="00B9190D" w:rsidP="00314058">
      <w:pPr>
        <w:numPr>
          <w:ilvl w:val="0"/>
          <w:numId w:val="9"/>
        </w:numPr>
        <w:spacing w:line="480" w:lineRule="auto"/>
        <w:ind w:left="2160" w:right="720" w:hanging="720"/>
      </w:pPr>
      <w:r>
        <w:t>The use of the Utility Cost Test is inappropriate because it overstates the energy efficiency program benefits, and underestimates the cost</w:t>
      </w:r>
      <w:r w:rsidR="00F23F7D">
        <w:t>s</w:t>
      </w:r>
      <w:r>
        <w:t xml:space="preserve"> to customers.</w:t>
      </w:r>
    </w:p>
    <w:p w:rsidR="00B9190D" w:rsidRPr="005F559C" w:rsidRDefault="00B9190D" w:rsidP="00314058">
      <w:pPr>
        <w:numPr>
          <w:ilvl w:val="0"/>
          <w:numId w:val="9"/>
        </w:numPr>
        <w:spacing w:line="480" w:lineRule="auto"/>
        <w:ind w:left="2160" w:right="720" w:hanging="720"/>
      </w:pPr>
      <w:r>
        <w:t>The determination of possible electricity savings used in the shared savings mechanism should not include transmission and distribution savings, self-direct mercantile savings or savings from behavioral programs.</w:t>
      </w:r>
      <w:r>
        <w:rPr>
          <w:rStyle w:val="FootnoteReference"/>
        </w:rPr>
        <w:footnoteReference w:id="7"/>
      </w:r>
    </w:p>
    <w:p w:rsidR="00B9190D" w:rsidRPr="005F559C" w:rsidRDefault="00B9190D" w:rsidP="00314058">
      <w:pPr>
        <w:numPr>
          <w:ilvl w:val="0"/>
          <w:numId w:val="9"/>
        </w:numPr>
        <w:spacing w:line="480" w:lineRule="auto"/>
        <w:ind w:left="2160" w:right="720" w:hanging="720"/>
      </w:pPr>
      <w:r>
        <w:t>The use of an after-tax rather than a pre-tax calculation of the incentive is inappropriate, and costly to consumers.</w:t>
      </w:r>
    </w:p>
    <w:p w:rsidR="00B9190D" w:rsidRDefault="00B9190D" w:rsidP="00314058">
      <w:pPr>
        <w:numPr>
          <w:ilvl w:val="0"/>
          <w:numId w:val="9"/>
        </w:numPr>
        <w:spacing w:line="480" w:lineRule="auto"/>
        <w:ind w:left="2160" w:right="720" w:hanging="720"/>
      </w:pPr>
      <w:r>
        <w:t xml:space="preserve">The lack of an overall “hard” dollar cap presents risks for consumers. </w:t>
      </w:r>
    </w:p>
    <w:p w:rsidR="00B9190D" w:rsidRPr="00114CD3" w:rsidRDefault="00B9190D" w:rsidP="00114CD3">
      <w:pPr>
        <w:spacing w:line="480" w:lineRule="auto"/>
      </w:pPr>
    </w:p>
    <w:p w:rsidR="00B9190D" w:rsidRDefault="00B9190D" w:rsidP="007405D7">
      <w:pPr>
        <w:spacing w:line="480" w:lineRule="auto"/>
        <w:ind w:left="720" w:hanging="720"/>
        <w:rPr>
          <w:b/>
          <w:bCs/>
          <w:i/>
          <w:iCs/>
        </w:rPr>
      </w:pPr>
      <w:r>
        <w:rPr>
          <w:b/>
          <w:bCs/>
          <w:i/>
          <w:iCs/>
        </w:rPr>
        <w:t>Q17</w:t>
      </w:r>
      <w:r w:rsidRPr="00D8280E">
        <w:rPr>
          <w:b/>
          <w:bCs/>
          <w:i/>
          <w:iCs/>
        </w:rPr>
        <w:t>.</w:t>
      </w:r>
      <w:r w:rsidRPr="00D8280E">
        <w:rPr>
          <w:b/>
          <w:bCs/>
          <w:i/>
          <w:iCs/>
        </w:rPr>
        <w:tab/>
      </w:r>
      <w:r>
        <w:rPr>
          <w:b/>
          <w:bCs/>
          <w:i/>
          <w:iCs/>
        </w:rPr>
        <w:t>WHY DO YOU BELIEVE THAT THE TIERED SHARED SAVINGS INCENTIVE PERCENTAGE LEVELS PROPOSED BY THE COMPANIES ARE EXCESSIVE</w:t>
      </w:r>
      <w:r w:rsidRPr="00D8280E">
        <w:rPr>
          <w:b/>
          <w:bCs/>
          <w:i/>
          <w:iCs/>
        </w:rPr>
        <w:t>?</w:t>
      </w:r>
    </w:p>
    <w:p w:rsidR="00B9190D" w:rsidRDefault="00B9190D" w:rsidP="00A45765">
      <w:pPr>
        <w:spacing w:line="480" w:lineRule="auto"/>
        <w:ind w:left="720" w:hanging="720"/>
      </w:pPr>
      <w:r w:rsidRPr="00A5664E">
        <w:rPr>
          <w:b/>
          <w:bCs/>
          <w:i/>
          <w:iCs/>
        </w:rPr>
        <w:t>A1</w:t>
      </w:r>
      <w:r>
        <w:rPr>
          <w:b/>
          <w:bCs/>
          <w:i/>
          <w:iCs/>
        </w:rPr>
        <w:t>7</w:t>
      </w:r>
      <w:r w:rsidRPr="00A5664E">
        <w:rPr>
          <w:b/>
          <w:bCs/>
          <w:i/>
          <w:iCs/>
        </w:rPr>
        <w:t>.</w:t>
      </w:r>
      <w:r>
        <w:tab/>
        <w:t>The shared savings incentive percentages proposed by the Companies should be reduced given FirstEnergy’s lucrative lost distribution revenue arrangement approved in the FirstEnergy Electric Security Plan (“ESP”) proceeding, Case No. 12-1230-EL-SSO (and in the earlier ESP I</w:t>
      </w:r>
      <w:r>
        <w:rPr>
          <w:rStyle w:val="FootnoteReference"/>
        </w:rPr>
        <w:footnoteReference w:id="8"/>
      </w:r>
      <w:r>
        <w:t xml:space="preserve"> and II).  The PUCO’s Order in that case, dated July 18, 2012, authorized FirstEnergy to collect lost revenues through May 2016, leaving the result after that date as unknown at this time.  In this regard, the PUCO’s Order adopted Paragraph E.3 of the Stipulation in the FirstEnergy ESP III proceeding that addressed Energy Efficiency and Peak Demand Reduction induced lost distribution revenues. Generally, lost distribution revenues are those revenues the Companies do not collect because of the implementation of energy efficiency programs. The Stipulation provides that:</w:t>
      </w:r>
    </w:p>
    <w:p w:rsidR="00B9190D" w:rsidRDefault="00B9190D" w:rsidP="00A45765">
      <w:pPr>
        <w:spacing w:line="480" w:lineRule="auto"/>
        <w:ind w:left="1440" w:right="720"/>
      </w:pPr>
      <w:r>
        <w:t xml:space="preserve">[D]uring the term of this ESP III, the Companies </w:t>
      </w:r>
      <w:r w:rsidRPr="00114CD3">
        <w:t>shall be entitled to receive lost distribution revenue for all energy efficiency and peak demand reduction programs approved by the Commission</w:t>
      </w:r>
      <w:r w:rsidRPr="00A6707A">
        <w:t>.</w:t>
      </w:r>
      <w:r>
        <w:t xml:space="preserve"> Such lost distribution revenues do not include approved historical mercantile self-directed project[s]. </w:t>
      </w:r>
      <w:r w:rsidRPr="00114CD3">
        <w:rPr>
          <w:b/>
          <w:bCs/>
        </w:rPr>
        <w:t>The Signatory Parties agree that the collection of such lost distribution revenues by the Companies after May 31, 2016 is not addressed nor resolved by the terms of this Stipulation</w:t>
      </w:r>
      <w:r>
        <w:t>.</w:t>
      </w:r>
      <w:r>
        <w:rPr>
          <w:rStyle w:val="FootnoteReference"/>
        </w:rPr>
        <w:footnoteReference w:id="9"/>
      </w:r>
      <w:r>
        <w:t xml:space="preserve">  (Emphasis added).</w:t>
      </w:r>
    </w:p>
    <w:p w:rsidR="00B9190D" w:rsidRDefault="00B9190D" w:rsidP="00A45765">
      <w:pPr>
        <w:spacing w:line="480" w:lineRule="auto"/>
        <w:ind w:left="1440" w:right="1440"/>
      </w:pPr>
    </w:p>
    <w:p w:rsidR="00B9190D" w:rsidRDefault="00B9190D">
      <w:pPr>
        <w:spacing w:line="480" w:lineRule="auto"/>
        <w:ind w:left="720" w:hanging="720"/>
      </w:pPr>
      <w:r>
        <w:tab/>
        <w:t xml:space="preserve">The PUCO did not accept my recommendation (to limit customers’ payment </w:t>
      </w:r>
      <w:r w:rsidR="00F23F7D">
        <w:t>of</w:t>
      </w:r>
      <w:r>
        <w:t xml:space="preserve"> lost revenues) in the FirstEnergy ESP III Order of July 18, 2012, and instead adopted the Stipulation.  </w:t>
      </w:r>
      <w:r w:rsidR="00F23F7D">
        <w:t>A</w:t>
      </w:r>
      <w:r>
        <w:t xml:space="preserve">s a result, residential customers will be asked to pay for the Companies’ lost distribution revenues </w:t>
      </w:r>
      <w:r w:rsidR="00F23F7D">
        <w:t>at</w:t>
      </w:r>
      <w:r>
        <w:t xml:space="preserve"> an estimated $70 million through the term of ESP III</w:t>
      </w:r>
      <w:r w:rsidR="00F23F7D">
        <w:t>,</w:t>
      </w:r>
      <w:r>
        <w:t xml:space="preserve"> as shown in Exhibit WG-2.  This figure is conservative as it does not include lost revenue from the Government Sector, Small Enterprise Sector and Large Enterprise Sector for the Portfolio years.   It is also conservative given the open ended nature of the Stipulation language cited above that was already extended once and could be extended in future FirstEnergy ESP settlements.</w:t>
      </w:r>
      <w:r>
        <w:rPr>
          <w:rStyle w:val="FootnoteReference"/>
        </w:rPr>
        <w:footnoteReference w:id="10"/>
      </w:r>
      <w:r>
        <w:t xml:space="preserve">  In the extreme, if FirstEnergy were permitted to collect all </w:t>
      </w:r>
      <w:r w:rsidR="00F23F7D">
        <w:t xml:space="preserve">of </w:t>
      </w:r>
      <w:r>
        <w:t>the residential lost distribution revenue</w:t>
      </w:r>
      <w:r w:rsidR="00F23F7D">
        <w:t>s</w:t>
      </w:r>
      <w:r>
        <w:t xml:space="preserve"> estimated in </w:t>
      </w:r>
      <w:r w:rsidR="00F23F7D">
        <w:t>the Companies’</w:t>
      </w:r>
      <w:r>
        <w:t xml:space="preserve"> Portfolio, the total could be over $140 million over the lifetime of the programs</w:t>
      </w:r>
      <w:r w:rsidR="00F23F7D">
        <w:t>,</w:t>
      </w:r>
      <w:r>
        <w:t xml:space="preserve"> as demonstrated in Exhibit WG-2.</w:t>
      </w:r>
    </w:p>
    <w:p w:rsidR="00B9190D" w:rsidRDefault="00B9190D" w:rsidP="00A45765">
      <w:pPr>
        <w:spacing w:line="480" w:lineRule="auto"/>
        <w:ind w:left="720" w:hanging="720"/>
      </w:pPr>
    </w:p>
    <w:p w:rsidR="00B9190D" w:rsidRPr="00E61A5D" w:rsidRDefault="00B9190D" w:rsidP="00C60BC8">
      <w:pPr>
        <w:spacing w:line="480" w:lineRule="auto"/>
        <w:ind w:left="720" w:hanging="720"/>
        <w:rPr>
          <w:b/>
          <w:bCs/>
          <w:i/>
          <w:iCs/>
        </w:rPr>
      </w:pPr>
      <w:r w:rsidRPr="00E61A5D">
        <w:rPr>
          <w:b/>
          <w:bCs/>
          <w:i/>
          <w:iCs/>
        </w:rPr>
        <w:t>Q</w:t>
      </w:r>
      <w:r>
        <w:rPr>
          <w:b/>
          <w:bCs/>
          <w:i/>
          <w:iCs/>
        </w:rPr>
        <w:t>18</w:t>
      </w:r>
      <w:r w:rsidRPr="00E61A5D">
        <w:rPr>
          <w:b/>
          <w:bCs/>
          <w:i/>
          <w:iCs/>
        </w:rPr>
        <w:t>.</w:t>
      </w:r>
      <w:r w:rsidRPr="00E61A5D">
        <w:rPr>
          <w:b/>
          <w:bCs/>
          <w:i/>
          <w:iCs/>
        </w:rPr>
        <w:tab/>
      </w:r>
      <w:r>
        <w:rPr>
          <w:b/>
          <w:bCs/>
          <w:i/>
          <w:iCs/>
        </w:rPr>
        <w:t>WHY IS THE USE OF THE UTILITY COST NET BENEFITS TEST THE WRONG METRIC AND INAPPROPRIATE IN CALCULATING THE SHARED SAVINGS INCENTIVE?</w:t>
      </w:r>
    </w:p>
    <w:p w:rsidR="00B9190D" w:rsidRDefault="00B9190D" w:rsidP="000C50A1">
      <w:pPr>
        <w:autoSpaceDE w:val="0"/>
        <w:autoSpaceDN w:val="0"/>
        <w:adjustRightInd w:val="0"/>
        <w:spacing w:line="480" w:lineRule="auto"/>
        <w:ind w:left="720" w:hanging="720"/>
      </w:pPr>
      <w:r w:rsidRPr="00A5664E">
        <w:rPr>
          <w:b/>
          <w:bCs/>
          <w:i/>
          <w:iCs/>
        </w:rPr>
        <w:t>A1</w:t>
      </w:r>
      <w:r>
        <w:rPr>
          <w:b/>
          <w:bCs/>
          <w:i/>
          <w:iCs/>
        </w:rPr>
        <w:t>8</w:t>
      </w:r>
      <w:r w:rsidRPr="00A5664E">
        <w:rPr>
          <w:b/>
          <w:bCs/>
          <w:i/>
          <w:iCs/>
        </w:rPr>
        <w:t>.</w:t>
      </w:r>
      <w:r>
        <w:rPr>
          <w:b/>
          <w:bCs/>
          <w:i/>
          <w:iCs/>
        </w:rPr>
        <w:tab/>
      </w:r>
      <w:r w:rsidRPr="00564D3F">
        <w:t>The U</w:t>
      </w:r>
      <w:r>
        <w:t>CT</w:t>
      </w:r>
      <w:r w:rsidRPr="00564D3F">
        <w:t xml:space="preserve"> is a benefit-cost test which measures the net costs of a</w:t>
      </w:r>
      <w:r w:rsidR="000C50A1">
        <w:t xml:space="preserve"> </w:t>
      </w:r>
      <w:r w:rsidRPr="00564D3F">
        <w:t>program from the utility</w:t>
      </w:r>
      <w:r w:rsidR="00282190">
        <w:t>’s</w:t>
      </w:r>
      <w:r w:rsidRPr="00564D3F">
        <w:t xml:space="preserve"> perspective</w:t>
      </w:r>
      <w:r w:rsidR="00282190">
        <w:t>,</w:t>
      </w:r>
      <w:r w:rsidRPr="00564D3F">
        <w:t xml:space="preserve"> and excludes any net costs incurred by the</w:t>
      </w:r>
      <w:r>
        <w:t xml:space="preserve"> </w:t>
      </w:r>
      <w:r w:rsidRPr="00564D3F">
        <w:t>participant.</w:t>
      </w:r>
      <w:r>
        <w:t xml:space="preserve">  Specifically, the benefits in the UCT are the avoided energy, capacity and transmission and distribution costs from the energy efficiency programs. The costs in the UCT are all utility costs to implement the program including administration, marketing, incentives paid to customers, implementation costs, and evaluation costs.  </w:t>
      </w:r>
      <w:r w:rsidRPr="00564D3F">
        <w:t xml:space="preserve">However, the </w:t>
      </w:r>
      <w:r>
        <w:t>problem with using</w:t>
      </w:r>
      <w:r w:rsidRPr="00564D3F">
        <w:t xml:space="preserve"> the U</w:t>
      </w:r>
      <w:r>
        <w:t xml:space="preserve">CT to determine the Companies’ incentive </w:t>
      </w:r>
      <w:r w:rsidRPr="00564D3F">
        <w:t>is that it only captures the benefits of the</w:t>
      </w:r>
      <w:r>
        <w:t xml:space="preserve"> </w:t>
      </w:r>
      <w:r w:rsidRPr="00564D3F">
        <w:t xml:space="preserve">programs </w:t>
      </w:r>
      <w:r>
        <w:t>from</w:t>
      </w:r>
      <w:r w:rsidRPr="00564D3F">
        <w:t xml:space="preserve"> the utility</w:t>
      </w:r>
      <w:r>
        <w:t xml:space="preserve"> perspective</w:t>
      </w:r>
      <w:r w:rsidRPr="00564D3F">
        <w:t xml:space="preserve"> and </w:t>
      </w:r>
      <w:r>
        <w:t>ignores the individual customer costs</w:t>
      </w:r>
      <w:r w:rsidRPr="00564D3F">
        <w:t xml:space="preserve"> as a whole. The U</w:t>
      </w:r>
      <w:r>
        <w:t>C</w:t>
      </w:r>
      <w:r w:rsidRPr="00564D3F">
        <w:t>T</w:t>
      </w:r>
      <w:r>
        <w:t xml:space="preserve"> </w:t>
      </w:r>
      <w:r w:rsidRPr="00564D3F">
        <w:t>fails to take into account</w:t>
      </w:r>
      <w:r>
        <w:t xml:space="preserve"> </w:t>
      </w:r>
      <w:r w:rsidRPr="00564D3F">
        <w:t xml:space="preserve">participant costs </w:t>
      </w:r>
      <w:r>
        <w:t>(those incremental costs incurred from buying the more efficient measure and not covered by utility rebates).</w:t>
      </w:r>
      <w:r w:rsidR="00282190">
        <w:t xml:space="preserve">  </w:t>
      </w:r>
      <w:r>
        <w:t>For this reason, the UCT can overstate the program benefit and understate the costs</w:t>
      </w:r>
      <w:r w:rsidR="00282190">
        <w:t>,</w:t>
      </w:r>
      <w:r>
        <w:t xml:space="preserve"> making the incentive more costly to customers.  Therefore, the UCT should </w:t>
      </w:r>
      <w:r w:rsidRPr="00564D3F">
        <w:t>not be used to determine the complete benefit of the</w:t>
      </w:r>
      <w:r>
        <w:t xml:space="preserve"> Portfolio </w:t>
      </w:r>
      <w:r w:rsidRPr="00564D3F">
        <w:t>program</w:t>
      </w:r>
      <w:r>
        <w:t>s</w:t>
      </w:r>
      <w:r w:rsidRPr="00564D3F">
        <w:t>.</w:t>
      </w:r>
    </w:p>
    <w:p w:rsidR="00A13706" w:rsidRDefault="00A13706" w:rsidP="005E697C">
      <w:pPr>
        <w:autoSpaceDE w:val="0"/>
        <w:autoSpaceDN w:val="0"/>
        <w:adjustRightInd w:val="0"/>
        <w:spacing w:line="480" w:lineRule="auto"/>
        <w:ind w:left="720"/>
      </w:pPr>
    </w:p>
    <w:p w:rsidR="00B9190D" w:rsidRPr="003F51CC" w:rsidRDefault="00B9190D" w:rsidP="00C60BC8">
      <w:pPr>
        <w:autoSpaceDE w:val="0"/>
        <w:autoSpaceDN w:val="0"/>
        <w:adjustRightInd w:val="0"/>
        <w:spacing w:line="480" w:lineRule="auto"/>
        <w:ind w:left="720" w:hanging="720"/>
        <w:rPr>
          <w:b/>
          <w:bCs/>
          <w:i/>
          <w:iCs/>
        </w:rPr>
      </w:pPr>
      <w:r w:rsidRPr="003F51CC">
        <w:rPr>
          <w:b/>
          <w:bCs/>
          <w:i/>
          <w:iCs/>
        </w:rPr>
        <w:t>Q1</w:t>
      </w:r>
      <w:r>
        <w:rPr>
          <w:b/>
          <w:bCs/>
          <w:i/>
          <w:iCs/>
        </w:rPr>
        <w:t>9</w:t>
      </w:r>
      <w:r w:rsidRPr="003F51CC">
        <w:rPr>
          <w:b/>
          <w:bCs/>
          <w:i/>
          <w:iCs/>
        </w:rPr>
        <w:t>.</w:t>
      </w:r>
      <w:r w:rsidRPr="003F51CC">
        <w:rPr>
          <w:b/>
          <w:bCs/>
          <w:i/>
          <w:iCs/>
        </w:rPr>
        <w:tab/>
        <w:t>WHY SHOULD THE COMMISSION USE THE TOTAL RESOURCE COST (“TRC”) TEST INSTEAD OF THE U</w:t>
      </w:r>
      <w:r>
        <w:rPr>
          <w:b/>
          <w:bCs/>
          <w:i/>
          <w:iCs/>
        </w:rPr>
        <w:t>TILITY COST TEST</w:t>
      </w:r>
      <w:r w:rsidRPr="003F51CC">
        <w:rPr>
          <w:b/>
          <w:bCs/>
          <w:i/>
          <w:iCs/>
        </w:rPr>
        <w:t>?</w:t>
      </w:r>
    </w:p>
    <w:p w:rsidR="00DC5AA6" w:rsidRDefault="00B9190D" w:rsidP="002F60AE">
      <w:pPr>
        <w:autoSpaceDE w:val="0"/>
        <w:autoSpaceDN w:val="0"/>
        <w:adjustRightInd w:val="0"/>
        <w:spacing w:line="480" w:lineRule="auto"/>
        <w:ind w:left="720" w:hanging="720"/>
      </w:pPr>
      <w:r w:rsidRPr="00314058">
        <w:rPr>
          <w:b/>
          <w:bCs/>
          <w:i/>
          <w:iCs/>
        </w:rPr>
        <w:t>A1</w:t>
      </w:r>
      <w:r>
        <w:rPr>
          <w:b/>
          <w:bCs/>
          <w:i/>
          <w:iCs/>
        </w:rPr>
        <w:t>9</w:t>
      </w:r>
      <w:r w:rsidRPr="00314058">
        <w:rPr>
          <w:b/>
          <w:bCs/>
          <w:i/>
          <w:iCs/>
        </w:rPr>
        <w:t>.</w:t>
      </w:r>
      <w:r>
        <w:tab/>
        <w:t>The Commission should use the</w:t>
      </w:r>
      <w:r w:rsidRPr="00564D3F">
        <w:t xml:space="preserve"> Total Resource Cost test</w:t>
      </w:r>
      <w:r>
        <w:t xml:space="preserve"> because it</w:t>
      </w:r>
      <w:r w:rsidRPr="00564D3F">
        <w:t xml:space="preserve"> is the only measure that accounts for all </w:t>
      </w:r>
      <w:r w:rsidR="00282190">
        <w:t xml:space="preserve">of </w:t>
      </w:r>
      <w:r w:rsidRPr="00564D3F">
        <w:t>the</w:t>
      </w:r>
      <w:r>
        <w:t xml:space="preserve"> </w:t>
      </w:r>
      <w:r w:rsidRPr="00564D3F">
        <w:t xml:space="preserve">costs and benefits of </w:t>
      </w:r>
      <w:r w:rsidR="00282190">
        <w:t>an</w:t>
      </w:r>
      <w:r>
        <w:t xml:space="preserve"> energy efficiency</w:t>
      </w:r>
      <w:r w:rsidRPr="00564D3F">
        <w:t xml:space="preserve"> program. </w:t>
      </w:r>
      <w:r w:rsidR="00282190">
        <w:t xml:space="preserve"> </w:t>
      </w:r>
      <w:r w:rsidRPr="00564D3F">
        <w:t>To this end, the TRC is a benefit-cost test</w:t>
      </w:r>
      <w:r>
        <w:t xml:space="preserve"> </w:t>
      </w:r>
      <w:r w:rsidRPr="00564D3F">
        <w:t>which measures the net costs of a program based on the total costs of the program,</w:t>
      </w:r>
      <w:r>
        <w:t xml:space="preserve"> </w:t>
      </w:r>
      <w:r w:rsidRPr="00564D3F">
        <w:t xml:space="preserve">including both the participants’ and the </w:t>
      </w:r>
    </w:p>
    <w:p w:rsidR="00B9190D" w:rsidRDefault="00DC5AA6" w:rsidP="00DC5AA6">
      <w:pPr>
        <w:autoSpaceDE w:val="0"/>
        <w:autoSpaceDN w:val="0"/>
        <w:adjustRightInd w:val="0"/>
        <w:spacing w:line="480" w:lineRule="auto"/>
        <w:ind w:left="720"/>
      </w:pPr>
      <w:r>
        <w:br w:type="page"/>
      </w:r>
      <w:r w:rsidR="00B9190D" w:rsidRPr="00564D3F">
        <w:t>utility’s costs.</w:t>
      </w:r>
      <w:r w:rsidR="00B9190D">
        <w:rPr>
          <w:rStyle w:val="FootnoteReference"/>
        </w:rPr>
        <w:footnoteReference w:id="11"/>
      </w:r>
      <w:r w:rsidR="00DD0AC6">
        <w:t xml:space="preserve">  </w:t>
      </w:r>
      <w:r w:rsidR="00B9190D">
        <w:t xml:space="preserve">Usually the net benefits under the UCT seem higher because the participants’ costs are excluded and the shared savings to the utility tend to be higher.  The appearance of higher than actual benefits in the UCT means that programs could be recommended to the PUCO for adoption based on an inflated (or unrealistic) level of benefits for customers.  Therefore, given the relative completeness of the TRC, </w:t>
      </w:r>
      <w:r w:rsidR="00B9190D" w:rsidRPr="00564D3F">
        <w:t>the utility incentive should come from the total net benefit the programs provide, not the net benefits provided only to the utility.</w:t>
      </w:r>
      <w:r w:rsidR="00B9190D">
        <w:rPr>
          <w:rStyle w:val="FootnoteReference"/>
        </w:rPr>
        <w:footnoteReference w:id="12"/>
      </w:r>
    </w:p>
    <w:p w:rsidR="00B9190D" w:rsidRDefault="00B9190D" w:rsidP="003F51CC">
      <w:pPr>
        <w:autoSpaceDE w:val="0"/>
        <w:autoSpaceDN w:val="0"/>
        <w:adjustRightInd w:val="0"/>
        <w:spacing w:line="480" w:lineRule="auto"/>
        <w:rPr>
          <w:b/>
          <w:bCs/>
          <w:i/>
          <w:iCs/>
        </w:rPr>
      </w:pPr>
    </w:p>
    <w:p w:rsidR="00B9190D" w:rsidRPr="00E61A5D" w:rsidRDefault="00B9190D" w:rsidP="007405D7">
      <w:pPr>
        <w:pStyle w:val="BodyTextIndent3"/>
        <w:widowControl w:val="0"/>
        <w:spacing w:after="0" w:line="480" w:lineRule="auto"/>
        <w:ind w:left="720" w:right="-29" w:hanging="720"/>
        <w:rPr>
          <w:b/>
          <w:bCs/>
          <w:i/>
          <w:iCs/>
          <w:sz w:val="24"/>
          <w:szCs w:val="24"/>
        </w:rPr>
      </w:pPr>
      <w:r w:rsidRPr="00E61A5D">
        <w:rPr>
          <w:b/>
          <w:bCs/>
          <w:i/>
          <w:iCs/>
          <w:sz w:val="24"/>
          <w:szCs w:val="24"/>
        </w:rPr>
        <w:t>Q</w:t>
      </w:r>
      <w:r>
        <w:rPr>
          <w:b/>
          <w:bCs/>
          <w:i/>
          <w:iCs/>
          <w:sz w:val="24"/>
          <w:szCs w:val="24"/>
        </w:rPr>
        <w:t>20</w:t>
      </w:r>
      <w:r w:rsidRPr="00E61A5D">
        <w:rPr>
          <w:b/>
          <w:bCs/>
          <w:i/>
          <w:iCs/>
          <w:sz w:val="24"/>
          <w:szCs w:val="24"/>
        </w:rPr>
        <w:t>.</w:t>
      </w:r>
      <w:r w:rsidRPr="00E61A5D">
        <w:rPr>
          <w:b/>
          <w:bCs/>
          <w:i/>
          <w:iCs/>
          <w:sz w:val="24"/>
          <w:szCs w:val="24"/>
        </w:rPr>
        <w:tab/>
      </w:r>
      <w:r>
        <w:rPr>
          <w:b/>
          <w:bCs/>
          <w:i/>
          <w:iCs/>
          <w:sz w:val="24"/>
          <w:szCs w:val="24"/>
        </w:rPr>
        <w:t>WHY ARE</w:t>
      </w:r>
      <w:r w:rsidR="00A13706">
        <w:rPr>
          <w:b/>
          <w:bCs/>
          <w:i/>
          <w:iCs/>
          <w:sz w:val="24"/>
          <w:szCs w:val="24"/>
        </w:rPr>
        <w:t xml:space="preserve"> </w:t>
      </w:r>
      <w:r>
        <w:rPr>
          <w:b/>
          <w:bCs/>
          <w:i/>
          <w:iCs/>
          <w:sz w:val="24"/>
          <w:szCs w:val="24"/>
        </w:rPr>
        <w:t xml:space="preserve">THE POTENTIAL ELECTRIC SAVINGS USED IN THE COMPANIES’ SHARED SAVINGS CALCULATION </w:t>
      </w:r>
      <w:r w:rsidR="00A13706">
        <w:rPr>
          <w:b/>
          <w:bCs/>
          <w:i/>
          <w:iCs/>
          <w:sz w:val="24"/>
          <w:szCs w:val="24"/>
        </w:rPr>
        <w:t>INAPPROPRIATE</w:t>
      </w:r>
      <w:r w:rsidRPr="00E61A5D">
        <w:rPr>
          <w:b/>
          <w:bCs/>
          <w:i/>
          <w:iCs/>
          <w:sz w:val="24"/>
          <w:szCs w:val="24"/>
        </w:rPr>
        <w:t>?</w:t>
      </w:r>
    </w:p>
    <w:p w:rsidR="00B47634" w:rsidRPr="00DD0AC6" w:rsidRDefault="00B9190D" w:rsidP="00BE391D">
      <w:pPr>
        <w:autoSpaceDE w:val="0"/>
        <w:autoSpaceDN w:val="0"/>
        <w:adjustRightInd w:val="0"/>
        <w:spacing w:line="480" w:lineRule="auto"/>
        <w:ind w:left="720" w:hanging="720"/>
      </w:pPr>
      <w:r w:rsidRPr="00A5664E">
        <w:rPr>
          <w:b/>
          <w:bCs/>
          <w:i/>
          <w:iCs/>
        </w:rPr>
        <w:t>A</w:t>
      </w:r>
      <w:r>
        <w:rPr>
          <w:b/>
          <w:bCs/>
          <w:i/>
          <w:iCs/>
        </w:rPr>
        <w:t>20</w:t>
      </w:r>
      <w:r w:rsidRPr="00A5664E">
        <w:rPr>
          <w:b/>
          <w:bCs/>
          <w:i/>
          <w:iCs/>
        </w:rPr>
        <w:t>.</w:t>
      </w:r>
      <w:r>
        <w:rPr>
          <w:b/>
          <w:bCs/>
          <w:i/>
          <w:iCs/>
        </w:rPr>
        <w:tab/>
      </w:r>
      <w:r w:rsidRPr="00DD0AC6">
        <w:t>FirstEnergy’s inclusion of electricity savings emanating from self-direct mercantile, transmission and distribution projects (“T&amp;D”), and behavioral programs</w:t>
      </w:r>
      <w:r w:rsidRPr="00DD0AC6">
        <w:rPr>
          <w:rStyle w:val="FootnoteReference"/>
        </w:rPr>
        <w:footnoteReference w:id="13"/>
      </w:r>
      <w:r w:rsidRPr="00DD0AC6">
        <w:t xml:space="preserve"> in the shared savings calculation is inappropriate.  Inclusion of these savings in the calculation of shared savings will excessively reward the Companies, and lead to more costs for consumers.  In </w:t>
      </w:r>
    </w:p>
    <w:p w:rsidR="00B9190D" w:rsidRPr="00DD0AC6" w:rsidRDefault="00B47634" w:rsidP="00B47634">
      <w:pPr>
        <w:autoSpaceDE w:val="0"/>
        <w:autoSpaceDN w:val="0"/>
        <w:adjustRightInd w:val="0"/>
        <w:spacing w:line="480" w:lineRule="auto"/>
        <w:ind w:left="720"/>
      </w:pPr>
      <w:r>
        <w:rPr>
          <w:sz w:val="23"/>
          <w:szCs w:val="23"/>
        </w:rPr>
        <w:br w:type="page"/>
      </w:r>
      <w:r w:rsidR="00B9190D" w:rsidRPr="00DD0AC6">
        <w:t>contrast, an energy efficiency incentive mechanism should reward a utility for the savings the utility actively generates through the design and implementation of its programs.</w:t>
      </w:r>
      <w:r w:rsidR="00B9190D" w:rsidRPr="00DD0AC6">
        <w:rPr>
          <w:rStyle w:val="FootnoteReference"/>
        </w:rPr>
        <w:footnoteReference w:id="14"/>
      </w:r>
    </w:p>
    <w:p w:rsidR="00B47634" w:rsidRPr="00DD0AC6" w:rsidRDefault="00B47634" w:rsidP="00B47634">
      <w:pPr>
        <w:autoSpaceDE w:val="0"/>
        <w:autoSpaceDN w:val="0"/>
        <w:adjustRightInd w:val="0"/>
        <w:spacing w:line="480" w:lineRule="auto"/>
        <w:ind w:left="720"/>
      </w:pPr>
    </w:p>
    <w:p w:rsidR="00B9190D" w:rsidRDefault="00B9190D" w:rsidP="00A45765">
      <w:pPr>
        <w:autoSpaceDE w:val="0"/>
        <w:autoSpaceDN w:val="0"/>
        <w:adjustRightInd w:val="0"/>
        <w:spacing w:line="480" w:lineRule="auto"/>
        <w:ind w:left="720"/>
      </w:pPr>
      <w:r>
        <w:t xml:space="preserve">In this regard, the PUCO Staff has clearly stated that: </w:t>
      </w:r>
      <w:r w:rsidRPr="00C14D8B">
        <w:t>“</w:t>
      </w:r>
      <w:r>
        <w:t>[o]</w:t>
      </w:r>
      <w:r w:rsidRPr="00C14D8B">
        <w:t>nly those</w:t>
      </w:r>
      <w:r>
        <w:t xml:space="preserve"> </w:t>
      </w:r>
      <w:r w:rsidRPr="00C14D8B">
        <w:t>programs that are under their direct or indirect supervision or management of the</w:t>
      </w:r>
      <w:r>
        <w:t xml:space="preserve"> </w:t>
      </w:r>
      <w:r w:rsidRPr="00C14D8B">
        <w:t>Company should be able to count toward those savings that exceed their annual</w:t>
      </w:r>
      <w:r>
        <w:t xml:space="preserve"> </w:t>
      </w:r>
      <w:r w:rsidRPr="00C14D8B">
        <w:t xml:space="preserve">benchmarks. </w:t>
      </w:r>
      <w:r w:rsidR="00282190">
        <w:t xml:space="preserve"> </w:t>
      </w:r>
      <w:r w:rsidRPr="00C14D8B">
        <w:t>This means that savings from efficiency measures or programs</w:t>
      </w:r>
      <w:r>
        <w:t xml:space="preserve"> </w:t>
      </w:r>
      <w:r w:rsidRPr="00C14D8B">
        <w:t>implemented by mercantile customers independent of the Company would not count</w:t>
      </w:r>
      <w:r>
        <w:t xml:space="preserve"> </w:t>
      </w:r>
      <w:r w:rsidRPr="00C14D8B">
        <w:t>toward a utility based incentive mechanism even though those savings could count</w:t>
      </w:r>
      <w:r>
        <w:t xml:space="preserve"> </w:t>
      </w:r>
      <w:r w:rsidRPr="00C14D8B">
        <w:t>toward their annual benchmarks.”</w:t>
      </w:r>
      <w:r w:rsidRPr="00C14D8B">
        <w:rPr>
          <w:rStyle w:val="FootnoteReference"/>
        </w:rPr>
        <w:footnoteReference w:id="15"/>
      </w:r>
    </w:p>
    <w:p w:rsidR="000C50A1" w:rsidRPr="00DD0D4F" w:rsidRDefault="000C50A1" w:rsidP="00A45765">
      <w:pPr>
        <w:autoSpaceDE w:val="0"/>
        <w:autoSpaceDN w:val="0"/>
        <w:adjustRightInd w:val="0"/>
        <w:spacing w:line="480" w:lineRule="auto"/>
        <w:ind w:left="720"/>
      </w:pPr>
    </w:p>
    <w:p w:rsidR="00B47634" w:rsidRDefault="00B9190D" w:rsidP="00A45765">
      <w:pPr>
        <w:spacing w:line="480" w:lineRule="auto"/>
        <w:ind w:left="720"/>
      </w:pPr>
      <w:r>
        <w:t>Savings from mercantile self-direct programs are generated by projects initiated and directed by mercantile customers, and therefore should not be included in the Companies’ incentive mechanism.  Similarly, savings from T&amp;D projects</w:t>
      </w:r>
      <w:r>
        <w:rPr>
          <w:rStyle w:val="FootnoteReference"/>
        </w:rPr>
        <w:footnoteReference w:id="16"/>
      </w:r>
      <w:r>
        <w:t xml:space="preserve"> should not be included in the utility incentive mechanism.  These types of projects are generally capitalized and receive a return on the utility’s investment in distribution rate case filings and should not </w:t>
      </w:r>
      <w:r w:rsidR="000C50A1">
        <w:t>receive</w:t>
      </w:r>
      <w:r>
        <w:t xml:space="preserve"> an addition</w:t>
      </w:r>
      <w:r w:rsidR="000C50A1">
        <w:t>al</w:t>
      </w:r>
      <w:r>
        <w:t xml:space="preserve"> incentive payment.   Energy efficiency incentive mechanisms were set up precisely to provide EE/PDR investments with comparable earnings potential </w:t>
      </w:r>
    </w:p>
    <w:p w:rsidR="00B9190D" w:rsidRDefault="00B47634" w:rsidP="00A45765">
      <w:pPr>
        <w:spacing w:line="480" w:lineRule="auto"/>
        <w:ind w:left="720"/>
      </w:pPr>
      <w:r>
        <w:br w:type="page"/>
      </w:r>
      <w:r w:rsidR="00B9190D">
        <w:t>as the earnings received from the rate of return incentive utilities earn on capital assets in rate base.</w:t>
      </w:r>
    </w:p>
    <w:p w:rsidR="00B47634" w:rsidRDefault="00B47634" w:rsidP="00A45765">
      <w:pPr>
        <w:spacing w:line="480" w:lineRule="auto"/>
        <w:ind w:left="720"/>
      </w:pPr>
    </w:p>
    <w:p w:rsidR="00B9190D" w:rsidRDefault="00B9190D" w:rsidP="00A45765">
      <w:pPr>
        <w:autoSpaceDE w:val="0"/>
        <w:autoSpaceDN w:val="0"/>
        <w:adjustRightInd w:val="0"/>
        <w:spacing w:line="480" w:lineRule="auto"/>
        <w:ind w:left="720"/>
      </w:pPr>
      <w:r>
        <w:t>Behavioral program</w:t>
      </w:r>
      <w:r>
        <w:rPr>
          <w:rStyle w:val="FootnoteReference"/>
        </w:rPr>
        <w:footnoteReference w:id="17"/>
      </w:r>
      <w:r>
        <w:t xml:space="preserve"> savings are difficult to measure, and it is not clear whether the savings will persists over time as in the case of a hardware high efficiency measure (like an air-conditioner or motor).  Accordingly, behavioral programs do not satisfy the PUCO Staff’s recommendation that </w:t>
      </w:r>
      <w:r w:rsidRPr="00C14D8B">
        <w:t>“</w:t>
      </w:r>
      <w:r>
        <w:t>[e]</w:t>
      </w:r>
      <w:r w:rsidRPr="00C14D8B">
        <w:t>nergy efficiency savings must be clearly and easily measurable.”</w:t>
      </w:r>
      <w:r w:rsidRPr="00C14D8B">
        <w:rPr>
          <w:rStyle w:val="FootnoteReference"/>
        </w:rPr>
        <w:footnoteReference w:id="18"/>
      </w:r>
    </w:p>
    <w:p w:rsidR="00B9190D" w:rsidRDefault="00B9190D" w:rsidP="00A45765">
      <w:pPr>
        <w:autoSpaceDE w:val="0"/>
        <w:autoSpaceDN w:val="0"/>
        <w:adjustRightInd w:val="0"/>
        <w:spacing w:line="480" w:lineRule="auto"/>
        <w:ind w:left="720"/>
      </w:pPr>
    </w:p>
    <w:p w:rsidR="00B9190D" w:rsidRPr="00E61A5D" w:rsidRDefault="00B9190D" w:rsidP="00DA194E">
      <w:pPr>
        <w:autoSpaceDE w:val="0"/>
        <w:autoSpaceDN w:val="0"/>
        <w:adjustRightInd w:val="0"/>
        <w:spacing w:line="480" w:lineRule="auto"/>
        <w:ind w:left="720" w:hanging="720"/>
        <w:rPr>
          <w:b/>
          <w:bCs/>
          <w:i/>
          <w:iCs/>
        </w:rPr>
      </w:pPr>
      <w:r w:rsidRPr="00E61A5D">
        <w:rPr>
          <w:b/>
          <w:bCs/>
          <w:i/>
          <w:iCs/>
        </w:rPr>
        <w:t>Q</w:t>
      </w:r>
      <w:r>
        <w:rPr>
          <w:b/>
          <w:bCs/>
          <w:i/>
          <w:iCs/>
        </w:rPr>
        <w:t>21</w:t>
      </w:r>
      <w:r w:rsidRPr="00E61A5D">
        <w:rPr>
          <w:b/>
          <w:bCs/>
          <w:i/>
          <w:iCs/>
        </w:rPr>
        <w:t>.</w:t>
      </w:r>
      <w:r w:rsidRPr="00E61A5D">
        <w:rPr>
          <w:b/>
          <w:bCs/>
          <w:i/>
          <w:iCs/>
        </w:rPr>
        <w:tab/>
      </w:r>
      <w:r>
        <w:rPr>
          <w:b/>
          <w:bCs/>
          <w:i/>
          <w:iCs/>
        </w:rPr>
        <w:t>WHY IS THE CALCULATION OF THE SHARED SAVINGS INCENTIVE ON AN AFTER TAX BASIS A CONCERN</w:t>
      </w:r>
      <w:r w:rsidRPr="00E61A5D">
        <w:rPr>
          <w:b/>
          <w:bCs/>
          <w:i/>
          <w:iCs/>
        </w:rPr>
        <w:t>?</w:t>
      </w:r>
    </w:p>
    <w:p w:rsidR="00B9190D" w:rsidRDefault="00B9190D" w:rsidP="00282190">
      <w:pPr>
        <w:pStyle w:val="BodyTextIndent3"/>
        <w:widowControl w:val="0"/>
        <w:spacing w:after="0" w:line="480" w:lineRule="auto"/>
        <w:ind w:left="720" w:right="-29" w:hanging="720"/>
        <w:rPr>
          <w:sz w:val="24"/>
          <w:szCs w:val="24"/>
        </w:rPr>
      </w:pPr>
      <w:r w:rsidRPr="00A5664E">
        <w:rPr>
          <w:b/>
          <w:bCs/>
          <w:i/>
          <w:iCs/>
          <w:sz w:val="24"/>
          <w:szCs w:val="24"/>
        </w:rPr>
        <w:t>A</w:t>
      </w:r>
      <w:r>
        <w:rPr>
          <w:b/>
          <w:bCs/>
          <w:i/>
          <w:iCs/>
          <w:sz w:val="24"/>
          <w:szCs w:val="24"/>
        </w:rPr>
        <w:t>21</w:t>
      </w:r>
      <w:r w:rsidRPr="00A5664E">
        <w:rPr>
          <w:b/>
          <w:bCs/>
          <w:i/>
          <w:iCs/>
          <w:sz w:val="24"/>
          <w:szCs w:val="24"/>
        </w:rPr>
        <w:t>.</w:t>
      </w:r>
      <w:r w:rsidRPr="00E61A5D">
        <w:rPr>
          <w:sz w:val="24"/>
          <w:szCs w:val="24"/>
        </w:rPr>
        <w:tab/>
      </w:r>
      <w:r>
        <w:rPr>
          <w:sz w:val="24"/>
          <w:szCs w:val="24"/>
        </w:rPr>
        <w:t>Using an after tax calculation means that customers are not only paying the Companies an incentive on their shared savings, but are also being asked to pay for</w:t>
      </w:r>
      <w:r w:rsidR="00DC5AA6">
        <w:rPr>
          <w:sz w:val="24"/>
          <w:szCs w:val="24"/>
        </w:rPr>
        <w:t xml:space="preserve"> </w:t>
      </w:r>
      <w:r>
        <w:rPr>
          <w:sz w:val="24"/>
          <w:szCs w:val="24"/>
        </w:rPr>
        <w:t xml:space="preserve">the Companies’ tax liability. </w:t>
      </w:r>
    </w:p>
    <w:p w:rsidR="00B9190D" w:rsidRPr="00564D3F" w:rsidRDefault="00B9190D" w:rsidP="00A94931">
      <w:pPr>
        <w:pStyle w:val="BodyTextIndent3"/>
        <w:widowControl w:val="0"/>
        <w:spacing w:after="0" w:line="480" w:lineRule="auto"/>
        <w:ind w:left="720" w:right="-29" w:hanging="720"/>
        <w:rPr>
          <w:sz w:val="24"/>
          <w:szCs w:val="24"/>
        </w:rPr>
      </w:pPr>
    </w:p>
    <w:p w:rsidR="00B9190D" w:rsidRPr="00E61A5D" w:rsidRDefault="00B9190D" w:rsidP="007405D7">
      <w:pPr>
        <w:pStyle w:val="BodyTextIndent3"/>
        <w:widowControl w:val="0"/>
        <w:spacing w:after="0" w:line="480" w:lineRule="auto"/>
        <w:ind w:left="720" w:right="-29" w:hanging="720"/>
        <w:rPr>
          <w:b/>
          <w:bCs/>
          <w:i/>
          <w:iCs/>
          <w:sz w:val="24"/>
          <w:szCs w:val="24"/>
        </w:rPr>
      </w:pPr>
      <w:r w:rsidRPr="00E61A5D">
        <w:rPr>
          <w:b/>
          <w:bCs/>
          <w:i/>
          <w:iCs/>
          <w:sz w:val="24"/>
          <w:szCs w:val="24"/>
        </w:rPr>
        <w:t>Q</w:t>
      </w:r>
      <w:r>
        <w:rPr>
          <w:b/>
          <w:bCs/>
          <w:i/>
          <w:iCs/>
          <w:sz w:val="24"/>
          <w:szCs w:val="24"/>
        </w:rPr>
        <w:t>22</w:t>
      </w:r>
      <w:r w:rsidRPr="00E61A5D">
        <w:rPr>
          <w:b/>
          <w:bCs/>
          <w:i/>
          <w:iCs/>
          <w:sz w:val="24"/>
          <w:szCs w:val="24"/>
        </w:rPr>
        <w:t>.</w:t>
      </w:r>
      <w:r w:rsidRPr="00E61A5D">
        <w:rPr>
          <w:b/>
          <w:bCs/>
          <w:i/>
          <w:iCs/>
          <w:sz w:val="24"/>
          <w:szCs w:val="24"/>
        </w:rPr>
        <w:tab/>
      </w:r>
      <w:r>
        <w:rPr>
          <w:b/>
          <w:bCs/>
          <w:i/>
          <w:iCs/>
          <w:sz w:val="24"/>
          <w:szCs w:val="24"/>
        </w:rPr>
        <w:t>WHY DOES THE LACK OF AN OVERALL “HARD” DOLLAR CAP IN THE</w:t>
      </w:r>
      <w:r w:rsidR="00A13706">
        <w:rPr>
          <w:b/>
          <w:bCs/>
          <w:i/>
          <w:iCs/>
          <w:sz w:val="24"/>
          <w:szCs w:val="24"/>
        </w:rPr>
        <w:t xml:space="preserve"> </w:t>
      </w:r>
      <w:r>
        <w:rPr>
          <w:b/>
          <w:bCs/>
          <w:i/>
          <w:iCs/>
          <w:sz w:val="24"/>
          <w:szCs w:val="24"/>
        </w:rPr>
        <w:t>COMPANIES’ SHARED SAVINGS PROPOSAL POTENTIALLY PUT CUSTOMERS AT RISK</w:t>
      </w:r>
      <w:r w:rsidRPr="00E61A5D">
        <w:rPr>
          <w:b/>
          <w:bCs/>
          <w:i/>
          <w:iCs/>
          <w:sz w:val="24"/>
          <w:szCs w:val="24"/>
        </w:rPr>
        <w:t>?</w:t>
      </w:r>
    </w:p>
    <w:p w:rsidR="00B9190D" w:rsidRDefault="00B9190D" w:rsidP="00114CD3">
      <w:pPr>
        <w:autoSpaceDE w:val="0"/>
        <w:autoSpaceDN w:val="0"/>
        <w:adjustRightInd w:val="0"/>
        <w:spacing w:line="480" w:lineRule="auto"/>
        <w:ind w:left="720" w:hanging="720"/>
      </w:pPr>
      <w:r w:rsidRPr="00A5664E">
        <w:rPr>
          <w:b/>
          <w:bCs/>
          <w:i/>
          <w:iCs/>
        </w:rPr>
        <w:t>A</w:t>
      </w:r>
      <w:r>
        <w:rPr>
          <w:b/>
          <w:bCs/>
          <w:i/>
          <w:iCs/>
        </w:rPr>
        <w:t>22</w:t>
      </w:r>
      <w:r w:rsidRPr="00A5664E">
        <w:rPr>
          <w:b/>
          <w:bCs/>
          <w:i/>
          <w:iCs/>
        </w:rPr>
        <w:t>.</w:t>
      </w:r>
      <w:r w:rsidRPr="00E61A5D">
        <w:tab/>
      </w:r>
      <w:r>
        <w:t>A hard dollar cap means that no matter what the utility shared savings award is according to the level of savings reached above the annual state requirement, it cannot exceed a pre-determined dollar amount.  A hard cap protects consumers from paying for excessive profits</w:t>
      </w:r>
      <w:r>
        <w:rPr>
          <w:b/>
          <w:bCs/>
        </w:rPr>
        <w:t>,</w:t>
      </w:r>
      <w:r>
        <w:t xml:space="preserve"> or other unintended negative consequences of a shared savings type mechanism.  For example, an unexpected and unprecedented increase in avoided costs or the introduction of a revolutionary technology lowering cost and/or increasing savings may lead to excessive utility returns on its EE/PDR expenditures.  A disparaging front-page headline could lead to customer backlash, and an adverse reception to the Companies’ energy efficiency programs.  To this end, both of the incentive mechanisms contained in the PUCO Staff’s Proposal for Incentivizing Utility Energy Efficiency Performance contained a hard cap.</w:t>
      </w:r>
      <w:r>
        <w:rPr>
          <w:rStyle w:val="FootnoteReference"/>
        </w:rPr>
        <w:footnoteReference w:id="19"/>
      </w:r>
    </w:p>
    <w:p w:rsidR="00B9190D" w:rsidRDefault="00B9190D" w:rsidP="00A45765">
      <w:pPr>
        <w:autoSpaceDE w:val="0"/>
        <w:autoSpaceDN w:val="0"/>
        <w:adjustRightInd w:val="0"/>
        <w:spacing w:line="480" w:lineRule="auto"/>
        <w:ind w:left="720" w:hanging="720"/>
      </w:pPr>
    </w:p>
    <w:p w:rsidR="00B9190D" w:rsidRPr="00E61A5D" w:rsidRDefault="00B9190D" w:rsidP="00114CD3">
      <w:pPr>
        <w:autoSpaceDE w:val="0"/>
        <w:autoSpaceDN w:val="0"/>
        <w:adjustRightInd w:val="0"/>
        <w:spacing w:line="480" w:lineRule="auto"/>
        <w:ind w:left="720" w:hanging="720"/>
        <w:rPr>
          <w:b/>
          <w:bCs/>
          <w:i/>
          <w:iCs/>
        </w:rPr>
      </w:pPr>
      <w:r w:rsidRPr="00E61A5D">
        <w:rPr>
          <w:b/>
          <w:bCs/>
          <w:i/>
          <w:iCs/>
        </w:rPr>
        <w:t>Q</w:t>
      </w:r>
      <w:r>
        <w:rPr>
          <w:b/>
          <w:bCs/>
          <w:i/>
          <w:iCs/>
        </w:rPr>
        <w:t>23</w:t>
      </w:r>
      <w:r w:rsidRPr="00E61A5D">
        <w:rPr>
          <w:b/>
          <w:bCs/>
          <w:i/>
          <w:iCs/>
        </w:rPr>
        <w:t>.</w:t>
      </w:r>
      <w:r w:rsidRPr="00E61A5D">
        <w:rPr>
          <w:b/>
          <w:bCs/>
          <w:i/>
          <w:iCs/>
        </w:rPr>
        <w:tab/>
      </w:r>
      <w:r>
        <w:rPr>
          <w:b/>
          <w:bCs/>
          <w:i/>
          <w:iCs/>
        </w:rPr>
        <w:t>DO OTHER PARTIES IN THIS CASE SUPPORT CAPPING THE COMPANIES’ DOLLAR INCENTIVE</w:t>
      </w:r>
      <w:r w:rsidRPr="00E61A5D">
        <w:rPr>
          <w:b/>
          <w:bCs/>
          <w:i/>
          <w:iCs/>
        </w:rPr>
        <w:t>?</w:t>
      </w:r>
    </w:p>
    <w:p w:rsidR="00B9190D" w:rsidRDefault="00B9190D" w:rsidP="007405D7">
      <w:pPr>
        <w:pStyle w:val="BodyTextIndent3"/>
        <w:widowControl w:val="0"/>
        <w:spacing w:after="0" w:line="480" w:lineRule="auto"/>
        <w:ind w:left="720" w:right="-29" w:hanging="720"/>
        <w:rPr>
          <w:sz w:val="24"/>
          <w:szCs w:val="24"/>
        </w:rPr>
      </w:pPr>
      <w:r w:rsidRPr="00A5664E">
        <w:rPr>
          <w:b/>
          <w:bCs/>
          <w:i/>
          <w:iCs/>
          <w:sz w:val="24"/>
          <w:szCs w:val="24"/>
        </w:rPr>
        <w:t>A</w:t>
      </w:r>
      <w:r>
        <w:rPr>
          <w:b/>
          <w:bCs/>
          <w:i/>
          <w:iCs/>
          <w:sz w:val="24"/>
          <w:szCs w:val="24"/>
        </w:rPr>
        <w:t>23</w:t>
      </w:r>
      <w:r w:rsidRPr="00A5664E">
        <w:rPr>
          <w:b/>
          <w:bCs/>
          <w:i/>
          <w:iCs/>
          <w:sz w:val="24"/>
          <w:szCs w:val="24"/>
        </w:rPr>
        <w:t>.</w:t>
      </w:r>
      <w:r w:rsidRPr="00E61A5D">
        <w:rPr>
          <w:sz w:val="24"/>
          <w:szCs w:val="24"/>
        </w:rPr>
        <w:tab/>
      </w:r>
      <w:r>
        <w:rPr>
          <w:sz w:val="24"/>
          <w:szCs w:val="24"/>
        </w:rPr>
        <w:t>Yes</w:t>
      </w:r>
      <w:r w:rsidRPr="00E61A5D">
        <w:rPr>
          <w:sz w:val="24"/>
          <w:szCs w:val="24"/>
        </w:rPr>
        <w:t>.</w:t>
      </w:r>
      <w:r>
        <w:rPr>
          <w:sz w:val="24"/>
          <w:szCs w:val="24"/>
        </w:rPr>
        <w:t xml:space="preserve">  Four of the five parties that commented on the cap issue in their respective Objections in this case supported a cap, if the Companies’ proposed incentive is approved by the Commission.</w:t>
      </w:r>
      <w:r>
        <w:rPr>
          <w:rStyle w:val="FootnoteReference"/>
          <w:sz w:val="24"/>
          <w:szCs w:val="24"/>
        </w:rPr>
        <w:footnoteReference w:id="20"/>
      </w:r>
    </w:p>
    <w:p w:rsidR="00B9190D" w:rsidRDefault="00B9190D" w:rsidP="007405D7">
      <w:pPr>
        <w:pStyle w:val="BodyTextIndent3"/>
        <w:widowControl w:val="0"/>
        <w:spacing w:after="0" w:line="480" w:lineRule="auto"/>
        <w:ind w:left="720" w:right="-29" w:hanging="720"/>
        <w:rPr>
          <w:sz w:val="24"/>
          <w:szCs w:val="24"/>
        </w:rPr>
      </w:pPr>
    </w:p>
    <w:p w:rsidR="00B9190D" w:rsidRPr="002B4A5C" w:rsidRDefault="00B9190D" w:rsidP="007405D7">
      <w:pPr>
        <w:pStyle w:val="BodyTextIndent3"/>
        <w:widowControl w:val="0"/>
        <w:spacing w:after="0" w:line="480" w:lineRule="auto"/>
        <w:ind w:left="720" w:right="-29" w:hanging="720"/>
        <w:rPr>
          <w:b/>
          <w:bCs/>
          <w:i/>
          <w:iCs/>
          <w:sz w:val="24"/>
          <w:szCs w:val="24"/>
        </w:rPr>
      </w:pPr>
      <w:r w:rsidRPr="002B4A5C">
        <w:rPr>
          <w:b/>
          <w:bCs/>
          <w:i/>
          <w:iCs/>
          <w:sz w:val="24"/>
          <w:szCs w:val="24"/>
        </w:rPr>
        <w:t>Q</w:t>
      </w:r>
      <w:r>
        <w:rPr>
          <w:b/>
          <w:bCs/>
          <w:i/>
          <w:iCs/>
          <w:sz w:val="24"/>
          <w:szCs w:val="24"/>
        </w:rPr>
        <w:t>24.</w:t>
      </w:r>
      <w:r>
        <w:rPr>
          <w:b/>
          <w:bCs/>
          <w:i/>
          <w:iCs/>
          <w:sz w:val="24"/>
          <w:szCs w:val="24"/>
        </w:rPr>
        <w:tab/>
        <w:t xml:space="preserve">ARE YOU PROPOSING A SPECIFIC HARD CAP IN THIS CASE?  </w:t>
      </w:r>
    </w:p>
    <w:p w:rsidR="00B9190D" w:rsidRPr="002F60AE" w:rsidRDefault="00B9190D" w:rsidP="00A13706">
      <w:pPr>
        <w:autoSpaceDE w:val="0"/>
        <w:autoSpaceDN w:val="0"/>
        <w:adjustRightInd w:val="0"/>
        <w:spacing w:line="480" w:lineRule="auto"/>
        <w:ind w:left="720" w:hanging="720"/>
        <w:rPr>
          <w:sz w:val="23"/>
          <w:szCs w:val="23"/>
        </w:rPr>
      </w:pPr>
      <w:r w:rsidRPr="00314058">
        <w:rPr>
          <w:b/>
          <w:bCs/>
          <w:i/>
          <w:iCs/>
        </w:rPr>
        <w:t>A2</w:t>
      </w:r>
      <w:r>
        <w:rPr>
          <w:b/>
          <w:bCs/>
          <w:i/>
          <w:iCs/>
        </w:rPr>
        <w:t>4</w:t>
      </w:r>
      <w:r w:rsidRPr="007851FA">
        <w:rPr>
          <w:i/>
          <w:iCs/>
        </w:rPr>
        <w:t>.</w:t>
      </w:r>
      <w:r>
        <w:tab/>
      </w:r>
      <w:r w:rsidRPr="00564D3F">
        <w:t>Yes.   T</w:t>
      </w:r>
      <w:r>
        <w:rPr>
          <w:sz w:val="23"/>
          <w:szCs w:val="23"/>
        </w:rPr>
        <w:t xml:space="preserve">he incentive mechanism should have at most an eight percent overall before-tax cap. </w:t>
      </w:r>
      <w:r w:rsidRPr="00564D3F">
        <w:t>The</w:t>
      </w:r>
      <w:r>
        <w:t xml:space="preserve"> </w:t>
      </w:r>
      <w:r w:rsidRPr="00564D3F">
        <w:t>eight percent</w:t>
      </w:r>
      <w:r>
        <w:t xml:space="preserve"> level</w:t>
      </w:r>
      <w:r w:rsidRPr="00564D3F">
        <w:t xml:space="preserve"> is within the range being offered to other utilities nationwide.</w:t>
      </w:r>
      <w:r w:rsidRPr="00170722">
        <w:rPr>
          <w:rStyle w:val="FootnoteReference"/>
        </w:rPr>
        <w:footnoteReference w:id="21"/>
      </w:r>
    </w:p>
    <w:p w:rsidR="00B9190D" w:rsidRPr="00E61A5D" w:rsidRDefault="00B9190D" w:rsidP="005E697C">
      <w:pPr>
        <w:autoSpaceDE w:val="0"/>
        <w:autoSpaceDN w:val="0"/>
        <w:adjustRightInd w:val="0"/>
        <w:spacing w:line="480" w:lineRule="auto"/>
        <w:ind w:left="720" w:hanging="720"/>
        <w:rPr>
          <w:b/>
          <w:bCs/>
          <w:i/>
          <w:iCs/>
        </w:rPr>
      </w:pPr>
      <w:r>
        <w:br w:type="page"/>
      </w:r>
      <w:r w:rsidRPr="00E61A5D">
        <w:rPr>
          <w:b/>
          <w:bCs/>
          <w:i/>
          <w:iCs/>
        </w:rPr>
        <w:t>Q</w:t>
      </w:r>
      <w:r>
        <w:rPr>
          <w:b/>
          <w:bCs/>
          <w:i/>
          <w:iCs/>
        </w:rPr>
        <w:t>25</w:t>
      </w:r>
      <w:r w:rsidRPr="00E61A5D">
        <w:rPr>
          <w:b/>
          <w:bCs/>
          <w:i/>
          <w:iCs/>
        </w:rPr>
        <w:t>.</w:t>
      </w:r>
      <w:r w:rsidRPr="00E61A5D">
        <w:rPr>
          <w:b/>
          <w:bCs/>
          <w:i/>
          <w:iCs/>
        </w:rPr>
        <w:tab/>
      </w:r>
      <w:r>
        <w:rPr>
          <w:b/>
          <w:bCs/>
          <w:i/>
          <w:iCs/>
        </w:rPr>
        <w:t xml:space="preserve">DO YOU RECOMMEND ANY FURTHER ADJUSTMENTS TO THE FIRSTENERGY SHARED SAVINGS PROPOSAL? </w:t>
      </w:r>
    </w:p>
    <w:p w:rsidR="00B9190D" w:rsidRDefault="00B9190D" w:rsidP="005E697C">
      <w:pPr>
        <w:autoSpaceDE w:val="0"/>
        <w:autoSpaceDN w:val="0"/>
        <w:adjustRightInd w:val="0"/>
        <w:spacing w:line="480" w:lineRule="auto"/>
        <w:ind w:left="720" w:hanging="720"/>
      </w:pPr>
      <w:r w:rsidRPr="00A5664E">
        <w:rPr>
          <w:b/>
          <w:bCs/>
          <w:i/>
          <w:iCs/>
        </w:rPr>
        <w:t>A2</w:t>
      </w:r>
      <w:r>
        <w:rPr>
          <w:b/>
          <w:bCs/>
          <w:i/>
          <w:iCs/>
        </w:rPr>
        <w:t>5</w:t>
      </w:r>
      <w:r w:rsidRPr="00A5664E">
        <w:rPr>
          <w:b/>
          <w:bCs/>
          <w:i/>
          <w:iCs/>
        </w:rPr>
        <w:t>.</w:t>
      </w:r>
      <w:r w:rsidRPr="00E61A5D">
        <w:tab/>
      </w:r>
      <w:r w:rsidRPr="00BF6A4B">
        <w:t xml:space="preserve">Yes.  </w:t>
      </w:r>
      <w:bookmarkStart w:id="12" w:name="_Toc259110285"/>
      <w:r w:rsidRPr="00BF6A4B">
        <w:t xml:space="preserve">Given the poor performance of FirstEnergy’s energy efficiency bid into the PJM </w:t>
      </w:r>
      <w:r>
        <w:t xml:space="preserve">RPM </w:t>
      </w:r>
      <w:r w:rsidRPr="00BF6A4B">
        <w:t xml:space="preserve">BRA for 2015/2016, the shared savings capacity benefit should be discounted by </w:t>
      </w:r>
      <w:r>
        <w:t>45</w:t>
      </w:r>
      <w:r w:rsidRPr="00BF6A4B">
        <w:t>% in the first year any incentive is triggered.</w:t>
      </w:r>
      <w:r w:rsidR="00A13706">
        <w:t xml:space="preserve">  </w:t>
      </w:r>
      <w:r w:rsidRPr="00BF6A4B">
        <w:t xml:space="preserve">Specifically, </w:t>
      </w:r>
      <w:r w:rsidRPr="003F51CC">
        <w:t>the FirstEnergy Companies bid only 36 MW of energy efficiency resources into</w:t>
      </w:r>
      <w:r w:rsidR="00A13706">
        <w:t xml:space="preserve"> </w:t>
      </w:r>
      <w:r w:rsidRPr="003F51CC">
        <w:t>the PJM 2015/16 BRA auction on May 7, 2012.</w:t>
      </w:r>
      <w:r w:rsidRPr="003F51CC">
        <w:rPr>
          <w:rStyle w:val="FootnoteReference"/>
        </w:rPr>
        <w:footnoteReference w:id="22"/>
      </w:r>
      <w:r>
        <w:t xml:space="preserve">  The base residual auction determines what customers pay for capacity in any given year.</w:t>
      </w:r>
      <w:r w:rsidR="00A13706">
        <w:t xml:space="preserve">  </w:t>
      </w:r>
      <w:r>
        <w:t xml:space="preserve">FirstEnergy’s bid of 36 MW </w:t>
      </w:r>
      <w:r w:rsidRPr="003F51CC">
        <w:t>was</w:t>
      </w:r>
      <w:r w:rsidR="00A13706">
        <w:t xml:space="preserve"> </w:t>
      </w:r>
      <w:r>
        <w:t>55 percent of</w:t>
      </w:r>
      <w:r w:rsidRPr="003F51CC">
        <w:t xml:space="preserve"> the 65 MW identified by the </w:t>
      </w:r>
      <w:r>
        <w:t xml:space="preserve">Companies </w:t>
      </w:r>
      <w:r w:rsidRPr="003F51CC">
        <w:t>that could have been bid.</w:t>
      </w:r>
      <w:r w:rsidRPr="003F51CC">
        <w:rPr>
          <w:rStyle w:val="FootnoteReference"/>
        </w:rPr>
        <w:footnoteReference w:id="23"/>
      </w:r>
      <w:r>
        <w:t xml:space="preserve"> The result of FirstEnergy bidding only 36 MW was that Ohio customers could end up paying significantly more for capacity for the PJM year 2015/2016.</w:t>
      </w:r>
    </w:p>
    <w:p w:rsidR="00B9190D" w:rsidRDefault="00B9190D" w:rsidP="005E697C">
      <w:pPr>
        <w:autoSpaceDE w:val="0"/>
        <w:autoSpaceDN w:val="0"/>
        <w:adjustRightInd w:val="0"/>
        <w:spacing w:line="480" w:lineRule="auto"/>
        <w:ind w:left="720" w:hanging="720"/>
      </w:pPr>
    </w:p>
    <w:p w:rsidR="00B47634" w:rsidRDefault="00B9190D" w:rsidP="00075199">
      <w:pPr>
        <w:autoSpaceDE w:val="0"/>
        <w:autoSpaceDN w:val="0"/>
        <w:adjustRightInd w:val="0"/>
        <w:spacing w:line="480" w:lineRule="auto"/>
        <w:ind w:left="720"/>
      </w:pPr>
      <w:r>
        <w:t>I</w:t>
      </w:r>
      <w:r w:rsidRPr="003F51CC">
        <w:t>n</w:t>
      </w:r>
      <w:r>
        <w:t xml:space="preserve"> </w:t>
      </w:r>
      <w:r w:rsidRPr="003F51CC">
        <w:t xml:space="preserve">FirstEnergy’s Portfolio plan, the </w:t>
      </w:r>
      <w:r>
        <w:t xml:space="preserve">Companies </w:t>
      </w:r>
      <w:r w:rsidRPr="003F51CC">
        <w:t>estimated that</w:t>
      </w:r>
      <w:r>
        <w:t>,</w:t>
      </w:r>
      <w:r w:rsidRPr="003F51CC">
        <w:t xml:space="preserve"> by 2015, the plan will yield 658.3</w:t>
      </w:r>
      <w:r w:rsidR="00A13706">
        <w:t xml:space="preserve"> </w:t>
      </w:r>
      <w:r w:rsidRPr="003F51CC">
        <w:t>MWs (or 460.3 MWs minus the large Mercantile projects).</w:t>
      </w:r>
      <w:r w:rsidRPr="003F51CC">
        <w:rPr>
          <w:rStyle w:val="FootnoteReference"/>
        </w:rPr>
        <w:footnoteReference w:id="24"/>
      </w:r>
      <w:r w:rsidRPr="003F51CC">
        <w:t xml:space="preserve">  A shared savings</w:t>
      </w:r>
      <w:r>
        <w:t xml:space="preserve"> </w:t>
      </w:r>
      <w:r w:rsidRPr="003F51CC">
        <w:t>mechanism rewards a utility for capturing for its customers the value of avoided energy,</w:t>
      </w:r>
      <w:r>
        <w:t xml:space="preserve"> </w:t>
      </w:r>
      <w:r w:rsidRPr="003F51CC">
        <w:t>capacity, and transmission and distribution savings from their energy efficiency</w:t>
      </w:r>
      <w:r>
        <w:t xml:space="preserve"> </w:t>
      </w:r>
      <w:r w:rsidRPr="003F51CC">
        <w:t>and peak demand reduction programs.</w:t>
      </w:r>
      <w:r>
        <w:t xml:space="preserve">  Since t</w:t>
      </w:r>
      <w:r w:rsidRPr="003F51CC">
        <w:t>he</w:t>
      </w:r>
      <w:r>
        <w:t xml:space="preserve"> Companies</w:t>
      </w:r>
      <w:r w:rsidRPr="003F51CC">
        <w:t xml:space="preserve"> failed to capture substantial capacity benefits for</w:t>
      </w:r>
      <w:r>
        <w:t xml:space="preserve"> </w:t>
      </w:r>
      <w:r w:rsidRPr="003F51CC">
        <w:t>customers in the 2015/2016 PJM Base Residual Auction</w:t>
      </w:r>
      <w:r>
        <w:t xml:space="preserve"> (by </w:t>
      </w:r>
      <w:r w:rsidRPr="003F51CC">
        <w:t>bidding in a mere 36 MWs</w:t>
      </w:r>
      <w:r>
        <w:t>),</w:t>
      </w:r>
      <w:r w:rsidR="00DC5AA6">
        <w:t xml:space="preserve"> </w:t>
      </w:r>
      <w:r w:rsidRPr="003F51CC">
        <w:t>an</w:t>
      </w:r>
      <w:r>
        <w:t xml:space="preserve"> </w:t>
      </w:r>
      <w:r w:rsidRPr="003F51CC">
        <w:t xml:space="preserve">additional reduction in the calculated amount of the net avoided </w:t>
      </w:r>
    </w:p>
    <w:p w:rsidR="00B9190D" w:rsidRDefault="00B47634" w:rsidP="00075199">
      <w:pPr>
        <w:autoSpaceDE w:val="0"/>
        <w:autoSpaceDN w:val="0"/>
        <w:adjustRightInd w:val="0"/>
        <w:spacing w:line="480" w:lineRule="auto"/>
        <w:ind w:left="720"/>
      </w:pPr>
      <w:r>
        <w:br w:type="page"/>
      </w:r>
      <w:r w:rsidR="00B9190D" w:rsidRPr="003F51CC">
        <w:t>capacity benefit should</w:t>
      </w:r>
      <w:r w:rsidR="00B9190D">
        <w:t xml:space="preserve"> </w:t>
      </w:r>
      <w:r w:rsidR="00B9190D" w:rsidRPr="003F51CC">
        <w:t xml:space="preserve">be made. This adjustment </w:t>
      </w:r>
      <w:r w:rsidR="00B9190D">
        <w:t xml:space="preserve">recommended </w:t>
      </w:r>
      <w:r w:rsidR="00B9190D" w:rsidRPr="003F51CC">
        <w:t xml:space="preserve">would give customers </w:t>
      </w:r>
      <w:r w:rsidR="00B9190D">
        <w:t xml:space="preserve">back </w:t>
      </w:r>
      <w:r w:rsidR="00B9190D" w:rsidRPr="003F51CC">
        <w:t xml:space="preserve">some of their </w:t>
      </w:r>
      <w:r w:rsidR="00B9190D">
        <w:t xml:space="preserve">avoided capacity </w:t>
      </w:r>
      <w:r w:rsidR="00B9190D" w:rsidRPr="003F51CC">
        <w:t>benefi</w:t>
      </w:r>
      <w:r w:rsidR="00B9190D">
        <w:t>t that has been foregone due to the limited MWs bid into the PJM Base Residual Auction by FirstEnergy</w:t>
      </w:r>
      <w:r w:rsidR="00B9190D" w:rsidRPr="003F51CC">
        <w:t>.</w:t>
      </w:r>
    </w:p>
    <w:p w:rsidR="00A13706" w:rsidRDefault="00A13706" w:rsidP="00075199">
      <w:pPr>
        <w:autoSpaceDE w:val="0"/>
        <w:autoSpaceDN w:val="0"/>
        <w:adjustRightInd w:val="0"/>
        <w:spacing w:line="480" w:lineRule="auto"/>
        <w:ind w:left="720"/>
      </w:pPr>
    </w:p>
    <w:p w:rsidR="00B9190D" w:rsidRPr="002F60AE" w:rsidRDefault="00B9190D" w:rsidP="00A13706">
      <w:pPr>
        <w:pStyle w:val="Heading1"/>
      </w:pPr>
      <w:bookmarkStart w:id="13" w:name="_Toc337216654"/>
      <w:bookmarkEnd w:id="12"/>
      <w:r w:rsidRPr="002F60AE">
        <w:t>Bidding Energy Efficiency and Load Management Resources into Future PJM RPM</w:t>
      </w:r>
      <w:r>
        <w:t xml:space="preserve"> </w:t>
      </w:r>
      <w:r w:rsidRPr="002F60AE">
        <w:t>B</w:t>
      </w:r>
      <w:r>
        <w:t>ASE RESIDUAL AUCTIONS</w:t>
      </w:r>
      <w:r w:rsidRPr="002F60AE">
        <w:t>.</w:t>
      </w:r>
      <w:bookmarkEnd w:id="13"/>
    </w:p>
    <w:p w:rsidR="00B9190D" w:rsidRPr="00314058" w:rsidRDefault="00B9190D" w:rsidP="00314058">
      <w:pPr>
        <w:spacing w:line="480" w:lineRule="auto"/>
      </w:pPr>
    </w:p>
    <w:p w:rsidR="00B9190D" w:rsidRDefault="00B9190D" w:rsidP="00314058">
      <w:pPr>
        <w:spacing w:line="480" w:lineRule="auto"/>
        <w:ind w:left="720" w:hanging="720"/>
        <w:rPr>
          <w:b/>
          <w:bCs/>
          <w:i/>
          <w:iCs/>
        </w:rPr>
      </w:pPr>
      <w:r>
        <w:rPr>
          <w:b/>
          <w:bCs/>
          <w:i/>
          <w:iCs/>
        </w:rPr>
        <w:t>Q26.</w:t>
      </w:r>
      <w:r>
        <w:rPr>
          <w:b/>
          <w:bCs/>
          <w:i/>
          <w:iCs/>
        </w:rPr>
        <w:tab/>
        <w:t>CAN THE ELECTRICITY DEMAND SAVINGS GENERATED FROM A UTILITY’S ENERGY EFFICIENCY AND LOAD MANAGEMENT PROGRAMS BE BID INTO THE PJM RPM BASE RESIDUAL AUCTIONS</w:t>
      </w:r>
      <w:r w:rsidRPr="00454A08">
        <w:rPr>
          <w:b/>
          <w:bCs/>
          <w:i/>
          <w:iCs/>
        </w:rPr>
        <w:t>?</w:t>
      </w:r>
    </w:p>
    <w:p w:rsidR="00B9190D" w:rsidRPr="00054991" w:rsidRDefault="00B9190D" w:rsidP="007405D7">
      <w:pPr>
        <w:spacing w:line="480" w:lineRule="auto"/>
        <w:ind w:left="720" w:hanging="720"/>
      </w:pPr>
      <w:r>
        <w:rPr>
          <w:b/>
          <w:bCs/>
          <w:i/>
          <w:iCs/>
        </w:rPr>
        <w:t>A26.</w:t>
      </w:r>
      <w:r w:rsidRPr="00054991">
        <w:rPr>
          <w:i/>
          <w:iCs/>
        </w:rPr>
        <w:tab/>
      </w:r>
      <w:r>
        <w:t xml:space="preserve">Yes.  The demand saving from utility energy efficiency and load management programs can be bid into the base residual auctions as long as the savings from the programs have a PJM approved Measurement &amp; Verification plan.  The programs must comply with </w:t>
      </w:r>
      <w:r w:rsidRPr="00C6413B">
        <w:t>the Measurement &amp; Verification (“M&amp;V”) protocols in PJM Manual 18b for energy efficiency resources</w:t>
      </w:r>
      <w:r>
        <w:t>,</w:t>
      </w:r>
      <w:r w:rsidRPr="00C6413B">
        <w:t xml:space="preserve"> and PJM Manual 18 Section 4.3, Load Management Products (and all PJM manuals referred therein) for load management resources</w:t>
      </w:r>
      <w:r>
        <w:t xml:space="preserve"> (“LM”)</w:t>
      </w:r>
      <w:r w:rsidRPr="00C6413B">
        <w:t>.</w:t>
      </w:r>
      <w:r>
        <w:rPr>
          <w:rStyle w:val="FootnoteReference"/>
        </w:rPr>
        <w:footnoteReference w:id="25"/>
      </w:r>
    </w:p>
    <w:p w:rsidR="00B9190D" w:rsidRDefault="00B9190D" w:rsidP="00075199">
      <w:pPr>
        <w:spacing w:line="480" w:lineRule="auto"/>
        <w:rPr>
          <w:b/>
          <w:bCs/>
          <w:i/>
          <w:iCs/>
        </w:rPr>
      </w:pPr>
    </w:p>
    <w:p w:rsidR="00B9190D" w:rsidRPr="003E710C" w:rsidRDefault="00B9190D" w:rsidP="007405D7">
      <w:pPr>
        <w:spacing w:line="480" w:lineRule="auto"/>
        <w:ind w:left="720" w:hanging="720"/>
        <w:rPr>
          <w:b/>
          <w:bCs/>
          <w:i/>
          <w:iCs/>
        </w:rPr>
      </w:pPr>
      <w:r w:rsidRPr="003E710C">
        <w:rPr>
          <w:b/>
          <w:bCs/>
          <w:i/>
          <w:iCs/>
        </w:rPr>
        <w:t>Q2</w:t>
      </w:r>
      <w:r>
        <w:rPr>
          <w:b/>
          <w:bCs/>
          <w:i/>
          <w:iCs/>
        </w:rPr>
        <w:t>7</w:t>
      </w:r>
      <w:r w:rsidRPr="003E710C">
        <w:rPr>
          <w:b/>
          <w:bCs/>
          <w:i/>
          <w:iCs/>
        </w:rPr>
        <w:t>.</w:t>
      </w:r>
      <w:r w:rsidRPr="003E710C">
        <w:rPr>
          <w:b/>
          <w:bCs/>
          <w:i/>
          <w:iCs/>
        </w:rPr>
        <w:tab/>
      </w:r>
      <w:r>
        <w:rPr>
          <w:b/>
          <w:bCs/>
          <w:i/>
          <w:iCs/>
        </w:rPr>
        <w:t>WHAT IS FIRSTENERGY’S COMMITMENT TO BIDDING THE ENERGY EFFICIENCY AND LOAD MANAGEMENT</w:t>
      </w:r>
      <w:r w:rsidR="00D550E0">
        <w:rPr>
          <w:b/>
          <w:bCs/>
          <w:i/>
          <w:iCs/>
        </w:rPr>
        <w:t xml:space="preserve"> </w:t>
      </w:r>
      <w:r>
        <w:rPr>
          <w:b/>
          <w:bCs/>
          <w:i/>
          <w:iCs/>
        </w:rPr>
        <w:t xml:space="preserve">RESOURCES GENERATED BY </w:t>
      </w:r>
      <w:r w:rsidR="000C50A1">
        <w:rPr>
          <w:b/>
          <w:bCs/>
          <w:i/>
          <w:iCs/>
        </w:rPr>
        <w:t>THE COMPANIES</w:t>
      </w:r>
      <w:r>
        <w:rPr>
          <w:b/>
          <w:bCs/>
          <w:i/>
          <w:iCs/>
        </w:rPr>
        <w:t xml:space="preserve"> PORTFOLIO INTO FUTURE PJM RPM BASE RESIDUAL AUCTION</w:t>
      </w:r>
      <w:r w:rsidRPr="003E710C">
        <w:rPr>
          <w:b/>
          <w:bCs/>
          <w:i/>
          <w:iCs/>
        </w:rPr>
        <w:t>?</w:t>
      </w:r>
    </w:p>
    <w:p w:rsidR="00B9190D" w:rsidRDefault="00B9190D" w:rsidP="007405D7">
      <w:pPr>
        <w:spacing w:line="480" w:lineRule="auto"/>
        <w:ind w:left="720" w:hanging="720"/>
      </w:pPr>
      <w:r w:rsidRPr="003E710C">
        <w:rPr>
          <w:b/>
          <w:bCs/>
          <w:i/>
          <w:iCs/>
        </w:rPr>
        <w:t>A2</w:t>
      </w:r>
      <w:r>
        <w:rPr>
          <w:b/>
          <w:bCs/>
          <w:i/>
          <w:iCs/>
        </w:rPr>
        <w:t>7</w:t>
      </w:r>
      <w:r w:rsidRPr="003E710C">
        <w:rPr>
          <w:b/>
          <w:bCs/>
          <w:i/>
          <w:iCs/>
        </w:rPr>
        <w:t>.</w:t>
      </w:r>
      <w:r>
        <w:tab/>
        <w:t>According to Companies’ witness Dargie, FirstEnergy’s plan for future BRA participating is to:</w:t>
      </w:r>
    </w:p>
    <w:p w:rsidR="00B9190D" w:rsidRDefault="00B9190D" w:rsidP="00314058">
      <w:pPr>
        <w:numPr>
          <w:ilvl w:val="0"/>
          <w:numId w:val="11"/>
        </w:numPr>
        <w:spacing w:line="480" w:lineRule="auto"/>
        <w:ind w:left="2160" w:right="720" w:hanging="720"/>
      </w:pPr>
      <w:r>
        <w:t>bid only installed energy efficiency and LM,</w:t>
      </w:r>
    </w:p>
    <w:p w:rsidR="00B9190D" w:rsidRDefault="00B9190D" w:rsidP="00314058">
      <w:pPr>
        <w:numPr>
          <w:ilvl w:val="0"/>
          <w:numId w:val="11"/>
        </w:numPr>
        <w:spacing w:line="480" w:lineRule="auto"/>
        <w:ind w:left="2160" w:right="720" w:hanging="720"/>
      </w:pPr>
      <w:r>
        <w:t>bid only energy efficiency and LM whose ownership rights are secured at the time of the PJM auction,</w:t>
      </w:r>
    </w:p>
    <w:p w:rsidR="00B9190D" w:rsidRDefault="00B9190D" w:rsidP="00314058">
      <w:pPr>
        <w:numPr>
          <w:ilvl w:val="0"/>
          <w:numId w:val="11"/>
        </w:numPr>
        <w:spacing w:line="480" w:lineRule="auto"/>
        <w:ind w:left="2160" w:right="720" w:hanging="720"/>
      </w:pPr>
      <w:r>
        <w:t xml:space="preserve">bid only projects of scale; and </w:t>
      </w:r>
    </w:p>
    <w:p w:rsidR="00B9190D" w:rsidRDefault="00B9190D" w:rsidP="00314058">
      <w:pPr>
        <w:numPr>
          <w:ilvl w:val="0"/>
          <w:numId w:val="11"/>
        </w:numPr>
        <w:spacing w:line="480" w:lineRule="auto"/>
        <w:ind w:left="2160" w:right="720" w:hanging="720"/>
      </w:pPr>
      <w:r>
        <w:t>bid only projects meeting PJM standard and that are approved by PJM.</w:t>
      </w:r>
      <w:r>
        <w:rPr>
          <w:rStyle w:val="FootnoteReference"/>
        </w:rPr>
        <w:footnoteReference w:id="26"/>
      </w:r>
    </w:p>
    <w:p w:rsidR="00B9190D" w:rsidRPr="00454A08" w:rsidRDefault="00B9190D" w:rsidP="007405D7">
      <w:pPr>
        <w:tabs>
          <w:tab w:val="left" w:pos="720"/>
        </w:tabs>
        <w:spacing w:line="480" w:lineRule="auto"/>
        <w:ind w:left="720" w:hanging="720"/>
        <w:rPr>
          <w:b/>
          <w:bCs/>
          <w:i/>
          <w:iCs/>
        </w:rPr>
      </w:pPr>
    </w:p>
    <w:p w:rsidR="00B9190D" w:rsidRPr="00454A08" w:rsidRDefault="00B9190D" w:rsidP="007405D7">
      <w:pPr>
        <w:tabs>
          <w:tab w:val="left" w:pos="720"/>
        </w:tabs>
        <w:spacing w:line="480" w:lineRule="auto"/>
        <w:ind w:left="720" w:hanging="720"/>
        <w:rPr>
          <w:b/>
          <w:bCs/>
          <w:i/>
          <w:iCs/>
        </w:rPr>
      </w:pPr>
      <w:r w:rsidRPr="00454A08">
        <w:rPr>
          <w:b/>
          <w:bCs/>
          <w:i/>
          <w:iCs/>
        </w:rPr>
        <w:t>Q</w:t>
      </w:r>
      <w:r>
        <w:rPr>
          <w:b/>
          <w:bCs/>
          <w:i/>
          <w:iCs/>
        </w:rPr>
        <w:t>28</w:t>
      </w:r>
      <w:r w:rsidRPr="00454A08">
        <w:rPr>
          <w:b/>
          <w:bCs/>
          <w:i/>
          <w:iCs/>
        </w:rPr>
        <w:t>.</w:t>
      </w:r>
      <w:r w:rsidRPr="00454A08">
        <w:rPr>
          <w:b/>
          <w:bCs/>
          <w:i/>
          <w:iCs/>
        </w:rPr>
        <w:tab/>
      </w:r>
      <w:r>
        <w:rPr>
          <w:b/>
          <w:bCs/>
          <w:i/>
          <w:iCs/>
        </w:rPr>
        <w:t>IS THE COMPANIES’ COMMITMENT SUFFICIENT</w:t>
      </w:r>
      <w:r w:rsidRPr="00454A08">
        <w:rPr>
          <w:b/>
          <w:bCs/>
          <w:i/>
          <w:iCs/>
        </w:rPr>
        <w:t>?</w:t>
      </w:r>
    </w:p>
    <w:p w:rsidR="00B9190D" w:rsidRDefault="00B9190D" w:rsidP="007405D7">
      <w:pPr>
        <w:tabs>
          <w:tab w:val="left" w:pos="720"/>
        </w:tabs>
        <w:spacing w:line="480" w:lineRule="auto"/>
        <w:ind w:left="720" w:hanging="720"/>
      </w:pPr>
      <w:r w:rsidRPr="00454A08">
        <w:rPr>
          <w:b/>
          <w:bCs/>
          <w:i/>
          <w:iCs/>
        </w:rPr>
        <w:t>A</w:t>
      </w:r>
      <w:r>
        <w:rPr>
          <w:b/>
          <w:bCs/>
          <w:i/>
          <w:iCs/>
        </w:rPr>
        <w:t>28</w:t>
      </w:r>
      <w:r w:rsidRPr="00454A08">
        <w:rPr>
          <w:b/>
          <w:bCs/>
          <w:i/>
          <w:iCs/>
        </w:rPr>
        <w:t>.</w:t>
      </w:r>
      <w:r w:rsidRPr="00454A08">
        <w:rPr>
          <w:b/>
          <w:bCs/>
          <w:i/>
          <w:iCs/>
        </w:rPr>
        <w:tab/>
      </w:r>
      <w:r w:rsidRPr="00454A08">
        <w:t xml:space="preserve">No.  </w:t>
      </w:r>
      <w:r>
        <w:t>The commitment to bid energy efficiency and load management into the PJM BRA articulated in elements a and b above by Companies’ witness Dargie is unreasonable.  FirstEnergy’s commitment leaves a substantial amount of customer benefits from being realized.</w:t>
      </w:r>
      <w:r w:rsidR="00D550E0">
        <w:t xml:space="preserve">  </w:t>
      </w:r>
      <w:r>
        <w:t xml:space="preserve">In particular, the two major dollar benefit streams for customers from bidding additional capacity are: 1) the impact of the EE bid of potentially lowering the final capacity auction price, and 2) the revenue payments received by FirstEnergy from PJM for the eligible energy efficiency and load management capacity bid into the BRA are used to reduce the energy efficiency program costs. </w:t>
      </w:r>
      <w:r>
        <w:rPr>
          <w:rStyle w:val="FootnoteReference"/>
        </w:rPr>
        <w:footnoteReference w:id="27"/>
      </w:r>
    </w:p>
    <w:p w:rsidR="00B9190D" w:rsidRPr="00454A08" w:rsidRDefault="00B9190D" w:rsidP="007405D7">
      <w:pPr>
        <w:tabs>
          <w:tab w:val="left" w:pos="720"/>
        </w:tabs>
        <w:spacing w:line="480" w:lineRule="auto"/>
        <w:ind w:left="720" w:hanging="720"/>
        <w:rPr>
          <w:b/>
          <w:bCs/>
          <w:i/>
          <w:iCs/>
        </w:rPr>
      </w:pPr>
    </w:p>
    <w:p w:rsidR="00B9190D" w:rsidRPr="00454A08" w:rsidRDefault="00B47634" w:rsidP="007405D7">
      <w:pPr>
        <w:tabs>
          <w:tab w:val="left" w:pos="720"/>
        </w:tabs>
        <w:spacing w:line="480" w:lineRule="auto"/>
        <w:ind w:left="720" w:hanging="720"/>
        <w:rPr>
          <w:b/>
          <w:bCs/>
          <w:i/>
          <w:iCs/>
        </w:rPr>
      </w:pPr>
      <w:r>
        <w:rPr>
          <w:b/>
          <w:bCs/>
          <w:i/>
          <w:iCs/>
        </w:rPr>
        <w:br w:type="page"/>
      </w:r>
      <w:r w:rsidR="00B9190D" w:rsidRPr="00454A08">
        <w:rPr>
          <w:b/>
          <w:bCs/>
          <w:i/>
          <w:iCs/>
        </w:rPr>
        <w:t>Q</w:t>
      </w:r>
      <w:r w:rsidR="00B9190D">
        <w:rPr>
          <w:b/>
          <w:bCs/>
          <w:i/>
          <w:iCs/>
        </w:rPr>
        <w:t>29</w:t>
      </w:r>
      <w:r w:rsidR="00B9190D" w:rsidRPr="00454A08">
        <w:rPr>
          <w:b/>
          <w:bCs/>
          <w:i/>
          <w:iCs/>
        </w:rPr>
        <w:t>.</w:t>
      </w:r>
      <w:r w:rsidR="00B9190D" w:rsidRPr="00454A08">
        <w:rPr>
          <w:b/>
          <w:bCs/>
          <w:i/>
          <w:iCs/>
        </w:rPr>
        <w:tab/>
      </w:r>
      <w:r w:rsidR="00B9190D">
        <w:rPr>
          <w:b/>
          <w:bCs/>
          <w:i/>
          <w:iCs/>
        </w:rPr>
        <w:t>DO OTHER PARTIES IN THIS CASE GENERALLY SUPPORT THE COMPANIES</w:t>
      </w:r>
      <w:r w:rsidR="00D550E0">
        <w:rPr>
          <w:b/>
          <w:bCs/>
          <w:i/>
          <w:iCs/>
        </w:rPr>
        <w:t xml:space="preserve"> </w:t>
      </w:r>
      <w:r w:rsidR="00B9190D">
        <w:rPr>
          <w:b/>
          <w:bCs/>
          <w:i/>
          <w:iCs/>
        </w:rPr>
        <w:t>FULLY BIDDING THEIR ELIGIBLE ENERGY EFFICIENCY AND LOAD MANAGEMENT RESOURCES INTO THE PJM RPM BASE RESIDUAL AUCTION?</w:t>
      </w:r>
    </w:p>
    <w:p w:rsidR="00B9190D" w:rsidRDefault="00B9190D" w:rsidP="00C60BC8">
      <w:pPr>
        <w:spacing w:line="480" w:lineRule="auto"/>
        <w:ind w:left="720" w:hanging="720"/>
      </w:pPr>
      <w:r w:rsidRPr="00454A08">
        <w:rPr>
          <w:b/>
          <w:bCs/>
          <w:i/>
          <w:iCs/>
        </w:rPr>
        <w:t>A</w:t>
      </w:r>
      <w:r>
        <w:rPr>
          <w:b/>
          <w:bCs/>
          <w:i/>
          <w:iCs/>
        </w:rPr>
        <w:t>29.</w:t>
      </w:r>
      <w:r w:rsidRPr="00454A08">
        <w:rPr>
          <w:b/>
          <w:bCs/>
          <w:i/>
          <w:iCs/>
        </w:rPr>
        <w:tab/>
      </w:r>
      <w:r>
        <w:t xml:space="preserve">Yes, eight out of eleven parties who filed Objections </w:t>
      </w:r>
      <w:r w:rsidR="0086501A">
        <w:t xml:space="preserve">in this case </w:t>
      </w:r>
      <w:r>
        <w:t>commented on this issue</w:t>
      </w:r>
      <w:r w:rsidR="0086501A">
        <w:t>.  A</w:t>
      </w:r>
      <w:r>
        <w:t xml:space="preserve">ll </w:t>
      </w:r>
      <w:r w:rsidR="0086501A">
        <w:t xml:space="preserve">eight parties </w:t>
      </w:r>
      <w:r>
        <w:t>generally support</w:t>
      </w:r>
      <w:r w:rsidR="0086501A">
        <w:t>ed</w:t>
      </w:r>
      <w:r>
        <w:t xml:space="preserve"> a more aggressive FirstEnergy strategy for bidding of the Portfolio resources into the PJM RPM BRA than what currently is FirstEnergy’s strategy.</w:t>
      </w:r>
      <w:r>
        <w:rPr>
          <w:rStyle w:val="FootnoteReference"/>
        </w:rPr>
        <w:footnoteReference w:id="28"/>
      </w:r>
    </w:p>
    <w:p w:rsidR="00D550E0" w:rsidRDefault="00D550E0" w:rsidP="00C60BC8">
      <w:pPr>
        <w:spacing w:line="480" w:lineRule="auto"/>
        <w:ind w:left="720" w:hanging="720"/>
      </w:pPr>
    </w:p>
    <w:p w:rsidR="00B9190D" w:rsidRPr="00454A08" w:rsidRDefault="00B9190D" w:rsidP="00DA194E">
      <w:pPr>
        <w:spacing w:line="480" w:lineRule="auto"/>
        <w:ind w:left="720" w:hanging="720"/>
        <w:rPr>
          <w:b/>
          <w:bCs/>
          <w:i/>
          <w:iCs/>
        </w:rPr>
      </w:pPr>
      <w:r w:rsidRPr="00454A08">
        <w:rPr>
          <w:b/>
          <w:bCs/>
          <w:i/>
          <w:iCs/>
        </w:rPr>
        <w:t>Q</w:t>
      </w:r>
      <w:r>
        <w:rPr>
          <w:b/>
          <w:bCs/>
          <w:i/>
          <w:iCs/>
        </w:rPr>
        <w:t>30</w:t>
      </w:r>
      <w:r w:rsidRPr="00454A08">
        <w:rPr>
          <w:b/>
          <w:bCs/>
          <w:i/>
          <w:iCs/>
        </w:rPr>
        <w:t>.</w:t>
      </w:r>
      <w:r w:rsidRPr="00454A08">
        <w:rPr>
          <w:b/>
          <w:bCs/>
          <w:i/>
          <w:iCs/>
        </w:rPr>
        <w:tab/>
      </w:r>
      <w:r>
        <w:rPr>
          <w:b/>
          <w:bCs/>
          <w:i/>
          <w:iCs/>
        </w:rPr>
        <w:t>DOES THE PUCO STAFF SUPPORT AN APPROACH WHERE THE COMPANIES WOULD AGGRESSIVELY BID THEIR ELIGIBLE ENERGY EFFICIENCY AND LOAD MANAGEMENT RESOURCES INTO THE PJM RPM BASE RESIDUAL AUCTION</w:t>
      </w:r>
      <w:r w:rsidRPr="00454A08">
        <w:rPr>
          <w:b/>
          <w:bCs/>
          <w:i/>
          <w:iCs/>
        </w:rPr>
        <w:t>?</w:t>
      </w:r>
    </w:p>
    <w:p w:rsidR="00B9190D" w:rsidRDefault="00B9190D" w:rsidP="00A102F7">
      <w:pPr>
        <w:autoSpaceDE w:val="0"/>
        <w:autoSpaceDN w:val="0"/>
        <w:adjustRightInd w:val="0"/>
        <w:spacing w:line="480" w:lineRule="auto"/>
        <w:ind w:left="720" w:hanging="720"/>
      </w:pPr>
      <w:r w:rsidRPr="00454A08">
        <w:rPr>
          <w:b/>
          <w:bCs/>
          <w:i/>
          <w:iCs/>
        </w:rPr>
        <w:t>A</w:t>
      </w:r>
      <w:r>
        <w:rPr>
          <w:b/>
          <w:bCs/>
          <w:i/>
          <w:iCs/>
        </w:rPr>
        <w:t>30</w:t>
      </w:r>
      <w:r w:rsidRPr="00454A08">
        <w:rPr>
          <w:b/>
          <w:bCs/>
          <w:i/>
          <w:iCs/>
        </w:rPr>
        <w:t>.</w:t>
      </w:r>
      <w:r w:rsidRPr="00454A08">
        <w:rPr>
          <w:b/>
          <w:bCs/>
          <w:i/>
          <w:iCs/>
        </w:rPr>
        <w:tab/>
      </w:r>
      <w:r>
        <w:t>Yes.  In filed Objections the PUCO Staff states: “[t]he Companies should bid their capacity saving from their EE programs in the prior year and planned years into the PJM BRA and other appropriate PJM incremental auctions. Capacity revenues received from the EE programs in the PJM auctions should be credited toward the appropriate energy efficiency riders.”</w:t>
      </w:r>
      <w:r>
        <w:rPr>
          <w:rStyle w:val="FootnoteReference"/>
        </w:rPr>
        <w:footnoteReference w:id="29"/>
      </w:r>
    </w:p>
    <w:p w:rsidR="00B9190D" w:rsidRDefault="00B9190D" w:rsidP="00A102F7">
      <w:pPr>
        <w:autoSpaceDE w:val="0"/>
        <w:autoSpaceDN w:val="0"/>
        <w:adjustRightInd w:val="0"/>
        <w:spacing w:line="480" w:lineRule="auto"/>
        <w:ind w:left="720" w:hanging="720"/>
      </w:pPr>
    </w:p>
    <w:p w:rsidR="00B9190D" w:rsidRPr="00454A08" w:rsidRDefault="00B9190D" w:rsidP="00CE77BF">
      <w:pPr>
        <w:tabs>
          <w:tab w:val="left" w:pos="720"/>
        </w:tabs>
        <w:spacing w:line="480" w:lineRule="auto"/>
        <w:ind w:left="720" w:hanging="720"/>
        <w:rPr>
          <w:b/>
          <w:bCs/>
          <w:i/>
          <w:iCs/>
        </w:rPr>
      </w:pPr>
      <w:r>
        <w:rPr>
          <w:b/>
          <w:bCs/>
          <w:i/>
          <w:iCs/>
        </w:rPr>
        <w:t xml:space="preserve">Q31. </w:t>
      </w:r>
      <w:r>
        <w:rPr>
          <w:b/>
          <w:bCs/>
          <w:i/>
          <w:iCs/>
        </w:rPr>
        <w:tab/>
        <w:t>DOES THE COMMISSION SUPPORT AN APPROACH WHERE THE COMPANIES WOULD AGGRESSIVELY BID THE ELIGIBLE ENERGY EFFICIENCY AND LOAD MANAGEMENT RESOURCES</w:t>
      </w:r>
      <w:r w:rsidR="008A03FF">
        <w:rPr>
          <w:b/>
          <w:bCs/>
          <w:i/>
          <w:iCs/>
        </w:rPr>
        <w:t xml:space="preserve"> </w:t>
      </w:r>
      <w:r>
        <w:rPr>
          <w:b/>
          <w:bCs/>
          <w:i/>
          <w:iCs/>
        </w:rPr>
        <w:t>INTO THE PJM RPM BASE RESIDUAL AUCTION?</w:t>
      </w:r>
    </w:p>
    <w:p w:rsidR="00B9190D" w:rsidRPr="003F51CC" w:rsidRDefault="00B9190D" w:rsidP="00DA194E">
      <w:pPr>
        <w:autoSpaceDE w:val="0"/>
        <w:autoSpaceDN w:val="0"/>
        <w:adjustRightInd w:val="0"/>
        <w:spacing w:line="480" w:lineRule="auto"/>
        <w:ind w:left="720" w:hanging="720"/>
      </w:pPr>
      <w:r w:rsidRPr="003E710C">
        <w:rPr>
          <w:b/>
          <w:bCs/>
          <w:i/>
          <w:iCs/>
        </w:rPr>
        <w:t>A</w:t>
      </w:r>
      <w:r>
        <w:rPr>
          <w:b/>
          <w:bCs/>
          <w:i/>
          <w:iCs/>
        </w:rPr>
        <w:t>31</w:t>
      </w:r>
      <w:r w:rsidRPr="003E710C">
        <w:rPr>
          <w:b/>
          <w:bCs/>
          <w:i/>
          <w:iCs/>
        </w:rPr>
        <w:t>.</w:t>
      </w:r>
      <w:r w:rsidRPr="00BC39C4">
        <w:rPr>
          <w:b/>
          <w:bCs/>
        </w:rPr>
        <w:tab/>
      </w:r>
      <w:r w:rsidRPr="004D55F7">
        <w:t xml:space="preserve">Yes.  </w:t>
      </w:r>
      <w:r w:rsidRPr="003F51CC">
        <w:t>The Commission supported the bidding in of all cost-effective energy efficiency</w:t>
      </w:r>
      <w:r>
        <w:t xml:space="preserve"> </w:t>
      </w:r>
      <w:r w:rsidRPr="003F51CC">
        <w:t>and peak demand reductions into the PJM BRA in the February 29, 2012 Entry in Case No.</w:t>
      </w:r>
      <w:r w:rsidR="008A03FF">
        <w:t xml:space="preserve"> </w:t>
      </w:r>
      <w:r w:rsidRPr="003F51CC">
        <w:t>12-814-EL-UNC</w:t>
      </w:r>
      <w:r w:rsidRPr="004D55F7">
        <w:t xml:space="preserve">. </w:t>
      </w:r>
      <w:r w:rsidRPr="003F51CC">
        <w:t xml:space="preserve"> The PUCO reiterated that support in its Opinion and Order in the</w:t>
      </w:r>
      <w:r>
        <w:t xml:space="preserve"> </w:t>
      </w:r>
      <w:r w:rsidRPr="003F51CC">
        <w:t xml:space="preserve">Companies’ ESP </w:t>
      </w:r>
      <w:r>
        <w:t>III Case</w:t>
      </w:r>
      <w:r w:rsidRPr="003F51CC">
        <w:t>:</w:t>
      </w:r>
      <w:r w:rsidRPr="003F51CC">
        <w:rPr>
          <w:rStyle w:val="FootnoteReference"/>
        </w:rPr>
        <w:footnoteReference w:id="30"/>
      </w:r>
    </w:p>
    <w:p w:rsidR="00B9190D" w:rsidRPr="00AA2906" w:rsidRDefault="00B9190D" w:rsidP="00C60BC8">
      <w:pPr>
        <w:autoSpaceDE w:val="0"/>
        <w:autoSpaceDN w:val="0"/>
        <w:adjustRightInd w:val="0"/>
        <w:spacing w:line="480" w:lineRule="auto"/>
        <w:ind w:left="720" w:firstLine="720"/>
      </w:pPr>
      <w:r w:rsidRPr="00AA2906">
        <w:t>However, the Commission notes that additional steps may be taken</w:t>
      </w:r>
    </w:p>
    <w:p w:rsidR="00B9190D" w:rsidRPr="00AA2906" w:rsidRDefault="00B9190D" w:rsidP="00C60BC8">
      <w:pPr>
        <w:autoSpaceDE w:val="0"/>
        <w:autoSpaceDN w:val="0"/>
        <w:adjustRightInd w:val="0"/>
        <w:spacing w:line="480" w:lineRule="auto"/>
        <w:ind w:left="720" w:firstLine="720"/>
      </w:pPr>
      <w:r w:rsidRPr="00AA2906">
        <w:t>to mitigate the impact of the transmission constraint in the ATSI</w:t>
      </w:r>
    </w:p>
    <w:p w:rsidR="00B9190D" w:rsidRPr="00AA2906" w:rsidRDefault="00B9190D" w:rsidP="00C60BC8">
      <w:pPr>
        <w:autoSpaceDE w:val="0"/>
        <w:autoSpaceDN w:val="0"/>
        <w:adjustRightInd w:val="0"/>
        <w:spacing w:line="480" w:lineRule="auto"/>
        <w:ind w:left="720" w:firstLine="720"/>
        <w:rPr>
          <w:b/>
          <w:bCs/>
        </w:rPr>
      </w:pPr>
      <w:r w:rsidRPr="00AA2906">
        <w:t xml:space="preserve">zone for future base residual auctions. </w:t>
      </w:r>
      <w:r w:rsidRPr="00AA2906">
        <w:rPr>
          <w:b/>
          <w:bCs/>
        </w:rPr>
        <w:t>Specifically, the</w:t>
      </w:r>
    </w:p>
    <w:p w:rsidR="00B9190D" w:rsidRPr="00AA2906" w:rsidRDefault="00B9190D" w:rsidP="00C60BC8">
      <w:pPr>
        <w:autoSpaceDE w:val="0"/>
        <w:autoSpaceDN w:val="0"/>
        <w:adjustRightInd w:val="0"/>
        <w:spacing w:line="480" w:lineRule="auto"/>
        <w:ind w:left="720" w:firstLine="720"/>
        <w:rPr>
          <w:b/>
          <w:bCs/>
        </w:rPr>
      </w:pPr>
      <w:r w:rsidRPr="00AA2906">
        <w:rPr>
          <w:b/>
          <w:bCs/>
        </w:rPr>
        <w:t>Companies should take steps to amend their energy efficiency</w:t>
      </w:r>
    </w:p>
    <w:p w:rsidR="00B9190D" w:rsidRPr="00AA2906" w:rsidRDefault="00B9190D" w:rsidP="00C60BC8">
      <w:pPr>
        <w:autoSpaceDE w:val="0"/>
        <w:autoSpaceDN w:val="0"/>
        <w:adjustRightInd w:val="0"/>
        <w:spacing w:line="480" w:lineRule="auto"/>
        <w:ind w:left="720" w:firstLine="720"/>
        <w:rPr>
          <w:b/>
          <w:bCs/>
        </w:rPr>
      </w:pPr>
      <w:r w:rsidRPr="00AA2906">
        <w:rPr>
          <w:b/>
          <w:bCs/>
        </w:rPr>
        <w:t>programs to ensure that customers, knowingly and as a</w:t>
      </w:r>
    </w:p>
    <w:p w:rsidR="00B9190D" w:rsidRPr="00AA2906" w:rsidRDefault="00B9190D" w:rsidP="00C60BC8">
      <w:pPr>
        <w:autoSpaceDE w:val="0"/>
        <w:autoSpaceDN w:val="0"/>
        <w:adjustRightInd w:val="0"/>
        <w:spacing w:line="480" w:lineRule="auto"/>
        <w:ind w:left="720" w:firstLine="720"/>
        <w:rPr>
          <w:b/>
          <w:bCs/>
        </w:rPr>
      </w:pPr>
      <w:r w:rsidRPr="00AA2906">
        <w:rPr>
          <w:b/>
          <w:bCs/>
        </w:rPr>
        <w:t>condition of participation in the programs, tender ownership</w:t>
      </w:r>
    </w:p>
    <w:p w:rsidR="00B9190D" w:rsidRPr="00AA2906" w:rsidRDefault="00B9190D" w:rsidP="00C60BC8">
      <w:pPr>
        <w:autoSpaceDE w:val="0"/>
        <w:autoSpaceDN w:val="0"/>
        <w:adjustRightInd w:val="0"/>
        <w:spacing w:line="480" w:lineRule="auto"/>
        <w:ind w:left="720" w:firstLine="720"/>
        <w:rPr>
          <w:b/>
          <w:bCs/>
        </w:rPr>
      </w:pPr>
      <w:r w:rsidRPr="00AA2906">
        <w:rPr>
          <w:b/>
          <w:bCs/>
        </w:rPr>
        <w:t>of the energy efficiency resources to the Companies. Further,</w:t>
      </w:r>
    </w:p>
    <w:p w:rsidR="00B9190D" w:rsidRPr="00AA2906" w:rsidRDefault="00B9190D" w:rsidP="00C60BC8">
      <w:pPr>
        <w:autoSpaceDE w:val="0"/>
        <w:autoSpaceDN w:val="0"/>
        <w:adjustRightInd w:val="0"/>
        <w:spacing w:line="480" w:lineRule="auto"/>
        <w:ind w:left="720" w:firstLine="720"/>
        <w:rPr>
          <w:b/>
          <w:bCs/>
        </w:rPr>
      </w:pPr>
      <w:r w:rsidRPr="00AA2906">
        <w:rPr>
          <w:b/>
          <w:bCs/>
        </w:rPr>
        <w:t>the Companies should continue to take the necessary steps to</w:t>
      </w:r>
    </w:p>
    <w:p w:rsidR="00B9190D" w:rsidRPr="00AA2906" w:rsidRDefault="00B9190D" w:rsidP="00C60BC8">
      <w:pPr>
        <w:autoSpaceDE w:val="0"/>
        <w:autoSpaceDN w:val="0"/>
        <w:adjustRightInd w:val="0"/>
        <w:spacing w:line="480" w:lineRule="auto"/>
        <w:ind w:left="720" w:firstLine="720"/>
        <w:rPr>
          <w:b/>
          <w:bCs/>
        </w:rPr>
      </w:pPr>
      <w:r w:rsidRPr="00AA2906">
        <w:rPr>
          <w:b/>
          <w:bCs/>
        </w:rPr>
        <w:t>verify the energy savings to qualify for participation in the</w:t>
      </w:r>
    </w:p>
    <w:p w:rsidR="00B9190D" w:rsidRPr="00AA2906" w:rsidRDefault="00B9190D" w:rsidP="00C60BC8">
      <w:pPr>
        <w:autoSpaceDE w:val="0"/>
        <w:autoSpaceDN w:val="0"/>
        <w:adjustRightInd w:val="0"/>
        <w:spacing w:line="480" w:lineRule="auto"/>
        <w:ind w:left="720" w:firstLine="720"/>
        <w:rPr>
          <w:b/>
          <w:bCs/>
        </w:rPr>
      </w:pPr>
      <w:r w:rsidRPr="00AA2906">
        <w:rPr>
          <w:b/>
          <w:bCs/>
        </w:rPr>
        <w:t>base residual auctions, and the Companies should bid</w:t>
      </w:r>
    </w:p>
    <w:p w:rsidR="00B9190D" w:rsidRPr="00AA2906" w:rsidRDefault="00B9190D" w:rsidP="00C60BC8">
      <w:pPr>
        <w:autoSpaceDE w:val="0"/>
        <w:autoSpaceDN w:val="0"/>
        <w:adjustRightInd w:val="0"/>
        <w:spacing w:line="480" w:lineRule="auto"/>
        <w:ind w:left="720" w:firstLine="720"/>
      </w:pPr>
      <w:r w:rsidRPr="00AA2906">
        <w:rPr>
          <w:b/>
          <w:bCs/>
        </w:rPr>
        <w:t xml:space="preserve">qualifying energy resources into the auction. </w:t>
      </w:r>
      <w:r w:rsidRPr="00AA2906">
        <w:t>The record</w:t>
      </w:r>
    </w:p>
    <w:p w:rsidR="00B9190D" w:rsidRPr="00AA2906" w:rsidRDefault="00B9190D" w:rsidP="00C60BC8">
      <w:pPr>
        <w:autoSpaceDE w:val="0"/>
        <w:autoSpaceDN w:val="0"/>
        <w:adjustRightInd w:val="0"/>
        <w:spacing w:line="480" w:lineRule="auto"/>
        <w:ind w:left="720" w:firstLine="720"/>
      </w:pPr>
      <w:r w:rsidRPr="00AA2906">
        <w:t>demonstrates that there has been tremendous growth in the use of</w:t>
      </w:r>
    </w:p>
    <w:p w:rsidR="00B9190D" w:rsidRPr="00AA2906" w:rsidRDefault="00B9190D" w:rsidP="00C60BC8">
      <w:pPr>
        <w:autoSpaceDE w:val="0"/>
        <w:autoSpaceDN w:val="0"/>
        <w:adjustRightInd w:val="0"/>
        <w:spacing w:line="480" w:lineRule="auto"/>
        <w:ind w:left="720" w:firstLine="720"/>
      </w:pPr>
      <w:r w:rsidRPr="00AA2906">
        <w:t>energy efficiency resources in the capacity auctions, and the</w:t>
      </w:r>
    </w:p>
    <w:p w:rsidR="00B9190D" w:rsidRPr="00AA2906" w:rsidRDefault="00B9190D" w:rsidP="00C60BC8">
      <w:pPr>
        <w:autoSpaceDE w:val="0"/>
        <w:autoSpaceDN w:val="0"/>
        <w:adjustRightInd w:val="0"/>
        <w:spacing w:line="480" w:lineRule="auto"/>
        <w:ind w:left="720" w:firstLine="720"/>
      </w:pPr>
      <w:r w:rsidRPr="00AA2906">
        <w:t>Companies are well positioned to substantially increase the amount</w:t>
      </w:r>
    </w:p>
    <w:p w:rsidR="00B9190D" w:rsidRPr="00AA2906" w:rsidRDefault="00B9190D" w:rsidP="00C60BC8">
      <w:pPr>
        <w:autoSpaceDE w:val="0"/>
        <w:autoSpaceDN w:val="0"/>
        <w:adjustRightInd w:val="0"/>
        <w:spacing w:line="480" w:lineRule="auto"/>
        <w:ind w:left="720" w:firstLine="720"/>
      </w:pPr>
      <w:r w:rsidRPr="00AA2906">
        <w:t>of energy efficiency resources they can bid into the auction, which</w:t>
      </w:r>
    </w:p>
    <w:p w:rsidR="00B9190D" w:rsidRPr="00AA2906" w:rsidRDefault="00B9190D" w:rsidP="00C60BC8">
      <w:pPr>
        <w:autoSpaceDE w:val="0"/>
        <w:autoSpaceDN w:val="0"/>
        <w:adjustRightInd w:val="0"/>
        <w:spacing w:line="480" w:lineRule="auto"/>
        <w:ind w:left="720" w:firstLine="720"/>
      </w:pPr>
      <w:r w:rsidRPr="00AA2906">
        <w:t>will assist in mitigating the impact of the transmission constraint in</w:t>
      </w:r>
    </w:p>
    <w:p w:rsidR="00B9190D" w:rsidRPr="00AA2906" w:rsidRDefault="00B9190D" w:rsidP="00C60BC8">
      <w:pPr>
        <w:autoSpaceDE w:val="0"/>
        <w:autoSpaceDN w:val="0"/>
        <w:adjustRightInd w:val="0"/>
        <w:spacing w:line="480" w:lineRule="auto"/>
        <w:ind w:left="720" w:firstLine="720"/>
      </w:pPr>
      <w:r w:rsidRPr="00AA2906">
        <w:t>the ATSI zone. Further, the Commission will continue to review</w:t>
      </w:r>
    </w:p>
    <w:p w:rsidR="00B9190D" w:rsidRPr="00AA2906" w:rsidRDefault="00B9190D" w:rsidP="00C60BC8">
      <w:pPr>
        <w:autoSpaceDE w:val="0"/>
        <w:autoSpaceDN w:val="0"/>
        <w:adjustRightInd w:val="0"/>
        <w:spacing w:line="480" w:lineRule="auto"/>
        <w:ind w:left="720" w:firstLine="720"/>
      </w:pPr>
      <w:r w:rsidRPr="00AA2906">
        <w:t>the Companies’ participation in future base residual auctions until</w:t>
      </w:r>
    </w:p>
    <w:p w:rsidR="00B9190D" w:rsidRPr="00AA2906" w:rsidRDefault="00B9190D" w:rsidP="00C60BC8">
      <w:pPr>
        <w:autoSpaceDE w:val="0"/>
        <w:autoSpaceDN w:val="0"/>
        <w:adjustRightInd w:val="0"/>
        <w:spacing w:line="480" w:lineRule="auto"/>
        <w:ind w:left="720" w:firstLine="720"/>
      </w:pPr>
      <w:r w:rsidRPr="00AA2906">
        <w:t>such time as the transmission constraint in the ATSI zone is</w:t>
      </w:r>
    </w:p>
    <w:p w:rsidR="00B9190D" w:rsidRPr="00AA2906" w:rsidRDefault="00B9190D" w:rsidP="00DA194E">
      <w:pPr>
        <w:autoSpaceDE w:val="0"/>
        <w:autoSpaceDN w:val="0"/>
        <w:adjustRightInd w:val="0"/>
        <w:spacing w:line="480" w:lineRule="auto"/>
        <w:ind w:left="720" w:firstLine="720"/>
      </w:pPr>
      <w:r w:rsidRPr="00AA2906">
        <w:t>resolved.</w:t>
      </w:r>
      <w:r w:rsidR="0086501A">
        <w:t xml:space="preserve">  </w:t>
      </w:r>
      <w:r w:rsidRPr="00AA2906">
        <w:t>(Emphasis added).</w:t>
      </w:r>
    </w:p>
    <w:p w:rsidR="00B9190D" w:rsidRDefault="00B9190D" w:rsidP="00DA194E">
      <w:pPr>
        <w:autoSpaceDE w:val="0"/>
        <w:autoSpaceDN w:val="0"/>
        <w:adjustRightInd w:val="0"/>
        <w:spacing w:line="480" w:lineRule="auto"/>
        <w:rPr>
          <w:sz w:val="23"/>
          <w:szCs w:val="23"/>
        </w:rPr>
      </w:pPr>
    </w:p>
    <w:p w:rsidR="00B9190D" w:rsidRDefault="00B9190D" w:rsidP="008A03FF">
      <w:pPr>
        <w:autoSpaceDE w:val="0"/>
        <w:autoSpaceDN w:val="0"/>
        <w:adjustRightInd w:val="0"/>
        <w:spacing w:line="480" w:lineRule="auto"/>
        <w:ind w:left="720"/>
      </w:pPr>
      <w:r w:rsidRPr="00AA2906">
        <w:t>Similarly, in Commissioner Roberto’s dissent in the FirstEnergy ESP III proceeding, she found that the information in the record was insufficient to find that the Companies “dedicated sufficient resources to reliability, particularly in the form of participation in the base residual auctions whose very purpose is reliability.”</w:t>
      </w:r>
      <w:r w:rsidRPr="00AA2906">
        <w:rPr>
          <w:rStyle w:val="FootnoteReference"/>
        </w:rPr>
        <w:footnoteReference w:id="31"/>
      </w:r>
    </w:p>
    <w:p w:rsidR="008A03FF" w:rsidRPr="00AA2906" w:rsidRDefault="008A03FF" w:rsidP="00DA194E">
      <w:pPr>
        <w:autoSpaceDE w:val="0"/>
        <w:autoSpaceDN w:val="0"/>
        <w:adjustRightInd w:val="0"/>
        <w:spacing w:line="480" w:lineRule="auto"/>
      </w:pPr>
    </w:p>
    <w:p w:rsidR="00B9190D" w:rsidRPr="000824C8" w:rsidRDefault="00B9190D" w:rsidP="00DA194E">
      <w:pPr>
        <w:autoSpaceDE w:val="0"/>
        <w:autoSpaceDN w:val="0"/>
        <w:adjustRightInd w:val="0"/>
        <w:spacing w:line="480" w:lineRule="auto"/>
        <w:ind w:left="720" w:hanging="720"/>
        <w:rPr>
          <w:b/>
          <w:bCs/>
          <w:i/>
          <w:iCs/>
        </w:rPr>
      </w:pPr>
      <w:r w:rsidRPr="000824C8">
        <w:rPr>
          <w:b/>
          <w:bCs/>
          <w:i/>
          <w:iCs/>
        </w:rPr>
        <w:t>Q</w:t>
      </w:r>
      <w:r>
        <w:rPr>
          <w:b/>
          <w:bCs/>
          <w:i/>
          <w:iCs/>
        </w:rPr>
        <w:t>32</w:t>
      </w:r>
      <w:r w:rsidRPr="000824C8">
        <w:rPr>
          <w:b/>
          <w:bCs/>
          <w:i/>
          <w:iCs/>
        </w:rPr>
        <w:t xml:space="preserve">. </w:t>
      </w:r>
      <w:r w:rsidRPr="000824C8">
        <w:rPr>
          <w:b/>
          <w:bCs/>
          <w:i/>
          <w:iCs/>
        </w:rPr>
        <w:tab/>
      </w:r>
      <w:r>
        <w:rPr>
          <w:b/>
          <w:bCs/>
          <w:i/>
          <w:iCs/>
        </w:rPr>
        <w:t xml:space="preserve">DO YOU HAVE ANY OTHER </w:t>
      </w:r>
      <w:r>
        <w:rPr>
          <w:b/>
          <w:bCs/>
          <w:i/>
          <w:iCs/>
          <w:caps/>
        </w:rPr>
        <w:t>recommendations That would enCOURAGE the companies to bid the maximum amount of</w:t>
      </w:r>
      <w:r w:rsidR="008A03FF">
        <w:rPr>
          <w:b/>
          <w:bCs/>
          <w:i/>
          <w:iCs/>
          <w:caps/>
        </w:rPr>
        <w:t xml:space="preserve"> </w:t>
      </w:r>
      <w:r>
        <w:rPr>
          <w:b/>
          <w:bCs/>
          <w:i/>
          <w:iCs/>
        </w:rPr>
        <w:t>ENERGY EFFICIENCY AND LOAD MANAGEMENT RESOURCES</w:t>
      </w:r>
      <w:r w:rsidR="008A03FF">
        <w:rPr>
          <w:b/>
          <w:bCs/>
          <w:i/>
          <w:iCs/>
        </w:rPr>
        <w:t xml:space="preserve"> </w:t>
      </w:r>
      <w:r>
        <w:rPr>
          <w:b/>
          <w:bCs/>
          <w:i/>
          <w:iCs/>
          <w:caps/>
        </w:rPr>
        <w:t>INTO FUTURE PJM BASE RESIDUAL AUCTIONS</w:t>
      </w:r>
      <w:r w:rsidRPr="000824C8">
        <w:rPr>
          <w:b/>
          <w:bCs/>
          <w:i/>
          <w:iCs/>
        </w:rPr>
        <w:t>?</w:t>
      </w:r>
    </w:p>
    <w:p w:rsidR="00B9190D" w:rsidRPr="00C60BC8" w:rsidRDefault="00B9190D" w:rsidP="00DA194E">
      <w:pPr>
        <w:spacing w:line="480" w:lineRule="auto"/>
        <w:ind w:left="720" w:hanging="720"/>
      </w:pPr>
      <w:r w:rsidRPr="000824C8">
        <w:rPr>
          <w:b/>
          <w:bCs/>
          <w:i/>
          <w:iCs/>
        </w:rPr>
        <w:t>A</w:t>
      </w:r>
      <w:r>
        <w:rPr>
          <w:b/>
          <w:bCs/>
          <w:i/>
          <w:iCs/>
        </w:rPr>
        <w:t>32</w:t>
      </w:r>
      <w:r w:rsidRPr="000824C8">
        <w:rPr>
          <w:b/>
          <w:bCs/>
          <w:i/>
          <w:iCs/>
        </w:rPr>
        <w:t>.</w:t>
      </w:r>
      <w:r>
        <w:tab/>
      </w:r>
      <w:r w:rsidRPr="00C60BC8">
        <w:t>Yes.  My recommendations in this area are generally two fold, 1) have customers assume FirstEnergy’ risk</w:t>
      </w:r>
      <w:r w:rsidRPr="00367775">
        <w:rPr>
          <w:vertAlign w:val="superscript"/>
        </w:rPr>
        <w:footnoteReference w:id="32"/>
      </w:r>
      <w:r w:rsidRPr="00C60BC8">
        <w:t xml:space="preserve">of PJM penalties for any EE &amp; LM capacity obligations </w:t>
      </w:r>
      <w:r>
        <w:t>cleared</w:t>
      </w:r>
      <w:r w:rsidRPr="00C60BC8">
        <w:t xml:space="preserve"> in the PJM BRA, </w:t>
      </w:r>
      <w:r>
        <w:t>where FirstEne</w:t>
      </w:r>
      <w:r w:rsidR="000C50A1">
        <w:t xml:space="preserve">rgy has been prudent managing the </w:t>
      </w:r>
      <w:r w:rsidR="00DC5AA6">
        <w:t>Compan</w:t>
      </w:r>
      <w:r w:rsidR="0086501A">
        <w:t>ies</w:t>
      </w:r>
      <w:r w:rsidR="000C50A1">
        <w:t>’</w:t>
      </w:r>
      <w:r>
        <w:t xml:space="preserve"> Portfolio Plan and used its best effort to deliver the capacity savings, </w:t>
      </w:r>
      <w:r w:rsidRPr="00C60BC8">
        <w:t>and 2) allow the Companies to charge customers for reasonable incremental M&amp;V and other appropriate charges related to getting the maximum amount of EE &amp; LM</w:t>
      </w:r>
      <w:r>
        <w:t xml:space="preserve"> </w:t>
      </w:r>
      <w:r w:rsidRPr="00C60BC8">
        <w:t>approved and delivered to PJM. Specifically, my</w:t>
      </w:r>
      <w:r>
        <w:t xml:space="preserve"> </w:t>
      </w:r>
      <w:r w:rsidRPr="00C60BC8">
        <w:t>recommendation</w:t>
      </w:r>
      <w:r w:rsidR="000C50A1">
        <w:t xml:space="preserve">s </w:t>
      </w:r>
      <w:r w:rsidRPr="00C60BC8">
        <w:t>include the following:</w:t>
      </w:r>
      <w:bookmarkStart w:id="14" w:name="_Toc247688905"/>
      <w:bookmarkStart w:id="15" w:name="_Toc258266228"/>
      <w:bookmarkStart w:id="16" w:name="_Toc258267106"/>
      <w:bookmarkStart w:id="17" w:name="_Toc325370178"/>
    </w:p>
    <w:p w:rsidR="00B9190D" w:rsidRDefault="00B9190D" w:rsidP="00C60BC8">
      <w:pPr>
        <w:numPr>
          <w:ilvl w:val="1"/>
          <w:numId w:val="2"/>
        </w:numPr>
        <w:spacing w:line="480" w:lineRule="auto"/>
        <w:ind w:left="2160" w:right="720" w:hanging="720"/>
      </w:pPr>
      <w:r>
        <w:t>FirstEnergy should bid all eligible EE &amp; LM into the Base Residual Auctions to be held in 2013, 2014, and 2015.</w:t>
      </w:r>
      <w:r>
        <w:rPr>
          <w:rStyle w:val="FootnoteReference"/>
        </w:rPr>
        <w:footnoteReference w:id="33"/>
      </w:r>
      <w:r>
        <w:t xml:space="preserve">   This includes all existing, planned, and forecasted resources to cover the three auctions. It also includes eligible portions of mercantile self-direct customer projects with their permission.  This recommendation would reduce what customers pay for future capacity and the Rider DSE;</w:t>
      </w:r>
    </w:p>
    <w:p w:rsidR="00B9190D" w:rsidRDefault="00B9190D" w:rsidP="00C60BC8">
      <w:pPr>
        <w:numPr>
          <w:ilvl w:val="1"/>
          <w:numId w:val="2"/>
        </w:numPr>
        <w:spacing w:line="480" w:lineRule="auto"/>
        <w:ind w:left="2160" w:right="720" w:hanging="720"/>
      </w:pPr>
      <w:r>
        <w:t>FirstEnergy should continue its progress towards acquiring and retaining ownership of all installed, planned or forecasted savings that are assisted with the Companies’ incentives.</w:t>
      </w:r>
      <w:r>
        <w:rPr>
          <w:rStyle w:val="FootnoteReference"/>
        </w:rPr>
        <w:footnoteReference w:id="34"/>
      </w:r>
      <w:r>
        <w:t xml:space="preserve">  This recommendation would resolve the energy effic</w:t>
      </w:r>
      <w:r w:rsidR="000C50A1">
        <w:t>iency attribute ownership issue</w:t>
      </w:r>
      <w:r>
        <w:t>;</w:t>
      </w:r>
    </w:p>
    <w:p w:rsidR="00B9190D" w:rsidRDefault="00B9190D" w:rsidP="00C60BC8">
      <w:pPr>
        <w:numPr>
          <w:ilvl w:val="1"/>
          <w:numId w:val="2"/>
        </w:numPr>
        <w:spacing w:line="480" w:lineRule="auto"/>
        <w:ind w:left="2160" w:right="720" w:hanging="720"/>
      </w:pPr>
      <w:r>
        <w:t>The bid price for the resources should be at zero or a level that covers the reasonable incremental cost of having the resources clear the PJM BRA.  This recommendation would benefit customers by ensuring that the Companies’ energy efficiency and load management resources clear the auction;</w:t>
      </w:r>
    </w:p>
    <w:p w:rsidR="00B9190D" w:rsidRDefault="00B9190D" w:rsidP="00C60BC8">
      <w:pPr>
        <w:numPr>
          <w:ilvl w:val="1"/>
          <w:numId w:val="2"/>
        </w:numPr>
        <w:spacing w:line="480" w:lineRule="auto"/>
        <w:ind w:left="2160" w:right="720" w:hanging="720"/>
      </w:pPr>
      <w:r>
        <w:t>In cases where FirstEnergy apparently will be unable to realize the full quantity of EE &amp; LM capacity cleared in the BRA for any year, it should purchase the shortfall in an incremental auction for the BRA in question.  The balance of the incremental auction purchase, whether positive (purchased capacity at a price lower than the BRA) or negative (purchase capacity at a price higher than the BRA) shall be credited or charged against the overall RPM revenues for that year;</w:t>
      </w:r>
    </w:p>
    <w:p w:rsidR="00B9190D" w:rsidRDefault="00B9190D" w:rsidP="00C60BC8">
      <w:pPr>
        <w:numPr>
          <w:ilvl w:val="1"/>
          <w:numId w:val="2"/>
        </w:numPr>
        <w:spacing w:line="480" w:lineRule="auto"/>
        <w:ind w:left="2160" w:right="720" w:hanging="720"/>
      </w:pPr>
      <w:r w:rsidRPr="00ED3BE2">
        <w:t>All revenues from base residual auctions and incremental auctions, net of reasonable incremental M&amp;V costs</w:t>
      </w:r>
      <w:r>
        <w:t xml:space="preserve"> and other costs incurred in qualifying the EE &amp; LM,</w:t>
      </w:r>
      <w:r w:rsidRPr="00ED3BE2">
        <w:t xml:space="preserve"> shall be returned to customers by offsetting the DSE-1 rider for ELR and OLR interrup</w:t>
      </w:r>
      <w:r w:rsidR="00DC5AA6">
        <w:t>tible program savings, and DSE-</w:t>
      </w:r>
      <w:r w:rsidRPr="00ED3BE2">
        <w:t>2 rider for the remainder of the energy efficiency and peak demand reduction program savings using the</w:t>
      </w:r>
      <w:r>
        <w:t xml:space="preserve"> existing rate class allocation; and</w:t>
      </w:r>
    </w:p>
    <w:p w:rsidR="00B9190D" w:rsidRDefault="00B9190D" w:rsidP="00114CD3">
      <w:pPr>
        <w:numPr>
          <w:ilvl w:val="1"/>
          <w:numId w:val="2"/>
        </w:numPr>
        <w:spacing w:line="480" w:lineRule="auto"/>
        <w:ind w:left="2160" w:right="720" w:hanging="720"/>
      </w:pPr>
      <w:r>
        <w:t>Appropriate consumer safeguards such as financial and management audits should be ordered by the Commission.  This recommendation would protect customers by reviewing that FirstEnergy has prudently exercised its management of bidding EE &amp; LM resources into the Base Residual Auction and has appropriately credited the auction revenues to customers via Rider DSE.</w:t>
      </w:r>
    </w:p>
    <w:p w:rsidR="00B9190D" w:rsidRDefault="00B9190D" w:rsidP="005E697C">
      <w:pPr>
        <w:spacing w:line="480" w:lineRule="auto"/>
        <w:ind w:left="720" w:right="720" w:hanging="720"/>
        <w:rPr>
          <w:b/>
          <w:bCs/>
          <w:i/>
          <w:iCs/>
        </w:rPr>
      </w:pPr>
      <w:r>
        <w:br w:type="page"/>
      </w:r>
      <w:r w:rsidRPr="00454A08">
        <w:rPr>
          <w:b/>
          <w:bCs/>
          <w:i/>
          <w:iCs/>
        </w:rPr>
        <w:t>Q</w:t>
      </w:r>
      <w:r>
        <w:rPr>
          <w:b/>
          <w:bCs/>
          <w:i/>
          <w:iCs/>
        </w:rPr>
        <w:t>33</w:t>
      </w:r>
      <w:r w:rsidRPr="00454A08">
        <w:rPr>
          <w:b/>
          <w:bCs/>
          <w:i/>
          <w:iCs/>
        </w:rPr>
        <w:t>.</w:t>
      </w:r>
      <w:r w:rsidRPr="00454A08">
        <w:rPr>
          <w:b/>
          <w:bCs/>
          <w:i/>
          <w:iCs/>
        </w:rPr>
        <w:tab/>
      </w:r>
      <w:r>
        <w:rPr>
          <w:b/>
          <w:bCs/>
          <w:i/>
          <w:iCs/>
        </w:rPr>
        <w:t>SHOULD THE FIRSTENERGY COLLABORATIVE HAVE THE OPPORTUNITY TO REVIEW THE AMOUNT OF ENERGY EFFICIENCY AND LOAD MANAGEMENT RESOURCES</w:t>
      </w:r>
      <w:r w:rsidR="008A03FF">
        <w:rPr>
          <w:b/>
          <w:bCs/>
          <w:i/>
          <w:iCs/>
        </w:rPr>
        <w:t xml:space="preserve"> </w:t>
      </w:r>
      <w:r>
        <w:rPr>
          <w:b/>
          <w:bCs/>
          <w:i/>
          <w:iCs/>
        </w:rPr>
        <w:t>THE COMPANIES PLAN TO BID PRIOR TOA PJM BASE RESIDUAL AUCTION?</w:t>
      </w:r>
    </w:p>
    <w:p w:rsidR="00B9190D" w:rsidRDefault="00B9190D" w:rsidP="00ED3BE2">
      <w:pPr>
        <w:tabs>
          <w:tab w:val="left" w:pos="720"/>
        </w:tabs>
        <w:spacing w:line="480" w:lineRule="auto"/>
        <w:ind w:left="720" w:hanging="720"/>
      </w:pPr>
      <w:r w:rsidRPr="00454A08">
        <w:rPr>
          <w:b/>
          <w:bCs/>
          <w:i/>
          <w:iCs/>
        </w:rPr>
        <w:t>A</w:t>
      </w:r>
      <w:r>
        <w:rPr>
          <w:b/>
          <w:bCs/>
          <w:i/>
          <w:iCs/>
        </w:rPr>
        <w:t>33.</w:t>
      </w:r>
      <w:r w:rsidRPr="00454A08">
        <w:rPr>
          <w:b/>
          <w:bCs/>
          <w:i/>
          <w:iCs/>
        </w:rPr>
        <w:tab/>
      </w:r>
      <w:r>
        <w:t>Yes, FirstEnergy should hold a Collaborative meeting at least 120 days before the PJM BRA.  The Companies should be required at that meeting to make a detailed presentation of the amount of EE and LM capacity resources it plans on submitting to PJM for approval.</w:t>
      </w:r>
    </w:p>
    <w:p w:rsidR="00B9190D" w:rsidRPr="00ED3BE2" w:rsidRDefault="00B9190D" w:rsidP="00ED3BE2">
      <w:pPr>
        <w:tabs>
          <w:tab w:val="left" w:pos="720"/>
        </w:tabs>
        <w:spacing w:line="480" w:lineRule="auto"/>
        <w:ind w:left="720" w:hanging="720"/>
        <w:rPr>
          <w:b/>
          <w:bCs/>
          <w:i/>
          <w:iCs/>
        </w:rPr>
      </w:pPr>
    </w:p>
    <w:p w:rsidR="00B9190D" w:rsidRPr="008A03FF" w:rsidRDefault="00B9190D" w:rsidP="008A03FF">
      <w:pPr>
        <w:pStyle w:val="Heading1"/>
      </w:pPr>
      <w:bookmarkStart w:id="18" w:name="_Toc337216655"/>
      <w:r w:rsidRPr="008A03FF">
        <w:t>CONCLUSION</w:t>
      </w:r>
      <w:bookmarkEnd w:id="14"/>
      <w:bookmarkEnd w:id="15"/>
      <w:bookmarkEnd w:id="16"/>
      <w:bookmarkEnd w:id="17"/>
      <w:bookmarkEnd w:id="18"/>
    </w:p>
    <w:p w:rsidR="00B9190D" w:rsidRPr="000B1E9A" w:rsidRDefault="00B9190D" w:rsidP="007405D7">
      <w:pPr>
        <w:spacing w:line="480" w:lineRule="auto"/>
      </w:pPr>
    </w:p>
    <w:p w:rsidR="00B9190D" w:rsidRPr="00454A08" w:rsidRDefault="00B9190D" w:rsidP="007405D7">
      <w:pPr>
        <w:spacing w:line="480" w:lineRule="auto"/>
        <w:ind w:left="720" w:hanging="720"/>
        <w:rPr>
          <w:b/>
          <w:bCs/>
          <w:i/>
          <w:iCs/>
        </w:rPr>
      </w:pPr>
      <w:r w:rsidRPr="00454A08">
        <w:rPr>
          <w:b/>
          <w:bCs/>
          <w:i/>
          <w:iCs/>
        </w:rPr>
        <w:t>Q</w:t>
      </w:r>
      <w:r>
        <w:rPr>
          <w:b/>
          <w:bCs/>
          <w:i/>
          <w:iCs/>
        </w:rPr>
        <w:t>34</w:t>
      </w:r>
      <w:r w:rsidRPr="00454A08">
        <w:rPr>
          <w:b/>
          <w:bCs/>
          <w:i/>
          <w:iCs/>
        </w:rPr>
        <w:t>.</w:t>
      </w:r>
      <w:r w:rsidRPr="00454A08">
        <w:rPr>
          <w:b/>
          <w:bCs/>
          <w:i/>
          <w:iCs/>
        </w:rPr>
        <w:tab/>
        <w:t>DOES THIS CONCLUDE YOUR TESTIMONY?</w:t>
      </w:r>
    </w:p>
    <w:p w:rsidR="00B9190D" w:rsidRPr="00454A08" w:rsidRDefault="00B9190D" w:rsidP="007405D7">
      <w:pPr>
        <w:pStyle w:val="BodyTextIndent3"/>
        <w:spacing w:after="0" w:line="480" w:lineRule="auto"/>
        <w:ind w:left="720" w:hanging="720"/>
        <w:rPr>
          <w:sz w:val="24"/>
          <w:szCs w:val="24"/>
        </w:rPr>
      </w:pPr>
      <w:r w:rsidRPr="00454A08">
        <w:rPr>
          <w:b/>
          <w:bCs/>
          <w:i/>
          <w:iCs/>
          <w:sz w:val="24"/>
          <w:szCs w:val="24"/>
        </w:rPr>
        <w:t>A</w:t>
      </w:r>
      <w:r>
        <w:rPr>
          <w:b/>
          <w:bCs/>
          <w:i/>
          <w:iCs/>
          <w:sz w:val="24"/>
          <w:szCs w:val="24"/>
        </w:rPr>
        <w:t>34</w:t>
      </w:r>
      <w:r w:rsidRPr="00454A08">
        <w:rPr>
          <w:b/>
          <w:bCs/>
          <w:i/>
          <w:iCs/>
          <w:sz w:val="24"/>
          <w:szCs w:val="24"/>
        </w:rPr>
        <w:t>.</w:t>
      </w:r>
      <w:r w:rsidRPr="00454A08">
        <w:rPr>
          <w:b/>
          <w:bCs/>
          <w:i/>
          <w:iCs/>
          <w:sz w:val="24"/>
          <w:szCs w:val="24"/>
        </w:rPr>
        <w:tab/>
      </w:r>
      <w:r w:rsidRPr="00454A08">
        <w:rPr>
          <w:sz w:val="24"/>
          <w:szCs w:val="24"/>
        </w:rPr>
        <w:t xml:space="preserve">Yes.  However, I reserve the right to incorporate new information and/or discovery responses that may subsequently become available.  I also reserve the right to supplement my testimony in response to positions taken by the </w:t>
      </w:r>
      <w:r>
        <w:rPr>
          <w:sz w:val="24"/>
          <w:szCs w:val="24"/>
        </w:rPr>
        <w:t>Companies o</w:t>
      </w:r>
      <w:r w:rsidRPr="00454A08">
        <w:rPr>
          <w:sz w:val="24"/>
          <w:szCs w:val="24"/>
        </w:rPr>
        <w:t>r other parties.</w:t>
      </w:r>
    </w:p>
    <w:p w:rsidR="00B9190D" w:rsidRPr="00454A08" w:rsidRDefault="00B9190D">
      <w:pPr>
        <w:suppressAutoHyphens/>
        <w:spacing w:line="480" w:lineRule="auto"/>
        <w:rPr>
          <w:b/>
          <w:bCs/>
          <w:spacing w:val="-3"/>
        </w:rPr>
        <w:sectPr w:rsidR="00B9190D" w:rsidRPr="00454A08" w:rsidSect="00114CD3">
          <w:headerReference w:type="default" r:id="rId17"/>
          <w:footerReference w:type="default" r:id="rId18"/>
          <w:pgSz w:w="12240" w:h="15840" w:code="1"/>
          <w:pgMar w:top="1440" w:right="1440" w:bottom="1440" w:left="1440" w:header="720" w:footer="720" w:gutter="0"/>
          <w:lnNumType w:countBy="1"/>
          <w:pgNumType w:start="1"/>
          <w:cols w:space="720"/>
          <w:docGrid w:linePitch="326"/>
        </w:sectPr>
      </w:pPr>
    </w:p>
    <w:p w:rsidR="00B9190D" w:rsidRPr="00454A08" w:rsidRDefault="00B9190D">
      <w:pPr>
        <w:suppressAutoHyphens/>
        <w:spacing w:line="480" w:lineRule="auto"/>
        <w:ind w:firstLine="720"/>
        <w:jc w:val="center"/>
        <w:rPr>
          <w:b/>
          <w:bCs/>
          <w:spacing w:val="-3"/>
          <w:u w:val="single"/>
        </w:rPr>
      </w:pPr>
      <w:r w:rsidRPr="00454A08">
        <w:rPr>
          <w:b/>
          <w:bCs/>
          <w:spacing w:val="-3"/>
          <w:u w:val="single"/>
        </w:rPr>
        <w:t>CERTIFICATE OF SERVICE</w:t>
      </w:r>
    </w:p>
    <w:p w:rsidR="00B9190D" w:rsidRDefault="00B9190D">
      <w:pPr>
        <w:suppressAutoHyphens/>
        <w:spacing w:line="480" w:lineRule="auto"/>
        <w:ind w:firstLine="720"/>
        <w:rPr>
          <w:spacing w:val="-3"/>
        </w:rPr>
      </w:pPr>
      <w:r w:rsidRPr="00454A08">
        <w:rPr>
          <w:spacing w:val="-3"/>
        </w:rPr>
        <w:t xml:space="preserve">It is hereby certified that a true copy of the foregoing the </w:t>
      </w:r>
      <w:r w:rsidRPr="00454A08">
        <w:rPr>
          <w:i/>
          <w:iCs/>
          <w:spacing w:val="-3"/>
        </w:rPr>
        <w:t>Direct Testimony of Wilson Gonzalez on Behalf of the Office of the Ohio Consumers’ Counsel</w:t>
      </w:r>
      <w:r>
        <w:rPr>
          <w:i/>
          <w:iCs/>
          <w:spacing w:val="-3"/>
        </w:rPr>
        <w:t xml:space="preserve"> </w:t>
      </w:r>
      <w:r w:rsidRPr="00454A08">
        <w:rPr>
          <w:spacing w:val="-3"/>
        </w:rPr>
        <w:t xml:space="preserve">has been served electronically this </w:t>
      </w:r>
      <w:r>
        <w:rPr>
          <w:spacing w:val="-3"/>
        </w:rPr>
        <w:t>5th day of October</w:t>
      </w:r>
      <w:r w:rsidR="00075199">
        <w:rPr>
          <w:spacing w:val="-3"/>
        </w:rPr>
        <w:t xml:space="preserve"> </w:t>
      </w:r>
      <w:r w:rsidRPr="00454A08">
        <w:rPr>
          <w:spacing w:val="-3"/>
        </w:rPr>
        <w:t>201</w:t>
      </w:r>
      <w:r>
        <w:rPr>
          <w:spacing w:val="-3"/>
        </w:rPr>
        <w:t>2</w:t>
      </w:r>
      <w:r w:rsidRPr="00454A08">
        <w:rPr>
          <w:spacing w:val="-3"/>
        </w:rPr>
        <w:t>.</w:t>
      </w:r>
    </w:p>
    <w:p w:rsidR="00B9190D" w:rsidRDefault="00B9190D" w:rsidP="00DA194E">
      <w:pPr>
        <w:tabs>
          <w:tab w:val="left" w:pos="4320"/>
        </w:tabs>
      </w:pPr>
      <w:r>
        <w:rPr>
          <w:i/>
          <w:iCs/>
        </w:rPr>
        <w:tab/>
      </w:r>
      <w:r>
        <w:rPr>
          <w:i/>
          <w:iCs/>
          <w:u w:val="single"/>
        </w:rPr>
        <w:t>/s/ Kyle L. Kern</w:t>
      </w:r>
      <w:r>
        <w:t>____________________</w:t>
      </w:r>
    </w:p>
    <w:p w:rsidR="00B9190D" w:rsidRDefault="00B9190D" w:rsidP="00DA194E">
      <w:pPr>
        <w:tabs>
          <w:tab w:val="left" w:pos="4320"/>
        </w:tabs>
      </w:pPr>
      <w:r>
        <w:tab/>
        <w:t>Kyle L. Kern</w:t>
      </w:r>
    </w:p>
    <w:p w:rsidR="00B9190D" w:rsidRDefault="00B9190D" w:rsidP="00DA194E">
      <w:pPr>
        <w:tabs>
          <w:tab w:val="left" w:pos="4320"/>
        </w:tabs>
      </w:pPr>
      <w:r>
        <w:tab/>
        <w:t>Assistant Consumers’ Counsel</w:t>
      </w:r>
    </w:p>
    <w:p w:rsidR="00B9190D" w:rsidRDefault="00B9190D">
      <w:pPr>
        <w:pStyle w:val="EndnoteText"/>
        <w:widowControl/>
      </w:pPr>
    </w:p>
    <w:p w:rsidR="00B9190D" w:rsidRPr="00DA194E" w:rsidRDefault="00B9190D" w:rsidP="00DA194E">
      <w:pPr>
        <w:pStyle w:val="EndnoteText"/>
        <w:widowControl/>
        <w:jc w:val="center"/>
        <w:rPr>
          <w:b/>
          <w:bCs/>
          <w:u w:val="single"/>
        </w:rPr>
      </w:pPr>
      <w:r w:rsidRPr="00DA194E">
        <w:rPr>
          <w:b/>
          <w:bCs/>
          <w:u w:val="single"/>
        </w:rPr>
        <w:t>SERVICE LIST</w:t>
      </w:r>
    </w:p>
    <w:p w:rsidR="00B9190D" w:rsidRPr="00412FD0" w:rsidRDefault="00B9190D" w:rsidP="00DA194E">
      <w:pPr>
        <w:autoSpaceDE w:val="0"/>
        <w:autoSpaceDN w:val="0"/>
        <w:adjustRightInd w:val="0"/>
      </w:pPr>
    </w:p>
    <w:tbl>
      <w:tblPr>
        <w:tblW w:w="0" w:type="auto"/>
        <w:tblInd w:w="-106" w:type="dxa"/>
        <w:tblLook w:val="00A0" w:firstRow="1" w:lastRow="0" w:firstColumn="1" w:lastColumn="0" w:noHBand="0" w:noVBand="0"/>
      </w:tblPr>
      <w:tblGrid>
        <w:gridCol w:w="4428"/>
        <w:gridCol w:w="4428"/>
      </w:tblGrid>
      <w:tr w:rsidR="00B9190D" w:rsidRPr="00412FD0">
        <w:tc>
          <w:tcPr>
            <w:tcW w:w="4428" w:type="dxa"/>
          </w:tcPr>
          <w:p w:rsidR="00B9190D" w:rsidRPr="00B47634" w:rsidRDefault="00347054" w:rsidP="00D22061">
            <w:pPr>
              <w:autoSpaceDE w:val="0"/>
              <w:autoSpaceDN w:val="0"/>
              <w:adjustRightInd w:val="0"/>
            </w:pPr>
            <w:hyperlink r:id="rId19" w:history="1">
              <w:r w:rsidR="00B9190D" w:rsidRPr="00B47634">
                <w:rPr>
                  <w:color w:val="0000FF"/>
                  <w:u w:val="single"/>
                </w:rPr>
                <w:t>Devin.parram@puc.state.oh.us</w:t>
              </w:r>
            </w:hyperlink>
          </w:p>
          <w:p w:rsidR="00B9190D" w:rsidRPr="00B47634" w:rsidRDefault="00347054" w:rsidP="00D22061">
            <w:pPr>
              <w:autoSpaceDE w:val="0"/>
              <w:autoSpaceDN w:val="0"/>
              <w:adjustRightInd w:val="0"/>
              <w:rPr>
                <w:color w:val="0000FF"/>
              </w:rPr>
            </w:pPr>
            <w:hyperlink r:id="rId20" w:history="1">
              <w:r w:rsidR="00B9190D" w:rsidRPr="00B47634">
                <w:rPr>
                  <w:color w:val="0000FF"/>
                  <w:u w:val="single"/>
                </w:rPr>
                <w:t>kjkolich@firstenergycorp.com</w:t>
              </w:r>
            </w:hyperlink>
          </w:p>
          <w:p w:rsidR="00B9190D" w:rsidRPr="00B47634" w:rsidRDefault="00347054" w:rsidP="00D22061">
            <w:pPr>
              <w:autoSpaceDE w:val="0"/>
              <w:autoSpaceDN w:val="0"/>
              <w:adjustRightInd w:val="0"/>
              <w:rPr>
                <w:color w:val="000000"/>
              </w:rPr>
            </w:pPr>
            <w:hyperlink r:id="rId21" w:history="1">
              <w:r w:rsidR="00B9190D" w:rsidRPr="00B47634">
                <w:rPr>
                  <w:color w:val="0000FF"/>
                  <w:u w:val="single"/>
                </w:rPr>
                <w:t>cdunn@firstenergycorp.com</w:t>
              </w:r>
            </w:hyperlink>
          </w:p>
          <w:p w:rsidR="00B9190D" w:rsidRPr="00B47634" w:rsidRDefault="00347054" w:rsidP="00D22061">
            <w:pPr>
              <w:rPr>
                <w:color w:val="0000FF"/>
              </w:rPr>
            </w:pPr>
            <w:hyperlink r:id="rId22" w:history="1">
              <w:r w:rsidR="00B9190D" w:rsidRPr="00B47634">
                <w:rPr>
                  <w:color w:val="0000FF"/>
                  <w:u w:val="single"/>
                </w:rPr>
                <w:t>toddm@wamenergylaw.com</w:t>
              </w:r>
            </w:hyperlink>
          </w:p>
          <w:p w:rsidR="00B9190D" w:rsidRPr="00B47634" w:rsidRDefault="00347054" w:rsidP="00D22061">
            <w:pPr>
              <w:rPr>
                <w:color w:val="0000FF"/>
              </w:rPr>
            </w:pPr>
            <w:hyperlink r:id="rId23" w:history="1">
              <w:r w:rsidR="00B9190D" w:rsidRPr="00B47634">
                <w:rPr>
                  <w:color w:val="0000FF"/>
                  <w:u w:val="single"/>
                </w:rPr>
                <w:t>cmooney2@columbus.rr.com</w:t>
              </w:r>
            </w:hyperlink>
          </w:p>
          <w:p w:rsidR="00B9190D" w:rsidRPr="00B47634" w:rsidRDefault="00347054" w:rsidP="00D22061">
            <w:pPr>
              <w:autoSpaceDE w:val="0"/>
              <w:autoSpaceDN w:val="0"/>
              <w:adjustRightInd w:val="0"/>
            </w:pPr>
            <w:hyperlink r:id="rId24" w:history="1">
              <w:r w:rsidR="00B9190D" w:rsidRPr="00B47634">
                <w:rPr>
                  <w:color w:val="0000FF"/>
                  <w:u w:val="single"/>
                </w:rPr>
                <w:t>Cathy@theOEC.org</w:t>
              </w:r>
            </w:hyperlink>
          </w:p>
          <w:p w:rsidR="00B9190D" w:rsidRPr="00B47634" w:rsidRDefault="00347054" w:rsidP="00D22061">
            <w:pPr>
              <w:autoSpaceDE w:val="0"/>
              <w:autoSpaceDN w:val="0"/>
              <w:adjustRightInd w:val="0"/>
            </w:pPr>
            <w:hyperlink r:id="rId25" w:history="1">
              <w:r w:rsidR="00B9190D" w:rsidRPr="00B47634">
                <w:rPr>
                  <w:color w:val="0000FF"/>
                  <w:u w:val="single"/>
                </w:rPr>
                <w:t>Trent@theOEC.org</w:t>
              </w:r>
            </w:hyperlink>
          </w:p>
          <w:p w:rsidR="00B9190D" w:rsidRPr="00B47634" w:rsidRDefault="00347054" w:rsidP="00D22061">
            <w:pPr>
              <w:autoSpaceDE w:val="0"/>
              <w:autoSpaceDN w:val="0"/>
              <w:adjustRightInd w:val="0"/>
              <w:rPr>
                <w:color w:val="0000FF"/>
              </w:rPr>
            </w:pPr>
            <w:hyperlink r:id="rId26" w:history="1">
              <w:r w:rsidR="00B9190D" w:rsidRPr="00B47634">
                <w:rPr>
                  <w:color w:val="0000FF"/>
                  <w:u w:val="single"/>
                </w:rPr>
                <w:t>callwein@wamenergylaw.com</w:t>
              </w:r>
            </w:hyperlink>
          </w:p>
          <w:p w:rsidR="00B9190D" w:rsidRPr="00B47634" w:rsidRDefault="00347054" w:rsidP="00D22061">
            <w:pPr>
              <w:autoSpaceDE w:val="0"/>
              <w:autoSpaceDN w:val="0"/>
              <w:adjustRightInd w:val="0"/>
            </w:pPr>
            <w:hyperlink r:id="rId27" w:history="1">
              <w:r w:rsidR="00B9190D" w:rsidRPr="00B47634">
                <w:rPr>
                  <w:color w:val="0000FF"/>
                  <w:u w:val="single"/>
                </w:rPr>
                <w:t>dboehm@BKLlawfirm.com</w:t>
              </w:r>
            </w:hyperlink>
          </w:p>
          <w:p w:rsidR="00B9190D" w:rsidRPr="00B47634" w:rsidRDefault="00347054" w:rsidP="00D22061">
            <w:pPr>
              <w:autoSpaceDE w:val="0"/>
              <w:autoSpaceDN w:val="0"/>
              <w:adjustRightInd w:val="0"/>
            </w:pPr>
            <w:hyperlink r:id="rId28" w:history="1">
              <w:r w:rsidR="00B9190D" w:rsidRPr="00B47634">
                <w:rPr>
                  <w:color w:val="0000FF"/>
                  <w:u w:val="single"/>
                </w:rPr>
                <w:t>mkurtz@BKLlawfirm.com</w:t>
              </w:r>
            </w:hyperlink>
          </w:p>
          <w:p w:rsidR="00B9190D" w:rsidRPr="00B47634" w:rsidRDefault="00347054" w:rsidP="00D22061">
            <w:pPr>
              <w:autoSpaceDE w:val="0"/>
              <w:autoSpaceDN w:val="0"/>
              <w:adjustRightInd w:val="0"/>
            </w:pPr>
            <w:hyperlink r:id="rId29" w:history="1">
              <w:r w:rsidR="00B9190D" w:rsidRPr="00B47634">
                <w:rPr>
                  <w:color w:val="0000FF"/>
                  <w:u w:val="single"/>
                </w:rPr>
                <w:t>jkyler@BKLlawfirm.com</w:t>
              </w:r>
            </w:hyperlink>
          </w:p>
          <w:p w:rsidR="00B9190D" w:rsidRPr="00B47634" w:rsidRDefault="00347054" w:rsidP="00D22061">
            <w:pPr>
              <w:autoSpaceDE w:val="0"/>
              <w:autoSpaceDN w:val="0"/>
              <w:adjustRightInd w:val="0"/>
            </w:pPr>
            <w:hyperlink r:id="rId30" w:history="1">
              <w:r w:rsidR="00B9190D" w:rsidRPr="00B47634">
                <w:rPr>
                  <w:rStyle w:val="Hyperlink"/>
                </w:rPr>
                <w:t>robinson@citizenpower.com</w:t>
              </w:r>
            </w:hyperlink>
          </w:p>
          <w:p w:rsidR="00B9190D" w:rsidRPr="00B47634" w:rsidRDefault="00347054" w:rsidP="00D22061">
            <w:pPr>
              <w:autoSpaceDE w:val="0"/>
              <w:autoSpaceDN w:val="0"/>
              <w:adjustRightInd w:val="0"/>
            </w:pPr>
            <w:hyperlink r:id="rId31" w:history="1">
              <w:r w:rsidR="00B9190D" w:rsidRPr="00B47634">
                <w:rPr>
                  <w:rStyle w:val="Hyperlink"/>
                </w:rPr>
                <w:t>gkrassen@bricker.com</w:t>
              </w:r>
            </w:hyperlink>
          </w:p>
          <w:p w:rsidR="00B9190D" w:rsidRPr="00B47634" w:rsidRDefault="00347054" w:rsidP="00D22061">
            <w:pPr>
              <w:autoSpaceDE w:val="0"/>
              <w:autoSpaceDN w:val="0"/>
              <w:adjustRightInd w:val="0"/>
            </w:pPr>
            <w:hyperlink r:id="rId32" w:history="1">
              <w:r w:rsidR="00B9190D" w:rsidRPr="00B47634">
                <w:rPr>
                  <w:rStyle w:val="Hyperlink"/>
                </w:rPr>
                <w:t>mwarnock@bricker.com</w:t>
              </w:r>
            </w:hyperlink>
          </w:p>
          <w:p w:rsidR="00B9190D" w:rsidRPr="00B47634" w:rsidRDefault="00B9190D" w:rsidP="00D22061">
            <w:pPr>
              <w:autoSpaceDE w:val="0"/>
              <w:autoSpaceDN w:val="0"/>
              <w:adjustRightInd w:val="0"/>
            </w:pPr>
          </w:p>
          <w:p w:rsidR="00B9190D" w:rsidRPr="00B47634" w:rsidRDefault="00B9190D" w:rsidP="00D22061">
            <w:pPr>
              <w:autoSpaceDE w:val="0"/>
              <w:autoSpaceDN w:val="0"/>
              <w:adjustRightInd w:val="0"/>
            </w:pPr>
          </w:p>
          <w:p w:rsidR="00B9190D" w:rsidRPr="00B47634" w:rsidRDefault="00B9190D" w:rsidP="00D22061">
            <w:pPr>
              <w:autoSpaceDE w:val="0"/>
              <w:autoSpaceDN w:val="0"/>
              <w:adjustRightInd w:val="0"/>
            </w:pPr>
          </w:p>
        </w:tc>
        <w:tc>
          <w:tcPr>
            <w:tcW w:w="4428" w:type="dxa"/>
          </w:tcPr>
          <w:p w:rsidR="00B9190D" w:rsidRPr="00B47634" w:rsidRDefault="00347054" w:rsidP="00D22061">
            <w:pPr>
              <w:autoSpaceDE w:val="0"/>
              <w:autoSpaceDN w:val="0"/>
              <w:adjustRightInd w:val="0"/>
            </w:pPr>
            <w:hyperlink r:id="rId33" w:history="1">
              <w:r w:rsidR="00B9190D" w:rsidRPr="00B47634">
                <w:rPr>
                  <w:color w:val="0000FF"/>
                  <w:u w:val="single"/>
                </w:rPr>
                <w:t>ricks@ohanet.org</w:t>
              </w:r>
            </w:hyperlink>
          </w:p>
          <w:p w:rsidR="00B9190D" w:rsidRPr="00B47634" w:rsidRDefault="00347054" w:rsidP="00D22061">
            <w:pPr>
              <w:autoSpaceDE w:val="0"/>
              <w:autoSpaceDN w:val="0"/>
              <w:adjustRightInd w:val="0"/>
            </w:pPr>
            <w:hyperlink r:id="rId34" w:history="1">
              <w:r w:rsidR="00B9190D" w:rsidRPr="00B47634">
                <w:rPr>
                  <w:color w:val="0000FF"/>
                  <w:u w:val="single"/>
                </w:rPr>
                <w:t>tobrien@bricker.com</w:t>
              </w:r>
            </w:hyperlink>
          </w:p>
          <w:p w:rsidR="00B9190D" w:rsidRPr="00B47634" w:rsidRDefault="00347054" w:rsidP="00D22061">
            <w:pPr>
              <w:autoSpaceDE w:val="0"/>
              <w:autoSpaceDN w:val="0"/>
              <w:adjustRightInd w:val="0"/>
              <w:rPr>
                <w:color w:val="0000FF"/>
              </w:rPr>
            </w:pPr>
            <w:hyperlink r:id="rId35" w:history="1">
              <w:r w:rsidR="00B9190D" w:rsidRPr="00B47634">
                <w:rPr>
                  <w:rStyle w:val="Hyperlink"/>
                </w:rPr>
                <w:t>tsiwo@bricker.com</w:t>
              </w:r>
            </w:hyperlink>
          </w:p>
          <w:p w:rsidR="00B9190D" w:rsidRPr="00B47634" w:rsidRDefault="00347054" w:rsidP="00D22061">
            <w:pPr>
              <w:autoSpaceDE w:val="0"/>
              <w:autoSpaceDN w:val="0"/>
              <w:adjustRightInd w:val="0"/>
              <w:rPr>
                <w:color w:val="0000FF"/>
              </w:rPr>
            </w:pPr>
            <w:hyperlink r:id="rId36" w:history="1">
              <w:r w:rsidR="00B9190D" w:rsidRPr="00B47634">
                <w:rPr>
                  <w:color w:val="0000FF"/>
                  <w:u w:val="single"/>
                </w:rPr>
                <w:t>gpoulos@enernoc.com</w:t>
              </w:r>
            </w:hyperlink>
          </w:p>
          <w:p w:rsidR="00B9190D" w:rsidRPr="00B47634" w:rsidRDefault="00347054" w:rsidP="00D22061">
            <w:pPr>
              <w:autoSpaceDE w:val="0"/>
              <w:autoSpaceDN w:val="0"/>
              <w:adjustRightInd w:val="0"/>
            </w:pPr>
            <w:hyperlink r:id="rId37" w:history="1">
              <w:r w:rsidR="00B9190D" w:rsidRPr="00B47634">
                <w:rPr>
                  <w:color w:val="0000FF"/>
                  <w:u w:val="single"/>
                </w:rPr>
                <w:t>sam@mwncmh.com</w:t>
              </w:r>
            </w:hyperlink>
          </w:p>
          <w:p w:rsidR="00B9190D" w:rsidRPr="00B47634" w:rsidRDefault="00347054" w:rsidP="00D22061">
            <w:pPr>
              <w:autoSpaceDE w:val="0"/>
              <w:autoSpaceDN w:val="0"/>
              <w:adjustRightInd w:val="0"/>
            </w:pPr>
            <w:hyperlink r:id="rId38" w:history="1">
              <w:r w:rsidR="00B9190D" w:rsidRPr="00B47634">
                <w:rPr>
                  <w:color w:val="0000FF"/>
                  <w:u w:val="single"/>
                </w:rPr>
                <w:t>fdarr@mwncmh.com</w:t>
              </w:r>
            </w:hyperlink>
          </w:p>
          <w:p w:rsidR="00B9190D" w:rsidRPr="00B47634" w:rsidRDefault="00347054" w:rsidP="00D22061">
            <w:pPr>
              <w:autoSpaceDE w:val="0"/>
              <w:autoSpaceDN w:val="0"/>
              <w:adjustRightInd w:val="0"/>
            </w:pPr>
            <w:hyperlink r:id="rId39" w:history="1">
              <w:r w:rsidR="00B9190D" w:rsidRPr="00B47634">
                <w:rPr>
                  <w:color w:val="0000FF"/>
                  <w:u w:val="single"/>
                </w:rPr>
                <w:t>joliker@mwncmh.com</w:t>
              </w:r>
            </w:hyperlink>
          </w:p>
          <w:p w:rsidR="00B9190D" w:rsidRPr="00B47634" w:rsidRDefault="00347054" w:rsidP="00D22061">
            <w:pPr>
              <w:autoSpaceDE w:val="0"/>
              <w:autoSpaceDN w:val="0"/>
              <w:adjustRightInd w:val="0"/>
            </w:pPr>
            <w:hyperlink r:id="rId40" w:history="1">
              <w:r w:rsidR="00B9190D" w:rsidRPr="00B47634">
                <w:rPr>
                  <w:color w:val="0000FF"/>
                  <w:u w:val="single"/>
                </w:rPr>
                <w:t>mpritchard@mwncmh.com</w:t>
              </w:r>
            </w:hyperlink>
          </w:p>
          <w:p w:rsidR="00B9190D" w:rsidRPr="00B47634" w:rsidRDefault="00347054" w:rsidP="00D22061">
            <w:pPr>
              <w:autoSpaceDE w:val="0"/>
              <w:autoSpaceDN w:val="0"/>
              <w:adjustRightInd w:val="0"/>
            </w:pPr>
            <w:hyperlink r:id="rId41" w:history="1">
              <w:r w:rsidR="00B9190D" w:rsidRPr="00B47634">
                <w:rPr>
                  <w:color w:val="0000FF"/>
                  <w:u w:val="single"/>
                </w:rPr>
                <w:t>mlavanga@bbrslaw.com</w:t>
              </w:r>
            </w:hyperlink>
          </w:p>
          <w:p w:rsidR="00B9190D" w:rsidRPr="00B47634" w:rsidRDefault="00347054" w:rsidP="00D22061">
            <w:pPr>
              <w:autoSpaceDE w:val="0"/>
              <w:autoSpaceDN w:val="0"/>
              <w:adjustRightInd w:val="0"/>
            </w:pPr>
            <w:hyperlink r:id="rId42" w:history="1">
              <w:r w:rsidR="00B9190D" w:rsidRPr="00B47634">
                <w:rPr>
                  <w:color w:val="0000FF"/>
                  <w:u w:val="single"/>
                </w:rPr>
                <w:t>jvickers@elpc.org</w:t>
              </w:r>
            </w:hyperlink>
          </w:p>
          <w:p w:rsidR="00B9190D" w:rsidRPr="00B47634" w:rsidRDefault="00347054" w:rsidP="00D22061">
            <w:pPr>
              <w:autoSpaceDE w:val="0"/>
              <w:autoSpaceDN w:val="0"/>
              <w:adjustRightInd w:val="0"/>
            </w:pPr>
            <w:hyperlink r:id="rId43" w:history="1">
              <w:r w:rsidR="00B9190D" w:rsidRPr="00B47634">
                <w:rPr>
                  <w:color w:val="0000FF"/>
                  <w:u w:val="single"/>
                </w:rPr>
                <w:t>rkelter@elpc.org</w:t>
              </w:r>
            </w:hyperlink>
          </w:p>
          <w:p w:rsidR="00B9190D" w:rsidRPr="00B47634" w:rsidRDefault="00347054" w:rsidP="00D22061">
            <w:pPr>
              <w:autoSpaceDE w:val="0"/>
              <w:autoSpaceDN w:val="0"/>
              <w:adjustRightInd w:val="0"/>
            </w:pPr>
            <w:hyperlink r:id="rId44" w:history="1">
              <w:r w:rsidR="00B9190D" w:rsidRPr="00B47634">
                <w:rPr>
                  <w:rStyle w:val="Hyperlink"/>
                </w:rPr>
                <w:t>NMcDaniel@elpc.org</w:t>
              </w:r>
            </w:hyperlink>
          </w:p>
          <w:p w:rsidR="00B9190D" w:rsidRPr="00B47634" w:rsidRDefault="00B9190D" w:rsidP="00D22061">
            <w:pPr>
              <w:autoSpaceDE w:val="0"/>
              <w:autoSpaceDN w:val="0"/>
              <w:adjustRightInd w:val="0"/>
            </w:pPr>
          </w:p>
          <w:p w:rsidR="00B9190D" w:rsidRPr="00B47634" w:rsidRDefault="00B9190D" w:rsidP="00D22061">
            <w:pPr>
              <w:autoSpaceDE w:val="0"/>
              <w:autoSpaceDN w:val="0"/>
              <w:adjustRightInd w:val="0"/>
            </w:pPr>
          </w:p>
        </w:tc>
      </w:tr>
    </w:tbl>
    <w:p w:rsidR="00B9190D" w:rsidRDefault="00B9190D" w:rsidP="00DA194E">
      <w:pPr>
        <w:autoSpaceDE w:val="0"/>
        <w:autoSpaceDN w:val="0"/>
        <w:adjustRightInd w:val="0"/>
      </w:pPr>
    </w:p>
    <w:p w:rsidR="00B9190D" w:rsidRDefault="00B9190D" w:rsidP="00DA194E">
      <w:pPr>
        <w:autoSpaceDE w:val="0"/>
        <w:autoSpaceDN w:val="0"/>
        <w:adjustRightInd w:val="0"/>
      </w:pPr>
    </w:p>
    <w:p w:rsidR="00B9190D" w:rsidRDefault="00B9190D" w:rsidP="00DA194E">
      <w:r>
        <w:t xml:space="preserve">AEs: </w:t>
      </w:r>
      <w:r>
        <w:tab/>
      </w:r>
      <w:hyperlink r:id="rId45" w:history="1">
        <w:r w:rsidRPr="007F5EC5">
          <w:rPr>
            <w:rStyle w:val="Hyperlink"/>
          </w:rPr>
          <w:t>Mandy.willey@puc.state.oh.us</w:t>
        </w:r>
      </w:hyperlink>
    </w:p>
    <w:p w:rsidR="00B9190D" w:rsidRDefault="00B9190D" w:rsidP="00DA194E">
      <w:r>
        <w:tab/>
      </w:r>
      <w:hyperlink r:id="rId46" w:history="1">
        <w:r w:rsidRPr="007F5EC5">
          <w:rPr>
            <w:rStyle w:val="Hyperlink"/>
          </w:rPr>
          <w:t>Gregory.price@puc.state.oh.us</w:t>
        </w:r>
      </w:hyperlink>
    </w:p>
    <w:p w:rsidR="00B9190D" w:rsidRDefault="00B9190D" w:rsidP="00DA194E"/>
    <w:p w:rsidR="00B9190D" w:rsidRPr="00454A08" w:rsidRDefault="00B9190D">
      <w:pPr>
        <w:pStyle w:val="EndnoteText"/>
        <w:widowControl/>
      </w:pPr>
    </w:p>
    <w:sectPr w:rsidR="00B9190D" w:rsidRPr="00454A08" w:rsidSect="00075199">
      <w:headerReference w:type="default" r:id="rId47"/>
      <w:footerReference w:type="default" r:id="rId48"/>
      <w:headerReference w:type="first" r:id="rId49"/>
      <w:footerReference w:type="first" r:id="rId50"/>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0A1" w:rsidRDefault="000C50A1">
      <w:r>
        <w:separator/>
      </w:r>
    </w:p>
  </w:endnote>
  <w:endnote w:type="continuationSeparator" w:id="0">
    <w:p w:rsidR="000C50A1" w:rsidRDefault="000C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Footer"/>
      <w:jc w:val="center"/>
    </w:pPr>
    <w:r>
      <w:t>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Footer"/>
      <w:jc w:val="center"/>
    </w:pPr>
    <w:r>
      <w:fldChar w:fldCharType="begin"/>
    </w:r>
    <w:r>
      <w:instrText xml:space="preserve"> PAGE   \* MERGEFORMAT </w:instrText>
    </w:r>
    <w:r>
      <w:fldChar w:fldCharType="separate"/>
    </w:r>
    <w:r w:rsidR="00347054">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rsidP="007405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0A1" w:rsidRDefault="000C50A1">
      <w:r>
        <w:separator/>
      </w:r>
    </w:p>
  </w:footnote>
  <w:footnote w:type="continuationSeparator" w:id="0">
    <w:p w:rsidR="000C50A1" w:rsidRDefault="000C50A1">
      <w:r>
        <w:continuationSeparator/>
      </w:r>
    </w:p>
  </w:footnote>
  <w:footnote w:id="1">
    <w:p w:rsidR="000C50A1" w:rsidRDefault="000C50A1" w:rsidP="00114CD3">
      <w:pPr>
        <w:pStyle w:val="FootnoteText"/>
        <w:spacing w:after="120"/>
      </w:pPr>
      <w:r>
        <w:rPr>
          <w:rStyle w:val="FootnoteReference"/>
        </w:rPr>
        <w:footnoteRef/>
      </w:r>
      <w:r>
        <w:t xml:space="preserve"> Case No. 12-2190-EL-POR, </w:t>
      </w:r>
      <w:r w:rsidRPr="00627DFB">
        <w:t>Eren G.</w:t>
      </w:r>
      <w:r>
        <w:t>Demiray Direct Testimony at 10.</w:t>
      </w:r>
    </w:p>
  </w:footnote>
  <w:footnote w:id="2">
    <w:p w:rsidR="000C50A1" w:rsidRDefault="000C50A1" w:rsidP="00114CD3">
      <w:pPr>
        <w:pStyle w:val="FootnoteText"/>
        <w:spacing w:after="120"/>
      </w:pPr>
      <w:r>
        <w:rPr>
          <w:rStyle w:val="FootnoteReference"/>
        </w:rPr>
        <w:footnoteRef/>
      </w:r>
      <w:r>
        <w:t xml:space="preserve"> Demiray Direct Testimony at 10.</w:t>
      </w:r>
    </w:p>
  </w:footnote>
  <w:footnote w:id="3">
    <w:p w:rsidR="000C50A1" w:rsidRDefault="000C50A1" w:rsidP="00114CD3">
      <w:pPr>
        <w:pStyle w:val="FootnoteText"/>
        <w:spacing w:after="120"/>
      </w:pPr>
      <w:r>
        <w:rPr>
          <w:rStyle w:val="FootnoteReference"/>
        </w:rPr>
        <w:footnoteRef/>
      </w:r>
      <w:r>
        <w:t xml:space="preserve"> R.C. 4928.66(C).</w:t>
      </w:r>
    </w:p>
  </w:footnote>
  <w:footnote w:id="4">
    <w:p w:rsidR="000C50A1" w:rsidRDefault="000C50A1" w:rsidP="00114CD3">
      <w:pPr>
        <w:autoSpaceDE w:val="0"/>
        <w:autoSpaceDN w:val="0"/>
        <w:adjustRightInd w:val="0"/>
        <w:spacing w:after="120"/>
      </w:pPr>
      <w:r>
        <w:rPr>
          <w:rStyle w:val="FootnoteReference"/>
        </w:rPr>
        <w:footnoteRef/>
      </w:r>
      <w:r>
        <w:rPr>
          <w:sz w:val="20"/>
          <w:szCs w:val="20"/>
        </w:rPr>
        <w:t xml:space="preserve"> </w:t>
      </w:r>
      <w:r w:rsidRPr="00114CD3">
        <w:rPr>
          <w:sz w:val="20"/>
          <w:szCs w:val="20"/>
        </w:rPr>
        <w:t xml:space="preserve">Id. at 5-6. The </w:t>
      </w:r>
      <w:r w:rsidR="00FB35C1">
        <w:rPr>
          <w:sz w:val="20"/>
          <w:szCs w:val="20"/>
        </w:rPr>
        <w:t>UCT</w:t>
      </w:r>
      <w:r w:rsidRPr="00114CD3">
        <w:rPr>
          <w:sz w:val="20"/>
          <w:szCs w:val="20"/>
        </w:rPr>
        <w:t xml:space="preserve"> is a benefit-cost test which measures the net costs of a</w:t>
      </w:r>
      <w:r>
        <w:rPr>
          <w:sz w:val="20"/>
          <w:szCs w:val="20"/>
        </w:rPr>
        <w:t xml:space="preserve"> </w:t>
      </w:r>
      <w:r w:rsidRPr="00114CD3">
        <w:rPr>
          <w:sz w:val="20"/>
          <w:szCs w:val="20"/>
        </w:rPr>
        <w:t>program from the utility perspective and excludes any net costs incurred by the</w:t>
      </w:r>
      <w:r>
        <w:rPr>
          <w:sz w:val="20"/>
          <w:szCs w:val="20"/>
        </w:rPr>
        <w:t xml:space="preserve"> </w:t>
      </w:r>
      <w:r w:rsidRPr="00114CD3">
        <w:rPr>
          <w:sz w:val="20"/>
          <w:szCs w:val="20"/>
        </w:rPr>
        <w:t>participant.</w:t>
      </w:r>
    </w:p>
  </w:footnote>
  <w:footnote w:id="5">
    <w:p w:rsidR="000C50A1" w:rsidRDefault="000C50A1" w:rsidP="00114CD3">
      <w:pPr>
        <w:pStyle w:val="FootnoteText"/>
        <w:spacing w:after="120"/>
      </w:pPr>
      <w:r>
        <w:rPr>
          <w:rStyle w:val="FootnoteReference"/>
        </w:rPr>
        <w:footnoteRef/>
      </w:r>
      <w:r>
        <w:t xml:space="preserve"> Id. at 12.</w:t>
      </w:r>
    </w:p>
  </w:footnote>
  <w:footnote w:id="6">
    <w:p w:rsidR="000C50A1" w:rsidRDefault="000C50A1">
      <w:pPr>
        <w:pStyle w:val="FootnoteText"/>
      </w:pPr>
      <w:r>
        <w:rPr>
          <w:rStyle w:val="FootnoteReference"/>
        </w:rPr>
        <w:footnoteRef/>
      </w:r>
      <w:r>
        <w:t xml:space="preserve"> See note on the bottom of Exhibit EGD-3.</w:t>
      </w:r>
    </w:p>
  </w:footnote>
  <w:footnote w:id="7">
    <w:p w:rsidR="000C50A1" w:rsidRDefault="000C50A1">
      <w:pPr>
        <w:pStyle w:val="FootnoteText"/>
      </w:pPr>
      <w:r>
        <w:rPr>
          <w:rStyle w:val="FootnoteReference"/>
        </w:rPr>
        <w:footnoteRef/>
      </w:r>
      <w:r>
        <w:t xml:space="preserve"> </w:t>
      </w:r>
      <w:r w:rsidRPr="00DC7025">
        <w:t>Behavior based programs focus on energy savings resulting from changes in individual</w:t>
      </w:r>
      <w:r>
        <w:t xml:space="preserve"> customers</w:t>
      </w:r>
      <w:r w:rsidRPr="00DC7025">
        <w:t xml:space="preserve"> or organizational behavior and decision-making.</w:t>
      </w:r>
    </w:p>
  </w:footnote>
  <w:footnote w:id="8">
    <w:p w:rsidR="000C50A1" w:rsidRDefault="000C50A1" w:rsidP="00564D3F">
      <w:pPr>
        <w:autoSpaceDE w:val="0"/>
        <w:autoSpaceDN w:val="0"/>
        <w:adjustRightInd w:val="0"/>
      </w:pPr>
      <w:r>
        <w:rPr>
          <w:rStyle w:val="FootnoteReference"/>
        </w:rPr>
        <w:footnoteRef/>
      </w:r>
      <w:r w:rsidRPr="00564D3F">
        <w:rPr>
          <w:sz w:val="20"/>
          <w:szCs w:val="20"/>
        </w:rPr>
        <w:t xml:space="preserve">The </w:t>
      </w:r>
      <w:r>
        <w:rPr>
          <w:sz w:val="20"/>
          <w:szCs w:val="20"/>
        </w:rPr>
        <w:t xml:space="preserve">Order adopting the </w:t>
      </w:r>
      <w:r w:rsidRPr="00564D3F">
        <w:rPr>
          <w:sz w:val="20"/>
          <w:szCs w:val="20"/>
        </w:rPr>
        <w:t>Stipulation in the first FirstEnergy ESP allowed the Compan</w:t>
      </w:r>
      <w:r>
        <w:rPr>
          <w:sz w:val="20"/>
          <w:szCs w:val="20"/>
        </w:rPr>
        <w:t>ies</w:t>
      </w:r>
      <w:r w:rsidRPr="00564D3F">
        <w:rPr>
          <w:sz w:val="20"/>
          <w:szCs w:val="20"/>
        </w:rPr>
        <w:t xml:space="preserve"> to collect distribution lost revenues for six years. This</w:t>
      </w:r>
      <w:r>
        <w:rPr>
          <w:sz w:val="20"/>
          <w:szCs w:val="20"/>
        </w:rPr>
        <w:t xml:space="preserve"> Stipulation</w:t>
      </w:r>
      <w:r w:rsidRPr="00564D3F">
        <w:rPr>
          <w:sz w:val="20"/>
          <w:szCs w:val="20"/>
        </w:rPr>
        <w:t xml:space="preserve"> was approved in the Second Opinion and Order in Case No. 08-935-EL-SSO on March 25, 2009.</w:t>
      </w:r>
    </w:p>
  </w:footnote>
  <w:footnote w:id="9">
    <w:p w:rsidR="000C50A1" w:rsidRDefault="000C50A1" w:rsidP="00314058">
      <w:pPr>
        <w:pStyle w:val="FootnoteText"/>
        <w:spacing w:after="120"/>
      </w:pPr>
      <w:r>
        <w:rPr>
          <w:rStyle w:val="FootnoteReference"/>
        </w:rPr>
        <w:footnoteRef/>
      </w:r>
      <w:r w:rsidRPr="007C4418">
        <w:rPr>
          <w:i/>
          <w:iCs/>
        </w:rPr>
        <w:t>In the Matter of Ohio Edison Company, ) The Cleveland Electric Illuminating Company, and The Toledo Edison  Company for Authority to Provide for a Standard Service Offer Pursuant to Section  4928.143, Revised Code, in the Form of an Electric Security Plan</w:t>
      </w:r>
      <w:r w:rsidRPr="00A65ED4">
        <w:t>(“ESP III”),</w:t>
      </w:r>
      <w:r w:rsidRPr="007C4418">
        <w:t xml:space="preserve"> Case No. 12-1230-EL-SSO</w:t>
      </w:r>
      <w:r>
        <w:t>, Stipulation at 31 (April 13, 2012).</w:t>
      </w:r>
    </w:p>
  </w:footnote>
  <w:footnote w:id="10">
    <w:p w:rsidR="000C50A1" w:rsidRDefault="000C50A1" w:rsidP="00314058">
      <w:pPr>
        <w:pStyle w:val="FootnoteText"/>
        <w:spacing w:after="120"/>
      </w:pPr>
      <w:r>
        <w:rPr>
          <w:rStyle w:val="FootnoteReference"/>
        </w:rPr>
        <w:footnoteRef/>
      </w:r>
      <w:r>
        <w:t xml:space="preserve"> The $</w:t>
      </w:r>
      <w:r w:rsidR="00282190">
        <w:t>70</w:t>
      </w:r>
      <w:r>
        <w:t xml:space="preserve"> million figure includes lost distribution revenue included in base rates and lost Rider Delivery Capital Recovery (“DCR”) revenues recovered in reconciliations subject to the ESP II and ESP III caps.</w:t>
      </w:r>
    </w:p>
  </w:footnote>
  <w:footnote w:id="11">
    <w:p w:rsidR="000C50A1" w:rsidRDefault="000C50A1" w:rsidP="00A13706">
      <w:pPr>
        <w:pStyle w:val="FootnoteText"/>
        <w:spacing w:after="120"/>
      </w:pPr>
      <w:r>
        <w:rPr>
          <w:rStyle w:val="FootnoteReference"/>
        </w:rPr>
        <w:footnoteRef/>
      </w:r>
      <w:r>
        <w:t xml:space="preserve"> The TRC scores calculated for the self-direct mercantile programs appear inflated and may not be accurate as the Companies’ do not appear to have accounted for the customer incremental project costs.   See Compan</w:t>
      </w:r>
      <w:r w:rsidR="0086501A">
        <w:t>ies’</w:t>
      </w:r>
      <w:r>
        <w:t xml:space="preserve"> Response to OCC Set 2- INT 23 attached: “When calculating the TRC results for ‘Mercantile’ in Exhibit ECM-1 of Compan</w:t>
      </w:r>
      <w:r w:rsidR="0086501A">
        <w:t>ies’</w:t>
      </w:r>
      <w:r>
        <w:t xml:space="preserve"> Witness Miller’s direct testimony in Case No. 12-2190-EL-POR, are the full customer project costs included in the calculation?  Response: No.”</w:t>
      </w:r>
    </w:p>
  </w:footnote>
  <w:footnote w:id="12">
    <w:p w:rsidR="000C50A1" w:rsidRDefault="000C50A1" w:rsidP="00A13706">
      <w:pPr>
        <w:pStyle w:val="FootnoteText"/>
        <w:spacing w:after="120"/>
      </w:pPr>
      <w:r>
        <w:rPr>
          <w:rStyle w:val="FootnoteReference"/>
        </w:rPr>
        <w:footnoteRef/>
      </w:r>
      <w:r>
        <w:t xml:space="preserve">See seminal article on utility incentive mechanisms entitled “DSM Shareholder Incentives: Current Designs and Economic Theory, S. Stoft, J. Eto and S. Kito, Lawrence Berkeley Laboratory, page xvi, 1995. </w:t>
      </w:r>
      <w:r w:rsidRPr="00830A17">
        <w:t>http://eetd.lbl.gov/ea/emp/reports/36580.pdf</w:t>
      </w:r>
    </w:p>
  </w:footnote>
  <w:footnote w:id="13">
    <w:p w:rsidR="000C50A1" w:rsidRDefault="000C50A1" w:rsidP="00A13706">
      <w:pPr>
        <w:autoSpaceDE w:val="0"/>
        <w:autoSpaceDN w:val="0"/>
        <w:adjustRightInd w:val="0"/>
        <w:spacing w:after="120"/>
      </w:pPr>
      <w:r w:rsidRPr="00991357">
        <w:rPr>
          <w:rStyle w:val="FootnoteReference"/>
          <w:sz w:val="20"/>
          <w:szCs w:val="20"/>
        </w:rPr>
        <w:footnoteRef/>
      </w:r>
      <w:r w:rsidRPr="00991357">
        <w:rPr>
          <w:sz w:val="20"/>
          <w:szCs w:val="20"/>
        </w:rPr>
        <w:t xml:space="preserve"> Behavior-based programs focus on energy savings resulting from changes in individual customers or organizational behavior and decision-making, as compared to savings from deployment of hardware such as appliances, HVAC equipment and home insulation.</w:t>
      </w:r>
    </w:p>
  </w:footnote>
  <w:footnote w:id="14">
    <w:p w:rsidR="000C50A1" w:rsidRDefault="000C50A1" w:rsidP="00A13706">
      <w:pPr>
        <w:pStyle w:val="FootnoteText"/>
        <w:spacing w:after="120"/>
      </w:pPr>
      <w:r>
        <w:rPr>
          <w:rStyle w:val="FootnoteReference"/>
        </w:rPr>
        <w:footnoteRef/>
      </w:r>
      <w:r>
        <w:t xml:space="preserve"> R.C. 4928.66. (A)(1)(a) “Beginning in 2009, an electric distribution utility shall implement energy efficiency programs that achieve energy savings equivalent to at least three-tenths of one per cent of the total, annual average, and normalized kilowatt-hour sales of the electric distribution utility during the preceding three calendar years to customers in this state.”</w:t>
      </w:r>
    </w:p>
  </w:footnote>
  <w:footnote w:id="15">
    <w:p w:rsidR="000C50A1" w:rsidRDefault="000C50A1" w:rsidP="00C60BC8">
      <w:pPr>
        <w:pStyle w:val="FootnoteText"/>
        <w:spacing w:after="120"/>
      </w:pPr>
      <w:r>
        <w:rPr>
          <w:rStyle w:val="FootnoteReference"/>
        </w:rPr>
        <w:footnoteRef/>
      </w:r>
      <w:r>
        <w:t xml:space="preserve"> Case Nos. 09-1947-EL-POR, et al., Staff Proposal (October 24, 2011) at 1-2.</w:t>
      </w:r>
    </w:p>
  </w:footnote>
  <w:footnote w:id="16">
    <w:p w:rsidR="000C50A1" w:rsidRDefault="000C50A1" w:rsidP="00C60BC8">
      <w:pPr>
        <w:pStyle w:val="FootnoteText"/>
        <w:spacing w:after="120"/>
      </w:pPr>
      <w:r>
        <w:rPr>
          <w:rStyle w:val="FootnoteReference"/>
        </w:rPr>
        <w:footnoteRef/>
      </w:r>
      <w:r>
        <w:t xml:space="preserve"> R.C. 4928.66(A)(2)(d) permits a utility to include, for purposes of compliance with statutory EE&amp;PDR benchmarks, “transmission and distribution infrastructure improvements that reduce line losses.  FirstEnergy has developed the T&amp;D Improvements program that accumulates the savings achieved through various energy efficiency T&amp;D projects completed by the Utilities. These projects involve various system improvements.  Portfolio at 62.</w:t>
      </w:r>
    </w:p>
  </w:footnote>
  <w:footnote w:id="17">
    <w:p w:rsidR="000C50A1" w:rsidRDefault="000C50A1" w:rsidP="00314058">
      <w:pPr>
        <w:pStyle w:val="FootnoteText"/>
        <w:spacing w:after="120"/>
      </w:pPr>
      <w:r>
        <w:rPr>
          <w:rStyle w:val="FootnoteReference"/>
        </w:rPr>
        <w:footnoteRef/>
      </w:r>
      <w:r w:rsidR="00DD0AC6">
        <w:t xml:space="preserve"> </w:t>
      </w:r>
      <w:r w:rsidRPr="00DC7025">
        <w:t>Behavior based programs focus on energy savings resulting from changes in individual</w:t>
      </w:r>
      <w:r>
        <w:t xml:space="preserve"> customers</w:t>
      </w:r>
      <w:r w:rsidRPr="00DC7025">
        <w:t xml:space="preserve"> or organizational behavior and decision-making.</w:t>
      </w:r>
    </w:p>
  </w:footnote>
  <w:footnote w:id="18">
    <w:p w:rsidR="000C50A1" w:rsidRDefault="000C50A1" w:rsidP="00314058">
      <w:pPr>
        <w:pStyle w:val="FootnoteText"/>
        <w:spacing w:after="120"/>
      </w:pPr>
      <w:r>
        <w:rPr>
          <w:rStyle w:val="FootnoteReference"/>
        </w:rPr>
        <w:footnoteRef/>
      </w:r>
      <w:r w:rsidR="00DD0AC6">
        <w:t xml:space="preserve"> </w:t>
      </w:r>
      <w:r>
        <w:t>Id. at 2.</w:t>
      </w:r>
    </w:p>
  </w:footnote>
  <w:footnote w:id="19">
    <w:p w:rsidR="000C50A1" w:rsidRDefault="000C50A1" w:rsidP="00314058">
      <w:pPr>
        <w:autoSpaceDE w:val="0"/>
        <w:autoSpaceDN w:val="0"/>
        <w:adjustRightInd w:val="0"/>
        <w:spacing w:after="120"/>
      </w:pPr>
      <w:r w:rsidRPr="009C4E20">
        <w:rPr>
          <w:rStyle w:val="FootnoteReference"/>
          <w:sz w:val="20"/>
          <w:szCs w:val="20"/>
        </w:rPr>
        <w:footnoteRef/>
      </w:r>
      <w:r w:rsidR="00DC5AA6">
        <w:rPr>
          <w:sz w:val="20"/>
          <w:szCs w:val="20"/>
        </w:rPr>
        <w:t xml:space="preserve"> </w:t>
      </w:r>
      <w:r w:rsidRPr="00B72CE2">
        <w:rPr>
          <w:sz w:val="20"/>
          <w:szCs w:val="20"/>
        </w:rPr>
        <w:t>See</w:t>
      </w:r>
      <w:r>
        <w:rPr>
          <w:sz w:val="20"/>
          <w:szCs w:val="20"/>
        </w:rPr>
        <w:t xml:space="preserve"> </w:t>
      </w:r>
      <w:r>
        <w:rPr>
          <w:i/>
          <w:iCs/>
          <w:sz w:val="20"/>
          <w:szCs w:val="20"/>
        </w:rPr>
        <w:t>In the Matter of the Application of the [Companies] for Approval of Three Year Energy Efficiency and Peak Demand Reduction Plans and Initial Benchmark Report</w:t>
      </w:r>
      <w:r>
        <w:rPr>
          <w:sz w:val="20"/>
          <w:szCs w:val="20"/>
        </w:rPr>
        <w:t>, Case Nos. 09-1947-El-POR, 09-1948-EL</w:t>
      </w:r>
      <w:r w:rsidR="00DC5AA6">
        <w:rPr>
          <w:sz w:val="20"/>
          <w:szCs w:val="20"/>
        </w:rPr>
        <w:t>-</w:t>
      </w:r>
      <w:r>
        <w:rPr>
          <w:sz w:val="20"/>
          <w:szCs w:val="20"/>
        </w:rPr>
        <w:t>POR and 09-1949-EL-POR, Proposal For Incentivizing Utility Energy Efficiency Performance Submitted On Behalf Of The Staff Of The Public Utilities Commission Of Ohio (October 24, 2011) at 4-5.</w:t>
      </w:r>
    </w:p>
  </w:footnote>
  <w:footnote w:id="20">
    <w:p w:rsidR="000C50A1" w:rsidRDefault="000C50A1" w:rsidP="00DA194E">
      <w:pPr>
        <w:pStyle w:val="FootnoteText"/>
        <w:spacing w:after="120"/>
      </w:pPr>
      <w:r>
        <w:rPr>
          <w:rStyle w:val="FootnoteReference"/>
        </w:rPr>
        <w:footnoteRef/>
      </w:r>
      <w:r>
        <w:t xml:space="preserve"> Case No. 12-2190-EL-POR, see specifically, Objections of OCC (at 4-6), OPAE (at 7), NUCOR (at 13), OEG (at 2), (September 9, 2012).   Only OMA (at 4) stated that no cap should be imposed.</w:t>
      </w:r>
    </w:p>
  </w:footnote>
  <w:footnote w:id="21">
    <w:p w:rsidR="000C50A1" w:rsidRDefault="000C50A1" w:rsidP="002F60AE">
      <w:pPr>
        <w:autoSpaceDE w:val="0"/>
        <w:autoSpaceDN w:val="0"/>
        <w:adjustRightInd w:val="0"/>
      </w:pPr>
      <w:r w:rsidRPr="002F60AE">
        <w:rPr>
          <w:rStyle w:val="FootnoteReference"/>
          <w:sz w:val="20"/>
          <w:szCs w:val="20"/>
        </w:rPr>
        <w:footnoteRef/>
      </w:r>
      <w:r w:rsidR="00DC5AA6">
        <w:rPr>
          <w:sz w:val="20"/>
          <w:szCs w:val="20"/>
        </w:rPr>
        <w:t xml:space="preserve"> </w:t>
      </w:r>
      <w:r w:rsidRPr="002F60AE">
        <w:rPr>
          <w:sz w:val="20"/>
          <w:szCs w:val="20"/>
        </w:rPr>
        <w:t>See “Aligning Utility Incentives with Investment in Energy Efficiency,” National Action Plan for Energy Efficiency, November 2007, pages 6-1</w:t>
      </w:r>
      <w:r w:rsidR="00DC5AA6">
        <w:rPr>
          <w:sz w:val="20"/>
          <w:szCs w:val="20"/>
        </w:rPr>
        <w:t xml:space="preserve"> </w:t>
      </w:r>
      <w:r w:rsidRPr="002F60AE">
        <w:rPr>
          <w:sz w:val="20"/>
          <w:szCs w:val="20"/>
        </w:rPr>
        <w:t>through 6-2.</w:t>
      </w:r>
    </w:p>
  </w:footnote>
  <w:footnote w:id="22">
    <w:p w:rsidR="000C50A1" w:rsidRDefault="000C50A1" w:rsidP="00314058">
      <w:pPr>
        <w:pStyle w:val="FootnoteText"/>
        <w:spacing w:after="120"/>
      </w:pPr>
      <w:r>
        <w:rPr>
          <w:rStyle w:val="FootnoteReference"/>
        </w:rPr>
        <w:footnoteRef/>
      </w:r>
      <w:r>
        <w:rPr>
          <w:sz w:val="19"/>
          <w:szCs w:val="19"/>
        </w:rPr>
        <w:t xml:space="preserve"> Case No. 12-1230-EL-SSO, Tr. Transcript ESP III, Vol. I, at 301 (Neme) (June 4, 2012).</w:t>
      </w:r>
    </w:p>
  </w:footnote>
  <w:footnote w:id="23">
    <w:p w:rsidR="000C50A1" w:rsidRDefault="000C50A1" w:rsidP="00314058">
      <w:pPr>
        <w:autoSpaceDE w:val="0"/>
        <w:autoSpaceDN w:val="0"/>
        <w:adjustRightInd w:val="0"/>
        <w:spacing w:after="120"/>
      </w:pPr>
      <w:r w:rsidRPr="00114CD3">
        <w:rPr>
          <w:rStyle w:val="FootnoteReference"/>
          <w:sz w:val="20"/>
          <w:szCs w:val="20"/>
        </w:rPr>
        <w:footnoteRef/>
      </w:r>
      <w:r>
        <w:rPr>
          <w:sz w:val="19"/>
          <w:szCs w:val="19"/>
        </w:rPr>
        <w:t xml:space="preserve"> Case No. 12-1230-EL-SSO, ESP III Stipulation at 33 (April 13, 2012).</w:t>
      </w:r>
    </w:p>
  </w:footnote>
  <w:footnote w:id="24">
    <w:p w:rsidR="000C50A1" w:rsidRDefault="000C50A1" w:rsidP="00314058">
      <w:pPr>
        <w:pStyle w:val="FootnoteText"/>
        <w:spacing w:after="120"/>
      </w:pPr>
      <w:r>
        <w:rPr>
          <w:rStyle w:val="FootnoteReference"/>
        </w:rPr>
        <w:footnoteRef/>
      </w:r>
      <w:r>
        <w:rPr>
          <w:sz w:val="19"/>
          <w:szCs w:val="19"/>
        </w:rPr>
        <w:t>Direct Testimony of Companies’ Witness Miller, Exhibit ECM-2, pages 1-3.</w:t>
      </w:r>
    </w:p>
  </w:footnote>
  <w:footnote w:id="25">
    <w:p w:rsidR="000C50A1" w:rsidRDefault="000C50A1">
      <w:pPr>
        <w:pStyle w:val="FootnoteText"/>
      </w:pPr>
      <w:r>
        <w:rPr>
          <w:rStyle w:val="FootnoteReference"/>
        </w:rPr>
        <w:footnoteRef/>
      </w:r>
      <w:r>
        <w:t xml:space="preserve"> This is what is generally meant by “eligible” EE &amp; LM for the remainder of my testimony. Specifically its Attachment DD-1 and especially page 2449 for EE in the PJM Tariff.  The “eligible” EE and LM presupposes that the Companies execute their Portfolio Plan and sign up customers to their programs.</w:t>
      </w:r>
    </w:p>
  </w:footnote>
  <w:footnote w:id="26">
    <w:p w:rsidR="000C50A1" w:rsidRDefault="000C50A1" w:rsidP="00C60BC8">
      <w:pPr>
        <w:pStyle w:val="FootnoteText"/>
        <w:spacing w:after="120"/>
      </w:pPr>
      <w:r>
        <w:rPr>
          <w:rStyle w:val="FootnoteReference"/>
        </w:rPr>
        <w:footnoteRef/>
      </w:r>
      <w:r>
        <w:t xml:space="preserve"> Witness Dargie Direct Testimony at 15.</w:t>
      </w:r>
    </w:p>
  </w:footnote>
  <w:footnote w:id="27">
    <w:p w:rsidR="000C50A1" w:rsidRDefault="000C50A1">
      <w:pPr>
        <w:pStyle w:val="FootnoteText"/>
      </w:pPr>
      <w:r>
        <w:rPr>
          <w:rStyle w:val="FootnoteReference"/>
        </w:rPr>
        <w:footnoteRef/>
      </w:r>
      <w:r>
        <w:t xml:space="preserve"> Portfolio at 12-13.</w:t>
      </w:r>
    </w:p>
  </w:footnote>
  <w:footnote w:id="28">
    <w:p w:rsidR="000C50A1" w:rsidRDefault="000C50A1" w:rsidP="00C60BC8">
      <w:pPr>
        <w:pStyle w:val="FootnoteText"/>
        <w:spacing w:after="120"/>
      </w:pPr>
      <w:r>
        <w:rPr>
          <w:rStyle w:val="FootnoteReference"/>
        </w:rPr>
        <w:footnoteRef/>
      </w:r>
      <w:r>
        <w:t xml:space="preserve"> The Parties who filed objections addressing this topic are OCC (at 10-11), OMA (at 3-4), Advanced Energy Economy Ohio (at 6-8), ENERNOC (at 1-5), OPAE (at 8), Staff (at 2), NRDC and the Sierra Club (at14-18), Case No. 12-2190-EL-POR.</w:t>
      </w:r>
    </w:p>
  </w:footnote>
  <w:footnote w:id="29">
    <w:p w:rsidR="000C50A1" w:rsidRDefault="000C50A1" w:rsidP="00C60BC8">
      <w:pPr>
        <w:pStyle w:val="FootnoteText"/>
        <w:spacing w:after="120"/>
      </w:pPr>
      <w:r>
        <w:rPr>
          <w:rStyle w:val="FootnoteReference"/>
        </w:rPr>
        <w:footnoteRef/>
      </w:r>
      <w:r>
        <w:t>Staff Objections at 2.</w:t>
      </w:r>
    </w:p>
  </w:footnote>
  <w:footnote w:id="30">
    <w:p w:rsidR="000C50A1" w:rsidRDefault="000C50A1" w:rsidP="00C60BC8">
      <w:pPr>
        <w:pStyle w:val="FootnoteText"/>
        <w:spacing w:after="120"/>
      </w:pPr>
      <w:r>
        <w:rPr>
          <w:rStyle w:val="FootnoteReference"/>
        </w:rPr>
        <w:footnoteRef/>
      </w:r>
      <w:r w:rsidR="00DC5AA6">
        <w:rPr>
          <w:sz w:val="19"/>
          <w:szCs w:val="19"/>
        </w:rPr>
        <w:t xml:space="preserve"> </w:t>
      </w:r>
      <w:r>
        <w:rPr>
          <w:sz w:val="19"/>
          <w:szCs w:val="19"/>
        </w:rPr>
        <w:t>ESP III Opinion and Order, at 38.</w:t>
      </w:r>
    </w:p>
  </w:footnote>
  <w:footnote w:id="31">
    <w:p w:rsidR="000C50A1" w:rsidRDefault="000C50A1">
      <w:pPr>
        <w:pStyle w:val="FootnoteText"/>
      </w:pPr>
      <w:r>
        <w:rPr>
          <w:rStyle w:val="FootnoteReference"/>
        </w:rPr>
        <w:footnoteRef/>
      </w:r>
      <w:r>
        <w:rPr>
          <w:sz w:val="19"/>
          <w:szCs w:val="19"/>
        </w:rPr>
        <w:t>Id. at 5.(Roberto dissenting Opinion).</w:t>
      </w:r>
    </w:p>
  </w:footnote>
  <w:footnote w:id="32">
    <w:p w:rsidR="000C50A1" w:rsidRDefault="000C50A1" w:rsidP="00DA194E">
      <w:pPr>
        <w:pStyle w:val="FootnoteText"/>
        <w:spacing w:after="120"/>
      </w:pPr>
      <w:r>
        <w:rPr>
          <w:rStyle w:val="FootnoteReference"/>
        </w:rPr>
        <w:footnoteRef/>
      </w:r>
      <w:r>
        <w:t xml:space="preserve"> This protection could include “acts of God” or other actions beyond FirstEnergy’s control. </w:t>
      </w:r>
    </w:p>
  </w:footnote>
  <w:footnote w:id="33">
    <w:p w:rsidR="000C50A1" w:rsidRDefault="000C50A1" w:rsidP="00DA194E">
      <w:pPr>
        <w:pStyle w:val="FootnoteText"/>
        <w:spacing w:after="120"/>
      </w:pPr>
      <w:r>
        <w:rPr>
          <w:rStyle w:val="FootnoteReference"/>
        </w:rPr>
        <w:footnoteRef/>
      </w:r>
      <w:r>
        <w:t xml:space="preserve"> In cases where existing EE &amp; LM resources can only be bid into an incremental auction because of PJM M &amp; V protocols, FirstEnergy will do so.</w:t>
      </w:r>
    </w:p>
  </w:footnote>
  <w:footnote w:id="34">
    <w:p w:rsidR="000C50A1" w:rsidRDefault="000C50A1">
      <w:pPr>
        <w:pStyle w:val="FootnoteText"/>
      </w:pPr>
      <w:r>
        <w:rPr>
          <w:rStyle w:val="FootnoteReference"/>
        </w:rPr>
        <w:footnoteRef/>
      </w:r>
      <w:r>
        <w:t xml:space="preserve"> This would also include any curtailable service provider capacity savings committed to the Companies.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7" w:rsidRDefault="001646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Header"/>
      <w:jc w:val="center"/>
      <w:rPr>
        <w:i/>
        <w:iCs/>
        <w:sz w:val="20"/>
        <w:szCs w:val="20"/>
      </w:rPr>
    </w:pPr>
    <w:r>
      <w:rPr>
        <w:i/>
        <w:iCs/>
        <w:sz w:val="20"/>
        <w:szCs w:val="20"/>
      </w:rPr>
      <w:t>Direct Testimony of Wilson Gonzalez</w:t>
    </w:r>
  </w:p>
  <w:p w:rsidR="000C50A1" w:rsidRDefault="000C50A1">
    <w:pPr>
      <w:pStyle w:val="Header"/>
      <w:jc w:val="center"/>
      <w:rPr>
        <w:i/>
        <w:iCs/>
        <w:sz w:val="20"/>
        <w:szCs w:val="20"/>
      </w:rPr>
    </w:pPr>
    <w:r>
      <w:rPr>
        <w:i/>
        <w:iCs/>
        <w:sz w:val="20"/>
        <w:szCs w:val="20"/>
      </w:rPr>
      <w:t>On Behalf of the Office of the Ohio Consumers’ Counsel</w:t>
    </w:r>
  </w:p>
  <w:p w:rsidR="000C50A1" w:rsidRPr="00CC7B5A" w:rsidRDefault="000C50A1">
    <w:pPr>
      <w:pStyle w:val="Header"/>
      <w:jc w:val="center"/>
      <w:rPr>
        <w:i/>
        <w:iCs/>
        <w:sz w:val="20"/>
        <w:szCs w:val="20"/>
        <w:lang w:val="es-ES"/>
      </w:rPr>
    </w:pPr>
    <w:r w:rsidRPr="00CC7B5A">
      <w:rPr>
        <w:i/>
        <w:iCs/>
        <w:sz w:val="20"/>
        <w:szCs w:val="20"/>
        <w:lang w:val="es-ES"/>
      </w:rPr>
      <w:t>PUCO Case No 1</w:t>
    </w:r>
    <w:r>
      <w:rPr>
        <w:i/>
        <w:iCs/>
        <w:sz w:val="20"/>
        <w:szCs w:val="20"/>
        <w:lang w:val="es-ES"/>
      </w:rPr>
      <w:t>2</w:t>
    </w:r>
    <w:r w:rsidRPr="00CC7B5A">
      <w:rPr>
        <w:i/>
        <w:iCs/>
        <w:sz w:val="20"/>
        <w:szCs w:val="20"/>
        <w:lang w:val="es-ES"/>
      </w:rPr>
      <w:t>-</w:t>
    </w:r>
    <w:r>
      <w:rPr>
        <w:i/>
        <w:iCs/>
        <w:sz w:val="20"/>
        <w:szCs w:val="20"/>
        <w:lang w:val="es-ES"/>
      </w:rPr>
      <w:t>2190</w:t>
    </w:r>
    <w:r w:rsidRPr="00CC7B5A">
      <w:rPr>
        <w:i/>
        <w:iCs/>
        <w:sz w:val="20"/>
        <w:szCs w:val="20"/>
        <w:lang w:val="es-ES"/>
      </w:rPr>
      <w:t>-EL-</w:t>
    </w:r>
    <w:r>
      <w:rPr>
        <w:i/>
        <w:iCs/>
        <w:sz w:val="20"/>
        <w:szCs w:val="20"/>
        <w:lang w:val="es-ES"/>
      </w:rPr>
      <w:t>POR et al</w:t>
    </w:r>
    <w:r w:rsidRPr="00CC7B5A">
      <w:rPr>
        <w:i/>
        <w:iCs/>
        <w:sz w:val="20"/>
        <w:szCs w:val="20"/>
        <w:lang w:val="es-ES"/>
      </w:rPr>
      <w:t>.</w:t>
    </w:r>
  </w:p>
  <w:p w:rsidR="000C50A1" w:rsidRPr="00CC7B5A" w:rsidRDefault="000C50A1">
    <w:pPr>
      <w:pStyle w:val="Header"/>
      <w:jc w:val="cente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Heade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0A1" w:rsidRDefault="000C5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D4F"/>
    <w:multiLevelType w:val="hybridMultilevel"/>
    <w:tmpl w:val="BFEA1A7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2F517F76"/>
    <w:multiLevelType w:val="hybridMultilevel"/>
    <w:tmpl w:val="7F2A0188"/>
    <w:lvl w:ilvl="0" w:tplc="129C406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2B450AC"/>
    <w:multiLevelType w:val="hybridMultilevel"/>
    <w:tmpl w:val="9E9C4598"/>
    <w:lvl w:ilvl="0" w:tplc="6E8A0F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4E27AA8"/>
    <w:multiLevelType w:val="hybridMultilevel"/>
    <w:tmpl w:val="85F0BA98"/>
    <w:lvl w:ilvl="0" w:tplc="840E97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383457A8"/>
    <w:multiLevelType w:val="hybridMultilevel"/>
    <w:tmpl w:val="954CF42E"/>
    <w:lvl w:ilvl="0" w:tplc="0B2C0498">
      <w:start w:val="1"/>
      <w:numFmt w:val="upperLetter"/>
      <w:lvlText w:val="%1."/>
      <w:lvlJc w:val="left"/>
      <w:pPr>
        <w:tabs>
          <w:tab w:val="num" w:pos="720"/>
        </w:tabs>
        <w:ind w:left="720" w:hanging="360"/>
      </w:pPr>
      <w:rPr>
        <w:rFonts w:ascii="Times New Roman" w:eastAsia="Times New Roman" w:hAnsi="Times New Roman"/>
        <w:b/>
        <w:bCs/>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90E5C5D"/>
    <w:multiLevelType w:val="hybridMultilevel"/>
    <w:tmpl w:val="0FC0AFB6"/>
    <w:lvl w:ilvl="0" w:tplc="678CEB90">
      <w:start w:val="1"/>
      <w:numFmt w:val="lowerLetter"/>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4ACA612C"/>
    <w:multiLevelType w:val="hybridMultilevel"/>
    <w:tmpl w:val="15A60936"/>
    <w:lvl w:ilvl="0" w:tplc="E9921B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F1E0049"/>
    <w:multiLevelType w:val="hybridMultilevel"/>
    <w:tmpl w:val="653C4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1735EF9"/>
    <w:multiLevelType w:val="hybridMultilevel"/>
    <w:tmpl w:val="7F2A0188"/>
    <w:lvl w:ilvl="0" w:tplc="129C406A">
      <w:start w:val="3"/>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1F317C3"/>
    <w:multiLevelType w:val="hybridMultilevel"/>
    <w:tmpl w:val="FC4449F6"/>
    <w:lvl w:ilvl="0" w:tplc="F27E6C10">
      <w:start w:val="1"/>
      <w:numFmt w:val="upperLetter"/>
      <w:pStyle w:val="Heading2"/>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5CFF7548"/>
    <w:multiLevelType w:val="hybridMultilevel"/>
    <w:tmpl w:val="3A54F3B4"/>
    <w:lvl w:ilvl="0" w:tplc="BD94921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60252852"/>
    <w:multiLevelType w:val="hybridMultilevel"/>
    <w:tmpl w:val="C61221B4"/>
    <w:lvl w:ilvl="0" w:tplc="2F58CCFE">
      <w:start w:val="1"/>
      <w:numFmt w:val="decimal"/>
      <w:lvlText w:val="%1."/>
      <w:lvlJc w:val="left"/>
      <w:pPr>
        <w:ind w:left="1080" w:hanging="360"/>
      </w:pPr>
      <w:rPr>
        <w:rFonts w:ascii="Times New Roman Bold" w:hAnsi="Times New Roman Bold" w:cs="Times New Roman Bold"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711211F2"/>
    <w:multiLevelType w:val="hybridMultilevel"/>
    <w:tmpl w:val="98269138"/>
    <w:lvl w:ilvl="0" w:tplc="DEDE7C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1D13A18"/>
    <w:multiLevelType w:val="hybridMultilevel"/>
    <w:tmpl w:val="1D967C44"/>
    <w:lvl w:ilvl="0" w:tplc="771841B4">
      <w:start w:val="1"/>
      <w:numFmt w:val="lowerLetter"/>
      <w:lvlText w:val="%1."/>
      <w:lvlJc w:val="left"/>
      <w:pPr>
        <w:ind w:left="1080" w:hanging="360"/>
      </w:pPr>
      <w:rPr>
        <w:rFonts w:hint="default"/>
        <w:b w:val="0"/>
        <w:bCs w:val="0"/>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987122E"/>
    <w:multiLevelType w:val="hybridMultilevel"/>
    <w:tmpl w:val="CE8C5F70"/>
    <w:lvl w:ilvl="0" w:tplc="BB543242">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9"/>
  </w:num>
  <w:num w:numId="5">
    <w:abstractNumId w:val="9"/>
    <w:lvlOverride w:ilvl="0">
      <w:startOverride w:val="1"/>
    </w:lvlOverride>
  </w:num>
  <w:num w:numId="6">
    <w:abstractNumId w:val="4"/>
  </w:num>
  <w:num w:numId="7">
    <w:abstractNumId w:val="10"/>
  </w:num>
  <w:num w:numId="8">
    <w:abstractNumId w:val="6"/>
  </w:num>
  <w:num w:numId="9">
    <w:abstractNumId w:val="12"/>
  </w:num>
  <w:num w:numId="10">
    <w:abstractNumId w:val="8"/>
  </w:num>
  <w:num w:numId="11">
    <w:abstractNumId w:val="5"/>
  </w:num>
  <w:num w:numId="12">
    <w:abstractNumId w:val="11"/>
  </w:num>
  <w:num w:numId="13">
    <w:abstractNumId w:val="3"/>
  </w:num>
  <w:num w:numId="14">
    <w:abstractNumId w:val="1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834"/>
    <w:rsid w:val="00000C06"/>
    <w:rsid w:val="00002696"/>
    <w:rsid w:val="00002806"/>
    <w:rsid w:val="00005698"/>
    <w:rsid w:val="000072B2"/>
    <w:rsid w:val="00007ECB"/>
    <w:rsid w:val="00010CEE"/>
    <w:rsid w:val="00013B43"/>
    <w:rsid w:val="0001471E"/>
    <w:rsid w:val="00015279"/>
    <w:rsid w:val="00016A00"/>
    <w:rsid w:val="000174F7"/>
    <w:rsid w:val="00020FEF"/>
    <w:rsid w:val="00022F4B"/>
    <w:rsid w:val="00024D03"/>
    <w:rsid w:val="00027A33"/>
    <w:rsid w:val="000340B3"/>
    <w:rsid w:val="000341B4"/>
    <w:rsid w:val="000345BF"/>
    <w:rsid w:val="0003751E"/>
    <w:rsid w:val="00041362"/>
    <w:rsid w:val="000434A8"/>
    <w:rsid w:val="00043FD7"/>
    <w:rsid w:val="00044C31"/>
    <w:rsid w:val="00047948"/>
    <w:rsid w:val="00047D43"/>
    <w:rsid w:val="000515FD"/>
    <w:rsid w:val="0005411C"/>
    <w:rsid w:val="00054991"/>
    <w:rsid w:val="000549A6"/>
    <w:rsid w:val="00063CD4"/>
    <w:rsid w:val="00063FAE"/>
    <w:rsid w:val="00066363"/>
    <w:rsid w:val="000677AE"/>
    <w:rsid w:val="00071ECB"/>
    <w:rsid w:val="000724C5"/>
    <w:rsid w:val="000740B6"/>
    <w:rsid w:val="00074443"/>
    <w:rsid w:val="00075199"/>
    <w:rsid w:val="000767C8"/>
    <w:rsid w:val="00076973"/>
    <w:rsid w:val="000771D5"/>
    <w:rsid w:val="00080398"/>
    <w:rsid w:val="000824C8"/>
    <w:rsid w:val="0008715E"/>
    <w:rsid w:val="00087CED"/>
    <w:rsid w:val="00090C82"/>
    <w:rsid w:val="00090FD4"/>
    <w:rsid w:val="00091766"/>
    <w:rsid w:val="00096810"/>
    <w:rsid w:val="00096CAA"/>
    <w:rsid w:val="00097E95"/>
    <w:rsid w:val="000A303C"/>
    <w:rsid w:val="000A4139"/>
    <w:rsid w:val="000A5573"/>
    <w:rsid w:val="000A7A5A"/>
    <w:rsid w:val="000A7E09"/>
    <w:rsid w:val="000B01D8"/>
    <w:rsid w:val="000B18AB"/>
    <w:rsid w:val="000B1E9A"/>
    <w:rsid w:val="000B418E"/>
    <w:rsid w:val="000B755B"/>
    <w:rsid w:val="000C079A"/>
    <w:rsid w:val="000C142A"/>
    <w:rsid w:val="000C32E9"/>
    <w:rsid w:val="000C36C5"/>
    <w:rsid w:val="000C50A1"/>
    <w:rsid w:val="000C7271"/>
    <w:rsid w:val="000C7CF9"/>
    <w:rsid w:val="000D091D"/>
    <w:rsid w:val="000D48AC"/>
    <w:rsid w:val="000D50F8"/>
    <w:rsid w:val="000D5812"/>
    <w:rsid w:val="000D76D0"/>
    <w:rsid w:val="000E0646"/>
    <w:rsid w:val="000E36AD"/>
    <w:rsid w:val="000E36DC"/>
    <w:rsid w:val="000E3F4E"/>
    <w:rsid w:val="000E3FA9"/>
    <w:rsid w:val="000F183F"/>
    <w:rsid w:val="000F2682"/>
    <w:rsid w:val="000F27EE"/>
    <w:rsid w:val="000F35B1"/>
    <w:rsid w:val="000F36CE"/>
    <w:rsid w:val="0010093F"/>
    <w:rsid w:val="00101AC6"/>
    <w:rsid w:val="00102181"/>
    <w:rsid w:val="00106B27"/>
    <w:rsid w:val="001074F7"/>
    <w:rsid w:val="00113225"/>
    <w:rsid w:val="00114CD3"/>
    <w:rsid w:val="00115179"/>
    <w:rsid w:val="001158CA"/>
    <w:rsid w:val="00117D80"/>
    <w:rsid w:val="00126109"/>
    <w:rsid w:val="00126348"/>
    <w:rsid w:val="00126DDE"/>
    <w:rsid w:val="001278AA"/>
    <w:rsid w:val="001278DE"/>
    <w:rsid w:val="00132A32"/>
    <w:rsid w:val="00135693"/>
    <w:rsid w:val="001400FF"/>
    <w:rsid w:val="00140186"/>
    <w:rsid w:val="001407C8"/>
    <w:rsid w:val="001409BC"/>
    <w:rsid w:val="00140E74"/>
    <w:rsid w:val="00141A8D"/>
    <w:rsid w:val="0014380E"/>
    <w:rsid w:val="001461C7"/>
    <w:rsid w:val="001468C0"/>
    <w:rsid w:val="00151FBE"/>
    <w:rsid w:val="00154CC1"/>
    <w:rsid w:val="00155207"/>
    <w:rsid w:val="00155793"/>
    <w:rsid w:val="00157A1F"/>
    <w:rsid w:val="00161E22"/>
    <w:rsid w:val="00162104"/>
    <w:rsid w:val="00164627"/>
    <w:rsid w:val="00164D87"/>
    <w:rsid w:val="00165929"/>
    <w:rsid w:val="001673A4"/>
    <w:rsid w:val="00170722"/>
    <w:rsid w:val="0017611D"/>
    <w:rsid w:val="00183C77"/>
    <w:rsid w:val="00185D40"/>
    <w:rsid w:val="0018614A"/>
    <w:rsid w:val="001878B1"/>
    <w:rsid w:val="00187BCB"/>
    <w:rsid w:val="00190CA7"/>
    <w:rsid w:val="00191852"/>
    <w:rsid w:val="00191D18"/>
    <w:rsid w:val="00194E8D"/>
    <w:rsid w:val="001957E4"/>
    <w:rsid w:val="00195AB6"/>
    <w:rsid w:val="00197058"/>
    <w:rsid w:val="001A3866"/>
    <w:rsid w:val="001A4111"/>
    <w:rsid w:val="001A6A0E"/>
    <w:rsid w:val="001B4AD7"/>
    <w:rsid w:val="001C3807"/>
    <w:rsid w:val="001C46A0"/>
    <w:rsid w:val="001C4803"/>
    <w:rsid w:val="001C7C52"/>
    <w:rsid w:val="001C7D7A"/>
    <w:rsid w:val="001D0A3A"/>
    <w:rsid w:val="001D1386"/>
    <w:rsid w:val="001D2145"/>
    <w:rsid w:val="001E0D61"/>
    <w:rsid w:val="001E1487"/>
    <w:rsid w:val="001E490B"/>
    <w:rsid w:val="001F230E"/>
    <w:rsid w:val="001F49B2"/>
    <w:rsid w:val="0020454D"/>
    <w:rsid w:val="00204C28"/>
    <w:rsid w:val="00205F48"/>
    <w:rsid w:val="00211581"/>
    <w:rsid w:val="00211953"/>
    <w:rsid w:val="00213D49"/>
    <w:rsid w:val="00215A8B"/>
    <w:rsid w:val="00215DC5"/>
    <w:rsid w:val="00216B88"/>
    <w:rsid w:val="0022523F"/>
    <w:rsid w:val="00226E1C"/>
    <w:rsid w:val="00227D73"/>
    <w:rsid w:val="002325EF"/>
    <w:rsid w:val="00232DC7"/>
    <w:rsid w:val="00235588"/>
    <w:rsid w:val="00240E31"/>
    <w:rsid w:val="00241BA1"/>
    <w:rsid w:val="0024304D"/>
    <w:rsid w:val="00243FD3"/>
    <w:rsid w:val="00244FD4"/>
    <w:rsid w:val="002458AE"/>
    <w:rsid w:val="002502BF"/>
    <w:rsid w:val="002546FB"/>
    <w:rsid w:val="00254AF0"/>
    <w:rsid w:val="002564BD"/>
    <w:rsid w:val="00261030"/>
    <w:rsid w:val="00261786"/>
    <w:rsid w:val="00264CA7"/>
    <w:rsid w:val="002658EB"/>
    <w:rsid w:val="00277512"/>
    <w:rsid w:val="00282190"/>
    <w:rsid w:val="00282D00"/>
    <w:rsid w:val="002835E2"/>
    <w:rsid w:val="002840A3"/>
    <w:rsid w:val="002848F6"/>
    <w:rsid w:val="00285B67"/>
    <w:rsid w:val="002942BC"/>
    <w:rsid w:val="00296DAC"/>
    <w:rsid w:val="002971FD"/>
    <w:rsid w:val="002A038C"/>
    <w:rsid w:val="002A2677"/>
    <w:rsid w:val="002B4A5C"/>
    <w:rsid w:val="002C265A"/>
    <w:rsid w:val="002C6266"/>
    <w:rsid w:val="002C65D2"/>
    <w:rsid w:val="002D1164"/>
    <w:rsid w:val="002D3E47"/>
    <w:rsid w:val="002D4B52"/>
    <w:rsid w:val="002D5560"/>
    <w:rsid w:val="002D6EAA"/>
    <w:rsid w:val="002E1352"/>
    <w:rsid w:val="002E1396"/>
    <w:rsid w:val="002E1C3C"/>
    <w:rsid w:val="002E3A64"/>
    <w:rsid w:val="002E4D0A"/>
    <w:rsid w:val="002E53DD"/>
    <w:rsid w:val="002F42DF"/>
    <w:rsid w:val="002F495C"/>
    <w:rsid w:val="002F60AE"/>
    <w:rsid w:val="002F6AC3"/>
    <w:rsid w:val="00303A2E"/>
    <w:rsid w:val="00304ED9"/>
    <w:rsid w:val="00310D54"/>
    <w:rsid w:val="00311B39"/>
    <w:rsid w:val="003137B7"/>
    <w:rsid w:val="00314058"/>
    <w:rsid w:val="00314A56"/>
    <w:rsid w:val="00314F94"/>
    <w:rsid w:val="00315A2B"/>
    <w:rsid w:val="0031604D"/>
    <w:rsid w:val="00316A95"/>
    <w:rsid w:val="00317FD5"/>
    <w:rsid w:val="003211A7"/>
    <w:rsid w:val="0032248A"/>
    <w:rsid w:val="00325F20"/>
    <w:rsid w:val="0033028A"/>
    <w:rsid w:val="00331F41"/>
    <w:rsid w:val="00332385"/>
    <w:rsid w:val="003343CE"/>
    <w:rsid w:val="00342BE1"/>
    <w:rsid w:val="003432F8"/>
    <w:rsid w:val="00347054"/>
    <w:rsid w:val="00352CEE"/>
    <w:rsid w:val="003535FA"/>
    <w:rsid w:val="00353A6D"/>
    <w:rsid w:val="00353CB4"/>
    <w:rsid w:val="00354FC7"/>
    <w:rsid w:val="00355971"/>
    <w:rsid w:val="003567D4"/>
    <w:rsid w:val="00357EEC"/>
    <w:rsid w:val="0036154D"/>
    <w:rsid w:val="00363142"/>
    <w:rsid w:val="003654CA"/>
    <w:rsid w:val="003669F1"/>
    <w:rsid w:val="00367775"/>
    <w:rsid w:val="00370650"/>
    <w:rsid w:val="00371C82"/>
    <w:rsid w:val="00376FB3"/>
    <w:rsid w:val="00377C30"/>
    <w:rsid w:val="0038323B"/>
    <w:rsid w:val="00385948"/>
    <w:rsid w:val="00390EDF"/>
    <w:rsid w:val="0039158F"/>
    <w:rsid w:val="00394B9B"/>
    <w:rsid w:val="00396756"/>
    <w:rsid w:val="00397B1F"/>
    <w:rsid w:val="003A0CC8"/>
    <w:rsid w:val="003A3DF6"/>
    <w:rsid w:val="003A41F9"/>
    <w:rsid w:val="003B0B3B"/>
    <w:rsid w:val="003B2049"/>
    <w:rsid w:val="003B226F"/>
    <w:rsid w:val="003B5F44"/>
    <w:rsid w:val="003B76A3"/>
    <w:rsid w:val="003C1D63"/>
    <w:rsid w:val="003C2172"/>
    <w:rsid w:val="003C4D6A"/>
    <w:rsid w:val="003C7A2C"/>
    <w:rsid w:val="003D0275"/>
    <w:rsid w:val="003D1509"/>
    <w:rsid w:val="003D2335"/>
    <w:rsid w:val="003D313B"/>
    <w:rsid w:val="003D5395"/>
    <w:rsid w:val="003E145A"/>
    <w:rsid w:val="003E1483"/>
    <w:rsid w:val="003E2C52"/>
    <w:rsid w:val="003E5980"/>
    <w:rsid w:val="003E704A"/>
    <w:rsid w:val="003E710C"/>
    <w:rsid w:val="003E7BFE"/>
    <w:rsid w:val="003F095C"/>
    <w:rsid w:val="003F1430"/>
    <w:rsid w:val="003F51CC"/>
    <w:rsid w:val="003F5F30"/>
    <w:rsid w:val="00400760"/>
    <w:rsid w:val="00401001"/>
    <w:rsid w:val="00403E7C"/>
    <w:rsid w:val="00412FD0"/>
    <w:rsid w:val="004204EC"/>
    <w:rsid w:val="00421205"/>
    <w:rsid w:val="004222FC"/>
    <w:rsid w:val="00422574"/>
    <w:rsid w:val="004236AB"/>
    <w:rsid w:val="004253D1"/>
    <w:rsid w:val="004257FF"/>
    <w:rsid w:val="0043155B"/>
    <w:rsid w:val="00433BE8"/>
    <w:rsid w:val="00435FD2"/>
    <w:rsid w:val="004369D1"/>
    <w:rsid w:val="004375CB"/>
    <w:rsid w:val="00440E4F"/>
    <w:rsid w:val="00441945"/>
    <w:rsid w:val="0044323F"/>
    <w:rsid w:val="00444A73"/>
    <w:rsid w:val="004513F1"/>
    <w:rsid w:val="004538CE"/>
    <w:rsid w:val="00453FB1"/>
    <w:rsid w:val="00454A08"/>
    <w:rsid w:val="004561E6"/>
    <w:rsid w:val="00461A7A"/>
    <w:rsid w:val="00461E20"/>
    <w:rsid w:val="00462239"/>
    <w:rsid w:val="0046314E"/>
    <w:rsid w:val="0046757E"/>
    <w:rsid w:val="00471713"/>
    <w:rsid w:val="00472C83"/>
    <w:rsid w:val="004764A6"/>
    <w:rsid w:val="00481ACD"/>
    <w:rsid w:val="004820D0"/>
    <w:rsid w:val="00482E43"/>
    <w:rsid w:val="0048336A"/>
    <w:rsid w:val="0048431B"/>
    <w:rsid w:val="004871C8"/>
    <w:rsid w:val="0049209C"/>
    <w:rsid w:val="00492A83"/>
    <w:rsid w:val="004935B1"/>
    <w:rsid w:val="00493E30"/>
    <w:rsid w:val="00494B33"/>
    <w:rsid w:val="00495AB4"/>
    <w:rsid w:val="00495B4A"/>
    <w:rsid w:val="00496C86"/>
    <w:rsid w:val="004A18FA"/>
    <w:rsid w:val="004A29CC"/>
    <w:rsid w:val="004A2C9C"/>
    <w:rsid w:val="004A5F6F"/>
    <w:rsid w:val="004A65D3"/>
    <w:rsid w:val="004A68C2"/>
    <w:rsid w:val="004B0370"/>
    <w:rsid w:val="004B22B4"/>
    <w:rsid w:val="004B34A5"/>
    <w:rsid w:val="004B4A45"/>
    <w:rsid w:val="004C039F"/>
    <w:rsid w:val="004C63D9"/>
    <w:rsid w:val="004C6D3D"/>
    <w:rsid w:val="004C7731"/>
    <w:rsid w:val="004D29B3"/>
    <w:rsid w:val="004D55F7"/>
    <w:rsid w:val="004D7301"/>
    <w:rsid w:val="004E14CC"/>
    <w:rsid w:val="004E199C"/>
    <w:rsid w:val="004E2037"/>
    <w:rsid w:val="004E61AE"/>
    <w:rsid w:val="004E7715"/>
    <w:rsid w:val="004F0F69"/>
    <w:rsid w:val="004F2FD3"/>
    <w:rsid w:val="004F46C9"/>
    <w:rsid w:val="004F55B8"/>
    <w:rsid w:val="004F66C4"/>
    <w:rsid w:val="00500883"/>
    <w:rsid w:val="00501519"/>
    <w:rsid w:val="0050348E"/>
    <w:rsid w:val="0050460E"/>
    <w:rsid w:val="005106D2"/>
    <w:rsid w:val="00510A23"/>
    <w:rsid w:val="00510BF4"/>
    <w:rsid w:val="00517220"/>
    <w:rsid w:val="00517829"/>
    <w:rsid w:val="00520DA4"/>
    <w:rsid w:val="005215EA"/>
    <w:rsid w:val="00523DE7"/>
    <w:rsid w:val="00523FE6"/>
    <w:rsid w:val="005259A3"/>
    <w:rsid w:val="00527860"/>
    <w:rsid w:val="00527E90"/>
    <w:rsid w:val="005311C2"/>
    <w:rsid w:val="0053276F"/>
    <w:rsid w:val="00535548"/>
    <w:rsid w:val="00535C47"/>
    <w:rsid w:val="0053608B"/>
    <w:rsid w:val="00537DD8"/>
    <w:rsid w:val="005409F5"/>
    <w:rsid w:val="00542227"/>
    <w:rsid w:val="0054304C"/>
    <w:rsid w:val="0054378D"/>
    <w:rsid w:val="0054468B"/>
    <w:rsid w:val="00544A46"/>
    <w:rsid w:val="00550F88"/>
    <w:rsid w:val="00552D7D"/>
    <w:rsid w:val="0055561B"/>
    <w:rsid w:val="0055591C"/>
    <w:rsid w:val="00556051"/>
    <w:rsid w:val="00556E67"/>
    <w:rsid w:val="00560F92"/>
    <w:rsid w:val="00561B8B"/>
    <w:rsid w:val="005621D6"/>
    <w:rsid w:val="00564A30"/>
    <w:rsid w:val="00564D3F"/>
    <w:rsid w:val="00570764"/>
    <w:rsid w:val="00573D38"/>
    <w:rsid w:val="0057467A"/>
    <w:rsid w:val="00574B0B"/>
    <w:rsid w:val="005762F9"/>
    <w:rsid w:val="00576A35"/>
    <w:rsid w:val="005804AF"/>
    <w:rsid w:val="0058167D"/>
    <w:rsid w:val="00582056"/>
    <w:rsid w:val="0058307E"/>
    <w:rsid w:val="005925F9"/>
    <w:rsid w:val="005953BC"/>
    <w:rsid w:val="005958FA"/>
    <w:rsid w:val="0059727E"/>
    <w:rsid w:val="005A0482"/>
    <w:rsid w:val="005A11BA"/>
    <w:rsid w:val="005A1BCF"/>
    <w:rsid w:val="005A2827"/>
    <w:rsid w:val="005A3526"/>
    <w:rsid w:val="005A56EA"/>
    <w:rsid w:val="005A65DF"/>
    <w:rsid w:val="005A704E"/>
    <w:rsid w:val="005A714B"/>
    <w:rsid w:val="005B3671"/>
    <w:rsid w:val="005B40C2"/>
    <w:rsid w:val="005C0EE6"/>
    <w:rsid w:val="005C166F"/>
    <w:rsid w:val="005C2BB7"/>
    <w:rsid w:val="005C3D16"/>
    <w:rsid w:val="005C7E8D"/>
    <w:rsid w:val="005D1426"/>
    <w:rsid w:val="005D26D2"/>
    <w:rsid w:val="005D280B"/>
    <w:rsid w:val="005D4A01"/>
    <w:rsid w:val="005E0F55"/>
    <w:rsid w:val="005E158F"/>
    <w:rsid w:val="005E1C35"/>
    <w:rsid w:val="005E1C4D"/>
    <w:rsid w:val="005E1E95"/>
    <w:rsid w:val="005E6625"/>
    <w:rsid w:val="005E697C"/>
    <w:rsid w:val="005E6B26"/>
    <w:rsid w:val="005E7B47"/>
    <w:rsid w:val="005F1355"/>
    <w:rsid w:val="005F1D7F"/>
    <w:rsid w:val="005F48CB"/>
    <w:rsid w:val="005F559C"/>
    <w:rsid w:val="005F64F4"/>
    <w:rsid w:val="00603C46"/>
    <w:rsid w:val="00603E1C"/>
    <w:rsid w:val="00603FA3"/>
    <w:rsid w:val="0060400D"/>
    <w:rsid w:val="00604E22"/>
    <w:rsid w:val="00605F78"/>
    <w:rsid w:val="00606D5B"/>
    <w:rsid w:val="006107E2"/>
    <w:rsid w:val="006131FB"/>
    <w:rsid w:val="0061320B"/>
    <w:rsid w:val="0061548C"/>
    <w:rsid w:val="00617842"/>
    <w:rsid w:val="00623864"/>
    <w:rsid w:val="00626DB0"/>
    <w:rsid w:val="00627DFB"/>
    <w:rsid w:val="00630934"/>
    <w:rsid w:val="0063137B"/>
    <w:rsid w:val="00631C8A"/>
    <w:rsid w:val="00633EC1"/>
    <w:rsid w:val="00635C06"/>
    <w:rsid w:val="006363EE"/>
    <w:rsid w:val="00636856"/>
    <w:rsid w:val="006411C2"/>
    <w:rsid w:val="006418F6"/>
    <w:rsid w:val="006444DF"/>
    <w:rsid w:val="0064500F"/>
    <w:rsid w:val="006547C1"/>
    <w:rsid w:val="00656CB1"/>
    <w:rsid w:val="00661D25"/>
    <w:rsid w:val="00663F9F"/>
    <w:rsid w:val="00665FE2"/>
    <w:rsid w:val="00670A91"/>
    <w:rsid w:val="006728CC"/>
    <w:rsid w:val="00673046"/>
    <w:rsid w:val="00680FE4"/>
    <w:rsid w:val="006840EE"/>
    <w:rsid w:val="0068513B"/>
    <w:rsid w:val="0068661A"/>
    <w:rsid w:val="006870CF"/>
    <w:rsid w:val="00690563"/>
    <w:rsid w:val="00693AE5"/>
    <w:rsid w:val="006941FC"/>
    <w:rsid w:val="00696B01"/>
    <w:rsid w:val="006977D4"/>
    <w:rsid w:val="006A0633"/>
    <w:rsid w:val="006A0719"/>
    <w:rsid w:val="006A417C"/>
    <w:rsid w:val="006A64A4"/>
    <w:rsid w:val="006A6A9D"/>
    <w:rsid w:val="006A7869"/>
    <w:rsid w:val="006B2FC3"/>
    <w:rsid w:val="006B34C6"/>
    <w:rsid w:val="006B366C"/>
    <w:rsid w:val="006B4137"/>
    <w:rsid w:val="006B4DAC"/>
    <w:rsid w:val="006B5393"/>
    <w:rsid w:val="006C2347"/>
    <w:rsid w:val="006C23C9"/>
    <w:rsid w:val="006C27EE"/>
    <w:rsid w:val="006C3628"/>
    <w:rsid w:val="006C4188"/>
    <w:rsid w:val="006C4199"/>
    <w:rsid w:val="006C5D7E"/>
    <w:rsid w:val="006C65A1"/>
    <w:rsid w:val="006D0F52"/>
    <w:rsid w:val="006D1701"/>
    <w:rsid w:val="006D37A5"/>
    <w:rsid w:val="006D47B4"/>
    <w:rsid w:val="006E21D3"/>
    <w:rsid w:val="006E2310"/>
    <w:rsid w:val="006E69CC"/>
    <w:rsid w:val="006E6E96"/>
    <w:rsid w:val="006E6FFE"/>
    <w:rsid w:val="006E7C93"/>
    <w:rsid w:val="006F10A3"/>
    <w:rsid w:val="006F11AC"/>
    <w:rsid w:val="006F250C"/>
    <w:rsid w:val="006F404F"/>
    <w:rsid w:val="006F6BA5"/>
    <w:rsid w:val="007027AB"/>
    <w:rsid w:val="007041A5"/>
    <w:rsid w:val="007042F3"/>
    <w:rsid w:val="00704C43"/>
    <w:rsid w:val="007104A6"/>
    <w:rsid w:val="00712A8A"/>
    <w:rsid w:val="00713026"/>
    <w:rsid w:val="00713423"/>
    <w:rsid w:val="00713A0B"/>
    <w:rsid w:val="00722046"/>
    <w:rsid w:val="00722AE3"/>
    <w:rsid w:val="00725CC6"/>
    <w:rsid w:val="00730905"/>
    <w:rsid w:val="00732781"/>
    <w:rsid w:val="00732974"/>
    <w:rsid w:val="007340DA"/>
    <w:rsid w:val="0073624E"/>
    <w:rsid w:val="00736BE3"/>
    <w:rsid w:val="007405D7"/>
    <w:rsid w:val="0074180C"/>
    <w:rsid w:val="007436AE"/>
    <w:rsid w:val="007456E6"/>
    <w:rsid w:val="0074579D"/>
    <w:rsid w:val="00745BD6"/>
    <w:rsid w:val="00746C7E"/>
    <w:rsid w:val="00747103"/>
    <w:rsid w:val="0075080E"/>
    <w:rsid w:val="007527C0"/>
    <w:rsid w:val="0075538A"/>
    <w:rsid w:val="00756027"/>
    <w:rsid w:val="00765297"/>
    <w:rsid w:val="00765C96"/>
    <w:rsid w:val="00765F6A"/>
    <w:rsid w:val="007663DB"/>
    <w:rsid w:val="0076743D"/>
    <w:rsid w:val="00770C2E"/>
    <w:rsid w:val="007714D9"/>
    <w:rsid w:val="00772459"/>
    <w:rsid w:val="00772672"/>
    <w:rsid w:val="00772E50"/>
    <w:rsid w:val="00776506"/>
    <w:rsid w:val="007768CE"/>
    <w:rsid w:val="00777612"/>
    <w:rsid w:val="00777CF7"/>
    <w:rsid w:val="00781A7F"/>
    <w:rsid w:val="00784729"/>
    <w:rsid w:val="007851FA"/>
    <w:rsid w:val="00786711"/>
    <w:rsid w:val="00792E3A"/>
    <w:rsid w:val="00793519"/>
    <w:rsid w:val="0079493E"/>
    <w:rsid w:val="007951EA"/>
    <w:rsid w:val="00795F3C"/>
    <w:rsid w:val="0079707A"/>
    <w:rsid w:val="00797253"/>
    <w:rsid w:val="0079733F"/>
    <w:rsid w:val="007A258B"/>
    <w:rsid w:val="007A30FD"/>
    <w:rsid w:val="007A34D0"/>
    <w:rsid w:val="007A3682"/>
    <w:rsid w:val="007A37EC"/>
    <w:rsid w:val="007A3960"/>
    <w:rsid w:val="007A3A90"/>
    <w:rsid w:val="007A4DAF"/>
    <w:rsid w:val="007B01BD"/>
    <w:rsid w:val="007B12D8"/>
    <w:rsid w:val="007B357E"/>
    <w:rsid w:val="007B3DC7"/>
    <w:rsid w:val="007B768F"/>
    <w:rsid w:val="007C04A3"/>
    <w:rsid w:val="007C4418"/>
    <w:rsid w:val="007C4F38"/>
    <w:rsid w:val="007C672C"/>
    <w:rsid w:val="007C7016"/>
    <w:rsid w:val="007C72BA"/>
    <w:rsid w:val="007C7F8A"/>
    <w:rsid w:val="007D4281"/>
    <w:rsid w:val="007D46FF"/>
    <w:rsid w:val="007D5B3E"/>
    <w:rsid w:val="007D5CEC"/>
    <w:rsid w:val="007E4A1D"/>
    <w:rsid w:val="007E705B"/>
    <w:rsid w:val="007F2308"/>
    <w:rsid w:val="007F55CF"/>
    <w:rsid w:val="007F5EC5"/>
    <w:rsid w:val="008000A6"/>
    <w:rsid w:val="0080309F"/>
    <w:rsid w:val="0080463B"/>
    <w:rsid w:val="00804C77"/>
    <w:rsid w:val="008054F4"/>
    <w:rsid w:val="008076BA"/>
    <w:rsid w:val="00810C48"/>
    <w:rsid w:val="00811BDF"/>
    <w:rsid w:val="00812452"/>
    <w:rsid w:val="008136FA"/>
    <w:rsid w:val="008147B9"/>
    <w:rsid w:val="0081728D"/>
    <w:rsid w:val="00825697"/>
    <w:rsid w:val="00830A17"/>
    <w:rsid w:val="00835834"/>
    <w:rsid w:val="0083692B"/>
    <w:rsid w:val="00841559"/>
    <w:rsid w:val="0084267B"/>
    <w:rsid w:val="0084465E"/>
    <w:rsid w:val="00844F66"/>
    <w:rsid w:val="00847CA7"/>
    <w:rsid w:val="00850769"/>
    <w:rsid w:val="008601F4"/>
    <w:rsid w:val="0086095A"/>
    <w:rsid w:val="00863FAF"/>
    <w:rsid w:val="00864CBA"/>
    <w:rsid w:val="00864E49"/>
    <w:rsid w:val="0086501A"/>
    <w:rsid w:val="008658F3"/>
    <w:rsid w:val="0086653C"/>
    <w:rsid w:val="00870B33"/>
    <w:rsid w:val="00872078"/>
    <w:rsid w:val="0087262C"/>
    <w:rsid w:val="00873A07"/>
    <w:rsid w:val="008746EB"/>
    <w:rsid w:val="00874B45"/>
    <w:rsid w:val="00877869"/>
    <w:rsid w:val="008832C3"/>
    <w:rsid w:val="008875AF"/>
    <w:rsid w:val="00887E45"/>
    <w:rsid w:val="00892479"/>
    <w:rsid w:val="00893078"/>
    <w:rsid w:val="00896342"/>
    <w:rsid w:val="008A016D"/>
    <w:rsid w:val="008A03FF"/>
    <w:rsid w:val="008A0866"/>
    <w:rsid w:val="008A0B53"/>
    <w:rsid w:val="008A0C63"/>
    <w:rsid w:val="008A1943"/>
    <w:rsid w:val="008A42D6"/>
    <w:rsid w:val="008A61C1"/>
    <w:rsid w:val="008B4C30"/>
    <w:rsid w:val="008B64A2"/>
    <w:rsid w:val="008C04A9"/>
    <w:rsid w:val="008C0F7E"/>
    <w:rsid w:val="008C46E9"/>
    <w:rsid w:val="008C49E8"/>
    <w:rsid w:val="008C6C33"/>
    <w:rsid w:val="008C7146"/>
    <w:rsid w:val="008D0435"/>
    <w:rsid w:val="008D1AEC"/>
    <w:rsid w:val="008D4741"/>
    <w:rsid w:val="008E01A3"/>
    <w:rsid w:val="008E1CAE"/>
    <w:rsid w:val="008E1ED9"/>
    <w:rsid w:val="008E2D5A"/>
    <w:rsid w:val="008E4F4C"/>
    <w:rsid w:val="008E5287"/>
    <w:rsid w:val="008E677F"/>
    <w:rsid w:val="008E7573"/>
    <w:rsid w:val="008F2362"/>
    <w:rsid w:val="008F2C49"/>
    <w:rsid w:val="008F3601"/>
    <w:rsid w:val="008F6FDA"/>
    <w:rsid w:val="009008AA"/>
    <w:rsid w:val="00905C7F"/>
    <w:rsid w:val="00913DE8"/>
    <w:rsid w:val="0091597C"/>
    <w:rsid w:val="009162BC"/>
    <w:rsid w:val="009203BE"/>
    <w:rsid w:val="0092058E"/>
    <w:rsid w:val="009208BC"/>
    <w:rsid w:val="0092183B"/>
    <w:rsid w:val="00921D00"/>
    <w:rsid w:val="009227BA"/>
    <w:rsid w:val="00924BB8"/>
    <w:rsid w:val="00925C27"/>
    <w:rsid w:val="009271DC"/>
    <w:rsid w:val="00927A26"/>
    <w:rsid w:val="00930B25"/>
    <w:rsid w:val="00931C4D"/>
    <w:rsid w:val="009376AC"/>
    <w:rsid w:val="009444FD"/>
    <w:rsid w:val="009462C0"/>
    <w:rsid w:val="009470B4"/>
    <w:rsid w:val="009473E7"/>
    <w:rsid w:val="009507FB"/>
    <w:rsid w:val="00955AFB"/>
    <w:rsid w:val="009566B2"/>
    <w:rsid w:val="0096053D"/>
    <w:rsid w:val="00961D92"/>
    <w:rsid w:val="00963C4C"/>
    <w:rsid w:val="00963E14"/>
    <w:rsid w:val="00963F6E"/>
    <w:rsid w:val="00965A1C"/>
    <w:rsid w:val="00966DF5"/>
    <w:rsid w:val="00973037"/>
    <w:rsid w:val="00974400"/>
    <w:rsid w:val="0097692A"/>
    <w:rsid w:val="00981944"/>
    <w:rsid w:val="0098408F"/>
    <w:rsid w:val="00984B48"/>
    <w:rsid w:val="0098619C"/>
    <w:rsid w:val="00990404"/>
    <w:rsid w:val="00991357"/>
    <w:rsid w:val="009919E4"/>
    <w:rsid w:val="009926C7"/>
    <w:rsid w:val="00993118"/>
    <w:rsid w:val="00994222"/>
    <w:rsid w:val="00995E36"/>
    <w:rsid w:val="009965CE"/>
    <w:rsid w:val="009A00A6"/>
    <w:rsid w:val="009A0372"/>
    <w:rsid w:val="009A3CAA"/>
    <w:rsid w:val="009A482A"/>
    <w:rsid w:val="009A4F89"/>
    <w:rsid w:val="009A63AE"/>
    <w:rsid w:val="009A6F7A"/>
    <w:rsid w:val="009A75D9"/>
    <w:rsid w:val="009B12E5"/>
    <w:rsid w:val="009B1831"/>
    <w:rsid w:val="009B5B7C"/>
    <w:rsid w:val="009C4ACB"/>
    <w:rsid w:val="009C4E20"/>
    <w:rsid w:val="009C7A0F"/>
    <w:rsid w:val="009D0498"/>
    <w:rsid w:val="009D0A56"/>
    <w:rsid w:val="009D1122"/>
    <w:rsid w:val="009D7799"/>
    <w:rsid w:val="009E0665"/>
    <w:rsid w:val="009E3B5E"/>
    <w:rsid w:val="009E54A4"/>
    <w:rsid w:val="009E5D6B"/>
    <w:rsid w:val="009E66CB"/>
    <w:rsid w:val="009E6E51"/>
    <w:rsid w:val="009F2698"/>
    <w:rsid w:val="009F7A3D"/>
    <w:rsid w:val="00A028AA"/>
    <w:rsid w:val="00A102F7"/>
    <w:rsid w:val="00A13706"/>
    <w:rsid w:val="00A13D5D"/>
    <w:rsid w:val="00A163BB"/>
    <w:rsid w:val="00A22684"/>
    <w:rsid w:val="00A23C8E"/>
    <w:rsid w:val="00A26FAB"/>
    <w:rsid w:val="00A31ACA"/>
    <w:rsid w:val="00A329A4"/>
    <w:rsid w:val="00A337A0"/>
    <w:rsid w:val="00A33A44"/>
    <w:rsid w:val="00A346E9"/>
    <w:rsid w:val="00A35559"/>
    <w:rsid w:val="00A42B8D"/>
    <w:rsid w:val="00A44A51"/>
    <w:rsid w:val="00A45765"/>
    <w:rsid w:val="00A5238A"/>
    <w:rsid w:val="00A550DF"/>
    <w:rsid w:val="00A5664E"/>
    <w:rsid w:val="00A56CA3"/>
    <w:rsid w:val="00A574EA"/>
    <w:rsid w:val="00A63596"/>
    <w:rsid w:val="00A64438"/>
    <w:rsid w:val="00A65ED4"/>
    <w:rsid w:val="00A66A6B"/>
    <w:rsid w:val="00A6707A"/>
    <w:rsid w:val="00A67270"/>
    <w:rsid w:val="00A708E1"/>
    <w:rsid w:val="00A73B43"/>
    <w:rsid w:val="00A7612D"/>
    <w:rsid w:val="00A80FA2"/>
    <w:rsid w:val="00A853F3"/>
    <w:rsid w:val="00A86AAD"/>
    <w:rsid w:val="00A87565"/>
    <w:rsid w:val="00A929A9"/>
    <w:rsid w:val="00A92DBB"/>
    <w:rsid w:val="00A94931"/>
    <w:rsid w:val="00A9662E"/>
    <w:rsid w:val="00AA2796"/>
    <w:rsid w:val="00AA2906"/>
    <w:rsid w:val="00AA354F"/>
    <w:rsid w:val="00AA66B2"/>
    <w:rsid w:val="00AB38B2"/>
    <w:rsid w:val="00AB670F"/>
    <w:rsid w:val="00AC004F"/>
    <w:rsid w:val="00AC4CBE"/>
    <w:rsid w:val="00AD079A"/>
    <w:rsid w:val="00AD147D"/>
    <w:rsid w:val="00AD1591"/>
    <w:rsid w:val="00AD216A"/>
    <w:rsid w:val="00AD2921"/>
    <w:rsid w:val="00AD3501"/>
    <w:rsid w:val="00AD4F2F"/>
    <w:rsid w:val="00AD6686"/>
    <w:rsid w:val="00AE131C"/>
    <w:rsid w:val="00AE2AE7"/>
    <w:rsid w:val="00AE4371"/>
    <w:rsid w:val="00AE54AD"/>
    <w:rsid w:val="00AF0871"/>
    <w:rsid w:val="00AF0CCE"/>
    <w:rsid w:val="00AF3933"/>
    <w:rsid w:val="00B01440"/>
    <w:rsid w:val="00B0502A"/>
    <w:rsid w:val="00B051D2"/>
    <w:rsid w:val="00B07222"/>
    <w:rsid w:val="00B07E0D"/>
    <w:rsid w:val="00B163A1"/>
    <w:rsid w:val="00B16701"/>
    <w:rsid w:val="00B16E35"/>
    <w:rsid w:val="00B209A8"/>
    <w:rsid w:val="00B22EE4"/>
    <w:rsid w:val="00B269F5"/>
    <w:rsid w:val="00B275F9"/>
    <w:rsid w:val="00B3006E"/>
    <w:rsid w:val="00B310EF"/>
    <w:rsid w:val="00B321C4"/>
    <w:rsid w:val="00B32432"/>
    <w:rsid w:val="00B35C30"/>
    <w:rsid w:val="00B40592"/>
    <w:rsid w:val="00B40773"/>
    <w:rsid w:val="00B41AD2"/>
    <w:rsid w:val="00B43928"/>
    <w:rsid w:val="00B4409E"/>
    <w:rsid w:val="00B4718F"/>
    <w:rsid w:val="00B47634"/>
    <w:rsid w:val="00B477B2"/>
    <w:rsid w:val="00B51D76"/>
    <w:rsid w:val="00B524D3"/>
    <w:rsid w:val="00B54354"/>
    <w:rsid w:val="00B55344"/>
    <w:rsid w:val="00B57E35"/>
    <w:rsid w:val="00B60C39"/>
    <w:rsid w:val="00B619C6"/>
    <w:rsid w:val="00B6273B"/>
    <w:rsid w:val="00B6363C"/>
    <w:rsid w:val="00B65133"/>
    <w:rsid w:val="00B710F4"/>
    <w:rsid w:val="00B714A7"/>
    <w:rsid w:val="00B71E07"/>
    <w:rsid w:val="00B72CE2"/>
    <w:rsid w:val="00B72E1F"/>
    <w:rsid w:val="00B7343D"/>
    <w:rsid w:val="00B741FB"/>
    <w:rsid w:val="00B75366"/>
    <w:rsid w:val="00B763CC"/>
    <w:rsid w:val="00B76E16"/>
    <w:rsid w:val="00B76E5F"/>
    <w:rsid w:val="00B807F3"/>
    <w:rsid w:val="00B80A94"/>
    <w:rsid w:val="00B82EC6"/>
    <w:rsid w:val="00B83F88"/>
    <w:rsid w:val="00B855F4"/>
    <w:rsid w:val="00B85885"/>
    <w:rsid w:val="00B9190D"/>
    <w:rsid w:val="00B93A8A"/>
    <w:rsid w:val="00B95381"/>
    <w:rsid w:val="00BA0B58"/>
    <w:rsid w:val="00BA138B"/>
    <w:rsid w:val="00BA4B64"/>
    <w:rsid w:val="00BB19A6"/>
    <w:rsid w:val="00BB2079"/>
    <w:rsid w:val="00BB3CD1"/>
    <w:rsid w:val="00BB501A"/>
    <w:rsid w:val="00BC138E"/>
    <w:rsid w:val="00BC14F9"/>
    <w:rsid w:val="00BC254E"/>
    <w:rsid w:val="00BC39C4"/>
    <w:rsid w:val="00BC4B18"/>
    <w:rsid w:val="00BC5528"/>
    <w:rsid w:val="00BC5A6C"/>
    <w:rsid w:val="00BC6E41"/>
    <w:rsid w:val="00BC725C"/>
    <w:rsid w:val="00BD55D3"/>
    <w:rsid w:val="00BD60AF"/>
    <w:rsid w:val="00BD6B37"/>
    <w:rsid w:val="00BE391D"/>
    <w:rsid w:val="00BE4060"/>
    <w:rsid w:val="00BF014C"/>
    <w:rsid w:val="00BF2459"/>
    <w:rsid w:val="00BF5571"/>
    <w:rsid w:val="00BF6534"/>
    <w:rsid w:val="00BF6A4B"/>
    <w:rsid w:val="00C04212"/>
    <w:rsid w:val="00C04F23"/>
    <w:rsid w:val="00C062DB"/>
    <w:rsid w:val="00C07643"/>
    <w:rsid w:val="00C07F0C"/>
    <w:rsid w:val="00C12D4E"/>
    <w:rsid w:val="00C1411F"/>
    <w:rsid w:val="00C14D8B"/>
    <w:rsid w:val="00C228B5"/>
    <w:rsid w:val="00C23202"/>
    <w:rsid w:val="00C24926"/>
    <w:rsid w:val="00C26080"/>
    <w:rsid w:val="00C26C97"/>
    <w:rsid w:val="00C26CEC"/>
    <w:rsid w:val="00C36DBF"/>
    <w:rsid w:val="00C37A55"/>
    <w:rsid w:val="00C42CB9"/>
    <w:rsid w:val="00C4319E"/>
    <w:rsid w:val="00C53183"/>
    <w:rsid w:val="00C55F2F"/>
    <w:rsid w:val="00C603BE"/>
    <w:rsid w:val="00C60BC8"/>
    <w:rsid w:val="00C61DDD"/>
    <w:rsid w:val="00C6292E"/>
    <w:rsid w:val="00C63163"/>
    <w:rsid w:val="00C63645"/>
    <w:rsid w:val="00C6413B"/>
    <w:rsid w:val="00C67C03"/>
    <w:rsid w:val="00C70AA5"/>
    <w:rsid w:val="00C737CA"/>
    <w:rsid w:val="00C74EA1"/>
    <w:rsid w:val="00C76096"/>
    <w:rsid w:val="00C7695D"/>
    <w:rsid w:val="00C779D2"/>
    <w:rsid w:val="00C81D2C"/>
    <w:rsid w:val="00C82E45"/>
    <w:rsid w:val="00C847A6"/>
    <w:rsid w:val="00C956BA"/>
    <w:rsid w:val="00C97338"/>
    <w:rsid w:val="00CA1367"/>
    <w:rsid w:val="00CA1447"/>
    <w:rsid w:val="00CA6472"/>
    <w:rsid w:val="00CA7E8E"/>
    <w:rsid w:val="00CB175B"/>
    <w:rsid w:val="00CB5011"/>
    <w:rsid w:val="00CB53AE"/>
    <w:rsid w:val="00CB731C"/>
    <w:rsid w:val="00CC0BC6"/>
    <w:rsid w:val="00CC1696"/>
    <w:rsid w:val="00CC3B45"/>
    <w:rsid w:val="00CC54AA"/>
    <w:rsid w:val="00CC5F0E"/>
    <w:rsid w:val="00CC7B5A"/>
    <w:rsid w:val="00CD2DD5"/>
    <w:rsid w:val="00CD5F12"/>
    <w:rsid w:val="00CD7ADF"/>
    <w:rsid w:val="00CE03DF"/>
    <w:rsid w:val="00CE0617"/>
    <w:rsid w:val="00CE096D"/>
    <w:rsid w:val="00CE77BF"/>
    <w:rsid w:val="00CF0841"/>
    <w:rsid w:val="00CF1208"/>
    <w:rsid w:val="00CF15B1"/>
    <w:rsid w:val="00CF2AF0"/>
    <w:rsid w:val="00CF2D7A"/>
    <w:rsid w:val="00CF4D93"/>
    <w:rsid w:val="00CF5B50"/>
    <w:rsid w:val="00D031FD"/>
    <w:rsid w:val="00D03606"/>
    <w:rsid w:val="00D0362D"/>
    <w:rsid w:val="00D05AD2"/>
    <w:rsid w:val="00D111EF"/>
    <w:rsid w:val="00D14489"/>
    <w:rsid w:val="00D20A9B"/>
    <w:rsid w:val="00D22061"/>
    <w:rsid w:val="00D23100"/>
    <w:rsid w:val="00D276EB"/>
    <w:rsid w:val="00D35158"/>
    <w:rsid w:val="00D358D3"/>
    <w:rsid w:val="00D378C1"/>
    <w:rsid w:val="00D37D5D"/>
    <w:rsid w:val="00D435F2"/>
    <w:rsid w:val="00D435FF"/>
    <w:rsid w:val="00D4593F"/>
    <w:rsid w:val="00D467AE"/>
    <w:rsid w:val="00D47AC9"/>
    <w:rsid w:val="00D47DB4"/>
    <w:rsid w:val="00D510C7"/>
    <w:rsid w:val="00D52310"/>
    <w:rsid w:val="00D542AD"/>
    <w:rsid w:val="00D550E0"/>
    <w:rsid w:val="00D60327"/>
    <w:rsid w:val="00D62886"/>
    <w:rsid w:val="00D656ED"/>
    <w:rsid w:val="00D65D51"/>
    <w:rsid w:val="00D713F5"/>
    <w:rsid w:val="00D73CBD"/>
    <w:rsid w:val="00D81F1C"/>
    <w:rsid w:val="00D8280E"/>
    <w:rsid w:val="00D83351"/>
    <w:rsid w:val="00D85084"/>
    <w:rsid w:val="00D87543"/>
    <w:rsid w:val="00D94A00"/>
    <w:rsid w:val="00D9639F"/>
    <w:rsid w:val="00D9677B"/>
    <w:rsid w:val="00D96E1A"/>
    <w:rsid w:val="00DA1154"/>
    <w:rsid w:val="00DA194E"/>
    <w:rsid w:val="00DA3E02"/>
    <w:rsid w:val="00DA5309"/>
    <w:rsid w:val="00DA54E7"/>
    <w:rsid w:val="00DB09E3"/>
    <w:rsid w:val="00DB0A77"/>
    <w:rsid w:val="00DB20C8"/>
    <w:rsid w:val="00DB294F"/>
    <w:rsid w:val="00DB342D"/>
    <w:rsid w:val="00DB4872"/>
    <w:rsid w:val="00DB4CFF"/>
    <w:rsid w:val="00DB549D"/>
    <w:rsid w:val="00DC5AA6"/>
    <w:rsid w:val="00DC7025"/>
    <w:rsid w:val="00DD0AC6"/>
    <w:rsid w:val="00DD0D4F"/>
    <w:rsid w:val="00DD28B7"/>
    <w:rsid w:val="00DD4591"/>
    <w:rsid w:val="00DD652D"/>
    <w:rsid w:val="00DD654B"/>
    <w:rsid w:val="00DE1362"/>
    <w:rsid w:val="00DE7601"/>
    <w:rsid w:val="00DF0153"/>
    <w:rsid w:val="00DF0F9E"/>
    <w:rsid w:val="00DF2097"/>
    <w:rsid w:val="00DF236B"/>
    <w:rsid w:val="00DF5DF3"/>
    <w:rsid w:val="00DF6E37"/>
    <w:rsid w:val="00E00C4E"/>
    <w:rsid w:val="00E01621"/>
    <w:rsid w:val="00E0240D"/>
    <w:rsid w:val="00E07C1F"/>
    <w:rsid w:val="00E13322"/>
    <w:rsid w:val="00E15FF5"/>
    <w:rsid w:val="00E173DA"/>
    <w:rsid w:val="00E34E1D"/>
    <w:rsid w:val="00E35C3E"/>
    <w:rsid w:val="00E417CB"/>
    <w:rsid w:val="00E4717A"/>
    <w:rsid w:val="00E50830"/>
    <w:rsid w:val="00E5207F"/>
    <w:rsid w:val="00E549EE"/>
    <w:rsid w:val="00E5592C"/>
    <w:rsid w:val="00E56B62"/>
    <w:rsid w:val="00E61A5D"/>
    <w:rsid w:val="00E61C1E"/>
    <w:rsid w:val="00E638AD"/>
    <w:rsid w:val="00E64CF1"/>
    <w:rsid w:val="00E705DF"/>
    <w:rsid w:val="00E73754"/>
    <w:rsid w:val="00E828E1"/>
    <w:rsid w:val="00E87012"/>
    <w:rsid w:val="00E92633"/>
    <w:rsid w:val="00E93D5C"/>
    <w:rsid w:val="00E94D8F"/>
    <w:rsid w:val="00E95C6C"/>
    <w:rsid w:val="00E9610F"/>
    <w:rsid w:val="00EA0B1E"/>
    <w:rsid w:val="00EA5222"/>
    <w:rsid w:val="00EA5D68"/>
    <w:rsid w:val="00EA7282"/>
    <w:rsid w:val="00EB0D5E"/>
    <w:rsid w:val="00EB12A9"/>
    <w:rsid w:val="00EB25F4"/>
    <w:rsid w:val="00EB351B"/>
    <w:rsid w:val="00EB46CD"/>
    <w:rsid w:val="00EB57AC"/>
    <w:rsid w:val="00EC0959"/>
    <w:rsid w:val="00EC5F78"/>
    <w:rsid w:val="00EC7345"/>
    <w:rsid w:val="00ED266D"/>
    <w:rsid w:val="00ED3BE2"/>
    <w:rsid w:val="00ED50CB"/>
    <w:rsid w:val="00ED6462"/>
    <w:rsid w:val="00EE140B"/>
    <w:rsid w:val="00EE1E0F"/>
    <w:rsid w:val="00EE208F"/>
    <w:rsid w:val="00EE2B8B"/>
    <w:rsid w:val="00EF1222"/>
    <w:rsid w:val="00EF40E6"/>
    <w:rsid w:val="00F018EF"/>
    <w:rsid w:val="00F02CEF"/>
    <w:rsid w:val="00F05478"/>
    <w:rsid w:val="00F07535"/>
    <w:rsid w:val="00F145B7"/>
    <w:rsid w:val="00F16ABF"/>
    <w:rsid w:val="00F21A39"/>
    <w:rsid w:val="00F23F7D"/>
    <w:rsid w:val="00F26515"/>
    <w:rsid w:val="00F268D9"/>
    <w:rsid w:val="00F316DB"/>
    <w:rsid w:val="00F317F8"/>
    <w:rsid w:val="00F34481"/>
    <w:rsid w:val="00F37C23"/>
    <w:rsid w:val="00F40A3D"/>
    <w:rsid w:val="00F40F4C"/>
    <w:rsid w:val="00F414BB"/>
    <w:rsid w:val="00F42523"/>
    <w:rsid w:val="00F42B4E"/>
    <w:rsid w:val="00F44670"/>
    <w:rsid w:val="00F45A08"/>
    <w:rsid w:val="00F45DDD"/>
    <w:rsid w:val="00F468F0"/>
    <w:rsid w:val="00F51172"/>
    <w:rsid w:val="00F54955"/>
    <w:rsid w:val="00F56299"/>
    <w:rsid w:val="00F64E46"/>
    <w:rsid w:val="00F6641D"/>
    <w:rsid w:val="00F67678"/>
    <w:rsid w:val="00F72E67"/>
    <w:rsid w:val="00F7552C"/>
    <w:rsid w:val="00F76B47"/>
    <w:rsid w:val="00F81615"/>
    <w:rsid w:val="00F82E40"/>
    <w:rsid w:val="00F83780"/>
    <w:rsid w:val="00F853CD"/>
    <w:rsid w:val="00F90479"/>
    <w:rsid w:val="00F90629"/>
    <w:rsid w:val="00F938F3"/>
    <w:rsid w:val="00F958A2"/>
    <w:rsid w:val="00F9618D"/>
    <w:rsid w:val="00FA1153"/>
    <w:rsid w:val="00FA19C3"/>
    <w:rsid w:val="00FA5040"/>
    <w:rsid w:val="00FA5A1E"/>
    <w:rsid w:val="00FA680F"/>
    <w:rsid w:val="00FB1DB1"/>
    <w:rsid w:val="00FB2CEC"/>
    <w:rsid w:val="00FB2DE1"/>
    <w:rsid w:val="00FB35C1"/>
    <w:rsid w:val="00FB3835"/>
    <w:rsid w:val="00FC0723"/>
    <w:rsid w:val="00FC12DB"/>
    <w:rsid w:val="00FC1E54"/>
    <w:rsid w:val="00FC2DD5"/>
    <w:rsid w:val="00FC2FB7"/>
    <w:rsid w:val="00FC4FC1"/>
    <w:rsid w:val="00FC5CC5"/>
    <w:rsid w:val="00FC7946"/>
    <w:rsid w:val="00FD704D"/>
    <w:rsid w:val="00FD7E4C"/>
    <w:rsid w:val="00FE1DA2"/>
    <w:rsid w:val="00FE2DCE"/>
    <w:rsid w:val="00FE35FD"/>
    <w:rsid w:val="00FE3D2F"/>
    <w:rsid w:val="00FE61BB"/>
    <w:rsid w:val="00FE7EF7"/>
    <w:rsid w:val="00FF01FB"/>
    <w:rsid w:val="00FF0850"/>
    <w:rsid w:val="00FF1142"/>
    <w:rsid w:val="00FF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39C4"/>
    <w:rPr>
      <w:sz w:val="24"/>
      <w:szCs w:val="24"/>
    </w:rPr>
  </w:style>
  <w:style w:type="paragraph" w:styleId="Heading1">
    <w:name w:val="heading 1"/>
    <w:basedOn w:val="Normal"/>
    <w:next w:val="Normal"/>
    <w:link w:val="Heading1Char"/>
    <w:autoRedefine/>
    <w:uiPriority w:val="99"/>
    <w:qFormat/>
    <w:rsid w:val="008A03FF"/>
    <w:pPr>
      <w:keepNext/>
      <w:numPr>
        <w:numId w:val="16"/>
      </w:numPr>
      <w:spacing w:line="480" w:lineRule="auto"/>
      <w:ind w:left="72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314058"/>
    <w:pPr>
      <w:keepNext/>
      <w:numPr>
        <w:numId w:val="4"/>
      </w:numPr>
      <w:spacing w:line="480" w:lineRule="auto"/>
      <w:outlineLvl w:val="1"/>
    </w:pPr>
    <w:rPr>
      <w:rFonts w:ascii="Times New Roman Bold" w:hAnsi="Times New Roman Bold" w:cs="Times New Roman Bold"/>
      <w:b/>
      <w:bCs/>
    </w:rPr>
  </w:style>
  <w:style w:type="paragraph" w:styleId="Heading3">
    <w:name w:val="heading 3"/>
    <w:basedOn w:val="Normal"/>
    <w:link w:val="Heading3Char"/>
    <w:autoRedefine/>
    <w:uiPriority w:val="99"/>
    <w:qFormat/>
    <w:rsid w:val="00BC39C4"/>
    <w:pPr>
      <w:spacing w:after="240"/>
      <w:ind w:left="2160" w:hanging="72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03FF"/>
    <w:rPr>
      <w:rFonts w:ascii="Times New Roman Bold" w:hAnsi="Times New Roman Bold" w:cs="Times New Roman Bold"/>
      <w:b/>
      <w:bCs/>
      <w:caps/>
      <w:kern w:val="32"/>
      <w:sz w:val="24"/>
      <w:szCs w:val="24"/>
    </w:rPr>
  </w:style>
  <w:style w:type="character" w:customStyle="1" w:styleId="Heading2Char">
    <w:name w:val="Heading 2 Char"/>
    <w:basedOn w:val="DefaultParagraphFont"/>
    <w:link w:val="Heading2"/>
    <w:uiPriority w:val="99"/>
    <w:locked/>
    <w:rsid w:val="00314058"/>
    <w:rPr>
      <w:rFonts w:ascii="Times New Roman Bold" w:hAnsi="Times New Roman Bold" w:cs="Times New Roman Bold"/>
      <w:b/>
      <w:bCs/>
      <w:sz w:val="24"/>
      <w:szCs w:val="24"/>
    </w:rPr>
  </w:style>
  <w:style w:type="character" w:customStyle="1" w:styleId="Heading3Char">
    <w:name w:val="Heading 3 Char"/>
    <w:basedOn w:val="DefaultParagraphFont"/>
    <w:link w:val="Heading3"/>
    <w:uiPriority w:val="99"/>
    <w:semiHidden/>
    <w:locked/>
    <w:rsid w:val="00126109"/>
    <w:rPr>
      <w:rFonts w:ascii="Cambria" w:hAnsi="Cambria" w:cs="Cambria"/>
      <w:b/>
      <w:bCs/>
      <w:sz w:val="26"/>
      <w:szCs w:val="26"/>
    </w:rPr>
  </w:style>
  <w:style w:type="paragraph" w:styleId="Footer">
    <w:name w:val="footer"/>
    <w:basedOn w:val="Normal"/>
    <w:link w:val="FooterChar"/>
    <w:uiPriority w:val="99"/>
    <w:rsid w:val="00BC39C4"/>
    <w:pPr>
      <w:tabs>
        <w:tab w:val="center" w:pos="4320"/>
        <w:tab w:val="right" w:pos="8640"/>
      </w:tabs>
    </w:pPr>
  </w:style>
  <w:style w:type="character" w:customStyle="1" w:styleId="FooterChar">
    <w:name w:val="Footer Char"/>
    <w:basedOn w:val="DefaultParagraphFont"/>
    <w:link w:val="Footer"/>
    <w:uiPriority w:val="99"/>
    <w:locked/>
    <w:rsid w:val="00BC39C4"/>
    <w:rPr>
      <w:sz w:val="24"/>
      <w:szCs w:val="24"/>
    </w:rPr>
  </w:style>
  <w:style w:type="character" w:styleId="PageNumber">
    <w:name w:val="page number"/>
    <w:basedOn w:val="DefaultParagraphFont"/>
    <w:uiPriority w:val="99"/>
    <w:rsid w:val="00BC39C4"/>
  </w:style>
  <w:style w:type="paragraph" w:styleId="BodyText">
    <w:name w:val="Body Text"/>
    <w:basedOn w:val="Normal"/>
    <w:link w:val="BodyTextChar"/>
    <w:uiPriority w:val="99"/>
    <w:rsid w:val="00BC39C4"/>
    <w:pPr>
      <w:spacing w:after="120"/>
    </w:pPr>
    <w:rPr>
      <w:sz w:val="20"/>
      <w:szCs w:val="20"/>
    </w:rPr>
  </w:style>
  <w:style w:type="character" w:customStyle="1" w:styleId="BodyTextChar">
    <w:name w:val="Body Text Char"/>
    <w:basedOn w:val="DefaultParagraphFont"/>
    <w:link w:val="BodyText"/>
    <w:uiPriority w:val="99"/>
    <w:locked/>
    <w:rsid w:val="00A5664E"/>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
    <w:basedOn w:val="Normal"/>
    <w:link w:val="FootnoteTextChar3"/>
    <w:uiPriority w:val="99"/>
    <w:semiHidden/>
    <w:rsid w:val="00BC39C4"/>
    <w:rPr>
      <w:sz w:val="20"/>
      <w:szCs w:val="20"/>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basedOn w:val="DefaultParagraphFont"/>
    <w:uiPriority w:val="99"/>
    <w:semiHidden/>
    <w:rsid w:val="00FD195A"/>
    <w:rPr>
      <w:sz w:val="20"/>
      <w:szCs w:val="20"/>
    </w:rPr>
  </w:style>
  <w:style w:type="character" w:customStyle="1" w:styleId="FootnoteTextChar23">
    <w:name w:val="Footnote Text Char23"/>
    <w:aliases w:val="Footnote Text Char1 Char5,Footnote Text Char Char Char5,Footnote Text Char1 Char Char1 Char4,Footnote Text Char Char Char Char Char4,Footnote Text Char2 Char Char Char Char1 Char4,Footnote Text Char1 Char Char1 Char Char Char Char4"/>
    <w:basedOn w:val="DefaultParagraphFont"/>
    <w:uiPriority w:val="99"/>
    <w:semiHidden/>
    <w:rPr>
      <w:sz w:val="20"/>
      <w:szCs w:val="20"/>
    </w:rPr>
  </w:style>
  <w:style w:type="character" w:customStyle="1" w:styleId="FootnoteTextChar22">
    <w:name w:val="Footnote Text Char22"/>
    <w:aliases w:val="Footnote Text Char1 Char4,Footnote Text Char Char Char4,Footnote Text Char1 Char Char1 Char3,Footnote Text Char Char Char Char Char3,Footnote Text Char2 Char Char Char Char1 Char3,Footnote Text Char1 Char Char1 Char Char Char Char3"/>
    <w:uiPriority w:val="99"/>
    <w:semiHidden/>
    <w:rsid w:val="00367775"/>
    <w:rPr>
      <w:sz w:val="20"/>
      <w:szCs w:val="20"/>
    </w:rPr>
  </w:style>
  <w:style w:type="character" w:customStyle="1" w:styleId="FootnoteTextChar21">
    <w:name w:val="Footnote Text Char21"/>
    <w:aliases w:val="Footnote Text Char1 Char3,Footnote Text Char Char Char3,Footnote Text Char1 Char Char1 Char2,Footnote Text Char Char Char Char Char2,Footnote Text Char2 Char Char Char Char1 Char2,Footnote Text Char1 Char Char1 Char Char Char Char2"/>
    <w:uiPriority w:val="99"/>
    <w:semiHidden/>
    <w:locked/>
    <w:rsid w:val="00126109"/>
    <w:rPr>
      <w:sz w:val="20"/>
      <w:szCs w:val="20"/>
    </w:rPr>
  </w:style>
  <w:style w:type="character" w:styleId="FootnoteReference">
    <w:name w:val="footnote reference"/>
    <w:aliases w:val="o,fr"/>
    <w:basedOn w:val="DefaultParagraphFont"/>
    <w:uiPriority w:val="99"/>
    <w:semiHidden/>
    <w:rsid w:val="00BC39C4"/>
    <w:rPr>
      <w:vertAlign w:val="superscript"/>
    </w:rPr>
  </w:style>
  <w:style w:type="paragraph" w:styleId="BalloonText">
    <w:name w:val="Balloon Text"/>
    <w:basedOn w:val="Normal"/>
    <w:link w:val="BalloonTextChar"/>
    <w:uiPriority w:val="99"/>
    <w:semiHidden/>
    <w:rsid w:val="00FF1142"/>
  </w:style>
  <w:style w:type="character" w:customStyle="1" w:styleId="BalloonTextChar">
    <w:name w:val="Balloon Text Char"/>
    <w:basedOn w:val="DefaultParagraphFont"/>
    <w:link w:val="BalloonText"/>
    <w:uiPriority w:val="99"/>
    <w:semiHidden/>
    <w:locked/>
    <w:rsid w:val="00FF1142"/>
    <w:rPr>
      <w:sz w:val="2"/>
      <w:szCs w:val="2"/>
    </w:rPr>
  </w:style>
  <w:style w:type="character" w:styleId="CommentReference">
    <w:name w:val="annotation reference"/>
    <w:basedOn w:val="DefaultParagraphFont"/>
    <w:uiPriority w:val="99"/>
    <w:semiHidden/>
    <w:rsid w:val="00BC39C4"/>
    <w:rPr>
      <w:sz w:val="16"/>
      <w:szCs w:val="16"/>
    </w:rPr>
  </w:style>
  <w:style w:type="paragraph" w:styleId="CommentText">
    <w:name w:val="annotation text"/>
    <w:basedOn w:val="Normal"/>
    <w:link w:val="CommentTextChar"/>
    <w:uiPriority w:val="99"/>
    <w:semiHidden/>
    <w:rsid w:val="00FF1142"/>
    <w:rPr>
      <w:sz w:val="144"/>
      <w:szCs w:val="144"/>
    </w:rPr>
  </w:style>
  <w:style w:type="character" w:customStyle="1" w:styleId="CommentTextChar">
    <w:name w:val="Comment Text Char"/>
    <w:basedOn w:val="DefaultParagraphFont"/>
    <w:link w:val="CommentText"/>
    <w:uiPriority w:val="99"/>
    <w:semiHidden/>
    <w:locked/>
    <w:rsid w:val="00FF1142"/>
    <w:rPr>
      <w:sz w:val="144"/>
      <w:szCs w:val="144"/>
    </w:rPr>
  </w:style>
  <w:style w:type="paragraph" w:styleId="CommentSubject">
    <w:name w:val="annotation subject"/>
    <w:basedOn w:val="CommentText"/>
    <w:next w:val="CommentText"/>
    <w:link w:val="CommentSubjectChar"/>
    <w:uiPriority w:val="99"/>
    <w:semiHidden/>
    <w:rsid w:val="00BC39C4"/>
    <w:rPr>
      <w:b/>
      <w:bCs/>
    </w:rPr>
  </w:style>
  <w:style w:type="character" w:customStyle="1" w:styleId="CommentSubjectChar">
    <w:name w:val="Comment Subject Char"/>
    <w:basedOn w:val="CommentTextChar"/>
    <w:link w:val="CommentSubject"/>
    <w:uiPriority w:val="99"/>
    <w:semiHidden/>
    <w:locked/>
    <w:rsid w:val="00126109"/>
    <w:rPr>
      <w:b/>
      <w:bCs/>
      <w:sz w:val="144"/>
      <w:szCs w:val="144"/>
    </w:rPr>
  </w:style>
  <w:style w:type="table" w:styleId="TableGrid">
    <w:name w:val="Table Grid"/>
    <w:basedOn w:val="TableNormal"/>
    <w:uiPriority w:val="99"/>
    <w:rsid w:val="00BC39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Style">
    <w:name w:val="Answer Style"/>
    <w:basedOn w:val="Normal"/>
    <w:next w:val="Normal"/>
    <w:uiPriority w:val="99"/>
    <w:rsid w:val="00BC39C4"/>
    <w:pPr>
      <w:spacing w:line="480" w:lineRule="auto"/>
      <w:ind w:left="720" w:hanging="720"/>
    </w:pPr>
  </w:style>
  <w:style w:type="character" w:customStyle="1" w:styleId="FootnoteTextChar3">
    <w:name w:val="Footnote Text Char3"/>
    <w:aliases w:val="Footnote Text Char1 Char1,Footnote Text Char Char Char1,Footnote Text Char1 Char Char1 Char1,Footnote Text Char Char Char Char Char1,Footnote Text Char2 Char Char Char Char1 Char1,Footnote Text Char1 Char Char1 Char Char Char Char1"/>
    <w:link w:val="FootnoteText"/>
    <w:uiPriority w:val="99"/>
    <w:locked/>
    <w:rsid w:val="00BC39C4"/>
    <w:rPr>
      <w:lang w:val="en-US" w:eastAsia="en-US"/>
    </w:rPr>
  </w:style>
  <w:style w:type="character" w:styleId="Hyperlink">
    <w:name w:val="Hyperlink"/>
    <w:basedOn w:val="DefaultParagraphFont"/>
    <w:uiPriority w:val="99"/>
    <w:rsid w:val="00BC39C4"/>
    <w:rPr>
      <w:color w:val="0000FF"/>
      <w:u w:val="single"/>
    </w:rPr>
  </w:style>
  <w:style w:type="paragraph" w:styleId="Header">
    <w:name w:val="header"/>
    <w:basedOn w:val="Normal"/>
    <w:link w:val="HeaderChar"/>
    <w:uiPriority w:val="99"/>
    <w:rsid w:val="00BC39C4"/>
    <w:pPr>
      <w:tabs>
        <w:tab w:val="center" w:pos="4320"/>
        <w:tab w:val="right" w:pos="8640"/>
      </w:tabs>
    </w:pPr>
  </w:style>
  <w:style w:type="character" w:customStyle="1" w:styleId="HeaderChar">
    <w:name w:val="Header Char"/>
    <w:basedOn w:val="DefaultParagraphFont"/>
    <w:link w:val="Header"/>
    <w:uiPriority w:val="99"/>
    <w:semiHidden/>
    <w:locked/>
    <w:rsid w:val="00126109"/>
    <w:rPr>
      <w:sz w:val="24"/>
      <w:szCs w:val="24"/>
    </w:rPr>
  </w:style>
  <w:style w:type="paragraph" w:styleId="EndnoteText">
    <w:name w:val="endnote text"/>
    <w:basedOn w:val="Normal"/>
    <w:link w:val="EndnoteTextChar"/>
    <w:uiPriority w:val="99"/>
    <w:semiHidden/>
    <w:rsid w:val="00BC39C4"/>
    <w:pPr>
      <w:widowControl w:val="0"/>
    </w:pPr>
    <w:rPr>
      <w:sz w:val="20"/>
      <w:szCs w:val="20"/>
    </w:rPr>
  </w:style>
  <w:style w:type="character" w:customStyle="1" w:styleId="EndnoteTextChar">
    <w:name w:val="Endnote Text Char"/>
    <w:basedOn w:val="DefaultParagraphFont"/>
    <w:link w:val="EndnoteText"/>
    <w:uiPriority w:val="99"/>
    <w:semiHidden/>
    <w:locked/>
    <w:rsid w:val="00126109"/>
    <w:rPr>
      <w:sz w:val="20"/>
      <w:szCs w:val="20"/>
    </w:rPr>
  </w:style>
  <w:style w:type="paragraph" w:styleId="HTMLPreformatted">
    <w:name w:val="HTML Preformatted"/>
    <w:basedOn w:val="Normal"/>
    <w:link w:val="HTMLPreformattedChar"/>
    <w:uiPriority w:val="99"/>
    <w:rsid w:val="00BC39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126109"/>
    <w:rPr>
      <w:rFonts w:ascii="Courier New" w:hAnsi="Courier New" w:cs="Courier New"/>
      <w:sz w:val="20"/>
      <w:szCs w:val="20"/>
    </w:rPr>
  </w:style>
  <w:style w:type="character" w:styleId="LineNumber">
    <w:name w:val="line number"/>
    <w:basedOn w:val="DefaultParagraphFont"/>
    <w:uiPriority w:val="99"/>
    <w:rsid w:val="00BC39C4"/>
  </w:style>
  <w:style w:type="paragraph" w:customStyle="1" w:styleId="ANSWER">
    <w:name w:val="ANSWER"/>
    <w:basedOn w:val="Normal"/>
    <w:uiPriority w:val="99"/>
    <w:rsid w:val="00BC39C4"/>
    <w:pPr>
      <w:overflowPunct w:val="0"/>
      <w:autoSpaceDE w:val="0"/>
      <w:autoSpaceDN w:val="0"/>
      <w:adjustRightInd w:val="0"/>
      <w:spacing w:line="480" w:lineRule="auto"/>
      <w:ind w:left="1008" w:hanging="720"/>
      <w:textAlignment w:val="baseline"/>
    </w:pPr>
  </w:style>
  <w:style w:type="paragraph" w:styleId="BodyTextIndent3">
    <w:name w:val="Body Text Indent 3"/>
    <w:basedOn w:val="Normal"/>
    <w:link w:val="BodyTextIndent3Char"/>
    <w:uiPriority w:val="99"/>
    <w:rsid w:val="00BC39C4"/>
    <w:pPr>
      <w:overflowPunct w:val="0"/>
      <w:autoSpaceDE w:val="0"/>
      <w:autoSpaceDN w:val="0"/>
      <w:adjustRightInd w:val="0"/>
      <w:spacing w:after="120"/>
      <w:ind w:left="360"/>
      <w:textAlignment w:val="baseline"/>
    </w:pPr>
    <w:rPr>
      <w:sz w:val="16"/>
      <w:szCs w:val="16"/>
    </w:rPr>
  </w:style>
  <w:style w:type="character" w:customStyle="1" w:styleId="BodyTextIndent3Char">
    <w:name w:val="Body Text Indent 3 Char"/>
    <w:basedOn w:val="DefaultParagraphFont"/>
    <w:link w:val="BodyTextIndent3"/>
    <w:uiPriority w:val="99"/>
    <w:semiHidden/>
    <w:locked/>
    <w:rsid w:val="00126109"/>
    <w:rPr>
      <w:sz w:val="16"/>
      <w:szCs w:val="16"/>
    </w:rPr>
  </w:style>
  <w:style w:type="paragraph" w:styleId="Caption">
    <w:name w:val="caption"/>
    <w:basedOn w:val="Normal"/>
    <w:next w:val="Normal"/>
    <w:uiPriority w:val="99"/>
    <w:qFormat/>
    <w:rsid w:val="00BC39C4"/>
    <w:rPr>
      <w:b/>
      <w:bCs/>
      <w:sz w:val="20"/>
      <w:szCs w:val="20"/>
    </w:rPr>
  </w:style>
  <w:style w:type="paragraph" w:styleId="Title">
    <w:name w:val="Title"/>
    <w:basedOn w:val="Normal"/>
    <w:link w:val="TitleChar"/>
    <w:uiPriority w:val="99"/>
    <w:qFormat/>
    <w:rsid w:val="00BC39C4"/>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26109"/>
    <w:rPr>
      <w:rFonts w:ascii="Cambria" w:hAnsi="Cambria" w:cs="Cambria"/>
      <w:b/>
      <w:bCs/>
      <w:kern w:val="28"/>
      <w:sz w:val="32"/>
      <w:szCs w:val="32"/>
    </w:rPr>
  </w:style>
  <w:style w:type="paragraph" w:styleId="PlainText">
    <w:name w:val="Plain Text"/>
    <w:basedOn w:val="Normal"/>
    <w:link w:val="PlainTextChar"/>
    <w:uiPriority w:val="99"/>
    <w:rsid w:val="00BC39C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26109"/>
    <w:rPr>
      <w:rFonts w:ascii="Courier New" w:hAnsi="Courier New" w:cs="Courier New"/>
      <w:sz w:val="20"/>
      <w:szCs w:val="20"/>
    </w:rPr>
  </w:style>
  <w:style w:type="paragraph" w:styleId="TOC1">
    <w:name w:val="toc 1"/>
    <w:basedOn w:val="Normal"/>
    <w:next w:val="Normal"/>
    <w:autoRedefine/>
    <w:uiPriority w:val="39"/>
    <w:rsid w:val="00C60BC8"/>
    <w:pPr>
      <w:tabs>
        <w:tab w:val="left" w:pos="720"/>
        <w:tab w:val="decimal" w:leader="dot" w:pos="8640"/>
      </w:tabs>
      <w:spacing w:after="240"/>
      <w:ind w:left="720" w:hanging="720"/>
    </w:pPr>
    <w:rPr>
      <w:caps/>
    </w:rPr>
  </w:style>
  <w:style w:type="paragraph" w:styleId="List2">
    <w:name w:val="List 2"/>
    <w:basedOn w:val="Normal"/>
    <w:uiPriority w:val="99"/>
    <w:rsid w:val="00BC39C4"/>
    <w:pPr>
      <w:ind w:left="720" w:hanging="360"/>
    </w:pPr>
  </w:style>
  <w:style w:type="character" w:customStyle="1" w:styleId="zzmpTrailerItem">
    <w:name w:val="zzmpTrailerItem"/>
    <w:uiPriority w:val="99"/>
    <w:rsid w:val="00BC39C4"/>
    <w:rPr>
      <w:rFonts w:ascii="Times New Roman" w:hAnsi="Times New Roman" w:cs="Times New Roman"/>
      <w:noProof/>
      <w:color w:val="auto"/>
      <w:spacing w:val="0"/>
      <w:position w:val="0"/>
      <w:sz w:val="16"/>
      <w:szCs w:val="16"/>
      <w:u w:val="none"/>
      <w:effect w:val="none"/>
      <w:vertAlign w:val="baseline"/>
    </w:rPr>
  </w:style>
  <w:style w:type="paragraph" w:styleId="TOC2">
    <w:name w:val="toc 2"/>
    <w:basedOn w:val="Normal"/>
    <w:next w:val="Normal"/>
    <w:autoRedefine/>
    <w:uiPriority w:val="99"/>
    <w:semiHidden/>
    <w:rsid w:val="00FD704D"/>
    <w:pPr>
      <w:spacing w:line="480" w:lineRule="auto"/>
      <w:ind w:left="1440" w:hanging="720"/>
    </w:pPr>
  </w:style>
  <w:style w:type="paragraph" w:customStyle="1" w:styleId="DefaultParagraphFontParaCharCharCharCharCharCharChar">
    <w:name w:val="Default Paragraph Font Para Char Char Char Char Char Char Char"/>
    <w:basedOn w:val="Normal"/>
    <w:uiPriority w:val="99"/>
    <w:rsid w:val="00BC39C4"/>
    <w:pPr>
      <w:widowControl w:val="0"/>
      <w:spacing w:line="280" w:lineRule="atLeast"/>
    </w:pPr>
    <w:rPr>
      <w:rFonts w:eastAsia="MS Mincho"/>
      <w:sz w:val="22"/>
      <w:szCs w:val="22"/>
      <w:lang w:val="en-GB" w:eastAsia="en-GB"/>
    </w:rPr>
  </w:style>
  <w:style w:type="paragraph" w:styleId="TOCHeading">
    <w:name w:val="TOC Heading"/>
    <w:basedOn w:val="Heading1"/>
    <w:next w:val="Normal"/>
    <w:uiPriority w:val="99"/>
    <w:qFormat/>
    <w:rsid w:val="00BC39C4"/>
    <w:pPr>
      <w:keepLines/>
      <w:spacing w:before="480" w:line="276" w:lineRule="auto"/>
      <w:ind w:left="0" w:firstLine="0"/>
      <w:outlineLvl w:val="9"/>
    </w:pPr>
    <w:rPr>
      <w:rFonts w:ascii="Cambria" w:hAnsi="Cambria" w:cs="Cambria"/>
      <w:caps w:val="0"/>
      <w:color w:val="365F91"/>
      <w:kern w:val="0"/>
      <w:sz w:val="28"/>
      <w:szCs w:val="28"/>
    </w:rPr>
  </w:style>
  <w:style w:type="character" w:customStyle="1" w:styleId="st">
    <w:name w:val="st"/>
    <w:uiPriority w:val="99"/>
    <w:rsid w:val="00117D80"/>
  </w:style>
  <w:style w:type="character" w:customStyle="1" w:styleId="caps">
    <w:name w:val="caps"/>
    <w:uiPriority w:val="99"/>
    <w:rsid w:val="00F72E67"/>
  </w:style>
  <w:style w:type="character" w:customStyle="1" w:styleId="FootnoteTextChar1Char2">
    <w:name w:val="Footnote Text Char1 Char2"/>
    <w:aliases w:val="Footnote Text Char Char Char2,Footnote Text Char4 Char Char1,Footnote Text Char Char4 Char Char1,Footnote Text Char4 Char1 Char Char Char1,Footnote Text Char Char4 Char1 Char Char Char1,Footnote Text Char2 Char,fn Char1"/>
    <w:uiPriority w:val="99"/>
    <w:semiHidden/>
    <w:locked/>
    <w:rsid w:val="00A42B8D"/>
    <w:rPr>
      <w:rFonts w:eastAsia="Times New Roman"/>
      <w:lang w:val="en-US" w:eastAsia="en-US"/>
    </w:rPr>
  </w:style>
  <w:style w:type="paragraph" w:customStyle="1" w:styleId="indexheadin">
    <w:name w:val="index headin"/>
    <w:uiPriority w:val="99"/>
    <w:rsid w:val="00A42B8D"/>
    <w:pPr>
      <w:widowControl w:val="0"/>
      <w:tabs>
        <w:tab w:val="left" w:pos="-720"/>
      </w:tabs>
      <w:suppressAutoHyphens/>
    </w:pPr>
    <w:rPr>
      <w:rFonts w:ascii="Courier New" w:hAnsi="Courier New" w:cs="Courier New"/>
      <w:b/>
      <w:bCs/>
      <w:sz w:val="24"/>
      <w:szCs w:val="24"/>
    </w:rPr>
  </w:style>
  <w:style w:type="paragraph" w:styleId="ListParagraph">
    <w:name w:val="List Paragraph"/>
    <w:basedOn w:val="Normal"/>
    <w:uiPriority w:val="99"/>
    <w:qFormat/>
    <w:rsid w:val="001C3807"/>
    <w:pPr>
      <w:spacing w:after="200" w:line="276" w:lineRule="auto"/>
      <w:ind w:left="720"/>
    </w:pPr>
    <w:rPr>
      <w:rFonts w:ascii="Calibri" w:hAnsi="Calibri" w:cs="Calibri"/>
      <w:sz w:val="22"/>
      <w:szCs w:val="22"/>
    </w:rPr>
  </w:style>
  <w:style w:type="paragraph" w:styleId="IntenseQuote">
    <w:name w:val="Intense Quote"/>
    <w:basedOn w:val="Normal"/>
    <w:next w:val="Normal"/>
    <w:link w:val="IntenseQuoteChar"/>
    <w:uiPriority w:val="99"/>
    <w:qFormat/>
    <w:rsid w:val="00FF114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FF1142"/>
    <w:rPr>
      <w:b/>
      <w:bCs/>
      <w:i/>
      <w:iCs/>
      <w:color w:val="4F81BD"/>
      <w:sz w:val="24"/>
      <w:szCs w:val="24"/>
    </w:rPr>
  </w:style>
  <w:style w:type="character" w:styleId="Emphasis">
    <w:name w:val="Emphasis"/>
    <w:basedOn w:val="DefaultParagraphFont"/>
    <w:uiPriority w:val="99"/>
    <w:qFormat/>
    <w:locked/>
    <w:rsid w:val="00FF1142"/>
    <w:rPr>
      <w:i/>
      <w:iCs/>
    </w:rPr>
  </w:style>
  <w:style w:type="paragraph" w:styleId="Revision">
    <w:name w:val="Revision"/>
    <w:hidden/>
    <w:uiPriority w:val="99"/>
    <w:semiHidden/>
    <w:rsid w:val="00CE06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771429">
      <w:marLeft w:val="0"/>
      <w:marRight w:val="0"/>
      <w:marTop w:val="0"/>
      <w:marBottom w:val="0"/>
      <w:divBdr>
        <w:top w:val="none" w:sz="0" w:space="0" w:color="auto"/>
        <w:left w:val="none" w:sz="0" w:space="0" w:color="auto"/>
        <w:bottom w:val="none" w:sz="0" w:space="0" w:color="auto"/>
        <w:right w:val="none" w:sz="0" w:space="0" w:color="auto"/>
      </w:divBdr>
      <w:divsChild>
        <w:div w:id="1482771473">
          <w:marLeft w:val="0"/>
          <w:marRight w:val="0"/>
          <w:marTop w:val="0"/>
          <w:marBottom w:val="0"/>
          <w:divBdr>
            <w:top w:val="none" w:sz="0" w:space="0" w:color="auto"/>
            <w:left w:val="none" w:sz="0" w:space="0" w:color="auto"/>
            <w:bottom w:val="none" w:sz="0" w:space="0" w:color="auto"/>
            <w:right w:val="none" w:sz="0" w:space="0" w:color="auto"/>
          </w:divBdr>
          <w:divsChild>
            <w:div w:id="14827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1451">
      <w:marLeft w:val="0"/>
      <w:marRight w:val="0"/>
      <w:marTop w:val="0"/>
      <w:marBottom w:val="0"/>
      <w:divBdr>
        <w:top w:val="none" w:sz="0" w:space="0" w:color="auto"/>
        <w:left w:val="none" w:sz="0" w:space="0" w:color="auto"/>
        <w:bottom w:val="none" w:sz="0" w:space="0" w:color="auto"/>
        <w:right w:val="none" w:sz="0" w:space="0" w:color="auto"/>
      </w:divBdr>
      <w:divsChild>
        <w:div w:id="1482771485">
          <w:marLeft w:val="0"/>
          <w:marRight w:val="0"/>
          <w:marTop w:val="0"/>
          <w:marBottom w:val="0"/>
          <w:divBdr>
            <w:top w:val="none" w:sz="0" w:space="0" w:color="auto"/>
            <w:left w:val="none" w:sz="0" w:space="0" w:color="auto"/>
            <w:bottom w:val="none" w:sz="0" w:space="0" w:color="auto"/>
            <w:right w:val="none" w:sz="0" w:space="0" w:color="auto"/>
          </w:divBdr>
        </w:div>
      </w:divsChild>
    </w:div>
    <w:div w:id="1482771452">
      <w:marLeft w:val="0"/>
      <w:marRight w:val="0"/>
      <w:marTop w:val="0"/>
      <w:marBottom w:val="0"/>
      <w:divBdr>
        <w:top w:val="none" w:sz="0" w:space="0" w:color="auto"/>
        <w:left w:val="none" w:sz="0" w:space="0" w:color="auto"/>
        <w:bottom w:val="none" w:sz="0" w:space="0" w:color="auto"/>
        <w:right w:val="none" w:sz="0" w:space="0" w:color="auto"/>
      </w:divBdr>
      <w:divsChild>
        <w:div w:id="1482771502">
          <w:marLeft w:val="0"/>
          <w:marRight w:val="0"/>
          <w:marTop w:val="0"/>
          <w:marBottom w:val="0"/>
          <w:divBdr>
            <w:top w:val="none" w:sz="0" w:space="0" w:color="auto"/>
            <w:left w:val="none" w:sz="0" w:space="0" w:color="auto"/>
            <w:bottom w:val="none" w:sz="0" w:space="0" w:color="auto"/>
            <w:right w:val="none" w:sz="0" w:space="0" w:color="auto"/>
          </w:divBdr>
          <w:divsChild>
            <w:div w:id="1482771456">
              <w:marLeft w:val="0"/>
              <w:marRight w:val="0"/>
              <w:marTop w:val="0"/>
              <w:marBottom w:val="0"/>
              <w:divBdr>
                <w:top w:val="none" w:sz="0" w:space="0" w:color="auto"/>
                <w:left w:val="none" w:sz="0" w:space="0" w:color="auto"/>
                <w:bottom w:val="none" w:sz="0" w:space="0" w:color="auto"/>
                <w:right w:val="none" w:sz="0" w:space="0" w:color="auto"/>
              </w:divBdr>
            </w:div>
            <w:div w:id="1482771481">
              <w:marLeft w:val="0"/>
              <w:marRight w:val="0"/>
              <w:marTop w:val="0"/>
              <w:marBottom w:val="0"/>
              <w:divBdr>
                <w:top w:val="none" w:sz="0" w:space="0" w:color="auto"/>
                <w:left w:val="none" w:sz="0" w:space="0" w:color="auto"/>
                <w:bottom w:val="none" w:sz="0" w:space="0" w:color="auto"/>
                <w:right w:val="none" w:sz="0" w:space="0" w:color="auto"/>
              </w:divBdr>
            </w:div>
            <w:div w:id="14827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1454">
      <w:marLeft w:val="0"/>
      <w:marRight w:val="0"/>
      <w:marTop w:val="0"/>
      <w:marBottom w:val="0"/>
      <w:divBdr>
        <w:top w:val="none" w:sz="0" w:space="0" w:color="auto"/>
        <w:left w:val="none" w:sz="0" w:space="0" w:color="auto"/>
        <w:bottom w:val="none" w:sz="0" w:space="0" w:color="auto"/>
        <w:right w:val="none" w:sz="0" w:space="0" w:color="auto"/>
      </w:divBdr>
      <w:divsChild>
        <w:div w:id="1482771511">
          <w:marLeft w:val="0"/>
          <w:marRight w:val="0"/>
          <w:marTop w:val="0"/>
          <w:marBottom w:val="0"/>
          <w:divBdr>
            <w:top w:val="none" w:sz="0" w:space="0" w:color="auto"/>
            <w:left w:val="none" w:sz="0" w:space="0" w:color="auto"/>
            <w:bottom w:val="none" w:sz="0" w:space="0" w:color="auto"/>
            <w:right w:val="none" w:sz="0" w:space="0" w:color="auto"/>
          </w:divBdr>
          <w:divsChild>
            <w:div w:id="1482771442">
              <w:marLeft w:val="0"/>
              <w:marRight w:val="0"/>
              <w:marTop w:val="0"/>
              <w:marBottom w:val="0"/>
              <w:divBdr>
                <w:top w:val="none" w:sz="0" w:space="0" w:color="auto"/>
                <w:left w:val="none" w:sz="0" w:space="0" w:color="auto"/>
                <w:bottom w:val="none" w:sz="0" w:space="0" w:color="auto"/>
                <w:right w:val="none" w:sz="0" w:space="0" w:color="auto"/>
              </w:divBdr>
            </w:div>
            <w:div w:id="1482771448">
              <w:marLeft w:val="0"/>
              <w:marRight w:val="0"/>
              <w:marTop w:val="0"/>
              <w:marBottom w:val="0"/>
              <w:divBdr>
                <w:top w:val="none" w:sz="0" w:space="0" w:color="auto"/>
                <w:left w:val="none" w:sz="0" w:space="0" w:color="auto"/>
                <w:bottom w:val="none" w:sz="0" w:space="0" w:color="auto"/>
                <w:right w:val="none" w:sz="0" w:space="0" w:color="auto"/>
              </w:divBdr>
            </w:div>
            <w:div w:id="14827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1463">
      <w:marLeft w:val="0"/>
      <w:marRight w:val="0"/>
      <w:marTop w:val="0"/>
      <w:marBottom w:val="0"/>
      <w:divBdr>
        <w:top w:val="none" w:sz="0" w:space="0" w:color="auto"/>
        <w:left w:val="none" w:sz="0" w:space="0" w:color="auto"/>
        <w:bottom w:val="none" w:sz="0" w:space="0" w:color="auto"/>
        <w:right w:val="none" w:sz="0" w:space="0" w:color="auto"/>
      </w:divBdr>
      <w:divsChild>
        <w:div w:id="1482771430">
          <w:marLeft w:val="0"/>
          <w:marRight w:val="0"/>
          <w:marTop w:val="0"/>
          <w:marBottom w:val="0"/>
          <w:divBdr>
            <w:top w:val="none" w:sz="0" w:space="0" w:color="auto"/>
            <w:left w:val="none" w:sz="0" w:space="0" w:color="auto"/>
            <w:bottom w:val="none" w:sz="0" w:space="0" w:color="auto"/>
            <w:right w:val="none" w:sz="0" w:space="0" w:color="auto"/>
          </w:divBdr>
        </w:div>
        <w:div w:id="1482771435">
          <w:marLeft w:val="0"/>
          <w:marRight w:val="0"/>
          <w:marTop w:val="0"/>
          <w:marBottom w:val="0"/>
          <w:divBdr>
            <w:top w:val="none" w:sz="0" w:space="0" w:color="auto"/>
            <w:left w:val="none" w:sz="0" w:space="0" w:color="auto"/>
            <w:bottom w:val="none" w:sz="0" w:space="0" w:color="auto"/>
            <w:right w:val="none" w:sz="0" w:space="0" w:color="auto"/>
          </w:divBdr>
        </w:div>
        <w:div w:id="1482771440">
          <w:marLeft w:val="0"/>
          <w:marRight w:val="0"/>
          <w:marTop w:val="0"/>
          <w:marBottom w:val="0"/>
          <w:divBdr>
            <w:top w:val="none" w:sz="0" w:space="0" w:color="auto"/>
            <w:left w:val="none" w:sz="0" w:space="0" w:color="auto"/>
            <w:bottom w:val="none" w:sz="0" w:space="0" w:color="auto"/>
            <w:right w:val="none" w:sz="0" w:space="0" w:color="auto"/>
          </w:divBdr>
        </w:div>
        <w:div w:id="1482771443">
          <w:marLeft w:val="0"/>
          <w:marRight w:val="0"/>
          <w:marTop w:val="0"/>
          <w:marBottom w:val="0"/>
          <w:divBdr>
            <w:top w:val="none" w:sz="0" w:space="0" w:color="auto"/>
            <w:left w:val="none" w:sz="0" w:space="0" w:color="auto"/>
            <w:bottom w:val="none" w:sz="0" w:space="0" w:color="auto"/>
            <w:right w:val="none" w:sz="0" w:space="0" w:color="auto"/>
          </w:divBdr>
        </w:div>
        <w:div w:id="1482771446">
          <w:marLeft w:val="0"/>
          <w:marRight w:val="0"/>
          <w:marTop w:val="0"/>
          <w:marBottom w:val="0"/>
          <w:divBdr>
            <w:top w:val="none" w:sz="0" w:space="0" w:color="auto"/>
            <w:left w:val="none" w:sz="0" w:space="0" w:color="auto"/>
            <w:bottom w:val="none" w:sz="0" w:space="0" w:color="auto"/>
            <w:right w:val="none" w:sz="0" w:space="0" w:color="auto"/>
          </w:divBdr>
        </w:div>
        <w:div w:id="1482771449">
          <w:marLeft w:val="0"/>
          <w:marRight w:val="0"/>
          <w:marTop w:val="0"/>
          <w:marBottom w:val="0"/>
          <w:divBdr>
            <w:top w:val="none" w:sz="0" w:space="0" w:color="auto"/>
            <w:left w:val="none" w:sz="0" w:space="0" w:color="auto"/>
            <w:bottom w:val="none" w:sz="0" w:space="0" w:color="auto"/>
            <w:right w:val="none" w:sz="0" w:space="0" w:color="auto"/>
          </w:divBdr>
        </w:div>
        <w:div w:id="1482771457">
          <w:marLeft w:val="0"/>
          <w:marRight w:val="0"/>
          <w:marTop w:val="0"/>
          <w:marBottom w:val="0"/>
          <w:divBdr>
            <w:top w:val="none" w:sz="0" w:space="0" w:color="auto"/>
            <w:left w:val="none" w:sz="0" w:space="0" w:color="auto"/>
            <w:bottom w:val="none" w:sz="0" w:space="0" w:color="auto"/>
            <w:right w:val="none" w:sz="0" w:space="0" w:color="auto"/>
          </w:divBdr>
        </w:div>
        <w:div w:id="1482771458">
          <w:marLeft w:val="0"/>
          <w:marRight w:val="0"/>
          <w:marTop w:val="0"/>
          <w:marBottom w:val="0"/>
          <w:divBdr>
            <w:top w:val="none" w:sz="0" w:space="0" w:color="auto"/>
            <w:left w:val="none" w:sz="0" w:space="0" w:color="auto"/>
            <w:bottom w:val="none" w:sz="0" w:space="0" w:color="auto"/>
            <w:right w:val="none" w:sz="0" w:space="0" w:color="auto"/>
          </w:divBdr>
        </w:div>
        <w:div w:id="1482771464">
          <w:marLeft w:val="0"/>
          <w:marRight w:val="0"/>
          <w:marTop w:val="0"/>
          <w:marBottom w:val="0"/>
          <w:divBdr>
            <w:top w:val="none" w:sz="0" w:space="0" w:color="auto"/>
            <w:left w:val="none" w:sz="0" w:space="0" w:color="auto"/>
            <w:bottom w:val="none" w:sz="0" w:space="0" w:color="auto"/>
            <w:right w:val="none" w:sz="0" w:space="0" w:color="auto"/>
          </w:divBdr>
        </w:div>
        <w:div w:id="1482771466">
          <w:marLeft w:val="0"/>
          <w:marRight w:val="0"/>
          <w:marTop w:val="0"/>
          <w:marBottom w:val="0"/>
          <w:divBdr>
            <w:top w:val="none" w:sz="0" w:space="0" w:color="auto"/>
            <w:left w:val="none" w:sz="0" w:space="0" w:color="auto"/>
            <w:bottom w:val="none" w:sz="0" w:space="0" w:color="auto"/>
            <w:right w:val="none" w:sz="0" w:space="0" w:color="auto"/>
          </w:divBdr>
        </w:div>
        <w:div w:id="1482771468">
          <w:marLeft w:val="0"/>
          <w:marRight w:val="0"/>
          <w:marTop w:val="0"/>
          <w:marBottom w:val="0"/>
          <w:divBdr>
            <w:top w:val="none" w:sz="0" w:space="0" w:color="auto"/>
            <w:left w:val="none" w:sz="0" w:space="0" w:color="auto"/>
            <w:bottom w:val="none" w:sz="0" w:space="0" w:color="auto"/>
            <w:right w:val="none" w:sz="0" w:space="0" w:color="auto"/>
          </w:divBdr>
        </w:div>
        <w:div w:id="1482771470">
          <w:marLeft w:val="0"/>
          <w:marRight w:val="0"/>
          <w:marTop w:val="0"/>
          <w:marBottom w:val="0"/>
          <w:divBdr>
            <w:top w:val="none" w:sz="0" w:space="0" w:color="auto"/>
            <w:left w:val="none" w:sz="0" w:space="0" w:color="auto"/>
            <w:bottom w:val="none" w:sz="0" w:space="0" w:color="auto"/>
            <w:right w:val="none" w:sz="0" w:space="0" w:color="auto"/>
          </w:divBdr>
        </w:div>
        <w:div w:id="1482771472">
          <w:marLeft w:val="0"/>
          <w:marRight w:val="0"/>
          <w:marTop w:val="0"/>
          <w:marBottom w:val="0"/>
          <w:divBdr>
            <w:top w:val="none" w:sz="0" w:space="0" w:color="auto"/>
            <w:left w:val="none" w:sz="0" w:space="0" w:color="auto"/>
            <w:bottom w:val="none" w:sz="0" w:space="0" w:color="auto"/>
            <w:right w:val="none" w:sz="0" w:space="0" w:color="auto"/>
          </w:divBdr>
        </w:div>
        <w:div w:id="1482771475">
          <w:marLeft w:val="0"/>
          <w:marRight w:val="0"/>
          <w:marTop w:val="0"/>
          <w:marBottom w:val="0"/>
          <w:divBdr>
            <w:top w:val="none" w:sz="0" w:space="0" w:color="auto"/>
            <w:left w:val="none" w:sz="0" w:space="0" w:color="auto"/>
            <w:bottom w:val="none" w:sz="0" w:space="0" w:color="auto"/>
            <w:right w:val="none" w:sz="0" w:space="0" w:color="auto"/>
          </w:divBdr>
        </w:div>
        <w:div w:id="1482771476">
          <w:marLeft w:val="0"/>
          <w:marRight w:val="0"/>
          <w:marTop w:val="0"/>
          <w:marBottom w:val="0"/>
          <w:divBdr>
            <w:top w:val="none" w:sz="0" w:space="0" w:color="auto"/>
            <w:left w:val="none" w:sz="0" w:space="0" w:color="auto"/>
            <w:bottom w:val="none" w:sz="0" w:space="0" w:color="auto"/>
            <w:right w:val="none" w:sz="0" w:space="0" w:color="auto"/>
          </w:divBdr>
        </w:div>
        <w:div w:id="1482771478">
          <w:marLeft w:val="0"/>
          <w:marRight w:val="0"/>
          <w:marTop w:val="0"/>
          <w:marBottom w:val="0"/>
          <w:divBdr>
            <w:top w:val="none" w:sz="0" w:space="0" w:color="auto"/>
            <w:left w:val="none" w:sz="0" w:space="0" w:color="auto"/>
            <w:bottom w:val="none" w:sz="0" w:space="0" w:color="auto"/>
            <w:right w:val="none" w:sz="0" w:space="0" w:color="auto"/>
          </w:divBdr>
        </w:div>
        <w:div w:id="1482771479">
          <w:marLeft w:val="0"/>
          <w:marRight w:val="0"/>
          <w:marTop w:val="0"/>
          <w:marBottom w:val="0"/>
          <w:divBdr>
            <w:top w:val="none" w:sz="0" w:space="0" w:color="auto"/>
            <w:left w:val="none" w:sz="0" w:space="0" w:color="auto"/>
            <w:bottom w:val="none" w:sz="0" w:space="0" w:color="auto"/>
            <w:right w:val="none" w:sz="0" w:space="0" w:color="auto"/>
          </w:divBdr>
        </w:div>
        <w:div w:id="1482771483">
          <w:marLeft w:val="0"/>
          <w:marRight w:val="0"/>
          <w:marTop w:val="0"/>
          <w:marBottom w:val="0"/>
          <w:divBdr>
            <w:top w:val="none" w:sz="0" w:space="0" w:color="auto"/>
            <w:left w:val="none" w:sz="0" w:space="0" w:color="auto"/>
            <w:bottom w:val="none" w:sz="0" w:space="0" w:color="auto"/>
            <w:right w:val="none" w:sz="0" w:space="0" w:color="auto"/>
          </w:divBdr>
        </w:div>
        <w:div w:id="1482771487">
          <w:marLeft w:val="0"/>
          <w:marRight w:val="0"/>
          <w:marTop w:val="0"/>
          <w:marBottom w:val="0"/>
          <w:divBdr>
            <w:top w:val="none" w:sz="0" w:space="0" w:color="auto"/>
            <w:left w:val="none" w:sz="0" w:space="0" w:color="auto"/>
            <w:bottom w:val="none" w:sz="0" w:space="0" w:color="auto"/>
            <w:right w:val="none" w:sz="0" w:space="0" w:color="auto"/>
          </w:divBdr>
        </w:div>
        <w:div w:id="1482771488">
          <w:marLeft w:val="0"/>
          <w:marRight w:val="0"/>
          <w:marTop w:val="0"/>
          <w:marBottom w:val="0"/>
          <w:divBdr>
            <w:top w:val="none" w:sz="0" w:space="0" w:color="auto"/>
            <w:left w:val="none" w:sz="0" w:space="0" w:color="auto"/>
            <w:bottom w:val="none" w:sz="0" w:space="0" w:color="auto"/>
            <w:right w:val="none" w:sz="0" w:space="0" w:color="auto"/>
          </w:divBdr>
        </w:div>
        <w:div w:id="1482771491">
          <w:marLeft w:val="0"/>
          <w:marRight w:val="0"/>
          <w:marTop w:val="0"/>
          <w:marBottom w:val="0"/>
          <w:divBdr>
            <w:top w:val="none" w:sz="0" w:space="0" w:color="auto"/>
            <w:left w:val="none" w:sz="0" w:space="0" w:color="auto"/>
            <w:bottom w:val="none" w:sz="0" w:space="0" w:color="auto"/>
            <w:right w:val="none" w:sz="0" w:space="0" w:color="auto"/>
          </w:divBdr>
        </w:div>
        <w:div w:id="1482771496">
          <w:marLeft w:val="0"/>
          <w:marRight w:val="0"/>
          <w:marTop w:val="0"/>
          <w:marBottom w:val="0"/>
          <w:divBdr>
            <w:top w:val="none" w:sz="0" w:space="0" w:color="auto"/>
            <w:left w:val="none" w:sz="0" w:space="0" w:color="auto"/>
            <w:bottom w:val="none" w:sz="0" w:space="0" w:color="auto"/>
            <w:right w:val="none" w:sz="0" w:space="0" w:color="auto"/>
          </w:divBdr>
        </w:div>
        <w:div w:id="1482771507">
          <w:marLeft w:val="0"/>
          <w:marRight w:val="0"/>
          <w:marTop w:val="0"/>
          <w:marBottom w:val="0"/>
          <w:divBdr>
            <w:top w:val="none" w:sz="0" w:space="0" w:color="auto"/>
            <w:left w:val="none" w:sz="0" w:space="0" w:color="auto"/>
            <w:bottom w:val="none" w:sz="0" w:space="0" w:color="auto"/>
            <w:right w:val="none" w:sz="0" w:space="0" w:color="auto"/>
          </w:divBdr>
        </w:div>
        <w:div w:id="1482771515">
          <w:marLeft w:val="0"/>
          <w:marRight w:val="0"/>
          <w:marTop w:val="0"/>
          <w:marBottom w:val="0"/>
          <w:divBdr>
            <w:top w:val="none" w:sz="0" w:space="0" w:color="auto"/>
            <w:left w:val="none" w:sz="0" w:space="0" w:color="auto"/>
            <w:bottom w:val="none" w:sz="0" w:space="0" w:color="auto"/>
            <w:right w:val="none" w:sz="0" w:space="0" w:color="auto"/>
          </w:divBdr>
        </w:div>
      </w:divsChild>
    </w:div>
    <w:div w:id="1482771465">
      <w:marLeft w:val="0"/>
      <w:marRight w:val="0"/>
      <w:marTop w:val="0"/>
      <w:marBottom w:val="0"/>
      <w:divBdr>
        <w:top w:val="none" w:sz="0" w:space="0" w:color="auto"/>
        <w:left w:val="none" w:sz="0" w:space="0" w:color="auto"/>
        <w:bottom w:val="none" w:sz="0" w:space="0" w:color="auto"/>
        <w:right w:val="none" w:sz="0" w:space="0" w:color="auto"/>
      </w:divBdr>
      <w:divsChild>
        <w:div w:id="1482771438">
          <w:marLeft w:val="0"/>
          <w:marRight w:val="0"/>
          <w:marTop w:val="0"/>
          <w:marBottom w:val="0"/>
          <w:divBdr>
            <w:top w:val="none" w:sz="0" w:space="0" w:color="auto"/>
            <w:left w:val="none" w:sz="0" w:space="0" w:color="auto"/>
            <w:bottom w:val="none" w:sz="0" w:space="0" w:color="auto"/>
            <w:right w:val="none" w:sz="0" w:space="0" w:color="auto"/>
          </w:divBdr>
          <w:divsChild>
            <w:div w:id="14827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1471">
      <w:marLeft w:val="0"/>
      <w:marRight w:val="0"/>
      <w:marTop w:val="0"/>
      <w:marBottom w:val="0"/>
      <w:divBdr>
        <w:top w:val="none" w:sz="0" w:space="0" w:color="auto"/>
        <w:left w:val="none" w:sz="0" w:space="0" w:color="auto"/>
        <w:bottom w:val="none" w:sz="0" w:space="0" w:color="auto"/>
        <w:right w:val="none" w:sz="0" w:space="0" w:color="auto"/>
      </w:divBdr>
      <w:divsChild>
        <w:div w:id="1482771427">
          <w:marLeft w:val="0"/>
          <w:marRight w:val="0"/>
          <w:marTop w:val="0"/>
          <w:marBottom w:val="0"/>
          <w:divBdr>
            <w:top w:val="none" w:sz="0" w:space="0" w:color="auto"/>
            <w:left w:val="none" w:sz="0" w:space="0" w:color="auto"/>
            <w:bottom w:val="none" w:sz="0" w:space="0" w:color="auto"/>
            <w:right w:val="none" w:sz="0" w:space="0" w:color="auto"/>
          </w:divBdr>
        </w:div>
        <w:div w:id="1482771428">
          <w:marLeft w:val="0"/>
          <w:marRight w:val="0"/>
          <w:marTop w:val="0"/>
          <w:marBottom w:val="0"/>
          <w:divBdr>
            <w:top w:val="none" w:sz="0" w:space="0" w:color="auto"/>
            <w:left w:val="none" w:sz="0" w:space="0" w:color="auto"/>
            <w:bottom w:val="none" w:sz="0" w:space="0" w:color="auto"/>
            <w:right w:val="none" w:sz="0" w:space="0" w:color="auto"/>
          </w:divBdr>
        </w:div>
        <w:div w:id="1482771431">
          <w:marLeft w:val="0"/>
          <w:marRight w:val="0"/>
          <w:marTop w:val="0"/>
          <w:marBottom w:val="0"/>
          <w:divBdr>
            <w:top w:val="none" w:sz="0" w:space="0" w:color="auto"/>
            <w:left w:val="none" w:sz="0" w:space="0" w:color="auto"/>
            <w:bottom w:val="none" w:sz="0" w:space="0" w:color="auto"/>
            <w:right w:val="none" w:sz="0" w:space="0" w:color="auto"/>
          </w:divBdr>
        </w:div>
        <w:div w:id="1482771432">
          <w:marLeft w:val="0"/>
          <w:marRight w:val="0"/>
          <w:marTop w:val="0"/>
          <w:marBottom w:val="0"/>
          <w:divBdr>
            <w:top w:val="none" w:sz="0" w:space="0" w:color="auto"/>
            <w:left w:val="none" w:sz="0" w:space="0" w:color="auto"/>
            <w:bottom w:val="none" w:sz="0" w:space="0" w:color="auto"/>
            <w:right w:val="none" w:sz="0" w:space="0" w:color="auto"/>
          </w:divBdr>
        </w:div>
        <w:div w:id="1482771437">
          <w:marLeft w:val="0"/>
          <w:marRight w:val="0"/>
          <w:marTop w:val="0"/>
          <w:marBottom w:val="0"/>
          <w:divBdr>
            <w:top w:val="none" w:sz="0" w:space="0" w:color="auto"/>
            <w:left w:val="none" w:sz="0" w:space="0" w:color="auto"/>
            <w:bottom w:val="none" w:sz="0" w:space="0" w:color="auto"/>
            <w:right w:val="none" w:sz="0" w:space="0" w:color="auto"/>
          </w:divBdr>
        </w:div>
        <w:div w:id="1482771439">
          <w:marLeft w:val="0"/>
          <w:marRight w:val="0"/>
          <w:marTop w:val="0"/>
          <w:marBottom w:val="0"/>
          <w:divBdr>
            <w:top w:val="none" w:sz="0" w:space="0" w:color="auto"/>
            <w:left w:val="none" w:sz="0" w:space="0" w:color="auto"/>
            <w:bottom w:val="none" w:sz="0" w:space="0" w:color="auto"/>
            <w:right w:val="none" w:sz="0" w:space="0" w:color="auto"/>
          </w:divBdr>
        </w:div>
        <w:div w:id="1482771441">
          <w:marLeft w:val="0"/>
          <w:marRight w:val="0"/>
          <w:marTop w:val="0"/>
          <w:marBottom w:val="0"/>
          <w:divBdr>
            <w:top w:val="none" w:sz="0" w:space="0" w:color="auto"/>
            <w:left w:val="none" w:sz="0" w:space="0" w:color="auto"/>
            <w:bottom w:val="none" w:sz="0" w:space="0" w:color="auto"/>
            <w:right w:val="none" w:sz="0" w:space="0" w:color="auto"/>
          </w:divBdr>
        </w:div>
        <w:div w:id="1482771450">
          <w:marLeft w:val="0"/>
          <w:marRight w:val="0"/>
          <w:marTop w:val="0"/>
          <w:marBottom w:val="0"/>
          <w:divBdr>
            <w:top w:val="none" w:sz="0" w:space="0" w:color="auto"/>
            <w:left w:val="none" w:sz="0" w:space="0" w:color="auto"/>
            <w:bottom w:val="none" w:sz="0" w:space="0" w:color="auto"/>
            <w:right w:val="none" w:sz="0" w:space="0" w:color="auto"/>
          </w:divBdr>
        </w:div>
        <w:div w:id="1482771455">
          <w:marLeft w:val="0"/>
          <w:marRight w:val="0"/>
          <w:marTop w:val="0"/>
          <w:marBottom w:val="0"/>
          <w:divBdr>
            <w:top w:val="none" w:sz="0" w:space="0" w:color="auto"/>
            <w:left w:val="none" w:sz="0" w:space="0" w:color="auto"/>
            <w:bottom w:val="none" w:sz="0" w:space="0" w:color="auto"/>
            <w:right w:val="none" w:sz="0" w:space="0" w:color="auto"/>
          </w:divBdr>
        </w:div>
        <w:div w:id="1482771459">
          <w:marLeft w:val="0"/>
          <w:marRight w:val="0"/>
          <w:marTop w:val="0"/>
          <w:marBottom w:val="0"/>
          <w:divBdr>
            <w:top w:val="none" w:sz="0" w:space="0" w:color="auto"/>
            <w:left w:val="none" w:sz="0" w:space="0" w:color="auto"/>
            <w:bottom w:val="none" w:sz="0" w:space="0" w:color="auto"/>
            <w:right w:val="none" w:sz="0" w:space="0" w:color="auto"/>
          </w:divBdr>
        </w:div>
        <w:div w:id="1482771460">
          <w:marLeft w:val="0"/>
          <w:marRight w:val="0"/>
          <w:marTop w:val="0"/>
          <w:marBottom w:val="0"/>
          <w:divBdr>
            <w:top w:val="none" w:sz="0" w:space="0" w:color="auto"/>
            <w:left w:val="none" w:sz="0" w:space="0" w:color="auto"/>
            <w:bottom w:val="none" w:sz="0" w:space="0" w:color="auto"/>
            <w:right w:val="none" w:sz="0" w:space="0" w:color="auto"/>
          </w:divBdr>
        </w:div>
        <w:div w:id="1482771461">
          <w:marLeft w:val="0"/>
          <w:marRight w:val="0"/>
          <w:marTop w:val="0"/>
          <w:marBottom w:val="0"/>
          <w:divBdr>
            <w:top w:val="none" w:sz="0" w:space="0" w:color="auto"/>
            <w:left w:val="none" w:sz="0" w:space="0" w:color="auto"/>
            <w:bottom w:val="none" w:sz="0" w:space="0" w:color="auto"/>
            <w:right w:val="none" w:sz="0" w:space="0" w:color="auto"/>
          </w:divBdr>
        </w:div>
        <w:div w:id="1482771469">
          <w:marLeft w:val="0"/>
          <w:marRight w:val="0"/>
          <w:marTop w:val="0"/>
          <w:marBottom w:val="0"/>
          <w:divBdr>
            <w:top w:val="none" w:sz="0" w:space="0" w:color="auto"/>
            <w:left w:val="none" w:sz="0" w:space="0" w:color="auto"/>
            <w:bottom w:val="none" w:sz="0" w:space="0" w:color="auto"/>
            <w:right w:val="none" w:sz="0" w:space="0" w:color="auto"/>
          </w:divBdr>
        </w:div>
        <w:div w:id="1482771474">
          <w:marLeft w:val="0"/>
          <w:marRight w:val="0"/>
          <w:marTop w:val="0"/>
          <w:marBottom w:val="0"/>
          <w:divBdr>
            <w:top w:val="none" w:sz="0" w:space="0" w:color="auto"/>
            <w:left w:val="none" w:sz="0" w:space="0" w:color="auto"/>
            <w:bottom w:val="none" w:sz="0" w:space="0" w:color="auto"/>
            <w:right w:val="none" w:sz="0" w:space="0" w:color="auto"/>
          </w:divBdr>
        </w:div>
        <w:div w:id="1482771477">
          <w:marLeft w:val="0"/>
          <w:marRight w:val="0"/>
          <w:marTop w:val="0"/>
          <w:marBottom w:val="0"/>
          <w:divBdr>
            <w:top w:val="none" w:sz="0" w:space="0" w:color="auto"/>
            <w:left w:val="none" w:sz="0" w:space="0" w:color="auto"/>
            <w:bottom w:val="none" w:sz="0" w:space="0" w:color="auto"/>
            <w:right w:val="none" w:sz="0" w:space="0" w:color="auto"/>
          </w:divBdr>
        </w:div>
        <w:div w:id="1482771486">
          <w:marLeft w:val="0"/>
          <w:marRight w:val="0"/>
          <w:marTop w:val="0"/>
          <w:marBottom w:val="0"/>
          <w:divBdr>
            <w:top w:val="none" w:sz="0" w:space="0" w:color="auto"/>
            <w:left w:val="none" w:sz="0" w:space="0" w:color="auto"/>
            <w:bottom w:val="none" w:sz="0" w:space="0" w:color="auto"/>
            <w:right w:val="none" w:sz="0" w:space="0" w:color="auto"/>
          </w:divBdr>
        </w:div>
        <w:div w:id="1482771490">
          <w:marLeft w:val="0"/>
          <w:marRight w:val="0"/>
          <w:marTop w:val="0"/>
          <w:marBottom w:val="0"/>
          <w:divBdr>
            <w:top w:val="none" w:sz="0" w:space="0" w:color="auto"/>
            <w:left w:val="none" w:sz="0" w:space="0" w:color="auto"/>
            <w:bottom w:val="none" w:sz="0" w:space="0" w:color="auto"/>
            <w:right w:val="none" w:sz="0" w:space="0" w:color="auto"/>
          </w:divBdr>
        </w:div>
        <w:div w:id="1482771495">
          <w:marLeft w:val="0"/>
          <w:marRight w:val="0"/>
          <w:marTop w:val="0"/>
          <w:marBottom w:val="0"/>
          <w:divBdr>
            <w:top w:val="none" w:sz="0" w:space="0" w:color="auto"/>
            <w:left w:val="none" w:sz="0" w:space="0" w:color="auto"/>
            <w:bottom w:val="none" w:sz="0" w:space="0" w:color="auto"/>
            <w:right w:val="none" w:sz="0" w:space="0" w:color="auto"/>
          </w:divBdr>
        </w:div>
        <w:div w:id="1482771497">
          <w:marLeft w:val="0"/>
          <w:marRight w:val="0"/>
          <w:marTop w:val="0"/>
          <w:marBottom w:val="0"/>
          <w:divBdr>
            <w:top w:val="none" w:sz="0" w:space="0" w:color="auto"/>
            <w:left w:val="none" w:sz="0" w:space="0" w:color="auto"/>
            <w:bottom w:val="none" w:sz="0" w:space="0" w:color="auto"/>
            <w:right w:val="none" w:sz="0" w:space="0" w:color="auto"/>
          </w:divBdr>
        </w:div>
        <w:div w:id="1482771499">
          <w:marLeft w:val="0"/>
          <w:marRight w:val="0"/>
          <w:marTop w:val="0"/>
          <w:marBottom w:val="0"/>
          <w:divBdr>
            <w:top w:val="none" w:sz="0" w:space="0" w:color="auto"/>
            <w:left w:val="none" w:sz="0" w:space="0" w:color="auto"/>
            <w:bottom w:val="none" w:sz="0" w:space="0" w:color="auto"/>
            <w:right w:val="none" w:sz="0" w:space="0" w:color="auto"/>
          </w:divBdr>
        </w:div>
        <w:div w:id="1482771501">
          <w:marLeft w:val="0"/>
          <w:marRight w:val="0"/>
          <w:marTop w:val="0"/>
          <w:marBottom w:val="0"/>
          <w:divBdr>
            <w:top w:val="none" w:sz="0" w:space="0" w:color="auto"/>
            <w:left w:val="none" w:sz="0" w:space="0" w:color="auto"/>
            <w:bottom w:val="none" w:sz="0" w:space="0" w:color="auto"/>
            <w:right w:val="none" w:sz="0" w:space="0" w:color="auto"/>
          </w:divBdr>
        </w:div>
        <w:div w:id="1482771504">
          <w:marLeft w:val="0"/>
          <w:marRight w:val="0"/>
          <w:marTop w:val="0"/>
          <w:marBottom w:val="0"/>
          <w:divBdr>
            <w:top w:val="none" w:sz="0" w:space="0" w:color="auto"/>
            <w:left w:val="none" w:sz="0" w:space="0" w:color="auto"/>
            <w:bottom w:val="none" w:sz="0" w:space="0" w:color="auto"/>
            <w:right w:val="none" w:sz="0" w:space="0" w:color="auto"/>
          </w:divBdr>
        </w:div>
        <w:div w:id="1482771508">
          <w:marLeft w:val="0"/>
          <w:marRight w:val="0"/>
          <w:marTop w:val="0"/>
          <w:marBottom w:val="0"/>
          <w:divBdr>
            <w:top w:val="none" w:sz="0" w:space="0" w:color="auto"/>
            <w:left w:val="none" w:sz="0" w:space="0" w:color="auto"/>
            <w:bottom w:val="none" w:sz="0" w:space="0" w:color="auto"/>
            <w:right w:val="none" w:sz="0" w:space="0" w:color="auto"/>
          </w:divBdr>
        </w:div>
        <w:div w:id="1482771514">
          <w:marLeft w:val="0"/>
          <w:marRight w:val="0"/>
          <w:marTop w:val="0"/>
          <w:marBottom w:val="0"/>
          <w:divBdr>
            <w:top w:val="none" w:sz="0" w:space="0" w:color="auto"/>
            <w:left w:val="none" w:sz="0" w:space="0" w:color="auto"/>
            <w:bottom w:val="none" w:sz="0" w:space="0" w:color="auto"/>
            <w:right w:val="none" w:sz="0" w:space="0" w:color="auto"/>
          </w:divBdr>
        </w:div>
      </w:divsChild>
    </w:div>
    <w:div w:id="1482771480">
      <w:marLeft w:val="0"/>
      <w:marRight w:val="0"/>
      <w:marTop w:val="0"/>
      <w:marBottom w:val="0"/>
      <w:divBdr>
        <w:top w:val="none" w:sz="0" w:space="0" w:color="auto"/>
        <w:left w:val="none" w:sz="0" w:space="0" w:color="auto"/>
        <w:bottom w:val="none" w:sz="0" w:space="0" w:color="auto"/>
        <w:right w:val="none" w:sz="0" w:space="0" w:color="auto"/>
      </w:divBdr>
      <w:divsChild>
        <w:div w:id="1482771510">
          <w:marLeft w:val="0"/>
          <w:marRight w:val="0"/>
          <w:marTop w:val="0"/>
          <w:marBottom w:val="0"/>
          <w:divBdr>
            <w:top w:val="none" w:sz="0" w:space="0" w:color="auto"/>
            <w:left w:val="none" w:sz="0" w:space="0" w:color="auto"/>
            <w:bottom w:val="none" w:sz="0" w:space="0" w:color="auto"/>
            <w:right w:val="none" w:sz="0" w:space="0" w:color="auto"/>
          </w:divBdr>
        </w:div>
      </w:divsChild>
    </w:div>
    <w:div w:id="1482771484">
      <w:marLeft w:val="0"/>
      <w:marRight w:val="0"/>
      <w:marTop w:val="0"/>
      <w:marBottom w:val="0"/>
      <w:divBdr>
        <w:top w:val="none" w:sz="0" w:space="0" w:color="auto"/>
        <w:left w:val="none" w:sz="0" w:space="0" w:color="auto"/>
        <w:bottom w:val="none" w:sz="0" w:space="0" w:color="auto"/>
        <w:right w:val="none" w:sz="0" w:space="0" w:color="auto"/>
      </w:divBdr>
    </w:div>
    <w:div w:id="1482771492">
      <w:marLeft w:val="0"/>
      <w:marRight w:val="0"/>
      <w:marTop w:val="0"/>
      <w:marBottom w:val="0"/>
      <w:divBdr>
        <w:top w:val="none" w:sz="0" w:space="0" w:color="auto"/>
        <w:left w:val="none" w:sz="0" w:space="0" w:color="auto"/>
        <w:bottom w:val="none" w:sz="0" w:space="0" w:color="auto"/>
        <w:right w:val="none" w:sz="0" w:space="0" w:color="auto"/>
      </w:divBdr>
      <w:divsChild>
        <w:div w:id="1482771493">
          <w:marLeft w:val="0"/>
          <w:marRight w:val="-5040"/>
          <w:marTop w:val="0"/>
          <w:marBottom w:val="0"/>
          <w:divBdr>
            <w:top w:val="none" w:sz="0" w:space="0" w:color="auto"/>
            <w:left w:val="none" w:sz="0" w:space="0" w:color="auto"/>
            <w:bottom w:val="none" w:sz="0" w:space="0" w:color="auto"/>
            <w:right w:val="none" w:sz="0" w:space="0" w:color="auto"/>
          </w:divBdr>
          <w:divsChild>
            <w:div w:id="1482771445">
              <w:marLeft w:val="0"/>
              <w:marRight w:val="5040"/>
              <w:marTop w:val="0"/>
              <w:marBottom w:val="0"/>
              <w:divBdr>
                <w:top w:val="none" w:sz="0" w:space="0" w:color="auto"/>
                <w:left w:val="none" w:sz="0" w:space="0" w:color="auto"/>
                <w:bottom w:val="none" w:sz="0" w:space="0" w:color="auto"/>
                <w:right w:val="none" w:sz="0" w:space="0" w:color="auto"/>
              </w:divBdr>
              <w:divsChild>
                <w:div w:id="14827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494">
      <w:marLeft w:val="0"/>
      <w:marRight w:val="0"/>
      <w:marTop w:val="0"/>
      <w:marBottom w:val="0"/>
      <w:divBdr>
        <w:top w:val="none" w:sz="0" w:space="0" w:color="auto"/>
        <w:left w:val="none" w:sz="0" w:space="0" w:color="auto"/>
        <w:bottom w:val="none" w:sz="0" w:space="0" w:color="auto"/>
        <w:right w:val="none" w:sz="0" w:space="0" w:color="auto"/>
      </w:divBdr>
      <w:divsChild>
        <w:div w:id="1482771444">
          <w:marLeft w:val="0"/>
          <w:marRight w:val="0"/>
          <w:marTop w:val="0"/>
          <w:marBottom w:val="0"/>
          <w:divBdr>
            <w:top w:val="none" w:sz="0" w:space="0" w:color="auto"/>
            <w:left w:val="none" w:sz="0" w:space="0" w:color="auto"/>
            <w:bottom w:val="none" w:sz="0" w:space="0" w:color="auto"/>
            <w:right w:val="none" w:sz="0" w:space="0" w:color="auto"/>
          </w:divBdr>
        </w:div>
      </w:divsChild>
    </w:div>
    <w:div w:id="1482771503">
      <w:marLeft w:val="0"/>
      <w:marRight w:val="0"/>
      <w:marTop w:val="0"/>
      <w:marBottom w:val="0"/>
      <w:divBdr>
        <w:top w:val="none" w:sz="0" w:space="0" w:color="auto"/>
        <w:left w:val="none" w:sz="0" w:space="0" w:color="auto"/>
        <w:bottom w:val="none" w:sz="0" w:space="0" w:color="auto"/>
        <w:right w:val="none" w:sz="0" w:space="0" w:color="auto"/>
      </w:divBdr>
      <w:divsChild>
        <w:div w:id="1482771516">
          <w:marLeft w:val="0"/>
          <w:marRight w:val="-5040"/>
          <w:marTop w:val="0"/>
          <w:marBottom w:val="0"/>
          <w:divBdr>
            <w:top w:val="none" w:sz="0" w:space="0" w:color="auto"/>
            <w:left w:val="none" w:sz="0" w:space="0" w:color="auto"/>
            <w:bottom w:val="none" w:sz="0" w:space="0" w:color="auto"/>
            <w:right w:val="none" w:sz="0" w:space="0" w:color="auto"/>
          </w:divBdr>
          <w:divsChild>
            <w:div w:id="1482771447">
              <w:marLeft w:val="0"/>
              <w:marRight w:val="5040"/>
              <w:marTop w:val="0"/>
              <w:marBottom w:val="0"/>
              <w:divBdr>
                <w:top w:val="none" w:sz="0" w:space="0" w:color="auto"/>
                <w:left w:val="none" w:sz="0" w:space="0" w:color="auto"/>
                <w:bottom w:val="none" w:sz="0" w:space="0" w:color="auto"/>
                <w:right w:val="none" w:sz="0" w:space="0" w:color="auto"/>
              </w:divBdr>
              <w:divsChild>
                <w:div w:id="14827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505">
      <w:marLeft w:val="0"/>
      <w:marRight w:val="0"/>
      <w:marTop w:val="0"/>
      <w:marBottom w:val="0"/>
      <w:divBdr>
        <w:top w:val="none" w:sz="0" w:space="0" w:color="auto"/>
        <w:left w:val="none" w:sz="0" w:space="0" w:color="auto"/>
        <w:bottom w:val="none" w:sz="0" w:space="0" w:color="auto"/>
        <w:right w:val="none" w:sz="0" w:space="0" w:color="auto"/>
      </w:divBdr>
      <w:divsChild>
        <w:div w:id="1482771436">
          <w:marLeft w:val="0"/>
          <w:marRight w:val="-5040"/>
          <w:marTop w:val="0"/>
          <w:marBottom w:val="0"/>
          <w:divBdr>
            <w:top w:val="none" w:sz="0" w:space="0" w:color="auto"/>
            <w:left w:val="none" w:sz="0" w:space="0" w:color="auto"/>
            <w:bottom w:val="none" w:sz="0" w:space="0" w:color="auto"/>
            <w:right w:val="none" w:sz="0" w:space="0" w:color="auto"/>
          </w:divBdr>
          <w:divsChild>
            <w:div w:id="1482771434">
              <w:marLeft w:val="0"/>
              <w:marRight w:val="5040"/>
              <w:marTop w:val="0"/>
              <w:marBottom w:val="0"/>
              <w:divBdr>
                <w:top w:val="none" w:sz="0" w:space="0" w:color="auto"/>
                <w:left w:val="none" w:sz="0" w:space="0" w:color="auto"/>
                <w:bottom w:val="none" w:sz="0" w:space="0" w:color="auto"/>
                <w:right w:val="none" w:sz="0" w:space="0" w:color="auto"/>
              </w:divBdr>
              <w:divsChild>
                <w:div w:id="14827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506">
      <w:marLeft w:val="0"/>
      <w:marRight w:val="0"/>
      <w:marTop w:val="0"/>
      <w:marBottom w:val="0"/>
      <w:divBdr>
        <w:top w:val="none" w:sz="0" w:space="0" w:color="auto"/>
        <w:left w:val="none" w:sz="0" w:space="0" w:color="auto"/>
        <w:bottom w:val="none" w:sz="0" w:space="0" w:color="auto"/>
        <w:right w:val="none" w:sz="0" w:space="0" w:color="auto"/>
      </w:divBdr>
    </w:div>
    <w:div w:id="1482771512">
      <w:marLeft w:val="0"/>
      <w:marRight w:val="0"/>
      <w:marTop w:val="0"/>
      <w:marBottom w:val="0"/>
      <w:divBdr>
        <w:top w:val="none" w:sz="0" w:space="0" w:color="auto"/>
        <w:left w:val="none" w:sz="0" w:space="0" w:color="auto"/>
        <w:bottom w:val="none" w:sz="0" w:space="0" w:color="auto"/>
        <w:right w:val="none" w:sz="0" w:space="0" w:color="auto"/>
      </w:divBdr>
      <w:divsChild>
        <w:div w:id="1482771489">
          <w:marLeft w:val="0"/>
          <w:marRight w:val="0"/>
          <w:marTop w:val="0"/>
          <w:marBottom w:val="0"/>
          <w:divBdr>
            <w:top w:val="none" w:sz="0" w:space="0" w:color="auto"/>
            <w:left w:val="none" w:sz="0" w:space="0" w:color="auto"/>
            <w:bottom w:val="none" w:sz="0" w:space="0" w:color="auto"/>
            <w:right w:val="none" w:sz="0" w:space="0" w:color="auto"/>
          </w:divBdr>
          <w:divsChild>
            <w:div w:id="1482771462">
              <w:marLeft w:val="0"/>
              <w:marRight w:val="0"/>
              <w:marTop w:val="0"/>
              <w:marBottom w:val="0"/>
              <w:divBdr>
                <w:top w:val="none" w:sz="0" w:space="0" w:color="auto"/>
                <w:left w:val="none" w:sz="0" w:space="0" w:color="auto"/>
                <w:bottom w:val="none" w:sz="0" w:space="0" w:color="auto"/>
                <w:right w:val="none" w:sz="0" w:space="0" w:color="auto"/>
              </w:divBdr>
            </w:div>
            <w:div w:id="14827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mailto:callwein@wamenergylaw.com" TargetMode="External"/><Relationship Id="rId39" Type="http://schemas.openxmlformats.org/officeDocument/2006/relationships/hyperlink" Target="mailto:joliker@mwncmh.com" TargetMode="External"/><Relationship Id="rId3" Type="http://schemas.microsoft.com/office/2007/relationships/stylesWithEffects" Target="stylesWithEffects.xml"/><Relationship Id="rId21" Type="http://schemas.openxmlformats.org/officeDocument/2006/relationships/hyperlink" Target="mailto:cdunn@firstenergycorp.com" TargetMode="External"/><Relationship Id="rId34" Type="http://schemas.openxmlformats.org/officeDocument/2006/relationships/hyperlink" Target="mailto:tobrien@bricker.com" TargetMode="External"/><Relationship Id="rId42" Type="http://schemas.openxmlformats.org/officeDocument/2006/relationships/hyperlink" Target="mailto:jvickers@elpc.org" TargetMode="External"/><Relationship Id="rId47" Type="http://schemas.openxmlformats.org/officeDocument/2006/relationships/header" Target="header7.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mailto:Trent@theOEC.org" TargetMode="External"/><Relationship Id="rId33" Type="http://schemas.openxmlformats.org/officeDocument/2006/relationships/hyperlink" Target="mailto:ricks@ohanet.org" TargetMode="External"/><Relationship Id="rId38" Type="http://schemas.openxmlformats.org/officeDocument/2006/relationships/hyperlink" Target="mailto:fdarr@mwncmh.com" TargetMode="External"/><Relationship Id="rId46" Type="http://schemas.openxmlformats.org/officeDocument/2006/relationships/hyperlink" Target="mailto:Gregory.price@puc.state.oh.us"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kjkolich@firstenergycorp.com" TargetMode="External"/><Relationship Id="rId29" Type="http://schemas.openxmlformats.org/officeDocument/2006/relationships/hyperlink" Target="mailto:jkyler@BKLlawfirm.com" TargetMode="External"/><Relationship Id="rId41" Type="http://schemas.openxmlformats.org/officeDocument/2006/relationships/hyperlink" Target="mailto:mlavanga@bbrsla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athy@theOEC.org" TargetMode="External"/><Relationship Id="rId32" Type="http://schemas.openxmlformats.org/officeDocument/2006/relationships/hyperlink" Target="mailto:mwarnock@bricker.com" TargetMode="External"/><Relationship Id="rId37" Type="http://schemas.openxmlformats.org/officeDocument/2006/relationships/hyperlink" Target="mailto:sam@mwncmh.com" TargetMode="External"/><Relationship Id="rId40" Type="http://schemas.openxmlformats.org/officeDocument/2006/relationships/hyperlink" Target="mailto:mpritchard@mwncmh.com" TargetMode="External"/><Relationship Id="rId45" Type="http://schemas.openxmlformats.org/officeDocument/2006/relationships/hyperlink" Target="mailto:Mandy.willey@puc.state.oh.us"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cmooney2@columbus.rr.com" TargetMode="External"/><Relationship Id="rId28" Type="http://schemas.openxmlformats.org/officeDocument/2006/relationships/hyperlink" Target="mailto:mkurtz@BKLlawfirm.com" TargetMode="External"/><Relationship Id="rId36" Type="http://schemas.openxmlformats.org/officeDocument/2006/relationships/hyperlink" Target="mailto:gpoulos@enernoc.com"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mailto:Devin.parram@puc.state.oh.us" TargetMode="External"/><Relationship Id="rId31" Type="http://schemas.openxmlformats.org/officeDocument/2006/relationships/hyperlink" Target="mailto:gkrassen@bricker.com" TargetMode="External"/><Relationship Id="rId44" Type="http://schemas.openxmlformats.org/officeDocument/2006/relationships/hyperlink" Target="mailto:NMcDaniel@elpc.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toddm@wamenergylaw.com" TargetMode="External"/><Relationship Id="rId27" Type="http://schemas.openxmlformats.org/officeDocument/2006/relationships/hyperlink" Target="mailto:dboehm@BKLlawfirm.com" TargetMode="External"/><Relationship Id="rId30" Type="http://schemas.openxmlformats.org/officeDocument/2006/relationships/hyperlink" Target="mailto:robinson@citizenpower.com" TargetMode="External"/><Relationship Id="rId35" Type="http://schemas.openxmlformats.org/officeDocument/2006/relationships/hyperlink" Target="mailto:tsiwo@bricker.com" TargetMode="External"/><Relationship Id="rId43" Type="http://schemas.openxmlformats.org/officeDocument/2006/relationships/hyperlink" Target="mailto:rkelter@elpc.org" TargetMode="External"/><Relationship Id="rId48" Type="http://schemas.openxmlformats.org/officeDocument/2006/relationships/footer" Target="footer6.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4882</Words>
  <Characters>27503</Characters>
  <Application>Microsoft Office Word</Application>
  <DocSecurity>0</DocSecurity>
  <Lines>646</Lines>
  <Paragraphs>228</Paragraphs>
  <ScaleCrop>false</ScaleCrop>
  <HeadingPairs>
    <vt:vector size="2" baseType="variant">
      <vt:variant>
        <vt:lpstr>Title</vt:lpstr>
      </vt:variant>
      <vt:variant>
        <vt:i4>1</vt:i4>
      </vt:variant>
    </vt:vector>
  </HeadingPairs>
  <TitlesOfParts>
    <vt:vector size="1" baseType="lpstr">
      <vt:lpstr>OCC EXHIBIT _____</vt:lpstr>
    </vt:vector>
  </TitlesOfParts>
  <Manager/>
  <Company/>
  <LinksUpToDate>false</LinksUpToDate>
  <CharactersWithSpaces>32288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2012-10-05T20:25:00Z</cp:lastPrinted>
  <dcterms:created xsi:type="dcterms:W3CDTF">2012-10-05T20:57:00Z</dcterms:created>
  <dcterms:modified xsi:type="dcterms:W3CDTF">2012-10-05T20:57:00Z</dcterms:modified>
  <cp:category> </cp:category>
  <cp:contentStatus> </cp:contentStatus>
</cp:coreProperties>
</file>