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b/>
          <w:bCs/>
          <w:szCs w:val="24"/>
        </w:rPr>
      </w:pPr>
      <w:bookmarkStart w:id="0" w:name="_GoBack"/>
      <w:bookmarkEnd w:id="0"/>
      <w:r w:rsidRPr="00517C65">
        <w:rPr>
          <w:rFonts w:eastAsia="Calibri" w:cs="Times New Roman"/>
          <w:b/>
          <w:bCs/>
          <w:szCs w:val="24"/>
        </w:rPr>
        <w:t>BEFORE</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szCs w:val="24"/>
        </w:rPr>
      </w:pPr>
      <w:r w:rsidRPr="00517C65">
        <w:rPr>
          <w:rFonts w:eastAsia="Calibri" w:cs="Times New Roman"/>
          <w:b/>
          <w:bCs/>
          <w:szCs w:val="24"/>
        </w:rPr>
        <w:t>THE PUBLIC UTILITIES COMMISSION OF OHIO</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szCs w:val="24"/>
        </w:rPr>
      </w:pPr>
    </w:p>
    <w:tbl>
      <w:tblPr>
        <w:tblW w:w="9092" w:type="dxa"/>
        <w:tblInd w:w="-106" w:type="dxa"/>
        <w:tblCellMar>
          <w:top w:w="0" w:type="dxa"/>
          <w:left w:w="108" w:type="dxa"/>
          <w:bottom w:w="0" w:type="dxa"/>
          <w:right w:w="108" w:type="dxa"/>
        </w:tblCellMar>
        <w:tblLook w:val="01E0"/>
      </w:tblPr>
      <w:tblGrid>
        <w:gridCol w:w="4332"/>
        <w:gridCol w:w="360"/>
        <w:gridCol w:w="4400"/>
      </w:tblGrid>
      <w:tr w:rsidTr="00B45BC0">
        <w:tblPrEx>
          <w:tblW w:w="9092" w:type="dxa"/>
          <w:tblInd w:w="-106" w:type="dxa"/>
          <w:tblCellMar>
            <w:top w:w="0" w:type="dxa"/>
            <w:left w:w="108" w:type="dxa"/>
            <w:bottom w:w="0" w:type="dxa"/>
            <w:right w:w="108" w:type="dxa"/>
          </w:tblCellMar>
          <w:tblLook w:val="01E0"/>
        </w:tblPrEx>
        <w:trPr>
          <w:trHeight w:val="807"/>
        </w:trPr>
        <w:tc>
          <w:tcPr>
            <w:tcW w:w="4332" w:type="dxa"/>
          </w:tcPr>
          <w:p w:rsidR="00B45BC0" w:rsidRPr="00517C65" w:rsidP="00B45BC0">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F544C7">
              <w:rPr>
                <w:rFonts w:ascii="Times New Roman" w:eastAsia="Calibri" w:hAnsi="Times New Roman" w:cs="Times New Roman"/>
                <w:sz w:val="24"/>
                <w:szCs w:val="24"/>
                <w:lang w:val="en-US" w:eastAsia="en-US" w:bidi="ar-SA"/>
              </w:rPr>
              <w:t>In the Matter of the Application of Ohio Power Company to Update Its Enhanced Service Reliability Rider.</w:t>
            </w:r>
          </w:p>
        </w:tc>
        <w:tc>
          <w:tcPr>
            <w:tcW w:w="360" w:type="dxa"/>
            <w:hideMark/>
          </w:tcPr>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tc>
        <w:tc>
          <w:tcPr>
            <w:tcW w:w="4400" w:type="dxa"/>
          </w:tcPr>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B45BC0" w:rsidRPr="00517C65" w:rsidP="00B45BC0">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 xml:space="preserve">Case No. </w:t>
            </w:r>
            <w:r>
              <w:rPr>
                <w:rFonts w:ascii="Times New Roman" w:eastAsia="Calibri" w:hAnsi="Times New Roman" w:cs="Times New Roman"/>
                <w:sz w:val="24"/>
                <w:szCs w:val="24"/>
                <w:lang w:val="en-US" w:eastAsia="en-US" w:bidi="ar-SA"/>
              </w:rPr>
              <w:t>17-1914-EL-RDR</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tc>
      </w:tr>
    </w:tbl>
    <w:p w:rsidR="00B45BC0" w:rsidRPr="00517C65" w:rsidP="00B45BC0">
      <w:pPr>
        <w:pBdr>
          <w:bottom w:val="single" w:sz="12" w:space="1" w:color="auto"/>
        </w:pBdr>
        <w:autoSpaceDE w:val="0"/>
        <w:autoSpaceDN w:val="0"/>
        <w:adjustRightInd w:val="0"/>
        <w:spacing w:after="0" w:line="240" w:lineRule="auto"/>
        <w:rPr>
          <w:rFonts w:eastAsia="Calibri" w:cs="Times New Roman"/>
          <w:szCs w:val="24"/>
        </w:rPr>
      </w:pPr>
    </w:p>
    <w:p w:rsidR="00B45BC0" w:rsidRPr="00517C65" w:rsidP="00B45BC0">
      <w:pPr>
        <w:autoSpaceDE w:val="0"/>
        <w:autoSpaceDN w:val="0"/>
        <w:adjustRightInd w:val="0"/>
        <w:spacing w:after="0" w:line="240" w:lineRule="auto"/>
        <w:rPr>
          <w:rFonts w:eastAsia="Calibri" w:cs="Times New Roman"/>
          <w:szCs w:val="24"/>
        </w:rPr>
      </w:pPr>
    </w:p>
    <w:p w:rsidR="00B45BC0" w:rsidRPr="00517C65" w:rsidP="00B45BC0">
      <w:pPr>
        <w:autoSpaceDE w:val="0"/>
        <w:autoSpaceDN w:val="0"/>
        <w:adjustRightInd w:val="0"/>
        <w:spacing w:after="0" w:line="240" w:lineRule="auto"/>
        <w:jc w:val="center"/>
        <w:rPr>
          <w:rFonts w:eastAsia="Calibri" w:cs="Times New Roman"/>
          <w:b/>
          <w:bCs/>
          <w:szCs w:val="24"/>
        </w:rPr>
      </w:pPr>
      <w:r w:rsidRPr="00517C65">
        <w:rPr>
          <w:rFonts w:eastAsia="Calibri" w:cs="Times New Roman"/>
          <w:b/>
          <w:bCs/>
          <w:szCs w:val="24"/>
        </w:rPr>
        <w:t>INITIAL POST-HEARING BRIEF</w:t>
      </w:r>
    </w:p>
    <w:p w:rsidR="00B45BC0" w:rsidRPr="00517C65" w:rsidP="00B45BC0">
      <w:pPr>
        <w:autoSpaceDE w:val="0"/>
        <w:autoSpaceDN w:val="0"/>
        <w:adjustRightInd w:val="0"/>
        <w:spacing w:after="0" w:line="240" w:lineRule="auto"/>
        <w:jc w:val="center"/>
        <w:rPr>
          <w:rFonts w:eastAsia="Calibri" w:cs="Times New Roman"/>
          <w:b/>
          <w:bCs/>
          <w:szCs w:val="24"/>
        </w:rPr>
      </w:pPr>
      <w:r w:rsidRPr="00517C65">
        <w:rPr>
          <w:rFonts w:eastAsia="Calibri" w:cs="Times New Roman"/>
          <w:b/>
          <w:bCs/>
          <w:szCs w:val="24"/>
        </w:rPr>
        <w:t>BY</w:t>
      </w:r>
    </w:p>
    <w:p w:rsidR="00B45BC0" w:rsidRPr="00517C65" w:rsidP="00B45BC0">
      <w:pPr>
        <w:autoSpaceDE w:val="0"/>
        <w:autoSpaceDN w:val="0"/>
        <w:adjustRightInd w:val="0"/>
        <w:spacing w:after="0" w:line="240" w:lineRule="auto"/>
        <w:jc w:val="center"/>
        <w:rPr>
          <w:rFonts w:eastAsia="Calibri" w:cs="Times New Roman"/>
          <w:b/>
          <w:bCs/>
          <w:szCs w:val="24"/>
        </w:rPr>
      </w:pPr>
      <w:r w:rsidRPr="00517C65">
        <w:rPr>
          <w:rFonts w:eastAsia="Calibri" w:cs="Times New Roman"/>
          <w:b/>
          <w:bCs/>
          <w:szCs w:val="24"/>
        </w:rPr>
        <w:t>THE OFFICE OF THE OHIO CONSUMERS’ COUNSEL</w:t>
      </w:r>
    </w:p>
    <w:p w:rsidR="00B45BC0" w:rsidRPr="00517C65" w:rsidP="00B45BC0">
      <w:pPr>
        <w:pBdr>
          <w:bottom w:val="single" w:sz="12" w:space="1" w:color="auto"/>
        </w:pBdr>
        <w:autoSpaceDE w:val="0"/>
        <w:autoSpaceDN w:val="0"/>
        <w:adjustRightInd w:val="0"/>
        <w:spacing w:after="0" w:line="240" w:lineRule="auto"/>
        <w:jc w:val="center"/>
        <w:rPr>
          <w:rFonts w:eastAsia="Calibri" w:cs="Times New Roman"/>
          <w:b/>
          <w:bCs/>
          <w:szCs w:val="24"/>
        </w:rPr>
      </w:pPr>
    </w:p>
    <w:p w:rsidR="00B45BC0" w:rsidRPr="00517C65" w:rsidP="00B45BC0">
      <w:pPr>
        <w:tabs>
          <w:tab w:val="left" w:pos="4320"/>
        </w:tabs>
        <w:overflowPunct w:val="0"/>
        <w:autoSpaceDE w:val="0"/>
        <w:autoSpaceDN w:val="0"/>
        <w:adjustRightInd w:val="0"/>
        <w:spacing w:after="0" w:line="240" w:lineRule="auto"/>
        <w:textAlignment w:val="baseline"/>
        <w:rPr>
          <w:rFonts w:eastAsia="Times New Roman" w:cs="Times New Roman"/>
          <w:szCs w:val="24"/>
        </w:rPr>
      </w:pPr>
    </w:p>
    <w:p w:rsidR="00D4225F"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893026"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B45BC0" w:rsidRPr="00517C65"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r w:rsidRPr="00517C65">
        <w:rPr>
          <w:rFonts w:eastAsia="Times New Roman" w:cs="Times New Roman"/>
          <w:szCs w:val="24"/>
        </w:rPr>
        <w:t>Bruce Weston (0016973)</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Ohio Consumers’ Counsel</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ab/>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William J. Michael, (0070921)</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Counsel of Record</w:t>
      </w:r>
    </w:p>
    <w:p w:rsidR="00B45BC0" w:rsidRPr="00517C65" w:rsidP="00B45BC0">
      <w:pPr>
        <w:tabs>
          <w:tab w:val="left" w:pos="4320"/>
        </w:tabs>
        <w:spacing w:after="0" w:line="240" w:lineRule="auto"/>
        <w:ind w:left="4320"/>
        <w:rPr>
          <w:rFonts w:eastAsia="Times New Roman" w:cs="Times New Roman"/>
          <w:szCs w:val="24"/>
        </w:rPr>
      </w:pPr>
      <w:r>
        <w:rPr>
          <w:rFonts w:eastAsia="Times New Roman" w:cs="Times New Roman"/>
          <w:szCs w:val="24"/>
        </w:rPr>
        <w:t>Ambrosia E. Logsdon</w:t>
      </w:r>
      <w:r w:rsidRPr="00517C65">
        <w:rPr>
          <w:rFonts w:eastAsia="Times New Roman" w:cs="Times New Roman"/>
          <w:szCs w:val="24"/>
        </w:rPr>
        <w:t xml:space="preserve"> (00</w:t>
      </w:r>
      <w:r>
        <w:rPr>
          <w:rFonts w:eastAsia="Times New Roman" w:cs="Times New Roman"/>
          <w:szCs w:val="24"/>
        </w:rPr>
        <w:t>96598</w:t>
      </w:r>
      <w:r w:rsidRPr="00517C65">
        <w:rPr>
          <w:rFonts w:eastAsia="Times New Roman" w:cs="Times New Roman"/>
          <w:szCs w:val="24"/>
        </w:rPr>
        <w:t>)</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Assistant Consumers’ Counsel</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ab/>
      </w:r>
    </w:p>
    <w:p w:rsidR="00B45BC0" w:rsidRPr="00517C65" w:rsidP="00B45BC0">
      <w:pPr>
        <w:spacing w:after="0" w:line="240" w:lineRule="auto"/>
        <w:ind w:left="4320"/>
        <w:rPr>
          <w:rFonts w:eastAsia="Times New Roman" w:cs="Times New Roman"/>
          <w:b/>
          <w:szCs w:val="24"/>
        </w:rPr>
      </w:pPr>
      <w:r w:rsidRPr="00517C65">
        <w:rPr>
          <w:rFonts w:eastAsia="Times New Roman" w:cs="Times New Roman"/>
          <w:b/>
          <w:szCs w:val="24"/>
        </w:rPr>
        <w:t>Office of the Ohio Consumers’ Counsel</w:t>
      </w:r>
    </w:p>
    <w:p w:rsidR="00B45BC0" w:rsidRPr="00517C65" w:rsidP="00B45BC0">
      <w:pPr>
        <w:spacing w:after="0" w:line="240" w:lineRule="auto"/>
        <w:ind w:left="4320"/>
        <w:rPr>
          <w:rFonts w:eastAsia="Times New Roman" w:cs="Times New Roman"/>
          <w:szCs w:val="24"/>
        </w:rPr>
      </w:pPr>
      <w:r>
        <w:rPr>
          <w:rFonts w:eastAsia="Times New Roman" w:cs="Times New Roman"/>
          <w:szCs w:val="24"/>
        </w:rPr>
        <w:t>65 East State Street, 7</w:t>
      </w:r>
      <w:r w:rsidRPr="00893026">
        <w:rPr>
          <w:rFonts w:eastAsia="Times New Roman" w:cs="Times New Roman"/>
          <w:szCs w:val="24"/>
          <w:vertAlign w:val="superscript"/>
        </w:rPr>
        <w:t>th</w:t>
      </w:r>
      <w:r>
        <w:rPr>
          <w:rFonts w:eastAsia="Times New Roman" w:cs="Times New Roman"/>
          <w:szCs w:val="24"/>
        </w:rPr>
        <w:t xml:space="preserve"> Floor</w:t>
      </w:r>
    </w:p>
    <w:p w:rsidR="00B45BC0" w:rsidRPr="00517C65" w:rsidP="00B45BC0">
      <w:pPr>
        <w:spacing w:after="0" w:line="240" w:lineRule="auto"/>
        <w:ind w:left="4320"/>
        <w:rPr>
          <w:rFonts w:eastAsia="Times New Roman" w:cs="Times New Roman"/>
          <w:b/>
          <w:szCs w:val="24"/>
        </w:rPr>
      </w:pPr>
      <w:r w:rsidRPr="00517C65">
        <w:rPr>
          <w:rFonts w:eastAsia="Times New Roman" w:cs="Times New Roman"/>
          <w:szCs w:val="24"/>
        </w:rPr>
        <w:t>Columbus, Ohio 43215</w:t>
      </w:r>
    </w:p>
    <w:p w:rsidR="00B45BC0" w:rsidRPr="00517C65" w:rsidP="00B45BC0">
      <w:pPr>
        <w:spacing w:after="0" w:line="240" w:lineRule="auto"/>
        <w:ind w:left="4320"/>
        <w:rPr>
          <w:rFonts w:eastAsia="Times New Roman" w:cs="Times New Roman"/>
          <w:szCs w:val="24"/>
        </w:rPr>
      </w:pPr>
      <w:r w:rsidRPr="00517C65">
        <w:rPr>
          <w:rFonts w:eastAsia="Times New Roman" w:cs="Times New Roman"/>
          <w:szCs w:val="24"/>
        </w:rPr>
        <w:t>Telephone: [Michael] (614) 466-1291</w:t>
      </w:r>
    </w:p>
    <w:p w:rsidR="00B45BC0" w:rsidRPr="00517C65" w:rsidP="00B45BC0">
      <w:pPr>
        <w:spacing w:after="0" w:line="240" w:lineRule="auto"/>
        <w:ind w:left="4320"/>
        <w:rPr>
          <w:rFonts w:eastAsia="Times New Roman" w:cs="Times New Roman"/>
          <w:szCs w:val="24"/>
        </w:rPr>
      </w:pPr>
      <w:r w:rsidRPr="00517C65">
        <w:rPr>
          <w:rFonts w:eastAsia="Times New Roman" w:cs="Times New Roman"/>
          <w:szCs w:val="24"/>
        </w:rPr>
        <w:t>Telephone: [</w:t>
      </w:r>
      <w:r>
        <w:rPr>
          <w:rFonts w:eastAsia="Times New Roman" w:cs="Times New Roman"/>
          <w:szCs w:val="24"/>
        </w:rPr>
        <w:t>Logsdon</w:t>
      </w:r>
      <w:r w:rsidRPr="00517C65">
        <w:rPr>
          <w:rFonts w:eastAsia="Times New Roman" w:cs="Times New Roman"/>
          <w:szCs w:val="24"/>
        </w:rPr>
        <w:t xml:space="preserve">] (614) </w:t>
      </w:r>
      <w:r>
        <w:rPr>
          <w:rFonts w:eastAsia="Times New Roman" w:cs="Times New Roman"/>
          <w:szCs w:val="24"/>
        </w:rPr>
        <w:t>466-1292</w:t>
      </w:r>
    </w:p>
    <w:p w:rsidR="00B45BC0" w:rsidP="00B45BC0">
      <w:pPr>
        <w:spacing w:after="0" w:line="240" w:lineRule="auto"/>
        <w:ind w:left="4320"/>
        <w:rPr>
          <w:rFonts w:eastAsia="Times New Roman" w:cs="Times New Roman"/>
          <w:color w:val="0000FF" w:themeColor="hyperlink"/>
          <w:szCs w:val="24"/>
          <w:u w:val="single"/>
        </w:rPr>
      </w:pPr>
      <w:r>
        <w:fldChar w:fldCharType="begin"/>
      </w:r>
      <w:r>
        <w:instrText xml:space="preserve"> HYPERLINK "mailto:william.michael@occ.ohio.gov" </w:instrText>
      </w:r>
      <w:r>
        <w:fldChar w:fldCharType="separate"/>
      </w:r>
      <w:r w:rsidRPr="002B2A60" w:rsidR="00A0158A">
        <w:rPr>
          <w:rStyle w:val="Hyperlink"/>
          <w:rFonts w:eastAsia="Times New Roman" w:cs="Times New Roman"/>
          <w:szCs w:val="24"/>
        </w:rPr>
        <w:t>william.michael@occ.ohio.gov</w:t>
      </w:r>
      <w:r>
        <w:fldChar w:fldCharType="end"/>
      </w:r>
    </w:p>
    <w:p w:rsidR="00893026" w:rsidP="00893026">
      <w:pPr>
        <w:spacing w:after="0" w:line="240" w:lineRule="auto"/>
        <w:ind w:left="4320"/>
        <w:rPr>
          <w:rFonts w:eastAsia="Times New Roman" w:cs="Times New Roman"/>
          <w:color w:val="0000FF" w:themeColor="hyperlink"/>
          <w:szCs w:val="24"/>
          <w:u w:val="single"/>
        </w:rPr>
      </w:pPr>
      <w:r>
        <w:fldChar w:fldCharType="begin"/>
      </w:r>
      <w:r>
        <w:instrText xml:space="preserve"> HYPERLINK "mailto:ambrosia.logsdon@occ.oh" </w:instrText>
      </w:r>
      <w:r>
        <w:fldChar w:fldCharType="separate"/>
      </w:r>
      <w:r w:rsidRPr="00EE34DD" w:rsidR="00A0158A">
        <w:rPr>
          <w:rStyle w:val="Hyperlink"/>
          <w:rFonts w:eastAsia="Times New Roman" w:cs="Times New Roman"/>
          <w:szCs w:val="24"/>
        </w:rPr>
        <w:t>ambrosia.logsdon@occ.oh</w:t>
      </w:r>
      <w:r>
        <w:fldChar w:fldCharType="end"/>
      </w:r>
    </w:p>
    <w:p w:rsidR="00B45BC0" w:rsidRPr="00517C65" w:rsidP="00893026">
      <w:pPr>
        <w:spacing w:after="0" w:line="240" w:lineRule="auto"/>
        <w:rPr>
          <w:rFonts w:eastAsia="Times New Roman" w:cs="Times New Roman"/>
          <w:szCs w:val="24"/>
        </w:rPr>
        <w:sectPr w:rsidSect="00B45BC0">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r w:rsidRPr="00893026">
        <w:rPr>
          <w:rFonts w:eastAsia="Times New Roman" w:cs="Times New Roman"/>
          <w:szCs w:val="24"/>
        </w:rPr>
        <w:t>June 27, 2019</w:t>
      </w:r>
      <w:r>
        <w:rPr>
          <w:rFonts w:eastAsia="Times New Roman" w:cs="Times New Roman"/>
          <w:color w:val="0000FF" w:themeColor="hyperlink"/>
          <w:szCs w:val="24"/>
        </w:rPr>
        <w:tab/>
      </w:r>
      <w:r>
        <w:rPr>
          <w:rFonts w:eastAsia="Times New Roman" w:cs="Times New Roman"/>
          <w:color w:val="0000FF" w:themeColor="hyperlink"/>
          <w:szCs w:val="24"/>
        </w:rPr>
        <w:tab/>
      </w:r>
      <w:r>
        <w:rPr>
          <w:rFonts w:eastAsia="Times New Roman" w:cs="Times New Roman"/>
          <w:color w:val="0000FF" w:themeColor="hyperlink"/>
          <w:szCs w:val="24"/>
        </w:rPr>
        <w:tab/>
      </w:r>
      <w:r>
        <w:rPr>
          <w:rFonts w:eastAsia="Times New Roman" w:cs="Times New Roman"/>
          <w:color w:val="0000FF" w:themeColor="hyperlink"/>
          <w:szCs w:val="24"/>
        </w:rPr>
        <w:tab/>
      </w:r>
      <w:r>
        <w:rPr>
          <w:rFonts w:eastAsia="Times New Roman" w:cs="Times New Roman"/>
          <w:color w:val="0000FF" w:themeColor="hyperlink"/>
          <w:szCs w:val="24"/>
        </w:rPr>
        <w:tab/>
      </w:r>
      <w:r w:rsidRPr="00517C65">
        <w:rPr>
          <w:rFonts w:eastAsia="Times New Roman" w:cs="Times New Roman"/>
          <w:szCs w:val="24"/>
        </w:rPr>
        <w:t>(Will accept service via email)</w:t>
      </w:r>
    </w:p>
    <w:p w:rsidR="00B45BC0" w:rsidRPr="00F10A71" w:rsidP="00B45BC0">
      <w:pPr>
        <w:spacing w:after="0" w:line="240" w:lineRule="auto"/>
        <w:jc w:val="center"/>
        <w:rPr>
          <w:rFonts w:eastAsia="Times New Roman" w:cs="Times New Roman"/>
          <w:b/>
          <w:szCs w:val="24"/>
          <w:u w:val="single"/>
        </w:rPr>
      </w:pPr>
      <w:r w:rsidRPr="00F10A71">
        <w:rPr>
          <w:rFonts w:eastAsia="Times New Roman" w:cs="Times New Roman"/>
          <w:b/>
          <w:szCs w:val="24"/>
          <w:u w:val="single"/>
        </w:rPr>
        <w:t>TABLE OF CONTENTS</w:t>
      </w:r>
    </w:p>
    <w:p w:rsidR="00B45BC0" w:rsidRPr="00517C65" w:rsidP="00B45BC0">
      <w:pPr>
        <w:spacing w:after="0" w:line="240" w:lineRule="auto"/>
        <w:jc w:val="center"/>
        <w:rPr>
          <w:rFonts w:eastAsia="Times New Roman" w:cs="Times New Roman"/>
          <w:szCs w:val="24"/>
        </w:rPr>
      </w:pPr>
    </w:p>
    <w:p w:rsidR="00B45BC0" w:rsidP="00B45BC0">
      <w:pPr>
        <w:spacing w:after="0" w:line="240" w:lineRule="auto"/>
        <w:jc w:val="center"/>
        <w:rPr>
          <w:rFonts w:eastAsia="Times New Roman" w:cs="Times New Roman"/>
          <w:b/>
          <w:szCs w:val="24"/>
        </w:rPr>
      </w:pP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b/>
          <w:szCs w:val="24"/>
        </w:rPr>
        <w:t>PAGE</w:t>
      </w:r>
    </w:p>
    <w:p w:rsidR="00B45BC0" w:rsidRPr="00517C65" w:rsidP="00B45BC0">
      <w:pPr>
        <w:spacing w:after="0" w:line="240" w:lineRule="auto"/>
        <w:jc w:val="center"/>
        <w:rPr>
          <w:rFonts w:eastAsia="Times New Roman" w:cs="Times New Roman"/>
          <w:b/>
          <w:szCs w:val="24"/>
        </w:rPr>
      </w:pPr>
    </w:p>
    <w:p w:rsidR="00CD3A79">
      <w:pPr>
        <w:pStyle w:val="TOC1"/>
        <w:tabs>
          <w:tab w:val="right" w:leader="dot" w:pos="8630"/>
        </w:tabs>
        <w:rPr>
          <w:rFonts w:asciiTheme="minorHAnsi" w:eastAsiaTheme="minorEastAsia" w:hAnsiTheme="minorHAnsi"/>
          <w:noProof/>
          <w:sz w:val="22"/>
        </w:rPr>
      </w:pPr>
      <w:r w:rsidRPr="00517C65">
        <w:rPr>
          <w:rFonts w:cs="Times New Roman"/>
          <w:szCs w:val="24"/>
        </w:rPr>
        <w:fldChar w:fldCharType="begin"/>
      </w:r>
      <w:r w:rsidRPr="00517C65">
        <w:rPr>
          <w:rFonts w:cs="Times New Roman"/>
          <w:szCs w:val="24"/>
        </w:rPr>
        <w:instrText xml:space="preserve"> TOC \o "1-4" \h \z \u </w:instrText>
      </w:r>
      <w:r w:rsidRPr="00517C65">
        <w:rPr>
          <w:rFonts w:cs="Times New Roman"/>
          <w:szCs w:val="24"/>
        </w:rPr>
        <w:fldChar w:fldCharType="separate"/>
      </w:r>
      <w:r>
        <w:fldChar w:fldCharType="begin"/>
      </w:r>
      <w:r>
        <w:instrText xml:space="preserve"> HYPERLINK \l "_Toc12543424" </w:instrText>
      </w:r>
      <w:r>
        <w:fldChar w:fldCharType="separate"/>
      </w:r>
      <w:r w:rsidRPr="00E170DF">
        <w:rPr>
          <w:rStyle w:val="Hyperlink"/>
          <w:noProof/>
        </w:rPr>
        <w:t>I.</w:t>
      </w:r>
      <w:r>
        <w:rPr>
          <w:rFonts w:asciiTheme="minorHAnsi" w:eastAsiaTheme="minorEastAsia" w:hAnsiTheme="minorHAnsi"/>
          <w:noProof/>
          <w:sz w:val="22"/>
        </w:rPr>
        <w:tab/>
      </w:r>
      <w:r w:rsidRPr="00E170DF">
        <w:rPr>
          <w:rStyle w:val="Hyperlink"/>
          <w:noProof/>
        </w:rPr>
        <w:t>INTRODUCTION</w:t>
      </w:r>
      <w:r>
        <w:rPr>
          <w:noProof/>
          <w:webHidden/>
        </w:rPr>
        <w:tab/>
      </w:r>
      <w:r>
        <w:rPr>
          <w:noProof/>
          <w:webHidden/>
        </w:rPr>
        <w:fldChar w:fldCharType="begin"/>
      </w:r>
      <w:r>
        <w:rPr>
          <w:noProof/>
          <w:webHidden/>
        </w:rPr>
        <w:instrText xml:space="preserve"> PAGEREF _Toc12543424 \h </w:instrText>
      </w:r>
      <w:r>
        <w:rPr>
          <w:noProof/>
          <w:webHidden/>
        </w:rPr>
        <w:fldChar w:fldCharType="separate"/>
      </w:r>
      <w:r>
        <w:rPr>
          <w:noProof/>
          <w:webHidden/>
        </w:rPr>
        <w:t>1</w:t>
      </w:r>
      <w:r>
        <w:rPr>
          <w:noProof/>
          <w:webHidden/>
        </w:rPr>
        <w:fldChar w:fldCharType="end"/>
      </w:r>
      <w:r>
        <w:fldChar w:fldCharType="end"/>
      </w:r>
    </w:p>
    <w:p w:rsidR="00CD3A79">
      <w:pPr>
        <w:pStyle w:val="TOC1"/>
        <w:tabs>
          <w:tab w:val="right" w:leader="dot" w:pos="8630"/>
        </w:tabs>
        <w:rPr>
          <w:rFonts w:asciiTheme="minorHAnsi" w:eastAsiaTheme="minorEastAsia" w:hAnsiTheme="minorHAnsi"/>
          <w:noProof/>
          <w:sz w:val="22"/>
        </w:rPr>
      </w:pPr>
      <w:r>
        <w:fldChar w:fldCharType="begin"/>
      </w:r>
      <w:r>
        <w:instrText xml:space="preserve"> HYPERLINK \l "_Toc12543425" </w:instrText>
      </w:r>
      <w:r>
        <w:fldChar w:fldCharType="separate"/>
      </w:r>
      <w:r w:rsidRPr="00E170DF">
        <w:rPr>
          <w:rStyle w:val="Hyperlink"/>
          <w:noProof/>
        </w:rPr>
        <w:t>II.</w:t>
      </w:r>
      <w:r>
        <w:rPr>
          <w:rFonts w:asciiTheme="minorHAnsi" w:eastAsiaTheme="minorEastAsia" w:hAnsiTheme="minorHAnsi"/>
          <w:noProof/>
          <w:sz w:val="22"/>
        </w:rPr>
        <w:tab/>
      </w:r>
      <w:r w:rsidRPr="00E170DF">
        <w:rPr>
          <w:rStyle w:val="Hyperlink"/>
          <w:noProof/>
        </w:rPr>
        <w:t>BACKGROUND</w:t>
      </w:r>
      <w:r>
        <w:rPr>
          <w:noProof/>
          <w:webHidden/>
        </w:rPr>
        <w:tab/>
      </w:r>
      <w:r>
        <w:rPr>
          <w:noProof/>
          <w:webHidden/>
        </w:rPr>
        <w:fldChar w:fldCharType="begin"/>
      </w:r>
      <w:r>
        <w:rPr>
          <w:noProof/>
          <w:webHidden/>
        </w:rPr>
        <w:instrText xml:space="preserve"> PAGEREF _Toc12543425 \h </w:instrText>
      </w:r>
      <w:r>
        <w:rPr>
          <w:noProof/>
          <w:webHidden/>
        </w:rPr>
        <w:fldChar w:fldCharType="separate"/>
      </w:r>
      <w:r>
        <w:rPr>
          <w:noProof/>
          <w:webHidden/>
        </w:rPr>
        <w:t>2</w:t>
      </w:r>
      <w:r>
        <w:rPr>
          <w:noProof/>
          <w:webHidden/>
        </w:rPr>
        <w:fldChar w:fldCharType="end"/>
      </w:r>
      <w:r>
        <w:fldChar w:fldCharType="end"/>
      </w:r>
    </w:p>
    <w:p w:rsidR="00CD3A79">
      <w:pPr>
        <w:pStyle w:val="TOC1"/>
        <w:tabs>
          <w:tab w:val="right" w:leader="dot" w:pos="8630"/>
        </w:tabs>
        <w:rPr>
          <w:rFonts w:asciiTheme="minorHAnsi" w:eastAsiaTheme="minorEastAsia" w:hAnsiTheme="minorHAnsi"/>
          <w:noProof/>
          <w:sz w:val="22"/>
        </w:rPr>
      </w:pPr>
      <w:r>
        <w:fldChar w:fldCharType="begin"/>
      </w:r>
      <w:r>
        <w:instrText xml:space="preserve"> HYPERLINK \l "_Toc12543426" </w:instrText>
      </w:r>
      <w:r>
        <w:fldChar w:fldCharType="separate"/>
      </w:r>
      <w:r w:rsidRPr="00E170DF">
        <w:rPr>
          <w:rStyle w:val="Hyperlink"/>
          <w:noProof/>
        </w:rPr>
        <w:t>III.</w:t>
      </w:r>
      <w:r>
        <w:rPr>
          <w:rFonts w:asciiTheme="minorHAnsi" w:eastAsiaTheme="minorEastAsia" w:hAnsiTheme="minorHAnsi"/>
          <w:noProof/>
          <w:sz w:val="22"/>
        </w:rPr>
        <w:tab/>
      </w:r>
      <w:r w:rsidRPr="00E170DF">
        <w:rPr>
          <w:rStyle w:val="Hyperlink"/>
          <w:noProof/>
        </w:rPr>
        <w:t>STANDARD OF REVIEW</w:t>
      </w:r>
      <w:r>
        <w:rPr>
          <w:noProof/>
          <w:webHidden/>
        </w:rPr>
        <w:tab/>
      </w:r>
      <w:r>
        <w:rPr>
          <w:noProof/>
          <w:webHidden/>
        </w:rPr>
        <w:fldChar w:fldCharType="begin"/>
      </w:r>
      <w:r>
        <w:rPr>
          <w:noProof/>
          <w:webHidden/>
        </w:rPr>
        <w:instrText xml:space="preserve"> PAGEREF _Toc12543426 \h </w:instrText>
      </w:r>
      <w:r>
        <w:rPr>
          <w:noProof/>
          <w:webHidden/>
        </w:rPr>
        <w:fldChar w:fldCharType="separate"/>
      </w:r>
      <w:r>
        <w:rPr>
          <w:noProof/>
          <w:webHidden/>
        </w:rPr>
        <w:t>4</w:t>
      </w:r>
      <w:r>
        <w:rPr>
          <w:noProof/>
          <w:webHidden/>
        </w:rPr>
        <w:fldChar w:fldCharType="end"/>
      </w:r>
      <w:r>
        <w:fldChar w:fldCharType="end"/>
      </w:r>
    </w:p>
    <w:p w:rsidR="00CD3A79">
      <w:pPr>
        <w:pStyle w:val="TOC1"/>
        <w:tabs>
          <w:tab w:val="right" w:leader="dot" w:pos="8630"/>
        </w:tabs>
        <w:rPr>
          <w:rFonts w:asciiTheme="minorHAnsi" w:eastAsiaTheme="minorEastAsia" w:hAnsiTheme="minorHAnsi"/>
          <w:noProof/>
          <w:sz w:val="22"/>
        </w:rPr>
      </w:pPr>
      <w:r>
        <w:fldChar w:fldCharType="begin"/>
      </w:r>
      <w:r>
        <w:instrText xml:space="preserve"> HYPERLINK \l "_Toc12543427" </w:instrText>
      </w:r>
      <w:r>
        <w:fldChar w:fldCharType="separate"/>
      </w:r>
      <w:r w:rsidRPr="00E170DF">
        <w:rPr>
          <w:rStyle w:val="Hyperlink"/>
          <w:noProof/>
        </w:rPr>
        <w:t>IV.</w:t>
      </w:r>
      <w:r>
        <w:rPr>
          <w:rFonts w:asciiTheme="minorHAnsi" w:eastAsiaTheme="minorEastAsia" w:hAnsiTheme="minorHAnsi"/>
          <w:noProof/>
          <w:sz w:val="22"/>
        </w:rPr>
        <w:tab/>
      </w:r>
      <w:r w:rsidRPr="00E170DF">
        <w:rPr>
          <w:rStyle w:val="Hyperlink"/>
          <w:noProof/>
        </w:rPr>
        <w:t>RECOMMENDATIONS</w:t>
      </w:r>
      <w:r>
        <w:rPr>
          <w:noProof/>
          <w:webHidden/>
        </w:rPr>
        <w:tab/>
      </w:r>
      <w:r>
        <w:rPr>
          <w:noProof/>
          <w:webHidden/>
        </w:rPr>
        <w:fldChar w:fldCharType="begin"/>
      </w:r>
      <w:r>
        <w:rPr>
          <w:noProof/>
          <w:webHidden/>
        </w:rPr>
        <w:instrText xml:space="preserve"> PAGEREF _Toc12543427 \h </w:instrText>
      </w:r>
      <w:r>
        <w:rPr>
          <w:noProof/>
          <w:webHidden/>
        </w:rPr>
        <w:fldChar w:fldCharType="separate"/>
      </w:r>
      <w:r>
        <w:rPr>
          <w:noProof/>
          <w:webHidden/>
        </w:rPr>
        <w:t>6</w:t>
      </w:r>
      <w:r>
        <w:rPr>
          <w:noProof/>
          <w:webHidden/>
        </w:rPr>
        <w:fldChar w:fldCharType="end"/>
      </w:r>
      <w:r>
        <w:fldChar w:fldCharType="end"/>
      </w:r>
    </w:p>
    <w:p w:rsidR="00CD3A79">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"_Toc12543428" </w:instrText>
      </w:r>
      <w:r>
        <w:fldChar w:fldCharType="separate"/>
      </w:r>
      <w:r w:rsidRPr="00E170DF">
        <w:rPr>
          <w:rStyle w:val="Hyperlink"/>
          <w:noProof/>
        </w:rPr>
        <w:t>A.</w:t>
      </w:r>
      <w:r>
        <w:rPr>
          <w:rFonts w:asciiTheme="minorHAnsi" w:eastAsiaTheme="minorEastAsia" w:hAnsiTheme="minorHAnsi"/>
          <w:noProof/>
          <w:sz w:val="22"/>
        </w:rPr>
        <w:tab/>
      </w:r>
      <w:r w:rsidRPr="00E170DF">
        <w:rPr>
          <w:rStyle w:val="Hyperlink"/>
          <w:noProof/>
        </w:rPr>
        <w:t>The PUCO should consider AEP’s current reliability performance and disallow its request for additional funding because its proposal is inconsistent with the terms of the order, including the spending cap, approving the 2016 tree-trimming rider.</w:t>
      </w:r>
      <w:r>
        <w:rPr>
          <w:noProof/>
          <w:webHidden/>
        </w:rPr>
        <w:tab/>
      </w:r>
      <w:r>
        <w:rPr>
          <w:noProof/>
          <w:webHidden/>
        </w:rPr>
        <w:fldChar w:fldCharType="begin"/>
      </w:r>
      <w:r>
        <w:rPr>
          <w:noProof/>
          <w:webHidden/>
        </w:rPr>
        <w:instrText xml:space="preserve"> PAGEREF _Toc12543428 \h </w:instrText>
      </w:r>
      <w:r>
        <w:rPr>
          <w:noProof/>
          <w:webHidden/>
        </w:rPr>
        <w:fldChar w:fldCharType="separate"/>
      </w:r>
      <w:r>
        <w:rPr>
          <w:noProof/>
          <w:webHidden/>
        </w:rPr>
        <w:t>6</w:t>
      </w:r>
      <w:r>
        <w:rPr>
          <w:noProof/>
          <w:webHidden/>
        </w:rPr>
        <w:fldChar w:fldCharType="end"/>
      </w:r>
      <w:r>
        <w:fldChar w:fldCharType="end"/>
      </w:r>
    </w:p>
    <w:p w:rsidR="00CD3A79">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"_Toc12543429" </w:instrText>
      </w:r>
      <w:r>
        <w:fldChar w:fldCharType="separate"/>
      </w:r>
      <w:r w:rsidRPr="00E170DF">
        <w:rPr>
          <w:rStyle w:val="Hyperlink"/>
          <w:noProof/>
        </w:rPr>
        <w:t>1.</w:t>
      </w:r>
      <w:r>
        <w:rPr>
          <w:rFonts w:asciiTheme="minorHAnsi" w:eastAsiaTheme="minorEastAsia" w:hAnsiTheme="minorHAnsi"/>
          <w:noProof/>
          <w:sz w:val="22"/>
        </w:rPr>
        <w:tab/>
      </w:r>
      <w:r w:rsidRPr="00E170DF">
        <w:rPr>
          <w:rStyle w:val="Hyperlink"/>
          <w:noProof/>
        </w:rPr>
        <w:t>The PUCO should disallow the total amount of $3,428,508 from AEP’s original request because its spending is not consistent with the terms of the orders approving the Electric Service Reliability Rider.</w:t>
      </w:r>
      <w:r>
        <w:rPr>
          <w:noProof/>
          <w:webHidden/>
        </w:rPr>
        <w:tab/>
      </w:r>
      <w:r>
        <w:rPr>
          <w:noProof/>
          <w:webHidden/>
        </w:rPr>
        <w:fldChar w:fldCharType="begin"/>
      </w:r>
      <w:r>
        <w:rPr>
          <w:noProof/>
          <w:webHidden/>
        </w:rPr>
        <w:instrText xml:space="preserve"> PAGEREF _Toc12543429 \h </w:instrText>
      </w:r>
      <w:r>
        <w:rPr>
          <w:noProof/>
          <w:webHidden/>
        </w:rPr>
        <w:fldChar w:fldCharType="separate"/>
      </w:r>
      <w:r>
        <w:rPr>
          <w:noProof/>
          <w:webHidden/>
        </w:rPr>
        <w:t>7</w:t>
      </w:r>
      <w:r>
        <w:rPr>
          <w:noProof/>
          <w:webHidden/>
        </w:rPr>
        <w:fldChar w:fldCharType="end"/>
      </w:r>
      <w:r>
        <w:fldChar w:fldCharType="end"/>
      </w:r>
    </w:p>
    <w:p w:rsidR="00CD3A79">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"_Toc12543430" </w:instrText>
      </w:r>
      <w:r>
        <w:fldChar w:fldCharType="separate"/>
      </w:r>
      <w:r w:rsidRPr="00E170DF">
        <w:rPr>
          <w:rStyle w:val="Hyperlink"/>
          <w:noProof/>
        </w:rPr>
        <w:t>2.</w:t>
      </w:r>
      <w:r>
        <w:rPr>
          <w:rFonts w:asciiTheme="minorHAnsi" w:eastAsiaTheme="minorEastAsia" w:hAnsiTheme="minorHAnsi"/>
          <w:noProof/>
          <w:sz w:val="22"/>
        </w:rPr>
        <w:tab/>
      </w:r>
      <w:r w:rsidRPr="00E170DF">
        <w:rPr>
          <w:rStyle w:val="Hyperlink"/>
          <w:noProof/>
        </w:rPr>
        <w:t>Ohio law requires that every public utility furnish necessary and adequate service and facilities, and that all charges for any service be just and reasonable.</w:t>
      </w:r>
      <w:r>
        <w:rPr>
          <w:noProof/>
          <w:webHidden/>
        </w:rPr>
        <w:tab/>
      </w:r>
      <w:r>
        <w:rPr>
          <w:noProof/>
          <w:webHidden/>
        </w:rPr>
        <w:fldChar w:fldCharType="begin"/>
      </w:r>
      <w:r>
        <w:rPr>
          <w:noProof/>
          <w:webHidden/>
        </w:rPr>
        <w:instrText xml:space="preserve"> PAGEREF _Toc12543430 \h </w:instrText>
      </w:r>
      <w:r>
        <w:rPr>
          <w:noProof/>
          <w:webHidden/>
        </w:rPr>
        <w:fldChar w:fldCharType="separate"/>
      </w:r>
      <w:r>
        <w:rPr>
          <w:noProof/>
          <w:webHidden/>
        </w:rPr>
        <w:t>8</w:t>
      </w:r>
      <w:r>
        <w:rPr>
          <w:noProof/>
          <w:webHidden/>
        </w:rPr>
        <w:fldChar w:fldCharType="end"/>
      </w:r>
      <w:r>
        <w:fldChar w:fldCharType="end"/>
      </w:r>
    </w:p>
    <w:p w:rsidR="00CD3A79">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"_Toc12543431" </w:instrText>
      </w:r>
      <w:r>
        <w:fldChar w:fldCharType="separate"/>
      </w:r>
      <w:r w:rsidRPr="00E170DF">
        <w:rPr>
          <w:rStyle w:val="Hyperlink"/>
          <w:noProof/>
        </w:rPr>
        <w:t>B.</w:t>
      </w:r>
      <w:r>
        <w:rPr>
          <w:rFonts w:asciiTheme="minorHAnsi" w:eastAsiaTheme="minorEastAsia" w:hAnsiTheme="minorHAnsi"/>
          <w:noProof/>
          <w:sz w:val="22"/>
        </w:rPr>
        <w:tab/>
      </w:r>
      <w:r w:rsidRPr="00E170DF">
        <w:rPr>
          <w:rStyle w:val="Hyperlink"/>
          <w:noProof/>
        </w:rPr>
        <w:t>Under O.A.C. 4901-10-30, the PUCO should enforce reliability standards against AEP.</w:t>
      </w:r>
      <w:r>
        <w:rPr>
          <w:noProof/>
          <w:webHidden/>
        </w:rPr>
        <w:tab/>
      </w:r>
      <w:r>
        <w:rPr>
          <w:noProof/>
          <w:webHidden/>
        </w:rPr>
        <w:fldChar w:fldCharType="begin"/>
      </w:r>
      <w:r>
        <w:rPr>
          <w:noProof/>
          <w:webHidden/>
        </w:rPr>
        <w:instrText xml:space="preserve"> PAGEREF _Toc12543431 \h </w:instrText>
      </w:r>
      <w:r>
        <w:rPr>
          <w:noProof/>
          <w:webHidden/>
        </w:rPr>
        <w:fldChar w:fldCharType="separate"/>
      </w:r>
      <w:r>
        <w:rPr>
          <w:noProof/>
          <w:webHidden/>
        </w:rPr>
        <w:t>11</w:t>
      </w:r>
      <w:r>
        <w:rPr>
          <w:noProof/>
          <w:webHidden/>
        </w:rPr>
        <w:fldChar w:fldCharType="end"/>
      </w:r>
      <w:r>
        <w:fldChar w:fldCharType="end"/>
      </w:r>
    </w:p>
    <w:p w:rsidR="00CD3A79">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"_Toc12543432" </w:instrText>
      </w:r>
      <w:r>
        <w:fldChar w:fldCharType="separate"/>
      </w:r>
      <w:r w:rsidRPr="00E170DF">
        <w:rPr>
          <w:rStyle w:val="Hyperlink"/>
          <w:noProof/>
        </w:rPr>
        <w:t>1.</w:t>
      </w:r>
      <w:r>
        <w:rPr>
          <w:rFonts w:asciiTheme="minorHAnsi" w:eastAsiaTheme="minorEastAsia" w:hAnsiTheme="minorHAnsi"/>
          <w:noProof/>
          <w:sz w:val="22"/>
        </w:rPr>
        <w:tab/>
      </w:r>
      <w:r w:rsidRPr="00E170DF">
        <w:rPr>
          <w:rStyle w:val="Hyperlink"/>
          <w:noProof/>
        </w:rPr>
        <w:t>AEP has failed to comply with the minimum reliability performance standards established under OAC 4901:1-10-10.</w:t>
      </w:r>
      <w:r>
        <w:rPr>
          <w:noProof/>
          <w:webHidden/>
        </w:rPr>
        <w:tab/>
      </w:r>
      <w:r>
        <w:rPr>
          <w:noProof/>
          <w:webHidden/>
        </w:rPr>
        <w:fldChar w:fldCharType="begin"/>
      </w:r>
      <w:r>
        <w:rPr>
          <w:noProof/>
          <w:webHidden/>
        </w:rPr>
        <w:instrText xml:space="preserve"> PAGEREF _Toc12543432 \h </w:instrText>
      </w:r>
      <w:r>
        <w:rPr>
          <w:noProof/>
          <w:webHidden/>
        </w:rPr>
        <w:fldChar w:fldCharType="separate"/>
      </w:r>
      <w:r>
        <w:rPr>
          <w:noProof/>
          <w:webHidden/>
        </w:rPr>
        <w:t>11</w:t>
      </w:r>
      <w:r>
        <w:rPr>
          <w:noProof/>
          <w:webHidden/>
        </w:rPr>
        <w:fldChar w:fldCharType="end"/>
      </w:r>
      <w:r>
        <w:fldChar w:fldCharType="end"/>
      </w:r>
    </w:p>
    <w:p w:rsidR="00CD3A79">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"_Toc12543433" </w:instrText>
      </w:r>
      <w:r>
        <w:fldChar w:fldCharType="separate"/>
      </w:r>
      <w:r w:rsidRPr="00E170DF">
        <w:rPr>
          <w:rStyle w:val="Hyperlink"/>
          <w:noProof/>
        </w:rPr>
        <w:t>2.</w:t>
      </w:r>
      <w:r>
        <w:rPr>
          <w:rFonts w:asciiTheme="minorHAnsi" w:eastAsiaTheme="minorEastAsia" w:hAnsiTheme="minorHAnsi"/>
          <w:noProof/>
          <w:sz w:val="22"/>
        </w:rPr>
        <w:tab/>
      </w:r>
      <w:r w:rsidRPr="00E170DF">
        <w:rPr>
          <w:rStyle w:val="Hyperlink"/>
          <w:noProof/>
        </w:rPr>
        <w:t>Consumers are not receiving the reliability benefits associated with the proactive four-year cycle-based tree-trimming program as required by O.A.C. 4901:1-10-26 and O.A.C. 4901:1-10-27.</w:t>
      </w:r>
      <w:r>
        <w:rPr>
          <w:noProof/>
          <w:webHidden/>
        </w:rPr>
        <w:tab/>
      </w:r>
      <w:r>
        <w:rPr>
          <w:noProof/>
          <w:webHidden/>
        </w:rPr>
        <w:fldChar w:fldCharType="begin"/>
      </w:r>
      <w:r>
        <w:rPr>
          <w:noProof/>
          <w:webHidden/>
        </w:rPr>
        <w:instrText xml:space="preserve"> PAGEREF _Toc12543433 \h </w:instrText>
      </w:r>
      <w:r>
        <w:rPr>
          <w:noProof/>
          <w:webHidden/>
        </w:rPr>
        <w:fldChar w:fldCharType="separate"/>
      </w:r>
      <w:r>
        <w:rPr>
          <w:noProof/>
          <w:webHidden/>
        </w:rPr>
        <w:t>14</w:t>
      </w:r>
      <w:r>
        <w:rPr>
          <w:noProof/>
          <w:webHidden/>
        </w:rPr>
        <w:fldChar w:fldCharType="end"/>
      </w:r>
      <w:r>
        <w:fldChar w:fldCharType="end"/>
      </w:r>
    </w:p>
    <w:p w:rsidR="00CD3A79">
      <w:pPr>
        <w:pStyle w:val="TOC1"/>
        <w:tabs>
          <w:tab w:val="right" w:leader="dot" w:pos="8630"/>
        </w:tabs>
        <w:rPr>
          <w:rFonts w:asciiTheme="minorHAnsi" w:eastAsiaTheme="minorEastAsia" w:hAnsiTheme="minorHAnsi"/>
          <w:noProof/>
          <w:sz w:val="22"/>
        </w:rPr>
      </w:pPr>
      <w:r>
        <w:fldChar w:fldCharType="begin"/>
      </w:r>
      <w:r>
        <w:instrText xml:space="preserve"> HYPERLINK \l "_Toc12543434" </w:instrText>
      </w:r>
      <w:r>
        <w:fldChar w:fldCharType="separate"/>
      </w:r>
      <w:r w:rsidRPr="00E170DF">
        <w:rPr>
          <w:rStyle w:val="Hyperlink"/>
          <w:noProof/>
        </w:rPr>
        <w:t>V.</w:t>
      </w:r>
      <w:r>
        <w:rPr>
          <w:rFonts w:asciiTheme="minorHAnsi" w:eastAsiaTheme="minorEastAsia" w:hAnsiTheme="minorHAnsi"/>
          <w:noProof/>
          <w:sz w:val="22"/>
        </w:rPr>
        <w:tab/>
      </w:r>
      <w:r w:rsidRPr="00E170DF">
        <w:rPr>
          <w:rStyle w:val="Hyperlink"/>
          <w:noProof/>
        </w:rPr>
        <w:t>CONCLUSION</w:t>
      </w:r>
      <w:r>
        <w:rPr>
          <w:noProof/>
          <w:webHidden/>
        </w:rPr>
        <w:tab/>
      </w:r>
      <w:r>
        <w:rPr>
          <w:noProof/>
          <w:webHidden/>
        </w:rPr>
        <w:fldChar w:fldCharType="begin"/>
      </w:r>
      <w:r>
        <w:rPr>
          <w:noProof/>
          <w:webHidden/>
        </w:rPr>
        <w:instrText xml:space="preserve"> PAGEREF _Toc12543434 \h </w:instrText>
      </w:r>
      <w:r>
        <w:rPr>
          <w:noProof/>
          <w:webHidden/>
        </w:rPr>
        <w:fldChar w:fldCharType="separate"/>
      </w:r>
      <w:r>
        <w:rPr>
          <w:noProof/>
          <w:webHidden/>
        </w:rPr>
        <w:t>18</w:t>
      </w:r>
      <w:r>
        <w:rPr>
          <w:noProof/>
          <w:webHidden/>
        </w:rPr>
        <w:fldChar w:fldCharType="end"/>
      </w:r>
      <w:r>
        <w:fldChar w:fldCharType="end"/>
      </w:r>
    </w:p>
    <w:p w:rsidR="00B45BC0" w:rsidRPr="00517C65">
      <w:pPr>
        <w:rPr>
          <w:rFonts w:cs="Times New Roman"/>
          <w:szCs w:val="24"/>
        </w:rPr>
      </w:pPr>
      <w:r w:rsidRPr="00517C65">
        <w:rPr>
          <w:rFonts w:cs="Times New Roman"/>
        </w:rPr>
        <w:fldChar w:fldCharType="end"/>
      </w:r>
    </w:p>
    <w:p w:rsidR="00B45BC0" w:rsidRPr="00517C65">
      <w:pPr>
        <w:rPr>
          <w:rFonts w:cs="Times New Roman"/>
          <w:szCs w:val="24"/>
        </w:rPr>
        <w:sectPr w:rsidSect="00B45BC0">
          <w:footerReference w:type="default" r:id="rId11"/>
          <w:pgSz w:w="12240" w:h="15840"/>
          <w:pgMar w:top="1440" w:right="1800" w:bottom="1440" w:left="1800" w:header="720" w:footer="720" w:gutter="0"/>
          <w:pgNumType w:fmt="lowerRoman" w:start="1"/>
          <w:cols w:space="720"/>
          <w:docGrid w:linePitch="360"/>
        </w:sectPr>
      </w:pP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b/>
          <w:bCs/>
          <w:szCs w:val="24"/>
        </w:rPr>
      </w:pPr>
      <w:r w:rsidRPr="00517C65">
        <w:rPr>
          <w:rFonts w:eastAsia="Calibri" w:cs="Times New Roman"/>
          <w:b/>
          <w:bCs/>
          <w:szCs w:val="24"/>
        </w:rPr>
        <w:t>BEFORE</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szCs w:val="24"/>
        </w:rPr>
      </w:pPr>
      <w:r w:rsidRPr="00517C65">
        <w:rPr>
          <w:rFonts w:eastAsia="Calibri" w:cs="Times New Roman"/>
          <w:b/>
          <w:bCs/>
          <w:szCs w:val="24"/>
        </w:rPr>
        <w:t>THE PUBLIC UTILITIES COMMISSION OF OHIO</w:t>
      </w:r>
    </w:p>
    <w:p w:rsidR="00B45BC0" w:rsidRPr="00517C65" w:rsidP="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szCs w:val="24"/>
        </w:rPr>
      </w:pPr>
    </w:p>
    <w:tbl>
      <w:tblPr>
        <w:tblW w:w="9244" w:type="dxa"/>
        <w:tblInd w:w="-106" w:type="dxa"/>
        <w:tblCellMar>
          <w:top w:w="0" w:type="dxa"/>
          <w:left w:w="108" w:type="dxa"/>
          <w:bottom w:w="0" w:type="dxa"/>
          <w:right w:w="108" w:type="dxa"/>
        </w:tblCellMar>
        <w:tblLook w:val="01E0"/>
      </w:tblPr>
      <w:tblGrid>
        <w:gridCol w:w="4404"/>
        <w:gridCol w:w="366"/>
        <w:gridCol w:w="4474"/>
      </w:tblGrid>
      <w:tr w:rsidTr="00F544C7">
        <w:tblPrEx>
          <w:tblW w:w="9244" w:type="dxa"/>
          <w:tblInd w:w="-106" w:type="dxa"/>
          <w:tblCellMar>
            <w:top w:w="0" w:type="dxa"/>
            <w:left w:w="108" w:type="dxa"/>
            <w:bottom w:w="0" w:type="dxa"/>
            <w:right w:w="108" w:type="dxa"/>
          </w:tblCellMar>
          <w:tblLook w:val="01E0"/>
        </w:tblPrEx>
        <w:trPr>
          <w:trHeight w:val="482"/>
        </w:trPr>
        <w:tc>
          <w:tcPr>
            <w:tcW w:w="4404" w:type="dxa"/>
          </w:tcPr>
          <w:p w:rsidR="00F544C7" w:rsidRPr="00517C65" w:rsidP="00F0006F">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F544C7">
              <w:rPr>
                <w:rFonts w:ascii="Times New Roman" w:eastAsia="Calibri" w:hAnsi="Times New Roman" w:cs="Times New Roman"/>
                <w:sz w:val="24"/>
                <w:szCs w:val="24"/>
                <w:lang w:val="en-US" w:eastAsia="en-US" w:bidi="ar-SA"/>
              </w:rPr>
              <w:t>In the Matter of the Application of Ohio Power Company to Update Its Enhanced Service Reliability Rider.</w:t>
            </w:r>
          </w:p>
        </w:tc>
        <w:tc>
          <w:tcPr>
            <w:tcW w:w="366" w:type="dxa"/>
            <w:hideMark/>
          </w:tcPr>
          <w:p w:rsidR="00F544C7" w:rsidRPr="00517C65" w:rsidP="00F0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w:t>
            </w:r>
          </w:p>
          <w:p w:rsidR="00F544C7" w:rsidRPr="00517C65" w:rsidP="00F0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w:t>
            </w:r>
          </w:p>
          <w:p w:rsidR="00F544C7" w:rsidRPr="00517C65" w:rsidP="00F5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w:t>
            </w:r>
          </w:p>
        </w:tc>
        <w:tc>
          <w:tcPr>
            <w:tcW w:w="4474" w:type="dxa"/>
          </w:tcPr>
          <w:p w:rsidR="00F544C7" w:rsidRPr="00517C65" w:rsidP="00F0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F544C7" w:rsidRPr="00517C65" w:rsidP="00F544C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517C65">
              <w:rPr>
                <w:rFonts w:ascii="Times New Roman" w:eastAsia="Calibri" w:hAnsi="Times New Roman" w:cs="Times New Roman"/>
                <w:sz w:val="24"/>
                <w:szCs w:val="24"/>
                <w:lang w:val="en-US" w:eastAsia="en-US" w:bidi="ar-SA"/>
              </w:rPr>
              <w:t xml:space="preserve">Case No. </w:t>
            </w:r>
            <w:r>
              <w:rPr>
                <w:rFonts w:ascii="Times New Roman" w:eastAsia="Calibri" w:hAnsi="Times New Roman" w:cs="Times New Roman"/>
                <w:sz w:val="24"/>
                <w:szCs w:val="24"/>
                <w:lang w:val="en-US" w:eastAsia="en-US" w:bidi="ar-SA"/>
              </w:rPr>
              <w:t>17-1914-EL-RDR</w:t>
            </w:r>
          </w:p>
        </w:tc>
      </w:tr>
    </w:tbl>
    <w:p w:rsidR="00F544C7" w:rsidP="00B45BC0">
      <w:pPr>
        <w:pBdr>
          <w:bottom w:val="single" w:sz="12" w:space="1" w:color="auto"/>
        </w:pBdr>
        <w:autoSpaceDE w:val="0"/>
        <w:autoSpaceDN w:val="0"/>
        <w:adjustRightInd w:val="0"/>
        <w:spacing w:after="0" w:line="240" w:lineRule="auto"/>
        <w:jc w:val="center"/>
        <w:rPr>
          <w:rFonts w:eastAsia="Calibri" w:cs="Times New Roman"/>
          <w:b/>
          <w:bCs/>
          <w:szCs w:val="24"/>
        </w:rPr>
      </w:pPr>
    </w:p>
    <w:p w:rsidR="00F544C7" w:rsidP="00B45BC0">
      <w:pPr>
        <w:autoSpaceDE w:val="0"/>
        <w:autoSpaceDN w:val="0"/>
        <w:adjustRightInd w:val="0"/>
        <w:spacing w:after="0" w:line="240" w:lineRule="auto"/>
        <w:jc w:val="center"/>
        <w:rPr>
          <w:rFonts w:eastAsia="Calibri" w:cs="Times New Roman"/>
          <w:b/>
          <w:bCs/>
          <w:szCs w:val="24"/>
        </w:rPr>
      </w:pPr>
    </w:p>
    <w:p w:rsidR="00B45BC0" w:rsidRPr="00517C65" w:rsidP="00B45BC0">
      <w:pPr>
        <w:autoSpaceDE w:val="0"/>
        <w:autoSpaceDN w:val="0"/>
        <w:adjustRightInd w:val="0"/>
        <w:spacing w:after="0" w:line="240" w:lineRule="auto"/>
        <w:jc w:val="center"/>
        <w:rPr>
          <w:rFonts w:eastAsia="Calibri" w:cs="Times New Roman"/>
          <w:b/>
          <w:bCs/>
          <w:szCs w:val="24"/>
        </w:rPr>
      </w:pPr>
      <w:r w:rsidRPr="00517C65">
        <w:rPr>
          <w:rFonts w:eastAsia="Calibri" w:cs="Times New Roman"/>
          <w:b/>
          <w:bCs/>
          <w:szCs w:val="24"/>
        </w:rPr>
        <w:t>INITIAL POST-HEARING BRIEF</w:t>
      </w:r>
    </w:p>
    <w:p w:rsidR="00B45BC0" w:rsidRPr="00517C65" w:rsidP="00B45BC0">
      <w:pPr>
        <w:autoSpaceDE w:val="0"/>
        <w:autoSpaceDN w:val="0"/>
        <w:adjustRightInd w:val="0"/>
        <w:spacing w:after="0" w:line="240" w:lineRule="auto"/>
        <w:jc w:val="center"/>
        <w:rPr>
          <w:rFonts w:eastAsia="Calibri" w:cs="Times New Roman"/>
          <w:b/>
          <w:bCs/>
          <w:szCs w:val="24"/>
        </w:rPr>
      </w:pPr>
      <w:r w:rsidRPr="00517C65">
        <w:rPr>
          <w:rFonts w:eastAsia="Calibri" w:cs="Times New Roman"/>
          <w:b/>
          <w:bCs/>
          <w:szCs w:val="24"/>
        </w:rPr>
        <w:t>BY</w:t>
      </w:r>
    </w:p>
    <w:p w:rsidR="00B45BC0" w:rsidRPr="00517C65" w:rsidP="00B45BC0">
      <w:pPr>
        <w:autoSpaceDE w:val="0"/>
        <w:autoSpaceDN w:val="0"/>
        <w:adjustRightInd w:val="0"/>
        <w:spacing w:after="0" w:line="240" w:lineRule="auto"/>
        <w:jc w:val="center"/>
        <w:rPr>
          <w:rFonts w:eastAsia="Calibri" w:cs="Times New Roman"/>
          <w:b/>
          <w:bCs/>
          <w:szCs w:val="24"/>
        </w:rPr>
      </w:pPr>
      <w:r w:rsidRPr="00517C65">
        <w:rPr>
          <w:rFonts w:eastAsia="Calibri" w:cs="Times New Roman"/>
          <w:b/>
          <w:bCs/>
          <w:szCs w:val="24"/>
        </w:rPr>
        <w:t>THE OFFICE OF THE OHIO CONSUMERS’ COUNSEL</w:t>
      </w:r>
    </w:p>
    <w:p w:rsidR="00B45BC0" w:rsidRPr="00517C65" w:rsidP="00B45BC0">
      <w:pPr>
        <w:pBdr>
          <w:bottom w:val="single" w:sz="12" w:space="1" w:color="auto"/>
        </w:pBdr>
        <w:autoSpaceDE w:val="0"/>
        <w:autoSpaceDN w:val="0"/>
        <w:adjustRightInd w:val="0"/>
        <w:spacing w:after="0" w:line="240" w:lineRule="auto"/>
        <w:jc w:val="center"/>
        <w:rPr>
          <w:rFonts w:eastAsia="Calibri" w:cs="Times New Roman"/>
          <w:b/>
          <w:bCs/>
          <w:szCs w:val="24"/>
        </w:rPr>
      </w:pPr>
    </w:p>
    <w:p w:rsidR="00B45BC0" w:rsidRPr="00517C65" w:rsidP="00B45BC0">
      <w:pPr>
        <w:autoSpaceDE w:val="0"/>
        <w:autoSpaceDN w:val="0"/>
        <w:adjustRightInd w:val="0"/>
        <w:spacing w:after="0" w:line="240" w:lineRule="auto"/>
        <w:rPr>
          <w:rFonts w:eastAsia="Calibri" w:cs="Times New Roman"/>
          <w:b/>
          <w:bCs/>
          <w:szCs w:val="24"/>
        </w:rPr>
      </w:pPr>
    </w:p>
    <w:p w:rsidR="00B45BC0" w:rsidRPr="00517C65" w:rsidP="00C43634">
      <w:pPr>
        <w:pStyle w:val="Heading1"/>
      </w:pPr>
      <w:bookmarkStart w:id="1" w:name="_Toc12543424"/>
      <w:r w:rsidRPr="00517C65">
        <w:t>INTRODUCTION</w:t>
      </w:r>
      <w:bookmarkEnd w:id="1"/>
    </w:p>
    <w:p w:rsidR="00E3023D" w:rsidP="008E3BD8">
      <w:pPr>
        <w:spacing w:after="0" w:line="480" w:lineRule="auto"/>
        <w:ind w:firstLine="720"/>
        <w:rPr>
          <w:rFonts w:cs="Times New Roman"/>
          <w:szCs w:val="24"/>
        </w:rPr>
      </w:pPr>
      <w:r>
        <w:rPr>
          <w:rFonts w:cs="Times New Roman"/>
          <w:szCs w:val="24"/>
        </w:rPr>
        <w:t>T</w:t>
      </w:r>
      <w:r w:rsidRPr="000B5674">
        <w:rPr>
          <w:rFonts w:cs="Times New Roman"/>
          <w:szCs w:val="24"/>
        </w:rPr>
        <w:t xml:space="preserve">he </w:t>
      </w:r>
      <w:r>
        <w:rPr>
          <w:rFonts w:cs="Times New Roman"/>
          <w:szCs w:val="24"/>
        </w:rPr>
        <w:t>Public Utilities Commission of Ohio (“PUCO”)</w:t>
      </w:r>
      <w:r w:rsidRPr="000B5674">
        <w:rPr>
          <w:rFonts w:cs="Times New Roman"/>
          <w:szCs w:val="24"/>
        </w:rPr>
        <w:t xml:space="preserve"> approved </w:t>
      </w:r>
      <w:r>
        <w:rPr>
          <w:rFonts w:cs="Times New Roman"/>
          <w:szCs w:val="24"/>
        </w:rPr>
        <w:t>Ohio Power Company’s (“AEP”)</w:t>
      </w:r>
      <w:r w:rsidRPr="000B5674">
        <w:rPr>
          <w:rFonts w:cs="Times New Roman"/>
          <w:szCs w:val="24"/>
        </w:rPr>
        <w:t xml:space="preserve"> Enhanced Service Reliability Rider (“</w:t>
      </w:r>
      <w:r>
        <w:rPr>
          <w:rFonts w:cs="Times New Roman"/>
          <w:szCs w:val="24"/>
        </w:rPr>
        <w:t>tree-trimming rider</w:t>
      </w:r>
      <w:r w:rsidRPr="000B5674">
        <w:rPr>
          <w:rFonts w:cs="Times New Roman"/>
          <w:szCs w:val="24"/>
        </w:rPr>
        <w:t xml:space="preserve">”) </w:t>
      </w:r>
      <w:r>
        <w:rPr>
          <w:rFonts w:cs="Times New Roman"/>
          <w:szCs w:val="24"/>
        </w:rPr>
        <w:t>allowing it</w:t>
      </w:r>
      <w:r w:rsidRPr="000B5674">
        <w:rPr>
          <w:rFonts w:cs="Times New Roman"/>
          <w:szCs w:val="24"/>
        </w:rPr>
        <w:t xml:space="preserve"> to charge customers additional money for alleged incremental tree-trimming costs.</w:t>
      </w:r>
      <w:r>
        <w:rPr>
          <w:rFonts w:cs="Times New Roman"/>
          <w:szCs w:val="24"/>
        </w:rPr>
        <w:t xml:space="preserve">  </w:t>
      </w:r>
      <w:r w:rsidRPr="000B5674">
        <w:rPr>
          <w:rFonts w:cs="Times New Roman"/>
          <w:szCs w:val="24"/>
        </w:rPr>
        <w:t xml:space="preserve">The expectation for this vegetation management program </w:t>
      </w:r>
      <w:r>
        <w:rPr>
          <w:rFonts w:cs="Times New Roman"/>
          <w:szCs w:val="24"/>
        </w:rPr>
        <w:t xml:space="preserve">proposed by AEP and funded by the tree-trimming rider was </w:t>
      </w:r>
      <w:r w:rsidRPr="000B5674">
        <w:rPr>
          <w:rFonts w:cs="Times New Roman"/>
          <w:szCs w:val="24"/>
        </w:rPr>
        <w:t xml:space="preserve">for AEP to perform end-to-end tree-trimming of its distribution system every four years.  </w:t>
      </w:r>
    </w:p>
    <w:p w:rsidR="008E3BD8" w:rsidP="008E3BD8">
      <w:pPr>
        <w:spacing w:after="0" w:line="480" w:lineRule="auto"/>
        <w:ind w:firstLine="720"/>
        <w:rPr>
          <w:rFonts w:cs="Times New Roman"/>
          <w:szCs w:val="24"/>
        </w:rPr>
      </w:pPr>
      <w:r>
        <w:rPr>
          <w:rFonts w:cs="Times New Roman"/>
          <w:szCs w:val="24"/>
        </w:rPr>
        <w:t>But AEP</w:t>
      </w:r>
      <w:r w:rsidRPr="000B5674">
        <w:rPr>
          <w:rFonts w:cs="Times New Roman"/>
          <w:szCs w:val="24"/>
        </w:rPr>
        <w:t xml:space="preserve"> has failed to </w:t>
      </w:r>
      <w:r>
        <w:rPr>
          <w:rFonts w:cs="Times New Roman"/>
          <w:szCs w:val="24"/>
        </w:rPr>
        <w:t>meet the required,</w:t>
      </w:r>
      <w:r w:rsidRPr="000B5674">
        <w:rPr>
          <w:rFonts w:cs="Times New Roman"/>
          <w:szCs w:val="24"/>
        </w:rPr>
        <w:t xml:space="preserve"> proactive four-year cycle-based tree-trimming program</w:t>
      </w:r>
      <w:r>
        <w:rPr>
          <w:rFonts w:cs="Times New Roman"/>
          <w:szCs w:val="24"/>
        </w:rPr>
        <w:t>.</w:t>
      </w:r>
      <w:r w:rsidRPr="000B5674">
        <w:rPr>
          <w:rFonts w:cs="Times New Roman"/>
          <w:szCs w:val="24"/>
        </w:rPr>
        <w:t xml:space="preserve">   </w:t>
      </w:r>
      <w:r>
        <w:rPr>
          <w:rFonts w:cs="Times New Roman"/>
          <w:szCs w:val="24"/>
        </w:rPr>
        <w:t>D</w:t>
      </w:r>
      <w:r w:rsidRPr="000B5674">
        <w:rPr>
          <w:rFonts w:cs="Times New Roman"/>
          <w:szCs w:val="24"/>
        </w:rPr>
        <w:t xml:space="preserve">espite significant </w:t>
      </w:r>
      <w:r>
        <w:rPr>
          <w:rFonts w:cs="Times New Roman"/>
          <w:szCs w:val="24"/>
        </w:rPr>
        <w:t xml:space="preserve">costs to consumers and </w:t>
      </w:r>
      <w:r w:rsidRPr="000B5674">
        <w:rPr>
          <w:rFonts w:cs="Times New Roman"/>
          <w:szCs w:val="24"/>
        </w:rPr>
        <w:t xml:space="preserve">spending by AEP, the number of tree-caused outages have increased substantially since the </w:t>
      </w:r>
      <w:r>
        <w:rPr>
          <w:rFonts w:cs="Times New Roman"/>
          <w:szCs w:val="24"/>
        </w:rPr>
        <w:t>tree-trimming rider</w:t>
      </w:r>
      <w:r w:rsidRPr="000B5674">
        <w:rPr>
          <w:rFonts w:cs="Times New Roman"/>
          <w:szCs w:val="24"/>
        </w:rPr>
        <w:t xml:space="preserve"> was initiated in 2009.  Regrettably, AEP’s reliability performance </w:t>
      </w:r>
      <w:r>
        <w:rPr>
          <w:rFonts w:cs="Times New Roman"/>
          <w:szCs w:val="24"/>
        </w:rPr>
        <w:t>has not</w:t>
      </w:r>
      <w:r w:rsidRPr="000B5674">
        <w:rPr>
          <w:rFonts w:cs="Times New Roman"/>
          <w:szCs w:val="24"/>
        </w:rPr>
        <w:t xml:space="preserve"> met the minimum PUCO reliability standards.</w:t>
      </w:r>
      <w:r>
        <w:rPr>
          <w:rFonts w:cs="Times New Roman"/>
          <w:szCs w:val="24"/>
        </w:rPr>
        <w:t xml:space="preserve">  And this all while spending more than the PUCO authorized it to spend in 2016.</w:t>
      </w:r>
      <w:r w:rsidRPr="000B5674">
        <w:rPr>
          <w:rFonts w:cs="Times New Roman"/>
          <w:szCs w:val="24"/>
        </w:rPr>
        <w:t xml:space="preserve">  </w:t>
      </w:r>
    </w:p>
    <w:p w:rsidR="00C14EC0" w:rsidP="008E3BD8">
      <w:pPr>
        <w:spacing w:after="0" w:line="480" w:lineRule="auto"/>
        <w:ind w:firstLine="720"/>
        <w:rPr>
          <w:rFonts w:cs="Times New Roman"/>
          <w:szCs w:val="24"/>
        </w:rPr>
      </w:pPr>
      <w:r>
        <w:rPr>
          <w:rFonts w:cs="Times New Roman"/>
          <w:szCs w:val="24"/>
        </w:rPr>
        <w:t xml:space="preserve">As explained by OCC’s expert witnesses, Mr. James Williams and Mr. Jeffrey Hecker, certain 2016 tree-trimming expenses should not be recovered under the tree-trimming rider.  AEP’s spending in 2016 substantially exceeded the cap on the tree-trimming rider set by the PUCO. </w:t>
      </w:r>
    </w:p>
    <w:p w:rsidR="008E3BD8" w:rsidRPr="000B5674" w:rsidP="008E3BD8">
      <w:pPr>
        <w:spacing w:after="0" w:line="480" w:lineRule="auto"/>
        <w:ind w:firstLine="720"/>
        <w:rPr>
          <w:rFonts w:cs="Times New Roman"/>
          <w:szCs w:val="24"/>
        </w:rPr>
      </w:pPr>
      <w:r>
        <w:rPr>
          <w:rFonts w:cs="Times New Roman"/>
          <w:szCs w:val="24"/>
        </w:rPr>
        <w:t xml:space="preserve">The tree-trimming rider should be discontinued immediately (or at the latest, after AEP’s next distribution base rate case in June 2020).  It has not resulted in increased reliability.  And </w:t>
      </w:r>
      <w:r>
        <w:t>there is no reason why the costs associated with AEP’s tree-trimming program should not be integrated in base rates during the next distribution rate case in 2020</w:t>
      </w:r>
      <w:r>
        <w:rPr>
          <w:rFonts w:cs="Times New Roman"/>
          <w:szCs w:val="24"/>
        </w:rPr>
        <w:t xml:space="preserve">. </w:t>
      </w:r>
    </w:p>
    <w:p w:rsidR="00F10A71" w:rsidP="00B45BC0">
      <w:pPr>
        <w:spacing w:after="0" w:line="240" w:lineRule="auto"/>
        <w:ind w:firstLine="720"/>
        <w:rPr>
          <w:rFonts w:cs="Times New Roman"/>
          <w:szCs w:val="24"/>
        </w:rPr>
      </w:pPr>
    </w:p>
    <w:p w:rsidR="00B45BC0" w:rsidP="00C43634">
      <w:pPr>
        <w:pStyle w:val="Heading1"/>
      </w:pPr>
      <w:bookmarkStart w:id="2" w:name="_Toc12543425"/>
      <w:r w:rsidRPr="00517C65">
        <w:t>BACKGROUND</w:t>
      </w:r>
      <w:bookmarkEnd w:id="2"/>
    </w:p>
    <w:p w:rsidR="00D45193" w:rsidP="00955494">
      <w:pPr>
        <w:autoSpaceDE w:val="0"/>
        <w:autoSpaceDN w:val="0"/>
        <w:adjustRightInd w:val="0"/>
        <w:spacing w:after="0" w:line="480" w:lineRule="auto"/>
        <w:ind w:firstLine="720"/>
        <w:rPr>
          <w:rFonts w:cs="Times New Roman"/>
          <w:szCs w:val="24"/>
        </w:rPr>
      </w:pPr>
      <w:r w:rsidRPr="00C43634">
        <w:rPr>
          <w:rFonts w:cs="Times New Roman"/>
          <w:szCs w:val="24"/>
        </w:rPr>
        <w:t xml:space="preserve">The PUCO </w:t>
      </w:r>
      <w:r>
        <w:rPr>
          <w:rFonts w:cs="Times New Roman"/>
          <w:szCs w:val="24"/>
        </w:rPr>
        <w:t xml:space="preserve">initially </w:t>
      </w:r>
      <w:r w:rsidRPr="00C43634">
        <w:rPr>
          <w:rFonts w:cs="Times New Roman"/>
          <w:szCs w:val="24"/>
        </w:rPr>
        <w:t xml:space="preserve">approved the </w:t>
      </w:r>
      <w:r>
        <w:rPr>
          <w:rFonts w:cs="Times New Roman"/>
          <w:szCs w:val="24"/>
        </w:rPr>
        <w:t xml:space="preserve">tree-trimming rider </w:t>
      </w:r>
      <w:r w:rsidRPr="00C43634">
        <w:rPr>
          <w:rFonts w:cs="Times New Roman"/>
          <w:szCs w:val="24"/>
        </w:rPr>
        <w:t xml:space="preserve">in </w:t>
      </w:r>
      <w:r>
        <w:rPr>
          <w:rFonts w:cs="Times New Roman"/>
          <w:szCs w:val="24"/>
        </w:rPr>
        <w:t>AEP’s</w:t>
      </w:r>
      <w:r w:rsidRPr="00C43634">
        <w:rPr>
          <w:rFonts w:cs="Times New Roman"/>
          <w:szCs w:val="24"/>
        </w:rPr>
        <w:t xml:space="preserve"> </w:t>
      </w:r>
      <w:r>
        <w:rPr>
          <w:rFonts w:cs="Times New Roman"/>
          <w:szCs w:val="24"/>
        </w:rPr>
        <w:t xml:space="preserve">first </w:t>
      </w:r>
      <w:r w:rsidRPr="00C43634">
        <w:rPr>
          <w:rFonts w:cs="Times New Roman"/>
          <w:szCs w:val="24"/>
        </w:rPr>
        <w:t>Electric Security Plan (“ESP”)</w:t>
      </w:r>
      <w:r>
        <w:rPr>
          <w:rFonts w:cs="Times New Roman"/>
          <w:szCs w:val="24"/>
        </w:rPr>
        <w:t xml:space="preserve"> in 2009.</w:t>
      </w:r>
      <w:r>
        <w:rPr>
          <w:rStyle w:val="FootnoteReference"/>
          <w:rFonts w:cs="Times New Roman"/>
          <w:szCs w:val="24"/>
        </w:rPr>
        <w:footnoteReference w:id="2"/>
      </w:r>
      <w:r w:rsidRPr="00C43634">
        <w:rPr>
          <w:rFonts w:cs="Times New Roman"/>
          <w:szCs w:val="24"/>
        </w:rPr>
        <w:t xml:space="preserve"> </w:t>
      </w:r>
      <w:r>
        <w:rPr>
          <w:rFonts w:cs="Times New Roman"/>
          <w:szCs w:val="24"/>
        </w:rPr>
        <w:t>It was supposed to support</w:t>
      </w:r>
      <w:r w:rsidRPr="00C43634">
        <w:rPr>
          <w:rFonts w:cs="Times New Roman"/>
          <w:szCs w:val="24"/>
        </w:rPr>
        <w:t xml:space="preserve"> a proactive four-year cycle-based tree-trimming program combined with performance-based incentive mechanisms </w:t>
      </w:r>
      <w:r>
        <w:rPr>
          <w:rFonts w:cs="Times New Roman"/>
          <w:szCs w:val="24"/>
        </w:rPr>
        <w:t xml:space="preserve">authorized </w:t>
      </w:r>
      <w:r w:rsidRPr="00C43634">
        <w:rPr>
          <w:rFonts w:cs="Times New Roman"/>
          <w:szCs w:val="24"/>
        </w:rPr>
        <w:t>under R.C. 4928.143(B)(2)(h</w:t>
      </w:r>
      <w:r>
        <w:rPr>
          <w:rFonts w:cs="Times New Roman"/>
          <w:szCs w:val="24"/>
        </w:rPr>
        <w:t xml:space="preserve">). </w:t>
      </w:r>
      <w:r w:rsidRPr="009A3D94">
        <w:rPr>
          <w:rFonts w:cs="Times New Roman"/>
          <w:szCs w:val="24"/>
        </w:rPr>
        <w:t xml:space="preserve">The program </w:t>
      </w:r>
      <w:r>
        <w:rPr>
          <w:rFonts w:cs="Times New Roman"/>
          <w:szCs w:val="24"/>
        </w:rPr>
        <w:t>is funded through</w:t>
      </w:r>
      <w:r w:rsidRPr="009A3D94">
        <w:rPr>
          <w:rFonts w:cs="Times New Roman"/>
          <w:szCs w:val="24"/>
        </w:rPr>
        <w:t xml:space="preserve"> </w:t>
      </w:r>
      <w:r>
        <w:rPr>
          <w:rFonts w:cs="Times New Roman"/>
          <w:szCs w:val="24"/>
        </w:rPr>
        <w:t>collections from customers</w:t>
      </w:r>
      <w:r w:rsidRPr="009A3D94">
        <w:rPr>
          <w:rFonts w:cs="Times New Roman"/>
          <w:szCs w:val="24"/>
        </w:rPr>
        <w:t xml:space="preserve"> in base rates </w:t>
      </w:r>
      <w:r>
        <w:rPr>
          <w:rFonts w:cs="Times New Roman"/>
          <w:szCs w:val="24"/>
        </w:rPr>
        <w:t>-</w:t>
      </w:r>
      <w:r w:rsidRPr="009A3D94">
        <w:rPr>
          <w:rFonts w:cs="Times New Roman"/>
          <w:szCs w:val="24"/>
        </w:rPr>
        <w:t xml:space="preserve"> $10,401,813 for 2009-2011 and $24,200,000 for 2012-2016.</w:t>
      </w:r>
      <w:r>
        <w:rPr>
          <w:rStyle w:val="FootnoteReference"/>
          <w:rFonts w:cs="Times New Roman"/>
          <w:szCs w:val="24"/>
        </w:rPr>
        <w:footnoteReference w:id="3"/>
      </w:r>
      <w:r w:rsidRPr="009A3D94">
        <w:rPr>
          <w:rFonts w:cs="Times New Roman"/>
          <w:szCs w:val="24"/>
        </w:rPr>
        <w:t xml:space="preserve">  </w:t>
      </w:r>
      <w:r>
        <w:rPr>
          <w:rFonts w:cs="Times New Roman"/>
          <w:szCs w:val="24"/>
        </w:rPr>
        <w:t>The</w:t>
      </w:r>
      <w:r w:rsidRPr="009A3D94">
        <w:rPr>
          <w:rFonts w:cs="Times New Roman"/>
          <w:szCs w:val="24"/>
        </w:rPr>
        <w:t xml:space="preserve"> </w:t>
      </w:r>
      <w:r>
        <w:rPr>
          <w:rFonts w:cs="Times New Roman"/>
          <w:szCs w:val="24"/>
        </w:rPr>
        <w:t>tree-trimming rider</w:t>
      </w:r>
      <w:r w:rsidRPr="009A3D94">
        <w:rPr>
          <w:rFonts w:cs="Times New Roman"/>
          <w:szCs w:val="24"/>
        </w:rPr>
        <w:t xml:space="preserve"> was intended to collect</w:t>
      </w:r>
      <w:r>
        <w:rPr>
          <w:rFonts w:cs="Times New Roman"/>
          <w:szCs w:val="24"/>
        </w:rPr>
        <w:t xml:space="preserve"> from customers</w:t>
      </w:r>
      <w:r w:rsidRPr="009A3D94">
        <w:rPr>
          <w:rFonts w:cs="Times New Roman"/>
          <w:szCs w:val="24"/>
        </w:rPr>
        <w:t xml:space="preserve"> the yearly incremental tree trimming expenditure </w:t>
      </w:r>
      <w:r>
        <w:rPr>
          <w:rFonts w:cs="Times New Roman"/>
          <w:szCs w:val="24"/>
        </w:rPr>
        <w:t xml:space="preserve">–those expenses </w:t>
      </w:r>
      <w:r w:rsidRPr="009A3D94">
        <w:rPr>
          <w:rFonts w:cs="Times New Roman"/>
          <w:szCs w:val="24"/>
        </w:rPr>
        <w:t xml:space="preserve">above and beyond the amounts already included in </w:t>
      </w:r>
      <w:r>
        <w:rPr>
          <w:rFonts w:cs="Times New Roman"/>
          <w:szCs w:val="24"/>
        </w:rPr>
        <w:t xml:space="preserve">customers’ </w:t>
      </w:r>
      <w:r w:rsidRPr="009A3D94">
        <w:rPr>
          <w:rFonts w:cs="Times New Roman"/>
          <w:szCs w:val="24"/>
        </w:rPr>
        <w:t xml:space="preserve">base rates. </w:t>
      </w:r>
    </w:p>
    <w:p w:rsidR="00D45193" w:rsidP="00955494">
      <w:pPr>
        <w:autoSpaceDE w:val="0"/>
        <w:autoSpaceDN w:val="0"/>
        <w:adjustRightInd w:val="0"/>
        <w:spacing w:after="0" w:line="480" w:lineRule="auto"/>
        <w:ind w:firstLine="720"/>
        <w:rPr>
          <w:rFonts w:cs="Times New Roman"/>
          <w:szCs w:val="24"/>
        </w:rPr>
      </w:pPr>
      <w:r w:rsidRPr="009A3D94">
        <w:rPr>
          <w:rFonts w:cs="Times New Roman"/>
          <w:szCs w:val="24"/>
        </w:rPr>
        <w:t xml:space="preserve">The transition to the </w:t>
      </w:r>
      <w:r>
        <w:rPr>
          <w:rFonts w:cs="Times New Roman"/>
          <w:szCs w:val="24"/>
        </w:rPr>
        <w:t xml:space="preserve">proactive </w:t>
      </w:r>
      <w:r w:rsidRPr="009A3D94">
        <w:rPr>
          <w:rFonts w:cs="Times New Roman"/>
          <w:szCs w:val="24"/>
        </w:rPr>
        <w:t>four-year cycle vegetation management was expected to take five years to complete.</w:t>
      </w:r>
      <w:r>
        <w:rPr>
          <w:rStyle w:val="FootnoteReference"/>
          <w:rFonts w:cs="Times New Roman"/>
          <w:szCs w:val="24"/>
        </w:rPr>
        <w:footnoteReference w:id="4"/>
      </w:r>
      <w:r w:rsidRPr="009A3D94">
        <w:rPr>
          <w:rFonts w:cs="Times New Roman"/>
          <w:szCs w:val="24"/>
        </w:rPr>
        <w:t xml:space="preserve"> </w:t>
      </w:r>
      <w:r>
        <w:rPr>
          <w:rFonts w:cs="Times New Roman"/>
          <w:szCs w:val="24"/>
        </w:rPr>
        <w:t>In approving the initial tree-trimming rider, t</w:t>
      </w:r>
      <w:r w:rsidRPr="00C43634">
        <w:rPr>
          <w:rFonts w:cs="Times New Roman"/>
          <w:szCs w:val="24"/>
        </w:rPr>
        <w:t xml:space="preserve">he PUCO found that AEP had demonstrated that the </w:t>
      </w:r>
      <w:r>
        <w:rPr>
          <w:rFonts w:cs="Times New Roman"/>
          <w:szCs w:val="24"/>
        </w:rPr>
        <w:t>tree-trimming rider</w:t>
      </w:r>
      <w:r w:rsidRPr="00C43634">
        <w:rPr>
          <w:rFonts w:cs="Times New Roman"/>
          <w:szCs w:val="24"/>
        </w:rPr>
        <w:t xml:space="preserve"> would improve the customer’s overall electric service experience by reducing or eliminating momentary interruptions and sustained outages caused by vegetation.</w:t>
      </w:r>
      <w:r>
        <w:rPr>
          <w:rStyle w:val="FootnoteReference"/>
          <w:rFonts w:cs="Times New Roman"/>
          <w:szCs w:val="24"/>
        </w:rPr>
        <w:footnoteReference w:id="5"/>
      </w:r>
      <w:r w:rsidRPr="00C43634">
        <w:rPr>
          <w:rFonts w:cs="Times New Roman"/>
          <w:szCs w:val="24"/>
        </w:rPr>
        <w:t xml:space="preserve"> </w:t>
      </w:r>
      <w:r>
        <w:rPr>
          <w:rFonts w:cs="Times New Roman"/>
          <w:szCs w:val="24"/>
        </w:rPr>
        <w:t>The</w:t>
      </w:r>
      <w:r w:rsidRPr="00C43634">
        <w:rPr>
          <w:rFonts w:cs="Times New Roman"/>
          <w:szCs w:val="24"/>
        </w:rPr>
        <w:t xml:space="preserve"> </w:t>
      </w:r>
      <w:r>
        <w:rPr>
          <w:rFonts w:cs="Times New Roman"/>
          <w:szCs w:val="24"/>
        </w:rPr>
        <w:t>tree-trimming rider</w:t>
      </w:r>
      <w:r w:rsidRPr="00C43634">
        <w:rPr>
          <w:rFonts w:cs="Times New Roman"/>
          <w:szCs w:val="24"/>
        </w:rPr>
        <w:t xml:space="preserve"> was not limited to tree-trimming within the right-of-way</w:t>
      </w:r>
      <w:r>
        <w:rPr>
          <w:rFonts w:cs="Times New Roman"/>
          <w:szCs w:val="24"/>
        </w:rPr>
        <w:t xml:space="preserve">. </w:t>
      </w:r>
      <w:r w:rsidRPr="00C43634">
        <w:rPr>
          <w:rFonts w:cs="Times New Roman"/>
          <w:szCs w:val="24"/>
        </w:rPr>
        <w:t xml:space="preserve"> </w:t>
      </w:r>
      <w:r>
        <w:rPr>
          <w:rFonts w:cs="Times New Roman"/>
          <w:szCs w:val="24"/>
        </w:rPr>
        <w:t>It also</w:t>
      </w:r>
      <w:r w:rsidRPr="00C43634">
        <w:rPr>
          <w:rFonts w:cs="Times New Roman"/>
          <w:szCs w:val="24"/>
        </w:rPr>
        <w:t xml:space="preserve"> included removal of danger</w:t>
      </w:r>
      <w:r>
        <w:rPr>
          <w:rFonts w:cs="Times New Roman"/>
          <w:szCs w:val="24"/>
        </w:rPr>
        <w:t>ous</w:t>
      </w:r>
      <w:r w:rsidRPr="00C43634">
        <w:rPr>
          <w:rFonts w:cs="Times New Roman"/>
          <w:szCs w:val="24"/>
        </w:rPr>
        <w:t xml:space="preserve"> trees outside the right-of-way.</w:t>
      </w:r>
      <w:r>
        <w:rPr>
          <w:rStyle w:val="FootnoteReference"/>
          <w:rFonts w:cs="Times New Roman"/>
          <w:szCs w:val="24"/>
        </w:rPr>
        <w:footnoteReference w:id="6"/>
      </w:r>
      <w:r w:rsidRPr="00C43634">
        <w:rPr>
          <w:rFonts w:cs="Times New Roman"/>
          <w:szCs w:val="24"/>
        </w:rPr>
        <w:t xml:space="preserve">    </w:t>
      </w:r>
    </w:p>
    <w:p w:rsidR="00D45193" w:rsidP="00D45193">
      <w:pPr>
        <w:autoSpaceDE w:val="0"/>
        <w:autoSpaceDN w:val="0"/>
        <w:adjustRightInd w:val="0"/>
        <w:spacing w:after="0" w:line="480" w:lineRule="auto"/>
        <w:ind w:firstLine="720"/>
        <w:rPr>
          <w:rFonts w:cs="Times New Roman"/>
          <w:szCs w:val="24"/>
        </w:rPr>
      </w:pPr>
      <w:r w:rsidRPr="00DA3E4A">
        <w:rPr>
          <w:rFonts w:cs="Times New Roman"/>
          <w:szCs w:val="24"/>
        </w:rPr>
        <w:t xml:space="preserve">After </w:t>
      </w:r>
      <w:r>
        <w:rPr>
          <w:rFonts w:cs="Times New Roman"/>
          <w:szCs w:val="24"/>
        </w:rPr>
        <w:t>the initial five</w:t>
      </w:r>
      <w:r w:rsidRPr="00DA3E4A">
        <w:rPr>
          <w:rFonts w:cs="Times New Roman"/>
          <w:szCs w:val="24"/>
        </w:rPr>
        <w:t xml:space="preserve"> year</w:t>
      </w:r>
      <w:r>
        <w:rPr>
          <w:rFonts w:cs="Times New Roman"/>
          <w:szCs w:val="24"/>
        </w:rPr>
        <w:t>s, AEP</w:t>
      </w:r>
      <w:r w:rsidRPr="009A3D94">
        <w:rPr>
          <w:rFonts w:cs="Times New Roman"/>
          <w:szCs w:val="24"/>
        </w:rPr>
        <w:t xml:space="preserve"> requested </w:t>
      </w:r>
      <w:r>
        <w:rPr>
          <w:rFonts w:cs="Times New Roman"/>
          <w:szCs w:val="24"/>
        </w:rPr>
        <w:t xml:space="preserve">in its second ESP </w:t>
      </w:r>
      <w:r w:rsidRPr="009A3D94">
        <w:rPr>
          <w:rFonts w:cs="Times New Roman"/>
          <w:szCs w:val="24"/>
        </w:rPr>
        <w:t xml:space="preserve">to extend the </w:t>
      </w:r>
      <w:r>
        <w:rPr>
          <w:rFonts w:cs="Times New Roman"/>
          <w:szCs w:val="24"/>
        </w:rPr>
        <w:t>tree-trimming rider</w:t>
      </w:r>
      <w:r w:rsidRPr="009A3D94">
        <w:rPr>
          <w:rFonts w:cs="Times New Roman"/>
          <w:szCs w:val="24"/>
        </w:rPr>
        <w:t xml:space="preserve"> for an additional three years</w:t>
      </w:r>
      <w:r>
        <w:rPr>
          <w:rFonts w:cs="Times New Roman"/>
          <w:szCs w:val="24"/>
        </w:rPr>
        <w:t>.</w:t>
      </w:r>
      <w:r>
        <w:rPr>
          <w:rStyle w:val="FootnoteReference"/>
          <w:rFonts w:cs="Times New Roman"/>
          <w:szCs w:val="24"/>
        </w:rPr>
        <w:footnoteReference w:id="7"/>
      </w:r>
      <w:r>
        <w:rPr>
          <w:rFonts w:cs="Times New Roman"/>
          <w:szCs w:val="24"/>
        </w:rPr>
        <w:t xml:space="preserve">  The </w:t>
      </w:r>
      <w:r w:rsidRPr="009A3D94">
        <w:rPr>
          <w:rFonts w:cs="Times New Roman"/>
          <w:szCs w:val="24"/>
        </w:rPr>
        <w:t xml:space="preserve">PUCO granted </w:t>
      </w:r>
      <w:r>
        <w:rPr>
          <w:rFonts w:cs="Times New Roman"/>
          <w:szCs w:val="24"/>
        </w:rPr>
        <w:t xml:space="preserve">AEP’s </w:t>
      </w:r>
      <w:r w:rsidRPr="009A3D94">
        <w:rPr>
          <w:rFonts w:cs="Times New Roman"/>
          <w:szCs w:val="24"/>
        </w:rPr>
        <w:t>request.</w:t>
      </w:r>
      <w:r>
        <w:rPr>
          <w:rStyle w:val="FootnoteReference"/>
          <w:rFonts w:cs="Times New Roman"/>
          <w:szCs w:val="24"/>
        </w:rPr>
        <w:footnoteReference w:id="8"/>
      </w:r>
      <w:r w:rsidRPr="009A3D94">
        <w:rPr>
          <w:rFonts w:cs="Times New Roman"/>
          <w:szCs w:val="24"/>
        </w:rPr>
        <w:t xml:space="preserve">  </w:t>
      </w:r>
      <w:r>
        <w:rPr>
          <w:rFonts w:cs="Times New Roman"/>
          <w:szCs w:val="24"/>
        </w:rPr>
        <w:t>Then, i</w:t>
      </w:r>
      <w:r w:rsidRPr="009A3D94">
        <w:rPr>
          <w:rFonts w:cs="Times New Roman"/>
          <w:szCs w:val="24"/>
        </w:rPr>
        <w:t xml:space="preserve">n AEP’s most recent ESP, the </w:t>
      </w:r>
      <w:r>
        <w:rPr>
          <w:rFonts w:cs="Times New Roman"/>
          <w:szCs w:val="24"/>
        </w:rPr>
        <w:t>tree-trimming rider</w:t>
      </w:r>
      <w:r w:rsidRPr="009A3D94">
        <w:rPr>
          <w:rFonts w:cs="Times New Roman"/>
          <w:szCs w:val="24"/>
        </w:rPr>
        <w:t xml:space="preserve"> was extended yet again by another three years.</w:t>
      </w:r>
      <w:r>
        <w:rPr>
          <w:rStyle w:val="FootnoteReference"/>
          <w:rFonts w:cs="Times New Roman"/>
          <w:szCs w:val="24"/>
        </w:rPr>
        <w:footnoteReference w:id="9"/>
      </w:r>
      <w:r w:rsidRPr="009A3D94">
        <w:rPr>
          <w:rFonts w:cs="Times New Roman"/>
          <w:szCs w:val="24"/>
        </w:rPr>
        <w:t xml:space="preserve">  The </w:t>
      </w:r>
      <w:r>
        <w:rPr>
          <w:rFonts w:cs="Times New Roman"/>
          <w:szCs w:val="24"/>
        </w:rPr>
        <w:t>tree-trimming rider</w:t>
      </w:r>
      <w:r w:rsidRPr="009A3D94">
        <w:rPr>
          <w:rFonts w:cs="Times New Roman"/>
          <w:szCs w:val="24"/>
        </w:rPr>
        <w:t xml:space="preserve"> that was intended to support a five-year transition to a four-year trim cycle has morphed into an 11-year charge that has become a permanent source of revenue for AEP.</w:t>
      </w:r>
    </w:p>
    <w:p w:rsidR="00C43634" w:rsidP="0000251B">
      <w:pPr>
        <w:autoSpaceDE w:val="0"/>
        <w:autoSpaceDN w:val="0"/>
        <w:adjustRightInd w:val="0"/>
        <w:spacing w:after="0" w:line="480" w:lineRule="auto"/>
        <w:ind w:firstLine="720"/>
        <w:rPr>
          <w:rFonts w:cs="Times New Roman"/>
          <w:szCs w:val="24"/>
        </w:rPr>
      </w:pPr>
      <w:r w:rsidRPr="00C43634">
        <w:rPr>
          <w:rFonts w:cs="Times New Roman"/>
          <w:szCs w:val="24"/>
        </w:rPr>
        <w:t xml:space="preserve">The PUCO </w:t>
      </w:r>
      <w:r>
        <w:rPr>
          <w:rFonts w:cs="Times New Roman"/>
          <w:szCs w:val="24"/>
        </w:rPr>
        <w:t xml:space="preserve">has </w:t>
      </w:r>
      <w:r w:rsidRPr="00C43634">
        <w:rPr>
          <w:rFonts w:cs="Times New Roman"/>
          <w:szCs w:val="24"/>
        </w:rPr>
        <w:t>concluded that while the</w:t>
      </w:r>
      <w:r>
        <w:rPr>
          <w:rFonts w:cs="Times New Roman"/>
          <w:szCs w:val="24"/>
        </w:rPr>
        <w:t xml:space="preserve"> electric security plan</w:t>
      </w:r>
      <w:r w:rsidRPr="00C43634">
        <w:rPr>
          <w:rFonts w:cs="Times New Roman"/>
          <w:szCs w:val="24"/>
        </w:rPr>
        <w:t xml:space="preserve"> statutes might permit single issue ratemaking in an ESP, there was no intent to provide electric utilities with a “blank check” to perform these initiatives</w:t>
      </w:r>
      <w:r>
        <w:rPr>
          <w:rFonts w:cs="Times New Roman"/>
          <w:szCs w:val="24"/>
        </w:rPr>
        <w:t>, including the vegetation management program funded in part by the tree-trimming rider</w:t>
      </w:r>
      <w:r w:rsidRPr="00C43634">
        <w:rPr>
          <w:rFonts w:cs="Times New Roman"/>
          <w:szCs w:val="24"/>
        </w:rPr>
        <w:t>.</w:t>
      </w:r>
      <w:r>
        <w:rPr>
          <w:rStyle w:val="FootnoteReference"/>
          <w:rFonts w:cs="Times New Roman"/>
          <w:szCs w:val="24"/>
        </w:rPr>
        <w:footnoteReference w:id="10"/>
      </w:r>
      <w:r w:rsidRPr="00C43634">
        <w:rPr>
          <w:rFonts w:cs="Times New Roman"/>
          <w:szCs w:val="24"/>
        </w:rPr>
        <w:t xml:space="preserve"> </w:t>
      </w:r>
      <w:r>
        <w:rPr>
          <w:rFonts w:cs="Times New Roman"/>
          <w:szCs w:val="24"/>
        </w:rPr>
        <w:t>Unfortunately for consumers</w:t>
      </w:r>
      <w:r w:rsidRPr="00C43634">
        <w:rPr>
          <w:rFonts w:cs="Times New Roman"/>
          <w:szCs w:val="24"/>
        </w:rPr>
        <w:t xml:space="preserve">, this appears to be how AEP is managing the costs associated with the </w:t>
      </w:r>
      <w:r>
        <w:rPr>
          <w:rFonts w:cs="Times New Roman"/>
          <w:szCs w:val="24"/>
        </w:rPr>
        <w:t>tree-trimming rider – with a blank check written by AEP’s customers</w:t>
      </w:r>
      <w:r w:rsidRPr="00C43634">
        <w:rPr>
          <w:rFonts w:cs="Times New Roman"/>
          <w:szCs w:val="24"/>
        </w:rPr>
        <w:t xml:space="preserve">.  </w:t>
      </w:r>
    </w:p>
    <w:p w:rsidR="002A0029" w:rsidP="00D45193">
      <w:pPr>
        <w:spacing w:after="0" w:line="480" w:lineRule="auto"/>
        <w:rPr>
          <w:rFonts w:cs="Times New Roman"/>
          <w:szCs w:val="24"/>
        </w:rPr>
      </w:pPr>
      <w:r w:rsidRPr="009A3D94">
        <w:rPr>
          <w:rFonts w:cs="Times New Roman"/>
          <w:szCs w:val="24"/>
        </w:rPr>
        <w:t xml:space="preserve"> </w:t>
      </w:r>
      <w:r>
        <w:rPr>
          <w:rFonts w:cs="Times New Roman"/>
          <w:szCs w:val="24"/>
        </w:rPr>
        <w:tab/>
      </w:r>
      <w:r w:rsidRPr="009A3D94">
        <w:rPr>
          <w:rFonts w:cs="Times New Roman"/>
          <w:szCs w:val="24"/>
        </w:rPr>
        <w:t>From 2009 to 2016, AEP has collected $231.2 million</w:t>
      </w:r>
      <w:r>
        <w:rPr>
          <w:rStyle w:val="FootnoteReference"/>
          <w:rFonts w:cs="Times New Roman"/>
          <w:szCs w:val="24"/>
        </w:rPr>
        <w:footnoteReference w:id="11"/>
      </w:r>
      <w:r w:rsidRPr="009A3D94">
        <w:rPr>
          <w:rFonts w:cs="Times New Roman"/>
          <w:szCs w:val="24"/>
        </w:rPr>
        <w:t xml:space="preserve"> </w:t>
      </w:r>
      <w:r>
        <w:rPr>
          <w:rFonts w:cs="Times New Roman"/>
          <w:szCs w:val="24"/>
        </w:rPr>
        <w:t xml:space="preserve">in vegetation management costs in addition to </w:t>
      </w:r>
      <w:r w:rsidRPr="009A3D94">
        <w:rPr>
          <w:rFonts w:cs="Times New Roman"/>
          <w:szCs w:val="24"/>
        </w:rPr>
        <w:t xml:space="preserve">the yearly amount </w:t>
      </w:r>
      <w:r>
        <w:rPr>
          <w:rFonts w:cs="Times New Roman"/>
          <w:szCs w:val="24"/>
        </w:rPr>
        <w:t xml:space="preserve">customers already pay for tree trimming </w:t>
      </w:r>
      <w:r w:rsidRPr="009A3D94">
        <w:rPr>
          <w:rFonts w:cs="Times New Roman"/>
          <w:szCs w:val="24"/>
        </w:rPr>
        <w:t>in base rates.  AEP’s base rates in 2016 include approximately $20.6 million in Operating and Maintenance (“O&amp;M”) charges and about $3.6 million in capital related costs for vegetation management.</w:t>
      </w:r>
      <w:r>
        <w:rPr>
          <w:rStyle w:val="FootnoteReference"/>
          <w:rFonts w:cs="Times New Roman"/>
          <w:szCs w:val="24"/>
        </w:rPr>
        <w:footnoteReference w:id="12"/>
      </w:r>
      <w:r>
        <w:rPr>
          <w:rFonts w:cs="Times New Roman"/>
          <w:szCs w:val="24"/>
        </w:rPr>
        <w:t xml:space="preserve"> </w:t>
      </w:r>
      <w:r w:rsidRPr="009A3D94">
        <w:rPr>
          <w:rFonts w:cs="Times New Roman"/>
          <w:szCs w:val="24"/>
        </w:rPr>
        <w:t xml:space="preserve">In </w:t>
      </w:r>
      <w:r>
        <w:rPr>
          <w:rFonts w:cs="Times New Roman"/>
          <w:szCs w:val="24"/>
        </w:rPr>
        <w:t xml:space="preserve">its </w:t>
      </w:r>
      <w:r w:rsidRPr="009A3D94">
        <w:rPr>
          <w:rFonts w:cs="Times New Roman"/>
          <w:szCs w:val="24"/>
        </w:rPr>
        <w:t xml:space="preserve"> third ESP, AEP was approved to collect</w:t>
      </w:r>
      <w:r>
        <w:rPr>
          <w:rFonts w:cs="Times New Roman"/>
          <w:szCs w:val="24"/>
        </w:rPr>
        <w:t xml:space="preserve"> annually through the tree-trimming rider up to </w:t>
      </w:r>
      <w:r w:rsidRPr="009A3D94">
        <w:rPr>
          <w:rFonts w:cs="Times New Roman"/>
          <w:szCs w:val="24"/>
        </w:rPr>
        <w:t xml:space="preserve">$25 million for O&amp;M expenses and </w:t>
      </w:r>
      <w:r>
        <w:rPr>
          <w:rFonts w:cs="Times New Roman"/>
          <w:szCs w:val="24"/>
        </w:rPr>
        <w:t xml:space="preserve">no more than </w:t>
      </w:r>
      <w:r w:rsidRPr="009A3D94">
        <w:rPr>
          <w:rFonts w:cs="Times New Roman"/>
          <w:szCs w:val="24"/>
        </w:rPr>
        <w:t>$1 million for capital investment</w:t>
      </w:r>
      <w:r>
        <w:rPr>
          <w:rFonts w:cs="Times New Roman"/>
          <w:szCs w:val="24"/>
        </w:rPr>
        <w:t xml:space="preserve">, </w:t>
      </w:r>
      <w:r w:rsidRPr="009A3D94">
        <w:rPr>
          <w:rFonts w:cs="Times New Roman"/>
          <w:szCs w:val="24"/>
        </w:rPr>
        <w:t>above the amount in base rates.</w:t>
      </w:r>
      <w:r>
        <w:rPr>
          <w:rStyle w:val="FootnoteReference"/>
          <w:rFonts w:cs="Times New Roman"/>
          <w:szCs w:val="24"/>
        </w:rPr>
        <w:footnoteReference w:id="13"/>
      </w:r>
      <w:r w:rsidRPr="009A3D94">
        <w:rPr>
          <w:rFonts w:cs="Times New Roman"/>
          <w:szCs w:val="24"/>
        </w:rPr>
        <w:t xml:space="preserve"> </w:t>
      </w:r>
    </w:p>
    <w:p w:rsidR="002057B4" w:rsidP="0000251B">
      <w:pPr>
        <w:adjustRightInd w:val="0"/>
        <w:spacing w:after="0" w:line="480" w:lineRule="auto"/>
        <w:ind w:firstLine="720"/>
      </w:pPr>
      <w:r w:rsidRPr="009A3D94">
        <w:rPr>
          <w:rFonts w:cs="Times New Roman"/>
          <w:szCs w:val="24"/>
        </w:rPr>
        <w:t>This means</w:t>
      </w:r>
      <w:r>
        <w:rPr>
          <w:rFonts w:cs="Times New Roman"/>
          <w:szCs w:val="24"/>
        </w:rPr>
        <w:t xml:space="preserve"> </w:t>
      </w:r>
      <w:r w:rsidRPr="009A3D94">
        <w:rPr>
          <w:rFonts w:cs="Times New Roman"/>
          <w:szCs w:val="24"/>
        </w:rPr>
        <w:t xml:space="preserve">that AEP can spend </w:t>
      </w:r>
      <w:r>
        <w:rPr>
          <w:rFonts w:cs="Times New Roman"/>
          <w:szCs w:val="24"/>
        </w:rPr>
        <w:t xml:space="preserve">up to a cap of </w:t>
      </w:r>
      <w:r w:rsidRPr="009A3D94">
        <w:rPr>
          <w:rFonts w:cs="Times New Roman"/>
          <w:szCs w:val="24"/>
        </w:rPr>
        <w:t xml:space="preserve">$50.2 million on a yearly basis for tree trimming and other vegetation management purposes and not exceed the </w:t>
      </w:r>
      <w:r>
        <w:rPr>
          <w:rFonts w:cs="Times New Roman"/>
          <w:szCs w:val="24"/>
        </w:rPr>
        <w:t>tree-trimming rider</w:t>
      </w:r>
      <w:r w:rsidRPr="009A3D94">
        <w:rPr>
          <w:rFonts w:cs="Times New Roman"/>
          <w:szCs w:val="24"/>
        </w:rPr>
        <w:t xml:space="preserve"> expenditure caps</w:t>
      </w:r>
      <w:r>
        <w:rPr>
          <w:rFonts w:cs="Times New Roman"/>
          <w:szCs w:val="24"/>
        </w:rPr>
        <w:t xml:space="preserve"> previously</w:t>
      </w:r>
      <w:r w:rsidRPr="009A3D94">
        <w:rPr>
          <w:rFonts w:cs="Times New Roman"/>
          <w:szCs w:val="24"/>
        </w:rPr>
        <w:t xml:space="preserve"> approved by the PUCO</w:t>
      </w:r>
      <w:r>
        <w:rPr>
          <w:rFonts w:cs="Times New Roman"/>
          <w:szCs w:val="24"/>
        </w:rPr>
        <w:t xml:space="preserve"> in AEP’s prior ESPs.</w:t>
      </w:r>
      <w:r>
        <w:rPr>
          <w:rStyle w:val="FootnoteReference"/>
          <w:rFonts w:cs="Times New Roman"/>
          <w:szCs w:val="24"/>
        </w:rPr>
        <w:footnoteReference w:id="14"/>
      </w:r>
      <w:r>
        <w:rPr>
          <w:rFonts w:cs="Times New Roman"/>
          <w:szCs w:val="24"/>
        </w:rPr>
        <w:t xml:space="preserve"> </w:t>
      </w:r>
      <w:r>
        <w:t xml:space="preserve">Despite all of this spending, the vegetation management spending is having little, if any, impact on improving customer reliability.  </w:t>
      </w:r>
    </w:p>
    <w:p w:rsidR="006B7DFA" w:rsidP="006B7DFA">
      <w:pPr>
        <w:adjustRightInd w:val="0"/>
        <w:spacing w:after="0" w:line="240" w:lineRule="auto"/>
        <w:ind w:firstLine="720"/>
        <w:rPr>
          <w:rFonts w:cs="Times New Roman"/>
          <w:szCs w:val="24"/>
        </w:rPr>
      </w:pPr>
    </w:p>
    <w:p w:rsidR="008D5F15" w:rsidP="008D5F15">
      <w:pPr>
        <w:pStyle w:val="Heading1"/>
      </w:pPr>
      <w:bookmarkStart w:id="3" w:name="_Toc12543426"/>
      <w:r w:rsidRPr="00517C65">
        <w:t>STANDARD OF REVIEW</w:t>
      </w:r>
      <w:bookmarkEnd w:id="3"/>
    </w:p>
    <w:p w:rsidR="002859B8" w:rsidP="008D5F15">
      <w:pPr>
        <w:autoSpaceDE w:val="0"/>
        <w:autoSpaceDN w:val="0"/>
        <w:adjustRightInd w:val="0"/>
        <w:spacing w:after="0" w:line="480" w:lineRule="auto"/>
        <w:ind w:firstLine="720"/>
        <w:rPr>
          <w:rFonts w:cs="Times New Roman"/>
          <w:szCs w:val="24"/>
        </w:rPr>
      </w:pPr>
      <w:r w:rsidRPr="00517C65">
        <w:rPr>
          <w:rFonts w:cs="Times New Roman"/>
          <w:szCs w:val="24"/>
        </w:rPr>
        <w:t xml:space="preserve">The ultimate question to be answered is whether, in light of the record, </w:t>
      </w:r>
      <w:r>
        <w:rPr>
          <w:rFonts w:cs="Times New Roman"/>
          <w:szCs w:val="24"/>
        </w:rPr>
        <w:t>AEP’s</w:t>
      </w:r>
      <w:r w:rsidRPr="00517C65">
        <w:rPr>
          <w:rFonts w:cs="Times New Roman"/>
          <w:szCs w:val="24"/>
        </w:rPr>
        <w:t xml:space="preserve"> proposals </w:t>
      </w:r>
      <w:r>
        <w:rPr>
          <w:rFonts w:cs="Times New Roman"/>
          <w:szCs w:val="24"/>
        </w:rPr>
        <w:t xml:space="preserve">for updating its 2016 tree-trimming rider rates </w:t>
      </w:r>
      <w:r w:rsidRPr="00517C65">
        <w:rPr>
          <w:rFonts w:cs="Times New Roman"/>
          <w:szCs w:val="24"/>
        </w:rPr>
        <w:t xml:space="preserve">are </w:t>
      </w:r>
      <w:r>
        <w:rPr>
          <w:rFonts w:cs="Times New Roman"/>
          <w:szCs w:val="24"/>
        </w:rPr>
        <w:t xml:space="preserve">just and </w:t>
      </w:r>
      <w:r w:rsidRPr="00517C65">
        <w:rPr>
          <w:rFonts w:cs="Times New Roman"/>
          <w:szCs w:val="24"/>
        </w:rPr>
        <w:t>reasonable</w:t>
      </w:r>
      <w:r>
        <w:rPr>
          <w:rFonts w:cs="Times New Roman"/>
          <w:szCs w:val="24"/>
        </w:rPr>
        <w:t>,</w:t>
      </w:r>
      <w:r>
        <w:rPr>
          <w:rStyle w:val="FootnoteReference"/>
          <w:rFonts w:cs="Times New Roman"/>
          <w:szCs w:val="24"/>
        </w:rPr>
        <w:footnoteReference w:id="15"/>
      </w:r>
      <w:r w:rsidRPr="00517C65">
        <w:rPr>
          <w:rFonts w:cs="Times New Roman"/>
          <w:szCs w:val="24"/>
        </w:rPr>
        <w:t xml:space="preserve"> </w:t>
      </w:r>
      <w:r>
        <w:rPr>
          <w:rFonts w:cs="Times New Roman"/>
          <w:szCs w:val="24"/>
        </w:rPr>
        <w:t xml:space="preserve">and </w:t>
      </w:r>
      <w:r w:rsidRPr="00517C65">
        <w:rPr>
          <w:rFonts w:cs="Times New Roman"/>
          <w:szCs w:val="24"/>
        </w:rPr>
        <w:t>comply with Ohio law</w:t>
      </w:r>
      <w:r>
        <w:rPr>
          <w:rFonts w:cs="Times New Roman"/>
          <w:szCs w:val="24"/>
        </w:rPr>
        <w:t>.</w:t>
      </w:r>
      <w:r>
        <w:rPr>
          <w:rStyle w:val="FootnoteReference"/>
          <w:rFonts w:cs="Times New Roman"/>
          <w:szCs w:val="24"/>
        </w:rPr>
        <w:footnoteReference w:id="16"/>
      </w:r>
      <w:r w:rsidRPr="00517C65">
        <w:rPr>
          <w:rFonts w:cs="Times New Roman"/>
          <w:szCs w:val="24"/>
        </w:rPr>
        <w:t xml:space="preserve"> </w:t>
      </w:r>
    </w:p>
    <w:p w:rsidR="008D5F15" w:rsidRPr="00517C65" w:rsidP="008D5F15">
      <w:pPr>
        <w:autoSpaceDE w:val="0"/>
        <w:autoSpaceDN w:val="0"/>
        <w:adjustRightInd w:val="0"/>
        <w:spacing w:after="0" w:line="480" w:lineRule="auto"/>
        <w:ind w:firstLine="720"/>
        <w:rPr>
          <w:rFonts w:cs="Times New Roman"/>
          <w:szCs w:val="24"/>
        </w:rPr>
      </w:pPr>
      <w:r>
        <w:rPr>
          <w:rFonts w:cs="Times New Roman"/>
          <w:szCs w:val="24"/>
        </w:rPr>
        <w:t>First, AEP must show that its spending is consistent with the terms of the orders approving</w:t>
      </w:r>
      <w:r>
        <w:rPr>
          <w:rStyle w:val="FootnoteReference"/>
          <w:rFonts w:cs="Times New Roman"/>
          <w:szCs w:val="24"/>
        </w:rPr>
        <w:footnoteReference w:id="17"/>
      </w:r>
      <w:r>
        <w:rPr>
          <w:rFonts w:cs="Times New Roman"/>
          <w:szCs w:val="24"/>
        </w:rPr>
        <w:t xml:space="preserve"> the tree-trimming rider.</w:t>
      </w:r>
      <w:r>
        <w:rPr>
          <w:rStyle w:val="FootnoteReference"/>
          <w:rFonts w:cs="Times New Roman"/>
          <w:szCs w:val="24"/>
        </w:rPr>
        <w:footnoteReference w:id="18"/>
      </w:r>
      <w:r>
        <w:rPr>
          <w:rFonts w:cs="Times New Roman"/>
          <w:szCs w:val="24"/>
        </w:rPr>
        <w:t xml:space="preserve"> </w:t>
      </w:r>
      <w:r w:rsidRPr="00517C65">
        <w:rPr>
          <w:rFonts w:cs="Times New Roman"/>
          <w:szCs w:val="24"/>
        </w:rPr>
        <w:t>As</w:t>
      </w:r>
      <w:r>
        <w:rPr>
          <w:rFonts w:cs="Times New Roman"/>
          <w:szCs w:val="24"/>
        </w:rPr>
        <w:t xml:space="preserve"> </w:t>
      </w:r>
      <w:r w:rsidRPr="00517C65">
        <w:rPr>
          <w:rFonts w:cs="Times New Roman"/>
          <w:szCs w:val="24"/>
        </w:rPr>
        <w:t xml:space="preserve">OCC shows below, </w:t>
      </w:r>
      <w:r>
        <w:rPr>
          <w:rFonts w:cs="Times New Roman"/>
          <w:szCs w:val="24"/>
        </w:rPr>
        <w:t>Ohio Power</w:t>
      </w:r>
      <w:r w:rsidRPr="00517C65">
        <w:rPr>
          <w:rFonts w:cs="Times New Roman"/>
          <w:szCs w:val="24"/>
        </w:rPr>
        <w:t xml:space="preserve"> does not meet this standard.</w:t>
      </w:r>
    </w:p>
    <w:p w:rsidR="008D5F15" w:rsidRPr="008D5F15" w:rsidP="008D5F15">
      <w:pPr>
        <w:autoSpaceDE w:val="0"/>
        <w:autoSpaceDN w:val="0"/>
        <w:adjustRightInd w:val="0"/>
        <w:spacing w:after="0" w:line="480" w:lineRule="auto"/>
        <w:ind w:firstLine="720"/>
        <w:rPr>
          <w:rFonts w:cs="Times New Roman"/>
          <w:szCs w:val="24"/>
        </w:rPr>
      </w:pPr>
      <w:r>
        <w:rPr>
          <w:rFonts w:cs="Times New Roman"/>
          <w:szCs w:val="24"/>
        </w:rPr>
        <w:t xml:space="preserve">Second, </w:t>
      </w:r>
      <w:r w:rsidRPr="008D5F15">
        <w:rPr>
          <w:rFonts w:cs="Times New Roman"/>
          <w:szCs w:val="24"/>
        </w:rPr>
        <w:t xml:space="preserve">R.C. 4905.22 requires that every public utility furnish necessary and adequate service and facilities, and that all charges for any service must be just and reasonable. </w:t>
      </w:r>
      <w:r>
        <w:rPr>
          <w:rFonts w:cs="Times New Roman"/>
          <w:szCs w:val="24"/>
        </w:rPr>
        <w:t>AEP</w:t>
      </w:r>
      <w:r w:rsidRPr="008D5F15">
        <w:rPr>
          <w:rFonts w:cs="Times New Roman"/>
          <w:szCs w:val="24"/>
        </w:rPr>
        <w:t>, as the applicant, bears the burden of proof.</w:t>
      </w:r>
      <w:r>
        <w:rPr>
          <w:rFonts w:cs="Times New Roman"/>
          <w:szCs w:val="24"/>
          <w:vertAlign w:val="superscript"/>
        </w:rPr>
        <w:footnoteReference w:id="19"/>
      </w:r>
    </w:p>
    <w:p w:rsidR="008D5F15" w:rsidP="002859B8">
      <w:pPr>
        <w:autoSpaceDE w:val="0"/>
        <w:autoSpaceDN w:val="0"/>
        <w:adjustRightInd w:val="0"/>
        <w:spacing w:after="0" w:line="480" w:lineRule="auto"/>
        <w:ind w:firstLine="720"/>
        <w:rPr>
          <w:rFonts w:cs="Times New Roman"/>
          <w:szCs w:val="24"/>
        </w:rPr>
      </w:pPr>
      <w:r w:rsidRPr="002859B8">
        <w:rPr>
          <w:rFonts w:cs="Times New Roman"/>
          <w:szCs w:val="24"/>
        </w:rPr>
        <w:t xml:space="preserve">Finally, </w:t>
      </w:r>
      <w:r>
        <w:rPr>
          <w:rFonts w:cs="Times New Roman"/>
          <w:szCs w:val="24"/>
        </w:rPr>
        <w:t>under</w:t>
      </w:r>
      <w:r w:rsidRPr="002859B8">
        <w:rPr>
          <w:rFonts w:cs="Times New Roman"/>
          <w:szCs w:val="24"/>
        </w:rPr>
        <w:t xml:space="preserve"> OAC 4901:1-10-30, </w:t>
      </w:r>
      <w:r>
        <w:rPr>
          <w:rFonts w:cs="Times New Roman"/>
          <w:szCs w:val="24"/>
        </w:rPr>
        <w:t>AEP</w:t>
      </w:r>
      <w:r w:rsidRPr="002859B8">
        <w:rPr>
          <w:rFonts w:cs="Times New Roman"/>
          <w:szCs w:val="24"/>
        </w:rPr>
        <w:t xml:space="preserve"> is required to comply with the Reliability Performance Standards under OAC 4901:1-10-10, 4901:1-10-26, 4904:1-10-27.</w:t>
      </w:r>
      <w:r>
        <w:rPr>
          <w:rFonts w:cs="Times New Roman"/>
          <w:szCs w:val="24"/>
        </w:rPr>
        <w:t xml:space="preserve"> Despite spending over $26 million dollars,</w:t>
      </w:r>
      <w:r>
        <w:rPr>
          <w:rStyle w:val="FootnoteReference"/>
          <w:rFonts w:cs="Times New Roman"/>
          <w:szCs w:val="24"/>
        </w:rPr>
        <w:footnoteReference w:id="20"/>
      </w:r>
      <w:r>
        <w:rPr>
          <w:rFonts w:cs="Times New Roman"/>
          <w:szCs w:val="24"/>
        </w:rPr>
        <w:t xml:space="preserve"> AEP has failed to comply with its proactive four</w:t>
      </w:r>
      <w:r w:rsidR="00371C04">
        <w:rPr>
          <w:rFonts w:cs="Times New Roman"/>
          <w:szCs w:val="24"/>
        </w:rPr>
        <w:t>-</w:t>
      </w:r>
      <w:r>
        <w:rPr>
          <w:rFonts w:cs="Times New Roman"/>
          <w:szCs w:val="24"/>
        </w:rPr>
        <w:t xml:space="preserve"> year cycle-based tree-trimming program.</w:t>
      </w:r>
      <w:r>
        <w:rPr>
          <w:rStyle w:val="FootnoteReference"/>
          <w:rFonts w:cs="Times New Roman"/>
          <w:szCs w:val="24"/>
        </w:rPr>
        <w:footnoteReference w:id="21"/>
      </w:r>
    </w:p>
    <w:p w:rsidR="00F10A71" w:rsidRPr="002859B8" w:rsidP="00F10A71">
      <w:pPr>
        <w:autoSpaceDE w:val="0"/>
        <w:autoSpaceDN w:val="0"/>
        <w:adjustRightInd w:val="0"/>
        <w:spacing w:after="0" w:line="240" w:lineRule="auto"/>
        <w:ind w:firstLine="720"/>
        <w:rPr>
          <w:rFonts w:cs="Times New Roman"/>
          <w:szCs w:val="24"/>
        </w:rPr>
      </w:pPr>
    </w:p>
    <w:p w:rsidR="00C43634" w:rsidP="00C43634">
      <w:pPr>
        <w:pStyle w:val="Heading1"/>
      </w:pPr>
      <w:bookmarkStart w:id="4" w:name="_Toc12543427"/>
      <w:r>
        <w:t>R</w:t>
      </w:r>
      <w:r w:rsidRPr="00517C65">
        <w:t>ECOMMENDATIONS</w:t>
      </w:r>
      <w:bookmarkEnd w:id="4"/>
      <w:r w:rsidRPr="00517C65">
        <w:t xml:space="preserve"> </w:t>
      </w:r>
    </w:p>
    <w:p w:rsidR="00F0006F" w:rsidP="00F10A71">
      <w:pPr>
        <w:pStyle w:val="Heading2"/>
      </w:pPr>
      <w:bookmarkStart w:id="5" w:name="_Toc12543428"/>
      <w:r>
        <w:t>The PUCO should consider AEP’s current reliability performance and disallow its request for additional funding because its proposal is inconsistent with the terms of the order, including the spending cap, approving the 2016 tree-trimming rider.</w:t>
      </w:r>
      <w:bookmarkEnd w:id="5"/>
    </w:p>
    <w:p w:rsidR="00723624" w:rsidP="0024247A">
      <w:pPr>
        <w:spacing w:after="0" w:line="480" w:lineRule="auto"/>
        <w:ind w:firstLine="720"/>
      </w:pPr>
      <w:r>
        <w:rPr>
          <w:rFonts w:cs="Times New Roman"/>
          <w:iCs/>
          <w:szCs w:val="24"/>
        </w:rPr>
        <w:t xml:space="preserve">In its most recent rider update filing, AEP proposed a collection from customers of $33,379, 649, which consists of $28.1 million in operations and management costs and $5.3 million in capital related expenditures (the carrying charged for capital investments made in 2016 and prior years). This is an additional </w:t>
      </w:r>
      <w:r>
        <w:t>$3,428,508 above what the PUCO approved in AEP’s last rate case.</w:t>
      </w:r>
      <w:r>
        <w:rPr>
          <w:rStyle w:val="FootnoteReference"/>
        </w:rPr>
        <w:footnoteReference w:id="22"/>
      </w:r>
      <w:r>
        <w:t xml:space="preserve"> </w:t>
      </w:r>
    </w:p>
    <w:p w:rsidR="0024247A" w:rsidP="0024247A">
      <w:pPr>
        <w:spacing w:after="0" w:line="480" w:lineRule="auto"/>
        <w:ind w:firstLine="720"/>
        <w:rPr>
          <w:rFonts w:cs="Times New Roman"/>
          <w:iCs/>
          <w:szCs w:val="24"/>
        </w:rPr>
      </w:pPr>
      <w:r>
        <w:rPr>
          <w:rFonts w:cs="Times New Roman"/>
          <w:iCs/>
          <w:szCs w:val="24"/>
        </w:rPr>
        <w:t xml:space="preserve">As OCC expert witness Hecker testified, OCC agrees </w:t>
      </w:r>
      <w:r w:rsidRPr="009A3D94">
        <w:rPr>
          <w:rFonts w:cs="Times New Roman"/>
          <w:iCs/>
          <w:szCs w:val="24"/>
        </w:rPr>
        <w:t xml:space="preserve">with Staff’s recommendation that AEP should be held to the forecasted </w:t>
      </w:r>
      <w:r>
        <w:rPr>
          <w:rFonts w:cs="Times New Roman"/>
          <w:iCs/>
          <w:szCs w:val="24"/>
        </w:rPr>
        <w:t>O&amp;M expenses of $25 million and $1 million of capital expenditures – the cap set by the PUCO.</w:t>
      </w:r>
      <w:r>
        <w:rPr>
          <w:rStyle w:val="FootnoteReference"/>
          <w:rFonts w:cs="Times New Roman"/>
          <w:iCs/>
          <w:szCs w:val="24"/>
        </w:rPr>
        <w:footnoteReference w:id="23"/>
      </w:r>
      <w:r>
        <w:rPr>
          <w:rFonts w:cs="Times New Roman"/>
          <w:iCs/>
          <w:szCs w:val="24"/>
        </w:rPr>
        <w:t xml:space="preserve"> According to OCC witness Hecker, when</w:t>
      </w:r>
      <w:r w:rsidRPr="009A3D94">
        <w:rPr>
          <w:rFonts w:cs="Times New Roman"/>
          <w:iCs/>
          <w:szCs w:val="24"/>
        </w:rPr>
        <w:t xml:space="preserve"> past over</w:t>
      </w:r>
      <w:r>
        <w:rPr>
          <w:rFonts w:cs="Times New Roman"/>
          <w:iCs/>
          <w:szCs w:val="24"/>
        </w:rPr>
        <w:t>-</w:t>
      </w:r>
      <w:r w:rsidRPr="009A3D94">
        <w:rPr>
          <w:rFonts w:cs="Times New Roman"/>
          <w:iCs/>
          <w:szCs w:val="24"/>
        </w:rPr>
        <w:t xml:space="preserve">recoveries are factored in, the amount of </w:t>
      </w:r>
      <w:r>
        <w:rPr>
          <w:rFonts w:cs="Times New Roman"/>
          <w:iCs/>
          <w:szCs w:val="24"/>
        </w:rPr>
        <w:t>collections from customers</w:t>
      </w:r>
      <w:r w:rsidRPr="009A3D94">
        <w:rPr>
          <w:rFonts w:cs="Times New Roman"/>
          <w:iCs/>
          <w:szCs w:val="24"/>
        </w:rPr>
        <w:t xml:space="preserve"> </w:t>
      </w:r>
      <w:r>
        <w:rPr>
          <w:rFonts w:cs="Times New Roman"/>
          <w:iCs/>
          <w:szCs w:val="24"/>
        </w:rPr>
        <w:t>OCC</w:t>
      </w:r>
      <w:r w:rsidRPr="009A3D94">
        <w:rPr>
          <w:rFonts w:cs="Times New Roman"/>
          <w:iCs/>
          <w:szCs w:val="24"/>
        </w:rPr>
        <w:t xml:space="preserve"> recommend</w:t>
      </w:r>
      <w:r>
        <w:rPr>
          <w:rFonts w:cs="Times New Roman"/>
          <w:iCs/>
          <w:szCs w:val="24"/>
        </w:rPr>
        <w:t>s</w:t>
      </w:r>
      <w:r w:rsidRPr="009A3D94">
        <w:rPr>
          <w:rFonts w:cs="Times New Roman"/>
          <w:iCs/>
          <w:szCs w:val="24"/>
        </w:rPr>
        <w:t xml:space="preserve"> is $</w:t>
      </w:r>
      <w:r>
        <w:rPr>
          <w:rFonts w:cs="Times New Roman"/>
          <w:iCs/>
          <w:szCs w:val="24"/>
        </w:rPr>
        <w:t>5,759,255, which is consistent with PUCO Staff’s recommendation.</w:t>
      </w:r>
      <w:r>
        <w:rPr>
          <w:rStyle w:val="FootnoteReference"/>
          <w:rFonts w:cs="Times New Roman"/>
          <w:iCs/>
          <w:szCs w:val="24"/>
        </w:rPr>
        <w:footnoteReference w:id="24"/>
      </w:r>
      <w:r w:rsidRPr="009A3D94">
        <w:rPr>
          <w:rFonts w:cs="Times New Roman"/>
          <w:iCs/>
          <w:szCs w:val="24"/>
        </w:rPr>
        <w:t xml:space="preserve"> </w:t>
      </w:r>
      <w:r>
        <w:rPr>
          <w:rFonts w:cs="Times New Roman"/>
          <w:iCs/>
          <w:szCs w:val="24"/>
        </w:rPr>
        <w:t xml:space="preserve">Mr. Hecker points out that although these tree-trimming charges have </w:t>
      </w:r>
      <w:r w:rsidRPr="009A3D94">
        <w:rPr>
          <w:rFonts w:cs="Times New Roman"/>
          <w:iCs/>
          <w:szCs w:val="24"/>
        </w:rPr>
        <w:t>continued far beyond the original expiration</w:t>
      </w:r>
      <w:r>
        <w:rPr>
          <w:rFonts w:cs="Times New Roman"/>
          <w:iCs/>
          <w:szCs w:val="24"/>
        </w:rPr>
        <w:t xml:space="preserve"> period envisioned in the electric security plans, service quality to consumers has actually deteriorated, as explained further by OCC Witness Williams’ testimony.</w:t>
      </w:r>
      <w:r>
        <w:rPr>
          <w:rStyle w:val="FootnoteReference"/>
          <w:rFonts w:cs="Times New Roman"/>
          <w:iCs/>
          <w:szCs w:val="24"/>
        </w:rPr>
        <w:footnoteReference w:id="25"/>
      </w:r>
      <w:r>
        <w:rPr>
          <w:rFonts w:cs="Times New Roman"/>
          <w:iCs/>
          <w:szCs w:val="24"/>
        </w:rPr>
        <w:t xml:space="preserve"> </w:t>
      </w:r>
    </w:p>
    <w:p w:rsidR="00F0006F" w:rsidP="00F10A71">
      <w:pPr>
        <w:spacing w:after="0" w:line="480" w:lineRule="auto"/>
        <w:ind w:firstLine="720"/>
        <w:rPr>
          <w:iCs/>
        </w:rPr>
      </w:pPr>
      <w:r>
        <w:rPr>
          <w:rFonts w:cs="Times New Roman"/>
          <w:iCs/>
          <w:szCs w:val="24"/>
        </w:rPr>
        <w:t>To approve a collection from customers above $5.7 million is unreasonable and inconsistent with the terms of the order approving AEP’s most recent electric security plan.</w:t>
      </w:r>
      <w:r>
        <w:rPr>
          <w:rStyle w:val="FootnoteReference"/>
          <w:rFonts w:cs="Times New Roman"/>
          <w:iCs/>
          <w:szCs w:val="24"/>
        </w:rPr>
        <w:footnoteReference w:id="26"/>
      </w:r>
      <w:r>
        <w:rPr>
          <w:rFonts w:cs="Times New Roman"/>
          <w:iCs/>
          <w:szCs w:val="24"/>
        </w:rPr>
        <w:t>.  Consumers have already been paying millions of dollars over eleven years only to see service quality worsen. Therefore, the PUCO should not allow AEP to charge consumers above the cap set by the PUCO and collected from customers in base rates.</w:t>
      </w:r>
    </w:p>
    <w:p w:rsidR="00C43634" w:rsidP="006B7DFA">
      <w:pPr>
        <w:pStyle w:val="Heading3"/>
      </w:pPr>
      <w:bookmarkStart w:id="6" w:name="_Toc12543429"/>
      <w:r>
        <w:t>1.</w:t>
      </w:r>
      <w:r>
        <w:tab/>
        <w:t>The PUCO should disallow the total amount of $3,428,508 from AEP’s original request because its spending is not consistent with the terms of the orders approving the Electric Service Reliability Rider.</w:t>
      </w:r>
      <w:bookmarkEnd w:id="6"/>
    </w:p>
    <w:p w:rsidR="002057B4" w:rsidP="002057B4">
      <w:pPr>
        <w:spacing w:after="0" w:line="480" w:lineRule="auto"/>
        <w:ind w:firstLine="720"/>
        <w:rPr>
          <w:rFonts w:cs="Times New Roman"/>
          <w:szCs w:val="24"/>
        </w:rPr>
      </w:pPr>
      <w:r>
        <w:rPr>
          <w:rFonts w:cs="Times New Roman"/>
          <w:szCs w:val="24"/>
        </w:rPr>
        <w:t xml:space="preserve">As OCC witness Hecker explained, </w:t>
      </w:r>
      <w:r w:rsidRPr="009A3D94">
        <w:rPr>
          <w:rFonts w:cs="Times New Roman"/>
          <w:szCs w:val="24"/>
        </w:rPr>
        <w:t xml:space="preserve">AEP proposes </w:t>
      </w:r>
      <w:r>
        <w:rPr>
          <w:rFonts w:cs="Times New Roman"/>
          <w:szCs w:val="24"/>
        </w:rPr>
        <w:t xml:space="preserve">to collect from customers </w:t>
      </w:r>
      <w:r w:rsidRPr="009A3D94">
        <w:rPr>
          <w:rFonts w:cs="Times New Roman"/>
          <w:szCs w:val="24"/>
        </w:rPr>
        <w:t xml:space="preserve"> $33,379,649, which consists of approximately $28.1 million in O&amp;M charges and $5.3 million in capital-related expenditures</w:t>
      </w:r>
      <w:r>
        <w:rPr>
          <w:rFonts w:cs="Times New Roman"/>
          <w:szCs w:val="24"/>
        </w:rPr>
        <w:t xml:space="preserve"> (specifically, the carrying charges for capital investments made in 2016 and prior years)</w:t>
      </w:r>
      <w:r w:rsidRPr="009A3D94">
        <w:rPr>
          <w:rFonts w:cs="Times New Roman"/>
          <w:szCs w:val="24"/>
        </w:rPr>
        <w:t>.</w:t>
      </w:r>
      <w:r>
        <w:rPr>
          <w:rStyle w:val="FootnoteReference"/>
          <w:rFonts w:cs="Times New Roman"/>
          <w:szCs w:val="24"/>
        </w:rPr>
        <w:footnoteReference w:id="27"/>
      </w:r>
      <w:r w:rsidRPr="009A3D94">
        <w:rPr>
          <w:rFonts w:cs="Times New Roman"/>
          <w:szCs w:val="24"/>
        </w:rPr>
        <w:t xml:space="preserve">  </w:t>
      </w:r>
      <w:r>
        <w:rPr>
          <w:rFonts w:cs="Times New Roman"/>
          <w:szCs w:val="24"/>
        </w:rPr>
        <w:t>Mr. Hecker further explained that w</w:t>
      </w:r>
      <w:r w:rsidRPr="009A3D94">
        <w:rPr>
          <w:rFonts w:cs="Times New Roman"/>
          <w:szCs w:val="24"/>
        </w:rPr>
        <w:t xml:space="preserve">hen accounting for over-collections from prior years and carrying charges, the total </w:t>
      </w:r>
      <w:r>
        <w:rPr>
          <w:rFonts w:cs="Times New Roman"/>
          <w:szCs w:val="24"/>
        </w:rPr>
        <w:t>collection for customers</w:t>
      </w:r>
      <w:r w:rsidRPr="009A3D94">
        <w:rPr>
          <w:rFonts w:cs="Times New Roman"/>
          <w:szCs w:val="24"/>
        </w:rPr>
        <w:t xml:space="preserve"> requested for this case is $9,187,763, which would </w:t>
      </w:r>
      <w:r>
        <w:rPr>
          <w:rFonts w:cs="Times New Roman"/>
          <w:szCs w:val="24"/>
        </w:rPr>
        <w:t xml:space="preserve">equal </w:t>
      </w:r>
      <w:r w:rsidRPr="009A3D94">
        <w:rPr>
          <w:rFonts w:cs="Times New Roman"/>
          <w:szCs w:val="24"/>
        </w:rPr>
        <w:t>1.44775% of base distribution revenue.</w:t>
      </w:r>
      <w:r>
        <w:rPr>
          <w:rStyle w:val="FootnoteReference"/>
          <w:rFonts w:cs="Times New Roman"/>
          <w:szCs w:val="24"/>
        </w:rPr>
        <w:footnoteReference w:id="28"/>
      </w:r>
      <w:r w:rsidRPr="009A3D94">
        <w:rPr>
          <w:rFonts w:cs="Times New Roman"/>
          <w:szCs w:val="24"/>
        </w:rPr>
        <w:t xml:space="preserve">   </w:t>
      </w:r>
    </w:p>
    <w:p w:rsidR="004B552C" w:rsidRPr="009A3D94" w:rsidP="003B2214">
      <w:pPr>
        <w:spacing w:after="0" w:line="480" w:lineRule="auto"/>
        <w:ind w:firstLine="720"/>
        <w:rPr>
          <w:rFonts w:cs="Times New Roman"/>
          <w:iCs/>
          <w:szCs w:val="24"/>
        </w:rPr>
      </w:pPr>
      <w:r>
        <w:rPr>
          <w:rFonts w:cs="Times New Roman"/>
          <w:szCs w:val="24"/>
        </w:rPr>
        <w:t>OCC Witness Hecker agreed with Staff’s calculation of a collection from customers of $5,759,255, which was recommended in Staff’s March 29, 2019 comments.</w:t>
      </w:r>
      <w:r>
        <w:rPr>
          <w:rStyle w:val="FootnoteReference"/>
          <w:rFonts w:cs="Times New Roman"/>
          <w:szCs w:val="24"/>
        </w:rPr>
        <w:footnoteReference w:id="29"/>
      </w:r>
      <w:r>
        <w:rPr>
          <w:rFonts w:cs="Times New Roman"/>
          <w:szCs w:val="24"/>
        </w:rPr>
        <w:t xml:space="preserve">  Mr. Hecker calculated that Staff’s adjustment represents a reduction of $3,428,508 from AEP’s request.</w:t>
      </w:r>
      <w:r>
        <w:rPr>
          <w:rStyle w:val="FootnoteReference"/>
          <w:rFonts w:cs="Times New Roman"/>
          <w:szCs w:val="24"/>
        </w:rPr>
        <w:footnoteReference w:id="30"/>
      </w:r>
      <w:r>
        <w:rPr>
          <w:rFonts w:cs="Times New Roman"/>
          <w:szCs w:val="24"/>
        </w:rPr>
        <w:t xml:space="preserve">  Disagreeing with</w:t>
      </w:r>
      <w:r w:rsidRPr="004B552C">
        <w:rPr>
          <w:rFonts w:cs="Times New Roman"/>
          <w:szCs w:val="24"/>
        </w:rPr>
        <w:t xml:space="preserve"> AEP </w:t>
      </w:r>
      <w:r>
        <w:rPr>
          <w:rFonts w:cs="Times New Roman"/>
          <w:szCs w:val="24"/>
        </w:rPr>
        <w:t>w</w:t>
      </w:r>
      <w:r w:rsidRPr="004B552C">
        <w:rPr>
          <w:rFonts w:cs="Times New Roman"/>
          <w:szCs w:val="24"/>
        </w:rPr>
        <w:t>itness Andrea Moore</w:t>
      </w:r>
      <w:r>
        <w:rPr>
          <w:rFonts w:cs="Times New Roman"/>
          <w:szCs w:val="24"/>
        </w:rPr>
        <w:t>,</w:t>
      </w:r>
      <w:r>
        <w:rPr>
          <w:vertAlign w:val="superscript"/>
        </w:rPr>
        <w:footnoteReference w:id="31"/>
      </w:r>
      <w:r>
        <w:rPr>
          <w:rFonts w:cs="Times New Roman"/>
          <w:b/>
          <w:szCs w:val="24"/>
        </w:rPr>
        <w:t xml:space="preserve"> </w:t>
      </w:r>
      <w:r>
        <w:rPr>
          <w:rFonts w:cs="Times New Roman"/>
          <w:bCs/>
          <w:szCs w:val="24"/>
        </w:rPr>
        <w:t xml:space="preserve">who asserts that there is no cap on AEP’s tree-trimming rider spending except for the check of a “prudency” review, </w:t>
      </w:r>
      <w:r>
        <w:rPr>
          <w:rStyle w:val="FootnoteReference"/>
          <w:rFonts w:cs="Times New Roman"/>
          <w:iCs/>
          <w:szCs w:val="24"/>
        </w:rPr>
        <w:footnoteReference w:id="32"/>
      </w:r>
      <w:r w:rsidRPr="009A3D94">
        <w:rPr>
          <w:rFonts w:cs="Times New Roman"/>
          <w:iCs/>
          <w:szCs w:val="24"/>
        </w:rPr>
        <w:t xml:space="preserve">  </w:t>
      </w:r>
      <w:r>
        <w:rPr>
          <w:rFonts w:cs="Times New Roman"/>
          <w:iCs/>
          <w:szCs w:val="24"/>
        </w:rPr>
        <w:t xml:space="preserve">OCC witness Hecker pointed out that </w:t>
      </w:r>
      <w:r w:rsidRPr="009A3D94">
        <w:rPr>
          <w:rFonts w:cs="Times New Roman"/>
          <w:iCs/>
          <w:szCs w:val="24"/>
        </w:rPr>
        <w:t>“</w:t>
      </w:r>
      <w:r>
        <w:rPr>
          <w:rFonts w:cs="Times New Roman"/>
          <w:iCs/>
          <w:szCs w:val="24"/>
        </w:rPr>
        <w:t>p</w:t>
      </w:r>
      <w:r w:rsidRPr="009A3D94">
        <w:rPr>
          <w:rFonts w:cs="Times New Roman"/>
          <w:iCs/>
          <w:szCs w:val="24"/>
        </w:rPr>
        <w:t xml:space="preserve">rudency” necessitates “careful” and “responsible” actions.  </w:t>
      </w:r>
      <w:r>
        <w:rPr>
          <w:rFonts w:cs="Times New Roman"/>
          <w:iCs/>
          <w:szCs w:val="24"/>
        </w:rPr>
        <w:t>There</w:t>
      </w:r>
      <w:r w:rsidRPr="009A3D94">
        <w:rPr>
          <w:rFonts w:cs="Times New Roman"/>
          <w:iCs/>
          <w:szCs w:val="24"/>
        </w:rPr>
        <w:t xml:space="preserve"> would be neither careful nor responsible actions – or prudent expenditures – without a cap.</w:t>
      </w:r>
      <w:r>
        <w:rPr>
          <w:rStyle w:val="FootnoteReference"/>
          <w:rFonts w:cs="Times New Roman"/>
          <w:iCs/>
          <w:szCs w:val="24"/>
        </w:rPr>
        <w:footnoteReference w:id="33"/>
      </w:r>
      <w:r>
        <w:rPr>
          <w:rFonts w:cs="Times New Roman"/>
          <w:iCs/>
          <w:szCs w:val="24"/>
        </w:rPr>
        <w:t xml:space="preserve"> Therefore, Mr. Hecker testified, he </w:t>
      </w:r>
      <w:r w:rsidRPr="009A3D94">
        <w:rPr>
          <w:rFonts w:cs="Times New Roman"/>
          <w:iCs/>
          <w:szCs w:val="24"/>
        </w:rPr>
        <w:t>agree</w:t>
      </w:r>
      <w:r>
        <w:rPr>
          <w:rFonts w:cs="Times New Roman"/>
          <w:iCs/>
          <w:szCs w:val="24"/>
        </w:rPr>
        <w:t>s</w:t>
      </w:r>
      <w:r w:rsidRPr="009A3D94">
        <w:rPr>
          <w:rFonts w:cs="Times New Roman"/>
          <w:iCs/>
          <w:szCs w:val="24"/>
        </w:rPr>
        <w:t xml:space="preserve"> with Staff that without some control</w:t>
      </w:r>
      <w:r>
        <w:rPr>
          <w:rFonts w:cs="Times New Roman"/>
          <w:iCs/>
          <w:szCs w:val="24"/>
        </w:rPr>
        <w:t xml:space="preserve"> (a cap)</w:t>
      </w:r>
      <w:r w:rsidRPr="009A3D94">
        <w:rPr>
          <w:rFonts w:cs="Times New Roman"/>
          <w:iCs/>
          <w:szCs w:val="24"/>
        </w:rPr>
        <w:t>, AEP has</w:t>
      </w:r>
      <w:r>
        <w:rPr>
          <w:rFonts w:cs="Times New Roman"/>
          <w:iCs/>
          <w:szCs w:val="24"/>
        </w:rPr>
        <w:t xml:space="preserve"> what the</w:t>
      </w:r>
      <w:r w:rsidRPr="009A3D94">
        <w:rPr>
          <w:rFonts w:cs="Times New Roman"/>
          <w:iCs/>
          <w:szCs w:val="24"/>
        </w:rPr>
        <w:t xml:space="preserve"> </w:t>
      </w:r>
      <w:r>
        <w:rPr>
          <w:rFonts w:cs="Times New Roman"/>
          <w:iCs/>
          <w:szCs w:val="24"/>
        </w:rPr>
        <w:t>PUCO</w:t>
      </w:r>
      <w:r w:rsidRPr="009A3D94">
        <w:rPr>
          <w:rFonts w:cs="Times New Roman"/>
          <w:iCs/>
          <w:szCs w:val="24"/>
        </w:rPr>
        <w:t xml:space="preserve"> </w:t>
      </w:r>
      <w:r>
        <w:rPr>
          <w:rFonts w:cs="Times New Roman"/>
          <w:iCs/>
          <w:szCs w:val="24"/>
        </w:rPr>
        <w:t xml:space="preserve">has called </w:t>
      </w:r>
      <w:r w:rsidRPr="009A3D94">
        <w:rPr>
          <w:rFonts w:cs="Times New Roman"/>
          <w:iCs/>
          <w:szCs w:val="24"/>
        </w:rPr>
        <w:t>a “blank check” to spend whatever it wants.</w:t>
      </w:r>
      <w:r>
        <w:rPr>
          <w:rStyle w:val="FootnoteReference"/>
          <w:rFonts w:cs="Times New Roman"/>
          <w:iCs/>
          <w:szCs w:val="24"/>
        </w:rPr>
        <w:footnoteReference w:id="34"/>
      </w:r>
      <w:r w:rsidRPr="009A3D94">
        <w:rPr>
          <w:rFonts w:cs="Times New Roman"/>
          <w:iCs/>
          <w:szCs w:val="24"/>
        </w:rPr>
        <w:t xml:space="preserve">   </w:t>
      </w:r>
    </w:p>
    <w:p w:rsidR="0024247A" w:rsidP="004B552C">
      <w:pPr>
        <w:spacing w:after="0" w:line="480" w:lineRule="auto"/>
        <w:ind w:firstLine="720"/>
        <w:rPr>
          <w:rFonts w:cs="Times New Roman"/>
          <w:szCs w:val="24"/>
        </w:rPr>
      </w:pPr>
      <w:r>
        <w:rPr>
          <w:rFonts w:cs="Times New Roman"/>
          <w:szCs w:val="24"/>
        </w:rPr>
        <w:t xml:space="preserve">OCC witness Hecker concluded that </w:t>
      </w:r>
      <w:r w:rsidRPr="009A3D94">
        <w:rPr>
          <w:rFonts w:cs="Times New Roman"/>
          <w:szCs w:val="24"/>
        </w:rPr>
        <w:t>AEP should be allowed to collect only those vegetation management expenditure</w:t>
      </w:r>
      <w:r>
        <w:rPr>
          <w:rFonts w:cs="Times New Roman"/>
          <w:szCs w:val="24"/>
        </w:rPr>
        <w:t>s</w:t>
      </w:r>
      <w:r w:rsidRPr="009A3D94">
        <w:rPr>
          <w:rFonts w:cs="Times New Roman"/>
          <w:szCs w:val="24"/>
        </w:rPr>
        <w:t xml:space="preserve"> </w:t>
      </w:r>
      <w:r>
        <w:rPr>
          <w:rFonts w:cs="Times New Roman"/>
          <w:szCs w:val="24"/>
        </w:rPr>
        <w:t xml:space="preserve">(including O&amp;M expenses and carrying charges on capital investments) </w:t>
      </w:r>
      <w:r w:rsidRPr="009A3D94">
        <w:rPr>
          <w:rFonts w:cs="Times New Roman"/>
          <w:szCs w:val="24"/>
        </w:rPr>
        <w:t>under the caps previously approved by the PUCO</w:t>
      </w:r>
      <w:r>
        <w:rPr>
          <w:rFonts w:cs="Times New Roman"/>
          <w:szCs w:val="24"/>
        </w:rPr>
        <w:t>.,  This includes O&amp;M expenses of $25 million and capital expenditures of $1 million.</w:t>
      </w:r>
      <w:r>
        <w:rPr>
          <w:rStyle w:val="FootnoteReference"/>
          <w:rFonts w:cs="Times New Roman"/>
          <w:szCs w:val="24"/>
        </w:rPr>
        <w:footnoteReference w:id="35"/>
      </w:r>
      <w:r>
        <w:rPr>
          <w:rFonts w:cs="Times New Roman"/>
          <w:szCs w:val="24"/>
        </w:rPr>
        <w:t xml:space="preserve">  No more.</w:t>
      </w:r>
    </w:p>
    <w:p w:rsidR="002529FF" w:rsidP="006B7DFA">
      <w:pPr>
        <w:pStyle w:val="Heading3"/>
      </w:pPr>
      <w:bookmarkStart w:id="7" w:name="_Toc12543430"/>
      <w:r>
        <w:t>2.</w:t>
      </w:r>
      <w:r>
        <w:tab/>
        <w:t xml:space="preserve">Ohio law requires that </w:t>
      </w:r>
      <w:r w:rsidRPr="008D5F15">
        <w:t>every public utility furnish necessary and adequate service and facilities, and that all charges for any service be just and reasonable</w:t>
      </w:r>
      <w:r>
        <w:t>.</w:t>
      </w:r>
      <w:bookmarkEnd w:id="7"/>
      <w:r>
        <w:t xml:space="preserve"> </w:t>
      </w:r>
    </w:p>
    <w:p w:rsidR="004B552C" w:rsidP="00E145DD">
      <w:pPr>
        <w:spacing w:after="0" w:line="480" w:lineRule="auto"/>
        <w:ind w:firstLine="720"/>
      </w:pPr>
      <w:r w:rsidRPr="00DA429E">
        <w:t xml:space="preserve">AEP has not provided necessary and adequate service for just and reasonable charges. It has greatly exceeded the cap set by the PUCO. Therefore, to protect consumers, the PUCO should disallow the total amount of $3,428,508 from AEP’s requested 2016 collection from customers. </w:t>
      </w:r>
      <w:r>
        <w:t xml:space="preserve">The PUCO should discontinue the Enhanced Service Stability Rider immediately (or at the latest, in AEP’s next rate case) because the rates are not just and reasonable as required by </w:t>
      </w:r>
      <w:r w:rsidRPr="008D5F15">
        <w:t>R.C. 4905.22</w:t>
      </w:r>
      <w:r>
        <w:t>.</w:t>
      </w:r>
    </w:p>
    <w:p w:rsidR="004B552C" w:rsidP="007C40CB">
      <w:pPr>
        <w:spacing w:after="0" w:line="480" w:lineRule="auto"/>
        <w:ind w:firstLine="720"/>
      </w:pPr>
      <w:r>
        <w:t>OCC expert witness Mr. James Williams explained that AEP is required to file a distribution rate case by June 1, 2020.</w:t>
      </w:r>
      <w:r>
        <w:rPr>
          <w:rStyle w:val="FootnoteReference"/>
        </w:rPr>
        <w:footnoteReference w:id="36"/>
      </w:r>
      <w:r>
        <w:t xml:space="preserve">  As Mr. Williams pointed out, that rate case provides the opportunity for AEP to establish new base rates that include the reasonable costs to provide an effective vegetation management program without separate incremental funding through the tree-trimming rider.</w:t>
      </w:r>
      <w:r>
        <w:rPr>
          <w:rStyle w:val="FootnoteReference"/>
        </w:rPr>
        <w:footnoteReference w:id="37"/>
      </w:r>
      <w:r>
        <w:t xml:space="preserve"> The rate case also provides the opportunity for a full examination of revenues and expenses to help ensure that customers are charged just and reasonable rates for electric service.</w:t>
      </w:r>
      <w:r>
        <w:rPr>
          <w:rStyle w:val="FootnoteReference"/>
        </w:rPr>
        <w:footnoteReference w:id="38"/>
      </w:r>
    </w:p>
    <w:p w:rsidR="004B552C" w:rsidP="007C40CB">
      <w:pPr>
        <w:spacing w:after="0" w:line="480" w:lineRule="auto"/>
        <w:ind w:firstLine="720"/>
        <w:rPr>
          <w:rFonts w:cs="Times New Roman"/>
          <w:iCs/>
          <w:szCs w:val="24"/>
        </w:rPr>
      </w:pPr>
      <w:r>
        <w:rPr>
          <w:rFonts w:cs="Times New Roman"/>
          <w:iCs/>
          <w:szCs w:val="24"/>
        </w:rPr>
        <w:t>Consequently, Mr. Williams testified that his principal</w:t>
      </w:r>
      <w:r w:rsidRPr="009A3D94">
        <w:rPr>
          <w:rFonts w:cs="Times New Roman"/>
          <w:iCs/>
          <w:szCs w:val="24"/>
        </w:rPr>
        <w:t xml:space="preserve"> recommend</w:t>
      </w:r>
      <w:r>
        <w:rPr>
          <w:rFonts w:cs="Times New Roman"/>
          <w:iCs/>
          <w:szCs w:val="24"/>
        </w:rPr>
        <w:t xml:space="preserve">ation is </w:t>
      </w:r>
      <w:r w:rsidRPr="009A3D94">
        <w:rPr>
          <w:rFonts w:cs="Times New Roman"/>
          <w:iCs/>
          <w:szCs w:val="24"/>
        </w:rPr>
        <w:t xml:space="preserve">that the PUCO discontinue the </w:t>
      </w:r>
      <w:r>
        <w:rPr>
          <w:rFonts w:cs="Times New Roman"/>
          <w:iCs/>
          <w:szCs w:val="24"/>
        </w:rPr>
        <w:t>tree-trimming rider because it has resulted in more charges to consumers all the while customers are receiving inadequate service.</w:t>
      </w:r>
      <w:r w:rsidRPr="009A3D94">
        <w:rPr>
          <w:rFonts w:cs="Times New Roman"/>
          <w:iCs/>
          <w:szCs w:val="24"/>
        </w:rPr>
        <w:t>.</w:t>
      </w:r>
      <w:r>
        <w:rPr>
          <w:rStyle w:val="FootnoteReference"/>
          <w:rFonts w:cs="Times New Roman"/>
          <w:iCs/>
          <w:szCs w:val="24"/>
        </w:rPr>
        <w:footnoteReference w:id="39"/>
      </w:r>
      <w:r>
        <w:rPr>
          <w:rFonts w:cs="Times New Roman"/>
          <w:iCs/>
          <w:szCs w:val="24"/>
        </w:rPr>
        <w:t xml:space="preserve"> Mr. Williams testified that i</w:t>
      </w:r>
      <w:r w:rsidRPr="009A3D94">
        <w:rPr>
          <w:rFonts w:cs="Times New Roman"/>
          <w:iCs/>
          <w:szCs w:val="24"/>
        </w:rPr>
        <w:t xml:space="preserve">f the PUCO determines that the </w:t>
      </w:r>
      <w:r>
        <w:rPr>
          <w:rFonts w:cs="Times New Roman"/>
          <w:iCs/>
          <w:szCs w:val="24"/>
        </w:rPr>
        <w:t>tree-trimming rider</w:t>
      </w:r>
      <w:r w:rsidRPr="009A3D94">
        <w:rPr>
          <w:rFonts w:cs="Times New Roman"/>
          <w:iCs/>
          <w:szCs w:val="24"/>
        </w:rPr>
        <w:t xml:space="preserve"> </w:t>
      </w:r>
      <w:r>
        <w:rPr>
          <w:rFonts w:cs="Times New Roman"/>
          <w:iCs/>
          <w:szCs w:val="24"/>
        </w:rPr>
        <w:t xml:space="preserve">should </w:t>
      </w:r>
      <w:r w:rsidRPr="009A3D94">
        <w:rPr>
          <w:rFonts w:cs="Times New Roman"/>
          <w:iCs/>
          <w:szCs w:val="24"/>
        </w:rPr>
        <w:t>continue</w:t>
      </w:r>
      <w:r>
        <w:rPr>
          <w:rFonts w:cs="Times New Roman"/>
          <w:iCs/>
          <w:szCs w:val="24"/>
        </w:rPr>
        <w:t xml:space="preserve"> (it should not)</w:t>
      </w:r>
      <w:r w:rsidRPr="009A3D94">
        <w:rPr>
          <w:rFonts w:cs="Times New Roman"/>
          <w:iCs/>
          <w:szCs w:val="24"/>
        </w:rPr>
        <w:t>,</w:t>
      </w:r>
      <w:r>
        <w:rPr>
          <w:rFonts w:cs="Times New Roman"/>
          <w:iCs/>
          <w:szCs w:val="24"/>
        </w:rPr>
        <w:t xml:space="preserve"> </w:t>
      </w:r>
      <w:r w:rsidRPr="009A3D94">
        <w:rPr>
          <w:rFonts w:cs="Times New Roman"/>
          <w:iCs/>
          <w:szCs w:val="24"/>
        </w:rPr>
        <w:t xml:space="preserve">then </w:t>
      </w:r>
      <w:r>
        <w:rPr>
          <w:rFonts w:cs="Times New Roman"/>
          <w:iCs/>
          <w:szCs w:val="24"/>
        </w:rPr>
        <w:t xml:space="preserve">he alternatively </w:t>
      </w:r>
      <w:r w:rsidRPr="009A3D94">
        <w:rPr>
          <w:rFonts w:cs="Times New Roman"/>
          <w:iCs/>
          <w:szCs w:val="24"/>
        </w:rPr>
        <w:t>recommend</w:t>
      </w:r>
      <w:r>
        <w:rPr>
          <w:rFonts w:cs="Times New Roman"/>
          <w:iCs/>
          <w:szCs w:val="24"/>
        </w:rPr>
        <w:t>s</w:t>
      </w:r>
      <w:r w:rsidRPr="009A3D94">
        <w:rPr>
          <w:rFonts w:cs="Times New Roman"/>
          <w:iCs/>
          <w:szCs w:val="24"/>
        </w:rPr>
        <w:t xml:space="preserve"> that the </w:t>
      </w:r>
      <w:r>
        <w:rPr>
          <w:rFonts w:cs="Times New Roman"/>
          <w:iCs/>
          <w:szCs w:val="24"/>
        </w:rPr>
        <w:t>tree-trimming rider</w:t>
      </w:r>
      <w:r w:rsidRPr="009A3D94">
        <w:rPr>
          <w:rFonts w:cs="Times New Roman"/>
          <w:iCs/>
          <w:szCs w:val="24"/>
        </w:rPr>
        <w:t xml:space="preserve"> be discontinued after the next  rate case</w:t>
      </w:r>
      <w:r>
        <w:rPr>
          <w:rFonts w:cs="Times New Roman"/>
          <w:iCs/>
          <w:szCs w:val="24"/>
        </w:rPr>
        <w:t>.</w:t>
      </w:r>
      <w:r>
        <w:rPr>
          <w:rStyle w:val="FootnoteReference"/>
          <w:rFonts w:cs="Times New Roman"/>
          <w:iCs/>
          <w:szCs w:val="24"/>
        </w:rPr>
        <w:footnoteReference w:id="40"/>
      </w:r>
      <w:r w:rsidRPr="009A3D94">
        <w:rPr>
          <w:rFonts w:cs="Times New Roman"/>
          <w:iCs/>
          <w:szCs w:val="24"/>
        </w:rPr>
        <w:t xml:space="preserve">   </w:t>
      </w:r>
    </w:p>
    <w:p w:rsidR="004101A6" w:rsidP="007C40CB">
      <w:pPr>
        <w:spacing w:after="0" w:line="480" w:lineRule="auto"/>
        <w:ind w:firstLine="720"/>
      </w:pPr>
      <w:r>
        <w:t>OCC witness Williams also explained that AEP’s current vegetation management program is funded in part through base rates and through multiple riders.</w:t>
      </w:r>
      <w:r>
        <w:rPr>
          <w:rStyle w:val="FootnoteReference"/>
        </w:rPr>
        <w:footnoteReference w:id="41"/>
      </w:r>
      <w:r>
        <w:t xml:space="preserve">  This funding method impedes the ability to determine the effectiveness of the overall tree-trimming program.</w:t>
      </w:r>
      <w:r>
        <w:rPr>
          <w:rStyle w:val="FootnoteReference"/>
        </w:rPr>
        <w:footnoteReference w:id="42"/>
      </w:r>
      <w:r>
        <w:t xml:space="preserve"> Mr. Williams gave an example to illustrate this point. Although AEP claims that the tree-trimming rider primarily supports trimming trees </w:t>
      </w:r>
      <w:r w:rsidRPr="003B2214">
        <w:rPr>
          <w:i/>
          <w:iCs/>
        </w:rPr>
        <w:t>inside</w:t>
      </w:r>
      <w:r>
        <w:t xml:space="preserve"> the right of way,</w:t>
      </w:r>
      <w:r>
        <w:rPr>
          <w:rStyle w:val="FootnoteReference"/>
        </w:rPr>
        <w:footnoteReference w:id="43"/>
      </w:r>
      <w:r>
        <w:t xml:space="preserve"> the scope of the tree-trimming rider and the vegetation management plan includes requirements for tree-trimming </w:t>
      </w:r>
      <w:r w:rsidRPr="003B2214">
        <w:rPr>
          <w:i/>
          <w:iCs/>
        </w:rPr>
        <w:t>outside</w:t>
      </w:r>
      <w:r>
        <w:t xml:space="preserve"> the right of way.</w:t>
      </w:r>
      <w:r>
        <w:rPr>
          <w:rStyle w:val="FootnoteReference"/>
        </w:rPr>
        <w:footnoteReference w:id="44"/>
      </w:r>
      <w:r>
        <w:t xml:space="preserve"> Yet, Mr. Williams points out, AEP claims that outages caused by trees outside the right of way are funded through the Distribution Improvement Rider.</w:t>
      </w:r>
      <w:r>
        <w:rPr>
          <w:rStyle w:val="FootnoteReference"/>
        </w:rPr>
        <w:footnoteReference w:id="45"/>
      </w:r>
      <w:r>
        <w:t xml:space="preserve"> As Mr. Williams describes it, this shell game that AEP is playing has resulted in customers paying for tree-trimming through base rates and in multiple riders and has proven ineffective in reducing tree-caused outages.</w:t>
      </w:r>
      <w:r>
        <w:rPr>
          <w:rStyle w:val="FootnoteReference"/>
        </w:rPr>
        <w:footnoteReference w:id="46"/>
      </w:r>
      <w:r>
        <w:t xml:space="preserve">   </w:t>
      </w:r>
    </w:p>
    <w:p w:rsidR="004B552C" w:rsidRPr="009A3D94" w:rsidP="007C40CB">
      <w:pPr>
        <w:spacing w:after="0" w:line="480" w:lineRule="auto"/>
        <w:ind w:firstLine="720"/>
        <w:rPr>
          <w:rFonts w:cs="Times New Roman"/>
          <w:iCs/>
          <w:szCs w:val="24"/>
        </w:rPr>
      </w:pPr>
      <w:r>
        <w:rPr>
          <w:rFonts w:cs="Times New Roman"/>
          <w:iCs/>
          <w:szCs w:val="24"/>
        </w:rPr>
        <w:t xml:space="preserve">OCC witness Mr. Hecker also </w:t>
      </w:r>
      <w:r w:rsidRPr="009A3D94">
        <w:rPr>
          <w:rFonts w:cs="Times New Roman"/>
          <w:iCs/>
          <w:szCs w:val="24"/>
        </w:rPr>
        <w:t>recommend</w:t>
      </w:r>
      <w:r>
        <w:rPr>
          <w:rFonts w:cs="Times New Roman"/>
          <w:iCs/>
          <w:szCs w:val="24"/>
        </w:rPr>
        <w:t>s</w:t>
      </w:r>
      <w:r w:rsidRPr="009A3D94">
        <w:rPr>
          <w:rFonts w:cs="Times New Roman"/>
          <w:iCs/>
          <w:szCs w:val="24"/>
        </w:rPr>
        <w:t xml:space="preserve"> that the PUCO discontinue the </w:t>
      </w:r>
      <w:r>
        <w:rPr>
          <w:rFonts w:cs="Times New Roman"/>
          <w:iCs/>
          <w:szCs w:val="24"/>
        </w:rPr>
        <w:t>tree-trimming rider.</w:t>
      </w:r>
      <w:r>
        <w:rPr>
          <w:vertAlign w:val="superscript"/>
        </w:rPr>
        <w:footnoteReference w:id="47"/>
      </w:r>
      <w:r w:rsidRPr="009A3D94">
        <w:rPr>
          <w:rFonts w:cs="Times New Roman"/>
          <w:iCs/>
          <w:szCs w:val="24"/>
        </w:rPr>
        <w:t xml:space="preserve"> </w:t>
      </w:r>
      <w:r>
        <w:rPr>
          <w:rFonts w:cs="Times New Roman"/>
          <w:iCs/>
          <w:szCs w:val="24"/>
        </w:rPr>
        <w:t>Mr. Hecker demonstrated that the tree-trimming rider is a failed experiment.</w:t>
      </w:r>
      <w:r>
        <w:rPr>
          <w:rStyle w:val="FootnoteReference"/>
          <w:rFonts w:cs="Times New Roman"/>
          <w:iCs/>
          <w:szCs w:val="24"/>
        </w:rPr>
        <w:footnoteReference w:id="48"/>
      </w:r>
      <w:r>
        <w:rPr>
          <w:rFonts w:cs="Times New Roman"/>
          <w:iCs/>
          <w:szCs w:val="24"/>
        </w:rPr>
        <w:t xml:space="preserve"> </w:t>
      </w:r>
      <w:r w:rsidRPr="009A3D94">
        <w:rPr>
          <w:rFonts w:cs="Times New Roman"/>
          <w:iCs/>
          <w:szCs w:val="24"/>
        </w:rPr>
        <w:t xml:space="preserve"> </w:t>
      </w:r>
      <w:r>
        <w:rPr>
          <w:rFonts w:cs="Times New Roman"/>
          <w:iCs/>
          <w:szCs w:val="24"/>
        </w:rPr>
        <w:t xml:space="preserve"> It</w:t>
      </w:r>
      <w:r w:rsidRPr="009A3D94">
        <w:rPr>
          <w:rFonts w:cs="Times New Roman"/>
          <w:iCs/>
          <w:szCs w:val="24"/>
        </w:rPr>
        <w:t xml:space="preserve"> was intended to allow AEP to charge customers for its expenditures to convert from a reactive vegetation management program to a proactive four-year</w:t>
      </w:r>
      <w:r>
        <w:rPr>
          <w:rFonts w:cs="Times New Roman"/>
          <w:iCs/>
          <w:szCs w:val="24"/>
        </w:rPr>
        <w:t>,</w:t>
      </w:r>
      <w:r w:rsidRPr="009A3D94">
        <w:rPr>
          <w:rFonts w:cs="Times New Roman"/>
          <w:iCs/>
          <w:szCs w:val="24"/>
        </w:rPr>
        <w:t xml:space="preserve"> cycle-based distribution vegetation management program.</w:t>
      </w:r>
      <w:r>
        <w:rPr>
          <w:rStyle w:val="FootnoteReference"/>
          <w:rFonts w:cs="Times New Roman"/>
          <w:iCs/>
          <w:szCs w:val="24"/>
        </w:rPr>
        <w:footnoteReference w:id="49"/>
      </w:r>
      <w:r w:rsidRPr="009A3D94">
        <w:rPr>
          <w:rFonts w:cs="Times New Roman"/>
          <w:iCs/>
          <w:szCs w:val="24"/>
        </w:rPr>
        <w:t xml:space="preserve">  </w:t>
      </w:r>
      <w:r>
        <w:rPr>
          <w:rFonts w:cs="Times New Roman"/>
          <w:iCs/>
          <w:szCs w:val="24"/>
        </w:rPr>
        <w:t>Mr. Hecker emphasizes that t</w:t>
      </w:r>
      <w:r w:rsidRPr="009A3D94">
        <w:rPr>
          <w:rFonts w:cs="Times New Roman"/>
          <w:iCs/>
          <w:szCs w:val="24"/>
        </w:rPr>
        <w:t xml:space="preserve">he </w:t>
      </w:r>
      <w:r>
        <w:rPr>
          <w:rFonts w:cs="Times New Roman"/>
          <w:iCs/>
          <w:szCs w:val="24"/>
        </w:rPr>
        <w:t xml:space="preserve">implementation of the proactive </w:t>
      </w:r>
      <w:r w:rsidRPr="009A3D94">
        <w:rPr>
          <w:rFonts w:cs="Times New Roman"/>
          <w:iCs/>
          <w:szCs w:val="24"/>
        </w:rPr>
        <w:t xml:space="preserve">program (and </w:t>
      </w:r>
      <w:r>
        <w:rPr>
          <w:rFonts w:cs="Times New Roman"/>
          <w:iCs/>
          <w:szCs w:val="24"/>
        </w:rPr>
        <w:t>the tree-trimming rider</w:t>
      </w:r>
      <w:r w:rsidRPr="009A3D94">
        <w:rPr>
          <w:rFonts w:cs="Times New Roman"/>
          <w:iCs/>
          <w:szCs w:val="24"/>
        </w:rPr>
        <w:t xml:space="preserve">) </w:t>
      </w:r>
      <w:r>
        <w:rPr>
          <w:rFonts w:cs="Times New Roman"/>
          <w:iCs/>
          <w:szCs w:val="24"/>
        </w:rPr>
        <w:t>has already been</w:t>
      </w:r>
      <w:r w:rsidRPr="009A3D94">
        <w:rPr>
          <w:rFonts w:cs="Times New Roman"/>
          <w:iCs/>
          <w:szCs w:val="24"/>
        </w:rPr>
        <w:t xml:space="preserve"> extended twice</w:t>
      </w:r>
      <w:r>
        <w:rPr>
          <w:rFonts w:cs="Times New Roman"/>
          <w:iCs/>
          <w:szCs w:val="24"/>
        </w:rPr>
        <w:t xml:space="preserve"> and explained that w</w:t>
      </w:r>
      <w:r w:rsidRPr="009A3D94">
        <w:rPr>
          <w:rFonts w:cs="Times New Roman"/>
          <w:iCs/>
          <w:szCs w:val="24"/>
        </w:rPr>
        <w:t>hat started as a rider to implement a four-year</w:t>
      </w:r>
      <w:r>
        <w:rPr>
          <w:rFonts w:cs="Times New Roman"/>
          <w:iCs/>
          <w:szCs w:val="24"/>
        </w:rPr>
        <w:t xml:space="preserve">, </w:t>
      </w:r>
      <w:r w:rsidRPr="009A3D94">
        <w:rPr>
          <w:rFonts w:cs="Times New Roman"/>
          <w:iCs/>
          <w:szCs w:val="24"/>
        </w:rPr>
        <w:t xml:space="preserve">cycle-based vegetation management program has morphed into a permanent source of </w:t>
      </w:r>
      <w:r>
        <w:rPr>
          <w:rFonts w:cs="Times New Roman"/>
          <w:iCs/>
          <w:szCs w:val="24"/>
        </w:rPr>
        <w:t xml:space="preserve">extra </w:t>
      </w:r>
      <w:r w:rsidRPr="009A3D94">
        <w:rPr>
          <w:rFonts w:cs="Times New Roman"/>
          <w:iCs/>
          <w:szCs w:val="24"/>
        </w:rPr>
        <w:t>revenue for AEP.</w:t>
      </w:r>
      <w:r>
        <w:rPr>
          <w:rStyle w:val="FootnoteReference"/>
          <w:rFonts w:cs="Times New Roman"/>
          <w:iCs/>
          <w:szCs w:val="24"/>
        </w:rPr>
        <w:footnoteReference w:id="50"/>
      </w:r>
      <w:r w:rsidRPr="009A3D94">
        <w:rPr>
          <w:rFonts w:cs="Times New Roman"/>
          <w:iCs/>
          <w:szCs w:val="24"/>
        </w:rPr>
        <w:t xml:space="preserve"> </w:t>
      </w:r>
      <w:r>
        <w:rPr>
          <w:rFonts w:cs="Times New Roman"/>
          <w:iCs/>
          <w:szCs w:val="24"/>
        </w:rPr>
        <w:t xml:space="preserve"> Mr. Hecker concluded that although t</w:t>
      </w:r>
      <w:r w:rsidRPr="009A3D94">
        <w:rPr>
          <w:rFonts w:cs="Times New Roman"/>
          <w:iCs/>
          <w:szCs w:val="24"/>
        </w:rPr>
        <w:t>ree-trimming costs are an integral part of providing safe and reliable electric service</w:t>
      </w:r>
      <w:r>
        <w:rPr>
          <w:rFonts w:cs="Times New Roman"/>
          <w:iCs/>
          <w:szCs w:val="24"/>
        </w:rPr>
        <w:t xml:space="preserve">, they </w:t>
      </w:r>
      <w:r w:rsidRPr="009A3D94">
        <w:rPr>
          <w:rFonts w:cs="Times New Roman"/>
          <w:iCs/>
          <w:szCs w:val="24"/>
        </w:rPr>
        <w:t>should be addressed in base rate proceedings where all distribution related revenues and expenses are examined</w:t>
      </w:r>
      <w:r>
        <w:rPr>
          <w:rFonts w:cs="Times New Roman"/>
          <w:iCs/>
          <w:szCs w:val="24"/>
        </w:rPr>
        <w:t xml:space="preserve"> simultaneously </w:t>
      </w:r>
      <w:r w:rsidRPr="009A3D94">
        <w:rPr>
          <w:rFonts w:cs="Times New Roman"/>
          <w:iCs/>
          <w:szCs w:val="24"/>
        </w:rPr>
        <w:t>to ensure that rates being charged to customers are just and reasonable</w:t>
      </w:r>
      <w:r>
        <w:rPr>
          <w:rFonts w:cs="Times New Roman"/>
          <w:iCs/>
          <w:szCs w:val="24"/>
        </w:rPr>
        <w:t xml:space="preserve"> as required by R.C. 4909.15(A)</w:t>
      </w:r>
      <w:r w:rsidRPr="009A3D94">
        <w:rPr>
          <w:rFonts w:cs="Times New Roman"/>
          <w:iCs/>
          <w:szCs w:val="24"/>
        </w:rPr>
        <w:t>.</w:t>
      </w:r>
      <w:r>
        <w:rPr>
          <w:vertAlign w:val="superscript"/>
        </w:rPr>
        <w:footnoteReference w:id="51"/>
      </w:r>
      <w:r w:rsidRPr="007C40CB">
        <w:rPr>
          <w:rFonts w:cs="Times New Roman"/>
          <w:iCs/>
          <w:szCs w:val="24"/>
          <w:vertAlign w:val="superscript"/>
        </w:rPr>
        <w:t xml:space="preserve"> </w:t>
      </w:r>
    </w:p>
    <w:p w:rsidR="00082120" w:rsidP="00F10A71">
      <w:pPr>
        <w:spacing w:after="0" w:line="480" w:lineRule="auto"/>
        <w:ind w:firstLine="720"/>
      </w:pPr>
      <w:r>
        <w:t>The</w:t>
      </w:r>
      <w:r w:rsidRPr="009A3D94">
        <w:rPr>
          <w:rFonts w:cs="Times New Roman"/>
          <w:iCs/>
          <w:szCs w:val="24"/>
        </w:rPr>
        <w:t xml:space="preserve"> PUCO </w:t>
      </w:r>
      <w:r>
        <w:rPr>
          <w:rFonts w:cs="Times New Roman"/>
          <w:iCs/>
          <w:szCs w:val="24"/>
        </w:rPr>
        <w:t xml:space="preserve">should also </w:t>
      </w:r>
      <w:r w:rsidRPr="009A3D94">
        <w:rPr>
          <w:rFonts w:cs="Times New Roman"/>
          <w:iCs/>
          <w:szCs w:val="24"/>
        </w:rPr>
        <w:t xml:space="preserve">discontinue the </w:t>
      </w:r>
      <w:r>
        <w:rPr>
          <w:rFonts w:cs="Times New Roman"/>
          <w:iCs/>
          <w:szCs w:val="24"/>
        </w:rPr>
        <w:t xml:space="preserve">tree-trimming rider. It has resulted in extra charges on customers all for inferior service quality. This results in rates that are not just and reasonable as required by R.C. 4905.22 and harms consumers. </w:t>
      </w:r>
    </w:p>
    <w:p w:rsidR="00B21DD8" w:rsidP="00F10A71">
      <w:pPr>
        <w:pStyle w:val="Heading2"/>
      </w:pPr>
      <w:bookmarkStart w:id="8" w:name="_Toc12543431"/>
      <w:r>
        <w:t>Under O.A.C. 4901-10-30, the PUCO should enforce reliability standards against AEP.</w:t>
      </w:r>
      <w:bookmarkEnd w:id="8"/>
    </w:p>
    <w:p w:rsidR="00B21DD8" w:rsidP="006B7DFA">
      <w:pPr>
        <w:pStyle w:val="Heading3"/>
      </w:pPr>
      <w:bookmarkStart w:id="9" w:name="_Toc12543432"/>
      <w:r>
        <w:t>1.</w:t>
      </w:r>
      <w:r>
        <w:tab/>
        <w:t>AEP has failed to comply with the minimum reliability performance standards established under OAC 4901:1-10-10.</w:t>
      </w:r>
      <w:bookmarkEnd w:id="9"/>
      <w:r>
        <w:t xml:space="preserve"> </w:t>
      </w:r>
    </w:p>
    <w:p w:rsidR="006E1B6E" w:rsidP="006E1B6E">
      <w:pPr>
        <w:spacing w:after="0" w:line="480" w:lineRule="auto"/>
        <w:ind w:firstLine="720"/>
      </w:pPr>
      <w:r>
        <w:rPr>
          <w:iCs/>
        </w:rPr>
        <w:t xml:space="preserve">AEP has not complied with the minimum reliability performance standards under O.A.C. 4901:1-10-10 due to its failure to comply with its tree-trimming requirements. </w:t>
      </w:r>
      <w:r>
        <w:t>AEP is required to meet the minimum reliability performance standards established under Ohio Adm. Code 4901:1-10-10.</w:t>
      </w:r>
      <w:r>
        <w:rPr>
          <w:rStyle w:val="FootnoteReference"/>
        </w:rPr>
        <w:footnoteReference w:id="52"/>
      </w:r>
      <w:r>
        <w:t xml:space="preserve"> The two minimum performance standards in Ohio are the System Average Interruption Frequency Index (“SAIFI”) and Customer Average Interruption Duration Index (“CAIDI”).</w:t>
      </w:r>
      <w:r>
        <w:rPr>
          <w:rStyle w:val="FootnoteReference"/>
        </w:rPr>
        <w:footnoteReference w:id="53"/>
      </w:r>
      <w:r>
        <w:t xml:space="preserve"> AEP did not meet these minimum performance standards for 2018.</w:t>
      </w:r>
      <w:r>
        <w:rPr>
          <w:rStyle w:val="FootnoteReference"/>
        </w:rPr>
        <w:footnoteReference w:id="54"/>
      </w:r>
      <w:r>
        <w:t xml:space="preserve"> Therefore, the PUCO should enforce its reliability performance standards under O.A.C. 4901:1-10-30, which provides the consequences for failure to comply with PUCO rules, standards, or orders. </w:t>
      </w:r>
    </w:p>
    <w:p w:rsidR="006E1B6E" w:rsidP="006E1B6E">
      <w:pPr>
        <w:spacing w:after="0" w:line="480" w:lineRule="auto"/>
        <w:ind w:firstLine="720"/>
      </w:pPr>
      <w:r>
        <w:t>Mr. Williams explained that SAIFI measures the average number of outages that customers will experience in a year.</w:t>
      </w:r>
      <w:r>
        <w:rPr>
          <w:rStyle w:val="FootnoteReference"/>
        </w:rPr>
        <w:footnoteReference w:id="55"/>
      </w:r>
      <w:r>
        <w:t xml:space="preserve">  He further explained that CAIDI measures the average duration of outages or the average duration of time to restore service.</w:t>
      </w:r>
      <w:r>
        <w:rPr>
          <w:rStyle w:val="FootnoteReference"/>
        </w:rPr>
        <w:footnoteReference w:id="56"/>
      </w:r>
      <w:r>
        <w:t xml:space="preserve">  A lower SAIFI value indicates better reliability performance and service quality for customers, while a higher CAIDI value indicates consumers are receiving less reliable service..</w:t>
      </w:r>
      <w:r>
        <w:rPr>
          <w:rStyle w:val="FootnoteReference"/>
        </w:rPr>
        <w:footnoteReference w:id="57"/>
      </w:r>
      <w:r>
        <w:t xml:space="preserve"> </w:t>
      </w:r>
    </w:p>
    <w:p w:rsidR="005051AD" w:rsidP="006E1B6E">
      <w:pPr>
        <w:spacing w:after="0" w:line="480" w:lineRule="auto"/>
        <w:ind w:firstLine="720"/>
        <w:rPr>
          <w:iCs/>
        </w:rPr>
      </w:pPr>
      <w:r>
        <w:rPr>
          <w:iCs/>
        </w:rPr>
        <w:t>AEP filed its most recent maintenance repair and inspection program that includes vegetation control in Case No. 15-2071-EL-ESS.</w:t>
      </w:r>
      <w:r>
        <w:rPr>
          <w:rStyle w:val="FootnoteReference"/>
          <w:iCs/>
        </w:rPr>
        <w:footnoteReference w:id="58"/>
      </w:r>
      <w:r>
        <w:rPr>
          <w:iCs/>
        </w:rPr>
        <w:t xml:space="preserve">  As OCC witness Williams testified, the vegetation management work plan specifically identifies tree-trimming requirements both inside and outside the right of way.</w:t>
      </w:r>
      <w:r>
        <w:rPr>
          <w:rStyle w:val="FootnoteReference"/>
          <w:iCs/>
        </w:rPr>
        <w:footnoteReference w:id="59"/>
      </w:r>
      <w:r>
        <w:rPr>
          <w:iCs/>
        </w:rPr>
        <w:t xml:space="preserve">  Additionally, the work plan requires AEP to proactively reduce outages caused by infested ash trees that are generally outside the normally cleared right-of-way.</w:t>
      </w:r>
    </w:p>
    <w:p w:rsidR="00B21DD8" w:rsidRPr="00D03AD5" w:rsidP="00B21DD8">
      <w:pPr>
        <w:spacing w:after="0" w:line="480" w:lineRule="auto"/>
        <w:ind w:firstLine="720"/>
      </w:pPr>
      <w:r>
        <w:t>As OCC witness Williams testified, for 2018, AEP was required to maintain minimum performance standards for SAIFI of 1.19 and for CAIDI of 149.00 minutes.</w:t>
      </w:r>
      <w:r>
        <w:rPr>
          <w:rStyle w:val="FootnoteReference"/>
        </w:rPr>
        <w:footnoteReference w:id="60"/>
      </w:r>
      <w:r>
        <w:t xml:space="preserve">  But AEP’s actual performance for 2018 was a SAIFI of 1.3 and a CAIDI of 150.32 minutes.</w:t>
      </w:r>
      <w:r>
        <w:rPr>
          <w:rStyle w:val="FootnoteReference"/>
        </w:rPr>
        <w:footnoteReference w:id="61"/>
      </w:r>
      <w:r>
        <w:t xml:space="preserve">  Therefore, Mr. Williams concluded, AEP failed to maintain minimum reliability performance for 2018.</w:t>
      </w:r>
      <w:r>
        <w:rPr>
          <w:rStyle w:val="FootnoteReference"/>
        </w:rPr>
        <w:footnoteReference w:id="62"/>
      </w:r>
      <w:r>
        <w:t xml:space="preserve"> He explained that this means customers experienced more outages and for much longer periods of time than permitted by the PUCO minimum distribution reliability performance standards.</w:t>
      </w:r>
      <w:r>
        <w:rPr>
          <w:rStyle w:val="FootnoteReference"/>
        </w:rPr>
        <w:footnoteReference w:id="63"/>
      </w:r>
      <w:r>
        <w:t xml:space="preserve"> </w:t>
      </w:r>
    </w:p>
    <w:p w:rsidR="00B21DD8" w:rsidP="00B21DD8">
      <w:pPr>
        <w:spacing w:after="0" w:line="480" w:lineRule="auto"/>
      </w:pPr>
      <w:r>
        <w:tab/>
        <w:t>Mr. Williams further testified</w:t>
      </w:r>
      <w:r>
        <w:rPr>
          <w:rStyle w:val="FootnoteReference"/>
        </w:rPr>
        <w:footnoteReference w:id="64"/>
      </w:r>
      <w:r>
        <w:t xml:space="preserve"> that as a result of tree caused outages, there were 7,503 outage events across the AEP service territory resulting in 416,672 customers being interrupted for over 98.4 million minutes.</w:t>
      </w:r>
      <w:r>
        <w:rPr>
          <w:rStyle w:val="FootnoteReference"/>
        </w:rPr>
        <w:footnoteReference w:id="65"/>
      </w:r>
      <w:r>
        <w:t xml:space="preserve"> Importantly, Mr. Williams explained that tree caused outages are having a significant negative impact on distribution reliability performance.</w:t>
      </w:r>
      <w:r>
        <w:rPr>
          <w:rStyle w:val="FootnoteReference"/>
        </w:rPr>
        <w:footnoteReference w:id="66"/>
      </w:r>
      <w:r>
        <w:t xml:space="preserve"> This is despite the hundreds of millions of dollars were charged to consumers through the tree-trimming rider (and other single-issue ratemaking riders) that are intended to improve reliability performance.</w:t>
      </w:r>
      <w:r>
        <w:rPr>
          <w:rStyle w:val="FootnoteReference"/>
        </w:rPr>
        <w:footnoteReference w:id="67"/>
      </w:r>
      <w:r>
        <w:t xml:space="preserve"> Ironically, says Mr. Williams, AEP is arguing in this proceeding that there are no limits on the amount of money that it can spend on the tree-trimming rider,</w:t>
      </w:r>
      <w:r>
        <w:rPr>
          <w:rStyle w:val="FootnoteReference"/>
        </w:rPr>
        <w:footnoteReference w:id="68"/>
      </w:r>
      <w:r>
        <w:t xml:space="preserve"> even though it is providing inadequate service to its customers.</w:t>
      </w:r>
      <w:r>
        <w:rPr>
          <w:rStyle w:val="FootnoteReference"/>
        </w:rPr>
        <w:footnoteReference w:id="69"/>
      </w:r>
      <w:r>
        <w:t xml:space="preserve"> </w:t>
      </w:r>
    </w:p>
    <w:p w:rsidR="00C04884" w:rsidP="00215D26">
      <w:pPr>
        <w:spacing w:after="0" w:line="480" w:lineRule="auto"/>
        <w:ind w:firstLine="720"/>
      </w:pPr>
      <w:r>
        <w:t>As Mr. Williams explained, failure to meet the same reliability performance standard for two years in a row constitutes a violation of Ohio Adm. Code 4901:1-10-10(E).</w:t>
      </w:r>
      <w:r>
        <w:rPr>
          <w:rStyle w:val="FootnoteReference"/>
        </w:rPr>
        <w:footnoteReference w:id="70"/>
      </w:r>
      <w:r>
        <w:t xml:space="preserve">  Therefore, if AEP fails to meet either the CAIDI or SAIFI standard in 2019, OCC urges the PUCO to protect consumers by enforcing the rules as provided in Ohio Adm. Code 4901:1-10-30.</w:t>
      </w:r>
      <w:r>
        <w:rPr>
          <w:rStyle w:val="FootnoteReference"/>
        </w:rPr>
        <w:footnoteReference w:id="71"/>
      </w:r>
      <w:r>
        <w:t xml:space="preserve"> </w:t>
      </w:r>
    </w:p>
    <w:p w:rsidR="00B21DD8" w:rsidP="00215D26">
      <w:pPr>
        <w:spacing w:after="0" w:line="480" w:lineRule="auto"/>
        <w:ind w:firstLine="720"/>
      </w:pPr>
      <w:r>
        <w:t>Customers have been and are charged hundreds of millions of dollars through the tree-trimming rider and other riders to improve reliability.</w:t>
      </w:r>
      <w:r>
        <w:rPr>
          <w:rStyle w:val="FootnoteReference"/>
        </w:rPr>
        <w:footnoteReference w:id="72"/>
      </w:r>
      <w:r>
        <w:t xml:space="preserve">  Accordingly, Mr. Williams explained that there must be consequences for failing to provide the reliability and quality of service customers are paying for.</w:t>
      </w:r>
      <w:r>
        <w:rPr>
          <w:rStyle w:val="FootnoteReference"/>
        </w:rPr>
        <w:footnoteReference w:id="73"/>
      </w:r>
      <w:r>
        <w:t xml:space="preserve"> Based on Mr. Williams’ testimony, if AEP again fails to comply with reliability performance standards in 2019, the PUCO should use O.A.C. 4901:1-10-30 to enforce its rules. </w:t>
      </w:r>
      <w:bookmarkStart w:id="10" w:name="_Hlk11678520"/>
      <w:r>
        <w:t>O.A.C. 4901:1-10-30 provides that any failure of an electric utility to comply with the rules and standards in Chapter 10, or with any Commission order, direction, or requirement may result in the utility’s forfeiture of not more than ten-thousand dollars for each failure, per day.</w:t>
      </w:r>
      <w:bookmarkEnd w:id="10"/>
      <w:r>
        <w:rPr>
          <w:rStyle w:val="FootnoteReference"/>
        </w:rPr>
        <w:footnoteReference w:id="74"/>
      </w:r>
    </w:p>
    <w:p w:rsidR="00B21DD8" w:rsidP="006B7DFA">
      <w:pPr>
        <w:pStyle w:val="Heading3"/>
      </w:pPr>
      <w:bookmarkStart w:id="11" w:name="_Toc12543433"/>
      <w:r>
        <w:t>2.</w:t>
      </w:r>
      <w:r>
        <w:tab/>
        <w:t>Consumers are not receiving the reliability benefits associated with the proactive four-year cycle-based tree-trimming program as required by O.A.C. 4901:1-10-26 and O.A.C. 4901:1-10-27.</w:t>
      </w:r>
      <w:bookmarkEnd w:id="11"/>
    </w:p>
    <w:p w:rsidR="00F10A71" w:rsidP="00B21DD8">
      <w:pPr>
        <w:spacing w:line="480" w:lineRule="auto"/>
        <w:ind w:firstLine="720"/>
      </w:pPr>
      <w:r>
        <w:t>As OCC witness Williams testified,</w:t>
      </w:r>
      <w:r>
        <w:rPr>
          <w:rStyle w:val="FootnoteReference"/>
        </w:rPr>
        <w:footnoteReference w:id="75"/>
      </w:r>
      <w:r>
        <w:t xml:space="preserve"> AEP is required by Ohio Administrative Code 4901:1-10-26 to file an Annual System Improvement Plan Report that contains compliance reporting for the particular inspection, maintenance, repair, and replacement programs that are required by Ohio Administrative Code 4901:1-10-27.</w:t>
      </w:r>
      <w:r>
        <w:rPr>
          <w:rStyle w:val="FootnoteReference"/>
        </w:rPr>
        <w:footnoteReference w:id="76"/>
      </w:r>
      <w:r>
        <w:t xml:space="preserve"> Mr. Williams provided a summary of AEP’s compliance with its four-year cycle-based vegetation management program between 2009 and 2018.</w:t>
      </w:r>
      <w:r>
        <w:rPr>
          <w:rStyle w:val="FootnoteReference"/>
        </w:rPr>
        <w:footnoteReference w:id="77"/>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696"/>
        <w:gridCol w:w="5322"/>
      </w:tblGrid>
      <w:tr w:rsidTr="00CB22E0">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Year</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Compliance with tree-trimming rider Requirements</w:t>
            </w:r>
            <w:r>
              <w:rPr>
                <w:rStyle w:val="FootnoteReference"/>
              </w:rPr>
              <w:footnoteReference w:id="78"/>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2009</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Yes</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2010</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Yes</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2011</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No</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2012</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No</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2013</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Yes</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2014</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Yes</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2015</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No</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2016</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No</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2017</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No</w:t>
            </w:r>
          </w:p>
        </w:tc>
      </w:tr>
      <w:tr w:rsidTr="00CB22E0">
        <w:tblPrEx>
          <w:tblW w:w="0" w:type="auto"/>
          <w:jc w:val="center"/>
          <w:tblInd w:w="0" w:type="dxa"/>
          <w:tblCellMar>
            <w:top w:w="0" w:type="dxa"/>
            <w:left w:w="108" w:type="dxa"/>
            <w:bottom w:w="0" w:type="dxa"/>
            <w:right w:w="108" w:type="dxa"/>
          </w:tblCellMar>
          <w:tblLook w:val="04A0"/>
        </w:tblPrEx>
        <w:trPr>
          <w:trHeight w:val="479"/>
          <w:jc w:val="center"/>
        </w:trPr>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2018</w:t>
            </w:r>
          </w:p>
        </w:tc>
        <w:tc>
          <w:tcPr>
            <w:tcW w:w="0" w:type="auto"/>
          </w:tcPr>
          <w:p w:rsidR="00B21DD8" w:rsidP="00CB22E0">
            <w:pPr>
              <w:autoSpaceDE w:val="0"/>
              <w:autoSpaceDN w:val="0"/>
              <w:adjustRightInd w:val="0"/>
              <w:spacing w:after="0" w:line="240" w:lineRule="auto"/>
              <w:jc w:val="center"/>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No</w:t>
            </w:r>
          </w:p>
        </w:tc>
      </w:tr>
    </w:tbl>
    <w:p w:rsidR="00F10A71" w:rsidP="00F10A71">
      <w:pPr>
        <w:autoSpaceDE w:val="0"/>
        <w:autoSpaceDN w:val="0"/>
        <w:adjustRightInd w:val="0"/>
        <w:spacing w:after="0" w:line="240" w:lineRule="auto"/>
        <w:ind w:firstLine="720"/>
      </w:pPr>
    </w:p>
    <w:p w:rsidR="005051AD" w:rsidP="005051AD">
      <w:pPr>
        <w:autoSpaceDE w:val="0"/>
        <w:autoSpaceDN w:val="0"/>
        <w:adjustRightInd w:val="0"/>
        <w:spacing w:after="0" w:line="480" w:lineRule="auto"/>
        <w:ind w:firstLine="720"/>
      </w:pPr>
      <w:r>
        <w:t>Mr. Williams explained that AEP was complying with the proactive four-year cycle-based tree-trimming program during the early years of the tree-trimming rider.</w:t>
      </w:r>
      <w:r>
        <w:rPr>
          <w:rStyle w:val="FootnoteReference"/>
        </w:rPr>
        <w:footnoteReference w:id="79"/>
      </w:r>
      <w:r>
        <w:t xml:space="preserve">  In fact, AEP was even trimming more circuit miles on an annual basis than the minimum requirements under the program.</w:t>
      </w:r>
      <w:r>
        <w:rPr>
          <w:rStyle w:val="FootnoteReference"/>
        </w:rPr>
        <w:footnoteReference w:id="80"/>
      </w:r>
      <w:r>
        <w:t xml:space="preserve">  But as Mr. Williams points out, since 2015 AEP has not complied with the proactive four-year cycle-based tree-trimming program.</w:t>
      </w:r>
      <w:r>
        <w:rPr>
          <w:rStyle w:val="FootnoteReference"/>
        </w:rPr>
        <w:footnoteReference w:id="81"/>
      </w:r>
      <w:r>
        <w:t xml:space="preserve">  </w:t>
      </w:r>
    </w:p>
    <w:p w:rsidR="005051AD" w:rsidP="005051AD">
      <w:pPr>
        <w:autoSpaceDE w:val="0"/>
        <w:autoSpaceDN w:val="0"/>
        <w:adjustRightInd w:val="0"/>
        <w:spacing w:after="0" w:line="480" w:lineRule="auto"/>
        <w:ind w:firstLine="720"/>
        <w:rPr>
          <w:iCs/>
        </w:rPr>
      </w:pPr>
      <w:r>
        <w:rPr>
          <w:iCs/>
        </w:rPr>
        <w:t>Mr. Williams summarizes AEP claims</w:t>
      </w:r>
      <w:r>
        <w:rPr>
          <w:rStyle w:val="FootnoteReference"/>
          <w:iCs/>
        </w:rPr>
        <w:footnoteReference w:id="82"/>
      </w:r>
      <w:r>
        <w:rPr>
          <w:iCs/>
        </w:rPr>
        <w:t xml:space="preserve"> that there are budget constraints, changes in work plan mileage, availability and cost for maintaining a qualified work force, work force redirection, and prior year carryover mileage as the reasons for non-compliance.</w:t>
      </w:r>
      <w:r>
        <w:rPr>
          <w:rStyle w:val="FootnoteReference"/>
          <w:iCs/>
        </w:rPr>
        <w:footnoteReference w:id="83"/>
      </w:r>
      <w:r>
        <w:rPr>
          <w:iCs/>
        </w:rPr>
        <w:t xml:space="preserve">  </w:t>
      </w:r>
    </w:p>
    <w:p w:rsidR="00B21DD8" w:rsidRPr="005051AD" w:rsidP="00F24EF9">
      <w:pPr>
        <w:autoSpaceDE w:val="0"/>
        <w:autoSpaceDN w:val="0"/>
        <w:adjustRightInd w:val="0"/>
        <w:spacing w:after="0" w:line="480" w:lineRule="auto"/>
        <w:ind w:firstLine="720"/>
        <w:rPr>
          <w:iCs/>
        </w:rPr>
      </w:pPr>
      <w:r>
        <w:rPr>
          <w:iCs/>
        </w:rPr>
        <w:t>But Mr. Williams explained that these factors are not reasonable because each of them are well within the control of AEP.</w:t>
      </w:r>
      <w:r>
        <w:rPr>
          <w:rStyle w:val="FootnoteReference"/>
          <w:iCs/>
        </w:rPr>
        <w:footnoteReference w:id="84"/>
      </w:r>
      <w:r>
        <w:rPr>
          <w:iCs/>
        </w:rPr>
        <w:t xml:space="preserve"> For example, AEP controls when there are changes in work plan mileage, redirections, and carryover mileage from one year to the next.</w:t>
      </w:r>
      <w:r>
        <w:rPr>
          <w:rStyle w:val="FootnoteReference"/>
          <w:iCs/>
        </w:rPr>
        <w:footnoteReference w:id="85"/>
      </w:r>
      <w:r>
        <w:rPr>
          <w:iCs/>
        </w:rPr>
        <w:t xml:space="preserve">  Regarding the claimed budget constraints, AEP collects money from customers for tree-trimming through base distribution rates, the tree-trimming rider, and the DIR.</w:t>
      </w:r>
      <w:r>
        <w:rPr>
          <w:rStyle w:val="FootnoteReference"/>
          <w:iCs/>
        </w:rPr>
        <w:footnoteReference w:id="86"/>
      </w:r>
      <w:r>
        <w:rPr>
          <w:iCs/>
        </w:rPr>
        <w:t xml:space="preserve"> The bottom line is that vast amounts of customer money are being poured into AEP to supposedly manage an effective tree-trimming program.</w:t>
      </w:r>
      <w:r>
        <w:rPr>
          <w:rStyle w:val="FootnoteReference"/>
          <w:iCs/>
        </w:rPr>
        <w:footnoteReference w:id="87"/>
      </w:r>
      <w:r>
        <w:rPr>
          <w:iCs/>
        </w:rPr>
        <w:t xml:space="preserve"> Yet tree-caused outages have increased substantially since 2009 and AEP has not met its four-year trim cycle.</w:t>
      </w:r>
    </w:p>
    <w:p w:rsidR="00B21DD8" w:rsidP="00876642">
      <w:pPr>
        <w:spacing w:after="0" w:line="480" w:lineRule="auto"/>
        <w:ind w:firstLine="720"/>
        <w:rPr>
          <w:iCs/>
        </w:rPr>
      </w:pPr>
      <w:r w:rsidRPr="00993012">
        <w:rPr>
          <w:bCs/>
        </w:rPr>
        <w:t>Mr. Williams also describe</w:t>
      </w:r>
      <w:r>
        <w:rPr>
          <w:bCs/>
        </w:rPr>
        <w:t>d</w:t>
      </w:r>
      <w:r w:rsidRPr="00993012">
        <w:rPr>
          <w:bCs/>
        </w:rPr>
        <w:t xml:space="preserve"> </w:t>
      </w:r>
      <w:r>
        <w:rPr>
          <w:bCs/>
        </w:rPr>
        <w:t>the increase</w:t>
      </w:r>
      <w:r w:rsidRPr="00993012">
        <w:rPr>
          <w:bCs/>
        </w:rPr>
        <w:t xml:space="preserve"> </w:t>
      </w:r>
      <w:r>
        <w:rPr>
          <w:bCs/>
        </w:rPr>
        <w:t>in</w:t>
      </w:r>
      <w:r w:rsidRPr="00993012">
        <w:rPr>
          <w:bCs/>
        </w:rPr>
        <w:t xml:space="preserve"> </w:t>
      </w:r>
      <w:r>
        <w:rPr>
          <w:bCs/>
        </w:rPr>
        <w:t>tree-caused</w:t>
      </w:r>
      <w:r w:rsidRPr="00993012">
        <w:rPr>
          <w:bCs/>
        </w:rPr>
        <w:t xml:space="preserve"> </w:t>
      </w:r>
      <w:r>
        <w:rPr>
          <w:bCs/>
        </w:rPr>
        <w:t>outages</w:t>
      </w:r>
      <w:r w:rsidRPr="00993012">
        <w:rPr>
          <w:bCs/>
        </w:rPr>
        <w:t xml:space="preserve"> </w:t>
      </w:r>
      <w:r>
        <w:rPr>
          <w:bCs/>
        </w:rPr>
        <w:t>between</w:t>
      </w:r>
      <w:r w:rsidRPr="00993012">
        <w:rPr>
          <w:bCs/>
        </w:rPr>
        <w:t xml:space="preserve"> 2009 </w:t>
      </w:r>
      <w:r>
        <w:rPr>
          <w:bCs/>
        </w:rPr>
        <w:t>and</w:t>
      </w:r>
      <w:r w:rsidRPr="00993012">
        <w:rPr>
          <w:bCs/>
        </w:rPr>
        <w:t xml:space="preserve"> 2018 </w:t>
      </w:r>
      <w:r>
        <w:rPr>
          <w:bCs/>
        </w:rPr>
        <w:t>and the impact</w:t>
      </w:r>
      <w:r w:rsidRPr="00993012">
        <w:rPr>
          <w:bCs/>
        </w:rPr>
        <w:t xml:space="preserve"> it </w:t>
      </w:r>
      <w:r>
        <w:rPr>
          <w:bCs/>
        </w:rPr>
        <w:t>is having on AEP customers.</w:t>
      </w:r>
      <w:r>
        <w:rPr>
          <w:rStyle w:val="FootnoteReference"/>
          <w:bCs/>
        </w:rPr>
        <w:footnoteReference w:id="88"/>
      </w:r>
      <w:r>
        <w:rPr>
          <w:iCs/>
        </w:rPr>
        <w:t xml:space="preserve"> AEP is required by Ohio Administrative Code 4901:1-10-10 to file an annual report (the “Rule 10 Report”) of the distribution system’s reliability performance.</w:t>
      </w:r>
      <w:r>
        <w:rPr>
          <w:rStyle w:val="FootnoteReference"/>
          <w:iCs/>
        </w:rPr>
        <w:footnoteReference w:id="89"/>
      </w:r>
      <w:r>
        <w:rPr>
          <w:iCs/>
        </w:rPr>
        <w:t xml:space="preserve"> Mr. Williams provided a summary of the number of tree-caused outages, number of customers interrupted, and customer minutes interrupted for each year between 2009 and 2018.</w:t>
      </w:r>
      <w:r>
        <w:rPr>
          <w:rStyle w:val="FootnoteReference"/>
          <w:iCs/>
        </w:rPr>
        <w:footnoteReference w:id="90"/>
      </w:r>
      <w:r>
        <w:rPr>
          <w:iCs/>
        </w:rPr>
        <w:t xml:space="preserve"> Mr. Williams explained that the reliability performance data in the summary excludes outage events and the impact on customers during major storm events or other significant major events that can impact the reliability performance of the distribution system.</w:t>
      </w:r>
      <w:r>
        <w:rPr>
          <w:rStyle w:val="FootnoteReference"/>
          <w:iCs/>
        </w:rPr>
        <w:footnoteReference w:id="91"/>
      </w:r>
      <w:r>
        <w:rPr>
          <w:iCs/>
        </w:rPr>
        <w:t xml:space="preserve">   </w:t>
      </w:r>
    </w:p>
    <w:tbl>
      <w:tblPr>
        <w:tblStyle w:val="TableGrid"/>
        <w:tblW w:w="101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075"/>
        <w:gridCol w:w="1795"/>
        <w:gridCol w:w="1848"/>
        <w:gridCol w:w="2747"/>
        <w:gridCol w:w="2732"/>
      </w:tblGrid>
      <w:tr w:rsidTr="00876642">
        <w:tblPrEx>
          <w:tblW w:w="101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593"/>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b/>
                <w:iCs/>
                <w:sz w:val="24"/>
                <w:szCs w:val="20"/>
                <w:lang w:val="en-US" w:eastAsia="en-US" w:bidi="ar-SA"/>
              </w:rPr>
            </w:pPr>
            <w:r w:rsidRPr="00F44BB5">
              <w:rPr>
                <w:rFonts w:ascii="Times New Roman" w:eastAsia="Times New Roman" w:hAnsi="Times New Roman" w:cs="Times New Roman"/>
                <w:b/>
                <w:iCs/>
                <w:sz w:val="24"/>
                <w:szCs w:val="20"/>
                <w:lang w:val="en-US" w:eastAsia="en-US" w:bidi="ar-SA"/>
              </w:rPr>
              <w:t>Year</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b/>
                <w:iCs/>
                <w:sz w:val="24"/>
                <w:szCs w:val="20"/>
                <w:lang w:val="en-US" w:eastAsia="en-US" w:bidi="ar-SA"/>
              </w:rPr>
            </w:pPr>
            <w:r w:rsidRPr="00F44BB5">
              <w:rPr>
                <w:rFonts w:ascii="Times New Roman" w:eastAsia="Times New Roman" w:hAnsi="Times New Roman" w:cs="Times New Roman"/>
                <w:b/>
                <w:iCs/>
                <w:sz w:val="24"/>
                <w:szCs w:val="20"/>
                <w:lang w:val="en-US" w:eastAsia="en-US" w:bidi="ar-SA"/>
              </w:rPr>
              <w:t>Interruptions</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b/>
                <w:iCs/>
                <w:sz w:val="24"/>
                <w:szCs w:val="20"/>
                <w:lang w:val="en-US" w:eastAsia="en-US" w:bidi="ar-SA"/>
              </w:rPr>
            </w:pPr>
            <w:r w:rsidRPr="00F44BB5">
              <w:rPr>
                <w:rFonts w:ascii="Times New Roman" w:eastAsia="Times New Roman" w:hAnsi="Times New Roman" w:cs="Times New Roman"/>
                <w:b/>
                <w:iCs/>
                <w:sz w:val="24"/>
                <w:szCs w:val="20"/>
                <w:lang w:val="en-US" w:eastAsia="en-US" w:bidi="ar-SA"/>
              </w:rPr>
              <w:t>Customers Interrupted</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b/>
                <w:iCs/>
                <w:sz w:val="24"/>
                <w:szCs w:val="20"/>
                <w:lang w:val="en-US" w:eastAsia="en-US" w:bidi="ar-SA"/>
              </w:rPr>
            </w:pPr>
            <w:r w:rsidRPr="00F44BB5">
              <w:rPr>
                <w:rFonts w:ascii="Times New Roman" w:eastAsia="Times New Roman" w:hAnsi="Times New Roman" w:cs="Times New Roman"/>
                <w:b/>
                <w:iCs/>
                <w:sz w:val="24"/>
                <w:szCs w:val="20"/>
                <w:lang w:val="en-US" w:eastAsia="en-US" w:bidi="ar-SA"/>
              </w:rPr>
              <w:t xml:space="preserve">Customer </w:t>
            </w:r>
            <w:r>
              <w:rPr>
                <w:rFonts w:ascii="Times New Roman" w:eastAsia="Times New Roman" w:hAnsi="Times New Roman" w:cs="Times New Roman"/>
                <w:b/>
                <w:iCs/>
                <w:sz w:val="24"/>
                <w:szCs w:val="20"/>
                <w:lang w:val="en-US" w:eastAsia="en-US" w:bidi="ar-SA"/>
              </w:rPr>
              <w:t xml:space="preserve">Interruption </w:t>
            </w:r>
            <w:r w:rsidRPr="00F44BB5">
              <w:rPr>
                <w:rFonts w:ascii="Times New Roman" w:eastAsia="Times New Roman" w:hAnsi="Times New Roman" w:cs="Times New Roman"/>
                <w:b/>
                <w:iCs/>
                <w:sz w:val="24"/>
                <w:szCs w:val="20"/>
                <w:lang w:val="en-US" w:eastAsia="en-US" w:bidi="ar-SA"/>
              </w:rPr>
              <w:t xml:space="preserve"> Minutes</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b/>
                <w:iCs/>
                <w:sz w:val="24"/>
                <w:szCs w:val="20"/>
                <w:lang w:val="en-US" w:eastAsia="en-US" w:bidi="ar-SA"/>
              </w:rPr>
            </w:pPr>
            <w:r>
              <w:rPr>
                <w:rFonts w:ascii="Times New Roman" w:eastAsia="Times New Roman" w:hAnsi="Times New Roman" w:cs="Times New Roman"/>
                <w:b/>
                <w:iCs/>
                <w:sz w:val="24"/>
                <w:szCs w:val="20"/>
                <w:lang w:val="en-US" w:eastAsia="en-US" w:bidi="ar-SA"/>
              </w:rPr>
              <w:t>Average Interruption  Duration</w:t>
            </w:r>
            <w:r>
              <w:rPr>
                <w:rStyle w:val="FootnoteReference"/>
                <w:b/>
                <w:iCs/>
              </w:rPr>
              <w:footnoteReference w:id="92"/>
            </w:r>
            <w:r>
              <w:rPr>
                <w:rFonts w:ascii="Times New Roman" w:eastAsia="Times New Roman" w:hAnsi="Times New Roman" w:cs="Times New Roman"/>
                <w:b/>
                <w:iCs/>
                <w:sz w:val="24"/>
                <w:szCs w:val="20"/>
                <w:lang w:val="en-US" w:eastAsia="en-US" w:bidi="ar-SA"/>
              </w:rPr>
              <w:t xml:space="preserve"> (Minutes)</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2009</w:t>
            </w:r>
            <w:r>
              <w:rPr>
                <w:rStyle w:val="FootnoteReference"/>
                <w:iCs/>
              </w:rPr>
              <w:footnoteReference w:id="93"/>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5,876</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261,804</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54,716,513</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209</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2010</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6,336</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274,163</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57,840,607</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211</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2011</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7,003</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312,118</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69,624,736</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223</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2012</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5,490</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250,943</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51,227,123</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204</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2013</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4,845</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213,659</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46,485,876</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218</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2014</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4,568</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201,716</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46,545,188</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231</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2015</w:t>
            </w:r>
          </w:p>
        </w:tc>
        <w:tc>
          <w:tcPr>
            <w:tcW w:w="1795" w:type="dxa"/>
          </w:tcPr>
          <w:p w:rsidR="00B21DD8" w:rsidRPr="00F44BB5" w:rsidP="006012D2">
            <w:pPr>
              <w:spacing w:after="0" w:line="240" w:lineRule="auto"/>
              <w:ind w:right="-16"/>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4,852</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223,697</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45,262,937</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204</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2016</w:t>
            </w:r>
            <w:r>
              <w:rPr>
                <w:rStyle w:val="FootnoteReference"/>
                <w:iCs/>
              </w:rPr>
              <w:footnoteReference w:id="94"/>
            </w:r>
          </w:p>
        </w:tc>
        <w:tc>
          <w:tcPr>
            <w:tcW w:w="1795" w:type="dxa"/>
          </w:tcPr>
          <w:p w:rsidR="00B21DD8" w:rsidRPr="00F44BB5" w:rsidP="006012D2">
            <w:pPr>
              <w:spacing w:after="0" w:line="240" w:lineRule="auto"/>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5,083</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257,540</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sidRPr="00F44BB5">
              <w:rPr>
                <w:rFonts w:ascii="Times New Roman" w:eastAsia="Times New Roman" w:hAnsi="Times New Roman" w:cs="Times New Roman"/>
                <w:iCs/>
                <w:sz w:val="24"/>
                <w:szCs w:val="20"/>
                <w:lang w:val="en-US" w:eastAsia="en-US" w:bidi="ar-SA"/>
              </w:rPr>
              <w:t>51,219,163</w:t>
            </w:r>
          </w:p>
        </w:tc>
        <w:tc>
          <w:tcPr>
            <w:tcW w:w="2732"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199</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2017</w:t>
            </w:r>
            <w:r>
              <w:rPr>
                <w:rStyle w:val="FootnoteReference"/>
                <w:iCs/>
              </w:rPr>
              <w:footnoteReference w:id="95"/>
            </w:r>
          </w:p>
        </w:tc>
        <w:tc>
          <w:tcPr>
            <w:tcW w:w="1795" w:type="dxa"/>
          </w:tcPr>
          <w:p w:rsidR="00B21DD8" w:rsidRPr="00F44BB5" w:rsidP="006012D2">
            <w:pPr>
              <w:spacing w:after="0" w:line="240" w:lineRule="auto"/>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6,449</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313,173</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68,222,667</w:t>
            </w:r>
          </w:p>
        </w:tc>
        <w:tc>
          <w:tcPr>
            <w:tcW w:w="2732" w:type="dxa"/>
          </w:tcPr>
          <w:p w:rsidR="00B21DD8"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218</w:t>
            </w:r>
          </w:p>
        </w:tc>
      </w:tr>
      <w:tr w:rsidTr="00876642">
        <w:tblPrEx>
          <w:tblW w:w="10197" w:type="dxa"/>
          <w:jc w:val="center"/>
          <w:tblInd w:w="0" w:type="dxa"/>
          <w:tblCellMar>
            <w:top w:w="0" w:type="dxa"/>
            <w:left w:w="108" w:type="dxa"/>
            <w:bottom w:w="0" w:type="dxa"/>
            <w:right w:w="108" w:type="dxa"/>
          </w:tblCellMar>
          <w:tblLook w:val="04A0"/>
        </w:tblPrEx>
        <w:trPr>
          <w:trHeight w:val="247"/>
          <w:jc w:val="center"/>
        </w:trPr>
        <w:tc>
          <w:tcPr>
            <w:tcW w:w="1075" w:type="dxa"/>
          </w:tcPr>
          <w:p w:rsidR="00B21DD8" w:rsidRPr="00F44BB5" w:rsidP="006012D2">
            <w:pPr>
              <w:spacing w:after="0" w:line="240" w:lineRule="auto"/>
              <w:ind w:right="3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2018</w:t>
            </w:r>
            <w:r>
              <w:rPr>
                <w:rStyle w:val="FootnoteReference"/>
                <w:iCs/>
              </w:rPr>
              <w:footnoteReference w:id="96"/>
            </w:r>
          </w:p>
        </w:tc>
        <w:tc>
          <w:tcPr>
            <w:tcW w:w="1795" w:type="dxa"/>
          </w:tcPr>
          <w:p w:rsidR="00B21DD8" w:rsidRPr="00F44BB5" w:rsidP="006012D2">
            <w:pPr>
              <w:spacing w:after="0" w:line="240" w:lineRule="auto"/>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7,387</w:t>
            </w:r>
          </w:p>
        </w:tc>
        <w:tc>
          <w:tcPr>
            <w:tcW w:w="1848" w:type="dxa"/>
          </w:tcPr>
          <w:p w:rsidR="00B21DD8" w:rsidRPr="00F44BB5" w:rsidP="006012D2">
            <w:pPr>
              <w:spacing w:after="0" w:line="240" w:lineRule="auto"/>
              <w:ind w:right="2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411,100</w:t>
            </w:r>
          </w:p>
        </w:tc>
        <w:tc>
          <w:tcPr>
            <w:tcW w:w="2747" w:type="dxa"/>
          </w:tcPr>
          <w:p w:rsidR="00B21DD8" w:rsidRPr="00F44BB5"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97,681,526</w:t>
            </w:r>
          </w:p>
        </w:tc>
        <w:tc>
          <w:tcPr>
            <w:tcW w:w="2732" w:type="dxa"/>
          </w:tcPr>
          <w:p w:rsidR="00B21DD8" w:rsidP="006012D2">
            <w:pPr>
              <w:spacing w:after="0" w:line="240" w:lineRule="auto"/>
              <w:ind w:right="12"/>
              <w:jc w:val="center"/>
              <w:rPr>
                <w:rStyle w:val="DefaultParagraphFont"/>
                <w:rFonts w:ascii="Times New Roman" w:eastAsia="Times New Roman" w:hAnsi="Times New Roman" w:cs="Times New Roman"/>
                <w:iCs/>
                <w:sz w:val="24"/>
                <w:szCs w:val="20"/>
                <w:lang w:val="en-US" w:eastAsia="en-US" w:bidi="ar-SA"/>
              </w:rPr>
            </w:pPr>
            <w:r>
              <w:rPr>
                <w:rFonts w:ascii="Times New Roman" w:eastAsia="Times New Roman" w:hAnsi="Times New Roman" w:cs="Times New Roman"/>
                <w:iCs/>
                <w:sz w:val="24"/>
                <w:szCs w:val="20"/>
                <w:lang w:val="en-US" w:eastAsia="en-US" w:bidi="ar-SA"/>
              </w:rPr>
              <w:t>238</w:t>
            </w:r>
          </w:p>
        </w:tc>
      </w:tr>
    </w:tbl>
    <w:p w:rsidR="00F10A71" w:rsidP="00F10A71">
      <w:pPr>
        <w:spacing w:after="0" w:line="240" w:lineRule="auto"/>
        <w:ind w:firstLine="720"/>
        <w:rPr>
          <w:iCs/>
        </w:rPr>
      </w:pPr>
    </w:p>
    <w:p w:rsidR="0024247A" w:rsidP="0024247A">
      <w:pPr>
        <w:spacing w:after="0" w:line="480" w:lineRule="auto"/>
        <w:ind w:firstLine="720"/>
        <w:rPr>
          <w:iCs/>
        </w:rPr>
      </w:pPr>
      <w:r>
        <w:rPr>
          <w:iCs/>
        </w:rPr>
        <w:t xml:space="preserve">Based on the foregoing data, Mr. Williams testified that </w:t>
      </w:r>
      <w:r w:rsidRPr="00F44BB5">
        <w:rPr>
          <w:iCs/>
        </w:rPr>
        <w:t>the</w:t>
      </w:r>
      <w:r>
        <w:rPr>
          <w:iCs/>
        </w:rPr>
        <w:t>re were over 1,500 more outage events in 2018 compared with 2009 when the tree-trimming rider was initiated.</w:t>
      </w:r>
      <w:r>
        <w:rPr>
          <w:rStyle w:val="FootnoteReference"/>
          <w:iCs/>
        </w:rPr>
        <w:footnoteReference w:id="97"/>
      </w:r>
      <w:r>
        <w:rPr>
          <w:iCs/>
        </w:rPr>
        <w:t xml:space="preserve">  There were over 149,000 more customer interruptions in 2018 compared with the interruptions in 2009.</w:t>
      </w:r>
      <w:r>
        <w:rPr>
          <w:rStyle w:val="FootnoteReference"/>
          <w:iCs/>
        </w:rPr>
        <w:footnoteReference w:id="98"/>
      </w:r>
      <w:r>
        <w:rPr>
          <w:iCs/>
        </w:rPr>
        <w:t xml:space="preserve">  Customers that were interrupted in 2018 experienced almost 43 million more minutes of interruption compared with interruptions in 2009.</w:t>
      </w:r>
      <w:r>
        <w:rPr>
          <w:rStyle w:val="FootnoteReference"/>
          <w:iCs/>
        </w:rPr>
        <w:footnoteReference w:id="99"/>
      </w:r>
      <w:r>
        <w:rPr>
          <w:iCs/>
        </w:rPr>
        <w:t xml:space="preserve"> Mr. Williams concluded that average interruption durations increased from 209 minutes in 2009 to approximately 238 minutes in 2018.  This is a stark contrast to the outage duration information that is presented by AEP that attempts to minimize the customer impact of tree-caused outages.</w:t>
      </w:r>
      <w:r>
        <w:rPr>
          <w:vertAlign w:val="superscript"/>
        </w:rPr>
        <w:footnoteReference w:id="100"/>
      </w:r>
      <w:r>
        <w:rPr>
          <w:iCs/>
        </w:rPr>
        <w:t xml:space="preserve">  </w:t>
      </w:r>
    </w:p>
    <w:p w:rsidR="00B21DD8" w:rsidP="0024247A">
      <w:pPr>
        <w:spacing w:after="0" w:line="480" w:lineRule="auto"/>
        <w:ind w:firstLine="720"/>
        <w:rPr>
          <w:iCs/>
        </w:rPr>
      </w:pPr>
      <w:r>
        <w:rPr>
          <w:iCs/>
        </w:rPr>
        <w:t xml:space="preserve">  OCC recommends that the PUCO find that c</w:t>
      </w:r>
      <w:r>
        <w:t>onsumers are not receiving the reliability benefits associated with the proactive four-year cycle-based tree-trimming program as required by O.A.C. 4901:1-10-26 and O.A.C. 4901:1-10-27. This is un</w:t>
      </w:r>
      <w:r w:rsidRPr="00517C65">
        <w:rPr>
          <w:rFonts w:cs="Times New Roman"/>
          <w:szCs w:val="24"/>
        </w:rPr>
        <w:t xml:space="preserve">reasonable, </w:t>
      </w:r>
      <w:r>
        <w:rPr>
          <w:rFonts w:cs="Times New Roman"/>
          <w:szCs w:val="24"/>
        </w:rPr>
        <w:t xml:space="preserve">does not </w:t>
      </w:r>
      <w:r w:rsidRPr="00517C65">
        <w:rPr>
          <w:rFonts w:cs="Times New Roman"/>
          <w:szCs w:val="24"/>
        </w:rPr>
        <w:t xml:space="preserve">comply with Ohio law, and </w:t>
      </w:r>
      <w:r>
        <w:rPr>
          <w:rFonts w:cs="Times New Roman"/>
          <w:szCs w:val="24"/>
        </w:rPr>
        <w:t xml:space="preserve">is not </w:t>
      </w:r>
      <w:r w:rsidRPr="00517C65">
        <w:rPr>
          <w:rFonts w:cs="Times New Roman"/>
          <w:szCs w:val="24"/>
        </w:rPr>
        <w:t>in the public interest</w:t>
      </w:r>
      <w:r>
        <w:rPr>
          <w:rFonts w:cs="Times New Roman"/>
          <w:szCs w:val="24"/>
        </w:rPr>
        <w:t>.</w:t>
      </w:r>
    </w:p>
    <w:p w:rsidR="00B45BC0" w:rsidRPr="00517C65" w:rsidP="00B45BC0">
      <w:pPr>
        <w:spacing w:after="0" w:line="240" w:lineRule="auto"/>
        <w:ind w:firstLine="720"/>
        <w:rPr>
          <w:rFonts w:cs="Times New Roman"/>
          <w:szCs w:val="24"/>
        </w:rPr>
      </w:pPr>
    </w:p>
    <w:p w:rsidR="00B45BC0" w:rsidRPr="00517C65" w:rsidP="00C43634">
      <w:pPr>
        <w:pStyle w:val="Heading1"/>
      </w:pPr>
      <w:bookmarkStart w:id="13" w:name="_Toc12543434"/>
      <w:r w:rsidRPr="00517C65">
        <w:t>CONCLUSION</w:t>
      </w:r>
      <w:bookmarkEnd w:id="13"/>
    </w:p>
    <w:p w:rsidR="00C1332C" w:rsidP="009A791B">
      <w:pPr>
        <w:spacing w:after="0" w:line="480" w:lineRule="auto"/>
        <w:ind w:firstLine="720"/>
        <w:rPr>
          <w:rFonts w:cs="Times New Roman"/>
          <w:szCs w:val="24"/>
        </w:rPr>
      </w:pPr>
      <w:r>
        <w:rPr>
          <w:rFonts w:cs="Times New Roman"/>
          <w:szCs w:val="24"/>
        </w:rPr>
        <w:t>AEP</w:t>
      </w:r>
      <w:r w:rsidRPr="000B5674">
        <w:rPr>
          <w:rFonts w:cs="Times New Roman"/>
          <w:szCs w:val="24"/>
        </w:rPr>
        <w:t xml:space="preserve"> has failed to </w:t>
      </w:r>
      <w:r>
        <w:rPr>
          <w:rFonts w:cs="Times New Roman"/>
          <w:szCs w:val="24"/>
        </w:rPr>
        <w:t xml:space="preserve">comply with Ohio law and PUCO orders by spending above its approved cap by more than $3.4 million. The PUCO should disallow this amount as recommended by PUCO Staff and the OCC. </w:t>
      </w:r>
    </w:p>
    <w:p w:rsidR="009A791B" w:rsidP="009A791B">
      <w:pPr>
        <w:spacing w:after="0" w:line="480" w:lineRule="auto"/>
        <w:ind w:firstLine="720"/>
        <w:rPr>
          <w:rFonts w:cs="Times New Roman"/>
          <w:szCs w:val="24"/>
        </w:rPr>
      </w:pPr>
      <w:r>
        <w:rPr>
          <w:rFonts w:cs="Times New Roman"/>
          <w:szCs w:val="24"/>
        </w:rPr>
        <w:t xml:space="preserve">AEP has also failed to </w:t>
      </w:r>
      <w:r w:rsidRPr="000B5674">
        <w:rPr>
          <w:rFonts w:cs="Times New Roman"/>
          <w:szCs w:val="24"/>
        </w:rPr>
        <w:t xml:space="preserve">maintain the proactive four-year cycle-based tree-trimming program that it was required to </w:t>
      </w:r>
      <w:r w:rsidRPr="000B5674" w:rsidR="00371C04">
        <w:rPr>
          <w:rFonts w:cs="Times New Roman"/>
          <w:szCs w:val="24"/>
        </w:rPr>
        <w:t>maintain,</w:t>
      </w:r>
      <w:r w:rsidRPr="000B5674">
        <w:rPr>
          <w:rFonts w:cs="Times New Roman"/>
          <w:szCs w:val="24"/>
        </w:rPr>
        <w:t xml:space="preserve"> </w:t>
      </w:r>
      <w:r>
        <w:rPr>
          <w:rFonts w:cs="Times New Roman"/>
          <w:szCs w:val="24"/>
        </w:rPr>
        <w:t xml:space="preserve">and customers have been asked to pay for </w:t>
      </w:r>
      <w:r w:rsidRPr="000B5674">
        <w:rPr>
          <w:rFonts w:cs="Times New Roman"/>
          <w:szCs w:val="24"/>
        </w:rPr>
        <w:t xml:space="preserve">when the PUCO approved the </w:t>
      </w:r>
      <w:r>
        <w:rPr>
          <w:rFonts w:cs="Times New Roman"/>
          <w:szCs w:val="24"/>
        </w:rPr>
        <w:t>tree-trimming rider.</w:t>
      </w:r>
      <w:r w:rsidRPr="000B5674">
        <w:rPr>
          <w:rFonts w:cs="Times New Roman"/>
          <w:szCs w:val="24"/>
        </w:rPr>
        <w:t xml:space="preserve"> </w:t>
      </w:r>
      <w:r>
        <w:rPr>
          <w:rFonts w:cs="Times New Roman"/>
          <w:szCs w:val="24"/>
        </w:rPr>
        <w:t>D</w:t>
      </w:r>
      <w:r w:rsidRPr="000B5674">
        <w:rPr>
          <w:rFonts w:cs="Times New Roman"/>
          <w:szCs w:val="24"/>
        </w:rPr>
        <w:t xml:space="preserve">espite significant spending by AEP and cost to consumers, the number of tree-caused outages have increased substantially since the </w:t>
      </w:r>
      <w:r>
        <w:rPr>
          <w:rFonts w:cs="Times New Roman"/>
          <w:szCs w:val="24"/>
        </w:rPr>
        <w:t>tree-trimming rider</w:t>
      </w:r>
      <w:r w:rsidRPr="000B5674">
        <w:rPr>
          <w:rFonts w:cs="Times New Roman"/>
          <w:szCs w:val="24"/>
        </w:rPr>
        <w:t xml:space="preserve"> was initiated in 2009. </w:t>
      </w:r>
      <w:r>
        <w:rPr>
          <w:rFonts w:cs="Times New Roman"/>
          <w:szCs w:val="24"/>
        </w:rPr>
        <w:t xml:space="preserve">AEP has failed to comply with the reliability standards for the past several years. </w:t>
      </w:r>
    </w:p>
    <w:p w:rsidR="00F10A71">
      <w:pPr>
        <w:rPr>
          <w:rFonts w:eastAsia="Times New Roman" w:cs="Times New Roman"/>
          <w:szCs w:val="24"/>
        </w:rPr>
      </w:pPr>
      <w:r>
        <w:rPr>
          <w:rFonts w:eastAsia="Times New Roman" w:cs="Times New Roman"/>
          <w:szCs w:val="24"/>
        </w:rPr>
        <w:br w:type="page"/>
      </w:r>
    </w:p>
    <w:p w:rsidR="00F10A71"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r>
        <w:rPr>
          <w:rFonts w:eastAsia="Times New Roman" w:cs="Times New Roman"/>
          <w:szCs w:val="24"/>
        </w:rPr>
        <w:t>Respectfully submitted,</w:t>
      </w:r>
    </w:p>
    <w:p w:rsidR="00F10A71"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p>
    <w:p w:rsidR="00B45BC0" w:rsidRPr="00517C65" w:rsidP="00B45BC0">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r w:rsidRPr="00517C65">
        <w:rPr>
          <w:rFonts w:eastAsia="Times New Roman" w:cs="Times New Roman"/>
          <w:szCs w:val="24"/>
        </w:rPr>
        <w:t>Bruce Weston (0016973)</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Ohio Consumers’ Counsel</w:t>
      </w:r>
    </w:p>
    <w:p w:rsidR="00B45BC0" w:rsidRPr="00517C65" w:rsidP="00B45BC0">
      <w:pPr>
        <w:tabs>
          <w:tab w:val="left" w:pos="4320"/>
        </w:tabs>
        <w:spacing w:after="0" w:line="240" w:lineRule="auto"/>
        <w:ind w:left="4320"/>
        <w:rPr>
          <w:rFonts w:eastAsia="Times New Roman" w:cs="Times New Roman"/>
          <w:szCs w:val="24"/>
        </w:rPr>
      </w:pP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i/>
          <w:szCs w:val="24"/>
          <w:u w:val="single"/>
        </w:rPr>
        <w:t xml:space="preserve">/s/ </w:t>
      </w:r>
      <w:r>
        <w:rPr>
          <w:rFonts w:eastAsia="Times New Roman" w:cs="Times New Roman"/>
          <w:i/>
          <w:szCs w:val="24"/>
          <w:u w:val="single"/>
        </w:rPr>
        <w:t>Ambrosia E. Logsdon</w:t>
      </w:r>
      <w:r w:rsidRPr="00517C65">
        <w:rPr>
          <w:rFonts w:eastAsia="Times New Roman" w:cs="Times New Roman"/>
          <w:szCs w:val="24"/>
        </w:rPr>
        <w:tab/>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William J. Michael, (0070921)</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Counsel of Record</w:t>
      </w:r>
    </w:p>
    <w:p w:rsidR="00C43634" w:rsidP="00B45BC0">
      <w:pPr>
        <w:tabs>
          <w:tab w:val="left" w:pos="4320"/>
        </w:tabs>
        <w:spacing w:after="0" w:line="240" w:lineRule="auto"/>
        <w:ind w:left="4320"/>
        <w:rPr>
          <w:rFonts w:eastAsia="Times New Roman" w:cs="Times New Roman"/>
          <w:szCs w:val="24"/>
        </w:rPr>
      </w:pPr>
      <w:r>
        <w:rPr>
          <w:rFonts w:eastAsia="Times New Roman" w:cs="Times New Roman"/>
          <w:szCs w:val="24"/>
        </w:rPr>
        <w:t>Ambrosia E. Logsdon, (0096598)</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Assistant Consumers’ Counsel</w:t>
      </w:r>
    </w:p>
    <w:p w:rsidR="00B45BC0" w:rsidRPr="00517C65" w:rsidP="00B45BC0">
      <w:pPr>
        <w:tabs>
          <w:tab w:val="left" w:pos="4320"/>
        </w:tabs>
        <w:spacing w:after="0" w:line="240" w:lineRule="auto"/>
        <w:ind w:left="4320"/>
        <w:rPr>
          <w:rFonts w:eastAsia="Times New Roman" w:cs="Times New Roman"/>
          <w:szCs w:val="24"/>
        </w:rPr>
      </w:pPr>
      <w:r w:rsidRPr="00517C65">
        <w:rPr>
          <w:rFonts w:eastAsia="Times New Roman" w:cs="Times New Roman"/>
          <w:szCs w:val="24"/>
        </w:rPr>
        <w:tab/>
      </w:r>
    </w:p>
    <w:p w:rsidR="00B45BC0" w:rsidRPr="00517C65" w:rsidP="00B45BC0">
      <w:pPr>
        <w:spacing w:after="0" w:line="240" w:lineRule="auto"/>
        <w:ind w:left="4320"/>
        <w:rPr>
          <w:rFonts w:eastAsia="Times New Roman" w:cs="Times New Roman"/>
          <w:b/>
          <w:szCs w:val="24"/>
        </w:rPr>
      </w:pPr>
      <w:r w:rsidRPr="00517C65">
        <w:rPr>
          <w:rFonts w:eastAsia="Times New Roman" w:cs="Times New Roman"/>
          <w:b/>
          <w:szCs w:val="24"/>
        </w:rPr>
        <w:t>Office of the Ohio Consumers’ Counsel</w:t>
      </w:r>
    </w:p>
    <w:p w:rsidR="00B45BC0" w:rsidRPr="00517C65" w:rsidP="00B45BC0">
      <w:pPr>
        <w:spacing w:after="0" w:line="240" w:lineRule="auto"/>
        <w:ind w:left="4320"/>
        <w:rPr>
          <w:rFonts w:eastAsia="Times New Roman" w:cs="Times New Roman"/>
          <w:szCs w:val="24"/>
        </w:rPr>
      </w:pPr>
      <w:r>
        <w:rPr>
          <w:rFonts w:eastAsia="Times New Roman" w:cs="Times New Roman"/>
          <w:szCs w:val="24"/>
        </w:rPr>
        <w:t>65 East State Street, 7</w:t>
      </w:r>
      <w:r w:rsidRPr="00F10A71">
        <w:rPr>
          <w:rFonts w:eastAsia="Times New Roman" w:cs="Times New Roman"/>
          <w:szCs w:val="24"/>
          <w:vertAlign w:val="superscript"/>
        </w:rPr>
        <w:t>th</w:t>
      </w:r>
      <w:r>
        <w:rPr>
          <w:rFonts w:eastAsia="Times New Roman" w:cs="Times New Roman"/>
          <w:szCs w:val="24"/>
        </w:rPr>
        <w:t xml:space="preserve"> Fl.</w:t>
      </w:r>
    </w:p>
    <w:p w:rsidR="00B45BC0" w:rsidRPr="00517C65" w:rsidP="00B45BC0">
      <w:pPr>
        <w:spacing w:after="0" w:line="240" w:lineRule="auto"/>
        <w:ind w:left="4320"/>
        <w:rPr>
          <w:rFonts w:eastAsia="Times New Roman" w:cs="Times New Roman"/>
          <w:b/>
          <w:szCs w:val="24"/>
        </w:rPr>
      </w:pPr>
      <w:r w:rsidRPr="00517C65">
        <w:rPr>
          <w:rFonts w:eastAsia="Times New Roman" w:cs="Times New Roman"/>
          <w:szCs w:val="24"/>
        </w:rPr>
        <w:t>Columbus, Ohio 43215</w:t>
      </w:r>
    </w:p>
    <w:p w:rsidR="00B45BC0" w:rsidP="00B45BC0">
      <w:pPr>
        <w:spacing w:after="0" w:line="240" w:lineRule="auto"/>
        <w:ind w:left="4320"/>
        <w:rPr>
          <w:rFonts w:eastAsia="Times New Roman" w:cs="Times New Roman"/>
          <w:szCs w:val="24"/>
        </w:rPr>
      </w:pPr>
      <w:r w:rsidRPr="00517C65">
        <w:rPr>
          <w:rFonts w:eastAsia="Times New Roman" w:cs="Times New Roman"/>
          <w:szCs w:val="24"/>
        </w:rPr>
        <w:t>Telephone: [Michael] (614) 466-1291</w:t>
      </w:r>
    </w:p>
    <w:p w:rsidR="00C43634" w:rsidRPr="00517C65" w:rsidP="00B45BC0">
      <w:pPr>
        <w:spacing w:after="0" w:line="240" w:lineRule="auto"/>
        <w:ind w:left="4320"/>
        <w:rPr>
          <w:rFonts w:eastAsia="Times New Roman" w:cs="Times New Roman"/>
          <w:szCs w:val="24"/>
        </w:rPr>
      </w:pPr>
      <w:r>
        <w:rPr>
          <w:rFonts w:eastAsia="Times New Roman" w:cs="Times New Roman"/>
          <w:szCs w:val="24"/>
        </w:rPr>
        <w:t>Telephone: [Logsdon] (614) 466-1292</w:t>
      </w:r>
    </w:p>
    <w:p w:rsidR="00B45BC0" w:rsidRPr="00517C65" w:rsidP="00B45BC0">
      <w:pPr>
        <w:spacing w:after="0" w:line="240" w:lineRule="auto"/>
        <w:ind w:left="4320"/>
        <w:rPr>
          <w:rFonts w:eastAsia="Times New Roman" w:cs="Times New Roman"/>
          <w:szCs w:val="24"/>
        </w:rPr>
      </w:pPr>
      <w:r w:rsidRPr="00517C65">
        <w:rPr>
          <w:rFonts w:eastAsia="Times New Roman" w:cs="Times New Roman"/>
          <w:color w:val="0000FF" w:themeColor="hyperlink"/>
          <w:szCs w:val="24"/>
          <w:u w:val="single"/>
        </w:rPr>
        <w:t>william.michael@occ.ohio.gov</w:t>
      </w:r>
    </w:p>
    <w:p w:rsidR="00B45BC0" w:rsidRPr="00517C65" w:rsidP="00B45BC0">
      <w:pPr>
        <w:spacing w:after="0" w:line="240" w:lineRule="auto"/>
        <w:ind w:left="4320"/>
        <w:rPr>
          <w:rFonts w:eastAsia="Times New Roman" w:cs="Times New Roman"/>
          <w:szCs w:val="24"/>
        </w:rPr>
      </w:pPr>
      <w:r>
        <w:rPr>
          <w:rFonts w:eastAsia="Times New Roman" w:cs="Times New Roman"/>
          <w:color w:val="0000FF" w:themeColor="hyperlink"/>
          <w:szCs w:val="24"/>
          <w:u w:val="single"/>
        </w:rPr>
        <w:t>Ambrosia.Logsdon@</w:t>
      </w:r>
      <w:r w:rsidRPr="00517C65">
        <w:rPr>
          <w:rFonts w:eastAsia="Times New Roman" w:cs="Times New Roman"/>
          <w:color w:val="0000FF" w:themeColor="hyperlink"/>
          <w:szCs w:val="24"/>
          <w:u w:val="single"/>
        </w:rPr>
        <w:t>occ.ohio.gov</w:t>
      </w:r>
    </w:p>
    <w:p w:rsidR="00B45BC0" w:rsidRPr="00517C65" w:rsidP="00B45BC0">
      <w:pPr>
        <w:spacing w:after="0" w:line="240" w:lineRule="auto"/>
        <w:rPr>
          <w:rFonts w:eastAsia="Times New Roman" w:cs="Times New Roman"/>
          <w:szCs w:val="24"/>
        </w:rPr>
        <w:sectPr w:rsidSect="006B7DFA">
          <w:footerReference w:type="default" r:id="rId12"/>
          <w:pgSz w:w="12240" w:h="15840"/>
          <w:pgMar w:top="1440" w:right="1800" w:bottom="1440" w:left="1800" w:header="720" w:footer="720" w:gutter="0"/>
          <w:pgNumType w:start="1"/>
          <w:cols w:space="720"/>
          <w:docGrid w:linePitch="360"/>
        </w:sectPr>
      </w:pP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t xml:space="preserve">            (</w:t>
      </w:r>
      <w:r>
        <w:rPr>
          <w:rFonts w:eastAsia="Times New Roman" w:cs="Times New Roman"/>
          <w:szCs w:val="24"/>
        </w:rPr>
        <w:t>W</w:t>
      </w:r>
      <w:r w:rsidRPr="00517C65">
        <w:rPr>
          <w:rFonts w:eastAsia="Times New Roman" w:cs="Times New Roman"/>
          <w:szCs w:val="24"/>
        </w:rPr>
        <w:t>ill accept service via email)</w:t>
      </w:r>
    </w:p>
    <w:p w:rsidR="00B45BC0" w:rsidRPr="00517C65" w:rsidP="00B45BC0">
      <w:pPr>
        <w:spacing w:after="0" w:line="240" w:lineRule="auto"/>
        <w:jc w:val="center"/>
        <w:rPr>
          <w:rFonts w:eastAsia="Calibri" w:cs="Times New Roman"/>
          <w:b/>
          <w:bCs/>
          <w:szCs w:val="24"/>
          <w:u w:val="single"/>
        </w:rPr>
      </w:pPr>
      <w:r w:rsidRPr="00517C65">
        <w:rPr>
          <w:rFonts w:eastAsia="Calibri" w:cs="Times New Roman"/>
          <w:b/>
          <w:bCs/>
          <w:szCs w:val="24"/>
          <w:u w:val="single"/>
        </w:rPr>
        <w:t>CERTIFICATE OF SERVICE</w:t>
      </w:r>
    </w:p>
    <w:p w:rsidR="00B45BC0" w:rsidRPr="00517C65" w:rsidP="00B45BC0">
      <w:pPr>
        <w:spacing w:after="0" w:line="480" w:lineRule="atLeast"/>
        <w:ind w:firstLine="720"/>
        <w:rPr>
          <w:rFonts w:eastAsia="Calibri" w:cs="Times New Roman"/>
          <w:szCs w:val="24"/>
        </w:rPr>
      </w:pPr>
      <w:r w:rsidRPr="00517C65">
        <w:rPr>
          <w:rFonts w:eastAsia="Calibri" w:cs="Times New Roman"/>
          <w:szCs w:val="24"/>
        </w:rPr>
        <w:t xml:space="preserve">I hereby certify that a copy of this Initial Post-Hearing Brief was served on the persons stated below via electronic service, this </w:t>
      </w:r>
      <w:r>
        <w:rPr>
          <w:rFonts w:eastAsia="Calibri" w:cs="Times New Roman"/>
          <w:szCs w:val="24"/>
        </w:rPr>
        <w:t>27th day of June, 2019</w:t>
      </w:r>
      <w:r w:rsidRPr="00517C65">
        <w:rPr>
          <w:rFonts w:eastAsia="Calibri" w:cs="Times New Roman"/>
          <w:szCs w:val="24"/>
        </w:rPr>
        <w:t>.</w:t>
      </w:r>
    </w:p>
    <w:p w:rsidR="00B45BC0" w:rsidRPr="00517C65" w:rsidP="00B45BC0">
      <w:pPr>
        <w:spacing w:after="0" w:line="240" w:lineRule="auto"/>
        <w:rPr>
          <w:rFonts w:eastAsia="Calibri" w:cs="Times New Roman"/>
          <w:szCs w:val="24"/>
        </w:rPr>
      </w:pPr>
    </w:p>
    <w:p w:rsidR="00B45BC0" w:rsidRPr="00517C65" w:rsidP="00B45BC0">
      <w:pPr>
        <w:tabs>
          <w:tab w:val="left" w:pos="4320"/>
        </w:tabs>
        <w:spacing w:after="0" w:line="240" w:lineRule="auto"/>
        <w:rPr>
          <w:rFonts w:eastAsia="Calibri" w:cs="Times New Roman"/>
          <w:i/>
          <w:iCs/>
          <w:szCs w:val="24"/>
          <w:u w:val="single"/>
        </w:rPr>
      </w:pPr>
      <w:r w:rsidRPr="00517C65">
        <w:rPr>
          <w:rFonts w:eastAsia="Calibri" w:cs="Times New Roman"/>
          <w:iCs/>
          <w:szCs w:val="24"/>
        </w:rPr>
        <w:tab/>
      </w:r>
      <w:r w:rsidRPr="00517C65">
        <w:rPr>
          <w:rFonts w:eastAsia="Calibri" w:cs="Times New Roman"/>
          <w:iCs/>
          <w:szCs w:val="24"/>
        </w:rPr>
        <w:tab/>
      </w:r>
      <w:r w:rsidRPr="00517C65">
        <w:rPr>
          <w:rFonts w:eastAsia="Calibri" w:cs="Times New Roman"/>
          <w:i/>
          <w:iCs/>
          <w:szCs w:val="24"/>
          <w:u w:val="single"/>
        </w:rPr>
        <w:t xml:space="preserve">/s/ </w:t>
      </w:r>
      <w:r>
        <w:rPr>
          <w:rFonts w:eastAsia="Calibri" w:cs="Times New Roman"/>
          <w:i/>
          <w:iCs/>
          <w:szCs w:val="24"/>
          <w:u w:val="single"/>
        </w:rPr>
        <w:t>Ambrosia E. Logsdon</w:t>
      </w:r>
    </w:p>
    <w:p w:rsidR="00B45BC0" w:rsidRPr="00517C65" w:rsidP="00B45BC0">
      <w:pPr>
        <w:tabs>
          <w:tab w:val="left" w:pos="4320"/>
        </w:tabs>
        <w:spacing w:after="0" w:line="240" w:lineRule="auto"/>
        <w:rPr>
          <w:rFonts w:eastAsia="Calibri" w:cs="Times New Roman"/>
          <w:iCs/>
          <w:szCs w:val="24"/>
        </w:rPr>
      </w:pPr>
      <w:r w:rsidRPr="00517C65">
        <w:rPr>
          <w:rFonts w:eastAsia="Calibri" w:cs="Times New Roman"/>
          <w:iCs/>
          <w:szCs w:val="24"/>
        </w:rPr>
        <w:tab/>
      </w:r>
      <w:r w:rsidRPr="00517C65">
        <w:rPr>
          <w:rFonts w:eastAsia="Calibri" w:cs="Times New Roman"/>
          <w:iCs/>
          <w:szCs w:val="24"/>
        </w:rPr>
        <w:tab/>
      </w:r>
      <w:r>
        <w:rPr>
          <w:rFonts w:eastAsia="Calibri" w:cs="Times New Roman"/>
          <w:iCs/>
          <w:szCs w:val="24"/>
        </w:rPr>
        <w:t>Ambrosia E. Logsdon</w:t>
      </w:r>
      <w:r w:rsidRPr="00517C65">
        <w:rPr>
          <w:rFonts w:eastAsia="Calibri" w:cs="Times New Roman"/>
          <w:iCs/>
          <w:szCs w:val="24"/>
        </w:rPr>
        <w:t xml:space="preserve"> </w:t>
      </w:r>
    </w:p>
    <w:p w:rsidR="00B45BC0" w:rsidRPr="00517C65" w:rsidP="00B45BC0">
      <w:pPr>
        <w:tabs>
          <w:tab w:val="left" w:pos="4320"/>
        </w:tabs>
        <w:spacing w:after="0" w:line="240" w:lineRule="auto"/>
        <w:rPr>
          <w:rFonts w:eastAsia="Calibri" w:cs="Times New Roman"/>
          <w:iCs/>
          <w:szCs w:val="24"/>
        </w:rPr>
      </w:pPr>
      <w:r w:rsidRPr="00517C65">
        <w:rPr>
          <w:rFonts w:eastAsia="Calibri" w:cs="Times New Roman"/>
          <w:iCs/>
          <w:szCs w:val="24"/>
        </w:rPr>
        <w:tab/>
      </w:r>
      <w:r w:rsidRPr="00517C65">
        <w:rPr>
          <w:rFonts w:eastAsia="Calibri" w:cs="Times New Roman"/>
          <w:iCs/>
          <w:szCs w:val="24"/>
        </w:rPr>
        <w:tab/>
        <w:t>Assistant Consumers’ Counsel</w:t>
      </w:r>
    </w:p>
    <w:p w:rsidR="00B45BC0" w:rsidRPr="00517C65" w:rsidP="00B45BC0">
      <w:pPr>
        <w:spacing w:after="0" w:line="240" w:lineRule="auto"/>
        <w:rPr>
          <w:rFonts w:eastAsia="Times New Roman" w:cs="Times New Roman"/>
          <w:szCs w:val="24"/>
        </w:rPr>
      </w:pPr>
    </w:p>
    <w:p w:rsidR="006B7DFA" w:rsidRPr="00E57A49" w:rsidP="006B7DFA">
      <w:pPr>
        <w:pStyle w:val="CommentText"/>
        <w:suppressLineNumbers/>
        <w:jc w:val="center"/>
        <w:rPr>
          <w:b/>
          <w:sz w:val="24"/>
          <w:szCs w:val="24"/>
          <w:u w:val="single"/>
        </w:rPr>
      </w:pPr>
      <w:r w:rsidRPr="00E57A49">
        <w:rPr>
          <w:b/>
          <w:sz w:val="24"/>
          <w:szCs w:val="24"/>
          <w:u w:val="single"/>
        </w:rPr>
        <w:t>SERVICE LIST</w:t>
      </w:r>
    </w:p>
    <w:p w:rsidR="006B7DFA" w:rsidRPr="00E57A49" w:rsidP="006B7DFA">
      <w:pPr>
        <w:pStyle w:val="CommentText"/>
        <w:suppressLineNumbers/>
        <w:spacing w:after="0"/>
        <w:jc w:val="center"/>
        <w:rPr>
          <w:b/>
          <w:sz w:val="24"/>
          <w:szCs w:val="24"/>
          <w:u w:val="single"/>
        </w:rPr>
      </w:pPr>
    </w:p>
    <w:p w:rsidR="006B7DFA" w:rsidRPr="00E57A49" w:rsidP="006B7DFA">
      <w:pPr>
        <w:pStyle w:val="CommentText"/>
        <w:suppressLineNumbers/>
        <w:spacing w:after="0"/>
        <w:jc w:val="center"/>
        <w:rPr>
          <w:b/>
          <w:sz w:val="24"/>
          <w:szCs w:val="24"/>
          <w:u w:val="single"/>
        </w:rPr>
      </w:pPr>
    </w:p>
    <w:tbl>
      <w:tblPr>
        <w:tblW w:w="0" w:type="auto"/>
        <w:tblInd w:w="0" w:type="dxa"/>
        <w:tblCellMar>
          <w:top w:w="0" w:type="dxa"/>
          <w:left w:w="108" w:type="dxa"/>
          <w:bottom w:w="0" w:type="dxa"/>
          <w:right w:w="108" w:type="dxa"/>
        </w:tblCellMar>
        <w:tblLook w:val="04A0"/>
      </w:tblPr>
      <w:tblGrid>
        <w:gridCol w:w="4414"/>
        <w:gridCol w:w="4226"/>
      </w:tblGrid>
      <w:tr w:rsidTr="004875EC">
        <w:tblPrEx>
          <w:tblW w:w="0" w:type="auto"/>
          <w:tblInd w:w="0" w:type="dxa"/>
          <w:tblCellMar>
            <w:top w:w="0" w:type="dxa"/>
            <w:left w:w="108" w:type="dxa"/>
            <w:bottom w:w="0" w:type="dxa"/>
            <w:right w:w="108" w:type="dxa"/>
          </w:tblCellMar>
          <w:tblLook w:val="04A0"/>
        </w:tblPrEx>
        <w:tc>
          <w:tcPr>
            <w:tcW w:w="4428" w:type="dxa"/>
          </w:tcPr>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"mailto:Werner.margard@ohioattorneygeneral.gov" </w:instrText>
            </w:r>
            <w:r>
              <w:fldChar w:fldCharType="separate"/>
            </w:r>
            <w:r w:rsidRPr="00E57A49" w:rsidR="00A0158A">
              <w:rPr>
                <w:rStyle w:val="Hyperlink"/>
                <w:rFonts w:ascii="Times New Roman" w:hAnsi="Times New Roman" w:eastAsiaTheme="minorHAnsi" w:cstheme="minorBidi"/>
                <w:color w:val="0077CC"/>
                <w:sz w:val="24"/>
                <w:szCs w:val="24"/>
                <w:u w:val="single"/>
                <w:lang w:val="en-US" w:eastAsia="en-US" w:bidi="ar-SA"/>
              </w:rPr>
              <w:t>Werner.margard@ohioattorneygeneral.gov</w:t>
            </w:r>
            <w:r>
              <w:fldChar w:fldCharType="end"/>
            </w: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u w:val="single"/>
                <w:lang w:val="en-US" w:eastAsia="en-US" w:bidi="ar-SA"/>
              </w:rPr>
            </w:pP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r w:rsidRPr="00E57A49">
              <w:rPr>
                <w:rFonts w:ascii="Times New Roman" w:hAnsi="Times New Roman" w:eastAsiaTheme="minorHAnsi" w:cstheme="minorBidi"/>
                <w:sz w:val="24"/>
                <w:szCs w:val="24"/>
                <w:lang w:val="en-US" w:eastAsia="en-US" w:bidi="ar-SA"/>
              </w:rPr>
              <w:t>Attorney Examiners:</w:t>
            </w: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"mailto:Sarah.parrot@puco.ohio.gov" </w:instrText>
            </w:r>
            <w:r>
              <w:fldChar w:fldCharType="separate"/>
            </w:r>
            <w:r w:rsidRPr="00E57A49" w:rsidR="00A0158A">
              <w:rPr>
                <w:rStyle w:val="Hyperlink"/>
                <w:rFonts w:ascii="Times New Roman" w:hAnsi="Times New Roman" w:eastAsiaTheme="minorHAnsi" w:cstheme="minorBidi"/>
                <w:color w:val="0077CC"/>
                <w:sz w:val="24"/>
                <w:szCs w:val="24"/>
                <w:u w:val="single"/>
                <w:lang w:val="en-US" w:eastAsia="en-US" w:bidi="ar-SA"/>
              </w:rPr>
              <w:t>Sarah.parrot@puco.ohio.gov</w:t>
            </w:r>
            <w:r>
              <w:fldChar w:fldCharType="end"/>
            </w: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"mailto:Greta.see@puco.ohio.gov" </w:instrText>
            </w:r>
            <w:r>
              <w:fldChar w:fldCharType="separate"/>
            </w:r>
            <w:r w:rsidRPr="00E57A49" w:rsidR="00A0158A">
              <w:rPr>
                <w:rStyle w:val="Hyperlink"/>
                <w:rFonts w:ascii="Times New Roman" w:hAnsi="Times New Roman" w:eastAsiaTheme="minorHAnsi" w:cstheme="minorBidi"/>
                <w:color w:val="0077CC"/>
                <w:sz w:val="24"/>
                <w:szCs w:val="24"/>
                <w:u w:val="single"/>
                <w:lang w:val="en-US" w:eastAsia="en-US" w:bidi="ar-SA"/>
              </w:rPr>
              <w:t>Greta.see@puco.ohio.gov</w:t>
            </w:r>
            <w:r>
              <w:fldChar w:fldCharType="end"/>
            </w: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u w:val="single"/>
                <w:lang w:val="en-US" w:eastAsia="en-US" w:bidi="ar-SA"/>
              </w:rPr>
            </w:pPr>
          </w:p>
        </w:tc>
        <w:tc>
          <w:tcPr>
            <w:tcW w:w="4428" w:type="dxa"/>
          </w:tcPr>
          <w:p w:rsidR="006B7DFA" w:rsidRPr="00E57A49" w:rsidP="006B7DFA">
            <w:pPr>
              <w:pStyle w:val="CommentText"/>
              <w:suppressLineNumbers/>
              <w:spacing w:after="0" w:line="240" w:lineRule="auto"/>
              <w:ind w:left="1338"/>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"mailto:stnourse@aep.com" </w:instrText>
            </w:r>
            <w:r>
              <w:fldChar w:fldCharType="separate"/>
            </w:r>
            <w:r w:rsidRPr="00E57A49" w:rsidR="00A0158A">
              <w:rPr>
                <w:rStyle w:val="Hyperlink"/>
                <w:rFonts w:ascii="Times New Roman" w:hAnsi="Times New Roman" w:eastAsiaTheme="minorHAnsi" w:cstheme="minorBidi"/>
                <w:color w:val="0077CC"/>
                <w:sz w:val="24"/>
                <w:szCs w:val="24"/>
                <w:u w:val="single"/>
                <w:lang w:val="en-US" w:eastAsia="en-US" w:bidi="ar-SA"/>
              </w:rPr>
              <w:t>stnourse@aep.com</w:t>
            </w:r>
            <w:r>
              <w:fldChar w:fldCharType="end"/>
            </w:r>
          </w:p>
          <w:p w:rsidR="006B7DFA" w:rsidRPr="00E57A49" w:rsidP="006B7DFA">
            <w:pPr>
              <w:pStyle w:val="CommentText"/>
              <w:suppressLineNumbers/>
              <w:spacing w:after="0" w:line="240" w:lineRule="auto"/>
              <w:ind w:left="1338"/>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"mailto:cmblend@aep.com" </w:instrText>
            </w:r>
            <w:r>
              <w:fldChar w:fldCharType="separate"/>
            </w:r>
            <w:r w:rsidRPr="00E57A49" w:rsidR="00A0158A">
              <w:rPr>
                <w:rStyle w:val="Hyperlink"/>
                <w:rFonts w:ascii="Times New Roman" w:hAnsi="Times New Roman" w:eastAsiaTheme="minorHAnsi" w:cstheme="minorBidi"/>
                <w:color w:val="0077CC"/>
                <w:sz w:val="24"/>
                <w:szCs w:val="24"/>
                <w:u w:val="single"/>
                <w:lang w:val="en-US" w:eastAsia="en-US" w:bidi="ar-SA"/>
              </w:rPr>
              <w:t>cmblend@aep.com</w:t>
            </w:r>
            <w:r>
              <w:fldChar w:fldCharType="end"/>
            </w:r>
          </w:p>
          <w:p w:rsidR="006B7DFA" w:rsidRPr="00E57A49" w:rsidP="006B7DFA">
            <w:pPr>
              <w:pStyle w:val="CommentText"/>
              <w:suppressLineNumbers/>
              <w:spacing w:after="0" w:line="240" w:lineRule="auto"/>
              <w:ind w:left="1338"/>
              <w:rPr>
                <w:rStyle w:val="DefaultParagraphFont"/>
                <w:rFonts w:ascii="Times New Roman" w:hAnsi="Times New Roman" w:eastAsiaTheme="minorHAnsi" w:cstheme="minorBidi"/>
                <w:sz w:val="24"/>
                <w:szCs w:val="24"/>
                <w:lang w:val="en-US" w:eastAsia="en-US" w:bidi="ar-SA"/>
              </w:rPr>
            </w:pPr>
          </w:p>
          <w:p w:rsidR="006B7DFA" w:rsidRPr="00E57A49" w:rsidP="006B7DFA">
            <w:pPr>
              <w:pStyle w:val="CommentText"/>
              <w:suppressLineNumbers/>
              <w:spacing w:after="0" w:line="240" w:lineRule="auto"/>
              <w:rPr>
                <w:rStyle w:val="DefaultParagraphFont"/>
                <w:rFonts w:ascii="Times New Roman" w:hAnsi="Times New Roman" w:eastAsiaTheme="minorHAnsi" w:cstheme="minorBidi"/>
                <w:sz w:val="24"/>
                <w:szCs w:val="24"/>
                <w:lang w:val="en-US" w:eastAsia="en-US" w:bidi="ar-SA"/>
              </w:rPr>
            </w:pPr>
          </w:p>
        </w:tc>
      </w:tr>
    </w:tbl>
    <w:p w:rsidR="00B45BC0" w:rsidRPr="00517C65" w:rsidP="00B45BC0">
      <w:pPr>
        <w:spacing w:after="0" w:line="240" w:lineRule="auto"/>
        <w:jc w:val="center"/>
        <w:rPr>
          <w:rFonts w:eastAsia="Times New Roman" w:cs="Times New Roman"/>
          <w:b/>
          <w:bCs/>
          <w:szCs w:val="24"/>
          <w:u w:val="single"/>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720"/>
        <w:gridCol w:w="4640"/>
      </w:tblGrid>
      <w:tr w:rsidTr="00C43634">
        <w:tblPrEx>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720" w:type="dxa"/>
          </w:tcPr>
          <w:p w:rsidR="00B45BC0" w:rsidRPr="00517C65" w:rsidP="00B45BC0">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p>
        </w:tc>
        <w:tc>
          <w:tcPr>
            <w:tcW w:w="4640" w:type="dxa"/>
          </w:tcPr>
          <w:p w:rsidR="00B45BC0" w:rsidRPr="00517C65" w:rsidP="00B45BC0">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p>
        </w:tc>
      </w:tr>
    </w:tbl>
    <w:p w:rsidR="00B45BC0" w:rsidRPr="00517C65">
      <w:pPr>
        <w:rPr>
          <w:rFonts w:cs="Times New Roman"/>
          <w:szCs w:val="24"/>
        </w:rPr>
      </w:pPr>
    </w:p>
    <w:sectPr w:rsidSect="00B45BC0">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29E">
    <w:pPr>
      <w:pStyle w:val="Footer"/>
      <w:jc w:val="center"/>
    </w:pPr>
  </w:p>
  <w:p w:rsidR="00DA42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8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85291"/>
      <w:docPartObj>
        <w:docPartGallery w:val="Page Numbers (Bottom of Page)"/>
        <w:docPartUnique/>
      </w:docPartObj>
    </w:sdtPr>
    <w:sdtEndPr>
      <w:rPr>
        <w:rFonts w:cs="Times New Roman"/>
        <w:noProof/>
      </w:rPr>
    </w:sdtEndPr>
    <w:sdtContent>
      <w:p w:rsidR="00DA429E" w:rsidRPr="001F3D1D">
        <w:pPr>
          <w:pStyle w:val="Footer"/>
          <w:jc w:val="center"/>
          <w:rPr>
            <w:rFonts w:cs="Times New Roman"/>
          </w:rPr>
        </w:pPr>
        <w:r w:rsidRPr="001F3D1D">
          <w:rPr>
            <w:rFonts w:cs="Times New Roman"/>
          </w:rPr>
          <w:fldChar w:fldCharType="begin"/>
        </w:r>
        <w:r w:rsidRPr="001F3D1D">
          <w:rPr>
            <w:rFonts w:cs="Times New Roman"/>
          </w:rPr>
          <w:instrText xml:space="preserve"> PAGE   \* MERGEFORMAT </w:instrText>
        </w:r>
        <w:r w:rsidRPr="001F3D1D">
          <w:rPr>
            <w:rFonts w:cs="Times New Roman"/>
          </w:rPr>
          <w:fldChar w:fldCharType="separate"/>
        </w:r>
        <w:r>
          <w:rPr>
            <w:rFonts w:cs="Times New Roman"/>
            <w:noProof/>
          </w:rPr>
          <w:t>iv</w:t>
        </w:r>
        <w:r w:rsidRPr="001F3D1D">
          <w:rPr>
            <w:rFonts w:cs="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0480005"/>
      <w:docPartObj>
        <w:docPartGallery w:val="Page Numbers (Bottom of Page)"/>
        <w:docPartUnique/>
      </w:docPartObj>
    </w:sdtPr>
    <w:sdtEndPr>
      <w:rPr>
        <w:noProof/>
      </w:rPr>
    </w:sdtEndPr>
    <w:sdtContent>
      <w:p w:rsidR="00DA4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429E" w:rsidRPr="001F3D1D">
    <w:pPr>
      <w:pStyle w:val="Footer"/>
      <w:jc w:val="center"/>
      <w:rPr>
        <w:rFonts w:cs="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29E" w:rsidRPr="001F3D1D">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6957" w:rsidP="00B45BC0">
      <w:pPr>
        <w:spacing w:after="0" w:line="240" w:lineRule="auto"/>
      </w:pPr>
      <w:r>
        <w:separator/>
      </w:r>
    </w:p>
  </w:footnote>
  <w:footnote w:type="continuationSeparator" w:id="1">
    <w:p w:rsidR="00706957" w:rsidP="00B45BC0">
      <w:pPr>
        <w:spacing w:after="0" w:line="240" w:lineRule="auto"/>
      </w:pPr>
      <w:r>
        <w:continuationSeparator/>
      </w:r>
    </w:p>
  </w:footnote>
  <w:footnote w:id="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rPr>
        <w:t>In the Matter of the Application of Columbus Southern Power Company for Approval of an Electric Security Plan; an Amendment to its Corporate Separation Plan; and the Sale or Transfer of Certain Generating Assets</w:t>
      </w:r>
      <w:r w:rsidRPr="00E145DD">
        <w:rPr>
          <w:rFonts w:cs="Times New Roman"/>
        </w:rPr>
        <w:t>., Case 08-917-EL-SSO (March 18, 2009), pages 31-34.</w:t>
      </w:r>
    </w:p>
  </w:footnote>
  <w:footnote w:id="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From the Schedule 1 provided with AEP Ohio’s yearly ESRR applications. </w:t>
      </w:r>
    </w:p>
  </w:footnote>
  <w:footnote w:id="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Case Nos. 08-917-EL-SSO and 08-918-EL-SSO, Opinion and Order (March 18, 2009) at 33.</w:t>
      </w:r>
    </w:p>
  </w:footnote>
  <w:footnote w:id="5">
    <w:p w:rsidR="00DA429E" w:rsidRPr="00E145DD" w:rsidP="00E145DD">
      <w:pPr>
        <w:autoSpaceDE w:val="0"/>
        <w:autoSpaceDN w:val="0"/>
        <w:adjustRightInd w:val="0"/>
        <w:spacing w:after="120" w:line="240" w:lineRule="auto"/>
        <w:rPr>
          <w:rFonts w:cs="Times New Roman"/>
          <w:sz w:val="20"/>
          <w:szCs w:val="20"/>
        </w:rPr>
      </w:pPr>
      <w:r w:rsidRPr="00E145DD">
        <w:rPr>
          <w:rStyle w:val="FootnoteReference"/>
          <w:rFonts w:cs="Times New Roman"/>
          <w:sz w:val="20"/>
          <w:szCs w:val="20"/>
        </w:rPr>
        <w:footnoteRef/>
      </w:r>
      <w:r w:rsidRPr="00E145DD">
        <w:rPr>
          <w:rFonts w:cs="Times New Roman"/>
          <w:sz w:val="20"/>
          <w:szCs w:val="20"/>
        </w:rPr>
        <w:t xml:space="preserve"> </w:t>
      </w:r>
      <w:r w:rsidRPr="00E145DD">
        <w:rPr>
          <w:rFonts w:cs="Times New Roman"/>
          <w:i/>
          <w:sz w:val="20"/>
          <w:szCs w:val="20"/>
        </w:rPr>
        <w:t>In the Matter of the Application of Columbus Southern Power Company for Approval of an Electric Security Plan; an Amendment to its Corporate Separation Plan; and the Sale or Transfer of Certain Generating Assets</w:t>
      </w:r>
      <w:r w:rsidRPr="00E145DD">
        <w:rPr>
          <w:rFonts w:cs="Times New Roman"/>
          <w:sz w:val="20"/>
          <w:szCs w:val="20"/>
        </w:rPr>
        <w:t>., Case 08-917-EL-SSO (March 18, 2009), pages 31-34.</w:t>
      </w:r>
    </w:p>
  </w:footnote>
  <w:footnote w:id="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w:t>
      </w:r>
    </w:p>
  </w:footnote>
  <w:footnote w:id="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w:t>
      </w:r>
    </w:p>
  </w:footnote>
  <w:footnote w:id="1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xml:space="preserve">. at page 32. </w:t>
      </w:r>
    </w:p>
  </w:footnote>
  <w:footnote w:id="1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From the sum of the Schedule 1 amounts in AEP’s yearly ESRR applications. </w:t>
      </w:r>
    </w:p>
  </w:footnote>
  <w:footnote w:id="1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In re the Application of the Ohio Power Company to Update its Enhanced Service Reliability Rider</w:t>
      </w:r>
      <w:r w:rsidRPr="00E145DD">
        <w:rPr>
          <w:rFonts w:cs="Times New Roman"/>
        </w:rPr>
        <w:t>, Case 17-1914-EL-RDR, Direct Testimony of Jeffrey P. Hecker on Behalf of the Ohio Consumers’ Counsel at 4:13-15 (“Hecker Direct”).</w:t>
      </w:r>
    </w:p>
  </w:footnote>
  <w:footnote w:id="1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color w:val="232323"/>
        </w:rPr>
        <w:t>In re matter of the application of Ohio Power Company for authority to establish a standard service</w:t>
      </w:r>
      <w:r w:rsidRPr="00E145DD">
        <w:rPr>
          <w:rFonts w:cs="Times New Roman"/>
        </w:rPr>
        <w:t>, Case No. 13-2385-EL-SSO Opinion and Order at 47 (February 25, 2015).</w:t>
      </w:r>
    </w:p>
  </w:footnote>
  <w:footnote w:id="1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In the Matter of the Application of Ohio Power Company for Approval of its Electric Security Plan; and an Amendment to its Corporate Separation Plan</w:t>
      </w:r>
      <w:r w:rsidRPr="00E145DD">
        <w:rPr>
          <w:rFonts w:cs="Times New Roman"/>
        </w:rPr>
        <w:t xml:space="preserve">., Case No. 08-918-EL-SSO, Opinion and Order (March 18, 2009); </w:t>
      </w:r>
      <w:r w:rsidRPr="00E145DD">
        <w:rPr>
          <w:rFonts w:cs="Times New Roman"/>
          <w:i/>
          <w:iCs/>
        </w:rPr>
        <w:t>In the Matter of the Application of Ohio Power Company for Approval of its Electric Security Plan,</w:t>
      </w:r>
      <w:r w:rsidRPr="00E145DD">
        <w:rPr>
          <w:rFonts w:cs="Times New Roman"/>
        </w:rPr>
        <w:t xml:space="preserve"> Case No. 11-346-EL-SSO et al., Opinion and Order (August 8, 2012); </w:t>
      </w:r>
      <w:r w:rsidRPr="00E145DD">
        <w:rPr>
          <w:rFonts w:cs="Times New Roman"/>
          <w:i/>
          <w:iCs/>
        </w:rPr>
        <w:t>In the Matter of the Application of Ohio Power Company for Approval of its Electric Security Plan</w:t>
      </w:r>
      <w:r w:rsidRPr="00E145DD">
        <w:rPr>
          <w:rFonts w:cs="Times New Roman"/>
        </w:rPr>
        <w:t xml:space="preserve">, Case No. 13-2385-EL-SSO et al, Opinion and Order (February 25, 2015); </w:t>
      </w:r>
      <w:r w:rsidRPr="00E145DD">
        <w:rPr>
          <w:rFonts w:cs="Times New Roman"/>
          <w:i/>
          <w:iCs/>
        </w:rPr>
        <w:t>In the Matter of the Application of Ohio Power Company for Approval of its Electric Security Plan</w:t>
      </w:r>
      <w:r w:rsidRPr="00E145DD">
        <w:rPr>
          <w:rFonts w:cs="Times New Roman"/>
        </w:rPr>
        <w:t>, Case No. 16-1852-EL-SSO et al, Opinion and Order (April 25, 2018).</w:t>
      </w:r>
    </w:p>
  </w:footnote>
  <w:footnote w:id="1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R.C. 4905.22.</w:t>
      </w:r>
    </w:p>
  </w:footnote>
  <w:footnote w:id="1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R.C. 4928.</w:t>
      </w:r>
    </w:p>
  </w:footnote>
  <w:footnote w:id="1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In the Matter of the Application of Ohio Power Company for Approval of its Electric Security Plan; and an Amendment to its Corporate Separation Plan</w:t>
      </w:r>
      <w:r w:rsidRPr="00E145DD">
        <w:rPr>
          <w:rFonts w:cs="Times New Roman"/>
        </w:rPr>
        <w:t xml:space="preserve">., Case No. 08-918-EL-SSO, Opinion and Order (March 18, 2009); </w:t>
      </w:r>
      <w:r w:rsidRPr="00E145DD">
        <w:rPr>
          <w:rFonts w:cs="Times New Roman"/>
          <w:i/>
          <w:iCs/>
        </w:rPr>
        <w:t>In the Matter of the Application of Ohio Power Company for Approval of its Electric Security Plan,</w:t>
      </w:r>
      <w:r w:rsidRPr="00E145DD">
        <w:rPr>
          <w:rFonts w:cs="Times New Roman"/>
        </w:rPr>
        <w:t xml:space="preserve"> Case No. 11-346-EL-SSO et al., Opinion and Order (August 8, 2012); </w:t>
      </w:r>
      <w:r w:rsidRPr="00E145DD">
        <w:rPr>
          <w:rFonts w:cs="Times New Roman"/>
          <w:i/>
          <w:iCs/>
        </w:rPr>
        <w:t>In the Matter of the Application of Ohio Power Company for Approval of its Electric Security Plan</w:t>
      </w:r>
      <w:r w:rsidRPr="00E145DD">
        <w:rPr>
          <w:rFonts w:cs="Times New Roman"/>
        </w:rPr>
        <w:t xml:space="preserve">, Case No. 13-2385-EL-SSO et al, Opinion and Order (February 25, 2015); </w:t>
      </w:r>
      <w:r w:rsidRPr="00E145DD">
        <w:rPr>
          <w:rFonts w:cs="Times New Roman"/>
          <w:i/>
          <w:iCs/>
        </w:rPr>
        <w:t>In the Matter of the Application of Ohio Power Company for Approval of its Electric Security Plan</w:t>
      </w:r>
      <w:r w:rsidRPr="00E145DD">
        <w:rPr>
          <w:rFonts w:cs="Times New Roman"/>
        </w:rPr>
        <w:t>, Case No. 16-1852-EL-SSO et al, Opinion and Order (April 25, 2018).</w:t>
      </w:r>
    </w:p>
  </w:footnote>
  <w:footnote w:id="1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R.C. 4928.143; R.C. 4905.54 (“</w:t>
      </w:r>
      <w:r w:rsidRPr="00E145DD">
        <w:rPr>
          <w:rFonts w:cs="Times New Roman"/>
          <w:color w:val="000000"/>
          <w:shd w:val="clear" w:color="auto" w:fill="FFFFFF"/>
        </w:rPr>
        <w:t>Every public utility or railroad and every officer of a public utility or railroad shall comply with every order, direction, and requirement of the public utilities commission…”).</w:t>
      </w:r>
    </w:p>
  </w:footnote>
  <w:footnote w:id="1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rPr>
        <w:t>See</w:t>
      </w:r>
      <w:r w:rsidRPr="00E145DD">
        <w:rPr>
          <w:rFonts w:cs="Times New Roman"/>
        </w:rPr>
        <w:t xml:space="preserve"> R.C. 4905.22 (“All charges made or demanded for any service rendered, or to be rendered, shall be just, reasonable, and not more than the charges allowed by law or by order of the public utilities commission, and no unjust or unreasonable charge shall be made or demanded for, or in connection with, any service, or in excess of that allowed by law or by order of the commission.”).</w:t>
      </w:r>
    </w:p>
  </w:footnote>
  <w:footnote w:id="2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7-8.</w:t>
      </w:r>
    </w:p>
  </w:footnote>
  <w:footnote w:id="2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System Improvement Plan Reports filed pursuant to Ohio Adm. Code 4901:1-10-26 in Case No.’s 10-996-EL-ESS, 11-996-EL-ESS, 12-996-EL-ESS, 13-996-EL-ESS, 14-996-EL-ESS, 15-996-EL-ESS, 16-996-EL-ESS, 17-996-EL-ESS, 18-996-EL-ESS, and 19-996-EL-ESS.</w:t>
      </w:r>
    </w:p>
  </w:footnote>
  <w:footnote w:id="2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Case No.13-2385-EL-SSO Opinion and Order (February 25, 2015) at 47.</w:t>
      </w:r>
    </w:p>
  </w:footnote>
  <w:footnote w:id="2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Hecker Direct at 8:9-10; </w:t>
      </w:r>
      <w:r w:rsidRPr="00E145DD">
        <w:rPr>
          <w:rFonts w:cs="Times New Roman"/>
          <w:i/>
          <w:iCs/>
        </w:rPr>
        <w:t>In re the Application of the Ohio Power Company to Update its Enhanced Service Reliability Rider</w:t>
      </w:r>
      <w:r w:rsidRPr="00E145DD">
        <w:rPr>
          <w:rFonts w:cs="Times New Roman"/>
        </w:rPr>
        <w:t xml:space="preserve">, Case 17-1914-EL-RDR, Updated Review and Recommendations of the Staff of the Public Utilities Commission of Ohio. </w:t>
      </w:r>
    </w:p>
  </w:footnote>
  <w:footnote w:id="2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at 8:12.</w:t>
      </w:r>
    </w:p>
  </w:footnote>
  <w:footnote w:id="2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at 8:13-14.</w:t>
      </w:r>
    </w:p>
  </w:footnote>
  <w:footnote w:id="2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In the Matter of the Application of Ohio Power Company for Approval of its Electric Security Plan</w:t>
      </w:r>
      <w:r w:rsidRPr="00E145DD">
        <w:rPr>
          <w:rFonts w:cs="Times New Roman"/>
        </w:rPr>
        <w:t>, Case No. 16-1852-EL-SSO et al, Opinion and Order (April 25, 2018).</w:t>
      </w:r>
    </w:p>
  </w:footnote>
  <w:footnote w:id="2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Hecker Direct at 5:8-11.</w:t>
      </w:r>
    </w:p>
  </w:footnote>
  <w:footnote w:id="2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at 5:13.</w:t>
      </w:r>
    </w:p>
  </w:footnote>
  <w:footnote w:id="2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Case 17-1914-EL-RDR, Staff’s Updated Review and Recommendations.</w:t>
      </w:r>
    </w:p>
  </w:footnote>
  <w:footnote w:id="3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Hecker Direct at 5:19 ($9,187,763 - $5,759,255 = $3,428,508).</w:t>
      </w:r>
    </w:p>
  </w:footnote>
  <w:footnote w:id="3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 xml:space="preserve">Id. </w:t>
      </w:r>
      <w:r w:rsidRPr="00E145DD">
        <w:rPr>
          <w:rFonts w:cs="Times New Roman"/>
        </w:rPr>
        <w:t>at 6:20-21, 7:1-2.</w:t>
      </w:r>
    </w:p>
  </w:footnote>
  <w:footnote w:id="3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xml:space="preserve">. at 6:20-21; </w:t>
      </w:r>
      <w:r w:rsidRPr="00E145DD">
        <w:rPr>
          <w:rFonts w:cs="Times New Roman"/>
          <w:i/>
          <w:iCs/>
        </w:rPr>
        <w:t>In re the Application of the Ohio Power Company to Update its Enhanced Service Reliability Rider</w:t>
      </w:r>
      <w:r w:rsidRPr="00E145DD">
        <w:rPr>
          <w:rFonts w:cs="Times New Roman"/>
        </w:rPr>
        <w:t>, Case 17-1914-EL-RDR, Direct Testimony of Andrea E. Moore on Behalf of the Ohio Power Company at 4 (“Moore Direct”).</w:t>
      </w:r>
    </w:p>
  </w:footnote>
  <w:footnote w:id="3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Hecker Direct at 6:4-5.</w:t>
      </w:r>
    </w:p>
  </w:footnote>
  <w:footnote w:id="3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Case 17-1914-EL-RDR, Staff Response Regarding Reply Comments of Ohio Power Company. </w:t>
      </w:r>
    </w:p>
  </w:footnote>
  <w:footnote w:id="3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Hecker Direct at 8:9-11.</w:t>
      </w:r>
    </w:p>
  </w:footnote>
  <w:footnote w:id="3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In re the Application of the Ohio Power Company to Update its Enhanced Service Reliability Rider</w:t>
      </w:r>
      <w:r w:rsidRPr="00E145DD">
        <w:rPr>
          <w:rFonts w:cs="Times New Roman"/>
        </w:rPr>
        <w:t>, Case 17-1914-EL-RDR, Direct Testimony of James D. Williams on Behalf of the Ohio Consumers’ Counsel at 13:3 (“Williams Direct”).</w:t>
      </w:r>
    </w:p>
  </w:footnote>
  <w:footnote w:id="3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13:13-14.</w:t>
      </w:r>
    </w:p>
  </w:footnote>
  <w:footnote w:id="3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3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8:16-17.</w:t>
      </w:r>
    </w:p>
  </w:footnote>
  <w:footnote w:id="4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4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13:13-14. (AEP claims that the tree-trimming rider primarily supports trimming trees inside the right of way, and that outages caused by trees outside the right of way are funded through the DIR). Moore Direct at 11-12.</w:t>
      </w:r>
    </w:p>
  </w:footnote>
  <w:footnote w:id="4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4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Direct Testimony of Ms. Moore (April 18, 2019) at 10.</w:t>
      </w:r>
    </w:p>
  </w:footnote>
  <w:footnote w:id="4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13:6-7.</w:t>
      </w:r>
    </w:p>
  </w:footnote>
  <w:footnote w:id="4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Direct Testimony of Ms. Moore (April 18, 2019) at 11. </w:t>
      </w:r>
    </w:p>
  </w:footnote>
  <w:footnote w:id="4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13:10.</w:t>
      </w:r>
    </w:p>
  </w:footnote>
  <w:footnote w:id="4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Hecker Direct at 8:17-18.</w:t>
      </w:r>
    </w:p>
  </w:footnote>
  <w:footnote w:id="4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4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In the Matter of the Annual Report of Electric Distribution System Reliability Pursuant to Rule 4901:1-10-10(C)</w:t>
      </w:r>
      <w:r w:rsidRPr="00E145DD">
        <w:rPr>
          <w:rFonts w:cs="Times New Roman"/>
        </w:rPr>
        <w:t>, Case No. 19-0992-EL-ESS (March 29, 2019) at 2.</w:t>
      </w:r>
    </w:p>
  </w:footnote>
  <w:footnote w:id="5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5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12:9.</w:t>
      </w:r>
    </w:p>
  </w:footnote>
  <w:footnote w:id="5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6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In the Matter of the Annual Report of Electric Distribution System Reliability Pursuant to Rule 4901:1-10-10(C). Case No. 19-0992-EL-ESS (March 29, 2019) at 2. </w:t>
      </w:r>
    </w:p>
  </w:footnote>
  <w:footnote w:id="6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5:3.</w:t>
      </w:r>
    </w:p>
  </w:footnote>
  <w:footnote w:id="6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xml:space="preserve"> at 5:3-4.</w:t>
      </w:r>
    </w:p>
  </w:footnote>
  <w:footnote w:id="6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5:5.</w:t>
      </w:r>
    </w:p>
  </w:footnote>
  <w:footnote w:id="6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5:11.</w:t>
      </w:r>
    </w:p>
  </w:footnote>
  <w:footnote w:id="6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Moore Direct at 25 (The data excludes outages that are associated with major events and transmission outages).</w:t>
      </w:r>
    </w:p>
  </w:footnote>
  <w:footnote w:id="6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5:11-12.</w:t>
      </w:r>
    </w:p>
  </w:footnote>
  <w:footnote w:id="6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Moore Direct at 10-13.</w:t>
      </w:r>
    </w:p>
  </w:footnote>
  <w:footnote w:id="6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Moore Direct at 7-8.</w:t>
      </w:r>
    </w:p>
  </w:footnote>
  <w:footnote w:id="6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5:17.</w:t>
      </w:r>
    </w:p>
  </w:footnote>
  <w:footnote w:id="7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Moore Direct at 10-13.</w:t>
      </w:r>
    </w:p>
  </w:footnote>
  <w:footnote w:id="7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6:4.</w:t>
      </w:r>
    </w:p>
  </w:footnote>
  <w:footnote w:id="7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7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7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O.A.C. 4901:1-10-30.</w:t>
      </w:r>
    </w:p>
  </w:footnote>
  <w:footnote w:id="7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r w:rsidRPr="00E145DD">
        <w:rPr>
          <w:rFonts w:cs="Times New Roman"/>
        </w:rPr>
        <w:t xml:space="preserve"> at 7-8.</w:t>
      </w:r>
    </w:p>
  </w:footnote>
  <w:footnote w:id="7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Ohio Adm. Code 4901:1-10-26(B)(3)(f).</w:t>
      </w:r>
    </w:p>
  </w:footnote>
  <w:footnote w:id="7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7:20.</w:t>
      </w:r>
    </w:p>
  </w:footnote>
  <w:footnote w:id="7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System Improvement Plan Reports filed pursuant to Ohio Adm. Code 4901:1-10-26 in Case No.’s 10-996-EL-ESS, 11-996-EL-ESS, 12-996-EL-ESS, 13-996-EL-ESS, 14-996-EL-ESS, 15-996-EL-ESS, 16-996-EL-ESS, 17-996-EL-ESS, 18-996-EL-ESS, and 19-996-EL-ESS. </w:t>
      </w:r>
    </w:p>
  </w:footnote>
  <w:footnote w:id="7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8:3.</w:t>
      </w:r>
    </w:p>
  </w:footnote>
  <w:footnote w:id="8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Moore Direct at 10-11.</w:t>
      </w:r>
    </w:p>
  </w:footnote>
  <w:footnote w:id="8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8:6-7.</w:t>
      </w:r>
    </w:p>
  </w:footnote>
  <w:footnote w:id="8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8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10.</w:t>
      </w:r>
    </w:p>
  </w:footnote>
  <w:footnote w:id="8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 xml:space="preserve">Id. </w:t>
      </w:r>
      <w:r w:rsidRPr="00E145DD">
        <w:rPr>
          <w:rFonts w:cs="Times New Roman"/>
        </w:rPr>
        <w:t>at 11.</w:t>
      </w:r>
    </w:p>
  </w:footnote>
  <w:footnote w:id="9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91">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92">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Customer Interruption Minutes/ Customers Interrupted. </w:t>
      </w:r>
    </w:p>
  </w:footnote>
  <w:footnote w:id="93">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AEP Ohio Response to OCC INT-1-149 and OCC INT-1-150 for 2009 through 2015 in Case No. 16-1852-EL-SSO (attached herein as JDW-3).  Pending discovery request with AEP Ohio requesting this data for 2009 through 2018.   </w:t>
      </w:r>
    </w:p>
  </w:footnote>
  <w:footnote w:id="94">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bookmarkStart w:id="12" w:name="_Hlk7621007"/>
      <w:r w:rsidRPr="00E145DD">
        <w:rPr>
          <w:rFonts w:cs="Times New Roman"/>
          <w:i/>
        </w:rPr>
        <w:t>In the Matter of the Annual Report of Electric Distribution System Reliability Pursuant to Rule 4901:1-10-10(C)</w:t>
      </w:r>
      <w:r w:rsidRPr="00E145DD">
        <w:rPr>
          <w:rFonts w:cs="Times New Roman"/>
        </w:rPr>
        <w:t>, Case No. 17-890-EL-ESS (March 31, 2017) at 6a</w:t>
      </w:r>
      <w:bookmarkEnd w:id="12"/>
      <w:r w:rsidRPr="00E145DD">
        <w:rPr>
          <w:rFonts w:cs="Times New Roman"/>
        </w:rPr>
        <w:t>.</w:t>
      </w:r>
    </w:p>
  </w:footnote>
  <w:footnote w:id="95">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96">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rPr>
        <w:t xml:space="preserve">In the Matter of the Annual Report of Electric Distribution System Reliability Pursuant to Rule 4901:1-10-10(C), </w:t>
      </w:r>
      <w:r w:rsidRPr="00E145DD">
        <w:rPr>
          <w:rFonts w:cs="Times New Roman"/>
        </w:rPr>
        <w:t>Case No. 19-992-EL-ESS (March 29, 2019) at 6a</w:t>
      </w:r>
      <w:r w:rsidRPr="00E145DD">
        <w:rPr>
          <w:rFonts w:cs="Times New Roman"/>
          <w:i/>
        </w:rPr>
        <w:t>.</w:t>
      </w:r>
    </w:p>
  </w:footnote>
  <w:footnote w:id="97">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Williams Direct at 11:4.</w:t>
      </w:r>
    </w:p>
  </w:footnote>
  <w:footnote w:id="98">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 xml:space="preserve">Id. </w:t>
      </w:r>
      <w:r w:rsidRPr="00E145DD">
        <w:rPr>
          <w:rFonts w:cs="Times New Roman"/>
        </w:rPr>
        <w:t>at 11:5.</w:t>
      </w:r>
    </w:p>
  </w:footnote>
  <w:footnote w:id="99">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w:t>
      </w:r>
      <w:r w:rsidRPr="00E145DD">
        <w:rPr>
          <w:rFonts w:cs="Times New Roman"/>
          <w:i/>
          <w:iCs/>
        </w:rPr>
        <w:t>Id.</w:t>
      </w:r>
    </w:p>
  </w:footnote>
  <w:footnote w:id="100">
    <w:p w:rsidR="00DA429E" w:rsidRPr="00E145DD" w:rsidP="00E145DD">
      <w:pPr>
        <w:pStyle w:val="FootnoteText"/>
        <w:spacing w:after="120"/>
        <w:rPr>
          <w:rFonts w:cs="Times New Roman"/>
        </w:rPr>
      </w:pPr>
      <w:r w:rsidRPr="00E145DD">
        <w:rPr>
          <w:rStyle w:val="FootnoteReference"/>
          <w:rFonts w:cs="Times New Roman"/>
        </w:rPr>
        <w:footnoteRef/>
      </w:r>
      <w:r w:rsidRPr="00E145DD">
        <w:rPr>
          <w:rFonts w:cs="Times New Roman"/>
        </w:rPr>
        <w:t xml:space="preserve"> Moore Direct at 12, Figure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8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91A2C83"/>
    <w:multiLevelType w:val="hybridMultilevel"/>
    <w:tmpl w:val="37A8A24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61623B9D"/>
    <w:multiLevelType w:val="hybridMultilevel"/>
    <w:tmpl w:val="8BDE3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3CB2005"/>
    <w:multiLevelType w:val="multilevel"/>
    <w:tmpl w:val="3E5E119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7CE0A23"/>
    <w:multiLevelType w:val="hybridMultilevel"/>
    <w:tmpl w:val="3E164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74"/>
    <w:rPr>
      <w:rFonts w:ascii="Times New Roman" w:hAnsi="Times New Roman"/>
      <w:sz w:val="24"/>
    </w:rPr>
  </w:style>
  <w:style w:type="paragraph" w:styleId="Heading1">
    <w:name w:val="heading 1"/>
    <w:basedOn w:val="Normal"/>
    <w:next w:val="Normal"/>
    <w:link w:val="Heading1Char"/>
    <w:autoRedefine/>
    <w:uiPriority w:val="9"/>
    <w:qFormat/>
    <w:rsid w:val="00C43634"/>
    <w:pPr>
      <w:keepNext/>
      <w:keepLines/>
      <w:numPr>
        <w:numId w:val="1"/>
      </w:numPr>
      <w:spacing w:after="240" w:line="240" w:lineRule="auto"/>
      <w:outlineLvl w:val="0"/>
    </w:pPr>
    <w:rPr>
      <w:rFonts w:eastAsiaTheme="majorEastAsia" w:cs="Times New Roman"/>
      <w:b/>
      <w:caps/>
      <w:szCs w:val="24"/>
    </w:rPr>
  </w:style>
  <w:style w:type="paragraph" w:styleId="Heading2">
    <w:name w:val="heading 2"/>
    <w:basedOn w:val="Normal"/>
    <w:next w:val="Normal"/>
    <w:link w:val="Heading2Char"/>
    <w:autoRedefine/>
    <w:unhideWhenUsed/>
    <w:qFormat/>
    <w:rsid w:val="00F10A71"/>
    <w:pPr>
      <w:keepNext/>
      <w:keepLines/>
      <w:numPr>
        <w:ilvl w:val="1"/>
        <w:numId w:val="1"/>
      </w:numPr>
      <w:spacing w:after="240" w:line="240" w:lineRule="auto"/>
      <w:ind w:left="1440" w:right="720" w:hanging="720"/>
      <w:outlineLvl w:val="1"/>
    </w:pPr>
    <w:rPr>
      <w:rFonts w:ascii="Times New Roman Bold" w:eastAsia="Times New Roman" w:hAnsi="Times New Roman Bold" w:cs="Times New Roman"/>
      <w:b/>
      <w:bCs/>
      <w:szCs w:val="24"/>
    </w:rPr>
  </w:style>
  <w:style w:type="paragraph" w:styleId="Heading3">
    <w:name w:val="heading 3"/>
    <w:basedOn w:val="Normal"/>
    <w:next w:val="Normal"/>
    <w:link w:val="Heading3Char"/>
    <w:autoRedefine/>
    <w:uiPriority w:val="9"/>
    <w:unhideWhenUsed/>
    <w:qFormat/>
    <w:rsid w:val="006B7DFA"/>
    <w:pPr>
      <w:keepNext/>
      <w:keepLines/>
      <w:spacing w:after="240" w:line="240" w:lineRule="auto"/>
      <w:ind w:left="2160" w:right="720" w:hanging="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313E6B"/>
    <w:pPr>
      <w:keepNext/>
      <w:keepLines/>
      <w:numPr>
        <w:ilvl w:val="3"/>
        <w:numId w:val="1"/>
      </w:numPr>
      <w:spacing w:after="240" w:line="240" w:lineRule="auto"/>
      <w:ind w:right="720"/>
      <w:outlineLvl w:val="3"/>
    </w:pPr>
    <w:rPr>
      <w:rFonts w:eastAsiaTheme="majorEastAsia" w:cs="Times New Roman"/>
      <w:b/>
      <w:iCs/>
    </w:rPr>
  </w:style>
  <w:style w:type="paragraph" w:styleId="Heading5">
    <w:name w:val="heading 5"/>
    <w:basedOn w:val="Normal"/>
    <w:next w:val="Normal"/>
    <w:link w:val="Heading5Char"/>
    <w:autoRedefine/>
    <w:uiPriority w:val="9"/>
    <w:unhideWhenUsed/>
    <w:qFormat/>
    <w:rsid w:val="00517C65"/>
    <w:pPr>
      <w:keepNext/>
      <w:keepLines/>
      <w:numPr>
        <w:ilvl w:val="4"/>
        <w:numId w:val="1"/>
      </w:numPr>
      <w:spacing w:after="240" w:line="240" w:lineRule="auto"/>
      <w:ind w:right="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C4363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363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363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363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fn "/>
    <w:basedOn w:val="Normal"/>
    <w:link w:val="FootnoteTextChar"/>
    <w:uiPriority w:val="99"/>
    <w:unhideWhenUsed/>
    <w:qFormat/>
    <w:rsid w:val="00D62829"/>
    <w:pPr>
      <w:spacing w:after="0" w:line="240" w:lineRule="auto"/>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D62829"/>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F10A71"/>
    <w:rPr>
      <w:rFonts w:ascii="Times New Roman Bold" w:eastAsia="Times New Roman" w:hAnsi="Times New Roman Bold"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5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3634"/>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6B7DFA"/>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4A25FC"/>
    <w:pPr>
      <w:spacing w:after="240" w:line="240" w:lineRule="auto"/>
      <w:ind w:left="720" w:hanging="720"/>
    </w:pPr>
  </w:style>
  <w:style w:type="paragraph" w:styleId="TOC2">
    <w:name w:val="toc 2"/>
    <w:basedOn w:val="Normal"/>
    <w:next w:val="Normal"/>
    <w:autoRedefine/>
    <w:uiPriority w:val="39"/>
    <w:unhideWhenUsed/>
    <w:rsid w:val="004A25FC"/>
    <w:pPr>
      <w:spacing w:after="240" w:line="240" w:lineRule="auto"/>
      <w:ind w:left="1440" w:hanging="720"/>
    </w:pPr>
  </w:style>
  <w:style w:type="paragraph" w:styleId="TOC3">
    <w:name w:val="toc 3"/>
    <w:basedOn w:val="Normal"/>
    <w:next w:val="Normal"/>
    <w:autoRedefine/>
    <w:uiPriority w:val="39"/>
    <w:unhideWhenUsed/>
    <w:rsid w:val="00CD3492"/>
    <w:pPr>
      <w:spacing w:after="240" w:line="240" w:lineRule="auto"/>
      <w:ind w:left="2160" w:hanging="720"/>
    </w:pPr>
  </w:style>
  <w:style w:type="paragraph" w:styleId="TOC4">
    <w:name w:val="toc 4"/>
    <w:basedOn w:val="Normal"/>
    <w:next w:val="Normal"/>
    <w:autoRedefine/>
    <w:uiPriority w:val="39"/>
    <w:unhideWhenUsed/>
    <w:rsid w:val="00CD3492"/>
    <w:pPr>
      <w:spacing w:after="240" w:line="240" w:lineRule="auto"/>
      <w:ind w:left="2880" w:hanging="720"/>
    </w:p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UnresolvedMention1">
    <w:name w:val="Unresolved Mention1"/>
    <w:basedOn w:val="DefaultParagraphFont"/>
    <w:uiPriority w:val="99"/>
    <w:semiHidden/>
    <w:unhideWhenUsed/>
    <w:rsid w:val="00B45BC0"/>
    <w:rPr>
      <w:color w:val="605E5C"/>
      <w:shd w:val="clear" w:color="auto" w:fill="E1DFDD"/>
    </w:rPr>
  </w:style>
  <w:style w:type="character" w:customStyle="1" w:styleId="Heading6Char">
    <w:name w:val="Heading 6 Char"/>
    <w:basedOn w:val="DefaultParagraphFont"/>
    <w:link w:val="Heading6"/>
    <w:uiPriority w:val="9"/>
    <w:semiHidden/>
    <w:rsid w:val="00C43634"/>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C43634"/>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C436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363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2019-06-27T19:57:56Z</dcterms:created>
  <dcterms:modified xsi:type="dcterms:W3CDTF">2019-06-27T19:57:56Z</dcterms:modified>
</cp:coreProperties>
</file>