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A2381" w:rsidRPr="00CE7233" w:rsidP="002A2381" w14:paraId="1F9B6843" w14:textId="77777777">
      <w:pPr>
        <w:pStyle w:val="HTMLPreformatted"/>
        <w:jc w:val="center"/>
        <w:rPr>
          <w:rFonts w:ascii="Times New Roman" w:hAnsi="Times New Roman" w:cs="Times New Roman"/>
          <w:b/>
          <w:bCs/>
          <w:sz w:val="24"/>
          <w:szCs w:val="24"/>
        </w:rPr>
      </w:pPr>
      <w:bookmarkStart w:id="0" w:name="_GoBack"/>
      <w:bookmarkEnd w:id="0"/>
      <w:r w:rsidRPr="00CE7233">
        <w:rPr>
          <w:rFonts w:ascii="Times New Roman" w:hAnsi="Times New Roman" w:cs="Times New Roman"/>
          <w:b/>
          <w:bCs/>
          <w:sz w:val="24"/>
          <w:szCs w:val="24"/>
        </w:rPr>
        <w:t>BEFORE</w:t>
      </w:r>
    </w:p>
    <w:p w:rsidR="002A2381" w:rsidRPr="00CE7233" w:rsidP="002A2381" w14:paraId="27FB8418" w14:textId="77777777">
      <w:pPr>
        <w:pStyle w:val="HTMLPreformatted"/>
        <w:jc w:val="center"/>
        <w:rPr>
          <w:rFonts w:ascii="Times New Roman" w:hAnsi="Times New Roman" w:cs="Times New Roman"/>
          <w:b/>
          <w:bCs/>
          <w:sz w:val="24"/>
          <w:szCs w:val="24"/>
        </w:rPr>
      </w:pPr>
      <w:r w:rsidRPr="00CE7233">
        <w:rPr>
          <w:rFonts w:ascii="Times New Roman" w:hAnsi="Times New Roman" w:cs="Times New Roman"/>
          <w:b/>
          <w:bCs/>
          <w:sz w:val="24"/>
          <w:szCs w:val="24"/>
        </w:rPr>
        <w:t>THE PUBLIC UTILITIES COMMISSION OF OHIO</w:t>
      </w:r>
    </w:p>
    <w:p w:rsidR="002A2381" w:rsidRPr="00CE7233" w:rsidP="002A2381" w14:paraId="77075792" w14:textId="77777777">
      <w:pPr>
        <w:pStyle w:val="HTMLPreformatted"/>
        <w:rPr>
          <w:rFonts w:ascii="Times New Roman" w:hAnsi="Times New Roman" w:cs="Times New Roman"/>
          <w:sz w:val="24"/>
          <w:szCs w:val="24"/>
        </w:rPr>
      </w:pPr>
    </w:p>
    <w:tbl>
      <w:tblPr>
        <w:tblW w:w="8640" w:type="dxa"/>
        <w:tblLook w:val="01E0"/>
      </w:tblPr>
      <w:tblGrid>
        <w:gridCol w:w="4332"/>
        <w:gridCol w:w="360"/>
        <w:gridCol w:w="3948"/>
      </w:tblGrid>
      <w:tr w14:paraId="2E8F8D4C" w14:textId="77777777" w:rsidTr="00997CDB">
        <w:tblPrEx>
          <w:tblW w:w="8640" w:type="dxa"/>
          <w:tblLook w:val="01E0"/>
        </w:tblPrEx>
        <w:trPr>
          <w:trHeight w:val="807"/>
        </w:trPr>
        <w:tc>
          <w:tcPr>
            <w:tcW w:w="4332" w:type="dxa"/>
            <w:shd w:val="clear" w:color="auto" w:fill="auto"/>
          </w:tcPr>
          <w:p w:rsidR="002A2381" w:rsidRPr="00CE7233" w:rsidP="002A2381" w14:paraId="6FB7677C" w14:textId="630D5D38">
            <w:pPr>
              <w:pStyle w:val="HTMLPreformatted"/>
              <w:rPr>
                <w:rFonts w:ascii="Times New Roman" w:hAnsi="Times New Roman" w:cs="Times New Roman"/>
                <w:sz w:val="24"/>
                <w:szCs w:val="24"/>
              </w:rPr>
            </w:pPr>
            <w:r w:rsidRPr="00CE7233">
              <w:rPr>
                <w:rFonts w:ascii="Times New Roman" w:hAnsi="Times New Roman" w:cs="Times New Roman"/>
                <w:sz w:val="24"/>
                <w:szCs w:val="24"/>
              </w:rPr>
              <w:t xml:space="preserve">In the Matter of the Application of </w:t>
            </w:r>
            <w:r w:rsidR="00BC409F">
              <w:rPr>
                <w:rFonts w:ascii="Times New Roman" w:hAnsi="Times New Roman" w:cs="Times New Roman"/>
                <w:sz w:val="24"/>
                <w:szCs w:val="24"/>
              </w:rPr>
              <w:t>Dayton Power and Light Company for Extension of Its Distribution Modernization Rider</w:t>
            </w:r>
            <w:r w:rsidR="00CC55E1">
              <w:rPr>
                <w:rFonts w:ascii="Times New Roman" w:hAnsi="Times New Roman" w:cs="Times New Roman"/>
                <w:sz w:val="24"/>
                <w:szCs w:val="24"/>
              </w:rPr>
              <w:t>.</w:t>
            </w:r>
          </w:p>
        </w:tc>
        <w:tc>
          <w:tcPr>
            <w:tcW w:w="360" w:type="dxa"/>
            <w:shd w:val="clear" w:color="auto" w:fill="auto"/>
          </w:tcPr>
          <w:p w:rsidR="002A2381" w:rsidRPr="00CE7233" w:rsidP="002A2381" w14:paraId="6A09EC2B"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p w:rsidR="002A2381" w:rsidRPr="00CE7233" w:rsidP="002A2381" w14:paraId="19B60BA9"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p w:rsidR="002A2381" w:rsidRPr="00CE7233" w:rsidP="002A2381" w14:paraId="77EA044B"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p w:rsidR="002A2381" w:rsidRPr="00CE7233" w:rsidP="002A2381" w14:paraId="73831C55" w14:textId="77777777">
            <w:pPr>
              <w:pStyle w:val="HTMLPreformatted"/>
              <w:rPr>
                <w:rFonts w:ascii="Times New Roman" w:hAnsi="Times New Roman" w:cs="Times New Roman"/>
                <w:sz w:val="24"/>
                <w:szCs w:val="24"/>
              </w:rPr>
            </w:pPr>
          </w:p>
        </w:tc>
        <w:tc>
          <w:tcPr>
            <w:tcW w:w="3948" w:type="dxa"/>
            <w:shd w:val="clear" w:color="auto" w:fill="auto"/>
          </w:tcPr>
          <w:p w:rsidR="002A2381" w:rsidRPr="00CE7233" w:rsidP="002A2381" w14:paraId="07E2DC92" w14:textId="77777777">
            <w:pPr>
              <w:pStyle w:val="HTMLPreformatted"/>
              <w:rPr>
                <w:rFonts w:ascii="Times New Roman" w:hAnsi="Times New Roman" w:cs="Times New Roman"/>
                <w:sz w:val="24"/>
                <w:szCs w:val="24"/>
              </w:rPr>
            </w:pPr>
          </w:p>
          <w:p w:rsidR="002A2381" w:rsidRPr="00CE7233" w:rsidP="002A2381" w14:paraId="253491E6"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Case No. 19-0</w:t>
            </w:r>
            <w:r w:rsidR="00BC409F">
              <w:rPr>
                <w:rFonts w:ascii="Times New Roman" w:hAnsi="Times New Roman" w:cs="Times New Roman"/>
                <w:sz w:val="24"/>
                <w:szCs w:val="24"/>
              </w:rPr>
              <w:t>162</w:t>
            </w:r>
            <w:r w:rsidRPr="00CE7233">
              <w:rPr>
                <w:rFonts w:ascii="Times New Roman" w:hAnsi="Times New Roman" w:cs="Times New Roman"/>
                <w:sz w:val="24"/>
                <w:szCs w:val="24"/>
              </w:rPr>
              <w:t>-EL-RDR</w:t>
            </w:r>
          </w:p>
          <w:p w:rsidR="002A2381" w:rsidRPr="00CE7233" w:rsidP="002A2381" w14:paraId="6CCDFB9E" w14:textId="77777777">
            <w:pPr>
              <w:pStyle w:val="HTMLPreformatted"/>
              <w:rPr>
                <w:rFonts w:ascii="Times New Roman" w:hAnsi="Times New Roman" w:cs="Times New Roman"/>
                <w:sz w:val="24"/>
                <w:szCs w:val="24"/>
              </w:rPr>
            </w:pPr>
          </w:p>
          <w:p w:rsidR="002A2381" w:rsidRPr="00CE7233" w:rsidP="002A2381" w14:paraId="353ADF26" w14:textId="77777777">
            <w:pPr>
              <w:pStyle w:val="HTMLPreformatted"/>
              <w:rPr>
                <w:rFonts w:ascii="Times New Roman" w:hAnsi="Times New Roman" w:cs="Times New Roman"/>
                <w:sz w:val="24"/>
                <w:szCs w:val="24"/>
              </w:rPr>
            </w:pPr>
          </w:p>
        </w:tc>
      </w:tr>
    </w:tbl>
    <w:p w:rsidR="002A2381" w:rsidRPr="00CE7233" w:rsidP="002A2381" w14:paraId="542C63F1" w14:textId="77777777">
      <w:pPr>
        <w:pStyle w:val="HTMLPreformatted"/>
        <w:rPr>
          <w:rFonts w:ascii="Times New Roman" w:hAnsi="Times New Roman" w:cs="Times New Roman"/>
          <w:sz w:val="24"/>
          <w:szCs w:val="24"/>
        </w:rPr>
      </w:pPr>
    </w:p>
    <w:p w:rsidR="002A2381" w:rsidRPr="00CE7233" w:rsidP="002A2381" w14:paraId="4602EB65" w14:textId="77777777">
      <w:pPr>
        <w:pStyle w:val="HTMLPreformatted"/>
        <w:pBdr>
          <w:top w:val="single" w:sz="12" w:space="1" w:color="auto"/>
        </w:pBdr>
        <w:rPr>
          <w:rFonts w:ascii="Times New Roman" w:hAnsi="Times New Roman" w:cs="Times New Roman"/>
          <w:sz w:val="24"/>
          <w:szCs w:val="24"/>
        </w:rPr>
      </w:pPr>
    </w:p>
    <w:p w:rsidR="002A2381" w:rsidRPr="00CE7233" w:rsidP="002A2381" w14:paraId="790D492B" w14:textId="579C0FB4">
      <w:pPr>
        <w:jc w:val="center"/>
        <w:rPr>
          <w:b/>
          <w:bCs/>
          <w:szCs w:val="24"/>
        </w:rPr>
      </w:pPr>
      <w:r w:rsidRPr="00CE7233">
        <w:rPr>
          <w:b/>
          <w:bCs/>
          <w:szCs w:val="24"/>
        </w:rPr>
        <w:t xml:space="preserve">MOTION TO PROTECT CONSUMERS BY DENYING </w:t>
      </w:r>
      <w:r w:rsidR="00BC409F">
        <w:rPr>
          <w:b/>
          <w:bCs/>
          <w:szCs w:val="24"/>
        </w:rPr>
        <w:t>DAYTON POWER &amp; LIGHT</w:t>
      </w:r>
      <w:r w:rsidR="00081F23">
        <w:rPr>
          <w:b/>
          <w:bCs/>
          <w:szCs w:val="24"/>
        </w:rPr>
        <w:t>’</w:t>
      </w:r>
      <w:r w:rsidR="00BC409F">
        <w:rPr>
          <w:b/>
          <w:bCs/>
          <w:szCs w:val="24"/>
        </w:rPr>
        <w:t>S</w:t>
      </w:r>
      <w:r w:rsidRPr="00CE7233">
        <w:rPr>
          <w:b/>
          <w:bCs/>
          <w:szCs w:val="24"/>
        </w:rPr>
        <w:t xml:space="preserve"> REQUEST TO </w:t>
      </w:r>
      <w:r w:rsidR="007F0ADD">
        <w:rPr>
          <w:b/>
          <w:bCs/>
          <w:szCs w:val="24"/>
        </w:rPr>
        <w:t>EXTEND</w:t>
      </w:r>
      <w:r w:rsidRPr="00CE7233">
        <w:rPr>
          <w:b/>
          <w:bCs/>
          <w:szCs w:val="24"/>
        </w:rPr>
        <w:t xml:space="preserve"> ITS SO-CALLED DISTRIBUTION MODERNIZATION RIDER </w:t>
      </w:r>
    </w:p>
    <w:p w:rsidR="002A2381" w:rsidRPr="00CE7233" w:rsidP="002A2381" w14:paraId="0DBD01C4" w14:textId="77777777">
      <w:pPr>
        <w:jc w:val="center"/>
        <w:rPr>
          <w:b/>
          <w:bCs/>
          <w:szCs w:val="24"/>
        </w:rPr>
      </w:pPr>
      <w:r w:rsidRPr="00CE7233">
        <w:rPr>
          <w:b/>
          <w:bCs/>
          <w:szCs w:val="24"/>
        </w:rPr>
        <w:t>BY</w:t>
      </w:r>
    </w:p>
    <w:p w:rsidR="002A2381" w:rsidRPr="00CE7233" w:rsidP="002A2381" w14:paraId="26F97B85" w14:textId="191343FC">
      <w:pPr>
        <w:jc w:val="center"/>
        <w:rPr>
          <w:b/>
          <w:bCs/>
          <w:szCs w:val="24"/>
        </w:rPr>
      </w:pPr>
      <w:r w:rsidRPr="00CE7233">
        <w:rPr>
          <w:b/>
          <w:bCs/>
          <w:szCs w:val="24"/>
        </w:rPr>
        <w:t>THE OFFICE OF THE OHIO CONSUMERS</w:t>
      </w:r>
      <w:r w:rsidR="00081F23">
        <w:rPr>
          <w:b/>
          <w:bCs/>
          <w:szCs w:val="24"/>
        </w:rPr>
        <w:t>’</w:t>
      </w:r>
      <w:r w:rsidRPr="00CE7233">
        <w:rPr>
          <w:b/>
          <w:bCs/>
          <w:szCs w:val="24"/>
        </w:rPr>
        <w:t xml:space="preserve"> COUNSEL</w:t>
      </w:r>
    </w:p>
    <w:p w:rsidR="002A2381" w:rsidRPr="00CE7233" w:rsidP="002A2381" w14:paraId="35CFDA09" w14:textId="77777777">
      <w:pPr>
        <w:pBdr>
          <w:bottom w:val="single" w:sz="12" w:space="1" w:color="auto"/>
        </w:pBdr>
        <w:tabs>
          <w:tab w:val="left" w:pos="4320"/>
        </w:tabs>
        <w:rPr>
          <w:szCs w:val="24"/>
        </w:rPr>
      </w:pPr>
    </w:p>
    <w:p w:rsidR="002A2381" w:rsidRPr="00CE7233" w14:paraId="01EC6A0F" w14:textId="77777777">
      <w:pPr>
        <w:pStyle w:val="HTMLPreformatted"/>
        <w:jc w:val="center"/>
        <w:rPr>
          <w:rFonts w:ascii="Times New Roman" w:hAnsi="Times New Roman" w:cs="Times New Roman"/>
          <w:b/>
          <w:bCs/>
          <w:sz w:val="24"/>
          <w:szCs w:val="24"/>
        </w:rPr>
      </w:pPr>
    </w:p>
    <w:p w:rsidR="00B324EA" w:rsidP="00B324EA" w14:paraId="271A3BF7" w14:textId="67EAE5BF">
      <w:pPr>
        <w:spacing w:line="480" w:lineRule="auto"/>
        <w:ind w:firstLine="720"/>
        <w:rPr>
          <w:szCs w:val="24"/>
        </w:rPr>
      </w:pPr>
      <w:r>
        <w:rPr>
          <w:szCs w:val="24"/>
        </w:rPr>
        <w:t>Since the PUCO approved</w:t>
      </w:r>
      <w:r w:rsidR="00304316">
        <w:rPr>
          <w:szCs w:val="24"/>
        </w:rPr>
        <w:t xml:space="preserve"> </w:t>
      </w:r>
      <w:r w:rsidR="00BC409F">
        <w:rPr>
          <w:szCs w:val="24"/>
        </w:rPr>
        <w:t>Dayton Power and Light Company</w:t>
      </w:r>
      <w:r w:rsidR="00081F23">
        <w:rPr>
          <w:szCs w:val="24"/>
        </w:rPr>
        <w:t>’</w:t>
      </w:r>
      <w:r w:rsidR="00BC409F">
        <w:rPr>
          <w:szCs w:val="24"/>
        </w:rPr>
        <w:t>s</w:t>
      </w:r>
      <w:r w:rsidR="006F1F36">
        <w:rPr>
          <w:szCs w:val="24"/>
        </w:rPr>
        <w:t xml:space="preserve"> (</w:t>
      </w:r>
      <w:r w:rsidR="00081F23">
        <w:rPr>
          <w:szCs w:val="24"/>
        </w:rPr>
        <w:t>“</w:t>
      </w:r>
      <w:r w:rsidR="006F1F36">
        <w:rPr>
          <w:szCs w:val="24"/>
        </w:rPr>
        <w:t>DP&amp;L</w:t>
      </w:r>
      <w:r w:rsidR="00081F23">
        <w:rPr>
          <w:szCs w:val="24"/>
        </w:rPr>
        <w:t>”</w:t>
      </w:r>
      <w:r w:rsidR="006F1F36">
        <w:rPr>
          <w:szCs w:val="24"/>
        </w:rPr>
        <w:t>)</w:t>
      </w:r>
      <w:r>
        <w:rPr>
          <w:szCs w:val="24"/>
        </w:rPr>
        <w:t xml:space="preserve"> current electric security plan less than two years ago, DP&amp;L’s</w:t>
      </w:r>
      <w:r w:rsidRPr="00CE7233" w:rsidR="002A2381">
        <w:rPr>
          <w:szCs w:val="24"/>
        </w:rPr>
        <w:t xml:space="preserve"> </w:t>
      </w:r>
      <w:r>
        <w:rPr>
          <w:szCs w:val="24"/>
        </w:rPr>
        <w:t>465,000 res</w:t>
      </w:r>
      <w:r w:rsidR="00821E54">
        <w:rPr>
          <w:szCs w:val="24"/>
        </w:rPr>
        <w:t>i</w:t>
      </w:r>
      <w:r>
        <w:rPr>
          <w:szCs w:val="24"/>
        </w:rPr>
        <w:t>dential</w:t>
      </w:r>
      <w:r w:rsidR="005C4390">
        <w:rPr>
          <w:szCs w:val="24"/>
        </w:rPr>
        <w:t xml:space="preserve"> </w:t>
      </w:r>
      <w:r w:rsidRPr="00CE7233" w:rsidR="002A2381">
        <w:rPr>
          <w:szCs w:val="24"/>
        </w:rPr>
        <w:t xml:space="preserve">customers have paid </w:t>
      </w:r>
      <w:r w:rsidR="003C5070">
        <w:rPr>
          <w:szCs w:val="24"/>
        </w:rPr>
        <w:t>about $</w:t>
      </w:r>
      <w:r w:rsidR="00B17691">
        <w:rPr>
          <w:szCs w:val="24"/>
        </w:rPr>
        <w:t>4.25</w:t>
      </w:r>
      <w:r w:rsidR="005C4390">
        <w:rPr>
          <w:szCs w:val="24"/>
        </w:rPr>
        <w:t xml:space="preserve"> million </w:t>
      </w:r>
      <w:r w:rsidR="003C5070">
        <w:rPr>
          <w:szCs w:val="24"/>
        </w:rPr>
        <w:t xml:space="preserve">monthly </w:t>
      </w:r>
      <w:r w:rsidRPr="00CE7233" w:rsidR="002A2381">
        <w:rPr>
          <w:szCs w:val="24"/>
        </w:rPr>
        <w:t xml:space="preserve">for its so-called Distribution Modernization Rider </w:t>
      </w:r>
      <w:r w:rsidR="00091BFE">
        <w:rPr>
          <w:szCs w:val="24"/>
        </w:rPr>
        <w:t>(</w:t>
      </w:r>
      <w:r w:rsidR="00081F23">
        <w:rPr>
          <w:szCs w:val="24"/>
        </w:rPr>
        <w:t>“</w:t>
      </w:r>
      <w:r w:rsidR="00091BFE">
        <w:rPr>
          <w:szCs w:val="24"/>
        </w:rPr>
        <w:t>Charge</w:t>
      </w:r>
      <w:r w:rsidR="00081F23">
        <w:rPr>
          <w:szCs w:val="24"/>
        </w:rPr>
        <w:t>”</w:t>
      </w:r>
      <w:r w:rsidR="00091BFE">
        <w:rPr>
          <w:szCs w:val="24"/>
        </w:rPr>
        <w:t>)</w:t>
      </w:r>
      <w:r w:rsidR="002A2381">
        <w:rPr>
          <w:szCs w:val="24"/>
        </w:rPr>
        <w:t>.</w:t>
      </w:r>
      <w:r w:rsidR="00D62694">
        <w:rPr>
          <w:szCs w:val="24"/>
        </w:rPr>
        <w:t xml:space="preserve"> </w:t>
      </w:r>
      <w:r w:rsidR="00B17691">
        <w:rPr>
          <w:szCs w:val="24"/>
        </w:rPr>
        <w:t>DP&amp;L</w:t>
      </w:r>
      <w:r w:rsidR="008C4047">
        <w:rPr>
          <w:szCs w:val="24"/>
        </w:rPr>
        <w:t xml:space="preserve">’s </w:t>
      </w:r>
      <w:r w:rsidR="00131F79">
        <w:rPr>
          <w:szCs w:val="24"/>
        </w:rPr>
        <w:t>Application in this case</w:t>
      </w:r>
      <w:r w:rsidR="00D611CC">
        <w:rPr>
          <w:szCs w:val="24"/>
        </w:rPr>
        <w:t xml:space="preserve"> –which remains pending despite recent developments against it </w:t>
      </w:r>
      <w:r w:rsidR="00C24EF2">
        <w:rPr>
          <w:szCs w:val="24"/>
        </w:rPr>
        <w:t>–</w:t>
      </w:r>
      <w:r w:rsidR="008C4047">
        <w:rPr>
          <w:szCs w:val="24"/>
        </w:rPr>
        <w:t xml:space="preserve"> seeks </w:t>
      </w:r>
      <w:r w:rsidR="00B17691">
        <w:rPr>
          <w:szCs w:val="24"/>
        </w:rPr>
        <w:t xml:space="preserve">to increase what residential customers pay for the Charge to almost $8.06 million monthly. </w:t>
      </w:r>
      <w:r>
        <w:rPr>
          <w:szCs w:val="24"/>
        </w:rPr>
        <w:t xml:space="preserve">With the Charge, </w:t>
      </w:r>
      <w:r>
        <w:t xml:space="preserve">a typical DP&amp;L residential customer using 1,000 kWh per month paid $9.66 or approximately $115.92 for 12 months. DP&amp;L’s Application in this case </w:t>
      </w:r>
      <w:r w:rsidR="00125338">
        <w:t xml:space="preserve">would </w:t>
      </w:r>
      <w:r>
        <w:t>increase the monthly Charge for the same customer to $18.31 per month or $219.70 for 12 months (assuming no change in revenue allocation among customer classes).</w:t>
      </w:r>
      <w:r>
        <w:rPr>
          <w:szCs w:val="24"/>
        </w:rPr>
        <w:t xml:space="preserve"> </w:t>
      </w:r>
    </w:p>
    <w:p w:rsidR="004D0D44" w:rsidP="00FC7B43" w14:paraId="0E141633" w14:textId="77777777">
      <w:pPr>
        <w:spacing w:line="480" w:lineRule="auto"/>
        <w:ind w:firstLine="720"/>
        <w:rPr>
          <w:szCs w:val="24"/>
        </w:rPr>
        <w:sectPr w:rsidSect="002909FD">
          <w:footerReference w:type="first" r:id="rId6"/>
          <w:pgSz w:w="12240" w:h="15840"/>
          <w:pgMar w:top="1440" w:right="1800" w:bottom="1440" w:left="1800" w:header="720" w:footer="720" w:gutter="0"/>
          <w:pgNumType w:start="2"/>
          <w:cols w:space="720"/>
          <w:titlePg/>
          <w:docGrid w:linePitch="326"/>
        </w:sectPr>
      </w:pPr>
      <w:r>
        <w:rPr>
          <w:szCs w:val="24"/>
        </w:rPr>
        <w:t>T</w:t>
      </w:r>
      <w:r w:rsidRPr="00144565" w:rsidR="002A2381">
        <w:rPr>
          <w:szCs w:val="24"/>
        </w:rPr>
        <w:t xml:space="preserve">he Supreme Court of Ohio </w:t>
      </w:r>
      <w:r w:rsidR="00344741">
        <w:rPr>
          <w:szCs w:val="24"/>
        </w:rPr>
        <w:t>(</w:t>
      </w:r>
      <w:r w:rsidR="00081F23">
        <w:rPr>
          <w:szCs w:val="24"/>
        </w:rPr>
        <w:t>“</w:t>
      </w:r>
      <w:r w:rsidR="00344741">
        <w:rPr>
          <w:szCs w:val="24"/>
        </w:rPr>
        <w:t>Court</w:t>
      </w:r>
      <w:r w:rsidR="00081F23">
        <w:rPr>
          <w:szCs w:val="24"/>
        </w:rPr>
        <w:t>”</w:t>
      </w:r>
      <w:r w:rsidR="00344741">
        <w:rPr>
          <w:szCs w:val="24"/>
        </w:rPr>
        <w:t xml:space="preserve">) </w:t>
      </w:r>
      <w:r w:rsidRPr="00144565" w:rsidR="002A2381">
        <w:rPr>
          <w:szCs w:val="24"/>
        </w:rPr>
        <w:t xml:space="preserve">recently </w:t>
      </w:r>
      <w:r w:rsidR="00905EFA">
        <w:rPr>
          <w:szCs w:val="24"/>
        </w:rPr>
        <w:t xml:space="preserve">held that </w:t>
      </w:r>
      <w:r w:rsidR="003C5070">
        <w:rPr>
          <w:szCs w:val="24"/>
        </w:rPr>
        <w:t>FirstEnergy</w:t>
      </w:r>
      <w:r w:rsidR="00081F23">
        <w:rPr>
          <w:szCs w:val="24"/>
        </w:rPr>
        <w:t>’</w:t>
      </w:r>
      <w:r w:rsidR="003C5070">
        <w:rPr>
          <w:szCs w:val="24"/>
        </w:rPr>
        <w:t>s nearly identical</w:t>
      </w:r>
      <w:r w:rsidRPr="00144565" w:rsidR="002A2381">
        <w:rPr>
          <w:szCs w:val="24"/>
        </w:rPr>
        <w:t xml:space="preserve"> charge </w:t>
      </w:r>
      <w:r w:rsidR="00905EFA">
        <w:rPr>
          <w:szCs w:val="24"/>
        </w:rPr>
        <w:t>w</w:t>
      </w:r>
      <w:r w:rsidRPr="00CE7233" w:rsidR="002A2381">
        <w:rPr>
          <w:szCs w:val="24"/>
        </w:rPr>
        <w:t>as unlawful</w:t>
      </w:r>
      <w:r w:rsidR="00091BFE">
        <w:rPr>
          <w:szCs w:val="24"/>
        </w:rPr>
        <w:t>.</w:t>
      </w:r>
      <w:r>
        <w:rPr>
          <w:rStyle w:val="FootnoteReference"/>
          <w:szCs w:val="24"/>
        </w:rPr>
        <w:footnoteReference w:id="3"/>
      </w:r>
      <w:r w:rsidR="00D62694">
        <w:rPr>
          <w:szCs w:val="24"/>
        </w:rPr>
        <w:t xml:space="preserve"> </w:t>
      </w:r>
      <w:r w:rsidR="00C25F2A">
        <w:rPr>
          <w:szCs w:val="24"/>
        </w:rPr>
        <w:t>As a result, the PUCO denied FirstEnergy’s Application to extend its unlawful charge as moot.</w:t>
      </w:r>
      <w:r>
        <w:rPr>
          <w:rStyle w:val="FootnoteReference"/>
          <w:szCs w:val="24"/>
        </w:rPr>
        <w:footnoteReference w:id="4"/>
      </w:r>
    </w:p>
    <w:p w:rsidR="00905EFA" w:rsidP="006C0BEC" w14:paraId="65AD6C4E" w14:textId="3507A371">
      <w:pPr>
        <w:spacing w:line="480" w:lineRule="auto"/>
        <w:ind w:firstLine="720"/>
        <w:rPr>
          <w:szCs w:val="24"/>
        </w:rPr>
      </w:pPr>
      <w:r>
        <w:rPr>
          <w:szCs w:val="24"/>
        </w:rPr>
        <w:t xml:space="preserve">In Case No. 16-0395-EL-SSO, the PUCO requested </w:t>
      </w:r>
      <w:r w:rsidR="0031034E">
        <w:rPr>
          <w:szCs w:val="24"/>
        </w:rPr>
        <w:t>supplemental briefs regarding the impact of the Supreme</w:t>
      </w:r>
      <w:r w:rsidR="00C25F2A">
        <w:rPr>
          <w:szCs w:val="24"/>
        </w:rPr>
        <w:t xml:space="preserve"> </w:t>
      </w:r>
      <w:r w:rsidR="0031034E">
        <w:rPr>
          <w:szCs w:val="24"/>
        </w:rPr>
        <w:t xml:space="preserve">Court’s decision in </w:t>
      </w:r>
      <w:r w:rsidR="0031034E">
        <w:rPr>
          <w:i/>
          <w:szCs w:val="24"/>
        </w:rPr>
        <w:t xml:space="preserve">Ohio Edison </w:t>
      </w:r>
      <w:r w:rsidR="0031034E">
        <w:rPr>
          <w:szCs w:val="24"/>
        </w:rPr>
        <w:t>on DP&amp;L’s Ch</w:t>
      </w:r>
      <w:r w:rsidR="00A47F70">
        <w:rPr>
          <w:szCs w:val="24"/>
        </w:rPr>
        <w:t>arge</w:t>
      </w:r>
      <w:r w:rsidR="0031034E">
        <w:rPr>
          <w:szCs w:val="24"/>
        </w:rPr>
        <w:t>.</w:t>
      </w:r>
      <w:r w:rsidR="00FF0FF2">
        <w:rPr>
          <w:szCs w:val="24"/>
        </w:rPr>
        <w:t xml:space="preserve"> On November 21, 2019, the PUCO </w:t>
      </w:r>
      <w:r w:rsidR="00131F79">
        <w:rPr>
          <w:szCs w:val="24"/>
        </w:rPr>
        <w:t xml:space="preserve">issued an order </w:t>
      </w:r>
      <w:r w:rsidR="00FF0FF2">
        <w:rPr>
          <w:szCs w:val="24"/>
        </w:rPr>
        <w:t>declar</w:t>
      </w:r>
      <w:r w:rsidR="00131F79">
        <w:rPr>
          <w:szCs w:val="24"/>
        </w:rPr>
        <w:t>ing</w:t>
      </w:r>
      <w:r w:rsidR="00FF0FF2">
        <w:rPr>
          <w:szCs w:val="24"/>
        </w:rPr>
        <w:t xml:space="preserve"> DP&amp;L’s Charge unlawful</w:t>
      </w:r>
      <w:r w:rsidR="00FC7B43">
        <w:rPr>
          <w:szCs w:val="24"/>
        </w:rPr>
        <w:t xml:space="preserve"> as well</w:t>
      </w:r>
      <w:r w:rsidR="00FF0FF2">
        <w:rPr>
          <w:szCs w:val="24"/>
        </w:rPr>
        <w:t>.</w:t>
      </w:r>
      <w:r>
        <w:rPr>
          <w:rStyle w:val="FootnoteReference"/>
          <w:szCs w:val="24"/>
        </w:rPr>
        <w:footnoteReference w:id="5"/>
      </w:r>
      <w:r w:rsidR="00D62694">
        <w:rPr>
          <w:szCs w:val="24"/>
        </w:rPr>
        <w:t xml:space="preserve"> </w:t>
      </w:r>
      <w:r w:rsidR="00C25F2A">
        <w:rPr>
          <w:szCs w:val="24"/>
        </w:rPr>
        <w:t>Therefore</w:t>
      </w:r>
      <w:r w:rsidRPr="00144565" w:rsidR="00C25F2A">
        <w:rPr>
          <w:szCs w:val="24"/>
        </w:rPr>
        <w:t xml:space="preserve">, there no longer is a charge to “extend” because the PUCO has required that the charge be removed from </w:t>
      </w:r>
      <w:r w:rsidR="00C25F2A">
        <w:rPr>
          <w:szCs w:val="24"/>
        </w:rPr>
        <w:t>DP&amp;L</w:t>
      </w:r>
      <w:r w:rsidRPr="00144565" w:rsidR="00C25F2A">
        <w:rPr>
          <w:szCs w:val="24"/>
        </w:rPr>
        <w:t>’s tariffs. The PUCO should deny</w:t>
      </w:r>
      <w:r w:rsidR="000E4B52">
        <w:rPr>
          <w:szCs w:val="24"/>
        </w:rPr>
        <w:t xml:space="preserve"> </w:t>
      </w:r>
      <w:r w:rsidR="00C25F2A">
        <w:rPr>
          <w:szCs w:val="24"/>
        </w:rPr>
        <w:t>DP&amp;L’s</w:t>
      </w:r>
      <w:r w:rsidRPr="00144565" w:rsidR="00C25F2A">
        <w:rPr>
          <w:szCs w:val="24"/>
        </w:rPr>
        <w:t xml:space="preserve"> Application as moot.</w:t>
      </w:r>
      <w:r w:rsidR="00FC231E">
        <w:rPr>
          <w:szCs w:val="24"/>
        </w:rPr>
        <w:t xml:space="preserve"> </w:t>
      </w:r>
    </w:p>
    <w:p w:rsidR="002A2381" w:rsidP="007F0ADD" w14:paraId="06266F5E" w14:textId="12468874">
      <w:pPr>
        <w:spacing w:line="480" w:lineRule="auto"/>
        <w:ind w:firstLine="720"/>
        <w:rPr>
          <w:szCs w:val="24"/>
        </w:rPr>
      </w:pPr>
      <w:r>
        <w:rPr>
          <w:szCs w:val="24"/>
        </w:rPr>
        <w:t>In light of the</w:t>
      </w:r>
      <w:r w:rsidR="00A47F70">
        <w:rPr>
          <w:szCs w:val="24"/>
        </w:rPr>
        <w:t xml:space="preserve"> Court’s decision in </w:t>
      </w:r>
      <w:r w:rsidR="00A47F70">
        <w:rPr>
          <w:i/>
          <w:iCs/>
          <w:szCs w:val="24"/>
        </w:rPr>
        <w:t>Ohio Edison</w:t>
      </w:r>
      <w:r w:rsidR="00A47F70">
        <w:rPr>
          <w:szCs w:val="24"/>
        </w:rPr>
        <w:t xml:space="preserve"> and the</w:t>
      </w:r>
      <w:r>
        <w:rPr>
          <w:szCs w:val="24"/>
        </w:rPr>
        <w:t xml:space="preserve"> PUCO’s November 21, 2019 decision in Case No. 16-0395-EL-SSO, </w:t>
      </w:r>
      <w:r w:rsidR="00FC7B43">
        <w:rPr>
          <w:szCs w:val="24"/>
        </w:rPr>
        <w:t>the Office of the Ohio Consumers’ Counsel</w:t>
      </w:r>
      <w:r w:rsidR="00FC6B6B">
        <w:rPr>
          <w:szCs w:val="24"/>
        </w:rPr>
        <w:t xml:space="preserve"> (“OCC”)</w:t>
      </w:r>
      <w:r w:rsidR="00FC7B43">
        <w:rPr>
          <w:szCs w:val="24"/>
        </w:rPr>
        <w:t xml:space="preserve"> respectfully requests that </w:t>
      </w:r>
      <w:r>
        <w:rPr>
          <w:szCs w:val="24"/>
        </w:rPr>
        <w:t xml:space="preserve">the PUCO </w:t>
      </w:r>
      <w:r w:rsidR="00FC7B43">
        <w:rPr>
          <w:szCs w:val="24"/>
        </w:rPr>
        <w:t>grant this motion</w:t>
      </w:r>
      <w:r w:rsidR="007358DF">
        <w:rPr>
          <w:szCs w:val="24"/>
        </w:rPr>
        <w:t>,</w:t>
      </w:r>
      <w:r w:rsidR="00FC7B43">
        <w:rPr>
          <w:szCs w:val="24"/>
        </w:rPr>
        <w:t xml:space="preserve"> </w:t>
      </w:r>
      <w:r>
        <w:rPr>
          <w:szCs w:val="24"/>
        </w:rPr>
        <w:t>dismiss</w:t>
      </w:r>
      <w:r w:rsidR="00FC7B43">
        <w:rPr>
          <w:szCs w:val="24"/>
        </w:rPr>
        <w:t xml:space="preserve"> this case</w:t>
      </w:r>
      <w:r w:rsidR="007358DF">
        <w:rPr>
          <w:szCs w:val="24"/>
        </w:rPr>
        <w:t>,</w:t>
      </w:r>
      <w:r w:rsidR="00FC7B43">
        <w:rPr>
          <w:szCs w:val="24"/>
        </w:rPr>
        <w:t xml:space="preserve"> and deny</w:t>
      </w:r>
      <w:r>
        <w:rPr>
          <w:szCs w:val="24"/>
        </w:rPr>
        <w:t xml:space="preserve"> DP&amp;L’s Application </w:t>
      </w:r>
      <w:r w:rsidR="00905EFA">
        <w:rPr>
          <w:szCs w:val="24"/>
        </w:rPr>
        <w:t xml:space="preserve">to extract this </w:t>
      </w:r>
      <w:r w:rsidR="00F5216B">
        <w:rPr>
          <w:szCs w:val="24"/>
        </w:rPr>
        <w:t>illegal</w:t>
      </w:r>
      <w:r w:rsidR="00905EFA">
        <w:rPr>
          <w:szCs w:val="24"/>
        </w:rPr>
        <w:t xml:space="preserve"> subsidy from </w:t>
      </w:r>
      <w:r w:rsidR="00FC7B43">
        <w:rPr>
          <w:szCs w:val="24"/>
        </w:rPr>
        <w:t xml:space="preserve">Ohio </w:t>
      </w:r>
      <w:r w:rsidR="00905EFA">
        <w:rPr>
          <w:szCs w:val="24"/>
        </w:rPr>
        <w:t>customers.</w:t>
      </w:r>
      <w:r w:rsidR="00D62694">
        <w:rPr>
          <w:szCs w:val="24"/>
        </w:rPr>
        <w:t xml:space="preserve"> </w:t>
      </w:r>
      <w:r w:rsidR="00081F23">
        <w:rPr>
          <w:szCs w:val="24"/>
        </w:rPr>
        <w:t xml:space="preserve"> </w:t>
      </w:r>
    </w:p>
    <w:p w:rsidR="00D62694" w:rsidRPr="00CE7233" w:rsidP="00D62694" w14:paraId="3DE1ADF9" w14:textId="77777777">
      <w:pPr>
        <w:spacing w:line="480" w:lineRule="auto"/>
        <w:rPr>
          <w:szCs w:val="24"/>
        </w:rPr>
      </w:pPr>
      <w:r>
        <w:rPr>
          <w:szCs w:val="24"/>
        </w:rPr>
        <w:tab/>
      </w:r>
      <w:r>
        <w:rPr>
          <w:szCs w:val="24"/>
        </w:rPr>
        <w:tab/>
      </w:r>
      <w:r>
        <w:rPr>
          <w:szCs w:val="24"/>
        </w:rPr>
        <w:tab/>
      </w:r>
      <w:r>
        <w:rPr>
          <w:szCs w:val="24"/>
        </w:rPr>
        <w:tab/>
      </w:r>
      <w:r>
        <w:rPr>
          <w:szCs w:val="24"/>
        </w:rPr>
        <w:tab/>
      </w:r>
      <w:r>
        <w:rPr>
          <w:szCs w:val="24"/>
        </w:rPr>
        <w:tab/>
      </w:r>
      <w:r w:rsidRPr="00CE7233">
        <w:rPr>
          <w:szCs w:val="24"/>
        </w:rPr>
        <w:t>Respectfully submitted,</w:t>
      </w:r>
    </w:p>
    <w:p w:rsidR="00D62694" w:rsidRPr="00CE7233" w:rsidP="00D62694" w14:paraId="15DC0180" w14:textId="77777777">
      <w:pPr>
        <w:pStyle w:val="Footer"/>
        <w:tabs>
          <w:tab w:val="clear" w:pos="4320"/>
          <w:tab w:val="clear" w:pos="8640"/>
        </w:tabs>
        <w:ind w:left="4320"/>
        <w:rPr>
          <w:sz w:val="24"/>
          <w:szCs w:val="24"/>
        </w:rPr>
      </w:pPr>
      <w:r w:rsidRPr="00CE7233">
        <w:rPr>
          <w:sz w:val="24"/>
          <w:szCs w:val="24"/>
        </w:rPr>
        <w:t>Bruce Weston (0016973)</w:t>
      </w:r>
    </w:p>
    <w:p w:rsidR="00D62694" w:rsidRPr="00CE7233" w:rsidP="00D62694" w14:paraId="34324F63" w14:textId="77777777">
      <w:pPr>
        <w:ind w:left="4320"/>
        <w:rPr>
          <w:szCs w:val="24"/>
        </w:rPr>
      </w:pPr>
      <w:r w:rsidRPr="00CE7233">
        <w:rPr>
          <w:szCs w:val="24"/>
        </w:rPr>
        <w:t>Ohio Consumers</w:t>
      </w:r>
      <w:r>
        <w:rPr>
          <w:szCs w:val="24"/>
        </w:rPr>
        <w:t>’</w:t>
      </w:r>
      <w:r w:rsidRPr="00CE7233">
        <w:rPr>
          <w:szCs w:val="24"/>
        </w:rPr>
        <w:t xml:space="preserve"> Counsel</w:t>
      </w:r>
    </w:p>
    <w:p w:rsidR="00D62694" w:rsidRPr="00CE7233" w:rsidP="00D62694" w14:paraId="091C522C" w14:textId="77777777">
      <w:pPr>
        <w:tabs>
          <w:tab w:val="left" w:pos="4320"/>
        </w:tabs>
        <w:ind w:left="4320"/>
        <w:rPr>
          <w:szCs w:val="24"/>
        </w:rPr>
      </w:pPr>
      <w:r w:rsidRPr="00CE7233">
        <w:rPr>
          <w:szCs w:val="24"/>
        </w:rPr>
        <w:tab/>
      </w:r>
    </w:p>
    <w:p w:rsidR="00D62694" w:rsidRPr="00CE7233" w:rsidP="00D62694" w14:paraId="1E892738" w14:textId="33D5FF97">
      <w:pPr>
        <w:ind w:left="4320"/>
        <w:rPr>
          <w:i/>
          <w:iCs/>
          <w:szCs w:val="24"/>
          <w:u w:val="single"/>
        </w:rPr>
      </w:pPr>
      <w:r w:rsidRPr="00CE7233">
        <w:rPr>
          <w:i/>
          <w:iCs/>
          <w:szCs w:val="24"/>
          <w:u w:val="single"/>
        </w:rPr>
        <w:t xml:space="preserve">/s/ </w:t>
      </w:r>
      <w:r>
        <w:rPr>
          <w:i/>
          <w:iCs/>
          <w:szCs w:val="24"/>
          <w:u w:val="single"/>
        </w:rPr>
        <w:t>Angela D. O’Brien</w:t>
      </w:r>
      <w:r>
        <w:rPr>
          <w:i/>
          <w:iCs/>
          <w:szCs w:val="24"/>
          <w:u w:val="single"/>
        </w:rPr>
        <w:tab/>
      </w:r>
      <w:r>
        <w:rPr>
          <w:i/>
          <w:iCs/>
          <w:szCs w:val="24"/>
          <w:u w:val="single"/>
        </w:rPr>
        <w:tab/>
      </w:r>
    </w:p>
    <w:p w:rsidR="00D62694" w:rsidRPr="00CE7233" w:rsidP="00D62694" w14:paraId="0EB262E4" w14:textId="1F5CFCEC">
      <w:pPr>
        <w:tabs>
          <w:tab w:val="left" w:pos="4320"/>
        </w:tabs>
        <w:ind w:left="4320"/>
        <w:rPr>
          <w:szCs w:val="24"/>
        </w:rPr>
      </w:pPr>
      <w:r w:rsidRPr="00CE7233">
        <w:rPr>
          <w:szCs w:val="24"/>
        </w:rPr>
        <w:t xml:space="preserve">Angela </w:t>
      </w:r>
      <w:r>
        <w:rPr>
          <w:szCs w:val="24"/>
        </w:rPr>
        <w:t xml:space="preserve">D. </w:t>
      </w:r>
      <w:r w:rsidRPr="00CE7233">
        <w:rPr>
          <w:szCs w:val="24"/>
        </w:rPr>
        <w:t>O</w:t>
      </w:r>
      <w:r>
        <w:rPr>
          <w:szCs w:val="24"/>
        </w:rPr>
        <w:t>’</w:t>
      </w:r>
      <w:r w:rsidRPr="00CE7233">
        <w:rPr>
          <w:szCs w:val="24"/>
        </w:rPr>
        <w:t>Brien, (0097579)</w:t>
      </w:r>
    </w:p>
    <w:p w:rsidR="00D62694" w:rsidP="00D62694" w14:paraId="6C888C9B" w14:textId="77777777">
      <w:pPr>
        <w:tabs>
          <w:tab w:val="left" w:pos="4320"/>
        </w:tabs>
        <w:ind w:left="4320"/>
        <w:rPr>
          <w:szCs w:val="24"/>
        </w:rPr>
      </w:pPr>
      <w:r w:rsidRPr="00CE7233">
        <w:rPr>
          <w:szCs w:val="24"/>
        </w:rPr>
        <w:t>Counsel of Record</w:t>
      </w:r>
    </w:p>
    <w:p w:rsidR="00D62694" w:rsidRPr="00CE7233" w:rsidP="00D62694" w14:paraId="4D8716F6" w14:textId="77777777">
      <w:pPr>
        <w:tabs>
          <w:tab w:val="left" w:pos="4320"/>
        </w:tabs>
        <w:ind w:left="4320"/>
        <w:rPr>
          <w:b/>
          <w:szCs w:val="24"/>
        </w:rPr>
      </w:pPr>
      <w:r w:rsidRPr="00CE7233">
        <w:rPr>
          <w:szCs w:val="24"/>
        </w:rPr>
        <w:t>William J. Michael (0070921)</w:t>
      </w:r>
    </w:p>
    <w:p w:rsidR="00D62694" w:rsidRPr="00CE7233" w:rsidP="00D62694" w14:paraId="5288B08F" w14:textId="77777777">
      <w:pPr>
        <w:tabs>
          <w:tab w:val="left" w:pos="4320"/>
        </w:tabs>
        <w:ind w:left="4320"/>
        <w:rPr>
          <w:szCs w:val="24"/>
        </w:rPr>
      </w:pPr>
      <w:r w:rsidRPr="00CE7233">
        <w:rPr>
          <w:szCs w:val="24"/>
        </w:rPr>
        <w:t>Assistant Consumers</w:t>
      </w:r>
      <w:r>
        <w:rPr>
          <w:szCs w:val="24"/>
        </w:rPr>
        <w:t>’</w:t>
      </w:r>
      <w:r w:rsidRPr="00CE7233">
        <w:rPr>
          <w:szCs w:val="24"/>
        </w:rPr>
        <w:t xml:space="preserve"> Counsel</w:t>
      </w:r>
    </w:p>
    <w:p w:rsidR="00D62694" w:rsidRPr="00CE7233" w:rsidP="00D62694" w14:paraId="60EA4BF1" w14:textId="77777777">
      <w:pPr>
        <w:tabs>
          <w:tab w:val="left" w:pos="4320"/>
        </w:tabs>
        <w:ind w:left="4320"/>
        <w:rPr>
          <w:szCs w:val="24"/>
        </w:rPr>
      </w:pPr>
      <w:r w:rsidRPr="00CE7233">
        <w:rPr>
          <w:szCs w:val="24"/>
        </w:rPr>
        <w:tab/>
      </w:r>
    </w:p>
    <w:p w:rsidR="00D62694" w:rsidRPr="00CE7233" w:rsidP="00D62694" w14:paraId="17704F45" w14:textId="77777777">
      <w:pPr>
        <w:ind w:left="4320"/>
        <w:rPr>
          <w:b/>
          <w:bCs/>
          <w:szCs w:val="24"/>
        </w:rPr>
      </w:pPr>
      <w:r w:rsidRPr="00CE7233">
        <w:rPr>
          <w:b/>
          <w:bCs/>
          <w:szCs w:val="24"/>
        </w:rPr>
        <w:t>Office of the Ohio Consumers</w:t>
      </w:r>
      <w:r>
        <w:rPr>
          <w:b/>
          <w:bCs/>
          <w:szCs w:val="24"/>
        </w:rPr>
        <w:t>’</w:t>
      </w:r>
      <w:r w:rsidRPr="00CE7233">
        <w:rPr>
          <w:b/>
          <w:bCs/>
          <w:szCs w:val="24"/>
        </w:rPr>
        <w:t xml:space="preserve"> Counsel</w:t>
      </w:r>
    </w:p>
    <w:p w:rsidR="00D62694" w:rsidRPr="00CE7233" w:rsidP="00D62694" w14:paraId="4A9DC110" w14:textId="77777777">
      <w:pPr>
        <w:ind w:left="4320"/>
        <w:rPr>
          <w:b/>
          <w:szCs w:val="24"/>
        </w:rPr>
      </w:pPr>
      <w:r w:rsidRPr="00CE7233">
        <w:rPr>
          <w:szCs w:val="24"/>
        </w:rPr>
        <w:t>65 East State Street, 7th Floor</w:t>
      </w:r>
    </w:p>
    <w:p w:rsidR="00D62694" w:rsidRPr="00CE7233" w:rsidP="00D62694" w14:paraId="21046918" w14:textId="77777777">
      <w:pPr>
        <w:ind w:left="4320"/>
        <w:rPr>
          <w:b/>
          <w:szCs w:val="24"/>
        </w:rPr>
      </w:pPr>
      <w:r w:rsidRPr="00CE7233">
        <w:rPr>
          <w:szCs w:val="24"/>
        </w:rPr>
        <w:t>Columbus, Ohio 43215-4213</w:t>
      </w:r>
    </w:p>
    <w:p w:rsidR="00D62694" w:rsidP="00D62694" w14:paraId="41406EDF" w14:textId="77777777">
      <w:pPr>
        <w:autoSpaceDE w:val="0"/>
        <w:autoSpaceDN w:val="0"/>
        <w:adjustRightInd w:val="0"/>
        <w:ind w:left="4320"/>
        <w:rPr>
          <w:szCs w:val="24"/>
        </w:rPr>
      </w:pPr>
      <w:r w:rsidRPr="00CE7233">
        <w:rPr>
          <w:szCs w:val="24"/>
        </w:rPr>
        <w:t>Telephone [O</w:t>
      </w:r>
      <w:r>
        <w:rPr>
          <w:szCs w:val="24"/>
        </w:rPr>
        <w:t>’</w:t>
      </w:r>
      <w:r w:rsidRPr="00CE7233">
        <w:rPr>
          <w:szCs w:val="24"/>
        </w:rPr>
        <w:t>Brien]: (614) 466-9531</w:t>
      </w:r>
    </w:p>
    <w:p w:rsidR="00D62694" w:rsidRPr="00CE7233" w:rsidP="00D62694" w14:paraId="5FEA40D8" w14:textId="77777777">
      <w:pPr>
        <w:autoSpaceDE w:val="0"/>
        <w:autoSpaceDN w:val="0"/>
        <w:adjustRightInd w:val="0"/>
        <w:ind w:left="4320"/>
        <w:rPr>
          <w:szCs w:val="24"/>
        </w:rPr>
      </w:pPr>
      <w:r w:rsidRPr="00CE7233">
        <w:rPr>
          <w:szCs w:val="24"/>
        </w:rPr>
        <w:t xml:space="preserve">Telephone [Michael]: (614) 466-1291 </w:t>
      </w:r>
    </w:p>
    <w:p w:rsidR="00D62694" w:rsidRPr="00CE7233" w:rsidP="00D62694" w14:paraId="38C68486" w14:textId="77777777">
      <w:pPr>
        <w:autoSpaceDE w:val="0"/>
        <w:autoSpaceDN w:val="0"/>
        <w:adjustRightInd w:val="0"/>
        <w:ind w:left="4320"/>
        <w:rPr>
          <w:szCs w:val="24"/>
        </w:rPr>
      </w:pPr>
      <w:hyperlink r:id="rId7" w:history="1">
        <w:r w:rsidRPr="00CE7233" w:rsidR="00021703">
          <w:rPr>
            <w:rStyle w:val="Hyperlink"/>
            <w:szCs w:val="24"/>
          </w:rPr>
          <w:t>angela.obrien@occ.ohio.gov</w:t>
        </w:r>
      </w:hyperlink>
    </w:p>
    <w:p w:rsidR="00D62694" w:rsidRPr="006A444E" w:rsidP="00D62694" w14:paraId="32D6CB4B" w14:textId="0C854584">
      <w:pPr>
        <w:autoSpaceDE w:val="0"/>
        <w:autoSpaceDN w:val="0"/>
        <w:adjustRightInd w:val="0"/>
        <w:ind w:left="4320"/>
        <w:rPr>
          <w:color w:val="0000FF"/>
          <w:szCs w:val="24"/>
          <w:u w:val="single"/>
        </w:rPr>
      </w:pPr>
      <w:hyperlink r:id="rId8" w:history="1">
        <w:r w:rsidRPr="00E33F73" w:rsidR="00021703">
          <w:rPr>
            <w:rStyle w:val="Hyperlink"/>
            <w:szCs w:val="24"/>
          </w:rPr>
          <w:t>william.michael@occ.ohio.gov</w:t>
        </w:r>
      </w:hyperlink>
    </w:p>
    <w:p w:rsidR="00D62694" w:rsidP="00D62694" w14:paraId="5D857771" w14:textId="7541C214">
      <w:pPr>
        <w:spacing w:line="480" w:lineRule="auto"/>
        <w:ind w:left="3600" w:firstLine="720"/>
        <w:rPr>
          <w:szCs w:val="24"/>
        </w:rPr>
      </w:pPr>
      <w:r w:rsidRPr="00CE7233">
        <w:rPr>
          <w:szCs w:val="24"/>
        </w:rPr>
        <w:t>(willing to accept service by e-mail)</w:t>
      </w:r>
    </w:p>
    <w:p w:rsidR="00081F23" w:rsidP="002A2381" w14:paraId="7E738A38" w14:textId="77777777">
      <w:pPr>
        <w:spacing w:line="480" w:lineRule="auto"/>
        <w:ind w:firstLine="720"/>
        <w:rPr>
          <w:szCs w:val="24"/>
        </w:rPr>
        <w:sectPr w:rsidSect="002909FD">
          <w:footerReference w:type="first" r:id="rId9"/>
          <w:pgSz w:w="12240" w:h="15840"/>
          <w:pgMar w:top="1440" w:right="1800" w:bottom="1440" w:left="1800" w:header="720" w:footer="720" w:gutter="0"/>
          <w:pgNumType w:start="2"/>
          <w:cols w:space="720"/>
          <w:titlePg/>
          <w:docGrid w:linePitch="326"/>
        </w:sectPr>
      </w:pPr>
    </w:p>
    <w:p w:rsidR="00D62694" w:rsidRPr="00CE7233" w:rsidP="00D62694" w14:paraId="6F39BA17" w14:textId="77777777">
      <w:pPr>
        <w:pStyle w:val="HTMLPreformatted"/>
        <w:jc w:val="center"/>
        <w:rPr>
          <w:rFonts w:ascii="Times New Roman" w:hAnsi="Times New Roman" w:cs="Times New Roman"/>
          <w:b/>
          <w:bCs/>
          <w:sz w:val="24"/>
          <w:szCs w:val="24"/>
        </w:rPr>
      </w:pPr>
      <w:r w:rsidRPr="00CE7233">
        <w:rPr>
          <w:rFonts w:ascii="Times New Roman" w:hAnsi="Times New Roman" w:cs="Times New Roman"/>
          <w:b/>
          <w:bCs/>
          <w:sz w:val="24"/>
          <w:szCs w:val="24"/>
        </w:rPr>
        <w:t>BEFORE</w:t>
      </w:r>
    </w:p>
    <w:p w:rsidR="00D62694" w:rsidRPr="00CE7233" w:rsidP="00D62694" w14:paraId="14A4F55A" w14:textId="77777777">
      <w:pPr>
        <w:pStyle w:val="HTMLPreformatted"/>
        <w:jc w:val="center"/>
        <w:rPr>
          <w:rFonts w:ascii="Times New Roman" w:hAnsi="Times New Roman" w:cs="Times New Roman"/>
          <w:b/>
          <w:bCs/>
          <w:sz w:val="24"/>
          <w:szCs w:val="24"/>
        </w:rPr>
      </w:pPr>
      <w:r w:rsidRPr="00CE7233">
        <w:rPr>
          <w:rFonts w:ascii="Times New Roman" w:hAnsi="Times New Roman" w:cs="Times New Roman"/>
          <w:b/>
          <w:bCs/>
          <w:sz w:val="24"/>
          <w:szCs w:val="24"/>
        </w:rPr>
        <w:t>THE PUBLIC UTILITIES COMMISSION OF OHIO</w:t>
      </w:r>
    </w:p>
    <w:p w:rsidR="00D62694" w:rsidRPr="00CE7233" w:rsidP="00D62694" w14:paraId="17652DE1" w14:textId="77777777">
      <w:pPr>
        <w:pStyle w:val="HTMLPreformatted"/>
        <w:rPr>
          <w:rFonts w:ascii="Times New Roman" w:hAnsi="Times New Roman" w:cs="Times New Roman"/>
          <w:sz w:val="24"/>
          <w:szCs w:val="24"/>
        </w:rPr>
      </w:pPr>
    </w:p>
    <w:tbl>
      <w:tblPr>
        <w:tblW w:w="8640" w:type="dxa"/>
        <w:tblLook w:val="01E0"/>
      </w:tblPr>
      <w:tblGrid>
        <w:gridCol w:w="4332"/>
        <w:gridCol w:w="360"/>
        <w:gridCol w:w="3948"/>
      </w:tblGrid>
      <w:tr w14:paraId="37D48AB4" w14:textId="77777777" w:rsidTr="00D62694">
        <w:tblPrEx>
          <w:tblW w:w="8640" w:type="dxa"/>
          <w:tblLook w:val="01E0"/>
        </w:tblPrEx>
        <w:trPr>
          <w:trHeight w:val="807"/>
        </w:trPr>
        <w:tc>
          <w:tcPr>
            <w:tcW w:w="4332" w:type="dxa"/>
            <w:shd w:val="clear" w:color="auto" w:fill="auto"/>
          </w:tcPr>
          <w:p w:rsidR="00D62694" w:rsidRPr="00CE7233" w:rsidP="009526A6" w14:paraId="1F9DBC59" w14:textId="611C9FB4">
            <w:pPr>
              <w:pStyle w:val="HTMLPreformatted"/>
              <w:rPr>
                <w:rFonts w:ascii="Times New Roman" w:hAnsi="Times New Roman" w:cs="Times New Roman"/>
                <w:sz w:val="24"/>
                <w:szCs w:val="24"/>
              </w:rPr>
            </w:pPr>
            <w:r w:rsidRPr="00CE7233">
              <w:rPr>
                <w:rFonts w:ascii="Times New Roman" w:hAnsi="Times New Roman" w:cs="Times New Roman"/>
                <w:sz w:val="24"/>
                <w:szCs w:val="24"/>
              </w:rPr>
              <w:t xml:space="preserve">In the Matter of the Application of </w:t>
            </w:r>
            <w:r>
              <w:rPr>
                <w:rFonts w:ascii="Times New Roman" w:hAnsi="Times New Roman" w:cs="Times New Roman"/>
                <w:sz w:val="24"/>
                <w:szCs w:val="24"/>
              </w:rPr>
              <w:t>Dayton Power and Light Company for Extension of Its Distribution Modernization Rider</w:t>
            </w:r>
            <w:r w:rsidR="000F2C4E">
              <w:rPr>
                <w:rFonts w:ascii="Times New Roman" w:hAnsi="Times New Roman" w:cs="Times New Roman"/>
                <w:sz w:val="24"/>
                <w:szCs w:val="24"/>
              </w:rPr>
              <w:t>.</w:t>
            </w:r>
          </w:p>
        </w:tc>
        <w:tc>
          <w:tcPr>
            <w:tcW w:w="360" w:type="dxa"/>
            <w:shd w:val="clear" w:color="auto" w:fill="auto"/>
          </w:tcPr>
          <w:p w:rsidR="00D62694" w:rsidRPr="00CE7233" w:rsidP="009526A6" w14:paraId="014F713C"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p w:rsidR="00D62694" w:rsidRPr="00CE7233" w:rsidP="009526A6" w14:paraId="5FB7C889"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p w:rsidR="00D62694" w:rsidRPr="00CE7233" w:rsidP="003F450C" w14:paraId="7C7B5651" w14:textId="352D7CA3">
            <w:pPr>
              <w:pStyle w:val="HTMLPreformatted"/>
              <w:rPr>
                <w:rFonts w:ascii="Times New Roman" w:hAnsi="Times New Roman" w:cs="Times New Roman"/>
                <w:sz w:val="24"/>
                <w:szCs w:val="24"/>
              </w:rPr>
            </w:pPr>
            <w:r w:rsidRPr="00CE7233">
              <w:rPr>
                <w:rFonts w:ascii="Times New Roman" w:hAnsi="Times New Roman" w:cs="Times New Roman"/>
                <w:sz w:val="24"/>
                <w:szCs w:val="24"/>
              </w:rPr>
              <w:t>)</w:t>
            </w:r>
          </w:p>
        </w:tc>
        <w:tc>
          <w:tcPr>
            <w:tcW w:w="3948" w:type="dxa"/>
            <w:shd w:val="clear" w:color="auto" w:fill="auto"/>
          </w:tcPr>
          <w:p w:rsidR="00D62694" w:rsidRPr="00CE7233" w:rsidP="009526A6" w14:paraId="22AB5AF6" w14:textId="77777777">
            <w:pPr>
              <w:pStyle w:val="HTMLPreformatted"/>
              <w:rPr>
                <w:rFonts w:ascii="Times New Roman" w:hAnsi="Times New Roman" w:cs="Times New Roman"/>
                <w:sz w:val="24"/>
                <w:szCs w:val="24"/>
              </w:rPr>
            </w:pPr>
          </w:p>
          <w:p w:rsidR="00D62694" w:rsidRPr="00CE7233" w:rsidP="009526A6" w14:paraId="22CD5AD2" w14:textId="77777777">
            <w:pPr>
              <w:pStyle w:val="HTMLPreformatted"/>
              <w:rPr>
                <w:rFonts w:ascii="Times New Roman" w:hAnsi="Times New Roman" w:cs="Times New Roman"/>
                <w:sz w:val="24"/>
                <w:szCs w:val="24"/>
              </w:rPr>
            </w:pPr>
            <w:r w:rsidRPr="00CE7233">
              <w:rPr>
                <w:rFonts w:ascii="Times New Roman" w:hAnsi="Times New Roman" w:cs="Times New Roman"/>
                <w:sz w:val="24"/>
                <w:szCs w:val="24"/>
              </w:rPr>
              <w:t>Case No. 19-0</w:t>
            </w:r>
            <w:r>
              <w:rPr>
                <w:rFonts w:ascii="Times New Roman" w:hAnsi="Times New Roman" w:cs="Times New Roman"/>
                <w:sz w:val="24"/>
                <w:szCs w:val="24"/>
              </w:rPr>
              <w:t>162</w:t>
            </w:r>
            <w:r w:rsidRPr="00CE7233">
              <w:rPr>
                <w:rFonts w:ascii="Times New Roman" w:hAnsi="Times New Roman" w:cs="Times New Roman"/>
                <w:sz w:val="24"/>
                <w:szCs w:val="24"/>
              </w:rPr>
              <w:t>-EL-RDR</w:t>
            </w:r>
          </w:p>
          <w:p w:rsidR="00D62694" w:rsidRPr="00CE7233" w:rsidP="009526A6" w14:paraId="2283DD7B" w14:textId="77777777">
            <w:pPr>
              <w:pStyle w:val="HTMLPreformatted"/>
              <w:rPr>
                <w:rFonts w:ascii="Times New Roman" w:hAnsi="Times New Roman" w:cs="Times New Roman"/>
                <w:sz w:val="24"/>
                <w:szCs w:val="24"/>
              </w:rPr>
            </w:pPr>
          </w:p>
        </w:tc>
      </w:tr>
    </w:tbl>
    <w:p w:rsidR="00D62694" w:rsidRPr="00CE7233" w:rsidP="00D62694" w14:paraId="6FD9FF1E" w14:textId="77777777">
      <w:pPr>
        <w:pStyle w:val="HTMLPreformatted"/>
        <w:rPr>
          <w:rFonts w:ascii="Times New Roman" w:hAnsi="Times New Roman" w:cs="Times New Roman"/>
          <w:sz w:val="24"/>
          <w:szCs w:val="24"/>
        </w:rPr>
      </w:pPr>
    </w:p>
    <w:p w:rsidR="00D62694" w:rsidRPr="00CE7233" w:rsidP="00D62694" w14:paraId="191D190A" w14:textId="77777777">
      <w:pPr>
        <w:pStyle w:val="HTMLPreformatted"/>
        <w:pBdr>
          <w:top w:val="single" w:sz="12" w:space="1" w:color="auto"/>
        </w:pBdr>
        <w:rPr>
          <w:rFonts w:ascii="Times New Roman" w:hAnsi="Times New Roman" w:cs="Times New Roman"/>
          <w:sz w:val="24"/>
          <w:szCs w:val="24"/>
        </w:rPr>
      </w:pPr>
    </w:p>
    <w:p w:rsidR="002A2381" w:rsidRPr="00CE7233" w:rsidP="002A2381" w14:paraId="3BF7A8B8" w14:textId="77777777">
      <w:pPr>
        <w:pBdr>
          <w:bottom w:val="single" w:sz="12" w:space="1" w:color="auto"/>
        </w:pBdr>
        <w:jc w:val="center"/>
        <w:rPr>
          <w:b/>
          <w:szCs w:val="24"/>
        </w:rPr>
      </w:pPr>
      <w:r w:rsidRPr="00CE7233">
        <w:rPr>
          <w:b/>
          <w:szCs w:val="24"/>
        </w:rPr>
        <w:t>MEMORANDUM IN SUPPORT</w:t>
      </w:r>
    </w:p>
    <w:p w:rsidR="002A2381" w:rsidRPr="00CE7233" w:rsidP="002A2381" w14:paraId="27107103" w14:textId="77777777">
      <w:pPr>
        <w:pBdr>
          <w:bottom w:val="single" w:sz="12" w:space="1" w:color="auto"/>
        </w:pBdr>
        <w:rPr>
          <w:szCs w:val="24"/>
        </w:rPr>
      </w:pPr>
    </w:p>
    <w:p w:rsidR="002A2381" w:rsidRPr="00CE7233" w:rsidP="002A2381" w14:paraId="3CCC5595" w14:textId="77777777">
      <w:pPr>
        <w:rPr>
          <w:szCs w:val="24"/>
        </w:rPr>
      </w:pPr>
    </w:p>
    <w:p w:rsidR="00091BFE" w:rsidRPr="00974744" w:rsidP="00D62694" w14:paraId="1502A6EA" w14:textId="3EA70C12">
      <w:pPr>
        <w:pStyle w:val="BodyTextIndent3"/>
        <w:widowControl w:val="0"/>
        <w:numPr>
          <w:ilvl w:val="0"/>
          <w:numId w:val="28"/>
        </w:numPr>
        <w:spacing w:line="480" w:lineRule="auto"/>
        <w:ind w:left="720"/>
        <w:rPr>
          <w:b/>
          <w:bCs/>
          <w:szCs w:val="24"/>
        </w:rPr>
      </w:pPr>
      <w:r>
        <w:rPr>
          <w:b/>
          <w:bCs/>
          <w:szCs w:val="24"/>
        </w:rPr>
        <w:t>I</w:t>
      </w:r>
      <w:r w:rsidR="00837205">
        <w:rPr>
          <w:b/>
          <w:bCs/>
          <w:szCs w:val="24"/>
        </w:rPr>
        <w:t>NTRODUCTION</w:t>
      </w:r>
    </w:p>
    <w:p w:rsidR="00A47F70" w:rsidP="00A47F70" w14:paraId="6F633B37" w14:textId="40C9CFA2">
      <w:pPr>
        <w:pStyle w:val="BodyTextIndent3"/>
        <w:widowControl w:val="0"/>
        <w:spacing w:line="480" w:lineRule="auto"/>
        <w:rPr>
          <w:szCs w:val="24"/>
        </w:rPr>
      </w:pPr>
      <w:r>
        <w:rPr>
          <w:szCs w:val="24"/>
        </w:rPr>
        <w:t xml:space="preserve">DP&amp;L’s Application in this case asks the PUCO to </w:t>
      </w:r>
      <w:r w:rsidR="00F13AB8">
        <w:rPr>
          <w:szCs w:val="24"/>
        </w:rPr>
        <w:t>allow</w:t>
      </w:r>
      <w:r w:rsidR="0046489F">
        <w:rPr>
          <w:szCs w:val="24"/>
        </w:rPr>
        <w:t xml:space="preserve"> </w:t>
      </w:r>
      <w:r w:rsidR="00F13AB8">
        <w:rPr>
          <w:szCs w:val="24"/>
        </w:rPr>
        <w:t xml:space="preserve">it to charge consumers even more per month than before, for </w:t>
      </w:r>
      <w:r w:rsidR="004E7FEB">
        <w:rPr>
          <w:szCs w:val="24"/>
        </w:rPr>
        <w:t>its</w:t>
      </w:r>
      <w:r w:rsidR="0046489F">
        <w:rPr>
          <w:szCs w:val="24"/>
        </w:rPr>
        <w:t xml:space="preserve"> so-called Distribution Modernization Rider</w:t>
      </w:r>
      <w:r w:rsidR="00091BFE">
        <w:rPr>
          <w:szCs w:val="24"/>
        </w:rPr>
        <w:t xml:space="preserve"> (</w:t>
      </w:r>
      <w:r w:rsidR="00081F23">
        <w:rPr>
          <w:szCs w:val="24"/>
        </w:rPr>
        <w:t>“</w:t>
      </w:r>
      <w:r w:rsidR="00091BFE">
        <w:rPr>
          <w:szCs w:val="24"/>
        </w:rPr>
        <w:t>Charge</w:t>
      </w:r>
      <w:r w:rsidR="00081F23">
        <w:rPr>
          <w:szCs w:val="24"/>
        </w:rPr>
        <w:t>”</w:t>
      </w:r>
      <w:r w:rsidR="00091BFE">
        <w:rPr>
          <w:szCs w:val="24"/>
        </w:rPr>
        <w:t>)</w:t>
      </w:r>
      <w:r w:rsidR="007358DF">
        <w:rPr>
          <w:szCs w:val="24"/>
        </w:rPr>
        <w:t>.</w:t>
      </w:r>
      <w:r>
        <w:rPr>
          <w:rStyle w:val="FootnoteReference"/>
          <w:szCs w:val="24"/>
        </w:rPr>
        <w:footnoteReference w:id="6"/>
      </w:r>
      <w:r w:rsidR="00D62694">
        <w:rPr>
          <w:szCs w:val="24"/>
        </w:rPr>
        <w:t xml:space="preserve"> </w:t>
      </w:r>
      <w:r>
        <w:rPr>
          <w:szCs w:val="24"/>
        </w:rPr>
        <w:t>DP&amp;L</w:t>
      </w:r>
      <w:r w:rsidR="00AA7D00">
        <w:rPr>
          <w:szCs w:val="24"/>
        </w:rPr>
        <w:t xml:space="preserve"> </w:t>
      </w:r>
      <w:r>
        <w:rPr>
          <w:szCs w:val="24"/>
        </w:rPr>
        <w:t>claims that c</w:t>
      </w:r>
      <w:r w:rsidR="00091BFE">
        <w:rPr>
          <w:szCs w:val="24"/>
        </w:rPr>
        <w:t xml:space="preserve">ontinuing the Charge </w:t>
      </w:r>
      <w:r w:rsidR="009A66B7">
        <w:rPr>
          <w:szCs w:val="24"/>
        </w:rPr>
        <w:t xml:space="preserve">will </w:t>
      </w:r>
      <w:r w:rsidR="006F765A">
        <w:rPr>
          <w:szCs w:val="24"/>
        </w:rPr>
        <w:t xml:space="preserve">purportedly </w:t>
      </w:r>
      <w:r w:rsidR="009A66B7">
        <w:rPr>
          <w:szCs w:val="24"/>
        </w:rPr>
        <w:t>allow</w:t>
      </w:r>
      <w:r w:rsidR="00AA7D00">
        <w:rPr>
          <w:szCs w:val="24"/>
        </w:rPr>
        <w:t xml:space="preserve"> it</w:t>
      </w:r>
      <w:r w:rsidR="009A66B7">
        <w:rPr>
          <w:szCs w:val="24"/>
        </w:rPr>
        <w:t xml:space="preserve"> to </w:t>
      </w:r>
      <w:r w:rsidR="00081F23">
        <w:rPr>
          <w:szCs w:val="24"/>
        </w:rPr>
        <w:t>“</w:t>
      </w:r>
      <w:r w:rsidR="009A66B7">
        <w:rPr>
          <w:szCs w:val="24"/>
        </w:rPr>
        <w:t>maintain its financial integrity</w:t>
      </w:r>
      <w:r w:rsidR="00081F23">
        <w:rPr>
          <w:szCs w:val="24"/>
        </w:rPr>
        <w:t>”</w:t>
      </w:r>
      <w:r w:rsidR="009A66B7">
        <w:rPr>
          <w:szCs w:val="24"/>
        </w:rPr>
        <w:t xml:space="preserve"> and to complete grid modernization projects</w:t>
      </w:r>
      <w:r w:rsidR="00BC3F3B">
        <w:rPr>
          <w:szCs w:val="24"/>
        </w:rPr>
        <w:t xml:space="preserve"> </w:t>
      </w:r>
      <w:r w:rsidR="00AA7D00">
        <w:rPr>
          <w:szCs w:val="24"/>
        </w:rPr>
        <w:t xml:space="preserve">that it </w:t>
      </w:r>
      <w:r w:rsidR="00BC3F3B">
        <w:rPr>
          <w:szCs w:val="24"/>
        </w:rPr>
        <w:t>claims its customers both want and need.</w:t>
      </w:r>
      <w:r>
        <w:rPr>
          <w:rStyle w:val="FootnoteReference"/>
          <w:szCs w:val="24"/>
        </w:rPr>
        <w:footnoteReference w:id="7"/>
      </w:r>
      <w:r w:rsidR="00D62694">
        <w:rPr>
          <w:szCs w:val="24"/>
        </w:rPr>
        <w:t xml:space="preserve"> </w:t>
      </w:r>
    </w:p>
    <w:p w:rsidR="00997CDB" w:rsidP="00A47F70" w14:paraId="221DD6D0" w14:textId="1685B2C9">
      <w:pPr>
        <w:pStyle w:val="BodyTextIndent3"/>
        <w:widowControl w:val="0"/>
        <w:spacing w:line="480" w:lineRule="auto"/>
        <w:rPr>
          <w:szCs w:val="24"/>
        </w:rPr>
      </w:pPr>
      <w:r>
        <w:rPr>
          <w:szCs w:val="24"/>
        </w:rPr>
        <w:t>DP&amp;L</w:t>
      </w:r>
      <w:r w:rsidR="00081F23">
        <w:rPr>
          <w:szCs w:val="24"/>
        </w:rPr>
        <w:t>’</w:t>
      </w:r>
      <w:r>
        <w:rPr>
          <w:szCs w:val="24"/>
        </w:rPr>
        <w:t xml:space="preserve">s </w:t>
      </w:r>
      <w:r w:rsidR="00091BFE">
        <w:rPr>
          <w:szCs w:val="24"/>
        </w:rPr>
        <w:t>Charge</w:t>
      </w:r>
      <w:r w:rsidR="00A47F70">
        <w:rPr>
          <w:szCs w:val="24"/>
        </w:rPr>
        <w:t xml:space="preserve"> at issue in the Application</w:t>
      </w:r>
      <w:r w:rsidR="00091BFE">
        <w:rPr>
          <w:szCs w:val="24"/>
        </w:rPr>
        <w:t xml:space="preserve"> </w:t>
      </w:r>
      <w:r>
        <w:rPr>
          <w:szCs w:val="24"/>
        </w:rPr>
        <w:t>is</w:t>
      </w:r>
      <w:r w:rsidR="009A66B7">
        <w:rPr>
          <w:szCs w:val="24"/>
        </w:rPr>
        <w:t xml:space="preserve"> virtually identical to FirstEnergy</w:t>
      </w:r>
      <w:r w:rsidR="00081F23">
        <w:rPr>
          <w:szCs w:val="24"/>
        </w:rPr>
        <w:t>’</w:t>
      </w:r>
      <w:r w:rsidR="009A66B7">
        <w:rPr>
          <w:szCs w:val="24"/>
        </w:rPr>
        <w:t xml:space="preserve">s </w:t>
      </w:r>
      <w:r>
        <w:rPr>
          <w:szCs w:val="24"/>
        </w:rPr>
        <w:t xml:space="preserve">Distribution Modernization Rider </w:t>
      </w:r>
      <w:r w:rsidR="009A66B7">
        <w:rPr>
          <w:szCs w:val="24"/>
        </w:rPr>
        <w:t>charge to customers</w:t>
      </w:r>
      <w:r w:rsidR="00905EFA">
        <w:rPr>
          <w:szCs w:val="24"/>
        </w:rPr>
        <w:t xml:space="preserve"> that</w:t>
      </w:r>
      <w:r w:rsidR="009A66B7">
        <w:rPr>
          <w:szCs w:val="24"/>
        </w:rPr>
        <w:t xml:space="preserve"> the </w:t>
      </w:r>
      <w:r w:rsidR="00091BFE">
        <w:rPr>
          <w:szCs w:val="24"/>
        </w:rPr>
        <w:t>Supreme Court of Ohio (</w:t>
      </w:r>
      <w:r w:rsidR="00081F23">
        <w:rPr>
          <w:szCs w:val="24"/>
        </w:rPr>
        <w:t>“</w:t>
      </w:r>
      <w:r w:rsidR="00091BFE">
        <w:rPr>
          <w:szCs w:val="24"/>
        </w:rPr>
        <w:t>Court</w:t>
      </w:r>
      <w:r w:rsidR="00081F23">
        <w:rPr>
          <w:szCs w:val="24"/>
        </w:rPr>
        <w:t>”</w:t>
      </w:r>
      <w:r w:rsidR="00091BFE">
        <w:rPr>
          <w:szCs w:val="24"/>
        </w:rPr>
        <w:t xml:space="preserve">) </w:t>
      </w:r>
      <w:r w:rsidR="009A66B7">
        <w:rPr>
          <w:szCs w:val="24"/>
        </w:rPr>
        <w:t>recently</w:t>
      </w:r>
      <w:r>
        <w:rPr>
          <w:szCs w:val="24"/>
        </w:rPr>
        <w:t xml:space="preserve"> found </w:t>
      </w:r>
      <w:r w:rsidR="00091BFE">
        <w:rPr>
          <w:szCs w:val="24"/>
        </w:rPr>
        <w:t>unlawful</w:t>
      </w:r>
      <w:r>
        <w:rPr>
          <w:szCs w:val="24"/>
        </w:rPr>
        <w:t xml:space="preserve"> in </w:t>
      </w:r>
      <w:r>
        <w:rPr>
          <w:i/>
          <w:szCs w:val="24"/>
        </w:rPr>
        <w:t>Ohio Edison</w:t>
      </w:r>
      <w:r w:rsidR="0019748A">
        <w:rPr>
          <w:szCs w:val="24"/>
        </w:rPr>
        <w:t>.</w:t>
      </w:r>
      <w:r w:rsidR="00697CD2">
        <w:rPr>
          <w:szCs w:val="24"/>
        </w:rPr>
        <w:t xml:space="preserve"> </w:t>
      </w:r>
      <w:r w:rsidR="008A6C16">
        <w:rPr>
          <w:szCs w:val="24"/>
        </w:rPr>
        <w:t>Followin</w:t>
      </w:r>
      <w:r w:rsidR="00A47F70">
        <w:rPr>
          <w:szCs w:val="24"/>
        </w:rPr>
        <w:t>g</w:t>
      </w:r>
      <w:r w:rsidR="008A6C16">
        <w:rPr>
          <w:szCs w:val="24"/>
        </w:rPr>
        <w:t xml:space="preserve"> the Court’s decision in </w:t>
      </w:r>
      <w:r w:rsidR="008A6C16">
        <w:rPr>
          <w:i/>
          <w:iCs/>
          <w:szCs w:val="24"/>
        </w:rPr>
        <w:t xml:space="preserve">Ohio </w:t>
      </w:r>
      <w:r w:rsidRPr="008A6C16" w:rsidR="008A6C16">
        <w:rPr>
          <w:i/>
          <w:iCs/>
          <w:szCs w:val="24"/>
        </w:rPr>
        <w:t>Edison</w:t>
      </w:r>
      <w:r w:rsidR="008A6C16">
        <w:rPr>
          <w:szCs w:val="24"/>
        </w:rPr>
        <w:t>, the PUCO found</w:t>
      </w:r>
      <w:r w:rsidR="00FC7B43">
        <w:rPr>
          <w:szCs w:val="24"/>
        </w:rPr>
        <w:t xml:space="preserve"> </w:t>
      </w:r>
      <w:r w:rsidR="00F13AB8">
        <w:rPr>
          <w:szCs w:val="24"/>
        </w:rPr>
        <w:t xml:space="preserve">DP&amp;L’s Charge </w:t>
      </w:r>
      <w:r w:rsidR="008A6C16">
        <w:rPr>
          <w:szCs w:val="24"/>
        </w:rPr>
        <w:t>to be illegal as well.</w:t>
      </w:r>
      <w:r w:rsidR="00D62694">
        <w:rPr>
          <w:szCs w:val="24"/>
        </w:rPr>
        <w:t xml:space="preserve"> </w:t>
      </w:r>
      <w:r w:rsidR="00FC7B43">
        <w:rPr>
          <w:szCs w:val="24"/>
        </w:rPr>
        <w:t xml:space="preserve">Therefore, </w:t>
      </w:r>
      <w:r w:rsidR="00AE7581">
        <w:rPr>
          <w:szCs w:val="24"/>
        </w:rPr>
        <w:t xml:space="preserve">DP&amp;L cannot lawfully extend the Charge as it requests in the Application in this case. </w:t>
      </w:r>
    </w:p>
    <w:p w:rsidR="00997CDB" w14:paraId="222891C7" w14:textId="77777777">
      <w:pPr>
        <w:rPr>
          <w:szCs w:val="24"/>
        </w:rPr>
      </w:pPr>
      <w:r>
        <w:rPr>
          <w:szCs w:val="24"/>
        </w:rPr>
        <w:br w:type="page"/>
      </w:r>
    </w:p>
    <w:p w:rsidR="00091BFE" w:rsidRPr="00974744" w:rsidP="00D62694" w14:paraId="2B398E8F" w14:textId="3136E298">
      <w:pPr>
        <w:pStyle w:val="BodyTextIndent3"/>
        <w:widowControl w:val="0"/>
        <w:numPr>
          <w:ilvl w:val="0"/>
          <w:numId w:val="28"/>
        </w:numPr>
        <w:spacing w:line="480" w:lineRule="auto"/>
        <w:ind w:left="720"/>
        <w:rPr>
          <w:b/>
          <w:bCs/>
          <w:szCs w:val="24"/>
        </w:rPr>
      </w:pPr>
      <w:r>
        <w:rPr>
          <w:b/>
          <w:bCs/>
          <w:szCs w:val="24"/>
        </w:rPr>
        <w:t>R</w:t>
      </w:r>
      <w:r w:rsidR="00837205">
        <w:rPr>
          <w:b/>
          <w:bCs/>
          <w:szCs w:val="24"/>
        </w:rPr>
        <w:t>ECOMMENDATIONS</w:t>
      </w:r>
    </w:p>
    <w:p w:rsidR="002A2381" w:rsidRPr="000D1708" w:rsidP="00081F23" w14:paraId="3349E115" w14:textId="040F80E4">
      <w:pPr>
        <w:pStyle w:val="BodyTextIndent3"/>
        <w:widowControl w:val="0"/>
        <w:spacing w:line="240" w:lineRule="auto"/>
        <w:ind w:left="1440" w:hanging="720"/>
        <w:rPr>
          <w:szCs w:val="24"/>
        </w:rPr>
      </w:pPr>
      <w:r>
        <w:rPr>
          <w:b/>
          <w:bCs/>
          <w:szCs w:val="24"/>
        </w:rPr>
        <w:t>A.</w:t>
      </w:r>
      <w:r>
        <w:rPr>
          <w:b/>
          <w:bCs/>
          <w:szCs w:val="24"/>
        </w:rPr>
        <w:tab/>
      </w:r>
      <w:r w:rsidRPr="000D1708">
        <w:rPr>
          <w:b/>
          <w:bCs/>
          <w:szCs w:val="24"/>
        </w:rPr>
        <w:t xml:space="preserve">The </w:t>
      </w:r>
      <w:r w:rsidRPr="000D1708" w:rsidR="00344741">
        <w:rPr>
          <w:b/>
          <w:bCs/>
          <w:szCs w:val="24"/>
        </w:rPr>
        <w:t>Court</w:t>
      </w:r>
      <w:r w:rsidRPr="000D1708">
        <w:rPr>
          <w:b/>
          <w:bCs/>
          <w:szCs w:val="24"/>
        </w:rPr>
        <w:t xml:space="preserve"> </w:t>
      </w:r>
      <w:r w:rsidRPr="000D1708" w:rsidR="00344741">
        <w:rPr>
          <w:b/>
          <w:bCs/>
          <w:szCs w:val="24"/>
        </w:rPr>
        <w:t xml:space="preserve">held in </w:t>
      </w:r>
      <w:r w:rsidRPr="000D1708" w:rsidR="00344741">
        <w:rPr>
          <w:b/>
          <w:bCs/>
          <w:i/>
          <w:szCs w:val="24"/>
        </w:rPr>
        <w:t xml:space="preserve">Ohio Edison </w:t>
      </w:r>
      <w:r w:rsidRPr="000D1708">
        <w:rPr>
          <w:b/>
          <w:bCs/>
          <w:szCs w:val="24"/>
        </w:rPr>
        <w:t xml:space="preserve">that </w:t>
      </w:r>
      <w:r w:rsidR="006850F8">
        <w:rPr>
          <w:b/>
          <w:bCs/>
          <w:szCs w:val="24"/>
        </w:rPr>
        <w:t>FirstEnergy</w:t>
      </w:r>
      <w:r w:rsidR="00081F23">
        <w:rPr>
          <w:b/>
          <w:bCs/>
          <w:szCs w:val="24"/>
        </w:rPr>
        <w:t>’</w:t>
      </w:r>
      <w:r w:rsidR="006850F8">
        <w:rPr>
          <w:b/>
          <w:bCs/>
          <w:szCs w:val="24"/>
        </w:rPr>
        <w:t>s</w:t>
      </w:r>
      <w:r w:rsidR="00AE7581">
        <w:rPr>
          <w:b/>
          <w:bCs/>
          <w:szCs w:val="24"/>
        </w:rPr>
        <w:t xml:space="preserve"> Virtually Identical </w:t>
      </w:r>
      <w:r w:rsidR="006850F8">
        <w:rPr>
          <w:b/>
          <w:bCs/>
          <w:szCs w:val="24"/>
        </w:rPr>
        <w:t>D</w:t>
      </w:r>
      <w:r w:rsidRPr="000D1708">
        <w:rPr>
          <w:b/>
          <w:bCs/>
          <w:szCs w:val="24"/>
        </w:rPr>
        <w:t xml:space="preserve">istribution </w:t>
      </w:r>
      <w:r w:rsidR="006850F8">
        <w:rPr>
          <w:b/>
          <w:bCs/>
          <w:szCs w:val="24"/>
        </w:rPr>
        <w:t>M</w:t>
      </w:r>
      <w:r w:rsidRPr="000D1708">
        <w:rPr>
          <w:b/>
          <w:bCs/>
          <w:szCs w:val="24"/>
        </w:rPr>
        <w:t xml:space="preserve">odernization </w:t>
      </w:r>
      <w:r w:rsidR="006850F8">
        <w:rPr>
          <w:b/>
          <w:bCs/>
          <w:szCs w:val="24"/>
        </w:rPr>
        <w:t>Rider was unlawful</w:t>
      </w:r>
      <w:r w:rsidR="00AA7D00">
        <w:rPr>
          <w:b/>
          <w:bCs/>
          <w:szCs w:val="24"/>
        </w:rPr>
        <w:t xml:space="preserve"> to charge consumers</w:t>
      </w:r>
      <w:r w:rsidR="006850F8">
        <w:rPr>
          <w:b/>
          <w:bCs/>
          <w:szCs w:val="24"/>
        </w:rPr>
        <w:t>.</w:t>
      </w:r>
      <w:r w:rsidR="00D62694">
        <w:rPr>
          <w:szCs w:val="24"/>
        </w:rPr>
        <w:t xml:space="preserve"> </w:t>
      </w:r>
      <w:r w:rsidR="00081F23">
        <w:rPr>
          <w:szCs w:val="24"/>
        </w:rPr>
        <w:t xml:space="preserve"> </w:t>
      </w:r>
    </w:p>
    <w:p w:rsidR="00344741" w:rsidRPr="00344741" w:rsidP="00344741" w14:paraId="344CC17D" w14:textId="77777777">
      <w:pPr>
        <w:pStyle w:val="BodyTextIndent3"/>
        <w:widowControl w:val="0"/>
        <w:spacing w:line="240" w:lineRule="auto"/>
        <w:ind w:left="1080" w:firstLine="0"/>
        <w:rPr>
          <w:szCs w:val="24"/>
        </w:rPr>
      </w:pPr>
    </w:p>
    <w:p w:rsidR="000D1708" w:rsidRPr="00CE7233" w:rsidP="00B916B2" w14:paraId="7FA7B099" w14:textId="245C55EA">
      <w:pPr>
        <w:spacing w:line="480" w:lineRule="auto"/>
        <w:ind w:firstLine="720"/>
        <w:rPr>
          <w:szCs w:val="24"/>
        </w:rPr>
      </w:pPr>
      <w:r>
        <w:rPr>
          <w:szCs w:val="24"/>
        </w:rPr>
        <w:t>T</w:t>
      </w:r>
      <w:r w:rsidR="00986407">
        <w:rPr>
          <w:szCs w:val="24"/>
        </w:rPr>
        <w:t>he PUCO</w:t>
      </w:r>
      <w:r w:rsidR="00081F23">
        <w:rPr>
          <w:szCs w:val="24"/>
        </w:rPr>
        <w:t>’</w:t>
      </w:r>
      <w:r w:rsidR="00986407">
        <w:rPr>
          <w:szCs w:val="24"/>
        </w:rPr>
        <w:t>s October 20, 2017 Opinion and Order in Case No. 16-0395-EL-SSO</w:t>
      </w:r>
      <w:r w:rsidR="00E77F6A">
        <w:rPr>
          <w:szCs w:val="24"/>
        </w:rPr>
        <w:t xml:space="preserve"> (</w:t>
      </w:r>
      <w:r w:rsidR="00081F23">
        <w:rPr>
          <w:szCs w:val="24"/>
        </w:rPr>
        <w:t>“</w:t>
      </w:r>
      <w:r w:rsidR="00E77F6A">
        <w:rPr>
          <w:szCs w:val="24"/>
        </w:rPr>
        <w:t>DP&amp;L ESP Case</w:t>
      </w:r>
      <w:r w:rsidR="00081F23">
        <w:rPr>
          <w:szCs w:val="24"/>
        </w:rPr>
        <w:t>”</w:t>
      </w:r>
      <w:r w:rsidR="00E77F6A">
        <w:rPr>
          <w:szCs w:val="24"/>
        </w:rPr>
        <w:t>)</w:t>
      </w:r>
      <w:r>
        <w:rPr>
          <w:szCs w:val="24"/>
        </w:rPr>
        <w:t xml:space="preserve"> </w:t>
      </w:r>
      <w:r w:rsidR="008847C4">
        <w:rPr>
          <w:szCs w:val="24"/>
        </w:rPr>
        <w:t xml:space="preserve">modified and </w:t>
      </w:r>
      <w:r>
        <w:rPr>
          <w:szCs w:val="24"/>
        </w:rPr>
        <w:t>adopted</w:t>
      </w:r>
      <w:r w:rsidR="00986407">
        <w:rPr>
          <w:szCs w:val="24"/>
        </w:rPr>
        <w:t xml:space="preserve"> a Settlement </w:t>
      </w:r>
      <w:r>
        <w:rPr>
          <w:szCs w:val="24"/>
        </w:rPr>
        <w:t>that allowed</w:t>
      </w:r>
      <w:r w:rsidR="00986407">
        <w:rPr>
          <w:szCs w:val="24"/>
        </w:rPr>
        <w:t xml:space="preserve"> </w:t>
      </w:r>
      <w:r w:rsidR="00091BFE">
        <w:rPr>
          <w:szCs w:val="24"/>
        </w:rPr>
        <w:t>the Charge</w:t>
      </w:r>
      <w:r w:rsidR="008847C4">
        <w:rPr>
          <w:szCs w:val="24"/>
        </w:rPr>
        <w:t>.</w:t>
      </w:r>
      <w:r w:rsidR="00081F23">
        <w:rPr>
          <w:szCs w:val="24"/>
        </w:rPr>
        <w:t xml:space="preserve"> </w:t>
      </w:r>
      <w:r w:rsidR="008847C4">
        <w:rPr>
          <w:szCs w:val="24"/>
        </w:rPr>
        <w:t>DP&amp;L</w:t>
      </w:r>
      <w:r w:rsidR="00081F23">
        <w:rPr>
          <w:szCs w:val="24"/>
        </w:rPr>
        <w:t>’</w:t>
      </w:r>
      <w:r w:rsidR="008847C4">
        <w:rPr>
          <w:szCs w:val="24"/>
        </w:rPr>
        <w:t xml:space="preserve">s </w:t>
      </w:r>
      <w:r w:rsidR="00091BFE">
        <w:rPr>
          <w:szCs w:val="24"/>
        </w:rPr>
        <w:t xml:space="preserve">Charge </w:t>
      </w:r>
      <w:r w:rsidR="008847C4">
        <w:rPr>
          <w:szCs w:val="24"/>
        </w:rPr>
        <w:t>is</w:t>
      </w:r>
      <w:r w:rsidR="00E77F6A">
        <w:rPr>
          <w:szCs w:val="24"/>
        </w:rPr>
        <w:t xml:space="preserve"> </w:t>
      </w:r>
      <w:r w:rsidR="008847C4">
        <w:rPr>
          <w:szCs w:val="24"/>
        </w:rPr>
        <w:t>virtually</w:t>
      </w:r>
      <w:r>
        <w:rPr>
          <w:szCs w:val="24"/>
        </w:rPr>
        <w:t xml:space="preserve"> identical to the charge </w:t>
      </w:r>
      <w:r w:rsidR="00EF4670">
        <w:rPr>
          <w:szCs w:val="24"/>
        </w:rPr>
        <w:t xml:space="preserve">that allowed FirstEnergy to collect hundreds of millions of dollars in </w:t>
      </w:r>
      <w:r w:rsidR="00930B2A">
        <w:rPr>
          <w:szCs w:val="24"/>
        </w:rPr>
        <w:t xml:space="preserve">unwarranted </w:t>
      </w:r>
      <w:r w:rsidR="00EF4670">
        <w:rPr>
          <w:szCs w:val="24"/>
        </w:rPr>
        <w:t xml:space="preserve">subsidies from its customers that </w:t>
      </w:r>
      <w:r w:rsidR="008847C4">
        <w:rPr>
          <w:szCs w:val="24"/>
        </w:rPr>
        <w:t>the Court considered</w:t>
      </w:r>
      <w:r w:rsidR="00081FD9">
        <w:rPr>
          <w:szCs w:val="24"/>
        </w:rPr>
        <w:t xml:space="preserve"> (and overturned)</w:t>
      </w:r>
      <w:r>
        <w:rPr>
          <w:szCs w:val="24"/>
        </w:rPr>
        <w:t xml:space="preserve"> in </w:t>
      </w:r>
      <w:r>
        <w:rPr>
          <w:i/>
          <w:szCs w:val="24"/>
        </w:rPr>
        <w:t>Ohio Edison</w:t>
      </w:r>
      <w:r>
        <w:rPr>
          <w:szCs w:val="24"/>
        </w:rPr>
        <w:t xml:space="preserve">. In </w:t>
      </w:r>
      <w:r>
        <w:rPr>
          <w:i/>
          <w:szCs w:val="24"/>
        </w:rPr>
        <w:t xml:space="preserve">Ohio </w:t>
      </w:r>
      <w:r w:rsidRPr="00B916B2">
        <w:rPr>
          <w:i/>
          <w:szCs w:val="24"/>
        </w:rPr>
        <w:t>Edison,</w:t>
      </w:r>
      <w:r w:rsidRPr="00B916B2">
        <w:rPr>
          <w:szCs w:val="24"/>
        </w:rPr>
        <w:t xml:space="preserve"> </w:t>
      </w:r>
      <w:r w:rsidR="008A6C16">
        <w:rPr>
          <w:szCs w:val="24"/>
        </w:rPr>
        <w:t xml:space="preserve">OCC </w:t>
      </w:r>
      <w:r>
        <w:rPr>
          <w:szCs w:val="24"/>
        </w:rPr>
        <w:t>(</w:t>
      </w:r>
      <w:r w:rsidRPr="00CE7233">
        <w:rPr>
          <w:szCs w:val="24"/>
        </w:rPr>
        <w:t>and others</w:t>
      </w:r>
      <w:r>
        <w:rPr>
          <w:szCs w:val="24"/>
        </w:rPr>
        <w:t>)</w:t>
      </w:r>
      <w:r w:rsidRPr="00CE7233">
        <w:rPr>
          <w:szCs w:val="24"/>
        </w:rPr>
        <w:t xml:space="preserve"> appealed </w:t>
      </w:r>
      <w:r>
        <w:rPr>
          <w:szCs w:val="24"/>
        </w:rPr>
        <w:t>PUCO</w:t>
      </w:r>
      <w:r w:rsidRPr="00CE7233">
        <w:rPr>
          <w:szCs w:val="24"/>
        </w:rPr>
        <w:t xml:space="preserve"> rulings</w:t>
      </w:r>
      <w:r w:rsidR="006850F8">
        <w:rPr>
          <w:szCs w:val="24"/>
        </w:rPr>
        <w:t xml:space="preserve"> that</w:t>
      </w:r>
      <w:r w:rsidRPr="00CE7233">
        <w:rPr>
          <w:szCs w:val="24"/>
        </w:rPr>
        <w:t xml:space="preserve"> </w:t>
      </w:r>
      <w:r w:rsidR="00E77F6A">
        <w:rPr>
          <w:szCs w:val="24"/>
        </w:rPr>
        <w:t>adopt</w:t>
      </w:r>
      <w:r w:rsidR="006850F8">
        <w:rPr>
          <w:szCs w:val="24"/>
        </w:rPr>
        <w:t>ed</w:t>
      </w:r>
      <w:r w:rsidR="00E77F6A">
        <w:rPr>
          <w:szCs w:val="24"/>
        </w:rPr>
        <w:t xml:space="preserve"> FirstEnergy</w:t>
      </w:r>
      <w:r w:rsidR="00081F23">
        <w:rPr>
          <w:szCs w:val="24"/>
        </w:rPr>
        <w:t>’</w:t>
      </w:r>
      <w:r w:rsidR="00E77F6A">
        <w:rPr>
          <w:szCs w:val="24"/>
        </w:rPr>
        <w:t>s charge</w:t>
      </w:r>
      <w:r w:rsidRPr="00CE7233">
        <w:rPr>
          <w:szCs w:val="24"/>
        </w:rPr>
        <w:t xml:space="preserve"> on various </w:t>
      </w:r>
      <w:r>
        <w:rPr>
          <w:szCs w:val="24"/>
        </w:rPr>
        <w:t>grounds</w:t>
      </w:r>
      <w:r w:rsidRPr="00CE7233">
        <w:rPr>
          <w:szCs w:val="24"/>
        </w:rPr>
        <w:t xml:space="preserve">. One basis was that the charge is not a provision allowed in an electric </w:t>
      </w:r>
      <w:r>
        <w:rPr>
          <w:szCs w:val="24"/>
        </w:rPr>
        <w:t xml:space="preserve">security </w:t>
      </w:r>
      <w:r w:rsidRPr="00CE7233">
        <w:rPr>
          <w:szCs w:val="24"/>
        </w:rPr>
        <w:t>plan under R.C. 4928.143(B)(2)(h).</w:t>
      </w:r>
      <w:r w:rsidR="00081F23">
        <w:rPr>
          <w:szCs w:val="24"/>
        </w:rPr>
        <w:t xml:space="preserve"> </w:t>
      </w:r>
      <w:r w:rsidRPr="00CE7233">
        <w:rPr>
          <w:szCs w:val="24"/>
        </w:rPr>
        <w:t xml:space="preserve">Under that law, an electric security plan may include </w:t>
      </w:r>
      <w:r w:rsidR="00081F23">
        <w:rPr>
          <w:szCs w:val="24"/>
        </w:rPr>
        <w:t>“</w:t>
      </w:r>
      <w:r w:rsidRPr="00CE7233">
        <w:rPr>
          <w:szCs w:val="24"/>
        </w:rPr>
        <w:t xml:space="preserve">provisions regarding distribution infrastructure and modernization </w:t>
      </w:r>
      <w:r w:rsidRPr="008847C4">
        <w:rPr>
          <w:i/>
          <w:szCs w:val="24"/>
        </w:rPr>
        <w:t>incentives</w:t>
      </w:r>
      <w:r w:rsidRPr="00CE7233">
        <w:rPr>
          <w:szCs w:val="24"/>
        </w:rPr>
        <w:t>.</w:t>
      </w:r>
      <w:r w:rsidR="00081F23">
        <w:rPr>
          <w:szCs w:val="24"/>
        </w:rPr>
        <w:t>”</w:t>
      </w:r>
      <w:r w:rsidR="008847C4">
        <w:rPr>
          <w:szCs w:val="24"/>
        </w:rPr>
        <w:t xml:space="preserve"> (emphasis added).</w:t>
      </w:r>
      <w:r w:rsidRPr="00CE7233">
        <w:rPr>
          <w:szCs w:val="24"/>
        </w:rPr>
        <w:t xml:space="preserve"> </w:t>
      </w:r>
    </w:p>
    <w:p w:rsidR="000D1708" w:rsidRPr="00CE7233" w:rsidP="000D1708" w14:paraId="5F2ED5C4" w14:textId="132BB796">
      <w:pPr>
        <w:spacing w:line="480" w:lineRule="auto"/>
        <w:ind w:firstLine="720"/>
        <w:rPr>
          <w:szCs w:val="24"/>
        </w:rPr>
      </w:pPr>
      <w:r w:rsidRPr="00CE7233">
        <w:rPr>
          <w:szCs w:val="24"/>
        </w:rPr>
        <w:t xml:space="preserve">While the PUCO </w:t>
      </w:r>
      <w:r w:rsidR="00930B2A">
        <w:rPr>
          <w:szCs w:val="24"/>
        </w:rPr>
        <w:t xml:space="preserve">approved </w:t>
      </w:r>
      <w:r w:rsidRPr="00CE7233">
        <w:rPr>
          <w:szCs w:val="24"/>
        </w:rPr>
        <w:t xml:space="preserve">the </w:t>
      </w:r>
      <w:r w:rsidR="00930B2A">
        <w:rPr>
          <w:szCs w:val="24"/>
        </w:rPr>
        <w:t>rider</w:t>
      </w:r>
      <w:r w:rsidRPr="00CE7233" w:rsidR="00930B2A">
        <w:rPr>
          <w:szCs w:val="24"/>
        </w:rPr>
        <w:t xml:space="preserve"> </w:t>
      </w:r>
      <w:r w:rsidR="00930B2A">
        <w:rPr>
          <w:szCs w:val="24"/>
        </w:rPr>
        <w:t>entitled</w:t>
      </w:r>
      <w:r w:rsidR="00D62694">
        <w:rPr>
          <w:szCs w:val="24"/>
        </w:rPr>
        <w:t xml:space="preserve"> </w:t>
      </w:r>
      <w:r w:rsidR="00081F23">
        <w:rPr>
          <w:szCs w:val="24"/>
        </w:rPr>
        <w:t>“</w:t>
      </w:r>
      <w:r w:rsidRPr="00CE7233">
        <w:rPr>
          <w:szCs w:val="24"/>
        </w:rPr>
        <w:t>Distribution Modernization</w:t>
      </w:r>
      <w:r w:rsidR="00930B2A">
        <w:rPr>
          <w:szCs w:val="24"/>
        </w:rPr>
        <w:t>,</w:t>
      </w:r>
      <w:r w:rsidR="00081F23">
        <w:rPr>
          <w:szCs w:val="24"/>
        </w:rPr>
        <w:t>”</w:t>
      </w:r>
      <w:r w:rsidRPr="00CE7233">
        <w:rPr>
          <w:szCs w:val="24"/>
        </w:rPr>
        <w:t xml:space="preserve"> there was no requirement by the PUCO that FirstEnergy spend even a penny on distribution modernization for consumers.</w:t>
      </w:r>
      <w:r>
        <w:rPr>
          <w:rStyle w:val="FootnoteReference"/>
          <w:szCs w:val="24"/>
        </w:rPr>
        <w:footnoteReference w:id="8"/>
      </w:r>
      <w:r w:rsidR="00081F23">
        <w:rPr>
          <w:szCs w:val="24"/>
        </w:rPr>
        <w:t xml:space="preserve"> </w:t>
      </w:r>
      <w:r w:rsidRPr="00CE7233">
        <w:rPr>
          <w:szCs w:val="24"/>
        </w:rPr>
        <w:t>Instead</w:t>
      </w:r>
      <w:r>
        <w:rPr>
          <w:szCs w:val="24"/>
        </w:rPr>
        <w:t>,</w:t>
      </w:r>
      <w:r w:rsidRPr="00CE7233">
        <w:rPr>
          <w:szCs w:val="24"/>
        </w:rPr>
        <w:t xml:space="preserve"> the PUCO</w:t>
      </w:r>
      <w:r w:rsidR="00AA7D00">
        <w:rPr>
          <w:szCs w:val="24"/>
        </w:rPr>
        <w:t>-authorized</w:t>
      </w:r>
      <w:r>
        <w:rPr>
          <w:szCs w:val="24"/>
        </w:rPr>
        <w:t xml:space="preserve"> charge was</w:t>
      </w:r>
      <w:r w:rsidRPr="00CE7233">
        <w:rPr>
          <w:szCs w:val="24"/>
        </w:rPr>
        <w:t xml:space="preserve"> approved as a means of </w:t>
      </w:r>
      <w:r w:rsidRPr="00CE7233">
        <w:rPr>
          <w:i/>
          <w:szCs w:val="24"/>
        </w:rPr>
        <w:t>credit support</w:t>
      </w:r>
      <w:r w:rsidRPr="00CE7233">
        <w:rPr>
          <w:szCs w:val="24"/>
        </w:rPr>
        <w:t xml:space="preserve"> for the FirstEnergy utilities and their parent.</w:t>
      </w:r>
      <w:r>
        <w:rPr>
          <w:rStyle w:val="FootnoteReference"/>
          <w:szCs w:val="24"/>
        </w:rPr>
        <w:footnoteReference w:id="9"/>
      </w:r>
      <w:r w:rsidR="00081F23">
        <w:rPr>
          <w:szCs w:val="24"/>
        </w:rPr>
        <w:t xml:space="preserve"> </w:t>
      </w:r>
      <w:r w:rsidR="008A6C16">
        <w:rPr>
          <w:szCs w:val="24"/>
        </w:rPr>
        <w:t xml:space="preserve">OCC and others </w:t>
      </w:r>
      <w:r>
        <w:rPr>
          <w:szCs w:val="24"/>
        </w:rPr>
        <w:t>who sought consumer protection</w:t>
      </w:r>
      <w:r w:rsidRPr="00CE7233">
        <w:rPr>
          <w:szCs w:val="24"/>
        </w:rPr>
        <w:t xml:space="preserve"> argued to the Court that the charge was not allowed under Ohio law because it did not provide FirstEnergy with any </w:t>
      </w:r>
      <w:r w:rsidR="00081F23">
        <w:rPr>
          <w:szCs w:val="24"/>
        </w:rPr>
        <w:t>“</w:t>
      </w:r>
      <w:r w:rsidRPr="00CE7233">
        <w:rPr>
          <w:szCs w:val="24"/>
        </w:rPr>
        <w:t>incentive</w:t>
      </w:r>
      <w:r w:rsidR="00081F23">
        <w:rPr>
          <w:szCs w:val="24"/>
        </w:rPr>
        <w:t>”</w:t>
      </w:r>
      <w:r w:rsidRPr="00CE7233">
        <w:rPr>
          <w:szCs w:val="24"/>
        </w:rPr>
        <w:t xml:space="preserve"> to invest in grid modernization.</w:t>
      </w:r>
      <w:r>
        <w:rPr>
          <w:rStyle w:val="FootnoteReference"/>
          <w:szCs w:val="24"/>
        </w:rPr>
        <w:footnoteReference w:id="10"/>
      </w:r>
      <w:r w:rsidRPr="00CE7233">
        <w:rPr>
          <w:szCs w:val="24"/>
        </w:rPr>
        <w:t xml:space="preserve"> </w:t>
      </w:r>
    </w:p>
    <w:p w:rsidR="000D1708" w:rsidRPr="00004ED0" w:rsidP="00B324EA" w14:paraId="22CBA788" w14:textId="7E6A5DC0">
      <w:pPr>
        <w:spacing w:line="480" w:lineRule="auto"/>
        <w:ind w:firstLine="720"/>
        <w:rPr>
          <w:szCs w:val="24"/>
        </w:rPr>
      </w:pPr>
      <w:r w:rsidRPr="00CE7233">
        <w:rPr>
          <w:szCs w:val="24"/>
        </w:rPr>
        <w:t>The Court agreed</w:t>
      </w:r>
      <w:r w:rsidR="003114E8">
        <w:rPr>
          <w:szCs w:val="24"/>
        </w:rPr>
        <w:t xml:space="preserve"> and</w:t>
      </w:r>
      <w:r w:rsidRPr="00CE7233">
        <w:rPr>
          <w:szCs w:val="24"/>
        </w:rPr>
        <w:t xml:space="preserve"> ordered the PUCO to </w:t>
      </w:r>
      <w:r w:rsidR="00081F23">
        <w:rPr>
          <w:szCs w:val="24"/>
        </w:rPr>
        <w:t>“</w:t>
      </w:r>
      <w:r w:rsidRPr="00CE7233">
        <w:rPr>
          <w:szCs w:val="24"/>
        </w:rPr>
        <w:t>immediately remove the DMR from the ESP.</w:t>
      </w:r>
      <w:r w:rsidR="00081F23">
        <w:rPr>
          <w:szCs w:val="24"/>
        </w:rPr>
        <w:t>”</w:t>
      </w:r>
      <w:r>
        <w:rPr>
          <w:rStyle w:val="FootnoteReference"/>
          <w:szCs w:val="24"/>
        </w:rPr>
        <w:footnoteReference w:id="11"/>
      </w:r>
      <w:r w:rsidR="003114E8">
        <w:rPr>
          <w:szCs w:val="24"/>
        </w:rPr>
        <w:t xml:space="preserve"> </w:t>
      </w:r>
      <w:r w:rsidRPr="00CE7233">
        <w:rPr>
          <w:szCs w:val="24"/>
        </w:rPr>
        <w:t>Unfortunately for consumers, the Court ruled that customers could not get a refund</w:t>
      </w:r>
      <w:r>
        <w:rPr>
          <w:szCs w:val="24"/>
        </w:rPr>
        <w:t xml:space="preserve"> from FirstEnergy</w:t>
      </w:r>
      <w:r w:rsidRPr="00CE7233">
        <w:rPr>
          <w:szCs w:val="24"/>
        </w:rPr>
        <w:t xml:space="preserve"> for </w:t>
      </w:r>
      <w:r>
        <w:rPr>
          <w:szCs w:val="24"/>
        </w:rPr>
        <w:t xml:space="preserve">the </w:t>
      </w:r>
      <w:r w:rsidRPr="00CE7233">
        <w:rPr>
          <w:szCs w:val="24"/>
        </w:rPr>
        <w:t>half</w:t>
      </w:r>
      <w:r>
        <w:rPr>
          <w:szCs w:val="24"/>
        </w:rPr>
        <w:t>-</w:t>
      </w:r>
      <w:r w:rsidRPr="00CE7233">
        <w:rPr>
          <w:szCs w:val="24"/>
        </w:rPr>
        <w:t>billion dollars they had paid since 2017</w:t>
      </w:r>
      <w:r w:rsidR="00AA7D00">
        <w:rPr>
          <w:szCs w:val="24"/>
        </w:rPr>
        <w:t>, because the PUCO had not made the charges refundable</w:t>
      </w:r>
      <w:r w:rsidR="00EF4670">
        <w:rPr>
          <w:szCs w:val="24"/>
        </w:rPr>
        <w:t>.</w:t>
      </w:r>
      <w:r>
        <w:rPr>
          <w:rStyle w:val="FootnoteReference"/>
          <w:szCs w:val="24"/>
        </w:rPr>
        <w:footnoteReference w:id="12"/>
      </w:r>
      <w:r w:rsidR="00081F23">
        <w:rPr>
          <w:szCs w:val="24"/>
        </w:rPr>
        <w:t xml:space="preserve"> </w:t>
      </w:r>
      <w:r w:rsidR="00EF4670">
        <w:rPr>
          <w:szCs w:val="24"/>
        </w:rPr>
        <w:t>T</w:t>
      </w:r>
      <w:r w:rsidRPr="00CE7233">
        <w:rPr>
          <w:szCs w:val="24"/>
        </w:rPr>
        <w:t xml:space="preserve">he PUCO </w:t>
      </w:r>
      <w:r>
        <w:rPr>
          <w:szCs w:val="24"/>
        </w:rPr>
        <w:t xml:space="preserve">had earlier </w:t>
      </w:r>
      <w:r w:rsidR="00EF4670">
        <w:rPr>
          <w:szCs w:val="24"/>
        </w:rPr>
        <w:t xml:space="preserve">rejected a motion by </w:t>
      </w:r>
      <w:r w:rsidRPr="00CE7233" w:rsidR="00EF4670">
        <w:rPr>
          <w:szCs w:val="24"/>
        </w:rPr>
        <w:t>OCC</w:t>
      </w:r>
      <w:r w:rsidR="00AA7D00">
        <w:rPr>
          <w:szCs w:val="24"/>
        </w:rPr>
        <w:t xml:space="preserve"> and OMA</w:t>
      </w:r>
      <w:r w:rsidRPr="00CE7233" w:rsidR="00EF4670">
        <w:rPr>
          <w:szCs w:val="24"/>
        </w:rPr>
        <w:t xml:space="preserve"> </w:t>
      </w:r>
      <w:r w:rsidR="00EF4670">
        <w:rPr>
          <w:szCs w:val="24"/>
        </w:rPr>
        <w:t>for the charge to be refundable</w:t>
      </w:r>
      <w:r w:rsidRPr="00CE7233" w:rsidR="00EF4670">
        <w:rPr>
          <w:szCs w:val="24"/>
        </w:rPr>
        <w:t>.</w:t>
      </w:r>
      <w:r>
        <w:rPr>
          <w:rStyle w:val="FootnoteReference"/>
          <w:szCs w:val="24"/>
        </w:rPr>
        <w:footnoteReference w:id="13"/>
      </w:r>
      <w:r w:rsidRPr="00CE7233" w:rsidR="00EF4670">
        <w:rPr>
          <w:szCs w:val="24"/>
        </w:rPr>
        <w:t xml:space="preserve"> </w:t>
      </w:r>
      <w:r w:rsidR="00EF4670">
        <w:rPr>
          <w:szCs w:val="24"/>
        </w:rPr>
        <w:t xml:space="preserve">And as the Court pointed out, the PUCO had </w:t>
      </w:r>
      <w:r w:rsidRPr="00CE7233">
        <w:rPr>
          <w:szCs w:val="24"/>
        </w:rPr>
        <w:t>d</w:t>
      </w:r>
      <w:r>
        <w:rPr>
          <w:szCs w:val="24"/>
        </w:rPr>
        <w:t>eclined to</w:t>
      </w:r>
      <w:r w:rsidRPr="00CE7233">
        <w:rPr>
          <w:szCs w:val="24"/>
        </w:rPr>
        <w:t xml:space="preserve"> </w:t>
      </w:r>
      <w:r w:rsidR="00EF4670">
        <w:rPr>
          <w:szCs w:val="24"/>
        </w:rPr>
        <w:t>require</w:t>
      </w:r>
      <w:r w:rsidRPr="00CE7233" w:rsidR="00EF4670">
        <w:rPr>
          <w:szCs w:val="24"/>
        </w:rPr>
        <w:t xml:space="preserve"> </w:t>
      </w:r>
      <w:r w:rsidRPr="00CE7233">
        <w:rPr>
          <w:szCs w:val="24"/>
        </w:rPr>
        <w:t xml:space="preserve">a </w:t>
      </w:r>
      <w:r w:rsidR="00081F23">
        <w:rPr>
          <w:szCs w:val="24"/>
        </w:rPr>
        <w:t>“</w:t>
      </w:r>
      <w:r w:rsidRPr="00CE7233">
        <w:rPr>
          <w:szCs w:val="24"/>
        </w:rPr>
        <w:t>refund mechanism</w:t>
      </w:r>
      <w:r>
        <w:rPr>
          <w:szCs w:val="24"/>
        </w:rPr>
        <w:t>.</w:t>
      </w:r>
      <w:r w:rsidR="00081F23">
        <w:rPr>
          <w:szCs w:val="24"/>
        </w:rPr>
        <w:t>”</w:t>
      </w:r>
      <w:r>
        <w:rPr>
          <w:rStyle w:val="FootnoteReference"/>
          <w:szCs w:val="24"/>
        </w:rPr>
        <w:footnoteReference w:id="14"/>
      </w:r>
      <w:r w:rsidRPr="00CE7233">
        <w:rPr>
          <w:szCs w:val="24"/>
        </w:rPr>
        <w:t xml:space="preserve"> </w:t>
      </w:r>
      <w:r>
        <w:rPr>
          <w:szCs w:val="24"/>
        </w:rPr>
        <w:t>Finally</w:t>
      </w:r>
      <w:r w:rsidRPr="00CE7233">
        <w:rPr>
          <w:szCs w:val="24"/>
        </w:rPr>
        <w:t>, in a 6 to 1 decision (</w:t>
      </w:r>
      <w:r>
        <w:rPr>
          <w:szCs w:val="24"/>
        </w:rPr>
        <w:t xml:space="preserve">with </w:t>
      </w:r>
      <w:r w:rsidRPr="00CE7233">
        <w:rPr>
          <w:szCs w:val="24"/>
        </w:rPr>
        <w:t xml:space="preserve">Justice Kennedy </w:t>
      </w:r>
      <w:r>
        <w:rPr>
          <w:szCs w:val="24"/>
        </w:rPr>
        <w:t xml:space="preserve">being the lone </w:t>
      </w:r>
      <w:r w:rsidRPr="00CE7233">
        <w:rPr>
          <w:szCs w:val="24"/>
        </w:rPr>
        <w:t>dissent</w:t>
      </w:r>
      <w:r>
        <w:rPr>
          <w:szCs w:val="24"/>
        </w:rPr>
        <w:t xml:space="preserve"> in favor of FirstEnergy</w:t>
      </w:r>
      <w:r w:rsidR="00081F23">
        <w:rPr>
          <w:szCs w:val="24"/>
        </w:rPr>
        <w:t>’</w:t>
      </w:r>
      <w:r>
        <w:rPr>
          <w:szCs w:val="24"/>
        </w:rPr>
        <w:t>s position</w:t>
      </w:r>
      <w:r w:rsidRPr="00CE7233">
        <w:rPr>
          <w:szCs w:val="24"/>
        </w:rPr>
        <w:t xml:space="preserve">), the Court </w:t>
      </w:r>
      <w:r>
        <w:rPr>
          <w:szCs w:val="24"/>
        </w:rPr>
        <w:t>rejected FirstEnergy</w:t>
      </w:r>
      <w:r w:rsidR="00081F23">
        <w:rPr>
          <w:szCs w:val="24"/>
        </w:rPr>
        <w:t>’</w:t>
      </w:r>
      <w:r>
        <w:rPr>
          <w:szCs w:val="24"/>
        </w:rPr>
        <w:t xml:space="preserve">s request for reconsideration. That ruling </w:t>
      </w:r>
      <w:r w:rsidRPr="00CE7233">
        <w:rPr>
          <w:szCs w:val="24"/>
        </w:rPr>
        <w:t>finally end</w:t>
      </w:r>
      <w:r>
        <w:rPr>
          <w:szCs w:val="24"/>
        </w:rPr>
        <w:t>ed</w:t>
      </w:r>
      <w:r w:rsidRPr="00CE7233">
        <w:rPr>
          <w:szCs w:val="24"/>
        </w:rPr>
        <w:t xml:space="preserve"> the half-</w:t>
      </w:r>
      <w:r w:rsidRPr="00CE7233" w:rsidR="003779AA">
        <w:rPr>
          <w:szCs w:val="24"/>
        </w:rPr>
        <w:t>billion-dollar</w:t>
      </w:r>
      <w:r w:rsidRPr="00CE7233">
        <w:rPr>
          <w:szCs w:val="24"/>
        </w:rPr>
        <w:t xml:space="preserve"> subsidy consumers have been paying to FirstEnergy</w:t>
      </w:r>
      <w:r>
        <w:rPr>
          <w:szCs w:val="24"/>
        </w:rPr>
        <w:t xml:space="preserve"> since 2017</w:t>
      </w:r>
      <w:r w:rsidRPr="00CE7233">
        <w:rPr>
          <w:szCs w:val="24"/>
        </w:rPr>
        <w:t>.</w:t>
      </w:r>
      <w:r>
        <w:rPr>
          <w:rStyle w:val="FootnoteReference"/>
          <w:szCs w:val="24"/>
        </w:rPr>
        <w:footnoteReference w:id="15"/>
      </w:r>
      <w:r w:rsidR="00D62694">
        <w:rPr>
          <w:szCs w:val="24"/>
        </w:rPr>
        <w:t xml:space="preserve"> </w:t>
      </w:r>
    </w:p>
    <w:p w:rsidR="00997CDB" w:rsidP="000E4B52" w14:paraId="68423734" w14:textId="77777777">
      <w:pPr>
        <w:spacing w:line="480" w:lineRule="auto"/>
        <w:ind w:firstLine="720"/>
        <w:rPr>
          <w:szCs w:val="24"/>
        </w:rPr>
      </w:pPr>
      <w:r w:rsidRPr="00CE7233">
        <w:rPr>
          <w:szCs w:val="24"/>
        </w:rPr>
        <w:t>The Court</w:t>
      </w:r>
      <w:r w:rsidR="00081F23">
        <w:rPr>
          <w:szCs w:val="24"/>
        </w:rPr>
        <w:t>’</w:t>
      </w:r>
      <w:r w:rsidRPr="00CE7233">
        <w:rPr>
          <w:szCs w:val="24"/>
        </w:rPr>
        <w:t xml:space="preserve">s </w:t>
      </w:r>
      <w:r w:rsidR="008847C4">
        <w:rPr>
          <w:szCs w:val="24"/>
        </w:rPr>
        <w:t>denial of FirstEnergy</w:t>
      </w:r>
      <w:r w:rsidR="00081F23">
        <w:rPr>
          <w:szCs w:val="24"/>
        </w:rPr>
        <w:t>’</w:t>
      </w:r>
      <w:r w:rsidR="008847C4">
        <w:rPr>
          <w:szCs w:val="24"/>
        </w:rPr>
        <w:t>s request for reconsideration</w:t>
      </w:r>
      <w:r w:rsidRPr="00CE7233">
        <w:rPr>
          <w:szCs w:val="24"/>
        </w:rPr>
        <w:t xml:space="preserve"> cleared the way for the PUCO to comply with the Court</w:t>
      </w:r>
      <w:r w:rsidR="00081F23">
        <w:rPr>
          <w:szCs w:val="24"/>
        </w:rPr>
        <w:t>’</w:t>
      </w:r>
      <w:r w:rsidRPr="00CE7233">
        <w:rPr>
          <w:szCs w:val="24"/>
        </w:rPr>
        <w:t>s June ruling.</w:t>
      </w:r>
      <w:r w:rsidR="00081F23">
        <w:rPr>
          <w:szCs w:val="24"/>
        </w:rPr>
        <w:t xml:space="preserve"> </w:t>
      </w:r>
      <w:r w:rsidR="008847C4">
        <w:rPr>
          <w:szCs w:val="24"/>
        </w:rPr>
        <w:t>O</w:t>
      </w:r>
      <w:r w:rsidRPr="00CE7233">
        <w:rPr>
          <w:szCs w:val="24"/>
        </w:rPr>
        <w:t>n August 22, 2019, the PUCO ordered FirstEnergy to remove the modernization charge from customers</w:t>
      </w:r>
      <w:r w:rsidR="00081F23">
        <w:rPr>
          <w:szCs w:val="24"/>
        </w:rPr>
        <w:t>’</w:t>
      </w:r>
      <w:r w:rsidRPr="00CE7233">
        <w:rPr>
          <w:szCs w:val="24"/>
        </w:rPr>
        <w:t xml:space="preserve"> bills and ordered limited refunds of the charges collected in July and August of this year after the Court</w:t>
      </w:r>
      <w:r w:rsidR="00081F23">
        <w:rPr>
          <w:szCs w:val="24"/>
        </w:rPr>
        <w:t>’</w:t>
      </w:r>
      <w:r w:rsidRPr="00CE7233">
        <w:rPr>
          <w:szCs w:val="24"/>
        </w:rPr>
        <w:t>s initial ruling.</w:t>
      </w:r>
      <w:r w:rsidR="004D3800">
        <w:rPr>
          <w:szCs w:val="24"/>
        </w:rPr>
        <w:t xml:space="preserve"> </w:t>
      </w:r>
      <w:r w:rsidRPr="00CE7233">
        <w:rPr>
          <w:szCs w:val="24"/>
        </w:rPr>
        <w:t xml:space="preserve">The PUCO further directed FirstEnergy to </w:t>
      </w:r>
      <w:r>
        <w:rPr>
          <w:szCs w:val="24"/>
        </w:rPr>
        <w:t xml:space="preserve">file tariffs removing </w:t>
      </w:r>
      <w:r w:rsidRPr="00CE7233">
        <w:rPr>
          <w:szCs w:val="24"/>
        </w:rPr>
        <w:t xml:space="preserve">the </w:t>
      </w:r>
    </w:p>
    <w:p w:rsidR="00997CDB" w14:paraId="4CFF936B" w14:textId="77777777">
      <w:pPr>
        <w:rPr>
          <w:szCs w:val="24"/>
        </w:rPr>
      </w:pPr>
      <w:r>
        <w:rPr>
          <w:szCs w:val="24"/>
        </w:rPr>
        <w:br w:type="page"/>
      </w:r>
    </w:p>
    <w:p w:rsidR="000E4B52" w:rsidP="00997CDB" w14:paraId="36377254" w14:textId="4F4CB66F">
      <w:pPr>
        <w:spacing w:line="480" w:lineRule="auto"/>
        <w:rPr>
          <w:szCs w:val="24"/>
        </w:rPr>
      </w:pPr>
      <w:r w:rsidRPr="00CE7233">
        <w:rPr>
          <w:szCs w:val="24"/>
        </w:rPr>
        <w:t>charge from its electric security plan once credits to customers had been issued.</w:t>
      </w:r>
      <w:r>
        <w:rPr>
          <w:rStyle w:val="FootnoteReference"/>
          <w:szCs w:val="24"/>
        </w:rPr>
        <w:footnoteReference w:id="16"/>
      </w:r>
      <w:r>
        <w:rPr>
          <w:szCs w:val="24"/>
        </w:rPr>
        <w:t xml:space="preserve"> The PUCO subsequently denied FirstEnergy’s Application to extend its unlawful charge as moot.</w:t>
      </w:r>
      <w:r>
        <w:rPr>
          <w:rStyle w:val="FootnoteReference"/>
          <w:szCs w:val="24"/>
        </w:rPr>
        <w:footnoteReference w:id="17"/>
      </w:r>
    </w:p>
    <w:p w:rsidR="006850F8" w:rsidRPr="006850F8" w:rsidP="00081F23" w14:paraId="272212D5" w14:textId="7F0119F3">
      <w:pPr>
        <w:pStyle w:val="BodyTextIndent3"/>
        <w:widowControl w:val="0"/>
        <w:numPr>
          <w:ilvl w:val="0"/>
          <w:numId w:val="29"/>
        </w:numPr>
        <w:spacing w:line="240" w:lineRule="auto"/>
        <w:ind w:left="1440" w:hanging="720"/>
        <w:rPr>
          <w:szCs w:val="24"/>
        </w:rPr>
      </w:pPr>
      <w:r>
        <w:rPr>
          <w:b/>
          <w:bCs/>
          <w:szCs w:val="24"/>
        </w:rPr>
        <w:t xml:space="preserve">Following the </w:t>
      </w:r>
      <w:r>
        <w:rPr>
          <w:b/>
          <w:bCs/>
          <w:i/>
          <w:iCs/>
          <w:szCs w:val="24"/>
        </w:rPr>
        <w:t>Ohio Edison</w:t>
      </w:r>
      <w:r>
        <w:rPr>
          <w:b/>
          <w:bCs/>
          <w:szCs w:val="24"/>
        </w:rPr>
        <w:t xml:space="preserve"> decision, the PUCO held that</w:t>
      </w:r>
      <w:r w:rsidR="00004ED0">
        <w:rPr>
          <w:b/>
          <w:bCs/>
          <w:szCs w:val="24"/>
        </w:rPr>
        <w:t xml:space="preserve"> </w:t>
      </w:r>
      <w:r w:rsidRPr="000D1708">
        <w:rPr>
          <w:b/>
          <w:bCs/>
          <w:szCs w:val="24"/>
        </w:rPr>
        <w:t>DP&amp;L</w:t>
      </w:r>
      <w:r w:rsidR="00081F23">
        <w:rPr>
          <w:b/>
          <w:bCs/>
          <w:szCs w:val="24"/>
        </w:rPr>
        <w:t>’</w:t>
      </w:r>
      <w:r>
        <w:rPr>
          <w:b/>
          <w:bCs/>
          <w:szCs w:val="24"/>
        </w:rPr>
        <w:t xml:space="preserve">s </w:t>
      </w:r>
      <w:r w:rsidR="00821E54">
        <w:rPr>
          <w:b/>
          <w:bCs/>
          <w:szCs w:val="24"/>
        </w:rPr>
        <w:t>C</w:t>
      </w:r>
      <w:r>
        <w:rPr>
          <w:b/>
          <w:bCs/>
          <w:szCs w:val="24"/>
        </w:rPr>
        <w:t>harge</w:t>
      </w:r>
      <w:r w:rsidR="00004ED0">
        <w:rPr>
          <w:b/>
          <w:bCs/>
          <w:szCs w:val="24"/>
        </w:rPr>
        <w:t xml:space="preserve"> is also illegal</w:t>
      </w:r>
      <w:r w:rsidRPr="000D1708">
        <w:rPr>
          <w:b/>
          <w:bCs/>
          <w:szCs w:val="24"/>
        </w:rPr>
        <w:t>.</w:t>
      </w:r>
    </w:p>
    <w:p w:rsidR="006850F8" w:rsidRPr="006850F8" w:rsidP="006850F8" w14:paraId="61393A63" w14:textId="77777777">
      <w:pPr>
        <w:pStyle w:val="BodyTextIndent3"/>
        <w:widowControl w:val="0"/>
        <w:spacing w:line="240" w:lineRule="auto"/>
        <w:ind w:left="1080" w:firstLine="0"/>
        <w:rPr>
          <w:szCs w:val="24"/>
        </w:rPr>
      </w:pPr>
    </w:p>
    <w:p w:rsidR="008A6C16" w:rsidP="006850F8" w14:paraId="2DA4A57F" w14:textId="5F568087">
      <w:pPr>
        <w:pStyle w:val="BodyTextIndent3"/>
        <w:widowControl w:val="0"/>
        <w:spacing w:line="480" w:lineRule="auto"/>
        <w:rPr>
          <w:szCs w:val="24"/>
        </w:rPr>
      </w:pPr>
      <w:r>
        <w:rPr>
          <w:szCs w:val="24"/>
        </w:rPr>
        <w:t>In light of the Court</w:t>
      </w:r>
      <w:r w:rsidR="00081F23">
        <w:rPr>
          <w:szCs w:val="24"/>
        </w:rPr>
        <w:t>’</w:t>
      </w:r>
      <w:r>
        <w:rPr>
          <w:szCs w:val="24"/>
        </w:rPr>
        <w:t xml:space="preserve">s ruling in </w:t>
      </w:r>
      <w:r>
        <w:rPr>
          <w:i/>
          <w:szCs w:val="24"/>
        </w:rPr>
        <w:t>Ohio Edison</w:t>
      </w:r>
      <w:r>
        <w:rPr>
          <w:szCs w:val="24"/>
        </w:rPr>
        <w:t>, t</w:t>
      </w:r>
      <w:r w:rsidR="00BC3F3B">
        <w:rPr>
          <w:szCs w:val="24"/>
        </w:rPr>
        <w:t xml:space="preserve">he PUCO </w:t>
      </w:r>
      <w:r w:rsidR="00836388">
        <w:rPr>
          <w:szCs w:val="24"/>
        </w:rPr>
        <w:t>re</w:t>
      </w:r>
      <w:r w:rsidR="00BC3F3B">
        <w:rPr>
          <w:szCs w:val="24"/>
        </w:rPr>
        <w:t>consider</w:t>
      </w:r>
      <w:r>
        <w:rPr>
          <w:szCs w:val="24"/>
        </w:rPr>
        <w:t>ed</w:t>
      </w:r>
      <w:r w:rsidR="00BC3F3B">
        <w:rPr>
          <w:szCs w:val="24"/>
        </w:rPr>
        <w:t xml:space="preserve"> the fate of DP&amp;L</w:t>
      </w:r>
      <w:r w:rsidR="00081F23">
        <w:rPr>
          <w:szCs w:val="24"/>
        </w:rPr>
        <w:t>’</w:t>
      </w:r>
      <w:r w:rsidR="00BC3F3B">
        <w:rPr>
          <w:szCs w:val="24"/>
        </w:rPr>
        <w:t xml:space="preserve">s </w:t>
      </w:r>
      <w:r w:rsidR="00EF4670">
        <w:rPr>
          <w:szCs w:val="24"/>
        </w:rPr>
        <w:t>Charge</w:t>
      </w:r>
      <w:r w:rsidR="004D3800">
        <w:rPr>
          <w:szCs w:val="24"/>
        </w:rPr>
        <w:t xml:space="preserve">, </w:t>
      </w:r>
      <w:r w:rsidR="00BC3F3B">
        <w:rPr>
          <w:szCs w:val="24"/>
        </w:rPr>
        <w:t>which</w:t>
      </w:r>
      <w:r w:rsidR="004D3800">
        <w:rPr>
          <w:szCs w:val="24"/>
        </w:rPr>
        <w:t xml:space="preserve"> </w:t>
      </w:r>
      <w:r>
        <w:rPr>
          <w:szCs w:val="24"/>
        </w:rPr>
        <w:t xml:space="preserve">was due to </w:t>
      </w:r>
      <w:r w:rsidR="004D3800">
        <w:rPr>
          <w:szCs w:val="24"/>
        </w:rPr>
        <w:t>expire</w:t>
      </w:r>
      <w:r w:rsidR="00BC3F3B">
        <w:rPr>
          <w:szCs w:val="24"/>
        </w:rPr>
        <w:t xml:space="preserve"> </w:t>
      </w:r>
      <w:r w:rsidR="00836388">
        <w:rPr>
          <w:szCs w:val="24"/>
        </w:rPr>
        <w:t>next year</w:t>
      </w:r>
      <w:r>
        <w:rPr>
          <w:szCs w:val="24"/>
        </w:rPr>
        <w:t>.</w:t>
      </w:r>
      <w:r w:rsidR="00BC3F3B">
        <w:rPr>
          <w:szCs w:val="24"/>
        </w:rPr>
        <w:t xml:space="preserve"> In </w:t>
      </w:r>
      <w:r w:rsidR="00697CD2">
        <w:rPr>
          <w:szCs w:val="24"/>
        </w:rPr>
        <w:t>the</w:t>
      </w:r>
      <w:r w:rsidR="00836388">
        <w:rPr>
          <w:szCs w:val="24"/>
        </w:rPr>
        <w:t xml:space="preserve"> pending phase of </w:t>
      </w:r>
      <w:r w:rsidR="00004ED0">
        <w:rPr>
          <w:szCs w:val="24"/>
        </w:rPr>
        <w:t>the</w:t>
      </w:r>
      <w:r w:rsidR="007358DF">
        <w:rPr>
          <w:szCs w:val="24"/>
        </w:rPr>
        <w:t xml:space="preserve"> </w:t>
      </w:r>
      <w:r w:rsidR="004D3800">
        <w:rPr>
          <w:szCs w:val="24"/>
        </w:rPr>
        <w:t>DP&amp;L</w:t>
      </w:r>
      <w:r w:rsidR="00697CD2">
        <w:rPr>
          <w:szCs w:val="24"/>
        </w:rPr>
        <w:t xml:space="preserve"> ESP</w:t>
      </w:r>
      <w:r w:rsidR="00BC3F3B">
        <w:rPr>
          <w:szCs w:val="24"/>
        </w:rPr>
        <w:t xml:space="preserve"> </w:t>
      </w:r>
      <w:r w:rsidR="00697CD2">
        <w:rPr>
          <w:szCs w:val="24"/>
        </w:rPr>
        <w:t>C</w:t>
      </w:r>
      <w:r w:rsidR="00BC3F3B">
        <w:rPr>
          <w:szCs w:val="24"/>
        </w:rPr>
        <w:t xml:space="preserve">ase, </w:t>
      </w:r>
      <w:r w:rsidR="00697CD2">
        <w:rPr>
          <w:szCs w:val="24"/>
        </w:rPr>
        <w:t xml:space="preserve">the PUCO requested that parties file supplemental briefs regarding the impact of </w:t>
      </w:r>
      <w:r w:rsidR="00697CD2">
        <w:rPr>
          <w:i/>
          <w:szCs w:val="24"/>
        </w:rPr>
        <w:t>Ohio Edison</w:t>
      </w:r>
      <w:r w:rsidR="00697CD2">
        <w:rPr>
          <w:szCs w:val="24"/>
        </w:rPr>
        <w:t xml:space="preserve"> on DP&amp;L</w:t>
      </w:r>
      <w:r w:rsidR="00081F23">
        <w:rPr>
          <w:szCs w:val="24"/>
        </w:rPr>
        <w:t>’</w:t>
      </w:r>
      <w:r w:rsidR="00697CD2">
        <w:rPr>
          <w:szCs w:val="24"/>
        </w:rPr>
        <w:t xml:space="preserve">s </w:t>
      </w:r>
      <w:r w:rsidR="00EF4670">
        <w:rPr>
          <w:szCs w:val="24"/>
        </w:rPr>
        <w:t>Charge</w:t>
      </w:r>
      <w:r w:rsidR="00697CD2">
        <w:rPr>
          <w:szCs w:val="24"/>
        </w:rPr>
        <w:t xml:space="preserve">. </w:t>
      </w:r>
      <w:r w:rsidR="004D3800">
        <w:rPr>
          <w:szCs w:val="24"/>
        </w:rPr>
        <w:t xml:space="preserve">In its brief, </w:t>
      </w:r>
      <w:r w:rsidR="00BC3F3B">
        <w:rPr>
          <w:szCs w:val="24"/>
        </w:rPr>
        <w:t>OCC explained how DP&amp;L</w:t>
      </w:r>
      <w:r w:rsidR="00081F23">
        <w:rPr>
          <w:szCs w:val="24"/>
        </w:rPr>
        <w:t>’</w:t>
      </w:r>
      <w:r w:rsidR="00BC3F3B">
        <w:rPr>
          <w:szCs w:val="24"/>
        </w:rPr>
        <w:t xml:space="preserve">s </w:t>
      </w:r>
      <w:r w:rsidR="00EF4670">
        <w:rPr>
          <w:szCs w:val="24"/>
        </w:rPr>
        <w:t xml:space="preserve">Charge </w:t>
      </w:r>
      <w:r w:rsidR="00BC3F3B">
        <w:rPr>
          <w:szCs w:val="24"/>
        </w:rPr>
        <w:t>is virtually identical to FirstEnergy</w:t>
      </w:r>
      <w:r w:rsidR="00081F23">
        <w:rPr>
          <w:szCs w:val="24"/>
        </w:rPr>
        <w:t>’</w:t>
      </w:r>
      <w:r w:rsidR="00BC3F3B">
        <w:rPr>
          <w:szCs w:val="24"/>
        </w:rPr>
        <w:t xml:space="preserve">s </w:t>
      </w:r>
      <w:r w:rsidR="004D3800">
        <w:rPr>
          <w:szCs w:val="24"/>
        </w:rPr>
        <w:t xml:space="preserve">illegal </w:t>
      </w:r>
      <w:r w:rsidR="00BC3F3B">
        <w:rPr>
          <w:szCs w:val="24"/>
        </w:rPr>
        <w:t>charge.</w:t>
      </w:r>
      <w:r>
        <w:rPr>
          <w:rStyle w:val="FootnoteReference"/>
          <w:szCs w:val="24"/>
        </w:rPr>
        <w:footnoteReference w:id="18"/>
      </w:r>
      <w:r w:rsidR="00081F23">
        <w:rPr>
          <w:szCs w:val="24"/>
        </w:rPr>
        <w:t xml:space="preserve"> </w:t>
      </w:r>
      <w:r w:rsidR="00697CD2">
        <w:rPr>
          <w:szCs w:val="24"/>
        </w:rPr>
        <w:t xml:space="preserve">OCC further argued that </w:t>
      </w:r>
      <w:r w:rsidR="00962579">
        <w:rPr>
          <w:szCs w:val="24"/>
        </w:rPr>
        <w:t xml:space="preserve">in the event </w:t>
      </w:r>
      <w:r w:rsidR="00697CD2">
        <w:rPr>
          <w:szCs w:val="24"/>
        </w:rPr>
        <w:t>the PUCO permit</w:t>
      </w:r>
      <w:r w:rsidR="00962579">
        <w:rPr>
          <w:szCs w:val="24"/>
        </w:rPr>
        <w:t>ted</w:t>
      </w:r>
      <w:r w:rsidR="00697CD2">
        <w:rPr>
          <w:szCs w:val="24"/>
        </w:rPr>
        <w:t xml:space="preserve"> DP&amp;L to continue </w:t>
      </w:r>
      <w:r w:rsidR="00922D4E">
        <w:rPr>
          <w:szCs w:val="24"/>
        </w:rPr>
        <w:t xml:space="preserve">collecting </w:t>
      </w:r>
      <w:r w:rsidR="00697CD2">
        <w:rPr>
          <w:szCs w:val="24"/>
        </w:rPr>
        <w:t>the</w:t>
      </w:r>
      <w:r w:rsidR="00350022">
        <w:rPr>
          <w:szCs w:val="24"/>
        </w:rPr>
        <w:t xml:space="preserve"> unlawful</w:t>
      </w:r>
      <w:r w:rsidR="00697CD2">
        <w:rPr>
          <w:szCs w:val="24"/>
        </w:rPr>
        <w:t xml:space="preserve"> charge</w:t>
      </w:r>
      <w:r w:rsidR="00350022">
        <w:rPr>
          <w:szCs w:val="24"/>
        </w:rPr>
        <w:t xml:space="preserve"> through its expiration date,</w:t>
      </w:r>
      <w:r w:rsidR="00836388">
        <w:rPr>
          <w:szCs w:val="24"/>
        </w:rPr>
        <w:t xml:space="preserve"> </w:t>
      </w:r>
      <w:r w:rsidR="00350022">
        <w:rPr>
          <w:szCs w:val="24"/>
        </w:rPr>
        <w:t>the charge should</w:t>
      </w:r>
      <w:r w:rsidR="00962579">
        <w:rPr>
          <w:szCs w:val="24"/>
        </w:rPr>
        <w:t xml:space="preserve"> at the very least</w:t>
      </w:r>
      <w:r w:rsidR="00350022">
        <w:rPr>
          <w:szCs w:val="24"/>
        </w:rPr>
        <w:t xml:space="preserve"> be </w:t>
      </w:r>
      <w:r w:rsidR="00836388">
        <w:rPr>
          <w:szCs w:val="24"/>
        </w:rPr>
        <w:t>collected</w:t>
      </w:r>
      <w:r w:rsidR="00962579">
        <w:rPr>
          <w:szCs w:val="24"/>
        </w:rPr>
        <w:t xml:space="preserve"> </w:t>
      </w:r>
      <w:r w:rsidR="00350022">
        <w:rPr>
          <w:szCs w:val="24"/>
        </w:rPr>
        <w:t>subject to refund in order</w:t>
      </w:r>
      <w:r w:rsidR="004D3800">
        <w:rPr>
          <w:szCs w:val="24"/>
        </w:rPr>
        <w:t xml:space="preserve"> to protect</w:t>
      </w:r>
      <w:r w:rsidR="00922D4E">
        <w:rPr>
          <w:szCs w:val="24"/>
        </w:rPr>
        <w:t xml:space="preserve"> customers in the event the charge is later overturned on appeal.</w:t>
      </w:r>
      <w:r>
        <w:rPr>
          <w:rStyle w:val="FootnoteReference"/>
          <w:szCs w:val="24"/>
        </w:rPr>
        <w:footnoteReference w:id="19"/>
      </w:r>
    </w:p>
    <w:p w:rsidR="00997CDB" w:rsidP="0076765E" w14:paraId="05DC8C27" w14:textId="5F47F82D">
      <w:pPr>
        <w:pStyle w:val="BodyTextIndent3"/>
        <w:widowControl w:val="0"/>
        <w:spacing w:line="480" w:lineRule="auto"/>
        <w:ind w:right="-270"/>
        <w:rPr>
          <w:szCs w:val="24"/>
        </w:rPr>
      </w:pPr>
      <w:r>
        <w:rPr>
          <w:szCs w:val="24"/>
        </w:rPr>
        <w:t>On November 21, 2019</w:t>
      </w:r>
      <w:r w:rsidR="000D24B4">
        <w:rPr>
          <w:szCs w:val="24"/>
        </w:rPr>
        <w:t xml:space="preserve"> the PUCO issued an order in the DP&amp;L ESP Case finding that “in light of the Supreme Court’s decision in </w:t>
      </w:r>
      <w:r w:rsidR="000D24B4">
        <w:rPr>
          <w:i/>
          <w:iCs/>
          <w:szCs w:val="24"/>
        </w:rPr>
        <w:t>Ohio Edison</w:t>
      </w:r>
      <w:r w:rsidR="000D24B4">
        <w:rPr>
          <w:szCs w:val="24"/>
        </w:rPr>
        <w:t>, the Commission finds that the DMR in DP&amp;L’s ESP is unlawful and violates important regulatory practices and principles.”</w:t>
      </w:r>
      <w:r>
        <w:rPr>
          <w:rStyle w:val="FootnoteReference"/>
          <w:szCs w:val="24"/>
        </w:rPr>
        <w:footnoteReference w:id="20"/>
      </w:r>
      <w:r w:rsidR="00836388">
        <w:rPr>
          <w:szCs w:val="24"/>
        </w:rPr>
        <w:t xml:space="preserve"> </w:t>
      </w:r>
      <w:r w:rsidR="000D24B4">
        <w:rPr>
          <w:szCs w:val="24"/>
        </w:rPr>
        <w:t xml:space="preserve">The PUCO </w:t>
      </w:r>
      <w:r w:rsidR="00004ED0">
        <w:rPr>
          <w:szCs w:val="24"/>
        </w:rPr>
        <w:t>ordered</w:t>
      </w:r>
      <w:r w:rsidR="000D24B4">
        <w:rPr>
          <w:szCs w:val="24"/>
        </w:rPr>
        <w:t xml:space="preserve"> DP&amp;L to file revised tariffs </w:t>
      </w:r>
      <w:r w:rsidR="00962579">
        <w:rPr>
          <w:szCs w:val="24"/>
        </w:rPr>
        <w:t>removing the illegal Charge.</w:t>
      </w:r>
      <w:r>
        <w:rPr>
          <w:rStyle w:val="FootnoteReference"/>
          <w:szCs w:val="24"/>
        </w:rPr>
        <w:footnoteReference w:id="21"/>
      </w:r>
    </w:p>
    <w:p w:rsidR="00350022" w:rsidP="00AE7581" w14:paraId="6B81CCF7" w14:textId="4243BC55">
      <w:pPr>
        <w:pStyle w:val="BodyTextIndent3"/>
        <w:widowControl w:val="0"/>
        <w:numPr>
          <w:ilvl w:val="0"/>
          <w:numId w:val="29"/>
        </w:numPr>
        <w:spacing w:line="240" w:lineRule="auto"/>
        <w:ind w:left="1440" w:hanging="720"/>
        <w:rPr>
          <w:szCs w:val="24"/>
        </w:rPr>
      </w:pPr>
      <w:r>
        <w:rPr>
          <w:b/>
          <w:bCs/>
          <w:szCs w:val="24"/>
        </w:rPr>
        <w:t xml:space="preserve">Because </w:t>
      </w:r>
      <w:r w:rsidR="00EF4670">
        <w:rPr>
          <w:b/>
          <w:bCs/>
          <w:szCs w:val="24"/>
        </w:rPr>
        <w:t>DP&amp;L</w:t>
      </w:r>
      <w:r w:rsidR="00081F23">
        <w:rPr>
          <w:b/>
          <w:bCs/>
          <w:szCs w:val="24"/>
        </w:rPr>
        <w:t>’</w:t>
      </w:r>
      <w:r w:rsidR="00EF4670">
        <w:rPr>
          <w:b/>
          <w:bCs/>
          <w:szCs w:val="24"/>
        </w:rPr>
        <w:t>s</w:t>
      </w:r>
      <w:r>
        <w:rPr>
          <w:b/>
          <w:bCs/>
          <w:szCs w:val="24"/>
        </w:rPr>
        <w:t xml:space="preserve"> Charge is illegal, the</w:t>
      </w:r>
      <w:r w:rsidR="00EF4670">
        <w:rPr>
          <w:b/>
          <w:bCs/>
          <w:szCs w:val="24"/>
        </w:rPr>
        <w:t xml:space="preserve"> Application</w:t>
      </w:r>
      <w:r>
        <w:rPr>
          <w:b/>
          <w:bCs/>
          <w:szCs w:val="24"/>
        </w:rPr>
        <w:t xml:space="preserve"> in this case to extend</w:t>
      </w:r>
      <w:r w:rsidR="00AA7D00">
        <w:rPr>
          <w:b/>
          <w:bCs/>
          <w:szCs w:val="24"/>
        </w:rPr>
        <w:t xml:space="preserve"> the collection of the</w:t>
      </w:r>
      <w:r>
        <w:rPr>
          <w:b/>
          <w:bCs/>
          <w:szCs w:val="24"/>
        </w:rPr>
        <w:t xml:space="preserve"> charge</w:t>
      </w:r>
      <w:r w:rsidR="00AA7D00">
        <w:rPr>
          <w:b/>
          <w:bCs/>
          <w:szCs w:val="24"/>
        </w:rPr>
        <w:t xml:space="preserve"> from consumers</w:t>
      </w:r>
      <w:r>
        <w:rPr>
          <w:b/>
          <w:bCs/>
          <w:szCs w:val="24"/>
        </w:rPr>
        <w:t xml:space="preserve"> should</w:t>
      </w:r>
      <w:r w:rsidR="00EF4670">
        <w:rPr>
          <w:b/>
          <w:bCs/>
          <w:szCs w:val="24"/>
        </w:rPr>
        <w:t xml:space="preserve"> be denied.</w:t>
      </w:r>
      <w:r w:rsidR="00D62694">
        <w:rPr>
          <w:szCs w:val="24"/>
        </w:rPr>
        <w:t xml:space="preserve"> </w:t>
      </w:r>
    </w:p>
    <w:p w:rsidR="00AE7581" w:rsidP="00B324EA" w14:paraId="00F1B28F" w14:textId="77777777">
      <w:pPr>
        <w:pStyle w:val="BodyTextIndent3"/>
        <w:widowControl w:val="0"/>
        <w:spacing w:line="240" w:lineRule="auto"/>
        <w:ind w:left="1440" w:firstLine="0"/>
        <w:rPr>
          <w:szCs w:val="24"/>
        </w:rPr>
      </w:pPr>
    </w:p>
    <w:p w:rsidR="00EF4670" w:rsidP="00BC3F3B" w14:paraId="56EB27E2" w14:textId="0F8B771B">
      <w:pPr>
        <w:pStyle w:val="BodyTextIndent3"/>
        <w:widowControl w:val="0"/>
        <w:spacing w:line="480" w:lineRule="auto"/>
        <w:rPr>
          <w:szCs w:val="24"/>
        </w:rPr>
      </w:pPr>
      <w:r>
        <w:rPr>
          <w:szCs w:val="24"/>
        </w:rPr>
        <w:t>B</w:t>
      </w:r>
      <w:r w:rsidR="00922D4E">
        <w:rPr>
          <w:szCs w:val="24"/>
        </w:rPr>
        <w:t>e</w:t>
      </w:r>
      <w:r>
        <w:rPr>
          <w:szCs w:val="24"/>
        </w:rPr>
        <w:t>fore</w:t>
      </w:r>
      <w:r w:rsidR="00671F83">
        <w:rPr>
          <w:szCs w:val="24"/>
        </w:rPr>
        <w:t xml:space="preserve"> the Court issued its</w:t>
      </w:r>
      <w:r w:rsidRPr="00CE7233" w:rsidR="002A2381">
        <w:rPr>
          <w:szCs w:val="24"/>
        </w:rPr>
        <w:t xml:space="preserve"> ruling</w:t>
      </w:r>
      <w:r w:rsidR="006A444E">
        <w:rPr>
          <w:szCs w:val="24"/>
        </w:rPr>
        <w:t xml:space="preserve"> in </w:t>
      </w:r>
      <w:r w:rsidR="006A444E">
        <w:rPr>
          <w:i/>
          <w:szCs w:val="24"/>
        </w:rPr>
        <w:t>Ohio Edison</w:t>
      </w:r>
      <w:r w:rsidR="00922D4E">
        <w:rPr>
          <w:szCs w:val="24"/>
        </w:rPr>
        <w:t xml:space="preserve">, </w:t>
      </w:r>
      <w:r w:rsidR="00671F83">
        <w:rPr>
          <w:szCs w:val="24"/>
        </w:rPr>
        <w:t>DP&amp;L</w:t>
      </w:r>
      <w:r w:rsidR="00B9042B">
        <w:rPr>
          <w:szCs w:val="24"/>
        </w:rPr>
        <w:t xml:space="preserve"> </w:t>
      </w:r>
      <w:r w:rsidR="0064103A">
        <w:rPr>
          <w:szCs w:val="24"/>
        </w:rPr>
        <w:t xml:space="preserve">initiated this case by </w:t>
      </w:r>
      <w:r w:rsidR="00B9042B">
        <w:rPr>
          <w:szCs w:val="24"/>
        </w:rPr>
        <w:t>fil</w:t>
      </w:r>
      <w:r w:rsidR="0064103A">
        <w:rPr>
          <w:szCs w:val="24"/>
        </w:rPr>
        <w:t>ing</w:t>
      </w:r>
      <w:r w:rsidR="00B9042B">
        <w:rPr>
          <w:szCs w:val="24"/>
        </w:rPr>
        <w:t xml:space="preserve"> its Application </w:t>
      </w:r>
      <w:r w:rsidR="0064103A">
        <w:rPr>
          <w:szCs w:val="24"/>
        </w:rPr>
        <w:t xml:space="preserve">seeking authority </w:t>
      </w:r>
      <w:r w:rsidR="00671F83">
        <w:rPr>
          <w:szCs w:val="24"/>
        </w:rPr>
        <w:t xml:space="preserve">to </w:t>
      </w:r>
      <w:r w:rsidR="00836388">
        <w:rPr>
          <w:szCs w:val="24"/>
        </w:rPr>
        <w:t>extend</w:t>
      </w:r>
      <w:r w:rsidR="0064103A">
        <w:rPr>
          <w:szCs w:val="24"/>
        </w:rPr>
        <w:t xml:space="preserve"> </w:t>
      </w:r>
      <w:r>
        <w:rPr>
          <w:szCs w:val="24"/>
        </w:rPr>
        <w:t xml:space="preserve">the Charge </w:t>
      </w:r>
      <w:r w:rsidR="0064103A">
        <w:rPr>
          <w:szCs w:val="24"/>
        </w:rPr>
        <w:t xml:space="preserve">for another </w:t>
      </w:r>
      <w:r w:rsidRPr="00CE7233" w:rsidR="002A2381">
        <w:rPr>
          <w:szCs w:val="24"/>
        </w:rPr>
        <w:t>two years</w:t>
      </w:r>
      <w:r w:rsidR="00922D4E">
        <w:rPr>
          <w:szCs w:val="24"/>
        </w:rPr>
        <w:t>.</w:t>
      </w:r>
      <w:r w:rsidR="00081F23">
        <w:rPr>
          <w:szCs w:val="24"/>
        </w:rPr>
        <w:t xml:space="preserve"> </w:t>
      </w:r>
      <w:r w:rsidR="00D11EFA">
        <w:rPr>
          <w:szCs w:val="24"/>
        </w:rPr>
        <w:t xml:space="preserve">If approved, </w:t>
      </w:r>
      <w:r w:rsidR="0064103A">
        <w:rPr>
          <w:szCs w:val="24"/>
        </w:rPr>
        <w:t xml:space="preserve">DP&amp;L </w:t>
      </w:r>
      <w:r w:rsidR="00821E54">
        <w:rPr>
          <w:szCs w:val="24"/>
        </w:rPr>
        <w:t xml:space="preserve">would be allowed </w:t>
      </w:r>
      <w:r w:rsidR="0064103A">
        <w:rPr>
          <w:szCs w:val="24"/>
        </w:rPr>
        <w:t xml:space="preserve">to </w:t>
      </w:r>
      <w:r>
        <w:rPr>
          <w:szCs w:val="24"/>
        </w:rPr>
        <w:t>charge consumers</w:t>
      </w:r>
      <w:r w:rsidRPr="00CE7233">
        <w:rPr>
          <w:szCs w:val="24"/>
        </w:rPr>
        <w:t xml:space="preserve"> </w:t>
      </w:r>
      <w:r w:rsidR="00836388">
        <w:rPr>
          <w:szCs w:val="24"/>
        </w:rPr>
        <w:t xml:space="preserve">twice the current charge and collect </w:t>
      </w:r>
      <w:r>
        <w:rPr>
          <w:szCs w:val="24"/>
        </w:rPr>
        <w:t xml:space="preserve">an </w:t>
      </w:r>
      <w:r w:rsidR="002A2381">
        <w:rPr>
          <w:szCs w:val="24"/>
        </w:rPr>
        <w:t xml:space="preserve">additional </w:t>
      </w:r>
      <w:r w:rsidRPr="00CE7233" w:rsidR="002A2381">
        <w:rPr>
          <w:szCs w:val="24"/>
        </w:rPr>
        <w:t>$</w:t>
      </w:r>
      <w:r w:rsidR="00671F83">
        <w:rPr>
          <w:szCs w:val="24"/>
        </w:rPr>
        <w:t>199</w:t>
      </w:r>
      <w:r w:rsidR="00836388">
        <w:rPr>
          <w:szCs w:val="24"/>
        </w:rPr>
        <w:t xml:space="preserve"> million</w:t>
      </w:r>
      <w:r w:rsidRPr="00CE7233" w:rsidR="002A2381">
        <w:rPr>
          <w:szCs w:val="24"/>
        </w:rPr>
        <w:t xml:space="preserve"> </w:t>
      </w:r>
      <w:r>
        <w:rPr>
          <w:szCs w:val="24"/>
        </w:rPr>
        <w:t>per year</w:t>
      </w:r>
      <w:r w:rsidRPr="00CE7233" w:rsidR="002A2381">
        <w:rPr>
          <w:szCs w:val="24"/>
        </w:rPr>
        <w:t>.</w:t>
      </w:r>
      <w:r>
        <w:rPr>
          <w:rStyle w:val="FootnoteReference"/>
          <w:szCs w:val="24"/>
        </w:rPr>
        <w:footnoteReference w:id="22"/>
      </w:r>
      <w:r w:rsidR="00081F23">
        <w:rPr>
          <w:szCs w:val="24"/>
        </w:rPr>
        <w:t xml:space="preserve"> </w:t>
      </w:r>
      <w:r w:rsidR="0064103A">
        <w:rPr>
          <w:szCs w:val="24"/>
        </w:rPr>
        <w:t>DP&amp;L claims</w:t>
      </w:r>
      <w:r w:rsidR="00004ED0">
        <w:rPr>
          <w:szCs w:val="24"/>
        </w:rPr>
        <w:t xml:space="preserve"> in the Application</w:t>
      </w:r>
      <w:r w:rsidR="0064103A">
        <w:rPr>
          <w:szCs w:val="24"/>
        </w:rPr>
        <w:t xml:space="preserve"> that it needs this money in order to bolster its credit ratings and to implement a host of grid modernization projects.</w:t>
      </w:r>
      <w:r>
        <w:rPr>
          <w:rStyle w:val="FootnoteReference"/>
          <w:szCs w:val="24"/>
        </w:rPr>
        <w:footnoteReference w:id="23"/>
      </w:r>
      <w:r w:rsidR="00081F23">
        <w:rPr>
          <w:szCs w:val="24"/>
        </w:rPr>
        <w:t xml:space="preserve"> </w:t>
      </w:r>
    </w:p>
    <w:p w:rsidR="0046489F" w:rsidRPr="00962579" w:rsidP="00BC3F3B" w14:paraId="6DA11A3C" w14:textId="7465128F">
      <w:pPr>
        <w:pStyle w:val="BodyTextIndent3"/>
        <w:widowControl w:val="0"/>
        <w:spacing w:line="480" w:lineRule="auto"/>
        <w:rPr>
          <w:szCs w:val="24"/>
        </w:rPr>
      </w:pPr>
      <w:r>
        <w:rPr>
          <w:szCs w:val="24"/>
        </w:rPr>
        <w:t>But</w:t>
      </w:r>
      <w:r w:rsidR="00004ED0">
        <w:rPr>
          <w:szCs w:val="24"/>
        </w:rPr>
        <w:t xml:space="preserve"> the PUCO has since held that DP&amp;L’s Charge is illegal.</w:t>
      </w:r>
      <w:r w:rsidRPr="00821E54" w:rsidR="00821E54">
        <w:rPr>
          <w:rStyle w:val="FootnoteReference"/>
          <w:szCs w:val="24"/>
        </w:rPr>
        <w:t xml:space="preserve"> </w:t>
      </w:r>
      <w:r>
        <w:rPr>
          <w:rStyle w:val="FootnoteReference"/>
          <w:szCs w:val="24"/>
        </w:rPr>
        <w:footnoteReference w:id="24"/>
      </w:r>
      <w:r w:rsidR="004D3800">
        <w:rPr>
          <w:szCs w:val="24"/>
        </w:rPr>
        <w:t xml:space="preserve"> </w:t>
      </w:r>
      <w:r w:rsidR="00004ED0">
        <w:rPr>
          <w:szCs w:val="24"/>
        </w:rPr>
        <w:t>L</w:t>
      </w:r>
      <w:r w:rsidR="004D3800">
        <w:rPr>
          <w:szCs w:val="24"/>
        </w:rPr>
        <w:t>ike FirstEnergy</w:t>
      </w:r>
      <w:r w:rsidR="00081F23">
        <w:rPr>
          <w:szCs w:val="24"/>
        </w:rPr>
        <w:t>’</w:t>
      </w:r>
      <w:r w:rsidR="004D3800">
        <w:rPr>
          <w:szCs w:val="24"/>
        </w:rPr>
        <w:t>s illegal charge,</w:t>
      </w:r>
      <w:r w:rsidR="0064103A">
        <w:rPr>
          <w:szCs w:val="24"/>
        </w:rPr>
        <w:t xml:space="preserve"> nothing in DP&amp;L</w:t>
      </w:r>
      <w:r w:rsidR="00081F23">
        <w:rPr>
          <w:szCs w:val="24"/>
        </w:rPr>
        <w:t>’</w:t>
      </w:r>
      <w:r w:rsidR="0064103A">
        <w:rPr>
          <w:szCs w:val="24"/>
        </w:rPr>
        <w:t xml:space="preserve">s proposal requires DP&amp;L to use </w:t>
      </w:r>
      <w:r w:rsidR="00A207A5">
        <w:rPr>
          <w:szCs w:val="24"/>
        </w:rPr>
        <w:t xml:space="preserve">the money </w:t>
      </w:r>
      <w:r>
        <w:rPr>
          <w:szCs w:val="24"/>
        </w:rPr>
        <w:t>from the Charge</w:t>
      </w:r>
      <w:r w:rsidR="00A207A5">
        <w:rPr>
          <w:szCs w:val="24"/>
        </w:rPr>
        <w:t xml:space="preserve"> </w:t>
      </w:r>
      <w:r w:rsidR="00D11EFA">
        <w:rPr>
          <w:szCs w:val="24"/>
        </w:rPr>
        <w:t xml:space="preserve">collected from customers </w:t>
      </w:r>
      <w:r w:rsidR="00A207A5">
        <w:rPr>
          <w:szCs w:val="24"/>
        </w:rPr>
        <w:t>for grid modernization.</w:t>
      </w:r>
      <w:r w:rsidR="00081F23">
        <w:rPr>
          <w:szCs w:val="24"/>
        </w:rPr>
        <w:t xml:space="preserve"> </w:t>
      </w:r>
      <w:r w:rsidR="00A207A5">
        <w:rPr>
          <w:szCs w:val="24"/>
        </w:rPr>
        <w:t>Nor does DP&amp;L</w:t>
      </w:r>
      <w:r w:rsidR="00081F23">
        <w:rPr>
          <w:szCs w:val="24"/>
        </w:rPr>
        <w:t>’</w:t>
      </w:r>
      <w:r w:rsidR="00A207A5">
        <w:rPr>
          <w:szCs w:val="24"/>
        </w:rPr>
        <w:t xml:space="preserve">s proposal protect customers by making the </w:t>
      </w:r>
      <w:r>
        <w:rPr>
          <w:szCs w:val="24"/>
        </w:rPr>
        <w:t xml:space="preserve">Charge </w:t>
      </w:r>
      <w:r w:rsidR="00A207A5">
        <w:rPr>
          <w:szCs w:val="24"/>
        </w:rPr>
        <w:t>subject to refund.</w:t>
      </w:r>
      <w:r w:rsidR="00081F23">
        <w:rPr>
          <w:szCs w:val="24"/>
        </w:rPr>
        <w:t xml:space="preserve"> </w:t>
      </w:r>
      <w:r w:rsidR="00A207A5">
        <w:rPr>
          <w:szCs w:val="24"/>
        </w:rPr>
        <w:t xml:space="preserve">These were two fatal flaws that </w:t>
      </w:r>
      <w:r>
        <w:rPr>
          <w:szCs w:val="24"/>
        </w:rPr>
        <w:t xml:space="preserve">the Court identified when it </w:t>
      </w:r>
      <w:r w:rsidR="00A207A5">
        <w:rPr>
          <w:szCs w:val="24"/>
        </w:rPr>
        <w:t>invalidated FirstEnergy</w:t>
      </w:r>
      <w:r w:rsidR="00081F23">
        <w:rPr>
          <w:szCs w:val="24"/>
        </w:rPr>
        <w:t>’</w:t>
      </w:r>
      <w:r w:rsidR="00A207A5">
        <w:rPr>
          <w:szCs w:val="24"/>
        </w:rPr>
        <w:t xml:space="preserve">s Distribution Modernization Rider charge in </w:t>
      </w:r>
      <w:r w:rsidR="00A207A5">
        <w:rPr>
          <w:i/>
          <w:szCs w:val="24"/>
        </w:rPr>
        <w:t>Ohio Edison</w:t>
      </w:r>
      <w:r w:rsidR="00A207A5">
        <w:rPr>
          <w:szCs w:val="24"/>
        </w:rPr>
        <w:t>.</w:t>
      </w:r>
      <w:r w:rsidR="00E06602">
        <w:rPr>
          <w:szCs w:val="24"/>
        </w:rPr>
        <w:t xml:space="preserve"> </w:t>
      </w:r>
    </w:p>
    <w:p w:rsidR="002A2381" w:rsidP="00006E9A" w14:paraId="1F5682C9" w14:textId="753D3A1B">
      <w:pPr>
        <w:pStyle w:val="BodyTextIndent3"/>
        <w:widowControl w:val="0"/>
        <w:spacing w:line="480" w:lineRule="auto"/>
        <w:rPr>
          <w:szCs w:val="24"/>
        </w:rPr>
      </w:pPr>
      <w:r>
        <w:rPr>
          <w:szCs w:val="24"/>
        </w:rPr>
        <w:t xml:space="preserve">Accordingly, </w:t>
      </w:r>
      <w:r w:rsidRPr="00CE7233">
        <w:rPr>
          <w:szCs w:val="24"/>
        </w:rPr>
        <w:t>the PUCO has an easy decision to make</w:t>
      </w:r>
      <w:r w:rsidR="00845114">
        <w:rPr>
          <w:szCs w:val="24"/>
        </w:rPr>
        <w:t xml:space="preserve"> in this case</w:t>
      </w:r>
      <w:r w:rsidRPr="00CE7233">
        <w:rPr>
          <w:szCs w:val="24"/>
        </w:rPr>
        <w:t xml:space="preserve">. It should </w:t>
      </w:r>
      <w:r w:rsidR="00E06602">
        <w:rPr>
          <w:szCs w:val="24"/>
        </w:rPr>
        <w:t>protect DP&amp;L</w:t>
      </w:r>
      <w:r w:rsidR="00081F23">
        <w:rPr>
          <w:szCs w:val="24"/>
        </w:rPr>
        <w:t>’</w:t>
      </w:r>
      <w:r w:rsidR="00E06602">
        <w:rPr>
          <w:szCs w:val="24"/>
        </w:rPr>
        <w:t xml:space="preserve">s customers by </w:t>
      </w:r>
      <w:r w:rsidR="007358DF">
        <w:rPr>
          <w:szCs w:val="24"/>
        </w:rPr>
        <w:t xml:space="preserve">dismissing this case and </w:t>
      </w:r>
      <w:r w:rsidR="00845114">
        <w:rPr>
          <w:szCs w:val="24"/>
        </w:rPr>
        <w:t>deny</w:t>
      </w:r>
      <w:r w:rsidR="007358DF">
        <w:rPr>
          <w:szCs w:val="24"/>
        </w:rPr>
        <w:t>ing</w:t>
      </w:r>
      <w:r w:rsidR="00845114">
        <w:rPr>
          <w:szCs w:val="24"/>
        </w:rPr>
        <w:t xml:space="preserve"> </w:t>
      </w:r>
      <w:r w:rsidR="00B9042B">
        <w:rPr>
          <w:szCs w:val="24"/>
        </w:rPr>
        <w:t>DP&amp;L</w:t>
      </w:r>
      <w:r w:rsidR="00081F23">
        <w:rPr>
          <w:szCs w:val="24"/>
        </w:rPr>
        <w:t>’</w:t>
      </w:r>
      <w:r w:rsidRPr="00CE7233">
        <w:rPr>
          <w:szCs w:val="24"/>
        </w:rPr>
        <w:t xml:space="preserve">s </w:t>
      </w:r>
      <w:r w:rsidR="00845114">
        <w:rPr>
          <w:szCs w:val="24"/>
        </w:rPr>
        <w:t>Application</w:t>
      </w:r>
      <w:r w:rsidRPr="00CE7233" w:rsidR="00845114">
        <w:rPr>
          <w:szCs w:val="24"/>
        </w:rPr>
        <w:t xml:space="preserve"> </w:t>
      </w:r>
      <w:r w:rsidRPr="00CE7233">
        <w:rPr>
          <w:szCs w:val="24"/>
        </w:rPr>
        <w:t xml:space="preserve">to extend </w:t>
      </w:r>
      <w:r w:rsidR="00B9042B">
        <w:rPr>
          <w:szCs w:val="24"/>
        </w:rPr>
        <w:t xml:space="preserve">its </w:t>
      </w:r>
      <w:r w:rsidRPr="00CE7233">
        <w:rPr>
          <w:szCs w:val="24"/>
        </w:rPr>
        <w:t>unlawful charge</w:t>
      </w:r>
      <w:r w:rsidR="00E06602">
        <w:rPr>
          <w:szCs w:val="24"/>
        </w:rPr>
        <w:t xml:space="preserve"> for another two years</w:t>
      </w:r>
      <w:r w:rsidRPr="00CE7233">
        <w:rPr>
          <w:szCs w:val="24"/>
        </w:rPr>
        <w:t xml:space="preserve">. </w:t>
      </w:r>
    </w:p>
    <w:p w:rsidR="00006E9A" w:rsidRPr="00CE7233" w:rsidP="00006E9A" w14:paraId="48EB080F" w14:textId="77777777">
      <w:pPr>
        <w:pStyle w:val="BodyTextIndent3"/>
        <w:widowControl w:val="0"/>
        <w:spacing w:line="240" w:lineRule="auto"/>
        <w:rPr>
          <w:szCs w:val="24"/>
        </w:rPr>
      </w:pPr>
    </w:p>
    <w:p w:rsidR="002A2381" w:rsidP="00081F23" w14:paraId="54E40D9E" w14:textId="3D5F54B9">
      <w:pPr>
        <w:pStyle w:val="BodyTextIndent3"/>
        <w:widowControl w:val="0"/>
        <w:numPr>
          <w:ilvl w:val="0"/>
          <w:numId w:val="28"/>
        </w:numPr>
        <w:spacing w:line="240" w:lineRule="auto"/>
        <w:ind w:left="720"/>
        <w:rPr>
          <w:b/>
          <w:bCs/>
          <w:szCs w:val="24"/>
        </w:rPr>
      </w:pPr>
      <w:r w:rsidRPr="00CE7233">
        <w:rPr>
          <w:b/>
          <w:bCs/>
          <w:szCs w:val="24"/>
        </w:rPr>
        <w:t>C</w:t>
      </w:r>
      <w:r w:rsidR="00BC5A1D">
        <w:rPr>
          <w:b/>
          <w:bCs/>
          <w:szCs w:val="24"/>
        </w:rPr>
        <w:t>ONCLUSION</w:t>
      </w:r>
    </w:p>
    <w:p w:rsidR="00792948" w:rsidRPr="00CE7233" w:rsidP="00792948" w14:paraId="4BEB53DE" w14:textId="77777777">
      <w:pPr>
        <w:pStyle w:val="BodyTextIndent3"/>
        <w:widowControl w:val="0"/>
        <w:spacing w:line="240" w:lineRule="auto"/>
        <w:ind w:left="1080" w:firstLine="0"/>
        <w:rPr>
          <w:b/>
          <w:bCs/>
          <w:szCs w:val="24"/>
        </w:rPr>
      </w:pPr>
    </w:p>
    <w:p w:rsidR="002A2381" w:rsidP="002A2381" w14:paraId="1DFD53F3" w14:textId="7A445755">
      <w:pPr>
        <w:pStyle w:val="BodyTextIndent3"/>
        <w:widowControl w:val="0"/>
        <w:spacing w:line="480" w:lineRule="auto"/>
        <w:rPr>
          <w:szCs w:val="24"/>
        </w:rPr>
      </w:pPr>
      <w:r>
        <w:rPr>
          <w:szCs w:val="24"/>
        </w:rPr>
        <w:t>DP&amp;L</w:t>
      </w:r>
      <w:r w:rsidR="00081F23">
        <w:rPr>
          <w:szCs w:val="24"/>
        </w:rPr>
        <w:t>’</w:t>
      </w:r>
      <w:r>
        <w:rPr>
          <w:szCs w:val="24"/>
        </w:rPr>
        <w:t>s Application</w:t>
      </w:r>
      <w:r w:rsidRPr="00CE7233">
        <w:rPr>
          <w:szCs w:val="24"/>
        </w:rPr>
        <w:t xml:space="preserve"> in this case</w:t>
      </w:r>
      <w:r w:rsidR="00AA7D00">
        <w:rPr>
          <w:szCs w:val="24"/>
        </w:rPr>
        <w:t xml:space="preserve"> seeks to continue and increase an unlawful charge to consumers.</w:t>
      </w:r>
      <w:r w:rsidR="00D62694">
        <w:rPr>
          <w:szCs w:val="24"/>
        </w:rPr>
        <w:t xml:space="preserve"> </w:t>
      </w:r>
      <w:r w:rsidR="00AA7D00">
        <w:rPr>
          <w:szCs w:val="24"/>
        </w:rPr>
        <w:t xml:space="preserve">The Application </w:t>
      </w:r>
      <w:r w:rsidRPr="00CE7233">
        <w:rPr>
          <w:szCs w:val="24"/>
        </w:rPr>
        <w:t>predated the Court</w:t>
      </w:r>
      <w:r w:rsidR="00081F23">
        <w:rPr>
          <w:szCs w:val="24"/>
        </w:rPr>
        <w:t>’</w:t>
      </w:r>
      <w:r w:rsidRPr="00CE7233">
        <w:rPr>
          <w:szCs w:val="24"/>
        </w:rPr>
        <w:t>s ruling</w:t>
      </w:r>
      <w:r>
        <w:rPr>
          <w:szCs w:val="24"/>
        </w:rPr>
        <w:t xml:space="preserve"> in </w:t>
      </w:r>
      <w:r>
        <w:rPr>
          <w:i/>
          <w:iCs/>
          <w:szCs w:val="24"/>
        </w:rPr>
        <w:t>Ohio Edison</w:t>
      </w:r>
      <w:r w:rsidR="00AA7D00">
        <w:rPr>
          <w:szCs w:val="24"/>
        </w:rPr>
        <w:t xml:space="preserve"> </w:t>
      </w:r>
      <w:r w:rsidR="008C4047">
        <w:rPr>
          <w:szCs w:val="24"/>
        </w:rPr>
        <w:t xml:space="preserve">and the PUCO’s subsequent decision </w:t>
      </w:r>
      <w:r w:rsidR="00AA7D00">
        <w:rPr>
          <w:szCs w:val="24"/>
        </w:rPr>
        <w:t>that the</w:t>
      </w:r>
      <w:r w:rsidR="008C4047">
        <w:rPr>
          <w:szCs w:val="24"/>
        </w:rPr>
        <w:t xml:space="preserve"> Charge</w:t>
      </w:r>
      <w:r w:rsidR="007358DF">
        <w:rPr>
          <w:szCs w:val="24"/>
        </w:rPr>
        <w:t xml:space="preserve"> is</w:t>
      </w:r>
      <w:r w:rsidR="008C4047">
        <w:rPr>
          <w:szCs w:val="24"/>
        </w:rPr>
        <w:t xml:space="preserve"> unlawful</w:t>
      </w:r>
      <w:r w:rsidR="00AA7D00">
        <w:rPr>
          <w:szCs w:val="24"/>
        </w:rPr>
        <w:t>.</w:t>
      </w:r>
      <w:r w:rsidR="00081F23">
        <w:rPr>
          <w:szCs w:val="24"/>
        </w:rPr>
        <w:t xml:space="preserve"> </w:t>
      </w:r>
      <w:r w:rsidR="008C4047">
        <w:rPr>
          <w:szCs w:val="24"/>
        </w:rPr>
        <w:t>In light of these decisions, t</w:t>
      </w:r>
      <w:r>
        <w:rPr>
          <w:szCs w:val="24"/>
        </w:rPr>
        <w:t xml:space="preserve">he PUCO should </w:t>
      </w:r>
      <w:r w:rsidR="008C4047">
        <w:rPr>
          <w:szCs w:val="24"/>
        </w:rPr>
        <w:t xml:space="preserve">now </w:t>
      </w:r>
      <w:r>
        <w:rPr>
          <w:szCs w:val="24"/>
        </w:rPr>
        <w:t>deny the Application</w:t>
      </w:r>
      <w:r w:rsidR="008C4047">
        <w:rPr>
          <w:szCs w:val="24"/>
        </w:rPr>
        <w:t xml:space="preserve"> and dismiss this proceeding</w:t>
      </w:r>
      <w:r w:rsidR="00AA7D00">
        <w:rPr>
          <w:szCs w:val="24"/>
        </w:rPr>
        <w:t>, for purposes of consumer protection</w:t>
      </w:r>
      <w:r>
        <w:rPr>
          <w:szCs w:val="24"/>
        </w:rPr>
        <w:t xml:space="preserve">. </w:t>
      </w:r>
    </w:p>
    <w:p w:rsidR="00B42651" w14:paraId="1EFD0307" w14:textId="2BAEB837">
      <w:pPr>
        <w:rPr>
          <w:szCs w:val="24"/>
        </w:rPr>
      </w:pPr>
    </w:p>
    <w:p w:rsidR="00D62694" w:rsidRPr="00CE7233" w:rsidP="00D62694" w14:paraId="271EF21D" w14:textId="77777777">
      <w:pPr>
        <w:spacing w:line="480" w:lineRule="auto"/>
        <w:ind w:left="3600" w:firstLine="720"/>
        <w:rPr>
          <w:szCs w:val="24"/>
        </w:rPr>
      </w:pPr>
      <w:r w:rsidRPr="00CE7233">
        <w:rPr>
          <w:szCs w:val="24"/>
        </w:rPr>
        <w:t>Respectfully submitted,</w:t>
      </w:r>
    </w:p>
    <w:p w:rsidR="00D62694" w:rsidRPr="00CE7233" w:rsidP="00D62694" w14:paraId="693B06A5" w14:textId="77777777">
      <w:pPr>
        <w:pStyle w:val="Footer"/>
        <w:tabs>
          <w:tab w:val="clear" w:pos="4320"/>
          <w:tab w:val="clear" w:pos="8640"/>
        </w:tabs>
        <w:ind w:left="4320"/>
        <w:rPr>
          <w:sz w:val="24"/>
          <w:szCs w:val="24"/>
        </w:rPr>
      </w:pPr>
      <w:r w:rsidRPr="00CE7233">
        <w:rPr>
          <w:sz w:val="24"/>
          <w:szCs w:val="24"/>
        </w:rPr>
        <w:t>Bruce Weston (0016973)</w:t>
      </w:r>
    </w:p>
    <w:p w:rsidR="00D62694" w:rsidRPr="00CE7233" w:rsidP="00D62694" w14:paraId="187AC60E" w14:textId="77777777">
      <w:pPr>
        <w:ind w:left="4320"/>
        <w:rPr>
          <w:szCs w:val="24"/>
        </w:rPr>
      </w:pPr>
      <w:r w:rsidRPr="00CE7233">
        <w:rPr>
          <w:szCs w:val="24"/>
        </w:rPr>
        <w:t>Ohio Consumers</w:t>
      </w:r>
      <w:r>
        <w:rPr>
          <w:szCs w:val="24"/>
        </w:rPr>
        <w:t>’</w:t>
      </w:r>
      <w:r w:rsidRPr="00CE7233">
        <w:rPr>
          <w:szCs w:val="24"/>
        </w:rPr>
        <w:t xml:space="preserve"> Counsel</w:t>
      </w:r>
    </w:p>
    <w:p w:rsidR="00D62694" w:rsidRPr="00CE7233" w:rsidP="00D62694" w14:paraId="390CBFF5" w14:textId="77777777">
      <w:pPr>
        <w:tabs>
          <w:tab w:val="left" w:pos="4320"/>
        </w:tabs>
        <w:ind w:left="4320"/>
        <w:rPr>
          <w:szCs w:val="24"/>
        </w:rPr>
      </w:pPr>
      <w:r w:rsidRPr="00CE7233">
        <w:rPr>
          <w:szCs w:val="24"/>
        </w:rPr>
        <w:tab/>
      </w:r>
    </w:p>
    <w:p w:rsidR="00D62694" w:rsidRPr="00CE7233" w:rsidP="00D62694" w14:paraId="392CEEAC" w14:textId="68E5322D">
      <w:pPr>
        <w:ind w:left="4320"/>
        <w:rPr>
          <w:i/>
          <w:iCs/>
          <w:szCs w:val="24"/>
          <w:u w:val="single"/>
        </w:rPr>
      </w:pPr>
      <w:r w:rsidRPr="00CE7233">
        <w:rPr>
          <w:i/>
          <w:iCs/>
          <w:szCs w:val="24"/>
          <w:u w:val="single"/>
        </w:rPr>
        <w:t xml:space="preserve">/s/ </w:t>
      </w:r>
      <w:r>
        <w:rPr>
          <w:i/>
          <w:iCs/>
          <w:szCs w:val="24"/>
          <w:u w:val="single"/>
        </w:rPr>
        <w:t>Angela</w:t>
      </w:r>
      <w:r w:rsidR="00006E9A">
        <w:rPr>
          <w:i/>
          <w:iCs/>
          <w:szCs w:val="24"/>
          <w:u w:val="single"/>
        </w:rPr>
        <w:t xml:space="preserve"> D.</w:t>
      </w:r>
      <w:r>
        <w:rPr>
          <w:i/>
          <w:iCs/>
          <w:szCs w:val="24"/>
          <w:u w:val="single"/>
        </w:rPr>
        <w:t xml:space="preserve"> O’Brien</w:t>
      </w:r>
      <w:r w:rsidR="00A10980">
        <w:rPr>
          <w:i/>
          <w:iCs/>
          <w:szCs w:val="24"/>
          <w:u w:val="single"/>
        </w:rPr>
        <w:tab/>
      </w:r>
      <w:r w:rsidR="00A10980">
        <w:rPr>
          <w:i/>
          <w:iCs/>
          <w:szCs w:val="24"/>
          <w:u w:val="single"/>
        </w:rPr>
        <w:tab/>
      </w:r>
    </w:p>
    <w:p w:rsidR="00D62694" w:rsidRPr="00CE7233" w:rsidP="00D62694" w14:paraId="0BCD2011" w14:textId="075F9F81">
      <w:pPr>
        <w:tabs>
          <w:tab w:val="left" w:pos="4320"/>
        </w:tabs>
        <w:ind w:left="4320"/>
        <w:rPr>
          <w:szCs w:val="24"/>
        </w:rPr>
      </w:pPr>
      <w:r w:rsidRPr="00CE7233">
        <w:rPr>
          <w:szCs w:val="24"/>
        </w:rPr>
        <w:t xml:space="preserve">Angela </w:t>
      </w:r>
      <w:r w:rsidR="00006E9A">
        <w:rPr>
          <w:szCs w:val="24"/>
        </w:rPr>
        <w:t xml:space="preserve">D. </w:t>
      </w:r>
      <w:r w:rsidRPr="00CE7233">
        <w:rPr>
          <w:szCs w:val="24"/>
        </w:rPr>
        <w:t>O</w:t>
      </w:r>
      <w:r>
        <w:rPr>
          <w:szCs w:val="24"/>
        </w:rPr>
        <w:t>’</w:t>
      </w:r>
      <w:r w:rsidRPr="00CE7233">
        <w:rPr>
          <w:szCs w:val="24"/>
        </w:rPr>
        <w:t>Brien, (0097579)</w:t>
      </w:r>
    </w:p>
    <w:p w:rsidR="00D62694" w:rsidP="00D62694" w14:paraId="5753EF03" w14:textId="77777777">
      <w:pPr>
        <w:tabs>
          <w:tab w:val="left" w:pos="4320"/>
        </w:tabs>
        <w:ind w:left="4320"/>
        <w:rPr>
          <w:szCs w:val="24"/>
        </w:rPr>
      </w:pPr>
      <w:r w:rsidRPr="00CE7233">
        <w:rPr>
          <w:szCs w:val="24"/>
        </w:rPr>
        <w:t>Counsel of Record</w:t>
      </w:r>
    </w:p>
    <w:p w:rsidR="00D62694" w:rsidRPr="00CE7233" w:rsidP="00D62694" w14:paraId="4A0520D4" w14:textId="77777777">
      <w:pPr>
        <w:tabs>
          <w:tab w:val="left" w:pos="4320"/>
        </w:tabs>
        <w:ind w:left="4320"/>
        <w:rPr>
          <w:b/>
          <w:szCs w:val="24"/>
        </w:rPr>
      </w:pPr>
      <w:r w:rsidRPr="00CE7233">
        <w:rPr>
          <w:szCs w:val="24"/>
        </w:rPr>
        <w:t>William J. Michael (0070921)</w:t>
      </w:r>
    </w:p>
    <w:p w:rsidR="00D62694" w:rsidRPr="00CE7233" w:rsidP="00D62694" w14:paraId="41C93D95" w14:textId="77777777">
      <w:pPr>
        <w:tabs>
          <w:tab w:val="left" w:pos="4320"/>
        </w:tabs>
        <w:ind w:left="4320"/>
        <w:rPr>
          <w:szCs w:val="24"/>
        </w:rPr>
      </w:pPr>
      <w:r w:rsidRPr="00CE7233">
        <w:rPr>
          <w:szCs w:val="24"/>
        </w:rPr>
        <w:t>Assistant Consumers</w:t>
      </w:r>
      <w:r>
        <w:rPr>
          <w:szCs w:val="24"/>
        </w:rPr>
        <w:t>’</w:t>
      </w:r>
      <w:r w:rsidRPr="00CE7233">
        <w:rPr>
          <w:szCs w:val="24"/>
        </w:rPr>
        <w:t xml:space="preserve"> Counsel</w:t>
      </w:r>
    </w:p>
    <w:p w:rsidR="00D62694" w:rsidRPr="00CE7233" w:rsidP="00D62694" w14:paraId="604C4B6D" w14:textId="77777777">
      <w:pPr>
        <w:tabs>
          <w:tab w:val="left" w:pos="4320"/>
        </w:tabs>
        <w:ind w:left="4320"/>
        <w:rPr>
          <w:szCs w:val="24"/>
        </w:rPr>
      </w:pPr>
      <w:r w:rsidRPr="00CE7233">
        <w:rPr>
          <w:szCs w:val="24"/>
        </w:rPr>
        <w:tab/>
      </w:r>
    </w:p>
    <w:p w:rsidR="00D62694" w:rsidRPr="00CE7233" w:rsidP="00D62694" w14:paraId="69F68DAE" w14:textId="77777777">
      <w:pPr>
        <w:ind w:left="4320"/>
        <w:rPr>
          <w:b/>
          <w:bCs/>
          <w:szCs w:val="24"/>
        </w:rPr>
      </w:pPr>
      <w:r w:rsidRPr="00CE7233">
        <w:rPr>
          <w:b/>
          <w:bCs/>
          <w:szCs w:val="24"/>
        </w:rPr>
        <w:t>Office of the Ohio Consumers</w:t>
      </w:r>
      <w:r>
        <w:rPr>
          <w:b/>
          <w:bCs/>
          <w:szCs w:val="24"/>
        </w:rPr>
        <w:t>’</w:t>
      </w:r>
      <w:r w:rsidRPr="00CE7233">
        <w:rPr>
          <w:b/>
          <w:bCs/>
          <w:szCs w:val="24"/>
        </w:rPr>
        <w:t xml:space="preserve"> Counsel</w:t>
      </w:r>
    </w:p>
    <w:p w:rsidR="00D62694" w:rsidRPr="00CE7233" w:rsidP="00D62694" w14:paraId="32A63A6E" w14:textId="77777777">
      <w:pPr>
        <w:ind w:left="4320"/>
        <w:rPr>
          <w:b/>
          <w:szCs w:val="24"/>
        </w:rPr>
      </w:pPr>
      <w:r w:rsidRPr="00CE7233">
        <w:rPr>
          <w:szCs w:val="24"/>
        </w:rPr>
        <w:t>65 East State Street, 7th Floor</w:t>
      </w:r>
    </w:p>
    <w:p w:rsidR="00D62694" w:rsidRPr="00CE7233" w:rsidP="00D62694" w14:paraId="2E1C6F38" w14:textId="77777777">
      <w:pPr>
        <w:ind w:left="4320"/>
        <w:rPr>
          <w:b/>
          <w:szCs w:val="24"/>
        </w:rPr>
      </w:pPr>
      <w:r w:rsidRPr="00CE7233">
        <w:rPr>
          <w:szCs w:val="24"/>
        </w:rPr>
        <w:t>Columbus, Ohio 43215-4213</w:t>
      </w:r>
    </w:p>
    <w:p w:rsidR="00D62694" w:rsidP="00D62694" w14:paraId="13E38858" w14:textId="77777777">
      <w:pPr>
        <w:autoSpaceDE w:val="0"/>
        <w:autoSpaceDN w:val="0"/>
        <w:adjustRightInd w:val="0"/>
        <w:ind w:left="4320"/>
        <w:rPr>
          <w:szCs w:val="24"/>
        </w:rPr>
      </w:pPr>
      <w:r w:rsidRPr="00CE7233">
        <w:rPr>
          <w:szCs w:val="24"/>
        </w:rPr>
        <w:t>Telephone [O</w:t>
      </w:r>
      <w:r>
        <w:rPr>
          <w:szCs w:val="24"/>
        </w:rPr>
        <w:t>’</w:t>
      </w:r>
      <w:r w:rsidRPr="00CE7233">
        <w:rPr>
          <w:szCs w:val="24"/>
        </w:rPr>
        <w:t>Brien]: (614) 466-9531</w:t>
      </w:r>
    </w:p>
    <w:p w:rsidR="00D62694" w:rsidRPr="00CE7233" w:rsidP="00D62694" w14:paraId="1AF25902" w14:textId="77777777">
      <w:pPr>
        <w:autoSpaceDE w:val="0"/>
        <w:autoSpaceDN w:val="0"/>
        <w:adjustRightInd w:val="0"/>
        <w:ind w:left="4320"/>
        <w:rPr>
          <w:szCs w:val="24"/>
        </w:rPr>
      </w:pPr>
      <w:r w:rsidRPr="00CE7233">
        <w:rPr>
          <w:szCs w:val="24"/>
        </w:rPr>
        <w:t xml:space="preserve">Telephone [Michael]: (614) 466-1291 </w:t>
      </w:r>
    </w:p>
    <w:p w:rsidR="00D62694" w:rsidRPr="00CE7233" w:rsidP="00D62694" w14:paraId="5E4D6EAD" w14:textId="77777777">
      <w:pPr>
        <w:autoSpaceDE w:val="0"/>
        <w:autoSpaceDN w:val="0"/>
        <w:adjustRightInd w:val="0"/>
        <w:ind w:left="4320"/>
        <w:rPr>
          <w:szCs w:val="24"/>
        </w:rPr>
      </w:pPr>
      <w:hyperlink r:id="rId7" w:history="1">
        <w:r w:rsidRPr="00CE7233" w:rsidR="00021703">
          <w:rPr>
            <w:rStyle w:val="Hyperlink"/>
            <w:szCs w:val="24"/>
          </w:rPr>
          <w:t>angela.obrien@occ.ohio.gov</w:t>
        </w:r>
      </w:hyperlink>
    </w:p>
    <w:p w:rsidR="00D62694" w:rsidRPr="006A444E" w:rsidP="00D62694" w14:paraId="5B9BD197" w14:textId="2D7FA675">
      <w:pPr>
        <w:autoSpaceDE w:val="0"/>
        <w:autoSpaceDN w:val="0"/>
        <w:adjustRightInd w:val="0"/>
        <w:ind w:left="4320"/>
        <w:rPr>
          <w:color w:val="0000FF"/>
          <w:szCs w:val="24"/>
          <w:u w:val="single"/>
        </w:rPr>
      </w:pPr>
      <w:hyperlink r:id="rId8" w:history="1">
        <w:r w:rsidRPr="00E33F73" w:rsidR="00021703">
          <w:rPr>
            <w:rStyle w:val="Hyperlink"/>
            <w:szCs w:val="24"/>
          </w:rPr>
          <w:t>william.michael@occ.ohio.gov</w:t>
        </w:r>
      </w:hyperlink>
    </w:p>
    <w:p w:rsidR="00D62694" w:rsidP="00D62694" w14:paraId="03C47988" w14:textId="77777777">
      <w:pPr>
        <w:spacing w:line="480" w:lineRule="auto"/>
        <w:ind w:left="3600" w:firstLine="720"/>
        <w:rPr>
          <w:szCs w:val="24"/>
        </w:rPr>
      </w:pPr>
      <w:r w:rsidRPr="00CE7233">
        <w:rPr>
          <w:szCs w:val="24"/>
        </w:rPr>
        <w:t>(willing to accept service by e-mail)</w:t>
      </w:r>
    </w:p>
    <w:p w:rsidR="00D62694" w:rsidP="00D62694" w14:paraId="567624C5" w14:textId="77777777">
      <w:pPr>
        <w:autoSpaceDE w:val="0"/>
        <w:autoSpaceDN w:val="0"/>
        <w:adjustRightInd w:val="0"/>
        <w:ind w:left="4320"/>
        <w:rPr>
          <w:szCs w:val="24"/>
        </w:rPr>
      </w:pPr>
    </w:p>
    <w:p w:rsidR="002A2381" w:rsidRPr="00CE7233" w:rsidP="002A2381" w14:paraId="5041628B" w14:textId="77777777">
      <w:pPr>
        <w:autoSpaceDE w:val="0"/>
        <w:autoSpaceDN w:val="0"/>
        <w:adjustRightInd w:val="0"/>
        <w:rPr>
          <w:color w:val="000000"/>
          <w:szCs w:val="24"/>
        </w:rPr>
        <w:sectPr w:rsidSect="002909FD">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26"/>
        </w:sectPr>
      </w:pPr>
    </w:p>
    <w:p w:rsidR="002A2381" w:rsidRPr="00CE7233" w:rsidP="002A2381" w14:paraId="776E596A" w14:textId="77777777">
      <w:pPr>
        <w:suppressAutoHyphens/>
        <w:spacing w:line="480" w:lineRule="auto"/>
        <w:ind w:firstLine="720"/>
        <w:jc w:val="center"/>
        <w:rPr>
          <w:b/>
          <w:bCs/>
          <w:szCs w:val="24"/>
          <w:u w:val="single"/>
        </w:rPr>
      </w:pPr>
      <w:r w:rsidRPr="00CE7233">
        <w:rPr>
          <w:b/>
          <w:bCs/>
          <w:szCs w:val="24"/>
          <w:u w:val="single"/>
        </w:rPr>
        <w:t>CERTIFICATE OF SERVICE</w:t>
      </w:r>
    </w:p>
    <w:p w:rsidR="002A2381" w:rsidRPr="00CE7233" w:rsidP="002A2381" w14:paraId="5F693F6D" w14:textId="379A292E">
      <w:pPr>
        <w:spacing w:line="480" w:lineRule="atLeast"/>
        <w:ind w:firstLine="720"/>
        <w:rPr>
          <w:szCs w:val="24"/>
        </w:rPr>
      </w:pPr>
      <w:r w:rsidRPr="00CE7233">
        <w:rPr>
          <w:szCs w:val="24"/>
        </w:rPr>
        <w:t xml:space="preserve">I hereby certify that a copy of this </w:t>
      </w:r>
      <w:r w:rsidR="00C66AF2">
        <w:rPr>
          <w:szCs w:val="24"/>
        </w:rPr>
        <w:t>Motion to Protect Consumers by Denying Dayton Power &amp; Light’s Request to Extend Its So</w:t>
      </w:r>
      <w:r w:rsidR="006C0BEC">
        <w:rPr>
          <w:szCs w:val="24"/>
        </w:rPr>
        <w:t>-</w:t>
      </w:r>
      <w:r w:rsidR="00C66AF2">
        <w:rPr>
          <w:szCs w:val="24"/>
        </w:rPr>
        <w:t>Called Distribution Modernization Rider</w:t>
      </w:r>
      <w:r w:rsidRPr="00CE7233">
        <w:rPr>
          <w:szCs w:val="24"/>
        </w:rPr>
        <w:t xml:space="preserve"> was served on the persons stated below via electronic transmission this </w:t>
      </w:r>
      <w:r w:rsidR="00EE63C3">
        <w:rPr>
          <w:szCs w:val="24"/>
        </w:rPr>
        <w:t>20</w:t>
      </w:r>
      <w:r w:rsidRPr="00EE63C3" w:rsidR="00EE63C3">
        <w:rPr>
          <w:szCs w:val="24"/>
          <w:vertAlign w:val="superscript"/>
        </w:rPr>
        <w:t>th</w:t>
      </w:r>
      <w:r>
        <w:rPr>
          <w:szCs w:val="24"/>
        </w:rPr>
        <w:t xml:space="preserve"> day of </w:t>
      </w:r>
      <w:r w:rsidR="00D62694">
        <w:rPr>
          <w:szCs w:val="24"/>
        </w:rPr>
        <w:t>December</w:t>
      </w:r>
      <w:r>
        <w:rPr>
          <w:szCs w:val="24"/>
        </w:rPr>
        <w:t xml:space="preserve"> </w:t>
      </w:r>
      <w:r w:rsidRPr="00CE7233">
        <w:rPr>
          <w:szCs w:val="24"/>
        </w:rPr>
        <w:t>2019.</w:t>
      </w:r>
    </w:p>
    <w:p w:rsidR="002A2381" w:rsidRPr="00CE7233" w14:paraId="63B3259E" w14:textId="77777777">
      <w:pPr>
        <w:spacing w:line="480" w:lineRule="atLeast"/>
        <w:rPr>
          <w:szCs w:val="24"/>
        </w:rPr>
      </w:pPr>
    </w:p>
    <w:p w:rsidR="002A2381" w:rsidRPr="00CE7233" w:rsidP="00B42651" w14:paraId="6AB70340" w14:textId="3AAEE256">
      <w:pPr>
        <w:tabs>
          <w:tab w:val="left" w:pos="4320"/>
        </w:tabs>
        <w:ind w:left="4320" w:hanging="4320"/>
        <w:rPr>
          <w:szCs w:val="24"/>
        </w:rPr>
      </w:pPr>
      <w:r w:rsidRPr="00CE7233">
        <w:rPr>
          <w:szCs w:val="24"/>
        </w:rPr>
        <w:tab/>
      </w:r>
      <w:r w:rsidRPr="00CE7233">
        <w:rPr>
          <w:i/>
          <w:szCs w:val="24"/>
          <w:u w:val="single"/>
        </w:rPr>
        <w:t xml:space="preserve">/s/ </w:t>
      </w:r>
      <w:r w:rsidR="00081FD9">
        <w:rPr>
          <w:i/>
          <w:szCs w:val="24"/>
          <w:u w:val="single"/>
        </w:rPr>
        <w:t>Angela</w:t>
      </w:r>
      <w:r w:rsidR="00D62694">
        <w:rPr>
          <w:i/>
          <w:szCs w:val="24"/>
          <w:u w:val="single"/>
        </w:rPr>
        <w:t xml:space="preserve"> D.</w:t>
      </w:r>
      <w:r w:rsidR="00081FD9">
        <w:rPr>
          <w:i/>
          <w:szCs w:val="24"/>
          <w:u w:val="single"/>
        </w:rPr>
        <w:t xml:space="preserve"> O</w:t>
      </w:r>
      <w:r w:rsidR="00081F23">
        <w:rPr>
          <w:i/>
          <w:szCs w:val="24"/>
          <w:u w:val="single"/>
        </w:rPr>
        <w:t>’</w:t>
      </w:r>
      <w:r w:rsidR="00081FD9">
        <w:rPr>
          <w:i/>
          <w:szCs w:val="24"/>
          <w:u w:val="single"/>
        </w:rPr>
        <w:t>Brien</w:t>
      </w:r>
      <w:r w:rsidR="00B42651">
        <w:rPr>
          <w:i/>
          <w:szCs w:val="24"/>
          <w:u w:val="single"/>
        </w:rPr>
        <w:tab/>
      </w:r>
      <w:r w:rsidR="00B42651">
        <w:rPr>
          <w:i/>
          <w:szCs w:val="24"/>
          <w:u w:val="single"/>
        </w:rPr>
        <w:tab/>
      </w:r>
    </w:p>
    <w:p w:rsidR="00081FD9" w14:paraId="0A049AD3" w14:textId="43066D64">
      <w:pPr>
        <w:tabs>
          <w:tab w:val="left" w:pos="4320"/>
        </w:tabs>
        <w:rPr>
          <w:szCs w:val="24"/>
        </w:rPr>
      </w:pPr>
      <w:r w:rsidRPr="00CE7233">
        <w:rPr>
          <w:szCs w:val="24"/>
        </w:rPr>
        <w:tab/>
      </w:r>
      <w:r>
        <w:rPr>
          <w:szCs w:val="24"/>
        </w:rPr>
        <w:t xml:space="preserve">Angela </w:t>
      </w:r>
      <w:r w:rsidR="00D62694">
        <w:rPr>
          <w:szCs w:val="24"/>
        </w:rPr>
        <w:t xml:space="preserve">D. </w:t>
      </w:r>
      <w:r>
        <w:rPr>
          <w:szCs w:val="24"/>
        </w:rPr>
        <w:t>O</w:t>
      </w:r>
      <w:r w:rsidR="00081F23">
        <w:rPr>
          <w:szCs w:val="24"/>
        </w:rPr>
        <w:t>’</w:t>
      </w:r>
      <w:r>
        <w:rPr>
          <w:szCs w:val="24"/>
        </w:rPr>
        <w:t>Brien</w:t>
      </w:r>
    </w:p>
    <w:p w:rsidR="002A2381" w14:paraId="6DB44BB2" w14:textId="1CF8A3E5">
      <w:pPr>
        <w:tabs>
          <w:tab w:val="left" w:pos="4320"/>
        </w:tabs>
        <w:rPr>
          <w:szCs w:val="24"/>
        </w:rPr>
      </w:pPr>
      <w:r w:rsidRPr="00CE7233">
        <w:rPr>
          <w:szCs w:val="24"/>
        </w:rPr>
        <w:tab/>
        <w:t>Assistant Consumers</w:t>
      </w:r>
      <w:r w:rsidR="00081F23">
        <w:rPr>
          <w:szCs w:val="24"/>
        </w:rPr>
        <w:t>’</w:t>
      </w:r>
      <w:r w:rsidRPr="00CE7233">
        <w:rPr>
          <w:szCs w:val="24"/>
        </w:rPr>
        <w:t xml:space="preserve"> Counsel</w:t>
      </w:r>
    </w:p>
    <w:p w:rsidR="002A2381" w:rsidP="002A2381" w14:paraId="38C8CA99" w14:textId="77777777">
      <w:pPr>
        <w:pStyle w:val="CommentText"/>
        <w:rPr>
          <w:bCs/>
        </w:rPr>
      </w:pPr>
    </w:p>
    <w:p w:rsidR="00081F23" w:rsidP="00081F23" w14:paraId="4F88DA79" w14:textId="6664129F">
      <w:pPr>
        <w:pStyle w:val="CommentText"/>
        <w:rPr>
          <w:bCs/>
        </w:rPr>
      </w:pPr>
      <w:r>
        <w:rPr>
          <w:bCs/>
        </w:rPr>
        <w:t>The PUCO’s e-filing system will electronically serve notice of the filing of this document on the following parties:</w:t>
      </w:r>
    </w:p>
    <w:p w:rsidR="00081F23" w:rsidP="00081F23" w14:paraId="503235E3" w14:textId="77777777">
      <w:pPr>
        <w:tabs>
          <w:tab w:val="left" w:pos="4320"/>
        </w:tabs>
        <w:rPr>
          <w:szCs w:val="24"/>
        </w:rPr>
      </w:pPr>
    </w:p>
    <w:p w:rsidR="00081F23" w:rsidP="00081F23" w14:paraId="314A2ED1" w14:textId="77777777">
      <w:pPr>
        <w:pStyle w:val="CommentText"/>
        <w:jc w:val="center"/>
        <w:rPr>
          <w:b/>
          <w:u w:val="single"/>
        </w:rPr>
      </w:pPr>
      <w:r>
        <w:rPr>
          <w:b/>
          <w:u w:val="single"/>
        </w:rPr>
        <w:t>SERVICE LIST</w:t>
      </w:r>
    </w:p>
    <w:tbl>
      <w:tblPr>
        <w:tblW w:w="0" w:type="auto"/>
        <w:tblLook w:val="04A0"/>
      </w:tblPr>
      <w:tblGrid>
        <w:gridCol w:w="8418"/>
        <w:gridCol w:w="222"/>
      </w:tblGrid>
      <w:tr w14:paraId="5513A218" w14:textId="77777777" w:rsidTr="00081F23">
        <w:tblPrEx>
          <w:tblW w:w="0" w:type="auto"/>
          <w:tblLook w:val="04A0"/>
        </w:tblPrEx>
        <w:tc>
          <w:tcPr>
            <w:tcW w:w="4315" w:type="dxa"/>
          </w:tcPr>
          <w:p w:rsidR="00081F23" w14:paraId="05F2CA3E" w14:textId="77777777">
            <w:pPr>
              <w:pStyle w:val="CommentText"/>
              <w:rPr>
                <w:bCs/>
              </w:rPr>
            </w:pPr>
          </w:p>
        </w:tc>
        <w:tc>
          <w:tcPr>
            <w:tcW w:w="4315" w:type="dxa"/>
          </w:tcPr>
          <w:p w:rsidR="00081F23" w14:paraId="4E45567C" w14:textId="77777777">
            <w:pPr>
              <w:pStyle w:val="CommentText"/>
              <w:rPr>
                <w:bCs/>
              </w:rPr>
            </w:pPr>
          </w:p>
        </w:tc>
      </w:tr>
      <w:tr w14:paraId="2F75042F" w14:textId="77777777" w:rsidTr="00081F23">
        <w:tblPrEx>
          <w:tblW w:w="0" w:type="auto"/>
          <w:tblLook w:val="04A0"/>
        </w:tblPrEx>
        <w:tc>
          <w:tcPr>
            <w:tcW w:w="4315" w:type="dxa"/>
            <w:hideMark/>
          </w:tcPr>
          <w:tbl>
            <w:tblPr>
              <w:tblStyle w:val="TableGrid"/>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4191"/>
            </w:tblGrid>
            <w:tr w14:paraId="1D29B5CF" w14:textId="77777777" w:rsidTr="00F7298E">
              <w:tblPrEx>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83"/>
              </w:trPr>
              <w:tc>
                <w:tcPr>
                  <w:tcW w:w="4590" w:type="dxa"/>
                </w:tcPr>
                <w:p w:rsidR="00081F23" w14:paraId="6D3E64C2" w14:textId="77777777">
                  <w:pPr>
                    <w:pStyle w:val="CommentText"/>
                    <w:rPr>
                      <w:rFonts w:asciiTheme="majorBidi" w:hAnsiTheme="majorBidi" w:cstheme="majorBidi"/>
                      <w:bCs/>
                    </w:rPr>
                  </w:pPr>
                  <w:hyperlink r:id="rId13" w:history="1">
                    <w:r w:rsidR="00021703">
                      <w:rPr>
                        <w:rStyle w:val="Hyperlink"/>
                        <w:rFonts w:asciiTheme="majorBidi" w:hAnsiTheme="majorBidi" w:cstheme="majorBidi"/>
                        <w:bCs/>
                      </w:rPr>
                      <w:t>thomas.mcnamee@ohioattorneygeneral.gov</w:t>
                    </w:r>
                  </w:hyperlink>
                </w:p>
                <w:p w:rsidR="00081F23" w14:paraId="0DAC51DA" w14:textId="77777777">
                  <w:pPr>
                    <w:pStyle w:val="CommentText"/>
                    <w:rPr>
                      <w:rFonts w:asciiTheme="majorBidi" w:hAnsiTheme="majorBidi" w:cstheme="majorBidi"/>
                      <w:bCs/>
                    </w:rPr>
                  </w:pPr>
                </w:p>
                <w:p w:rsidR="00081F23" w14:paraId="26CCD6EA" w14:textId="77777777">
                  <w:pPr>
                    <w:pStyle w:val="CommentText"/>
                    <w:rPr>
                      <w:rFonts w:asciiTheme="majorBidi" w:hAnsiTheme="majorBidi" w:cstheme="majorBidi"/>
                      <w:bCs/>
                    </w:rPr>
                  </w:pPr>
                  <w:r>
                    <w:rPr>
                      <w:rFonts w:asciiTheme="majorBidi" w:hAnsiTheme="majorBidi" w:cstheme="majorBidi"/>
                      <w:bCs/>
                    </w:rPr>
                    <w:t>Attorney Examiner:</w:t>
                  </w:r>
                </w:p>
                <w:p w:rsidR="00081F23" w14:paraId="1B5D83C3" w14:textId="77777777">
                  <w:pPr>
                    <w:pStyle w:val="CommentText"/>
                    <w:rPr>
                      <w:rFonts w:asciiTheme="majorBidi" w:hAnsiTheme="majorBidi" w:cstheme="majorBidi"/>
                      <w:bCs/>
                    </w:rPr>
                  </w:pPr>
                </w:p>
                <w:p w:rsidR="00081F23" w14:paraId="6D947E85" w14:textId="77777777">
                  <w:pPr>
                    <w:pStyle w:val="CommentText"/>
                    <w:rPr>
                      <w:rFonts w:asciiTheme="majorBidi" w:hAnsiTheme="majorBidi" w:cstheme="majorBidi"/>
                      <w:bCs/>
                    </w:rPr>
                  </w:pPr>
                  <w:hyperlink r:id="rId14" w:history="1">
                    <w:r w:rsidR="00021703">
                      <w:rPr>
                        <w:rStyle w:val="Hyperlink"/>
                        <w:rFonts w:asciiTheme="majorBidi" w:hAnsiTheme="majorBidi" w:cstheme="majorBidi"/>
                        <w:bCs/>
                      </w:rPr>
                      <w:t>Gregory.price@puc.state.oh.us</w:t>
                    </w:r>
                  </w:hyperlink>
                </w:p>
                <w:p w:rsidR="00081F23" w14:paraId="74C6945F" w14:textId="77777777">
                  <w:pPr>
                    <w:pStyle w:val="CommentText"/>
                    <w:rPr>
                      <w:rFonts w:asciiTheme="majorBidi" w:hAnsiTheme="majorBidi" w:cstheme="majorBidi"/>
                      <w:bCs/>
                      <w:u w:val="single"/>
                    </w:rPr>
                  </w:pPr>
                  <w:hyperlink r:id="rId15" w:history="1">
                    <w:r w:rsidR="00021703">
                      <w:rPr>
                        <w:rStyle w:val="Hyperlink"/>
                        <w:rFonts w:asciiTheme="majorBidi" w:hAnsiTheme="majorBidi" w:cstheme="majorBidi"/>
                        <w:bCs/>
                      </w:rPr>
                      <w:t>patricia.schabo@puc.state.oh.us</w:t>
                    </w:r>
                  </w:hyperlink>
                </w:p>
                <w:p w:rsidR="00081F23" w14:paraId="0136FBA0" w14:textId="77777777">
                  <w:pPr>
                    <w:pStyle w:val="CommentText"/>
                    <w:rPr>
                      <w:rFonts w:asciiTheme="majorBidi" w:hAnsiTheme="majorBidi" w:cstheme="majorBidi"/>
                      <w:bCs/>
                      <w:u w:val="single"/>
                    </w:rPr>
                  </w:pPr>
                </w:p>
                <w:p w:rsidR="00081F23" w14:paraId="355FC706" w14:textId="77777777">
                  <w:pPr>
                    <w:pStyle w:val="CommentText"/>
                    <w:rPr>
                      <w:rFonts w:asciiTheme="majorBidi" w:hAnsiTheme="majorBidi" w:cstheme="majorBidi"/>
                      <w:bCs/>
                    </w:rPr>
                  </w:pPr>
                </w:p>
              </w:tc>
              <w:tc>
                <w:tcPr>
                  <w:tcW w:w="4191" w:type="dxa"/>
                  <w:hideMark/>
                </w:tcPr>
                <w:p w:rsidR="00081F23" w14:paraId="3662F6DD" w14:textId="77777777">
                  <w:pPr>
                    <w:autoSpaceDE w:val="0"/>
                    <w:autoSpaceDN w:val="0"/>
                    <w:adjustRightInd w:val="0"/>
                    <w:rPr>
                      <w:rFonts w:asciiTheme="majorBidi" w:hAnsiTheme="majorBidi" w:cstheme="majorBidi"/>
                      <w:szCs w:val="24"/>
                      <w:lang w:bidi="he-IL"/>
                    </w:rPr>
                  </w:pPr>
                  <w:hyperlink r:id="rId16" w:history="1">
                    <w:r w:rsidR="00021703">
                      <w:rPr>
                        <w:rStyle w:val="Hyperlink"/>
                        <w:rFonts w:asciiTheme="majorBidi" w:hAnsiTheme="majorBidi" w:cstheme="majorBidi"/>
                        <w:lang w:bidi="he-IL"/>
                      </w:rPr>
                      <w:t>michael.schuler@aes.com</w:t>
                    </w:r>
                  </w:hyperlink>
                </w:p>
                <w:p w:rsidR="00081F23" w14:paraId="0DA55EC8" w14:textId="77777777">
                  <w:pPr>
                    <w:autoSpaceDE w:val="0"/>
                    <w:autoSpaceDN w:val="0"/>
                    <w:adjustRightInd w:val="0"/>
                    <w:rPr>
                      <w:rFonts w:asciiTheme="majorBidi" w:hAnsiTheme="majorBidi" w:cstheme="majorBidi"/>
                      <w:bCs/>
                      <w:szCs w:val="24"/>
                      <w:lang w:bidi="he-IL"/>
                    </w:rPr>
                  </w:pPr>
                  <w:hyperlink r:id="rId17" w:history="1">
                    <w:r w:rsidR="00021703">
                      <w:rPr>
                        <w:rStyle w:val="Hyperlink"/>
                        <w:rFonts w:asciiTheme="majorBidi" w:hAnsiTheme="majorBidi" w:cstheme="majorBidi"/>
                        <w:bCs/>
                        <w:lang w:bidi="he-IL"/>
                      </w:rPr>
                      <w:t>jsharkey@ficlaw.com</w:t>
                    </w:r>
                  </w:hyperlink>
                </w:p>
                <w:p w:rsidR="00081F23" w14:paraId="1C31DC66" w14:textId="77777777">
                  <w:pPr>
                    <w:autoSpaceDE w:val="0"/>
                    <w:autoSpaceDN w:val="0"/>
                    <w:adjustRightInd w:val="0"/>
                    <w:rPr>
                      <w:rFonts w:asciiTheme="majorBidi" w:hAnsiTheme="majorBidi" w:cstheme="majorBidi"/>
                      <w:bCs/>
                      <w:szCs w:val="24"/>
                      <w:lang w:bidi="he-IL"/>
                    </w:rPr>
                  </w:pPr>
                  <w:hyperlink r:id="rId18" w:history="1">
                    <w:r w:rsidR="00021703">
                      <w:rPr>
                        <w:rStyle w:val="Hyperlink"/>
                        <w:rFonts w:asciiTheme="majorBidi" w:hAnsiTheme="majorBidi" w:cstheme="majorBidi"/>
                        <w:bCs/>
                        <w:lang w:bidi="he-IL"/>
                      </w:rPr>
                      <w:t>djireland@ficlaw.com</w:t>
                    </w:r>
                  </w:hyperlink>
                </w:p>
                <w:p w:rsidR="00081F23" w14:paraId="3FE1024E" w14:textId="77777777">
                  <w:pPr>
                    <w:pStyle w:val="CommentText"/>
                    <w:rPr>
                      <w:rFonts w:asciiTheme="majorBidi" w:hAnsiTheme="majorBidi" w:cstheme="majorBidi"/>
                      <w:bCs/>
                      <w:lang w:bidi="he-IL"/>
                    </w:rPr>
                  </w:pPr>
                  <w:hyperlink r:id="rId19" w:history="1">
                    <w:r w:rsidR="00021703">
                      <w:rPr>
                        <w:rStyle w:val="Hyperlink"/>
                        <w:rFonts w:asciiTheme="majorBidi" w:hAnsiTheme="majorBidi" w:cstheme="majorBidi"/>
                        <w:bCs/>
                        <w:lang w:bidi="he-IL"/>
                      </w:rPr>
                      <w:t>chollon@ficlaw.com</w:t>
                    </w:r>
                  </w:hyperlink>
                </w:p>
                <w:p w:rsidR="00081F23" w14:paraId="36224E97" w14:textId="77777777">
                  <w:pPr>
                    <w:autoSpaceDE w:val="0"/>
                    <w:autoSpaceDN w:val="0"/>
                    <w:adjustRightInd w:val="0"/>
                    <w:rPr>
                      <w:rFonts w:asciiTheme="majorBidi" w:hAnsiTheme="majorBidi" w:cstheme="majorBidi"/>
                      <w:bCs/>
                      <w:szCs w:val="24"/>
                      <w:lang w:bidi="he-IL"/>
                    </w:rPr>
                  </w:pPr>
                  <w:hyperlink r:id="rId20" w:history="1">
                    <w:r w:rsidR="00021703">
                      <w:rPr>
                        <w:rStyle w:val="Hyperlink"/>
                        <w:rFonts w:asciiTheme="majorBidi" w:hAnsiTheme="majorBidi" w:cstheme="majorBidi"/>
                        <w:bCs/>
                        <w:lang w:bidi="he-IL"/>
                      </w:rPr>
                      <w:t>mkurtz@BKLlawfirm.com</w:t>
                    </w:r>
                  </w:hyperlink>
                </w:p>
                <w:p w:rsidR="00081F23" w14:paraId="5D2DD20B" w14:textId="77777777">
                  <w:pPr>
                    <w:autoSpaceDE w:val="0"/>
                    <w:autoSpaceDN w:val="0"/>
                    <w:adjustRightInd w:val="0"/>
                    <w:rPr>
                      <w:rFonts w:asciiTheme="majorBidi" w:hAnsiTheme="majorBidi" w:cstheme="majorBidi"/>
                      <w:bCs/>
                      <w:szCs w:val="24"/>
                      <w:lang w:bidi="he-IL"/>
                    </w:rPr>
                  </w:pPr>
                  <w:hyperlink r:id="rId21" w:history="1">
                    <w:r w:rsidR="00021703">
                      <w:rPr>
                        <w:rStyle w:val="Hyperlink"/>
                        <w:rFonts w:asciiTheme="majorBidi" w:hAnsiTheme="majorBidi" w:cstheme="majorBidi"/>
                        <w:bCs/>
                        <w:lang w:bidi="he-IL"/>
                      </w:rPr>
                      <w:t>kboehm@BKLlawfirm.com</w:t>
                    </w:r>
                  </w:hyperlink>
                </w:p>
                <w:p w:rsidR="00081F23" w14:paraId="41DFCC02" w14:textId="77777777">
                  <w:pPr>
                    <w:autoSpaceDE w:val="0"/>
                    <w:autoSpaceDN w:val="0"/>
                    <w:adjustRightInd w:val="0"/>
                    <w:rPr>
                      <w:rFonts w:asciiTheme="majorBidi" w:hAnsiTheme="majorBidi" w:cstheme="majorBidi"/>
                      <w:bCs/>
                      <w:lang w:bidi="he-IL"/>
                    </w:rPr>
                  </w:pPr>
                  <w:hyperlink r:id="rId22" w:history="1">
                    <w:r w:rsidR="00021703">
                      <w:rPr>
                        <w:rStyle w:val="Hyperlink"/>
                        <w:rFonts w:asciiTheme="majorBidi" w:hAnsiTheme="majorBidi" w:cstheme="majorBidi"/>
                        <w:bCs/>
                        <w:lang w:bidi="he-IL"/>
                      </w:rPr>
                      <w:t>jkylercohn@BKLlawfirm.com</w:t>
                    </w:r>
                  </w:hyperlink>
                </w:p>
                <w:p w:rsidR="00081F23" w14:paraId="41A244AA" w14:textId="77777777">
                  <w:pPr>
                    <w:pStyle w:val="CommentText"/>
                    <w:rPr>
                      <w:rFonts w:asciiTheme="majorBidi" w:hAnsiTheme="majorBidi" w:cstheme="majorBidi"/>
                      <w:lang w:bidi="he-IL"/>
                    </w:rPr>
                  </w:pPr>
                  <w:hyperlink r:id="rId23" w:history="1">
                    <w:r w:rsidR="00021703">
                      <w:rPr>
                        <w:rStyle w:val="Hyperlink"/>
                        <w:rFonts w:asciiTheme="majorBidi" w:hAnsiTheme="majorBidi" w:cstheme="majorBidi"/>
                        <w:lang w:bidi="he-IL"/>
                      </w:rPr>
                      <w:t>fdarr@mwncmh.com</w:t>
                    </w:r>
                  </w:hyperlink>
                </w:p>
                <w:p w:rsidR="00081F23" w14:paraId="093102BB" w14:textId="77777777">
                  <w:pPr>
                    <w:pStyle w:val="CommentText"/>
                    <w:rPr>
                      <w:rFonts w:asciiTheme="majorBidi" w:hAnsiTheme="majorBidi" w:cstheme="majorBidi"/>
                      <w:lang w:bidi="he-IL"/>
                    </w:rPr>
                  </w:pPr>
                  <w:hyperlink r:id="rId24" w:history="1">
                    <w:r w:rsidR="00021703">
                      <w:rPr>
                        <w:rStyle w:val="Hyperlink"/>
                        <w:rFonts w:asciiTheme="majorBidi" w:hAnsiTheme="majorBidi" w:cstheme="majorBidi"/>
                        <w:lang w:bidi="he-IL"/>
                      </w:rPr>
                      <w:t>mpritchard@mwncmh.com</w:t>
                    </w:r>
                  </w:hyperlink>
                </w:p>
                <w:p w:rsidR="00081F23" w14:paraId="384272A9" w14:textId="77777777">
                  <w:pPr>
                    <w:pStyle w:val="CommentText"/>
                    <w:rPr>
                      <w:rFonts w:asciiTheme="majorBidi" w:hAnsiTheme="majorBidi" w:cstheme="majorBidi"/>
                      <w:bCs/>
                    </w:rPr>
                  </w:pPr>
                  <w:hyperlink r:id="rId25" w:history="1">
                    <w:r w:rsidR="00021703">
                      <w:rPr>
                        <w:rStyle w:val="Hyperlink"/>
                        <w:rFonts w:asciiTheme="majorBidi" w:hAnsiTheme="majorBidi" w:cstheme="majorBidi"/>
                        <w:bCs/>
                      </w:rPr>
                      <w:t>slesser@calfee.com</w:t>
                    </w:r>
                  </w:hyperlink>
                </w:p>
                <w:p w:rsidR="00081F23" w14:paraId="6835961C" w14:textId="77777777">
                  <w:pPr>
                    <w:pStyle w:val="CommentText"/>
                    <w:rPr>
                      <w:rFonts w:asciiTheme="majorBidi" w:hAnsiTheme="majorBidi" w:cstheme="majorBidi"/>
                      <w:bCs/>
                    </w:rPr>
                  </w:pPr>
                  <w:hyperlink r:id="rId26" w:history="1">
                    <w:r w:rsidR="00021703">
                      <w:rPr>
                        <w:rStyle w:val="Hyperlink"/>
                        <w:rFonts w:asciiTheme="majorBidi" w:hAnsiTheme="majorBidi" w:cstheme="majorBidi"/>
                        <w:bCs/>
                      </w:rPr>
                      <w:t>talexander@calfee.com</w:t>
                    </w:r>
                  </w:hyperlink>
                </w:p>
                <w:p w:rsidR="00081F23" w14:paraId="6ACC8C68" w14:textId="77777777">
                  <w:pPr>
                    <w:pStyle w:val="CommentText"/>
                    <w:rPr>
                      <w:rFonts w:asciiTheme="majorBidi" w:hAnsiTheme="majorBidi" w:cstheme="majorBidi"/>
                      <w:bCs/>
                    </w:rPr>
                  </w:pPr>
                  <w:hyperlink r:id="rId27" w:history="1">
                    <w:r w:rsidR="00021703">
                      <w:rPr>
                        <w:rStyle w:val="Hyperlink"/>
                        <w:rFonts w:asciiTheme="majorBidi" w:hAnsiTheme="majorBidi" w:cstheme="majorBidi"/>
                        <w:bCs/>
                      </w:rPr>
                      <w:t>mkeaney@calfee.com</w:t>
                    </w:r>
                  </w:hyperlink>
                </w:p>
                <w:p w:rsidR="00081F23" w14:paraId="443362A0" w14:textId="77777777">
                  <w:pPr>
                    <w:pStyle w:val="CommentText"/>
                    <w:rPr>
                      <w:rFonts w:asciiTheme="majorBidi" w:hAnsiTheme="majorBidi" w:cstheme="majorBidi"/>
                      <w:bCs/>
                    </w:rPr>
                  </w:pPr>
                  <w:hyperlink r:id="rId28" w:history="1">
                    <w:r w:rsidR="00021703">
                      <w:rPr>
                        <w:rStyle w:val="Hyperlink"/>
                        <w:rFonts w:asciiTheme="majorBidi" w:hAnsiTheme="majorBidi" w:cstheme="majorBidi"/>
                        <w:bCs/>
                      </w:rPr>
                      <w:t>Bethany.allen@igs.com</w:t>
                    </w:r>
                  </w:hyperlink>
                </w:p>
                <w:p w:rsidR="00081F23" w14:paraId="025B5CE2" w14:textId="77777777">
                  <w:pPr>
                    <w:pStyle w:val="CommentText"/>
                    <w:rPr>
                      <w:rFonts w:asciiTheme="majorBidi" w:hAnsiTheme="majorBidi" w:cstheme="majorBidi"/>
                      <w:bCs/>
                    </w:rPr>
                  </w:pPr>
                  <w:hyperlink r:id="rId29" w:history="1">
                    <w:r w:rsidR="00021703">
                      <w:rPr>
                        <w:rStyle w:val="Hyperlink"/>
                        <w:rFonts w:asciiTheme="majorBidi" w:hAnsiTheme="majorBidi" w:cstheme="majorBidi"/>
                        <w:bCs/>
                      </w:rPr>
                      <w:t>Joe.oliker@igs.com</w:t>
                    </w:r>
                  </w:hyperlink>
                </w:p>
                <w:p w:rsidR="00081F23" w14:paraId="06070BE4" w14:textId="77777777">
                  <w:pPr>
                    <w:pStyle w:val="CommentText"/>
                    <w:rPr>
                      <w:rFonts w:asciiTheme="majorBidi" w:hAnsiTheme="majorBidi" w:cstheme="majorBidi"/>
                      <w:bCs/>
                    </w:rPr>
                  </w:pPr>
                  <w:hyperlink r:id="rId30" w:history="1">
                    <w:r w:rsidR="00021703">
                      <w:rPr>
                        <w:rStyle w:val="Hyperlink"/>
                        <w:rFonts w:asciiTheme="majorBidi" w:hAnsiTheme="majorBidi" w:cstheme="majorBidi"/>
                        <w:bCs/>
                      </w:rPr>
                      <w:t>Michael.nugent@igs.com</w:t>
                    </w:r>
                  </w:hyperlink>
                </w:p>
                <w:p w:rsidR="00081F23" w14:paraId="575FEFBD" w14:textId="77777777">
                  <w:pPr>
                    <w:pStyle w:val="CommentText"/>
                    <w:rPr>
                      <w:rFonts w:asciiTheme="majorBidi" w:hAnsiTheme="majorBidi" w:cstheme="majorBidi"/>
                      <w:bCs/>
                    </w:rPr>
                  </w:pPr>
                  <w:hyperlink r:id="rId31" w:history="1">
                    <w:r w:rsidR="00021703">
                      <w:rPr>
                        <w:rStyle w:val="Hyperlink"/>
                        <w:rFonts w:asciiTheme="majorBidi" w:hAnsiTheme="majorBidi" w:cstheme="majorBidi"/>
                        <w:bCs/>
                      </w:rPr>
                      <w:t>dparram@bricker.com</w:t>
                    </w:r>
                  </w:hyperlink>
                </w:p>
                <w:p w:rsidR="00081F23" w14:paraId="167D0231" w14:textId="77777777">
                  <w:pPr>
                    <w:pStyle w:val="CommentText"/>
                    <w:rPr>
                      <w:rFonts w:asciiTheme="majorBidi" w:hAnsiTheme="majorBidi" w:cstheme="majorBidi"/>
                      <w:bCs/>
                    </w:rPr>
                  </w:pPr>
                  <w:hyperlink r:id="rId32" w:history="1">
                    <w:r w:rsidR="00021703">
                      <w:rPr>
                        <w:rStyle w:val="Hyperlink"/>
                        <w:rFonts w:asciiTheme="majorBidi" w:hAnsiTheme="majorBidi" w:cstheme="majorBidi"/>
                        <w:bCs/>
                      </w:rPr>
                      <w:t>bojko@carpenterlipps.com</w:t>
                    </w:r>
                  </w:hyperlink>
                </w:p>
                <w:p w:rsidR="00081F23" w14:paraId="54C9C281" w14:textId="77777777">
                  <w:pPr>
                    <w:pStyle w:val="CommentText"/>
                    <w:rPr>
                      <w:rFonts w:asciiTheme="majorBidi" w:hAnsiTheme="majorBidi" w:cstheme="majorBidi"/>
                      <w:bCs/>
                    </w:rPr>
                  </w:pPr>
                  <w:hyperlink r:id="rId33" w:history="1">
                    <w:r w:rsidR="00021703">
                      <w:rPr>
                        <w:rStyle w:val="Hyperlink"/>
                        <w:rFonts w:asciiTheme="majorBidi" w:hAnsiTheme="majorBidi" w:cstheme="majorBidi"/>
                        <w:bCs/>
                      </w:rPr>
                      <w:t>dressel@carpenterlipps.com</w:t>
                    </w:r>
                  </w:hyperlink>
                </w:p>
                <w:p w:rsidR="00081F23" w14:paraId="5B37AB40" w14:textId="77777777">
                  <w:pPr>
                    <w:pStyle w:val="CommentText"/>
                    <w:rPr>
                      <w:rFonts w:asciiTheme="majorBidi" w:hAnsiTheme="majorBidi" w:cstheme="majorBidi"/>
                      <w:bCs/>
                    </w:rPr>
                  </w:pPr>
                  <w:hyperlink r:id="rId34" w:history="1">
                    <w:r w:rsidR="00021703">
                      <w:rPr>
                        <w:rStyle w:val="Hyperlink"/>
                        <w:rFonts w:asciiTheme="majorBidi" w:hAnsiTheme="majorBidi" w:cstheme="majorBidi"/>
                        <w:bCs/>
                      </w:rPr>
                      <w:t>paul@carpenterlipps.com</w:t>
                    </w:r>
                  </w:hyperlink>
                </w:p>
                <w:p w:rsidR="00081F23" w14:paraId="01B18EAB" w14:textId="77777777">
                  <w:pPr>
                    <w:pStyle w:val="CommentText"/>
                    <w:rPr>
                      <w:rFonts w:asciiTheme="majorBidi" w:hAnsiTheme="majorBidi" w:cstheme="majorBidi"/>
                      <w:bCs/>
                    </w:rPr>
                  </w:pPr>
                  <w:hyperlink r:id="rId35" w:history="1">
                    <w:r w:rsidR="00021703">
                      <w:rPr>
                        <w:rStyle w:val="Hyperlink"/>
                        <w:rFonts w:asciiTheme="majorBidi" w:hAnsiTheme="majorBidi" w:cstheme="majorBidi"/>
                        <w:bCs/>
                      </w:rPr>
                      <w:t>dutton@carpenterlipps.com</w:t>
                    </w:r>
                  </w:hyperlink>
                </w:p>
                <w:p w:rsidR="00081F23" w14:paraId="13BAF67D" w14:textId="77777777">
                  <w:pPr>
                    <w:pStyle w:val="CommentText"/>
                    <w:rPr>
                      <w:rFonts w:asciiTheme="majorBidi" w:hAnsiTheme="majorBidi" w:cstheme="majorBidi"/>
                      <w:bCs/>
                    </w:rPr>
                  </w:pPr>
                  <w:hyperlink r:id="rId36" w:history="1">
                    <w:r w:rsidR="00021703">
                      <w:rPr>
                        <w:rStyle w:val="Hyperlink"/>
                        <w:rFonts w:asciiTheme="majorBidi" w:hAnsiTheme="majorBidi" w:cstheme="majorBidi"/>
                        <w:bCs/>
                      </w:rPr>
                      <w:t>dborchers@bricker.com</w:t>
                    </w:r>
                  </w:hyperlink>
                </w:p>
                <w:p w:rsidR="00081F23" w14:paraId="068ECE04" w14:textId="77777777">
                  <w:pPr>
                    <w:pStyle w:val="CommentText"/>
                    <w:rPr>
                      <w:rFonts w:asciiTheme="majorBidi" w:hAnsiTheme="majorBidi" w:cstheme="majorBidi"/>
                      <w:bCs/>
                    </w:rPr>
                  </w:pPr>
                  <w:hyperlink r:id="rId37" w:history="1">
                    <w:r w:rsidR="00021703">
                      <w:rPr>
                        <w:rStyle w:val="Hyperlink"/>
                        <w:rFonts w:asciiTheme="majorBidi" w:hAnsiTheme="majorBidi" w:cstheme="majorBidi"/>
                        <w:bCs/>
                      </w:rPr>
                      <w:t>khernstein@bricker.com</w:t>
                    </w:r>
                  </w:hyperlink>
                </w:p>
                <w:p w:rsidR="00081F23" w14:paraId="2F822733" w14:textId="77777777">
                  <w:pPr>
                    <w:pStyle w:val="CommentText"/>
                    <w:rPr>
                      <w:rFonts w:asciiTheme="majorBidi" w:hAnsiTheme="majorBidi" w:cstheme="majorBidi"/>
                      <w:bCs/>
                    </w:rPr>
                  </w:pPr>
                  <w:hyperlink r:id="rId38" w:history="1">
                    <w:r w:rsidR="00021703">
                      <w:rPr>
                        <w:rStyle w:val="Hyperlink"/>
                        <w:rFonts w:asciiTheme="majorBidi" w:hAnsiTheme="majorBidi" w:cstheme="majorBidi"/>
                        <w:bCs/>
                      </w:rPr>
                      <w:t>Thomas.jernigan.3@us.af.mil</w:t>
                    </w:r>
                  </w:hyperlink>
                </w:p>
                <w:p w:rsidR="00081F23" w14:paraId="2F26AEC3" w14:textId="77777777">
                  <w:pPr>
                    <w:pStyle w:val="CommentText"/>
                    <w:rPr>
                      <w:rFonts w:asciiTheme="majorBidi" w:hAnsiTheme="majorBidi" w:cstheme="majorBidi"/>
                      <w:bCs/>
                    </w:rPr>
                  </w:pPr>
                  <w:hyperlink r:id="rId39" w:history="1">
                    <w:r w:rsidR="00021703">
                      <w:rPr>
                        <w:rStyle w:val="Hyperlink"/>
                        <w:rFonts w:asciiTheme="majorBidi" w:hAnsiTheme="majorBidi" w:cstheme="majorBidi"/>
                        <w:bCs/>
                      </w:rPr>
                      <w:t>Scott.kirk.2@us.af.mil</w:t>
                    </w:r>
                  </w:hyperlink>
                </w:p>
                <w:p w:rsidR="00081F23" w:rsidRPr="00F7298E" w14:paraId="7A0B4381" w14:textId="77777777">
                  <w:pPr>
                    <w:pStyle w:val="CommentText"/>
                    <w:rPr>
                      <w:rFonts w:asciiTheme="majorBidi" w:hAnsiTheme="majorBidi" w:cstheme="majorBidi"/>
                      <w:bCs/>
                      <w:u w:val="single"/>
                    </w:rPr>
                  </w:pPr>
                  <w:hyperlink r:id="rId40" w:history="1">
                    <w:r w:rsidRPr="00F7298E" w:rsidR="00021703">
                      <w:rPr>
                        <w:rStyle w:val="Hyperlink"/>
                        <w:rFonts w:asciiTheme="majorBidi" w:hAnsiTheme="majorBidi" w:cstheme="majorBidi"/>
                        <w:bCs/>
                      </w:rPr>
                      <w:t>Robert.friedman.5@us.af.mil</w:t>
                    </w:r>
                  </w:hyperlink>
                </w:p>
              </w:tc>
            </w:tr>
          </w:tbl>
          <w:p w:rsidR="00081F23" w14:paraId="6430891C" w14:textId="77777777">
            <w:pPr>
              <w:rPr>
                <w:sz w:val="20"/>
              </w:rPr>
            </w:pPr>
          </w:p>
        </w:tc>
        <w:tc>
          <w:tcPr>
            <w:tcW w:w="4315" w:type="dxa"/>
          </w:tcPr>
          <w:p w:rsidR="00081F23" w14:paraId="3508D8E1" w14:textId="77777777">
            <w:pPr>
              <w:pStyle w:val="CommentText"/>
              <w:rPr>
                <w:u w:val="single"/>
              </w:rPr>
            </w:pPr>
          </w:p>
        </w:tc>
      </w:tr>
    </w:tbl>
    <w:p w:rsidR="002A2381" w:rsidRPr="00CE7233" w:rsidP="00081F23" w14:paraId="5CA195C9" w14:textId="77777777">
      <w:pPr>
        <w:pStyle w:val="CommentText"/>
        <w:rPr>
          <w:b/>
          <w:bCs/>
        </w:rPr>
      </w:pPr>
    </w:p>
    <w:sectPr w:rsidSect="002A2381">
      <w:headerReference w:type="first" r:id="rId41"/>
      <w:footerReference w:type="first" r:id="rId42"/>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9FD" w:rsidRPr="002909FD" w14:paraId="593B6FA9" w14:textId="2BD1FBA1">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9869856"/>
      <w:docPartObj>
        <w:docPartGallery w:val="Page Numbers (Bottom of Page)"/>
        <w:docPartUnique/>
      </w:docPartObj>
    </w:sdtPr>
    <w:sdtEndPr>
      <w:rPr>
        <w:noProof/>
      </w:rPr>
    </w:sdtEndPr>
    <w:sdtContent>
      <w:p w:rsidR="004D0D44" w14:paraId="34D9C688" w14:textId="61B6CE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606233"/>
      <w:docPartObj>
        <w:docPartGallery w:val="Page Numbers (Bottom of Page)"/>
        <w:docPartUnique/>
      </w:docPartObj>
    </w:sdtPr>
    <w:sdtEndPr>
      <w:rPr>
        <w:noProof/>
        <w:sz w:val="24"/>
        <w:szCs w:val="24"/>
      </w:rPr>
    </w:sdtEndPr>
    <w:sdtContent>
      <w:p w:rsidR="002909FD" w:rsidRPr="002909FD" w14:paraId="7BDC2482" w14:textId="6978CDA3">
        <w:pPr>
          <w:pStyle w:val="Footer"/>
          <w:jc w:val="center"/>
          <w:rPr>
            <w:sz w:val="24"/>
            <w:szCs w:val="24"/>
          </w:rPr>
        </w:pPr>
        <w:r w:rsidRPr="002909FD">
          <w:rPr>
            <w:sz w:val="24"/>
            <w:szCs w:val="24"/>
          </w:rPr>
          <w:fldChar w:fldCharType="begin"/>
        </w:r>
        <w:r w:rsidRPr="002909FD">
          <w:rPr>
            <w:sz w:val="24"/>
            <w:szCs w:val="24"/>
          </w:rPr>
          <w:instrText xml:space="preserve"> PAGE   \* MERGEFORMAT </w:instrText>
        </w:r>
        <w:r w:rsidRPr="002909FD">
          <w:rPr>
            <w:sz w:val="24"/>
            <w:szCs w:val="24"/>
          </w:rPr>
          <w:fldChar w:fldCharType="separate"/>
        </w:r>
        <w:r w:rsidRPr="002909FD">
          <w:rPr>
            <w:noProof/>
            <w:sz w:val="24"/>
            <w:szCs w:val="24"/>
          </w:rPr>
          <w:t>2</w:t>
        </w:r>
        <w:r w:rsidRPr="002909F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6646438"/>
      <w:docPartObj>
        <w:docPartGallery w:val="Page Numbers (Bottom of Page)"/>
        <w:docPartUnique/>
      </w:docPartObj>
    </w:sdtPr>
    <w:sdtEndPr>
      <w:rPr>
        <w:noProof/>
        <w:sz w:val="24"/>
        <w:szCs w:val="24"/>
      </w:rPr>
    </w:sdtEndPr>
    <w:sdtContent>
      <w:p w:rsidR="002909FD" w:rsidRPr="002909FD" w14:paraId="3AE3B3C1" w14:textId="0ED5BD7C">
        <w:pPr>
          <w:pStyle w:val="Footer"/>
          <w:jc w:val="center"/>
          <w:rPr>
            <w:sz w:val="24"/>
            <w:szCs w:val="24"/>
          </w:rPr>
        </w:pPr>
        <w:r w:rsidRPr="002909FD">
          <w:rPr>
            <w:sz w:val="24"/>
            <w:szCs w:val="24"/>
          </w:rPr>
          <w:fldChar w:fldCharType="begin"/>
        </w:r>
        <w:r w:rsidRPr="002909FD">
          <w:rPr>
            <w:sz w:val="24"/>
            <w:szCs w:val="24"/>
          </w:rPr>
          <w:instrText xml:space="preserve"> PAGE   \* MERGEFORMAT </w:instrText>
        </w:r>
        <w:r w:rsidRPr="002909FD">
          <w:rPr>
            <w:sz w:val="24"/>
            <w:szCs w:val="24"/>
          </w:rPr>
          <w:fldChar w:fldCharType="separate"/>
        </w:r>
        <w:r w:rsidRPr="002909FD">
          <w:rPr>
            <w:noProof/>
            <w:sz w:val="24"/>
            <w:szCs w:val="24"/>
          </w:rPr>
          <w:t>2</w:t>
        </w:r>
        <w:r w:rsidRPr="002909FD">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381" w:rsidRPr="00723561" w14:paraId="7DB9AEF5" w14:textId="77777777">
    <w:pPr>
      <w:pStyle w:val="Footer"/>
      <w:jc w:val="center"/>
      <w:rPr>
        <w:sz w:val="24"/>
      </w:rPr>
    </w:pPr>
    <w:r w:rsidRPr="00723561">
      <w:rPr>
        <w:sz w:val="24"/>
      </w:rPr>
      <w:fldChar w:fldCharType="begin"/>
    </w:r>
    <w:r w:rsidRPr="00723561">
      <w:rPr>
        <w:sz w:val="24"/>
      </w:rPr>
      <w:instrText xml:space="preserve"> PAGE   \* MERGEFORMAT </w:instrText>
    </w:r>
    <w:r w:rsidRPr="00723561">
      <w:rPr>
        <w:sz w:val="24"/>
      </w:rPr>
      <w:fldChar w:fldCharType="separate"/>
    </w:r>
    <w:r>
      <w:rPr>
        <w:noProof/>
        <w:sz w:val="24"/>
      </w:rPr>
      <w:t>8</w:t>
    </w:r>
    <w:r w:rsidRPr="00723561">
      <w:rPr>
        <w:noProof/>
        <w:sz w:val="24"/>
      </w:rPr>
      <w:fldChar w:fldCharType="end"/>
    </w:r>
  </w:p>
  <w:p w:rsidR="002A2381" w:rsidRPr="00D82E46" w:rsidP="002A2381" w14:paraId="5779DB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42DB" w14:paraId="7DA24B9E" w14:textId="77777777">
      <w:r>
        <w:separator/>
      </w:r>
    </w:p>
  </w:footnote>
  <w:footnote w:type="continuationSeparator" w:id="1">
    <w:p w:rsidR="008A42DB" w14:paraId="55609123" w14:textId="77777777">
      <w:r>
        <w:continuationSeparator/>
      </w:r>
    </w:p>
  </w:footnote>
  <w:footnote w:type="continuationNotice" w:id="2">
    <w:p w:rsidR="008A42DB" w14:paraId="258DAE74" w14:textId="77777777"/>
  </w:footnote>
  <w:footnote w:id="3">
    <w:p w:rsidR="00974744" w:rsidRPr="00CC55E1" w:rsidP="00021703" w14:paraId="45977E4F" w14:textId="6748968E">
      <w:pPr>
        <w:pStyle w:val="FootnoteText"/>
      </w:pPr>
      <w:r w:rsidRPr="00CC55E1">
        <w:rPr>
          <w:rStyle w:val="FootnoteReference"/>
        </w:rPr>
        <w:footnoteRef/>
      </w:r>
      <w:r w:rsidRPr="00CC55E1">
        <w:t xml:space="preserve"> </w:t>
      </w:r>
      <w:r w:rsidRPr="00CC55E1">
        <w:rPr>
          <w:i/>
          <w:iCs/>
        </w:rPr>
        <w:t>In re Application of Ohio Edison Co.,</w:t>
      </w:r>
      <w:r w:rsidRPr="00CC55E1">
        <w:t xml:space="preserve"> </w:t>
      </w:r>
      <w:r w:rsidR="00D0205F">
        <w:t xml:space="preserve">157 Ohio St.3d 73 </w:t>
      </w:r>
      <w:r w:rsidRPr="00CC55E1">
        <w:t>(2019)</w:t>
      </w:r>
      <w:r w:rsidR="00D0205F">
        <w:t xml:space="preserve"> (“</w:t>
      </w:r>
      <w:r w:rsidR="00D0205F">
        <w:rPr>
          <w:i/>
          <w:iCs/>
        </w:rPr>
        <w:t>Ohio Edison</w:t>
      </w:r>
      <w:r w:rsidR="00D0205F">
        <w:t>”)</w:t>
      </w:r>
      <w:r w:rsidRPr="00CC55E1">
        <w:t>.</w:t>
      </w:r>
    </w:p>
  </w:footnote>
  <w:footnote w:id="4">
    <w:p w:rsidR="00C25F2A" w:rsidRPr="000E4B52" w:rsidP="00021703" w14:paraId="4B5EB069" w14:textId="1F498B94">
      <w:pPr>
        <w:pStyle w:val="FootnoteText"/>
      </w:pPr>
      <w:r>
        <w:rPr>
          <w:rStyle w:val="FootnoteReference"/>
        </w:rPr>
        <w:footnoteRef/>
      </w:r>
      <w:r>
        <w:t xml:space="preserve"> </w:t>
      </w:r>
      <w:r>
        <w:rPr>
          <w:i/>
          <w:iCs/>
        </w:rPr>
        <w:t>In the Matter of the Application of [FirstEnergy] for an Extension of the Distribution Modernization Rider</w:t>
      </w:r>
      <w:r>
        <w:t>, Case No. 19-361-EL-RDR, Entry (Nov</w:t>
      </w:r>
      <w:r w:rsidR="0057105F">
        <w:t>ember</w:t>
      </w:r>
      <w:r>
        <w:t xml:space="preserve"> 21, 2019).</w:t>
      </w:r>
    </w:p>
  </w:footnote>
  <w:footnote w:id="5">
    <w:p w:rsidR="00FF0FF2" w:rsidRPr="00CC55E1" w:rsidP="00021703" w14:paraId="7F2D5B6A" w14:textId="3BDFEF83">
      <w:pPr>
        <w:pStyle w:val="FootnoteText"/>
        <w:rPr>
          <w:szCs w:val="24"/>
        </w:rPr>
      </w:pPr>
      <w:r w:rsidRPr="00CC55E1">
        <w:rPr>
          <w:rStyle w:val="FootnoteReference"/>
        </w:rPr>
        <w:footnoteRef/>
      </w:r>
      <w:r w:rsidRPr="00CC55E1">
        <w:t xml:space="preserve"> </w:t>
      </w:r>
      <w:r w:rsidRPr="00CC55E1">
        <w:rPr>
          <w:i/>
          <w:iCs/>
        </w:rPr>
        <w:t>In the Matter of the Application of the Dayton Power and Light Company to Establish a Standard Service Offer in the Form of an Electric Security Plan</w:t>
      </w:r>
      <w:r w:rsidRPr="00CC55E1">
        <w:t>, Case No. 16-395-EL-SSO, Supplemental Opinion &amp; Order (November 21, 2019) at ¶</w:t>
      </w:r>
      <w:r w:rsidRPr="00CC55E1" w:rsidR="00131F79">
        <w:t xml:space="preserve"> 110.</w:t>
      </w:r>
    </w:p>
  </w:footnote>
  <w:footnote w:id="6">
    <w:p w:rsidR="00FC6B6B" w:rsidP="00021703" w14:paraId="51AAF48B" w14:textId="5B1A65E3">
      <w:pPr>
        <w:pStyle w:val="FootnoteText"/>
      </w:pPr>
      <w:r>
        <w:rPr>
          <w:rStyle w:val="FootnoteReference"/>
        </w:rPr>
        <w:footnoteRef/>
      </w:r>
      <w:r>
        <w:t xml:space="preserve"> </w:t>
      </w:r>
      <w:r w:rsidRPr="00CC55E1">
        <w:rPr>
          <w:szCs w:val="24"/>
        </w:rPr>
        <w:t>Application, Case No. 19-0162-EL-RDR (Jan</w:t>
      </w:r>
      <w:r w:rsidR="00997CDB">
        <w:rPr>
          <w:szCs w:val="24"/>
        </w:rPr>
        <w:t>uary</w:t>
      </w:r>
      <w:r w:rsidRPr="00CC55E1">
        <w:rPr>
          <w:szCs w:val="24"/>
        </w:rPr>
        <w:t xml:space="preserve"> 22, 2019), at 1</w:t>
      </w:r>
      <w:r>
        <w:rPr>
          <w:szCs w:val="24"/>
        </w:rPr>
        <w:t>, 5</w:t>
      </w:r>
      <w:r w:rsidRPr="00CC55E1">
        <w:rPr>
          <w:szCs w:val="24"/>
        </w:rPr>
        <w:t>.</w:t>
      </w:r>
    </w:p>
  </w:footnote>
  <w:footnote w:id="7">
    <w:p w:rsidR="002A2381" w:rsidRPr="00FC6B6B" w:rsidP="00021703" w14:paraId="65BDAE1A" w14:textId="709955A0">
      <w:pPr>
        <w:pStyle w:val="FootnoteText"/>
        <w:rPr>
          <w:szCs w:val="24"/>
        </w:rPr>
      </w:pPr>
      <w:r w:rsidRPr="00CC55E1">
        <w:rPr>
          <w:rStyle w:val="FootnoteReference"/>
          <w:szCs w:val="24"/>
        </w:rPr>
        <w:footnoteRef/>
      </w:r>
      <w:r w:rsidRPr="00CC55E1">
        <w:rPr>
          <w:szCs w:val="24"/>
        </w:rPr>
        <w:t xml:space="preserve"> </w:t>
      </w:r>
      <w:r w:rsidR="00FC6B6B">
        <w:rPr>
          <w:i/>
          <w:iCs/>
          <w:szCs w:val="24"/>
        </w:rPr>
        <w:t>Id.</w:t>
      </w:r>
      <w:r w:rsidR="00FC6B6B">
        <w:rPr>
          <w:szCs w:val="24"/>
        </w:rPr>
        <w:t xml:space="preserve"> at 1.</w:t>
      </w:r>
    </w:p>
  </w:footnote>
  <w:footnote w:id="8">
    <w:p w:rsidR="007A7169" w:rsidRPr="00CC55E1" w:rsidP="00021703" w14:paraId="641B966E" w14:textId="2651BE54">
      <w:pPr>
        <w:pStyle w:val="FootnoteText"/>
      </w:pPr>
      <w:r w:rsidRPr="00CC55E1">
        <w:rPr>
          <w:rStyle w:val="FootnoteReference"/>
        </w:rPr>
        <w:footnoteRef/>
      </w:r>
      <w:r w:rsidRPr="00CC55E1">
        <w:t xml:space="preserve"> </w:t>
      </w:r>
      <w:r w:rsidRPr="00CC55E1">
        <w:rPr>
          <w:i/>
          <w:iCs/>
        </w:rPr>
        <w:t>In re Application of Ohio Edison Co.,</w:t>
      </w:r>
      <w:r w:rsidRPr="00CC55E1">
        <w:t xml:space="preserve"> </w:t>
      </w:r>
      <w:r w:rsidR="00D0205F">
        <w:t>157 Ohio St.3d 73</w:t>
      </w:r>
      <w:r w:rsidRPr="00CC55E1">
        <w:t>,</w:t>
      </w:r>
      <w:r w:rsidR="00D0205F">
        <w:t>78 (2019)</w:t>
      </w:r>
      <w:r w:rsidRPr="00CC55E1">
        <w:t>.</w:t>
      </w:r>
    </w:p>
  </w:footnote>
  <w:footnote w:id="9">
    <w:p w:rsidR="00DE7C77" w:rsidRPr="00CC55E1" w:rsidP="00021703" w14:paraId="17138BF3" w14:textId="5E3AED5C">
      <w:pPr>
        <w:pStyle w:val="FootnoteText"/>
        <w:rPr>
          <w:i/>
        </w:rPr>
      </w:pPr>
      <w:r w:rsidRPr="00CC55E1">
        <w:rPr>
          <w:rStyle w:val="FootnoteReference"/>
        </w:rPr>
        <w:footnoteRef/>
      </w:r>
      <w:r w:rsidRPr="00CC55E1">
        <w:t xml:space="preserve"> </w:t>
      </w:r>
      <w:r w:rsidRPr="00CC55E1">
        <w:rPr>
          <w:i/>
        </w:rPr>
        <w:t>Id.</w:t>
      </w:r>
    </w:p>
  </w:footnote>
  <w:footnote w:id="10">
    <w:p w:rsidR="00DE7C77" w:rsidRPr="00CC55E1" w:rsidP="00021703" w14:paraId="3AEAC8B7" w14:textId="47CA3D6E">
      <w:pPr>
        <w:pStyle w:val="FootnoteText"/>
      </w:pPr>
      <w:r w:rsidRPr="00CC55E1">
        <w:rPr>
          <w:rStyle w:val="FootnoteReference"/>
        </w:rPr>
        <w:footnoteRef/>
      </w:r>
      <w:r w:rsidRPr="00CC55E1">
        <w:t xml:space="preserve"> </w:t>
      </w:r>
      <w:r w:rsidRPr="00CC55E1">
        <w:rPr>
          <w:i/>
        </w:rPr>
        <w:t>Id.</w:t>
      </w:r>
      <w:r w:rsidR="00D0205F">
        <w:t xml:space="preserve"> at</w:t>
      </w:r>
      <w:r w:rsidRPr="00CC55E1">
        <w:t xml:space="preserve"> </w:t>
      </w:r>
      <w:r w:rsidR="00D0205F">
        <w:t>76</w:t>
      </w:r>
      <w:r w:rsidRPr="00CC55E1">
        <w:t>.</w:t>
      </w:r>
    </w:p>
  </w:footnote>
  <w:footnote w:id="11">
    <w:p w:rsidR="003114E8" w:rsidRPr="00CC55E1" w:rsidP="00021703" w14:paraId="2E862E1F" w14:textId="54747798">
      <w:pPr>
        <w:pStyle w:val="FootnoteText"/>
      </w:pPr>
      <w:r w:rsidRPr="00CC55E1">
        <w:rPr>
          <w:rStyle w:val="FootnoteReference"/>
        </w:rPr>
        <w:footnoteRef/>
      </w:r>
      <w:r w:rsidRPr="00CC55E1">
        <w:t xml:space="preserve"> </w:t>
      </w:r>
      <w:r w:rsidRPr="00CC55E1">
        <w:rPr>
          <w:i/>
        </w:rPr>
        <w:t>Id.</w:t>
      </w:r>
      <w:r w:rsidR="00D0205F">
        <w:t xml:space="preserve"> at</w:t>
      </w:r>
      <w:r w:rsidRPr="00CC55E1">
        <w:t xml:space="preserve"> </w:t>
      </w:r>
      <w:r w:rsidR="00D0205F">
        <w:t>86</w:t>
      </w:r>
      <w:r w:rsidRPr="00CC55E1">
        <w:t>.</w:t>
      </w:r>
    </w:p>
  </w:footnote>
  <w:footnote w:id="12">
    <w:p w:rsidR="003114E8" w:rsidRPr="00CC55E1" w:rsidP="00021703" w14:paraId="08214393" w14:textId="4BE13D69">
      <w:pPr>
        <w:pStyle w:val="FootnoteText"/>
      </w:pPr>
      <w:r w:rsidRPr="00CC55E1">
        <w:rPr>
          <w:rStyle w:val="FootnoteReference"/>
        </w:rPr>
        <w:footnoteRef/>
      </w:r>
      <w:r w:rsidRPr="00CC55E1">
        <w:t xml:space="preserve"> </w:t>
      </w:r>
      <w:r w:rsidRPr="00CC55E1">
        <w:rPr>
          <w:i/>
          <w:iCs/>
        </w:rPr>
        <w:t>Id.</w:t>
      </w:r>
      <w:r w:rsidR="00D0205F">
        <w:t xml:space="preserve"> at 79</w:t>
      </w:r>
      <w:r w:rsidRPr="00CC55E1">
        <w:t>.</w:t>
      </w:r>
    </w:p>
  </w:footnote>
  <w:footnote w:id="13">
    <w:p w:rsidR="00EF4670" w:rsidRPr="00CC55E1" w:rsidP="00021703" w14:paraId="44E26810" w14:textId="3CD5A07F">
      <w:pPr>
        <w:pStyle w:val="FootnoteText"/>
      </w:pPr>
      <w:r w:rsidRPr="00CC55E1">
        <w:rPr>
          <w:rStyle w:val="FootnoteReference"/>
        </w:rPr>
        <w:footnoteRef/>
      </w:r>
      <w:r w:rsidRPr="00CC55E1" w:rsidR="00EE63C3">
        <w:rPr>
          <w:i/>
          <w:iCs/>
        </w:rPr>
        <w:t>In re Application of [FirstEnergy]</w:t>
      </w:r>
      <w:r w:rsidR="00061348">
        <w:t>, Case No. 14-1297-EL-SSO, Finding and Order (Dec</w:t>
      </w:r>
      <w:r w:rsidR="0044403E">
        <w:t>ember</w:t>
      </w:r>
      <w:r w:rsidR="00061348">
        <w:t xml:space="preserve"> 21, 2016)</w:t>
      </w:r>
      <w:r w:rsidRPr="00CC55E1">
        <w:t xml:space="preserve">. That brings the total of lost refunds for consumers to over $1 billion since 2009. Consumers have lost out on refunds under Supreme Court </w:t>
      </w:r>
      <w:r w:rsidRPr="00CC55E1" w:rsidR="00930B2A">
        <w:t xml:space="preserve">of Ohio </w:t>
      </w:r>
      <w:r w:rsidRPr="00CC55E1">
        <w:t>precedent that allows utilities to keep customer money, even if the Court rules that the charges to customers were unlawful.</w:t>
      </w:r>
      <w:r w:rsidRPr="00CC55E1">
        <w:rPr>
          <w:i/>
          <w:iCs/>
        </w:rPr>
        <w:t xml:space="preserve"> See In re Columbus S. Power Co</w:t>
      </w:r>
      <w:r w:rsidRPr="00CC55E1">
        <w:t xml:space="preserve">., 128 Ohio St.3d 512, ¶17-20 ($63 million); </w:t>
      </w:r>
      <w:r w:rsidRPr="00CC55E1">
        <w:rPr>
          <w:i/>
          <w:iCs/>
        </w:rPr>
        <w:t>In re: Columbus S. Power Co.,</w:t>
      </w:r>
      <w:r w:rsidRPr="00CC55E1">
        <w:t xml:space="preserve"> 138 Ohio St.3d 448, ¶56 ($368 million); </w:t>
      </w:r>
      <w:r w:rsidRPr="00CC55E1">
        <w:rPr>
          <w:i/>
          <w:iCs/>
        </w:rPr>
        <w:t>In re Application of Dayton Power &amp; Light Co.,</w:t>
      </w:r>
      <w:r w:rsidRPr="00CC55E1">
        <w:t xml:space="preserve"> 147 Ohio St.3d 166 ($330 million); </w:t>
      </w:r>
      <w:r w:rsidRPr="00CC55E1">
        <w:rPr>
          <w:i/>
          <w:iCs/>
        </w:rPr>
        <w:t>In re Application of Ohio Edison Co</w:t>
      </w:r>
      <w:r w:rsidRPr="00CC55E1">
        <w:t>., Slip Opinion No. 2019-Ohio-2401, ¶23 ($456 million collected through June 2019).</w:t>
      </w:r>
    </w:p>
  </w:footnote>
  <w:footnote w:id="14">
    <w:p w:rsidR="003114E8" w:rsidRPr="00CC55E1" w:rsidP="00021703" w14:paraId="68F13C7A" w14:textId="6A7AFDB4">
      <w:pPr>
        <w:pStyle w:val="FootnoteText"/>
      </w:pPr>
      <w:r w:rsidRPr="00CC55E1">
        <w:rPr>
          <w:rStyle w:val="FootnoteReference"/>
        </w:rPr>
        <w:footnoteRef/>
      </w:r>
      <w:r w:rsidRPr="00CC55E1">
        <w:t xml:space="preserve"> </w:t>
      </w:r>
      <w:r w:rsidRPr="00CC55E1">
        <w:rPr>
          <w:i/>
          <w:iCs/>
        </w:rPr>
        <w:t>In re Application of Ohio Edison Co.</w:t>
      </w:r>
      <w:r w:rsidRPr="00CC55E1" w:rsidR="00061348">
        <w:rPr>
          <w:i/>
          <w:iCs/>
        </w:rPr>
        <w:t>,</w:t>
      </w:r>
      <w:r w:rsidR="00061348">
        <w:t xml:space="preserve"> 157 Ohio St.3d 73</w:t>
      </w:r>
      <w:r w:rsidRPr="00CC55E1" w:rsidR="00061348">
        <w:t>,</w:t>
      </w:r>
      <w:r w:rsidR="00061348">
        <w:t>78 (2019)</w:t>
      </w:r>
      <w:r w:rsidRPr="00CC55E1">
        <w:t>.</w:t>
      </w:r>
    </w:p>
  </w:footnote>
  <w:footnote w:id="15">
    <w:p w:rsidR="000D1708" w:rsidRPr="00CC55E1" w:rsidP="00021703" w14:paraId="2C57A742" w14:textId="392EB192">
      <w:pPr>
        <w:pStyle w:val="FootnoteText"/>
      </w:pPr>
      <w:r w:rsidRPr="00CC55E1">
        <w:rPr>
          <w:rStyle w:val="FootnoteReference"/>
        </w:rPr>
        <w:footnoteRef/>
      </w:r>
      <w:r w:rsidRPr="00CC55E1">
        <w:t xml:space="preserve"> </w:t>
      </w:r>
      <w:r w:rsidRPr="00CC55E1">
        <w:rPr>
          <w:i/>
          <w:iCs/>
        </w:rPr>
        <w:t>In re Ohio Edison Co.</w:t>
      </w:r>
      <w:r w:rsidRPr="00CC55E1">
        <w:t>, 2019-Ohio-3331 (Aug</w:t>
      </w:r>
      <w:r w:rsidR="00CC55E1">
        <w:t>ust</w:t>
      </w:r>
      <w:r w:rsidRPr="00CC55E1">
        <w:t xml:space="preserve"> 20, 2019).</w:t>
      </w:r>
    </w:p>
  </w:footnote>
  <w:footnote w:id="16">
    <w:p w:rsidR="000D1708" w:rsidRPr="00CC55E1" w:rsidP="00021703" w14:paraId="39B86093" w14:textId="1140A960">
      <w:pPr>
        <w:pStyle w:val="FootnoteText"/>
        <w:rPr>
          <w:b/>
          <w:bCs/>
        </w:rPr>
      </w:pPr>
      <w:r w:rsidRPr="00CC55E1">
        <w:rPr>
          <w:rStyle w:val="FootnoteReference"/>
        </w:rPr>
        <w:footnoteRef/>
      </w:r>
      <w:r w:rsidRPr="00CC55E1">
        <w:t xml:space="preserve"> </w:t>
      </w:r>
      <w:r w:rsidRPr="00CC55E1">
        <w:rPr>
          <w:i/>
          <w:iCs/>
        </w:rPr>
        <w:t>In re Application of [FirstEnergy]</w:t>
      </w:r>
      <w:r w:rsidRPr="00CC55E1">
        <w:t>, Case No. 14-1297-EL-SSO, Order on Remand (Aug</w:t>
      </w:r>
      <w:r w:rsidR="00CC55E1">
        <w:t>ust</w:t>
      </w:r>
      <w:r w:rsidRPr="00CC55E1">
        <w:t xml:space="preserve"> 22, 2019) (</w:t>
      </w:r>
      <w:r w:rsidRPr="00CC55E1" w:rsidR="00081F23">
        <w:t>“</w:t>
      </w:r>
      <w:r w:rsidRPr="00CC55E1">
        <w:t xml:space="preserve">The </w:t>
      </w:r>
      <w:bookmarkStart w:id="1" w:name="_Hlk17381210"/>
      <w:r w:rsidRPr="00CC55E1">
        <w:t>Commission directs [FirstEnergy] to immediately file proposed, revised tariffs that would set [FirstEnergy</w:t>
      </w:r>
      <w:r w:rsidRPr="00CC55E1" w:rsidR="00081F23">
        <w:t>’</w:t>
      </w:r>
      <w:r w:rsidRPr="00CC55E1">
        <w:t>s] distribution modernization rider to $0.00. The Commission also directs the Companies to issue a refund to customers for all monies collected through the rider for services rendered after July 2, 2019, before eliminating the rider from its electric security plan.</w:t>
      </w:r>
      <w:r w:rsidRPr="00CC55E1" w:rsidR="00081F23">
        <w:t>”</w:t>
      </w:r>
      <w:r w:rsidRPr="00CC55E1">
        <w:t>).</w:t>
      </w:r>
      <w:bookmarkEnd w:id="1"/>
    </w:p>
  </w:footnote>
  <w:footnote w:id="17">
    <w:p w:rsidR="000E4B52" w:rsidRPr="00CC35F5" w:rsidP="00021703" w14:paraId="624500A5" w14:textId="5AB490DB">
      <w:pPr>
        <w:pStyle w:val="FootnoteText"/>
      </w:pPr>
      <w:r>
        <w:rPr>
          <w:rStyle w:val="FootnoteReference"/>
        </w:rPr>
        <w:footnoteRef/>
      </w:r>
      <w:r>
        <w:t xml:space="preserve"> </w:t>
      </w:r>
      <w:r>
        <w:rPr>
          <w:i/>
          <w:iCs/>
        </w:rPr>
        <w:t>In the Matter of the Application of [FirstEnergy] for an Extension of the Distribution Modernization Rider</w:t>
      </w:r>
      <w:r>
        <w:t>, Case No. 19-361-EL-RDR, Entry (Nov</w:t>
      </w:r>
      <w:r w:rsidR="0044403E">
        <w:t>ember</w:t>
      </w:r>
      <w:r>
        <w:t xml:space="preserve"> 21, 2019).</w:t>
      </w:r>
    </w:p>
  </w:footnote>
  <w:footnote w:id="18">
    <w:p w:rsidR="002A2381" w:rsidRPr="00CC55E1" w:rsidP="00021703" w14:paraId="715DB9D2" w14:textId="78AE896F">
      <w:pPr>
        <w:pStyle w:val="FootnoteText"/>
      </w:pPr>
      <w:r w:rsidRPr="00CC55E1">
        <w:rPr>
          <w:rStyle w:val="FootnoteReference"/>
        </w:rPr>
        <w:footnoteRef/>
      </w:r>
      <w:r w:rsidRPr="00CC55E1">
        <w:t xml:space="preserve"> </w:t>
      </w:r>
      <w:r w:rsidRPr="00CC55E1">
        <w:rPr>
          <w:i/>
        </w:rPr>
        <w:t xml:space="preserve">See </w:t>
      </w:r>
      <w:r w:rsidRPr="00CC55E1">
        <w:t>OCC</w:t>
      </w:r>
      <w:r w:rsidRPr="00CC55E1" w:rsidR="00081F23">
        <w:t>’</w:t>
      </w:r>
      <w:r w:rsidRPr="00CC55E1">
        <w:t>s August 1, 2019 Supplemental Brief in Case No. 16-0395-EL-SSO (at pp. 16-24)</w:t>
      </w:r>
      <w:r w:rsidR="00CC55E1">
        <w:t>.</w:t>
      </w:r>
    </w:p>
  </w:footnote>
  <w:footnote w:id="19">
    <w:p w:rsidR="002A2381" w:rsidRPr="00CC55E1" w:rsidP="00021703" w14:paraId="33AEA600" w14:textId="7B7200D1">
      <w:pPr>
        <w:pStyle w:val="FootnoteText"/>
      </w:pPr>
      <w:r w:rsidRPr="00CC55E1">
        <w:rPr>
          <w:rStyle w:val="FootnoteReference"/>
        </w:rPr>
        <w:footnoteRef/>
      </w:r>
      <w:r w:rsidRPr="00CC55E1">
        <w:t xml:space="preserve"> </w:t>
      </w:r>
      <w:r w:rsidRPr="00CC55E1">
        <w:rPr>
          <w:i/>
        </w:rPr>
        <w:t>Id.</w:t>
      </w:r>
      <w:r w:rsidRPr="00CC55E1">
        <w:t xml:space="preserve"> at pp. 24-30. </w:t>
      </w:r>
      <w:r w:rsidRPr="00CC55E1">
        <w:rPr>
          <w:i/>
        </w:rPr>
        <w:t>Id.</w:t>
      </w:r>
      <w:r w:rsidRPr="00CC55E1">
        <w:t xml:space="preserve"> at pp. 24-30.</w:t>
      </w:r>
      <w:r w:rsidRPr="00CC55E1" w:rsidR="00D62694">
        <w:t xml:space="preserve"> </w:t>
      </w:r>
    </w:p>
  </w:footnote>
  <w:footnote w:id="20">
    <w:p w:rsidR="000D24B4" w:rsidRPr="00CC55E1" w:rsidP="00021703" w14:paraId="4248E77E" w14:textId="25789F38">
      <w:pPr>
        <w:pStyle w:val="FootnoteText"/>
      </w:pPr>
      <w:r w:rsidRPr="00CC55E1">
        <w:rPr>
          <w:rStyle w:val="FootnoteReference"/>
        </w:rPr>
        <w:footnoteRef/>
      </w:r>
      <w:r w:rsidRPr="00CC55E1">
        <w:t xml:space="preserve"> </w:t>
      </w:r>
      <w:r w:rsidRPr="00CC55E1" w:rsidR="00962579">
        <w:t>DP&amp;L ESP Case, November 21, 2019 Opinion &amp; Order, at ¶110.</w:t>
      </w:r>
    </w:p>
  </w:footnote>
  <w:footnote w:id="21">
    <w:p w:rsidR="00962579" w:rsidRPr="00CC55E1" w:rsidP="00021703" w14:paraId="32BB3DE3" w14:textId="3F355C65">
      <w:pPr>
        <w:pStyle w:val="FootnoteText"/>
        <w:rPr>
          <w:i/>
          <w:iCs/>
        </w:rPr>
      </w:pPr>
      <w:r w:rsidRPr="00CC55E1">
        <w:rPr>
          <w:rStyle w:val="FootnoteReference"/>
        </w:rPr>
        <w:footnoteRef/>
      </w:r>
      <w:r w:rsidRPr="00CC55E1">
        <w:t xml:space="preserve"> </w:t>
      </w:r>
      <w:r w:rsidRPr="00CC55E1">
        <w:rPr>
          <w:i/>
          <w:iCs/>
        </w:rPr>
        <w:t>Id.</w:t>
      </w:r>
    </w:p>
  </w:footnote>
  <w:footnote w:id="22">
    <w:p w:rsidR="000B5D7E" w:rsidRPr="00CC55E1" w:rsidP="00021703" w14:paraId="59E7E3BC" w14:textId="56290559">
      <w:pPr>
        <w:pStyle w:val="FootnoteText"/>
      </w:pPr>
      <w:r w:rsidRPr="00CC55E1">
        <w:rPr>
          <w:rStyle w:val="FootnoteReference"/>
        </w:rPr>
        <w:footnoteRef/>
      </w:r>
      <w:r w:rsidRPr="00CC55E1">
        <w:t xml:space="preserve"> </w:t>
      </w:r>
      <w:r w:rsidRPr="00CC55E1" w:rsidR="00613ECF">
        <w:t>Application, Case No. 19-0162-EL-RDR (Jan</w:t>
      </w:r>
      <w:r w:rsidR="00A773F7">
        <w:t>uary</w:t>
      </w:r>
      <w:r w:rsidRPr="00CC55E1" w:rsidR="00613ECF">
        <w:t xml:space="preserve"> 22, 2019), at 1.</w:t>
      </w:r>
    </w:p>
  </w:footnote>
  <w:footnote w:id="23">
    <w:p w:rsidR="00613ECF" w:rsidRPr="00CC55E1" w:rsidP="00021703" w14:paraId="429C62DE" w14:textId="27ACE97F">
      <w:pPr>
        <w:pStyle w:val="FootnoteText"/>
      </w:pPr>
      <w:r w:rsidRPr="00CC55E1">
        <w:rPr>
          <w:rStyle w:val="FootnoteReference"/>
        </w:rPr>
        <w:footnoteRef/>
      </w:r>
      <w:r w:rsidRPr="00CC55E1">
        <w:t xml:space="preserve"> </w:t>
      </w:r>
      <w:r w:rsidRPr="00CC55E1">
        <w:rPr>
          <w:i/>
        </w:rPr>
        <w:t>Id.</w:t>
      </w:r>
      <w:r w:rsidRPr="00CC55E1">
        <w:t xml:space="preserve"> </w:t>
      </w:r>
    </w:p>
  </w:footnote>
  <w:footnote w:id="24">
    <w:p w:rsidR="00821E54" w:rsidRPr="00CC55E1" w:rsidP="00021703" w14:paraId="6F0E83B1" w14:textId="77777777">
      <w:pPr>
        <w:pStyle w:val="FootnoteText"/>
      </w:pPr>
      <w:r w:rsidRPr="00CC55E1">
        <w:rPr>
          <w:rStyle w:val="FootnoteReference"/>
        </w:rPr>
        <w:footnoteRef/>
      </w:r>
      <w:r w:rsidRPr="00CC55E1">
        <w:t xml:space="preserve"> DP&amp;L ESP Case, November 21, 2019 Opinion &amp; Order, at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381" w14:paraId="130CCE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381" w:rsidRPr="00B541FA" w:rsidP="002A2381" w14:paraId="203CBC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9572A0F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8E7032"/>
    <w:lvl w:ilvl="0">
      <w:start w:val="1"/>
      <w:numFmt w:val="decimal"/>
      <w:lvlText w:val="%1."/>
      <w:lvlJc w:val="left"/>
      <w:pPr>
        <w:tabs>
          <w:tab w:val="num" w:pos="1800"/>
        </w:tabs>
        <w:ind w:left="1800" w:hanging="360"/>
      </w:pPr>
    </w:lvl>
  </w:abstractNum>
  <w:abstractNum w:abstractNumId="2">
    <w:nsid w:val="FFFFFF7D"/>
    <w:multiLevelType w:val="singleLevel"/>
    <w:tmpl w:val="BB5E7774"/>
    <w:lvl w:ilvl="0">
      <w:start w:val="1"/>
      <w:numFmt w:val="decimal"/>
      <w:lvlText w:val="%1."/>
      <w:lvlJc w:val="left"/>
      <w:pPr>
        <w:tabs>
          <w:tab w:val="num" w:pos="1440"/>
        </w:tabs>
        <w:ind w:left="1440" w:hanging="360"/>
      </w:pPr>
    </w:lvl>
  </w:abstractNum>
  <w:abstractNum w:abstractNumId="3">
    <w:nsid w:val="FFFFFF7E"/>
    <w:multiLevelType w:val="singleLevel"/>
    <w:tmpl w:val="4FAA7E82"/>
    <w:lvl w:ilvl="0">
      <w:start w:val="1"/>
      <w:numFmt w:val="decimal"/>
      <w:lvlText w:val="%1."/>
      <w:lvlJc w:val="left"/>
      <w:pPr>
        <w:tabs>
          <w:tab w:val="num" w:pos="1080"/>
        </w:tabs>
        <w:ind w:left="1080" w:hanging="360"/>
      </w:pPr>
    </w:lvl>
  </w:abstractNum>
  <w:abstractNum w:abstractNumId="4">
    <w:nsid w:val="FFFFFF7F"/>
    <w:multiLevelType w:val="singleLevel"/>
    <w:tmpl w:val="0A3056BE"/>
    <w:lvl w:ilvl="0">
      <w:start w:val="1"/>
      <w:numFmt w:val="decimal"/>
      <w:lvlText w:val="%1."/>
      <w:lvlJc w:val="left"/>
      <w:pPr>
        <w:tabs>
          <w:tab w:val="num" w:pos="720"/>
        </w:tabs>
        <w:ind w:left="720" w:hanging="360"/>
      </w:pPr>
    </w:lvl>
  </w:abstractNum>
  <w:abstractNum w:abstractNumId="5">
    <w:nsid w:val="FFFFFF80"/>
    <w:multiLevelType w:val="singleLevel"/>
    <w:tmpl w:val="7910DD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56643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8DCF39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7964C2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CD88B2E"/>
    <w:lvl w:ilvl="0">
      <w:start w:val="1"/>
      <w:numFmt w:val="decimal"/>
      <w:lvlText w:val="%1."/>
      <w:lvlJc w:val="left"/>
      <w:pPr>
        <w:tabs>
          <w:tab w:val="num" w:pos="360"/>
        </w:tabs>
        <w:ind w:left="360" w:hanging="360"/>
      </w:pPr>
    </w:lvl>
  </w:abstractNum>
  <w:abstractNum w:abstractNumId="10">
    <w:nsid w:val="FFFFFF89"/>
    <w:multiLevelType w:val="singleLevel"/>
    <w:tmpl w:val="8B1A0288"/>
    <w:lvl w:ilvl="0">
      <w:start w:val="1"/>
      <w:numFmt w:val="bullet"/>
      <w:lvlText w:val=""/>
      <w:lvlJc w:val="left"/>
      <w:pPr>
        <w:tabs>
          <w:tab w:val="num" w:pos="360"/>
        </w:tabs>
        <w:ind w:left="360" w:hanging="360"/>
      </w:pPr>
      <w:rPr>
        <w:rFonts w:ascii="Symbol" w:hAnsi="Symbol" w:hint="default"/>
      </w:rPr>
    </w:lvl>
  </w:abstractNum>
  <w:abstractNum w:abstractNumId="1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D0D3A5A"/>
    <w:multiLevelType w:val="hybridMultilevel"/>
    <w:tmpl w:val="3EDCF18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EB4C4E"/>
    <w:multiLevelType w:val="hybridMultilevel"/>
    <w:tmpl w:val="0F20ADFC"/>
    <w:lvl w:ilvl="0">
      <w:start w:val="5"/>
      <w:numFmt w:val="decimal"/>
      <w:lvlText w:val="%1."/>
      <w:lvlJc w:val="left"/>
      <w:pPr>
        <w:ind w:left="126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4">
    <w:nsid w:val="3EBD0E02"/>
    <w:multiLevelType w:val="hybridMultilevel"/>
    <w:tmpl w:val="E90617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A8A6474"/>
    <w:multiLevelType w:val="hybridMultilevel"/>
    <w:tmpl w:val="6986D4EA"/>
    <w:lvl w:ilvl="0">
      <w:start w:val="2"/>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E60FC4"/>
    <w:multiLevelType w:val="hybridMultilevel"/>
    <w:tmpl w:val="07CC5E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A8620DE"/>
    <w:multiLevelType w:val="hybridMultilevel"/>
    <w:tmpl w:val="8160D1D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4FA0A60"/>
    <w:multiLevelType w:val="hybridMultilevel"/>
    <w:tmpl w:val="808E5A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669D6825"/>
    <w:multiLevelType w:val="hybridMultilevel"/>
    <w:tmpl w:val="642A018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D5A716A"/>
    <w:multiLevelType w:val="hybridMultilevel"/>
    <w:tmpl w:val="317A9C9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18F49C1"/>
    <w:multiLevelType w:val="hybridMultilevel"/>
    <w:tmpl w:val="F71805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7C8722B9"/>
    <w:multiLevelType w:val="hybridMultilevel"/>
    <w:tmpl w:val="A5624EB4"/>
    <w:lvl w:ilvl="0">
      <w:start w:val="1"/>
      <w:numFmt w:val="upp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D492EB9"/>
    <w:multiLevelType w:val="hybridMultilevel"/>
    <w:tmpl w:val="89363F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8"/>
  </w:num>
  <w:num w:numId="2">
    <w:abstractNumId w:val="16"/>
  </w:num>
  <w:num w:numId="3">
    <w:abstractNumId w:val="22"/>
  </w:num>
  <w:num w:numId="4">
    <w:abstractNumId w:val="20"/>
  </w:num>
  <w:num w:numId="5">
    <w:abstractNumId w:val="11"/>
  </w:num>
  <w:num w:numId="6">
    <w:abstractNumId w:val="26"/>
  </w:num>
  <w:num w:numId="7">
    <w:abstractNumId w:val="0"/>
  </w:num>
  <w:num w:numId="8">
    <w:abstractNumId w:val="21"/>
  </w:num>
  <w:num w:numId="9">
    <w:abstractNumId w:val="19"/>
  </w:num>
  <w:num w:numId="10">
    <w:abstractNumId w:val="14"/>
  </w:num>
  <w:num w:numId="11">
    <w:abstractNumId w:val="23"/>
  </w:num>
  <w:num w:numId="12">
    <w:abstractNumId w:val="28"/>
  </w:num>
  <w:num w:numId="13">
    <w:abstractNumId w:val="25"/>
  </w:num>
  <w:num w:numId="14">
    <w:abstractNumId w:val="13"/>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7"/>
  </w:num>
  <w:num w:numId="26">
    <w:abstractNumId w:val="24"/>
  </w:num>
  <w:num w:numId="27">
    <w:abstractNumId w:val="27"/>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9D"/>
    <w:rsid w:val="00004ED0"/>
    <w:rsid w:val="00006E9A"/>
    <w:rsid w:val="000162BC"/>
    <w:rsid w:val="00021703"/>
    <w:rsid w:val="00061348"/>
    <w:rsid w:val="00081F23"/>
    <w:rsid w:val="00081FD9"/>
    <w:rsid w:val="00091BFE"/>
    <w:rsid w:val="000B5D7E"/>
    <w:rsid w:val="000D0812"/>
    <w:rsid w:val="000D1708"/>
    <w:rsid w:val="000D24B4"/>
    <w:rsid w:val="000E4B52"/>
    <w:rsid w:val="000E672E"/>
    <w:rsid w:val="000F2C4E"/>
    <w:rsid w:val="00125338"/>
    <w:rsid w:val="00127D2A"/>
    <w:rsid w:val="00131F79"/>
    <w:rsid w:val="00132CC2"/>
    <w:rsid w:val="00144565"/>
    <w:rsid w:val="00174F10"/>
    <w:rsid w:val="00185856"/>
    <w:rsid w:val="0019748A"/>
    <w:rsid w:val="001F1AEC"/>
    <w:rsid w:val="00207644"/>
    <w:rsid w:val="0022115A"/>
    <w:rsid w:val="002873C4"/>
    <w:rsid w:val="002909FD"/>
    <w:rsid w:val="0029125C"/>
    <w:rsid w:val="0029453E"/>
    <w:rsid w:val="002A2381"/>
    <w:rsid w:val="00304316"/>
    <w:rsid w:val="00304E9F"/>
    <w:rsid w:val="0031034E"/>
    <w:rsid w:val="003114E8"/>
    <w:rsid w:val="0031382B"/>
    <w:rsid w:val="00344741"/>
    <w:rsid w:val="00350022"/>
    <w:rsid w:val="003779AA"/>
    <w:rsid w:val="00384D31"/>
    <w:rsid w:val="003C5070"/>
    <w:rsid w:val="003D0320"/>
    <w:rsid w:val="003D4E87"/>
    <w:rsid w:val="003F450C"/>
    <w:rsid w:val="00412BEB"/>
    <w:rsid w:val="0044403E"/>
    <w:rsid w:val="00446CB7"/>
    <w:rsid w:val="0046489F"/>
    <w:rsid w:val="00483DEE"/>
    <w:rsid w:val="004C150C"/>
    <w:rsid w:val="004D0D44"/>
    <w:rsid w:val="004D3800"/>
    <w:rsid w:val="004E7F3B"/>
    <w:rsid w:val="004E7FEB"/>
    <w:rsid w:val="004F5843"/>
    <w:rsid w:val="005000EE"/>
    <w:rsid w:val="00535D3D"/>
    <w:rsid w:val="0057105F"/>
    <w:rsid w:val="00571E69"/>
    <w:rsid w:val="005A4076"/>
    <w:rsid w:val="005B46A2"/>
    <w:rsid w:val="005B59A8"/>
    <w:rsid w:val="005C4390"/>
    <w:rsid w:val="005D144D"/>
    <w:rsid w:val="005E090E"/>
    <w:rsid w:val="00602C90"/>
    <w:rsid w:val="00612539"/>
    <w:rsid w:val="00613ECF"/>
    <w:rsid w:val="00626347"/>
    <w:rsid w:val="0064103A"/>
    <w:rsid w:val="00666251"/>
    <w:rsid w:val="00671F83"/>
    <w:rsid w:val="00681B11"/>
    <w:rsid w:val="006850F8"/>
    <w:rsid w:val="0069692C"/>
    <w:rsid w:val="00697CD2"/>
    <w:rsid w:val="006A444E"/>
    <w:rsid w:val="006C0BEC"/>
    <w:rsid w:val="006E1A93"/>
    <w:rsid w:val="006E513A"/>
    <w:rsid w:val="006F1F36"/>
    <w:rsid w:val="006F530D"/>
    <w:rsid w:val="006F765A"/>
    <w:rsid w:val="0070144B"/>
    <w:rsid w:val="00723561"/>
    <w:rsid w:val="007358DF"/>
    <w:rsid w:val="0076765E"/>
    <w:rsid w:val="007761D3"/>
    <w:rsid w:val="00792948"/>
    <w:rsid w:val="007A7169"/>
    <w:rsid w:val="007F0ADD"/>
    <w:rsid w:val="00814E24"/>
    <w:rsid w:val="00821E54"/>
    <w:rsid w:val="00836388"/>
    <w:rsid w:val="00837205"/>
    <w:rsid w:val="00840962"/>
    <w:rsid w:val="00845114"/>
    <w:rsid w:val="00850D35"/>
    <w:rsid w:val="00855D17"/>
    <w:rsid w:val="008847C4"/>
    <w:rsid w:val="00891F99"/>
    <w:rsid w:val="008A0746"/>
    <w:rsid w:val="008A42DB"/>
    <w:rsid w:val="008A6C16"/>
    <w:rsid w:val="008C4047"/>
    <w:rsid w:val="008C45E1"/>
    <w:rsid w:val="008D2B7D"/>
    <w:rsid w:val="008D7AE6"/>
    <w:rsid w:val="008E7E4E"/>
    <w:rsid w:val="00905EFA"/>
    <w:rsid w:val="00906422"/>
    <w:rsid w:val="00916E9B"/>
    <w:rsid w:val="00922D4E"/>
    <w:rsid w:val="00923990"/>
    <w:rsid w:val="009276E0"/>
    <w:rsid w:val="00930B2A"/>
    <w:rsid w:val="00931D40"/>
    <w:rsid w:val="00945E46"/>
    <w:rsid w:val="009526A6"/>
    <w:rsid w:val="00962579"/>
    <w:rsid w:val="009671FA"/>
    <w:rsid w:val="00974744"/>
    <w:rsid w:val="00986407"/>
    <w:rsid w:val="00997CDB"/>
    <w:rsid w:val="009A66B7"/>
    <w:rsid w:val="009B05A9"/>
    <w:rsid w:val="009E6D20"/>
    <w:rsid w:val="00A10980"/>
    <w:rsid w:val="00A207A5"/>
    <w:rsid w:val="00A36B33"/>
    <w:rsid w:val="00A47F70"/>
    <w:rsid w:val="00A54E7F"/>
    <w:rsid w:val="00A74112"/>
    <w:rsid w:val="00A773F7"/>
    <w:rsid w:val="00A82B9D"/>
    <w:rsid w:val="00AA7D00"/>
    <w:rsid w:val="00AE7581"/>
    <w:rsid w:val="00B01EA6"/>
    <w:rsid w:val="00B10D3F"/>
    <w:rsid w:val="00B17691"/>
    <w:rsid w:val="00B324EA"/>
    <w:rsid w:val="00B42651"/>
    <w:rsid w:val="00B541FA"/>
    <w:rsid w:val="00B720AE"/>
    <w:rsid w:val="00B9042B"/>
    <w:rsid w:val="00B916B2"/>
    <w:rsid w:val="00B975D1"/>
    <w:rsid w:val="00BC3F3B"/>
    <w:rsid w:val="00BC409F"/>
    <w:rsid w:val="00BC5A1D"/>
    <w:rsid w:val="00BD775F"/>
    <w:rsid w:val="00BE4105"/>
    <w:rsid w:val="00C22052"/>
    <w:rsid w:val="00C24EF2"/>
    <w:rsid w:val="00C25F2A"/>
    <w:rsid w:val="00C66AF2"/>
    <w:rsid w:val="00C723BC"/>
    <w:rsid w:val="00CC285E"/>
    <w:rsid w:val="00CC35F5"/>
    <w:rsid w:val="00CC55E1"/>
    <w:rsid w:val="00CE7233"/>
    <w:rsid w:val="00CF6F2D"/>
    <w:rsid w:val="00D0205F"/>
    <w:rsid w:val="00D11EFA"/>
    <w:rsid w:val="00D16883"/>
    <w:rsid w:val="00D55973"/>
    <w:rsid w:val="00D611CC"/>
    <w:rsid w:val="00D62694"/>
    <w:rsid w:val="00D82E46"/>
    <w:rsid w:val="00DD7C33"/>
    <w:rsid w:val="00DE7C77"/>
    <w:rsid w:val="00E06602"/>
    <w:rsid w:val="00E33F73"/>
    <w:rsid w:val="00E77F6A"/>
    <w:rsid w:val="00E86A76"/>
    <w:rsid w:val="00EE63C3"/>
    <w:rsid w:val="00EF4670"/>
    <w:rsid w:val="00F13AB8"/>
    <w:rsid w:val="00F37AEC"/>
    <w:rsid w:val="00F47968"/>
    <w:rsid w:val="00F5216B"/>
    <w:rsid w:val="00F70707"/>
    <w:rsid w:val="00F7298E"/>
    <w:rsid w:val="00FC231E"/>
    <w:rsid w:val="00FC6B6B"/>
    <w:rsid w:val="00FC7B43"/>
    <w:rsid w:val="00FF0F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qFormat="1"/>
    <w:lsdException w:name="footer" w:uiPriority="99"/>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94"/>
    <w:rPr>
      <w:sz w:val="24"/>
    </w:rPr>
  </w:style>
  <w:style w:type="paragraph" w:styleId="Heading1">
    <w:name w:val="heading 1"/>
    <w:basedOn w:val="Normal"/>
    <w:next w:val="Normal"/>
    <w:autoRedefine/>
    <w:qFormat/>
    <w:rsid w:val="000524AB"/>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723561"/>
    <w:pPr>
      <w:keepNext/>
      <w:widowControl w:val="0"/>
      <w:spacing w:after="240"/>
      <w:ind w:left="1440" w:right="720" w:hanging="720"/>
      <w:outlineLvl w:val="1"/>
    </w:pPr>
    <w:rPr>
      <w:rFonts w:ascii="Times New Roman Bold" w:hAnsi="Times New Roman Bold"/>
      <w:b/>
      <w:szCs w:val="24"/>
    </w:rPr>
  </w:style>
  <w:style w:type="paragraph" w:styleId="Heading3">
    <w:name w:val="heading 3"/>
    <w:basedOn w:val="Normal"/>
    <w:next w:val="Normal"/>
    <w:autoRedefine/>
    <w:qFormat/>
    <w:rsid w:val="00723561"/>
    <w:pPr>
      <w:keepNext/>
      <w:spacing w:after="240"/>
      <w:ind w:left="2160" w:righ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 Char Char,Footnote Text Char Char Char1,Footnote Text Char Char1,Footnote Text Char1 Char Char,Footnote Text Char1 Char1,Footnote Text Char2,Footnote Text Char4 Char Char Char Char,char,fn,ft,ft Char"/>
    <w:basedOn w:val="Normal"/>
    <w:link w:val="FootnoteTextChar"/>
    <w:qFormat/>
    <w:rsid w:val="00D71B93"/>
    <w:pPr>
      <w:spacing w:after="120"/>
    </w:pPr>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ColorfulShading-Accent11">
    <w:name w:val="Colorful Shading - Accent 11"/>
    <w:hidden/>
    <w:uiPriority w:val="99"/>
    <w:semiHidden/>
    <w:rsid w:val="00552C9B"/>
    <w:rPr>
      <w:sz w:val="24"/>
    </w:rPr>
  </w:style>
  <w:style w:type="character" w:customStyle="1" w:styleId="FooterChar">
    <w:name w:val="Footer Char"/>
    <w:link w:val="Footer"/>
    <w:uiPriority w:val="99"/>
    <w:rsid w:val="004C7036"/>
  </w:style>
  <w:style w:type="character" w:customStyle="1" w:styleId="BodyTextChar">
    <w:name w:val="Body Text Char"/>
    <w:link w:val="BodyText"/>
    <w:rsid w:val="008B3E12"/>
    <w:rPr>
      <w:sz w:val="24"/>
    </w:rPr>
  </w:style>
  <w:style w:type="character" w:customStyle="1" w:styleId="BodyTextIndentChar">
    <w:name w:val="Body Text Indent Char"/>
    <w:link w:val="BodyTextIndent"/>
    <w:rsid w:val="008B3E12"/>
    <w:rPr>
      <w:sz w:val="24"/>
    </w:rPr>
  </w:style>
  <w:style w:type="paragraph" w:styleId="TOC1">
    <w:name w:val="toc 1"/>
    <w:basedOn w:val="Normal"/>
    <w:next w:val="Normal"/>
    <w:autoRedefine/>
    <w:uiPriority w:val="39"/>
    <w:qFormat/>
    <w:rsid w:val="00491854"/>
    <w:pPr>
      <w:tabs>
        <w:tab w:val="decimal" w:leader="dot" w:pos="8640"/>
      </w:tabs>
      <w:spacing w:after="240"/>
      <w:ind w:left="720" w:hanging="720"/>
    </w:pPr>
    <w:rPr>
      <w:caps/>
    </w:rPr>
  </w:style>
  <w:style w:type="paragraph" w:styleId="TOC2">
    <w:name w:val="toc 2"/>
    <w:basedOn w:val="Normal"/>
    <w:next w:val="Normal"/>
    <w:autoRedefine/>
    <w:uiPriority w:val="39"/>
    <w:qFormat/>
    <w:rsid w:val="00491854"/>
    <w:pPr>
      <w:tabs>
        <w:tab w:val="decimal" w:leader="dot" w:pos="8640"/>
      </w:tabs>
      <w:spacing w:after="240"/>
      <w:ind w:left="1440" w:hanging="720"/>
    </w:pPr>
  </w:style>
  <w:style w:type="table" w:customStyle="1" w:styleId="TableGrid1">
    <w:name w:val="Table Grid1"/>
    <w:basedOn w:val="TableNormal"/>
    <w:next w:val="TableGrid"/>
    <w:uiPriority w:val="59"/>
    <w:rsid w:val="00A12E8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31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eftalign">
    <w:name w:val="ss_leftalign"/>
    <w:rsid w:val="00C84997"/>
  </w:style>
  <w:style w:type="character" w:customStyle="1" w:styleId="sssh">
    <w:name w:val="ss_sh"/>
    <w:rsid w:val="00C84997"/>
  </w:style>
  <w:style w:type="character" w:customStyle="1" w:styleId="UnresolvedMention1">
    <w:name w:val="Unresolved Mention1"/>
    <w:uiPriority w:val="99"/>
    <w:semiHidden/>
    <w:unhideWhenUsed/>
    <w:rsid w:val="00975961"/>
    <w:rPr>
      <w:color w:val="808080"/>
      <w:shd w:val="clear" w:color="auto" w:fill="E6E6E6"/>
    </w:rPr>
  </w:style>
  <w:style w:type="paragraph" w:styleId="TOC3">
    <w:name w:val="toc 3"/>
    <w:basedOn w:val="Normal"/>
    <w:next w:val="Normal"/>
    <w:autoRedefine/>
    <w:uiPriority w:val="39"/>
    <w:rsid w:val="00491854"/>
    <w:pPr>
      <w:tabs>
        <w:tab w:val="decimal" w:leader="dot" w:pos="8640"/>
      </w:tabs>
      <w:spacing w:after="240"/>
      <w:ind w:left="2160" w:hanging="720"/>
    </w:pPr>
  </w:style>
  <w:style w:type="character" w:customStyle="1" w:styleId="FootnoteTextChar">
    <w:name w:val="Footnote Text Char"/>
    <w:aliases w:val="ALTS FOOTNOTE Char,Footnote Text Char Char Char Char Char,Footnote Text Char Char Char1 Char,Footnote Text Char Char1 Char,Footnote Text Char1 Char Char Char,Footnote Text Char1 Char1 Char,Footnote Text Char2 Char,char Char,fn Char"/>
    <w:link w:val="FootnoteText"/>
    <w:locked/>
    <w:rsid w:val="0004426B"/>
  </w:style>
  <w:style w:type="character" w:customStyle="1" w:styleId="CommentTextChar">
    <w:name w:val="Comment Text Char"/>
    <w:link w:val="CommentText"/>
    <w:rsid w:val="004837E2"/>
    <w:rPr>
      <w:sz w:val="24"/>
      <w:szCs w:val="24"/>
    </w:rPr>
  </w:style>
  <w:style w:type="character" w:customStyle="1" w:styleId="UnresolvedMention2">
    <w:name w:val="Unresolved Mention2"/>
    <w:basedOn w:val="DefaultParagraphFont"/>
    <w:rsid w:val="00CE7233"/>
    <w:rPr>
      <w:color w:val="605E5C"/>
      <w:shd w:val="clear" w:color="auto" w:fill="E1DFDD"/>
    </w:rPr>
  </w:style>
  <w:style w:type="paragraph" w:styleId="ListParagraph">
    <w:name w:val="List Paragraph"/>
    <w:basedOn w:val="Normal"/>
    <w:uiPriority w:val="72"/>
    <w:qFormat/>
    <w:rsid w:val="006850F8"/>
    <w:pPr>
      <w:ind w:left="720"/>
      <w:contextualSpacing/>
    </w:pPr>
  </w:style>
  <w:style w:type="character" w:customStyle="1" w:styleId="UnresolvedMention3">
    <w:name w:val="Unresolved Mention3"/>
    <w:basedOn w:val="DefaultParagraphFont"/>
    <w:rsid w:val="00B10D3F"/>
    <w:rPr>
      <w:color w:val="605E5C"/>
      <w:shd w:val="clear" w:color="auto" w:fill="E1DFDD"/>
    </w:rPr>
  </w:style>
  <w:style w:type="character" w:customStyle="1" w:styleId="HTMLPreformattedChar">
    <w:name w:val="HTML Preformatted Char"/>
    <w:basedOn w:val="DefaultParagraphFont"/>
    <w:link w:val="HTMLPreformatted"/>
    <w:rsid w:val="00D62694"/>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footer" Target="footer4.xml" /><Relationship Id="rId13" Type="http://schemas.openxmlformats.org/officeDocument/2006/relationships/hyperlink" Target="mailto:thomas.mcnamee@ohioattorneygeneral.gov" TargetMode="External" /><Relationship Id="rId14" Type="http://schemas.openxmlformats.org/officeDocument/2006/relationships/hyperlink" Target="mailto:Gregory.price@puc.state.oh.us" TargetMode="External" /><Relationship Id="rId15" Type="http://schemas.openxmlformats.org/officeDocument/2006/relationships/hyperlink" Target="mailto:patricia.schabo@puc.state.oh.us" TargetMode="External" /><Relationship Id="rId16" Type="http://schemas.openxmlformats.org/officeDocument/2006/relationships/hyperlink" Target="mailto:michael.schuler@aes.com" TargetMode="External" /><Relationship Id="rId17" Type="http://schemas.openxmlformats.org/officeDocument/2006/relationships/hyperlink" Target="mailto:jsharkey@ficlaw.com" TargetMode="External" /><Relationship Id="rId18" Type="http://schemas.openxmlformats.org/officeDocument/2006/relationships/hyperlink" Target="mailto:djireland@ficlaw.com" TargetMode="External" /><Relationship Id="rId19" Type="http://schemas.openxmlformats.org/officeDocument/2006/relationships/hyperlink" Target="mailto:chollon@ficlaw.com"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boehm@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fdarr@mwncmh.com" TargetMode="External" /><Relationship Id="rId24" Type="http://schemas.openxmlformats.org/officeDocument/2006/relationships/hyperlink" Target="mailto:mpritchard@mwncmh.com" TargetMode="External" /><Relationship Id="rId25" Type="http://schemas.openxmlformats.org/officeDocument/2006/relationships/hyperlink" Target="mailto:slesser@calfee.com" TargetMode="External" /><Relationship Id="rId26" Type="http://schemas.openxmlformats.org/officeDocument/2006/relationships/hyperlink" Target="mailto:talexander@calfee.com" TargetMode="External" /><Relationship Id="rId27" Type="http://schemas.openxmlformats.org/officeDocument/2006/relationships/hyperlink" Target="mailto:mkeaney@calfee.com" TargetMode="External" /><Relationship Id="rId28" Type="http://schemas.openxmlformats.org/officeDocument/2006/relationships/hyperlink" Target="mailto:Bethany.allen@igs.com" TargetMode="External" /><Relationship Id="rId29" Type="http://schemas.openxmlformats.org/officeDocument/2006/relationships/hyperlink" Target="mailto:Joe.oliker@igs.com" TargetMode="External" /><Relationship Id="rId3" Type="http://schemas.openxmlformats.org/officeDocument/2006/relationships/webSettings" Target="webSettings.xml" /><Relationship Id="rId30" Type="http://schemas.openxmlformats.org/officeDocument/2006/relationships/hyperlink" Target="mailto:Michael.nugent@igs.com" TargetMode="External" /><Relationship Id="rId31" Type="http://schemas.openxmlformats.org/officeDocument/2006/relationships/hyperlink" Target="mailto:dparram@bricker.com" TargetMode="External" /><Relationship Id="rId32" Type="http://schemas.openxmlformats.org/officeDocument/2006/relationships/hyperlink" Target="mailto:bojko@carpenterlipps.com" TargetMode="External" /><Relationship Id="rId33" Type="http://schemas.openxmlformats.org/officeDocument/2006/relationships/hyperlink" Target="mailto:dressel@carpenterlipps.com" TargetMode="External" /><Relationship Id="rId34" Type="http://schemas.openxmlformats.org/officeDocument/2006/relationships/hyperlink" Target="mailto:paul@carpenterlipps.com" TargetMode="External" /><Relationship Id="rId35" Type="http://schemas.openxmlformats.org/officeDocument/2006/relationships/hyperlink" Target="mailto:dutton@carpenterlipps.com" TargetMode="External" /><Relationship Id="rId36" Type="http://schemas.openxmlformats.org/officeDocument/2006/relationships/hyperlink" Target="mailto:dborchers@bricker.com" TargetMode="External" /><Relationship Id="rId37" Type="http://schemas.openxmlformats.org/officeDocument/2006/relationships/hyperlink" Target="mailto:khernstein@bricker.com" TargetMode="External" /><Relationship Id="rId38" Type="http://schemas.openxmlformats.org/officeDocument/2006/relationships/hyperlink" Target="mailto:Thomas.jernigan.3@us.af.mil" TargetMode="External" /><Relationship Id="rId39" Type="http://schemas.openxmlformats.org/officeDocument/2006/relationships/hyperlink" Target="mailto:Scott.kirk.2@us.af.mil" TargetMode="External" /><Relationship Id="rId4" Type="http://schemas.openxmlformats.org/officeDocument/2006/relationships/fontTable" Target="fontTable.xml" /><Relationship Id="rId40" Type="http://schemas.openxmlformats.org/officeDocument/2006/relationships/hyperlink" Target="mailto:Robert.friedman.5@us.af.mil" TargetMode="External" /><Relationship Id="rId41" Type="http://schemas.openxmlformats.org/officeDocument/2006/relationships/header" Target="header2.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william.michael@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A841-C00E-4DEF-A919-34D0FDB7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2019-12-20T20:34:40Z</dcterms:created>
  <dcterms:modified xsi:type="dcterms:W3CDTF">2019-12-20T20:34:40Z</dcterms:modified>
</cp:coreProperties>
</file>