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95" w:rsidRDefault="00D40C95" w:rsidP="00D40C9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40C95" w:rsidRDefault="00D40C95" w:rsidP="00D40C95">
      <w:pPr>
        <w:pStyle w:val="HTMLPreformatted"/>
        <w:jc w:val="center"/>
        <w:rPr>
          <w:rFonts w:ascii="Times New Roman" w:hAnsi="Times New Roman"/>
          <w:sz w:val="24"/>
        </w:rPr>
      </w:pPr>
      <w:r>
        <w:rPr>
          <w:rFonts w:ascii="Times New Roman" w:hAnsi="Times New Roman"/>
          <w:b/>
          <w:bCs/>
          <w:sz w:val="24"/>
        </w:rPr>
        <w:t>THE PUBLIC UTILITIES COMMISSION OF OHIO</w:t>
      </w:r>
    </w:p>
    <w:p w:rsidR="00D40C95" w:rsidRDefault="00D40C95" w:rsidP="00D40C9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D40C95" w:rsidTr="00270AB6">
        <w:trPr>
          <w:trHeight w:val="807"/>
        </w:trPr>
        <w:tc>
          <w:tcPr>
            <w:tcW w:w="4332" w:type="dxa"/>
            <w:shd w:val="clear" w:color="auto" w:fill="auto"/>
          </w:tcPr>
          <w:p w:rsidR="00D40C95" w:rsidRDefault="00D40C95" w:rsidP="00BB6D8F">
            <w:pPr>
              <w:pStyle w:val="HTMLPreformatted"/>
              <w:rPr>
                <w:rFonts w:ascii="Times New Roman" w:hAnsi="Times New Roman"/>
                <w:sz w:val="24"/>
                <w:szCs w:val="24"/>
              </w:rPr>
            </w:pPr>
            <w:r w:rsidRPr="00C56937">
              <w:rPr>
                <w:rFonts w:ascii="Times New Roman" w:hAnsi="Times New Roman" w:cs="Times New Roman"/>
                <w:sz w:val="24"/>
                <w:szCs w:val="24"/>
              </w:rPr>
              <w:t>In the Matter of the Application of Duke Energy Ohio, Inc., to</w:t>
            </w:r>
            <w:r>
              <w:rPr>
                <w:rFonts w:ascii="Times New Roman" w:hAnsi="Times New Roman" w:cs="Times New Roman"/>
                <w:sz w:val="24"/>
                <w:szCs w:val="24"/>
              </w:rPr>
              <w:t xml:space="preserve"> </w:t>
            </w:r>
            <w:r w:rsidRPr="00C56937">
              <w:rPr>
                <w:rFonts w:ascii="Times New Roman" w:hAnsi="Times New Roman" w:cs="Times New Roman"/>
                <w:sz w:val="24"/>
                <w:szCs w:val="24"/>
              </w:rPr>
              <w:t>Establish Reliability Targets.</w:t>
            </w:r>
          </w:p>
        </w:tc>
        <w:tc>
          <w:tcPr>
            <w:tcW w:w="360" w:type="dxa"/>
            <w:shd w:val="clear" w:color="auto" w:fill="auto"/>
          </w:tcPr>
          <w:p w:rsidR="00D40C95" w:rsidRDefault="00D40C95" w:rsidP="00270AB6">
            <w:pPr>
              <w:pStyle w:val="HTMLPreformatted"/>
              <w:rPr>
                <w:rFonts w:ascii="Times New Roman" w:hAnsi="Times New Roman"/>
                <w:sz w:val="24"/>
              </w:rPr>
            </w:pPr>
            <w:r>
              <w:rPr>
                <w:rFonts w:ascii="Times New Roman" w:hAnsi="Times New Roman"/>
                <w:sz w:val="24"/>
              </w:rPr>
              <w:t>)</w:t>
            </w:r>
          </w:p>
          <w:p w:rsidR="00D40C95" w:rsidRDefault="00D40C95" w:rsidP="00270AB6">
            <w:pPr>
              <w:pStyle w:val="HTMLPreformatted"/>
              <w:rPr>
                <w:rFonts w:ascii="Times New Roman" w:hAnsi="Times New Roman"/>
                <w:sz w:val="24"/>
              </w:rPr>
            </w:pPr>
            <w:r>
              <w:rPr>
                <w:rFonts w:ascii="Times New Roman" w:hAnsi="Times New Roman"/>
                <w:sz w:val="24"/>
              </w:rPr>
              <w:t>)</w:t>
            </w:r>
          </w:p>
          <w:p w:rsidR="00D40C95" w:rsidRDefault="00D40C95" w:rsidP="00270AB6">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D40C95" w:rsidRDefault="00D40C95" w:rsidP="00270AB6">
            <w:pPr>
              <w:pStyle w:val="HTMLPreformatted"/>
              <w:rPr>
                <w:rFonts w:ascii="Times New Roman" w:hAnsi="Times New Roman"/>
                <w:sz w:val="24"/>
              </w:rPr>
            </w:pPr>
          </w:p>
          <w:p w:rsidR="00D40C95" w:rsidRDefault="00D40C95" w:rsidP="00270AB6">
            <w:pPr>
              <w:pStyle w:val="HTMLPreformatted"/>
              <w:rPr>
                <w:rFonts w:ascii="Times New Roman" w:hAnsi="Times New Roman"/>
                <w:sz w:val="24"/>
              </w:rPr>
            </w:pPr>
            <w:r w:rsidRPr="00C56937">
              <w:rPr>
                <w:rFonts w:ascii="Times New Roman" w:hAnsi="Times New Roman"/>
                <w:sz w:val="24"/>
              </w:rPr>
              <w:t>Case No. 13-1539 -EL-ESS</w:t>
            </w:r>
          </w:p>
        </w:tc>
      </w:tr>
    </w:tbl>
    <w:p w:rsidR="00D40C95" w:rsidRDefault="00D40C95" w:rsidP="00D40C95">
      <w:pPr>
        <w:pStyle w:val="HTMLPreformatted"/>
        <w:rPr>
          <w:rFonts w:ascii="Times New Roman" w:hAnsi="Times New Roman"/>
          <w:sz w:val="24"/>
        </w:rPr>
      </w:pPr>
    </w:p>
    <w:p w:rsidR="00D40C95" w:rsidRDefault="00D40C95" w:rsidP="00D40C95">
      <w:pPr>
        <w:pStyle w:val="HTMLPreformatted"/>
        <w:pBdr>
          <w:top w:val="single" w:sz="12" w:space="1" w:color="auto"/>
        </w:pBdr>
        <w:rPr>
          <w:rFonts w:ascii="Times New Roman" w:hAnsi="Times New Roman"/>
          <w:sz w:val="24"/>
        </w:rPr>
      </w:pPr>
    </w:p>
    <w:p w:rsidR="00441022" w:rsidRDefault="003C2812" w:rsidP="00D40C95">
      <w:pPr>
        <w:jc w:val="center"/>
        <w:rPr>
          <w:b/>
          <w:bCs/>
        </w:rPr>
      </w:pPr>
      <w:r>
        <w:rPr>
          <w:b/>
          <w:bCs/>
        </w:rPr>
        <w:t xml:space="preserve">REPLY </w:t>
      </w:r>
      <w:r w:rsidR="00D40C95">
        <w:rPr>
          <w:b/>
          <w:bCs/>
        </w:rPr>
        <w:t xml:space="preserve">COMMENTS </w:t>
      </w:r>
    </w:p>
    <w:p w:rsidR="00D40C95" w:rsidRDefault="00441022" w:rsidP="00D40C95">
      <w:pPr>
        <w:jc w:val="center"/>
        <w:rPr>
          <w:b/>
          <w:bCs/>
        </w:rPr>
      </w:pPr>
      <w:r>
        <w:rPr>
          <w:b/>
          <w:bCs/>
        </w:rPr>
        <w:t>BY</w:t>
      </w:r>
    </w:p>
    <w:p w:rsidR="00D40C95" w:rsidRDefault="00D40C95" w:rsidP="00D40C95">
      <w:pPr>
        <w:jc w:val="center"/>
        <w:rPr>
          <w:b/>
          <w:bCs/>
        </w:rPr>
      </w:pPr>
      <w:r>
        <w:rPr>
          <w:b/>
          <w:bCs/>
        </w:rPr>
        <w:t>THE OFFICE OF THE OHIO CONSUMERS</w:t>
      </w:r>
      <w:r w:rsidR="00B265BD">
        <w:rPr>
          <w:b/>
          <w:bCs/>
        </w:rPr>
        <w:t>’</w:t>
      </w:r>
      <w:r>
        <w:rPr>
          <w:b/>
          <w:bCs/>
        </w:rPr>
        <w:t xml:space="preserve"> COUNSEL</w:t>
      </w:r>
    </w:p>
    <w:p w:rsidR="00D40C95" w:rsidRDefault="00D40C95" w:rsidP="00D40C95">
      <w:pPr>
        <w:pBdr>
          <w:bottom w:val="single" w:sz="12" w:space="1" w:color="auto"/>
        </w:pBdr>
        <w:tabs>
          <w:tab w:val="left" w:pos="4320"/>
        </w:tabs>
      </w:pPr>
    </w:p>
    <w:p w:rsidR="00D40C95" w:rsidRDefault="00D40C95" w:rsidP="00D40C95">
      <w:pPr>
        <w:tabs>
          <w:tab w:val="left" w:pos="4320"/>
        </w:tabs>
      </w:pPr>
    </w:p>
    <w:p w:rsidR="00D40C95" w:rsidRDefault="00D40C95" w:rsidP="00D40C95">
      <w:pPr>
        <w:tabs>
          <w:tab w:val="left" w:pos="4320"/>
        </w:tabs>
      </w:pPr>
    </w:p>
    <w:p w:rsidR="00D40C95" w:rsidRDefault="00D40C95" w:rsidP="00D40C95">
      <w:pPr>
        <w:tabs>
          <w:tab w:val="left" w:pos="4320"/>
        </w:tabs>
      </w:pPr>
    </w:p>
    <w:p w:rsidR="00D40C95" w:rsidRDefault="00D40C95" w:rsidP="00D40C95">
      <w:pPr>
        <w:tabs>
          <w:tab w:val="left" w:pos="4320"/>
        </w:tabs>
      </w:pPr>
    </w:p>
    <w:p w:rsidR="00D40C95" w:rsidRDefault="00D40C95" w:rsidP="00D40C95">
      <w:pPr>
        <w:tabs>
          <w:tab w:val="left" w:pos="4320"/>
        </w:tabs>
      </w:pPr>
    </w:p>
    <w:p w:rsidR="00D40C95" w:rsidRDefault="00D40C95" w:rsidP="00D40C95">
      <w:pPr>
        <w:tabs>
          <w:tab w:val="left" w:pos="4320"/>
        </w:tabs>
      </w:pPr>
    </w:p>
    <w:p w:rsidR="00771102" w:rsidRDefault="00C55277" w:rsidP="00D40C95">
      <w:pPr>
        <w:pStyle w:val="Footer"/>
        <w:tabs>
          <w:tab w:val="clear" w:pos="8640"/>
          <w:tab w:val="left" w:pos="4320"/>
        </w:tabs>
        <w:spacing w:before="240"/>
        <w:rPr>
          <w:sz w:val="24"/>
          <w:szCs w:val="24"/>
        </w:rPr>
      </w:pPr>
      <w:r>
        <w:rPr>
          <w:sz w:val="24"/>
          <w:szCs w:val="24"/>
        </w:rPr>
        <w:tab/>
      </w:r>
    </w:p>
    <w:p w:rsidR="00771102" w:rsidRDefault="00771102" w:rsidP="00D40C95">
      <w:pPr>
        <w:pStyle w:val="Footer"/>
        <w:tabs>
          <w:tab w:val="clear" w:pos="8640"/>
          <w:tab w:val="left" w:pos="4320"/>
        </w:tabs>
        <w:spacing w:before="240"/>
        <w:rPr>
          <w:sz w:val="24"/>
          <w:szCs w:val="24"/>
        </w:rPr>
      </w:pPr>
    </w:p>
    <w:p w:rsidR="00771102" w:rsidRDefault="00771102" w:rsidP="00D40C95">
      <w:pPr>
        <w:pStyle w:val="Footer"/>
        <w:tabs>
          <w:tab w:val="clear" w:pos="8640"/>
          <w:tab w:val="left" w:pos="4320"/>
        </w:tabs>
        <w:spacing w:before="240"/>
        <w:rPr>
          <w:sz w:val="24"/>
          <w:szCs w:val="24"/>
        </w:rPr>
      </w:pPr>
    </w:p>
    <w:p w:rsidR="00771102" w:rsidRDefault="00771102" w:rsidP="00D40C95">
      <w:pPr>
        <w:pStyle w:val="Footer"/>
        <w:tabs>
          <w:tab w:val="clear" w:pos="8640"/>
          <w:tab w:val="left" w:pos="4320"/>
        </w:tabs>
        <w:spacing w:before="240"/>
        <w:rPr>
          <w:sz w:val="24"/>
          <w:szCs w:val="24"/>
        </w:rPr>
      </w:pPr>
    </w:p>
    <w:p w:rsidR="00771102" w:rsidRDefault="00771102" w:rsidP="00D40C95">
      <w:pPr>
        <w:pStyle w:val="Footer"/>
        <w:tabs>
          <w:tab w:val="clear" w:pos="8640"/>
          <w:tab w:val="left" w:pos="4320"/>
        </w:tabs>
        <w:spacing w:before="240"/>
        <w:rPr>
          <w:sz w:val="24"/>
          <w:szCs w:val="24"/>
        </w:rPr>
      </w:pPr>
    </w:p>
    <w:p w:rsidR="00771102" w:rsidRDefault="00771102" w:rsidP="00D40C95">
      <w:pPr>
        <w:pStyle w:val="Footer"/>
        <w:tabs>
          <w:tab w:val="clear" w:pos="8640"/>
          <w:tab w:val="left" w:pos="4320"/>
        </w:tabs>
        <w:spacing w:before="240"/>
        <w:rPr>
          <w:sz w:val="24"/>
          <w:szCs w:val="24"/>
        </w:rPr>
      </w:pPr>
    </w:p>
    <w:p w:rsidR="00771102" w:rsidRDefault="00771102" w:rsidP="00D40C95">
      <w:pPr>
        <w:pStyle w:val="Footer"/>
        <w:tabs>
          <w:tab w:val="clear" w:pos="8640"/>
          <w:tab w:val="left" w:pos="4320"/>
        </w:tabs>
        <w:spacing w:before="240"/>
        <w:rPr>
          <w:sz w:val="24"/>
          <w:szCs w:val="24"/>
        </w:rPr>
      </w:pPr>
    </w:p>
    <w:p w:rsidR="00D40C95" w:rsidRDefault="00771102" w:rsidP="00D40C95">
      <w:pPr>
        <w:pStyle w:val="Footer"/>
        <w:tabs>
          <w:tab w:val="clear" w:pos="8640"/>
          <w:tab w:val="left" w:pos="4320"/>
        </w:tabs>
        <w:spacing w:before="240"/>
        <w:rPr>
          <w:sz w:val="24"/>
          <w:szCs w:val="24"/>
        </w:rPr>
      </w:pPr>
      <w:r>
        <w:rPr>
          <w:sz w:val="24"/>
          <w:szCs w:val="24"/>
        </w:rPr>
        <w:tab/>
      </w:r>
      <w:r w:rsidR="00D40C95">
        <w:rPr>
          <w:sz w:val="24"/>
          <w:szCs w:val="24"/>
        </w:rPr>
        <w:t>BRUCE J. WESTON</w:t>
      </w:r>
    </w:p>
    <w:p w:rsidR="00D40C95" w:rsidRDefault="00D40C95" w:rsidP="00D40C95">
      <w:pPr>
        <w:tabs>
          <w:tab w:val="left" w:pos="4320"/>
        </w:tabs>
        <w:rPr>
          <w:szCs w:val="24"/>
        </w:rPr>
      </w:pPr>
      <w:r>
        <w:rPr>
          <w:szCs w:val="24"/>
        </w:rPr>
        <w:tab/>
        <w:t>OHIO CONSUMERS</w:t>
      </w:r>
      <w:r w:rsidR="00B265BD">
        <w:rPr>
          <w:szCs w:val="24"/>
        </w:rPr>
        <w:t>’</w:t>
      </w:r>
      <w:r>
        <w:rPr>
          <w:szCs w:val="24"/>
        </w:rPr>
        <w:t xml:space="preserve"> COUNSEL</w:t>
      </w:r>
    </w:p>
    <w:p w:rsidR="00D40C95" w:rsidRDefault="00D40C95" w:rsidP="00D40C95">
      <w:pPr>
        <w:tabs>
          <w:tab w:val="left" w:pos="4320"/>
        </w:tabs>
        <w:rPr>
          <w:szCs w:val="24"/>
        </w:rPr>
      </w:pPr>
      <w:r>
        <w:rPr>
          <w:szCs w:val="24"/>
        </w:rPr>
        <w:tab/>
      </w:r>
    </w:p>
    <w:p w:rsidR="00D40C95" w:rsidRDefault="00D40C95" w:rsidP="00D40C95">
      <w:pPr>
        <w:tabs>
          <w:tab w:val="left" w:pos="4320"/>
        </w:tabs>
        <w:rPr>
          <w:szCs w:val="24"/>
        </w:rPr>
      </w:pPr>
      <w:r>
        <w:rPr>
          <w:szCs w:val="24"/>
        </w:rPr>
        <w:tab/>
        <w:t xml:space="preserve">Edmund </w:t>
      </w:r>
      <w:r w:rsidR="00B265BD">
        <w:rPr>
          <w:szCs w:val="24"/>
        </w:rPr>
        <w:t>“</w:t>
      </w:r>
      <w:r>
        <w:rPr>
          <w:szCs w:val="24"/>
        </w:rPr>
        <w:t>Tad</w:t>
      </w:r>
      <w:r w:rsidR="00B265BD">
        <w:rPr>
          <w:szCs w:val="24"/>
        </w:rPr>
        <w:t>”</w:t>
      </w:r>
      <w:r>
        <w:rPr>
          <w:szCs w:val="24"/>
        </w:rPr>
        <w:t xml:space="preserve"> Berger</w:t>
      </w:r>
    </w:p>
    <w:p w:rsidR="00D40C95" w:rsidRDefault="00D40C95" w:rsidP="00D40C95">
      <w:pPr>
        <w:tabs>
          <w:tab w:val="left" w:pos="4320"/>
        </w:tabs>
        <w:rPr>
          <w:szCs w:val="24"/>
        </w:rPr>
      </w:pPr>
      <w:r>
        <w:rPr>
          <w:szCs w:val="24"/>
        </w:rPr>
        <w:tab/>
        <w:t>Assistant Consumers</w:t>
      </w:r>
      <w:r w:rsidR="00B265BD">
        <w:rPr>
          <w:szCs w:val="24"/>
        </w:rPr>
        <w:t>’</w:t>
      </w:r>
      <w:r>
        <w:rPr>
          <w:szCs w:val="24"/>
        </w:rPr>
        <w:t xml:space="preserve"> Counsel</w:t>
      </w:r>
    </w:p>
    <w:p w:rsidR="00D40C95" w:rsidRDefault="00D40C95" w:rsidP="00D40C95">
      <w:pPr>
        <w:ind w:left="4320"/>
      </w:pPr>
    </w:p>
    <w:p w:rsidR="00D40C95" w:rsidRPr="008C1F07" w:rsidRDefault="00D40C95" w:rsidP="00D40C95">
      <w:pPr>
        <w:ind w:left="4320"/>
        <w:rPr>
          <w:b/>
        </w:rPr>
      </w:pPr>
      <w:r w:rsidRPr="008C1F07">
        <w:rPr>
          <w:b/>
        </w:rPr>
        <w:t>Office of the Ohio Consumers</w:t>
      </w:r>
      <w:r w:rsidR="00B265BD">
        <w:rPr>
          <w:b/>
        </w:rPr>
        <w:t>’</w:t>
      </w:r>
      <w:r w:rsidRPr="008C1F07">
        <w:rPr>
          <w:b/>
        </w:rPr>
        <w:t xml:space="preserve"> Counsel</w:t>
      </w:r>
    </w:p>
    <w:p w:rsidR="00D40C95" w:rsidRPr="00D40C95" w:rsidRDefault="00D40C95" w:rsidP="00D40C95">
      <w:pPr>
        <w:ind w:left="4320"/>
      </w:pPr>
      <w:r w:rsidRPr="00D40C95">
        <w:t>10 West Broad Street, Suite 1800</w:t>
      </w:r>
    </w:p>
    <w:p w:rsidR="00D40C95" w:rsidRPr="00D40C95" w:rsidRDefault="00D40C95" w:rsidP="00D40C95">
      <w:pPr>
        <w:ind w:left="4320"/>
      </w:pPr>
      <w:r w:rsidRPr="00D40C95">
        <w:t>Columbus, Ohio 43215-3485</w:t>
      </w:r>
    </w:p>
    <w:p w:rsidR="00D40C95" w:rsidRDefault="00D40C95" w:rsidP="00D40C95">
      <w:pPr>
        <w:ind w:left="4320"/>
        <w:rPr>
          <w:szCs w:val="24"/>
        </w:rPr>
      </w:pPr>
      <w:r>
        <w:rPr>
          <w:szCs w:val="24"/>
        </w:rPr>
        <w:t>Telephone: (Berger) (614) 466-1292</w:t>
      </w:r>
    </w:p>
    <w:p w:rsidR="00771102" w:rsidRDefault="00771102" w:rsidP="00771102">
      <w:pPr>
        <w:rPr>
          <w:rStyle w:val="Hyperlink"/>
          <w:szCs w:val="24"/>
        </w:rPr>
        <w:sectPr w:rsidR="00771102" w:rsidSect="00D40C9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titlePg/>
          <w:docGrid w:linePitch="65"/>
        </w:sectPr>
      </w:pPr>
      <w:r>
        <w:t>February 7, 2014</w:t>
      </w:r>
      <w:r>
        <w:tab/>
      </w:r>
      <w:r>
        <w:tab/>
      </w:r>
      <w:r>
        <w:tab/>
      </w:r>
      <w:r>
        <w:tab/>
      </w:r>
      <w:hyperlink r:id="rId14" w:history="1">
        <w:r w:rsidR="0080176B" w:rsidRPr="0080176B">
          <w:rPr>
            <w:rStyle w:val="Hyperlink"/>
            <w:szCs w:val="24"/>
          </w:rPr>
          <w:t>Edmund.</w:t>
        </w:r>
        <w:r w:rsidR="0080176B" w:rsidRPr="007549CE">
          <w:rPr>
            <w:rStyle w:val="Hyperlink"/>
            <w:szCs w:val="24"/>
          </w:rPr>
          <w:t>Berger@occ.ohio.gov</w:t>
        </w:r>
      </w:hyperlink>
    </w:p>
    <w:p w:rsidR="00D40C95" w:rsidRDefault="00D40C95">
      <w:pPr>
        <w:pStyle w:val="HTMLPreformatted"/>
        <w:jc w:val="center"/>
        <w:rPr>
          <w:rFonts w:ascii="Times New Roman" w:hAnsi="Times New Roman"/>
          <w:b/>
          <w:bCs/>
          <w:sz w:val="24"/>
        </w:rPr>
      </w:pPr>
      <w:r>
        <w:rPr>
          <w:rFonts w:ascii="Times New Roman" w:hAnsi="Times New Roman"/>
          <w:b/>
          <w:bCs/>
          <w:sz w:val="24"/>
        </w:rPr>
        <w:lastRenderedPageBreak/>
        <w:t>TABLE OF CONTENTS</w:t>
      </w:r>
    </w:p>
    <w:p w:rsidR="00D40C95" w:rsidRDefault="00D40C95" w:rsidP="00D40C95">
      <w:pPr>
        <w:pStyle w:val="HTMLPreformatted"/>
        <w:jc w:val="right"/>
        <w:rPr>
          <w:rFonts w:ascii="Times New Roman" w:hAnsi="Times New Roman"/>
          <w:b/>
          <w:bCs/>
          <w:sz w:val="24"/>
          <w:u w:val="single"/>
        </w:rPr>
      </w:pPr>
      <w:r w:rsidRPr="00D40C95">
        <w:rPr>
          <w:rFonts w:ascii="Times New Roman" w:hAnsi="Times New Roman"/>
          <w:b/>
          <w:bCs/>
          <w:sz w:val="24"/>
          <w:u w:val="single"/>
        </w:rPr>
        <w:t>Page</w:t>
      </w:r>
    </w:p>
    <w:p w:rsidR="00307066" w:rsidRPr="00D40C95" w:rsidRDefault="00307066" w:rsidP="00D40C95">
      <w:pPr>
        <w:pStyle w:val="HTMLPreformatted"/>
        <w:jc w:val="right"/>
        <w:rPr>
          <w:rFonts w:ascii="Times New Roman" w:hAnsi="Times New Roman"/>
          <w:b/>
          <w:bCs/>
          <w:sz w:val="24"/>
          <w:u w:val="single"/>
        </w:rPr>
      </w:pPr>
    </w:p>
    <w:p w:rsidR="00D40C95" w:rsidRDefault="00D40C95" w:rsidP="00D40C95">
      <w:pPr>
        <w:pStyle w:val="HTMLPreformatted"/>
        <w:rPr>
          <w:rFonts w:ascii="Times New Roman" w:hAnsi="Times New Roman"/>
          <w:b/>
          <w:bCs/>
          <w:sz w:val="24"/>
        </w:rPr>
      </w:pPr>
    </w:p>
    <w:p w:rsidR="0087474C" w:rsidRDefault="001C26F7">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379547082" w:history="1">
        <w:r w:rsidR="0087474C" w:rsidRPr="00755F78">
          <w:rPr>
            <w:rStyle w:val="Hyperlink"/>
            <w:rFonts w:eastAsia="Calibri"/>
            <w:noProof/>
          </w:rPr>
          <w:t>I.</w:t>
        </w:r>
        <w:r w:rsidR="0087474C">
          <w:rPr>
            <w:rFonts w:asciiTheme="minorHAnsi" w:eastAsiaTheme="minorEastAsia" w:hAnsiTheme="minorHAnsi" w:cstheme="minorBidi"/>
            <w:caps w:val="0"/>
            <w:noProof/>
            <w:sz w:val="22"/>
            <w:szCs w:val="22"/>
          </w:rPr>
          <w:tab/>
        </w:r>
        <w:r w:rsidR="0087474C" w:rsidRPr="00755F78">
          <w:rPr>
            <w:rStyle w:val="Hyperlink"/>
            <w:rFonts w:eastAsia="Calibri"/>
            <w:noProof/>
          </w:rPr>
          <w:t>INTRODUCTION</w:t>
        </w:r>
        <w:r w:rsidR="0087474C">
          <w:rPr>
            <w:noProof/>
            <w:webHidden/>
          </w:rPr>
          <w:tab/>
        </w:r>
        <w:r w:rsidR="0087474C">
          <w:rPr>
            <w:noProof/>
            <w:webHidden/>
          </w:rPr>
          <w:fldChar w:fldCharType="begin"/>
        </w:r>
        <w:r w:rsidR="0087474C">
          <w:rPr>
            <w:noProof/>
            <w:webHidden/>
          </w:rPr>
          <w:instrText xml:space="preserve"> PAGEREF _Toc379547082 \h </w:instrText>
        </w:r>
        <w:r w:rsidR="0087474C">
          <w:rPr>
            <w:noProof/>
            <w:webHidden/>
          </w:rPr>
        </w:r>
        <w:r w:rsidR="0087474C">
          <w:rPr>
            <w:noProof/>
            <w:webHidden/>
          </w:rPr>
          <w:fldChar w:fldCharType="separate"/>
        </w:r>
        <w:r w:rsidR="00C55899">
          <w:rPr>
            <w:noProof/>
            <w:webHidden/>
          </w:rPr>
          <w:t>1</w:t>
        </w:r>
        <w:r w:rsidR="0087474C">
          <w:rPr>
            <w:noProof/>
            <w:webHidden/>
          </w:rPr>
          <w:fldChar w:fldCharType="end"/>
        </w:r>
      </w:hyperlink>
    </w:p>
    <w:p w:rsidR="0087474C" w:rsidRDefault="00012047">
      <w:pPr>
        <w:pStyle w:val="TOC1"/>
        <w:rPr>
          <w:rFonts w:asciiTheme="minorHAnsi" w:eastAsiaTheme="minorEastAsia" w:hAnsiTheme="minorHAnsi" w:cstheme="minorBidi"/>
          <w:caps w:val="0"/>
          <w:noProof/>
          <w:sz w:val="22"/>
          <w:szCs w:val="22"/>
        </w:rPr>
      </w:pPr>
      <w:hyperlink w:anchor="_Toc379547083" w:history="1">
        <w:r w:rsidR="0087474C" w:rsidRPr="00755F78">
          <w:rPr>
            <w:rStyle w:val="Hyperlink"/>
            <w:rFonts w:eastAsia="Calibri"/>
            <w:noProof/>
          </w:rPr>
          <w:t>II.</w:t>
        </w:r>
        <w:r w:rsidR="0087474C">
          <w:rPr>
            <w:rFonts w:asciiTheme="minorHAnsi" w:eastAsiaTheme="minorEastAsia" w:hAnsiTheme="minorHAnsi" w:cstheme="minorBidi"/>
            <w:caps w:val="0"/>
            <w:noProof/>
            <w:sz w:val="22"/>
            <w:szCs w:val="22"/>
          </w:rPr>
          <w:tab/>
        </w:r>
        <w:r w:rsidR="0087474C" w:rsidRPr="00755F78">
          <w:rPr>
            <w:rStyle w:val="Hyperlink"/>
            <w:rFonts w:eastAsia="Calibri"/>
            <w:noProof/>
          </w:rPr>
          <w:t>REPLY COMMENTS</w:t>
        </w:r>
        <w:r w:rsidR="0087474C">
          <w:rPr>
            <w:noProof/>
            <w:webHidden/>
          </w:rPr>
          <w:tab/>
        </w:r>
        <w:r w:rsidR="0087474C">
          <w:rPr>
            <w:noProof/>
            <w:webHidden/>
          </w:rPr>
          <w:fldChar w:fldCharType="begin"/>
        </w:r>
        <w:r w:rsidR="0087474C">
          <w:rPr>
            <w:noProof/>
            <w:webHidden/>
          </w:rPr>
          <w:instrText xml:space="preserve"> PAGEREF _Toc379547083 \h </w:instrText>
        </w:r>
        <w:r w:rsidR="0087474C">
          <w:rPr>
            <w:noProof/>
            <w:webHidden/>
          </w:rPr>
        </w:r>
        <w:r w:rsidR="0087474C">
          <w:rPr>
            <w:noProof/>
            <w:webHidden/>
          </w:rPr>
          <w:fldChar w:fldCharType="separate"/>
        </w:r>
        <w:r w:rsidR="00C55899">
          <w:rPr>
            <w:noProof/>
            <w:webHidden/>
          </w:rPr>
          <w:t>3</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4" w:history="1">
        <w:r w:rsidR="0087474C" w:rsidRPr="00755F78">
          <w:rPr>
            <w:rStyle w:val="Hyperlink"/>
            <w:rFonts w:eastAsia="Calibri"/>
            <w:noProof/>
          </w:rPr>
          <w:t>A.</w:t>
        </w:r>
        <w:r w:rsidR="0087474C">
          <w:rPr>
            <w:rFonts w:asciiTheme="minorHAnsi" w:eastAsiaTheme="minorEastAsia" w:hAnsiTheme="minorHAnsi" w:cstheme="minorBidi"/>
            <w:noProof/>
            <w:sz w:val="22"/>
            <w:szCs w:val="22"/>
          </w:rPr>
          <w:tab/>
        </w:r>
        <w:r w:rsidR="0087474C" w:rsidRPr="00755F78">
          <w:rPr>
            <w:rStyle w:val="Hyperlink"/>
            <w:rFonts w:eastAsia="Calibri"/>
            <w:noProof/>
          </w:rPr>
          <w:t xml:space="preserve">Future Reliability Standards Should Be Based On Historical </w:t>
        </w:r>
        <w:r w:rsidR="00307066">
          <w:rPr>
            <w:rStyle w:val="Hyperlink"/>
            <w:rFonts w:eastAsia="Calibri"/>
            <w:noProof/>
          </w:rPr>
          <w:br/>
        </w:r>
        <w:r w:rsidR="0087474C" w:rsidRPr="00755F78">
          <w:rPr>
            <w:rStyle w:val="Hyperlink"/>
            <w:rFonts w:eastAsia="Calibri"/>
            <w:noProof/>
          </w:rPr>
          <w:t>Performance As Adjusted In Accordance With PUCO Rules And Staff Guidelines.</w:t>
        </w:r>
        <w:r w:rsidR="0087474C">
          <w:rPr>
            <w:noProof/>
            <w:webHidden/>
          </w:rPr>
          <w:tab/>
        </w:r>
        <w:r w:rsidR="0087474C">
          <w:rPr>
            <w:noProof/>
            <w:webHidden/>
          </w:rPr>
          <w:fldChar w:fldCharType="begin"/>
        </w:r>
        <w:r w:rsidR="0087474C">
          <w:rPr>
            <w:noProof/>
            <w:webHidden/>
          </w:rPr>
          <w:instrText xml:space="preserve"> PAGEREF _Toc379547084 \h </w:instrText>
        </w:r>
        <w:r w:rsidR="0087474C">
          <w:rPr>
            <w:noProof/>
            <w:webHidden/>
          </w:rPr>
        </w:r>
        <w:r w:rsidR="0087474C">
          <w:rPr>
            <w:noProof/>
            <w:webHidden/>
          </w:rPr>
          <w:fldChar w:fldCharType="separate"/>
        </w:r>
        <w:r w:rsidR="00C55899">
          <w:rPr>
            <w:noProof/>
            <w:webHidden/>
          </w:rPr>
          <w:t>3</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5" w:history="1">
        <w:r w:rsidR="0087474C" w:rsidRPr="00755F78">
          <w:rPr>
            <w:rStyle w:val="Hyperlink"/>
            <w:rFonts w:eastAsia="Calibri"/>
            <w:noProof/>
          </w:rPr>
          <w:t>B.</w:t>
        </w:r>
        <w:r w:rsidR="0087474C">
          <w:rPr>
            <w:rFonts w:asciiTheme="minorHAnsi" w:eastAsiaTheme="minorEastAsia" w:hAnsiTheme="minorHAnsi" w:cstheme="minorBidi"/>
            <w:noProof/>
            <w:sz w:val="22"/>
            <w:szCs w:val="22"/>
          </w:rPr>
          <w:tab/>
        </w:r>
        <w:r w:rsidR="0087474C" w:rsidRPr="00755F78">
          <w:rPr>
            <w:rStyle w:val="Hyperlink"/>
            <w:rFonts w:eastAsia="Calibri"/>
            <w:noProof/>
          </w:rPr>
          <w:t xml:space="preserve">Duke’s Electric Reliability Standards Should Be Based On Data From </w:t>
        </w:r>
        <w:r w:rsidR="0087474C">
          <w:rPr>
            <w:rStyle w:val="Hyperlink"/>
            <w:rFonts w:eastAsia="Calibri"/>
            <w:noProof/>
          </w:rPr>
          <w:br/>
        </w:r>
        <w:r w:rsidR="0087474C" w:rsidRPr="00755F78">
          <w:rPr>
            <w:rStyle w:val="Hyperlink"/>
            <w:rFonts w:eastAsia="Calibri"/>
            <w:noProof/>
          </w:rPr>
          <w:t>Its Current Outage Management System.</w:t>
        </w:r>
        <w:r w:rsidR="0087474C">
          <w:rPr>
            <w:noProof/>
            <w:webHidden/>
          </w:rPr>
          <w:tab/>
        </w:r>
        <w:r w:rsidR="0087474C">
          <w:rPr>
            <w:noProof/>
            <w:webHidden/>
          </w:rPr>
          <w:fldChar w:fldCharType="begin"/>
        </w:r>
        <w:r w:rsidR="0087474C">
          <w:rPr>
            <w:noProof/>
            <w:webHidden/>
          </w:rPr>
          <w:instrText xml:space="preserve"> PAGEREF _Toc379547085 \h </w:instrText>
        </w:r>
        <w:r w:rsidR="0087474C">
          <w:rPr>
            <w:noProof/>
            <w:webHidden/>
          </w:rPr>
        </w:r>
        <w:r w:rsidR="0087474C">
          <w:rPr>
            <w:noProof/>
            <w:webHidden/>
          </w:rPr>
          <w:fldChar w:fldCharType="separate"/>
        </w:r>
        <w:r w:rsidR="00C55899">
          <w:rPr>
            <w:noProof/>
            <w:webHidden/>
          </w:rPr>
          <w:t>4</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6" w:history="1">
        <w:r w:rsidR="0087474C" w:rsidRPr="00755F78">
          <w:rPr>
            <w:rStyle w:val="Hyperlink"/>
            <w:rFonts w:eastAsia="Calibri"/>
            <w:noProof/>
          </w:rPr>
          <w:t>C.</w:t>
        </w:r>
        <w:r w:rsidR="0087474C">
          <w:rPr>
            <w:rFonts w:asciiTheme="minorHAnsi" w:eastAsiaTheme="minorEastAsia" w:hAnsiTheme="minorHAnsi" w:cstheme="minorBidi"/>
            <w:noProof/>
            <w:sz w:val="22"/>
            <w:szCs w:val="22"/>
          </w:rPr>
          <w:tab/>
        </w:r>
        <w:r w:rsidR="0087474C" w:rsidRPr="00755F78">
          <w:rPr>
            <w:rStyle w:val="Hyperlink"/>
            <w:rFonts w:eastAsia="Calibri"/>
            <w:noProof/>
          </w:rPr>
          <w:t xml:space="preserve">The Customer Average Interruption Duration Index Performance </w:t>
        </w:r>
        <w:r w:rsidR="0087474C">
          <w:rPr>
            <w:rStyle w:val="Hyperlink"/>
            <w:rFonts w:eastAsia="Calibri"/>
            <w:noProof/>
          </w:rPr>
          <w:br/>
        </w:r>
        <w:r w:rsidR="0087474C" w:rsidRPr="00755F78">
          <w:rPr>
            <w:rStyle w:val="Hyperlink"/>
            <w:rFonts w:eastAsia="Calibri"/>
            <w:noProof/>
          </w:rPr>
          <w:t>Standard Should Be Set At The 5-Year Historical Average Of 103.72 Minutes.</w:t>
        </w:r>
        <w:r w:rsidR="0087474C">
          <w:rPr>
            <w:noProof/>
            <w:webHidden/>
          </w:rPr>
          <w:tab/>
        </w:r>
        <w:r w:rsidR="0087474C">
          <w:rPr>
            <w:noProof/>
            <w:webHidden/>
          </w:rPr>
          <w:fldChar w:fldCharType="begin"/>
        </w:r>
        <w:r w:rsidR="0087474C">
          <w:rPr>
            <w:noProof/>
            <w:webHidden/>
          </w:rPr>
          <w:instrText xml:space="preserve"> PAGEREF _Toc379547086 \h </w:instrText>
        </w:r>
        <w:r w:rsidR="0087474C">
          <w:rPr>
            <w:noProof/>
            <w:webHidden/>
          </w:rPr>
        </w:r>
        <w:r w:rsidR="0087474C">
          <w:rPr>
            <w:noProof/>
            <w:webHidden/>
          </w:rPr>
          <w:fldChar w:fldCharType="separate"/>
        </w:r>
        <w:r w:rsidR="00C55899">
          <w:rPr>
            <w:noProof/>
            <w:webHidden/>
          </w:rPr>
          <w:t>6</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7" w:history="1">
        <w:r w:rsidR="0087474C" w:rsidRPr="00755F78">
          <w:rPr>
            <w:rStyle w:val="Hyperlink"/>
            <w:rFonts w:eastAsia="Calibri"/>
            <w:noProof/>
          </w:rPr>
          <w:t>D.</w:t>
        </w:r>
        <w:r w:rsidR="0087474C">
          <w:rPr>
            <w:rFonts w:asciiTheme="minorHAnsi" w:eastAsiaTheme="minorEastAsia" w:hAnsiTheme="minorHAnsi" w:cstheme="minorBidi"/>
            <w:noProof/>
            <w:sz w:val="22"/>
            <w:szCs w:val="22"/>
          </w:rPr>
          <w:tab/>
        </w:r>
        <w:r w:rsidR="0087474C" w:rsidRPr="00755F78">
          <w:rPr>
            <w:rStyle w:val="Hyperlink"/>
            <w:noProof/>
          </w:rPr>
          <w:t xml:space="preserve">The PUCO Should Not Establish Reliability Standards That Include An Allowance For Variability Above The 5-Year Adjusted Historic </w:t>
        </w:r>
        <w:r w:rsidR="0087474C">
          <w:rPr>
            <w:rStyle w:val="Hyperlink"/>
            <w:noProof/>
          </w:rPr>
          <w:br/>
        </w:r>
        <w:r w:rsidR="0087474C" w:rsidRPr="00755F78">
          <w:rPr>
            <w:rStyle w:val="Hyperlink"/>
            <w:noProof/>
          </w:rPr>
          <w:t>Average</w:t>
        </w:r>
        <w:r w:rsidR="0087474C" w:rsidRPr="00755F78">
          <w:rPr>
            <w:rStyle w:val="Hyperlink"/>
            <w:rFonts w:eastAsia="Calibri"/>
            <w:noProof/>
          </w:rPr>
          <w:t>.</w:t>
        </w:r>
        <w:r w:rsidR="0087474C">
          <w:rPr>
            <w:noProof/>
            <w:webHidden/>
          </w:rPr>
          <w:tab/>
        </w:r>
        <w:r w:rsidR="0087474C">
          <w:rPr>
            <w:noProof/>
            <w:webHidden/>
          </w:rPr>
          <w:fldChar w:fldCharType="begin"/>
        </w:r>
        <w:r w:rsidR="0087474C">
          <w:rPr>
            <w:noProof/>
            <w:webHidden/>
          </w:rPr>
          <w:instrText xml:space="preserve"> PAGEREF _Toc379547087 \h </w:instrText>
        </w:r>
        <w:r w:rsidR="0087474C">
          <w:rPr>
            <w:noProof/>
            <w:webHidden/>
          </w:rPr>
        </w:r>
        <w:r w:rsidR="0087474C">
          <w:rPr>
            <w:noProof/>
            <w:webHidden/>
          </w:rPr>
          <w:fldChar w:fldCharType="separate"/>
        </w:r>
        <w:r w:rsidR="00C55899">
          <w:rPr>
            <w:noProof/>
            <w:webHidden/>
          </w:rPr>
          <w:t>7</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8" w:history="1">
        <w:r w:rsidR="0087474C" w:rsidRPr="00755F78">
          <w:rPr>
            <w:rStyle w:val="Hyperlink"/>
            <w:rFonts w:eastAsia="Calibri"/>
            <w:noProof/>
          </w:rPr>
          <w:t>E.</w:t>
        </w:r>
        <w:r w:rsidR="0087474C">
          <w:rPr>
            <w:rFonts w:asciiTheme="minorHAnsi" w:eastAsiaTheme="minorEastAsia" w:hAnsiTheme="minorHAnsi" w:cstheme="minorBidi"/>
            <w:noProof/>
            <w:sz w:val="22"/>
            <w:szCs w:val="22"/>
          </w:rPr>
          <w:tab/>
        </w:r>
        <w:r w:rsidR="0087474C" w:rsidRPr="00755F78">
          <w:rPr>
            <w:rStyle w:val="Hyperlink"/>
            <w:rFonts w:eastAsia="Calibri"/>
            <w:noProof/>
          </w:rPr>
          <w:t xml:space="preserve">The  System Average Interruption Frequency Index Performance </w:t>
        </w:r>
        <w:r w:rsidR="0087474C">
          <w:rPr>
            <w:rStyle w:val="Hyperlink"/>
            <w:rFonts w:eastAsia="Calibri"/>
            <w:noProof/>
          </w:rPr>
          <w:br/>
        </w:r>
        <w:r w:rsidR="0087474C" w:rsidRPr="00755F78">
          <w:rPr>
            <w:rStyle w:val="Hyperlink"/>
            <w:rFonts w:eastAsia="Calibri"/>
            <w:noProof/>
          </w:rPr>
          <w:t>Standard Should Be Reduced Lower Than 1.1 For 2016 And Beyond.</w:t>
        </w:r>
        <w:r w:rsidR="0087474C">
          <w:rPr>
            <w:noProof/>
            <w:webHidden/>
          </w:rPr>
          <w:tab/>
        </w:r>
        <w:r w:rsidR="0087474C">
          <w:rPr>
            <w:noProof/>
            <w:webHidden/>
          </w:rPr>
          <w:fldChar w:fldCharType="begin"/>
        </w:r>
        <w:r w:rsidR="0087474C">
          <w:rPr>
            <w:noProof/>
            <w:webHidden/>
          </w:rPr>
          <w:instrText xml:space="preserve"> PAGEREF _Toc379547088 \h </w:instrText>
        </w:r>
        <w:r w:rsidR="0087474C">
          <w:rPr>
            <w:noProof/>
            <w:webHidden/>
          </w:rPr>
        </w:r>
        <w:r w:rsidR="0087474C">
          <w:rPr>
            <w:noProof/>
            <w:webHidden/>
          </w:rPr>
          <w:fldChar w:fldCharType="separate"/>
        </w:r>
        <w:r w:rsidR="00C55899">
          <w:rPr>
            <w:noProof/>
            <w:webHidden/>
          </w:rPr>
          <w:t>8</w:t>
        </w:r>
        <w:r w:rsidR="0087474C">
          <w:rPr>
            <w:noProof/>
            <w:webHidden/>
          </w:rPr>
          <w:fldChar w:fldCharType="end"/>
        </w:r>
      </w:hyperlink>
    </w:p>
    <w:p w:rsidR="0087474C" w:rsidRDefault="00012047">
      <w:pPr>
        <w:pStyle w:val="TOC2"/>
        <w:rPr>
          <w:rFonts w:asciiTheme="minorHAnsi" w:eastAsiaTheme="minorEastAsia" w:hAnsiTheme="minorHAnsi" w:cstheme="minorBidi"/>
          <w:noProof/>
          <w:sz w:val="22"/>
          <w:szCs w:val="22"/>
        </w:rPr>
      </w:pPr>
      <w:hyperlink w:anchor="_Toc379547089" w:history="1">
        <w:r w:rsidR="0087474C" w:rsidRPr="00755F78">
          <w:rPr>
            <w:rStyle w:val="Hyperlink"/>
            <w:rFonts w:eastAsia="Calibri"/>
            <w:noProof/>
          </w:rPr>
          <w:t>F.</w:t>
        </w:r>
        <w:r w:rsidR="0087474C">
          <w:rPr>
            <w:rFonts w:asciiTheme="minorHAnsi" w:eastAsiaTheme="minorEastAsia" w:hAnsiTheme="minorHAnsi" w:cstheme="minorBidi"/>
            <w:noProof/>
            <w:sz w:val="22"/>
            <w:szCs w:val="22"/>
          </w:rPr>
          <w:tab/>
        </w:r>
        <w:r w:rsidR="0087474C" w:rsidRPr="00755F78">
          <w:rPr>
            <w:rStyle w:val="Hyperlink"/>
            <w:rFonts w:eastAsia="Calibri"/>
            <w:noProof/>
          </w:rPr>
          <w:t>Although The PUCO Staff Noted That Duke’s Reliability Survey Failed To Comply With The PUCO’s Guidelines, The PUCO Staff Failed To Recognize The More Extensive Shortcomings Of Duke’s Application.</w:t>
        </w:r>
        <w:r w:rsidR="0087474C">
          <w:rPr>
            <w:noProof/>
            <w:webHidden/>
          </w:rPr>
          <w:tab/>
        </w:r>
        <w:r w:rsidR="0087474C">
          <w:rPr>
            <w:noProof/>
            <w:webHidden/>
          </w:rPr>
          <w:fldChar w:fldCharType="begin"/>
        </w:r>
        <w:r w:rsidR="0087474C">
          <w:rPr>
            <w:noProof/>
            <w:webHidden/>
          </w:rPr>
          <w:instrText xml:space="preserve"> PAGEREF _Toc379547089 \h </w:instrText>
        </w:r>
        <w:r w:rsidR="0087474C">
          <w:rPr>
            <w:noProof/>
            <w:webHidden/>
          </w:rPr>
        </w:r>
        <w:r w:rsidR="0087474C">
          <w:rPr>
            <w:noProof/>
            <w:webHidden/>
          </w:rPr>
          <w:fldChar w:fldCharType="separate"/>
        </w:r>
        <w:r w:rsidR="00C55899">
          <w:rPr>
            <w:noProof/>
            <w:webHidden/>
          </w:rPr>
          <w:t>9</w:t>
        </w:r>
        <w:r w:rsidR="0087474C">
          <w:rPr>
            <w:noProof/>
            <w:webHidden/>
          </w:rPr>
          <w:fldChar w:fldCharType="end"/>
        </w:r>
      </w:hyperlink>
    </w:p>
    <w:p w:rsidR="0087474C" w:rsidRDefault="00012047">
      <w:pPr>
        <w:pStyle w:val="TOC1"/>
        <w:rPr>
          <w:rFonts w:asciiTheme="minorHAnsi" w:eastAsiaTheme="minorEastAsia" w:hAnsiTheme="minorHAnsi" w:cstheme="minorBidi"/>
          <w:caps w:val="0"/>
          <w:noProof/>
          <w:sz w:val="22"/>
          <w:szCs w:val="22"/>
        </w:rPr>
      </w:pPr>
      <w:hyperlink w:anchor="_Toc379547090" w:history="1">
        <w:r w:rsidR="0087474C" w:rsidRPr="00755F78">
          <w:rPr>
            <w:rStyle w:val="Hyperlink"/>
            <w:rFonts w:eastAsia="Calibri"/>
            <w:noProof/>
          </w:rPr>
          <w:t>III.</w:t>
        </w:r>
        <w:r w:rsidR="0087474C">
          <w:rPr>
            <w:rFonts w:asciiTheme="minorHAnsi" w:eastAsiaTheme="minorEastAsia" w:hAnsiTheme="minorHAnsi" w:cstheme="minorBidi"/>
            <w:caps w:val="0"/>
            <w:noProof/>
            <w:sz w:val="22"/>
            <w:szCs w:val="22"/>
          </w:rPr>
          <w:tab/>
        </w:r>
        <w:r w:rsidR="0087474C" w:rsidRPr="00755F78">
          <w:rPr>
            <w:rStyle w:val="Hyperlink"/>
            <w:rFonts w:eastAsia="Calibri"/>
            <w:noProof/>
          </w:rPr>
          <w:t>CONCLUSION</w:t>
        </w:r>
        <w:r w:rsidR="0087474C">
          <w:rPr>
            <w:noProof/>
            <w:webHidden/>
          </w:rPr>
          <w:tab/>
        </w:r>
        <w:r w:rsidR="0087474C">
          <w:rPr>
            <w:noProof/>
            <w:webHidden/>
          </w:rPr>
          <w:fldChar w:fldCharType="begin"/>
        </w:r>
        <w:r w:rsidR="0087474C">
          <w:rPr>
            <w:noProof/>
            <w:webHidden/>
          </w:rPr>
          <w:instrText xml:space="preserve"> PAGEREF _Toc379547090 \h </w:instrText>
        </w:r>
        <w:r w:rsidR="0087474C">
          <w:rPr>
            <w:noProof/>
            <w:webHidden/>
          </w:rPr>
        </w:r>
        <w:r w:rsidR="0087474C">
          <w:rPr>
            <w:noProof/>
            <w:webHidden/>
          </w:rPr>
          <w:fldChar w:fldCharType="separate"/>
        </w:r>
        <w:r w:rsidR="00C55899">
          <w:rPr>
            <w:noProof/>
            <w:webHidden/>
          </w:rPr>
          <w:t>11</w:t>
        </w:r>
        <w:r w:rsidR="0087474C">
          <w:rPr>
            <w:noProof/>
            <w:webHidden/>
          </w:rPr>
          <w:fldChar w:fldCharType="end"/>
        </w:r>
      </w:hyperlink>
    </w:p>
    <w:p w:rsidR="00D40C95" w:rsidRDefault="001C26F7" w:rsidP="00B265BD">
      <w:pPr>
        <w:pStyle w:val="HTMLPreformatted"/>
        <w:tabs>
          <w:tab w:val="decimal" w:leader="dot" w:pos="8640"/>
        </w:tabs>
        <w:ind w:right="720"/>
        <w:rPr>
          <w:rFonts w:ascii="Times New Roman" w:hAnsi="Times New Roman"/>
          <w:b/>
          <w:bCs/>
          <w:sz w:val="24"/>
        </w:rPr>
      </w:pPr>
      <w:r>
        <w:rPr>
          <w:rFonts w:ascii="Times New Roman" w:hAnsi="Times New Roman"/>
          <w:b/>
          <w:bCs/>
          <w:sz w:val="24"/>
        </w:rPr>
        <w:fldChar w:fldCharType="end"/>
      </w:r>
    </w:p>
    <w:p w:rsidR="00D40C95" w:rsidRDefault="00D40C95" w:rsidP="00D40C95">
      <w:pPr>
        <w:pStyle w:val="HTMLPreformatted"/>
        <w:rPr>
          <w:rFonts w:ascii="Times New Roman" w:hAnsi="Times New Roman"/>
          <w:b/>
          <w:bCs/>
          <w:sz w:val="24"/>
        </w:rPr>
      </w:pPr>
    </w:p>
    <w:p w:rsidR="00D40C95" w:rsidRDefault="00D40C95" w:rsidP="00D40C95">
      <w:pPr>
        <w:pStyle w:val="HTMLPreformatted"/>
        <w:rPr>
          <w:rFonts w:ascii="Times New Roman" w:hAnsi="Times New Roman"/>
          <w:b/>
          <w:bCs/>
          <w:sz w:val="24"/>
        </w:rPr>
      </w:pPr>
    </w:p>
    <w:p w:rsidR="00F5010A" w:rsidRDefault="00F5010A">
      <w:pPr>
        <w:pStyle w:val="HTMLPreformatted"/>
        <w:jc w:val="center"/>
        <w:rPr>
          <w:rFonts w:ascii="Times New Roman" w:hAnsi="Times New Roman"/>
          <w:b/>
          <w:bCs/>
          <w:sz w:val="24"/>
        </w:rPr>
        <w:sectPr w:rsidR="00F5010A" w:rsidSect="00D40C95">
          <w:footerReference w:type="first" r:id="rId15"/>
          <w:pgSz w:w="12240" w:h="15840"/>
          <w:pgMar w:top="1440" w:right="1800" w:bottom="1440" w:left="1800" w:header="720" w:footer="720" w:gutter="0"/>
          <w:pgNumType w:fmt="lowerRoman" w:start="1"/>
          <w:cols w:space="720"/>
          <w:titlePg/>
          <w:docGrid w:linePitch="65"/>
        </w:sectPr>
      </w:pPr>
    </w:p>
    <w:p w:rsidR="000C2FD2" w:rsidRDefault="000C2FD2">
      <w:pPr>
        <w:pStyle w:val="HTMLPreformatted"/>
        <w:jc w:val="center"/>
        <w:rPr>
          <w:rFonts w:ascii="Times New Roman" w:hAnsi="Times New Roman"/>
          <w:b/>
          <w:bCs/>
          <w:sz w:val="24"/>
        </w:rPr>
      </w:pPr>
      <w:r>
        <w:rPr>
          <w:rFonts w:ascii="Times New Roman" w:hAnsi="Times New Roman"/>
          <w:b/>
          <w:bCs/>
          <w:sz w:val="24"/>
        </w:rPr>
        <w:lastRenderedPageBreak/>
        <w:t>BEFORE</w:t>
      </w:r>
    </w:p>
    <w:p w:rsidR="000C2FD2" w:rsidRDefault="000C2FD2">
      <w:pPr>
        <w:pStyle w:val="HTMLPreformatted"/>
        <w:jc w:val="center"/>
        <w:rPr>
          <w:rFonts w:ascii="Times New Roman" w:hAnsi="Times New Roman"/>
          <w:sz w:val="24"/>
        </w:rPr>
      </w:pPr>
      <w:r>
        <w:rPr>
          <w:rFonts w:ascii="Times New Roman" w:hAnsi="Times New Roman"/>
          <w:b/>
          <w:bCs/>
          <w:sz w:val="24"/>
        </w:rPr>
        <w:t>THE PUBLIC UTILITIES COMMISSION OF OHIO</w:t>
      </w:r>
    </w:p>
    <w:p w:rsidR="000C2FD2" w:rsidRDefault="000C2FD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0C2FD2">
        <w:trPr>
          <w:trHeight w:val="807"/>
        </w:trPr>
        <w:tc>
          <w:tcPr>
            <w:tcW w:w="4332" w:type="dxa"/>
            <w:shd w:val="clear" w:color="auto" w:fill="auto"/>
          </w:tcPr>
          <w:p w:rsidR="000C2FD2" w:rsidRDefault="00C56937" w:rsidP="00C53073">
            <w:pPr>
              <w:pStyle w:val="HTMLPreformatted"/>
              <w:rPr>
                <w:rFonts w:ascii="Times New Roman" w:hAnsi="Times New Roman"/>
                <w:sz w:val="24"/>
                <w:szCs w:val="24"/>
              </w:rPr>
            </w:pPr>
            <w:r w:rsidRPr="00C56937">
              <w:rPr>
                <w:rFonts w:ascii="Times New Roman" w:hAnsi="Times New Roman" w:cs="Times New Roman"/>
                <w:sz w:val="24"/>
                <w:szCs w:val="24"/>
              </w:rPr>
              <w:t>In the Matter of the Application of Duke Energy Ohio, Inc., to</w:t>
            </w:r>
            <w:r w:rsidR="00182C45">
              <w:rPr>
                <w:rFonts w:ascii="Times New Roman" w:hAnsi="Times New Roman" w:cs="Times New Roman"/>
                <w:sz w:val="24"/>
                <w:szCs w:val="24"/>
              </w:rPr>
              <w:t xml:space="preserve"> </w:t>
            </w:r>
            <w:r w:rsidRPr="00C56937">
              <w:rPr>
                <w:rFonts w:ascii="Times New Roman" w:hAnsi="Times New Roman" w:cs="Times New Roman"/>
                <w:sz w:val="24"/>
                <w:szCs w:val="24"/>
              </w:rPr>
              <w:t>Establish Reliability Targets.</w:t>
            </w:r>
          </w:p>
        </w:tc>
        <w:tc>
          <w:tcPr>
            <w:tcW w:w="360" w:type="dxa"/>
            <w:shd w:val="clear" w:color="auto" w:fill="auto"/>
          </w:tcPr>
          <w:p w:rsidR="000C2FD2" w:rsidRDefault="000C2FD2">
            <w:pPr>
              <w:pStyle w:val="HTMLPreformatted"/>
              <w:rPr>
                <w:rFonts w:ascii="Times New Roman" w:hAnsi="Times New Roman"/>
                <w:sz w:val="24"/>
              </w:rPr>
            </w:pPr>
            <w:r>
              <w:rPr>
                <w:rFonts w:ascii="Times New Roman" w:hAnsi="Times New Roman"/>
                <w:sz w:val="24"/>
              </w:rPr>
              <w:t>)</w:t>
            </w:r>
          </w:p>
          <w:p w:rsidR="000C2FD2" w:rsidRDefault="000C2FD2">
            <w:pPr>
              <w:pStyle w:val="HTMLPreformatted"/>
              <w:rPr>
                <w:rFonts w:ascii="Times New Roman" w:hAnsi="Times New Roman"/>
                <w:sz w:val="24"/>
              </w:rPr>
            </w:pPr>
            <w:r>
              <w:rPr>
                <w:rFonts w:ascii="Times New Roman" w:hAnsi="Times New Roman"/>
                <w:sz w:val="24"/>
              </w:rPr>
              <w:t>)</w:t>
            </w:r>
          </w:p>
          <w:p w:rsidR="000C2FD2" w:rsidRDefault="000C2FD2">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0C2FD2" w:rsidRDefault="000C2FD2">
            <w:pPr>
              <w:pStyle w:val="HTMLPreformatted"/>
              <w:rPr>
                <w:rFonts w:ascii="Times New Roman" w:hAnsi="Times New Roman"/>
                <w:sz w:val="24"/>
              </w:rPr>
            </w:pPr>
          </w:p>
          <w:p w:rsidR="000C2FD2" w:rsidRDefault="00C56937">
            <w:pPr>
              <w:pStyle w:val="HTMLPreformatted"/>
              <w:rPr>
                <w:rFonts w:ascii="Times New Roman" w:hAnsi="Times New Roman"/>
                <w:sz w:val="24"/>
              </w:rPr>
            </w:pPr>
            <w:r w:rsidRPr="00C56937">
              <w:rPr>
                <w:rFonts w:ascii="Times New Roman" w:hAnsi="Times New Roman"/>
                <w:sz w:val="24"/>
              </w:rPr>
              <w:t>Case No. 13-1539 -EL-ESS</w:t>
            </w:r>
          </w:p>
        </w:tc>
      </w:tr>
    </w:tbl>
    <w:p w:rsidR="008C2387" w:rsidRDefault="008C2387">
      <w:pPr>
        <w:pStyle w:val="HTMLPreformatted"/>
        <w:rPr>
          <w:rFonts w:ascii="Times New Roman" w:hAnsi="Times New Roman"/>
          <w:sz w:val="24"/>
        </w:rPr>
      </w:pPr>
    </w:p>
    <w:p w:rsidR="000C2FD2" w:rsidRDefault="000C2FD2">
      <w:pPr>
        <w:pStyle w:val="HTMLPreformatted"/>
        <w:pBdr>
          <w:top w:val="single" w:sz="12" w:space="1" w:color="auto"/>
        </w:pBdr>
        <w:rPr>
          <w:rFonts w:ascii="Times New Roman" w:hAnsi="Times New Roman"/>
          <w:sz w:val="24"/>
        </w:rPr>
      </w:pPr>
    </w:p>
    <w:p w:rsidR="00441022" w:rsidRDefault="003C2812">
      <w:pPr>
        <w:jc w:val="center"/>
        <w:rPr>
          <w:b/>
          <w:bCs/>
        </w:rPr>
      </w:pPr>
      <w:r>
        <w:rPr>
          <w:b/>
          <w:bCs/>
        </w:rPr>
        <w:t xml:space="preserve">REPLY </w:t>
      </w:r>
      <w:r w:rsidR="00476C67">
        <w:rPr>
          <w:b/>
          <w:bCs/>
        </w:rPr>
        <w:t xml:space="preserve">COMMENTS </w:t>
      </w:r>
    </w:p>
    <w:p w:rsidR="000C2FD2" w:rsidRDefault="00441022">
      <w:pPr>
        <w:jc w:val="center"/>
        <w:rPr>
          <w:b/>
          <w:bCs/>
        </w:rPr>
      </w:pPr>
      <w:r>
        <w:rPr>
          <w:b/>
          <w:bCs/>
        </w:rPr>
        <w:t>BY</w:t>
      </w:r>
    </w:p>
    <w:p w:rsidR="000C2FD2" w:rsidRDefault="000C2FD2">
      <w:pPr>
        <w:jc w:val="center"/>
        <w:rPr>
          <w:b/>
          <w:bCs/>
        </w:rPr>
      </w:pPr>
      <w:r>
        <w:rPr>
          <w:b/>
          <w:bCs/>
        </w:rPr>
        <w:t>THE OFFICE OF THE OHIO CONSUMERS</w:t>
      </w:r>
      <w:r w:rsidR="00B265BD">
        <w:rPr>
          <w:b/>
          <w:bCs/>
        </w:rPr>
        <w:t>’</w:t>
      </w:r>
      <w:r>
        <w:rPr>
          <w:b/>
          <w:bCs/>
        </w:rPr>
        <w:t xml:space="preserve"> COUNSEL</w:t>
      </w:r>
    </w:p>
    <w:p w:rsidR="000C2FD2" w:rsidRDefault="000C2FD2">
      <w:pPr>
        <w:pBdr>
          <w:bottom w:val="single" w:sz="12" w:space="1" w:color="auto"/>
        </w:pBdr>
        <w:tabs>
          <w:tab w:val="left" w:pos="4320"/>
        </w:tabs>
      </w:pPr>
    </w:p>
    <w:p w:rsidR="000C2FD2" w:rsidRDefault="000C2FD2">
      <w:pPr>
        <w:tabs>
          <w:tab w:val="left" w:pos="4320"/>
        </w:tabs>
      </w:pPr>
    </w:p>
    <w:p w:rsidR="008C1F07" w:rsidRDefault="008C1F07">
      <w:pPr>
        <w:tabs>
          <w:tab w:val="left" w:pos="4320"/>
        </w:tabs>
      </w:pPr>
    </w:p>
    <w:p w:rsidR="008A2A82" w:rsidRDefault="008A2A82" w:rsidP="00D40C95">
      <w:pPr>
        <w:pStyle w:val="Heading1"/>
        <w:rPr>
          <w:rFonts w:eastAsia="Calibri"/>
        </w:rPr>
      </w:pPr>
      <w:bookmarkStart w:id="1" w:name="_Toc375919102"/>
      <w:bookmarkStart w:id="2" w:name="_Toc375919137"/>
      <w:bookmarkStart w:id="3" w:name="_Toc379373889"/>
      <w:bookmarkStart w:id="4" w:name="_Toc379547082"/>
      <w:r>
        <w:rPr>
          <w:rFonts w:eastAsia="Calibri"/>
        </w:rPr>
        <w:t>I.</w:t>
      </w:r>
      <w:r>
        <w:rPr>
          <w:rFonts w:eastAsia="Calibri"/>
        </w:rPr>
        <w:tab/>
      </w:r>
      <w:r w:rsidRPr="008A2A82">
        <w:rPr>
          <w:rFonts w:eastAsia="Calibri"/>
        </w:rPr>
        <w:t>INTRODUCTION</w:t>
      </w:r>
      <w:bookmarkEnd w:id="1"/>
      <w:bookmarkEnd w:id="2"/>
      <w:bookmarkEnd w:id="3"/>
      <w:bookmarkEnd w:id="4"/>
    </w:p>
    <w:p w:rsidR="00B179EA" w:rsidRDefault="003C2812" w:rsidP="00541EFF">
      <w:pPr>
        <w:pStyle w:val="BodyTextIndent3"/>
        <w:widowControl w:val="0"/>
        <w:spacing w:line="480" w:lineRule="auto"/>
        <w:ind w:right="-24"/>
        <w:rPr>
          <w:rFonts w:eastAsia="Calibri"/>
          <w:szCs w:val="24"/>
        </w:rPr>
      </w:pPr>
      <w:r>
        <w:rPr>
          <w:rFonts w:eastAsia="Calibri"/>
          <w:szCs w:val="24"/>
        </w:rPr>
        <w:t xml:space="preserve">Despite having spent tens of millions of dollars of customer money for grid modernization improvements, </w:t>
      </w:r>
      <w:r w:rsidR="00CE5060">
        <w:rPr>
          <w:rFonts w:eastAsia="Calibri"/>
          <w:szCs w:val="24"/>
        </w:rPr>
        <w:t>Duke Energy Ohio</w:t>
      </w:r>
      <w:r w:rsidR="00CE5060" w:rsidRPr="007B642D">
        <w:rPr>
          <w:rFonts w:eastAsia="Calibri"/>
          <w:szCs w:val="24"/>
        </w:rPr>
        <w:t>, Inc. (</w:t>
      </w:r>
      <w:r w:rsidR="00B265BD">
        <w:rPr>
          <w:rFonts w:eastAsia="Calibri"/>
          <w:szCs w:val="24"/>
        </w:rPr>
        <w:t>“</w:t>
      </w:r>
      <w:r w:rsidR="00CE5060" w:rsidRPr="007B642D">
        <w:rPr>
          <w:rFonts w:eastAsia="Calibri"/>
          <w:szCs w:val="24"/>
        </w:rPr>
        <w:t>Duke</w:t>
      </w:r>
      <w:r w:rsidR="00B265BD">
        <w:rPr>
          <w:rFonts w:eastAsia="Calibri"/>
          <w:szCs w:val="24"/>
        </w:rPr>
        <w:t>”</w:t>
      </w:r>
      <w:r w:rsidR="00CE5060" w:rsidRPr="007B642D">
        <w:rPr>
          <w:rFonts w:eastAsia="Calibri"/>
          <w:szCs w:val="24"/>
        </w:rPr>
        <w:t xml:space="preserve"> or the </w:t>
      </w:r>
      <w:r w:rsidR="00B265BD">
        <w:rPr>
          <w:rFonts w:eastAsia="Calibri"/>
          <w:szCs w:val="24"/>
        </w:rPr>
        <w:t>“</w:t>
      </w:r>
      <w:r w:rsidR="00CE5060">
        <w:rPr>
          <w:rFonts w:eastAsia="Calibri"/>
          <w:szCs w:val="24"/>
        </w:rPr>
        <w:t>Utility</w:t>
      </w:r>
      <w:r w:rsidR="00B265BD">
        <w:rPr>
          <w:rFonts w:eastAsia="Calibri"/>
          <w:szCs w:val="24"/>
        </w:rPr>
        <w:t>”</w:t>
      </w:r>
      <w:r w:rsidR="00CE5060" w:rsidRPr="007B642D">
        <w:rPr>
          <w:rFonts w:eastAsia="Calibri"/>
          <w:szCs w:val="24"/>
        </w:rPr>
        <w:t>)</w:t>
      </w:r>
      <w:r w:rsidR="002075B3">
        <w:rPr>
          <w:rFonts w:eastAsia="Calibri"/>
          <w:szCs w:val="24"/>
        </w:rPr>
        <w:t xml:space="preserve"> </w:t>
      </w:r>
      <w:r>
        <w:rPr>
          <w:rFonts w:eastAsia="Calibri"/>
          <w:szCs w:val="24"/>
        </w:rPr>
        <w:t xml:space="preserve">filed an </w:t>
      </w:r>
      <w:r w:rsidR="00541EFF">
        <w:rPr>
          <w:rFonts w:eastAsia="Calibri"/>
          <w:szCs w:val="24"/>
        </w:rPr>
        <w:t>updated reliability performance standard application</w:t>
      </w:r>
      <w:r>
        <w:rPr>
          <w:rFonts w:eastAsia="Calibri"/>
          <w:szCs w:val="24"/>
        </w:rPr>
        <w:t xml:space="preserve"> proposing</w:t>
      </w:r>
      <w:r w:rsidR="006C3AB6">
        <w:rPr>
          <w:rFonts w:eastAsia="Calibri"/>
          <w:szCs w:val="24"/>
        </w:rPr>
        <w:t xml:space="preserve"> no improvement in </w:t>
      </w:r>
      <w:r w:rsidR="001B3F79">
        <w:rPr>
          <w:rFonts w:eastAsia="Calibri"/>
          <w:szCs w:val="24"/>
        </w:rPr>
        <w:t>the electric</w:t>
      </w:r>
      <w:r w:rsidR="002D183B">
        <w:rPr>
          <w:rFonts w:eastAsia="Calibri"/>
          <w:szCs w:val="24"/>
        </w:rPr>
        <w:t xml:space="preserve"> service </w:t>
      </w:r>
      <w:r>
        <w:rPr>
          <w:rFonts w:eastAsia="Calibri"/>
          <w:szCs w:val="24"/>
        </w:rPr>
        <w:t>reliability standards</w:t>
      </w:r>
      <w:r w:rsidR="006C3AB6">
        <w:rPr>
          <w:rFonts w:eastAsia="Calibri"/>
          <w:szCs w:val="24"/>
        </w:rPr>
        <w:t xml:space="preserve"> that Duke must meet</w:t>
      </w:r>
      <w:r>
        <w:rPr>
          <w:rFonts w:eastAsia="Calibri"/>
          <w:szCs w:val="24"/>
        </w:rPr>
        <w:t xml:space="preserve">.  </w:t>
      </w:r>
      <w:r w:rsidR="00415C3E">
        <w:rPr>
          <w:rFonts w:eastAsia="Calibri"/>
          <w:szCs w:val="24"/>
        </w:rPr>
        <w:t>Specifically</w:t>
      </w:r>
      <w:r>
        <w:rPr>
          <w:rFonts w:eastAsia="Calibri"/>
          <w:szCs w:val="24"/>
        </w:rPr>
        <w:t xml:space="preserve">, Duke proposed no improvement in the standard for frequency of customer interruptions </w:t>
      </w:r>
      <w:r w:rsidR="00415C3E">
        <w:rPr>
          <w:rFonts w:eastAsia="Calibri"/>
          <w:szCs w:val="24"/>
        </w:rPr>
        <w:t>(SAIFI)</w:t>
      </w:r>
      <w:r w:rsidR="00415C3E">
        <w:rPr>
          <w:rStyle w:val="FootnoteReference"/>
          <w:rFonts w:eastAsia="Calibri"/>
          <w:szCs w:val="24"/>
        </w:rPr>
        <w:footnoteReference w:id="2"/>
      </w:r>
      <w:r w:rsidR="00415C3E">
        <w:rPr>
          <w:rFonts w:eastAsia="Calibri"/>
          <w:szCs w:val="24"/>
        </w:rPr>
        <w:t xml:space="preserve"> </w:t>
      </w:r>
      <w:r>
        <w:rPr>
          <w:rFonts w:eastAsia="Calibri"/>
          <w:szCs w:val="24"/>
        </w:rPr>
        <w:t>and it proposed a</w:t>
      </w:r>
      <w:r w:rsidR="005B6311">
        <w:rPr>
          <w:rFonts w:eastAsia="Calibri"/>
          <w:szCs w:val="24"/>
        </w:rPr>
        <w:t xml:space="preserve">n increase </w:t>
      </w:r>
      <w:r>
        <w:rPr>
          <w:rFonts w:eastAsia="Calibri"/>
          <w:szCs w:val="24"/>
        </w:rPr>
        <w:t>(worsening) in the duration of customer interruptions</w:t>
      </w:r>
      <w:r w:rsidR="00415C3E">
        <w:rPr>
          <w:rFonts w:eastAsia="Calibri"/>
          <w:szCs w:val="24"/>
        </w:rPr>
        <w:t xml:space="preserve"> (CAIDI)</w:t>
      </w:r>
      <w:r w:rsidR="00541EFF">
        <w:rPr>
          <w:rFonts w:eastAsia="Calibri"/>
          <w:szCs w:val="24"/>
        </w:rPr>
        <w:t>.</w:t>
      </w:r>
      <w:r w:rsidR="00415C3E">
        <w:rPr>
          <w:rStyle w:val="FootnoteReference"/>
          <w:rFonts w:eastAsia="Calibri"/>
          <w:szCs w:val="24"/>
        </w:rPr>
        <w:footnoteReference w:id="3"/>
      </w:r>
      <w:r w:rsidR="00415C3E">
        <w:rPr>
          <w:rFonts w:eastAsia="Calibri"/>
          <w:szCs w:val="24"/>
        </w:rPr>
        <w:t xml:space="preserve"> </w:t>
      </w:r>
      <w:r w:rsidR="004F47A7">
        <w:rPr>
          <w:rFonts w:eastAsia="Calibri"/>
          <w:szCs w:val="24"/>
        </w:rPr>
        <w:br/>
      </w:r>
      <w:r w:rsidR="004F47A7">
        <w:rPr>
          <w:rFonts w:eastAsia="Calibri"/>
          <w:szCs w:val="24"/>
        </w:rPr>
        <w:tab/>
      </w:r>
      <w:r w:rsidR="00415C3E">
        <w:rPr>
          <w:rFonts w:eastAsia="Calibri"/>
          <w:szCs w:val="24"/>
        </w:rPr>
        <w:t xml:space="preserve">OCC filed Comments in </w:t>
      </w:r>
      <w:r w:rsidR="005B6311">
        <w:rPr>
          <w:rFonts w:eastAsia="Calibri"/>
          <w:szCs w:val="24"/>
        </w:rPr>
        <w:t>response to Duke</w:t>
      </w:r>
      <w:r w:rsidR="00B265BD">
        <w:rPr>
          <w:rFonts w:eastAsia="Calibri"/>
          <w:szCs w:val="24"/>
        </w:rPr>
        <w:t>’</w:t>
      </w:r>
      <w:r w:rsidR="005B6311">
        <w:rPr>
          <w:rFonts w:eastAsia="Calibri"/>
          <w:szCs w:val="24"/>
        </w:rPr>
        <w:t xml:space="preserve">s application </w:t>
      </w:r>
      <w:r w:rsidR="00415C3E">
        <w:rPr>
          <w:rFonts w:eastAsia="Calibri"/>
          <w:szCs w:val="24"/>
        </w:rPr>
        <w:t xml:space="preserve">on January 6, 2014.  </w:t>
      </w:r>
      <w:r w:rsidR="00B179EA">
        <w:rPr>
          <w:rFonts w:eastAsia="Calibri"/>
          <w:szCs w:val="24"/>
        </w:rPr>
        <w:t>In those comments, the OCC urged the PUCO to den</w:t>
      </w:r>
      <w:r w:rsidR="00284EA7">
        <w:rPr>
          <w:rFonts w:eastAsia="Calibri"/>
          <w:szCs w:val="24"/>
        </w:rPr>
        <w:t>y</w:t>
      </w:r>
      <w:r w:rsidR="00B179EA">
        <w:rPr>
          <w:rFonts w:eastAsia="Calibri"/>
          <w:szCs w:val="24"/>
        </w:rPr>
        <w:t xml:space="preserve"> Duke’s Application.  </w:t>
      </w:r>
    </w:p>
    <w:p w:rsidR="0087474C" w:rsidRDefault="00415C3E" w:rsidP="00541EFF">
      <w:pPr>
        <w:pStyle w:val="BodyTextIndent3"/>
        <w:widowControl w:val="0"/>
        <w:spacing w:line="480" w:lineRule="auto"/>
        <w:ind w:right="-24"/>
        <w:rPr>
          <w:rFonts w:eastAsia="Calibri"/>
          <w:szCs w:val="24"/>
        </w:rPr>
      </w:pPr>
      <w:r>
        <w:rPr>
          <w:rFonts w:eastAsia="Calibri"/>
          <w:szCs w:val="24"/>
        </w:rPr>
        <w:t>T</w:t>
      </w:r>
      <w:r w:rsidR="004F47A7">
        <w:rPr>
          <w:rFonts w:eastAsia="Calibri"/>
          <w:szCs w:val="24"/>
        </w:rPr>
        <w:t>he Staff (</w:t>
      </w:r>
      <w:r w:rsidR="00B265BD">
        <w:rPr>
          <w:rFonts w:eastAsia="Calibri"/>
          <w:szCs w:val="24"/>
        </w:rPr>
        <w:t>“</w:t>
      </w:r>
      <w:r w:rsidR="004F47A7">
        <w:rPr>
          <w:rFonts w:eastAsia="Calibri"/>
          <w:szCs w:val="24"/>
        </w:rPr>
        <w:t>PUCO Staff</w:t>
      </w:r>
      <w:r w:rsidR="00B265BD">
        <w:rPr>
          <w:rFonts w:eastAsia="Calibri"/>
          <w:szCs w:val="24"/>
        </w:rPr>
        <w:t>”</w:t>
      </w:r>
      <w:r w:rsidR="004F47A7">
        <w:rPr>
          <w:rFonts w:eastAsia="Calibri"/>
          <w:szCs w:val="24"/>
        </w:rPr>
        <w:t>) of the Public Utilities Commission of Ohio (</w:t>
      </w:r>
      <w:r w:rsidR="00B265BD">
        <w:rPr>
          <w:rFonts w:eastAsia="Calibri"/>
          <w:szCs w:val="24"/>
        </w:rPr>
        <w:t>“</w:t>
      </w:r>
      <w:r w:rsidR="004F47A7">
        <w:rPr>
          <w:rFonts w:eastAsia="Calibri"/>
          <w:szCs w:val="24"/>
        </w:rPr>
        <w:t>PUCO</w:t>
      </w:r>
      <w:r w:rsidR="00B265BD">
        <w:rPr>
          <w:rFonts w:eastAsia="Calibri"/>
          <w:szCs w:val="24"/>
        </w:rPr>
        <w:t>”</w:t>
      </w:r>
      <w:r w:rsidR="004F47A7">
        <w:rPr>
          <w:rFonts w:eastAsia="Calibri"/>
          <w:szCs w:val="24"/>
        </w:rPr>
        <w:t xml:space="preserve"> or Commission</w:t>
      </w:r>
      <w:r w:rsidR="00B265BD">
        <w:rPr>
          <w:rFonts w:eastAsia="Calibri"/>
          <w:szCs w:val="24"/>
        </w:rPr>
        <w:t>”</w:t>
      </w:r>
      <w:r w:rsidR="004F47A7">
        <w:rPr>
          <w:rFonts w:eastAsia="Calibri"/>
          <w:szCs w:val="24"/>
        </w:rPr>
        <w:t xml:space="preserve">) </w:t>
      </w:r>
      <w:r>
        <w:rPr>
          <w:rFonts w:eastAsia="Calibri"/>
          <w:szCs w:val="24"/>
        </w:rPr>
        <w:t xml:space="preserve">filed Comments </w:t>
      </w:r>
      <w:r w:rsidR="004F47A7">
        <w:rPr>
          <w:rFonts w:eastAsia="Calibri"/>
          <w:szCs w:val="24"/>
        </w:rPr>
        <w:t>on January 21, 2014</w:t>
      </w:r>
      <w:r>
        <w:rPr>
          <w:rFonts w:eastAsia="Calibri"/>
          <w:szCs w:val="24"/>
        </w:rPr>
        <w:t>.  In its Comments</w:t>
      </w:r>
      <w:r w:rsidR="004F47A7">
        <w:rPr>
          <w:rFonts w:eastAsia="Calibri"/>
          <w:szCs w:val="24"/>
        </w:rPr>
        <w:t xml:space="preserve">, </w:t>
      </w:r>
      <w:r w:rsidR="002C7C27">
        <w:rPr>
          <w:rFonts w:eastAsia="Calibri"/>
          <w:szCs w:val="24"/>
        </w:rPr>
        <w:t xml:space="preserve">the </w:t>
      </w:r>
      <w:r w:rsidR="004F47A7">
        <w:rPr>
          <w:rFonts w:eastAsia="Calibri"/>
          <w:szCs w:val="24"/>
        </w:rPr>
        <w:t xml:space="preserve">PUCO Staff </w:t>
      </w:r>
      <w:r w:rsidR="002D183B">
        <w:rPr>
          <w:rFonts w:eastAsia="Calibri"/>
          <w:szCs w:val="24"/>
        </w:rPr>
        <w:t>found that Duke inappropriately developed its CAIDI standard.</w:t>
      </w:r>
      <w:r w:rsidR="002D183B">
        <w:rPr>
          <w:rStyle w:val="FootnoteReference"/>
          <w:rFonts w:eastAsia="Calibri"/>
          <w:szCs w:val="24"/>
        </w:rPr>
        <w:footnoteReference w:id="4"/>
      </w:r>
      <w:r w:rsidR="002D183B">
        <w:rPr>
          <w:rFonts w:eastAsia="Calibri"/>
          <w:szCs w:val="24"/>
        </w:rPr>
        <w:t xml:space="preserve">  Additionally, </w:t>
      </w:r>
      <w:r w:rsidR="002C7C27">
        <w:rPr>
          <w:rFonts w:eastAsia="Calibri"/>
          <w:szCs w:val="24"/>
        </w:rPr>
        <w:t xml:space="preserve">the </w:t>
      </w:r>
    </w:p>
    <w:p w:rsidR="00C55277" w:rsidRDefault="0087474C" w:rsidP="0087474C">
      <w:pPr>
        <w:pStyle w:val="BodyTextIndent3"/>
        <w:widowControl w:val="0"/>
        <w:spacing w:line="480" w:lineRule="auto"/>
        <w:ind w:right="-24" w:firstLine="0"/>
        <w:rPr>
          <w:rFonts w:eastAsia="Calibri"/>
          <w:szCs w:val="24"/>
        </w:rPr>
      </w:pPr>
      <w:r>
        <w:rPr>
          <w:rFonts w:eastAsia="Calibri"/>
          <w:szCs w:val="24"/>
        </w:rPr>
        <w:br w:type="page"/>
      </w:r>
      <w:r w:rsidR="00B40CD8">
        <w:rPr>
          <w:rFonts w:eastAsia="Calibri"/>
          <w:szCs w:val="24"/>
        </w:rPr>
        <w:t xml:space="preserve">PUCO </w:t>
      </w:r>
      <w:r w:rsidR="002D183B">
        <w:rPr>
          <w:rFonts w:eastAsia="Calibri"/>
          <w:szCs w:val="24"/>
        </w:rPr>
        <w:t>Staff found that Duke should have used the more accurate data generated by Duke</w:t>
      </w:r>
      <w:r w:rsidR="00B265BD">
        <w:rPr>
          <w:rFonts w:eastAsia="Calibri"/>
          <w:szCs w:val="24"/>
        </w:rPr>
        <w:t>’</w:t>
      </w:r>
      <w:r w:rsidR="002D183B">
        <w:rPr>
          <w:rFonts w:eastAsia="Calibri"/>
          <w:szCs w:val="24"/>
        </w:rPr>
        <w:t>s outage management system rather than the information filed in Duke</w:t>
      </w:r>
      <w:r w:rsidR="00B265BD">
        <w:rPr>
          <w:rFonts w:eastAsia="Calibri"/>
          <w:szCs w:val="24"/>
        </w:rPr>
        <w:t>’</w:t>
      </w:r>
      <w:r w:rsidR="002D183B">
        <w:rPr>
          <w:rFonts w:eastAsia="Calibri"/>
          <w:szCs w:val="24"/>
        </w:rPr>
        <w:t>s annual reliability reports.</w:t>
      </w:r>
      <w:r w:rsidR="002D183B">
        <w:rPr>
          <w:rStyle w:val="FootnoteReference"/>
          <w:rFonts w:eastAsia="Calibri"/>
          <w:szCs w:val="24"/>
        </w:rPr>
        <w:footnoteReference w:id="5"/>
      </w:r>
      <w:r w:rsidR="00BC05BE">
        <w:rPr>
          <w:rFonts w:eastAsia="Calibri"/>
          <w:szCs w:val="24"/>
        </w:rPr>
        <w:t xml:space="preserve">  </w:t>
      </w:r>
      <w:r w:rsidR="002C7C27">
        <w:rPr>
          <w:rFonts w:eastAsia="Calibri"/>
          <w:szCs w:val="24"/>
        </w:rPr>
        <w:t xml:space="preserve">The </w:t>
      </w:r>
      <w:r w:rsidR="00BC05BE">
        <w:rPr>
          <w:rFonts w:eastAsia="Calibri"/>
          <w:szCs w:val="24"/>
        </w:rPr>
        <w:t xml:space="preserve">PUCO Staff also made a number of other recommendations regarding </w:t>
      </w:r>
      <w:r w:rsidR="002C7C27">
        <w:rPr>
          <w:rFonts w:eastAsia="Calibri"/>
          <w:szCs w:val="24"/>
        </w:rPr>
        <w:t xml:space="preserve">how the </w:t>
      </w:r>
      <w:r w:rsidR="00BC05BE">
        <w:rPr>
          <w:rFonts w:eastAsia="Calibri"/>
          <w:szCs w:val="24"/>
        </w:rPr>
        <w:t>performance reliability standards</w:t>
      </w:r>
      <w:r w:rsidR="002C7C27">
        <w:rPr>
          <w:rFonts w:eastAsia="Calibri"/>
          <w:szCs w:val="24"/>
        </w:rPr>
        <w:t xml:space="preserve"> should be calculated. </w:t>
      </w:r>
      <w:r w:rsidR="00166CBF">
        <w:rPr>
          <w:rFonts w:eastAsia="Calibri"/>
          <w:szCs w:val="24"/>
        </w:rPr>
        <w:t xml:space="preserve"> </w:t>
      </w:r>
      <w:r w:rsidR="002C7C27">
        <w:rPr>
          <w:rFonts w:eastAsia="Calibri"/>
          <w:szCs w:val="24"/>
        </w:rPr>
        <w:t xml:space="preserve">Those recommendations resulted in the </w:t>
      </w:r>
      <w:r w:rsidR="003E7624">
        <w:rPr>
          <w:rFonts w:eastAsia="Calibri"/>
          <w:szCs w:val="24"/>
        </w:rPr>
        <w:t>PUCO Staff revis</w:t>
      </w:r>
      <w:r w:rsidR="002C7C27">
        <w:rPr>
          <w:rFonts w:eastAsia="Calibri"/>
          <w:szCs w:val="24"/>
        </w:rPr>
        <w:t>ing the</w:t>
      </w:r>
      <w:r w:rsidR="003E7624">
        <w:rPr>
          <w:rFonts w:eastAsia="Calibri"/>
          <w:szCs w:val="24"/>
        </w:rPr>
        <w:t xml:space="preserve"> </w:t>
      </w:r>
      <w:r w:rsidR="00BC05BE">
        <w:rPr>
          <w:rFonts w:eastAsia="Calibri"/>
          <w:szCs w:val="24"/>
        </w:rPr>
        <w:t xml:space="preserve">CAIDI </w:t>
      </w:r>
      <w:r w:rsidR="003E7624">
        <w:rPr>
          <w:rFonts w:eastAsia="Calibri"/>
          <w:szCs w:val="24"/>
        </w:rPr>
        <w:t xml:space="preserve">downward </w:t>
      </w:r>
      <w:r w:rsidR="00BC05BE">
        <w:rPr>
          <w:rFonts w:eastAsia="Calibri"/>
          <w:szCs w:val="24"/>
        </w:rPr>
        <w:t>from Duke’s proposed 127.37 minutes to 116.75 minutes.</w:t>
      </w:r>
    </w:p>
    <w:p w:rsidR="005F52A8" w:rsidRDefault="00313EFA" w:rsidP="00C55277">
      <w:pPr>
        <w:pStyle w:val="BodyTextIndent3"/>
        <w:widowControl w:val="0"/>
        <w:spacing w:line="480" w:lineRule="auto"/>
        <w:ind w:right="-24" w:firstLine="0"/>
        <w:rPr>
          <w:rFonts w:eastAsia="Calibri"/>
          <w:szCs w:val="24"/>
        </w:rPr>
      </w:pPr>
      <w:r>
        <w:rPr>
          <w:rFonts w:eastAsia="Calibri"/>
          <w:szCs w:val="24"/>
        </w:rPr>
        <w:tab/>
      </w:r>
      <w:r w:rsidR="00821A74">
        <w:rPr>
          <w:rFonts w:eastAsia="Calibri"/>
          <w:szCs w:val="24"/>
        </w:rPr>
        <w:t>OCC agrees with PUCO Staff</w:t>
      </w:r>
      <w:r w:rsidR="00B265BD">
        <w:rPr>
          <w:rFonts w:eastAsia="Calibri"/>
          <w:szCs w:val="24"/>
        </w:rPr>
        <w:t>’</w:t>
      </w:r>
      <w:r w:rsidR="00821A74">
        <w:rPr>
          <w:rFonts w:eastAsia="Calibri"/>
          <w:szCs w:val="24"/>
        </w:rPr>
        <w:t>s recommendations that historical data</w:t>
      </w:r>
      <w:r w:rsidR="005D2279">
        <w:rPr>
          <w:rFonts w:eastAsia="Calibri"/>
          <w:szCs w:val="24"/>
        </w:rPr>
        <w:t>, as adjusted, should</w:t>
      </w:r>
      <w:r w:rsidR="00821A74">
        <w:rPr>
          <w:rFonts w:eastAsia="Calibri"/>
          <w:szCs w:val="24"/>
        </w:rPr>
        <w:t xml:space="preserve"> be used in determining future reliability standards and that the most reliable data – the new outage management system utilizing data made available by grid modernization – should be used.</w:t>
      </w:r>
      <w:r w:rsidR="00AD038E">
        <w:rPr>
          <w:rStyle w:val="FootnoteReference"/>
          <w:rFonts w:eastAsia="Calibri"/>
          <w:szCs w:val="24"/>
        </w:rPr>
        <w:footnoteReference w:id="6"/>
      </w:r>
      <w:r w:rsidR="00A535C3">
        <w:rPr>
          <w:rFonts w:eastAsia="Calibri"/>
          <w:szCs w:val="24"/>
        </w:rPr>
        <w:t xml:space="preserve">  </w:t>
      </w:r>
      <w:r w:rsidR="005F52A8">
        <w:rPr>
          <w:rFonts w:eastAsia="Calibri"/>
          <w:szCs w:val="24"/>
        </w:rPr>
        <w:t xml:space="preserve">Further, OCC agrees with </w:t>
      </w:r>
      <w:r w:rsidR="002C7C27">
        <w:rPr>
          <w:rFonts w:eastAsia="Calibri"/>
          <w:szCs w:val="24"/>
        </w:rPr>
        <w:t xml:space="preserve">the </w:t>
      </w:r>
      <w:r w:rsidR="005F52A8">
        <w:rPr>
          <w:rFonts w:eastAsia="Calibri"/>
          <w:szCs w:val="24"/>
        </w:rPr>
        <w:t xml:space="preserve">PUCO Staff that the CAIDI standard should be reduced from the current standard of 124.37 minutes in accordance with </w:t>
      </w:r>
      <w:r w:rsidR="005D2279">
        <w:rPr>
          <w:rFonts w:eastAsia="Calibri"/>
          <w:szCs w:val="24"/>
        </w:rPr>
        <w:t xml:space="preserve">Duke’s adjusted </w:t>
      </w:r>
      <w:r w:rsidR="005F52A8">
        <w:rPr>
          <w:rFonts w:eastAsia="Calibri"/>
          <w:szCs w:val="24"/>
        </w:rPr>
        <w:t>historical performance measurement</w:t>
      </w:r>
      <w:r w:rsidR="005F52A8" w:rsidRPr="00A51969">
        <w:rPr>
          <w:rFonts w:eastAsia="Calibri"/>
          <w:szCs w:val="24"/>
        </w:rPr>
        <w:t xml:space="preserve">.  </w:t>
      </w:r>
      <w:r w:rsidR="00A535C3" w:rsidRPr="00166CBF">
        <w:rPr>
          <w:rFonts w:eastAsia="Calibri"/>
          <w:szCs w:val="24"/>
        </w:rPr>
        <w:t>OCC also agrees with</w:t>
      </w:r>
      <w:r w:rsidR="00B40CD8" w:rsidRPr="00166CBF">
        <w:rPr>
          <w:rFonts w:eastAsia="Calibri"/>
          <w:szCs w:val="24"/>
        </w:rPr>
        <w:t xml:space="preserve"> </w:t>
      </w:r>
      <w:r w:rsidR="002C7C27">
        <w:rPr>
          <w:rFonts w:eastAsia="Calibri"/>
          <w:szCs w:val="24"/>
        </w:rPr>
        <w:t xml:space="preserve">the </w:t>
      </w:r>
      <w:r w:rsidR="00B40CD8" w:rsidRPr="00166CBF">
        <w:rPr>
          <w:rFonts w:eastAsia="Calibri"/>
          <w:szCs w:val="24"/>
        </w:rPr>
        <w:t>PUCO</w:t>
      </w:r>
      <w:r w:rsidR="00A535C3" w:rsidRPr="00166CBF">
        <w:rPr>
          <w:rFonts w:eastAsia="Calibri"/>
          <w:szCs w:val="24"/>
        </w:rPr>
        <w:t xml:space="preserve"> Staff</w:t>
      </w:r>
      <w:r w:rsidR="00B265BD" w:rsidRPr="00166CBF">
        <w:rPr>
          <w:rFonts w:eastAsia="Calibri"/>
          <w:szCs w:val="24"/>
        </w:rPr>
        <w:t>’</w:t>
      </w:r>
      <w:r w:rsidR="00A535C3" w:rsidRPr="00166CBF">
        <w:rPr>
          <w:rFonts w:eastAsia="Calibri"/>
          <w:szCs w:val="24"/>
        </w:rPr>
        <w:t>s finding that Duke</w:t>
      </w:r>
      <w:r w:rsidR="00B265BD" w:rsidRPr="00166CBF">
        <w:rPr>
          <w:rFonts w:eastAsia="Calibri"/>
          <w:szCs w:val="24"/>
        </w:rPr>
        <w:t>’</w:t>
      </w:r>
      <w:r w:rsidR="00A535C3" w:rsidRPr="00166CBF">
        <w:rPr>
          <w:rFonts w:eastAsia="Calibri"/>
          <w:szCs w:val="24"/>
        </w:rPr>
        <w:t xml:space="preserve">s reliability survey, required by Ohio </w:t>
      </w:r>
      <w:r w:rsidR="00C87EC2">
        <w:rPr>
          <w:rFonts w:eastAsia="Calibri"/>
          <w:szCs w:val="24"/>
        </w:rPr>
        <w:t>Adm.</w:t>
      </w:r>
      <w:r w:rsidR="00A535C3" w:rsidRPr="00166CBF">
        <w:rPr>
          <w:rFonts w:eastAsia="Calibri"/>
          <w:szCs w:val="24"/>
        </w:rPr>
        <w:t xml:space="preserve"> Code 4901:1-10-10(B)(4)(b), was non-compliant with </w:t>
      </w:r>
      <w:r w:rsidR="00B40CD8" w:rsidRPr="00166CBF">
        <w:rPr>
          <w:rFonts w:eastAsia="Calibri"/>
          <w:szCs w:val="24"/>
        </w:rPr>
        <w:t xml:space="preserve">PUCO </w:t>
      </w:r>
      <w:r w:rsidR="005144BE" w:rsidRPr="00166CBF">
        <w:rPr>
          <w:rFonts w:eastAsia="Calibri"/>
          <w:szCs w:val="24"/>
        </w:rPr>
        <w:t>Staff</w:t>
      </w:r>
      <w:r w:rsidR="00B265BD" w:rsidRPr="00166CBF">
        <w:rPr>
          <w:rFonts w:eastAsia="Calibri"/>
          <w:szCs w:val="24"/>
        </w:rPr>
        <w:t>’</w:t>
      </w:r>
      <w:r w:rsidR="005144BE" w:rsidRPr="00166CBF">
        <w:rPr>
          <w:rFonts w:eastAsia="Calibri"/>
          <w:szCs w:val="24"/>
        </w:rPr>
        <w:t>s survey guidelines.</w:t>
      </w:r>
    </w:p>
    <w:p w:rsidR="00541EFF" w:rsidRDefault="005F52A8" w:rsidP="00C55277">
      <w:pPr>
        <w:pStyle w:val="BodyTextIndent3"/>
        <w:widowControl w:val="0"/>
        <w:spacing w:line="480" w:lineRule="auto"/>
        <w:ind w:right="-24" w:firstLine="0"/>
        <w:rPr>
          <w:szCs w:val="24"/>
        </w:rPr>
      </w:pPr>
      <w:r>
        <w:rPr>
          <w:rFonts w:eastAsia="Calibri"/>
          <w:szCs w:val="24"/>
        </w:rPr>
        <w:tab/>
      </w:r>
      <w:r w:rsidR="00821A74">
        <w:rPr>
          <w:rFonts w:eastAsia="Calibri"/>
          <w:szCs w:val="24"/>
        </w:rPr>
        <w:t>However, OCC disagrees with</w:t>
      </w:r>
      <w:r w:rsidR="00B179EA">
        <w:rPr>
          <w:rFonts w:eastAsia="Calibri"/>
          <w:szCs w:val="24"/>
        </w:rPr>
        <w:t xml:space="preserve"> </w:t>
      </w:r>
      <w:r w:rsidR="002C7C27">
        <w:rPr>
          <w:rFonts w:eastAsia="Calibri"/>
          <w:szCs w:val="24"/>
        </w:rPr>
        <w:t xml:space="preserve">the </w:t>
      </w:r>
      <w:r w:rsidR="00821A74">
        <w:rPr>
          <w:rFonts w:eastAsia="Calibri"/>
          <w:szCs w:val="24"/>
        </w:rPr>
        <w:t>PUCO Staff</w:t>
      </w:r>
      <w:r w:rsidR="00B265BD">
        <w:rPr>
          <w:rFonts w:eastAsia="Calibri"/>
          <w:szCs w:val="24"/>
        </w:rPr>
        <w:t>’</w:t>
      </w:r>
      <w:r w:rsidR="00821A74">
        <w:rPr>
          <w:rFonts w:eastAsia="Calibri"/>
          <w:szCs w:val="24"/>
        </w:rPr>
        <w:t xml:space="preserve">s recommendation to continue the existing </w:t>
      </w:r>
      <w:r w:rsidR="00C9666B">
        <w:rPr>
          <w:rFonts w:eastAsia="Calibri"/>
          <w:szCs w:val="24"/>
        </w:rPr>
        <w:t xml:space="preserve">Duke </w:t>
      </w:r>
      <w:r w:rsidR="00821A74">
        <w:rPr>
          <w:rFonts w:eastAsia="Calibri"/>
          <w:szCs w:val="24"/>
        </w:rPr>
        <w:t xml:space="preserve">SAIFI standard </w:t>
      </w:r>
      <w:r w:rsidR="00C9666B">
        <w:rPr>
          <w:rFonts w:eastAsia="Calibri"/>
          <w:szCs w:val="24"/>
        </w:rPr>
        <w:t xml:space="preserve">of 1.10 </w:t>
      </w:r>
      <w:r w:rsidR="00821A74">
        <w:rPr>
          <w:rFonts w:eastAsia="Calibri"/>
          <w:szCs w:val="24"/>
        </w:rPr>
        <w:t>for 2016 and beyond.  A new SAIFI target should be set reflecting anticipated reductions in the frequency of interruptions brought about by grid modernization – and the data supports a reduction in the SAIFI standard for 2016 and beyond.</w:t>
      </w:r>
      <w:r w:rsidR="003E7624">
        <w:rPr>
          <w:rFonts w:eastAsia="Calibri"/>
          <w:szCs w:val="24"/>
        </w:rPr>
        <w:t xml:space="preserve">  </w:t>
      </w:r>
      <w:r w:rsidR="00821A74">
        <w:rPr>
          <w:rFonts w:eastAsia="Calibri"/>
          <w:szCs w:val="24"/>
        </w:rPr>
        <w:t xml:space="preserve">OCC also disagrees with </w:t>
      </w:r>
      <w:r w:rsidR="002C7C27">
        <w:rPr>
          <w:rFonts w:eastAsia="Calibri"/>
          <w:szCs w:val="24"/>
        </w:rPr>
        <w:t xml:space="preserve">the </w:t>
      </w:r>
      <w:r w:rsidR="00C9666B">
        <w:rPr>
          <w:rFonts w:eastAsia="Calibri"/>
          <w:szCs w:val="24"/>
        </w:rPr>
        <w:t xml:space="preserve">PUCO </w:t>
      </w:r>
      <w:r w:rsidR="00821A74">
        <w:rPr>
          <w:rFonts w:eastAsia="Calibri"/>
          <w:szCs w:val="24"/>
        </w:rPr>
        <w:t>Staff</w:t>
      </w:r>
      <w:r w:rsidR="00B265BD">
        <w:rPr>
          <w:rFonts w:eastAsia="Calibri"/>
          <w:szCs w:val="24"/>
        </w:rPr>
        <w:t>’</w:t>
      </w:r>
      <w:r w:rsidR="00821A74">
        <w:rPr>
          <w:rFonts w:eastAsia="Calibri"/>
          <w:szCs w:val="24"/>
        </w:rPr>
        <w:t>s recommendation to include a</w:t>
      </w:r>
      <w:r w:rsidR="003E7624">
        <w:rPr>
          <w:rFonts w:eastAsia="Calibri"/>
          <w:szCs w:val="24"/>
        </w:rPr>
        <w:t xml:space="preserve"> 10% variance adder </w:t>
      </w:r>
      <w:r w:rsidR="00821A74">
        <w:rPr>
          <w:rFonts w:eastAsia="Calibri"/>
          <w:szCs w:val="24"/>
        </w:rPr>
        <w:t>in the establishment of reliability standards.</w:t>
      </w:r>
      <w:r w:rsidR="003E7624">
        <w:rPr>
          <w:rFonts w:eastAsia="Calibri"/>
          <w:szCs w:val="24"/>
        </w:rPr>
        <w:t xml:space="preserve">  </w:t>
      </w:r>
      <w:r w:rsidR="005144BE">
        <w:rPr>
          <w:rFonts w:eastAsia="Calibri"/>
          <w:szCs w:val="24"/>
        </w:rPr>
        <w:t xml:space="preserve">Moreover, </w:t>
      </w:r>
      <w:r w:rsidR="002C7C27">
        <w:rPr>
          <w:rFonts w:eastAsia="Calibri"/>
          <w:szCs w:val="24"/>
        </w:rPr>
        <w:t xml:space="preserve">the </w:t>
      </w:r>
      <w:r w:rsidR="005144BE">
        <w:rPr>
          <w:rFonts w:eastAsia="Calibri"/>
          <w:szCs w:val="24"/>
        </w:rPr>
        <w:t>PUCO Staff</w:t>
      </w:r>
      <w:r w:rsidR="00B265BD">
        <w:rPr>
          <w:rFonts w:eastAsia="Calibri"/>
          <w:szCs w:val="24"/>
        </w:rPr>
        <w:t>’</w:t>
      </w:r>
      <w:r w:rsidR="005144BE">
        <w:rPr>
          <w:rFonts w:eastAsia="Calibri"/>
          <w:szCs w:val="24"/>
        </w:rPr>
        <w:t>s Comments ignore significant shortcomings of Duke</w:t>
      </w:r>
      <w:r w:rsidR="00B265BD">
        <w:rPr>
          <w:rFonts w:eastAsia="Calibri"/>
          <w:szCs w:val="24"/>
        </w:rPr>
        <w:t>’</w:t>
      </w:r>
      <w:r w:rsidR="005144BE">
        <w:rPr>
          <w:rFonts w:eastAsia="Calibri"/>
          <w:szCs w:val="24"/>
        </w:rPr>
        <w:t>s updated reliability assessment.</w:t>
      </w:r>
    </w:p>
    <w:p w:rsidR="005047E2" w:rsidRDefault="005047E2" w:rsidP="00C55277">
      <w:pPr>
        <w:pStyle w:val="BodyTextIndent3"/>
        <w:widowControl w:val="0"/>
        <w:spacing w:line="480" w:lineRule="auto"/>
        <w:ind w:right="-24" w:firstLine="0"/>
        <w:rPr>
          <w:szCs w:val="24"/>
        </w:rPr>
      </w:pPr>
      <w:r>
        <w:rPr>
          <w:szCs w:val="24"/>
        </w:rPr>
        <w:tab/>
        <w:t>The PUCO should reject Duke’s Application and require it to refile</w:t>
      </w:r>
      <w:r w:rsidR="002C7C27">
        <w:rPr>
          <w:szCs w:val="24"/>
        </w:rPr>
        <w:t xml:space="preserve"> an application that meets the requirements of</w:t>
      </w:r>
      <w:r>
        <w:rPr>
          <w:szCs w:val="24"/>
        </w:rPr>
        <w:t xml:space="preserve"> </w:t>
      </w:r>
      <w:r w:rsidR="00BC05BE">
        <w:rPr>
          <w:szCs w:val="24"/>
        </w:rPr>
        <w:t>Ohio Adm. Code 4901:10-10(B)(4)(a)</w:t>
      </w:r>
      <w:r w:rsidR="005D2279">
        <w:rPr>
          <w:szCs w:val="24"/>
        </w:rPr>
        <w:t xml:space="preserve">, Staff Guidelines </w:t>
      </w:r>
      <w:r w:rsidR="00BC05BE">
        <w:rPr>
          <w:szCs w:val="24"/>
        </w:rPr>
        <w:t xml:space="preserve"> and the Stipulation and Opinion and Order in Case No. 09-757-EL-ESS.</w:t>
      </w:r>
    </w:p>
    <w:p w:rsidR="0087474C" w:rsidRDefault="0087474C" w:rsidP="0087474C">
      <w:pPr>
        <w:pStyle w:val="BodyTextIndent3"/>
        <w:widowControl w:val="0"/>
        <w:spacing w:line="240" w:lineRule="auto"/>
        <w:ind w:right="-24" w:firstLine="0"/>
        <w:rPr>
          <w:szCs w:val="24"/>
        </w:rPr>
      </w:pPr>
    </w:p>
    <w:p w:rsidR="00B015DF" w:rsidRDefault="00B015DF" w:rsidP="00D40C95">
      <w:pPr>
        <w:pStyle w:val="Heading1"/>
        <w:rPr>
          <w:rFonts w:eastAsia="Calibri"/>
        </w:rPr>
      </w:pPr>
      <w:bookmarkStart w:id="5" w:name="_Toc375919103"/>
      <w:bookmarkStart w:id="6" w:name="_Toc375919138"/>
      <w:bookmarkStart w:id="7" w:name="_Toc379373890"/>
      <w:bookmarkStart w:id="8" w:name="_Toc379547083"/>
      <w:r>
        <w:rPr>
          <w:rFonts w:eastAsia="Calibri"/>
        </w:rPr>
        <w:t>II.</w:t>
      </w:r>
      <w:r>
        <w:rPr>
          <w:rFonts w:eastAsia="Calibri"/>
        </w:rPr>
        <w:tab/>
      </w:r>
      <w:r w:rsidR="000072AB">
        <w:rPr>
          <w:rFonts w:eastAsia="Calibri"/>
        </w:rPr>
        <w:t xml:space="preserve">REPLY </w:t>
      </w:r>
      <w:r>
        <w:rPr>
          <w:rFonts w:eastAsia="Calibri"/>
        </w:rPr>
        <w:t>COMMENTS</w:t>
      </w:r>
      <w:bookmarkEnd w:id="5"/>
      <w:bookmarkEnd w:id="6"/>
      <w:bookmarkEnd w:id="7"/>
      <w:bookmarkEnd w:id="8"/>
    </w:p>
    <w:p w:rsidR="000072AB" w:rsidRDefault="00D40C95" w:rsidP="00C55277">
      <w:pPr>
        <w:pStyle w:val="Heading2"/>
        <w:rPr>
          <w:rFonts w:eastAsia="Calibri"/>
        </w:rPr>
      </w:pPr>
      <w:bookmarkStart w:id="9" w:name="_Toc379373891"/>
      <w:bookmarkStart w:id="10" w:name="_Toc379547084"/>
      <w:bookmarkStart w:id="11" w:name="_Toc375919104"/>
      <w:bookmarkStart w:id="12" w:name="_Toc375919139"/>
      <w:r>
        <w:rPr>
          <w:rFonts w:eastAsia="Calibri"/>
        </w:rPr>
        <w:t>A.</w:t>
      </w:r>
      <w:r>
        <w:rPr>
          <w:rFonts w:eastAsia="Calibri"/>
        </w:rPr>
        <w:tab/>
      </w:r>
      <w:r w:rsidR="000072AB">
        <w:rPr>
          <w:rFonts w:eastAsia="Calibri"/>
        </w:rPr>
        <w:t xml:space="preserve">Future Reliability Standards </w:t>
      </w:r>
      <w:r w:rsidR="00C05940">
        <w:rPr>
          <w:rFonts w:eastAsia="Calibri"/>
        </w:rPr>
        <w:t xml:space="preserve">Should Be Based </w:t>
      </w:r>
      <w:r w:rsidR="0087474C">
        <w:rPr>
          <w:rFonts w:eastAsia="Calibri"/>
        </w:rPr>
        <w:t xml:space="preserve">On </w:t>
      </w:r>
      <w:r w:rsidR="000072AB">
        <w:rPr>
          <w:rFonts w:eastAsia="Calibri"/>
        </w:rPr>
        <w:t>Historical Performance</w:t>
      </w:r>
      <w:r w:rsidR="00166CBF">
        <w:rPr>
          <w:rFonts w:eastAsia="Calibri"/>
        </w:rPr>
        <w:t xml:space="preserve"> </w:t>
      </w:r>
      <w:r w:rsidR="002861B8">
        <w:rPr>
          <w:rFonts w:eastAsia="Calibri"/>
        </w:rPr>
        <w:t xml:space="preserve">As </w:t>
      </w:r>
      <w:r w:rsidR="00166CBF">
        <w:rPr>
          <w:rFonts w:eastAsia="Calibri"/>
        </w:rPr>
        <w:t xml:space="preserve">Adjusted </w:t>
      </w:r>
      <w:r w:rsidR="002861B8">
        <w:rPr>
          <w:rFonts w:eastAsia="Calibri"/>
        </w:rPr>
        <w:t xml:space="preserve">In Accordance </w:t>
      </w:r>
      <w:r w:rsidR="0087474C">
        <w:rPr>
          <w:rFonts w:eastAsia="Calibri"/>
        </w:rPr>
        <w:t xml:space="preserve">With </w:t>
      </w:r>
      <w:r w:rsidR="002861B8">
        <w:rPr>
          <w:rFonts w:eastAsia="Calibri"/>
        </w:rPr>
        <w:t xml:space="preserve">PUCO Rules </w:t>
      </w:r>
      <w:r w:rsidR="0087474C">
        <w:rPr>
          <w:rFonts w:eastAsia="Calibri"/>
        </w:rPr>
        <w:t xml:space="preserve">And </w:t>
      </w:r>
      <w:r w:rsidR="002861B8">
        <w:rPr>
          <w:rFonts w:eastAsia="Calibri"/>
        </w:rPr>
        <w:t>Staff Guidelines</w:t>
      </w:r>
      <w:r w:rsidR="0087474C">
        <w:rPr>
          <w:rFonts w:eastAsia="Calibri"/>
        </w:rPr>
        <w:t>.</w:t>
      </w:r>
      <w:bookmarkEnd w:id="9"/>
      <w:bookmarkEnd w:id="10"/>
    </w:p>
    <w:p w:rsidR="00A74B0D" w:rsidRDefault="005F52A8" w:rsidP="005F52A8">
      <w:pPr>
        <w:spacing w:line="480" w:lineRule="auto"/>
        <w:rPr>
          <w:rFonts w:eastAsia="Calibri"/>
        </w:rPr>
      </w:pPr>
      <w:r>
        <w:rPr>
          <w:rFonts w:eastAsia="Calibri"/>
        </w:rPr>
        <w:tab/>
      </w:r>
      <w:r w:rsidR="004C60FE">
        <w:rPr>
          <w:rFonts w:eastAsia="Calibri"/>
        </w:rPr>
        <w:t xml:space="preserve">The PUCO should approve electric reliability standards that are based on historical performance, </w:t>
      </w:r>
      <w:r w:rsidR="002861B8">
        <w:rPr>
          <w:rFonts w:eastAsia="Calibri"/>
        </w:rPr>
        <w:t xml:space="preserve">as adjusted in accordance </w:t>
      </w:r>
      <w:r w:rsidR="004C60FE">
        <w:rPr>
          <w:rFonts w:eastAsia="Calibri"/>
        </w:rPr>
        <w:t xml:space="preserve">with </w:t>
      </w:r>
      <w:r w:rsidR="002861B8">
        <w:rPr>
          <w:rFonts w:eastAsia="Calibri"/>
        </w:rPr>
        <w:t>PUCO Rules</w:t>
      </w:r>
      <w:r w:rsidR="007826C2">
        <w:rPr>
          <w:rStyle w:val="FootnoteReference"/>
          <w:rFonts w:eastAsia="Calibri"/>
        </w:rPr>
        <w:footnoteReference w:id="7"/>
      </w:r>
      <w:r w:rsidR="002861B8">
        <w:rPr>
          <w:rFonts w:eastAsia="Calibri"/>
        </w:rPr>
        <w:t xml:space="preserve"> and the </w:t>
      </w:r>
      <w:r w:rsidR="004C60FE">
        <w:rPr>
          <w:rFonts w:eastAsia="Calibri"/>
        </w:rPr>
        <w:t>PUCO Staff’s Guidelines, for SAIFI as well as CAIDI.</w:t>
      </w:r>
      <w:r w:rsidR="004C60FE">
        <w:rPr>
          <w:rStyle w:val="FootnoteReference"/>
          <w:rFonts w:eastAsia="Calibri"/>
        </w:rPr>
        <w:footnoteReference w:id="8"/>
      </w:r>
      <w:r w:rsidR="004C60FE">
        <w:rPr>
          <w:rFonts w:eastAsia="Calibri"/>
        </w:rPr>
        <w:t xml:space="preserve">  </w:t>
      </w:r>
      <w:r w:rsidR="00A11698">
        <w:rPr>
          <w:rFonts w:eastAsia="Calibri"/>
        </w:rPr>
        <w:t xml:space="preserve">The </w:t>
      </w:r>
      <w:r w:rsidR="00C05940">
        <w:rPr>
          <w:rFonts w:eastAsia="Calibri"/>
          <w:szCs w:val="24"/>
        </w:rPr>
        <w:t>PUCO Staff found that Duke’s proposed CAIDI standard was “based on a trend-line projection of future performance” rather than based upon the average of historical performance called for by PUCO Staff’s “Guidelines for Reliability Standards Applications.”</w:t>
      </w:r>
      <w:r w:rsidR="00C05940">
        <w:rPr>
          <w:rStyle w:val="FootnoteReference"/>
          <w:rFonts w:eastAsia="Calibri"/>
          <w:szCs w:val="24"/>
        </w:rPr>
        <w:footnoteReference w:id="9"/>
      </w:r>
      <w:r w:rsidR="00C05940">
        <w:rPr>
          <w:rFonts w:eastAsia="Calibri"/>
          <w:szCs w:val="24"/>
        </w:rPr>
        <w:t xml:space="preserve"> </w:t>
      </w:r>
      <w:r w:rsidR="00A11698">
        <w:rPr>
          <w:rFonts w:eastAsia="Calibri"/>
          <w:szCs w:val="24"/>
        </w:rPr>
        <w:t xml:space="preserve">The </w:t>
      </w:r>
      <w:r w:rsidR="00507748">
        <w:rPr>
          <w:rFonts w:eastAsia="Calibri"/>
        </w:rPr>
        <w:t>PUCO</w:t>
      </w:r>
      <w:r w:rsidR="004C60FE">
        <w:rPr>
          <w:rFonts w:eastAsia="Calibri"/>
        </w:rPr>
        <w:t xml:space="preserve"> should reject Duke’s use of future performance projections as a basis for establishing reliability standards. </w:t>
      </w:r>
      <w:r w:rsidR="00507748">
        <w:rPr>
          <w:rFonts w:eastAsia="Calibri"/>
        </w:rPr>
        <w:t xml:space="preserve"> </w:t>
      </w:r>
      <w:r w:rsidR="004C60FE">
        <w:rPr>
          <w:szCs w:val="24"/>
        </w:rPr>
        <w:t xml:space="preserve">The PUCO Staff proposes that historical performance data (adjusted) be used to establish </w:t>
      </w:r>
      <w:r w:rsidR="004C60FE" w:rsidRPr="00F71FB8">
        <w:rPr>
          <w:szCs w:val="24"/>
        </w:rPr>
        <w:t>the 2014 and 2015 CAIDI performance standard</w:t>
      </w:r>
      <w:r w:rsidR="004C60FE">
        <w:rPr>
          <w:szCs w:val="24"/>
        </w:rPr>
        <w:t>s</w:t>
      </w:r>
      <w:r w:rsidR="004C60FE" w:rsidRPr="00F71FB8">
        <w:rPr>
          <w:szCs w:val="24"/>
        </w:rPr>
        <w:t>.</w:t>
      </w:r>
      <w:r w:rsidR="004C60FE" w:rsidRPr="00F71FB8">
        <w:rPr>
          <w:rStyle w:val="FootnoteReference"/>
          <w:szCs w:val="24"/>
        </w:rPr>
        <w:footnoteReference w:id="10"/>
      </w:r>
      <w:r w:rsidR="004C60FE" w:rsidRPr="00F71FB8">
        <w:rPr>
          <w:szCs w:val="24"/>
        </w:rPr>
        <w:t xml:space="preserve">  </w:t>
      </w:r>
      <w:r w:rsidR="00D22A06">
        <w:rPr>
          <w:szCs w:val="24"/>
        </w:rPr>
        <w:t>OCC agrees that historic performance data—instead of projected performance data—should be used as a basis for future reliability standards.</w:t>
      </w:r>
    </w:p>
    <w:p w:rsidR="0087474C" w:rsidRDefault="001977C7" w:rsidP="005F52A8">
      <w:pPr>
        <w:spacing w:line="480" w:lineRule="auto"/>
        <w:rPr>
          <w:rFonts w:eastAsia="Calibri"/>
        </w:rPr>
      </w:pPr>
      <w:r>
        <w:rPr>
          <w:rFonts w:eastAsia="Calibri"/>
        </w:rPr>
        <w:tab/>
      </w:r>
    </w:p>
    <w:p w:rsidR="00D22A06" w:rsidRDefault="0087474C" w:rsidP="0087474C">
      <w:pPr>
        <w:spacing w:line="480" w:lineRule="auto"/>
        <w:ind w:firstLine="720"/>
        <w:rPr>
          <w:rFonts w:eastAsia="Calibri"/>
        </w:rPr>
      </w:pPr>
      <w:r>
        <w:rPr>
          <w:rFonts w:eastAsia="Calibri"/>
        </w:rPr>
        <w:br w:type="page"/>
      </w:r>
      <w:r w:rsidR="001977C7">
        <w:rPr>
          <w:rFonts w:eastAsia="Calibri"/>
        </w:rPr>
        <w:t>The purpose of u</w:t>
      </w:r>
      <w:r w:rsidR="00507748">
        <w:rPr>
          <w:rFonts w:eastAsia="Calibri"/>
        </w:rPr>
        <w:t>s</w:t>
      </w:r>
      <w:r w:rsidR="001977C7">
        <w:rPr>
          <w:rFonts w:eastAsia="Calibri"/>
        </w:rPr>
        <w:t>ing historical data to establish reliability standards is to ensure standards are set that are reflective of the level of performance utilities have been able to achieve and to require utilities to track such historical trends, improving on them to the extent reasonable through deployment of technology and improved operations.</w:t>
      </w:r>
      <w:r w:rsidR="00730B3F">
        <w:rPr>
          <w:rFonts w:eastAsia="Calibri"/>
        </w:rPr>
        <w:t xml:space="preserve">  Implementing a reliability standard that is well above historical performance is contrary to the goals intended to be achieved through the implementation of reliability standards.  </w:t>
      </w:r>
    </w:p>
    <w:p w:rsidR="001977C7" w:rsidRDefault="00730B3F" w:rsidP="00166CBF">
      <w:pPr>
        <w:spacing w:line="480" w:lineRule="auto"/>
        <w:ind w:firstLine="720"/>
        <w:rPr>
          <w:rFonts w:eastAsia="Calibri"/>
        </w:rPr>
      </w:pPr>
      <w:r>
        <w:rPr>
          <w:rFonts w:eastAsia="Calibri"/>
        </w:rPr>
        <w:t>Furthermore, as discussed in OCC</w:t>
      </w:r>
      <w:r w:rsidR="00B265BD">
        <w:rPr>
          <w:rFonts w:eastAsia="Calibri"/>
        </w:rPr>
        <w:t>’</w:t>
      </w:r>
      <w:r>
        <w:rPr>
          <w:rFonts w:eastAsia="Calibri"/>
        </w:rPr>
        <w:t>s Comments, although historic performance data indicates that reductions in the frequency of interruptions (as measured by SAIFI) may impact on CAIDI in the short run, improvements in reliability should also reduce CAIDI proportionately in the long run.</w:t>
      </w:r>
      <w:r>
        <w:rPr>
          <w:rStyle w:val="FootnoteReference"/>
          <w:rFonts w:eastAsia="Calibri"/>
        </w:rPr>
        <w:footnoteReference w:id="11"/>
      </w:r>
      <w:r>
        <w:rPr>
          <w:rFonts w:eastAsia="Calibri"/>
        </w:rPr>
        <w:t xml:space="preserve">  Consequently, </w:t>
      </w:r>
      <w:r w:rsidR="0080176B">
        <w:rPr>
          <w:rFonts w:eastAsia="Calibri"/>
        </w:rPr>
        <w:t xml:space="preserve">reasonable </w:t>
      </w:r>
      <w:r>
        <w:rPr>
          <w:rFonts w:eastAsia="Calibri"/>
        </w:rPr>
        <w:t>adherence between historical performance data and reliability standards should be maintained</w:t>
      </w:r>
      <w:r w:rsidR="007826C2">
        <w:rPr>
          <w:rFonts w:eastAsia="Calibri"/>
        </w:rPr>
        <w:t>, as adjusted in accordance with Ohio Adm. Code 4901:1-10-10(B)(4)(a).</w:t>
      </w:r>
    </w:p>
    <w:p w:rsidR="000072AB" w:rsidRDefault="000072AB" w:rsidP="000072AB">
      <w:pPr>
        <w:pStyle w:val="Heading2"/>
        <w:rPr>
          <w:rFonts w:eastAsia="Calibri"/>
        </w:rPr>
      </w:pPr>
      <w:bookmarkStart w:id="13" w:name="_Toc379373892"/>
      <w:bookmarkStart w:id="14" w:name="_Toc379547085"/>
      <w:r>
        <w:rPr>
          <w:rFonts w:eastAsia="Calibri"/>
        </w:rPr>
        <w:t>B.</w:t>
      </w:r>
      <w:r>
        <w:rPr>
          <w:rFonts w:eastAsia="Calibri"/>
        </w:rPr>
        <w:tab/>
        <w:t>Duke</w:t>
      </w:r>
      <w:r w:rsidR="00B265BD">
        <w:rPr>
          <w:rFonts w:eastAsia="Calibri"/>
        </w:rPr>
        <w:t>’</w:t>
      </w:r>
      <w:r>
        <w:rPr>
          <w:rFonts w:eastAsia="Calibri"/>
        </w:rPr>
        <w:t xml:space="preserve">s </w:t>
      </w:r>
      <w:r w:rsidR="00216378">
        <w:rPr>
          <w:rFonts w:eastAsia="Calibri"/>
        </w:rPr>
        <w:t>Electric Reliability Standards</w:t>
      </w:r>
      <w:r w:rsidR="00216378" w:rsidDel="007E7684">
        <w:rPr>
          <w:rFonts w:eastAsia="Calibri"/>
        </w:rPr>
        <w:t xml:space="preserve"> </w:t>
      </w:r>
      <w:r w:rsidR="00216378">
        <w:rPr>
          <w:rFonts w:eastAsia="Calibri"/>
        </w:rPr>
        <w:t xml:space="preserve">Should Be Based On Data From Its </w:t>
      </w:r>
      <w:r>
        <w:rPr>
          <w:rFonts w:eastAsia="Calibri"/>
        </w:rPr>
        <w:t>Current Outage Management System.</w:t>
      </w:r>
      <w:bookmarkEnd w:id="13"/>
      <w:bookmarkEnd w:id="14"/>
    </w:p>
    <w:p w:rsidR="00E11D76" w:rsidRPr="00F71FB8" w:rsidRDefault="00DA727F" w:rsidP="00E11D76">
      <w:pPr>
        <w:spacing w:line="480" w:lineRule="auto"/>
        <w:ind w:firstLine="720"/>
        <w:rPr>
          <w:szCs w:val="24"/>
        </w:rPr>
      </w:pPr>
      <w:r>
        <w:rPr>
          <w:szCs w:val="24"/>
        </w:rPr>
        <w:t xml:space="preserve">The PUCO should use the data produced by Duke’s current outage management system made available from grid modernization, rather than the data from its annual reports which is not as accurate, for purposes of determining appropriate reliability standards.  </w:t>
      </w:r>
      <w:r w:rsidR="00E11D76" w:rsidRPr="00F71FB8">
        <w:rPr>
          <w:szCs w:val="24"/>
        </w:rPr>
        <w:t>The PUCO Staff commented that there are differences in the reporting of CAIDI performance data between the annual reports that Duke files with the PUCO</w:t>
      </w:r>
      <w:r w:rsidR="00E11D76" w:rsidRPr="00F71FB8">
        <w:rPr>
          <w:rStyle w:val="FootnoteReference"/>
          <w:szCs w:val="24"/>
        </w:rPr>
        <w:footnoteReference w:id="12"/>
      </w:r>
      <w:r w:rsidR="00E11D76" w:rsidRPr="00F71FB8">
        <w:rPr>
          <w:szCs w:val="24"/>
        </w:rPr>
        <w:t xml:space="preserve"> and the performance results that are available now from the </w:t>
      </w:r>
      <w:r w:rsidR="003E7624">
        <w:rPr>
          <w:szCs w:val="24"/>
        </w:rPr>
        <w:t xml:space="preserve">current </w:t>
      </w:r>
      <w:r w:rsidR="00E11D76" w:rsidRPr="00F71FB8">
        <w:rPr>
          <w:szCs w:val="24"/>
        </w:rPr>
        <w:t>outage management system.</w:t>
      </w:r>
      <w:r w:rsidR="00E11D76" w:rsidRPr="00F71FB8">
        <w:rPr>
          <w:rStyle w:val="FootnoteReference"/>
          <w:szCs w:val="24"/>
        </w:rPr>
        <w:footnoteReference w:id="13"/>
      </w:r>
      <w:r w:rsidR="00E11D76" w:rsidRPr="00F71FB8">
        <w:rPr>
          <w:szCs w:val="24"/>
        </w:rPr>
        <w:t xml:space="preserve">  </w:t>
      </w:r>
      <w:r w:rsidR="006248AB">
        <w:rPr>
          <w:szCs w:val="24"/>
        </w:rPr>
        <w:t xml:space="preserve">The integration of outage data into the </w:t>
      </w:r>
      <w:r w:rsidR="003E7624">
        <w:rPr>
          <w:szCs w:val="24"/>
        </w:rPr>
        <w:t xml:space="preserve">current </w:t>
      </w:r>
      <w:r w:rsidR="006248AB">
        <w:rPr>
          <w:szCs w:val="24"/>
        </w:rPr>
        <w:t xml:space="preserve">outage management system </w:t>
      </w:r>
      <w:r>
        <w:rPr>
          <w:szCs w:val="24"/>
        </w:rPr>
        <w:t xml:space="preserve">has been </w:t>
      </w:r>
      <w:r w:rsidR="006248AB">
        <w:rPr>
          <w:szCs w:val="24"/>
        </w:rPr>
        <w:t xml:space="preserve">a major initiative of the grid modernization initiative.  </w:t>
      </w:r>
      <w:r w:rsidR="00E11D76" w:rsidRPr="00F71FB8">
        <w:rPr>
          <w:szCs w:val="24"/>
        </w:rPr>
        <w:t xml:space="preserve">According to </w:t>
      </w:r>
      <w:r w:rsidR="00B819E8">
        <w:rPr>
          <w:szCs w:val="24"/>
        </w:rPr>
        <w:t xml:space="preserve">the </w:t>
      </w:r>
      <w:r w:rsidR="00E11D76" w:rsidRPr="00F71FB8">
        <w:rPr>
          <w:szCs w:val="24"/>
        </w:rPr>
        <w:t xml:space="preserve">PUCO Staff, Duke explained that the current reporting is more accurate than the </w:t>
      </w:r>
      <w:r w:rsidR="00507748">
        <w:rPr>
          <w:szCs w:val="24"/>
        </w:rPr>
        <w:t>Utility</w:t>
      </w:r>
      <w:r w:rsidR="00E11D76" w:rsidRPr="00F71FB8">
        <w:rPr>
          <w:szCs w:val="24"/>
        </w:rPr>
        <w:t xml:space="preserve"> has been able to report in the past as part of the Rule 10 </w:t>
      </w:r>
      <w:r w:rsidR="00DA36FB">
        <w:rPr>
          <w:szCs w:val="24"/>
        </w:rPr>
        <w:t xml:space="preserve">(annual report) </w:t>
      </w:r>
      <w:r w:rsidR="00E11D76" w:rsidRPr="00F71FB8">
        <w:rPr>
          <w:szCs w:val="24"/>
        </w:rPr>
        <w:t>filings.</w:t>
      </w:r>
      <w:r w:rsidR="00E11D76" w:rsidRPr="00F71FB8">
        <w:rPr>
          <w:rStyle w:val="FootnoteReference"/>
          <w:szCs w:val="24"/>
        </w:rPr>
        <w:footnoteReference w:id="14"/>
      </w:r>
      <w:r w:rsidR="00E11D76" w:rsidRPr="00F71FB8">
        <w:rPr>
          <w:szCs w:val="24"/>
        </w:rPr>
        <w:t xml:space="preserve">  Furthermore, the CAIDI reporting from the current outage management system reflects better CAIDI performance than Duke has reported in the past</w:t>
      </w:r>
      <w:r w:rsidR="00DA36FB">
        <w:rPr>
          <w:szCs w:val="24"/>
        </w:rPr>
        <w:t xml:space="preserve"> in the annual reports</w:t>
      </w:r>
      <w:r w:rsidR="00E11D76" w:rsidRPr="00F71FB8">
        <w:rPr>
          <w:szCs w:val="24"/>
        </w:rPr>
        <w:t>.</w:t>
      </w:r>
      <w:r w:rsidR="00E11D76" w:rsidRPr="00F71FB8">
        <w:rPr>
          <w:rStyle w:val="FootnoteReference"/>
          <w:szCs w:val="24"/>
        </w:rPr>
        <w:footnoteReference w:id="15"/>
      </w:r>
      <w:r w:rsidR="00B265BD">
        <w:rPr>
          <w:szCs w:val="24"/>
        </w:rPr>
        <w:t xml:space="preserve"> </w:t>
      </w:r>
      <w:r w:rsidR="00E11D76" w:rsidRPr="00F71FB8">
        <w:rPr>
          <w:szCs w:val="24"/>
        </w:rPr>
        <w:t xml:space="preserve"> However, even though this more accurate data is now available, Duke chose not to include this historical performance data in the Amended Application.  </w:t>
      </w:r>
    </w:p>
    <w:p w:rsidR="00E11D76" w:rsidRPr="00F71FB8" w:rsidRDefault="00E11D76" w:rsidP="00E11D76">
      <w:pPr>
        <w:spacing w:line="480" w:lineRule="auto"/>
        <w:ind w:firstLine="720"/>
        <w:rPr>
          <w:szCs w:val="24"/>
        </w:rPr>
      </w:pPr>
      <w:r w:rsidRPr="00F71FB8">
        <w:rPr>
          <w:szCs w:val="24"/>
        </w:rPr>
        <w:t>The PUCO Staff re-calculated the CAIDI performance for 2009, 2011, and 2012 using historical performance data from Duke</w:t>
      </w:r>
      <w:r w:rsidR="00B265BD">
        <w:rPr>
          <w:szCs w:val="24"/>
        </w:rPr>
        <w:t>’</w:t>
      </w:r>
      <w:r w:rsidRPr="00F71FB8">
        <w:rPr>
          <w:szCs w:val="24"/>
        </w:rPr>
        <w:t>s new reporting system.</w:t>
      </w:r>
      <w:r w:rsidRPr="00F71FB8">
        <w:rPr>
          <w:rStyle w:val="FootnoteReference"/>
          <w:szCs w:val="24"/>
        </w:rPr>
        <w:footnoteReference w:id="16"/>
      </w:r>
      <w:r w:rsidRPr="00F71FB8">
        <w:rPr>
          <w:szCs w:val="24"/>
        </w:rPr>
        <w:t xml:space="preserve">  The results were an approximate 2 minute improvement in CAIDI for two of the three years that were reviewed.</w:t>
      </w:r>
      <w:r w:rsidRPr="00F71FB8">
        <w:rPr>
          <w:rStyle w:val="FootnoteReference"/>
          <w:szCs w:val="24"/>
        </w:rPr>
        <w:footnoteReference w:id="17"/>
      </w:r>
      <w:r w:rsidRPr="00F71FB8">
        <w:rPr>
          <w:szCs w:val="24"/>
        </w:rPr>
        <w:t xml:space="preserve">  Duke has the responsibility in a reliability</w:t>
      </w:r>
      <w:r w:rsidR="00730B3F">
        <w:rPr>
          <w:szCs w:val="24"/>
        </w:rPr>
        <w:t xml:space="preserve"> </w:t>
      </w:r>
      <w:r w:rsidRPr="00F71FB8">
        <w:rPr>
          <w:szCs w:val="24"/>
        </w:rPr>
        <w:t xml:space="preserve">standards proceeding to demonstrate that </w:t>
      </w:r>
      <w:r w:rsidR="00507748">
        <w:rPr>
          <w:szCs w:val="24"/>
        </w:rPr>
        <w:t>its</w:t>
      </w:r>
      <w:r w:rsidRPr="00F71FB8">
        <w:rPr>
          <w:szCs w:val="24"/>
        </w:rPr>
        <w:t xml:space="preserve"> proposed reliability standards are just and reasonable.</w:t>
      </w:r>
      <w:r w:rsidRPr="00F71FB8">
        <w:rPr>
          <w:rStyle w:val="FootnoteReference"/>
          <w:szCs w:val="24"/>
        </w:rPr>
        <w:footnoteReference w:id="18"/>
      </w:r>
      <w:r w:rsidRPr="00F71FB8">
        <w:rPr>
          <w:szCs w:val="24"/>
        </w:rPr>
        <w:t xml:space="preserve">  Use of antiquated reporting systems to provide CAIDI performance data is not just and reasonable considering that more modern and accurate methods were available.</w:t>
      </w:r>
    </w:p>
    <w:p w:rsidR="00E11D76" w:rsidRPr="00E11D76" w:rsidRDefault="00E11D76" w:rsidP="00E11D76">
      <w:pPr>
        <w:spacing w:line="480" w:lineRule="auto"/>
        <w:rPr>
          <w:rFonts w:eastAsia="Calibri"/>
        </w:rPr>
      </w:pPr>
      <w:r>
        <w:rPr>
          <w:szCs w:val="24"/>
        </w:rPr>
        <w:tab/>
      </w:r>
      <w:r w:rsidRPr="00F71FB8">
        <w:rPr>
          <w:szCs w:val="24"/>
        </w:rPr>
        <w:t>The PUCO should find that Duke</w:t>
      </w:r>
      <w:r w:rsidR="00B265BD">
        <w:rPr>
          <w:szCs w:val="24"/>
        </w:rPr>
        <w:t>’</w:t>
      </w:r>
      <w:r w:rsidRPr="00F71FB8">
        <w:rPr>
          <w:szCs w:val="24"/>
        </w:rPr>
        <w:t xml:space="preserve">s Amended Application should be </w:t>
      </w:r>
      <w:r w:rsidR="00507748">
        <w:rPr>
          <w:szCs w:val="24"/>
        </w:rPr>
        <w:t>rejected</w:t>
      </w:r>
      <w:r w:rsidRPr="00F71FB8">
        <w:rPr>
          <w:szCs w:val="24"/>
        </w:rPr>
        <w:t xml:space="preserve"> because it fails to provide </w:t>
      </w:r>
      <w:r w:rsidR="00DA727F">
        <w:rPr>
          <w:szCs w:val="24"/>
        </w:rPr>
        <w:t xml:space="preserve">the </w:t>
      </w:r>
      <w:r w:rsidR="00DA727F" w:rsidRPr="00F71FB8">
        <w:rPr>
          <w:szCs w:val="24"/>
        </w:rPr>
        <w:t xml:space="preserve">required assessment </w:t>
      </w:r>
      <w:r w:rsidR="00DA727F">
        <w:rPr>
          <w:szCs w:val="24"/>
        </w:rPr>
        <w:t xml:space="preserve">based on the more </w:t>
      </w:r>
      <w:r w:rsidR="00DA727F" w:rsidRPr="00F71FB8">
        <w:rPr>
          <w:szCs w:val="24"/>
        </w:rPr>
        <w:t>accurate data from the current outage management system</w:t>
      </w:r>
      <w:r w:rsidR="00DA0A7D">
        <w:rPr>
          <w:szCs w:val="24"/>
        </w:rPr>
        <w:t>, as well as because of other shortcomings discussed in OCC’s Comments and in Section F below</w:t>
      </w:r>
      <w:r w:rsidR="00DA727F" w:rsidRPr="00F71FB8">
        <w:rPr>
          <w:szCs w:val="24"/>
        </w:rPr>
        <w:t>.</w:t>
      </w:r>
      <w:r w:rsidRPr="00F71FB8">
        <w:rPr>
          <w:szCs w:val="24"/>
        </w:rPr>
        <w:t xml:space="preserve"> </w:t>
      </w:r>
    </w:p>
    <w:p w:rsidR="00A74B0D" w:rsidRDefault="00A74B0D" w:rsidP="008C1F07">
      <w:pPr>
        <w:pStyle w:val="Heading2"/>
        <w:rPr>
          <w:rFonts w:eastAsia="Calibri"/>
        </w:rPr>
      </w:pPr>
      <w:bookmarkStart w:id="15" w:name="_Toc379373893"/>
      <w:bookmarkStart w:id="16" w:name="_Toc379547086"/>
      <w:r>
        <w:rPr>
          <w:rFonts w:eastAsia="Calibri"/>
        </w:rPr>
        <w:t>C.</w:t>
      </w:r>
      <w:r>
        <w:rPr>
          <w:rFonts w:eastAsia="Calibri"/>
        </w:rPr>
        <w:tab/>
      </w:r>
      <w:bookmarkEnd w:id="15"/>
      <w:r w:rsidR="002514CA">
        <w:rPr>
          <w:rFonts w:eastAsia="Calibri"/>
        </w:rPr>
        <w:t xml:space="preserve">The </w:t>
      </w:r>
      <w:r w:rsidR="002514CA">
        <w:rPr>
          <w:rFonts w:eastAsia="Calibri"/>
          <w:szCs w:val="24"/>
        </w:rPr>
        <w:t>Customer Average Interruption Duration Index</w:t>
      </w:r>
      <w:r w:rsidR="00947C5E">
        <w:rPr>
          <w:rFonts w:eastAsia="Calibri"/>
        </w:rPr>
        <w:t xml:space="preserve"> </w:t>
      </w:r>
      <w:r w:rsidR="002514CA">
        <w:rPr>
          <w:rFonts w:eastAsia="Calibri"/>
        </w:rPr>
        <w:t xml:space="preserve">Performance Standard </w:t>
      </w:r>
      <w:r w:rsidR="00947C5E">
        <w:rPr>
          <w:rFonts w:eastAsia="Calibri"/>
        </w:rPr>
        <w:t xml:space="preserve">Should Be Set </w:t>
      </w:r>
      <w:r w:rsidR="0087474C">
        <w:rPr>
          <w:rFonts w:eastAsia="Calibri"/>
        </w:rPr>
        <w:t xml:space="preserve">At The 5-Year </w:t>
      </w:r>
      <w:r w:rsidR="00947C5E">
        <w:rPr>
          <w:rFonts w:eastAsia="Calibri"/>
        </w:rPr>
        <w:t xml:space="preserve">Historical Average </w:t>
      </w:r>
      <w:r w:rsidR="0087474C">
        <w:rPr>
          <w:rFonts w:eastAsia="Calibri"/>
        </w:rPr>
        <w:t xml:space="preserve">Of 103.72 </w:t>
      </w:r>
      <w:r w:rsidR="00947C5E">
        <w:rPr>
          <w:rFonts w:eastAsia="Calibri"/>
        </w:rPr>
        <w:t>Minutes</w:t>
      </w:r>
      <w:r w:rsidR="0087474C">
        <w:rPr>
          <w:rFonts w:eastAsia="Calibri"/>
        </w:rPr>
        <w:t>.</w:t>
      </w:r>
      <w:bookmarkEnd w:id="16"/>
    </w:p>
    <w:p w:rsidR="00DA0A7D" w:rsidRDefault="002514CA" w:rsidP="00A74B0D">
      <w:pPr>
        <w:spacing w:line="480" w:lineRule="auto"/>
        <w:ind w:firstLine="720"/>
        <w:rPr>
          <w:szCs w:val="24"/>
        </w:rPr>
      </w:pPr>
      <w:r>
        <w:rPr>
          <w:szCs w:val="24"/>
        </w:rPr>
        <w:t xml:space="preserve">The PUCO should approve a </w:t>
      </w:r>
      <w:r w:rsidR="00DA0A7D">
        <w:rPr>
          <w:szCs w:val="24"/>
        </w:rPr>
        <w:t xml:space="preserve">CAIDI </w:t>
      </w:r>
      <w:r>
        <w:rPr>
          <w:szCs w:val="24"/>
        </w:rPr>
        <w:t>performance standard that is</w:t>
      </w:r>
      <w:r w:rsidR="00DA0A7D">
        <w:rPr>
          <w:szCs w:val="24"/>
        </w:rPr>
        <w:t xml:space="preserve"> based on Duke’s 5-year historical average of 103.72 for 2008 – 2012, </w:t>
      </w:r>
      <w:r w:rsidR="00851E5F">
        <w:rPr>
          <w:szCs w:val="24"/>
        </w:rPr>
        <w:t xml:space="preserve">based on </w:t>
      </w:r>
      <w:r w:rsidR="00DA0A7D">
        <w:rPr>
          <w:szCs w:val="24"/>
        </w:rPr>
        <w:t xml:space="preserve">the data </w:t>
      </w:r>
      <w:r w:rsidR="00851E5F">
        <w:rPr>
          <w:szCs w:val="24"/>
        </w:rPr>
        <w:t>provided</w:t>
      </w:r>
      <w:r w:rsidR="00DA0A7D">
        <w:rPr>
          <w:szCs w:val="24"/>
        </w:rPr>
        <w:t xml:space="preserve"> in this proceeding</w:t>
      </w:r>
      <w:r w:rsidR="00851E5F">
        <w:rPr>
          <w:szCs w:val="24"/>
        </w:rPr>
        <w:t>. However, that standard should be lowered if Duke is required to file another application that includes</w:t>
      </w:r>
      <w:r w:rsidR="00DA0A7D">
        <w:rPr>
          <w:szCs w:val="24"/>
        </w:rPr>
        <w:t xml:space="preserve"> data from the current outage management system.  </w:t>
      </w:r>
      <w:r w:rsidR="00A74B0D" w:rsidRPr="00F71FB8">
        <w:rPr>
          <w:szCs w:val="24"/>
        </w:rPr>
        <w:t>The PUCO approved CAIDI reliability standard</w:t>
      </w:r>
      <w:r w:rsidR="001D79B2">
        <w:rPr>
          <w:szCs w:val="24"/>
        </w:rPr>
        <w:t>s</w:t>
      </w:r>
      <w:r w:rsidR="00A74B0D" w:rsidRPr="00F71FB8">
        <w:rPr>
          <w:szCs w:val="24"/>
        </w:rPr>
        <w:t xml:space="preserve"> for Duke of 121.25 and 124.37 for 2014 and 2015 respectively.</w:t>
      </w:r>
      <w:r w:rsidR="00A74B0D" w:rsidRPr="00F71FB8">
        <w:rPr>
          <w:rStyle w:val="FootnoteReference"/>
          <w:szCs w:val="24"/>
        </w:rPr>
        <w:footnoteReference w:id="19"/>
      </w:r>
      <w:r w:rsidR="00A74B0D" w:rsidRPr="00F71FB8">
        <w:rPr>
          <w:szCs w:val="24"/>
        </w:rPr>
        <w:t xml:space="preserve">  </w:t>
      </w:r>
      <w:r w:rsidR="00A74B0D">
        <w:rPr>
          <w:szCs w:val="24"/>
        </w:rPr>
        <w:t>However, Duke</w:t>
      </w:r>
      <w:r w:rsidR="00B265BD">
        <w:rPr>
          <w:szCs w:val="24"/>
        </w:rPr>
        <w:t>’</w:t>
      </w:r>
      <w:r w:rsidR="00A74B0D">
        <w:rPr>
          <w:szCs w:val="24"/>
        </w:rPr>
        <w:t xml:space="preserve">s application </w:t>
      </w:r>
      <w:r w:rsidR="001D79B2">
        <w:rPr>
          <w:szCs w:val="24"/>
        </w:rPr>
        <w:t xml:space="preserve">showed </w:t>
      </w:r>
      <w:r w:rsidR="00A74B0D">
        <w:rPr>
          <w:szCs w:val="24"/>
        </w:rPr>
        <w:t>a</w:t>
      </w:r>
      <w:r w:rsidR="00E11D76">
        <w:rPr>
          <w:szCs w:val="24"/>
        </w:rPr>
        <w:t xml:space="preserve"> 5-year </w:t>
      </w:r>
      <w:r w:rsidR="001D79B2">
        <w:rPr>
          <w:szCs w:val="24"/>
        </w:rPr>
        <w:t xml:space="preserve">historic </w:t>
      </w:r>
      <w:r w:rsidR="00E11D76">
        <w:rPr>
          <w:szCs w:val="24"/>
        </w:rPr>
        <w:t xml:space="preserve">average CAIDI from </w:t>
      </w:r>
      <w:r w:rsidR="00A74B0D" w:rsidRPr="00F71FB8">
        <w:rPr>
          <w:szCs w:val="24"/>
        </w:rPr>
        <w:t xml:space="preserve">2008 </w:t>
      </w:r>
      <w:r w:rsidR="00E11D76">
        <w:rPr>
          <w:szCs w:val="24"/>
        </w:rPr>
        <w:t xml:space="preserve">- </w:t>
      </w:r>
      <w:r w:rsidR="00A74B0D" w:rsidRPr="00F71FB8">
        <w:rPr>
          <w:szCs w:val="24"/>
        </w:rPr>
        <w:t xml:space="preserve">2012 </w:t>
      </w:r>
      <w:r w:rsidR="00A74B0D">
        <w:rPr>
          <w:szCs w:val="24"/>
        </w:rPr>
        <w:t>of</w:t>
      </w:r>
      <w:r w:rsidR="00A74B0D" w:rsidRPr="00F71FB8">
        <w:rPr>
          <w:szCs w:val="24"/>
        </w:rPr>
        <w:t xml:space="preserve"> 103.72 minutes.</w:t>
      </w:r>
      <w:r w:rsidR="00A74B0D" w:rsidRPr="00F71FB8">
        <w:rPr>
          <w:rStyle w:val="FootnoteReference"/>
          <w:szCs w:val="24"/>
        </w:rPr>
        <w:footnoteReference w:id="20"/>
      </w:r>
      <w:r w:rsidR="00A74B0D" w:rsidRPr="00F71FB8">
        <w:rPr>
          <w:szCs w:val="24"/>
        </w:rPr>
        <w:t xml:space="preserve">  </w:t>
      </w:r>
      <w:r w:rsidR="00851E5F">
        <w:rPr>
          <w:szCs w:val="24"/>
        </w:rPr>
        <w:t xml:space="preserve">The </w:t>
      </w:r>
      <w:r w:rsidR="00A74B0D">
        <w:rPr>
          <w:szCs w:val="24"/>
        </w:rPr>
        <w:t>PUCO Staff</w:t>
      </w:r>
      <w:r w:rsidR="00B265BD">
        <w:rPr>
          <w:szCs w:val="24"/>
        </w:rPr>
        <w:t>’</w:t>
      </w:r>
      <w:r w:rsidR="00A74B0D">
        <w:rPr>
          <w:szCs w:val="24"/>
        </w:rPr>
        <w:t xml:space="preserve">s analysis, </w:t>
      </w:r>
      <w:r w:rsidR="00851E5F">
        <w:rPr>
          <w:szCs w:val="24"/>
        </w:rPr>
        <w:t xml:space="preserve">that included data from </w:t>
      </w:r>
      <w:r w:rsidR="00A74B0D">
        <w:rPr>
          <w:szCs w:val="24"/>
        </w:rPr>
        <w:t>year 2013 but u</w:t>
      </w:r>
      <w:r w:rsidR="0029597F">
        <w:rPr>
          <w:szCs w:val="24"/>
        </w:rPr>
        <w:t>s</w:t>
      </w:r>
      <w:r w:rsidR="00851E5F">
        <w:rPr>
          <w:szCs w:val="24"/>
        </w:rPr>
        <w:t>ed</w:t>
      </w:r>
      <w:r w:rsidR="00A74B0D">
        <w:rPr>
          <w:szCs w:val="24"/>
        </w:rPr>
        <w:t xml:space="preserve"> data from Duke</w:t>
      </w:r>
      <w:r w:rsidR="00B265BD">
        <w:rPr>
          <w:szCs w:val="24"/>
        </w:rPr>
        <w:t>’</w:t>
      </w:r>
      <w:r w:rsidR="00A74B0D">
        <w:rPr>
          <w:szCs w:val="24"/>
        </w:rPr>
        <w:t>s current outage management system</w:t>
      </w:r>
      <w:r w:rsidR="00E11D76">
        <w:rPr>
          <w:szCs w:val="24"/>
        </w:rPr>
        <w:t xml:space="preserve"> (and utiliz</w:t>
      </w:r>
      <w:r w:rsidR="00851E5F">
        <w:rPr>
          <w:szCs w:val="24"/>
        </w:rPr>
        <w:t>ed</w:t>
      </w:r>
      <w:r w:rsidR="00E11D76">
        <w:rPr>
          <w:szCs w:val="24"/>
        </w:rPr>
        <w:t xml:space="preserve"> the performance standard rather than historic data for 2010)</w:t>
      </w:r>
      <w:r w:rsidR="00A74B0D">
        <w:rPr>
          <w:szCs w:val="24"/>
        </w:rPr>
        <w:t xml:space="preserve">, showed a 5-year average </w:t>
      </w:r>
      <w:r w:rsidR="0029597F">
        <w:rPr>
          <w:szCs w:val="24"/>
        </w:rPr>
        <w:t xml:space="preserve">CAIDI </w:t>
      </w:r>
      <w:r w:rsidR="00A74B0D">
        <w:rPr>
          <w:szCs w:val="24"/>
        </w:rPr>
        <w:t xml:space="preserve">from 2009 – 2013 of 106.14.  </w:t>
      </w:r>
    </w:p>
    <w:p w:rsidR="00A74B0D" w:rsidRPr="00F71FB8" w:rsidRDefault="00A74B0D" w:rsidP="00A74B0D">
      <w:pPr>
        <w:spacing w:line="480" w:lineRule="auto"/>
        <w:ind w:firstLine="720"/>
        <w:rPr>
          <w:szCs w:val="24"/>
        </w:rPr>
      </w:pPr>
      <w:r w:rsidRPr="00F71FB8">
        <w:rPr>
          <w:szCs w:val="24"/>
        </w:rPr>
        <w:t>The large variance between the average historical performance level</w:t>
      </w:r>
      <w:r w:rsidR="001D79B2">
        <w:rPr>
          <w:szCs w:val="24"/>
        </w:rPr>
        <w:t>s</w:t>
      </w:r>
      <w:r w:rsidRPr="00F71FB8">
        <w:rPr>
          <w:szCs w:val="24"/>
        </w:rPr>
        <w:t xml:space="preserve"> and the </w:t>
      </w:r>
      <w:r w:rsidR="001D79B2">
        <w:rPr>
          <w:szCs w:val="24"/>
        </w:rPr>
        <w:t xml:space="preserve">established </w:t>
      </w:r>
      <w:r w:rsidRPr="00F71FB8">
        <w:rPr>
          <w:szCs w:val="24"/>
        </w:rPr>
        <w:t>reliability standard</w:t>
      </w:r>
      <w:r w:rsidR="001D79B2">
        <w:rPr>
          <w:szCs w:val="24"/>
        </w:rPr>
        <w:t xml:space="preserve">s </w:t>
      </w:r>
      <w:r w:rsidRPr="00F71FB8">
        <w:rPr>
          <w:szCs w:val="24"/>
        </w:rPr>
        <w:t xml:space="preserve">is due to annual increases in the CAIDI standard that were permitted to address </w:t>
      </w:r>
      <w:r w:rsidR="001D79B2">
        <w:rPr>
          <w:szCs w:val="24"/>
        </w:rPr>
        <w:t xml:space="preserve">the </w:t>
      </w:r>
      <w:r w:rsidRPr="00F71FB8">
        <w:rPr>
          <w:szCs w:val="24"/>
        </w:rPr>
        <w:t>expectation that CAIDI would rise</w:t>
      </w:r>
      <w:r w:rsidR="001D79B2">
        <w:rPr>
          <w:szCs w:val="24"/>
        </w:rPr>
        <w:t xml:space="preserve"> in the short-term</w:t>
      </w:r>
      <w:r w:rsidRPr="00F71FB8">
        <w:rPr>
          <w:szCs w:val="24"/>
        </w:rPr>
        <w:t xml:space="preserve"> as a result of the grid modernization program.</w:t>
      </w:r>
      <w:r w:rsidR="0080176B">
        <w:rPr>
          <w:rStyle w:val="FootnoteReference"/>
          <w:szCs w:val="24"/>
        </w:rPr>
        <w:footnoteReference w:id="21"/>
      </w:r>
      <w:r w:rsidRPr="00F71FB8">
        <w:rPr>
          <w:szCs w:val="24"/>
        </w:rPr>
        <w:t xml:space="preserve">  Given that the CAIDI performance level has not increased </w:t>
      </w:r>
      <w:r w:rsidR="006248AB">
        <w:rPr>
          <w:szCs w:val="24"/>
        </w:rPr>
        <w:t xml:space="preserve">significantly </w:t>
      </w:r>
      <w:r w:rsidRPr="00F71FB8">
        <w:rPr>
          <w:szCs w:val="24"/>
        </w:rPr>
        <w:t xml:space="preserve">as </w:t>
      </w:r>
      <w:r w:rsidR="0029597F">
        <w:rPr>
          <w:szCs w:val="24"/>
        </w:rPr>
        <w:t>Duke</w:t>
      </w:r>
      <w:r w:rsidR="00DB2FFB">
        <w:rPr>
          <w:szCs w:val="24"/>
        </w:rPr>
        <w:t xml:space="preserve"> anticipated with implementation of </w:t>
      </w:r>
      <w:r w:rsidRPr="00F71FB8">
        <w:rPr>
          <w:szCs w:val="24"/>
        </w:rPr>
        <w:t>grid modernization</w:t>
      </w:r>
      <w:r w:rsidR="00DB2FFB">
        <w:rPr>
          <w:szCs w:val="24"/>
        </w:rPr>
        <w:t>,</w:t>
      </w:r>
      <w:r w:rsidR="00DB2FFB">
        <w:rPr>
          <w:rStyle w:val="FootnoteReference"/>
          <w:szCs w:val="24"/>
        </w:rPr>
        <w:footnoteReference w:id="22"/>
      </w:r>
      <w:r w:rsidR="00DB2FFB">
        <w:rPr>
          <w:szCs w:val="24"/>
        </w:rPr>
        <w:t xml:space="preserve"> t</w:t>
      </w:r>
      <w:r w:rsidRPr="00F71FB8">
        <w:rPr>
          <w:szCs w:val="24"/>
        </w:rPr>
        <w:t xml:space="preserve">he CAIDI standard should now be reduced using the methodology in the PUCO rules and the PUCO Staff Guidelines for establishing reliability standards.  </w:t>
      </w:r>
    </w:p>
    <w:p w:rsidR="001D79B2" w:rsidRDefault="00A74B0D" w:rsidP="00A74B0D">
      <w:pPr>
        <w:spacing w:line="480" w:lineRule="auto"/>
        <w:ind w:firstLine="720"/>
        <w:rPr>
          <w:szCs w:val="24"/>
        </w:rPr>
      </w:pPr>
      <w:r w:rsidRPr="00F71FB8">
        <w:rPr>
          <w:szCs w:val="24"/>
        </w:rPr>
        <w:t>The PUCO Staff proposed that the 2014 and 2015 CAIDI performance standard be set at a level of 116.75 minutes</w:t>
      </w:r>
      <w:r w:rsidR="001D79B2">
        <w:rPr>
          <w:szCs w:val="24"/>
        </w:rPr>
        <w:t>, based on an adjusted historic performance, plus a 10% variance</w:t>
      </w:r>
      <w:r w:rsidRPr="00F71FB8">
        <w:rPr>
          <w:szCs w:val="24"/>
        </w:rPr>
        <w:t>.</w:t>
      </w:r>
      <w:r w:rsidRPr="00F71FB8">
        <w:rPr>
          <w:rStyle w:val="FootnoteReference"/>
          <w:szCs w:val="24"/>
        </w:rPr>
        <w:footnoteReference w:id="23"/>
      </w:r>
      <w:r w:rsidRPr="00F71FB8">
        <w:rPr>
          <w:szCs w:val="24"/>
        </w:rPr>
        <w:t xml:space="preserve">  </w:t>
      </w:r>
      <w:r w:rsidR="001D79B2">
        <w:rPr>
          <w:szCs w:val="24"/>
        </w:rPr>
        <w:t>OCC agrees with PUCO Staff</w:t>
      </w:r>
      <w:r w:rsidR="00B265BD">
        <w:rPr>
          <w:szCs w:val="24"/>
        </w:rPr>
        <w:t>’</w:t>
      </w:r>
      <w:r w:rsidR="001D79B2">
        <w:rPr>
          <w:szCs w:val="24"/>
        </w:rPr>
        <w:t>s proposed use of a 5-year average historic performance for CAIDI</w:t>
      </w:r>
      <w:r w:rsidR="0080176B">
        <w:rPr>
          <w:szCs w:val="24"/>
        </w:rPr>
        <w:t xml:space="preserve">.  However, OCC has not had the opportunity to review </w:t>
      </w:r>
      <w:r w:rsidR="0029597F">
        <w:rPr>
          <w:szCs w:val="24"/>
        </w:rPr>
        <w:t xml:space="preserve">Duke’s </w:t>
      </w:r>
      <w:r w:rsidR="0080176B">
        <w:rPr>
          <w:szCs w:val="24"/>
        </w:rPr>
        <w:t xml:space="preserve">2013 data.  As a result, although OCC endorses the use of the current outage management system, CAIDI should be based on 2008 – 2012 data excluding </w:t>
      </w:r>
      <w:r w:rsidR="00851E5F">
        <w:rPr>
          <w:szCs w:val="24"/>
        </w:rPr>
        <w:t xml:space="preserve">the </w:t>
      </w:r>
      <w:r w:rsidR="0080176B">
        <w:rPr>
          <w:szCs w:val="24"/>
        </w:rPr>
        <w:t>PUCO Staff</w:t>
      </w:r>
      <w:r w:rsidR="00B265BD">
        <w:rPr>
          <w:szCs w:val="24"/>
        </w:rPr>
        <w:t>’</w:t>
      </w:r>
      <w:r w:rsidR="0080176B">
        <w:rPr>
          <w:szCs w:val="24"/>
        </w:rPr>
        <w:t xml:space="preserve">s proposed </w:t>
      </w:r>
      <w:r w:rsidR="001D79B2">
        <w:rPr>
          <w:szCs w:val="24"/>
        </w:rPr>
        <w:t>10% variance</w:t>
      </w:r>
      <w:r w:rsidR="0080176B">
        <w:rPr>
          <w:szCs w:val="24"/>
        </w:rPr>
        <w:t xml:space="preserve">.  </w:t>
      </w:r>
      <w:r w:rsidR="007549CE">
        <w:rPr>
          <w:szCs w:val="24"/>
        </w:rPr>
        <w:t>Based on the annual report data for 2008 – 2012 reflected in OCC</w:t>
      </w:r>
      <w:r w:rsidR="00B265BD">
        <w:rPr>
          <w:szCs w:val="24"/>
        </w:rPr>
        <w:t>’</w:t>
      </w:r>
      <w:r w:rsidR="007549CE">
        <w:rPr>
          <w:szCs w:val="24"/>
        </w:rPr>
        <w:t>s Initial Comments, this would produce a CAIDI of 103.72 minutes.</w:t>
      </w:r>
      <w:r w:rsidR="009E6074">
        <w:rPr>
          <w:szCs w:val="24"/>
        </w:rPr>
        <w:t xml:space="preserve">  For reasons discussed below in Section </w:t>
      </w:r>
      <w:r w:rsidR="00947C5E">
        <w:rPr>
          <w:szCs w:val="24"/>
        </w:rPr>
        <w:t>D</w:t>
      </w:r>
      <w:r w:rsidR="009E6074">
        <w:rPr>
          <w:szCs w:val="24"/>
        </w:rPr>
        <w:t xml:space="preserve">, </w:t>
      </w:r>
      <w:r w:rsidR="00851E5F">
        <w:rPr>
          <w:szCs w:val="24"/>
        </w:rPr>
        <w:t xml:space="preserve">the </w:t>
      </w:r>
      <w:r w:rsidR="009E6074">
        <w:rPr>
          <w:szCs w:val="24"/>
        </w:rPr>
        <w:t>PUCO Staff</w:t>
      </w:r>
      <w:r w:rsidR="00B265BD">
        <w:rPr>
          <w:szCs w:val="24"/>
        </w:rPr>
        <w:t>’</w:t>
      </w:r>
      <w:r w:rsidR="009E6074">
        <w:rPr>
          <w:szCs w:val="24"/>
        </w:rPr>
        <w:t>s 10% variance adjustment should be rejected.</w:t>
      </w:r>
    </w:p>
    <w:p w:rsidR="00420C8B" w:rsidRDefault="00947C5E" w:rsidP="00420C8B">
      <w:pPr>
        <w:pStyle w:val="Heading2"/>
        <w:rPr>
          <w:rFonts w:eastAsia="Calibri"/>
        </w:rPr>
      </w:pPr>
      <w:bookmarkStart w:id="17" w:name="_Toc379547087"/>
      <w:bookmarkStart w:id="18" w:name="_Toc379373894"/>
      <w:r>
        <w:rPr>
          <w:rFonts w:eastAsia="Calibri"/>
        </w:rPr>
        <w:t>D</w:t>
      </w:r>
      <w:r w:rsidR="00420C8B">
        <w:rPr>
          <w:rFonts w:eastAsia="Calibri"/>
        </w:rPr>
        <w:t>.</w:t>
      </w:r>
      <w:r w:rsidR="00420C8B">
        <w:rPr>
          <w:rFonts w:eastAsia="Calibri"/>
        </w:rPr>
        <w:tab/>
      </w:r>
      <w:r>
        <w:t xml:space="preserve">The PUCO </w:t>
      </w:r>
      <w:r w:rsidR="0087474C">
        <w:t>Should Not Establish Reliability Standards That Include An Allowance For Variability Above The 5-Year Adjusted Historic Average</w:t>
      </w:r>
      <w:r w:rsidR="0087474C">
        <w:rPr>
          <w:rFonts w:eastAsia="Calibri"/>
        </w:rPr>
        <w:t>.</w:t>
      </w:r>
      <w:bookmarkEnd w:id="17"/>
    </w:p>
    <w:p w:rsidR="00420C8B" w:rsidRPr="00A74B0D" w:rsidRDefault="00DA0A7D" w:rsidP="00420C8B">
      <w:pPr>
        <w:spacing w:line="480" w:lineRule="auto"/>
        <w:ind w:firstLine="720"/>
        <w:rPr>
          <w:rFonts w:eastAsia="Calibri"/>
        </w:rPr>
      </w:pPr>
      <w:r>
        <w:rPr>
          <w:szCs w:val="24"/>
        </w:rPr>
        <w:t>T</w:t>
      </w:r>
      <w:r w:rsidR="00420C8B">
        <w:rPr>
          <w:szCs w:val="24"/>
        </w:rPr>
        <w:t>he PUCO should not establish electric reliability standards that include a 10% variance (or margin) above the 5-year historic average as proposed by the PUCO Staff.</w:t>
      </w:r>
      <w:r w:rsidR="00420C8B">
        <w:rPr>
          <w:rStyle w:val="FootnoteReference"/>
          <w:szCs w:val="24"/>
        </w:rPr>
        <w:footnoteReference w:id="24"/>
      </w:r>
      <w:r w:rsidR="00420C8B">
        <w:rPr>
          <w:szCs w:val="24"/>
        </w:rPr>
        <w:t xml:space="preserve">  </w:t>
      </w:r>
      <w:r w:rsidR="00420C8B" w:rsidRPr="00F71FB8">
        <w:rPr>
          <w:szCs w:val="24"/>
        </w:rPr>
        <w:t>The PUCO</w:t>
      </w:r>
      <w:r w:rsidR="00851E5F">
        <w:rPr>
          <w:szCs w:val="24"/>
        </w:rPr>
        <w:t xml:space="preserve">’s </w:t>
      </w:r>
      <w:r w:rsidR="00420C8B" w:rsidRPr="00F71FB8">
        <w:rPr>
          <w:szCs w:val="24"/>
        </w:rPr>
        <w:t xml:space="preserve">rules and </w:t>
      </w:r>
      <w:r w:rsidR="00851E5F">
        <w:rPr>
          <w:szCs w:val="24"/>
        </w:rPr>
        <w:t xml:space="preserve">the </w:t>
      </w:r>
      <w:r w:rsidR="00420C8B" w:rsidRPr="00F71FB8">
        <w:rPr>
          <w:szCs w:val="24"/>
        </w:rPr>
        <w:t xml:space="preserve">PUCO Staff Guidelines for establishing reliability standards do not </w:t>
      </w:r>
      <w:r w:rsidR="00420C8B">
        <w:rPr>
          <w:szCs w:val="24"/>
        </w:rPr>
        <w:t>provide for</w:t>
      </w:r>
      <w:r w:rsidR="00420C8B" w:rsidRPr="00F71FB8">
        <w:rPr>
          <w:szCs w:val="24"/>
        </w:rPr>
        <w:t xml:space="preserve"> </w:t>
      </w:r>
      <w:r w:rsidR="00851E5F">
        <w:rPr>
          <w:szCs w:val="24"/>
        </w:rPr>
        <w:t xml:space="preserve">the </w:t>
      </w:r>
      <w:r w:rsidR="00420C8B" w:rsidRPr="00F71FB8">
        <w:rPr>
          <w:szCs w:val="24"/>
        </w:rPr>
        <w:t xml:space="preserve">use of a </w:t>
      </w:r>
      <w:r w:rsidR="00420C8B">
        <w:rPr>
          <w:szCs w:val="24"/>
        </w:rPr>
        <w:t xml:space="preserve">10-percent </w:t>
      </w:r>
      <w:r w:rsidR="00420C8B" w:rsidRPr="00F71FB8">
        <w:rPr>
          <w:szCs w:val="24"/>
        </w:rPr>
        <w:t>adder to the five year average historical performance data</w:t>
      </w:r>
      <w:r w:rsidR="00727C38">
        <w:rPr>
          <w:szCs w:val="24"/>
        </w:rPr>
        <w:t xml:space="preserve"> used to establish reliability standard</w:t>
      </w:r>
      <w:r w:rsidR="00166CBF">
        <w:rPr>
          <w:szCs w:val="24"/>
        </w:rPr>
        <w:t>s</w:t>
      </w:r>
      <w:r w:rsidR="00420C8B" w:rsidRPr="00F71FB8">
        <w:rPr>
          <w:szCs w:val="24"/>
        </w:rPr>
        <w:t xml:space="preserve">.  </w:t>
      </w:r>
      <w:r w:rsidR="00420C8B">
        <w:rPr>
          <w:szCs w:val="24"/>
        </w:rPr>
        <w:t xml:space="preserve">And the PUCO Staff provides no support for its arguments that such an adder is needed to account for “fluctuation” around a historical average and for “non-excludable storms” and “other uncontrollable factors.” </w:t>
      </w:r>
      <w:r w:rsidR="00420C8B" w:rsidRPr="00F71FB8">
        <w:rPr>
          <w:szCs w:val="24"/>
        </w:rPr>
        <w:t xml:space="preserve">Instead, the five year average </w:t>
      </w:r>
      <w:r w:rsidR="00420C8B">
        <w:rPr>
          <w:szCs w:val="24"/>
        </w:rPr>
        <w:t xml:space="preserve">historic </w:t>
      </w:r>
      <w:r w:rsidR="00420C8B" w:rsidRPr="00F71FB8">
        <w:rPr>
          <w:szCs w:val="24"/>
        </w:rPr>
        <w:t xml:space="preserve">performance level should be adjusted based on </w:t>
      </w:r>
      <w:r w:rsidR="00420C8B">
        <w:rPr>
          <w:szCs w:val="24"/>
        </w:rPr>
        <w:t xml:space="preserve">established </w:t>
      </w:r>
      <w:r w:rsidR="00420C8B" w:rsidRPr="00F71FB8">
        <w:rPr>
          <w:szCs w:val="24"/>
        </w:rPr>
        <w:t xml:space="preserve">PUCO </w:t>
      </w:r>
      <w:r w:rsidR="00851E5F">
        <w:rPr>
          <w:szCs w:val="24"/>
        </w:rPr>
        <w:t>r</w:t>
      </w:r>
      <w:r w:rsidR="00420C8B" w:rsidRPr="00F71FB8">
        <w:rPr>
          <w:szCs w:val="24"/>
        </w:rPr>
        <w:t xml:space="preserve">ules and </w:t>
      </w:r>
      <w:r w:rsidR="00851E5F">
        <w:rPr>
          <w:szCs w:val="24"/>
        </w:rPr>
        <w:t xml:space="preserve">the </w:t>
      </w:r>
      <w:r w:rsidR="00420C8B">
        <w:rPr>
          <w:szCs w:val="24"/>
        </w:rPr>
        <w:t xml:space="preserve">PUCO </w:t>
      </w:r>
      <w:r w:rsidR="00420C8B" w:rsidRPr="00F71FB8">
        <w:rPr>
          <w:szCs w:val="24"/>
        </w:rPr>
        <w:t xml:space="preserve">Staff </w:t>
      </w:r>
      <w:r w:rsidR="00851E5F">
        <w:rPr>
          <w:szCs w:val="24"/>
        </w:rPr>
        <w:t>G</w:t>
      </w:r>
      <w:r w:rsidR="00420C8B" w:rsidRPr="00F71FB8">
        <w:rPr>
          <w:szCs w:val="24"/>
        </w:rPr>
        <w:t>uidelines</w:t>
      </w:r>
      <w:r w:rsidR="00420C8B">
        <w:rPr>
          <w:szCs w:val="24"/>
        </w:rPr>
        <w:t xml:space="preserve">.  In particular, historic performance levels </w:t>
      </w:r>
      <w:r w:rsidR="00727C38">
        <w:rPr>
          <w:szCs w:val="24"/>
        </w:rPr>
        <w:t>can</w:t>
      </w:r>
      <w:r w:rsidR="00420C8B">
        <w:rPr>
          <w:szCs w:val="24"/>
        </w:rPr>
        <w:t xml:space="preserve"> </w:t>
      </w:r>
      <w:r w:rsidR="00420C8B" w:rsidRPr="00F71FB8">
        <w:rPr>
          <w:szCs w:val="24"/>
        </w:rPr>
        <w:t>be adjusted based on system design, technological advancements, service area geography, and the customer perception survey results.</w:t>
      </w:r>
      <w:r w:rsidR="00420C8B" w:rsidRPr="00F71FB8">
        <w:rPr>
          <w:rStyle w:val="FootnoteReference"/>
          <w:szCs w:val="24"/>
        </w:rPr>
        <w:footnoteReference w:id="25"/>
      </w:r>
      <w:r w:rsidR="00420C8B" w:rsidRPr="00F71FB8">
        <w:rPr>
          <w:szCs w:val="24"/>
        </w:rPr>
        <w:t xml:space="preserve">  Since Duke</w:t>
      </w:r>
      <w:r w:rsidR="00420C8B">
        <w:rPr>
          <w:szCs w:val="24"/>
        </w:rPr>
        <w:t>’</w:t>
      </w:r>
      <w:r w:rsidR="00420C8B" w:rsidRPr="00F71FB8">
        <w:rPr>
          <w:szCs w:val="24"/>
        </w:rPr>
        <w:t xml:space="preserve">s Amended Application provided no support for </w:t>
      </w:r>
      <w:r w:rsidR="00727C38">
        <w:rPr>
          <w:szCs w:val="24"/>
        </w:rPr>
        <w:t xml:space="preserve">any such </w:t>
      </w:r>
      <w:r w:rsidR="00420C8B" w:rsidRPr="00F71FB8">
        <w:rPr>
          <w:szCs w:val="24"/>
        </w:rPr>
        <w:t>adjustments,</w:t>
      </w:r>
      <w:r w:rsidR="00727C38">
        <w:rPr>
          <w:szCs w:val="24"/>
        </w:rPr>
        <w:t xml:space="preserve"> </w:t>
      </w:r>
      <w:r w:rsidR="00420C8B" w:rsidRPr="00F71FB8">
        <w:rPr>
          <w:szCs w:val="24"/>
        </w:rPr>
        <w:t xml:space="preserve">the CAIDI standard </w:t>
      </w:r>
      <w:r w:rsidR="003E7624">
        <w:rPr>
          <w:szCs w:val="24"/>
        </w:rPr>
        <w:t xml:space="preserve">should </w:t>
      </w:r>
      <w:r w:rsidR="00420C8B" w:rsidRPr="00F71FB8">
        <w:rPr>
          <w:szCs w:val="24"/>
        </w:rPr>
        <w:t>be set at a level of 10</w:t>
      </w:r>
      <w:r w:rsidR="00420C8B">
        <w:rPr>
          <w:szCs w:val="24"/>
        </w:rPr>
        <w:t>3.72</w:t>
      </w:r>
      <w:r w:rsidR="00420C8B" w:rsidRPr="00F71FB8">
        <w:rPr>
          <w:szCs w:val="24"/>
        </w:rPr>
        <w:t xml:space="preserve"> minutes for 2014 and thereafter</w:t>
      </w:r>
      <w:r w:rsidR="00420C8B">
        <w:rPr>
          <w:szCs w:val="24"/>
        </w:rPr>
        <w:t xml:space="preserve">, pending </w:t>
      </w:r>
      <w:r w:rsidR="00727C38">
        <w:rPr>
          <w:szCs w:val="24"/>
        </w:rPr>
        <w:t xml:space="preserve">the </w:t>
      </w:r>
      <w:r w:rsidR="00420C8B">
        <w:rPr>
          <w:szCs w:val="24"/>
        </w:rPr>
        <w:t>refiling of Duke’s Application in this case</w:t>
      </w:r>
      <w:r w:rsidR="003E7624">
        <w:rPr>
          <w:szCs w:val="24"/>
        </w:rPr>
        <w:t xml:space="preserve"> as OCC has recommended</w:t>
      </w:r>
      <w:r w:rsidR="00420C8B" w:rsidRPr="00F71FB8">
        <w:rPr>
          <w:szCs w:val="24"/>
        </w:rPr>
        <w:t>.</w:t>
      </w:r>
      <w:r w:rsidR="00420C8B" w:rsidRPr="00F71FB8">
        <w:rPr>
          <w:rStyle w:val="FootnoteReference"/>
          <w:szCs w:val="24"/>
        </w:rPr>
        <w:footnoteReference w:id="26"/>
      </w:r>
    </w:p>
    <w:p w:rsidR="00900BD1" w:rsidRDefault="00DA0A7D" w:rsidP="008C1F07">
      <w:pPr>
        <w:pStyle w:val="Heading2"/>
        <w:rPr>
          <w:rFonts w:eastAsia="Calibri"/>
        </w:rPr>
      </w:pPr>
      <w:bookmarkStart w:id="19" w:name="_Toc379547088"/>
      <w:r>
        <w:rPr>
          <w:rFonts w:eastAsia="Calibri"/>
        </w:rPr>
        <w:t>E</w:t>
      </w:r>
      <w:r w:rsidR="000072AB">
        <w:rPr>
          <w:rFonts w:eastAsia="Calibri"/>
        </w:rPr>
        <w:t>.</w:t>
      </w:r>
      <w:r w:rsidR="000072AB">
        <w:rPr>
          <w:rFonts w:eastAsia="Calibri"/>
        </w:rPr>
        <w:tab/>
      </w:r>
      <w:r w:rsidR="001B3F79">
        <w:rPr>
          <w:rFonts w:eastAsia="Calibri"/>
        </w:rPr>
        <w:t>The System</w:t>
      </w:r>
      <w:r w:rsidR="00727C38">
        <w:rPr>
          <w:rFonts w:eastAsia="Calibri"/>
          <w:szCs w:val="24"/>
        </w:rPr>
        <w:t xml:space="preserve"> Average Interruption Frequency Index</w:t>
      </w:r>
      <w:r w:rsidR="00727C38">
        <w:rPr>
          <w:rFonts w:eastAsia="Calibri"/>
        </w:rPr>
        <w:t xml:space="preserve"> Performance</w:t>
      </w:r>
      <w:r w:rsidR="000072AB">
        <w:rPr>
          <w:rFonts w:eastAsia="Calibri"/>
        </w:rPr>
        <w:t xml:space="preserve"> Standard Should Be </w:t>
      </w:r>
      <w:r w:rsidR="007E7684">
        <w:rPr>
          <w:rFonts w:eastAsia="Calibri"/>
        </w:rPr>
        <w:t xml:space="preserve">Reduced Lower </w:t>
      </w:r>
      <w:r w:rsidR="0087474C">
        <w:rPr>
          <w:rFonts w:eastAsia="Calibri"/>
        </w:rPr>
        <w:t xml:space="preserve">Than 1.1 For 2016 And </w:t>
      </w:r>
      <w:r w:rsidR="00136945">
        <w:rPr>
          <w:rFonts w:eastAsia="Calibri"/>
        </w:rPr>
        <w:t>Beyond</w:t>
      </w:r>
      <w:r w:rsidR="0087474C">
        <w:rPr>
          <w:rFonts w:eastAsia="Calibri"/>
        </w:rPr>
        <w:t>.</w:t>
      </w:r>
      <w:bookmarkEnd w:id="18"/>
      <w:bookmarkEnd w:id="19"/>
    </w:p>
    <w:p w:rsidR="00E11D76" w:rsidRPr="00F71FB8" w:rsidRDefault="00DA0A7D" w:rsidP="00727C38">
      <w:pPr>
        <w:spacing w:line="480" w:lineRule="auto"/>
        <w:ind w:firstLine="720"/>
        <w:rPr>
          <w:szCs w:val="24"/>
        </w:rPr>
      </w:pPr>
      <w:r>
        <w:rPr>
          <w:szCs w:val="24"/>
        </w:rPr>
        <w:t xml:space="preserve">The PUCO should establish a SAIFI standard </w:t>
      </w:r>
      <w:r w:rsidR="00727C38">
        <w:rPr>
          <w:szCs w:val="24"/>
        </w:rPr>
        <w:t xml:space="preserve">lower than 1.1 </w:t>
      </w:r>
      <w:r>
        <w:rPr>
          <w:szCs w:val="24"/>
        </w:rPr>
        <w:t>for 2016 and beyond.  The PUCO Staff, however, did not oppose Duke’s proposal to leave the SAIFI standard as it is currently set.</w:t>
      </w:r>
      <w:r w:rsidR="00395169">
        <w:rPr>
          <w:rStyle w:val="FootnoteReference"/>
          <w:szCs w:val="24"/>
        </w:rPr>
        <w:footnoteReference w:id="27"/>
      </w:r>
      <w:r>
        <w:rPr>
          <w:szCs w:val="24"/>
        </w:rPr>
        <w:t xml:space="preserve">  </w:t>
      </w:r>
      <w:r w:rsidR="0029597F">
        <w:rPr>
          <w:szCs w:val="24"/>
        </w:rPr>
        <w:t>Duke’s</w:t>
      </w:r>
      <w:r w:rsidR="00E11D76" w:rsidRPr="00F71FB8">
        <w:rPr>
          <w:szCs w:val="24"/>
        </w:rPr>
        <w:t xml:space="preserve"> Amended Application propose</w:t>
      </w:r>
      <w:r w:rsidR="009E6074">
        <w:rPr>
          <w:szCs w:val="24"/>
        </w:rPr>
        <w:t>d</w:t>
      </w:r>
      <w:r w:rsidR="00E11D76" w:rsidRPr="00F71FB8">
        <w:rPr>
          <w:szCs w:val="24"/>
        </w:rPr>
        <w:t xml:space="preserve"> to continue the existing SAIFI standard at a level of 1.1 for 2015 and thereafter.</w:t>
      </w:r>
      <w:r w:rsidR="00E11D76" w:rsidRPr="00F71FB8">
        <w:rPr>
          <w:rStyle w:val="FootnoteReference"/>
          <w:szCs w:val="24"/>
        </w:rPr>
        <w:footnoteReference w:id="28"/>
      </w:r>
      <w:r w:rsidR="00E11D76" w:rsidRPr="00F71FB8">
        <w:rPr>
          <w:szCs w:val="24"/>
        </w:rPr>
        <w:t xml:space="preserve">  However, </w:t>
      </w:r>
      <w:r w:rsidR="0064162C">
        <w:rPr>
          <w:szCs w:val="24"/>
        </w:rPr>
        <w:t xml:space="preserve">Duke </w:t>
      </w:r>
      <w:r w:rsidR="009E6074">
        <w:rPr>
          <w:szCs w:val="24"/>
        </w:rPr>
        <w:t xml:space="preserve">recognized </w:t>
      </w:r>
      <w:r w:rsidR="00E11D76" w:rsidRPr="00F71FB8">
        <w:rPr>
          <w:szCs w:val="24"/>
        </w:rPr>
        <w:t>that SAIFI values below that level may be reached in subsequent years.</w:t>
      </w:r>
      <w:r w:rsidR="00E11D76" w:rsidRPr="00F71FB8">
        <w:rPr>
          <w:rStyle w:val="FootnoteReference"/>
          <w:szCs w:val="24"/>
        </w:rPr>
        <w:footnoteReference w:id="29"/>
      </w:r>
      <w:r w:rsidR="0064162C">
        <w:rPr>
          <w:szCs w:val="24"/>
        </w:rPr>
        <w:t xml:space="preserve">  Duke </w:t>
      </w:r>
      <w:r w:rsidR="00395169">
        <w:rPr>
          <w:szCs w:val="24"/>
        </w:rPr>
        <w:t xml:space="preserve">stated </w:t>
      </w:r>
      <w:r w:rsidR="0064162C">
        <w:rPr>
          <w:szCs w:val="24"/>
        </w:rPr>
        <w:t xml:space="preserve">that </w:t>
      </w:r>
      <w:r w:rsidR="0064162C" w:rsidRPr="00F71FB8">
        <w:rPr>
          <w:szCs w:val="24"/>
        </w:rPr>
        <w:t xml:space="preserve">the relative merits and cost effectiveness of </w:t>
      </w:r>
      <w:r w:rsidR="0064162C">
        <w:rPr>
          <w:szCs w:val="24"/>
        </w:rPr>
        <w:t xml:space="preserve">achieving further </w:t>
      </w:r>
      <w:r w:rsidR="0064162C" w:rsidRPr="00F71FB8">
        <w:rPr>
          <w:szCs w:val="24"/>
        </w:rPr>
        <w:t xml:space="preserve">improvements </w:t>
      </w:r>
      <w:r w:rsidR="0064162C">
        <w:rPr>
          <w:szCs w:val="24"/>
        </w:rPr>
        <w:t xml:space="preserve">– and adjusting the SAIFI standard accordingly </w:t>
      </w:r>
      <w:r w:rsidR="00727C38">
        <w:rPr>
          <w:szCs w:val="24"/>
        </w:rPr>
        <w:t>–</w:t>
      </w:r>
      <w:r w:rsidR="0064162C">
        <w:rPr>
          <w:szCs w:val="24"/>
        </w:rPr>
        <w:t xml:space="preserve"> should be evaluated at that time.  </w:t>
      </w:r>
      <w:r w:rsidR="00E11D76" w:rsidRPr="00F71FB8">
        <w:rPr>
          <w:szCs w:val="24"/>
        </w:rPr>
        <w:t xml:space="preserve">OCC commented that it was appropriate for the </w:t>
      </w:r>
      <w:r w:rsidR="0029597F">
        <w:rPr>
          <w:szCs w:val="24"/>
        </w:rPr>
        <w:t>PUCO</w:t>
      </w:r>
      <w:r w:rsidR="00E11D76" w:rsidRPr="00F71FB8">
        <w:rPr>
          <w:szCs w:val="24"/>
        </w:rPr>
        <w:t xml:space="preserve"> to establish a SAIFI reliability standard that accounts for likely reductions to be achieved through grid modernization and other distribution system improvements for 2016 and beyond.</w:t>
      </w:r>
      <w:r w:rsidR="00E11D76" w:rsidRPr="00F71FB8">
        <w:rPr>
          <w:rStyle w:val="FootnoteReference"/>
          <w:szCs w:val="24"/>
        </w:rPr>
        <w:footnoteReference w:id="30"/>
      </w:r>
      <w:r w:rsidR="0064162C">
        <w:rPr>
          <w:szCs w:val="24"/>
        </w:rPr>
        <w:t xml:space="preserve">  </w:t>
      </w:r>
    </w:p>
    <w:p w:rsidR="00E11D76" w:rsidRPr="00E11D76" w:rsidRDefault="0087474C" w:rsidP="008C1F07">
      <w:pPr>
        <w:spacing w:line="480" w:lineRule="auto"/>
        <w:ind w:firstLine="720"/>
        <w:rPr>
          <w:b/>
          <w:szCs w:val="24"/>
        </w:rPr>
      </w:pPr>
      <w:r>
        <w:rPr>
          <w:szCs w:val="24"/>
        </w:rPr>
        <w:br w:type="page"/>
      </w:r>
      <w:r w:rsidR="0064162C">
        <w:rPr>
          <w:szCs w:val="24"/>
        </w:rPr>
        <w:t>As emphasized in OCC</w:t>
      </w:r>
      <w:r w:rsidR="00B265BD">
        <w:rPr>
          <w:szCs w:val="24"/>
        </w:rPr>
        <w:t>’</w:t>
      </w:r>
      <w:r w:rsidR="0064162C">
        <w:rPr>
          <w:szCs w:val="24"/>
        </w:rPr>
        <w:t xml:space="preserve">s Comments, in light of the fact that the SAIFI performance standard for </w:t>
      </w:r>
      <w:r w:rsidR="0064162C" w:rsidRPr="00166CBF">
        <w:rPr>
          <w:szCs w:val="24"/>
        </w:rPr>
        <w:t>2015 of 1.10 was achieved in both 2010 and 2012</w:t>
      </w:r>
      <w:r w:rsidR="0064162C" w:rsidRPr="00A51969">
        <w:rPr>
          <w:szCs w:val="24"/>
        </w:rPr>
        <w:t>,</w:t>
      </w:r>
      <w:r w:rsidR="0064162C">
        <w:rPr>
          <w:szCs w:val="24"/>
        </w:rPr>
        <w:t xml:space="preserve"> Duke</w:t>
      </w:r>
      <w:r w:rsidR="00B265BD">
        <w:rPr>
          <w:szCs w:val="24"/>
        </w:rPr>
        <w:t>’</w:t>
      </w:r>
      <w:r w:rsidR="0064162C">
        <w:rPr>
          <w:szCs w:val="24"/>
        </w:rPr>
        <w:t>s proposal to simply continue that standard is inappropriate.</w:t>
      </w:r>
      <w:r w:rsidR="0064162C">
        <w:rPr>
          <w:rStyle w:val="FootnoteReference"/>
          <w:szCs w:val="24"/>
        </w:rPr>
        <w:footnoteReference w:id="31"/>
      </w:r>
      <w:r w:rsidR="0064162C">
        <w:rPr>
          <w:szCs w:val="24"/>
        </w:rPr>
        <w:t xml:space="preserve">  The SAIFI reliability standard should account for likely reductions to be achieved through grid modernization and distribution system improvement for 2016 and beyond.  </w:t>
      </w:r>
      <w:r w:rsidR="00D5544E">
        <w:rPr>
          <w:szCs w:val="24"/>
        </w:rPr>
        <w:t>Duke</w:t>
      </w:r>
      <w:r w:rsidR="00F74531">
        <w:rPr>
          <w:szCs w:val="24"/>
        </w:rPr>
        <w:t xml:space="preserve"> should be required to perform the reasonable and necessary engineering analysis to determine if c</w:t>
      </w:r>
      <w:r w:rsidR="0064162C">
        <w:rPr>
          <w:szCs w:val="24"/>
        </w:rPr>
        <w:t>ustomer investment</w:t>
      </w:r>
      <w:r w:rsidR="00F74531">
        <w:rPr>
          <w:szCs w:val="24"/>
        </w:rPr>
        <w:t>s</w:t>
      </w:r>
      <w:r w:rsidR="0064162C">
        <w:rPr>
          <w:szCs w:val="24"/>
        </w:rPr>
        <w:t xml:space="preserve"> in grid modernization and distribution system improvements s</w:t>
      </w:r>
      <w:r w:rsidR="002F1D3E">
        <w:rPr>
          <w:szCs w:val="24"/>
        </w:rPr>
        <w:t xml:space="preserve">hould achieve further reductions in SAIFI.  After Duke completes the assessment required by the Stipulation </w:t>
      </w:r>
      <w:r w:rsidR="00D5544E">
        <w:rPr>
          <w:szCs w:val="24"/>
        </w:rPr>
        <w:t>in</w:t>
      </w:r>
      <w:r w:rsidR="002F1D3E">
        <w:rPr>
          <w:szCs w:val="24"/>
        </w:rPr>
        <w:t xml:space="preserve"> Case No. 09-757-EL-ESS, the PUCO should establish a SAIFI standard that ensures the customer investment is appropriately reflected by setting reliability standards to reflect ongoing reliability improvements.</w:t>
      </w:r>
    </w:p>
    <w:p w:rsidR="000072AB" w:rsidRPr="000072AB" w:rsidRDefault="00A74B0D" w:rsidP="008C1F07">
      <w:pPr>
        <w:pStyle w:val="Heading2"/>
        <w:rPr>
          <w:rFonts w:eastAsia="Calibri"/>
        </w:rPr>
      </w:pPr>
      <w:bookmarkStart w:id="20" w:name="_Toc379373896"/>
      <w:bookmarkStart w:id="21" w:name="_Toc379547089"/>
      <w:r>
        <w:rPr>
          <w:rFonts w:eastAsia="Calibri"/>
        </w:rPr>
        <w:t>F</w:t>
      </w:r>
      <w:r w:rsidR="00653C71">
        <w:rPr>
          <w:rFonts w:eastAsia="Calibri"/>
        </w:rPr>
        <w:t>.</w:t>
      </w:r>
      <w:r w:rsidR="00653C71">
        <w:rPr>
          <w:rFonts w:eastAsia="Calibri"/>
        </w:rPr>
        <w:tab/>
        <w:t xml:space="preserve">Although </w:t>
      </w:r>
      <w:r w:rsidR="00727C38">
        <w:rPr>
          <w:rFonts w:eastAsia="Calibri"/>
        </w:rPr>
        <w:t xml:space="preserve">The </w:t>
      </w:r>
      <w:r w:rsidR="00420C8B">
        <w:rPr>
          <w:rFonts w:eastAsia="Calibri"/>
        </w:rPr>
        <w:t xml:space="preserve">PUCO Staff </w:t>
      </w:r>
      <w:r w:rsidR="00443BCE">
        <w:rPr>
          <w:rFonts w:eastAsia="Calibri"/>
        </w:rPr>
        <w:t xml:space="preserve">Noted That Duke’s Reliability Survey Failed </w:t>
      </w:r>
      <w:r w:rsidR="0087474C">
        <w:rPr>
          <w:rFonts w:eastAsia="Calibri"/>
        </w:rPr>
        <w:t xml:space="preserve">To </w:t>
      </w:r>
      <w:r w:rsidR="00443BCE">
        <w:rPr>
          <w:rFonts w:eastAsia="Calibri"/>
        </w:rPr>
        <w:t xml:space="preserve">Comply </w:t>
      </w:r>
      <w:r w:rsidR="0087474C">
        <w:rPr>
          <w:rFonts w:eastAsia="Calibri"/>
        </w:rPr>
        <w:t xml:space="preserve">With The </w:t>
      </w:r>
      <w:r w:rsidR="00443BCE">
        <w:rPr>
          <w:rFonts w:eastAsia="Calibri"/>
        </w:rPr>
        <w:t>PUCO’s Guidelines</w:t>
      </w:r>
      <w:r w:rsidR="0087474C">
        <w:rPr>
          <w:rFonts w:eastAsia="Calibri"/>
        </w:rPr>
        <w:t xml:space="preserve">, </w:t>
      </w:r>
      <w:r w:rsidR="00727C38">
        <w:rPr>
          <w:rFonts w:eastAsia="Calibri"/>
        </w:rPr>
        <w:t xml:space="preserve">The </w:t>
      </w:r>
      <w:r w:rsidR="003E7624">
        <w:rPr>
          <w:rFonts w:eastAsia="Calibri"/>
        </w:rPr>
        <w:t>PUCO Staff F</w:t>
      </w:r>
      <w:r w:rsidR="00395169">
        <w:rPr>
          <w:rFonts w:eastAsia="Calibri"/>
        </w:rPr>
        <w:t>ail</w:t>
      </w:r>
      <w:r w:rsidR="00727C38">
        <w:rPr>
          <w:rFonts w:eastAsia="Calibri"/>
        </w:rPr>
        <w:t>ed</w:t>
      </w:r>
      <w:r w:rsidR="00395169">
        <w:rPr>
          <w:rFonts w:eastAsia="Calibri"/>
        </w:rPr>
        <w:t xml:space="preserve"> </w:t>
      </w:r>
      <w:r w:rsidR="0087474C">
        <w:rPr>
          <w:rFonts w:eastAsia="Calibri"/>
        </w:rPr>
        <w:t xml:space="preserve">To </w:t>
      </w:r>
      <w:r w:rsidR="00395169">
        <w:rPr>
          <w:rFonts w:eastAsia="Calibri"/>
        </w:rPr>
        <w:t xml:space="preserve">Recognize </w:t>
      </w:r>
      <w:r w:rsidR="0087474C">
        <w:rPr>
          <w:rFonts w:eastAsia="Calibri"/>
        </w:rPr>
        <w:t xml:space="preserve">The </w:t>
      </w:r>
      <w:r w:rsidR="00395169">
        <w:rPr>
          <w:rFonts w:eastAsia="Calibri"/>
        </w:rPr>
        <w:t xml:space="preserve">More Extensive Shortcomings </w:t>
      </w:r>
      <w:r w:rsidR="0087474C">
        <w:rPr>
          <w:rFonts w:eastAsia="Calibri"/>
        </w:rPr>
        <w:t xml:space="preserve">Of </w:t>
      </w:r>
      <w:r w:rsidR="00395169">
        <w:rPr>
          <w:rFonts w:eastAsia="Calibri"/>
        </w:rPr>
        <w:t>Duke’s Application</w:t>
      </w:r>
      <w:r w:rsidR="0087474C">
        <w:rPr>
          <w:rFonts w:eastAsia="Calibri"/>
        </w:rPr>
        <w:t>.</w:t>
      </w:r>
      <w:bookmarkEnd w:id="20"/>
      <w:bookmarkEnd w:id="21"/>
      <w:r w:rsidR="0087474C">
        <w:rPr>
          <w:rFonts w:eastAsia="Calibri"/>
        </w:rPr>
        <w:t xml:space="preserve">   </w:t>
      </w:r>
    </w:p>
    <w:p w:rsidR="0087474C" w:rsidRDefault="00E11D76" w:rsidP="008C1F07">
      <w:pPr>
        <w:spacing w:line="480" w:lineRule="auto"/>
        <w:ind w:firstLine="720"/>
        <w:rPr>
          <w:szCs w:val="24"/>
        </w:rPr>
      </w:pPr>
      <w:r w:rsidRPr="00F71FB8">
        <w:rPr>
          <w:szCs w:val="24"/>
        </w:rPr>
        <w:t xml:space="preserve">The PUCO Staff </w:t>
      </w:r>
      <w:r w:rsidR="00727C38">
        <w:rPr>
          <w:szCs w:val="24"/>
        </w:rPr>
        <w:t xml:space="preserve">recognized that </w:t>
      </w:r>
      <w:r w:rsidRPr="00F71FB8">
        <w:rPr>
          <w:szCs w:val="24"/>
        </w:rPr>
        <w:t>Duke</w:t>
      </w:r>
      <w:r w:rsidR="00727C38">
        <w:rPr>
          <w:szCs w:val="24"/>
        </w:rPr>
        <w:t xml:space="preserve"> failed</w:t>
      </w:r>
      <w:r w:rsidRPr="00F71FB8">
        <w:rPr>
          <w:szCs w:val="24"/>
        </w:rPr>
        <w:t xml:space="preserve"> to adhere to a proper sample size </w:t>
      </w:r>
      <w:r w:rsidR="00C61BFC">
        <w:rPr>
          <w:szCs w:val="24"/>
        </w:rPr>
        <w:t xml:space="preserve">(per PUCO Staff Reliability Survey Guidelines) </w:t>
      </w:r>
      <w:r w:rsidRPr="00F71FB8">
        <w:rPr>
          <w:szCs w:val="24"/>
        </w:rPr>
        <w:t>when it conducted the reliability-related customer survey.</w:t>
      </w:r>
      <w:r w:rsidRPr="00F71FB8">
        <w:rPr>
          <w:rStyle w:val="FootnoteReference"/>
          <w:szCs w:val="24"/>
        </w:rPr>
        <w:footnoteReference w:id="32"/>
      </w:r>
      <w:r w:rsidRPr="00F71FB8">
        <w:rPr>
          <w:szCs w:val="24"/>
        </w:rPr>
        <w:t xml:space="preserve">  However, </w:t>
      </w:r>
      <w:r w:rsidR="00136945">
        <w:rPr>
          <w:szCs w:val="24"/>
        </w:rPr>
        <w:t xml:space="preserve">at the same time, </w:t>
      </w:r>
      <w:r w:rsidR="00443BCE">
        <w:rPr>
          <w:szCs w:val="24"/>
        </w:rPr>
        <w:t xml:space="preserve">the </w:t>
      </w:r>
      <w:r w:rsidR="00136945">
        <w:rPr>
          <w:szCs w:val="24"/>
        </w:rPr>
        <w:t xml:space="preserve">PUCO </w:t>
      </w:r>
      <w:r w:rsidRPr="00F71FB8">
        <w:rPr>
          <w:szCs w:val="24"/>
        </w:rPr>
        <w:t xml:space="preserve">Staff </w:t>
      </w:r>
      <w:r w:rsidR="00136945">
        <w:rPr>
          <w:szCs w:val="24"/>
        </w:rPr>
        <w:t>failed to recognize the more extensive shortcomings of Duke</w:t>
      </w:r>
      <w:r w:rsidR="00B265BD">
        <w:rPr>
          <w:szCs w:val="24"/>
        </w:rPr>
        <w:t>’</w:t>
      </w:r>
      <w:r w:rsidR="00136945">
        <w:rPr>
          <w:szCs w:val="24"/>
        </w:rPr>
        <w:t xml:space="preserve">s Application.  In particular, </w:t>
      </w:r>
      <w:r w:rsidR="00C61BFC">
        <w:rPr>
          <w:szCs w:val="24"/>
        </w:rPr>
        <w:t xml:space="preserve">the </w:t>
      </w:r>
      <w:r w:rsidR="003E7624">
        <w:rPr>
          <w:szCs w:val="24"/>
        </w:rPr>
        <w:t xml:space="preserve">PUCO Staff did not comment on </w:t>
      </w:r>
      <w:r w:rsidR="00136945">
        <w:rPr>
          <w:szCs w:val="24"/>
        </w:rPr>
        <w:t>Duke</w:t>
      </w:r>
      <w:r w:rsidR="003E7624">
        <w:rPr>
          <w:szCs w:val="24"/>
        </w:rPr>
        <w:t xml:space="preserve">’s failure to </w:t>
      </w:r>
      <w:r w:rsidR="00136945">
        <w:rPr>
          <w:szCs w:val="24"/>
        </w:rPr>
        <w:t xml:space="preserve">perform the assessment of </w:t>
      </w:r>
      <w:r w:rsidR="00B265BD">
        <w:rPr>
          <w:szCs w:val="24"/>
        </w:rPr>
        <w:t>“</w:t>
      </w:r>
      <w:r w:rsidR="00136945">
        <w:rPr>
          <w:szCs w:val="24"/>
        </w:rPr>
        <w:t>system design changes, technological advancements, geographical effects, and the results of Duke</w:t>
      </w:r>
      <w:r w:rsidR="00B265BD">
        <w:rPr>
          <w:szCs w:val="24"/>
        </w:rPr>
        <w:t>’</w:t>
      </w:r>
      <w:r w:rsidR="00136945">
        <w:rPr>
          <w:szCs w:val="24"/>
        </w:rPr>
        <w:t>s updated customer perception survey</w:t>
      </w:r>
      <w:r w:rsidR="00B265BD">
        <w:rPr>
          <w:szCs w:val="24"/>
        </w:rPr>
        <w:t>”</w:t>
      </w:r>
      <w:r w:rsidR="00136945">
        <w:rPr>
          <w:szCs w:val="24"/>
        </w:rPr>
        <w:t xml:space="preserve"> required by </w:t>
      </w:r>
      <w:r w:rsidR="000E480B">
        <w:rPr>
          <w:szCs w:val="24"/>
        </w:rPr>
        <w:t xml:space="preserve">Ohio Adm. Code 4901:10-10(B)(4)(a) and </w:t>
      </w:r>
      <w:r w:rsidR="00136945">
        <w:rPr>
          <w:szCs w:val="24"/>
        </w:rPr>
        <w:t xml:space="preserve">the </w:t>
      </w:r>
    </w:p>
    <w:p w:rsidR="000E480B" w:rsidRDefault="0087474C" w:rsidP="0087474C">
      <w:pPr>
        <w:spacing w:line="480" w:lineRule="auto"/>
        <w:rPr>
          <w:szCs w:val="24"/>
        </w:rPr>
      </w:pPr>
      <w:r>
        <w:rPr>
          <w:szCs w:val="24"/>
        </w:rPr>
        <w:br w:type="page"/>
      </w:r>
      <w:r w:rsidR="00136945">
        <w:rPr>
          <w:szCs w:val="24"/>
        </w:rPr>
        <w:t>Stipulation and Opinion and Order in Case No. 09-757-EL-ESS.</w:t>
      </w:r>
      <w:r w:rsidR="000E480B">
        <w:rPr>
          <w:szCs w:val="24"/>
        </w:rPr>
        <w:t xml:space="preserve">  This assessment was designed to ensure that customers are receiving value for their significant investments in reliability.  Proposed reliability standards are to be based on these considerations and not just on historical performance.  As discussed in OCC</w:t>
      </w:r>
      <w:r w:rsidR="00B265BD">
        <w:rPr>
          <w:szCs w:val="24"/>
        </w:rPr>
        <w:t>’</w:t>
      </w:r>
      <w:r w:rsidR="000E480B">
        <w:rPr>
          <w:szCs w:val="24"/>
        </w:rPr>
        <w:t>s Comments, these factors should have an impact on both the reliability of Duke</w:t>
      </w:r>
      <w:r w:rsidR="00B265BD">
        <w:rPr>
          <w:szCs w:val="24"/>
        </w:rPr>
        <w:t>’</w:t>
      </w:r>
      <w:r w:rsidR="000E480B">
        <w:rPr>
          <w:szCs w:val="24"/>
        </w:rPr>
        <w:t>s system and the measurement of that reliability.</w:t>
      </w:r>
      <w:r w:rsidR="000E480B">
        <w:rPr>
          <w:rStyle w:val="FootnoteReference"/>
          <w:szCs w:val="24"/>
        </w:rPr>
        <w:footnoteReference w:id="33"/>
      </w:r>
      <w:r w:rsidR="000E480B">
        <w:rPr>
          <w:szCs w:val="24"/>
        </w:rPr>
        <w:t xml:space="preserve">  Duke</w:t>
      </w:r>
      <w:r w:rsidR="00B265BD">
        <w:rPr>
          <w:szCs w:val="24"/>
        </w:rPr>
        <w:t>’</w:t>
      </w:r>
      <w:r w:rsidR="000E480B">
        <w:rPr>
          <w:szCs w:val="24"/>
        </w:rPr>
        <w:t xml:space="preserve">s failure to perform this assessment requires rejection of the filing and </w:t>
      </w:r>
      <w:r w:rsidR="0054482D">
        <w:rPr>
          <w:szCs w:val="24"/>
        </w:rPr>
        <w:t xml:space="preserve">a directive </w:t>
      </w:r>
      <w:r w:rsidR="000E480B">
        <w:rPr>
          <w:szCs w:val="24"/>
        </w:rPr>
        <w:t>to Duke to perform the required assessment.</w:t>
      </w:r>
    </w:p>
    <w:p w:rsidR="00E11D76" w:rsidRDefault="000E480B" w:rsidP="008C1F07">
      <w:pPr>
        <w:spacing w:line="480" w:lineRule="auto"/>
        <w:ind w:firstLine="720"/>
        <w:rPr>
          <w:szCs w:val="24"/>
        </w:rPr>
      </w:pPr>
      <w:r>
        <w:rPr>
          <w:szCs w:val="24"/>
        </w:rPr>
        <w:t>Duke</w:t>
      </w:r>
      <w:r w:rsidR="00B265BD">
        <w:rPr>
          <w:szCs w:val="24"/>
        </w:rPr>
        <w:t>’</w:t>
      </w:r>
      <w:r>
        <w:rPr>
          <w:szCs w:val="24"/>
        </w:rPr>
        <w:t>s further assessment should also carefully adhere to PUCO Staff directives, including affording OCC opportunity for review and comment before the customer perception survey is administered.</w:t>
      </w:r>
      <w:r>
        <w:rPr>
          <w:rStyle w:val="FootnoteReference"/>
          <w:szCs w:val="24"/>
        </w:rPr>
        <w:footnoteReference w:id="34"/>
      </w:r>
      <w:r>
        <w:rPr>
          <w:szCs w:val="24"/>
        </w:rPr>
        <w:t xml:space="preserve">  And Duke should specifically respond to issues brought to its attention by t</w:t>
      </w:r>
      <w:r w:rsidR="00E11D76" w:rsidRPr="00F71FB8">
        <w:rPr>
          <w:szCs w:val="24"/>
        </w:rPr>
        <w:t>he customer perception survey</w:t>
      </w:r>
      <w:r>
        <w:rPr>
          <w:szCs w:val="24"/>
        </w:rPr>
        <w:t xml:space="preserve">, including </w:t>
      </w:r>
      <w:r w:rsidR="00E11D76" w:rsidRPr="00F71FB8">
        <w:rPr>
          <w:szCs w:val="24"/>
        </w:rPr>
        <w:t>customers</w:t>
      </w:r>
      <w:r w:rsidR="00B265BD">
        <w:rPr>
          <w:szCs w:val="24"/>
        </w:rPr>
        <w:t>’</w:t>
      </w:r>
      <w:r>
        <w:rPr>
          <w:szCs w:val="24"/>
        </w:rPr>
        <w:t xml:space="preserve"> experience of </w:t>
      </w:r>
      <w:r w:rsidR="00E11D76" w:rsidRPr="00F71FB8">
        <w:rPr>
          <w:szCs w:val="24"/>
        </w:rPr>
        <w:t>multiple brief interruptions in service.</w:t>
      </w:r>
      <w:r w:rsidR="00E11D76" w:rsidRPr="00F71FB8">
        <w:rPr>
          <w:rStyle w:val="FootnoteReference"/>
          <w:szCs w:val="24"/>
        </w:rPr>
        <w:footnoteReference w:id="35"/>
      </w:r>
      <w:r w:rsidR="00E11D76" w:rsidRPr="00F71FB8">
        <w:rPr>
          <w:szCs w:val="24"/>
        </w:rPr>
        <w:t xml:space="preserve">  </w:t>
      </w:r>
      <w:r w:rsidR="00F03298">
        <w:rPr>
          <w:szCs w:val="24"/>
        </w:rPr>
        <w:t xml:space="preserve">As a result of these issues, </w:t>
      </w:r>
      <w:r w:rsidR="00E11D76" w:rsidRPr="00F71FB8">
        <w:rPr>
          <w:szCs w:val="24"/>
        </w:rPr>
        <w:t>Duke should be evaluating ways to reduce both momentary and sustained outages.</w:t>
      </w:r>
      <w:r w:rsidR="00E11D76" w:rsidRPr="00F71FB8">
        <w:rPr>
          <w:rStyle w:val="FootnoteReference"/>
          <w:szCs w:val="24"/>
        </w:rPr>
        <w:footnoteReference w:id="36"/>
      </w:r>
      <w:r w:rsidR="00F03298">
        <w:rPr>
          <w:szCs w:val="24"/>
        </w:rPr>
        <w:t xml:space="preserve">  For example</w:t>
      </w:r>
      <w:r w:rsidR="00E11D76" w:rsidRPr="00F71FB8">
        <w:rPr>
          <w:szCs w:val="24"/>
        </w:rPr>
        <w:t>, Duke should have a program that monitors, tracks, and reports momentary outages at least to the distribution circuit breaker level until such information can be captured from other reclosing devices and be integrated in the outage management system.</w:t>
      </w:r>
    </w:p>
    <w:p w:rsidR="00F03298" w:rsidRDefault="00F03298" w:rsidP="00E11D76">
      <w:pPr>
        <w:spacing w:line="480" w:lineRule="auto"/>
        <w:ind w:firstLine="720"/>
        <w:rPr>
          <w:szCs w:val="24"/>
        </w:rPr>
      </w:pPr>
      <w:r>
        <w:rPr>
          <w:szCs w:val="24"/>
        </w:rPr>
        <w:t>Duke</w:t>
      </w:r>
      <w:r w:rsidR="00B265BD">
        <w:rPr>
          <w:szCs w:val="24"/>
        </w:rPr>
        <w:t>’</w:t>
      </w:r>
      <w:r>
        <w:rPr>
          <w:szCs w:val="24"/>
        </w:rPr>
        <w:t>s update application was intended to provide a thorough assessment of reliability and the benefits of grid modernization and distribution system improvement on Duke</w:t>
      </w:r>
      <w:r w:rsidR="00B265BD">
        <w:rPr>
          <w:szCs w:val="24"/>
        </w:rPr>
        <w:t>’</w:t>
      </w:r>
      <w:r>
        <w:rPr>
          <w:szCs w:val="24"/>
        </w:rPr>
        <w:t>s system.  But Duke</w:t>
      </w:r>
      <w:r w:rsidR="00B265BD">
        <w:rPr>
          <w:szCs w:val="24"/>
        </w:rPr>
        <w:t>’</w:t>
      </w:r>
      <w:r>
        <w:rPr>
          <w:szCs w:val="24"/>
        </w:rPr>
        <w:t xml:space="preserve">s </w:t>
      </w:r>
      <w:r w:rsidR="00D5544E">
        <w:rPr>
          <w:szCs w:val="24"/>
        </w:rPr>
        <w:t xml:space="preserve">Amended </w:t>
      </w:r>
      <w:r>
        <w:rPr>
          <w:szCs w:val="24"/>
        </w:rPr>
        <w:t>Application came up significantly short of these objectives.  In order to ensure customers the benefit of their investment, Duke should be required to complete the assessment required by the PUCO</w:t>
      </w:r>
      <w:r w:rsidR="00B265BD">
        <w:rPr>
          <w:szCs w:val="24"/>
        </w:rPr>
        <w:t>’</w:t>
      </w:r>
      <w:r>
        <w:rPr>
          <w:szCs w:val="24"/>
        </w:rPr>
        <w:t>s Rules</w:t>
      </w:r>
      <w:r w:rsidR="005D2279">
        <w:rPr>
          <w:szCs w:val="24"/>
        </w:rPr>
        <w:t>, Staff Guidelines</w:t>
      </w:r>
      <w:r>
        <w:rPr>
          <w:szCs w:val="24"/>
        </w:rPr>
        <w:t xml:space="preserve"> and by the PUCO</w:t>
      </w:r>
      <w:r w:rsidR="00B265BD">
        <w:rPr>
          <w:szCs w:val="24"/>
        </w:rPr>
        <w:t>’</w:t>
      </w:r>
      <w:r>
        <w:rPr>
          <w:szCs w:val="24"/>
        </w:rPr>
        <w:t>s Opinion and Order in Case No. 09-757-EL-ESS.</w:t>
      </w:r>
    </w:p>
    <w:p w:rsidR="000072AB" w:rsidRDefault="000072AB" w:rsidP="000072AB">
      <w:pPr>
        <w:rPr>
          <w:rFonts w:eastAsia="Calibri"/>
        </w:rPr>
      </w:pPr>
    </w:p>
    <w:p w:rsidR="005154F3" w:rsidRDefault="005154F3" w:rsidP="00D40C95">
      <w:pPr>
        <w:pStyle w:val="Heading1"/>
        <w:rPr>
          <w:rFonts w:eastAsia="Calibri"/>
        </w:rPr>
      </w:pPr>
      <w:bookmarkStart w:id="22" w:name="_Toc375919110"/>
      <w:bookmarkStart w:id="23" w:name="_Toc375919145"/>
      <w:bookmarkStart w:id="24" w:name="_Toc379373897"/>
      <w:bookmarkStart w:id="25" w:name="_Toc379547090"/>
      <w:bookmarkEnd w:id="11"/>
      <w:bookmarkEnd w:id="12"/>
      <w:r>
        <w:rPr>
          <w:rFonts w:eastAsia="Calibri"/>
        </w:rPr>
        <w:t>III.</w:t>
      </w:r>
      <w:r>
        <w:rPr>
          <w:rFonts w:eastAsia="Calibri"/>
        </w:rPr>
        <w:tab/>
        <w:t>CONCLUSION</w:t>
      </w:r>
      <w:bookmarkEnd w:id="22"/>
      <w:bookmarkEnd w:id="23"/>
      <w:bookmarkEnd w:id="24"/>
      <w:bookmarkEnd w:id="25"/>
    </w:p>
    <w:p w:rsidR="00B00A88" w:rsidRDefault="005154F3" w:rsidP="005154F3">
      <w:pPr>
        <w:spacing w:line="480" w:lineRule="auto"/>
        <w:rPr>
          <w:rFonts w:eastAsia="Calibri"/>
          <w:szCs w:val="24"/>
        </w:rPr>
      </w:pPr>
      <w:r>
        <w:rPr>
          <w:rFonts w:eastAsia="Calibri"/>
          <w:szCs w:val="24"/>
        </w:rPr>
        <w:tab/>
      </w:r>
      <w:r w:rsidR="00F03298">
        <w:rPr>
          <w:rFonts w:eastAsia="Calibri"/>
          <w:szCs w:val="24"/>
        </w:rPr>
        <w:t>The PUCO Staff</w:t>
      </w:r>
      <w:r w:rsidR="00B265BD">
        <w:rPr>
          <w:rFonts w:eastAsia="Calibri"/>
          <w:szCs w:val="24"/>
        </w:rPr>
        <w:t>’</w:t>
      </w:r>
      <w:r w:rsidR="00F03298">
        <w:rPr>
          <w:rFonts w:eastAsia="Calibri"/>
          <w:szCs w:val="24"/>
        </w:rPr>
        <w:t>s Comments appropriately recognize the importance of using historical data to establish reliability standards for Duke and the need to utilize the data produced by Duke</w:t>
      </w:r>
      <w:r w:rsidR="00B265BD">
        <w:rPr>
          <w:rFonts w:eastAsia="Calibri"/>
          <w:szCs w:val="24"/>
        </w:rPr>
        <w:t>’</w:t>
      </w:r>
      <w:r w:rsidR="00F03298">
        <w:rPr>
          <w:rFonts w:eastAsia="Calibri"/>
          <w:szCs w:val="24"/>
        </w:rPr>
        <w:t xml:space="preserve">s </w:t>
      </w:r>
      <w:r w:rsidR="00F03298" w:rsidRPr="00957F0A">
        <w:rPr>
          <w:rFonts w:eastAsia="Calibri"/>
        </w:rPr>
        <w:t>current</w:t>
      </w:r>
      <w:r w:rsidR="00F03298" w:rsidRPr="00327210">
        <w:rPr>
          <w:rFonts w:eastAsia="Calibri"/>
          <w:szCs w:val="24"/>
        </w:rPr>
        <w:t xml:space="preserve"> </w:t>
      </w:r>
      <w:r w:rsidR="00F03298">
        <w:rPr>
          <w:rFonts w:eastAsia="Calibri"/>
          <w:szCs w:val="24"/>
        </w:rPr>
        <w:t xml:space="preserve">outage management system. </w:t>
      </w:r>
      <w:r w:rsidR="00B00A88">
        <w:rPr>
          <w:rFonts w:eastAsia="Calibri"/>
          <w:szCs w:val="24"/>
        </w:rPr>
        <w:t>The P</w:t>
      </w:r>
      <w:r w:rsidR="0054482D">
        <w:rPr>
          <w:rFonts w:eastAsia="Calibri"/>
          <w:szCs w:val="24"/>
        </w:rPr>
        <w:t>UCO Staff</w:t>
      </w:r>
      <w:r w:rsidR="00B265BD">
        <w:rPr>
          <w:rFonts w:eastAsia="Calibri"/>
          <w:szCs w:val="24"/>
        </w:rPr>
        <w:t>’</w:t>
      </w:r>
      <w:r w:rsidR="0054482D">
        <w:rPr>
          <w:rFonts w:eastAsia="Calibri"/>
          <w:szCs w:val="24"/>
        </w:rPr>
        <w:t>s recommendation to establish a CAIDI standard that is lower than the current standard and lower than Duke</w:t>
      </w:r>
      <w:r w:rsidR="00B265BD">
        <w:rPr>
          <w:rFonts w:eastAsia="Calibri"/>
          <w:szCs w:val="24"/>
        </w:rPr>
        <w:t>’</w:t>
      </w:r>
      <w:r w:rsidR="0054482D">
        <w:rPr>
          <w:rFonts w:eastAsia="Calibri"/>
          <w:szCs w:val="24"/>
        </w:rPr>
        <w:t xml:space="preserve">s proposed standard is appropriate.  </w:t>
      </w:r>
      <w:r w:rsidR="00B00A88">
        <w:rPr>
          <w:rFonts w:eastAsia="Calibri"/>
          <w:szCs w:val="24"/>
        </w:rPr>
        <w:t xml:space="preserve">But the PUCO Staff’s proposed 10-percent adder to the CAIDI standard should be rejected.  </w:t>
      </w:r>
    </w:p>
    <w:p w:rsidR="005154F3" w:rsidRDefault="00E110BA" w:rsidP="00166CBF">
      <w:pPr>
        <w:spacing w:line="480" w:lineRule="auto"/>
        <w:ind w:firstLine="720"/>
        <w:rPr>
          <w:rFonts w:eastAsia="Calibri"/>
          <w:szCs w:val="24"/>
        </w:rPr>
      </w:pPr>
      <w:r>
        <w:rPr>
          <w:rFonts w:eastAsia="Calibri"/>
          <w:szCs w:val="24"/>
        </w:rPr>
        <w:t xml:space="preserve">The </w:t>
      </w:r>
      <w:r w:rsidR="00F03298">
        <w:rPr>
          <w:rFonts w:eastAsia="Calibri"/>
          <w:szCs w:val="24"/>
        </w:rPr>
        <w:t>PUCO Staff</w:t>
      </w:r>
      <w:r w:rsidR="0054482D">
        <w:rPr>
          <w:rFonts w:eastAsia="Calibri"/>
          <w:szCs w:val="24"/>
        </w:rPr>
        <w:t xml:space="preserve"> </w:t>
      </w:r>
      <w:r>
        <w:rPr>
          <w:rFonts w:eastAsia="Calibri"/>
          <w:szCs w:val="24"/>
        </w:rPr>
        <w:t xml:space="preserve">fails to </w:t>
      </w:r>
      <w:r w:rsidR="0054482D">
        <w:rPr>
          <w:rFonts w:eastAsia="Calibri"/>
          <w:szCs w:val="24"/>
        </w:rPr>
        <w:t>acknowledge the significant shortcomings of Duke</w:t>
      </w:r>
      <w:r w:rsidR="00B265BD">
        <w:rPr>
          <w:rFonts w:eastAsia="Calibri"/>
          <w:szCs w:val="24"/>
        </w:rPr>
        <w:t>’</w:t>
      </w:r>
      <w:r w:rsidR="0054482D">
        <w:rPr>
          <w:rFonts w:eastAsia="Calibri"/>
          <w:szCs w:val="24"/>
        </w:rPr>
        <w:t xml:space="preserve">s Application in other respects, which require </w:t>
      </w:r>
      <w:r w:rsidR="00327210">
        <w:rPr>
          <w:rFonts w:eastAsia="Calibri"/>
          <w:szCs w:val="24"/>
        </w:rPr>
        <w:t>a denial of the application</w:t>
      </w:r>
      <w:r w:rsidR="0054482D">
        <w:rPr>
          <w:rFonts w:eastAsia="Calibri"/>
          <w:szCs w:val="24"/>
        </w:rPr>
        <w:t>.  Furthermore, Duke should be required to complete its reliability assessment, as required by PUCO Rules</w:t>
      </w:r>
      <w:r w:rsidR="005D2279">
        <w:rPr>
          <w:rFonts w:eastAsia="Calibri"/>
          <w:szCs w:val="24"/>
        </w:rPr>
        <w:t>, Staff Guidelines</w:t>
      </w:r>
      <w:r w:rsidR="0054482D">
        <w:rPr>
          <w:rFonts w:eastAsia="Calibri"/>
          <w:szCs w:val="24"/>
        </w:rPr>
        <w:t xml:space="preserve"> and the PUCO</w:t>
      </w:r>
      <w:r w:rsidR="00B265BD">
        <w:rPr>
          <w:rFonts w:eastAsia="Calibri"/>
          <w:szCs w:val="24"/>
        </w:rPr>
        <w:t>’</w:t>
      </w:r>
      <w:r w:rsidR="0054482D">
        <w:rPr>
          <w:rFonts w:eastAsia="Calibri"/>
          <w:szCs w:val="24"/>
        </w:rPr>
        <w:t xml:space="preserve">s Opinion and Order in Case No. 09-757-EL-ESS.  </w:t>
      </w:r>
      <w:r w:rsidR="004B4964" w:rsidRPr="004B4964">
        <w:rPr>
          <w:rFonts w:eastAsia="Calibri"/>
          <w:szCs w:val="24"/>
        </w:rPr>
        <w:t>This is necessary to ensure that customers are receiving the quantifiable level of reliability that they are paying for through grid modernization and other distribution system improvements.</w:t>
      </w:r>
      <w:r w:rsidR="005154F3">
        <w:rPr>
          <w:rFonts w:eastAsia="Calibri"/>
          <w:szCs w:val="24"/>
        </w:rPr>
        <w:t xml:space="preserve">  After such </w:t>
      </w:r>
      <w:r w:rsidR="001B3F79">
        <w:rPr>
          <w:rFonts w:eastAsia="Calibri"/>
          <w:szCs w:val="24"/>
        </w:rPr>
        <w:t>assessment</w:t>
      </w:r>
      <w:r w:rsidR="005154F3">
        <w:rPr>
          <w:rFonts w:eastAsia="Calibri"/>
          <w:szCs w:val="24"/>
        </w:rPr>
        <w:t xml:space="preserve"> is completed, </w:t>
      </w:r>
      <w:r w:rsidR="00327210">
        <w:rPr>
          <w:rFonts w:eastAsia="Calibri"/>
          <w:szCs w:val="24"/>
        </w:rPr>
        <w:t>additional</w:t>
      </w:r>
      <w:r w:rsidR="007549CE">
        <w:rPr>
          <w:rFonts w:eastAsia="Calibri"/>
          <w:szCs w:val="24"/>
        </w:rPr>
        <w:t xml:space="preserve"> comments </w:t>
      </w:r>
      <w:r w:rsidR="00B40CD8">
        <w:rPr>
          <w:rFonts w:eastAsia="Calibri"/>
          <w:szCs w:val="24"/>
        </w:rPr>
        <w:t xml:space="preserve">from parties </w:t>
      </w:r>
      <w:r w:rsidR="007549CE">
        <w:rPr>
          <w:rFonts w:eastAsia="Calibri"/>
          <w:szCs w:val="24"/>
        </w:rPr>
        <w:t xml:space="preserve">should be </w:t>
      </w:r>
      <w:r w:rsidR="00327210">
        <w:rPr>
          <w:rFonts w:eastAsia="Calibri"/>
          <w:szCs w:val="24"/>
        </w:rPr>
        <w:t>permitted</w:t>
      </w:r>
      <w:r w:rsidR="007549CE">
        <w:rPr>
          <w:rFonts w:eastAsia="Calibri"/>
          <w:szCs w:val="24"/>
        </w:rPr>
        <w:t xml:space="preserve"> and</w:t>
      </w:r>
      <w:r w:rsidR="00327210">
        <w:rPr>
          <w:rFonts w:eastAsia="Calibri"/>
          <w:szCs w:val="24"/>
        </w:rPr>
        <w:t xml:space="preserve"> </w:t>
      </w:r>
      <w:r w:rsidR="00E217AE">
        <w:rPr>
          <w:rFonts w:eastAsia="Calibri"/>
          <w:szCs w:val="24"/>
        </w:rPr>
        <w:t xml:space="preserve">a </w:t>
      </w:r>
      <w:r w:rsidR="005154F3">
        <w:rPr>
          <w:rFonts w:eastAsia="Calibri"/>
          <w:szCs w:val="24"/>
        </w:rPr>
        <w:t xml:space="preserve">hearing </w:t>
      </w:r>
      <w:r w:rsidR="007549CE">
        <w:rPr>
          <w:rFonts w:eastAsia="Calibri"/>
          <w:szCs w:val="24"/>
        </w:rPr>
        <w:t xml:space="preserve">should be </w:t>
      </w:r>
      <w:r w:rsidR="005154F3">
        <w:rPr>
          <w:rFonts w:eastAsia="Calibri"/>
          <w:szCs w:val="24"/>
        </w:rPr>
        <w:t>held</w:t>
      </w:r>
      <w:r w:rsidR="000610A1">
        <w:rPr>
          <w:rFonts w:eastAsia="Calibri"/>
          <w:szCs w:val="24"/>
        </w:rPr>
        <w:t>.</w:t>
      </w:r>
      <w:r w:rsidR="00E217AE">
        <w:rPr>
          <w:rStyle w:val="FootnoteReference"/>
          <w:rFonts w:eastAsia="Calibri"/>
          <w:szCs w:val="24"/>
        </w:rPr>
        <w:footnoteReference w:id="37"/>
      </w:r>
      <w:r w:rsidR="005154F3">
        <w:rPr>
          <w:rFonts w:eastAsia="Calibri"/>
          <w:szCs w:val="24"/>
        </w:rPr>
        <w:t xml:space="preserve"> </w:t>
      </w:r>
      <w:r w:rsidR="000610A1">
        <w:rPr>
          <w:rFonts w:eastAsia="Calibri"/>
          <w:szCs w:val="24"/>
        </w:rPr>
        <w:t xml:space="preserve"> </w:t>
      </w:r>
    </w:p>
    <w:p w:rsidR="0054482D" w:rsidRPr="005154F3" w:rsidRDefault="0054482D" w:rsidP="005154F3">
      <w:pPr>
        <w:spacing w:line="480" w:lineRule="auto"/>
        <w:rPr>
          <w:rFonts w:eastAsia="Calibri"/>
          <w:szCs w:val="24"/>
        </w:rPr>
      </w:pPr>
    </w:p>
    <w:p w:rsidR="0087474C" w:rsidRDefault="008A2A82" w:rsidP="00635754">
      <w:pPr>
        <w:spacing w:line="480" w:lineRule="auto"/>
        <w:ind w:firstLine="360"/>
        <w:rPr>
          <w:rFonts w:eastAsia="Calibri"/>
          <w:szCs w:val="24"/>
        </w:rPr>
      </w:pPr>
      <w:r w:rsidRPr="007B642D">
        <w:rPr>
          <w:rFonts w:eastAsia="Calibri"/>
          <w:szCs w:val="24"/>
        </w:rPr>
        <w:t xml:space="preserve"> </w:t>
      </w:r>
      <w:r w:rsidR="00635754">
        <w:rPr>
          <w:rFonts w:eastAsia="Calibri"/>
          <w:szCs w:val="24"/>
        </w:rPr>
        <w:tab/>
      </w:r>
      <w:r w:rsidR="00635754">
        <w:rPr>
          <w:rFonts w:eastAsia="Calibri"/>
          <w:szCs w:val="24"/>
        </w:rPr>
        <w:tab/>
      </w:r>
      <w:r w:rsidR="00635754">
        <w:rPr>
          <w:rFonts w:eastAsia="Calibri"/>
          <w:szCs w:val="24"/>
        </w:rPr>
        <w:tab/>
      </w:r>
      <w:r w:rsidR="00635754">
        <w:rPr>
          <w:rFonts w:eastAsia="Calibri"/>
          <w:szCs w:val="24"/>
        </w:rPr>
        <w:tab/>
      </w:r>
      <w:r w:rsidR="00635754">
        <w:rPr>
          <w:rFonts w:eastAsia="Calibri"/>
          <w:szCs w:val="24"/>
        </w:rPr>
        <w:tab/>
      </w:r>
      <w:r w:rsidR="00635754">
        <w:rPr>
          <w:rFonts w:eastAsia="Calibri"/>
          <w:szCs w:val="24"/>
        </w:rPr>
        <w:tab/>
      </w:r>
    </w:p>
    <w:p w:rsidR="008F4B9B" w:rsidRDefault="0087474C" w:rsidP="0087474C">
      <w:pPr>
        <w:spacing w:line="480" w:lineRule="auto"/>
        <w:ind w:left="3600" w:firstLine="720"/>
        <w:rPr>
          <w:szCs w:val="24"/>
        </w:rPr>
      </w:pPr>
      <w:r>
        <w:rPr>
          <w:rFonts w:eastAsia="Calibri"/>
          <w:szCs w:val="24"/>
        </w:rPr>
        <w:br w:type="page"/>
      </w:r>
      <w:r w:rsidR="008F4B9B">
        <w:rPr>
          <w:szCs w:val="24"/>
        </w:rPr>
        <w:t>Respectfully submitted,</w:t>
      </w:r>
    </w:p>
    <w:p w:rsidR="008F4B9B" w:rsidRDefault="008F4B9B" w:rsidP="008F4B9B">
      <w:pPr>
        <w:pStyle w:val="Footer"/>
        <w:tabs>
          <w:tab w:val="clear" w:pos="8640"/>
          <w:tab w:val="left" w:pos="4320"/>
        </w:tabs>
        <w:spacing w:before="240"/>
        <w:rPr>
          <w:sz w:val="24"/>
          <w:szCs w:val="24"/>
        </w:rPr>
      </w:pPr>
      <w:r>
        <w:rPr>
          <w:sz w:val="24"/>
          <w:szCs w:val="24"/>
        </w:rPr>
        <w:tab/>
        <w:t>BRUCE J. WESTON</w:t>
      </w:r>
    </w:p>
    <w:p w:rsidR="008F4B9B" w:rsidRDefault="008F4B9B" w:rsidP="008F4B9B">
      <w:pPr>
        <w:tabs>
          <w:tab w:val="left" w:pos="4320"/>
        </w:tabs>
        <w:rPr>
          <w:szCs w:val="24"/>
        </w:rPr>
      </w:pPr>
      <w:r>
        <w:rPr>
          <w:szCs w:val="24"/>
        </w:rPr>
        <w:tab/>
        <w:t>OHIO CONSUMERS</w:t>
      </w:r>
      <w:r w:rsidR="00B265BD">
        <w:rPr>
          <w:szCs w:val="24"/>
        </w:rPr>
        <w:t>’</w:t>
      </w:r>
      <w:r>
        <w:rPr>
          <w:szCs w:val="24"/>
        </w:rPr>
        <w:t xml:space="preserve"> COUNSEL</w:t>
      </w:r>
    </w:p>
    <w:p w:rsidR="008F4B9B" w:rsidRDefault="008F4B9B" w:rsidP="008F4B9B">
      <w:pPr>
        <w:tabs>
          <w:tab w:val="left" w:pos="4320"/>
        </w:tabs>
        <w:rPr>
          <w:szCs w:val="24"/>
        </w:rPr>
      </w:pPr>
      <w:r>
        <w:rPr>
          <w:szCs w:val="24"/>
        </w:rPr>
        <w:tab/>
      </w:r>
    </w:p>
    <w:p w:rsidR="008F4B9B" w:rsidRDefault="008F4B9B" w:rsidP="008F4B9B">
      <w:pPr>
        <w:tabs>
          <w:tab w:val="left" w:pos="4320"/>
        </w:tabs>
        <w:rPr>
          <w:i/>
          <w:szCs w:val="24"/>
          <w:u w:val="single"/>
        </w:rPr>
      </w:pPr>
      <w:r>
        <w:rPr>
          <w:szCs w:val="24"/>
        </w:rPr>
        <w:tab/>
      </w:r>
      <w:r>
        <w:rPr>
          <w:i/>
          <w:szCs w:val="24"/>
          <w:u w:val="single"/>
        </w:rPr>
        <w:t xml:space="preserve">/s/ </w:t>
      </w:r>
      <w:r w:rsidR="003516DE">
        <w:rPr>
          <w:i/>
          <w:szCs w:val="24"/>
          <w:u w:val="single"/>
        </w:rPr>
        <w:t xml:space="preserve">Edmund </w:t>
      </w:r>
      <w:r w:rsidR="00B265BD">
        <w:rPr>
          <w:i/>
          <w:szCs w:val="24"/>
          <w:u w:val="single"/>
        </w:rPr>
        <w:t>“</w:t>
      </w:r>
      <w:r w:rsidR="003516DE">
        <w:rPr>
          <w:i/>
          <w:szCs w:val="24"/>
          <w:u w:val="single"/>
        </w:rPr>
        <w:t>Tad</w:t>
      </w:r>
      <w:r w:rsidR="00B265BD">
        <w:rPr>
          <w:i/>
          <w:szCs w:val="24"/>
          <w:u w:val="single"/>
        </w:rPr>
        <w:t>”</w:t>
      </w:r>
      <w:r w:rsidR="003516DE">
        <w:rPr>
          <w:i/>
          <w:szCs w:val="24"/>
          <w:u w:val="single"/>
        </w:rPr>
        <w:t xml:space="preserve"> Berger</w:t>
      </w:r>
      <w:r>
        <w:rPr>
          <w:i/>
          <w:szCs w:val="24"/>
          <w:u w:val="single"/>
        </w:rPr>
        <w:tab/>
      </w:r>
      <w:r>
        <w:rPr>
          <w:i/>
          <w:szCs w:val="24"/>
          <w:u w:val="single"/>
        </w:rPr>
        <w:tab/>
      </w:r>
      <w:r>
        <w:rPr>
          <w:i/>
          <w:szCs w:val="24"/>
          <w:u w:val="single"/>
        </w:rPr>
        <w:tab/>
      </w:r>
    </w:p>
    <w:p w:rsidR="008F4B9B" w:rsidRDefault="008F4B9B" w:rsidP="008F4B9B">
      <w:pPr>
        <w:tabs>
          <w:tab w:val="left" w:pos="4320"/>
        </w:tabs>
        <w:rPr>
          <w:szCs w:val="24"/>
        </w:rPr>
      </w:pPr>
      <w:r>
        <w:rPr>
          <w:szCs w:val="24"/>
        </w:rPr>
        <w:tab/>
        <w:t xml:space="preserve">Edmund </w:t>
      </w:r>
      <w:r w:rsidR="00B265BD">
        <w:rPr>
          <w:szCs w:val="24"/>
        </w:rPr>
        <w:t>“</w:t>
      </w:r>
      <w:r w:rsidR="003516DE">
        <w:rPr>
          <w:szCs w:val="24"/>
        </w:rPr>
        <w:t>Tad</w:t>
      </w:r>
      <w:r w:rsidR="00B265BD">
        <w:rPr>
          <w:szCs w:val="24"/>
        </w:rPr>
        <w:t>”</w:t>
      </w:r>
      <w:r w:rsidR="003516DE">
        <w:rPr>
          <w:szCs w:val="24"/>
        </w:rPr>
        <w:t xml:space="preserve"> </w:t>
      </w:r>
      <w:r>
        <w:rPr>
          <w:szCs w:val="24"/>
        </w:rPr>
        <w:t>Berger</w:t>
      </w:r>
    </w:p>
    <w:p w:rsidR="008F4B9B" w:rsidRDefault="008F4B9B" w:rsidP="008F4B9B">
      <w:pPr>
        <w:tabs>
          <w:tab w:val="left" w:pos="4320"/>
        </w:tabs>
        <w:rPr>
          <w:szCs w:val="24"/>
        </w:rPr>
      </w:pPr>
      <w:r>
        <w:rPr>
          <w:szCs w:val="24"/>
        </w:rPr>
        <w:tab/>
        <w:t>Assistant Consumers</w:t>
      </w:r>
      <w:r w:rsidR="00B265BD">
        <w:rPr>
          <w:szCs w:val="24"/>
        </w:rPr>
        <w:t>’</w:t>
      </w:r>
      <w:r>
        <w:rPr>
          <w:szCs w:val="24"/>
        </w:rPr>
        <w:t xml:space="preserve"> Counsel</w:t>
      </w:r>
    </w:p>
    <w:p w:rsidR="008F4B9B" w:rsidRDefault="008F4B9B" w:rsidP="00D40C95">
      <w:pPr>
        <w:ind w:left="4320"/>
      </w:pPr>
    </w:p>
    <w:p w:rsidR="008F4B9B" w:rsidRDefault="008F4B9B" w:rsidP="00D40C95">
      <w:pPr>
        <w:ind w:left="4320"/>
      </w:pPr>
      <w:r>
        <w:t>Office of the Ohio Consumers</w:t>
      </w:r>
      <w:r w:rsidR="00B265BD">
        <w:t>’</w:t>
      </w:r>
      <w:r>
        <w:t xml:space="preserve"> Counsel</w:t>
      </w:r>
    </w:p>
    <w:p w:rsidR="008F4B9B" w:rsidRPr="00D40C95" w:rsidRDefault="008F4B9B" w:rsidP="00D40C95">
      <w:pPr>
        <w:ind w:left="4320"/>
      </w:pPr>
      <w:r w:rsidRPr="00D40C95">
        <w:t>10 West Broad Street, Suite 1800</w:t>
      </w:r>
    </w:p>
    <w:p w:rsidR="008F4B9B" w:rsidRPr="00D40C95" w:rsidRDefault="008F4B9B" w:rsidP="00D40C95">
      <w:pPr>
        <w:ind w:left="4320"/>
      </w:pPr>
      <w:r w:rsidRPr="00D40C95">
        <w:t>Columbus, Ohio 43215-3485</w:t>
      </w:r>
    </w:p>
    <w:p w:rsidR="008F4B9B" w:rsidRDefault="008F4B9B" w:rsidP="00D40C95">
      <w:pPr>
        <w:ind w:left="4320"/>
        <w:rPr>
          <w:szCs w:val="24"/>
        </w:rPr>
      </w:pPr>
      <w:r>
        <w:rPr>
          <w:szCs w:val="24"/>
        </w:rPr>
        <w:t>Telephone: (Berger) (614) 466-1292</w:t>
      </w:r>
    </w:p>
    <w:p w:rsidR="008F4B9B" w:rsidRDefault="008F4B9B" w:rsidP="008F4B9B">
      <w:pPr>
        <w:rPr>
          <w:szCs w:val="24"/>
        </w:rPr>
      </w:pPr>
      <w:r>
        <w:rPr>
          <w:szCs w:val="24"/>
        </w:rPr>
        <w:tab/>
      </w:r>
      <w:r>
        <w:rPr>
          <w:szCs w:val="24"/>
        </w:rPr>
        <w:tab/>
      </w:r>
      <w:r>
        <w:rPr>
          <w:szCs w:val="24"/>
        </w:rPr>
        <w:tab/>
      </w:r>
      <w:r>
        <w:rPr>
          <w:szCs w:val="24"/>
        </w:rPr>
        <w:tab/>
      </w:r>
      <w:r>
        <w:rPr>
          <w:szCs w:val="24"/>
        </w:rPr>
        <w:tab/>
      </w:r>
      <w:r>
        <w:rPr>
          <w:szCs w:val="24"/>
        </w:rPr>
        <w:tab/>
      </w:r>
      <w:hyperlink r:id="rId16" w:history="1">
        <w:r w:rsidR="001C26F7" w:rsidRPr="00E95E19">
          <w:rPr>
            <w:rStyle w:val="Hyperlink"/>
            <w:szCs w:val="24"/>
          </w:rPr>
          <w:t>Emund.Berger@occ.ohio.gov</w:t>
        </w:r>
      </w:hyperlink>
    </w:p>
    <w:p w:rsidR="001C26F7" w:rsidRDefault="001C26F7" w:rsidP="008F4B9B">
      <w:pPr>
        <w:rPr>
          <w:szCs w:val="24"/>
        </w:rPr>
      </w:pPr>
    </w:p>
    <w:p w:rsidR="000C2FD2" w:rsidRDefault="000C2FD2">
      <w:pPr>
        <w:jc w:val="center"/>
        <w:rPr>
          <w:b/>
          <w:bCs/>
          <w:u w:val="single"/>
        </w:rPr>
      </w:pPr>
      <w:r>
        <w:rPr>
          <w:szCs w:val="24"/>
        </w:rPr>
        <w:br w:type="page"/>
      </w:r>
      <w:r>
        <w:rPr>
          <w:b/>
          <w:bCs/>
          <w:u w:val="single"/>
        </w:rPr>
        <w:t>CERTIFICATE OF SERVICE</w:t>
      </w:r>
    </w:p>
    <w:p w:rsidR="000C2FD2" w:rsidRDefault="000C2FD2">
      <w:pPr>
        <w:spacing w:line="480" w:lineRule="atLeast"/>
      </w:pPr>
      <w:r>
        <w:tab/>
        <w:t xml:space="preserve">I hereby certify that a copy of </w:t>
      </w:r>
      <w:r w:rsidR="001A764B">
        <w:t xml:space="preserve">these </w:t>
      </w:r>
      <w:r w:rsidR="0087474C">
        <w:rPr>
          <w:i/>
        </w:rPr>
        <w:t xml:space="preserve">Reply </w:t>
      </w:r>
      <w:r w:rsidR="00635754" w:rsidRPr="00635754">
        <w:rPr>
          <w:i/>
        </w:rPr>
        <w:t>Comments</w:t>
      </w:r>
      <w:r w:rsidR="00635754">
        <w:t xml:space="preserve"> </w:t>
      </w:r>
      <w:r>
        <w:t xml:space="preserve">was served on the persons stated below via electronic transmission this </w:t>
      </w:r>
      <w:r w:rsidR="0087474C">
        <w:t>7</w:t>
      </w:r>
      <w:r w:rsidR="00635754" w:rsidRPr="00635754">
        <w:rPr>
          <w:vertAlign w:val="superscript"/>
        </w:rPr>
        <w:t>th</w:t>
      </w:r>
      <w:r w:rsidR="00635754">
        <w:t xml:space="preserve"> </w:t>
      </w:r>
      <w:r>
        <w:t xml:space="preserve">day of </w:t>
      </w:r>
      <w:r w:rsidR="0087474C">
        <w:t>February,</w:t>
      </w:r>
      <w:r w:rsidR="00635754">
        <w:t xml:space="preserve"> 2014</w:t>
      </w:r>
      <w:r>
        <w:t>.</w:t>
      </w:r>
    </w:p>
    <w:p w:rsidR="000C2FD2" w:rsidRDefault="000C2FD2">
      <w:pPr>
        <w:spacing w:line="480" w:lineRule="atLeast"/>
      </w:pPr>
    </w:p>
    <w:p w:rsidR="000C2FD2" w:rsidRDefault="000C2FD2">
      <w:pPr>
        <w:tabs>
          <w:tab w:val="left" w:pos="4320"/>
        </w:tabs>
        <w:rPr>
          <w:i/>
          <w:u w:val="single"/>
        </w:rPr>
      </w:pPr>
      <w:r>
        <w:tab/>
      </w:r>
      <w:r w:rsidR="008F4B9B">
        <w:rPr>
          <w:i/>
          <w:u w:val="single"/>
        </w:rPr>
        <w:t xml:space="preserve">/s/ </w:t>
      </w:r>
      <w:r w:rsidR="0091287F">
        <w:rPr>
          <w:i/>
          <w:u w:val="single"/>
        </w:rPr>
        <w:t xml:space="preserve">Edmund </w:t>
      </w:r>
      <w:r w:rsidR="00B265BD">
        <w:rPr>
          <w:i/>
          <w:u w:val="single"/>
        </w:rPr>
        <w:t>“</w:t>
      </w:r>
      <w:r w:rsidR="0091287F">
        <w:rPr>
          <w:i/>
          <w:u w:val="single"/>
        </w:rPr>
        <w:t>Tad</w:t>
      </w:r>
      <w:r w:rsidR="00B265BD">
        <w:rPr>
          <w:i/>
          <w:u w:val="single"/>
        </w:rPr>
        <w:t>”</w:t>
      </w:r>
      <w:r w:rsidR="0091287F">
        <w:rPr>
          <w:i/>
          <w:u w:val="single"/>
        </w:rPr>
        <w:t xml:space="preserve"> Berger</w:t>
      </w:r>
      <w:r>
        <w:rPr>
          <w:i/>
          <w:u w:val="single"/>
        </w:rPr>
        <w:tab/>
      </w:r>
      <w:r>
        <w:rPr>
          <w:i/>
          <w:u w:val="single"/>
        </w:rPr>
        <w:tab/>
      </w:r>
      <w:r>
        <w:rPr>
          <w:i/>
          <w:u w:val="single"/>
        </w:rPr>
        <w:tab/>
      </w:r>
    </w:p>
    <w:p w:rsidR="000C2FD2" w:rsidRDefault="000C2FD2">
      <w:pPr>
        <w:tabs>
          <w:tab w:val="left" w:pos="4320"/>
        </w:tabs>
      </w:pPr>
      <w:r>
        <w:tab/>
      </w:r>
      <w:r w:rsidR="0091287F">
        <w:t xml:space="preserve">Edmund </w:t>
      </w:r>
      <w:r w:rsidR="00B265BD">
        <w:t>“</w:t>
      </w:r>
      <w:r w:rsidR="0091287F">
        <w:t>Tad</w:t>
      </w:r>
      <w:r w:rsidR="00B265BD">
        <w:t>”</w:t>
      </w:r>
      <w:r w:rsidR="0091287F">
        <w:t xml:space="preserve"> Berger</w:t>
      </w:r>
    </w:p>
    <w:p w:rsidR="000C2FD2" w:rsidRDefault="000C2FD2">
      <w:pPr>
        <w:tabs>
          <w:tab w:val="left" w:pos="4320"/>
        </w:tabs>
      </w:pPr>
      <w:r>
        <w:tab/>
        <w:t>Assistant Consumers</w:t>
      </w:r>
      <w:r w:rsidR="00B265BD">
        <w:t>’</w:t>
      </w:r>
      <w:r>
        <w:t xml:space="preserve"> Counsel</w:t>
      </w:r>
    </w:p>
    <w:p w:rsidR="000C2FD2" w:rsidRDefault="000C2FD2">
      <w:pPr>
        <w:pStyle w:val="CommentSubject"/>
      </w:pPr>
    </w:p>
    <w:p w:rsidR="000C2FD2" w:rsidRDefault="000C2FD2">
      <w:pPr>
        <w:pStyle w:val="CommentText"/>
      </w:pPr>
    </w:p>
    <w:p w:rsidR="000C2FD2" w:rsidRDefault="000C2FD2">
      <w:pPr>
        <w:pStyle w:val="CommentText"/>
        <w:jc w:val="center"/>
        <w:rPr>
          <w:b/>
          <w:u w:val="single"/>
        </w:rPr>
      </w:pPr>
      <w:r>
        <w:rPr>
          <w:b/>
          <w:u w:val="single"/>
        </w:rPr>
        <w:t>SERVICE LIST</w:t>
      </w:r>
    </w:p>
    <w:p w:rsidR="000C2FD2" w:rsidRDefault="000C2FD2">
      <w:pPr>
        <w:pStyle w:val="BodyText"/>
        <w:rPr>
          <w:b/>
          <w:bCs/>
        </w:rPr>
      </w:pPr>
    </w:p>
    <w:p w:rsidR="00F5010A" w:rsidRDefault="00F5010A">
      <w:pPr>
        <w:pStyle w:val="BodyText"/>
        <w:rPr>
          <w:b/>
          <w:bCs/>
        </w:rPr>
      </w:pPr>
    </w:p>
    <w:tbl>
      <w:tblPr>
        <w:tblW w:w="0" w:type="auto"/>
        <w:tblLook w:val="01E0" w:firstRow="1" w:lastRow="1" w:firstColumn="1" w:lastColumn="1" w:noHBand="0" w:noVBand="0"/>
      </w:tblPr>
      <w:tblGrid>
        <w:gridCol w:w="4428"/>
        <w:gridCol w:w="4428"/>
      </w:tblGrid>
      <w:tr w:rsidR="000C2FD2">
        <w:tc>
          <w:tcPr>
            <w:tcW w:w="4428" w:type="dxa"/>
            <w:shd w:val="clear" w:color="auto" w:fill="auto"/>
          </w:tcPr>
          <w:p w:rsidR="00F5010A" w:rsidRDefault="00F5010A" w:rsidP="003E0316">
            <w:pPr>
              <w:autoSpaceDE w:val="0"/>
              <w:autoSpaceDN w:val="0"/>
              <w:adjustRightInd w:val="0"/>
              <w:rPr>
                <w:bCs/>
              </w:rPr>
            </w:pPr>
            <w:r>
              <w:rPr>
                <w:bCs/>
              </w:rPr>
              <w:t>Thomas McNamee</w:t>
            </w:r>
          </w:p>
          <w:p w:rsidR="003E0316" w:rsidRDefault="00F5010A" w:rsidP="003E0316">
            <w:pPr>
              <w:autoSpaceDE w:val="0"/>
              <w:autoSpaceDN w:val="0"/>
              <w:adjustRightInd w:val="0"/>
              <w:rPr>
                <w:bCs/>
              </w:rPr>
            </w:pPr>
            <w:r>
              <w:rPr>
                <w:bCs/>
              </w:rPr>
              <w:t>Katie Johnson</w:t>
            </w:r>
          </w:p>
          <w:p w:rsidR="00182C45" w:rsidRDefault="00182C45" w:rsidP="003E0316">
            <w:pPr>
              <w:autoSpaceDE w:val="0"/>
              <w:autoSpaceDN w:val="0"/>
              <w:adjustRightInd w:val="0"/>
              <w:rPr>
                <w:bCs/>
              </w:rPr>
            </w:pPr>
            <w:r>
              <w:rPr>
                <w:bCs/>
              </w:rPr>
              <w:t>Attorney General</w:t>
            </w:r>
            <w:r w:rsidR="00B265BD">
              <w:rPr>
                <w:bCs/>
              </w:rPr>
              <w:t>’</w:t>
            </w:r>
            <w:r>
              <w:rPr>
                <w:bCs/>
              </w:rPr>
              <w:t>s Office</w:t>
            </w:r>
          </w:p>
          <w:p w:rsidR="00182C45" w:rsidRDefault="00182C45" w:rsidP="003E0316">
            <w:pPr>
              <w:autoSpaceDE w:val="0"/>
              <w:autoSpaceDN w:val="0"/>
              <w:adjustRightInd w:val="0"/>
              <w:rPr>
                <w:bCs/>
              </w:rPr>
            </w:pPr>
            <w:r>
              <w:rPr>
                <w:bCs/>
              </w:rPr>
              <w:t>Public Utilities Commission of Ohio</w:t>
            </w:r>
          </w:p>
          <w:p w:rsidR="00182C45" w:rsidRDefault="00182C45" w:rsidP="003E0316">
            <w:pPr>
              <w:autoSpaceDE w:val="0"/>
              <w:autoSpaceDN w:val="0"/>
              <w:adjustRightInd w:val="0"/>
              <w:rPr>
                <w:bCs/>
              </w:rPr>
            </w:pPr>
            <w:r>
              <w:rPr>
                <w:bCs/>
              </w:rPr>
              <w:t>180 E. Broad St., 6</w:t>
            </w:r>
            <w:r w:rsidRPr="00182C45">
              <w:rPr>
                <w:bCs/>
                <w:vertAlign w:val="superscript"/>
              </w:rPr>
              <w:t>th</w:t>
            </w:r>
            <w:r>
              <w:rPr>
                <w:bCs/>
              </w:rPr>
              <w:t xml:space="preserve"> Fl.</w:t>
            </w:r>
          </w:p>
          <w:p w:rsidR="00182C45" w:rsidRDefault="00182C45" w:rsidP="003E0316">
            <w:pPr>
              <w:autoSpaceDE w:val="0"/>
              <w:autoSpaceDN w:val="0"/>
              <w:adjustRightInd w:val="0"/>
              <w:rPr>
                <w:bCs/>
              </w:rPr>
            </w:pPr>
            <w:r>
              <w:rPr>
                <w:bCs/>
              </w:rPr>
              <w:t>Columbus, OH 43215</w:t>
            </w:r>
          </w:p>
          <w:p w:rsidR="00F5010A" w:rsidRDefault="00012047" w:rsidP="003E0316">
            <w:pPr>
              <w:autoSpaceDE w:val="0"/>
              <w:autoSpaceDN w:val="0"/>
              <w:adjustRightInd w:val="0"/>
              <w:rPr>
                <w:bCs/>
              </w:rPr>
            </w:pPr>
            <w:hyperlink r:id="rId17" w:history="1">
              <w:r w:rsidR="00F5010A" w:rsidRPr="003A23FE">
                <w:rPr>
                  <w:rStyle w:val="Hyperlink"/>
                  <w:bCs/>
                </w:rPr>
                <w:t>Thomas.mcnamee@puc.state.oh.us</w:t>
              </w:r>
            </w:hyperlink>
          </w:p>
          <w:p w:rsidR="00F5010A" w:rsidRDefault="00012047" w:rsidP="003E0316">
            <w:pPr>
              <w:autoSpaceDE w:val="0"/>
              <w:autoSpaceDN w:val="0"/>
              <w:adjustRightInd w:val="0"/>
              <w:rPr>
                <w:bCs/>
              </w:rPr>
            </w:pPr>
            <w:hyperlink r:id="rId18" w:history="1">
              <w:r w:rsidR="00F5010A" w:rsidRPr="003A23FE">
                <w:rPr>
                  <w:rStyle w:val="Hyperlink"/>
                  <w:bCs/>
                </w:rPr>
                <w:t>Katie.johnson@puc.state.oh.us</w:t>
              </w:r>
            </w:hyperlink>
          </w:p>
          <w:p w:rsidR="00FA000E" w:rsidRDefault="00FA000E" w:rsidP="003E0316">
            <w:pPr>
              <w:autoSpaceDE w:val="0"/>
              <w:autoSpaceDN w:val="0"/>
              <w:adjustRightInd w:val="0"/>
              <w:rPr>
                <w:bCs/>
              </w:rPr>
            </w:pPr>
          </w:p>
          <w:p w:rsidR="00F5010A" w:rsidRDefault="00F5010A" w:rsidP="003E0316">
            <w:pPr>
              <w:autoSpaceDE w:val="0"/>
              <w:autoSpaceDN w:val="0"/>
              <w:adjustRightInd w:val="0"/>
              <w:rPr>
                <w:bCs/>
              </w:rPr>
            </w:pPr>
          </w:p>
          <w:p w:rsidR="00182C45" w:rsidRDefault="00F5010A" w:rsidP="003E0316">
            <w:pPr>
              <w:autoSpaceDE w:val="0"/>
              <w:autoSpaceDN w:val="0"/>
              <w:adjustRightInd w:val="0"/>
              <w:rPr>
                <w:bCs/>
              </w:rPr>
            </w:pPr>
            <w:r>
              <w:rPr>
                <w:bCs/>
              </w:rPr>
              <w:t>Attorney Examiner:</w:t>
            </w:r>
          </w:p>
          <w:p w:rsidR="00F5010A" w:rsidRDefault="00012047" w:rsidP="003E0316">
            <w:pPr>
              <w:autoSpaceDE w:val="0"/>
              <w:autoSpaceDN w:val="0"/>
              <w:adjustRightInd w:val="0"/>
              <w:rPr>
                <w:bCs/>
              </w:rPr>
            </w:pPr>
            <w:hyperlink r:id="rId19" w:history="1">
              <w:r w:rsidR="00F5010A" w:rsidRPr="003A23FE">
                <w:rPr>
                  <w:rStyle w:val="Hyperlink"/>
                  <w:bCs/>
                </w:rPr>
                <w:t>Christine.pirik@puc.state.oh.us</w:t>
              </w:r>
            </w:hyperlink>
          </w:p>
          <w:p w:rsidR="000C2FD2" w:rsidRDefault="000C2FD2">
            <w:pPr>
              <w:autoSpaceDE w:val="0"/>
              <w:autoSpaceDN w:val="0"/>
              <w:adjustRightInd w:val="0"/>
              <w:rPr>
                <w:bCs/>
              </w:rPr>
            </w:pPr>
          </w:p>
        </w:tc>
        <w:tc>
          <w:tcPr>
            <w:tcW w:w="4428" w:type="dxa"/>
            <w:shd w:val="clear" w:color="auto" w:fill="auto"/>
          </w:tcPr>
          <w:p w:rsidR="00182C45" w:rsidRPr="00182C45" w:rsidRDefault="00182C45" w:rsidP="00182C45">
            <w:pPr>
              <w:autoSpaceDE w:val="0"/>
              <w:autoSpaceDN w:val="0"/>
              <w:adjustRightInd w:val="0"/>
              <w:rPr>
                <w:bCs/>
                <w:color w:val="000000"/>
                <w:szCs w:val="24"/>
              </w:rPr>
            </w:pPr>
            <w:r>
              <w:rPr>
                <w:bCs/>
                <w:color w:val="000000"/>
                <w:szCs w:val="24"/>
              </w:rPr>
              <w:t xml:space="preserve">Amy B. Spiller </w:t>
            </w:r>
          </w:p>
          <w:p w:rsidR="00182C45" w:rsidRPr="00182C45" w:rsidRDefault="00182C45" w:rsidP="00182C45">
            <w:pPr>
              <w:autoSpaceDE w:val="0"/>
              <w:autoSpaceDN w:val="0"/>
              <w:adjustRightInd w:val="0"/>
              <w:rPr>
                <w:color w:val="000000"/>
                <w:szCs w:val="24"/>
              </w:rPr>
            </w:pPr>
            <w:r w:rsidRPr="00182C45">
              <w:rPr>
                <w:color w:val="000000"/>
                <w:szCs w:val="24"/>
              </w:rPr>
              <w:t>Deputy General Counsel</w:t>
            </w:r>
          </w:p>
          <w:p w:rsidR="00182C45" w:rsidRPr="00182C45" w:rsidRDefault="00182C45" w:rsidP="00182C45">
            <w:pPr>
              <w:autoSpaceDE w:val="0"/>
              <w:autoSpaceDN w:val="0"/>
              <w:adjustRightInd w:val="0"/>
              <w:rPr>
                <w:bCs/>
                <w:color w:val="000000"/>
                <w:szCs w:val="24"/>
              </w:rPr>
            </w:pPr>
            <w:r>
              <w:rPr>
                <w:bCs/>
                <w:color w:val="000000"/>
                <w:szCs w:val="24"/>
              </w:rPr>
              <w:t xml:space="preserve">Elizabeth H. Watts </w:t>
            </w:r>
          </w:p>
          <w:p w:rsidR="00182C45" w:rsidRDefault="00182C45" w:rsidP="00182C45">
            <w:pPr>
              <w:autoSpaceDE w:val="0"/>
              <w:autoSpaceDN w:val="0"/>
              <w:adjustRightInd w:val="0"/>
              <w:rPr>
                <w:color w:val="000000"/>
                <w:szCs w:val="24"/>
              </w:rPr>
            </w:pPr>
            <w:r>
              <w:rPr>
                <w:color w:val="000000"/>
                <w:szCs w:val="24"/>
              </w:rPr>
              <w:t>Associate General Counsel</w:t>
            </w:r>
          </w:p>
          <w:p w:rsidR="00182C45" w:rsidRDefault="00182C45" w:rsidP="00182C45">
            <w:pPr>
              <w:autoSpaceDE w:val="0"/>
              <w:autoSpaceDN w:val="0"/>
              <w:adjustRightInd w:val="0"/>
              <w:rPr>
                <w:color w:val="000000"/>
                <w:szCs w:val="24"/>
              </w:rPr>
            </w:pPr>
            <w:r>
              <w:rPr>
                <w:color w:val="000000"/>
                <w:szCs w:val="24"/>
              </w:rPr>
              <w:t>139 E. Fourth Street, 1303-Main</w:t>
            </w:r>
          </w:p>
          <w:p w:rsidR="00182C45" w:rsidRDefault="00182C45" w:rsidP="00182C45">
            <w:pPr>
              <w:autoSpaceDE w:val="0"/>
              <w:autoSpaceDN w:val="0"/>
              <w:adjustRightInd w:val="0"/>
              <w:rPr>
                <w:color w:val="000000"/>
                <w:szCs w:val="24"/>
              </w:rPr>
            </w:pPr>
            <w:r>
              <w:rPr>
                <w:color w:val="000000"/>
                <w:szCs w:val="24"/>
              </w:rPr>
              <w:t>P.O. Box 960</w:t>
            </w:r>
          </w:p>
          <w:p w:rsidR="00182C45" w:rsidRDefault="00182C45" w:rsidP="00182C45">
            <w:pPr>
              <w:autoSpaceDE w:val="0"/>
              <w:autoSpaceDN w:val="0"/>
              <w:adjustRightInd w:val="0"/>
              <w:rPr>
                <w:color w:val="000000"/>
                <w:szCs w:val="24"/>
              </w:rPr>
            </w:pPr>
            <w:r>
              <w:rPr>
                <w:color w:val="000000"/>
                <w:szCs w:val="24"/>
              </w:rPr>
              <w:t>Cincinnati, O</w:t>
            </w:r>
            <w:r w:rsidR="00F5010A">
              <w:rPr>
                <w:color w:val="000000"/>
                <w:szCs w:val="24"/>
              </w:rPr>
              <w:t>H</w:t>
            </w:r>
            <w:r>
              <w:rPr>
                <w:color w:val="000000"/>
                <w:szCs w:val="24"/>
              </w:rPr>
              <w:t xml:space="preserve"> 45201-0960</w:t>
            </w:r>
          </w:p>
          <w:p w:rsidR="00182C45" w:rsidRDefault="00012047" w:rsidP="00182C45">
            <w:pPr>
              <w:autoSpaceDE w:val="0"/>
              <w:autoSpaceDN w:val="0"/>
              <w:adjustRightInd w:val="0"/>
              <w:rPr>
                <w:color w:val="0000FF"/>
                <w:szCs w:val="24"/>
              </w:rPr>
            </w:pPr>
            <w:hyperlink r:id="rId20" w:history="1">
              <w:r w:rsidR="00B7016D" w:rsidRPr="0051057C">
                <w:rPr>
                  <w:rStyle w:val="Hyperlink"/>
                  <w:szCs w:val="24"/>
                </w:rPr>
                <w:t>Amy.Spiller@duke-energy.com</w:t>
              </w:r>
            </w:hyperlink>
          </w:p>
          <w:p w:rsidR="000C2FD2" w:rsidRDefault="00012047" w:rsidP="00182C45">
            <w:pPr>
              <w:pStyle w:val="BodyText"/>
              <w:rPr>
                <w:color w:val="0000FF"/>
                <w:szCs w:val="24"/>
              </w:rPr>
            </w:pPr>
            <w:hyperlink r:id="rId21" w:history="1">
              <w:r w:rsidR="00B7016D" w:rsidRPr="0051057C">
                <w:rPr>
                  <w:rStyle w:val="Hyperlink"/>
                  <w:szCs w:val="24"/>
                </w:rPr>
                <w:t>Elizabeth.Watts@duke-energy.com</w:t>
              </w:r>
            </w:hyperlink>
          </w:p>
          <w:p w:rsidR="00B7016D" w:rsidRDefault="00B7016D" w:rsidP="00182C45">
            <w:pPr>
              <w:pStyle w:val="BodyText"/>
              <w:rPr>
                <w:color w:val="0000FF"/>
                <w:szCs w:val="24"/>
              </w:rPr>
            </w:pPr>
          </w:p>
          <w:p w:rsidR="00182C45" w:rsidRDefault="00182C45" w:rsidP="00182C45">
            <w:pPr>
              <w:pStyle w:val="BodyText"/>
              <w:rPr>
                <w:bCs/>
              </w:rPr>
            </w:pPr>
          </w:p>
        </w:tc>
      </w:tr>
    </w:tbl>
    <w:p w:rsidR="008C2387" w:rsidRPr="008C2387" w:rsidRDefault="008C2387">
      <w:pPr>
        <w:pStyle w:val="BodyText"/>
        <w:rPr>
          <w:bCs/>
        </w:rPr>
      </w:pPr>
    </w:p>
    <w:sectPr w:rsidR="008C2387" w:rsidRPr="008C2387">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EF" w:rsidRDefault="002D23EF">
      <w:r>
        <w:separator/>
      </w:r>
    </w:p>
  </w:endnote>
  <w:endnote w:type="continuationSeparator" w:id="0">
    <w:p w:rsidR="002D23EF" w:rsidRDefault="002D23EF">
      <w:r>
        <w:continuationSeparator/>
      </w:r>
    </w:p>
  </w:endnote>
  <w:endnote w:type="continuationNotice" w:id="1">
    <w:p w:rsidR="002D23EF" w:rsidRDefault="002D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99" w:rsidRDefault="00C5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07113"/>
      <w:docPartObj>
        <w:docPartGallery w:val="Page Numbers (Bottom of Page)"/>
        <w:docPartUnique/>
      </w:docPartObj>
    </w:sdtPr>
    <w:sdtEndPr>
      <w:rPr>
        <w:noProof/>
        <w:sz w:val="24"/>
        <w:szCs w:val="24"/>
      </w:rPr>
    </w:sdtEndPr>
    <w:sdtContent>
      <w:p w:rsidR="00CC58E1" w:rsidRPr="00CC58E1" w:rsidRDefault="00CC58E1">
        <w:pPr>
          <w:pStyle w:val="Footer"/>
          <w:jc w:val="center"/>
          <w:rPr>
            <w:sz w:val="24"/>
            <w:szCs w:val="24"/>
          </w:rPr>
        </w:pPr>
        <w:r w:rsidRPr="00CC58E1">
          <w:rPr>
            <w:sz w:val="24"/>
            <w:szCs w:val="24"/>
          </w:rPr>
          <w:fldChar w:fldCharType="begin"/>
        </w:r>
        <w:r w:rsidRPr="00CC58E1">
          <w:rPr>
            <w:sz w:val="24"/>
            <w:szCs w:val="24"/>
          </w:rPr>
          <w:instrText xml:space="preserve"> PAGE   \* MERGEFORMAT </w:instrText>
        </w:r>
        <w:r w:rsidRPr="00CC58E1">
          <w:rPr>
            <w:sz w:val="24"/>
            <w:szCs w:val="24"/>
          </w:rPr>
          <w:fldChar w:fldCharType="separate"/>
        </w:r>
        <w:r w:rsidR="00C55899">
          <w:rPr>
            <w:noProof/>
            <w:sz w:val="24"/>
            <w:szCs w:val="24"/>
          </w:rPr>
          <w:t>13</w:t>
        </w:r>
        <w:r w:rsidRPr="00CC58E1">
          <w:rPr>
            <w:noProof/>
            <w:sz w:val="24"/>
            <w:szCs w:val="24"/>
          </w:rPr>
          <w:fldChar w:fldCharType="end"/>
        </w:r>
      </w:p>
    </w:sdtContent>
  </w:sdt>
  <w:p w:rsidR="00CC58E1" w:rsidRDefault="00CC5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2" w:rsidRDefault="00771102">
    <w:pPr>
      <w:pStyle w:val="Footer"/>
      <w:jc w:val="center"/>
    </w:pPr>
  </w:p>
  <w:p w:rsidR="00771102" w:rsidRDefault="007711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49295"/>
      <w:docPartObj>
        <w:docPartGallery w:val="Page Numbers (Bottom of Page)"/>
        <w:docPartUnique/>
      </w:docPartObj>
    </w:sdtPr>
    <w:sdtEndPr>
      <w:rPr>
        <w:noProof/>
        <w:sz w:val="24"/>
        <w:szCs w:val="24"/>
      </w:rPr>
    </w:sdtEndPr>
    <w:sdtContent>
      <w:p w:rsidR="00771102" w:rsidRPr="00771102" w:rsidRDefault="00771102">
        <w:pPr>
          <w:pStyle w:val="Footer"/>
          <w:jc w:val="center"/>
          <w:rPr>
            <w:sz w:val="24"/>
            <w:szCs w:val="24"/>
          </w:rPr>
        </w:pPr>
        <w:r w:rsidRPr="00771102">
          <w:rPr>
            <w:sz w:val="24"/>
            <w:szCs w:val="24"/>
          </w:rPr>
          <w:fldChar w:fldCharType="begin"/>
        </w:r>
        <w:r w:rsidRPr="00771102">
          <w:rPr>
            <w:sz w:val="24"/>
            <w:szCs w:val="24"/>
          </w:rPr>
          <w:instrText xml:space="preserve"> PAGE   \* MERGEFORMAT </w:instrText>
        </w:r>
        <w:r w:rsidRPr="00771102">
          <w:rPr>
            <w:sz w:val="24"/>
            <w:szCs w:val="24"/>
          </w:rPr>
          <w:fldChar w:fldCharType="separate"/>
        </w:r>
        <w:r w:rsidR="00012047">
          <w:rPr>
            <w:noProof/>
            <w:sz w:val="24"/>
            <w:szCs w:val="24"/>
          </w:rPr>
          <w:t>i</w:t>
        </w:r>
        <w:r w:rsidRPr="00771102">
          <w:rPr>
            <w:noProof/>
            <w:sz w:val="24"/>
            <w:szCs w:val="24"/>
          </w:rPr>
          <w:fldChar w:fldCharType="end"/>
        </w:r>
      </w:p>
    </w:sdtContent>
  </w:sdt>
  <w:p w:rsidR="00771102" w:rsidRDefault="0077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EF" w:rsidRDefault="002D23EF">
      <w:r>
        <w:separator/>
      </w:r>
    </w:p>
  </w:footnote>
  <w:footnote w:type="continuationSeparator" w:id="0">
    <w:p w:rsidR="002D23EF" w:rsidRDefault="002D23EF">
      <w:r>
        <w:continuationSeparator/>
      </w:r>
    </w:p>
  </w:footnote>
  <w:footnote w:type="continuationNotice" w:id="1">
    <w:p w:rsidR="002D23EF" w:rsidRDefault="002D23EF"/>
  </w:footnote>
  <w:footnote w:id="2">
    <w:p w:rsidR="00415C3E" w:rsidRDefault="00415C3E" w:rsidP="008C1F07">
      <w:pPr>
        <w:pStyle w:val="FootnoteText"/>
        <w:spacing w:after="120"/>
      </w:pPr>
      <w:r>
        <w:rPr>
          <w:rStyle w:val="FootnoteReference"/>
        </w:rPr>
        <w:footnoteRef/>
      </w:r>
      <w:r>
        <w:t xml:space="preserve"> SAIFI is the System Average Interruption Frequency Index, representing the average number of interruptions per customer served.</w:t>
      </w:r>
    </w:p>
  </w:footnote>
  <w:footnote w:id="3">
    <w:p w:rsidR="00415C3E" w:rsidRDefault="00415C3E" w:rsidP="008C1F07">
      <w:pPr>
        <w:pStyle w:val="FootnoteText"/>
        <w:spacing w:after="120"/>
      </w:pPr>
      <w:r>
        <w:rPr>
          <w:rStyle w:val="FootnoteReference"/>
        </w:rPr>
        <w:footnoteRef/>
      </w:r>
      <w:r>
        <w:t xml:space="preserve"> CAIDI i</w:t>
      </w:r>
      <w:r w:rsidR="005F52A8">
        <w:t>s</w:t>
      </w:r>
      <w:r>
        <w:t xml:space="preserve"> the Customer Average Interruption Duration Index, representing the average time to restore service to customers interrupted.</w:t>
      </w:r>
    </w:p>
  </w:footnote>
  <w:footnote w:id="4">
    <w:p w:rsidR="002D183B" w:rsidRDefault="002D183B" w:rsidP="008C1F07">
      <w:pPr>
        <w:pStyle w:val="FootnoteText"/>
        <w:spacing w:after="120"/>
      </w:pPr>
      <w:r>
        <w:rPr>
          <w:rStyle w:val="FootnoteReference"/>
        </w:rPr>
        <w:footnoteRef/>
      </w:r>
      <w:r>
        <w:t xml:space="preserve"> </w:t>
      </w:r>
      <w:r w:rsidR="005F52A8">
        <w:t>PUCO Staff Comments at</w:t>
      </w:r>
      <w:r>
        <w:t xml:space="preserve"> 3.</w:t>
      </w:r>
    </w:p>
  </w:footnote>
  <w:footnote w:id="5">
    <w:p w:rsidR="002D183B" w:rsidRDefault="002D183B" w:rsidP="008C1F07">
      <w:pPr>
        <w:pStyle w:val="FootnoteText"/>
        <w:spacing w:after="120"/>
      </w:pPr>
      <w:r>
        <w:rPr>
          <w:rStyle w:val="FootnoteReference"/>
        </w:rPr>
        <w:footnoteRef/>
      </w:r>
      <w:r>
        <w:t xml:space="preserve"> </w:t>
      </w:r>
      <w:r w:rsidR="005F52A8">
        <w:t>PUCO Staff Comments at</w:t>
      </w:r>
      <w:r>
        <w:t xml:space="preserve"> 4.</w:t>
      </w:r>
    </w:p>
  </w:footnote>
  <w:footnote w:id="6">
    <w:p w:rsidR="00AD038E" w:rsidRDefault="00AD038E">
      <w:pPr>
        <w:pStyle w:val="FootnoteText"/>
      </w:pPr>
      <w:r>
        <w:rPr>
          <w:rStyle w:val="FootnoteReference"/>
        </w:rPr>
        <w:footnoteRef/>
      </w:r>
      <w:r>
        <w:t xml:space="preserve"> PUCO Staff Comments at 3-4.</w:t>
      </w:r>
    </w:p>
  </w:footnote>
  <w:footnote w:id="7">
    <w:p w:rsidR="007826C2" w:rsidRDefault="007826C2" w:rsidP="0087474C">
      <w:pPr>
        <w:pStyle w:val="FootnoteText"/>
        <w:spacing w:after="120"/>
      </w:pPr>
      <w:r>
        <w:rPr>
          <w:rStyle w:val="FootnoteReference"/>
        </w:rPr>
        <w:footnoteRef/>
      </w:r>
      <w:r>
        <w:t xml:space="preserve"> Ohio Adm. Code 4901:1-10-10(B)(4(a) requires performance standards “reflect historical system performance, system design, technological advancements, service area geography, customer perception survey results as defined in paragraph (B)(4)(b) of this rule, and other relevant factors.”</w:t>
      </w:r>
    </w:p>
  </w:footnote>
  <w:footnote w:id="8">
    <w:p w:rsidR="004C60FE" w:rsidRDefault="004C60FE" w:rsidP="0087474C">
      <w:pPr>
        <w:pStyle w:val="FootnoteText"/>
        <w:spacing w:after="120"/>
      </w:pPr>
      <w:r>
        <w:rPr>
          <w:rStyle w:val="FootnoteReference"/>
        </w:rPr>
        <w:footnoteRef/>
      </w:r>
      <w:r>
        <w:t xml:space="preserve"> OCC Comments at 4-5, 9-15.</w:t>
      </w:r>
    </w:p>
  </w:footnote>
  <w:footnote w:id="9">
    <w:p w:rsidR="00C05940" w:rsidRPr="002D183B" w:rsidRDefault="00C05940" w:rsidP="0087474C">
      <w:pPr>
        <w:pStyle w:val="FootnoteText"/>
        <w:spacing w:after="120"/>
      </w:pPr>
      <w:r>
        <w:rPr>
          <w:rStyle w:val="FootnoteReference"/>
        </w:rPr>
        <w:footnoteRef/>
      </w:r>
      <w:r>
        <w:t xml:space="preserve"> PUCO Staff Comments at 3</w:t>
      </w:r>
      <w:r>
        <w:rPr>
          <w:i/>
        </w:rPr>
        <w:t xml:space="preserve"> citing </w:t>
      </w:r>
      <w:r>
        <w:t>Ohio Adm. Code 4901:1-10-10</w:t>
      </w:r>
      <w:r w:rsidR="008C3331">
        <w:t xml:space="preserve">; see </w:t>
      </w:r>
      <w:r w:rsidR="008C3331">
        <w:rPr>
          <w:u w:val="single"/>
        </w:rPr>
        <w:t>Staff’s Guidelines for Reliability Standards Applications</w:t>
      </w:r>
      <w:r w:rsidR="008C3331">
        <w:t xml:space="preserve"> on PUCO website</w:t>
      </w:r>
      <w:r>
        <w:t>.</w:t>
      </w:r>
    </w:p>
  </w:footnote>
  <w:footnote w:id="10">
    <w:p w:rsidR="004C60FE" w:rsidRDefault="004C60FE" w:rsidP="0087474C">
      <w:pPr>
        <w:pStyle w:val="FootnoteText"/>
        <w:spacing w:after="120"/>
      </w:pPr>
      <w:r>
        <w:rPr>
          <w:rStyle w:val="FootnoteReference"/>
        </w:rPr>
        <w:footnoteRef/>
      </w:r>
      <w:r>
        <w:t xml:space="preserve"> PUCO Staff Initial Comments at 6-7</w:t>
      </w:r>
      <w:r w:rsidR="00AD038E">
        <w:t>.</w:t>
      </w:r>
    </w:p>
  </w:footnote>
  <w:footnote w:id="11">
    <w:p w:rsidR="00730B3F" w:rsidRDefault="00730B3F" w:rsidP="008C1F07">
      <w:pPr>
        <w:pStyle w:val="FootnoteText"/>
        <w:spacing w:after="120"/>
      </w:pPr>
      <w:r>
        <w:rPr>
          <w:rStyle w:val="FootnoteReference"/>
        </w:rPr>
        <w:footnoteRef/>
      </w:r>
      <w:r>
        <w:t xml:space="preserve"> OCC Comments at 13-14.</w:t>
      </w:r>
    </w:p>
  </w:footnote>
  <w:footnote w:id="12">
    <w:p w:rsidR="00E11D76" w:rsidRDefault="00E11D76" w:rsidP="008C1F07">
      <w:pPr>
        <w:pStyle w:val="FootnoteText"/>
        <w:spacing w:after="120"/>
      </w:pPr>
      <w:r>
        <w:rPr>
          <w:rStyle w:val="FootnoteReference"/>
        </w:rPr>
        <w:footnoteRef/>
      </w:r>
      <w:r>
        <w:t xml:space="preserve"> Pursuant to Ohio Adm. Code 4901:1-10-10(C).</w:t>
      </w:r>
    </w:p>
  </w:footnote>
  <w:footnote w:id="13">
    <w:p w:rsidR="00E11D76" w:rsidRDefault="00E11D76" w:rsidP="008C1F07">
      <w:pPr>
        <w:pStyle w:val="FootnoteText"/>
        <w:spacing w:after="120"/>
      </w:pPr>
      <w:r>
        <w:rPr>
          <w:rStyle w:val="FootnoteReference"/>
        </w:rPr>
        <w:footnoteRef/>
      </w:r>
      <w:r>
        <w:t xml:space="preserve"> PUCO Staff Comments at 4</w:t>
      </w:r>
      <w:r w:rsidR="008C1F07">
        <w:t>.</w:t>
      </w:r>
    </w:p>
  </w:footnote>
  <w:footnote w:id="14">
    <w:p w:rsidR="00E11D76" w:rsidRDefault="00E11D76" w:rsidP="008C1F07">
      <w:pPr>
        <w:pStyle w:val="FootnoteText"/>
        <w:spacing w:after="120"/>
      </w:pPr>
      <w:r>
        <w:rPr>
          <w:rStyle w:val="FootnoteReference"/>
        </w:rPr>
        <w:footnoteRef/>
      </w:r>
      <w:r>
        <w:t xml:space="preserve"> Id.</w:t>
      </w:r>
    </w:p>
  </w:footnote>
  <w:footnote w:id="15">
    <w:p w:rsidR="00E11D76" w:rsidRDefault="00E11D76" w:rsidP="008C1F07">
      <w:pPr>
        <w:pStyle w:val="FootnoteText"/>
        <w:spacing w:after="120"/>
      </w:pPr>
      <w:r>
        <w:rPr>
          <w:rStyle w:val="FootnoteReference"/>
        </w:rPr>
        <w:footnoteRef/>
      </w:r>
      <w:r>
        <w:t xml:space="preserve"> Id.</w:t>
      </w:r>
    </w:p>
  </w:footnote>
  <w:footnote w:id="16">
    <w:p w:rsidR="00E11D76" w:rsidRDefault="00E11D76" w:rsidP="008C1F07">
      <w:pPr>
        <w:pStyle w:val="FootnoteText"/>
        <w:spacing w:after="120"/>
      </w:pPr>
      <w:r>
        <w:rPr>
          <w:rStyle w:val="FootnoteReference"/>
        </w:rPr>
        <w:footnoteRef/>
      </w:r>
      <w:r>
        <w:t xml:space="preserve"> PUCO Staff Comments at 6.</w:t>
      </w:r>
    </w:p>
  </w:footnote>
  <w:footnote w:id="17">
    <w:p w:rsidR="00E11D76" w:rsidRDefault="00E11D76" w:rsidP="008C1F07">
      <w:pPr>
        <w:pStyle w:val="FootnoteText"/>
        <w:spacing w:after="120"/>
      </w:pPr>
      <w:r>
        <w:rPr>
          <w:rStyle w:val="FootnoteReference"/>
        </w:rPr>
        <w:footnoteRef/>
      </w:r>
      <w:r>
        <w:t xml:space="preserve"> For 2009, </w:t>
      </w:r>
      <w:r w:rsidR="00507748">
        <w:t>Duke</w:t>
      </w:r>
      <w:r>
        <w:t xml:space="preserve"> reported a CAIDI of 99.17 minutes, but Staff re-calculated the performance using the new outage management system and determined a level of 97.25 minutes.  For 2011, </w:t>
      </w:r>
      <w:r w:rsidR="00507748">
        <w:t>Duke</w:t>
      </w:r>
      <w:r>
        <w:t xml:space="preserve"> reported a CAIDI of 107 minutes, but Staff re-calculated the CAIDI using the new outage management system at a level of 104.97 minutes.</w:t>
      </w:r>
    </w:p>
  </w:footnote>
  <w:footnote w:id="18">
    <w:p w:rsidR="00E11D76" w:rsidRDefault="00E11D76" w:rsidP="008C1F07">
      <w:pPr>
        <w:pStyle w:val="FootnoteText"/>
        <w:spacing w:after="120"/>
      </w:pPr>
      <w:r>
        <w:rPr>
          <w:rStyle w:val="FootnoteReference"/>
        </w:rPr>
        <w:footnoteRef/>
      </w:r>
      <w:r>
        <w:t xml:space="preserve"> Ohio </w:t>
      </w:r>
      <w:r w:rsidR="00C87EC2">
        <w:t>Adm.</w:t>
      </w:r>
      <w:r>
        <w:t xml:space="preserve"> Code 4901:1-10-10(6)(e)</w:t>
      </w:r>
      <w:r w:rsidR="0087474C">
        <w:t>.</w:t>
      </w:r>
    </w:p>
  </w:footnote>
  <w:footnote w:id="19">
    <w:p w:rsidR="00A74B0D" w:rsidRDefault="00A74B0D" w:rsidP="008C1F07">
      <w:pPr>
        <w:pStyle w:val="FootnoteText"/>
        <w:spacing w:after="120"/>
      </w:pPr>
      <w:r>
        <w:rPr>
          <w:rStyle w:val="FootnoteReference"/>
        </w:rPr>
        <w:footnoteRef/>
      </w:r>
      <w:r>
        <w:t xml:space="preserve"> </w:t>
      </w:r>
      <w:r w:rsidR="00730B3F" w:rsidRPr="00702004">
        <w:rPr>
          <w:i/>
        </w:rPr>
        <w:t>In the Matter of the Application of Duke Energy Ohio, Inc. for Approval of Proposed Reliability Standards</w:t>
      </w:r>
      <w:r w:rsidR="00730B3F">
        <w:t xml:space="preserve">, Case No. 09-757-EL-ESS, Opinion and Order of July 29, 2010, </w:t>
      </w:r>
      <w:r>
        <w:t>Opinion and Order (July 29, 2010</w:t>
      </w:r>
      <w:r w:rsidR="00730B3F">
        <w:t>)</w:t>
      </w:r>
      <w:r>
        <w:t xml:space="preserve"> at 4.</w:t>
      </w:r>
    </w:p>
  </w:footnote>
  <w:footnote w:id="20">
    <w:p w:rsidR="00A74B0D" w:rsidRDefault="00A74B0D" w:rsidP="008C1F07">
      <w:pPr>
        <w:pStyle w:val="FootnoteText"/>
        <w:spacing w:after="120"/>
      </w:pPr>
      <w:r>
        <w:rPr>
          <w:rStyle w:val="FootnoteReference"/>
        </w:rPr>
        <w:footnoteRef/>
      </w:r>
      <w:r>
        <w:t xml:space="preserve"> OCC Initial Comments at 12.</w:t>
      </w:r>
    </w:p>
  </w:footnote>
  <w:footnote w:id="21">
    <w:p w:rsidR="0080176B" w:rsidRDefault="0080176B" w:rsidP="008C1F07">
      <w:pPr>
        <w:pStyle w:val="FootnoteText"/>
        <w:spacing w:after="120"/>
      </w:pPr>
      <w:r>
        <w:rPr>
          <w:rStyle w:val="FootnoteReference"/>
        </w:rPr>
        <w:footnoteRef/>
      </w:r>
      <w:r>
        <w:t xml:space="preserve"> Amended Application at 4.</w:t>
      </w:r>
    </w:p>
  </w:footnote>
  <w:footnote w:id="22">
    <w:p w:rsidR="00DB2FFB" w:rsidRDefault="00DB2FFB" w:rsidP="008C1F07">
      <w:pPr>
        <w:pStyle w:val="FootnoteText"/>
        <w:spacing w:after="120"/>
      </w:pPr>
      <w:r>
        <w:rPr>
          <w:rStyle w:val="FootnoteReference"/>
        </w:rPr>
        <w:footnoteRef/>
      </w:r>
      <w:r>
        <w:t xml:space="preserve"> Case </w:t>
      </w:r>
      <w:r w:rsidR="0029597F">
        <w:t xml:space="preserve">No. </w:t>
      </w:r>
      <w:r>
        <w:t>09-757-EL-ESS, Application (August 28, 2009 at 5).</w:t>
      </w:r>
    </w:p>
  </w:footnote>
  <w:footnote w:id="23">
    <w:p w:rsidR="00A74B0D" w:rsidRDefault="00A74B0D" w:rsidP="008C1F07">
      <w:pPr>
        <w:pStyle w:val="FootnoteText"/>
        <w:spacing w:after="120"/>
      </w:pPr>
      <w:r>
        <w:rPr>
          <w:rStyle w:val="FootnoteReference"/>
        </w:rPr>
        <w:footnoteRef/>
      </w:r>
      <w:r>
        <w:t xml:space="preserve"> PUCO Staff Initial Comments at 6-7</w:t>
      </w:r>
      <w:r w:rsidR="0087474C">
        <w:t>.</w:t>
      </w:r>
    </w:p>
  </w:footnote>
  <w:footnote w:id="24">
    <w:p w:rsidR="00420C8B" w:rsidRDefault="00420C8B" w:rsidP="00420C8B">
      <w:pPr>
        <w:pStyle w:val="FootnoteText"/>
        <w:spacing w:after="120"/>
      </w:pPr>
      <w:r>
        <w:rPr>
          <w:rStyle w:val="FootnoteReference"/>
        </w:rPr>
        <w:footnoteRef/>
      </w:r>
      <w:r>
        <w:t xml:space="preserve"> PUCO Staff Comments at 5.</w:t>
      </w:r>
    </w:p>
  </w:footnote>
  <w:footnote w:id="25">
    <w:p w:rsidR="00420C8B" w:rsidRDefault="00420C8B" w:rsidP="0087474C">
      <w:pPr>
        <w:pStyle w:val="FootnoteText"/>
        <w:spacing w:after="120"/>
      </w:pPr>
      <w:r>
        <w:rPr>
          <w:rStyle w:val="FootnoteReference"/>
        </w:rPr>
        <w:footnoteRef/>
      </w:r>
      <w:r>
        <w:t xml:space="preserve"> Ohio Adm. Code 4901:1-10-10(B)(4)(a).</w:t>
      </w:r>
    </w:p>
  </w:footnote>
  <w:footnote w:id="26">
    <w:p w:rsidR="00420C8B" w:rsidRDefault="00420C8B" w:rsidP="0087474C">
      <w:pPr>
        <w:pStyle w:val="FootnoteText"/>
        <w:spacing w:after="120"/>
      </w:pPr>
      <w:r>
        <w:rPr>
          <w:rStyle w:val="FootnoteReference"/>
        </w:rPr>
        <w:footnoteRef/>
      </w:r>
      <w:r>
        <w:t xml:space="preserve"> OCC Initial Comments at 12.</w:t>
      </w:r>
    </w:p>
  </w:footnote>
  <w:footnote w:id="27">
    <w:p w:rsidR="00395169" w:rsidRDefault="00395169" w:rsidP="0087474C">
      <w:pPr>
        <w:pStyle w:val="FootnoteText"/>
        <w:spacing w:after="120"/>
      </w:pPr>
      <w:r>
        <w:rPr>
          <w:rStyle w:val="FootnoteReference"/>
        </w:rPr>
        <w:footnoteRef/>
      </w:r>
      <w:r>
        <w:t xml:space="preserve"> PUCO Staff Comments at 1.</w:t>
      </w:r>
    </w:p>
  </w:footnote>
  <w:footnote w:id="28">
    <w:p w:rsidR="00E11D76" w:rsidRDefault="00E11D76" w:rsidP="0087474C">
      <w:pPr>
        <w:pStyle w:val="FootnoteText"/>
        <w:spacing w:after="120"/>
      </w:pPr>
      <w:r>
        <w:rPr>
          <w:rStyle w:val="FootnoteReference"/>
        </w:rPr>
        <w:footnoteRef/>
      </w:r>
      <w:r>
        <w:t xml:space="preserve"> Amended Application at 2.</w:t>
      </w:r>
    </w:p>
  </w:footnote>
  <w:footnote w:id="29">
    <w:p w:rsidR="00E11D76" w:rsidRDefault="00E11D76" w:rsidP="0087474C">
      <w:pPr>
        <w:pStyle w:val="FootnoteText"/>
        <w:spacing w:after="120"/>
      </w:pPr>
      <w:r>
        <w:rPr>
          <w:rStyle w:val="FootnoteReference"/>
        </w:rPr>
        <w:footnoteRef/>
      </w:r>
      <w:r>
        <w:t xml:space="preserve"> Id.</w:t>
      </w:r>
    </w:p>
  </w:footnote>
  <w:footnote w:id="30">
    <w:p w:rsidR="00E11D76" w:rsidRDefault="00E11D76" w:rsidP="0087474C">
      <w:pPr>
        <w:pStyle w:val="FootnoteText"/>
        <w:spacing w:after="120"/>
      </w:pPr>
      <w:r>
        <w:rPr>
          <w:rStyle w:val="FootnoteReference"/>
        </w:rPr>
        <w:footnoteRef/>
      </w:r>
      <w:r>
        <w:t xml:space="preserve"> OCC Initial Comments at 11.</w:t>
      </w:r>
    </w:p>
  </w:footnote>
  <w:footnote w:id="31">
    <w:p w:rsidR="0064162C" w:rsidRDefault="0064162C" w:rsidP="008C1F07">
      <w:pPr>
        <w:pStyle w:val="FootnoteText"/>
        <w:spacing w:after="120"/>
      </w:pPr>
      <w:r>
        <w:rPr>
          <w:rStyle w:val="FootnoteReference"/>
        </w:rPr>
        <w:footnoteRef/>
      </w:r>
      <w:r>
        <w:t xml:space="preserve"> OCC Initial Comments at 10-11.</w:t>
      </w:r>
    </w:p>
  </w:footnote>
  <w:footnote w:id="32">
    <w:p w:rsidR="00E11D76" w:rsidRDefault="00E11D76" w:rsidP="008C1F07">
      <w:pPr>
        <w:pStyle w:val="FootnoteText"/>
        <w:spacing w:after="120"/>
      </w:pPr>
      <w:r>
        <w:rPr>
          <w:rStyle w:val="FootnoteReference"/>
        </w:rPr>
        <w:footnoteRef/>
      </w:r>
      <w:r>
        <w:t xml:space="preserve"> PUCO Staff Comments at 2.</w:t>
      </w:r>
    </w:p>
  </w:footnote>
  <w:footnote w:id="33">
    <w:p w:rsidR="000E480B" w:rsidRDefault="000E480B" w:rsidP="008C1F07">
      <w:pPr>
        <w:pStyle w:val="FootnoteText"/>
        <w:spacing w:after="120"/>
      </w:pPr>
      <w:r>
        <w:rPr>
          <w:rStyle w:val="FootnoteReference"/>
        </w:rPr>
        <w:footnoteRef/>
      </w:r>
      <w:r>
        <w:t xml:space="preserve"> OCC Initial Comments at 6.</w:t>
      </w:r>
    </w:p>
  </w:footnote>
  <w:footnote w:id="34">
    <w:p w:rsidR="000E480B" w:rsidRDefault="000E480B" w:rsidP="008C1F07">
      <w:pPr>
        <w:pStyle w:val="FootnoteText"/>
        <w:spacing w:after="120"/>
      </w:pPr>
      <w:r>
        <w:rPr>
          <w:rStyle w:val="FootnoteReference"/>
        </w:rPr>
        <w:footnoteRef/>
      </w:r>
      <w:r>
        <w:t xml:space="preserve"> OCC Initial Comments at 7.</w:t>
      </w:r>
    </w:p>
  </w:footnote>
  <w:footnote w:id="35">
    <w:p w:rsidR="00E11D76" w:rsidRDefault="00E11D76" w:rsidP="008C1F07">
      <w:pPr>
        <w:pStyle w:val="FootnoteText"/>
        <w:spacing w:after="120"/>
      </w:pPr>
      <w:r>
        <w:rPr>
          <w:rStyle w:val="FootnoteReference"/>
        </w:rPr>
        <w:footnoteRef/>
      </w:r>
      <w:r>
        <w:t xml:space="preserve"> OCC Initial Comments at 7.</w:t>
      </w:r>
    </w:p>
  </w:footnote>
  <w:footnote w:id="36">
    <w:p w:rsidR="00E11D76" w:rsidRDefault="00E11D76" w:rsidP="008C1F07">
      <w:pPr>
        <w:pStyle w:val="FootnoteText"/>
        <w:spacing w:after="120"/>
      </w:pPr>
      <w:r>
        <w:rPr>
          <w:rStyle w:val="FootnoteReference"/>
        </w:rPr>
        <w:footnoteRef/>
      </w:r>
      <w:r>
        <w:t xml:space="preserve"> OCC Initial Comments at 8.</w:t>
      </w:r>
    </w:p>
  </w:footnote>
  <w:footnote w:id="37">
    <w:p w:rsidR="00E217AE" w:rsidRDefault="00E217AE" w:rsidP="008C1F07">
      <w:pPr>
        <w:pStyle w:val="FootnoteText"/>
        <w:spacing w:after="120"/>
      </w:pPr>
      <w:r>
        <w:rPr>
          <w:rStyle w:val="FootnoteReference"/>
        </w:rPr>
        <w:footnoteRef/>
      </w:r>
      <w:r>
        <w:t xml:space="preserve"> A hearing is required to be held if a party requests it, as per the terms of the PUCO-approved Stipulation at Case No. 09-757-EL-ESS</w:t>
      </w:r>
      <w:r w:rsidR="00FB5869">
        <w:t xml:space="preserve">.  </w:t>
      </w:r>
      <w:r w:rsidR="00FB5869" w:rsidRPr="00702004">
        <w:rPr>
          <w:i/>
        </w:rPr>
        <w:t>In the Matter of the Application of Duke Energy Ohio, Inc. for Approval of Proposed Reliability Standards</w:t>
      </w:r>
      <w:r w:rsidR="00FB5869">
        <w:t>, Case No. 09-757-EL-ESS, Opinion and Order of July 29, 2010 at 5</w:t>
      </w:r>
      <w:r w:rsidR="00CE50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99" w:rsidRDefault="00C5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99" w:rsidRDefault="00C55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99" w:rsidRDefault="00C5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548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460A4"/>
    <w:multiLevelType w:val="hybridMultilevel"/>
    <w:tmpl w:val="E4CC2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387"/>
    <w:rsid w:val="0000229A"/>
    <w:rsid w:val="0000300F"/>
    <w:rsid w:val="000072AB"/>
    <w:rsid w:val="00010D0B"/>
    <w:rsid w:val="00012047"/>
    <w:rsid w:val="00017189"/>
    <w:rsid w:val="00017545"/>
    <w:rsid w:val="0002591D"/>
    <w:rsid w:val="00035155"/>
    <w:rsid w:val="0005220B"/>
    <w:rsid w:val="000610A1"/>
    <w:rsid w:val="000757BC"/>
    <w:rsid w:val="00090ECB"/>
    <w:rsid w:val="000A0471"/>
    <w:rsid w:val="000B04EA"/>
    <w:rsid w:val="000B3707"/>
    <w:rsid w:val="000B6115"/>
    <w:rsid w:val="000B7D46"/>
    <w:rsid w:val="000C0FA4"/>
    <w:rsid w:val="000C2FD2"/>
    <w:rsid w:val="000C56B9"/>
    <w:rsid w:val="000D090D"/>
    <w:rsid w:val="000E0E17"/>
    <w:rsid w:val="000E4214"/>
    <w:rsid w:val="000E480B"/>
    <w:rsid w:val="000F5C8A"/>
    <w:rsid w:val="000F741F"/>
    <w:rsid w:val="00100180"/>
    <w:rsid w:val="0010763E"/>
    <w:rsid w:val="001154FD"/>
    <w:rsid w:val="001159E3"/>
    <w:rsid w:val="0012391A"/>
    <w:rsid w:val="0012712F"/>
    <w:rsid w:val="00136945"/>
    <w:rsid w:val="00140A08"/>
    <w:rsid w:val="00160221"/>
    <w:rsid w:val="00161A91"/>
    <w:rsid w:val="00163998"/>
    <w:rsid w:val="00166CBF"/>
    <w:rsid w:val="001711F5"/>
    <w:rsid w:val="00182C45"/>
    <w:rsid w:val="00182ED1"/>
    <w:rsid w:val="00183FC7"/>
    <w:rsid w:val="001948A4"/>
    <w:rsid w:val="00195C0D"/>
    <w:rsid w:val="00196860"/>
    <w:rsid w:val="001977C7"/>
    <w:rsid w:val="001A1273"/>
    <w:rsid w:val="001A5FE3"/>
    <w:rsid w:val="001A764B"/>
    <w:rsid w:val="001B0965"/>
    <w:rsid w:val="001B3134"/>
    <w:rsid w:val="001B3F79"/>
    <w:rsid w:val="001C23BF"/>
    <w:rsid w:val="001C26F7"/>
    <w:rsid w:val="001C31BE"/>
    <w:rsid w:val="001D7262"/>
    <w:rsid w:val="001D79B2"/>
    <w:rsid w:val="001E27B6"/>
    <w:rsid w:val="001E5956"/>
    <w:rsid w:val="001F3E74"/>
    <w:rsid w:val="002075B3"/>
    <w:rsid w:val="00210381"/>
    <w:rsid w:val="002147C6"/>
    <w:rsid w:val="00216378"/>
    <w:rsid w:val="00236013"/>
    <w:rsid w:val="002514CA"/>
    <w:rsid w:val="00251C83"/>
    <w:rsid w:val="00256CE7"/>
    <w:rsid w:val="00265437"/>
    <w:rsid w:val="00270AB6"/>
    <w:rsid w:val="00276C26"/>
    <w:rsid w:val="00280ADB"/>
    <w:rsid w:val="00284EA7"/>
    <w:rsid w:val="002851EA"/>
    <w:rsid w:val="002861B8"/>
    <w:rsid w:val="00290D6D"/>
    <w:rsid w:val="002939E5"/>
    <w:rsid w:val="00294C97"/>
    <w:rsid w:val="00294CBF"/>
    <w:rsid w:val="0029597F"/>
    <w:rsid w:val="00296ABC"/>
    <w:rsid w:val="002A0B74"/>
    <w:rsid w:val="002A2B6C"/>
    <w:rsid w:val="002A6C0A"/>
    <w:rsid w:val="002B2065"/>
    <w:rsid w:val="002B6642"/>
    <w:rsid w:val="002C1BDC"/>
    <w:rsid w:val="002C7C27"/>
    <w:rsid w:val="002D183B"/>
    <w:rsid w:val="002D23EF"/>
    <w:rsid w:val="002D3ED0"/>
    <w:rsid w:val="002D4242"/>
    <w:rsid w:val="002D4A6A"/>
    <w:rsid w:val="002E2E0C"/>
    <w:rsid w:val="002E4414"/>
    <w:rsid w:val="002E78BD"/>
    <w:rsid w:val="002F1D3E"/>
    <w:rsid w:val="002F24E3"/>
    <w:rsid w:val="002F59EB"/>
    <w:rsid w:val="002F5B75"/>
    <w:rsid w:val="00304466"/>
    <w:rsid w:val="00307066"/>
    <w:rsid w:val="00310E1E"/>
    <w:rsid w:val="003123F4"/>
    <w:rsid w:val="00313EFA"/>
    <w:rsid w:val="00315C5E"/>
    <w:rsid w:val="00320DAD"/>
    <w:rsid w:val="00327210"/>
    <w:rsid w:val="00333792"/>
    <w:rsid w:val="00333D0D"/>
    <w:rsid w:val="00336F05"/>
    <w:rsid w:val="0033734C"/>
    <w:rsid w:val="003510FD"/>
    <w:rsid w:val="003516DE"/>
    <w:rsid w:val="00352378"/>
    <w:rsid w:val="003560E0"/>
    <w:rsid w:val="00370817"/>
    <w:rsid w:val="00372A4A"/>
    <w:rsid w:val="003730AF"/>
    <w:rsid w:val="0037696E"/>
    <w:rsid w:val="0038360F"/>
    <w:rsid w:val="00392A36"/>
    <w:rsid w:val="00393BEE"/>
    <w:rsid w:val="00395169"/>
    <w:rsid w:val="00395565"/>
    <w:rsid w:val="003A2683"/>
    <w:rsid w:val="003B24E7"/>
    <w:rsid w:val="003B6DC8"/>
    <w:rsid w:val="003C1E81"/>
    <w:rsid w:val="003C2812"/>
    <w:rsid w:val="003C6CF2"/>
    <w:rsid w:val="003D3658"/>
    <w:rsid w:val="003D3849"/>
    <w:rsid w:val="003E0316"/>
    <w:rsid w:val="003E24EF"/>
    <w:rsid w:val="003E3302"/>
    <w:rsid w:val="003E33F0"/>
    <w:rsid w:val="003E7624"/>
    <w:rsid w:val="003F7F4D"/>
    <w:rsid w:val="00401825"/>
    <w:rsid w:val="00415C3E"/>
    <w:rsid w:val="00420C8B"/>
    <w:rsid w:val="00422E0C"/>
    <w:rsid w:val="0042421C"/>
    <w:rsid w:val="004253DD"/>
    <w:rsid w:val="00432B7A"/>
    <w:rsid w:val="004331C4"/>
    <w:rsid w:val="00440D96"/>
    <w:rsid w:val="00441022"/>
    <w:rsid w:val="00443BCE"/>
    <w:rsid w:val="004470A7"/>
    <w:rsid w:val="00453D12"/>
    <w:rsid w:val="00460EEB"/>
    <w:rsid w:val="00461956"/>
    <w:rsid w:val="00465D6B"/>
    <w:rsid w:val="00470BCB"/>
    <w:rsid w:val="00476C67"/>
    <w:rsid w:val="00480884"/>
    <w:rsid w:val="00482033"/>
    <w:rsid w:val="00485A40"/>
    <w:rsid w:val="00493989"/>
    <w:rsid w:val="00497E7A"/>
    <w:rsid w:val="004B4964"/>
    <w:rsid w:val="004C1ACC"/>
    <w:rsid w:val="004C60FE"/>
    <w:rsid w:val="004C6319"/>
    <w:rsid w:val="004D5133"/>
    <w:rsid w:val="004E0DE8"/>
    <w:rsid w:val="004E4B95"/>
    <w:rsid w:val="004F47A7"/>
    <w:rsid w:val="005047E2"/>
    <w:rsid w:val="00505F1D"/>
    <w:rsid w:val="00507748"/>
    <w:rsid w:val="005144BE"/>
    <w:rsid w:val="0051514E"/>
    <w:rsid w:val="005154F3"/>
    <w:rsid w:val="005161DC"/>
    <w:rsid w:val="00517CF4"/>
    <w:rsid w:val="0053167B"/>
    <w:rsid w:val="00534EAC"/>
    <w:rsid w:val="00534F4B"/>
    <w:rsid w:val="00541EFF"/>
    <w:rsid w:val="0054482D"/>
    <w:rsid w:val="005565F9"/>
    <w:rsid w:val="0057599B"/>
    <w:rsid w:val="005A00B8"/>
    <w:rsid w:val="005A0214"/>
    <w:rsid w:val="005A5C0A"/>
    <w:rsid w:val="005A7C1B"/>
    <w:rsid w:val="005B0E7B"/>
    <w:rsid w:val="005B6311"/>
    <w:rsid w:val="005C0FD6"/>
    <w:rsid w:val="005C60E8"/>
    <w:rsid w:val="005D1F3C"/>
    <w:rsid w:val="005D2279"/>
    <w:rsid w:val="005D420A"/>
    <w:rsid w:val="005E050E"/>
    <w:rsid w:val="005E2892"/>
    <w:rsid w:val="005F0DAE"/>
    <w:rsid w:val="005F23C3"/>
    <w:rsid w:val="005F3F3D"/>
    <w:rsid w:val="005F52A8"/>
    <w:rsid w:val="00600B29"/>
    <w:rsid w:val="00613030"/>
    <w:rsid w:val="006248AB"/>
    <w:rsid w:val="00631949"/>
    <w:rsid w:val="00635754"/>
    <w:rsid w:val="00640835"/>
    <w:rsid w:val="0064162C"/>
    <w:rsid w:val="0064722F"/>
    <w:rsid w:val="006516AC"/>
    <w:rsid w:val="00651C96"/>
    <w:rsid w:val="00653C71"/>
    <w:rsid w:val="006540DC"/>
    <w:rsid w:val="006615BD"/>
    <w:rsid w:val="00662F90"/>
    <w:rsid w:val="0066463E"/>
    <w:rsid w:val="00667580"/>
    <w:rsid w:val="00677E8F"/>
    <w:rsid w:val="0068579B"/>
    <w:rsid w:val="0069157B"/>
    <w:rsid w:val="006B27AE"/>
    <w:rsid w:val="006B4155"/>
    <w:rsid w:val="006B669C"/>
    <w:rsid w:val="006B7C28"/>
    <w:rsid w:val="006C3AB6"/>
    <w:rsid w:val="006C5A47"/>
    <w:rsid w:val="006D07BE"/>
    <w:rsid w:val="006D4E8A"/>
    <w:rsid w:val="00702004"/>
    <w:rsid w:val="0070280E"/>
    <w:rsid w:val="00711722"/>
    <w:rsid w:val="00723837"/>
    <w:rsid w:val="00727C38"/>
    <w:rsid w:val="00730B3F"/>
    <w:rsid w:val="00731FA1"/>
    <w:rsid w:val="00733D4F"/>
    <w:rsid w:val="00745C14"/>
    <w:rsid w:val="00751F0D"/>
    <w:rsid w:val="007549CE"/>
    <w:rsid w:val="007634F4"/>
    <w:rsid w:val="00764124"/>
    <w:rsid w:val="00767489"/>
    <w:rsid w:val="00771102"/>
    <w:rsid w:val="0077189D"/>
    <w:rsid w:val="007810DE"/>
    <w:rsid w:val="007826C2"/>
    <w:rsid w:val="00794A3C"/>
    <w:rsid w:val="00795BB3"/>
    <w:rsid w:val="0079741C"/>
    <w:rsid w:val="007A1400"/>
    <w:rsid w:val="007A6874"/>
    <w:rsid w:val="007B2A39"/>
    <w:rsid w:val="007B7CAA"/>
    <w:rsid w:val="007C4684"/>
    <w:rsid w:val="007D09F6"/>
    <w:rsid w:val="007D0CC2"/>
    <w:rsid w:val="007D2AEB"/>
    <w:rsid w:val="007E4C3D"/>
    <w:rsid w:val="007E7684"/>
    <w:rsid w:val="007F5D23"/>
    <w:rsid w:val="007F6163"/>
    <w:rsid w:val="0080176B"/>
    <w:rsid w:val="008018FD"/>
    <w:rsid w:val="00801C44"/>
    <w:rsid w:val="008067C1"/>
    <w:rsid w:val="00820E5D"/>
    <w:rsid w:val="00821A74"/>
    <w:rsid w:val="008261BD"/>
    <w:rsid w:val="0083037C"/>
    <w:rsid w:val="00830D0E"/>
    <w:rsid w:val="0083493F"/>
    <w:rsid w:val="00851E5F"/>
    <w:rsid w:val="00855C4D"/>
    <w:rsid w:val="00856B89"/>
    <w:rsid w:val="00860538"/>
    <w:rsid w:val="0086263D"/>
    <w:rsid w:val="00863901"/>
    <w:rsid w:val="00873626"/>
    <w:rsid w:val="0087474C"/>
    <w:rsid w:val="008749B4"/>
    <w:rsid w:val="008A0F5E"/>
    <w:rsid w:val="008A2A82"/>
    <w:rsid w:val="008B2A6C"/>
    <w:rsid w:val="008B7ED9"/>
    <w:rsid w:val="008C1F07"/>
    <w:rsid w:val="008C2387"/>
    <w:rsid w:val="008C3331"/>
    <w:rsid w:val="008C37CA"/>
    <w:rsid w:val="008C5543"/>
    <w:rsid w:val="008D13E8"/>
    <w:rsid w:val="008D2CF1"/>
    <w:rsid w:val="008D608A"/>
    <w:rsid w:val="008D6E6A"/>
    <w:rsid w:val="008E1508"/>
    <w:rsid w:val="008E1D13"/>
    <w:rsid w:val="008E7ACE"/>
    <w:rsid w:val="008F1E4B"/>
    <w:rsid w:val="008F4B9B"/>
    <w:rsid w:val="00900BD1"/>
    <w:rsid w:val="00905CC5"/>
    <w:rsid w:val="009064C6"/>
    <w:rsid w:val="0090725B"/>
    <w:rsid w:val="0091287F"/>
    <w:rsid w:val="00915237"/>
    <w:rsid w:val="00915AEA"/>
    <w:rsid w:val="00920AFB"/>
    <w:rsid w:val="009227A8"/>
    <w:rsid w:val="009246FB"/>
    <w:rsid w:val="00941702"/>
    <w:rsid w:val="00942167"/>
    <w:rsid w:val="00944E75"/>
    <w:rsid w:val="00947C5E"/>
    <w:rsid w:val="0095322C"/>
    <w:rsid w:val="00957F0A"/>
    <w:rsid w:val="00970A21"/>
    <w:rsid w:val="00980D44"/>
    <w:rsid w:val="00982C44"/>
    <w:rsid w:val="00983839"/>
    <w:rsid w:val="00987B58"/>
    <w:rsid w:val="00992BEF"/>
    <w:rsid w:val="00997216"/>
    <w:rsid w:val="009E0374"/>
    <w:rsid w:val="009E4FE4"/>
    <w:rsid w:val="009E568B"/>
    <w:rsid w:val="009E6074"/>
    <w:rsid w:val="009E7E9B"/>
    <w:rsid w:val="009F2CE7"/>
    <w:rsid w:val="009F5804"/>
    <w:rsid w:val="009F6F86"/>
    <w:rsid w:val="00A027F4"/>
    <w:rsid w:val="00A03525"/>
    <w:rsid w:val="00A06260"/>
    <w:rsid w:val="00A10227"/>
    <w:rsid w:val="00A11698"/>
    <w:rsid w:val="00A1456B"/>
    <w:rsid w:val="00A207FA"/>
    <w:rsid w:val="00A2543D"/>
    <w:rsid w:val="00A25BB5"/>
    <w:rsid w:val="00A33389"/>
    <w:rsid w:val="00A40DFE"/>
    <w:rsid w:val="00A44765"/>
    <w:rsid w:val="00A51969"/>
    <w:rsid w:val="00A535C3"/>
    <w:rsid w:val="00A62079"/>
    <w:rsid w:val="00A658C9"/>
    <w:rsid w:val="00A66223"/>
    <w:rsid w:val="00A74B0D"/>
    <w:rsid w:val="00A76AA3"/>
    <w:rsid w:val="00A82ADC"/>
    <w:rsid w:val="00A8432C"/>
    <w:rsid w:val="00A84A5A"/>
    <w:rsid w:val="00A86069"/>
    <w:rsid w:val="00A87038"/>
    <w:rsid w:val="00A9006F"/>
    <w:rsid w:val="00A9569A"/>
    <w:rsid w:val="00AA13A6"/>
    <w:rsid w:val="00AA4A44"/>
    <w:rsid w:val="00AA4CB6"/>
    <w:rsid w:val="00AA6811"/>
    <w:rsid w:val="00AB0A87"/>
    <w:rsid w:val="00AB325F"/>
    <w:rsid w:val="00AB6630"/>
    <w:rsid w:val="00AD038E"/>
    <w:rsid w:val="00AD0A83"/>
    <w:rsid w:val="00AE24D6"/>
    <w:rsid w:val="00AE6058"/>
    <w:rsid w:val="00AF14B4"/>
    <w:rsid w:val="00AF3060"/>
    <w:rsid w:val="00AF616D"/>
    <w:rsid w:val="00B00A88"/>
    <w:rsid w:val="00B015DF"/>
    <w:rsid w:val="00B16827"/>
    <w:rsid w:val="00B17708"/>
    <w:rsid w:val="00B179EA"/>
    <w:rsid w:val="00B256B2"/>
    <w:rsid w:val="00B2651C"/>
    <w:rsid w:val="00B265BD"/>
    <w:rsid w:val="00B321B6"/>
    <w:rsid w:val="00B33C79"/>
    <w:rsid w:val="00B40CD8"/>
    <w:rsid w:val="00B433D4"/>
    <w:rsid w:val="00B51545"/>
    <w:rsid w:val="00B7016D"/>
    <w:rsid w:val="00B7499F"/>
    <w:rsid w:val="00B819E8"/>
    <w:rsid w:val="00B90909"/>
    <w:rsid w:val="00B93551"/>
    <w:rsid w:val="00BA5720"/>
    <w:rsid w:val="00BA5DF6"/>
    <w:rsid w:val="00BB0BB0"/>
    <w:rsid w:val="00BB6609"/>
    <w:rsid w:val="00BB6D8F"/>
    <w:rsid w:val="00BC05BE"/>
    <w:rsid w:val="00BC1042"/>
    <w:rsid w:val="00BC6ACB"/>
    <w:rsid w:val="00BD4A0F"/>
    <w:rsid w:val="00BF0F28"/>
    <w:rsid w:val="00BF4246"/>
    <w:rsid w:val="00C04DB1"/>
    <w:rsid w:val="00C05940"/>
    <w:rsid w:val="00C06C9D"/>
    <w:rsid w:val="00C11557"/>
    <w:rsid w:val="00C16868"/>
    <w:rsid w:val="00C16A24"/>
    <w:rsid w:val="00C337E7"/>
    <w:rsid w:val="00C3687E"/>
    <w:rsid w:val="00C50F71"/>
    <w:rsid w:val="00C53073"/>
    <w:rsid w:val="00C55277"/>
    <w:rsid w:val="00C55899"/>
    <w:rsid w:val="00C56937"/>
    <w:rsid w:val="00C61BFC"/>
    <w:rsid w:val="00C7705B"/>
    <w:rsid w:val="00C87EC2"/>
    <w:rsid w:val="00C90BF8"/>
    <w:rsid w:val="00C9666B"/>
    <w:rsid w:val="00C96A5F"/>
    <w:rsid w:val="00CA0723"/>
    <w:rsid w:val="00CA3D67"/>
    <w:rsid w:val="00CA3E1F"/>
    <w:rsid w:val="00CA54C4"/>
    <w:rsid w:val="00CA550D"/>
    <w:rsid w:val="00CA6283"/>
    <w:rsid w:val="00CB0BC8"/>
    <w:rsid w:val="00CB1AF8"/>
    <w:rsid w:val="00CC58E1"/>
    <w:rsid w:val="00CD050D"/>
    <w:rsid w:val="00CD1F1C"/>
    <w:rsid w:val="00CD234C"/>
    <w:rsid w:val="00CE46E3"/>
    <w:rsid w:val="00CE5009"/>
    <w:rsid w:val="00CE5060"/>
    <w:rsid w:val="00CE7378"/>
    <w:rsid w:val="00CE773B"/>
    <w:rsid w:val="00CF1A09"/>
    <w:rsid w:val="00D0476B"/>
    <w:rsid w:val="00D1367B"/>
    <w:rsid w:val="00D22222"/>
    <w:rsid w:val="00D22556"/>
    <w:rsid w:val="00D22A06"/>
    <w:rsid w:val="00D24304"/>
    <w:rsid w:val="00D33288"/>
    <w:rsid w:val="00D33970"/>
    <w:rsid w:val="00D366E5"/>
    <w:rsid w:val="00D40C95"/>
    <w:rsid w:val="00D5544E"/>
    <w:rsid w:val="00D62527"/>
    <w:rsid w:val="00D6418C"/>
    <w:rsid w:val="00D65364"/>
    <w:rsid w:val="00D6660B"/>
    <w:rsid w:val="00D675A0"/>
    <w:rsid w:val="00D74920"/>
    <w:rsid w:val="00D81300"/>
    <w:rsid w:val="00D813D1"/>
    <w:rsid w:val="00D901B5"/>
    <w:rsid w:val="00D93127"/>
    <w:rsid w:val="00D9782B"/>
    <w:rsid w:val="00DA02FE"/>
    <w:rsid w:val="00DA0A7D"/>
    <w:rsid w:val="00DA36FB"/>
    <w:rsid w:val="00DA4856"/>
    <w:rsid w:val="00DA727F"/>
    <w:rsid w:val="00DB0058"/>
    <w:rsid w:val="00DB00F1"/>
    <w:rsid w:val="00DB2FFB"/>
    <w:rsid w:val="00DB3600"/>
    <w:rsid w:val="00DB4B63"/>
    <w:rsid w:val="00DC33EB"/>
    <w:rsid w:val="00DC4767"/>
    <w:rsid w:val="00DD114F"/>
    <w:rsid w:val="00DD34E1"/>
    <w:rsid w:val="00DD3AFC"/>
    <w:rsid w:val="00DD613D"/>
    <w:rsid w:val="00DF16F3"/>
    <w:rsid w:val="00DF615D"/>
    <w:rsid w:val="00DF69FA"/>
    <w:rsid w:val="00E110BA"/>
    <w:rsid w:val="00E11D76"/>
    <w:rsid w:val="00E12E65"/>
    <w:rsid w:val="00E135D3"/>
    <w:rsid w:val="00E217AE"/>
    <w:rsid w:val="00E2542F"/>
    <w:rsid w:val="00E4172E"/>
    <w:rsid w:val="00E4288A"/>
    <w:rsid w:val="00E4588C"/>
    <w:rsid w:val="00E578D9"/>
    <w:rsid w:val="00E63423"/>
    <w:rsid w:val="00E6430E"/>
    <w:rsid w:val="00E72470"/>
    <w:rsid w:val="00E749EA"/>
    <w:rsid w:val="00E87CBD"/>
    <w:rsid w:val="00ED728F"/>
    <w:rsid w:val="00EE40FD"/>
    <w:rsid w:val="00EF2E14"/>
    <w:rsid w:val="00EF336C"/>
    <w:rsid w:val="00F00D37"/>
    <w:rsid w:val="00F03298"/>
    <w:rsid w:val="00F10D5F"/>
    <w:rsid w:val="00F37B4E"/>
    <w:rsid w:val="00F41F0B"/>
    <w:rsid w:val="00F43118"/>
    <w:rsid w:val="00F5010A"/>
    <w:rsid w:val="00F60B81"/>
    <w:rsid w:val="00F70B83"/>
    <w:rsid w:val="00F74531"/>
    <w:rsid w:val="00F75F89"/>
    <w:rsid w:val="00F76984"/>
    <w:rsid w:val="00F84329"/>
    <w:rsid w:val="00FA000E"/>
    <w:rsid w:val="00FA4721"/>
    <w:rsid w:val="00FB07DF"/>
    <w:rsid w:val="00FB5869"/>
    <w:rsid w:val="00FB6C40"/>
    <w:rsid w:val="00FD2549"/>
    <w:rsid w:val="00FE2AE9"/>
    <w:rsid w:val="00FF6CBE"/>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CBF"/>
    <w:rPr>
      <w:sz w:val="24"/>
    </w:rPr>
  </w:style>
  <w:style w:type="paragraph" w:styleId="Heading1">
    <w:name w:val="heading 1"/>
    <w:basedOn w:val="Normal"/>
    <w:next w:val="Normal"/>
    <w:autoRedefine/>
    <w:qFormat/>
    <w:rsid w:val="00D40C95"/>
    <w:pPr>
      <w:keepNext/>
      <w:spacing w:after="240"/>
      <w:ind w:left="720" w:hanging="720"/>
      <w:outlineLvl w:val="0"/>
    </w:pPr>
    <w:rPr>
      <w:rFonts w:ascii="Times New Roman Bold" w:hAnsi="Times New Roman Bold"/>
      <w:b/>
      <w:szCs w:val="24"/>
    </w:rPr>
  </w:style>
  <w:style w:type="paragraph" w:styleId="Heading2">
    <w:name w:val="heading 2"/>
    <w:basedOn w:val="Normal"/>
    <w:next w:val="Normal"/>
    <w:autoRedefine/>
    <w:qFormat/>
    <w:rsid w:val="00C55277"/>
    <w:pPr>
      <w:keepNext/>
      <w:tabs>
        <w:tab w:val="left" w:pos="4320"/>
      </w:tabs>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C55277"/>
    <w:pPr>
      <w:keepNext/>
      <w:spacing w:after="240"/>
      <w:ind w:left="2160" w:right="720" w:hanging="720"/>
      <w:outlineLvl w:val="2"/>
    </w:pPr>
    <w:rPr>
      <w:rFonts w:ascii="Times New Roman Bold" w:hAnsi="Times New Roman Bold"/>
      <w:b/>
      <w:bCs/>
    </w:rPr>
  </w:style>
  <w:style w:type="paragraph" w:styleId="Heading4">
    <w:name w:val="heading 4"/>
    <w:basedOn w:val="Normal"/>
    <w:next w:val="Normal"/>
    <w:link w:val="Heading4Char"/>
    <w:semiHidden/>
    <w:unhideWhenUsed/>
    <w:qFormat/>
    <w:rsid w:val="009F6F8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paragraph" w:styleId="ListParagraph">
    <w:name w:val="List Paragraph"/>
    <w:basedOn w:val="Normal"/>
    <w:uiPriority w:val="34"/>
    <w:qFormat/>
    <w:rsid w:val="008A2A82"/>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8A2A82"/>
  </w:style>
  <w:style w:type="character" w:customStyle="1" w:styleId="Heading4Char">
    <w:name w:val="Heading 4 Char"/>
    <w:link w:val="Heading4"/>
    <w:rsid w:val="009F6F86"/>
    <w:rPr>
      <w:rFonts w:ascii="Calibri" w:eastAsia="Times New Roman" w:hAnsi="Calibri" w:cs="Times New Roman"/>
      <w:b/>
      <w:bCs/>
      <w:sz w:val="28"/>
      <w:szCs w:val="28"/>
    </w:rPr>
  </w:style>
  <w:style w:type="character" w:customStyle="1" w:styleId="FooterChar">
    <w:name w:val="Footer Char"/>
    <w:link w:val="Footer"/>
    <w:uiPriority w:val="99"/>
    <w:rsid w:val="00D40C95"/>
  </w:style>
  <w:style w:type="paragraph" w:styleId="Revision">
    <w:name w:val="Revision"/>
    <w:hidden/>
    <w:uiPriority w:val="99"/>
    <w:semiHidden/>
    <w:rsid w:val="00915AEA"/>
    <w:rPr>
      <w:sz w:val="24"/>
    </w:rPr>
  </w:style>
  <w:style w:type="paragraph" w:styleId="TOC1">
    <w:name w:val="toc 1"/>
    <w:basedOn w:val="Normal"/>
    <w:next w:val="Normal"/>
    <w:autoRedefine/>
    <w:uiPriority w:val="39"/>
    <w:rsid w:val="001C26F7"/>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1C26F7"/>
    <w:pPr>
      <w:tabs>
        <w:tab w:val="left" w:pos="720"/>
        <w:tab w:val="left" w:pos="1440"/>
        <w:tab w:val="decimal" w:leader="dot" w:pos="8640"/>
      </w:tabs>
      <w:spacing w:after="240"/>
      <w:ind w:left="1440" w:hanging="720"/>
    </w:pPr>
  </w:style>
  <w:style w:type="paragraph" w:styleId="TOC3">
    <w:name w:val="toc 3"/>
    <w:basedOn w:val="Normal"/>
    <w:next w:val="Normal"/>
    <w:autoRedefine/>
    <w:uiPriority w:val="39"/>
    <w:rsid w:val="001C26F7"/>
    <w:pPr>
      <w:tabs>
        <w:tab w:val="left" w:pos="720"/>
        <w:tab w:val="left" w:pos="1440"/>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CBF"/>
    <w:rPr>
      <w:sz w:val="24"/>
    </w:rPr>
  </w:style>
  <w:style w:type="paragraph" w:styleId="Heading1">
    <w:name w:val="heading 1"/>
    <w:basedOn w:val="Normal"/>
    <w:next w:val="Normal"/>
    <w:autoRedefine/>
    <w:qFormat/>
    <w:rsid w:val="00D40C95"/>
    <w:pPr>
      <w:keepNext/>
      <w:spacing w:after="240"/>
      <w:ind w:left="720" w:hanging="720"/>
      <w:outlineLvl w:val="0"/>
    </w:pPr>
    <w:rPr>
      <w:rFonts w:ascii="Times New Roman Bold" w:hAnsi="Times New Roman Bold"/>
      <w:b/>
      <w:szCs w:val="24"/>
    </w:rPr>
  </w:style>
  <w:style w:type="paragraph" w:styleId="Heading2">
    <w:name w:val="heading 2"/>
    <w:basedOn w:val="Normal"/>
    <w:next w:val="Normal"/>
    <w:autoRedefine/>
    <w:qFormat/>
    <w:rsid w:val="00C55277"/>
    <w:pPr>
      <w:keepNext/>
      <w:tabs>
        <w:tab w:val="left" w:pos="4320"/>
      </w:tabs>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C55277"/>
    <w:pPr>
      <w:keepNext/>
      <w:spacing w:after="240"/>
      <w:ind w:left="2160" w:right="720" w:hanging="720"/>
      <w:outlineLvl w:val="2"/>
    </w:pPr>
    <w:rPr>
      <w:rFonts w:ascii="Times New Roman Bold" w:hAnsi="Times New Roman Bold"/>
      <w:b/>
      <w:bCs/>
    </w:rPr>
  </w:style>
  <w:style w:type="paragraph" w:styleId="Heading4">
    <w:name w:val="heading 4"/>
    <w:basedOn w:val="Normal"/>
    <w:next w:val="Normal"/>
    <w:link w:val="Heading4Char"/>
    <w:semiHidden/>
    <w:unhideWhenUsed/>
    <w:qFormat/>
    <w:rsid w:val="009F6F8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ColorfulShading-Accent11">
    <w:name w:val="Colorful Shading - Accent 11"/>
    <w:hidden/>
    <w:uiPriority w:val="99"/>
    <w:semiHidden/>
    <w:rPr>
      <w:sz w:val="24"/>
    </w:rPr>
  </w:style>
  <w:style w:type="paragraph" w:styleId="ListParagraph">
    <w:name w:val="List Paragraph"/>
    <w:basedOn w:val="Normal"/>
    <w:uiPriority w:val="34"/>
    <w:qFormat/>
    <w:rsid w:val="008A2A82"/>
    <w:pPr>
      <w:spacing w:after="200" w:line="276" w:lineRule="auto"/>
      <w:ind w:left="720"/>
      <w:contextualSpacing/>
    </w:pPr>
    <w:rPr>
      <w:rFonts w:ascii="Calibri" w:hAnsi="Calibri"/>
      <w:sz w:val="22"/>
      <w:szCs w:val="22"/>
    </w:rPr>
  </w:style>
  <w:style w:type="character" w:customStyle="1" w:styleId="FootnoteTextChar">
    <w:name w:val="Footnote Text Char"/>
    <w:link w:val="FootnoteText"/>
    <w:uiPriority w:val="99"/>
    <w:semiHidden/>
    <w:rsid w:val="008A2A82"/>
  </w:style>
  <w:style w:type="character" w:customStyle="1" w:styleId="Heading4Char">
    <w:name w:val="Heading 4 Char"/>
    <w:link w:val="Heading4"/>
    <w:rsid w:val="009F6F86"/>
    <w:rPr>
      <w:rFonts w:ascii="Calibri" w:eastAsia="Times New Roman" w:hAnsi="Calibri" w:cs="Times New Roman"/>
      <w:b/>
      <w:bCs/>
      <w:sz w:val="28"/>
      <w:szCs w:val="28"/>
    </w:rPr>
  </w:style>
  <w:style w:type="character" w:customStyle="1" w:styleId="FooterChar">
    <w:name w:val="Footer Char"/>
    <w:link w:val="Footer"/>
    <w:uiPriority w:val="99"/>
    <w:rsid w:val="00D40C95"/>
  </w:style>
  <w:style w:type="paragraph" w:styleId="Revision">
    <w:name w:val="Revision"/>
    <w:hidden/>
    <w:uiPriority w:val="99"/>
    <w:semiHidden/>
    <w:rsid w:val="00915AEA"/>
    <w:rPr>
      <w:sz w:val="24"/>
    </w:rPr>
  </w:style>
  <w:style w:type="paragraph" w:styleId="TOC1">
    <w:name w:val="toc 1"/>
    <w:basedOn w:val="Normal"/>
    <w:next w:val="Normal"/>
    <w:autoRedefine/>
    <w:uiPriority w:val="39"/>
    <w:rsid w:val="001C26F7"/>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1C26F7"/>
    <w:pPr>
      <w:tabs>
        <w:tab w:val="left" w:pos="720"/>
        <w:tab w:val="left" w:pos="1440"/>
        <w:tab w:val="decimal" w:leader="dot" w:pos="8640"/>
      </w:tabs>
      <w:spacing w:after="240"/>
      <w:ind w:left="1440" w:hanging="720"/>
    </w:pPr>
  </w:style>
  <w:style w:type="paragraph" w:styleId="TOC3">
    <w:name w:val="toc 3"/>
    <w:basedOn w:val="Normal"/>
    <w:next w:val="Normal"/>
    <w:autoRedefine/>
    <w:uiPriority w:val="39"/>
    <w:rsid w:val="001C26F7"/>
    <w:pPr>
      <w:tabs>
        <w:tab w:val="left" w:pos="720"/>
        <w:tab w:val="left" w:pos="1440"/>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tie.johnson@puc.state.oh.us" TargetMode="External"/><Relationship Id="rId3" Type="http://schemas.microsoft.com/office/2007/relationships/stylesWithEffects" Target="stylesWithEffects.xml"/><Relationship Id="rId21" Type="http://schemas.openxmlformats.org/officeDocument/2006/relationships/hyperlink" Target="mailto:Elizabeth.Watts@duke-energy.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homas.mcnamee@puc.state.oh.us" TargetMode="External"/><Relationship Id="rId2" Type="http://schemas.openxmlformats.org/officeDocument/2006/relationships/styles" Target="styles.xml"/><Relationship Id="rId16" Type="http://schemas.openxmlformats.org/officeDocument/2006/relationships/hyperlink" Target="mailto:Emund.Berger@occ.ohio.gov" TargetMode="External"/><Relationship Id="rId20" Type="http://schemas.openxmlformats.org/officeDocument/2006/relationships/hyperlink" Target="mailto:Amy.Spiller@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hristine.pirik@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dmund.Berger@occ.ohi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2793</Words>
  <Characters>15994</Characters>
  <Application>Microsoft Office Word</Application>
  <DocSecurity>0</DocSecurity>
  <Lines>359</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18823</CharactersWithSpaces>
  <SharedDoc>false</SharedDoc>
  <HyperlinkBase> </HyperlinkBase>
  <HLinks>
    <vt:vector size="96" baseType="variant">
      <vt:variant>
        <vt:i4>3866631</vt:i4>
      </vt:variant>
      <vt:variant>
        <vt:i4>75</vt:i4>
      </vt:variant>
      <vt:variant>
        <vt:i4>0</vt:i4>
      </vt:variant>
      <vt:variant>
        <vt:i4>5</vt:i4>
      </vt:variant>
      <vt:variant>
        <vt:lpwstr>mailto:Elizabeth.Watts@duke-energy.com</vt:lpwstr>
      </vt:variant>
      <vt:variant>
        <vt:lpwstr/>
      </vt:variant>
      <vt:variant>
        <vt:i4>3604486</vt:i4>
      </vt:variant>
      <vt:variant>
        <vt:i4>72</vt:i4>
      </vt:variant>
      <vt:variant>
        <vt:i4>0</vt:i4>
      </vt:variant>
      <vt:variant>
        <vt:i4>5</vt:i4>
      </vt:variant>
      <vt:variant>
        <vt:lpwstr>mailto:Amy.Spiller@duke-energy.com</vt:lpwstr>
      </vt:variant>
      <vt:variant>
        <vt:lpwstr/>
      </vt:variant>
      <vt:variant>
        <vt:i4>3342423</vt:i4>
      </vt:variant>
      <vt:variant>
        <vt:i4>69</vt:i4>
      </vt:variant>
      <vt:variant>
        <vt:i4>0</vt:i4>
      </vt:variant>
      <vt:variant>
        <vt:i4>5</vt:i4>
      </vt:variant>
      <vt:variant>
        <vt:lpwstr>mailto:Christine.pirik@puc.state.oh.us</vt:lpwstr>
      </vt:variant>
      <vt:variant>
        <vt:lpwstr/>
      </vt:variant>
      <vt:variant>
        <vt:i4>5308458</vt:i4>
      </vt:variant>
      <vt:variant>
        <vt:i4>66</vt:i4>
      </vt:variant>
      <vt:variant>
        <vt:i4>0</vt:i4>
      </vt:variant>
      <vt:variant>
        <vt:i4>5</vt:i4>
      </vt:variant>
      <vt:variant>
        <vt:lpwstr>mailto:Katie.johnson@puc.state.oh.us</vt:lpwstr>
      </vt:variant>
      <vt:variant>
        <vt:lpwstr/>
      </vt:variant>
      <vt:variant>
        <vt:i4>7929874</vt:i4>
      </vt:variant>
      <vt:variant>
        <vt:i4>63</vt:i4>
      </vt:variant>
      <vt:variant>
        <vt:i4>0</vt:i4>
      </vt:variant>
      <vt:variant>
        <vt:i4>5</vt:i4>
      </vt:variant>
      <vt:variant>
        <vt:lpwstr>mailto:Thomas.mcnamee@puc.state.oh.us</vt:lpwstr>
      </vt:variant>
      <vt:variant>
        <vt:lpwstr/>
      </vt:variant>
      <vt:variant>
        <vt:i4>7864412</vt:i4>
      </vt:variant>
      <vt:variant>
        <vt:i4>60</vt:i4>
      </vt:variant>
      <vt:variant>
        <vt:i4>0</vt:i4>
      </vt:variant>
      <vt:variant>
        <vt:i4>5</vt:i4>
      </vt:variant>
      <vt:variant>
        <vt:lpwstr>mailto:Emund.Berger@occ.ohio.gov</vt:lpwstr>
      </vt:variant>
      <vt:variant>
        <vt:lpwstr/>
      </vt:variant>
      <vt:variant>
        <vt:i4>1966134</vt:i4>
      </vt:variant>
      <vt:variant>
        <vt:i4>53</vt:i4>
      </vt:variant>
      <vt:variant>
        <vt:i4>0</vt:i4>
      </vt:variant>
      <vt:variant>
        <vt:i4>5</vt:i4>
      </vt:variant>
      <vt:variant>
        <vt:lpwstr/>
      </vt:variant>
      <vt:variant>
        <vt:lpwstr>_Toc379543889</vt:lpwstr>
      </vt:variant>
      <vt:variant>
        <vt:i4>1966134</vt:i4>
      </vt:variant>
      <vt:variant>
        <vt:i4>47</vt:i4>
      </vt:variant>
      <vt:variant>
        <vt:i4>0</vt:i4>
      </vt:variant>
      <vt:variant>
        <vt:i4>5</vt:i4>
      </vt:variant>
      <vt:variant>
        <vt:lpwstr/>
      </vt:variant>
      <vt:variant>
        <vt:lpwstr>_Toc379543888</vt:lpwstr>
      </vt:variant>
      <vt:variant>
        <vt:i4>1966134</vt:i4>
      </vt:variant>
      <vt:variant>
        <vt:i4>41</vt:i4>
      </vt:variant>
      <vt:variant>
        <vt:i4>0</vt:i4>
      </vt:variant>
      <vt:variant>
        <vt:i4>5</vt:i4>
      </vt:variant>
      <vt:variant>
        <vt:lpwstr/>
      </vt:variant>
      <vt:variant>
        <vt:lpwstr>_Toc379543886</vt:lpwstr>
      </vt:variant>
      <vt:variant>
        <vt:i4>1966134</vt:i4>
      </vt:variant>
      <vt:variant>
        <vt:i4>35</vt:i4>
      </vt:variant>
      <vt:variant>
        <vt:i4>0</vt:i4>
      </vt:variant>
      <vt:variant>
        <vt:i4>5</vt:i4>
      </vt:variant>
      <vt:variant>
        <vt:lpwstr/>
      </vt:variant>
      <vt:variant>
        <vt:lpwstr>_Toc379543885</vt:lpwstr>
      </vt:variant>
      <vt:variant>
        <vt:i4>1966134</vt:i4>
      </vt:variant>
      <vt:variant>
        <vt:i4>29</vt:i4>
      </vt:variant>
      <vt:variant>
        <vt:i4>0</vt:i4>
      </vt:variant>
      <vt:variant>
        <vt:i4>5</vt:i4>
      </vt:variant>
      <vt:variant>
        <vt:lpwstr/>
      </vt:variant>
      <vt:variant>
        <vt:lpwstr>_Toc379543884</vt:lpwstr>
      </vt:variant>
      <vt:variant>
        <vt:i4>1966134</vt:i4>
      </vt:variant>
      <vt:variant>
        <vt:i4>23</vt:i4>
      </vt:variant>
      <vt:variant>
        <vt:i4>0</vt:i4>
      </vt:variant>
      <vt:variant>
        <vt:i4>5</vt:i4>
      </vt:variant>
      <vt:variant>
        <vt:lpwstr/>
      </vt:variant>
      <vt:variant>
        <vt:lpwstr>_Toc379543883</vt:lpwstr>
      </vt:variant>
      <vt:variant>
        <vt:i4>1966134</vt:i4>
      </vt:variant>
      <vt:variant>
        <vt:i4>17</vt:i4>
      </vt:variant>
      <vt:variant>
        <vt:i4>0</vt:i4>
      </vt:variant>
      <vt:variant>
        <vt:i4>5</vt:i4>
      </vt:variant>
      <vt:variant>
        <vt:lpwstr/>
      </vt:variant>
      <vt:variant>
        <vt:lpwstr>_Toc379543882</vt:lpwstr>
      </vt:variant>
      <vt:variant>
        <vt:i4>1966134</vt:i4>
      </vt:variant>
      <vt:variant>
        <vt:i4>11</vt:i4>
      </vt:variant>
      <vt:variant>
        <vt:i4>0</vt:i4>
      </vt:variant>
      <vt:variant>
        <vt:i4>5</vt:i4>
      </vt:variant>
      <vt:variant>
        <vt:lpwstr/>
      </vt:variant>
      <vt:variant>
        <vt:lpwstr>_Toc379543881</vt:lpwstr>
      </vt:variant>
      <vt:variant>
        <vt:i4>1966134</vt:i4>
      </vt:variant>
      <vt:variant>
        <vt:i4>5</vt:i4>
      </vt:variant>
      <vt:variant>
        <vt:i4>0</vt:i4>
      </vt:variant>
      <vt:variant>
        <vt:i4>5</vt:i4>
      </vt:variant>
      <vt:variant>
        <vt:lpwstr/>
      </vt:variant>
      <vt:variant>
        <vt:lpwstr>_Toc379543880</vt:lpwstr>
      </vt:variant>
      <vt:variant>
        <vt:i4>1114151</vt:i4>
      </vt:variant>
      <vt:variant>
        <vt:i4>0</vt:i4>
      </vt:variant>
      <vt:variant>
        <vt:i4>0</vt:i4>
      </vt:variant>
      <vt:variant>
        <vt:i4>5</vt:i4>
      </vt:variant>
      <vt:variant>
        <vt:lpwstr>mailto:Edmund.Berger@occ.ohio.gov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2014-02-07T20:00:00Z</cp:lastPrinted>
  <dcterms:created xsi:type="dcterms:W3CDTF">2014-02-07T20:20:00Z</dcterms:created>
  <dcterms:modified xsi:type="dcterms:W3CDTF">2014-02-07T20:20:00Z</dcterms:modified>
  <cp:category> </cp:category>
  <cp:contentStatus> </cp:contentStatus>
</cp:coreProperties>
</file>