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2067D" w:rsidRPr="00685073" w:rsidP="0092067D">
      <w:pPr>
        <w:pStyle w:val="HTMLPreformatted"/>
        <w:jc w:val="center"/>
        <w:rPr>
          <w:rFonts w:ascii="Times New Roman" w:hAnsi="Times New Roman" w:cs="Times New Roman"/>
          <w:b/>
          <w:bCs/>
          <w:sz w:val="24"/>
          <w:szCs w:val="24"/>
        </w:rPr>
      </w:pPr>
      <w:bookmarkStart w:id="0" w:name="_GoBack"/>
      <w:bookmarkEnd w:id="0"/>
      <w:r w:rsidRPr="00685073">
        <w:rPr>
          <w:rFonts w:ascii="Times New Roman" w:hAnsi="Times New Roman" w:cs="Times New Roman"/>
          <w:b/>
          <w:bCs/>
          <w:sz w:val="24"/>
          <w:szCs w:val="24"/>
        </w:rPr>
        <w:t>BEFORE</w:t>
      </w:r>
    </w:p>
    <w:p w:rsidR="0092067D" w:rsidRPr="00685073" w:rsidP="0092067D">
      <w:pPr>
        <w:pStyle w:val="HTMLPreformatted"/>
        <w:jc w:val="center"/>
        <w:rPr>
          <w:rFonts w:ascii="Times New Roman" w:hAnsi="Times New Roman" w:cs="Times New Roman"/>
          <w:sz w:val="24"/>
          <w:szCs w:val="24"/>
        </w:rPr>
      </w:pPr>
      <w:r w:rsidRPr="00685073">
        <w:rPr>
          <w:rFonts w:ascii="Times New Roman" w:hAnsi="Times New Roman" w:cs="Times New Roman"/>
          <w:b/>
          <w:bCs/>
          <w:sz w:val="24"/>
          <w:szCs w:val="24"/>
        </w:rPr>
        <w:t>THE PUBLIC UTILITIES COMMISSION OF OHIO</w:t>
      </w:r>
    </w:p>
    <w:p w:rsidR="0092067D" w:rsidRPr="00685073" w:rsidP="0092067D">
      <w:pPr>
        <w:pStyle w:val="HTMLPreformatted"/>
        <w:rPr>
          <w:rFonts w:ascii="Times New Roman" w:hAnsi="Times New Roman" w:cs="Times New Roman"/>
          <w:sz w:val="24"/>
          <w:szCs w:val="24"/>
        </w:rPr>
      </w:pPr>
    </w:p>
    <w:tbl>
      <w:tblPr>
        <w:tblW w:w="9092" w:type="dxa"/>
        <w:tblLook w:val="01E0"/>
      </w:tblPr>
      <w:tblGrid>
        <w:gridCol w:w="4332"/>
        <w:gridCol w:w="360"/>
        <w:gridCol w:w="4400"/>
      </w:tblGrid>
      <w:tr w:rsidTr="00E245C1">
        <w:tblPrEx>
          <w:tblW w:w="9092" w:type="dxa"/>
          <w:tblLook w:val="01E0"/>
        </w:tblPrEx>
        <w:trPr>
          <w:trHeight w:val="807"/>
        </w:trPr>
        <w:tc>
          <w:tcPr>
            <w:tcW w:w="4332" w:type="dxa"/>
            <w:shd w:val="clear" w:color="auto" w:fill="auto"/>
          </w:tcPr>
          <w:p w:rsidR="0092067D" w:rsidRPr="00685073" w:rsidP="00990CEA">
            <w:pPr>
              <w:pStyle w:val="HTMLPreformatted"/>
              <w:rPr>
                <w:rFonts w:ascii="Times New Roman" w:hAnsi="Times New Roman" w:cs="Times New Roman"/>
                <w:sz w:val="24"/>
                <w:szCs w:val="24"/>
              </w:rPr>
            </w:pPr>
            <w:r w:rsidRPr="00685073">
              <w:rPr>
                <w:rFonts w:ascii="Times New Roman" w:hAnsi="Times New Roman" w:cs="Times New Roman"/>
                <w:sz w:val="24"/>
                <w:szCs w:val="24"/>
              </w:rPr>
              <w:t xml:space="preserve">In the Matter of the Establishing the Nonbypassabe Recovery Mechanism for Net Legacy Generation Resource Costs Pursuant to R.C. 4928.148. </w:t>
            </w:r>
          </w:p>
        </w:tc>
        <w:tc>
          <w:tcPr>
            <w:tcW w:w="360" w:type="dxa"/>
            <w:shd w:val="clear" w:color="auto" w:fill="auto"/>
          </w:tcPr>
          <w:p w:rsidR="0092067D" w:rsidRPr="00685073" w:rsidP="00E245C1">
            <w:pPr>
              <w:pStyle w:val="HTMLPreformatted"/>
              <w:rPr>
                <w:rFonts w:ascii="Times New Roman" w:hAnsi="Times New Roman" w:cs="Times New Roman"/>
                <w:sz w:val="24"/>
                <w:szCs w:val="24"/>
              </w:rPr>
            </w:pPr>
            <w:r w:rsidRPr="00685073">
              <w:rPr>
                <w:rFonts w:ascii="Times New Roman" w:hAnsi="Times New Roman" w:cs="Times New Roman"/>
                <w:sz w:val="24"/>
                <w:szCs w:val="24"/>
              </w:rPr>
              <w:t>)</w:t>
            </w:r>
          </w:p>
          <w:p w:rsidR="0092067D" w:rsidRPr="00685073" w:rsidP="00E245C1">
            <w:pPr>
              <w:pStyle w:val="HTMLPreformatted"/>
              <w:rPr>
                <w:rFonts w:ascii="Times New Roman" w:hAnsi="Times New Roman" w:cs="Times New Roman"/>
                <w:sz w:val="24"/>
                <w:szCs w:val="24"/>
              </w:rPr>
            </w:pPr>
            <w:r w:rsidRPr="00685073">
              <w:rPr>
                <w:rFonts w:ascii="Times New Roman" w:hAnsi="Times New Roman" w:cs="Times New Roman"/>
                <w:sz w:val="24"/>
                <w:szCs w:val="24"/>
              </w:rPr>
              <w:t>)</w:t>
            </w:r>
          </w:p>
          <w:p w:rsidR="0092067D" w:rsidRPr="00685073" w:rsidP="00E245C1">
            <w:pPr>
              <w:pStyle w:val="HTMLPreformatted"/>
              <w:rPr>
                <w:rFonts w:ascii="Times New Roman" w:hAnsi="Times New Roman" w:cs="Times New Roman"/>
                <w:sz w:val="24"/>
                <w:szCs w:val="24"/>
              </w:rPr>
            </w:pPr>
            <w:r w:rsidRPr="00685073">
              <w:rPr>
                <w:rFonts w:ascii="Times New Roman" w:hAnsi="Times New Roman" w:cs="Times New Roman"/>
                <w:sz w:val="24"/>
                <w:szCs w:val="24"/>
              </w:rPr>
              <w:t>)</w:t>
            </w:r>
          </w:p>
          <w:p w:rsidR="00654509" w:rsidRPr="00685073" w:rsidP="00E245C1">
            <w:pPr>
              <w:pStyle w:val="HTMLPreformatted"/>
              <w:rPr>
                <w:rFonts w:ascii="Times New Roman" w:hAnsi="Times New Roman" w:cs="Times New Roman"/>
                <w:sz w:val="24"/>
                <w:szCs w:val="24"/>
              </w:rPr>
            </w:pPr>
            <w:r w:rsidRPr="00685073">
              <w:rPr>
                <w:rFonts w:ascii="Times New Roman" w:hAnsi="Times New Roman" w:cs="Times New Roman"/>
                <w:sz w:val="24"/>
                <w:szCs w:val="24"/>
              </w:rPr>
              <w:t>)</w:t>
            </w:r>
          </w:p>
        </w:tc>
        <w:tc>
          <w:tcPr>
            <w:tcW w:w="4400" w:type="dxa"/>
            <w:shd w:val="clear" w:color="auto" w:fill="auto"/>
          </w:tcPr>
          <w:p w:rsidR="0092067D" w:rsidRPr="00685073" w:rsidP="00E245C1">
            <w:pPr>
              <w:pStyle w:val="HTMLPreformatted"/>
              <w:rPr>
                <w:rFonts w:ascii="Times New Roman" w:hAnsi="Times New Roman" w:cs="Times New Roman"/>
                <w:sz w:val="24"/>
                <w:szCs w:val="24"/>
              </w:rPr>
            </w:pPr>
          </w:p>
          <w:p w:rsidR="0092067D" w:rsidRPr="00685073" w:rsidP="00E245C1">
            <w:pPr>
              <w:pStyle w:val="HTMLPreformatted"/>
              <w:rPr>
                <w:rFonts w:ascii="Times New Roman" w:hAnsi="Times New Roman" w:cs="Times New Roman"/>
                <w:sz w:val="24"/>
                <w:szCs w:val="24"/>
              </w:rPr>
            </w:pPr>
            <w:r w:rsidRPr="00685073">
              <w:rPr>
                <w:rFonts w:ascii="Times New Roman" w:hAnsi="Times New Roman" w:cs="Times New Roman"/>
                <w:sz w:val="24"/>
                <w:szCs w:val="24"/>
              </w:rPr>
              <w:t>Case No. 19-1808-EL-UNC</w:t>
            </w:r>
          </w:p>
          <w:p w:rsidR="0092067D" w:rsidRPr="00685073" w:rsidP="00E245C1">
            <w:pPr>
              <w:pStyle w:val="HTMLPreformatted"/>
              <w:rPr>
                <w:rFonts w:ascii="Times New Roman" w:hAnsi="Times New Roman" w:cs="Times New Roman"/>
                <w:sz w:val="24"/>
                <w:szCs w:val="24"/>
              </w:rPr>
            </w:pPr>
          </w:p>
          <w:p w:rsidR="0092067D" w:rsidRPr="00685073" w:rsidP="00E245C1">
            <w:pPr>
              <w:pStyle w:val="HTMLPreformatted"/>
              <w:rPr>
                <w:rFonts w:ascii="Times New Roman" w:hAnsi="Times New Roman" w:cs="Times New Roman"/>
                <w:sz w:val="24"/>
                <w:szCs w:val="24"/>
              </w:rPr>
            </w:pPr>
          </w:p>
        </w:tc>
      </w:tr>
    </w:tbl>
    <w:p w:rsidR="0092067D" w:rsidRPr="00685073" w:rsidP="0092067D">
      <w:pPr>
        <w:pStyle w:val="HTMLPreformatted"/>
        <w:rPr>
          <w:rFonts w:ascii="Times New Roman" w:hAnsi="Times New Roman" w:cs="Times New Roman"/>
          <w:sz w:val="24"/>
          <w:szCs w:val="24"/>
        </w:rPr>
      </w:pPr>
    </w:p>
    <w:p w:rsidR="0092067D" w:rsidRPr="00685073" w:rsidP="0092067D">
      <w:pPr>
        <w:pStyle w:val="HTMLPreformatted"/>
        <w:pBdr>
          <w:top w:val="single" w:sz="12" w:space="1" w:color="auto"/>
        </w:pBdr>
        <w:rPr>
          <w:rFonts w:ascii="Times New Roman" w:hAnsi="Times New Roman" w:cs="Times New Roman"/>
          <w:sz w:val="24"/>
          <w:szCs w:val="24"/>
        </w:rPr>
      </w:pPr>
    </w:p>
    <w:p w:rsidR="0092067D" w:rsidRPr="00685073" w:rsidP="0092067D">
      <w:pPr>
        <w:jc w:val="center"/>
        <w:rPr>
          <w:rFonts w:cs="Times New Roman"/>
          <w:b/>
          <w:bCs/>
          <w:szCs w:val="24"/>
        </w:rPr>
      </w:pPr>
      <w:r w:rsidRPr="00685073">
        <w:rPr>
          <w:rFonts w:cs="Times New Roman"/>
          <w:b/>
          <w:bCs/>
          <w:szCs w:val="24"/>
        </w:rPr>
        <w:t xml:space="preserve">REPLY COMMENTS ON BEHALF OF RESIDENTIAL CONSUMERS </w:t>
      </w:r>
    </w:p>
    <w:p w:rsidR="0092067D" w:rsidRPr="00685073" w:rsidP="0092067D">
      <w:pPr>
        <w:jc w:val="center"/>
        <w:rPr>
          <w:rFonts w:cs="Times New Roman"/>
          <w:b/>
          <w:bCs/>
          <w:szCs w:val="24"/>
        </w:rPr>
      </w:pPr>
      <w:r w:rsidRPr="00685073">
        <w:rPr>
          <w:rFonts w:cs="Times New Roman"/>
          <w:b/>
          <w:bCs/>
          <w:szCs w:val="24"/>
        </w:rPr>
        <w:t>BY</w:t>
      </w:r>
    </w:p>
    <w:p w:rsidR="0092067D" w:rsidRPr="00685073" w:rsidP="0092067D">
      <w:pPr>
        <w:jc w:val="center"/>
        <w:rPr>
          <w:rFonts w:cs="Times New Roman"/>
          <w:b/>
          <w:bCs/>
          <w:szCs w:val="24"/>
        </w:rPr>
      </w:pPr>
      <w:r w:rsidRPr="00685073">
        <w:rPr>
          <w:rFonts w:cs="Times New Roman"/>
          <w:b/>
          <w:bCs/>
          <w:szCs w:val="24"/>
        </w:rPr>
        <w:t>THE OFFICE OF THE OHIO CONSUMERS’ COUNSEL</w:t>
      </w:r>
    </w:p>
    <w:p w:rsidR="0092067D" w:rsidRPr="00685073" w:rsidP="0092067D">
      <w:pPr>
        <w:pBdr>
          <w:bottom w:val="single" w:sz="12" w:space="1" w:color="auto"/>
        </w:pBdr>
        <w:tabs>
          <w:tab w:val="left" w:pos="4320"/>
        </w:tabs>
        <w:rPr>
          <w:rFonts w:cs="Times New Roman"/>
          <w:szCs w:val="24"/>
        </w:rPr>
      </w:pPr>
    </w:p>
    <w:p w:rsidR="0092067D" w:rsidRPr="00685073" w:rsidP="0092067D">
      <w:pPr>
        <w:tabs>
          <w:tab w:val="left" w:pos="4320"/>
        </w:tabs>
        <w:rPr>
          <w:rFonts w:cs="Times New Roman"/>
          <w:szCs w:val="24"/>
        </w:rPr>
      </w:pPr>
    </w:p>
    <w:p w:rsidR="0092067D" w:rsidRPr="00685073" w:rsidP="00FD7E1E">
      <w:pPr>
        <w:pStyle w:val="Heading1"/>
        <w:rPr>
          <w:rFonts w:ascii="Times New Roman" w:hAnsi="Times New Roman"/>
        </w:rPr>
      </w:pPr>
      <w:bookmarkStart w:id="1" w:name="_Toc7705420"/>
      <w:r w:rsidRPr="00685073">
        <w:rPr>
          <w:rFonts w:ascii="Times New Roman" w:hAnsi="Times New Roman"/>
        </w:rPr>
        <w:t>I.</w:t>
      </w:r>
      <w:r w:rsidRPr="00685073">
        <w:rPr>
          <w:rFonts w:ascii="Times New Roman" w:hAnsi="Times New Roman"/>
        </w:rPr>
        <w:tab/>
        <w:t>INTRODUCTION</w:t>
      </w:r>
      <w:bookmarkEnd w:id="1"/>
    </w:p>
    <w:p w:rsidR="009F0272" w:rsidRPr="00685073" w:rsidP="009F0272">
      <w:pPr>
        <w:pStyle w:val="BodyTextIndent3"/>
        <w:widowControl w:val="0"/>
        <w:spacing w:line="480" w:lineRule="auto"/>
        <w:ind w:right="-312"/>
        <w:rPr>
          <w:szCs w:val="24"/>
        </w:rPr>
      </w:pPr>
      <w:r w:rsidRPr="00685073">
        <w:rPr>
          <w:szCs w:val="24"/>
        </w:rPr>
        <w:t xml:space="preserve">The Public Utilities Commission of Ohio (“PUCO”) is determining how customers across Ohio should be charged to subsidize two uneconomic coal power plants (partly owned by AEP, DP&amp;L and Duke), as a result of Am. Sub. H.B. 6 (“H.B. 6”). The Coal Subsidy Charge is to be paid by all electric utility consumers in Ohio to subsidize these coal plants, located in Ohio and Indiana, owned by utility members of the Ohio Valley Electric Corporation (“OVEC”).  </w:t>
      </w:r>
      <w:r>
        <w:rPr>
          <w:szCs w:val="24"/>
        </w:rPr>
        <w:t xml:space="preserve">The coal subsidy is supposed to replace the current coal subsidies that AEP, Duke, and DP&amp;L are charging customers through various PUCO-approved OVEC riders.  </w:t>
      </w:r>
      <w:r w:rsidRPr="00685073">
        <w:rPr>
          <w:szCs w:val="24"/>
        </w:rPr>
        <w:t>The PUCO Staff proposed that the Coal Subsidy Charge include two parts</w:t>
      </w:r>
      <w:r>
        <w:rPr>
          <w:szCs w:val="24"/>
        </w:rPr>
        <w:t>. Those parts are</w:t>
      </w:r>
      <w:r w:rsidRPr="00685073">
        <w:rPr>
          <w:szCs w:val="24"/>
        </w:rPr>
        <w:t xml:space="preserve"> (1) a statewide charge </w:t>
      </w:r>
      <w:r>
        <w:rPr>
          <w:szCs w:val="24"/>
        </w:rPr>
        <w:t>on the bills of</w:t>
      </w:r>
      <w:r w:rsidRPr="00685073">
        <w:rPr>
          <w:szCs w:val="24"/>
        </w:rPr>
        <w:t xml:space="preserve"> all utility consumers</w:t>
      </w:r>
      <w:r>
        <w:rPr>
          <w:szCs w:val="24"/>
        </w:rPr>
        <w:t xml:space="preserve"> of AEP, DP&amp;L, Duke and FirstEnergy</w:t>
      </w:r>
      <w:r w:rsidRPr="00685073">
        <w:rPr>
          <w:szCs w:val="24"/>
        </w:rPr>
        <w:t>, and (2) an adjustment mechanism so that the</w:t>
      </w:r>
      <w:r>
        <w:rPr>
          <w:szCs w:val="24"/>
        </w:rPr>
        <w:t xml:space="preserve"> consumers’</w:t>
      </w:r>
      <w:r w:rsidRPr="00685073">
        <w:rPr>
          <w:szCs w:val="24"/>
        </w:rPr>
        <w:t xml:space="preserve"> money is given to the utilities</w:t>
      </w:r>
      <w:r>
        <w:rPr>
          <w:szCs w:val="24"/>
        </w:rPr>
        <w:t xml:space="preserve"> (AEP, DP&amp;L, and Duke)</w:t>
      </w:r>
      <w:r w:rsidRPr="00685073">
        <w:rPr>
          <w:szCs w:val="24"/>
        </w:rPr>
        <w:t xml:space="preserve"> that have an ownership interest in the Ohio and Indiana coal plants. </w:t>
      </w:r>
    </w:p>
    <w:p w:rsidR="006144AA" w:rsidP="00B00A68">
      <w:pPr>
        <w:pStyle w:val="BodyTextIndent3"/>
        <w:widowControl w:val="0"/>
        <w:spacing w:line="480" w:lineRule="auto"/>
        <w:ind w:right="-312"/>
        <w:rPr>
          <w:szCs w:val="24"/>
        </w:rPr>
        <w:sectPr w:rsidSect="00850EAC">
          <w:footerReference w:type="default" r:id="rId5"/>
          <w:footerReference w:type="first" r:id="rId6"/>
          <w:pgSz w:w="12240" w:h="15840"/>
          <w:pgMar w:top="1440" w:right="1800" w:bottom="1440" w:left="1800" w:header="720" w:footer="720" w:gutter="0"/>
          <w:cols w:space="720"/>
          <w:titlePg/>
          <w:docGrid w:linePitch="360"/>
        </w:sectPr>
      </w:pPr>
      <w:r w:rsidRPr="00685073">
        <w:rPr>
          <w:szCs w:val="24"/>
        </w:rPr>
        <w:t xml:space="preserve">On October 17, 2019, the Office of the Ohio Consumers’ Counsel (“OCC”) filed Comments </w:t>
      </w:r>
      <w:r>
        <w:rPr>
          <w:szCs w:val="24"/>
        </w:rPr>
        <w:t>for</w:t>
      </w:r>
      <w:r w:rsidRPr="00685073">
        <w:rPr>
          <w:szCs w:val="24"/>
        </w:rPr>
        <w:t xml:space="preserve"> </w:t>
      </w:r>
      <w:r>
        <w:rPr>
          <w:szCs w:val="24"/>
        </w:rPr>
        <w:t>r</w:t>
      </w:r>
      <w:r w:rsidRPr="00685073">
        <w:rPr>
          <w:szCs w:val="24"/>
        </w:rPr>
        <w:t xml:space="preserve">esidential </w:t>
      </w:r>
      <w:r>
        <w:rPr>
          <w:szCs w:val="24"/>
        </w:rPr>
        <w:t>c</w:t>
      </w:r>
      <w:r w:rsidRPr="00685073">
        <w:rPr>
          <w:szCs w:val="24"/>
        </w:rPr>
        <w:t>onsumers</w:t>
      </w:r>
      <w:r>
        <w:rPr>
          <w:szCs w:val="24"/>
        </w:rPr>
        <w:t>. OCC</w:t>
      </w:r>
      <w:r w:rsidRPr="00685073">
        <w:rPr>
          <w:szCs w:val="24"/>
        </w:rPr>
        <w:t xml:space="preserve"> recommend</w:t>
      </w:r>
      <w:r>
        <w:rPr>
          <w:szCs w:val="24"/>
        </w:rPr>
        <w:t>ed</w:t>
      </w:r>
      <w:r w:rsidRPr="00685073">
        <w:rPr>
          <w:szCs w:val="24"/>
        </w:rPr>
        <w:t xml:space="preserve"> that the PUCO protect residential consumers by adopting a fair rate design</w:t>
      </w:r>
      <w:r>
        <w:rPr>
          <w:szCs w:val="24"/>
        </w:rPr>
        <w:t xml:space="preserve"> that does not over-allocate to residential consumers </w:t>
      </w:r>
    </w:p>
    <w:p w:rsidR="00990CEA" w:rsidRPr="00685073" w:rsidP="006144AA">
      <w:pPr>
        <w:pStyle w:val="BodyTextIndent3"/>
        <w:widowControl w:val="0"/>
        <w:spacing w:line="480" w:lineRule="auto"/>
        <w:ind w:right="-312" w:firstLine="0"/>
        <w:rPr>
          <w:szCs w:val="24"/>
        </w:rPr>
      </w:pPr>
      <w:r>
        <w:rPr>
          <w:szCs w:val="24"/>
        </w:rPr>
        <w:t>the burden of subsidizing the coal plants</w:t>
      </w:r>
      <w:r w:rsidRPr="00685073">
        <w:rPr>
          <w:szCs w:val="24"/>
        </w:rPr>
        <w:t>. Comments were also filed by the Ohio Hospital Association (“OHA”), the Ohio Manufacturers Association Energy Group</w:t>
      </w:r>
      <w:r>
        <w:rPr>
          <w:szCs w:val="24"/>
        </w:rPr>
        <w:t xml:space="preserve"> </w:t>
      </w:r>
      <w:r w:rsidRPr="00685073">
        <w:rPr>
          <w:szCs w:val="24"/>
        </w:rPr>
        <w:t>(“OMAEG”), FirstEnergy</w:t>
      </w:r>
      <w:r>
        <w:rPr>
          <w:rStyle w:val="FootnoteReference"/>
          <w:szCs w:val="24"/>
        </w:rPr>
        <w:footnoteReference w:id="2"/>
      </w:r>
      <w:r w:rsidRPr="00685073">
        <w:rPr>
          <w:szCs w:val="24"/>
        </w:rPr>
        <w:t>, Environmental Advocates</w:t>
      </w:r>
      <w:r>
        <w:rPr>
          <w:rStyle w:val="FootnoteReference"/>
          <w:szCs w:val="24"/>
        </w:rPr>
        <w:footnoteReference w:id="3"/>
      </w:r>
      <w:r w:rsidRPr="00685073">
        <w:rPr>
          <w:szCs w:val="24"/>
        </w:rPr>
        <w:t>, and the OVEC Utilities</w:t>
      </w:r>
      <w:r>
        <w:rPr>
          <w:rStyle w:val="FootnoteReference"/>
          <w:szCs w:val="24"/>
        </w:rPr>
        <w:footnoteReference w:id="4"/>
      </w:r>
      <w:r w:rsidRPr="00685073">
        <w:rPr>
          <w:szCs w:val="24"/>
        </w:rPr>
        <w:t>. OCC files these Reply Comments on behalf of Ohio’s residential electric utility consumers.</w:t>
      </w:r>
    </w:p>
    <w:p w:rsidR="001F1408" w:rsidRPr="00685073" w:rsidP="001F1408">
      <w:pPr>
        <w:pStyle w:val="BodyTextIndent3"/>
        <w:widowControl w:val="0"/>
        <w:spacing w:line="240" w:lineRule="auto"/>
        <w:ind w:right="-312"/>
        <w:rPr>
          <w:szCs w:val="24"/>
        </w:rPr>
      </w:pPr>
    </w:p>
    <w:p w:rsidR="00B46BDB" w:rsidP="00FD7E1E">
      <w:pPr>
        <w:pStyle w:val="Heading1"/>
        <w:rPr>
          <w:rFonts w:ascii="Times New Roman" w:hAnsi="Times New Roman"/>
        </w:rPr>
      </w:pPr>
      <w:bookmarkStart w:id="2" w:name="_Toc7705421"/>
      <w:r w:rsidRPr="00685073">
        <w:rPr>
          <w:rFonts w:ascii="Times New Roman" w:hAnsi="Times New Roman"/>
        </w:rPr>
        <w:t>II.</w:t>
      </w:r>
      <w:r w:rsidRPr="00685073">
        <w:rPr>
          <w:rFonts w:ascii="Times New Roman" w:hAnsi="Times New Roman"/>
        </w:rPr>
        <w:tab/>
        <w:t>RECOMMENDATIONS</w:t>
      </w:r>
      <w:bookmarkEnd w:id="2"/>
    </w:p>
    <w:p w:rsidR="00B00A68" w:rsidP="006144AA">
      <w:pPr>
        <w:pStyle w:val="Heading2"/>
      </w:pPr>
      <w:r>
        <w:t xml:space="preserve">Consumers cannot be charged unless and until the OVEC Inter-Company Power Agreement is approved by the Federal Energy Regulatory Commission. </w:t>
      </w:r>
    </w:p>
    <w:p w:rsidR="00B00A68" w:rsidP="00B00A68">
      <w:pPr>
        <w:spacing w:line="480" w:lineRule="auto"/>
        <w:ind w:firstLine="720"/>
        <w:rPr>
          <w:rFonts w:cs="Times New Roman"/>
          <w:szCs w:val="24"/>
        </w:rPr>
      </w:pPr>
      <w:r>
        <w:rPr>
          <w:rFonts w:cs="Times New Roman"/>
          <w:szCs w:val="24"/>
        </w:rPr>
        <w:t xml:space="preserve">The Environmental Advocates assert that customers can only be charged, under House Bill 6, for the prudently incurred costs of the OVEC plants. Prudently incurred costs are only those costs “allocated pursuant to a power agreement </w:t>
      </w:r>
      <w:r>
        <w:rPr>
          <w:rFonts w:cs="Times New Roman"/>
          <w:szCs w:val="24"/>
          <w:u w:val="single"/>
        </w:rPr>
        <w:t>approved</w:t>
      </w:r>
      <w:r>
        <w:rPr>
          <w:rFonts w:cs="Times New Roman"/>
          <w:szCs w:val="24"/>
        </w:rPr>
        <w:t xml:space="preserve"> by the federal energy regulatory commission * * *.”</w:t>
      </w:r>
      <w:r>
        <w:rPr>
          <w:rStyle w:val="FootnoteReference"/>
          <w:rFonts w:cs="Times New Roman"/>
          <w:szCs w:val="24"/>
        </w:rPr>
        <w:footnoteReference w:id="5"/>
      </w:r>
      <w:r>
        <w:rPr>
          <w:rFonts w:cs="Times New Roman"/>
          <w:szCs w:val="24"/>
        </w:rPr>
        <w:t xml:space="preserve"> According to the Environmental Advocates, OVEC previously contended that the</w:t>
      </w:r>
      <w:r w:rsidRPr="00341516">
        <w:rPr>
          <w:rFonts w:cs="Times New Roman"/>
          <w:szCs w:val="24"/>
        </w:rPr>
        <w:t xml:space="preserve"> OVEC Inter-Company Power Agreement</w:t>
      </w:r>
      <w:r>
        <w:rPr>
          <w:rFonts w:cs="Times New Roman"/>
          <w:szCs w:val="24"/>
        </w:rPr>
        <w:t xml:space="preserve"> (“OVEC Agreement”) was not subject to Federal Energy Regulatory Commission (“FERC”) review when the OVEC Agreement was extended in 2011.</w:t>
      </w:r>
      <w:r>
        <w:rPr>
          <w:rStyle w:val="FootnoteReference"/>
          <w:rFonts w:cs="Times New Roman"/>
          <w:szCs w:val="24"/>
        </w:rPr>
        <w:footnoteReference w:id="6"/>
      </w:r>
      <w:r>
        <w:rPr>
          <w:rFonts w:cs="Times New Roman"/>
          <w:szCs w:val="24"/>
        </w:rPr>
        <w:t xml:space="preserve">  FERC agreed that the OVEC Agreement was not subject to FERC review.</w:t>
      </w:r>
      <w:r>
        <w:rPr>
          <w:rStyle w:val="FootnoteReference"/>
          <w:rFonts w:cs="Times New Roman"/>
          <w:szCs w:val="24"/>
        </w:rPr>
        <w:footnoteReference w:id="7"/>
      </w:r>
      <w:r>
        <w:rPr>
          <w:rFonts w:cs="Times New Roman"/>
          <w:szCs w:val="24"/>
        </w:rPr>
        <w:t xml:space="preserve"> Therefore, there is no such power agreement approved by FERC regarding the OVEC coal plants.</w:t>
      </w:r>
    </w:p>
    <w:p w:rsidR="00B00A68" w:rsidRPr="00B00A68" w:rsidP="00B00A68">
      <w:pPr>
        <w:spacing w:line="480" w:lineRule="auto"/>
        <w:ind w:firstLine="720"/>
        <w:rPr>
          <w:rFonts w:cs="Times New Roman"/>
          <w:szCs w:val="24"/>
        </w:rPr>
      </w:pPr>
      <w:r>
        <w:rPr>
          <w:rFonts w:cs="Times New Roman"/>
          <w:szCs w:val="24"/>
        </w:rPr>
        <w:t>The Environmental Advocates are correct.  AEP, DP&amp;L, Duke, and FirstEnergy cannot charge Ohio customers to subsidize the two Ohio and Indiana coal plants because the OVEC Agreement is not approved by FERC. The PUCO should uphold the words of the General Assembly.</w:t>
      </w:r>
      <w:r>
        <w:rPr>
          <w:rStyle w:val="FootnoteReference"/>
          <w:rFonts w:cs="Times New Roman"/>
          <w:szCs w:val="24"/>
        </w:rPr>
        <w:footnoteReference w:id="8"/>
      </w:r>
      <w:r>
        <w:rPr>
          <w:rFonts w:cs="Times New Roman"/>
          <w:szCs w:val="24"/>
        </w:rPr>
        <w:t xml:space="preserve">  </w:t>
      </w:r>
    </w:p>
    <w:p w:rsidR="00FE60B7" w:rsidRPr="00685073" w:rsidP="006144AA">
      <w:pPr>
        <w:pStyle w:val="Heading2"/>
      </w:pPr>
      <w:r w:rsidRPr="00685073">
        <w:t>To protect consumers, the PUCO should prevent shifting of costs from non-residential to residential consumers</w:t>
      </w:r>
      <w:r>
        <w:t xml:space="preserve"> to subsidize the coal plants in Ohio and Indiana</w:t>
      </w:r>
      <w:r w:rsidRPr="00685073">
        <w:t>.</w:t>
      </w:r>
    </w:p>
    <w:p w:rsidR="001B6589" w:rsidRPr="00685073" w:rsidP="008C2460">
      <w:pPr>
        <w:spacing w:line="480" w:lineRule="auto"/>
        <w:ind w:firstLine="720"/>
        <w:rPr>
          <w:rFonts w:cs="Times New Roman"/>
          <w:bCs/>
          <w:szCs w:val="24"/>
        </w:rPr>
      </w:pPr>
      <w:r w:rsidRPr="00685073">
        <w:rPr>
          <w:rFonts w:cs="Times New Roman"/>
          <w:bCs/>
          <w:szCs w:val="24"/>
        </w:rPr>
        <w:t>To protect consumers, the PUCO should prohibit the shifting of costs from non-residential consumers to residential consumers</w:t>
      </w:r>
      <w:r>
        <w:rPr>
          <w:rFonts w:cs="Times New Roman"/>
          <w:bCs/>
          <w:szCs w:val="24"/>
        </w:rPr>
        <w:t xml:space="preserve"> to subsidize the OVEC coal plants</w:t>
      </w:r>
      <w:r w:rsidRPr="00685073">
        <w:rPr>
          <w:rFonts w:cs="Times New Roman"/>
          <w:bCs/>
          <w:szCs w:val="24"/>
        </w:rPr>
        <w:t>. OHA and OMAEG assert that the PUCO should impose the monthly cost cap for non-residential customers on a per-customer basis.</w:t>
      </w:r>
      <w:r>
        <w:rPr>
          <w:rStyle w:val="FootnoteReference"/>
          <w:rFonts w:cs="Times New Roman"/>
          <w:bCs/>
          <w:szCs w:val="24"/>
        </w:rPr>
        <w:footnoteReference w:id="9"/>
      </w:r>
      <w:r w:rsidRPr="00685073">
        <w:rPr>
          <w:rFonts w:cs="Times New Roman"/>
          <w:bCs/>
          <w:szCs w:val="24"/>
        </w:rPr>
        <w:t xml:space="preserve"> OCC makes no recommendation regarding whether the non-residential cost cap should be assessed on a per-customer or per-account basis. However, if the PUCO adopts a per-customer cost cap, </w:t>
      </w:r>
      <w:r>
        <w:rPr>
          <w:rFonts w:cs="Times New Roman"/>
          <w:bCs/>
          <w:szCs w:val="24"/>
        </w:rPr>
        <w:t>any</w:t>
      </w:r>
      <w:r w:rsidRPr="00685073">
        <w:rPr>
          <w:rFonts w:cs="Times New Roman"/>
          <w:bCs/>
          <w:szCs w:val="24"/>
        </w:rPr>
        <w:t xml:space="preserve"> remaining uncollected revenue should be assessed to non-residential customers. </w:t>
      </w:r>
    </w:p>
    <w:p w:rsidR="001B6589" w:rsidRPr="00685073" w:rsidP="008C2460">
      <w:pPr>
        <w:spacing w:line="480" w:lineRule="auto"/>
        <w:ind w:firstLine="720"/>
        <w:rPr>
          <w:rFonts w:cs="Times New Roman"/>
          <w:bCs/>
          <w:szCs w:val="24"/>
        </w:rPr>
      </w:pPr>
      <w:r w:rsidRPr="00685073">
        <w:rPr>
          <w:rFonts w:cs="Times New Roman"/>
          <w:bCs/>
          <w:szCs w:val="24"/>
        </w:rPr>
        <w:t>For example, OHA asserts that if the full charge is applied to each of the multiple accounts of a small rural hospital in southeastern Ohio, the impact would be $72,000 per year to the hospital.</w:t>
      </w:r>
      <w:r>
        <w:rPr>
          <w:rStyle w:val="FootnoteReference"/>
          <w:rFonts w:cs="Times New Roman"/>
          <w:bCs/>
          <w:szCs w:val="24"/>
        </w:rPr>
        <w:footnoteReference w:id="10"/>
      </w:r>
      <w:r w:rsidRPr="00685073">
        <w:rPr>
          <w:rFonts w:cs="Times New Roman"/>
          <w:bCs/>
          <w:szCs w:val="24"/>
        </w:rPr>
        <w:t xml:space="preserve"> However, if the PUCO adopts a per-customer cap, then that hospital w</w:t>
      </w:r>
      <w:r>
        <w:rPr>
          <w:rFonts w:cs="Times New Roman"/>
          <w:bCs/>
          <w:szCs w:val="24"/>
        </w:rPr>
        <w:t>ould</w:t>
      </w:r>
      <w:r w:rsidRPr="00685073">
        <w:rPr>
          <w:rFonts w:cs="Times New Roman"/>
          <w:bCs/>
          <w:szCs w:val="24"/>
        </w:rPr>
        <w:t xml:space="preserve"> only pay $1,500 per year</w:t>
      </w:r>
      <w:r>
        <w:rPr>
          <w:rFonts w:cs="Times New Roman"/>
          <w:bCs/>
          <w:szCs w:val="24"/>
        </w:rPr>
        <w:t xml:space="preserve"> despite its multiple accounts</w:t>
      </w:r>
      <w:r w:rsidRPr="00685073">
        <w:rPr>
          <w:rFonts w:cs="Times New Roman"/>
          <w:bCs/>
          <w:szCs w:val="24"/>
        </w:rPr>
        <w:t>. So, if the PUCO adopts a per-customer cap</w:t>
      </w:r>
      <w:r>
        <w:rPr>
          <w:rFonts w:cs="Times New Roman"/>
          <w:bCs/>
          <w:szCs w:val="24"/>
        </w:rPr>
        <w:t xml:space="preserve"> on charges</w:t>
      </w:r>
      <w:r w:rsidRPr="00685073">
        <w:rPr>
          <w:rFonts w:cs="Times New Roman"/>
          <w:bCs/>
          <w:szCs w:val="24"/>
        </w:rPr>
        <w:t xml:space="preserve">, that single hospital would </w:t>
      </w:r>
      <w:r>
        <w:rPr>
          <w:rFonts w:cs="Times New Roman"/>
          <w:bCs/>
          <w:szCs w:val="24"/>
        </w:rPr>
        <w:t>pay</w:t>
      </w:r>
      <w:r w:rsidRPr="00685073">
        <w:rPr>
          <w:rFonts w:cs="Times New Roman"/>
          <w:bCs/>
          <w:szCs w:val="24"/>
        </w:rPr>
        <w:t xml:space="preserve"> $70,500 less revenue to the </w:t>
      </w:r>
      <w:r>
        <w:rPr>
          <w:rFonts w:cs="Times New Roman"/>
          <w:bCs/>
          <w:szCs w:val="24"/>
        </w:rPr>
        <w:t>utilities</w:t>
      </w:r>
      <w:r w:rsidRPr="00685073">
        <w:rPr>
          <w:rFonts w:cs="Times New Roman"/>
          <w:bCs/>
          <w:szCs w:val="24"/>
        </w:rPr>
        <w:t xml:space="preserve">. </w:t>
      </w:r>
      <w:r>
        <w:rPr>
          <w:rFonts w:cs="Times New Roman"/>
          <w:bCs/>
          <w:szCs w:val="24"/>
        </w:rPr>
        <w:t>In this scenario, t</w:t>
      </w:r>
      <w:r w:rsidRPr="00685073">
        <w:rPr>
          <w:rFonts w:cs="Times New Roman"/>
          <w:bCs/>
          <w:szCs w:val="24"/>
        </w:rPr>
        <w:t xml:space="preserve">he PUCO should ensure that the remaining $70,500 is </w:t>
      </w:r>
      <w:r>
        <w:rPr>
          <w:rFonts w:cs="Times New Roman"/>
          <w:bCs/>
          <w:szCs w:val="24"/>
        </w:rPr>
        <w:t>paid</w:t>
      </w:r>
      <w:r w:rsidRPr="00685073">
        <w:rPr>
          <w:rFonts w:cs="Times New Roman"/>
          <w:bCs/>
          <w:szCs w:val="24"/>
        </w:rPr>
        <w:t xml:space="preserve"> only </w:t>
      </w:r>
      <w:r>
        <w:rPr>
          <w:rFonts w:cs="Times New Roman"/>
          <w:bCs/>
          <w:szCs w:val="24"/>
        </w:rPr>
        <w:t>by</w:t>
      </w:r>
      <w:r w:rsidRPr="00685073">
        <w:rPr>
          <w:rFonts w:cs="Times New Roman"/>
          <w:bCs/>
          <w:szCs w:val="24"/>
        </w:rPr>
        <w:t xml:space="preserve"> other non-residential consumers</w:t>
      </w:r>
      <w:r>
        <w:rPr>
          <w:rFonts w:cs="Times New Roman"/>
          <w:bCs/>
          <w:szCs w:val="24"/>
        </w:rPr>
        <w:t xml:space="preserve"> (and not by residential consumers)</w:t>
      </w:r>
      <w:r w:rsidRPr="00685073">
        <w:rPr>
          <w:rFonts w:cs="Times New Roman"/>
          <w:bCs/>
          <w:szCs w:val="24"/>
        </w:rPr>
        <w:t xml:space="preserve">. </w:t>
      </w:r>
    </w:p>
    <w:p w:rsidR="00BD47B6" w:rsidRPr="00685073" w:rsidP="008C2460">
      <w:pPr>
        <w:spacing w:line="480" w:lineRule="auto"/>
        <w:ind w:firstLine="720"/>
        <w:rPr>
          <w:rFonts w:cs="Times New Roman"/>
          <w:szCs w:val="24"/>
        </w:rPr>
      </w:pPr>
      <w:r w:rsidRPr="00685073">
        <w:rPr>
          <w:rFonts w:cs="Times New Roman"/>
          <w:bCs/>
          <w:szCs w:val="24"/>
        </w:rPr>
        <w:t xml:space="preserve">Further, if </w:t>
      </w:r>
      <w:r>
        <w:rPr>
          <w:rFonts w:cs="Times New Roman"/>
          <w:bCs/>
          <w:szCs w:val="24"/>
        </w:rPr>
        <w:t xml:space="preserve">payments to utilities by </w:t>
      </w:r>
      <w:r w:rsidRPr="00685073">
        <w:rPr>
          <w:rFonts w:cs="Times New Roman"/>
          <w:bCs/>
          <w:szCs w:val="24"/>
        </w:rPr>
        <w:t xml:space="preserve">non-residential customers are </w:t>
      </w:r>
      <w:r>
        <w:rPr>
          <w:rFonts w:cs="Times New Roman"/>
          <w:bCs/>
          <w:szCs w:val="24"/>
        </w:rPr>
        <w:t>at</w:t>
      </w:r>
      <w:r w:rsidRPr="00685073">
        <w:rPr>
          <w:rFonts w:cs="Times New Roman"/>
          <w:bCs/>
          <w:szCs w:val="24"/>
        </w:rPr>
        <w:t xml:space="preserve"> their $1,500 cap, but residential customers are </w:t>
      </w:r>
      <w:r>
        <w:rPr>
          <w:rFonts w:cs="Times New Roman"/>
          <w:bCs/>
          <w:szCs w:val="24"/>
        </w:rPr>
        <w:t>paying below</w:t>
      </w:r>
      <w:r w:rsidRPr="00685073">
        <w:rPr>
          <w:rFonts w:cs="Times New Roman"/>
          <w:bCs/>
          <w:szCs w:val="24"/>
        </w:rPr>
        <w:t xml:space="preserve"> their $1.50 cap, the PUCO should ensure that residential customers are not forced to pay more to</w:t>
      </w:r>
      <w:r>
        <w:rPr>
          <w:rFonts w:cs="Times New Roman"/>
          <w:bCs/>
          <w:szCs w:val="24"/>
        </w:rPr>
        <w:t xml:space="preserve"> utilities to</w:t>
      </w:r>
      <w:r w:rsidRPr="00685073">
        <w:rPr>
          <w:rFonts w:cs="Times New Roman"/>
          <w:bCs/>
          <w:szCs w:val="24"/>
        </w:rPr>
        <w:t xml:space="preserve"> </w:t>
      </w:r>
      <w:r>
        <w:rPr>
          <w:rFonts w:cs="Times New Roman"/>
          <w:bCs/>
          <w:szCs w:val="24"/>
        </w:rPr>
        <w:t>make up what the non-residential customers have avoided paying</w:t>
      </w:r>
      <w:r w:rsidRPr="00685073">
        <w:rPr>
          <w:rFonts w:cs="Times New Roman"/>
          <w:bCs/>
          <w:szCs w:val="24"/>
        </w:rPr>
        <w:t>. Generally, the PUCO Staff’s proposal to allocate the rider ba</w:t>
      </w:r>
      <w:r w:rsidRPr="00685073">
        <w:rPr>
          <w:rFonts w:cs="Times New Roman"/>
          <w:szCs w:val="24"/>
        </w:rPr>
        <w:t>sed on 50% energy and 50% of the 5CP (coincident peak) demand should prevent this. But if energy consumption above 833,000 kWh is considered on a per-customer basis and excluded from the rate design, then costs could be shifted from non-residential customers to residential consumers.</w:t>
      </w:r>
    </w:p>
    <w:p w:rsidR="004C7ED3" w:rsidRPr="00685073" w:rsidP="00812AF4">
      <w:pPr>
        <w:spacing w:line="480" w:lineRule="auto"/>
        <w:ind w:firstLine="720"/>
        <w:rPr>
          <w:rFonts w:cs="Times New Roman"/>
          <w:szCs w:val="24"/>
        </w:rPr>
      </w:pPr>
      <w:r w:rsidRPr="00685073">
        <w:rPr>
          <w:rFonts w:cs="Times New Roman"/>
          <w:szCs w:val="24"/>
        </w:rPr>
        <w:t>On this point, OMAEG proposes to apply the 833,000 kWh limit on a per-customer basis. OMAEG’s proposal would shift costs from non-residential customers to residential customers.</w:t>
      </w:r>
      <w:r>
        <w:rPr>
          <w:rFonts w:cs="Times New Roman"/>
          <w:szCs w:val="24"/>
        </w:rPr>
        <w:t xml:space="preserve"> That is unfair to residential consumers.</w:t>
      </w:r>
      <w:r w:rsidRPr="00685073">
        <w:rPr>
          <w:rFonts w:cs="Times New Roman"/>
          <w:szCs w:val="24"/>
        </w:rPr>
        <w:t xml:space="preserve"> If the PUCO adopted OMAEG’s proposal, fewer kWh would be attributed to non-residential customers</w:t>
      </w:r>
      <w:r>
        <w:rPr>
          <w:rFonts w:cs="Times New Roman"/>
          <w:szCs w:val="24"/>
        </w:rPr>
        <w:t xml:space="preserve">, which would reduce </w:t>
      </w:r>
      <w:r w:rsidRPr="00685073">
        <w:rPr>
          <w:rFonts w:cs="Times New Roman"/>
          <w:szCs w:val="24"/>
        </w:rPr>
        <w:t>the</w:t>
      </w:r>
      <w:r>
        <w:rPr>
          <w:rFonts w:cs="Times New Roman"/>
          <w:szCs w:val="24"/>
        </w:rPr>
        <w:t>ir</w:t>
      </w:r>
      <w:r w:rsidRPr="00685073">
        <w:rPr>
          <w:rFonts w:cs="Times New Roman"/>
          <w:szCs w:val="24"/>
        </w:rPr>
        <w:t xml:space="preserve"> revenue responsibility</w:t>
      </w:r>
      <w:r>
        <w:rPr>
          <w:rFonts w:cs="Times New Roman"/>
          <w:szCs w:val="24"/>
        </w:rPr>
        <w:t xml:space="preserve"> for paying the utilities. These non-residential consumers would pay less, at the expense of other consumers, because their</w:t>
      </w:r>
      <w:r w:rsidRPr="00685073">
        <w:rPr>
          <w:rFonts w:cs="Times New Roman"/>
          <w:szCs w:val="24"/>
        </w:rPr>
        <w:t xml:space="preserve"> kWh consumed over 833,000 kWh on a per-customer basis</w:t>
      </w:r>
      <w:r>
        <w:rPr>
          <w:rFonts w:cs="Times New Roman"/>
          <w:szCs w:val="24"/>
        </w:rPr>
        <w:t xml:space="preserve"> would be ignored for calculating the amount of their payment</w:t>
      </w:r>
      <w:r w:rsidRPr="00685073">
        <w:rPr>
          <w:rFonts w:cs="Times New Roman"/>
          <w:szCs w:val="24"/>
        </w:rPr>
        <w:t>. OMAEG states:</w:t>
      </w:r>
    </w:p>
    <w:p w:rsidR="004C7ED3" w:rsidRPr="00685073" w:rsidP="004C7ED3">
      <w:pPr>
        <w:ind w:left="720" w:right="720"/>
        <w:jc w:val="both"/>
        <w:rPr>
          <w:rFonts w:cs="Times New Roman"/>
          <w:szCs w:val="24"/>
        </w:rPr>
      </w:pPr>
      <w:r w:rsidRPr="00685073">
        <w:rPr>
          <w:rFonts w:cs="Times New Roman"/>
          <w:szCs w:val="24"/>
        </w:rPr>
        <w:t xml:space="preserve">“a customer’s consumption at each site or account within an EDU service territory should have its monthly kilowatt-hour usage aggregate and applied to the cents per kwh rate for usage up to 833,000 kWh per month for purposes of determining the customer’s revenue responsibility associated with the LGR Rider. The aggregated monthly consumption from the customer’s facilities would be applied to the proposed rate design so that the first 833,000 kWh/month of aggregated consumption would receive the LGR Rider charge.” </w:t>
      </w:r>
    </w:p>
    <w:p w:rsidR="00BD47B6" w:rsidRPr="00685073" w:rsidP="004C7ED3">
      <w:pPr>
        <w:ind w:left="720" w:right="720"/>
        <w:jc w:val="both"/>
        <w:rPr>
          <w:rFonts w:cs="Times New Roman"/>
          <w:szCs w:val="24"/>
        </w:rPr>
      </w:pPr>
    </w:p>
    <w:p w:rsidR="00392686" w:rsidRPr="00685073" w:rsidP="00BD47B6">
      <w:pPr>
        <w:spacing w:line="480" w:lineRule="auto"/>
        <w:rPr>
          <w:rFonts w:cs="Times New Roman"/>
          <w:szCs w:val="24"/>
        </w:rPr>
      </w:pPr>
      <w:r w:rsidRPr="00685073">
        <w:rPr>
          <w:rFonts w:cs="Times New Roman"/>
          <w:szCs w:val="24"/>
        </w:rPr>
        <w:t xml:space="preserve">By attributing less energy to non-residential customers under the 50/50 energy-demand allocation, more energy will be attributed to residential consumers – thus shifting costs to residential consumers. </w:t>
      </w:r>
      <w:r>
        <w:rPr>
          <w:rFonts w:cs="Times New Roman"/>
          <w:szCs w:val="24"/>
        </w:rPr>
        <w:t>Again, it is wrong to make the residential consumers of AEP, DP&amp;L, Duke, and FirstEnergy subsidize more of the coal plant costs.</w:t>
      </w:r>
    </w:p>
    <w:p w:rsidR="0082244D" w:rsidRPr="00685073" w:rsidP="0033373B">
      <w:pPr>
        <w:spacing w:line="480" w:lineRule="auto"/>
        <w:ind w:firstLine="720"/>
        <w:rPr>
          <w:rFonts w:cs="Times New Roman"/>
          <w:szCs w:val="24"/>
        </w:rPr>
      </w:pPr>
      <w:r w:rsidRPr="00685073">
        <w:rPr>
          <w:rFonts w:cs="Times New Roman"/>
          <w:szCs w:val="24"/>
        </w:rPr>
        <w:t>Accordingly, the PUCO should reject OMAEG’s proposal. While OCC takes no position on whether the rate cap should be assessed to non-residential customers on a per-account or per-customer basis, the PUCO should reject OMAEG’s proposal to aggregate the kWh usage among a customer’s accounts for the purpose of allocating the revenue requirement. The language of H.B. 6 contains no limit on the kWh to be considered when determining the allocation of the revenue requirement. For purposes</w:t>
      </w:r>
      <w:r>
        <w:rPr>
          <w:rFonts w:cs="Times New Roman"/>
          <w:szCs w:val="24"/>
        </w:rPr>
        <w:t xml:space="preserve"> of determining charges to consumers</w:t>
      </w:r>
      <w:r w:rsidRPr="00685073">
        <w:rPr>
          <w:rFonts w:cs="Times New Roman"/>
          <w:szCs w:val="24"/>
        </w:rPr>
        <w:t>, the PUCO should ensure that the revenue requirements remain solely with the classes to which they are allocated. In no event should residential customers be required to make up any shortfall</w:t>
      </w:r>
      <w:r>
        <w:rPr>
          <w:rFonts w:cs="Times New Roman"/>
          <w:szCs w:val="24"/>
        </w:rPr>
        <w:t xml:space="preserve"> of the subsidy payments to utilities</w:t>
      </w:r>
      <w:r w:rsidRPr="00685073">
        <w:rPr>
          <w:rFonts w:cs="Times New Roman"/>
          <w:szCs w:val="24"/>
        </w:rPr>
        <w:t xml:space="preserve"> from the non-residential classes.</w:t>
      </w:r>
    </w:p>
    <w:p w:rsidR="00B46BDB" w:rsidRPr="00685073" w:rsidP="006144AA">
      <w:pPr>
        <w:pStyle w:val="Heading2"/>
      </w:pPr>
      <w:bookmarkStart w:id="3" w:name="_Toc7705423"/>
      <w:bookmarkStart w:id="4" w:name="_Hlk7679717"/>
      <w:r w:rsidRPr="00685073">
        <w:t xml:space="preserve">To protect consumers from ever-increasing charges, the PUCO should reject the </w:t>
      </w:r>
      <w:r>
        <w:t>Utilities’</w:t>
      </w:r>
      <w:r w:rsidRPr="00685073">
        <w:t xml:space="preserve"> proposals to impose carrying charges on residential consumers for deferrals. </w:t>
      </w:r>
      <w:bookmarkEnd w:id="3"/>
    </w:p>
    <w:p w:rsidR="00F66383" w:rsidP="00116BFF">
      <w:pPr>
        <w:spacing w:line="480" w:lineRule="auto"/>
        <w:ind w:firstLine="720"/>
        <w:rPr>
          <w:rFonts w:cs="Times New Roman"/>
          <w:bCs/>
          <w:szCs w:val="24"/>
        </w:rPr>
      </w:pPr>
      <w:bookmarkEnd w:id="4"/>
      <w:r w:rsidRPr="00685073">
        <w:rPr>
          <w:rFonts w:cs="Times New Roman"/>
          <w:bCs/>
          <w:szCs w:val="24"/>
        </w:rPr>
        <w:t xml:space="preserve">Both FirstEnergy and the OVEC Utilities propose that the PUCO </w:t>
      </w:r>
      <w:r>
        <w:rPr>
          <w:rFonts w:cs="Times New Roman"/>
          <w:bCs/>
          <w:szCs w:val="24"/>
        </w:rPr>
        <w:t xml:space="preserve">should </w:t>
      </w:r>
      <w:r w:rsidRPr="00685073">
        <w:rPr>
          <w:rFonts w:cs="Times New Roman"/>
          <w:bCs/>
          <w:szCs w:val="24"/>
        </w:rPr>
        <w:t>approve a carrying charge</w:t>
      </w:r>
      <w:r>
        <w:rPr>
          <w:rFonts w:cs="Times New Roman"/>
          <w:bCs/>
          <w:szCs w:val="24"/>
        </w:rPr>
        <w:t>, assessed to consumers at the Utilities’</w:t>
      </w:r>
      <w:r w:rsidRPr="00685073">
        <w:rPr>
          <w:rFonts w:cs="Times New Roman"/>
          <w:bCs/>
          <w:szCs w:val="24"/>
        </w:rPr>
        <w:t xml:space="preserve"> cost-of-debt</w:t>
      </w:r>
      <w:r>
        <w:rPr>
          <w:rFonts w:cs="Times New Roman"/>
          <w:bCs/>
          <w:szCs w:val="24"/>
        </w:rPr>
        <w:t>,</w:t>
      </w:r>
      <w:r w:rsidRPr="00685073">
        <w:rPr>
          <w:rFonts w:cs="Times New Roman"/>
          <w:bCs/>
          <w:szCs w:val="24"/>
        </w:rPr>
        <w:t xml:space="preserve"> </w:t>
      </w:r>
      <w:r>
        <w:rPr>
          <w:rFonts w:cs="Times New Roman"/>
          <w:bCs/>
          <w:szCs w:val="24"/>
        </w:rPr>
        <w:t>to</w:t>
      </w:r>
      <w:r w:rsidRPr="00685073">
        <w:rPr>
          <w:rFonts w:cs="Times New Roman"/>
          <w:bCs/>
          <w:szCs w:val="24"/>
        </w:rPr>
        <w:t xml:space="preserve"> </w:t>
      </w:r>
      <w:r>
        <w:rPr>
          <w:rFonts w:cs="Times New Roman"/>
          <w:bCs/>
          <w:szCs w:val="24"/>
        </w:rPr>
        <w:t>charge to consumers for</w:t>
      </w:r>
      <w:r w:rsidRPr="00685073">
        <w:rPr>
          <w:rFonts w:cs="Times New Roman"/>
          <w:bCs/>
          <w:szCs w:val="24"/>
        </w:rPr>
        <w:t xml:space="preserve"> any deferral that is not collected</w:t>
      </w:r>
      <w:r>
        <w:rPr>
          <w:rFonts w:cs="Times New Roman"/>
          <w:bCs/>
          <w:szCs w:val="24"/>
        </w:rPr>
        <w:t xml:space="preserve"> from consumers</w:t>
      </w:r>
      <w:r w:rsidRPr="00685073">
        <w:rPr>
          <w:rFonts w:cs="Times New Roman"/>
          <w:bCs/>
          <w:szCs w:val="24"/>
        </w:rPr>
        <w:t xml:space="preserve"> within 12 months.</w:t>
      </w:r>
      <w:r>
        <w:rPr>
          <w:rStyle w:val="FootnoteReference"/>
          <w:rFonts w:cs="Times New Roman"/>
          <w:bCs/>
          <w:szCs w:val="24"/>
        </w:rPr>
        <w:footnoteReference w:id="11"/>
      </w:r>
      <w:r w:rsidRPr="00685073">
        <w:rPr>
          <w:rFonts w:cs="Times New Roman"/>
          <w:bCs/>
          <w:szCs w:val="24"/>
        </w:rPr>
        <w:t xml:space="preserve"> The PUCO should reject this proposal. Customers will already be on the hook for millions of dollars to subsidize these coal plants in Ohio and Indiana. The PUCO should not add insult to injury by authorizing the utilities to charge consumers carrying costs on deferrals. Further, as noted by OCC in its initial comments, if the PUCO authorizes a reconciliation by 2030 for the deferrals, the $1.50 rate cap should remain in place to protect consumers.</w:t>
      </w:r>
    </w:p>
    <w:p w:rsidR="006144AA" w:rsidRPr="00685073" w:rsidP="006144AA">
      <w:pPr>
        <w:ind w:firstLine="720"/>
        <w:rPr>
          <w:rFonts w:cs="Times New Roman"/>
          <w:bCs/>
          <w:szCs w:val="24"/>
        </w:rPr>
      </w:pPr>
    </w:p>
    <w:p w:rsidR="00D34060" w:rsidP="00D34060">
      <w:pPr>
        <w:pStyle w:val="Heading1"/>
        <w:rPr>
          <w:rFonts w:ascii="Times New Roman" w:hAnsi="Times New Roman"/>
        </w:rPr>
      </w:pPr>
      <w:bookmarkStart w:id="5" w:name="_Toc7705431"/>
      <w:r>
        <w:rPr>
          <w:rFonts w:ascii="Times New Roman" w:hAnsi="Times New Roman"/>
        </w:rPr>
        <w:t>III.</w:t>
      </w:r>
      <w:r>
        <w:rPr>
          <w:rFonts w:ascii="Times New Roman" w:hAnsi="Times New Roman"/>
        </w:rPr>
        <w:tab/>
        <w:t>CONCLUSION</w:t>
      </w:r>
      <w:bookmarkEnd w:id="5"/>
    </w:p>
    <w:p w:rsidR="0092067D" w:rsidRPr="00685073" w:rsidP="00B43ED3">
      <w:pPr>
        <w:pStyle w:val="BodyTextIndent3"/>
        <w:widowControl w:val="0"/>
        <w:spacing w:line="480" w:lineRule="auto"/>
        <w:ind w:right="-312"/>
        <w:rPr>
          <w:szCs w:val="24"/>
        </w:rPr>
      </w:pPr>
      <w:r>
        <w:rPr>
          <w:szCs w:val="24"/>
        </w:rPr>
        <w:t>For consumer protection, the PUCO should adopt OCC’s proposals regarding the Coal Subsidy Charges.</w:t>
      </w:r>
      <w:r>
        <w:rPr>
          <w:rStyle w:val="FootnoteReference"/>
          <w:szCs w:val="24"/>
        </w:rPr>
        <w:footnoteReference w:id="12"/>
      </w:r>
      <w:r>
        <w:rPr>
          <w:szCs w:val="24"/>
        </w:rPr>
        <w:t xml:space="preserve"> The subsidies of H.B. 6 should be calculated to minimize the burden of the charges to residential consumers. </w:t>
      </w:r>
    </w:p>
    <w:p w:rsidR="0092067D" w:rsidRPr="00685073" w:rsidP="000C6486">
      <w:pPr>
        <w:spacing w:after="200" w:line="276" w:lineRule="auto"/>
        <w:ind w:left="3600" w:firstLine="720"/>
        <w:rPr>
          <w:rFonts w:cs="Times New Roman"/>
          <w:szCs w:val="24"/>
        </w:rPr>
      </w:pPr>
      <w:r w:rsidRPr="00685073">
        <w:rPr>
          <w:rFonts w:cs="Times New Roman"/>
          <w:szCs w:val="24"/>
        </w:rPr>
        <w:t>Respectfully submitted,</w:t>
      </w:r>
    </w:p>
    <w:p w:rsidR="0092067D" w:rsidRPr="00685073" w:rsidP="0092067D">
      <w:pPr>
        <w:pStyle w:val="Footer"/>
        <w:tabs>
          <w:tab w:val="left" w:pos="4320"/>
        </w:tabs>
        <w:rPr>
          <w:rFonts w:cs="Times New Roman"/>
          <w:szCs w:val="24"/>
        </w:rPr>
      </w:pPr>
      <w:r w:rsidRPr="00685073">
        <w:rPr>
          <w:rFonts w:cs="Times New Roman"/>
          <w:szCs w:val="24"/>
        </w:rPr>
        <w:tab/>
      </w:r>
      <w:r w:rsidRPr="00685073">
        <w:rPr>
          <w:rFonts w:cs="Times New Roman"/>
          <w:szCs w:val="24"/>
        </w:rPr>
        <w:tab/>
        <w:t>Bruce Weston (#0016973)</w:t>
      </w:r>
    </w:p>
    <w:p w:rsidR="0092067D" w:rsidRPr="00685073" w:rsidP="0092067D">
      <w:pPr>
        <w:tabs>
          <w:tab w:val="left" w:pos="4320"/>
        </w:tabs>
        <w:rPr>
          <w:rFonts w:cs="Times New Roman"/>
          <w:szCs w:val="24"/>
        </w:rPr>
      </w:pPr>
      <w:r w:rsidRPr="00685073">
        <w:rPr>
          <w:rFonts w:cs="Times New Roman"/>
          <w:szCs w:val="24"/>
        </w:rPr>
        <w:tab/>
        <w:t>Ohio Consumers’ Counsel</w:t>
      </w:r>
    </w:p>
    <w:p w:rsidR="0092067D" w:rsidRPr="00685073" w:rsidP="0092067D">
      <w:pPr>
        <w:tabs>
          <w:tab w:val="left" w:pos="4320"/>
        </w:tabs>
        <w:rPr>
          <w:rFonts w:cs="Times New Roman"/>
          <w:szCs w:val="24"/>
        </w:rPr>
      </w:pPr>
      <w:r w:rsidRPr="00685073">
        <w:rPr>
          <w:rFonts w:cs="Times New Roman"/>
          <w:szCs w:val="24"/>
        </w:rPr>
        <w:tab/>
      </w:r>
    </w:p>
    <w:p w:rsidR="00990CEA" w:rsidRPr="00685073" w:rsidP="00990CEA">
      <w:pPr>
        <w:pStyle w:val="Footer"/>
        <w:tabs>
          <w:tab w:val="left" w:pos="4320"/>
        </w:tabs>
        <w:rPr>
          <w:rFonts w:cs="Times New Roman"/>
          <w:i/>
          <w:iCs/>
          <w:szCs w:val="24"/>
          <w:u w:val="single"/>
        </w:rPr>
      </w:pPr>
      <w:r w:rsidRPr="00685073">
        <w:rPr>
          <w:rFonts w:cs="Times New Roman"/>
          <w:szCs w:val="24"/>
        </w:rPr>
        <w:tab/>
      </w:r>
      <w:r w:rsidRPr="00685073">
        <w:rPr>
          <w:rFonts w:cs="Times New Roman"/>
          <w:i/>
          <w:iCs/>
          <w:szCs w:val="24"/>
          <w:u w:val="single"/>
        </w:rPr>
        <w:t>/s/ Bryce McKenney</w:t>
      </w:r>
    </w:p>
    <w:p w:rsidR="00990CEA" w:rsidRPr="00685073" w:rsidP="00990CEA">
      <w:pPr>
        <w:tabs>
          <w:tab w:val="left" w:pos="4320"/>
        </w:tabs>
        <w:rPr>
          <w:rFonts w:cs="Times New Roman"/>
          <w:szCs w:val="24"/>
        </w:rPr>
      </w:pPr>
      <w:r w:rsidRPr="00685073">
        <w:rPr>
          <w:rFonts w:cs="Times New Roman"/>
          <w:szCs w:val="24"/>
        </w:rPr>
        <w:tab/>
        <w:t>Bryce McKenney (0088203)</w:t>
      </w:r>
    </w:p>
    <w:p w:rsidR="00990CEA" w:rsidRPr="00685073" w:rsidP="00990CEA">
      <w:pPr>
        <w:tabs>
          <w:tab w:val="left" w:pos="4320"/>
        </w:tabs>
        <w:rPr>
          <w:rFonts w:cs="Times New Roman"/>
          <w:szCs w:val="24"/>
        </w:rPr>
      </w:pPr>
      <w:r w:rsidRPr="00685073">
        <w:rPr>
          <w:rFonts w:cs="Times New Roman"/>
          <w:szCs w:val="24"/>
        </w:rPr>
        <w:tab/>
        <w:t>Counsel of Record</w:t>
      </w:r>
    </w:p>
    <w:p w:rsidR="00990CEA" w:rsidRPr="00685073" w:rsidP="00990CEA">
      <w:pPr>
        <w:tabs>
          <w:tab w:val="left" w:pos="4320"/>
        </w:tabs>
        <w:rPr>
          <w:rFonts w:cs="Times New Roman"/>
          <w:szCs w:val="24"/>
        </w:rPr>
      </w:pPr>
      <w:r w:rsidRPr="00685073">
        <w:rPr>
          <w:rFonts w:cs="Times New Roman"/>
          <w:szCs w:val="24"/>
        </w:rPr>
        <w:tab/>
        <w:t>William J. Michael (0070921)</w:t>
      </w:r>
    </w:p>
    <w:p w:rsidR="00990CEA" w:rsidRPr="00685073" w:rsidP="00990CEA">
      <w:pPr>
        <w:tabs>
          <w:tab w:val="left" w:pos="4320"/>
        </w:tabs>
        <w:rPr>
          <w:rFonts w:cs="Times New Roman"/>
          <w:szCs w:val="24"/>
        </w:rPr>
      </w:pPr>
      <w:r w:rsidRPr="00685073">
        <w:rPr>
          <w:rFonts w:cs="Times New Roman"/>
          <w:szCs w:val="24"/>
        </w:rPr>
        <w:tab/>
        <w:t>Assistant Consumers’ Counsel</w:t>
      </w:r>
    </w:p>
    <w:p w:rsidR="00990CEA" w:rsidRPr="00685073" w:rsidP="00990CEA">
      <w:pPr>
        <w:ind w:left="4320"/>
        <w:rPr>
          <w:rFonts w:cs="Times New Roman"/>
          <w:b/>
          <w:szCs w:val="24"/>
        </w:rPr>
      </w:pPr>
    </w:p>
    <w:p w:rsidR="00990CEA" w:rsidRPr="00685073" w:rsidP="00990CEA">
      <w:pPr>
        <w:ind w:left="4320"/>
        <w:rPr>
          <w:rFonts w:cs="Times New Roman"/>
          <w:b/>
          <w:szCs w:val="24"/>
        </w:rPr>
      </w:pPr>
      <w:r w:rsidRPr="00685073">
        <w:rPr>
          <w:rFonts w:cs="Times New Roman"/>
          <w:b/>
          <w:szCs w:val="24"/>
        </w:rPr>
        <w:t>Office of the Ohio Consumers’ Counsel</w:t>
      </w:r>
    </w:p>
    <w:p w:rsidR="00990CEA" w:rsidRPr="00685073" w:rsidP="00990CEA">
      <w:pPr>
        <w:ind w:left="3600" w:firstLine="720"/>
        <w:rPr>
          <w:rFonts w:cs="Times New Roman"/>
          <w:b/>
          <w:szCs w:val="24"/>
        </w:rPr>
      </w:pPr>
      <w:r w:rsidRPr="00685073">
        <w:rPr>
          <w:rFonts w:cs="Times New Roman"/>
          <w:szCs w:val="24"/>
        </w:rPr>
        <w:t>65 East State Street, 7</w:t>
      </w:r>
      <w:r w:rsidRPr="00685073">
        <w:rPr>
          <w:rFonts w:cs="Times New Roman"/>
          <w:szCs w:val="24"/>
          <w:vertAlign w:val="superscript"/>
        </w:rPr>
        <w:t>th</w:t>
      </w:r>
      <w:r w:rsidRPr="00685073">
        <w:rPr>
          <w:rFonts w:cs="Times New Roman"/>
          <w:szCs w:val="24"/>
        </w:rPr>
        <w:t xml:space="preserve"> Floor</w:t>
      </w:r>
    </w:p>
    <w:p w:rsidR="00990CEA" w:rsidRPr="00685073" w:rsidP="00990CEA">
      <w:pPr>
        <w:ind w:left="3600" w:firstLine="720"/>
        <w:rPr>
          <w:rFonts w:cs="Times New Roman"/>
          <w:szCs w:val="24"/>
        </w:rPr>
      </w:pPr>
      <w:r w:rsidRPr="00685073">
        <w:rPr>
          <w:rFonts w:cs="Times New Roman"/>
          <w:szCs w:val="24"/>
        </w:rPr>
        <w:t>Columbus, Ohio 43215-4213</w:t>
      </w:r>
    </w:p>
    <w:p w:rsidR="00990CEA" w:rsidRPr="00685073" w:rsidP="00990CEA">
      <w:pPr>
        <w:autoSpaceDE w:val="0"/>
        <w:autoSpaceDN w:val="0"/>
        <w:adjustRightInd w:val="0"/>
        <w:ind w:left="4320"/>
        <w:rPr>
          <w:rFonts w:cs="Times New Roman"/>
          <w:szCs w:val="24"/>
        </w:rPr>
      </w:pPr>
      <w:r w:rsidRPr="00685073">
        <w:rPr>
          <w:rFonts w:cs="Times New Roman"/>
          <w:szCs w:val="24"/>
        </w:rPr>
        <w:t>Telephone [McKenney]: (614) 466-9585</w:t>
      </w:r>
    </w:p>
    <w:p w:rsidR="00990CEA" w:rsidRPr="00685073" w:rsidP="00990CEA">
      <w:pPr>
        <w:autoSpaceDE w:val="0"/>
        <w:autoSpaceDN w:val="0"/>
        <w:adjustRightInd w:val="0"/>
        <w:ind w:left="4320"/>
        <w:rPr>
          <w:rFonts w:cs="Times New Roman"/>
          <w:szCs w:val="24"/>
        </w:rPr>
      </w:pPr>
      <w:r w:rsidRPr="00685073">
        <w:rPr>
          <w:rFonts w:cs="Times New Roman"/>
          <w:szCs w:val="24"/>
        </w:rPr>
        <w:t>Telephone [Michael]: (614) 466-1291</w:t>
      </w:r>
    </w:p>
    <w:p w:rsidR="00990CEA" w:rsidRPr="00685073" w:rsidP="00990CEA">
      <w:pPr>
        <w:autoSpaceDE w:val="0"/>
        <w:autoSpaceDN w:val="0"/>
        <w:adjustRightInd w:val="0"/>
        <w:ind w:left="4320"/>
        <w:rPr>
          <w:rFonts w:cs="Times New Roman"/>
          <w:szCs w:val="24"/>
        </w:rPr>
      </w:pPr>
      <w:r>
        <w:fldChar w:fldCharType="begin"/>
      </w:r>
      <w:r>
        <w:instrText xml:space="preserve"> HYPERLINK "mailto:Bryce.mckenney@occ.ohio.gov" </w:instrText>
      </w:r>
      <w:r>
        <w:fldChar w:fldCharType="separate"/>
      </w:r>
      <w:r w:rsidRPr="00685073" w:rsidR="00F76653">
        <w:rPr>
          <w:rStyle w:val="Hyperlink"/>
          <w:rFonts w:cs="Times New Roman"/>
          <w:szCs w:val="24"/>
        </w:rPr>
        <w:t>Bryce.mckenney@occ.ohio.gov</w:t>
      </w:r>
      <w:r>
        <w:fldChar w:fldCharType="end"/>
      </w:r>
    </w:p>
    <w:p w:rsidR="00755AF3" w:rsidRPr="00685073" w:rsidP="00990CEA">
      <w:pPr>
        <w:tabs>
          <w:tab w:val="left" w:pos="4320"/>
        </w:tabs>
        <w:rPr>
          <w:rFonts w:cs="Times New Roman"/>
          <w:szCs w:val="24"/>
        </w:rPr>
      </w:pPr>
      <w:r w:rsidRPr="00685073">
        <w:rPr>
          <w:rFonts w:cs="Times New Roman"/>
          <w:szCs w:val="24"/>
        </w:rPr>
        <w:tab/>
      </w:r>
      <w:r>
        <w:fldChar w:fldCharType="begin"/>
      </w:r>
      <w:r>
        <w:instrText xml:space="preserve"> HYPERLINK "mailto:William.michael@occ.ohio.gov" </w:instrText>
      </w:r>
      <w:r>
        <w:fldChar w:fldCharType="separate"/>
      </w:r>
      <w:r w:rsidRPr="00685073">
        <w:rPr>
          <w:rStyle w:val="Hyperlink"/>
          <w:rFonts w:cs="Times New Roman"/>
          <w:szCs w:val="24"/>
        </w:rPr>
        <w:t>William.michael@occ.ohio.gov</w:t>
      </w:r>
      <w:r>
        <w:fldChar w:fldCharType="end"/>
      </w:r>
    </w:p>
    <w:p w:rsidR="00755AF3" w:rsidRPr="00685073" w:rsidP="00D25020">
      <w:pPr>
        <w:ind w:left="4320"/>
        <w:rPr>
          <w:rFonts w:cs="Times New Roman"/>
          <w:szCs w:val="24"/>
        </w:rPr>
      </w:pPr>
      <w:r w:rsidRPr="00685073">
        <w:rPr>
          <w:rFonts w:cs="Times New Roman"/>
          <w:szCs w:val="24"/>
        </w:rPr>
        <w:t>(Willing to accept service by e-mail)</w:t>
      </w:r>
    </w:p>
    <w:p w:rsidR="00D0272C" w:rsidRPr="00685073" w:rsidP="0092067D">
      <w:pPr>
        <w:jc w:val="center"/>
        <w:rPr>
          <w:rFonts w:cs="Times New Roman"/>
          <w:b/>
          <w:bCs/>
          <w:szCs w:val="24"/>
          <w:u w:val="single"/>
        </w:rPr>
        <w:sectPr w:rsidSect="00850EAC">
          <w:footerReference w:type="default" r:id="rId7"/>
          <w:footerReference w:type="first" r:id="rId8"/>
          <w:pgSz w:w="12240" w:h="15840"/>
          <w:pgMar w:top="1440" w:right="1800" w:bottom="1440" w:left="1800" w:header="720" w:footer="720" w:gutter="0"/>
          <w:cols w:space="720"/>
          <w:titlePg/>
          <w:docGrid w:linePitch="360"/>
        </w:sectPr>
      </w:pPr>
    </w:p>
    <w:p w:rsidR="0092067D" w:rsidRPr="00685073" w:rsidP="0092067D">
      <w:pPr>
        <w:jc w:val="center"/>
        <w:rPr>
          <w:rFonts w:cs="Times New Roman"/>
          <w:b/>
          <w:bCs/>
          <w:szCs w:val="24"/>
          <w:u w:val="single"/>
        </w:rPr>
      </w:pPr>
      <w:r w:rsidRPr="00685073">
        <w:rPr>
          <w:rFonts w:cs="Times New Roman"/>
          <w:b/>
          <w:bCs/>
          <w:szCs w:val="24"/>
          <w:u w:val="single"/>
        </w:rPr>
        <w:t>CERTIFICATE OF SERVICE</w:t>
      </w:r>
    </w:p>
    <w:p w:rsidR="0092067D" w:rsidRPr="00685073" w:rsidP="0092067D">
      <w:pPr>
        <w:spacing w:line="480" w:lineRule="atLeast"/>
        <w:rPr>
          <w:rFonts w:cs="Times New Roman"/>
          <w:szCs w:val="24"/>
        </w:rPr>
      </w:pPr>
      <w:r w:rsidRPr="00685073">
        <w:rPr>
          <w:rFonts w:cs="Times New Roman"/>
          <w:szCs w:val="24"/>
        </w:rPr>
        <w:tab/>
        <w:t xml:space="preserve">I hereby certify that a copy of these Reply Comments were served on the persons stated below </w:t>
      </w:r>
      <w:r w:rsidRPr="00685073">
        <w:rPr>
          <w:rFonts w:cs="Times New Roman"/>
          <w:iCs/>
          <w:szCs w:val="24"/>
        </w:rPr>
        <w:t>via</w:t>
      </w:r>
      <w:r w:rsidRPr="00685073">
        <w:rPr>
          <w:rFonts w:cs="Times New Roman"/>
          <w:szCs w:val="24"/>
        </w:rPr>
        <w:t xml:space="preserve"> electronic transmission, this 28</w:t>
      </w:r>
      <w:r w:rsidRPr="00685073">
        <w:rPr>
          <w:rFonts w:cs="Times New Roman"/>
          <w:szCs w:val="24"/>
          <w:vertAlign w:val="superscript"/>
        </w:rPr>
        <w:t>th</w:t>
      </w:r>
      <w:r w:rsidRPr="00685073">
        <w:rPr>
          <w:rFonts w:cs="Times New Roman"/>
          <w:szCs w:val="24"/>
        </w:rPr>
        <w:t xml:space="preserve"> day of October 2019.</w:t>
      </w:r>
    </w:p>
    <w:p w:rsidR="0092067D" w:rsidRPr="00685073" w:rsidP="0092067D">
      <w:pPr>
        <w:spacing w:line="480" w:lineRule="atLeast"/>
        <w:rPr>
          <w:rFonts w:cs="Times New Roman"/>
          <w:szCs w:val="24"/>
        </w:rPr>
      </w:pPr>
    </w:p>
    <w:p w:rsidR="0092067D" w:rsidRPr="00685073" w:rsidP="0092067D">
      <w:pPr>
        <w:tabs>
          <w:tab w:val="left" w:pos="4320"/>
        </w:tabs>
        <w:rPr>
          <w:rFonts w:cs="Times New Roman"/>
          <w:i/>
          <w:szCs w:val="24"/>
          <w:u w:val="single"/>
        </w:rPr>
      </w:pPr>
      <w:r w:rsidRPr="00685073">
        <w:rPr>
          <w:rFonts w:cs="Times New Roman"/>
          <w:szCs w:val="24"/>
        </w:rPr>
        <w:tab/>
      </w:r>
      <w:r w:rsidRPr="00685073">
        <w:rPr>
          <w:rFonts w:cs="Times New Roman"/>
          <w:i/>
          <w:szCs w:val="24"/>
          <w:u w:val="single"/>
        </w:rPr>
        <w:t>/s/ Bryce McKenney</w:t>
      </w:r>
      <w:r w:rsidRPr="00685073">
        <w:rPr>
          <w:rFonts w:cs="Times New Roman"/>
          <w:i/>
          <w:szCs w:val="24"/>
          <w:u w:val="single"/>
        </w:rPr>
        <w:tab/>
      </w:r>
      <w:r w:rsidRPr="00685073">
        <w:rPr>
          <w:rFonts w:cs="Times New Roman"/>
          <w:i/>
          <w:szCs w:val="24"/>
          <w:u w:val="single"/>
        </w:rPr>
        <w:tab/>
      </w:r>
      <w:r w:rsidRPr="00685073">
        <w:rPr>
          <w:rFonts w:cs="Times New Roman"/>
          <w:i/>
          <w:szCs w:val="24"/>
          <w:u w:val="single"/>
        </w:rPr>
        <w:tab/>
      </w:r>
    </w:p>
    <w:p w:rsidR="0092067D" w:rsidRPr="00685073" w:rsidP="0092067D">
      <w:pPr>
        <w:tabs>
          <w:tab w:val="left" w:pos="4320"/>
        </w:tabs>
        <w:rPr>
          <w:rFonts w:cs="Times New Roman"/>
          <w:szCs w:val="24"/>
        </w:rPr>
      </w:pPr>
      <w:r w:rsidRPr="00685073">
        <w:rPr>
          <w:rFonts w:cs="Times New Roman"/>
          <w:szCs w:val="24"/>
        </w:rPr>
        <w:tab/>
        <w:t>Bryce McKenney</w:t>
      </w:r>
    </w:p>
    <w:p w:rsidR="0092067D" w:rsidRPr="00685073" w:rsidP="0092067D">
      <w:pPr>
        <w:tabs>
          <w:tab w:val="left" w:pos="4320"/>
        </w:tabs>
        <w:rPr>
          <w:rFonts w:cs="Times New Roman"/>
          <w:szCs w:val="24"/>
        </w:rPr>
      </w:pPr>
      <w:r w:rsidRPr="00685073">
        <w:rPr>
          <w:rFonts w:cs="Times New Roman"/>
          <w:szCs w:val="24"/>
        </w:rPr>
        <w:tab/>
        <w:t>Assistant Consumers’ Counsel</w:t>
      </w:r>
    </w:p>
    <w:p w:rsidR="000C6486" w:rsidRPr="00685073" w:rsidP="0092067D">
      <w:pPr>
        <w:tabs>
          <w:tab w:val="left" w:pos="4320"/>
        </w:tabs>
        <w:rPr>
          <w:rFonts w:cs="Times New Roman"/>
          <w:szCs w:val="24"/>
        </w:rPr>
      </w:pPr>
    </w:p>
    <w:p w:rsidR="0092067D" w:rsidRPr="00685073" w:rsidP="0092067D">
      <w:pPr>
        <w:pStyle w:val="CommentSubject"/>
        <w:rPr>
          <w:rFonts w:cs="Times New Roman"/>
          <w:sz w:val="24"/>
          <w:szCs w:val="24"/>
        </w:rPr>
      </w:pPr>
    </w:p>
    <w:p w:rsidR="00D0272C" w:rsidRPr="00685073" w:rsidP="00D0272C">
      <w:pPr>
        <w:pStyle w:val="CommentText"/>
        <w:rPr>
          <w:rFonts w:cs="Times New Roman"/>
          <w:sz w:val="24"/>
          <w:szCs w:val="24"/>
        </w:rPr>
      </w:pPr>
      <w:r w:rsidRPr="00685073">
        <w:rPr>
          <w:rFonts w:cs="Times New Roman"/>
          <w:sz w:val="24"/>
          <w:szCs w:val="24"/>
        </w:rPr>
        <w:t>The PUCO’s e-filing system will electronically serve notice of the filing of this document on the following parties:</w:t>
      </w:r>
    </w:p>
    <w:p w:rsidR="0092067D" w:rsidRPr="00685073" w:rsidP="0092067D">
      <w:pPr>
        <w:pStyle w:val="CommentText"/>
        <w:rPr>
          <w:rFonts w:cs="Times New Roman"/>
          <w:sz w:val="24"/>
          <w:szCs w:val="24"/>
        </w:rPr>
      </w:pPr>
    </w:p>
    <w:p w:rsidR="001F1408" w:rsidRPr="00685073" w:rsidP="001F1408">
      <w:pPr>
        <w:pStyle w:val="CommentText"/>
        <w:jc w:val="center"/>
        <w:rPr>
          <w:rFonts w:cs="Times New Roman"/>
          <w:b/>
          <w:sz w:val="24"/>
          <w:szCs w:val="24"/>
          <w:u w:val="single"/>
        </w:rPr>
      </w:pPr>
    </w:p>
    <w:p w:rsidR="001F1408" w:rsidRPr="00685073" w:rsidP="001F1408">
      <w:pPr>
        <w:pStyle w:val="CommentText"/>
        <w:jc w:val="center"/>
        <w:rPr>
          <w:rFonts w:cs="Times New Roman"/>
          <w:b/>
          <w:sz w:val="24"/>
          <w:szCs w:val="24"/>
          <w:u w:val="single"/>
        </w:rPr>
      </w:pPr>
      <w:r w:rsidRPr="00685073">
        <w:rPr>
          <w:rFonts w:cs="Times New Roman"/>
          <w:b/>
          <w:sz w:val="24"/>
          <w:szCs w:val="24"/>
          <w:u w:val="single"/>
        </w:rPr>
        <w:t>SERVICE LIST</w:t>
      </w:r>
    </w:p>
    <w:p w:rsidR="001F1408" w:rsidRPr="00685073" w:rsidP="001F1408">
      <w:pPr>
        <w:pStyle w:val="CommentText"/>
        <w:jc w:val="center"/>
        <w:rPr>
          <w:rFonts w:cs="Times New Roman"/>
          <w:b/>
          <w:sz w:val="24"/>
          <w:szCs w:val="24"/>
          <w:u w:val="single"/>
        </w:rPr>
      </w:pPr>
    </w:p>
    <w:p w:rsidR="001F1408" w:rsidRPr="00685073" w:rsidP="001F1408">
      <w:pPr>
        <w:pStyle w:val="CommentText"/>
        <w:jc w:val="center"/>
        <w:rPr>
          <w:rFonts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9"/>
        <w:gridCol w:w="4481"/>
      </w:tblGrid>
      <w:tr w:rsidTr="007E393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1F1408" w:rsidRPr="00685073" w:rsidP="007E393A">
            <w:pPr>
              <w:rPr>
                <w:rFonts w:cs="Times New Roman"/>
                <w:szCs w:val="24"/>
              </w:rPr>
            </w:pPr>
            <w:r>
              <w:fldChar w:fldCharType="begin"/>
            </w:r>
            <w:r>
              <w:instrText xml:space="preserve"> HYPERLINK "mailto:John.jones@ohioattorneygeneral.gov" </w:instrText>
            </w:r>
            <w:r>
              <w:fldChar w:fldCharType="separate"/>
            </w:r>
            <w:r w:rsidRPr="00685073" w:rsidR="00F76653">
              <w:rPr>
                <w:rStyle w:val="Hyperlink"/>
                <w:rFonts w:cs="Times New Roman"/>
                <w:szCs w:val="24"/>
              </w:rPr>
              <w:t>John.jones@ohioattorneygeneral.gov</w:t>
            </w:r>
            <w:r>
              <w:fldChar w:fldCharType="end"/>
            </w:r>
          </w:p>
          <w:p w:rsidR="001F1408" w:rsidP="007E393A">
            <w:pPr>
              <w:autoSpaceDE w:val="0"/>
              <w:autoSpaceDN w:val="0"/>
              <w:adjustRightInd w:val="0"/>
            </w:pPr>
            <w:r>
              <w:fldChar w:fldCharType="begin"/>
            </w:r>
            <w:r>
              <w:instrText xml:space="preserve"> HYPERLINK "mailto:mkurtz@BKLlawfirm.com" </w:instrText>
            </w:r>
            <w:r>
              <w:fldChar w:fldCharType="separate"/>
            </w:r>
            <w:r w:rsidRPr="00A848A5" w:rsidR="00F76653">
              <w:rPr>
                <w:rStyle w:val="Hyperlink"/>
              </w:rPr>
              <w:t>m</w:t>
            </w:r>
            <w:r w:rsidRPr="00A848A5" w:rsidR="00F76653">
              <w:rPr>
                <w:rStyle w:val="Hyperlink"/>
                <w:rFonts w:cs="Times New Roman"/>
                <w:szCs w:val="24"/>
              </w:rPr>
              <w:t>kurtz@BKLlawfirm.com</w:t>
            </w:r>
            <w:r>
              <w:fldChar w:fldCharType="end"/>
            </w:r>
          </w:p>
          <w:p w:rsidR="001F1408" w:rsidRPr="00685073" w:rsidP="007E393A">
            <w:pPr>
              <w:autoSpaceDE w:val="0"/>
              <w:autoSpaceDN w:val="0"/>
              <w:adjustRightInd w:val="0"/>
              <w:rPr>
                <w:rFonts w:cs="Times New Roman"/>
                <w:szCs w:val="24"/>
              </w:rPr>
            </w:pPr>
            <w:r>
              <w:fldChar w:fldCharType="begin"/>
            </w:r>
            <w:r>
              <w:instrText xml:space="preserve"> HYPERLINK "mailto:kboehm@BLKlawfirm.com" </w:instrText>
            </w:r>
            <w:r>
              <w:fldChar w:fldCharType="separate"/>
            </w:r>
            <w:r w:rsidRPr="00685073" w:rsidR="00F76653">
              <w:rPr>
                <w:rStyle w:val="Hyperlink"/>
                <w:rFonts w:cs="Times New Roman"/>
                <w:szCs w:val="24"/>
              </w:rPr>
              <w:t>kboehm@BLKlawfirm.com</w:t>
            </w:r>
            <w:r>
              <w:fldChar w:fldCharType="end"/>
            </w:r>
          </w:p>
          <w:p w:rsidR="001F1408" w:rsidRPr="00685073" w:rsidP="007E393A">
            <w:pPr>
              <w:rPr>
                <w:rFonts w:cs="Times New Roman"/>
                <w:szCs w:val="24"/>
              </w:rPr>
            </w:pPr>
            <w:r>
              <w:fldChar w:fldCharType="begin"/>
            </w:r>
            <w:r>
              <w:instrText xml:space="preserve"> HYPERLINK "mailto:jkylercohn@BKLlawfirm.com" </w:instrText>
            </w:r>
            <w:r>
              <w:fldChar w:fldCharType="separate"/>
            </w:r>
            <w:r w:rsidRPr="00685073" w:rsidR="00F76653">
              <w:rPr>
                <w:rStyle w:val="Hyperlink"/>
                <w:rFonts w:cs="Times New Roman"/>
                <w:szCs w:val="24"/>
              </w:rPr>
              <w:t>jkylercohn@BKLlawfirm.com</w:t>
            </w:r>
            <w:r>
              <w:fldChar w:fldCharType="end"/>
            </w:r>
          </w:p>
          <w:p w:rsidR="001F1408" w:rsidRPr="00685073" w:rsidP="007E393A">
            <w:pPr>
              <w:rPr>
                <w:rFonts w:cs="Times New Roman"/>
                <w:szCs w:val="24"/>
              </w:rPr>
            </w:pPr>
            <w:r>
              <w:fldChar w:fldCharType="begin"/>
            </w:r>
            <w:r>
              <w:instrText xml:space="preserve"> HYPERLINK "mailto:stnourse@aep.com" </w:instrText>
            </w:r>
            <w:r>
              <w:fldChar w:fldCharType="separate"/>
            </w:r>
            <w:r w:rsidRPr="00685073" w:rsidR="00F76653">
              <w:rPr>
                <w:rStyle w:val="Hyperlink"/>
                <w:rFonts w:cs="Times New Roman"/>
                <w:szCs w:val="24"/>
              </w:rPr>
              <w:t>stnourse@aep.com</w:t>
            </w:r>
            <w:r>
              <w:fldChar w:fldCharType="end"/>
            </w:r>
          </w:p>
          <w:p w:rsidR="001F1408" w:rsidRPr="00685073" w:rsidP="001F1408">
            <w:pPr>
              <w:autoSpaceDE w:val="0"/>
              <w:autoSpaceDN w:val="0"/>
              <w:adjustRightInd w:val="0"/>
              <w:rPr>
                <w:rFonts w:cs="Times New Roman"/>
                <w:color w:val="0000FF"/>
                <w:szCs w:val="24"/>
              </w:rPr>
            </w:pPr>
            <w:r>
              <w:fldChar w:fldCharType="begin"/>
            </w:r>
            <w:r>
              <w:instrText xml:space="preserve"> HYPERLINK "mailto:bknipe@firstenergycorp.com" </w:instrText>
            </w:r>
            <w:r>
              <w:fldChar w:fldCharType="separate"/>
            </w:r>
            <w:r w:rsidRPr="00685073" w:rsidR="00F76653">
              <w:rPr>
                <w:rStyle w:val="Hyperlink"/>
                <w:rFonts w:cs="Times New Roman"/>
                <w:szCs w:val="24"/>
              </w:rPr>
              <w:t>bknipe@firstenergycorp.com</w:t>
            </w:r>
            <w:r>
              <w:fldChar w:fldCharType="end"/>
            </w:r>
          </w:p>
          <w:p w:rsidR="001F1408" w:rsidRPr="00685073" w:rsidP="001F1408">
            <w:pPr>
              <w:rPr>
                <w:rFonts w:cs="Times New Roman"/>
                <w:color w:val="0000FF"/>
                <w:szCs w:val="24"/>
              </w:rPr>
            </w:pPr>
            <w:r>
              <w:fldChar w:fldCharType="begin"/>
            </w:r>
            <w:r>
              <w:instrText xml:space="preserve"> HYPERLINK "mailto:scasto@firstenergycorp.com" </w:instrText>
            </w:r>
            <w:r>
              <w:fldChar w:fldCharType="separate"/>
            </w:r>
            <w:r w:rsidRPr="00685073" w:rsidR="00F76653">
              <w:rPr>
                <w:rStyle w:val="Hyperlink"/>
                <w:rFonts w:cs="Times New Roman"/>
                <w:szCs w:val="24"/>
              </w:rPr>
              <w:t>scasto@firstenergycorp.com</w:t>
            </w:r>
            <w:r>
              <w:fldChar w:fldCharType="end"/>
            </w:r>
          </w:p>
          <w:p w:rsidR="001F1408" w:rsidRPr="00685073" w:rsidP="001F1408">
            <w:pPr>
              <w:rPr>
                <w:rFonts w:cs="Times New Roman"/>
                <w:szCs w:val="24"/>
              </w:rPr>
            </w:pPr>
            <w:r>
              <w:fldChar w:fldCharType="begin"/>
            </w:r>
            <w:r>
              <w:instrText xml:space="preserve"> HYPERLINK "mailto:michael.schuler@aes.com" </w:instrText>
            </w:r>
            <w:r>
              <w:fldChar w:fldCharType="separate"/>
            </w:r>
            <w:r w:rsidRPr="00685073" w:rsidR="00F76653">
              <w:rPr>
                <w:rStyle w:val="Hyperlink"/>
                <w:rFonts w:cs="Times New Roman"/>
                <w:szCs w:val="24"/>
              </w:rPr>
              <w:t>michael.schuler@aes.com</w:t>
            </w:r>
            <w:r>
              <w:fldChar w:fldCharType="end"/>
            </w:r>
          </w:p>
          <w:p w:rsidR="001F1408" w:rsidRPr="00685073" w:rsidP="001F1408">
            <w:pPr>
              <w:autoSpaceDE w:val="0"/>
              <w:autoSpaceDN w:val="0"/>
              <w:adjustRightInd w:val="0"/>
              <w:rPr>
                <w:rFonts w:cs="Times New Roman"/>
                <w:color w:val="0000FF"/>
                <w:szCs w:val="24"/>
              </w:rPr>
            </w:pPr>
            <w:r>
              <w:fldChar w:fldCharType="begin"/>
            </w:r>
            <w:r>
              <w:instrText xml:space="preserve"> HYPERLINK "mailto:paul@carpenterlipps.com" </w:instrText>
            </w:r>
            <w:r>
              <w:fldChar w:fldCharType="separate"/>
            </w:r>
            <w:r w:rsidRPr="00685073" w:rsidR="00F76653">
              <w:rPr>
                <w:rStyle w:val="Hyperlink"/>
                <w:rFonts w:cs="Times New Roman"/>
                <w:szCs w:val="24"/>
              </w:rPr>
              <w:t>paul@carpenterlipps.com</w:t>
            </w:r>
            <w:r>
              <w:fldChar w:fldCharType="end"/>
            </w:r>
          </w:p>
          <w:p w:rsidR="001F1408" w:rsidP="001F1408">
            <w:pPr>
              <w:rPr>
                <w:rStyle w:val="Hyperlink"/>
                <w:rFonts w:cs="Times New Roman"/>
                <w:szCs w:val="24"/>
              </w:rPr>
            </w:pPr>
            <w:r>
              <w:fldChar w:fldCharType="begin"/>
            </w:r>
            <w:r>
              <w:instrText xml:space="preserve"> HYPERLINK "mailto:dutton@carpenterlipps.com" </w:instrText>
            </w:r>
            <w:r>
              <w:fldChar w:fldCharType="separate"/>
            </w:r>
            <w:r w:rsidRPr="00685073" w:rsidR="00F76653">
              <w:rPr>
                <w:rStyle w:val="Hyperlink"/>
                <w:rFonts w:cs="Times New Roman"/>
                <w:szCs w:val="24"/>
              </w:rPr>
              <w:t>dutton@carpenterlipps.com</w:t>
            </w:r>
            <w:r>
              <w:fldChar w:fldCharType="end"/>
            </w:r>
          </w:p>
          <w:p w:rsidR="006144AA" w:rsidP="006144AA">
            <w:pPr>
              <w:autoSpaceDE w:val="0"/>
              <w:autoSpaceDN w:val="0"/>
              <w:adjustRightInd w:val="0"/>
              <w:rPr>
                <w:rFonts w:cs="Times New Roman"/>
                <w:szCs w:val="24"/>
              </w:rPr>
            </w:pPr>
            <w:r>
              <w:fldChar w:fldCharType="begin"/>
            </w:r>
            <w:r>
              <w:instrText xml:space="preserve"> HYPERLINK "mailto:Rocco.DAscenzo@duke-energy.com" </w:instrText>
            </w:r>
            <w:r>
              <w:fldChar w:fldCharType="separate"/>
            </w:r>
            <w:r w:rsidRPr="001174E7" w:rsidR="00F76653">
              <w:rPr>
                <w:rStyle w:val="Hyperlink"/>
                <w:rFonts w:ascii="TimesNewRomanPSMT" w:hAnsi="TimesNewRomanPSMT" w:cs="TimesNewRomanPSMT"/>
                <w:szCs w:val="24"/>
              </w:rPr>
              <w:t>Rocco.DAscenzo@duke</w:t>
            </w:r>
            <w:r w:rsidRPr="001174E7" w:rsidR="00F76653">
              <w:rPr>
                <w:rStyle w:val="Hyperlink"/>
                <w:rFonts w:cs="Times New Roman"/>
                <w:szCs w:val="24"/>
              </w:rPr>
              <w:t>-energy.com</w:t>
            </w:r>
            <w:r>
              <w:fldChar w:fldCharType="end"/>
            </w:r>
          </w:p>
          <w:p w:rsidR="006144AA" w:rsidP="006144AA">
            <w:pPr>
              <w:autoSpaceDE w:val="0"/>
              <w:autoSpaceDN w:val="0"/>
              <w:adjustRightInd w:val="0"/>
              <w:rPr>
                <w:rFonts w:cs="Times New Roman"/>
                <w:szCs w:val="24"/>
              </w:rPr>
            </w:pPr>
            <w:r>
              <w:fldChar w:fldCharType="begin"/>
            </w:r>
            <w:r>
              <w:instrText xml:space="preserve"> HYPERLINK "mailto:Jeanne.Kingery@duke-energy.com" </w:instrText>
            </w:r>
            <w:r>
              <w:fldChar w:fldCharType="separate"/>
            </w:r>
            <w:r w:rsidRPr="001174E7" w:rsidR="00F76653">
              <w:rPr>
                <w:rStyle w:val="Hyperlink"/>
                <w:rFonts w:cs="Times New Roman"/>
                <w:szCs w:val="24"/>
              </w:rPr>
              <w:t>Jeanne.Kingery@duke-energy.com</w:t>
            </w:r>
            <w:r>
              <w:fldChar w:fldCharType="end"/>
            </w:r>
          </w:p>
          <w:p w:rsidR="006144AA" w:rsidP="006144AA">
            <w:pPr>
              <w:rPr>
                <w:rFonts w:cs="Times New Roman"/>
                <w:szCs w:val="24"/>
              </w:rPr>
            </w:pPr>
            <w:r>
              <w:fldChar w:fldCharType="begin"/>
            </w:r>
            <w:r>
              <w:instrText xml:space="preserve"> HYPERLINK "mailto:Larisa.Vaysman@duke-energy.com" </w:instrText>
            </w:r>
            <w:r>
              <w:fldChar w:fldCharType="separate"/>
            </w:r>
            <w:r w:rsidRPr="001174E7" w:rsidR="00F76653">
              <w:rPr>
                <w:rStyle w:val="Hyperlink"/>
                <w:rFonts w:cs="Times New Roman"/>
                <w:szCs w:val="24"/>
              </w:rPr>
              <w:t>Larisa.Vaysman@duke-energy.com</w:t>
            </w:r>
            <w:r>
              <w:fldChar w:fldCharType="end"/>
            </w:r>
          </w:p>
          <w:p w:rsidR="001F1408" w:rsidRPr="00685073" w:rsidP="001F1408">
            <w:pPr>
              <w:rPr>
                <w:rFonts w:cs="Times New Roman"/>
                <w:color w:val="0000FF"/>
                <w:szCs w:val="24"/>
              </w:rPr>
            </w:pPr>
          </w:p>
          <w:p w:rsidR="001F1408" w:rsidP="001F1408">
            <w:pPr>
              <w:rPr>
                <w:rFonts w:cs="Times New Roman"/>
                <w:color w:val="0000FF"/>
                <w:szCs w:val="24"/>
              </w:rPr>
            </w:pPr>
            <w:r>
              <w:rPr>
                <w:rFonts w:cs="Times New Roman"/>
                <w:color w:val="0000FF"/>
                <w:szCs w:val="24"/>
              </w:rPr>
              <w:t>Attorney Examiner:</w:t>
            </w:r>
          </w:p>
          <w:p w:rsidR="006144AA" w:rsidP="001F1408">
            <w:pPr>
              <w:rPr>
                <w:rFonts w:cs="Times New Roman"/>
                <w:color w:val="0000FF"/>
                <w:szCs w:val="24"/>
              </w:rPr>
            </w:pPr>
          </w:p>
          <w:p w:rsidR="006144AA" w:rsidP="001F1408">
            <w:pPr>
              <w:rPr>
                <w:rFonts w:cs="Times New Roman"/>
                <w:color w:val="0000FF"/>
                <w:szCs w:val="24"/>
              </w:rPr>
            </w:pPr>
            <w:r>
              <w:fldChar w:fldCharType="begin"/>
            </w:r>
            <w:r>
              <w:instrText xml:space="preserve"> HYPERLINK "mailto:Michael.williams@puco.ohio.gov" </w:instrText>
            </w:r>
            <w:r>
              <w:fldChar w:fldCharType="separate"/>
            </w:r>
            <w:r w:rsidRPr="001174E7" w:rsidR="00F76653">
              <w:rPr>
                <w:rStyle w:val="Hyperlink"/>
                <w:rFonts w:cs="Times New Roman"/>
                <w:szCs w:val="24"/>
              </w:rPr>
              <w:t>Michael.williams@puco.ohio.gov</w:t>
            </w:r>
            <w:r>
              <w:fldChar w:fldCharType="end"/>
            </w:r>
          </w:p>
          <w:p w:rsidR="006144AA" w:rsidRPr="00685073" w:rsidP="001F1408">
            <w:pPr>
              <w:rPr>
                <w:rFonts w:cs="Times New Roman"/>
                <w:color w:val="0000FF"/>
                <w:szCs w:val="24"/>
              </w:rPr>
            </w:pPr>
          </w:p>
          <w:p w:rsidR="001F1408" w:rsidRPr="00685073" w:rsidP="007E393A">
            <w:pPr>
              <w:rPr>
                <w:rFonts w:cs="Times New Roman"/>
                <w:szCs w:val="24"/>
              </w:rPr>
            </w:pPr>
          </w:p>
          <w:p w:rsidR="001F1408" w:rsidRPr="00685073" w:rsidP="007E393A">
            <w:pPr>
              <w:rPr>
                <w:rFonts w:cs="Times New Roman"/>
                <w:szCs w:val="24"/>
              </w:rPr>
            </w:pPr>
          </w:p>
          <w:p w:rsidR="001F1408" w:rsidRPr="00685073" w:rsidP="007E393A">
            <w:pPr>
              <w:rPr>
                <w:rFonts w:cs="Times New Roman"/>
                <w:szCs w:val="24"/>
              </w:rPr>
            </w:pPr>
          </w:p>
        </w:tc>
        <w:tc>
          <w:tcPr>
            <w:tcW w:w="4675" w:type="dxa"/>
          </w:tcPr>
          <w:p w:rsidR="001F1408" w:rsidRPr="00685073" w:rsidP="007E393A">
            <w:pPr>
              <w:ind w:left="1314"/>
              <w:rPr>
                <w:rFonts w:cs="Times New Roman"/>
                <w:szCs w:val="24"/>
              </w:rPr>
            </w:pPr>
            <w:r>
              <w:fldChar w:fldCharType="begin"/>
            </w:r>
            <w:r>
              <w:instrText xml:space="preserve"> HYPERLINK "mailto:mpritchard@mcneeslaw.com" </w:instrText>
            </w:r>
            <w:r>
              <w:fldChar w:fldCharType="separate"/>
            </w:r>
            <w:r w:rsidRPr="00685073" w:rsidR="00F76653">
              <w:rPr>
                <w:rStyle w:val="Hyperlink"/>
                <w:rFonts w:cs="Times New Roman"/>
                <w:szCs w:val="24"/>
              </w:rPr>
              <w:t>mpritchard@mcneeslaw.com</w:t>
            </w:r>
            <w:r>
              <w:fldChar w:fldCharType="end"/>
            </w:r>
          </w:p>
          <w:p w:rsidR="001F1408" w:rsidRPr="00685073" w:rsidP="007E393A">
            <w:pPr>
              <w:ind w:left="1314"/>
              <w:rPr>
                <w:rFonts w:cs="Times New Roman"/>
                <w:color w:val="0000FF"/>
                <w:szCs w:val="24"/>
              </w:rPr>
            </w:pPr>
            <w:r>
              <w:fldChar w:fldCharType="begin"/>
            </w:r>
            <w:r>
              <w:instrText xml:space="preserve"> HYPERLINK "mailto:bojko@carpenterlipps.com" </w:instrText>
            </w:r>
            <w:r>
              <w:fldChar w:fldCharType="separate"/>
            </w:r>
            <w:r w:rsidRPr="00685073" w:rsidR="00F76653">
              <w:rPr>
                <w:rStyle w:val="Hyperlink"/>
                <w:rFonts w:cs="Times New Roman"/>
                <w:szCs w:val="24"/>
              </w:rPr>
              <w:t>bojko@carpenterlipps.com</w:t>
            </w:r>
            <w:r>
              <w:fldChar w:fldCharType="end"/>
            </w:r>
          </w:p>
          <w:p w:rsidR="001F1408" w:rsidRPr="00685073" w:rsidP="007E393A">
            <w:pPr>
              <w:autoSpaceDE w:val="0"/>
              <w:autoSpaceDN w:val="0"/>
              <w:adjustRightInd w:val="0"/>
              <w:ind w:left="1314"/>
              <w:rPr>
                <w:rFonts w:cs="Times New Roman"/>
                <w:color w:val="0000FF"/>
                <w:szCs w:val="24"/>
              </w:rPr>
            </w:pPr>
            <w:r>
              <w:fldChar w:fldCharType="begin"/>
            </w:r>
            <w:r>
              <w:instrText xml:space="preserve"> HYPERLINK "mailto:mjsettineri@vorys.com" </w:instrText>
            </w:r>
            <w:r>
              <w:fldChar w:fldCharType="separate"/>
            </w:r>
            <w:r w:rsidRPr="00685073" w:rsidR="00F76653">
              <w:rPr>
                <w:rStyle w:val="Hyperlink"/>
                <w:rFonts w:cs="Times New Roman"/>
                <w:szCs w:val="24"/>
              </w:rPr>
              <w:t>mjsettineri@vorys.com</w:t>
            </w:r>
            <w:r>
              <w:fldChar w:fldCharType="end"/>
            </w:r>
          </w:p>
          <w:p w:rsidR="001F1408" w:rsidRPr="00685073" w:rsidP="007E393A">
            <w:pPr>
              <w:ind w:left="1314"/>
              <w:rPr>
                <w:rFonts w:cs="Times New Roman"/>
                <w:szCs w:val="24"/>
              </w:rPr>
            </w:pPr>
            <w:r>
              <w:fldChar w:fldCharType="begin"/>
            </w:r>
            <w:r>
              <w:instrText xml:space="preserve"> HYPERLINK "mailto:glpetrucci@vorys.com" </w:instrText>
            </w:r>
            <w:r>
              <w:fldChar w:fldCharType="separate"/>
            </w:r>
            <w:r w:rsidRPr="00685073" w:rsidR="00F76653">
              <w:rPr>
                <w:rStyle w:val="Hyperlink"/>
                <w:rFonts w:cs="Times New Roman"/>
                <w:szCs w:val="24"/>
              </w:rPr>
              <w:t>glpetrucci@vorys.com</w:t>
            </w:r>
            <w:r>
              <w:fldChar w:fldCharType="end"/>
            </w:r>
          </w:p>
          <w:p w:rsidR="001F1408" w:rsidRPr="00685073" w:rsidP="007E393A">
            <w:pPr>
              <w:ind w:left="1314"/>
              <w:rPr>
                <w:rFonts w:cs="Times New Roman"/>
                <w:color w:val="0000FF"/>
                <w:szCs w:val="24"/>
              </w:rPr>
            </w:pPr>
            <w:r>
              <w:fldChar w:fldCharType="begin"/>
            </w:r>
            <w:r>
              <w:instrText xml:space="preserve"> HYPERLINK "mailto:dborchers@bricker.com" </w:instrText>
            </w:r>
            <w:r>
              <w:fldChar w:fldCharType="separate"/>
            </w:r>
            <w:r w:rsidRPr="00685073" w:rsidR="00F76653">
              <w:rPr>
                <w:rStyle w:val="Hyperlink"/>
                <w:rFonts w:cs="Times New Roman"/>
                <w:szCs w:val="24"/>
              </w:rPr>
              <w:t>dborchers@bricker.com</w:t>
            </w:r>
            <w:r>
              <w:fldChar w:fldCharType="end"/>
            </w:r>
          </w:p>
          <w:p w:rsidR="001F1408" w:rsidRPr="00685073" w:rsidP="001F1408">
            <w:pPr>
              <w:autoSpaceDE w:val="0"/>
              <w:autoSpaceDN w:val="0"/>
              <w:adjustRightInd w:val="0"/>
              <w:ind w:left="1320"/>
              <w:rPr>
                <w:rFonts w:cs="Times New Roman"/>
                <w:szCs w:val="24"/>
              </w:rPr>
            </w:pPr>
            <w:r>
              <w:fldChar w:fldCharType="begin"/>
            </w:r>
            <w:r>
              <w:instrText xml:space="preserve"> HYPERLINK "mailto:mleppla@theOEC.org" </w:instrText>
            </w:r>
            <w:r>
              <w:fldChar w:fldCharType="separate"/>
            </w:r>
            <w:r w:rsidRPr="00685073" w:rsidR="00F76653">
              <w:rPr>
                <w:rStyle w:val="Hyperlink"/>
                <w:rFonts w:cs="Times New Roman"/>
                <w:szCs w:val="24"/>
              </w:rPr>
              <w:t>mleppla@theOEC.org</w:t>
            </w:r>
            <w:r>
              <w:fldChar w:fldCharType="end"/>
            </w:r>
          </w:p>
          <w:p w:rsidR="001F1408" w:rsidRPr="00685073" w:rsidP="001F1408">
            <w:pPr>
              <w:ind w:left="1314"/>
              <w:rPr>
                <w:rFonts w:cs="Times New Roman"/>
                <w:szCs w:val="24"/>
              </w:rPr>
            </w:pPr>
            <w:r>
              <w:fldChar w:fldCharType="begin"/>
            </w:r>
            <w:r>
              <w:instrText xml:space="preserve"> HYPERLINK "mailto:ctavenor@theOEC.org" </w:instrText>
            </w:r>
            <w:r>
              <w:fldChar w:fldCharType="separate"/>
            </w:r>
            <w:r w:rsidRPr="00685073" w:rsidR="00F76653">
              <w:rPr>
                <w:rStyle w:val="Hyperlink"/>
                <w:rFonts w:cs="Times New Roman"/>
                <w:szCs w:val="24"/>
              </w:rPr>
              <w:t>ctavenor@theOEC.org</w:t>
            </w:r>
            <w:r>
              <w:fldChar w:fldCharType="end"/>
            </w:r>
          </w:p>
          <w:p w:rsidR="001F1408" w:rsidRPr="00685073" w:rsidP="001F1408">
            <w:pPr>
              <w:ind w:left="1314"/>
              <w:rPr>
                <w:rFonts w:cs="Times New Roman"/>
                <w:szCs w:val="24"/>
              </w:rPr>
            </w:pPr>
            <w:r>
              <w:fldChar w:fldCharType="begin"/>
            </w:r>
            <w:r>
              <w:instrText xml:space="preserve"> HYPERLINK "mailto:rsahli@columbus.rr.com" </w:instrText>
            </w:r>
            <w:r>
              <w:fldChar w:fldCharType="separate"/>
            </w:r>
            <w:r w:rsidRPr="00685073" w:rsidR="00F76653">
              <w:rPr>
                <w:rStyle w:val="Hyperlink"/>
                <w:rFonts w:cs="Times New Roman"/>
                <w:szCs w:val="24"/>
              </w:rPr>
              <w:t>rsahli@columbus.rr.com</w:t>
            </w:r>
            <w:r>
              <w:fldChar w:fldCharType="end"/>
            </w:r>
          </w:p>
          <w:p w:rsidR="001F1408" w:rsidRPr="00685073" w:rsidP="007E393A">
            <w:pPr>
              <w:ind w:left="1314"/>
              <w:rPr>
                <w:rFonts w:cs="Times New Roman"/>
                <w:szCs w:val="24"/>
              </w:rPr>
            </w:pPr>
            <w:r>
              <w:fldChar w:fldCharType="begin"/>
            </w:r>
            <w:r>
              <w:instrText xml:space="preserve"> HYPERLINK "mailto:rdove@keglerbrown.com" </w:instrText>
            </w:r>
            <w:r>
              <w:fldChar w:fldCharType="separate"/>
            </w:r>
            <w:r w:rsidRPr="00685073" w:rsidR="00F76653">
              <w:rPr>
                <w:rStyle w:val="Hyperlink"/>
                <w:rFonts w:cs="Times New Roman"/>
                <w:szCs w:val="24"/>
              </w:rPr>
              <w:t>rdove@keglerbrown.com</w:t>
            </w:r>
            <w:r>
              <w:fldChar w:fldCharType="end"/>
            </w:r>
          </w:p>
          <w:p w:rsidR="001F1408" w:rsidRPr="00685073" w:rsidP="007E393A">
            <w:pPr>
              <w:ind w:left="1314"/>
              <w:rPr>
                <w:rFonts w:cs="Times New Roman"/>
                <w:szCs w:val="24"/>
              </w:rPr>
            </w:pPr>
            <w:r>
              <w:fldChar w:fldCharType="begin"/>
            </w:r>
            <w:r>
              <w:instrText xml:space="preserve"> HYPERLINK "mailto:rkelter@elpc.org" </w:instrText>
            </w:r>
            <w:r>
              <w:fldChar w:fldCharType="separate"/>
            </w:r>
            <w:r w:rsidRPr="00685073" w:rsidR="00F76653">
              <w:rPr>
                <w:rStyle w:val="Hyperlink"/>
                <w:rFonts w:cs="Times New Roman"/>
                <w:szCs w:val="24"/>
              </w:rPr>
              <w:t>rkelter@elpc.org</w:t>
            </w:r>
            <w:r>
              <w:fldChar w:fldCharType="end"/>
            </w:r>
          </w:p>
          <w:p w:rsidR="001F1408" w:rsidRPr="00685073" w:rsidP="007E393A">
            <w:pPr>
              <w:ind w:left="1314"/>
              <w:rPr>
                <w:rFonts w:cs="Times New Roman"/>
                <w:color w:val="0000FF"/>
                <w:szCs w:val="24"/>
              </w:rPr>
            </w:pPr>
          </w:p>
          <w:p w:rsidR="001F1408" w:rsidRPr="00685073" w:rsidP="007E393A">
            <w:pPr>
              <w:rPr>
                <w:rFonts w:cs="Times New Roman"/>
                <w:szCs w:val="24"/>
              </w:rPr>
            </w:pPr>
          </w:p>
          <w:p w:rsidR="001F1408" w:rsidRPr="00685073" w:rsidP="007E393A">
            <w:pPr>
              <w:rPr>
                <w:rFonts w:cs="Times New Roman"/>
                <w:szCs w:val="24"/>
              </w:rPr>
            </w:pPr>
          </w:p>
        </w:tc>
      </w:tr>
      <w:tr w:rsidTr="007E393A">
        <w:tblPrEx>
          <w:tblW w:w="0" w:type="auto"/>
          <w:tblLook w:val="04A0"/>
        </w:tblPrEx>
        <w:tc>
          <w:tcPr>
            <w:tcW w:w="4675" w:type="dxa"/>
          </w:tcPr>
          <w:p w:rsidR="001F1408" w:rsidRPr="00685073" w:rsidP="007E393A">
            <w:pPr>
              <w:rPr>
                <w:rFonts w:cs="Times New Roman"/>
                <w:szCs w:val="24"/>
              </w:rPr>
            </w:pPr>
          </w:p>
        </w:tc>
        <w:tc>
          <w:tcPr>
            <w:tcW w:w="4675" w:type="dxa"/>
          </w:tcPr>
          <w:p w:rsidR="001F1408" w:rsidRPr="00685073" w:rsidP="007E393A">
            <w:pPr>
              <w:ind w:left="1314"/>
              <w:rPr>
                <w:rFonts w:cs="Times New Roman"/>
                <w:szCs w:val="24"/>
              </w:rPr>
            </w:pPr>
          </w:p>
        </w:tc>
      </w:tr>
    </w:tbl>
    <w:p w:rsidR="000C6486" w:rsidRPr="00685073" w:rsidP="000C6486">
      <w:pPr>
        <w:pStyle w:val="CommentText"/>
        <w:jc w:val="center"/>
        <w:rPr>
          <w:rFonts w:cs="Times New Roman"/>
          <w:b/>
          <w:sz w:val="24"/>
          <w:szCs w:val="24"/>
          <w:u w:val="single"/>
        </w:rPr>
      </w:pPr>
    </w:p>
    <w:p w:rsidR="0092067D" w:rsidRPr="00685073" w:rsidP="0092067D">
      <w:pPr>
        <w:pStyle w:val="BodyText"/>
        <w:rPr>
          <w:rFonts w:cs="Times New Roman"/>
          <w:b/>
          <w:bCs/>
          <w:szCs w:val="24"/>
        </w:rPr>
      </w:pPr>
    </w:p>
    <w:p w:rsidR="000D0D47" w:rsidRPr="00685073" w:rsidP="0092067D">
      <w:pPr>
        <w:rPr>
          <w:rFonts w:cs="Times New Roman"/>
          <w:szCs w:val="24"/>
        </w:rPr>
      </w:pPr>
    </w:p>
    <w:sectPr w:rsidSect="00850EAC">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3928081"/>
      <w:docPartObj>
        <w:docPartGallery w:val="Page Numbers (Bottom of Page)"/>
        <w:docPartUnique/>
      </w:docPartObj>
    </w:sdtPr>
    <w:sdtEndPr>
      <w:rPr>
        <w:noProof/>
      </w:rPr>
    </w:sdtEndPr>
    <w:sdtContent>
      <w:p w:rsidR="006144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14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4AA">
    <w:pPr>
      <w:pStyle w:val="Footer"/>
      <w:jc w:val="center"/>
    </w:pPr>
  </w:p>
  <w:p w:rsidR="001F14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636248"/>
      <w:docPartObj>
        <w:docPartGallery w:val="Page Numbers (Bottom of Page)"/>
        <w:docPartUnique/>
      </w:docPartObj>
    </w:sdtPr>
    <w:sdtEndPr>
      <w:rPr>
        <w:noProof/>
      </w:rPr>
    </w:sdtEndPr>
    <w:sdtContent>
      <w:p w:rsidR="006144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144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8470645"/>
      <w:docPartObj>
        <w:docPartGallery w:val="Page Numbers (Bottom of Page)"/>
        <w:docPartUnique/>
      </w:docPartObj>
    </w:sdtPr>
    <w:sdtEndPr>
      <w:rPr>
        <w:noProof/>
      </w:rPr>
    </w:sdtEndPr>
    <w:sdtContent>
      <w:p w:rsidR="006144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14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34B6A" w:rsidP="000D0D47">
      <w:r>
        <w:separator/>
      </w:r>
    </w:p>
  </w:footnote>
  <w:footnote w:type="continuationSeparator" w:id="1">
    <w:p w:rsidR="00E34B6A" w:rsidP="000D0D47">
      <w:r>
        <w:continuationSeparator/>
      </w:r>
    </w:p>
  </w:footnote>
  <w:footnote w:id="2">
    <w:p w:rsidR="003C3237">
      <w:pPr>
        <w:pStyle w:val="FootnoteText"/>
      </w:pPr>
      <w:r>
        <w:rPr>
          <w:rStyle w:val="FootnoteReference"/>
        </w:rPr>
        <w:footnoteRef/>
      </w:r>
      <w:r>
        <w:t xml:space="preserve"> “FirstEnergy” refers to The Ohio Edison Company, The Cleveland Electric Illuminating Company, and The Toledo Edison Company.</w:t>
      </w:r>
    </w:p>
  </w:footnote>
  <w:footnote w:id="3">
    <w:p w:rsidR="002A19B7">
      <w:pPr>
        <w:pStyle w:val="FootnoteText"/>
      </w:pPr>
      <w:r>
        <w:rPr>
          <w:rStyle w:val="FootnoteReference"/>
        </w:rPr>
        <w:footnoteRef/>
      </w:r>
      <w:r>
        <w:t xml:space="preserve"> “Environmental Advocates” refers to Ohio Environmental Council, Natural Resources Defense Council, Sierra Club, and Environmental Law and Policy Center.</w:t>
      </w:r>
    </w:p>
  </w:footnote>
  <w:footnote w:id="4">
    <w:p w:rsidR="002A19B7">
      <w:pPr>
        <w:pStyle w:val="FootnoteText"/>
      </w:pPr>
      <w:r>
        <w:rPr>
          <w:rStyle w:val="FootnoteReference"/>
        </w:rPr>
        <w:footnoteRef/>
      </w:r>
      <w:r>
        <w:t xml:space="preserve"> “OVEC Utilities” refers to Ohio Power Company, Duke Energy Ohio, Inc., and The Dayton Power and Light Company.</w:t>
      </w:r>
    </w:p>
  </w:footnote>
  <w:footnote w:id="5">
    <w:p w:rsidR="00B00A68" w:rsidP="00B00A68">
      <w:pPr>
        <w:pStyle w:val="FootnoteText"/>
      </w:pPr>
      <w:r>
        <w:rPr>
          <w:rStyle w:val="FootnoteReference"/>
        </w:rPr>
        <w:footnoteRef/>
      </w:r>
      <w:r>
        <w:t xml:space="preserve"> Environmental Advocates Comments at 2, quoting Am. Sub. H.B.6 (emphasis added).</w:t>
      </w:r>
    </w:p>
  </w:footnote>
  <w:footnote w:id="6">
    <w:p w:rsidR="00B00A68" w:rsidP="00B00A68">
      <w:pPr>
        <w:pStyle w:val="FootnoteText"/>
      </w:pPr>
      <w:r>
        <w:rPr>
          <w:rStyle w:val="FootnoteReference"/>
        </w:rPr>
        <w:footnoteRef/>
      </w:r>
      <w:r>
        <w:t xml:space="preserve"> </w:t>
      </w:r>
      <w:r w:rsidRPr="00B00A68">
        <w:rPr>
          <w:i/>
          <w:iCs/>
        </w:rPr>
        <w:t>Id.</w:t>
      </w:r>
    </w:p>
  </w:footnote>
  <w:footnote w:id="7">
    <w:p w:rsidR="00B00A68" w:rsidRPr="00B00A68" w:rsidP="00B00A68">
      <w:pPr>
        <w:pStyle w:val="FootnoteText"/>
        <w:rPr>
          <w:i/>
          <w:iCs/>
        </w:rPr>
      </w:pPr>
      <w:r>
        <w:rPr>
          <w:rStyle w:val="FootnoteReference"/>
        </w:rPr>
        <w:footnoteRef/>
      </w:r>
      <w:r>
        <w:t xml:space="preserve"> </w:t>
      </w:r>
      <w:r w:rsidRPr="00B00A68">
        <w:rPr>
          <w:i/>
          <w:iCs/>
        </w:rPr>
        <w:t>Id.</w:t>
      </w:r>
    </w:p>
  </w:footnote>
  <w:footnote w:id="8">
    <w:p w:rsidR="00B00A68" w:rsidP="00B00A68">
      <w:pPr>
        <w:pStyle w:val="FootnoteText"/>
      </w:pPr>
      <w:r>
        <w:rPr>
          <w:rStyle w:val="FootnoteReference"/>
        </w:rPr>
        <w:footnoteRef/>
      </w:r>
      <w:r>
        <w:t xml:space="preserve"> </w:t>
      </w:r>
      <w:r>
        <w:rPr>
          <w:i/>
          <w:iCs/>
        </w:rPr>
        <w:t>Id.</w:t>
      </w:r>
    </w:p>
  </w:footnote>
  <w:footnote w:id="9">
    <w:p w:rsidR="0069227B">
      <w:pPr>
        <w:pStyle w:val="FootnoteText"/>
      </w:pPr>
      <w:r>
        <w:rPr>
          <w:rStyle w:val="FootnoteReference"/>
        </w:rPr>
        <w:footnoteRef/>
      </w:r>
      <w:r>
        <w:t xml:space="preserve"> OHA Comments at 3-4; OMAEG Comments at 4-6.</w:t>
      </w:r>
    </w:p>
  </w:footnote>
  <w:footnote w:id="10">
    <w:p w:rsidR="0069227B">
      <w:pPr>
        <w:pStyle w:val="FootnoteText"/>
      </w:pPr>
      <w:r>
        <w:rPr>
          <w:rStyle w:val="FootnoteReference"/>
        </w:rPr>
        <w:footnoteRef/>
      </w:r>
      <w:r>
        <w:t xml:space="preserve"> OHA Comments at 5.</w:t>
      </w:r>
    </w:p>
  </w:footnote>
  <w:footnote w:id="11">
    <w:p w:rsidR="00116BFF">
      <w:pPr>
        <w:pStyle w:val="FootnoteText"/>
      </w:pPr>
      <w:r>
        <w:rPr>
          <w:rStyle w:val="FootnoteReference"/>
        </w:rPr>
        <w:footnoteRef/>
      </w:r>
      <w:r>
        <w:t xml:space="preserve"> FirstEnergy Comments at 3; OVEC EDU Comments at 6.</w:t>
      </w:r>
    </w:p>
  </w:footnote>
  <w:footnote w:id="12">
    <w:p w:rsidR="00D34060" w:rsidP="00D34060">
      <w:pPr>
        <w:pStyle w:val="FootnoteText"/>
      </w:pPr>
      <w:r>
        <w:rPr>
          <w:rStyle w:val="FootnoteReference"/>
        </w:rPr>
        <w:footnoteRef/>
      </w:r>
      <w:r>
        <w:t xml:space="preserve"> OCC notes that its recommendations are in the context of a proper implementation of House Bill 6 and are not a change from OCC’s general positions that consumers should be protected by competitive power plant markets without charges for subsidies.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32BCB"/>
    <w:multiLevelType w:val="hybridMultilevel"/>
    <w:tmpl w:val="2FA4028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14540647"/>
    <w:multiLevelType w:val="hybridMultilevel"/>
    <w:tmpl w:val="75BAE1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7A8360E"/>
    <w:multiLevelType w:val="hybridMultilevel"/>
    <w:tmpl w:val="0D92FE3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F5053AF"/>
    <w:multiLevelType w:val="hybridMultilevel"/>
    <w:tmpl w:val="D8A2768C"/>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07F3F7C"/>
    <w:multiLevelType w:val="hybridMultilevel"/>
    <w:tmpl w:val="0FEC3FA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6A7772"/>
    <w:multiLevelType w:val="hybridMultilevel"/>
    <w:tmpl w:val="70EA535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21E66A2"/>
    <w:multiLevelType w:val="hybridMultilevel"/>
    <w:tmpl w:val="5EA43C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4EE5446"/>
    <w:multiLevelType w:val="hybridMultilevel"/>
    <w:tmpl w:val="17DC9F68"/>
    <w:lvl w:ilvl="0">
      <w:start w:val="1"/>
      <w:numFmt w:val="lowerLetter"/>
      <w:lvlText w:val="(%1)"/>
      <w:lvlJc w:val="left"/>
      <w:pPr>
        <w:ind w:left="1800" w:hanging="360"/>
      </w:pPr>
      <w:rPr>
        <w:rFonts w:hint="default"/>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37D80730"/>
    <w:multiLevelType w:val="hybridMultilevel"/>
    <w:tmpl w:val="6D689C14"/>
    <w:lvl w:ilvl="0">
      <w:start w:val="8"/>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E810BA1"/>
    <w:multiLevelType w:val="hybridMultilevel"/>
    <w:tmpl w:val="2BE65E3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3C8218D"/>
    <w:multiLevelType w:val="hybridMultilevel"/>
    <w:tmpl w:val="447E0B5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9E232C5"/>
    <w:multiLevelType w:val="hybridMultilevel"/>
    <w:tmpl w:val="AC1A13A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F8153FE"/>
    <w:multiLevelType w:val="hybridMultilevel"/>
    <w:tmpl w:val="F716BAAE"/>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07B4730"/>
    <w:multiLevelType w:val="hybridMultilevel"/>
    <w:tmpl w:val="17DC9F68"/>
    <w:lvl w:ilvl="0">
      <w:start w:val="1"/>
      <w:numFmt w:val="lowerLetter"/>
      <w:lvlText w:val="(%1)"/>
      <w:lvlJc w:val="left"/>
      <w:pPr>
        <w:ind w:left="1800" w:hanging="360"/>
      </w:pPr>
      <w:rPr>
        <w:rFonts w:hint="default"/>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56717DD4"/>
    <w:multiLevelType w:val="hybridMultilevel"/>
    <w:tmpl w:val="E4449FA2"/>
    <w:lvl w:ilvl="0">
      <w:start w:val="1"/>
      <w:numFmt w:val="upperLetter"/>
      <w:lvlText w:val="(%1)"/>
      <w:lvlJc w:val="left"/>
      <w:pPr>
        <w:ind w:left="1095" w:hanging="37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74215EC"/>
    <w:multiLevelType w:val="hybridMultilevel"/>
    <w:tmpl w:val="4CBA0652"/>
    <w:lvl w:ilvl="0">
      <w:start w:val="1"/>
      <w:numFmt w:val="upperLetter"/>
      <w:lvlText w:val="(%1)"/>
      <w:lvlJc w:val="left"/>
      <w:pPr>
        <w:ind w:left="1110" w:hanging="3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BE32F93"/>
    <w:multiLevelType w:val="hybridMultilevel"/>
    <w:tmpl w:val="1A1866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FBE2C9F"/>
    <w:multiLevelType w:val="hybridMultilevel"/>
    <w:tmpl w:val="11E2600E"/>
    <w:lvl w:ilvl="0">
      <w:start w:val="1"/>
      <w:numFmt w:val="decimal"/>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5C5BB3"/>
    <w:multiLevelType w:val="hybridMultilevel"/>
    <w:tmpl w:val="8EFA9B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FEF464C"/>
    <w:multiLevelType w:val="hybridMultilevel"/>
    <w:tmpl w:val="E822FE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
  </w:num>
  <w:num w:numId="2">
    <w:abstractNumId w:val="16"/>
  </w:num>
  <w:num w:numId="3">
    <w:abstractNumId w:val="3"/>
  </w:num>
  <w:num w:numId="4">
    <w:abstractNumId w:val="5"/>
  </w:num>
  <w:num w:numId="5">
    <w:abstractNumId w:val="1"/>
  </w:num>
  <w:num w:numId="6">
    <w:abstractNumId w:val="14"/>
  </w:num>
  <w:num w:numId="7">
    <w:abstractNumId w:val="8"/>
  </w:num>
  <w:num w:numId="8">
    <w:abstractNumId w:val="2"/>
  </w:num>
  <w:num w:numId="9">
    <w:abstractNumId w:val="18"/>
  </w:num>
  <w:num w:numId="10">
    <w:abstractNumId w:val="13"/>
  </w:num>
  <w:num w:numId="11">
    <w:abstractNumId w:val="7"/>
  </w:num>
  <w:num w:numId="12">
    <w:abstractNumId w:val="0"/>
  </w:num>
  <w:num w:numId="13">
    <w:abstractNumId w:val="11"/>
  </w:num>
  <w:num w:numId="14">
    <w:abstractNumId w:val="17"/>
  </w:num>
  <w:num w:numId="15">
    <w:abstractNumId w:val="15"/>
  </w:num>
  <w:num w:numId="16">
    <w:abstractNumId w:val="19"/>
  </w:num>
  <w:num w:numId="17">
    <w:abstractNumId w:val="10"/>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2D"/>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3D0711"/>
    <w:pPr>
      <w:keepNext/>
      <w:spacing w:after="240"/>
      <w:ind w:left="720" w:hanging="720"/>
      <w:outlineLvl w:val="0"/>
    </w:pPr>
    <w:rPr>
      <w:rFonts w:ascii="Times New Roman Bold" w:eastAsia="Times New Roman" w:hAnsi="Times New Roman Bold" w:cs="Times New Roman"/>
      <w:b/>
      <w:caps/>
      <w:szCs w:val="24"/>
    </w:rPr>
  </w:style>
  <w:style w:type="paragraph" w:styleId="Heading2">
    <w:name w:val="heading 2"/>
    <w:basedOn w:val="Normal"/>
    <w:next w:val="Normal"/>
    <w:link w:val="Heading2Char"/>
    <w:autoRedefine/>
    <w:uiPriority w:val="9"/>
    <w:unhideWhenUsed/>
    <w:qFormat/>
    <w:rsid w:val="006144AA"/>
    <w:pPr>
      <w:keepNext/>
      <w:keepLines/>
      <w:numPr>
        <w:numId w:val="20"/>
      </w:numPr>
      <w:spacing w:after="240"/>
      <w:ind w:left="1440" w:hanging="720"/>
      <w:outlineLvl w:val="1"/>
    </w:pPr>
    <w:rPr>
      <w:rFonts w:ascii="Times New Roman Bold" w:hAnsi="Times New Roman Bold" w:eastAsiaTheme="majorEastAsi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2,Footnote Text Char2 Char Char,Footnote Text Char2 Char1 Char1 Char Char,Footnote Text Char3 Char1 Char Char,Footnote Text Char3 Char1 Char Char Char Char,f,fn,fn Char2 Char"/>
    <w:basedOn w:val="Normal"/>
    <w:link w:val="FootnoteTextChar"/>
    <w:rsid w:val="00EE6EB6"/>
    <w:pPr>
      <w:spacing w:after="120"/>
    </w:pPr>
    <w:rPr>
      <w:sz w:val="20"/>
    </w:rPr>
  </w:style>
  <w:style w:type="character" w:customStyle="1" w:styleId="FootnoteTextChar">
    <w:name w:val="Footnote Text Char"/>
    <w:aliases w:val="Footnote Text Char Char Char,Footnote Text Char2 Char,Footnote Text Char2 Char Char Char,Footnote Text Char2 Char1 Char1 Char Char Char,Footnote Text Char3 Char1 Char Char Char,Footnote Text Char3 Char1 Char Char Char Char Char,f Char"/>
    <w:link w:val="FootnoteText"/>
    <w:rsid w:val="00EE6EB6"/>
    <w:rPr>
      <w:rFonts w:ascii="Times New Roman" w:hAnsi="Times New Roman"/>
      <w:sz w:val="20"/>
    </w:rPr>
  </w:style>
  <w:style w:type="paragraph" w:customStyle="1" w:styleId="FootnoteText1">
    <w:name w:val="Footnote Text1"/>
    <w:basedOn w:val="Normal"/>
    <w:qFormat/>
    <w:rsid w:val="00F67600"/>
    <w:pPr>
      <w:spacing w:after="120"/>
    </w:pPr>
    <w:rPr>
      <w:rFonts w:eastAsia="Calibri" w:cs="Times New Roman"/>
      <w:sz w:val="20"/>
      <w:szCs w:val="20"/>
    </w:rPr>
  </w:style>
  <w:style w:type="character" w:customStyle="1" w:styleId="FootnoteTextChar1">
    <w:name w:val="Footnote Text Char1"/>
    <w:aliases w:val="Footnote Text Char Char Char Char,Footnote Text Char Char4 Char Char Char Char,Footnote Text Char1 Char Char,Footnote Text Char4 Char Char,Footnote Text Char4 Char Char Char Char,Footnote Text Char4 Char1 Char Char Char Char Char"/>
    <w:rsid w:val="00D95CC4"/>
  </w:style>
  <w:style w:type="character" w:styleId="FootnoteReference">
    <w:name w:val="footnote reference"/>
    <w:basedOn w:val="DefaultParagraphFont"/>
    <w:unhideWhenUsed/>
    <w:rsid w:val="00751DEB"/>
    <w:rPr>
      <w:vertAlign w:val="superscript"/>
    </w:rPr>
  </w:style>
  <w:style w:type="table" w:styleId="TableGrid">
    <w:name w:val="Table Grid"/>
    <w:basedOn w:val="TableNormal"/>
    <w:uiPriority w:val="39"/>
    <w:rsid w:val="0075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AB3"/>
    <w:pPr>
      <w:tabs>
        <w:tab w:val="center" w:pos="4680"/>
        <w:tab w:val="right" w:pos="9360"/>
      </w:tabs>
    </w:pPr>
  </w:style>
  <w:style w:type="character" w:customStyle="1" w:styleId="HeaderChar">
    <w:name w:val="Header Char"/>
    <w:basedOn w:val="DefaultParagraphFont"/>
    <w:link w:val="Header"/>
    <w:uiPriority w:val="99"/>
    <w:rsid w:val="009C4AB3"/>
    <w:rPr>
      <w:rFonts w:ascii="Times New Roman" w:hAnsi="Times New Roman"/>
      <w:sz w:val="24"/>
    </w:rPr>
  </w:style>
  <w:style w:type="paragraph" w:styleId="Footer">
    <w:name w:val="footer"/>
    <w:basedOn w:val="Normal"/>
    <w:link w:val="FooterChar"/>
    <w:uiPriority w:val="99"/>
    <w:unhideWhenUsed/>
    <w:rsid w:val="009C4AB3"/>
    <w:pPr>
      <w:tabs>
        <w:tab w:val="center" w:pos="4680"/>
        <w:tab w:val="right" w:pos="9360"/>
      </w:tabs>
    </w:pPr>
  </w:style>
  <w:style w:type="character" w:customStyle="1" w:styleId="FooterChar">
    <w:name w:val="Footer Char"/>
    <w:basedOn w:val="DefaultParagraphFont"/>
    <w:link w:val="Footer"/>
    <w:uiPriority w:val="99"/>
    <w:rsid w:val="009C4AB3"/>
    <w:rPr>
      <w:rFonts w:ascii="Times New Roman" w:hAnsi="Times New Roman"/>
      <w:sz w:val="24"/>
    </w:rPr>
  </w:style>
  <w:style w:type="paragraph" w:styleId="ListParagraph">
    <w:name w:val="List Paragraph"/>
    <w:basedOn w:val="Normal"/>
    <w:uiPriority w:val="34"/>
    <w:qFormat/>
    <w:rsid w:val="00576097"/>
    <w:pPr>
      <w:ind w:left="720"/>
      <w:contextualSpacing/>
    </w:pPr>
  </w:style>
  <w:style w:type="character" w:styleId="Hyperlink">
    <w:name w:val="Hyperlink"/>
    <w:basedOn w:val="DefaultParagraphFont"/>
    <w:unhideWhenUsed/>
    <w:rsid w:val="00CB0AF9"/>
    <w:rPr>
      <w:color w:val="0000FF"/>
      <w:u w:val="single"/>
    </w:rPr>
  </w:style>
  <w:style w:type="character" w:styleId="CommentReference">
    <w:name w:val="annotation reference"/>
    <w:basedOn w:val="DefaultParagraphFont"/>
    <w:uiPriority w:val="99"/>
    <w:semiHidden/>
    <w:unhideWhenUsed/>
    <w:rsid w:val="00FB5452"/>
    <w:rPr>
      <w:sz w:val="16"/>
      <w:szCs w:val="16"/>
    </w:rPr>
  </w:style>
  <w:style w:type="paragraph" w:styleId="CommentText">
    <w:name w:val="annotation text"/>
    <w:basedOn w:val="Normal"/>
    <w:link w:val="CommentTextChar"/>
    <w:uiPriority w:val="99"/>
    <w:unhideWhenUsed/>
    <w:rsid w:val="00FB5452"/>
    <w:rPr>
      <w:sz w:val="20"/>
      <w:szCs w:val="20"/>
    </w:rPr>
  </w:style>
  <w:style w:type="character" w:customStyle="1" w:styleId="CommentTextChar">
    <w:name w:val="Comment Text Char"/>
    <w:basedOn w:val="DefaultParagraphFont"/>
    <w:link w:val="CommentText"/>
    <w:uiPriority w:val="99"/>
    <w:rsid w:val="00FB5452"/>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B5452"/>
    <w:rPr>
      <w:b/>
      <w:bCs/>
    </w:rPr>
  </w:style>
  <w:style w:type="character" w:customStyle="1" w:styleId="CommentSubjectChar">
    <w:name w:val="Comment Subject Char"/>
    <w:basedOn w:val="CommentTextChar"/>
    <w:link w:val="CommentSubject"/>
    <w:semiHidden/>
    <w:rsid w:val="00FB5452"/>
    <w:rPr>
      <w:rFonts w:ascii="Times New Roman" w:hAnsi="Times New Roman"/>
      <w:b/>
      <w:bCs/>
      <w:sz w:val="20"/>
      <w:szCs w:val="20"/>
    </w:rPr>
  </w:style>
  <w:style w:type="paragraph" w:styleId="BalloonText">
    <w:name w:val="Balloon Text"/>
    <w:basedOn w:val="Normal"/>
    <w:link w:val="BalloonTextChar"/>
    <w:uiPriority w:val="99"/>
    <w:semiHidden/>
    <w:unhideWhenUsed/>
    <w:rsid w:val="00FB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52"/>
    <w:rPr>
      <w:rFonts w:ascii="Segoe UI" w:hAnsi="Segoe UI" w:cs="Segoe UI"/>
      <w:sz w:val="18"/>
      <w:szCs w:val="18"/>
    </w:rPr>
  </w:style>
  <w:style w:type="character" w:customStyle="1" w:styleId="Heading1Char">
    <w:name w:val="Heading 1 Char"/>
    <w:basedOn w:val="DefaultParagraphFont"/>
    <w:link w:val="Heading1"/>
    <w:rsid w:val="003D0711"/>
    <w:rPr>
      <w:rFonts w:ascii="Times New Roman Bold" w:eastAsia="Times New Roman" w:hAnsi="Times New Roman Bold" w:cs="Times New Roman"/>
      <w:b/>
      <w:caps/>
      <w:sz w:val="24"/>
      <w:szCs w:val="24"/>
    </w:rPr>
  </w:style>
  <w:style w:type="paragraph" w:styleId="BodyTextIndent3">
    <w:name w:val="Body Text Indent 3"/>
    <w:basedOn w:val="Normal"/>
    <w:link w:val="BodyTextIndent3Char"/>
    <w:rsid w:val="00B970FD"/>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B970F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012456"/>
    <w:rPr>
      <w:color w:val="605E5C"/>
      <w:shd w:val="clear" w:color="auto" w:fill="E1DFDD"/>
    </w:rPr>
  </w:style>
  <w:style w:type="paragraph" w:styleId="BodyText">
    <w:name w:val="Body Text"/>
    <w:basedOn w:val="Normal"/>
    <w:link w:val="BodyTextChar"/>
    <w:uiPriority w:val="99"/>
    <w:semiHidden/>
    <w:unhideWhenUsed/>
    <w:rsid w:val="006D7866"/>
    <w:pPr>
      <w:spacing w:after="120"/>
    </w:pPr>
  </w:style>
  <w:style w:type="character" w:customStyle="1" w:styleId="BodyTextChar">
    <w:name w:val="Body Text Char"/>
    <w:basedOn w:val="DefaultParagraphFont"/>
    <w:link w:val="BodyText"/>
    <w:uiPriority w:val="99"/>
    <w:semiHidden/>
    <w:rsid w:val="006D7866"/>
    <w:rPr>
      <w:rFonts w:ascii="Times New Roman" w:hAnsi="Times New Roman"/>
      <w:sz w:val="24"/>
    </w:rPr>
  </w:style>
  <w:style w:type="character" w:customStyle="1" w:styleId="Heading2Char">
    <w:name w:val="Heading 2 Char"/>
    <w:basedOn w:val="DefaultParagraphFont"/>
    <w:link w:val="Heading2"/>
    <w:uiPriority w:val="9"/>
    <w:rsid w:val="006144AA"/>
    <w:rPr>
      <w:rFonts w:ascii="Times New Roman Bold" w:hAnsi="Times New Roman Bold" w:eastAsiaTheme="majorEastAsia" w:cs="Times New Roman"/>
      <w:b/>
      <w:sz w:val="24"/>
      <w:szCs w:val="24"/>
    </w:rPr>
  </w:style>
  <w:style w:type="paragraph" w:styleId="TOC1">
    <w:name w:val="toc 1"/>
    <w:basedOn w:val="Normal"/>
    <w:next w:val="Normal"/>
    <w:autoRedefine/>
    <w:uiPriority w:val="39"/>
    <w:unhideWhenUsed/>
    <w:qFormat/>
    <w:rsid w:val="003D0711"/>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3D0711"/>
    <w:pPr>
      <w:tabs>
        <w:tab w:val="decimal" w:leader="dot" w:pos="8640"/>
      </w:tabs>
      <w:spacing w:after="240"/>
      <w:ind w:left="1440" w:hanging="720"/>
    </w:pPr>
  </w:style>
  <w:style w:type="character" w:customStyle="1" w:styleId="UnresolvedMention2">
    <w:name w:val="Unresolved Mention2"/>
    <w:basedOn w:val="DefaultParagraphFont"/>
    <w:uiPriority w:val="99"/>
    <w:rsid w:val="00055CA4"/>
    <w:rPr>
      <w:color w:val="605E5C"/>
      <w:shd w:val="clear" w:color="auto" w:fill="E1DFDD"/>
    </w:rPr>
  </w:style>
  <w:style w:type="paragraph" w:styleId="NormalWeb">
    <w:name w:val="Normal (Web)"/>
    <w:basedOn w:val="Normal"/>
    <w:uiPriority w:val="99"/>
    <w:unhideWhenUsed/>
    <w:rsid w:val="002D01EA"/>
    <w:pPr>
      <w:spacing w:before="100" w:beforeAutospacing="1" w:after="100" w:afterAutospacing="1"/>
    </w:pPr>
    <w:rPr>
      <w:rFonts w:eastAsia="Times New Roman" w:cs="Times New Roman"/>
      <w:szCs w:val="24"/>
    </w:rPr>
  </w:style>
  <w:style w:type="paragraph" w:styleId="HTMLPreformatted">
    <w:name w:val="HTML Preformatted"/>
    <w:basedOn w:val="Normal"/>
    <w:link w:val="HTMLPreformattedChar"/>
    <w:rsid w:val="0092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2067D"/>
    <w:rPr>
      <w:rFonts w:ascii="Courier New" w:eastAsia="Courier New" w:hAnsi="Courier New" w:cs="Courier New"/>
      <w:sz w:val="20"/>
      <w:szCs w:val="20"/>
    </w:rPr>
  </w:style>
  <w:style w:type="paragraph" w:styleId="Revision">
    <w:name w:val="Revision"/>
    <w:hidden/>
    <w:uiPriority w:val="99"/>
    <w:semiHidden/>
    <w:rsid w:val="00BE4B50"/>
    <w:pPr>
      <w:spacing w:after="0" w:line="240" w:lineRule="auto"/>
    </w:pPr>
    <w:rPr>
      <w:rFonts w:ascii="Times New Roman" w:hAnsi="Times New Roman"/>
      <w:sz w:val="24"/>
    </w:rPr>
  </w:style>
  <w:style w:type="character" w:customStyle="1" w:styleId="UnresolvedMention">
    <w:name w:val="Unresolved Mention"/>
    <w:basedOn w:val="DefaultParagraphFont"/>
    <w:uiPriority w:val="99"/>
    <w:rsid w:val="00F76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19-1808-EL-UNC (Reply Comments)  (00139695.DOCX;5)</vt:lpstr>
    </vt:vector>
  </TitlesOfParts>
  <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2019-10-28T19:07:57Z</dcterms:created>
  <dcterms:modified xsi:type="dcterms:W3CDTF">2019-10-28T19:07:57Z</dcterms:modified>
</cp:coreProperties>
</file>