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D8" w:rsidRPr="00487731" w:rsidRDefault="00C608D8" w:rsidP="00C608D8">
      <w:pPr>
        <w:pStyle w:val="Title"/>
        <w:widowControl w:val="0"/>
        <w:rPr>
          <w:rFonts w:ascii="Arial" w:hAnsi="Arial" w:cs="Arial"/>
          <w:sz w:val="28"/>
          <w:szCs w:val="28"/>
        </w:rPr>
      </w:pPr>
      <w:bookmarkStart w:id="0" w:name="_GoBack"/>
      <w:bookmarkEnd w:id="0"/>
      <w:r w:rsidRPr="00487731">
        <w:rPr>
          <w:rFonts w:ascii="Arial" w:hAnsi="Arial" w:cs="Arial"/>
          <w:sz w:val="28"/>
          <w:szCs w:val="28"/>
        </w:rPr>
        <w:t>BEFORE</w:t>
      </w:r>
    </w:p>
    <w:p w:rsidR="00C608D8" w:rsidRPr="00487731" w:rsidRDefault="00C608D8" w:rsidP="00C608D8">
      <w:pPr>
        <w:widowControl w:val="0"/>
        <w:jc w:val="center"/>
        <w:rPr>
          <w:rFonts w:ascii="Arial" w:hAnsi="Arial" w:cs="Arial"/>
          <w:b/>
          <w:sz w:val="28"/>
          <w:szCs w:val="28"/>
        </w:rPr>
      </w:pPr>
      <w:r w:rsidRPr="00487731">
        <w:rPr>
          <w:rFonts w:ascii="Arial" w:hAnsi="Arial" w:cs="Arial"/>
          <w:b/>
          <w:sz w:val="28"/>
          <w:szCs w:val="28"/>
        </w:rPr>
        <w:t>THE PUBLIC UTILITIES COMMISSION OF OHIO</w:t>
      </w:r>
    </w:p>
    <w:tbl>
      <w:tblPr>
        <w:tblW w:w="0" w:type="auto"/>
        <w:jc w:val="center"/>
        <w:tblInd w:w="-315" w:type="dxa"/>
        <w:tblLook w:val="01E0" w:firstRow="1" w:lastRow="1" w:firstColumn="1" w:lastColumn="1" w:noHBand="0" w:noVBand="0"/>
      </w:tblPr>
      <w:tblGrid>
        <w:gridCol w:w="4769"/>
        <w:gridCol w:w="634"/>
        <w:gridCol w:w="3954"/>
      </w:tblGrid>
      <w:tr w:rsidR="00C608D8" w:rsidRPr="00487731" w:rsidTr="00AC737B">
        <w:trPr>
          <w:trHeight w:val="1288"/>
          <w:jc w:val="center"/>
        </w:trPr>
        <w:tc>
          <w:tcPr>
            <w:tcW w:w="4769" w:type="dxa"/>
          </w:tcPr>
          <w:p w:rsidR="00C608D8" w:rsidRPr="00487731" w:rsidRDefault="00C608D8" w:rsidP="00AC737B">
            <w:pPr>
              <w:widowControl w:val="0"/>
              <w:spacing w:after="0" w:line="240" w:lineRule="auto"/>
              <w:rPr>
                <w:rFonts w:ascii="Arial" w:hAnsi="Arial" w:cs="Arial"/>
                <w:sz w:val="28"/>
                <w:szCs w:val="28"/>
              </w:rPr>
            </w:pPr>
            <w:r w:rsidRPr="00487731">
              <w:rPr>
                <w:rFonts w:ascii="Arial" w:hAnsi="Arial" w:cs="Arial"/>
                <w:sz w:val="28"/>
                <w:szCs w:val="28"/>
              </w:rPr>
              <w:t>In the Matter of the Commission's Investigation of Ohio’s Retail Electric Service Market</w:t>
            </w:r>
          </w:p>
        </w:tc>
        <w:tc>
          <w:tcPr>
            <w:tcW w:w="634" w:type="dxa"/>
          </w:tcPr>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p w:rsidR="00C608D8" w:rsidRPr="00487731" w:rsidRDefault="00C608D8" w:rsidP="00AC737B">
            <w:pPr>
              <w:widowControl w:val="0"/>
              <w:spacing w:after="0" w:line="240" w:lineRule="auto"/>
              <w:jc w:val="center"/>
              <w:rPr>
                <w:rFonts w:ascii="Arial" w:hAnsi="Arial" w:cs="Arial"/>
                <w:sz w:val="28"/>
                <w:szCs w:val="28"/>
              </w:rPr>
            </w:pPr>
            <w:r w:rsidRPr="00487731">
              <w:rPr>
                <w:rFonts w:ascii="Arial" w:hAnsi="Arial" w:cs="Arial"/>
                <w:sz w:val="28"/>
                <w:szCs w:val="28"/>
              </w:rPr>
              <w:t>)</w:t>
            </w:r>
          </w:p>
        </w:tc>
        <w:tc>
          <w:tcPr>
            <w:tcW w:w="3954" w:type="dxa"/>
          </w:tcPr>
          <w:p w:rsidR="00C608D8" w:rsidRPr="00487731" w:rsidRDefault="00C608D8" w:rsidP="00AC737B">
            <w:pPr>
              <w:widowControl w:val="0"/>
              <w:spacing w:after="0" w:line="240" w:lineRule="auto"/>
              <w:rPr>
                <w:rFonts w:ascii="Arial" w:hAnsi="Arial" w:cs="Arial"/>
                <w:sz w:val="28"/>
                <w:szCs w:val="28"/>
              </w:rPr>
            </w:pPr>
          </w:p>
          <w:p w:rsidR="00C608D8" w:rsidRPr="00487731" w:rsidRDefault="00C608D8" w:rsidP="00AC737B">
            <w:pPr>
              <w:widowControl w:val="0"/>
              <w:spacing w:after="0" w:line="240" w:lineRule="auto"/>
              <w:rPr>
                <w:rFonts w:ascii="Arial" w:hAnsi="Arial" w:cs="Arial"/>
                <w:sz w:val="28"/>
                <w:szCs w:val="28"/>
              </w:rPr>
            </w:pPr>
            <w:r w:rsidRPr="00487731">
              <w:rPr>
                <w:rFonts w:ascii="Arial" w:hAnsi="Arial" w:cs="Arial"/>
                <w:sz w:val="28"/>
                <w:szCs w:val="28"/>
              </w:rPr>
              <w:t>Case No. 12-3151-EL-COI</w:t>
            </w:r>
          </w:p>
          <w:p w:rsidR="00C608D8" w:rsidRPr="00487731" w:rsidRDefault="00C608D8" w:rsidP="00AC737B">
            <w:pPr>
              <w:widowControl w:val="0"/>
              <w:spacing w:after="0" w:line="240" w:lineRule="auto"/>
              <w:rPr>
                <w:rFonts w:ascii="Arial" w:hAnsi="Arial" w:cs="Arial"/>
                <w:sz w:val="28"/>
                <w:szCs w:val="28"/>
              </w:rPr>
            </w:pPr>
          </w:p>
        </w:tc>
      </w:tr>
    </w:tbl>
    <w:p w:rsidR="00C608D8" w:rsidRPr="00487731" w:rsidRDefault="00C608D8" w:rsidP="00C608D8">
      <w:pPr>
        <w:pStyle w:val="Footer"/>
        <w:pBdr>
          <w:top w:val="single" w:sz="12" w:space="1" w:color="auto"/>
          <w:bottom w:val="single" w:sz="12" w:space="1" w:color="auto"/>
        </w:pBdr>
        <w:tabs>
          <w:tab w:val="left" w:pos="4320"/>
        </w:tabs>
        <w:rPr>
          <w:rFonts w:ascii="Arial" w:hAnsi="Arial" w:cs="Arial"/>
          <w:sz w:val="28"/>
          <w:szCs w:val="28"/>
        </w:rPr>
      </w:pPr>
    </w:p>
    <w:p w:rsidR="00C608D8" w:rsidRPr="00C506A0" w:rsidRDefault="00C506A0" w:rsidP="00C608D8">
      <w:pPr>
        <w:pStyle w:val="Footer"/>
        <w:pBdr>
          <w:top w:val="single" w:sz="12" w:space="1" w:color="auto"/>
          <w:bottom w:val="single" w:sz="12" w:space="1" w:color="auto"/>
        </w:pBdr>
        <w:tabs>
          <w:tab w:val="left" w:pos="4320"/>
        </w:tabs>
        <w:jc w:val="center"/>
        <w:rPr>
          <w:rFonts w:ascii="Arial" w:eastAsia="Times New Roman" w:hAnsi="Arial" w:cs="Arial"/>
          <w:b/>
          <w:bCs/>
          <w:kern w:val="28"/>
          <w:sz w:val="28"/>
          <w:szCs w:val="28"/>
        </w:rPr>
      </w:pPr>
      <w:r w:rsidRPr="00C506A0">
        <w:rPr>
          <w:rFonts w:ascii="Arial" w:eastAsia="Times New Roman" w:hAnsi="Arial" w:cs="Arial"/>
          <w:b/>
          <w:bCs/>
          <w:kern w:val="28"/>
          <w:sz w:val="28"/>
          <w:szCs w:val="28"/>
        </w:rPr>
        <w:t>APPLICATION FOR REHEARING OF IGS ENERGY</w:t>
      </w:r>
    </w:p>
    <w:p w:rsidR="00C506A0" w:rsidRPr="00C506A0" w:rsidRDefault="00C506A0" w:rsidP="00C608D8">
      <w:pPr>
        <w:pStyle w:val="Footer"/>
        <w:pBdr>
          <w:top w:val="single" w:sz="12" w:space="1" w:color="auto"/>
          <w:bottom w:val="single" w:sz="12" w:space="1" w:color="auto"/>
        </w:pBdr>
        <w:tabs>
          <w:tab w:val="left" w:pos="4320"/>
        </w:tabs>
        <w:jc w:val="center"/>
        <w:rPr>
          <w:rFonts w:ascii="Arial" w:hAnsi="Arial" w:cs="Arial"/>
          <w:b/>
          <w:sz w:val="28"/>
          <w:szCs w:val="28"/>
        </w:rPr>
      </w:pPr>
    </w:p>
    <w:p w:rsidR="00C506A0" w:rsidRDefault="00C506A0" w:rsidP="00C506A0">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rsidR="005B7841" w:rsidRPr="00F519B7" w:rsidRDefault="00C506A0" w:rsidP="00D865AA">
      <w:pPr>
        <w:widowControl w:val="0"/>
        <w:overflowPunct w:val="0"/>
        <w:autoSpaceDE w:val="0"/>
        <w:autoSpaceDN w:val="0"/>
        <w:adjustRightInd w:val="0"/>
        <w:spacing w:after="0" w:line="480" w:lineRule="auto"/>
        <w:ind w:firstLine="270"/>
        <w:jc w:val="both"/>
        <w:rPr>
          <w:rFonts w:ascii="Arial" w:eastAsia="Times New Roman" w:hAnsi="Arial" w:cs="Arial"/>
          <w:bCs/>
          <w:kern w:val="28"/>
          <w:sz w:val="24"/>
          <w:szCs w:val="24"/>
        </w:rPr>
      </w:pPr>
      <w:r>
        <w:rPr>
          <w:rFonts w:ascii="Arial" w:eastAsia="Times New Roman" w:hAnsi="Arial" w:cs="Arial"/>
          <w:bCs/>
          <w:kern w:val="28"/>
          <w:sz w:val="24"/>
          <w:szCs w:val="24"/>
        </w:rPr>
        <w:t xml:space="preserve">On </w:t>
      </w:r>
      <w:r w:rsidR="00B12848">
        <w:rPr>
          <w:rFonts w:ascii="Arial" w:eastAsia="Times New Roman" w:hAnsi="Arial" w:cs="Arial"/>
          <w:bCs/>
          <w:kern w:val="28"/>
          <w:sz w:val="24"/>
          <w:szCs w:val="24"/>
        </w:rPr>
        <w:t>March 2</w:t>
      </w:r>
      <w:r w:rsidR="00BE3EF2">
        <w:rPr>
          <w:rFonts w:ascii="Arial" w:eastAsia="Times New Roman" w:hAnsi="Arial" w:cs="Arial"/>
          <w:bCs/>
          <w:kern w:val="28"/>
          <w:sz w:val="24"/>
          <w:szCs w:val="24"/>
        </w:rPr>
        <w:t>6</w:t>
      </w:r>
      <w:r>
        <w:rPr>
          <w:rFonts w:ascii="Arial" w:eastAsia="Times New Roman" w:hAnsi="Arial" w:cs="Arial"/>
          <w:bCs/>
          <w:kern w:val="28"/>
          <w:sz w:val="24"/>
          <w:szCs w:val="24"/>
        </w:rPr>
        <w:t>,</w:t>
      </w:r>
      <w:r w:rsidR="00D865AA">
        <w:rPr>
          <w:rFonts w:ascii="Arial" w:eastAsia="Times New Roman" w:hAnsi="Arial" w:cs="Arial"/>
          <w:bCs/>
          <w:kern w:val="28"/>
          <w:sz w:val="24"/>
          <w:szCs w:val="24"/>
        </w:rPr>
        <w:t xml:space="preserve"> 2014,</w:t>
      </w:r>
      <w:r>
        <w:rPr>
          <w:rFonts w:ascii="Arial" w:eastAsia="Times New Roman" w:hAnsi="Arial" w:cs="Arial"/>
          <w:bCs/>
          <w:kern w:val="28"/>
          <w:sz w:val="24"/>
          <w:szCs w:val="24"/>
        </w:rPr>
        <w:t xml:space="preserve"> the Public Utilities Commission of Ohio (“Commission”) set forth a </w:t>
      </w:r>
      <w:r w:rsidR="002F0847">
        <w:rPr>
          <w:rFonts w:ascii="Arial" w:eastAsia="Times New Roman" w:hAnsi="Arial" w:cs="Arial"/>
          <w:bCs/>
          <w:kern w:val="28"/>
          <w:sz w:val="24"/>
          <w:szCs w:val="24"/>
        </w:rPr>
        <w:t>Finding</w:t>
      </w:r>
      <w:r>
        <w:rPr>
          <w:rFonts w:ascii="Arial" w:eastAsia="Times New Roman" w:hAnsi="Arial" w:cs="Arial"/>
          <w:bCs/>
          <w:kern w:val="28"/>
          <w:sz w:val="24"/>
          <w:szCs w:val="24"/>
        </w:rPr>
        <w:t xml:space="preserve"> and Order (“</w:t>
      </w:r>
      <w:r w:rsidR="002F0847">
        <w:rPr>
          <w:rFonts w:ascii="Arial" w:eastAsia="Times New Roman" w:hAnsi="Arial" w:cs="Arial"/>
          <w:bCs/>
          <w:kern w:val="28"/>
          <w:sz w:val="24"/>
          <w:szCs w:val="24"/>
        </w:rPr>
        <w:t>March 26</w:t>
      </w:r>
      <w:r>
        <w:rPr>
          <w:rFonts w:ascii="Arial" w:eastAsia="Times New Roman" w:hAnsi="Arial" w:cs="Arial"/>
          <w:bCs/>
          <w:kern w:val="28"/>
          <w:sz w:val="24"/>
          <w:szCs w:val="24"/>
        </w:rPr>
        <w:t xml:space="preserve"> Order”) in the above captioned proceeding </w:t>
      </w:r>
      <w:r w:rsidR="00BA6D20">
        <w:rPr>
          <w:rFonts w:ascii="Arial" w:eastAsia="Times New Roman" w:hAnsi="Arial" w:cs="Arial"/>
          <w:bCs/>
          <w:kern w:val="28"/>
          <w:sz w:val="24"/>
          <w:szCs w:val="24"/>
        </w:rPr>
        <w:t>implementing measures that</w:t>
      </w:r>
      <w:r>
        <w:rPr>
          <w:rFonts w:ascii="Arial" w:eastAsia="Times New Roman" w:hAnsi="Arial" w:cs="Arial"/>
          <w:bCs/>
          <w:kern w:val="28"/>
          <w:sz w:val="24"/>
          <w:szCs w:val="24"/>
        </w:rPr>
        <w:t xml:space="preserve"> pertain to competitive retail </w:t>
      </w:r>
      <w:r w:rsidR="00BA6D20">
        <w:rPr>
          <w:rFonts w:ascii="Arial" w:eastAsia="Times New Roman" w:hAnsi="Arial" w:cs="Arial"/>
          <w:bCs/>
          <w:kern w:val="28"/>
          <w:sz w:val="24"/>
          <w:szCs w:val="24"/>
        </w:rPr>
        <w:t>electric service</w:t>
      </w:r>
      <w:r>
        <w:rPr>
          <w:rFonts w:ascii="Arial" w:eastAsia="Times New Roman" w:hAnsi="Arial" w:cs="Arial"/>
          <w:bCs/>
          <w:kern w:val="28"/>
          <w:sz w:val="24"/>
          <w:szCs w:val="24"/>
        </w:rPr>
        <w:t xml:space="preserve"> (“</w:t>
      </w:r>
      <w:r w:rsidR="00BA6D20">
        <w:rPr>
          <w:rFonts w:ascii="Arial" w:eastAsia="Times New Roman" w:hAnsi="Arial" w:cs="Arial"/>
          <w:bCs/>
          <w:kern w:val="28"/>
          <w:sz w:val="24"/>
          <w:szCs w:val="24"/>
        </w:rPr>
        <w:t>CRES”)</w:t>
      </w:r>
      <w:r>
        <w:rPr>
          <w:rFonts w:ascii="Arial" w:eastAsia="Times New Roman" w:hAnsi="Arial" w:cs="Arial"/>
          <w:bCs/>
          <w:kern w:val="28"/>
          <w:sz w:val="24"/>
          <w:szCs w:val="24"/>
        </w:rPr>
        <w:t xml:space="preserve"> in Ohio.  Pursuant to </w:t>
      </w:r>
      <w:r w:rsidR="00422055">
        <w:rPr>
          <w:rFonts w:ascii="Arial" w:eastAsia="Times New Roman" w:hAnsi="Arial" w:cs="Arial"/>
          <w:bCs/>
          <w:kern w:val="28"/>
          <w:sz w:val="24"/>
          <w:szCs w:val="24"/>
        </w:rPr>
        <w:t xml:space="preserve">Section 4903.10, Revised Code, and </w:t>
      </w:r>
      <w:r>
        <w:rPr>
          <w:rFonts w:ascii="Arial" w:eastAsia="Times New Roman" w:hAnsi="Arial" w:cs="Arial"/>
          <w:bCs/>
          <w:kern w:val="28"/>
          <w:sz w:val="24"/>
          <w:szCs w:val="24"/>
        </w:rPr>
        <w:t xml:space="preserve">Ohio Administrative Code (“OAC”) 4901-1-35, </w:t>
      </w:r>
      <w:r w:rsidR="00B12848">
        <w:rPr>
          <w:rFonts w:ascii="Arial" w:eastAsia="Times New Roman" w:hAnsi="Arial" w:cs="Arial"/>
          <w:bCs/>
          <w:kern w:val="28"/>
          <w:sz w:val="24"/>
          <w:szCs w:val="24"/>
        </w:rPr>
        <w:t xml:space="preserve">IGS Energy </w:t>
      </w:r>
      <w:r>
        <w:rPr>
          <w:rFonts w:ascii="Arial" w:eastAsia="Times New Roman" w:hAnsi="Arial" w:cs="Arial"/>
          <w:bCs/>
          <w:kern w:val="28"/>
          <w:sz w:val="24"/>
          <w:szCs w:val="24"/>
        </w:rPr>
        <w:t>(“IGS”) hereby submits this Application for Rehearing on the following issues:</w:t>
      </w:r>
    </w:p>
    <w:p w:rsidR="009B5271" w:rsidRDefault="00C506A0" w:rsidP="00C61796">
      <w:pPr>
        <w:pStyle w:val="ListParagraph"/>
        <w:widowControl w:val="0"/>
        <w:numPr>
          <w:ilvl w:val="0"/>
          <w:numId w:val="7"/>
        </w:numPr>
        <w:overflowPunct w:val="0"/>
        <w:autoSpaceDE w:val="0"/>
        <w:autoSpaceDN w:val="0"/>
        <w:adjustRightInd w:val="0"/>
        <w:spacing w:after="0" w:line="240" w:lineRule="auto"/>
        <w:ind w:right="720"/>
        <w:jc w:val="both"/>
        <w:rPr>
          <w:rFonts w:ascii="Arial" w:eastAsia="Times New Roman" w:hAnsi="Arial" w:cs="Arial"/>
          <w:bCs/>
          <w:kern w:val="28"/>
          <w:sz w:val="24"/>
          <w:szCs w:val="24"/>
        </w:rPr>
      </w:pPr>
      <w:r w:rsidRPr="00D954BD">
        <w:rPr>
          <w:rFonts w:ascii="Arial" w:eastAsia="Times New Roman" w:hAnsi="Arial" w:cs="Arial"/>
          <w:bCs/>
          <w:kern w:val="28"/>
          <w:sz w:val="24"/>
          <w:szCs w:val="24"/>
        </w:rPr>
        <w:t xml:space="preserve">The </w:t>
      </w:r>
      <w:r w:rsidR="00B444C2">
        <w:rPr>
          <w:rFonts w:ascii="Arial" w:eastAsia="Times New Roman" w:hAnsi="Arial" w:cs="Arial"/>
          <w:bCs/>
          <w:kern w:val="28"/>
          <w:sz w:val="24"/>
          <w:szCs w:val="24"/>
        </w:rPr>
        <w:t>Finding</w:t>
      </w:r>
      <w:r w:rsidRPr="00D954BD">
        <w:rPr>
          <w:rFonts w:ascii="Arial" w:eastAsia="Times New Roman" w:hAnsi="Arial" w:cs="Arial"/>
          <w:bCs/>
          <w:kern w:val="28"/>
          <w:sz w:val="24"/>
          <w:szCs w:val="24"/>
        </w:rPr>
        <w:t xml:space="preserve"> and Order is unlawful and unreasonable in that it </w:t>
      </w:r>
      <w:r w:rsidR="00AF0C14" w:rsidRPr="00D954BD">
        <w:rPr>
          <w:rFonts w:ascii="Arial" w:eastAsia="Times New Roman" w:hAnsi="Arial" w:cs="Arial"/>
          <w:bCs/>
          <w:kern w:val="28"/>
          <w:sz w:val="24"/>
          <w:szCs w:val="24"/>
        </w:rPr>
        <w:t xml:space="preserve">fails to give clear guidance as </w:t>
      </w:r>
      <w:r w:rsidR="0023730C">
        <w:rPr>
          <w:rFonts w:ascii="Arial" w:eastAsia="Times New Roman" w:hAnsi="Arial" w:cs="Arial"/>
          <w:bCs/>
          <w:kern w:val="28"/>
          <w:sz w:val="24"/>
          <w:szCs w:val="24"/>
        </w:rPr>
        <w:t xml:space="preserve">to </w:t>
      </w:r>
      <w:r w:rsidR="00BA6D20" w:rsidRPr="00D954BD">
        <w:rPr>
          <w:rFonts w:ascii="Arial" w:eastAsia="Times New Roman" w:hAnsi="Arial" w:cs="Arial"/>
          <w:bCs/>
          <w:kern w:val="28"/>
          <w:sz w:val="24"/>
          <w:szCs w:val="24"/>
        </w:rPr>
        <w:t xml:space="preserve">the type of smart meter data that </w:t>
      </w:r>
      <w:r w:rsidR="00AF0C14" w:rsidRPr="00D954BD">
        <w:rPr>
          <w:rFonts w:ascii="Arial" w:eastAsia="Times New Roman" w:hAnsi="Arial" w:cs="Arial"/>
          <w:bCs/>
          <w:kern w:val="28"/>
          <w:sz w:val="24"/>
          <w:szCs w:val="24"/>
        </w:rPr>
        <w:t xml:space="preserve">electric distribution utilities (“EDUs”) must make available to </w:t>
      </w:r>
      <w:r w:rsidR="00BA6D20">
        <w:rPr>
          <w:rFonts w:ascii="Arial" w:eastAsia="Times New Roman" w:hAnsi="Arial" w:cs="Arial"/>
          <w:bCs/>
          <w:kern w:val="28"/>
          <w:sz w:val="24"/>
          <w:szCs w:val="24"/>
        </w:rPr>
        <w:t>CRES</w:t>
      </w:r>
      <w:r w:rsidR="00E6153D">
        <w:rPr>
          <w:rFonts w:ascii="Arial" w:eastAsia="Times New Roman" w:hAnsi="Arial" w:cs="Arial"/>
          <w:bCs/>
          <w:kern w:val="28"/>
          <w:sz w:val="24"/>
          <w:szCs w:val="24"/>
        </w:rPr>
        <w:t xml:space="preserve"> providers</w:t>
      </w:r>
      <w:r w:rsidR="009C778A">
        <w:rPr>
          <w:rFonts w:ascii="Arial" w:eastAsia="Times New Roman" w:hAnsi="Arial" w:cs="Arial"/>
          <w:bCs/>
          <w:kern w:val="28"/>
          <w:sz w:val="24"/>
          <w:szCs w:val="24"/>
        </w:rPr>
        <w:t>;</w:t>
      </w:r>
    </w:p>
    <w:p w:rsidR="009C778A" w:rsidRDefault="009C778A" w:rsidP="00C61796">
      <w:pPr>
        <w:pStyle w:val="ListParagraph"/>
        <w:widowControl w:val="0"/>
        <w:overflowPunct w:val="0"/>
        <w:autoSpaceDE w:val="0"/>
        <w:autoSpaceDN w:val="0"/>
        <w:adjustRightInd w:val="0"/>
        <w:spacing w:after="0" w:line="240" w:lineRule="auto"/>
        <w:ind w:left="1440" w:right="720"/>
        <w:jc w:val="both"/>
        <w:rPr>
          <w:rFonts w:ascii="Arial" w:eastAsia="Times New Roman" w:hAnsi="Arial" w:cs="Arial"/>
          <w:bCs/>
          <w:kern w:val="28"/>
          <w:sz w:val="24"/>
          <w:szCs w:val="24"/>
        </w:rPr>
      </w:pPr>
    </w:p>
    <w:p w:rsidR="009C778A" w:rsidRDefault="009C778A" w:rsidP="00C61796">
      <w:pPr>
        <w:pStyle w:val="ListParagraph"/>
        <w:widowControl w:val="0"/>
        <w:numPr>
          <w:ilvl w:val="0"/>
          <w:numId w:val="7"/>
        </w:numPr>
        <w:overflowPunct w:val="0"/>
        <w:autoSpaceDE w:val="0"/>
        <w:autoSpaceDN w:val="0"/>
        <w:adjustRightInd w:val="0"/>
        <w:spacing w:after="0" w:line="240" w:lineRule="auto"/>
        <w:ind w:right="720"/>
        <w:jc w:val="both"/>
        <w:rPr>
          <w:rFonts w:ascii="Arial" w:eastAsia="Times New Roman" w:hAnsi="Arial" w:cs="Arial"/>
          <w:bCs/>
          <w:kern w:val="28"/>
          <w:sz w:val="24"/>
          <w:szCs w:val="24"/>
        </w:rPr>
      </w:pPr>
      <w:r w:rsidRPr="00D954BD">
        <w:rPr>
          <w:rFonts w:ascii="Arial" w:eastAsia="Times New Roman" w:hAnsi="Arial" w:cs="Arial"/>
          <w:bCs/>
          <w:kern w:val="28"/>
          <w:sz w:val="24"/>
          <w:szCs w:val="24"/>
        </w:rPr>
        <w:t xml:space="preserve">The </w:t>
      </w:r>
      <w:r>
        <w:rPr>
          <w:rFonts w:ascii="Arial" w:eastAsia="Times New Roman" w:hAnsi="Arial" w:cs="Arial"/>
          <w:bCs/>
          <w:kern w:val="28"/>
          <w:sz w:val="24"/>
          <w:szCs w:val="24"/>
        </w:rPr>
        <w:t>Finding</w:t>
      </w:r>
      <w:r w:rsidRPr="00D954BD">
        <w:rPr>
          <w:rFonts w:ascii="Arial" w:eastAsia="Times New Roman" w:hAnsi="Arial" w:cs="Arial"/>
          <w:bCs/>
          <w:kern w:val="28"/>
          <w:sz w:val="24"/>
          <w:szCs w:val="24"/>
        </w:rPr>
        <w:t xml:space="preserve"> and Order is unlawful and unreasonable in that it fails to</w:t>
      </w:r>
      <w:r>
        <w:rPr>
          <w:rFonts w:ascii="Arial" w:eastAsia="Times New Roman" w:hAnsi="Arial" w:cs="Arial"/>
          <w:bCs/>
          <w:kern w:val="28"/>
          <w:sz w:val="24"/>
          <w:szCs w:val="24"/>
        </w:rPr>
        <w:t xml:space="preserve"> clarify that EDUs shall not charge customers or CRES providers for access to customer energy usage data (“CEUD”);</w:t>
      </w:r>
    </w:p>
    <w:p w:rsidR="009C778A" w:rsidRPr="009C778A" w:rsidRDefault="009C778A" w:rsidP="00C61796">
      <w:pPr>
        <w:pStyle w:val="ListParagraph"/>
        <w:ind w:right="720"/>
        <w:jc w:val="both"/>
        <w:rPr>
          <w:rFonts w:ascii="Arial" w:eastAsia="Times New Roman" w:hAnsi="Arial" w:cs="Arial"/>
          <w:bCs/>
          <w:kern w:val="28"/>
          <w:sz w:val="24"/>
          <w:szCs w:val="24"/>
        </w:rPr>
      </w:pPr>
    </w:p>
    <w:p w:rsidR="009C778A" w:rsidRDefault="009C778A" w:rsidP="00C61796">
      <w:pPr>
        <w:pStyle w:val="ListParagraph"/>
        <w:widowControl w:val="0"/>
        <w:numPr>
          <w:ilvl w:val="0"/>
          <w:numId w:val="7"/>
        </w:numPr>
        <w:overflowPunct w:val="0"/>
        <w:autoSpaceDE w:val="0"/>
        <w:autoSpaceDN w:val="0"/>
        <w:adjustRightInd w:val="0"/>
        <w:spacing w:after="0" w:line="240" w:lineRule="auto"/>
        <w:ind w:right="720"/>
        <w:jc w:val="both"/>
        <w:rPr>
          <w:rFonts w:ascii="Arial" w:eastAsia="Times New Roman" w:hAnsi="Arial" w:cs="Arial"/>
          <w:bCs/>
          <w:kern w:val="28"/>
          <w:sz w:val="24"/>
          <w:szCs w:val="24"/>
        </w:rPr>
      </w:pPr>
      <w:r w:rsidRPr="00D954BD">
        <w:rPr>
          <w:rFonts w:ascii="Arial" w:eastAsia="Times New Roman" w:hAnsi="Arial" w:cs="Arial"/>
          <w:bCs/>
          <w:kern w:val="28"/>
          <w:sz w:val="24"/>
          <w:szCs w:val="24"/>
        </w:rPr>
        <w:t xml:space="preserve">The </w:t>
      </w:r>
      <w:r>
        <w:rPr>
          <w:rFonts w:ascii="Arial" w:eastAsia="Times New Roman" w:hAnsi="Arial" w:cs="Arial"/>
          <w:bCs/>
          <w:kern w:val="28"/>
          <w:sz w:val="24"/>
          <w:szCs w:val="24"/>
        </w:rPr>
        <w:t>Finding</w:t>
      </w:r>
      <w:r w:rsidRPr="00D954BD">
        <w:rPr>
          <w:rFonts w:ascii="Arial" w:eastAsia="Times New Roman" w:hAnsi="Arial" w:cs="Arial"/>
          <w:bCs/>
          <w:kern w:val="28"/>
          <w:sz w:val="24"/>
          <w:szCs w:val="24"/>
        </w:rPr>
        <w:t xml:space="preserve"> and Order is unlawful and unreasonable in that it fails to</w:t>
      </w:r>
      <w:r>
        <w:rPr>
          <w:rFonts w:ascii="Arial" w:eastAsia="Times New Roman" w:hAnsi="Arial" w:cs="Arial"/>
          <w:bCs/>
          <w:kern w:val="28"/>
          <w:sz w:val="24"/>
          <w:szCs w:val="24"/>
        </w:rPr>
        <w:t xml:space="preserve"> clarify that EDUs are required to implement a master data management system that will make </w:t>
      </w:r>
      <w:r w:rsidR="00E6153D">
        <w:rPr>
          <w:rFonts w:ascii="Arial" w:eastAsia="Times New Roman" w:hAnsi="Arial" w:cs="Arial"/>
          <w:bCs/>
          <w:kern w:val="28"/>
          <w:sz w:val="24"/>
          <w:szCs w:val="24"/>
        </w:rPr>
        <w:t>available CEUD to CRES providers</w:t>
      </w:r>
      <w:r>
        <w:rPr>
          <w:rFonts w:ascii="Arial" w:eastAsia="Times New Roman" w:hAnsi="Arial" w:cs="Arial"/>
          <w:bCs/>
          <w:kern w:val="28"/>
          <w:sz w:val="24"/>
          <w:szCs w:val="24"/>
        </w:rPr>
        <w:t xml:space="preserve"> for those customers that consent to make that data available;</w:t>
      </w:r>
    </w:p>
    <w:p w:rsidR="009B5271" w:rsidRDefault="009B5271" w:rsidP="00C61796">
      <w:pPr>
        <w:pStyle w:val="ListParagraph"/>
        <w:widowControl w:val="0"/>
        <w:overflowPunct w:val="0"/>
        <w:autoSpaceDE w:val="0"/>
        <w:autoSpaceDN w:val="0"/>
        <w:adjustRightInd w:val="0"/>
        <w:spacing w:after="0" w:line="240" w:lineRule="auto"/>
        <w:ind w:left="1440" w:right="720"/>
        <w:jc w:val="both"/>
        <w:rPr>
          <w:rFonts w:ascii="Arial" w:eastAsia="Times New Roman" w:hAnsi="Arial" w:cs="Arial"/>
          <w:bCs/>
          <w:kern w:val="28"/>
          <w:sz w:val="24"/>
          <w:szCs w:val="24"/>
        </w:rPr>
      </w:pPr>
    </w:p>
    <w:p w:rsidR="00C506A0" w:rsidRPr="00D954BD" w:rsidRDefault="009B5271" w:rsidP="00C61796">
      <w:pPr>
        <w:pStyle w:val="ListParagraph"/>
        <w:widowControl w:val="0"/>
        <w:numPr>
          <w:ilvl w:val="0"/>
          <w:numId w:val="7"/>
        </w:numPr>
        <w:overflowPunct w:val="0"/>
        <w:autoSpaceDE w:val="0"/>
        <w:autoSpaceDN w:val="0"/>
        <w:adjustRightInd w:val="0"/>
        <w:spacing w:after="0" w:line="240" w:lineRule="auto"/>
        <w:ind w:right="720"/>
        <w:jc w:val="both"/>
        <w:rPr>
          <w:rFonts w:ascii="Arial" w:eastAsia="Times New Roman" w:hAnsi="Arial" w:cs="Arial"/>
          <w:bCs/>
          <w:kern w:val="28"/>
          <w:sz w:val="24"/>
          <w:szCs w:val="24"/>
        </w:rPr>
      </w:pPr>
      <w:r w:rsidRPr="00D954BD">
        <w:rPr>
          <w:rFonts w:ascii="Arial" w:eastAsia="Times New Roman" w:hAnsi="Arial" w:cs="Arial"/>
          <w:bCs/>
          <w:kern w:val="28"/>
          <w:sz w:val="24"/>
          <w:szCs w:val="24"/>
        </w:rPr>
        <w:t xml:space="preserve">The </w:t>
      </w:r>
      <w:r>
        <w:rPr>
          <w:rFonts w:ascii="Arial" w:eastAsia="Times New Roman" w:hAnsi="Arial" w:cs="Arial"/>
          <w:bCs/>
          <w:kern w:val="28"/>
          <w:sz w:val="24"/>
          <w:szCs w:val="24"/>
        </w:rPr>
        <w:t>Finding</w:t>
      </w:r>
      <w:r w:rsidRPr="00D954BD">
        <w:rPr>
          <w:rFonts w:ascii="Arial" w:eastAsia="Times New Roman" w:hAnsi="Arial" w:cs="Arial"/>
          <w:bCs/>
          <w:kern w:val="28"/>
          <w:sz w:val="24"/>
          <w:szCs w:val="24"/>
        </w:rPr>
        <w:t xml:space="preserve"> and Order is unlawful and unreasonable in that it fails to </w:t>
      </w:r>
      <w:r w:rsidR="009C778A">
        <w:rPr>
          <w:rFonts w:ascii="Arial" w:eastAsia="Times New Roman" w:hAnsi="Arial" w:cs="Arial"/>
          <w:bCs/>
          <w:kern w:val="28"/>
          <w:sz w:val="24"/>
          <w:szCs w:val="24"/>
        </w:rPr>
        <w:t>set forth a procedural mechanism by which interested stakeholders can give input on EDUs</w:t>
      </w:r>
      <w:r w:rsidR="000D7BE3">
        <w:rPr>
          <w:rFonts w:ascii="Arial" w:eastAsia="Times New Roman" w:hAnsi="Arial" w:cs="Arial"/>
          <w:bCs/>
          <w:kern w:val="28"/>
          <w:sz w:val="24"/>
          <w:szCs w:val="24"/>
        </w:rPr>
        <w:t>’</w:t>
      </w:r>
      <w:r w:rsidR="009C778A">
        <w:rPr>
          <w:rFonts w:ascii="Arial" w:eastAsia="Times New Roman" w:hAnsi="Arial" w:cs="Arial"/>
          <w:bCs/>
          <w:kern w:val="28"/>
          <w:sz w:val="24"/>
          <w:szCs w:val="24"/>
        </w:rPr>
        <w:t xml:space="preserve"> CEUD tariffs</w:t>
      </w:r>
      <w:r w:rsidR="00C506A0" w:rsidRPr="00D954BD">
        <w:rPr>
          <w:rFonts w:ascii="Arial" w:eastAsia="Times New Roman" w:hAnsi="Arial" w:cs="Arial"/>
          <w:bCs/>
          <w:kern w:val="28"/>
          <w:sz w:val="24"/>
          <w:szCs w:val="24"/>
        </w:rPr>
        <w:t>;</w:t>
      </w:r>
    </w:p>
    <w:p w:rsidR="00C506A0" w:rsidRDefault="00C506A0" w:rsidP="00C61796">
      <w:pPr>
        <w:widowControl w:val="0"/>
        <w:overflowPunct w:val="0"/>
        <w:autoSpaceDE w:val="0"/>
        <w:autoSpaceDN w:val="0"/>
        <w:adjustRightInd w:val="0"/>
        <w:spacing w:after="0" w:line="240" w:lineRule="auto"/>
        <w:ind w:right="720"/>
        <w:jc w:val="both"/>
        <w:rPr>
          <w:rFonts w:ascii="Arial" w:eastAsia="Times New Roman" w:hAnsi="Arial" w:cs="Arial"/>
          <w:bCs/>
          <w:kern w:val="28"/>
          <w:sz w:val="24"/>
          <w:szCs w:val="24"/>
        </w:rPr>
      </w:pPr>
    </w:p>
    <w:p w:rsidR="00C506A0" w:rsidRDefault="00C506A0" w:rsidP="00C61796">
      <w:pPr>
        <w:pStyle w:val="ListParagraph"/>
        <w:widowControl w:val="0"/>
        <w:numPr>
          <w:ilvl w:val="0"/>
          <w:numId w:val="7"/>
        </w:numPr>
        <w:overflowPunct w:val="0"/>
        <w:autoSpaceDE w:val="0"/>
        <w:autoSpaceDN w:val="0"/>
        <w:adjustRightInd w:val="0"/>
        <w:spacing w:after="0" w:line="240" w:lineRule="auto"/>
        <w:ind w:right="720"/>
        <w:jc w:val="both"/>
        <w:rPr>
          <w:rFonts w:ascii="Arial" w:eastAsia="Times New Roman" w:hAnsi="Arial" w:cs="Arial"/>
          <w:bCs/>
          <w:kern w:val="28"/>
          <w:sz w:val="24"/>
          <w:szCs w:val="24"/>
        </w:rPr>
      </w:pPr>
      <w:r>
        <w:rPr>
          <w:rFonts w:ascii="Arial" w:eastAsia="Times New Roman" w:hAnsi="Arial" w:cs="Arial"/>
          <w:bCs/>
          <w:kern w:val="28"/>
          <w:sz w:val="24"/>
          <w:szCs w:val="24"/>
        </w:rPr>
        <w:t xml:space="preserve">The </w:t>
      </w:r>
      <w:r w:rsidR="00B444C2">
        <w:rPr>
          <w:rFonts w:ascii="Arial" w:eastAsia="Times New Roman" w:hAnsi="Arial" w:cs="Arial"/>
          <w:bCs/>
          <w:kern w:val="28"/>
          <w:sz w:val="24"/>
          <w:szCs w:val="24"/>
        </w:rPr>
        <w:t>Finding</w:t>
      </w:r>
      <w:r>
        <w:rPr>
          <w:rFonts w:ascii="Arial" w:eastAsia="Times New Roman" w:hAnsi="Arial" w:cs="Arial"/>
          <w:bCs/>
          <w:kern w:val="28"/>
          <w:sz w:val="24"/>
          <w:szCs w:val="24"/>
        </w:rPr>
        <w:t xml:space="preserve"> and Order is unlawful and unreasonable in that it </w:t>
      </w:r>
      <w:r w:rsidR="00B444C2">
        <w:rPr>
          <w:rFonts w:ascii="Arial" w:eastAsia="Times New Roman" w:hAnsi="Arial" w:cs="Arial"/>
          <w:bCs/>
          <w:kern w:val="28"/>
          <w:sz w:val="24"/>
          <w:szCs w:val="24"/>
        </w:rPr>
        <w:t>fails to</w:t>
      </w:r>
      <w:r w:rsidR="0075779D">
        <w:rPr>
          <w:rFonts w:ascii="Arial" w:eastAsia="Times New Roman" w:hAnsi="Arial" w:cs="Arial"/>
          <w:bCs/>
          <w:kern w:val="28"/>
          <w:sz w:val="24"/>
          <w:szCs w:val="24"/>
        </w:rPr>
        <w:t xml:space="preserve"> require the Market Development Working Group (“MDWG”) to make proposals on how a more diverse range of products and </w:t>
      </w:r>
      <w:r w:rsidR="0075779D">
        <w:rPr>
          <w:rFonts w:ascii="Arial" w:eastAsia="Times New Roman" w:hAnsi="Arial" w:cs="Arial"/>
          <w:bCs/>
          <w:kern w:val="28"/>
          <w:sz w:val="24"/>
          <w:szCs w:val="24"/>
        </w:rPr>
        <w:lastRenderedPageBreak/>
        <w:t>services can be offered</w:t>
      </w:r>
      <w:r w:rsidR="00922CBC">
        <w:rPr>
          <w:rFonts w:ascii="Arial" w:eastAsia="Times New Roman" w:hAnsi="Arial" w:cs="Arial"/>
          <w:bCs/>
          <w:kern w:val="28"/>
          <w:sz w:val="24"/>
          <w:szCs w:val="24"/>
        </w:rPr>
        <w:t xml:space="preserve"> and billed</w:t>
      </w:r>
      <w:r w:rsidR="0075779D">
        <w:rPr>
          <w:rFonts w:ascii="Arial" w:eastAsia="Times New Roman" w:hAnsi="Arial" w:cs="Arial"/>
          <w:bCs/>
          <w:kern w:val="28"/>
          <w:sz w:val="24"/>
          <w:szCs w:val="24"/>
        </w:rPr>
        <w:t xml:space="preserve"> to customers through the competitive market</w:t>
      </w:r>
      <w:r w:rsidR="00F83420">
        <w:rPr>
          <w:rFonts w:ascii="Arial" w:eastAsia="Times New Roman" w:hAnsi="Arial" w:cs="Arial"/>
          <w:bCs/>
          <w:kern w:val="28"/>
          <w:sz w:val="24"/>
          <w:szCs w:val="24"/>
        </w:rPr>
        <w:t>.</w:t>
      </w:r>
    </w:p>
    <w:p w:rsidR="00C506A0" w:rsidRDefault="00C506A0" w:rsidP="00D865AA">
      <w:pPr>
        <w:widowControl w:val="0"/>
        <w:overflowPunct w:val="0"/>
        <w:autoSpaceDE w:val="0"/>
        <w:autoSpaceDN w:val="0"/>
        <w:adjustRightInd w:val="0"/>
        <w:spacing w:after="0" w:line="240" w:lineRule="auto"/>
        <w:jc w:val="both"/>
        <w:rPr>
          <w:rFonts w:ascii="Arial" w:eastAsia="Times New Roman" w:hAnsi="Arial" w:cs="Arial"/>
          <w:bCs/>
          <w:kern w:val="28"/>
          <w:sz w:val="24"/>
          <w:szCs w:val="24"/>
        </w:rPr>
      </w:pPr>
    </w:p>
    <w:p w:rsidR="00C506A0" w:rsidRDefault="00C506A0" w:rsidP="00D865AA">
      <w:pPr>
        <w:widowControl w:val="0"/>
        <w:overflowPunct w:val="0"/>
        <w:autoSpaceDE w:val="0"/>
        <w:autoSpaceDN w:val="0"/>
        <w:adjustRightInd w:val="0"/>
        <w:spacing w:after="0" w:line="480" w:lineRule="auto"/>
        <w:jc w:val="both"/>
        <w:rPr>
          <w:rFonts w:ascii="Arial" w:eastAsia="Times New Roman" w:hAnsi="Arial" w:cs="Arial"/>
          <w:bCs/>
          <w:kern w:val="28"/>
          <w:sz w:val="24"/>
          <w:szCs w:val="24"/>
        </w:rPr>
      </w:pPr>
      <w:r>
        <w:rPr>
          <w:rFonts w:ascii="Arial" w:eastAsia="Times New Roman" w:hAnsi="Arial" w:cs="Arial"/>
          <w:bCs/>
          <w:kern w:val="28"/>
          <w:sz w:val="24"/>
          <w:szCs w:val="24"/>
        </w:rPr>
        <w:t>For the reasons more fully set forth in the attached Memo</w:t>
      </w:r>
      <w:r w:rsidR="00D865AA">
        <w:rPr>
          <w:rFonts w:ascii="Arial" w:eastAsia="Times New Roman" w:hAnsi="Arial" w:cs="Arial"/>
          <w:bCs/>
          <w:kern w:val="28"/>
          <w:sz w:val="24"/>
          <w:szCs w:val="24"/>
        </w:rPr>
        <w:t>randum in Support, IGS requests</w:t>
      </w:r>
      <w:r>
        <w:rPr>
          <w:rFonts w:ascii="Arial" w:eastAsia="Times New Roman" w:hAnsi="Arial" w:cs="Arial"/>
          <w:bCs/>
          <w:kern w:val="28"/>
          <w:sz w:val="24"/>
          <w:szCs w:val="24"/>
        </w:rPr>
        <w:t xml:space="preserve"> rehearing on the above issues.  </w:t>
      </w:r>
    </w:p>
    <w:p w:rsidR="00C506A0" w:rsidRDefault="00C506A0">
      <w:pPr>
        <w:rPr>
          <w:rFonts w:ascii="Arial" w:hAnsi="Arial" w:cs="Arial"/>
          <w:sz w:val="24"/>
          <w:szCs w:val="24"/>
        </w:rPr>
      </w:pPr>
    </w:p>
    <w:p w:rsidR="009C778A" w:rsidRDefault="009C778A" w:rsidP="009C778A">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rsidR="009C778A" w:rsidRDefault="009C778A" w:rsidP="009C778A">
      <w:pPr>
        <w:spacing w:after="0" w:line="240" w:lineRule="auto"/>
        <w:rPr>
          <w:rFonts w:ascii="Arial" w:eastAsia="Calibri" w:hAnsi="Arial" w:cs="Arial"/>
          <w:sz w:val="24"/>
          <w:szCs w:val="24"/>
          <w:u w:val="single"/>
        </w:rPr>
      </w:pPr>
    </w:p>
    <w:p w:rsidR="009C778A" w:rsidRDefault="009C778A" w:rsidP="009C778A">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/s/ Matthew White</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Matthew White (0082859)</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Counsel of Record</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Email: mswhite@igsenergy.com</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Interstate Gas Supply, Inc.</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6100 Emerald Parkway</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Dublin, Ohio 43016</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9C778A" w:rsidRDefault="009C778A" w:rsidP="009C778A">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A0462A" w:rsidRDefault="009C778A" w:rsidP="00A0462A">
      <w:pPr>
        <w:rPr>
          <w:rFonts w:ascii="Arial" w:hAnsi="Arial" w:cs="Arial"/>
          <w:sz w:val="24"/>
          <w:szCs w:val="24"/>
        </w:rPr>
      </w:pPr>
      <w:r>
        <w:rPr>
          <w:rFonts w:ascii="Arial" w:hAnsi="Arial" w:cs="Arial"/>
          <w:sz w:val="24"/>
          <w:szCs w:val="24"/>
        </w:rPr>
        <w:br w:type="page"/>
      </w:r>
    </w:p>
    <w:p w:rsidR="00A0462A" w:rsidRPr="00487731" w:rsidRDefault="00A0462A" w:rsidP="00A0462A">
      <w:pPr>
        <w:pStyle w:val="Title"/>
        <w:widowControl w:val="0"/>
        <w:rPr>
          <w:rFonts w:ascii="Arial" w:hAnsi="Arial" w:cs="Arial"/>
          <w:sz w:val="28"/>
          <w:szCs w:val="28"/>
        </w:rPr>
      </w:pPr>
      <w:r w:rsidRPr="00487731">
        <w:rPr>
          <w:rFonts w:ascii="Arial" w:hAnsi="Arial" w:cs="Arial"/>
          <w:sz w:val="28"/>
          <w:szCs w:val="28"/>
        </w:rPr>
        <w:lastRenderedPageBreak/>
        <w:t>BEFORE</w:t>
      </w:r>
    </w:p>
    <w:p w:rsidR="00A0462A" w:rsidRPr="00487731" w:rsidRDefault="00A0462A" w:rsidP="00A0462A">
      <w:pPr>
        <w:widowControl w:val="0"/>
        <w:jc w:val="center"/>
        <w:rPr>
          <w:rFonts w:ascii="Arial" w:hAnsi="Arial" w:cs="Arial"/>
          <w:b/>
          <w:sz w:val="28"/>
          <w:szCs w:val="28"/>
        </w:rPr>
      </w:pPr>
      <w:r w:rsidRPr="00487731">
        <w:rPr>
          <w:rFonts w:ascii="Arial" w:hAnsi="Arial" w:cs="Arial"/>
          <w:b/>
          <w:sz w:val="28"/>
          <w:szCs w:val="28"/>
        </w:rPr>
        <w:t>THE PUBLIC UTILITIES COMMISSION OF OHIO</w:t>
      </w:r>
    </w:p>
    <w:tbl>
      <w:tblPr>
        <w:tblW w:w="0" w:type="auto"/>
        <w:jc w:val="center"/>
        <w:tblInd w:w="-315" w:type="dxa"/>
        <w:tblLook w:val="01E0" w:firstRow="1" w:lastRow="1" w:firstColumn="1" w:lastColumn="1" w:noHBand="0" w:noVBand="0"/>
      </w:tblPr>
      <w:tblGrid>
        <w:gridCol w:w="4769"/>
        <w:gridCol w:w="634"/>
        <w:gridCol w:w="3954"/>
      </w:tblGrid>
      <w:tr w:rsidR="00A0462A" w:rsidRPr="00487731" w:rsidTr="00021732">
        <w:trPr>
          <w:trHeight w:val="1288"/>
          <w:jc w:val="center"/>
        </w:trPr>
        <w:tc>
          <w:tcPr>
            <w:tcW w:w="4769" w:type="dxa"/>
          </w:tcPr>
          <w:p w:rsidR="00A0462A" w:rsidRPr="00487731" w:rsidRDefault="00A0462A" w:rsidP="00021732">
            <w:pPr>
              <w:widowControl w:val="0"/>
              <w:spacing w:after="0" w:line="240" w:lineRule="auto"/>
              <w:rPr>
                <w:rFonts w:ascii="Arial" w:hAnsi="Arial" w:cs="Arial"/>
                <w:sz w:val="28"/>
                <w:szCs w:val="28"/>
              </w:rPr>
            </w:pPr>
            <w:r w:rsidRPr="00487731">
              <w:rPr>
                <w:rFonts w:ascii="Arial" w:hAnsi="Arial" w:cs="Arial"/>
                <w:sz w:val="28"/>
                <w:szCs w:val="28"/>
              </w:rPr>
              <w:t>In the Matter of the Commission's Investigation of Ohio’s Retail Electric Service Market</w:t>
            </w:r>
          </w:p>
        </w:tc>
        <w:tc>
          <w:tcPr>
            <w:tcW w:w="634" w:type="dxa"/>
          </w:tcPr>
          <w:p w:rsidR="00A0462A" w:rsidRPr="00487731" w:rsidRDefault="00A0462A" w:rsidP="00021732">
            <w:pPr>
              <w:widowControl w:val="0"/>
              <w:spacing w:after="0" w:line="240" w:lineRule="auto"/>
              <w:jc w:val="center"/>
              <w:rPr>
                <w:rFonts w:ascii="Arial" w:hAnsi="Arial" w:cs="Arial"/>
                <w:sz w:val="28"/>
                <w:szCs w:val="28"/>
              </w:rPr>
            </w:pPr>
            <w:r w:rsidRPr="00487731">
              <w:rPr>
                <w:rFonts w:ascii="Arial" w:hAnsi="Arial" w:cs="Arial"/>
                <w:sz w:val="28"/>
                <w:szCs w:val="28"/>
              </w:rPr>
              <w:t>)</w:t>
            </w:r>
          </w:p>
          <w:p w:rsidR="00A0462A" w:rsidRPr="00487731" w:rsidRDefault="00A0462A" w:rsidP="00021732">
            <w:pPr>
              <w:widowControl w:val="0"/>
              <w:spacing w:after="0" w:line="240" w:lineRule="auto"/>
              <w:jc w:val="center"/>
              <w:rPr>
                <w:rFonts w:ascii="Arial" w:hAnsi="Arial" w:cs="Arial"/>
                <w:sz w:val="28"/>
                <w:szCs w:val="28"/>
              </w:rPr>
            </w:pPr>
            <w:r w:rsidRPr="00487731">
              <w:rPr>
                <w:rFonts w:ascii="Arial" w:hAnsi="Arial" w:cs="Arial"/>
                <w:sz w:val="28"/>
                <w:szCs w:val="28"/>
              </w:rPr>
              <w:t>)</w:t>
            </w:r>
          </w:p>
          <w:p w:rsidR="00A0462A" w:rsidRPr="00487731" w:rsidRDefault="00A0462A" w:rsidP="00021732">
            <w:pPr>
              <w:widowControl w:val="0"/>
              <w:spacing w:after="0" w:line="240" w:lineRule="auto"/>
              <w:jc w:val="center"/>
              <w:rPr>
                <w:rFonts w:ascii="Arial" w:hAnsi="Arial" w:cs="Arial"/>
                <w:sz w:val="28"/>
                <w:szCs w:val="28"/>
              </w:rPr>
            </w:pPr>
            <w:r w:rsidRPr="00487731">
              <w:rPr>
                <w:rFonts w:ascii="Arial" w:hAnsi="Arial" w:cs="Arial"/>
                <w:sz w:val="28"/>
                <w:szCs w:val="28"/>
              </w:rPr>
              <w:t>)</w:t>
            </w:r>
          </w:p>
        </w:tc>
        <w:tc>
          <w:tcPr>
            <w:tcW w:w="3954" w:type="dxa"/>
          </w:tcPr>
          <w:p w:rsidR="00A0462A" w:rsidRPr="00487731" w:rsidRDefault="00A0462A" w:rsidP="00021732">
            <w:pPr>
              <w:widowControl w:val="0"/>
              <w:spacing w:after="0" w:line="240" w:lineRule="auto"/>
              <w:rPr>
                <w:rFonts w:ascii="Arial" w:hAnsi="Arial" w:cs="Arial"/>
                <w:sz w:val="28"/>
                <w:szCs w:val="28"/>
              </w:rPr>
            </w:pPr>
          </w:p>
          <w:p w:rsidR="00A0462A" w:rsidRPr="00487731" w:rsidRDefault="00A0462A" w:rsidP="00021732">
            <w:pPr>
              <w:widowControl w:val="0"/>
              <w:spacing w:after="0" w:line="240" w:lineRule="auto"/>
              <w:rPr>
                <w:rFonts w:ascii="Arial" w:hAnsi="Arial" w:cs="Arial"/>
                <w:sz w:val="28"/>
                <w:szCs w:val="28"/>
              </w:rPr>
            </w:pPr>
            <w:r w:rsidRPr="00487731">
              <w:rPr>
                <w:rFonts w:ascii="Arial" w:hAnsi="Arial" w:cs="Arial"/>
                <w:sz w:val="28"/>
                <w:szCs w:val="28"/>
              </w:rPr>
              <w:t>Case No. 12-3151-EL-COI</w:t>
            </w:r>
          </w:p>
          <w:p w:rsidR="00A0462A" w:rsidRPr="00487731" w:rsidRDefault="00A0462A" w:rsidP="00021732">
            <w:pPr>
              <w:widowControl w:val="0"/>
              <w:spacing w:after="0" w:line="240" w:lineRule="auto"/>
              <w:rPr>
                <w:rFonts w:ascii="Arial" w:hAnsi="Arial" w:cs="Arial"/>
                <w:sz w:val="28"/>
                <w:szCs w:val="28"/>
              </w:rPr>
            </w:pPr>
          </w:p>
        </w:tc>
      </w:tr>
    </w:tbl>
    <w:p w:rsidR="00A0462A" w:rsidRPr="00A0462A" w:rsidRDefault="00A0462A" w:rsidP="00A0462A">
      <w:pPr>
        <w:rPr>
          <w:rFonts w:ascii="Arial" w:hAnsi="Arial" w:cs="Arial"/>
          <w:sz w:val="24"/>
          <w:szCs w:val="24"/>
        </w:rPr>
      </w:pPr>
    </w:p>
    <w:p w:rsidR="00A0462A" w:rsidRDefault="00A0462A" w:rsidP="00C506A0">
      <w:pPr>
        <w:pStyle w:val="Footer"/>
        <w:pBdr>
          <w:top w:val="single" w:sz="12" w:space="1" w:color="auto"/>
          <w:bottom w:val="single" w:sz="12" w:space="1" w:color="auto"/>
        </w:pBdr>
        <w:tabs>
          <w:tab w:val="left" w:pos="4320"/>
        </w:tabs>
        <w:jc w:val="center"/>
        <w:rPr>
          <w:rFonts w:ascii="Arial" w:eastAsia="Times New Roman" w:hAnsi="Arial" w:cs="Arial"/>
          <w:b/>
          <w:bCs/>
          <w:kern w:val="28"/>
          <w:sz w:val="28"/>
          <w:szCs w:val="28"/>
        </w:rPr>
      </w:pPr>
    </w:p>
    <w:p w:rsidR="00C506A0" w:rsidRPr="00C506A0" w:rsidRDefault="00C506A0" w:rsidP="00C506A0">
      <w:pPr>
        <w:pStyle w:val="Footer"/>
        <w:pBdr>
          <w:top w:val="single" w:sz="12" w:space="1" w:color="auto"/>
          <w:bottom w:val="single" w:sz="12" w:space="1" w:color="auto"/>
        </w:pBdr>
        <w:tabs>
          <w:tab w:val="left" w:pos="4320"/>
        </w:tabs>
        <w:jc w:val="center"/>
        <w:rPr>
          <w:rFonts w:ascii="Arial" w:eastAsia="Times New Roman" w:hAnsi="Arial" w:cs="Arial"/>
          <w:b/>
          <w:bCs/>
          <w:kern w:val="28"/>
          <w:sz w:val="28"/>
          <w:szCs w:val="28"/>
        </w:rPr>
      </w:pPr>
      <w:r>
        <w:rPr>
          <w:rFonts w:ascii="Arial" w:eastAsia="Times New Roman" w:hAnsi="Arial" w:cs="Arial"/>
          <w:b/>
          <w:bCs/>
          <w:kern w:val="28"/>
          <w:sz w:val="28"/>
          <w:szCs w:val="28"/>
        </w:rPr>
        <w:t>MEMORANDUM IN SUPPORT</w:t>
      </w:r>
    </w:p>
    <w:p w:rsidR="00C506A0" w:rsidRPr="00C506A0" w:rsidRDefault="00C506A0" w:rsidP="00C506A0">
      <w:pPr>
        <w:pStyle w:val="Footer"/>
        <w:pBdr>
          <w:top w:val="single" w:sz="12" w:space="1" w:color="auto"/>
          <w:bottom w:val="single" w:sz="12" w:space="1" w:color="auto"/>
        </w:pBdr>
        <w:tabs>
          <w:tab w:val="left" w:pos="4320"/>
        </w:tabs>
        <w:jc w:val="center"/>
        <w:rPr>
          <w:rFonts w:ascii="Arial" w:hAnsi="Arial" w:cs="Arial"/>
          <w:b/>
          <w:sz w:val="28"/>
          <w:szCs w:val="28"/>
        </w:rPr>
      </w:pPr>
    </w:p>
    <w:p w:rsidR="00B4330A" w:rsidRDefault="00B4330A" w:rsidP="002C105C">
      <w:pPr>
        <w:tabs>
          <w:tab w:val="left" w:pos="2100"/>
        </w:tabs>
        <w:spacing w:line="480" w:lineRule="auto"/>
        <w:rPr>
          <w:rFonts w:ascii="Arial" w:hAnsi="Arial" w:cs="Arial"/>
          <w:sz w:val="24"/>
          <w:szCs w:val="24"/>
        </w:rPr>
      </w:pPr>
    </w:p>
    <w:p w:rsidR="00914289" w:rsidRPr="00914289" w:rsidRDefault="00914289" w:rsidP="002C105C">
      <w:pPr>
        <w:pStyle w:val="ListParagraph"/>
        <w:numPr>
          <w:ilvl w:val="0"/>
          <w:numId w:val="10"/>
        </w:numPr>
        <w:spacing w:after="120" w:line="480" w:lineRule="auto"/>
        <w:rPr>
          <w:rFonts w:ascii="Arial" w:eastAsia="Times New Roman" w:hAnsi="Arial" w:cs="Arial"/>
          <w:b/>
          <w:bCs/>
          <w:kern w:val="28"/>
          <w:sz w:val="24"/>
          <w:szCs w:val="24"/>
        </w:rPr>
      </w:pPr>
      <w:r w:rsidRPr="00914289">
        <w:rPr>
          <w:rFonts w:ascii="Arial" w:eastAsia="Times New Roman" w:hAnsi="Arial" w:cs="Arial"/>
          <w:b/>
          <w:bCs/>
          <w:kern w:val="28"/>
          <w:sz w:val="24"/>
          <w:szCs w:val="24"/>
        </w:rPr>
        <w:t>INTRODUCTION</w:t>
      </w:r>
    </w:p>
    <w:p w:rsidR="00B91B9A" w:rsidRDefault="0037485A" w:rsidP="002C105C">
      <w:pPr>
        <w:spacing w:after="120" w:line="480" w:lineRule="auto"/>
        <w:ind w:firstLine="360"/>
        <w:jc w:val="both"/>
        <w:rPr>
          <w:rFonts w:ascii="Arial" w:eastAsia="Times New Roman" w:hAnsi="Arial" w:cs="Arial"/>
          <w:bCs/>
          <w:kern w:val="28"/>
          <w:sz w:val="24"/>
          <w:szCs w:val="24"/>
        </w:rPr>
      </w:pPr>
      <w:r>
        <w:rPr>
          <w:rFonts w:ascii="Arial" w:eastAsia="Times New Roman" w:hAnsi="Arial" w:cs="Arial"/>
          <w:bCs/>
          <w:kern w:val="28"/>
          <w:sz w:val="24"/>
          <w:szCs w:val="24"/>
        </w:rPr>
        <w:t>In the</w:t>
      </w:r>
      <w:r w:rsidR="00CC70EF">
        <w:rPr>
          <w:rFonts w:ascii="Arial" w:eastAsia="Times New Roman" w:hAnsi="Arial" w:cs="Arial"/>
          <w:bCs/>
          <w:kern w:val="28"/>
          <w:sz w:val="24"/>
          <w:szCs w:val="24"/>
        </w:rPr>
        <w:t xml:space="preserve"> </w:t>
      </w:r>
      <w:r w:rsidR="002F0847">
        <w:rPr>
          <w:rFonts w:ascii="Arial" w:eastAsia="Times New Roman" w:hAnsi="Arial" w:cs="Arial"/>
          <w:bCs/>
          <w:kern w:val="28"/>
          <w:sz w:val="24"/>
          <w:szCs w:val="24"/>
        </w:rPr>
        <w:t xml:space="preserve">March 26 Order </w:t>
      </w:r>
      <w:r w:rsidR="00BE3EF2">
        <w:rPr>
          <w:rFonts w:ascii="Arial" w:eastAsia="Times New Roman" w:hAnsi="Arial" w:cs="Arial"/>
          <w:bCs/>
          <w:kern w:val="28"/>
          <w:sz w:val="24"/>
          <w:szCs w:val="24"/>
        </w:rPr>
        <w:t xml:space="preserve">the Commission approved a number of modest measures designed to help Ohio’s retail electric markets become more competitive. </w:t>
      </w:r>
      <w:r w:rsidR="00E64EE4">
        <w:rPr>
          <w:rFonts w:ascii="Arial" w:eastAsia="Times New Roman" w:hAnsi="Arial" w:cs="Arial"/>
          <w:bCs/>
          <w:kern w:val="28"/>
          <w:sz w:val="24"/>
          <w:szCs w:val="24"/>
        </w:rPr>
        <w:t xml:space="preserve"> </w:t>
      </w:r>
      <w:r w:rsidR="00BE3EF2">
        <w:rPr>
          <w:rFonts w:ascii="Arial" w:eastAsia="Times New Roman" w:hAnsi="Arial" w:cs="Arial"/>
          <w:bCs/>
          <w:kern w:val="28"/>
          <w:sz w:val="24"/>
          <w:szCs w:val="24"/>
        </w:rPr>
        <w:t xml:space="preserve">IGS is encouraged that during this retail market investigation (“RMI”) the Commission has been largely supportive of moving Ohio’s competitive retail electric markets forward.  </w:t>
      </w:r>
      <w:r w:rsidR="002F0847">
        <w:rPr>
          <w:rFonts w:ascii="Arial" w:eastAsia="Times New Roman" w:hAnsi="Arial" w:cs="Arial"/>
          <w:bCs/>
          <w:kern w:val="28"/>
          <w:sz w:val="24"/>
          <w:szCs w:val="24"/>
        </w:rPr>
        <w:t>T</w:t>
      </w:r>
      <w:r w:rsidR="00D954BD">
        <w:rPr>
          <w:rFonts w:ascii="Arial" w:eastAsia="Times New Roman" w:hAnsi="Arial" w:cs="Arial"/>
          <w:bCs/>
          <w:kern w:val="28"/>
          <w:sz w:val="24"/>
          <w:szCs w:val="24"/>
        </w:rPr>
        <w:t>he Commission</w:t>
      </w:r>
      <w:r w:rsidR="007B0179">
        <w:rPr>
          <w:rFonts w:ascii="Arial" w:eastAsia="Times New Roman" w:hAnsi="Arial" w:cs="Arial"/>
          <w:bCs/>
          <w:kern w:val="28"/>
          <w:sz w:val="24"/>
          <w:szCs w:val="24"/>
        </w:rPr>
        <w:t xml:space="preserve"> should</w:t>
      </w:r>
      <w:r w:rsidR="00D954BD">
        <w:rPr>
          <w:rFonts w:ascii="Arial" w:eastAsia="Times New Roman" w:hAnsi="Arial" w:cs="Arial"/>
          <w:bCs/>
          <w:kern w:val="28"/>
          <w:sz w:val="24"/>
          <w:szCs w:val="24"/>
        </w:rPr>
        <w:t xml:space="preserve"> continue to encourage </w:t>
      </w:r>
      <w:r w:rsidR="001C3D9E">
        <w:rPr>
          <w:rFonts w:ascii="Arial" w:eastAsia="Times New Roman" w:hAnsi="Arial" w:cs="Arial"/>
          <w:bCs/>
          <w:kern w:val="28"/>
          <w:sz w:val="24"/>
          <w:szCs w:val="24"/>
        </w:rPr>
        <w:t xml:space="preserve">the development of </w:t>
      </w:r>
      <w:r w:rsidR="003A6646">
        <w:rPr>
          <w:rFonts w:ascii="Arial" w:eastAsia="Times New Roman" w:hAnsi="Arial" w:cs="Arial"/>
          <w:bCs/>
          <w:kern w:val="28"/>
          <w:sz w:val="24"/>
          <w:szCs w:val="24"/>
        </w:rPr>
        <w:t xml:space="preserve">Ohio’s </w:t>
      </w:r>
      <w:r w:rsidR="001C3D9E">
        <w:rPr>
          <w:rFonts w:ascii="Arial" w:eastAsia="Times New Roman" w:hAnsi="Arial" w:cs="Arial"/>
          <w:bCs/>
          <w:kern w:val="28"/>
          <w:sz w:val="24"/>
          <w:szCs w:val="24"/>
        </w:rPr>
        <w:t>competitive electric markets</w:t>
      </w:r>
      <w:r w:rsidR="002F0847">
        <w:rPr>
          <w:rFonts w:ascii="Arial" w:eastAsia="Times New Roman" w:hAnsi="Arial" w:cs="Arial"/>
          <w:bCs/>
          <w:kern w:val="28"/>
          <w:sz w:val="24"/>
          <w:szCs w:val="24"/>
        </w:rPr>
        <w:t xml:space="preserve"> as competition in electric markets has benefited, and will continue </w:t>
      </w:r>
      <w:r w:rsidR="00D865AA">
        <w:rPr>
          <w:rFonts w:ascii="Arial" w:eastAsia="Times New Roman" w:hAnsi="Arial" w:cs="Arial"/>
          <w:bCs/>
          <w:kern w:val="28"/>
          <w:sz w:val="24"/>
          <w:szCs w:val="24"/>
        </w:rPr>
        <w:t xml:space="preserve">to </w:t>
      </w:r>
      <w:r w:rsidR="002F0847">
        <w:rPr>
          <w:rFonts w:ascii="Arial" w:eastAsia="Times New Roman" w:hAnsi="Arial" w:cs="Arial"/>
          <w:bCs/>
          <w:kern w:val="28"/>
          <w:sz w:val="24"/>
          <w:szCs w:val="24"/>
        </w:rPr>
        <w:t>benefit, all</w:t>
      </w:r>
      <w:r w:rsidR="002A6ACE">
        <w:rPr>
          <w:rFonts w:ascii="Arial" w:eastAsia="Times New Roman" w:hAnsi="Arial" w:cs="Arial"/>
          <w:bCs/>
          <w:kern w:val="28"/>
          <w:sz w:val="24"/>
          <w:szCs w:val="24"/>
        </w:rPr>
        <w:t xml:space="preserve"> Ohio</w:t>
      </w:r>
      <w:r w:rsidR="002F0847">
        <w:rPr>
          <w:rFonts w:ascii="Arial" w:eastAsia="Times New Roman" w:hAnsi="Arial" w:cs="Arial"/>
          <w:bCs/>
          <w:kern w:val="28"/>
          <w:sz w:val="24"/>
          <w:szCs w:val="24"/>
        </w:rPr>
        <w:t xml:space="preserve"> customers</w:t>
      </w:r>
      <w:r w:rsidR="003A6646">
        <w:rPr>
          <w:rFonts w:ascii="Arial" w:eastAsia="Times New Roman" w:hAnsi="Arial" w:cs="Arial"/>
          <w:bCs/>
          <w:kern w:val="28"/>
          <w:sz w:val="24"/>
          <w:szCs w:val="24"/>
        </w:rPr>
        <w:t>.</w:t>
      </w:r>
      <w:r w:rsidR="00B1784F">
        <w:rPr>
          <w:rFonts w:ascii="Arial" w:eastAsia="Times New Roman" w:hAnsi="Arial" w:cs="Arial"/>
          <w:bCs/>
          <w:kern w:val="28"/>
          <w:sz w:val="24"/>
          <w:szCs w:val="24"/>
        </w:rPr>
        <w:t xml:space="preserve">  </w:t>
      </w:r>
    </w:p>
    <w:p w:rsidR="00E32A4F" w:rsidRDefault="007B0179" w:rsidP="002C105C">
      <w:pPr>
        <w:spacing w:after="120" w:line="480" w:lineRule="auto"/>
        <w:ind w:firstLine="360"/>
        <w:jc w:val="both"/>
        <w:rPr>
          <w:rFonts w:ascii="Arial" w:hAnsi="Arial" w:cs="Arial"/>
          <w:sz w:val="24"/>
          <w:szCs w:val="24"/>
        </w:rPr>
      </w:pPr>
      <w:r>
        <w:rPr>
          <w:rFonts w:ascii="Arial" w:eastAsia="Times New Roman" w:hAnsi="Arial" w:cs="Arial"/>
          <w:bCs/>
          <w:kern w:val="28"/>
          <w:sz w:val="24"/>
          <w:szCs w:val="24"/>
        </w:rPr>
        <w:t>Pr</w:t>
      </w:r>
      <w:r w:rsidR="001C3D9E">
        <w:rPr>
          <w:rFonts w:ascii="Arial" w:eastAsia="Times New Roman" w:hAnsi="Arial" w:cs="Arial"/>
          <w:bCs/>
          <w:kern w:val="28"/>
          <w:sz w:val="24"/>
          <w:szCs w:val="24"/>
        </w:rPr>
        <w:t>obably t</w:t>
      </w:r>
      <w:r w:rsidR="00D954BD">
        <w:rPr>
          <w:rFonts w:ascii="Arial" w:eastAsia="Times New Roman" w:hAnsi="Arial" w:cs="Arial"/>
          <w:bCs/>
          <w:kern w:val="28"/>
          <w:sz w:val="24"/>
          <w:szCs w:val="24"/>
        </w:rPr>
        <w:t xml:space="preserve">he </w:t>
      </w:r>
      <w:r w:rsidR="00E64EE4">
        <w:rPr>
          <w:rFonts w:ascii="Arial" w:eastAsia="Times New Roman" w:hAnsi="Arial" w:cs="Arial"/>
          <w:bCs/>
          <w:kern w:val="28"/>
          <w:sz w:val="24"/>
          <w:szCs w:val="24"/>
        </w:rPr>
        <w:t>most important issue the Commission must grapple with</w:t>
      </w:r>
      <w:r w:rsidR="00B91B9A">
        <w:rPr>
          <w:rFonts w:ascii="Arial" w:eastAsia="Times New Roman" w:hAnsi="Arial" w:cs="Arial"/>
          <w:bCs/>
          <w:kern w:val="28"/>
          <w:sz w:val="24"/>
          <w:szCs w:val="24"/>
        </w:rPr>
        <w:t xml:space="preserve"> </w:t>
      </w:r>
      <w:r w:rsidR="00B30395">
        <w:rPr>
          <w:rFonts w:ascii="Arial" w:eastAsia="Times New Roman" w:hAnsi="Arial" w:cs="Arial"/>
          <w:bCs/>
          <w:kern w:val="28"/>
          <w:sz w:val="24"/>
          <w:szCs w:val="24"/>
        </w:rPr>
        <w:t xml:space="preserve">in the future </w:t>
      </w:r>
      <w:r w:rsidR="00B91B9A">
        <w:rPr>
          <w:rFonts w:ascii="Arial" w:eastAsia="Times New Roman" w:hAnsi="Arial" w:cs="Arial"/>
          <w:bCs/>
          <w:kern w:val="28"/>
          <w:sz w:val="24"/>
          <w:szCs w:val="24"/>
        </w:rPr>
        <w:t xml:space="preserve">with respect to </w:t>
      </w:r>
      <w:r w:rsidR="001C3D9E">
        <w:rPr>
          <w:rFonts w:ascii="Arial" w:eastAsia="Times New Roman" w:hAnsi="Arial" w:cs="Arial"/>
          <w:bCs/>
          <w:kern w:val="28"/>
          <w:sz w:val="24"/>
          <w:szCs w:val="24"/>
        </w:rPr>
        <w:t xml:space="preserve">the development of competitive </w:t>
      </w:r>
      <w:r w:rsidR="002F0847">
        <w:rPr>
          <w:rFonts w:ascii="Arial" w:eastAsia="Times New Roman" w:hAnsi="Arial" w:cs="Arial"/>
          <w:bCs/>
          <w:kern w:val="28"/>
          <w:sz w:val="24"/>
          <w:szCs w:val="24"/>
        </w:rPr>
        <w:t xml:space="preserve">electric </w:t>
      </w:r>
      <w:r w:rsidR="001C3D9E">
        <w:rPr>
          <w:rFonts w:ascii="Arial" w:eastAsia="Times New Roman" w:hAnsi="Arial" w:cs="Arial"/>
          <w:bCs/>
          <w:kern w:val="28"/>
          <w:sz w:val="24"/>
          <w:szCs w:val="24"/>
        </w:rPr>
        <w:t>markets</w:t>
      </w:r>
      <w:r w:rsidR="0037485A">
        <w:rPr>
          <w:rFonts w:ascii="Arial" w:eastAsia="Times New Roman" w:hAnsi="Arial" w:cs="Arial"/>
          <w:bCs/>
          <w:kern w:val="28"/>
          <w:sz w:val="24"/>
          <w:szCs w:val="24"/>
        </w:rPr>
        <w:t xml:space="preserve"> </w:t>
      </w:r>
      <w:r w:rsidR="00846DD6">
        <w:rPr>
          <w:rFonts w:ascii="Arial" w:hAnsi="Arial" w:cs="Arial"/>
          <w:sz w:val="24"/>
          <w:szCs w:val="24"/>
        </w:rPr>
        <w:t>is the treatment of th</w:t>
      </w:r>
      <w:r w:rsidR="00F675F3">
        <w:rPr>
          <w:rFonts w:ascii="Arial" w:hAnsi="Arial" w:cs="Arial"/>
          <w:sz w:val="24"/>
          <w:szCs w:val="24"/>
        </w:rPr>
        <w:t>e default service product</w:t>
      </w:r>
      <w:r w:rsidR="00846DD6">
        <w:rPr>
          <w:rFonts w:ascii="Arial" w:hAnsi="Arial" w:cs="Arial"/>
          <w:sz w:val="24"/>
          <w:szCs w:val="24"/>
        </w:rPr>
        <w:t xml:space="preserve">. </w:t>
      </w:r>
      <w:r>
        <w:rPr>
          <w:rFonts w:ascii="Arial" w:hAnsi="Arial" w:cs="Arial"/>
          <w:sz w:val="24"/>
          <w:szCs w:val="24"/>
        </w:rPr>
        <w:t xml:space="preserve">While IGS is not filing for rehearing on this issue, it is important </w:t>
      </w:r>
      <w:r w:rsidR="0023730C">
        <w:rPr>
          <w:rFonts w:ascii="Arial" w:hAnsi="Arial" w:cs="Arial"/>
          <w:sz w:val="24"/>
          <w:szCs w:val="24"/>
        </w:rPr>
        <w:t xml:space="preserve">that in future proceedings </w:t>
      </w:r>
      <w:r>
        <w:rPr>
          <w:rFonts w:ascii="Arial" w:hAnsi="Arial" w:cs="Arial"/>
          <w:sz w:val="24"/>
          <w:szCs w:val="24"/>
        </w:rPr>
        <w:t>the Commission take</w:t>
      </w:r>
      <w:r w:rsidR="0023730C">
        <w:rPr>
          <w:rFonts w:ascii="Arial" w:hAnsi="Arial" w:cs="Arial"/>
          <w:sz w:val="24"/>
          <w:szCs w:val="24"/>
        </w:rPr>
        <w:t>s</w:t>
      </w:r>
      <w:r>
        <w:rPr>
          <w:rFonts w:ascii="Arial" w:hAnsi="Arial" w:cs="Arial"/>
          <w:sz w:val="24"/>
          <w:szCs w:val="24"/>
        </w:rPr>
        <w:t xml:space="preserve"> steps to limit, and ultimately eliminate, </w:t>
      </w:r>
      <w:r>
        <w:rPr>
          <w:rFonts w:ascii="Arial" w:hAnsi="Arial" w:cs="Arial"/>
          <w:sz w:val="24"/>
          <w:szCs w:val="24"/>
        </w:rPr>
        <w:lastRenderedPageBreak/>
        <w:t>the favoritism the default rate product receives under Ohio’s current regulatory structure.</w:t>
      </w:r>
      <w:r w:rsidR="00B30395">
        <w:rPr>
          <w:rStyle w:val="FootnoteReference"/>
          <w:rFonts w:ascii="Arial" w:hAnsi="Arial" w:cs="Arial"/>
          <w:sz w:val="24"/>
          <w:szCs w:val="24"/>
        </w:rPr>
        <w:footnoteReference w:id="1"/>
      </w:r>
      <w:r>
        <w:rPr>
          <w:rFonts w:ascii="Arial" w:hAnsi="Arial" w:cs="Arial"/>
          <w:sz w:val="24"/>
          <w:szCs w:val="24"/>
        </w:rPr>
        <w:t xml:space="preserve">  </w:t>
      </w:r>
    </w:p>
    <w:p w:rsidR="00E6153D" w:rsidRDefault="00B30395" w:rsidP="00E6153D">
      <w:pPr>
        <w:spacing w:after="120" w:line="480" w:lineRule="auto"/>
        <w:ind w:firstLine="360"/>
        <w:jc w:val="both"/>
        <w:rPr>
          <w:rFonts w:ascii="Arial" w:hAnsi="Arial" w:cs="Arial"/>
          <w:sz w:val="24"/>
          <w:szCs w:val="24"/>
        </w:rPr>
      </w:pPr>
      <w:r>
        <w:rPr>
          <w:rFonts w:ascii="Arial" w:hAnsi="Arial" w:cs="Arial"/>
          <w:sz w:val="24"/>
          <w:szCs w:val="24"/>
        </w:rPr>
        <w:t xml:space="preserve">There are some </w:t>
      </w:r>
      <w:r w:rsidR="0023730C">
        <w:rPr>
          <w:rFonts w:ascii="Arial" w:hAnsi="Arial" w:cs="Arial"/>
          <w:sz w:val="24"/>
          <w:szCs w:val="24"/>
        </w:rPr>
        <w:t xml:space="preserve">who </w:t>
      </w:r>
      <w:r>
        <w:rPr>
          <w:rFonts w:ascii="Arial" w:hAnsi="Arial" w:cs="Arial"/>
          <w:sz w:val="24"/>
          <w:szCs w:val="24"/>
        </w:rPr>
        <w:t xml:space="preserve">wish to continue to hold out the default service as the preferred product in the market, and would even like to create more rules that would </w:t>
      </w:r>
      <w:r w:rsidR="0023730C">
        <w:rPr>
          <w:rFonts w:ascii="Arial" w:hAnsi="Arial" w:cs="Arial"/>
          <w:sz w:val="24"/>
          <w:szCs w:val="24"/>
        </w:rPr>
        <w:t xml:space="preserve">impede </w:t>
      </w:r>
      <w:r w:rsidR="00377D27">
        <w:rPr>
          <w:rFonts w:ascii="Arial" w:hAnsi="Arial" w:cs="Arial"/>
          <w:sz w:val="24"/>
          <w:szCs w:val="24"/>
        </w:rPr>
        <w:t xml:space="preserve"> customers from leaving the default rate and </w:t>
      </w:r>
      <w:r>
        <w:rPr>
          <w:rFonts w:ascii="Arial" w:hAnsi="Arial" w:cs="Arial"/>
          <w:sz w:val="24"/>
          <w:szCs w:val="24"/>
        </w:rPr>
        <w:t xml:space="preserve">push customers back to </w:t>
      </w:r>
      <w:r w:rsidR="000D5B5B">
        <w:rPr>
          <w:rFonts w:ascii="Arial" w:hAnsi="Arial" w:cs="Arial"/>
          <w:sz w:val="24"/>
          <w:szCs w:val="24"/>
        </w:rPr>
        <w:t>default service.</w:t>
      </w:r>
      <w:r>
        <w:rPr>
          <w:rFonts w:ascii="Arial" w:hAnsi="Arial" w:cs="Arial"/>
          <w:sz w:val="24"/>
          <w:szCs w:val="24"/>
        </w:rPr>
        <w:t xml:space="preserve"> This policy is short</w:t>
      </w:r>
      <w:r w:rsidR="0027545E">
        <w:rPr>
          <w:rFonts w:ascii="Arial" w:hAnsi="Arial" w:cs="Arial"/>
          <w:sz w:val="24"/>
          <w:szCs w:val="24"/>
        </w:rPr>
        <w:t>-sighted</w:t>
      </w:r>
      <w:r>
        <w:rPr>
          <w:rFonts w:ascii="Arial" w:hAnsi="Arial" w:cs="Arial"/>
          <w:sz w:val="24"/>
          <w:szCs w:val="24"/>
        </w:rPr>
        <w:t xml:space="preserve"> and will </w:t>
      </w:r>
      <w:r w:rsidR="002A6ACE">
        <w:rPr>
          <w:rFonts w:ascii="Arial" w:hAnsi="Arial" w:cs="Arial"/>
          <w:sz w:val="24"/>
          <w:szCs w:val="24"/>
        </w:rPr>
        <w:t>harm</w:t>
      </w:r>
      <w:r>
        <w:rPr>
          <w:rFonts w:ascii="Arial" w:hAnsi="Arial" w:cs="Arial"/>
          <w:sz w:val="24"/>
          <w:szCs w:val="24"/>
        </w:rPr>
        <w:t xml:space="preserve"> customers in the long run.</w:t>
      </w:r>
      <w:r w:rsidR="00E32A4F">
        <w:rPr>
          <w:rFonts w:ascii="Arial" w:hAnsi="Arial" w:cs="Arial"/>
          <w:sz w:val="24"/>
          <w:szCs w:val="24"/>
        </w:rPr>
        <w:t xml:space="preserve"> Default service does not exist in virtually any other </w:t>
      </w:r>
      <w:r w:rsidR="00690B64">
        <w:rPr>
          <w:rFonts w:ascii="Arial" w:hAnsi="Arial" w:cs="Arial"/>
          <w:sz w:val="24"/>
          <w:szCs w:val="24"/>
        </w:rPr>
        <w:t xml:space="preserve">industry </w:t>
      </w:r>
      <w:r w:rsidR="00E32A4F">
        <w:rPr>
          <w:rFonts w:ascii="Arial" w:hAnsi="Arial" w:cs="Arial"/>
          <w:sz w:val="24"/>
          <w:szCs w:val="24"/>
        </w:rPr>
        <w:t>because default service discourages customer engagement and ultimately stifles innovation.</w:t>
      </w:r>
      <w:r w:rsidR="00F36388">
        <w:rPr>
          <w:rStyle w:val="FootnoteReference"/>
          <w:rFonts w:ascii="Arial" w:hAnsi="Arial" w:cs="Arial"/>
          <w:sz w:val="24"/>
          <w:szCs w:val="24"/>
        </w:rPr>
        <w:footnoteReference w:id="2"/>
      </w:r>
      <w:r w:rsidR="00E32A4F">
        <w:rPr>
          <w:rFonts w:ascii="Arial" w:hAnsi="Arial" w:cs="Arial"/>
          <w:sz w:val="24"/>
          <w:szCs w:val="24"/>
        </w:rPr>
        <w:t xml:space="preserve">  </w:t>
      </w:r>
      <w:r w:rsidR="00D865AA">
        <w:rPr>
          <w:rFonts w:ascii="Arial" w:hAnsi="Arial" w:cs="Arial"/>
          <w:sz w:val="24"/>
          <w:szCs w:val="24"/>
        </w:rPr>
        <w:t>In other industries (auto, groceries, insurance</w:t>
      </w:r>
      <w:r w:rsidR="00C61796">
        <w:rPr>
          <w:rFonts w:ascii="Arial" w:hAnsi="Arial" w:cs="Arial"/>
          <w:sz w:val="24"/>
          <w:szCs w:val="24"/>
        </w:rPr>
        <w:t>, etc.</w:t>
      </w:r>
      <w:r w:rsidR="00D865AA">
        <w:rPr>
          <w:rFonts w:ascii="Arial" w:hAnsi="Arial" w:cs="Arial"/>
          <w:sz w:val="24"/>
          <w:szCs w:val="24"/>
        </w:rPr>
        <w:t>), c</w:t>
      </w:r>
      <w:r>
        <w:rPr>
          <w:rFonts w:ascii="Arial" w:hAnsi="Arial" w:cs="Arial"/>
          <w:sz w:val="24"/>
          <w:szCs w:val="24"/>
        </w:rPr>
        <w:t>ustomers make decisions ev</w:t>
      </w:r>
      <w:r w:rsidR="00D865AA">
        <w:rPr>
          <w:rFonts w:ascii="Arial" w:hAnsi="Arial" w:cs="Arial"/>
          <w:sz w:val="24"/>
          <w:szCs w:val="24"/>
        </w:rPr>
        <w:t xml:space="preserve">ery day for </w:t>
      </w:r>
      <w:r w:rsidRPr="00B30395">
        <w:rPr>
          <w:rFonts w:ascii="Arial" w:hAnsi="Arial" w:cs="Arial"/>
          <w:sz w:val="24"/>
          <w:szCs w:val="24"/>
        </w:rPr>
        <w:t xml:space="preserve">products </w:t>
      </w:r>
      <w:r>
        <w:rPr>
          <w:rFonts w:ascii="Arial" w:hAnsi="Arial" w:cs="Arial"/>
          <w:sz w:val="24"/>
          <w:szCs w:val="24"/>
        </w:rPr>
        <w:t xml:space="preserve">and services where there is no </w:t>
      </w:r>
      <w:r w:rsidR="00D865AA">
        <w:rPr>
          <w:rFonts w:ascii="Arial" w:hAnsi="Arial" w:cs="Arial"/>
          <w:sz w:val="24"/>
          <w:szCs w:val="24"/>
        </w:rPr>
        <w:t>default service.  M</w:t>
      </w:r>
      <w:r w:rsidRPr="00B30395">
        <w:rPr>
          <w:rFonts w:ascii="Arial" w:hAnsi="Arial" w:cs="Arial"/>
          <w:sz w:val="24"/>
          <w:szCs w:val="24"/>
        </w:rPr>
        <w:t>any of those servic</w:t>
      </w:r>
      <w:r w:rsidR="00E6153D">
        <w:rPr>
          <w:rFonts w:ascii="Arial" w:hAnsi="Arial" w:cs="Arial"/>
          <w:sz w:val="24"/>
          <w:szCs w:val="24"/>
        </w:rPr>
        <w:t>es are required by law or are essential services</w:t>
      </w:r>
      <w:r w:rsidRPr="00B30395">
        <w:rPr>
          <w:rFonts w:ascii="Arial" w:hAnsi="Arial" w:cs="Arial"/>
          <w:sz w:val="24"/>
          <w:szCs w:val="24"/>
        </w:rPr>
        <w:t>.</w:t>
      </w:r>
      <w:r w:rsidR="00E6153D">
        <w:rPr>
          <w:rFonts w:ascii="Arial" w:hAnsi="Arial" w:cs="Arial"/>
          <w:sz w:val="24"/>
          <w:szCs w:val="24"/>
        </w:rPr>
        <w:t xml:space="preserve">  </w:t>
      </w:r>
      <w:r w:rsidR="000D5B5B">
        <w:rPr>
          <w:rFonts w:ascii="Arial" w:hAnsi="Arial" w:cs="Arial"/>
          <w:sz w:val="24"/>
          <w:szCs w:val="24"/>
        </w:rPr>
        <w:t xml:space="preserve"> </w:t>
      </w:r>
    </w:p>
    <w:p w:rsidR="00E32A4F" w:rsidRDefault="000D5B5B" w:rsidP="00E6153D">
      <w:pPr>
        <w:spacing w:after="120" w:line="480" w:lineRule="auto"/>
        <w:ind w:firstLine="360"/>
        <w:jc w:val="both"/>
        <w:rPr>
          <w:rFonts w:ascii="Arial" w:hAnsi="Arial" w:cs="Arial"/>
          <w:sz w:val="24"/>
          <w:szCs w:val="24"/>
        </w:rPr>
      </w:pPr>
      <w:r>
        <w:rPr>
          <w:rFonts w:ascii="Arial" w:hAnsi="Arial" w:cs="Arial"/>
          <w:sz w:val="24"/>
          <w:szCs w:val="24"/>
        </w:rPr>
        <w:t>With the introduction of competition</w:t>
      </w:r>
      <w:r w:rsidR="00E32A4F">
        <w:rPr>
          <w:rFonts w:ascii="Arial" w:hAnsi="Arial" w:cs="Arial"/>
          <w:sz w:val="24"/>
          <w:szCs w:val="24"/>
        </w:rPr>
        <w:t xml:space="preserve"> into Ohio’s electric markets,</w:t>
      </w:r>
      <w:r>
        <w:rPr>
          <w:rFonts w:ascii="Arial" w:hAnsi="Arial" w:cs="Arial"/>
          <w:sz w:val="24"/>
          <w:szCs w:val="24"/>
        </w:rPr>
        <w:t xml:space="preserve"> there is great potential to transform</w:t>
      </w:r>
      <w:r w:rsidR="00AA2BEF">
        <w:rPr>
          <w:rFonts w:ascii="Arial" w:hAnsi="Arial" w:cs="Arial"/>
          <w:sz w:val="24"/>
          <w:szCs w:val="24"/>
        </w:rPr>
        <w:t xml:space="preserve"> Ohio’s electric mar</w:t>
      </w:r>
      <w:r w:rsidR="00693964">
        <w:rPr>
          <w:rFonts w:ascii="Arial" w:hAnsi="Arial" w:cs="Arial"/>
          <w:sz w:val="24"/>
          <w:szCs w:val="24"/>
        </w:rPr>
        <w:t>kets with previously un-thought-</w:t>
      </w:r>
      <w:r w:rsidR="00AA2BEF">
        <w:rPr>
          <w:rFonts w:ascii="Arial" w:hAnsi="Arial" w:cs="Arial"/>
          <w:sz w:val="24"/>
          <w:szCs w:val="24"/>
        </w:rPr>
        <w:t xml:space="preserve">of products and services. </w:t>
      </w:r>
      <w:r>
        <w:rPr>
          <w:rFonts w:ascii="Arial" w:hAnsi="Arial" w:cs="Arial"/>
          <w:sz w:val="24"/>
          <w:szCs w:val="24"/>
        </w:rPr>
        <w:t xml:space="preserve"> </w:t>
      </w:r>
      <w:r w:rsidR="00AA2BEF">
        <w:rPr>
          <w:rFonts w:ascii="Arial" w:hAnsi="Arial" w:cs="Arial"/>
          <w:sz w:val="24"/>
          <w:szCs w:val="24"/>
        </w:rPr>
        <w:t>This will not ha</w:t>
      </w:r>
      <w:r w:rsidR="00E6153D">
        <w:rPr>
          <w:rFonts w:ascii="Arial" w:hAnsi="Arial" w:cs="Arial"/>
          <w:sz w:val="24"/>
          <w:szCs w:val="24"/>
        </w:rPr>
        <w:t xml:space="preserve">ppen, however, until customers </w:t>
      </w:r>
      <w:r w:rsidR="00AA2BEF">
        <w:rPr>
          <w:rFonts w:ascii="Arial" w:hAnsi="Arial" w:cs="Arial"/>
          <w:sz w:val="24"/>
          <w:szCs w:val="24"/>
        </w:rPr>
        <w:t xml:space="preserve">make decisions in their own interest for electric generation service, just like they do for all other products </w:t>
      </w:r>
      <w:r w:rsidR="003A6646">
        <w:rPr>
          <w:rFonts w:ascii="Arial" w:hAnsi="Arial" w:cs="Arial"/>
          <w:sz w:val="24"/>
          <w:szCs w:val="24"/>
        </w:rPr>
        <w:t>and services</w:t>
      </w:r>
      <w:r w:rsidR="00AA2BEF">
        <w:rPr>
          <w:rFonts w:ascii="Arial" w:hAnsi="Arial" w:cs="Arial"/>
          <w:sz w:val="24"/>
          <w:szCs w:val="24"/>
        </w:rPr>
        <w:t xml:space="preserve">.  </w:t>
      </w:r>
    </w:p>
    <w:p w:rsidR="002A6ACE" w:rsidRDefault="002A6ACE" w:rsidP="002C105C">
      <w:pPr>
        <w:spacing w:after="120" w:line="480" w:lineRule="auto"/>
        <w:ind w:firstLine="360"/>
        <w:jc w:val="both"/>
        <w:rPr>
          <w:rFonts w:ascii="Arial" w:hAnsi="Arial" w:cs="Arial"/>
          <w:sz w:val="24"/>
          <w:szCs w:val="24"/>
        </w:rPr>
      </w:pPr>
      <w:r>
        <w:rPr>
          <w:rFonts w:ascii="Arial" w:hAnsi="Arial" w:cs="Arial"/>
          <w:sz w:val="24"/>
          <w:szCs w:val="24"/>
        </w:rPr>
        <w:lastRenderedPageBreak/>
        <w:t>IGS is appreciative of the efforts made by the Commission to move Ohio’s competitive electric market forward.  However, a</w:t>
      </w:r>
      <w:r w:rsidR="00E32A4F">
        <w:rPr>
          <w:rFonts w:ascii="Arial" w:hAnsi="Arial" w:cs="Arial"/>
          <w:sz w:val="24"/>
          <w:szCs w:val="24"/>
        </w:rPr>
        <w:t xml:space="preserve">s </w:t>
      </w:r>
      <w:r w:rsidR="005D6B1B">
        <w:rPr>
          <w:rFonts w:ascii="Arial" w:hAnsi="Arial" w:cs="Arial"/>
          <w:sz w:val="24"/>
          <w:szCs w:val="24"/>
        </w:rPr>
        <w:t xml:space="preserve">Ohio’s competitive electric markets </w:t>
      </w:r>
      <w:r>
        <w:rPr>
          <w:rFonts w:ascii="Arial" w:hAnsi="Arial" w:cs="Arial"/>
          <w:sz w:val="24"/>
          <w:szCs w:val="24"/>
        </w:rPr>
        <w:t>evolve,</w:t>
      </w:r>
      <w:r w:rsidR="005D6B1B">
        <w:rPr>
          <w:rFonts w:ascii="Arial" w:hAnsi="Arial" w:cs="Arial"/>
          <w:sz w:val="24"/>
          <w:szCs w:val="24"/>
        </w:rPr>
        <w:t xml:space="preserve"> </w:t>
      </w:r>
      <w:r w:rsidR="004B7326">
        <w:rPr>
          <w:rFonts w:ascii="Arial" w:hAnsi="Arial" w:cs="Arial"/>
          <w:sz w:val="24"/>
          <w:szCs w:val="24"/>
        </w:rPr>
        <w:t>it is important to keep in</w:t>
      </w:r>
      <w:r w:rsidR="005D6B1B">
        <w:rPr>
          <w:rFonts w:ascii="Arial" w:hAnsi="Arial" w:cs="Arial"/>
          <w:sz w:val="24"/>
          <w:szCs w:val="24"/>
        </w:rPr>
        <w:t xml:space="preserve"> mind that no collaborative, regulation</w:t>
      </w:r>
      <w:r w:rsidR="004B7326">
        <w:rPr>
          <w:rFonts w:ascii="Arial" w:hAnsi="Arial" w:cs="Arial"/>
          <w:sz w:val="24"/>
          <w:szCs w:val="24"/>
        </w:rPr>
        <w:t>, working group</w:t>
      </w:r>
      <w:r w:rsidR="005D6B1B">
        <w:rPr>
          <w:rFonts w:ascii="Arial" w:hAnsi="Arial" w:cs="Arial"/>
          <w:sz w:val="24"/>
          <w:szCs w:val="24"/>
        </w:rPr>
        <w:t xml:space="preserve"> or Commission proceeding can substitute for the power that </w:t>
      </w:r>
      <w:r w:rsidR="002F0847">
        <w:rPr>
          <w:rFonts w:ascii="Arial" w:hAnsi="Arial" w:cs="Arial"/>
          <w:sz w:val="24"/>
          <w:szCs w:val="24"/>
        </w:rPr>
        <w:t>competition has at</w:t>
      </w:r>
      <w:r w:rsidR="005D6B1B">
        <w:rPr>
          <w:rFonts w:ascii="Arial" w:hAnsi="Arial" w:cs="Arial"/>
          <w:sz w:val="24"/>
          <w:szCs w:val="24"/>
        </w:rPr>
        <w:t xml:space="preserve"> driving innovation.</w:t>
      </w:r>
      <w:r w:rsidR="00E32A4F">
        <w:rPr>
          <w:rFonts w:ascii="Arial" w:hAnsi="Arial" w:cs="Arial"/>
          <w:sz w:val="24"/>
          <w:szCs w:val="24"/>
        </w:rPr>
        <w:t xml:space="preserve"> </w:t>
      </w:r>
    </w:p>
    <w:p w:rsidR="00F83420" w:rsidRDefault="002A6ACE" w:rsidP="002C105C">
      <w:pPr>
        <w:spacing w:after="120" w:line="480" w:lineRule="auto"/>
        <w:ind w:firstLine="360"/>
        <w:jc w:val="both"/>
        <w:rPr>
          <w:rFonts w:ascii="Arial" w:hAnsi="Arial" w:cs="Arial"/>
          <w:sz w:val="24"/>
          <w:szCs w:val="24"/>
        </w:rPr>
      </w:pPr>
      <w:r>
        <w:rPr>
          <w:rFonts w:ascii="Arial" w:hAnsi="Arial" w:cs="Arial"/>
          <w:sz w:val="24"/>
          <w:szCs w:val="24"/>
        </w:rPr>
        <w:t>With this in mind</w:t>
      </w:r>
      <w:r w:rsidR="003A6646">
        <w:rPr>
          <w:rFonts w:ascii="Arial" w:hAnsi="Arial" w:cs="Arial"/>
          <w:sz w:val="24"/>
          <w:szCs w:val="24"/>
        </w:rPr>
        <w:t>, IGS respectfully requests that the Commission grant rehearing in this proceeding on the below</w:t>
      </w:r>
      <w:r w:rsidR="00377D27">
        <w:rPr>
          <w:rFonts w:ascii="Arial" w:hAnsi="Arial" w:cs="Arial"/>
          <w:sz w:val="24"/>
          <w:szCs w:val="24"/>
        </w:rPr>
        <w:t xml:space="preserve"> issues.</w:t>
      </w:r>
    </w:p>
    <w:p w:rsidR="00914289" w:rsidRPr="00914289" w:rsidRDefault="00914289" w:rsidP="002C105C">
      <w:pPr>
        <w:pStyle w:val="ListParagraph"/>
        <w:numPr>
          <w:ilvl w:val="0"/>
          <w:numId w:val="10"/>
        </w:numPr>
        <w:spacing w:after="120" w:line="480" w:lineRule="auto"/>
        <w:jc w:val="both"/>
        <w:rPr>
          <w:rFonts w:ascii="Arial" w:hAnsi="Arial" w:cs="Arial"/>
          <w:b/>
          <w:sz w:val="24"/>
          <w:szCs w:val="24"/>
        </w:rPr>
      </w:pPr>
      <w:r w:rsidRPr="00914289">
        <w:rPr>
          <w:rFonts w:ascii="Arial" w:hAnsi="Arial" w:cs="Arial"/>
          <w:b/>
          <w:sz w:val="24"/>
          <w:szCs w:val="24"/>
        </w:rPr>
        <w:t>TOPICS FOR REHEARING</w:t>
      </w:r>
    </w:p>
    <w:p w:rsidR="009B5271" w:rsidRPr="009B5271" w:rsidRDefault="009B5271" w:rsidP="002C105C">
      <w:pPr>
        <w:pStyle w:val="ListParagraph"/>
        <w:numPr>
          <w:ilvl w:val="0"/>
          <w:numId w:val="8"/>
        </w:numPr>
        <w:spacing w:after="120" w:line="240" w:lineRule="auto"/>
        <w:jc w:val="both"/>
        <w:rPr>
          <w:rFonts w:ascii="Arial" w:hAnsi="Arial" w:cs="Arial"/>
          <w:b/>
          <w:sz w:val="24"/>
          <w:szCs w:val="24"/>
        </w:rPr>
      </w:pPr>
      <w:r w:rsidRPr="00F23AC1">
        <w:rPr>
          <w:rFonts w:ascii="Arial" w:eastAsia="Times New Roman" w:hAnsi="Arial" w:cs="Arial"/>
          <w:b/>
          <w:bCs/>
          <w:kern w:val="28"/>
          <w:sz w:val="24"/>
          <w:szCs w:val="24"/>
        </w:rPr>
        <w:t xml:space="preserve">The Commission Should Clarify the </w:t>
      </w:r>
      <w:r>
        <w:rPr>
          <w:rFonts w:ascii="Arial" w:eastAsia="Times New Roman" w:hAnsi="Arial" w:cs="Arial"/>
          <w:b/>
          <w:bCs/>
          <w:kern w:val="28"/>
          <w:sz w:val="24"/>
          <w:szCs w:val="24"/>
        </w:rPr>
        <w:t xml:space="preserve">Type of Smart Meter Data that Must be Made </w:t>
      </w:r>
      <w:r w:rsidR="0023730C">
        <w:rPr>
          <w:rFonts w:ascii="Arial" w:eastAsia="Times New Roman" w:hAnsi="Arial" w:cs="Arial"/>
          <w:b/>
          <w:bCs/>
          <w:kern w:val="28"/>
          <w:sz w:val="24"/>
          <w:szCs w:val="24"/>
        </w:rPr>
        <w:t xml:space="preserve">Available </w:t>
      </w:r>
      <w:r>
        <w:rPr>
          <w:rFonts w:ascii="Arial" w:eastAsia="Times New Roman" w:hAnsi="Arial" w:cs="Arial"/>
          <w:b/>
          <w:bCs/>
          <w:kern w:val="28"/>
          <w:sz w:val="24"/>
          <w:szCs w:val="24"/>
        </w:rPr>
        <w:t>to</w:t>
      </w:r>
      <w:r w:rsidRPr="00F23AC1">
        <w:rPr>
          <w:rFonts w:ascii="Arial" w:eastAsia="Times New Roman" w:hAnsi="Arial" w:cs="Arial"/>
          <w:b/>
          <w:bCs/>
          <w:kern w:val="28"/>
          <w:sz w:val="24"/>
          <w:szCs w:val="24"/>
        </w:rPr>
        <w:t xml:space="preserve"> </w:t>
      </w:r>
      <w:r>
        <w:rPr>
          <w:rFonts w:ascii="Arial" w:eastAsia="Times New Roman" w:hAnsi="Arial" w:cs="Arial"/>
          <w:b/>
          <w:bCs/>
          <w:kern w:val="28"/>
          <w:sz w:val="24"/>
          <w:szCs w:val="24"/>
        </w:rPr>
        <w:t>CRES Providers.</w:t>
      </w:r>
    </w:p>
    <w:p w:rsidR="009B5271" w:rsidRPr="009B5271" w:rsidRDefault="009B5271" w:rsidP="002C105C">
      <w:pPr>
        <w:spacing w:after="120" w:line="480" w:lineRule="auto"/>
        <w:ind w:firstLine="360"/>
        <w:jc w:val="both"/>
        <w:rPr>
          <w:rFonts w:ascii="Arial" w:hAnsi="Arial" w:cs="Arial"/>
          <w:sz w:val="24"/>
          <w:szCs w:val="24"/>
        </w:rPr>
      </w:pPr>
      <w:r w:rsidRPr="009B5271">
        <w:rPr>
          <w:rFonts w:ascii="Arial" w:hAnsi="Arial" w:cs="Arial"/>
          <w:sz w:val="24"/>
          <w:szCs w:val="24"/>
        </w:rPr>
        <w:t xml:space="preserve">In the Finding and Order the Commission </w:t>
      </w:r>
      <w:r w:rsidR="000D7BE3">
        <w:rPr>
          <w:rFonts w:ascii="Arial" w:hAnsi="Arial" w:cs="Arial"/>
          <w:sz w:val="24"/>
          <w:szCs w:val="24"/>
        </w:rPr>
        <w:t>found that EDU</w:t>
      </w:r>
      <w:r w:rsidRPr="009B5271">
        <w:rPr>
          <w:rFonts w:ascii="Arial" w:hAnsi="Arial" w:cs="Arial"/>
          <w:sz w:val="24"/>
          <w:szCs w:val="24"/>
        </w:rPr>
        <w:t>s should file amended tariffs that specify the terms, conditions and charges associated with providing customer energy usage data (“CEUD”).</w:t>
      </w:r>
      <w:r>
        <w:rPr>
          <w:rStyle w:val="FootnoteReference"/>
          <w:rFonts w:ascii="Arial" w:hAnsi="Arial" w:cs="Arial"/>
          <w:sz w:val="24"/>
          <w:szCs w:val="24"/>
        </w:rPr>
        <w:footnoteReference w:id="3"/>
      </w:r>
      <w:r w:rsidRPr="009B5271">
        <w:rPr>
          <w:rFonts w:ascii="Arial" w:hAnsi="Arial" w:cs="Arial"/>
          <w:sz w:val="24"/>
          <w:szCs w:val="24"/>
        </w:rPr>
        <w:t xml:space="preserve"> IGS supports the filing of EDU tariffs outlining the terms and conditions associated with pr</w:t>
      </w:r>
      <w:r w:rsidR="00E6153D">
        <w:rPr>
          <w:rFonts w:ascii="Arial" w:hAnsi="Arial" w:cs="Arial"/>
          <w:sz w:val="24"/>
          <w:szCs w:val="24"/>
        </w:rPr>
        <w:t xml:space="preserve">ovided CEUD to CRES providers, </w:t>
      </w:r>
      <w:r w:rsidRPr="009B5271">
        <w:rPr>
          <w:rFonts w:ascii="Arial" w:hAnsi="Arial" w:cs="Arial"/>
          <w:sz w:val="24"/>
          <w:szCs w:val="24"/>
        </w:rPr>
        <w:t>however</w:t>
      </w:r>
      <w:r w:rsidR="00E6153D">
        <w:rPr>
          <w:rFonts w:ascii="Arial" w:hAnsi="Arial" w:cs="Arial"/>
          <w:sz w:val="24"/>
          <w:szCs w:val="24"/>
        </w:rPr>
        <w:t>,</w:t>
      </w:r>
      <w:r w:rsidRPr="009B5271">
        <w:rPr>
          <w:rFonts w:ascii="Arial" w:hAnsi="Arial" w:cs="Arial"/>
          <w:sz w:val="24"/>
          <w:szCs w:val="24"/>
        </w:rPr>
        <w:t xml:space="preserve"> the Commission should add some additional clarity to</w:t>
      </w:r>
      <w:r w:rsidR="00E6153D">
        <w:rPr>
          <w:rFonts w:ascii="Arial" w:hAnsi="Arial" w:cs="Arial"/>
          <w:sz w:val="24"/>
          <w:szCs w:val="24"/>
        </w:rPr>
        <w:t xml:space="preserve"> the direction given to the EDU</w:t>
      </w:r>
      <w:r w:rsidRPr="009B5271">
        <w:rPr>
          <w:rFonts w:ascii="Arial" w:hAnsi="Arial" w:cs="Arial"/>
          <w:sz w:val="24"/>
          <w:szCs w:val="24"/>
        </w:rPr>
        <w:t xml:space="preserve">s with respect to the tariff filings.  </w:t>
      </w:r>
    </w:p>
    <w:p w:rsidR="000D7BE3" w:rsidRDefault="00F83420" w:rsidP="002C105C">
      <w:pPr>
        <w:spacing w:after="120" w:line="480" w:lineRule="auto"/>
        <w:ind w:firstLine="360"/>
        <w:jc w:val="both"/>
        <w:rPr>
          <w:rFonts w:ascii="Arial" w:hAnsi="Arial" w:cs="Arial"/>
          <w:sz w:val="24"/>
          <w:szCs w:val="24"/>
        </w:rPr>
      </w:pPr>
      <w:r>
        <w:rPr>
          <w:rFonts w:ascii="Arial" w:hAnsi="Arial" w:cs="Arial"/>
          <w:sz w:val="24"/>
          <w:szCs w:val="24"/>
        </w:rPr>
        <w:t xml:space="preserve">The Commission should modify the March 26 Order to set forth minimum standards of data that must be </w:t>
      </w:r>
      <w:r w:rsidR="0023730C">
        <w:rPr>
          <w:rFonts w:ascii="Arial" w:hAnsi="Arial" w:cs="Arial"/>
          <w:sz w:val="24"/>
          <w:szCs w:val="24"/>
        </w:rPr>
        <w:t xml:space="preserve">made available </w:t>
      </w:r>
      <w:r>
        <w:rPr>
          <w:rFonts w:ascii="Arial" w:hAnsi="Arial" w:cs="Arial"/>
          <w:sz w:val="24"/>
          <w:szCs w:val="24"/>
        </w:rPr>
        <w:t>to CRES providers if the customer consents to providing such data.</w:t>
      </w:r>
      <w:r w:rsidR="009B5271">
        <w:rPr>
          <w:rFonts w:ascii="Arial" w:hAnsi="Arial" w:cs="Arial"/>
          <w:sz w:val="24"/>
          <w:szCs w:val="24"/>
        </w:rPr>
        <w:t xml:space="preserve">  </w:t>
      </w:r>
      <w:r w:rsidR="000D7BE3">
        <w:rPr>
          <w:rFonts w:ascii="Arial" w:hAnsi="Arial" w:cs="Arial"/>
          <w:sz w:val="24"/>
          <w:szCs w:val="24"/>
        </w:rPr>
        <w:t>EDU</w:t>
      </w:r>
      <w:r w:rsidR="009B5271">
        <w:rPr>
          <w:rFonts w:ascii="Arial" w:hAnsi="Arial" w:cs="Arial"/>
          <w:sz w:val="24"/>
          <w:szCs w:val="24"/>
        </w:rPr>
        <w:t xml:space="preserve">s should be required to provide CRES providers with peak load contributions (“PLCs”) </w:t>
      </w:r>
      <w:r w:rsidR="009B5271" w:rsidRPr="009B5271">
        <w:rPr>
          <w:rFonts w:ascii="Arial" w:hAnsi="Arial" w:cs="Arial"/>
          <w:sz w:val="24"/>
          <w:szCs w:val="24"/>
        </w:rPr>
        <w:t>that are</w:t>
      </w:r>
      <w:r w:rsidR="009B5271" w:rsidRPr="009B5271">
        <w:rPr>
          <w:rFonts w:ascii="Arial" w:hAnsi="Arial" w:cs="Arial"/>
          <w:i/>
          <w:sz w:val="24"/>
          <w:szCs w:val="24"/>
        </w:rPr>
        <w:t xml:space="preserve"> individually calculated for each residential customer</w:t>
      </w:r>
      <w:r w:rsidR="009B5271">
        <w:rPr>
          <w:rFonts w:ascii="Arial" w:hAnsi="Arial" w:cs="Arial"/>
          <w:sz w:val="24"/>
          <w:szCs w:val="24"/>
        </w:rPr>
        <w:t xml:space="preserve">. The March 26 Order references PLCs, but it is not clear in the Order that the PLCs must be individual for each customer and not an average or aggregate PLC for residential customers.  </w:t>
      </w:r>
      <w:r w:rsidR="000D7BE3">
        <w:rPr>
          <w:rFonts w:ascii="Arial" w:hAnsi="Arial" w:cs="Arial"/>
          <w:sz w:val="24"/>
          <w:szCs w:val="24"/>
        </w:rPr>
        <w:t>Further, EDUs should make available to CRES providers</w:t>
      </w:r>
      <w:r w:rsidR="00E6153D">
        <w:rPr>
          <w:rFonts w:ascii="Arial" w:hAnsi="Arial" w:cs="Arial"/>
          <w:sz w:val="24"/>
          <w:szCs w:val="24"/>
        </w:rPr>
        <w:t>,</w:t>
      </w:r>
      <w:r w:rsidR="000D7BE3">
        <w:rPr>
          <w:rFonts w:ascii="Arial" w:hAnsi="Arial" w:cs="Arial"/>
          <w:sz w:val="24"/>
          <w:szCs w:val="24"/>
        </w:rPr>
        <w:t xml:space="preserve"> at a minimum</w:t>
      </w:r>
      <w:r w:rsidR="00E6153D">
        <w:rPr>
          <w:rFonts w:ascii="Arial" w:hAnsi="Arial" w:cs="Arial"/>
          <w:sz w:val="24"/>
          <w:szCs w:val="24"/>
        </w:rPr>
        <w:t>,</w:t>
      </w:r>
      <w:r w:rsidR="000D7BE3">
        <w:rPr>
          <w:rFonts w:ascii="Arial" w:hAnsi="Arial" w:cs="Arial"/>
          <w:sz w:val="24"/>
          <w:szCs w:val="24"/>
        </w:rPr>
        <w:t xml:space="preserve"> </w:t>
      </w:r>
      <w:r w:rsidR="000D7BE3">
        <w:rPr>
          <w:rFonts w:ascii="Arial" w:hAnsi="Arial" w:cs="Arial"/>
          <w:sz w:val="24"/>
          <w:szCs w:val="24"/>
        </w:rPr>
        <w:lastRenderedPageBreak/>
        <w:t xml:space="preserve">hourly interval data, with the goal of </w:t>
      </w:r>
      <w:r w:rsidR="0023730C">
        <w:rPr>
          <w:rFonts w:ascii="Arial" w:hAnsi="Arial" w:cs="Arial"/>
          <w:sz w:val="24"/>
          <w:szCs w:val="24"/>
        </w:rPr>
        <w:t xml:space="preserve">enhancing </w:t>
      </w:r>
      <w:r w:rsidR="000D7BE3">
        <w:rPr>
          <w:rFonts w:ascii="Arial" w:hAnsi="Arial" w:cs="Arial"/>
          <w:sz w:val="24"/>
          <w:szCs w:val="24"/>
        </w:rPr>
        <w:t xml:space="preserve">the granularity of the data to fifteen minutes or less.  </w:t>
      </w:r>
    </w:p>
    <w:p w:rsidR="009B5271" w:rsidRDefault="009B5271" w:rsidP="002C105C">
      <w:pPr>
        <w:spacing w:after="120" w:line="480" w:lineRule="auto"/>
        <w:ind w:firstLine="360"/>
        <w:jc w:val="both"/>
        <w:rPr>
          <w:rFonts w:ascii="Arial" w:hAnsi="Arial" w:cs="Arial"/>
          <w:sz w:val="24"/>
          <w:szCs w:val="24"/>
        </w:rPr>
      </w:pPr>
      <w:r>
        <w:rPr>
          <w:rFonts w:ascii="Arial" w:hAnsi="Arial" w:cs="Arial"/>
          <w:sz w:val="24"/>
          <w:szCs w:val="24"/>
        </w:rPr>
        <w:t>Individual PLCs</w:t>
      </w:r>
      <w:r w:rsidR="000D7BE3">
        <w:rPr>
          <w:rFonts w:ascii="Arial" w:hAnsi="Arial" w:cs="Arial"/>
          <w:sz w:val="24"/>
          <w:szCs w:val="24"/>
        </w:rPr>
        <w:t xml:space="preserve"> and hourly interval data (or </w:t>
      </w:r>
      <w:r w:rsidR="0023730C">
        <w:rPr>
          <w:rFonts w:ascii="Arial" w:hAnsi="Arial" w:cs="Arial"/>
          <w:sz w:val="24"/>
          <w:szCs w:val="24"/>
        </w:rPr>
        <w:t>more frequent</w:t>
      </w:r>
      <w:r w:rsidR="000D7BE3">
        <w:rPr>
          <w:rFonts w:ascii="Arial" w:hAnsi="Arial" w:cs="Arial"/>
          <w:sz w:val="24"/>
          <w:szCs w:val="24"/>
        </w:rPr>
        <w:t>)</w:t>
      </w:r>
      <w:r>
        <w:rPr>
          <w:rFonts w:ascii="Arial" w:hAnsi="Arial" w:cs="Arial"/>
          <w:sz w:val="24"/>
          <w:szCs w:val="24"/>
        </w:rPr>
        <w:t xml:space="preserve"> are </w:t>
      </w:r>
      <w:r w:rsidR="00F83420">
        <w:rPr>
          <w:rFonts w:ascii="Arial" w:hAnsi="Arial" w:cs="Arial"/>
          <w:sz w:val="24"/>
          <w:szCs w:val="24"/>
        </w:rPr>
        <w:t>required in order to offer customers products</w:t>
      </w:r>
      <w:r>
        <w:rPr>
          <w:rFonts w:ascii="Arial" w:hAnsi="Arial" w:cs="Arial"/>
          <w:sz w:val="24"/>
          <w:szCs w:val="24"/>
        </w:rPr>
        <w:t xml:space="preserve"> </w:t>
      </w:r>
      <w:r w:rsidR="000D7BE3">
        <w:rPr>
          <w:rFonts w:ascii="Arial" w:hAnsi="Arial" w:cs="Arial"/>
          <w:sz w:val="24"/>
          <w:szCs w:val="24"/>
        </w:rPr>
        <w:t>with the most basic</w:t>
      </w:r>
      <w:r w:rsidR="00F26A6D">
        <w:rPr>
          <w:rFonts w:ascii="Arial" w:hAnsi="Arial" w:cs="Arial"/>
          <w:sz w:val="24"/>
          <w:szCs w:val="24"/>
        </w:rPr>
        <w:t xml:space="preserve"> time-of-use (“</w:t>
      </w:r>
      <w:r w:rsidR="000D7BE3">
        <w:rPr>
          <w:rFonts w:ascii="Arial" w:hAnsi="Arial" w:cs="Arial"/>
          <w:sz w:val="24"/>
          <w:szCs w:val="24"/>
        </w:rPr>
        <w:t>TOU</w:t>
      </w:r>
      <w:r w:rsidR="00F26A6D">
        <w:rPr>
          <w:rFonts w:ascii="Arial" w:hAnsi="Arial" w:cs="Arial"/>
          <w:sz w:val="24"/>
          <w:szCs w:val="24"/>
        </w:rPr>
        <w:t>”)</w:t>
      </w:r>
      <w:r w:rsidR="000D7BE3">
        <w:rPr>
          <w:rFonts w:ascii="Arial" w:hAnsi="Arial" w:cs="Arial"/>
          <w:sz w:val="24"/>
          <w:szCs w:val="24"/>
        </w:rPr>
        <w:t xml:space="preserve"> products,</w:t>
      </w:r>
      <w:r>
        <w:rPr>
          <w:rFonts w:ascii="Arial" w:hAnsi="Arial" w:cs="Arial"/>
          <w:sz w:val="24"/>
          <w:szCs w:val="24"/>
        </w:rPr>
        <w:t xml:space="preserve"> residentia</w:t>
      </w:r>
      <w:r w:rsidR="000D7BE3">
        <w:rPr>
          <w:rFonts w:ascii="Arial" w:hAnsi="Arial" w:cs="Arial"/>
          <w:sz w:val="24"/>
          <w:szCs w:val="24"/>
        </w:rPr>
        <w:t xml:space="preserve">l </w:t>
      </w:r>
      <w:r>
        <w:rPr>
          <w:rFonts w:ascii="Arial" w:hAnsi="Arial" w:cs="Arial"/>
          <w:sz w:val="24"/>
          <w:szCs w:val="24"/>
        </w:rPr>
        <w:t xml:space="preserve">demand response </w:t>
      </w:r>
      <w:r w:rsidR="000D7BE3">
        <w:rPr>
          <w:rFonts w:ascii="Arial" w:hAnsi="Arial" w:cs="Arial"/>
          <w:sz w:val="24"/>
          <w:szCs w:val="24"/>
        </w:rPr>
        <w:t>and peak shaving</w:t>
      </w:r>
      <w:r>
        <w:rPr>
          <w:rFonts w:ascii="Arial" w:hAnsi="Arial" w:cs="Arial"/>
          <w:sz w:val="24"/>
          <w:szCs w:val="24"/>
        </w:rPr>
        <w:t>.</w:t>
      </w:r>
      <w:r w:rsidR="00F83420">
        <w:rPr>
          <w:rFonts w:ascii="Arial" w:hAnsi="Arial" w:cs="Arial"/>
          <w:sz w:val="24"/>
          <w:szCs w:val="24"/>
        </w:rPr>
        <w:t xml:space="preserve">  </w:t>
      </w:r>
      <w:r w:rsidR="000D7BE3">
        <w:rPr>
          <w:rFonts w:ascii="Arial" w:hAnsi="Arial" w:cs="Arial"/>
          <w:sz w:val="24"/>
          <w:szCs w:val="24"/>
        </w:rPr>
        <w:t>These types of products offer great benefit to customers and the environment</w:t>
      </w:r>
      <w:r w:rsidR="00F35328">
        <w:rPr>
          <w:rFonts w:ascii="Arial" w:hAnsi="Arial" w:cs="Arial"/>
          <w:sz w:val="24"/>
          <w:szCs w:val="24"/>
        </w:rPr>
        <w:t xml:space="preserve"> in that they reduce the amount </w:t>
      </w:r>
      <w:r w:rsidR="00941BC6">
        <w:rPr>
          <w:rFonts w:ascii="Arial" w:hAnsi="Arial" w:cs="Arial"/>
          <w:sz w:val="24"/>
          <w:szCs w:val="24"/>
        </w:rPr>
        <w:t xml:space="preserve">of </w:t>
      </w:r>
      <w:r w:rsidR="00F35328">
        <w:rPr>
          <w:rFonts w:ascii="Arial" w:hAnsi="Arial" w:cs="Arial"/>
          <w:sz w:val="24"/>
          <w:szCs w:val="24"/>
        </w:rPr>
        <w:t>energy used during peak periods, redu</w:t>
      </w:r>
      <w:r w:rsidR="008E1298">
        <w:rPr>
          <w:rFonts w:ascii="Arial" w:hAnsi="Arial" w:cs="Arial"/>
          <w:sz w:val="24"/>
          <w:szCs w:val="24"/>
        </w:rPr>
        <w:t xml:space="preserve">cing energy consumption and </w:t>
      </w:r>
      <w:r w:rsidR="00941BC6">
        <w:rPr>
          <w:rFonts w:ascii="Arial" w:hAnsi="Arial" w:cs="Arial"/>
          <w:sz w:val="24"/>
          <w:szCs w:val="24"/>
        </w:rPr>
        <w:t xml:space="preserve">thus </w:t>
      </w:r>
      <w:r w:rsidR="008E1298">
        <w:rPr>
          <w:rFonts w:ascii="Arial" w:hAnsi="Arial" w:cs="Arial"/>
          <w:sz w:val="24"/>
          <w:szCs w:val="24"/>
        </w:rPr>
        <w:t>sav</w:t>
      </w:r>
      <w:r w:rsidR="00941BC6">
        <w:rPr>
          <w:rFonts w:ascii="Arial" w:hAnsi="Arial" w:cs="Arial"/>
          <w:sz w:val="24"/>
          <w:szCs w:val="24"/>
        </w:rPr>
        <w:t>ing</w:t>
      </w:r>
      <w:r w:rsidR="00F35328">
        <w:rPr>
          <w:rFonts w:ascii="Arial" w:hAnsi="Arial" w:cs="Arial"/>
          <w:sz w:val="24"/>
          <w:szCs w:val="24"/>
        </w:rPr>
        <w:t xml:space="preserve"> money</w:t>
      </w:r>
      <w:r w:rsidR="008E1298">
        <w:rPr>
          <w:rFonts w:ascii="Arial" w:hAnsi="Arial" w:cs="Arial"/>
          <w:sz w:val="24"/>
          <w:szCs w:val="24"/>
        </w:rPr>
        <w:t xml:space="preserve"> for customers</w:t>
      </w:r>
      <w:r w:rsidR="00F35328">
        <w:rPr>
          <w:rFonts w:ascii="Arial" w:hAnsi="Arial" w:cs="Arial"/>
          <w:sz w:val="24"/>
          <w:szCs w:val="24"/>
        </w:rPr>
        <w:t xml:space="preserve">. </w:t>
      </w:r>
      <w:r w:rsidR="000D7BE3">
        <w:rPr>
          <w:rFonts w:ascii="Arial" w:hAnsi="Arial" w:cs="Arial"/>
          <w:sz w:val="24"/>
          <w:szCs w:val="24"/>
        </w:rPr>
        <w:t xml:space="preserve"> </w:t>
      </w:r>
      <w:r w:rsidR="00F35328">
        <w:rPr>
          <w:rFonts w:ascii="Arial" w:hAnsi="Arial" w:cs="Arial"/>
          <w:sz w:val="24"/>
          <w:szCs w:val="24"/>
        </w:rPr>
        <w:t>For these reasons</w:t>
      </w:r>
      <w:r w:rsidR="0027545E">
        <w:rPr>
          <w:rFonts w:ascii="Arial" w:hAnsi="Arial" w:cs="Arial"/>
          <w:sz w:val="24"/>
          <w:szCs w:val="24"/>
        </w:rPr>
        <w:t>,</w:t>
      </w:r>
      <w:r w:rsidR="000D7BE3">
        <w:rPr>
          <w:rFonts w:ascii="Arial" w:hAnsi="Arial" w:cs="Arial"/>
          <w:sz w:val="24"/>
          <w:szCs w:val="24"/>
        </w:rPr>
        <w:t xml:space="preserve"> the Commission should take the necessary steps to allow CRES providers to make these product offerings </w:t>
      </w:r>
      <w:r w:rsidR="007D7CC8">
        <w:rPr>
          <w:rFonts w:ascii="Arial" w:hAnsi="Arial" w:cs="Arial"/>
          <w:sz w:val="24"/>
          <w:szCs w:val="24"/>
        </w:rPr>
        <w:t xml:space="preserve">available </w:t>
      </w:r>
      <w:r w:rsidR="000D7BE3">
        <w:rPr>
          <w:rFonts w:ascii="Arial" w:hAnsi="Arial" w:cs="Arial"/>
          <w:sz w:val="24"/>
          <w:szCs w:val="24"/>
        </w:rPr>
        <w:t>to customers.</w:t>
      </w:r>
    </w:p>
    <w:p w:rsidR="009B5271" w:rsidRPr="00BA6D20" w:rsidRDefault="009B5271" w:rsidP="002C105C">
      <w:pPr>
        <w:pStyle w:val="ListParagraph"/>
        <w:numPr>
          <w:ilvl w:val="0"/>
          <w:numId w:val="8"/>
        </w:numPr>
        <w:spacing w:after="120" w:line="240" w:lineRule="auto"/>
        <w:jc w:val="both"/>
        <w:rPr>
          <w:rFonts w:ascii="Arial" w:hAnsi="Arial" w:cs="Arial"/>
          <w:b/>
          <w:sz w:val="24"/>
          <w:szCs w:val="24"/>
        </w:rPr>
      </w:pPr>
      <w:r w:rsidRPr="00BA6D20">
        <w:rPr>
          <w:rFonts w:ascii="Arial" w:hAnsi="Arial" w:cs="Arial"/>
          <w:b/>
          <w:sz w:val="24"/>
          <w:szCs w:val="24"/>
        </w:rPr>
        <w:t>The Commission Should Clarify t</w:t>
      </w:r>
      <w:r w:rsidR="0023730C">
        <w:rPr>
          <w:rFonts w:ascii="Arial" w:hAnsi="Arial" w:cs="Arial"/>
          <w:b/>
          <w:sz w:val="24"/>
          <w:szCs w:val="24"/>
        </w:rPr>
        <w:t>he</w:t>
      </w:r>
      <w:r w:rsidRPr="00BA6D20">
        <w:rPr>
          <w:rFonts w:ascii="Arial" w:hAnsi="Arial" w:cs="Arial"/>
          <w:b/>
          <w:sz w:val="24"/>
          <w:szCs w:val="24"/>
        </w:rPr>
        <w:t xml:space="preserve"> March 26 Order to </w:t>
      </w:r>
      <w:r w:rsidR="007D7CC8">
        <w:rPr>
          <w:rFonts w:ascii="Arial" w:hAnsi="Arial" w:cs="Arial"/>
          <w:b/>
          <w:sz w:val="24"/>
          <w:szCs w:val="24"/>
        </w:rPr>
        <w:t>E</w:t>
      </w:r>
      <w:r>
        <w:rPr>
          <w:rFonts w:ascii="Arial" w:hAnsi="Arial" w:cs="Arial"/>
          <w:b/>
          <w:sz w:val="24"/>
          <w:szCs w:val="24"/>
        </w:rPr>
        <w:t>nsure</w:t>
      </w:r>
      <w:r w:rsidRPr="00BA6D20">
        <w:rPr>
          <w:rFonts w:ascii="Arial" w:hAnsi="Arial" w:cs="Arial"/>
          <w:b/>
          <w:sz w:val="24"/>
          <w:szCs w:val="24"/>
        </w:rPr>
        <w:t xml:space="preserve"> that EDU</w:t>
      </w:r>
      <w:r>
        <w:rPr>
          <w:rFonts w:ascii="Arial" w:hAnsi="Arial" w:cs="Arial"/>
          <w:b/>
          <w:sz w:val="24"/>
          <w:szCs w:val="24"/>
        </w:rPr>
        <w:t>s</w:t>
      </w:r>
      <w:r w:rsidRPr="00BA6D20">
        <w:rPr>
          <w:rFonts w:ascii="Arial" w:hAnsi="Arial" w:cs="Arial"/>
          <w:b/>
          <w:sz w:val="24"/>
          <w:szCs w:val="24"/>
        </w:rPr>
        <w:t xml:space="preserve"> </w:t>
      </w:r>
      <w:r>
        <w:rPr>
          <w:rFonts w:ascii="Arial" w:hAnsi="Arial" w:cs="Arial"/>
          <w:b/>
          <w:sz w:val="24"/>
          <w:szCs w:val="24"/>
        </w:rPr>
        <w:t>do</w:t>
      </w:r>
      <w:r w:rsidR="00E6153D">
        <w:rPr>
          <w:rFonts w:ascii="Arial" w:hAnsi="Arial" w:cs="Arial"/>
          <w:b/>
          <w:sz w:val="24"/>
          <w:szCs w:val="24"/>
        </w:rPr>
        <w:t xml:space="preserve"> not Charge CRES Providers</w:t>
      </w:r>
      <w:r w:rsidRPr="00BA6D20">
        <w:rPr>
          <w:rFonts w:ascii="Arial" w:hAnsi="Arial" w:cs="Arial"/>
          <w:b/>
          <w:sz w:val="24"/>
          <w:szCs w:val="24"/>
        </w:rPr>
        <w:t xml:space="preserve"> or Customers for Access to CEUD Data.</w:t>
      </w:r>
    </w:p>
    <w:p w:rsidR="009B5271" w:rsidRDefault="009B5271" w:rsidP="002C105C">
      <w:pPr>
        <w:spacing w:after="120" w:line="480" w:lineRule="auto"/>
        <w:ind w:firstLine="360"/>
        <w:jc w:val="both"/>
        <w:rPr>
          <w:rFonts w:ascii="Arial" w:hAnsi="Arial" w:cs="Arial"/>
          <w:sz w:val="24"/>
          <w:szCs w:val="24"/>
        </w:rPr>
      </w:pPr>
      <w:r>
        <w:rPr>
          <w:rFonts w:ascii="Arial" w:hAnsi="Arial" w:cs="Arial"/>
          <w:sz w:val="24"/>
          <w:szCs w:val="24"/>
        </w:rPr>
        <w:t>IGS is concerned that</w:t>
      </w:r>
      <w:r w:rsidR="007D7CC8">
        <w:rPr>
          <w:rFonts w:ascii="Arial" w:hAnsi="Arial" w:cs="Arial"/>
          <w:sz w:val="24"/>
          <w:szCs w:val="24"/>
        </w:rPr>
        <w:t xml:space="preserve"> the March 26 Order directs EDU</w:t>
      </w:r>
      <w:r>
        <w:rPr>
          <w:rFonts w:ascii="Arial" w:hAnsi="Arial" w:cs="Arial"/>
          <w:sz w:val="24"/>
          <w:szCs w:val="24"/>
        </w:rPr>
        <w:t xml:space="preserve">s to file tariffs that include charges when providing interval CEUD data.  IGS does not believe it is appropriate to charge customers or CRES providers for CEUD.  Customers have paid for </w:t>
      </w:r>
      <w:r w:rsidR="000D7BE3">
        <w:rPr>
          <w:rFonts w:ascii="Arial" w:hAnsi="Arial" w:cs="Arial"/>
          <w:sz w:val="24"/>
          <w:szCs w:val="24"/>
        </w:rPr>
        <w:t xml:space="preserve">metering </w:t>
      </w:r>
      <w:r>
        <w:rPr>
          <w:rFonts w:ascii="Arial" w:hAnsi="Arial" w:cs="Arial"/>
          <w:sz w:val="24"/>
          <w:szCs w:val="24"/>
        </w:rPr>
        <w:t>upgrades through distribution rates</w:t>
      </w:r>
      <w:r w:rsidR="00F83420">
        <w:rPr>
          <w:rFonts w:ascii="Arial" w:hAnsi="Arial" w:cs="Arial"/>
          <w:sz w:val="24"/>
          <w:szCs w:val="24"/>
        </w:rPr>
        <w:t xml:space="preserve"> or smart g</w:t>
      </w:r>
      <w:r w:rsidR="009C778A">
        <w:rPr>
          <w:rFonts w:ascii="Arial" w:hAnsi="Arial" w:cs="Arial"/>
          <w:sz w:val="24"/>
          <w:szCs w:val="24"/>
        </w:rPr>
        <w:t>rid riders</w:t>
      </w:r>
      <w:r>
        <w:rPr>
          <w:rFonts w:ascii="Arial" w:hAnsi="Arial" w:cs="Arial"/>
          <w:sz w:val="24"/>
          <w:szCs w:val="24"/>
        </w:rPr>
        <w:t>, and thus there should not be any additional incremental charges each time data is provided to custom</w:t>
      </w:r>
      <w:r w:rsidR="007D7CC8">
        <w:rPr>
          <w:rFonts w:ascii="Arial" w:hAnsi="Arial" w:cs="Arial"/>
          <w:sz w:val="24"/>
          <w:szCs w:val="24"/>
        </w:rPr>
        <w:t>ers or a CRES provider.  If EDU</w:t>
      </w:r>
      <w:r>
        <w:rPr>
          <w:rFonts w:ascii="Arial" w:hAnsi="Arial" w:cs="Arial"/>
          <w:sz w:val="24"/>
          <w:szCs w:val="24"/>
        </w:rPr>
        <w:t xml:space="preserve">s are authorized to charge CRES providers for access to CEUD data each month, or on a per customer basis, this would raise a significant barrier to providing TOU and residential demand response products to customers. </w:t>
      </w:r>
    </w:p>
    <w:p w:rsidR="009B5271" w:rsidRDefault="009B5271" w:rsidP="002C105C">
      <w:pPr>
        <w:spacing w:after="120" w:line="480" w:lineRule="auto"/>
        <w:ind w:firstLine="360"/>
        <w:jc w:val="both"/>
        <w:rPr>
          <w:rFonts w:ascii="Arial" w:hAnsi="Arial" w:cs="Arial"/>
          <w:sz w:val="24"/>
          <w:szCs w:val="24"/>
        </w:rPr>
      </w:pPr>
      <w:r>
        <w:rPr>
          <w:rFonts w:ascii="Arial" w:hAnsi="Arial" w:cs="Arial"/>
          <w:sz w:val="24"/>
          <w:szCs w:val="24"/>
        </w:rPr>
        <w:t>For these reasons</w:t>
      </w:r>
      <w:r w:rsidR="00E6153D">
        <w:rPr>
          <w:rFonts w:ascii="Arial" w:hAnsi="Arial" w:cs="Arial"/>
          <w:sz w:val="24"/>
          <w:szCs w:val="24"/>
        </w:rPr>
        <w:t>,</w:t>
      </w:r>
      <w:r>
        <w:rPr>
          <w:rFonts w:ascii="Arial" w:hAnsi="Arial" w:cs="Arial"/>
          <w:sz w:val="24"/>
          <w:szCs w:val="24"/>
        </w:rPr>
        <w:t xml:space="preserve"> the Commission should modify the Mar</w:t>
      </w:r>
      <w:r w:rsidR="007D7CC8">
        <w:rPr>
          <w:rFonts w:ascii="Arial" w:hAnsi="Arial" w:cs="Arial"/>
          <w:sz w:val="24"/>
          <w:szCs w:val="24"/>
        </w:rPr>
        <w:t>ch 26 Order to clarify that EDU</w:t>
      </w:r>
      <w:r>
        <w:rPr>
          <w:rFonts w:ascii="Arial" w:hAnsi="Arial" w:cs="Arial"/>
          <w:sz w:val="24"/>
          <w:szCs w:val="24"/>
        </w:rPr>
        <w:t>s shall not charge customers or CRES providers for CEUD.  At a minimum, the March 26 Order should clarify that any charges for CEUD should be nominal, should not be on a per customer basi</w:t>
      </w:r>
      <w:r w:rsidR="00E6153D">
        <w:rPr>
          <w:rFonts w:ascii="Arial" w:hAnsi="Arial" w:cs="Arial"/>
          <w:sz w:val="24"/>
          <w:szCs w:val="24"/>
        </w:rPr>
        <w:t>s, and should not reoccur</w:t>
      </w:r>
      <w:r>
        <w:rPr>
          <w:rFonts w:ascii="Arial" w:hAnsi="Arial" w:cs="Arial"/>
          <w:sz w:val="24"/>
          <w:szCs w:val="24"/>
        </w:rPr>
        <w:t xml:space="preserve"> each time a CRES provider receives data for its customers.</w:t>
      </w:r>
    </w:p>
    <w:p w:rsidR="009B5271" w:rsidRPr="009B5271" w:rsidRDefault="009B5271" w:rsidP="002C105C">
      <w:pPr>
        <w:pStyle w:val="ListParagraph"/>
        <w:numPr>
          <w:ilvl w:val="0"/>
          <w:numId w:val="8"/>
        </w:numPr>
        <w:spacing w:after="120" w:line="240" w:lineRule="auto"/>
        <w:jc w:val="both"/>
        <w:rPr>
          <w:rFonts w:ascii="Arial" w:hAnsi="Arial" w:cs="Arial"/>
          <w:b/>
          <w:sz w:val="24"/>
          <w:szCs w:val="24"/>
        </w:rPr>
      </w:pPr>
      <w:r>
        <w:rPr>
          <w:rFonts w:ascii="Arial" w:hAnsi="Arial" w:cs="Arial"/>
          <w:b/>
          <w:sz w:val="24"/>
          <w:szCs w:val="24"/>
        </w:rPr>
        <w:lastRenderedPageBreak/>
        <w:t>The Commission Should Clarify that EDUs Must Make Available a Master Data Management System to Manage Customer Smart Meter Data.</w:t>
      </w:r>
    </w:p>
    <w:p w:rsidR="00BA6D20" w:rsidRPr="009B5271" w:rsidRDefault="00BA6D20" w:rsidP="002C105C">
      <w:pPr>
        <w:spacing w:after="120" w:line="480" w:lineRule="auto"/>
        <w:ind w:firstLine="360"/>
        <w:jc w:val="both"/>
        <w:rPr>
          <w:rFonts w:ascii="Arial" w:hAnsi="Arial" w:cs="Arial"/>
          <w:sz w:val="24"/>
          <w:szCs w:val="24"/>
        </w:rPr>
      </w:pPr>
      <w:r>
        <w:rPr>
          <w:rFonts w:ascii="Arial" w:hAnsi="Arial" w:cs="Arial"/>
          <w:sz w:val="24"/>
          <w:szCs w:val="24"/>
        </w:rPr>
        <w:t>T</w:t>
      </w:r>
      <w:r w:rsidRPr="00BA6D20">
        <w:rPr>
          <w:rFonts w:ascii="Arial" w:hAnsi="Arial" w:cs="Arial"/>
          <w:sz w:val="24"/>
          <w:szCs w:val="24"/>
        </w:rPr>
        <w:t>he Com</w:t>
      </w:r>
      <w:r w:rsidR="000D7BE3">
        <w:rPr>
          <w:rFonts w:ascii="Arial" w:hAnsi="Arial" w:cs="Arial"/>
          <w:sz w:val="24"/>
          <w:szCs w:val="24"/>
        </w:rPr>
        <w:t>mission should clarify that EDU</w:t>
      </w:r>
      <w:r w:rsidRPr="00BA6D20">
        <w:rPr>
          <w:rFonts w:ascii="Arial" w:hAnsi="Arial" w:cs="Arial"/>
          <w:sz w:val="24"/>
          <w:szCs w:val="24"/>
        </w:rPr>
        <w:t xml:space="preserve">s must implement </w:t>
      </w:r>
      <w:r w:rsidR="00E74B11">
        <w:rPr>
          <w:rFonts w:ascii="Arial" w:hAnsi="Arial" w:cs="Arial"/>
          <w:sz w:val="24"/>
          <w:szCs w:val="24"/>
        </w:rPr>
        <w:t xml:space="preserve">a </w:t>
      </w:r>
      <w:r w:rsidRPr="00BA6D20">
        <w:rPr>
          <w:rFonts w:ascii="Arial" w:hAnsi="Arial" w:cs="Arial"/>
          <w:sz w:val="24"/>
          <w:szCs w:val="24"/>
        </w:rPr>
        <w:t xml:space="preserve">master data management system (“MDMS”) that will enable CRES providers to access customer data for product development and billing via an electronic interface.  Minimum MDMS capabilities should be put in place as soon as practicable, so that CRES providers can begin to market the most basic types of TOU rates and residential demand response products.  More advanced MDMS capabilities should be considered during this initial phase so that the system can develop to accommodate transfer of more granular data and more advanced products in the future.  The Commission should also direct </w:t>
      </w:r>
      <w:r w:rsidR="000D7BE3">
        <w:rPr>
          <w:rFonts w:ascii="Arial" w:hAnsi="Arial" w:cs="Arial"/>
          <w:sz w:val="24"/>
          <w:szCs w:val="24"/>
        </w:rPr>
        <w:t>the EDU</w:t>
      </w:r>
      <w:r w:rsidRPr="00BA6D20">
        <w:rPr>
          <w:rFonts w:ascii="Arial" w:hAnsi="Arial" w:cs="Arial"/>
          <w:sz w:val="24"/>
          <w:szCs w:val="24"/>
        </w:rPr>
        <w:t>s to work with all stakeholders to develop a MDMS that will allow efficient data access and exchange with CRES providers without inhibiting new product developmen</w:t>
      </w:r>
      <w:r w:rsidR="009B5271">
        <w:rPr>
          <w:rFonts w:ascii="Arial" w:hAnsi="Arial" w:cs="Arial"/>
          <w:sz w:val="24"/>
          <w:szCs w:val="24"/>
        </w:rPr>
        <w:t>t.</w:t>
      </w:r>
    </w:p>
    <w:p w:rsidR="009B5271" w:rsidRPr="009B5271" w:rsidRDefault="009B5271" w:rsidP="002C105C">
      <w:pPr>
        <w:pStyle w:val="ListParagraph"/>
        <w:numPr>
          <w:ilvl w:val="0"/>
          <w:numId w:val="8"/>
        </w:numPr>
        <w:spacing w:after="120" w:line="240" w:lineRule="auto"/>
        <w:jc w:val="both"/>
        <w:rPr>
          <w:rFonts w:ascii="Arial" w:hAnsi="Arial" w:cs="Arial"/>
          <w:b/>
          <w:sz w:val="24"/>
          <w:szCs w:val="24"/>
        </w:rPr>
      </w:pPr>
      <w:r w:rsidRPr="00BA6D20">
        <w:rPr>
          <w:rFonts w:ascii="Arial" w:hAnsi="Arial" w:cs="Arial"/>
          <w:b/>
          <w:sz w:val="24"/>
          <w:szCs w:val="24"/>
        </w:rPr>
        <w:t>The Commission Should Clarify t</w:t>
      </w:r>
      <w:r w:rsidR="00E74B11">
        <w:rPr>
          <w:rFonts w:ascii="Arial" w:hAnsi="Arial" w:cs="Arial"/>
          <w:b/>
          <w:sz w:val="24"/>
          <w:szCs w:val="24"/>
        </w:rPr>
        <w:t>he</w:t>
      </w:r>
      <w:r w:rsidRPr="00BA6D20">
        <w:rPr>
          <w:rFonts w:ascii="Arial" w:hAnsi="Arial" w:cs="Arial"/>
          <w:b/>
          <w:sz w:val="24"/>
          <w:szCs w:val="24"/>
        </w:rPr>
        <w:t xml:space="preserve"> March 26 Order to </w:t>
      </w:r>
      <w:r>
        <w:rPr>
          <w:rFonts w:ascii="Arial" w:hAnsi="Arial" w:cs="Arial"/>
          <w:b/>
          <w:sz w:val="24"/>
          <w:szCs w:val="24"/>
        </w:rPr>
        <w:t>Create a Procedural Mechanism that EDUs Must Follow for Approval of Their CEUD Tariffs</w:t>
      </w:r>
      <w:r w:rsidRPr="00BA6D20">
        <w:rPr>
          <w:rFonts w:ascii="Arial" w:hAnsi="Arial" w:cs="Arial"/>
          <w:b/>
          <w:sz w:val="24"/>
          <w:szCs w:val="24"/>
        </w:rPr>
        <w:t>.</w:t>
      </w:r>
    </w:p>
    <w:p w:rsidR="00BA6D20" w:rsidRDefault="009B5271" w:rsidP="002C105C">
      <w:pPr>
        <w:spacing w:after="120" w:line="480" w:lineRule="auto"/>
        <w:ind w:firstLine="360"/>
        <w:jc w:val="both"/>
        <w:rPr>
          <w:rFonts w:ascii="Arial" w:hAnsi="Arial" w:cs="Arial"/>
          <w:sz w:val="24"/>
          <w:szCs w:val="24"/>
        </w:rPr>
      </w:pPr>
      <w:r>
        <w:rPr>
          <w:rFonts w:ascii="Arial" w:hAnsi="Arial" w:cs="Arial"/>
          <w:sz w:val="24"/>
          <w:szCs w:val="24"/>
        </w:rPr>
        <w:t>The Commission should modify the March 26 Order to create a procedural mechanism that the</w:t>
      </w:r>
      <w:r w:rsidR="000D7BE3">
        <w:rPr>
          <w:rFonts w:ascii="Arial" w:hAnsi="Arial" w:cs="Arial"/>
          <w:sz w:val="24"/>
          <w:szCs w:val="24"/>
        </w:rPr>
        <w:t xml:space="preserve"> EDU</w:t>
      </w:r>
      <w:r>
        <w:rPr>
          <w:rFonts w:ascii="Arial" w:hAnsi="Arial" w:cs="Arial"/>
          <w:sz w:val="24"/>
          <w:szCs w:val="24"/>
        </w:rPr>
        <w:t>s must follow for approval of their CEUD tariffs.  For instance the Commission should require that once the EDU files its tariffs, interested stakeholders should have an opportunity</w:t>
      </w:r>
      <w:r w:rsidR="00E6153D">
        <w:rPr>
          <w:rFonts w:ascii="Arial" w:hAnsi="Arial" w:cs="Arial"/>
          <w:sz w:val="24"/>
          <w:szCs w:val="24"/>
        </w:rPr>
        <w:t xml:space="preserve"> to</w:t>
      </w:r>
      <w:r>
        <w:rPr>
          <w:rFonts w:ascii="Arial" w:hAnsi="Arial" w:cs="Arial"/>
          <w:sz w:val="24"/>
          <w:szCs w:val="24"/>
        </w:rPr>
        <w:t xml:space="preserve"> file comments, objections</w:t>
      </w:r>
      <w:r w:rsidR="00E74B11">
        <w:rPr>
          <w:rFonts w:ascii="Arial" w:hAnsi="Arial" w:cs="Arial"/>
          <w:sz w:val="24"/>
          <w:szCs w:val="24"/>
        </w:rPr>
        <w:t>,</w:t>
      </w:r>
      <w:r>
        <w:rPr>
          <w:rFonts w:ascii="Arial" w:hAnsi="Arial" w:cs="Arial"/>
          <w:sz w:val="24"/>
          <w:szCs w:val="24"/>
        </w:rPr>
        <w:t xml:space="preserve"> and proposed modifications. While IGS is not seeking a hearing for each tariff filing, given the newness of this issue, stakeholders should have an opportunity to give meaningful input into the EDU CEUD tariffs before being approved by the Commission.</w:t>
      </w:r>
    </w:p>
    <w:p w:rsidR="006E5B9F" w:rsidRPr="002C105C" w:rsidRDefault="00345E04" w:rsidP="002C105C">
      <w:pPr>
        <w:pStyle w:val="ListParagraph"/>
        <w:widowControl w:val="0"/>
        <w:numPr>
          <w:ilvl w:val="0"/>
          <w:numId w:val="8"/>
        </w:numPr>
        <w:overflowPunct w:val="0"/>
        <w:autoSpaceDE w:val="0"/>
        <w:autoSpaceDN w:val="0"/>
        <w:adjustRightInd w:val="0"/>
        <w:spacing w:after="120" w:line="240" w:lineRule="auto"/>
        <w:jc w:val="both"/>
        <w:rPr>
          <w:rFonts w:ascii="Arial" w:eastAsia="Times New Roman" w:hAnsi="Arial" w:cs="Arial"/>
          <w:b/>
          <w:bCs/>
          <w:kern w:val="28"/>
          <w:sz w:val="24"/>
          <w:szCs w:val="24"/>
        </w:rPr>
      </w:pPr>
      <w:r w:rsidRPr="00345E04">
        <w:rPr>
          <w:rFonts w:ascii="Arial" w:eastAsia="Times New Roman" w:hAnsi="Arial" w:cs="Arial"/>
          <w:b/>
          <w:bCs/>
          <w:kern w:val="28"/>
          <w:sz w:val="24"/>
          <w:szCs w:val="24"/>
        </w:rPr>
        <w:t>The Ma</w:t>
      </w:r>
      <w:r w:rsidR="00E6153D">
        <w:rPr>
          <w:rFonts w:ascii="Arial" w:eastAsia="Times New Roman" w:hAnsi="Arial" w:cs="Arial"/>
          <w:b/>
          <w:bCs/>
          <w:kern w:val="28"/>
          <w:sz w:val="24"/>
          <w:szCs w:val="24"/>
        </w:rPr>
        <w:t>rch 26 Order Should Require EDUs to Implement a Plan That Will Allow CRES Providers to Bill for a More Diverse R</w:t>
      </w:r>
      <w:r w:rsidRPr="00345E04">
        <w:rPr>
          <w:rFonts w:ascii="Arial" w:eastAsia="Times New Roman" w:hAnsi="Arial" w:cs="Arial"/>
          <w:b/>
          <w:bCs/>
          <w:kern w:val="28"/>
          <w:sz w:val="24"/>
          <w:szCs w:val="24"/>
        </w:rPr>
        <w:t>ange of</w:t>
      </w:r>
      <w:r w:rsidR="00E6153D">
        <w:rPr>
          <w:rFonts w:ascii="Arial" w:eastAsia="Times New Roman" w:hAnsi="Arial" w:cs="Arial"/>
          <w:b/>
          <w:bCs/>
          <w:kern w:val="28"/>
          <w:sz w:val="24"/>
          <w:szCs w:val="24"/>
        </w:rPr>
        <w:t xml:space="preserve"> Products and S</w:t>
      </w:r>
      <w:r w:rsidRPr="00345E04">
        <w:rPr>
          <w:rFonts w:ascii="Arial" w:eastAsia="Times New Roman" w:hAnsi="Arial" w:cs="Arial"/>
          <w:b/>
          <w:bCs/>
          <w:kern w:val="28"/>
          <w:sz w:val="24"/>
          <w:szCs w:val="24"/>
        </w:rPr>
        <w:t>ervices</w:t>
      </w:r>
      <w:r w:rsidR="00914289">
        <w:rPr>
          <w:rFonts w:ascii="Arial" w:eastAsia="Times New Roman" w:hAnsi="Arial" w:cs="Arial"/>
          <w:b/>
          <w:bCs/>
          <w:kern w:val="28"/>
          <w:sz w:val="24"/>
          <w:szCs w:val="24"/>
        </w:rPr>
        <w:t>.</w:t>
      </w:r>
    </w:p>
    <w:p w:rsidR="00B444C2" w:rsidRDefault="0097464F" w:rsidP="002C105C">
      <w:pPr>
        <w:spacing w:after="120" w:line="480" w:lineRule="auto"/>
        <w:ind w:firstLine="360"/>
        <w:jc w:val="both"/>
        <w:rPr>
          <w:rFonts w:ascii="Arial" w:hAnsi="Arial" w:cs="Arial"/>
          <w:sz w:val="24"/>
          <w:szCs w:val="24"/>
        </w:rPr>
      </w:pPr>
      <w:r w:rsidRPr="0097464F">
        <w:rPr>
          <w:rFonts w:ascii="Arial" w:hAnsi="Arial" w:cs="Arial"/>
          <w:sz w:val="24"/>
          <w:szCs w:val="24"/>
        </w:rPr>
        <w:t>In</w:t>
      </w:r>
      <w:r>
        <w:rPr>
          <w:rFonts w:ascii="Arial" w:hAnsi="Arial" w:cs="Arial"/>
          <w:sz w:val="24"/>
          <w:szCs w:val="24"/>
        </w:rPr>
        <w:t xml:space="preserve"> the March 26 Order the Commission </w:t>
      </w:r>
      <w:r w:rsidR="00BD2491">
        <w:rPr>
          <w:rFonts w:ascii="Arial" w:hAnsi="Arial" w:cs="Arial"/>
          <w:sz w:val="24"/>
          <w:szCs w:val="24"/>
        </w:rPr>
        <w:t>required the formation of a market development working group (“MDWG”)</w:t>
      </w:r>
      <w:r w:rsidR="0018559C">
        <w:rPr>
          <w:rFonts w:ascii="Arial" w:hAnsi="Arial" w:cs="Arial"/>
          <w:sz w:val="24"/>
          <w:szCs w:val="24"/>
        </w:rPr>
        <w:t xml:space="preserve"> to address issues that relate to the continued </w:t>
      </w:r>
      <w:r w:rsidR="0018559C">
        <w:rPr>
          <w:rFonts w:ascii="Arial" w:hAnsi="Arial" w:cs="Arial"/>
          <w:sz w:val="24"/>
          <w:szCs w:val="24"/>
        </w:rPr>
        <w:lastRenderedPageBreak/>
        <w:t>development of Ohio’s retail electric markets.</w:t>
      </w:r>
      <w:r w:rsidR="00BD2491">
        <w:rPr>
          <w:rStyle w:val="FootnoteReference"/>
          <w:rFonts w:ascii="Arial" w:hAnsi="Arial" w:cs="Arial"/>
          <w:sz w:val="24"/>
          <w:szCs w:val="24"/>
        </w:rPr>
        <w:footnoteReference w:id="4"/>
      </w:r>
      <w:r w:rsidR="0018559C">
        <w:rPr>
          <w:rFonts w:ascii="Arial" w:hAnsi="Arial" w:cs="Arial"/>
          <w:sz w:val="24"/>
          <w:szCs w:val="24"/>
        </w:rPr>
        <w:t xml:space="preserve">  The Commission directed the MDWG to consider topics such as seamless move</w:t>
      </w:r>
      <w:r w:rsidR="00B53C5C">
        <w:rPr>
          <w:rFonts w:ascii="Arial" w:hAnsi="Arial" w:cs="Arial"/>
          <w:sz w:val="24"/>
          <w:szCs w:val="24"/>
        </w:rPr>
        <w:t>,</w:t>
      </w:r>
      <w:r w:rsidR="0018559C">
        <w:rPr>
          <w:rFonts w:ascii="Arial" w:hAnsi="Arial" w:cs="Arial"/>
          <w:sz w:val="24"/>
          <w:szCs w:val="24"/>
        </w:rPr>
        <w:t xml:space="preserve"> contract portability, bill formatting and easier enrollment for customers. While these are all important topics for the MDWG to focus on, the </w:t>
      </w:r>
      <w:r w:rsidR="00B444C2">
        <w:rPr>
          <w:rFonts w:ascii="Arial" w:hAnsi="Arial" w:cs="Arial"/>
          <w:sz w:val="24"/>
          <w:szCs w:val="24"/>
        </w:rPr>
        <w:t>MDWG should also address means by which customers can be</w:t>
      </w:r>
      <w:r w:rsidR="0018559C">
        <w:rPr>
          <w:rFonts w:ascii="Arial" w:hAnsi="Arial" w:cs="Arial"/>
          <w:sz w:val="24"/>
          <w:szCs w:val="24"/>
        </w:rPr>
        <w:t xml:space="preserve"> bill</w:t>
      </w:r>
      <w:r w:rsidR="00B53C5C">
        <w:rPr>
          <w:rFonts w:ascii="Arial" w:hAnsi="Arial" w:cs="Arial"/>
          <w:sz w:val="24"/>
          <w:szCs w:val="24"/>
        </w:rPr>
        <w:t>ed</w:t>
      </w:r>
      <w:r w:rsidR="0018559C">
        <w:rPr>
          <w:rFonts w:ascii="Arial" w:hAnsi="Arial" w:cs="Arial"/>
          <w:sz w:val="24"/>
          <w:szCs w:val="24"/>
        </w:rPr>
        <w:t xml:space="preserve"> for a more diverse range of products and services </w:t>
      </w:r>
      <w:r w:rsidR="00B444C2">
        <w:rPr>
          <w:rFonts w:ascii="Arial" w:hAnsi="Arial" w:cs="Arial"/>
          <w:sz w:val="24"/>
          <w:szCs w:val="24"/>
        </w:rPr>
        <w:t>by CRES providers.</w:t>
      </w:r>
    </w:p>
    <w:p w:rsidR="002A6ACE" w:rsidRDefault="00B444C2" w:rsidP="002C105C">
      <w:pPr>
        <w:spacing w:after="120" w:line="480" w:lineRule="auto"/>
        <w:ind w:firstLine="360"/>
        <w:jc w:val="both"/>
        <w:rPr>
          <w:rFonts w:ascii="Arial" w:hAnsi="Arial" w:cs="Arial"/>
          <w:sz w:val="24"/>
          <w:szCs w:val="24"/>
        </w:rPr>
      </w:pPr>
      <w:r>
        <w:rPr>
          <w:rFonts w:ascii="Arial" w:hAnsi="Arial" w:cs="Arial"/>
          <w:sz w:val="24"/>
          <w:szCs w:val="24"/>
        </w:rPr>
        <w:t xml:space="preserve">Granting customers billing flexibility and multiple billing options is extremely important if additional products and services are to develop in the </w:t>
      </w:r>
      <w:r w:rsidR="00B53C5C">
        <w:rPr>
          <w:rFonts w:ascii="Arial" w:hAnsi="Arial" w:cs="Arial"/>
          <w:sz w:val="24"/>
          <w:szCs w:val="24"/>
        </w:rPr>
        <w:t>competitive market.</w:t>
      </w:r>
      <w:r w:rsidR="00A44FD6">
        <w:rPr>
          <w:rFonts w:ascii="Arial" w:hAnsi="Arial" w:cs="Arial"/>
          <w:sz w:val="24"/>
          <w:szCs w:val="24"/>
        </w:rPr>
        <w:t xml:space="preserve"> Already today residential customers are able to purchase a number of different products from </w:t>
      </w:r>
      <w:r w:rsidR="008E1298">
        <w:rPr>
          <w:rFonts w:ascii="Arial" w:hAnsi="Arial" w:cs="Arial"/>
          <w:sz w:val="24"/>
          <w:szCs w:val="24"/>
        </w:rPr>
        <w:t>competitive</w:t>
      </w:r>
      <w:r w:rsidR="00A44FD6">
        <w:rPr>
          <w:rFonts w:ascii="Arial" w:hAnsi="Arial" w:cs="Arial"/>
          <w:sz w:val="24"/>
          <w:szCs w:val="24"/>
        </w:rPr>
        <w:t xml:space="preserve"> supplier</w:t>
      </w:r>
      <w:r w:rsidR="008E1298">
        <w:rPr>
          <w:rFonts w:ascii="Arial" w:hAnsi="Arial" w:cs="Arial"/>
          <w:sz w:val="24"/>
          <w:szCs w:val="24"/>
        </w:rPr>
        <w:t>s</w:t>
      </w:r>
      <w:r w:rsidR="00A44FD6">
        <w:rPr>
          <w:rFonts w:ascii="Arial" w:hAnsi="Arial" w:cs="Arial"/>
          <w:sz w:val="24"/>
          <w:szCs w:val="24"/>
        </w:rPr>
        <w:t xml:space="preserve"> in markets throughout the country including residential demand response, smart thermostats, solar panels, </w:t>
      </w:r>
      <w:r w:rsidR="00941BC6">
        <w:rPr>
          <w:rFonts w:ascii="Arial" w:hAnsi="Arial" w:cs="Arial"/>
          <w:sz w:val="24"/>
          <w:szCs w:val="24"/>
        </w:rPr>
        <w:t xml:space="preserve">and </w:t>
      </w:r>
      <w:r w:rsidR="00A44FD6">
        <w:rPr>
          <w:rFonts w:ascii="Arial" w:hAnsi="Arial" w:cs="Arial"/>
          <w:sz w:val="24"/>
          <w:szCs w:val="24"/>
        </w:rPr>
        <w:t xml:space="preserve">energy efficiency to name a few.   </w:t>
      </w:r>
      <w:r w:rsidR="00B53C5C">
        <w:rPr>
          <w:rFonts w:ascii="Arial" w:hAnsi="Arial" w:cs="Arial"/>
          <w:sz w:val="24"/>
          <w:szCs w:val="24"/>
        </w:rPr>
        <w:t xml:space="preserve">  As product offerings evolve, </w:t>
      </w:r>
      <w:r w:rsidR="00693964">
        <w:rPr>
          <w:rFonts w:ascii="Arial" w:hAnsi="Arial" w:cs="Arial"/>
          <w:sz w:val="24"/>
          <w:szCs w:val="24"/>
        </w:rPr>
        <w:t>it is quite possible in the not-too-</w:t>
      </w:r>
      <w:r w:rsidR="00B53C5C">
        <w:rPr>
          <w:rFonts w:ascii="Arial" w:hAnsi="Arial" w:cs="Arial"/>
          <w:sz w:val="24"/>
          <w:szCs w:val="24"/>
        </w:rPr>
        <w:t xml:space="preserve">distant future, that </w:t>
      </w:r>
      <w:r w:rsidR="00E6153D">
        <w:rPr>
          <w:rFonts w:ascii="Arial" w:hAnsi="Arial" w:cs="Arial"/>
          <w:sz w:val="24"/>
          <w:szCs w:val="24"/>
        </w:rPr>
        <w:t xml:space="preserve">the </w:t>
      </w:r>
      <w:r w:rsidR="00E74B11">
        <w:rPr>
          <w:rFonts w:ascii="Arial" w:hAnsi="Arial" w:cs="Arial"/>
          <w:sz w:val="24"/>
          <w:szCs w:val="24"/>
        </w:rPr>
        <w:t xml:space="preserve">commodity </w:t>
      </w:r>
      <w:r w:rsidR="00B53C5C">
        <w:rPr>
          <w:rFonts w:ascii="Arial" w:hAnsi="Arial" w:cs="Arial"/>
          <w:sz w:val="24"/>
          <w:szCs w:val="24"/>
        </w:rPr>
        <w:t xml:space="preserve">will be just one of many features customers </w:t>
      </w:r>
      <w:r w:rsidR="00693964">
        <w:rPr>
          <w:rFonts w:ascii="Arial" w:hAnsi="Arial" w:cs="Arial"/>
          <w:sz w:val="24"/>
          <w:szCs w:val="24"/>
        </w:rPr>
        <w:t>receive with their</w:t>
      </w:r>
      <w:r w:rsidR="00B53C5C">
        <w:rPr>
          <w:rFonts w:ascii="Arial" w:hAnsi="Arial" w:cs="Arial"/>
          <w:sz w:val="24"/>
          <w:szCs w:val="24"/>
        </w:rPr>
        <w:t xml:space="preserve"> en</w:t>
      </w:r>
      <w:r w:rsidR="00E6153D">
        <w:rPr>
          <w:rFonts w:ascii="Arial" w:hAnsi="Arial" w:cs="Arial"/>
          <w:sz w:val="24"/>
          <w:szCs w:val="24"/>
        </w:rPr>
        <w:t>ergy service from CRES providers</w:t>
      </w:r>
      <w:r w:rsidR="00B53C5C">
        <w:rPr>
          <w:rFonts w:ascii="Arial" w:hAnsi="Arial" w:cs="Arial"/>
          <w:sz w:val="24"/>
          <w:szCs w:val="24"/>
        </w:rPr>
        <w:t>.</w:t>
      </w:r>
      <w:r w:rsidR="00F35328">
        <w:rPr>
          <w:rFonts w:ascii="Arial" w:hAnsi="Arial" w:cs="Arial"/>
          <w:sz w:val="24"/>
          <w:szCs w:val="24"/>
        </w:rPr>
        <w:t xml:space="preserve"> </w:t>
      </w:r>
      <w:r w:rsidR="00B53C5C">
        <w:rPr>
          <w:rFonts w:ascii="Arial" w:hAnsi="Arial" w:cs="Arial"/>
          <w:sz w:val="24"/>
          <w:szCs w:val="24"/>
        </w:rPr>
        <w:t>One only need look at the telecommunications industry to see how this can happen.</w:t>
      </w:r>
      <w:r w:rsidR="007D7CC8">
        <w:rPr>
          <w:rStyle w:val="FootnoteReference"/>
          <w:rFonts w:ascii="Arial" w:hAnsi="Arial" w:cs="Arial"/>
          <w:sz w:val="24"/>
          <w:szCs w:val="24"/>
        </w:rPr>
        <w:footnoteReference w:id="5"/>
      </w:r>
      <w:r w:rsidR="00B53C5C">
        <w:rPr>
          <w:rFonts w:ascii="Arial" w:hAnsi="Arial" w:cs="Arial"/>
          <w:sz w:val="24"/>
          <w:szCs w:val="24"/>
        </w:rPr>
        <w:t xml:space="preserve">  </w:t>
      </w:r>
    </w:p>
    <w:p w:rsidR="00914289" w:rsidRDefault="002A6ACE" w:rsidP="002C105C">
      <w:pPr>
        <w:spacing w:after="120" w:line="480" w:lineRule="auto"/>
        <w:ind w:firstLine="360"/>
        <w:jc w:val="both"/>
        <w:rPr>
          <w:rFonts w:ascii="Arial" w:hAnsi="Arial" w:cs="Arial"/>
          <w:sz w:val="24"/>
          <w:szCs w:val="24"/>
        </w:rPr>
      </w:pPr>
      <w:r>
        <w:rPr>
          <w:rFonts w:ascii="Arial" w:hAnsi="Arial" w:cs="Arial"/>
          <w:sz w:val="24"/>
          <w:szCs w:val="24"/>
        </w:rPr>
        <w:t>IGS believes that th</w:t>
      </w:r>
      <w:r w:rsidR="007D7CC8">
        <w:rPr>
          <w:rFonts w:ascii="Arial" w:hAnsi="Arial" w:cs="Arial"/>
          <w:sz w:val="24"/>
          <w:szCs w:val="24"/>
        </w:rPr>
        <w:t>ese</w:t>
      </w:r>
      <w:r>
        <w:rPr>
          <w:rFonts w:ascii="Arial" w:hAnsi="Arial" w:cs="Arial"/>
          <w:sz w:val="24"/>
          <w:szCs w:val="24"/>
        </w:rPr>
        <w:t xml:space="preserve"> type</w:t>
      </w:r>
      <w:r w:rsidR="007D7CC8">
        <w:rPr>
          <w:rFonts w:ascii="Arial" w:hAnsi="Arial" w:cs="Arial"/>
          <w:sz w:val="24"/>
          <w:szCs w:val="24"/>
        </w:rPr>
        <w:t>s</w:t>
      </w:r>
      <w:r>
        <w:rPr>
          <w:rFonts w:ascii="Arial" w:hAnsi="Arial" w:cs="Arial"/>
          <w:sz w:val="24"/>
          <w:szCs w:val="24"/>
        </w:rPr>
        <w:t xml:space="preserve"> of advanced</w:t>
      </w:r>
      <w:r w:rsidR="007D7CC8">
        <w:rPr>
          <w:rFonts w:ascii="Arial" w:hAnsi="Arial" w:cs="Arial"/>
          <w:sz w:val="24"/>
          <w:szCs w:val="24"/>
        </w:rPr>
        <w:t xml:space="preserve"> product offerings can be achieved in electric markets </w:t>
      </w:r>
      <w:r w:rsidR="00693964">
        <w:rPr>
          <w:rFonts w:ascii="Arial" w:hAnsi="Arial" w:cs="Arial"/>
          <w:sz w:val="24"/>
          <w:szCs w:val="24"/>
        </w:rPr>
        <w:t>as well,</w:t>
      </w:r>
      <w:r w:rsidR="007D7CC8">
        <w:rPr>
          <w:rFonts w:ascii="Arial" w:hAnsi="Arial" w:cs="Arial"/>
          <w:sz w:val="24"/>
          <w:szCs w:val="24"/>
        </w:rPr>
        <w:t xml:space="preserve"> with the proper</w:t>
      </w:r>
      <w:r>
        <w:rPr>
          <w:rFonts w:ascii="Arial" w:hAnsi="Arial" w:cs="Arial"/>
          <w:sz w:val="24"/>
          <w:szCs w:val="24"/>
        </w:rPr>
        <w:t xml:space="preserve"> billing functionality.  Supplier consolidated billing would </w:t>
      </w:r>
      <w:r w:rsidR="00914289">
        <w:rPr>
          <w:rFonts w:ascii="Arial" w:hAnsi="Arial" w:cs="Arial"/>
          <w:sz w:val="24"/>
          <w:szCs w:val="24"/>
        </w:rPr>
        <w:t>make the</w:t>
      </w:r>
      <w:r w:rsidR="00E6153D">
        <w:rPr>
          <w:rFonts w:ascii="Arial" w:hAnsi="Arial" w:cs="Arial"/>
          <w:sz w:val="24"/>
          <w:szCs w:val="24"/>
        </w:rPr>
        <w:t xml:space="preserve"> CRES providers</w:t>
      </w:r>
      <w:r>
        <w:rPr>
          <w:rFonts w:ascii="Arial" w:hAnsi="Arial" w:cs="Arial"/>
          <w:sz w:val="24"/>
          <w:szCs w:val="24"/>
        </w:rPr>
        <w:t xml:space="preserve"> the single bill provider for electric charges</w:t>
      </w:r>
      <w:r w:rsidR="00914289">
        <w:rPr>
          <w:rFonts w:ascii="Arial" w:hAnsi="Arial" w:cs="Arial"/>
          <w:sz w:val="24"/>
          <w:szCs w:val="24"/>
        </w:rPr>
        <w:t xml:space="preserve"> to the customer</w:t>
      </w:r>
      <w:r>
        <w:rPr>
          <w:rFonts w:ascii="Arial" w:hAnsi="Arial" w:cs="Arial"/>
          <w:sz w:val="24"/>
          <w:szCs w:val="24"/>
        </w:rPr>
        <w:t xml:space="preserve">, and the CRES supplier would collect the receivables for the EDU’s distribution charges.  </w:t>
      </w:r>
      <w:r w:rsidR="00914289">
        <w:rPr>
          <w:rFonts w:ascii="Arial" w:hAnsi="Arial" w:cs="Arial"/>
          <w:sz w:val="24"/>
          <w:szCs w:val="24"/>
        </w:rPr>
        <w:t>G</w:t>
      </w:r>
      <w:r>
        <w:rPr>
          <w:rFonts w:ascii="Arial" w:hAnsi="Arial" w:cs="Arial"/>
          <w:sz w:val="24"/>
          <w:szCs w:val="24"/>
        </w:rPr>
        <w:t xml:space="preserve">eneration charges already represent a greater portion of the customer’s electric bill than distribution charges.  </w:t>
      </w:r>
      <w:r w:rsidR="00914289">
        <w:rPr>
          <w:rFonts w:ascii="Arial" w:hAnsi="Arial" w:cs="Arial"/>
          <w:sz w:val="24"/>
          <w:szCs w:val="24"/>
        </w:rPr>
        <w:t xml:space="preserve">Further, as the additional products and </w:t>
      </w:r>
      <w:r w:rsidR="00914289">
        <w:rPr>
          <w:rFonts w:ascii="Arial" w:hAnsi="Arial" w:cs="Arial"/>
          <w:sz w:val="24"/>
          <w:szCs w:val="24"/>
        </w:rPr>
        <w:lastRenderedPageBreak/>
        <w:t>services grow, distribution charges could only be a very small portion of what the customer pays for energy service.</w:t>
      </w:r>
    </w:p>
    <w:p w:rsidR="00914289" w:rsidRDefault="00914289" w:rsidP="002C105C">
      <w:pPr>
        <w:spacing w:after="120" w:line="480" w:lineRule="auto"/>
        <w:ind w:firstLine="360"/>
        <w:jc w:val="both"/>
        <w:rPr>
          <w:rFonts w:ascii="Arial" w:hAnsi="Arial" w:cs="Arial"/>
          <w:sz w:val="24"/>
          <w:szCs w:val="24"/>
        </w:rPr>
      </w:pPr>
      <w:r>
        <w:rPr>
          <w:rFonts w:ascii="Arial" w:hAnsi="Arial" w:cs="Arial"/>
          <w:sz w:val="24"/>
          <w:szCs w:val="24"/>
        </w:rPr>
        <w:t>Of course</w:t>
      </w:r>
      <w:r w:rsidR="00693964">
        <w:rPr>
          <w:rFonts w:ascii="Arial" w:hAnsi="Arial" w:cs="Arial"/>
          <w:sz w:val="24"/>
          <w:szCs w:val="24"/>
        </w:rPr>
        <w:t>,</w:t>
      </w:r>
      <w:r>
        <w:rPr>
          <w:rFonts w:ascii="Arial" w:hAnsi="Arial" w:cs="Arial"/>
          <w:sz w:val="24"/>
          <w:szCs w:val="24"/>
        </w:rPr>
        <w:t xml:space="preserve"> with supplier consolidated billing, failure to pay non-electric charges would not trigger disconnect for the customer</w:t>
      </w:r>
      <w:r w:rsidR="00143203">
        <w:rPr>
          <w:rFonts w:ascii="Arial" w:hAnsi="Arial" w:cs="Arial"/>
          <w:sz w:val="24"/>
          <w:szCs w:val="24"/>
        </w:rPr>
        <w:t>.  D</w:t>
      </w:r>
      <w:r>
        <w:rPr>
          <w:rFonts w:ascii="Arial" w:hAnsi="Arial" w:cs="Arial"/>
          <w:sz w:val="24"/>
          <w:szCs w:val="24"/>
        </w:rPr>
        <w:t>isconnect would only be applicable to electric charges</w:t>
      </w:r>
      <w:r w:rsidR="00143203">
        <w:rPr>
          <w:rFonts w:ascii="Arial" w:hAnsi="Arial" w:cs="Arial"/>
          <w:sz w:val="24"/>
          <w:szCs w:val="24"/>
        </w:rPr>
        <w:t xml:space="preserve"> and be subject to the sam</w:t>
      </w:r>
      <w:r w:rsidR="00E6153D">
        <w:rPr>
          <w:rFonts w:ascii="Arial" w:hAnsi="Arial" w:cs="Arial"/>
          <w:sz w:val="24"/>
          <w:szCs w:val="24"/>
        </w:rPr>
        <w:t>e laws and procedures as</w:t>
      </w:r>
      <w:r w:rsidR="00143203">
        <w:rPr>
          <w:rFonts w:ascii="Arial" w:hAnsi="Arial" w:cs="Arial"/>
          <w:sz w:val="24"/>
          <w:szCs w:val="24"/>
        </w:rPr>
        <w:t xml:space="preserve"> today</w:t>
      </w:r>
      <w:r w:rsidR="00E6153D">
        <w:rPr>
          <w:rFonts w:ascii="Arial" w:hAnsi="Arial" w:cs="Arial"/>
          <w:sz w:val="24"/>
          <w:szCs w:val="24"/>
        </w:rPr>
        <w:t>.  Further, the CRES providers</w:t>
      </w:r>
      <w:r>
        <w:rPr>
          <w:rFonts w:ascii="Arial" w:hAnsi="Arial" w:cs="Arial"/>
          <w:sz w:val="24"/>
          <w:szCs w:val="24"/>
        </w:rPr>
        <w:t xml:space="preserve"> would still be subject to the same billing requirements in the rules and statutes that the EDU is subject to today under the utility consolidated bill model.  </w:t>
      </w:r>
    </w:p>
    <w:p w:rsidR="00143203" w:rsidRDefault="00914289" w:rsidP="002C105C">
      <w:pPr>
        <w:spacing w:after="120" w:line="480" w:lineRule="auto"/>
        <w:ind w:firstLine="360"/>
        <w:jc w:val="both"/>
        <w:rPr>
          <w:rFonts w:ascii="Arial" w:hAnsi="Arial" w:cs="Arial"/>
          <w:sz w:val="24"/>
          <w:szCs w:val="24"/>
        </w:rPr>
      </w:pPr>
      <w:r>
        <w:rPr>
          <w:rFonts w:ascii="Arial" w:hAnsi="Arial" w:cs="Arial"/>
          <w:sz w:val="24"/>
          <w:szCs w:val="24"/>
        </w:rPr>
        <w:t>For these reasons</w:t>
      </w:r>
      <w:r w:rsidR="00E6153D">
        <w:rPr>
          <w:rFonts w:ascii="Arial" w:hAnsi="Arial" w:cs="Arial"/>
          <w:sz w:val="24"/>
          <w:szCs w:val="24"/>
        </w:rPr>
        <w:t>,</w:t>
      </w:r>
      <w:r>
        <w:rPr>
          <w:rFonts w:ascii="Arial" w:hAnsi="Arial" w:cs="Arial"/>
          <w:sz w:val="24"/>
          <w:szCs w:val="24"/>
        </w:rPr>
        <w:t xml:space="preserve"> IGS requests that the Commission modify the March 26 order to i</w:t>
      </w:r>
      <w:r w:rsidR="00E6153D">
        <w:rPr>
          <w:rFonts w:ascii="Arial" w:hAnsi="Arial" w:cs="Arial"/>
          <w:sz w:val="24"/>
          <w:szCs w:val="24"/>
        </w:rPr>
        <w:t>nclude as a topic for the MDWG</w:t>
      </w:r>
      <w:r>
        <w:rPr>
          <w:rFonts w:ascii="Arial" w:hAnsi="Arial" w:cs="Arial"/>
          <w:sz w:val="24"/>
          <w:szCs w:val="24"/>
        </w:rPr>
        <w:t xml:space="preserve"> “means by which</w:t>
      </w:r>
      <w:r w:rsidR="00693964">
        <w:rPr>
          <w:rFonts w:ascii="Arial" w:hAnsi="Arial" w:cs="Arial"/>
          <w:sz w:val="24"/>
          <w:szCs w:val="24"/>
        </w:rPr>
        <w:t xml:space="preserve"> CRES provider</w:t>
      </w:r>
      <w:r>
        <w:rPr>
          <w:rFonts w:ascii="Arial" w:hAnsi="Arial" w:cs="Arial"/>
          <w:sz w:val="24"/>
          <w:szCs w:val="24"/>
        </w:rPr>
        <w:t xml:space="preserve"> non-generation charges can be billed.”  The Commission should also require that supplier consolidated billing be a topic specifically explored by the MDWG.</w:t>
      </w:r>
    </w:p>
    <w:p w:rsidR="00143203" w:rsidRPr="00143203" w:rsidRDefault="00914289" w:rsidP="002C105C">
      <w:pPr>
        <w:pStyle w:val="ListParagraph"/>
        <w:numPr>
          <w:ilvl w:val="0"/>
          <w:numId w:val="10"/>
        </w:numPr>
        <w:spacing w:after="120" w:line="480" w:lineRule="auto"/>
        <w:jc w:val="both"/>
        <w:rPr>
          <w:rFonts w:ascii="Arial" w:hAnsi="Arial" w:cs="Arial"/>
          <w:b/>
          <w:sz w:val="24"/>
          <w:szCs w:val="24"/>
        </w:rPr>
      </w:pPr>
      <w:r w:rsidRPr="00914289">
        <w:rPr>
          <w:rFonts w:ascii="Arial" w:hAnsi="Arial" w:cs="Arial"/>
          <w:b/>
          <w:sz w:val="24"/>
          <w:szCs w:val="24"/>
        </w:rPr>
        <w:t>CONCLUSION</w:t>
      </w:r>
    </w:p>
    <w:p w:rsidR="00143203" w:rsidRPr="00A0462A" w:rsidRDefault="00143203" w:rsidP="00A0462A">
      <w:pPr>
        <w:spacing w:after="120" w:line="480" w:lineRule="auto"/>
        <w:ind w:firstLine="360"/>
        <w:jc w:val="both"/>
        <w:rPr>
          <w:rFonts w:ascii="Arial" w:hAnsi="Arial" w:cs="Arial"/>
          <w:sz w:val="24"/>
          <w:szCs w:val="24"/>
        </w:rPr>
      </w:pPr>
      <w:r>
        <w:rPr>
          <w:rFonts w:ascii="Arial" w:hAnsi="Arial" w:cs="Arial"/>
          <w:sz w:val="24"/>
          <w:szCs w:val="24"/>
        </w:rPr>
        <w:t>IGS thanks the Commission for giving it the opportunity to being a meaningful participant in this Ohio RMI proceeding.  For the reasons stated herein, IGS requests that the Commission grant rehearing on the issues list</w:t>
      </w:r>
      <w:r w:rsidR="00EB7F2B">
        <w:rPr>
          <w:rFonts w:ascii="Arial" w:hAnsi="Arial" w:cs="Arial"/>
          <w:sz w:val="24"/>
          <w:szCs w:val="24"/>
        </w:rPr>
        <w:t>ed in its A</w:t>
      </w:r>
      <w:r>
        <w:rPr>
          <w:rFonts w:ascii="Arial" w:hAnsi="Arial" w:cs="Arial"/>
          <w:sz w:val="24"/>
          <w:szCs w:val="24"/>
        </w:rPr>
        <w:t>pplication</w:t>
      </w:r>
      <w:r w:rsidR="00EB7F2B">
        <w:rPr>
          <w:rFonts w:ascii="Arial" w:hAnsi="Arial" w:cs="Arial"/>
          <w:sz w:val="24"/>
          <w:szCs w:val="24"/>
        </w:rPr>
        <w:t xml:space="preserve"> for Rehearing</w:t>
      </w:r>
      <w:r>
        <w:rPr>
          <w:rFonts w:ascii="Arial" w:hAnsi="Arial" w:cs="Arial"/>
          <w:sz w:val="24"/>
          <w:szCs w:val="24"/>
        </w:rPr>
        <w:t>, and make the modifications to the Ma</w:t>
      </w:r>
      <w:r w:rsidR="00E6153D">
        <w:rPr>
          <w:rFonts w:ascii="Arial" w:hAnsi="Arial" w:cs="Arial"/>
          <w:sz w:val="24"/>
          <w:szCs w:val="24"/>
        </w:rPr>
        <w:t>rch 26 Order as proposed in this</w:t>
      </w:r>
      <w:r w:rsidR="00EB7F2B">
        <w:rPr>
          <w:rFonts w:ascii="Arial" w:hAnsi="Arial" w:cs="Arial"/>
          <w:sz w:val="24"/>
          <w:szCs w:val="24"/>
        </w:rPr>
        <w:t xml:space="preserve"> Memorandum in S</w:t>
      </w:r>
      <w:r>
        <w:rPr>
          <w:rFonts w:ascii="Arial" w:hAnsi="Arial" w:cs="Arial"/>
          <w:sz w:val="24"/>
          <w:szCs w:val="24"/>
        </w:rPr>
        <w:t>upport.</w:t>
      </w:r>
    </w:p>
    <w:p w:rsidR="00143203" w:rsidRDefault="00143203" w:rsidP="00143203">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rsidR="00143203" w:rsidRDefault="00143203" w:rsidP="00143203">
      <w:pPr>
        <w:spacing w:after="0" w:line="240" w:lineRule="auto"/>
        <w:ind w:left="5040"/>
        <w:rPr>
          <w:rFonts w:ascii="Arial" w:eastAsia="Calibri" w:hAnsi="Arial" w:cs="Arial"/>
          <w:sz w:val="24"/>
          <w:szCs w:val="24"/>
        </w:rPr>
      </w:pPr>
    </w:p>
    <w:p w:rsidR="00143203" w:rsidRDefault="00143203" w:rsidP="00143203">
      <w:pPr>
        <w:spacing w:after="0" w:line="240" w:lineRule="auto"/>
        <w:ind w:left="5040"/>
        <w:rPr>
          <w:rFonts w:ascii="Arial" w:eastAsia="Calibri" w:hAnsi="Arial" w:cs="Arial"/>
          <w:sz w:val="24"/>
          <w:szCs w:val="24"/>
        </w:rPr>
      </w:pPr>
    </w:p>
    <w:p w:rsidR="00143203" w:rsidRDefault="00143203" w:rsidP="00143203">
      <w:pPr>
        <w:spacing w:after="0" w:line="240" w:lineRule="auto"/>
        <w:ind w:left="5040"/>
        <w:rPr>
          <w:rFonts w:ascii="Arial" w:eastAsia="Calibri" w:hAnsi="Arial" w:cs="Arial"/>
          <w:sz w:val="24"/>
          <w:szCs w:val="24"/>
          <w:u w:val="single"/>
        </w:rPr>
      </w:pPr>
    </w:p>
    <w:p w:rsidR="00143203" w:rsidRDefault="00143203" w:rsidP="0014320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/s/ Matthew White</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Matthew White (0082859)</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Counsel of Record</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Email: mswhite@igsenergy.com</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Interstate Gas Supply, Inc.</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6100 Emerald Parkway</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lastRenderedPageBreak/>
        <w:t>Dublin, Ohio 43016</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143203" w:rsidRDefault="00143203" w:rsidP="00143203">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143203" w:rsidRDefault="00143203" w:rsidP="00143203">
      <w:pPr>
        <w:spacing w:after="0" w:line="240" w:lineRule="auto"/>
        <w:ind w:left="5040"/>
        <w:rPr>
          <w:rFonts w:ascii="Arial" w:hAnsi="Arial" w:cs="Arial"/>
          <w:sz w:val="24"/>
          <w:szCs w:val="24"/>
        </w:rPr>
      </w:pPr>
    </w:p>
    <w:p w:rsidR="00143203" w:rsidRDefault="00143203" w:rsidP="00143203">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rsidR="0052090A" w:rsidRPr="0052090A" w:rsidRDefault="0052090A" w:rsidP="0052090A">
      <w:pPr>
        <w:jc w:val="center"/>
        <w:rPr>
          <w:rFonts w:ascii="Arial" w:hAnsi="Arial" w:cs="Arial"/>
          <w:b/>
          <w:sz w:val="24"/>
          <w:szCs w:val="24"/>
          <w:u w:val="single"/>
        </w:rPr>
      </w:pPr>
      <w:r w:rsidRPr="0052090A">
        <w:rPr>
          <w:rFonts w:ascii="Arial" w:hAnsi="Arial" w:cs="Arial"/>
          <w:b/>
          <w:sz w:val="24"/>
          <w:szCs w:val="24"/>
          <w:u w:val="single"/>
        </w:rPr>
        <w:lastRenderedPageBreak/>
        <w:t>CERTIFICATE OF SERVICE</w:t>
      </w:r>
    </w:p>
    <w:p w:rsidR="0052090A" w:rsidRPr="0052090A" w:rsidRDefault="00692DF0" w:rsidP="00692DF0">
      <w:pPr>
        <w:rPr>
          <w:rFonts w:ascii="Arial" w:hAnsi="Arial" w:cs="Arial"/>
          <w:sz w:val="24"/>
          <w:szCs w:val="24"/>
        </w:rPr>
      </w:pPr>
      <w:r>
        <w:rPr>
          <w:rFonts w:ascii="Arial" w:hAnsi="Arial" w:cs="Arial"/>
          <w:sz w:val="24"/>
          <w:szCs w:val="24"/>
        </w:rPr>
        <w:t xml:space="preserve">I certify that a copy of this </w:t>
      </w:r>
      <w:r w:rsidR="0052090A" w:rsidRPr="00692DF0">
        <w:rPr>
          <w:rFonts w:ascii="Arial" w:hAnsi="Arial" w:cs="Arial"/>
          <w:i/>
          <w:sz w:val="24"/>
          <w:szCs w:val="24"/>
        </w:rPr>
        <w:t xml:space="preserve">Application for Rehearing </w:t>
      </w:r>
      <w:r w:rsidRPr="00692DF0">
        <w:rPr>
          <w:rFonts w:ascii="Arial" w:hAnsi="Arial" w:cs="Arial"/>
          <w:i/>
          <w:sz w:val="24"/>
          <w:szCs w:val="24"/>
        </w:rPr>
        <w:t>of IGS Energy and Memorandum in Support</w:t>
      </w:r>
      <w:r>
        <w:rPr>
          <w:rFonts w:ascii="Arial" w:hAnsi="Arial" w:cs="Arial"/>
          <w:sz w:val="24"/>
          <w:szCs w:val="24"/>
        </w:rPr>
        <w:t xml:space="preserve"> </w:t>
      </w:r>
      <w:r w:rsidR="0052090A" w:rsidRPr="0052090A">
        <w:rPr>
          <w:rFonts w:ascii="Arial" w:hAnsi="Arial" w:cs="Arial"/>
          <w:sz w:val="24"/>
          <w:szCs w:val="24"/>
        </w:rPr>
        <w:t>was se</w:t>
      </w:r>
      <w:r w:rsidR="00A0462A">
        <w:rPr>
          <w:rFonts w:ascii="Arial" w:hAnsi="Arial" w:cs="Arial"/>
          <w:sz w:val="24"/>
          <w:szCs w:val="24"/>
        </w:rPr>
        <w:t>rved via electronic mail this 25th day of April</w:t>
      </w:r>
      <w:r w:rsidR="0052090A" w:rsidRPr="0052090A">
        <w:rPr>
          <w:rFonts w:ascii="Arial" w:hAnsi="Arial" w:cs="Arial"/>
          <w:sz w:val="24"/>
          <w:szCs w:val="24"/>
        </w:rPr>
        <w:t xml:space="preserve"> 2014 on the parties listed below.</w:t>
      </w:r>
    </w:p>
    <w:p w:rsidR="0052090A" w:rsidRPr="0052090A" w:rsidRDefault="0052090A" w:rsidP="0052090A">
      <w:pPr>
        <w:ind w:left="5040"/>
        <w:rPr>
          <w:rFonts w:ascii="Arial" w:hAnsi="Arial" w:cs="Arial"/>
          <w:sz w:val="24"/>
          <w:szCs w:val="24"/>
        </w:rPr>
      </w:pPr>
      <w:r w:rsidRPr="0052090A">
        <w:rPr>
          <w:rFonts w:ascii="Arial" w:eastAsia="Arial" w:hAnsi="Arial" w:cs="Arial"/>
          <w:i/>
          <w:sz w:val="24"/>
          <w:szCs w:val="24"/>
          <w:u w:val="single"/>
        </w:rPr>
        <w:t>/s/ Matthew White</w:t>
      </w:r>
      <w:r w:rsidRPr="0052090A">
        <w:rPr>
          <w:rFonts w:ascii="Arial" w:hAnsi="Arial" w:cs="Arial"/>
          <w:sz w:val="24"/>
          <w:szCs w:val="24"/>
        </w:rPr>
        <w:t xml:space="preserve"> </w:t>
      </w:r>
    </w:p>
    <w:p w:rsidR="0052090A" w:rsidRPr="0052090A" w:rsidRDefault="0052090A" w:rsidP="0052090A">
      <w:pPr>
        <w:ind w:left="5040"/>
        <w:rPr>
          <w:rFonts w:ascii="Arial" w:hAnsi="Arial" w:cs="Arial"/>
          <w:sz w:val="24"/>
          <w:szCs w:val="24"/>
        </w:rPr>
      </w:pPr>
      <w:r w:rsidRPr="0052090A">
        <w:rPr>
          <w:rFonts w:ascii="Arial" w:hAnsi="Arial" w:cs="Arial"/>
          <w:sz w:val="24"/>
          <w:szCs w:val="24"/>
        </w:rPr>
        <w:t xml:space="preserve">Matthew White </w:t>
      </w:r>
    </w:p>
    <w:tbl>
      <w:tblPr>
        <w:tblStyle w:val="TableGrid"/>
        <w:tblpPr w:leftFromText="180" w:rightFromText="180" w:vertAnchor="page" w:horzAnchor="margin" w:tblpY="4321"/>
        <w:tblW w:w="0" w:type="auto"/>
        <w:tblLook w:val="04A0" w:firstRow="1" w:lastRow="0" w:firstColumn="1" w:lastColumn="0" w:noHBand="0" w:noVBand="1"/>
      </w:tblPr>
      <w:tblGrid>
        <w:gridCol w:w="4788"/>
        <w:gridCol w:w="4788"/>
      </w:tblGrid>
      <w:tr w:rsidR="0052090A" w:rsidRPr="0052090A" w:rsidTr="00021732">
        <w:tc>
          <w:tcPr>
            <w:tcW w:w="4788" w:type="dxa"/>
          </w:tcPr>
          <w:p w:rsidR="0052090A" w:rsidRPr="0052090A" w:rsidRDefault="00046755" w:rsidP="00021732">
            <w:pPr>
              <w:rPr>
                <w:rFonts w:ascii="Arial" w:hAnsi="Arial" w:cs="Arial"/>
                <w:sz w:val="24"/>
                <w:szCs w:val="24"/>
              </w:rPr>
            </w:pPr>
            <w:hyperlink r:id="rId9" w:history="1">
              <w:r w:rsidR="0052090A" w:rsidRPr="0052090A">
                <w:rPr>
                  <w:rStyle w:val="Hyperlink"/>
                  <w:rFonts w:ascii="Arial" w:hAnsi="Arial" w:cs="Arial"/>
                  <w:sz w:val="24"/>
                  <w:szCs w:val="24"/>
                </w:rPr>
                <w:t>grady@occ.state.oh.us</w:t>
              </w:r>
            </w:hyperlink>
          </w:p>
          <w:p w:rsidR="0052090A" w:rsidRPr="0052090A" w:rsidRDefault="00046755" w:rsidP="00021732">
            <w:pPr>
              <w:rPr>
                <w:rFonts w:ascii="Arial" w:hAnsi="Arial" w:cs="Arial"/>
                <w:sz w:val="24"/>
                <w:szCs w:val="24"/>
              </w:rPr>
            </w:pPr>
            <w:hyperlink r:id="rId10" w:history="1">
              <w:r w:rsidR="0052090A" w:rsidRPr="0052090A">
                <w:rPr>
                  <w:rStyle w:val="Hyperlink"/>
                  <w:rFonts w:ascii="Arial" w:hAnsi="Arial" w:cs="Arial"/>
                  <w:sz w:val="24"/>
                  <w:szCs w:val="24"/>
                </w:rPr>
                <w:t>serio@occ.state.oh.us</w:t>
              </w:r>
            </w:hyperlink>
          </w:p>
          <w:p w:rsidR="0052090A" w:rsidRPr="0052090A" w:rsidRDefault="00046755" w:rsidP="00021732">
            <w:pPr>
              <w:rPr>
                <w:rFonts w:ascii="Arial" w:hAnsi="Arial" w:cs="Arial"/>
                <w:sz w:val="24"/>
                <w:szCs w:val="24"/>
              </w:rPr>
            </w:pPr>
            <w:hyperlink r:id="rId11" w:history="1">
              <w:r w:rsidR="0052090A" w:rsidRPr="0052090A">
                <w:rPr>
                  <w:rStyle w:val="Hyperlink"/>
                  <w:rFonts w:ascii="Arial" w:hAnsi="Arial" w:cs="Arial"/>
                  <w:sz w:val="24"/>
                  <w:szCs w:val="24"/>
                </w:rPr>
                <w:t>fdarr@mwncmh.com</w:t>
              </w:r>
            </w:hyperlink>
          </w:p>
          <w:p w:rsidR="0052090A" w:rsidRPr="0052090A" w:rsidRDefault="00046755" w:rsidP="00021732">
            <w:pPr>
              <w:rPr>
                <w:rFonts w:ascii="Arial" w:hAnsi="Arial" w:cs="Arial"/>
                <w:sz w:val="24"/>
                <w:szCs w:val="24"/>
              </w:rPr>
            </w:pPr>
            <w:hyperlink r:id="rId12" w:history="1">
              <w:r w:rsidR="0052090A" w:rsidRPr="0052090A">
                <w:rPr>
                  <w:rStyle w:val="Hyperlink"/>
                  <w:rFonts w:ascii="Arial" w:hAnsi="Arial" w:cs="Arial"/>
                  <w:sz w:val="24"/>
                  <w:szCs w:val="24"/>
                </w:rPr>
                <w:t>sam@mwncmh.com</w:t>
              </w:r>
            </w:hyperlink>
          </w:p>
          <w:p w:rsidR="0052090A" w:rsidRPr="0052090A" w:rsidRDefault="00046755" w:rsidP="00021732">
            <w:pPr>
              <w:rPr>
                <w:rFonts w:ascii="Arial" w:hAnsi="Arial" w:cs="Arial"/>
                <w:sz w:val="24"/>
                <w:szCs w:val="24"/>
              </w:rPr>
            </w:pPr>
            <w:hyperlink r:id="rId13" w:history="1">
              <w:r w:rsidR="0052090A" w:rsidRPr="0052090A">
                <w:rPr>
                  <w:rStyle w:val="Hyperlink"/>
                  <w:rFonts w:ascii="Arial" w:hAnsi="Arial" w:cs="Arial"/>
                  <w:sz w:val="24"/>
                  <w:szCs w:val="24"/>
                </w:rPr>
                <w:t>dboehm@BKLlawfirm.com</w:t>
              </w:r>
            </w:hyperlink>
          </w:p>
          <w:p w:rsidR="0052090A" w:rsidRPr="0052090A" w:rsidRDefault="00046755" w:rsidP="00021732">
            <w:pPr>
              <w:rPr>
                <w:rFonts w:ascii="Arial" w:hAnsi="Arial" w:cs="Arial"/>
                <w:sz w:val="24"/>
                <w:szCs w:val="24"/>
              </w:rPr>
            </w:pPr>
            <w:hyperlink r:id="rId14" w:history="1">
              <w:r w:rsidR="0052090A" w:rsidRPr="0052090A">
                <w:rPr>
                  <w:rStyle w:val="Hyperlink"/>
                  <w:rFonts w:ascii="Arial" w:hAnsi="Arial" w:cs="Arial"/>
                  <w:sz w:val="24"/>
                  <w:szCs w:val="24"/>
                </w:rPr>
                <w:t>mkurtz@BKLlawfirm.com</w:t>
              </w:r>
            </w:hyperlink>
          </w:p>
          <w:p w:rsidR="0052090A" w:rsidRPr="0052090A" w:rsidRDefault="00046755" w:rsidP="00021732">
            <w:pPr>
              <w:rPr>
                <w:rFonts w:ascii="Arial" w:hAnsi="Arial" w:cs="Arial"/>
                <w:sz w:val="24"/>
                <w:szCs w:val="24"/>
              </w:rPr>
            </w:pPr>
            <w:hyperlink r:id="rId15" w:history="1">
              <w:r w:rsidR="0052090A" w:rsidRPr="0052090A">
                <w:rPr>
                  <w:rStyle w:val="Hyperlink"/>
                  <w:rFonts w:ascii="Arial" w:hAnsi="Arial" w:cs="Arial"/>
                  <w:sz w:val="24"/>
                  <w:szCs w:val="24"/>
                </w:rPr>
                <w:t>cmooney@ohiopartners.org</w:t>
              </w:r>
            </w:hyperlink>
            <w:r w:rsidR="0052090A" w:rsidRPr="0052090A">
              <w:rPr>
                <w:rFonts w:ascii="Arial" w:hAnsi="Arial" w:cs="Arial"/>
                <w:sz w:val="24"/>
                <w:szCs w:val="24"/>
              </w:rPr>
              <w:t xml:space="preserve"> </w:t>
            </w:r>
          </w:p>
          <w:p w:rsidR="0052090A" w:rsidRPr="0052090A" w:rsidRDefault="00046755" w:rsidP="00021732">
            <w:pPr>
              <w:rPr>
                <w:rFonts w:ascii="Arial" w:hAnsi="Arial" w:cs="Arial"/>
                <w:sz w:val="24"/>
                <w:szCs w:val="24"/>
              </w:rPr>
            </w:pPr>
            <w:hyperlink r:id="rId16" w:history="1">
              <w:r w:rsidR="0052090A" w:rsidRPr="0052090A">
                <w:rPr>
                  <w:rStyle w:val="Hyperlink"/>
                  <w:rFonts w:ascii="Arial" w:hAnsi="Arial" w:cs="Arial"/>
                  <w:sz w:val="24"/>
                  <w:szCs w:val="24"/>
                </w:rPr>
                <w:t>drinebolt@ohiopartners.org</w:t>
              </w:r>
            </w:hyperlink>
          </w:p>
          <w:p w:rsidR="0052090A" w:rsidRPr="0052090A" w:rsidRDefault="00046755" w:rsidP="00021732">
            <w:pPr>
              <w:rPr>
                <w:rFonts w:ascii="Arial" w:hAnsi="Arial" w:cs="Arial"/>
                <w:sz w:val="24"/>
                <w:szCs w:val="24"/>
              </w:rPr>
            </w:pPr>
            <w:hyperlink r:id="rId17" w:history="1">
              <w:r w:rsidR="0052090A" w:rsidRPr="0052090A">
                <w:rPr>
                  <w:rStyle w:val="Hyperlink"/>
                  <w:rFonts w:ascii="Arial" w:hAnsi="Arial" w:cs="Arial"/>
                  <w:sz w:val="24"/>
                  <w:szCs w:val="24"/>
                </w:rPr>
                <w:t>msmalz@ohiopovertylaw.org</w:t>
              </w:r>
            </w:hyperlink>
          </w:p>
          <w:p w:rsidR="0052090A" w:rsidRPr="0052090A" w:rsidRDefault="00046755" w:rsidP="00021732">
            <w:pPr>
              <w:rPr>
                <w:rFonts w:ascii="Arial" w:hAnsi="Arial" w:cs="Arial"/>
                <w:sz w:val="24"/>
                <w:szCs w:val="24"/>
              </w:rPr>
            </w:pPr>
            <w:hyperlink r:id="rId18" w:history="1">
              <w:r w:rsidR="0052090A" w:rsidRPr="0052090A">
                <w:rPr>
                  <w:rStyle w:val="Hyperlink"/>
                  <w:rFonts w:ascii="Arial" w:hAnsi="Arial" w:cs="Arial"/>
                  <w:sz w:val="24"/>
                  <w:szCs w:val="24"/>
                </w:rPr>
                <w:t>jmaskovyak@ohiopovertylaw.org</w:t>
              </w:r>
            </w:hyperlink>
          </w:p>
          <w:p w:rsidR="0052090A" w:rsidRPr="0052090A" w:rsidRDefault="00046755" w:rsidP="00021732">
            <w:pPr>
              <w:rPr>
                <w:rFonts w:ascii="Arial" w:hAnsi="Arial" w:cs="Arial"/>
                <w:sz w:val="24"/>
                <w:szCs w:val="24"/>
              </w:rPr>
            </w:pPr>
            <w:hyperlink r:id="rId19" w:history="1">
              <w:r w:rsidR="0052090A" w:rsidRPr="0052090A">
                <w:rPr>
                  <w:rStyle w:val="Hyperlink"/>
                  <w:rFonts w:ascii="Arial" w:hAnsi="Arial" w:cs="Arial"/>
                  <w:sz w:val="24"/>
                  <w:szCs w:val="24"/>
                </w:rPr>
                <w:t>gkrassen@bricker.com</w:t>
              </w:r>
            </w:hyperlink>
          </w:p>
          <w:p w:rsidR="0052090A" w:rsidRPr="0052090A" w:rsidRDefault="00046755" w:rsidP="00021732">
            <w:pPr>
              <w:rPr>
                <w:rFonts w:ascii="Arial" w:hAnsi="Arial" w:cs="Arial"/>
                <w:sz w:val="24"/>
                <w:szCs w:val="24"/>
              </w:rPr>
            </w:pPr>
            <w:hyperlink r:id="rId20" w:history="1">
              <w:r w:rsidR="0052090A" w:rsidRPr="0052090A">
                <w:rPr>
                  <w:rStyle w:val="Hyperlink"/>
                  <w:rFonts w:ascii="Arial" w:hAnsi="Arial" w:cs="Arial"/>
                  <w:sz w:val="24"/>
                  <w:szCs w:val="24"/>
                </w:rPr>
                <w:t>william.wright@puc.state.oh.us</w:t>
              </w:r>
            </w:hyperlink>
          </w:p>
          <w:p w:rsidR="0052090A" w:rsidRPr="0052090A" w:rsidRDefault="00046755" w:rsidP="00021732">
            <w:pPr>
              <w:rPr>
                <w:rFonts w:ascii="Arial" w:hAnsi="Arial" w:cs="Arial"/>
                <w:sz w:val="24"/>
                <w:szCs w:val="24"/>
              </w:rPr>
            </w:pPr>
            <w:hyperlink r:id="rId21" w:history="1">
              <w:r w:rsidR="0052090A" w:rsidRPr="0052090A">
                <w:rPr>
                  <w:rStyle w:val="Hyperlink"/>
                  <w:rFonts w:ascii="Arial" w:hAnsi="Arial" w:cs="Arial"/>
                  <w:sz w:val="24"/>
                  <w:szCs w:val="24"/>
                </w:rPr>
                <w:t>burkj@firstenergycorp.com</w:t>
              </w:r>
            </w:hyperlink>
          </w:p>
          <w:p w:rsidR="0052090A" w:rsidRPr="0052090A" w:rsidRDefault="00046755" w:rsidP="00021732">
            <w:pPr>
              <w:rPr>
                <w:rFonts w:ascii="Arial" w:hAnsi="Arial" w:cs="Arial"/>
                <w:sz w:val="24"/>
                <w:szCs w:val="24"/>
              </w:rPr>
            </w:pPr>
            <w:hyperlink r:id="rId22" w:history="1">
              <w:r w:rsidR="0052090A" w:rsidRPr="0052090A">
                <w:rPr>
                  <w:rStyle w:val="Hyperlink"/>
                  <w:rFonts w:ascii="Arial" w:hAnsi="Arial" w:cs="Arial"/>
                  <w:sz w:val="24"/>
                  <w:szCs w:val="24"/>
                </w:rPr>
                <w:t>stnourse@aep.com</w:t>
              </w:r>
            </w:hyperlink>
          </w:p>
          <w:p w:rsidR="0052090A" w:rsidRPr="0052090A" w:rsidRDefault="00046755" w:rsidP="00021732">
            <w:pPr>
              <w:rPr>
                <w:rFonts w:ascii="Arial" w:hAnsi="Arial" w:cs="Arial"/>
                <w:sz w:val="24"/>
                <w:szCs w:val="24"/>
              </w:rPr>
            </w:pPr>
            <w:hyperlink r:id="rId23" w:history="1">
              <w:r w:rsidR="0052090A" w:rsidRPr="0052090A">
                <w:rPr>
                  <w:rStyle w:val="Hyperlink"/>
                  <w:rFonts w:ascii="Arial" w:hAnsi="Arial" w:cs="Arial"/>
                  <w:sz w:val="24"/>
                  <w:szCs w:val="24"/>
                </w:rPr>
                <w:t>judi.sobecki@dplinc.com</w:t>
              </w:r>
            </w:hyperlink>
          </w:p>
          <w:p w:rsidR="0052090A" w:rsidRPr="0052090A" w:rsidRDefault="00046755" w:rsidP="00021732">
            <w:pPr>
              <w:rPr>
                <w:rFonts w:ascii="Arial" w:hAnsi="Arial" w:cs="Arial"/>
                <w:sz w:val="24"/>
                <w:szCs w:val="24"/>
              </w:rPr>
            </w:pPr>
            <w:hyperlink r:id="rId24" w:history="1">
              <w:r w:rsidR="0052090A" w:rsidRPr="0052090A">
                <w:rPr>
                  <w:rStyle w:val="Hyperlink"/>
                  <w:rFonts w:ascii="Arial" w:hAnsi="Arial" w:cs="Arial"/>
                  <w:sz w:val="24"/>
                  <w:szCs w:val="24"/>
                </w:rPr>
                <w:t>amy.spiller@duke-energy.com</w:t>
              </w:r>
            </w:hyperlink>
          </w:p>
          <w:p w:rsidR="0052090A" w:rsidRPr="0052090A" w:rsidRDefault="00046755" w:rsidP="00021732">
            <w:pPr>
              <w:rPr>
                <w:rFonts w:ascii="Arial" w:hAnsi="Arial" w:cs="Arial"/>
                <w:sz w:val="24"/>
                <w:szCs w:val="24"/>
              </w:rPr>
            </w:pPr>
            <w:hyperlink r:id="rId25" w:history="1">
              <w:r w:rsidR="0052090A" w:rsidRPr="0052090A">
                <w:rPr>
                  <w:rStyle w:val="Hyperlink"/>
                  <w:rFonts w:ascii="Arial" w:hAnsi="Arial" w:cs="Arial"/>
                  <w:sz w:val="24"/>
                  <w:szCs w:val="24"/>
                </w:rPr>
                <w:t>elizabeth.stevens@puc.state.oh.us</w:t>
              </w:r>
            </w:hyperlink>
          </w:p>
          <w:p w:rsidR="0052090A" w:rsidRPr="0052090A" w:rsidRDefault="00046755" w:rsidP="00021732">
            <w:pPr>
              <w:rPr>
                <w:rFonts w:ascii="Arial" w:hAnsi="Arial" w:cs="Arial"/>
                <w:sz w:val="24"/>
                <w:szCs w:val="24"/>
              </w:rPr>
            </w:pPr>
            <w:hyperlink r:id="rId26" w:history="1">
              <w:r w:rsidR="0052090A" w:rsidRPr="0052090A">
                <w:rPr>
                  <w:rStyle w:val="Hyperlink"/>
                  <w:rFonts w:ascii="Arial" w:hAnsi="Arial" w:cs="Arial"/>
                  <w:sz w:val="24"/>
                  <w:szCs w:val="24"/>
                </w:rPr>
                <w:t>Cynthia.Brady@Constellation.com</w:t>
              </w:r>
            </w:hyperlink>
            <w:r w:rsidR="0052090A" w:rsidRPr="0052090A">
              <w:rPr>
                <w:rFonts w:ascii="Arial" w:hAnsi="Arial" w:cs="Arial"/>
                <w:sz w:val="24"/>
                <w:szCs w:val="24"/>
              </w:rPr>
              <w:t xml:space="preserve"> </w:t>
            </w:r>
          </w:p>
          <w:p w:rsidR="0052090A" w:rsidRPr="0052090A" w:rsidRDefault="0052090A" w:rsidP="00021732">
            <w:pPr>
              <w:rPr>
                <w:rFonts w:ascii="Arial" w:hAnsi="Arial" w:cs="Arial"/>
                <w:sz w:val="24"/>
                <w:szCs w:val="24"/>
              </w:rPr>
            </w:pPr>
          </w:p>
        </w:tc>
        <w:tc>
          <w:tcPr>
            <w:tcW w:w="4788" w:type="dxa"/>
          </w:tcPr>
          <w:p w:rsidR="0052090A" w:rsidRPr="0052090A" w:rsidRDefault="00046755" w:rsidP="00021732">
            <w:pPr>
              <w:rPr>
                <w:rFonts w:ascii="Arial" w:hAnsi="Arial" w:cs="Arial"/>
                <w:sz w:val="24"/>
                <w:szCs w:val="24"/>
              </w:rPr>
            </w:pPr>
            <w:hyperlink r:id="rId27" w:history="1">
              <w:r w:rsidR="0052090A" w:rsidRPr="0052090A">
                <w:rPr>
                  <w:rStyle w:val="Hyperlink"/>
                  <w:rFonts w:ascii="Arial" w:hAnsi="Arial" w:cs="Arial"/>
                  <w:sz w:val="24"/>
                  <w:szCs w:val="24"/>
                </w:rPr>
                <w:t>jkylercohn@BKLlawfirm.com</w:t>
              </w:r>
            </w:hyperlink>
          </w:p>
          <w:p w:rsidR="0052090A" w:rsidRPr="0052090A" w:rsidRDefault="00046755" w:rsidP="00021732">
            <w:pPr>
              <w:rPr>
                <w:rFonts w:ascii="Arial" w:hAnsi="Arial" w:cs="Arial"/>
                <w:sz w:val="24"/>
                <w:szCs w:val="24"/>
              </w:rPr>
            </w:pPr>
            <w:hyperlink r:id="rId28" w:history="1">
              <w:r w:rsidR="0052090A" w:rsidRPr="0052090A">
                <w:rPr>
                  <w:rStyle w:val="Hyperlink"/>
                  <w:rFonts w:ascii="Arial" w:hAnsi="Arial" w:cs="Arial"/>
                  <w:sz w:val="24"/>
                  <w:szCs w:val="24"/>
                </w:rPr>
                <w:t>gpoulos@enernoc.com</w:t>
              </w:r>
            </w:hyperlink>
          </w:p>
          <w:p w:rsidR="0052090A" w:rsidRPr="0052090A" w:rsidRDefault="00046755" w:rsidP="00021732">
            <w:pPr>
              <w:rPr>
                <w:rFonts w:ascii="Arial" w:hAnsi="Arial" w:cs="Arial"/>
                <w:sz w:val="24"/>
                <w:szCs w:val="24"/>
              </w:rPr>
            </w:pPr>
            <w:hyperlink r:id="rId29" w:history="1">
              <w:r w:rsidR="0052090A" w:rsidRPr="0052090A">
                <w:rPr>
                  <w:rStyle w:val="Hyperlink"/>
                  <w:rFonts w:ascii="Arial" w:hAnsi="Arial" w:cs="Arial"/>
                  <w:sz w:val="24"/>
                  <w:szCs w:val="24"/>
                </w:rPr>
                <w:t>ejacobs@ablelaw.org</w:t>
              </w:r>
            </w:hyperlink>
          </w:p>
          <w:p w:rsidR="0052090A" w:rsidRPr="0052090A" w:rsidRDefault="00046755" w:rsidP="00021732">
            <w:pPr>
              <w:rPr>
                <w:rFonts w:ascii="Arial" w:hAnsi="Arial" w:cs="Arial"/>
                <w:sz w:val="24"/>
                <w:szCs w:val="24"/>
              </w:rPr>
            </w:pPr>
            <w:hyperlink r:id="rId30" w:history="1">
              <w:r w:rsidR="0052090A" w:rsidRPr="0052090A">
                <w:rPr>
                  <w:rStyle w:val="Hyperlink"/>
                  <w:rFonts w:ascii="Arial" w:hAnsi="Arial" w:cs="Arial"/>
                  <w:sz w:val="24"/>
                  <w:szCs w:val="24"/>
                </w:rPr>
                <w:t>tsiwo@bricker.com</w:t>
              </w:r>
            </w:hyperlink>
          </w:p>
          <w:p w:rsidR="0052090A" w:rsidRPr="0052090A" w:rsidRDefault="00046755" w:rsidP="00021732">
            <w:pPr>
              <w:rPr>
                <w:rFonts w:ascii="Arial" w:hAnsi="Arial" w:cs="Arial"/>
                <w:sz w:val="24"/>
                <w:szCs w:val="24"/>
              </w:rPr>
            </w:pPr>
            <w:hyperlink r:id="rId31" w:history="1">
              <w:r w:rsidR="0052090A" w:rsidRPr="0052090A">
                <w:rPr>
                  <w:rStyle w:val="Hyperlink"/>
                  <w:rFonts w:ascii="Arial" w:hAnsi="Arial" w:cs="Arial"/>
                  <w:sz w:val="24"/>
                  <w:szCs w:val="24"/>
                </w:rPr>
                <w:t>mwarnock@bricker.com</w:t>
              </w:r>
            </w:hyperlink>
          </w:p>
          <w:p w:rsidR="0052090A" w:rsidRPr="0052090A" w:rsidRDefault="00046755" w:rsidP="00021732">
            <w:pPr>
              <w:rPr>
                <w:rFonts w:ascii="Arial" w:hAnsi="Arial" w:cs="Arial"/>
                <w:sz w:val="24"/>
                <w:szCs w:val="24"/>
              </w:rPr>
            </w:pPr>
            <w:hyperlink r:id="rId32" w:history="1">
              <w:r w:rsidR="0052090A" w:rsidRPr="0052090A">
                <w:rPr>
                  <w:rStyle w:val="Hyperlink"/>
                  <w:rFonts w:ascii="Arial" w:hAnsi="Arial" w:cs="Arial"/>
                  <w:sz w:val="24"/>
                  <w:szCs w:val="24"/>
                </w:rPr>
                <w:t>nmorgan@lascinti.org</w:t>
              </w:r>
            </w:hyperlink>
          </w:p>
          <w:p w:rsidR="0052090A" w:rsidRPr="0052090A" w:rsidRDefault="00046755" w:rsidP="00021732">
            <w:pPr>
              <w:rPr>
                <w:rFonts w:ascii="Arial" w:hAnsi="Arial" w:cs="Arial"/>
                <w:sz w:val="24"/>
                <w:szCs w:val="24"/>
              </w:rPr>
            </w:pPr>
            <w:hyperlink r:id="rId33" w:history="1">
              <w:r w:rsidR="0052090A" w:rsidRPr="0052090A">
                <w:rPr>
                  <w:rStyle w:val="Hyperlink"/>
                  <w:rFonts w:ascii="Arial" w:hAnsi="Arial" w:cs="Arial"/>
                  <w:sz w:val="24"/>
                  <w:szCs w:val="24"/>
                </w:rPr>
                <w:t>julie.robie@lasclev.org</w:t>
              </w:r>
            </w:hyperlink>
          </w:p>
          <w:p w:rsidR="0052090A" w:rsidRPr="0052090A" w:rsidRDefault="00046755" w:rsidP="00021732">
            <w:pPr>
              <w:rPr>
                <w:rFonts w:ascii="Arial" w:hAnsi="Arial" w:cs="Arial"/>
                <w:sz w:val="24"/>
                <w:szCs w:val="24"/>
              </w:rPr>
            </w:pPr>
            <w:hyperlink r:id="rId34" w:history="1">
              <w:r w:rsidR="0052090A" w:rsidRPr="0052090A">
                <w:rPr>
                  <w:rStyle w:val="Hyperlink"/>
                  <w:rFonts w:ascii="Arial" w:hAnsi="Arial" w:cs="Arial"/>
                  <w:sz w:val="24"/>
                  <w:szCs w:val="24"/>
                </w:rPr>
                <w:t>mwalters@proseniors.org</w:t>
              </w:r>
            </w:hyperlink>
          </w:p>
          <w:p w:rsidR="0052090A" w:rsidRPr="0052090A" w:rsidRDefault="00046755" w:rsidP="00021732">
            <w:pPr>
              <w:rPr>
                <w:rFonts w:ascii="Arial" w:hAnsi="Arial" w:cs="Arial"/>
                <w:sz w:val="24"/>
                <w:szCs w:val="24"/>
              </w:rPr>
            </w:pPr>
            <w:hyperlink r:id="rId35" w:history="1">
              <w:r w:rsidR="0052090A" w:rsidRPr="0052090A">
                <w:rPr>
                  <w:rStyle w:val="Hyperlink"/>
                  <w:rFonts w:ascii="Arial" w:hAnsi="Arial" w:cs="Arial"/>
                  <w:sz w:val="24"/>
                  <w:szCs w:val="24"/>
                </w:rPr>
                <w:t>plee@oslsa.org</w:t>
              </w:r>
            </w:hyperlink>
          </w:p>
          <w:p w:rsidR="0052090A" w:rsidRPr="0052090A" w:rsidRDefault="00046755" w:rsidP="00021732">
            <w:pPr>
              <w:rPr>
                <w:rFonts w:ascii="Arial" w:hAnsi="Arial" w:cs="Arial"/>
                <w:sz w:val="24"/>
                <w:szCs w:val="24"/>
              </w:rPr>
            </w:pPr>
            <w:hyperlink r:id="rId36" w:history="1">
              <w:r w:rsidR="0052090A" w:rsidRPr="0052090A">
                <w:rPr>
                  <w:rStyle w:val="Hyperlink"/>
                  <w:rFonts w:ascii="Arial" w:hAnsi="Arial" w:cs="Arial"/>
                  <w:sz w:val="24"/>
                  <w:szCs w:val="24"/>
                </w:rPr>
                <w:t>rjohns@oslsa.org</w:t>
              </w:r>
            </w:hyperlink>
          </w:p>
          <w:p w:rsidR="0052090A" w:rsidRPr="0052090A" w:rsidRDefault="00046755" w:rsidP="00021732">
            <w:pPr>
              <w:rPr>
                <w:rFonts w:ascii="Arial" w:hAnsi="Arial" w:cs="Arial"/>
                <w:sz w:val="24"/>
                <w:szCs w:val="24"/>
              </w:rPr>
            </w:pPr>
            <w:hyperlink r:id="rId37" w:history="1">
              <w:r w:rsidR="0052090A" w:rsidRPr="0052090A">
                <w:rPr>
                  <w:rStyle w:val="Hyperlink"/>
                  <w:rFonts w:ascii="Arial" w:hAnsi="Arial" w:cs="Arial"/>
                  <w:sz w:val="24"/>
                  <w:szCs w:val="24"/>
                </w:rPr>
                <w:t>gbenjamin@communitylegalaid.org</w:t>
              </w:r>
            </w:hyperlink>
          </w:p>
          <w:p w:rsidR="0052090A" w:rsidRPr="0052090A" w:rsidRDefault="00046755" w:rsidP="00021732">
            <w:pPr>
              <w:rPr>
                <w:rFonts w:ascii="Arial" w:hAnsi="Arial" w:cs="Arial"/>
                <w:sz w:val="24"/>
                <w:szCs w:val="24"/>
              </w:rPr>
            </w:pPr>
            <w:hyperlink r:id="rId38" w:history="1">
              <w:r w:rsidR="0052090A" w:rsidRPr="0052090A">
                <w:rPr>
                  <w:rStyle w:val="Hyperlink"/>
                  <w:rFonts w:ascii="Arial" w:hAnsi="Arial" w:cs="Arial"/>
                  <w:sz w:val="24"/>
                  <w:szCs w:val="24"/>
                </w:rPr>
                <w:t>David.Fein@Constellation.com</w:t>
              </w:r>
            </w:hyperlink>
          </w:p>
          <w:p w:rsidR="0052090A" w:rsidRPr="0052090A" w:rsidRDefault="00046755" w:rsidP="00021732">
            <w:pPr>
              <w:rPr>
                <w:rFonts w:ascii="Arial" w:hAnsi="Arial" w:cs="Arial"/>
                <w:sz w:val="24"/>
                <w:szCs w:val="24"/>
              </w:rPr>
            </w:pPr>
            <w:hyperlink r:id="rId39" w:history="1">
              <w:r w:rsidR="0052090A" w:rsidRPr="0052090A">
                <w:rPr>
                  <w:rStyle w:val="Hyperlink"/>
                  <w:rFonts w:ascii="Arial" w:hAnsi="Arial" w:cs="Arial"/>
                  <w:sz w:val="24"/>
                  <w:szCs w:val="24"/>
                </w:rPr>
                <w:t>mjsatterwhite@aep.com</w:t>
              </w:r>
            </w:hyperlink>
          </w:p>
          <w:p w:rsidR="0052090A" w:rsidRPr="0052090A" w:rsidRDefault="00046755" w:rsidP="00021732">
            <w:pPr>
              <w:rPr>
                <w:rFonts w:ascii="Arial" w:hAnsi="Arial" w:cs="Arial"/>
                <w:sz w:val="24"/>
                <w:szCs w:val="24"/>
              </w:rPr>
            </w:pPr>
            <w:hyperlink r:id="rId40" w:history="1">
              <w:r w:rsidR="0052090A" w:rsidRPr="0052090A">
                <w:rPr>
                  <w:rStyle w:val="Hyperlink"/>
                  <w:rFonts w:ascii="Arial" w:hAnsi="Arial" w:cs="Arial"/>
                  <w:sz w:val="24"/>
                  <w:szCs w:val="24"/>
                </w:rPr>
                <w:t>yalami@aep.com</w:t>
              </w:r>
            </w:hyperlink>
          </w:p>
          <w:p w:rsidR="0052090A" w:rsidRPr="0052090A" w:rsidRDefault="00046755" w:rsidP="00021732">
            <w:pPr>
              <w:rPr>
                <w:rFonts w:ascii="Arial" w:hAnsi="Arial" w:cs="Arial"/>
                <w:sz w:val="24"/>
                <w:szCs w:val="24"/>
              </w:rPr>
            </w:pPr>
            <w:hyperlink r:id="rId41" w:history="1">
              <w:r w:rsidR="0052090A" w:rsidRPr="0052090A">
                <w:rPr>
                  <w:rStyle w:val="Hyperlink"/>
                  <w:rFonts w:ascii="Arial" w:hAnsi="Arial" w:cs="Arial"/>
                  <w:sz w:val="24"/>
                  <w:szCs w:val="24"/>
                </w:rPr>
                <w:t>cgoodman@energymarketers.com</w:t>
              </w:r>
            </w:hyperlink>
          </w:p>
          <w:p w:rsidR="0052090A" w:rsidRPr="0052090A" w:rsidRDefault="00046755" w:rsidP="00021732">
            <w:pPr>
              <w:rPr>
                <w:rFonts w:ascii="Arial" w:hAnsi="Arial" w:cs="Arial"/>
                <w:sz w:val="24"/>
                <w:szCs w:val="24"/>
              </w:rPr>
            </w:pPr>
            <w:hyperlink r:id="rId42" w:history="1">
              <w:r w:rsidR="0052090A" w:rsidRPr="0052090A">
                <w:rPr>
                  <w:rStyle w:val="Hyperlink"/>
                  <w:rFonts w:ascii="Arial" w:hAnsi="Arial" w:cs="Arial"/>
                  <w:sz w:val="24"/>
                  <w:szCs w:val="24"/>
                </w:rPr>
                <w:t>srantala@energymarketers.com</w:t>
              </w:r>
            </w:hyperlink>
          </w:p>
          <w:p w:rsidR="0052090A" w:rsidRPr="0052090A" w:rsidRDefault="00046755" w:rsidP="00021732">
            <w:pPr>
              <w:rPr>
                <w:rFonts w:ascii="Arial" w:hAnsi="Arial" w:cs="Arial"/>
                <w:sz w:val="24"/>
                <w:szCs w:val="24"/>
              </w:rPr>
            </w:pPr>
            <w:hyperlink r:id="rId43" w:history="1">
              <w:r w:rsidR="0052090A" w:rsidRPr="0052090A">
                <w:rPr>
                  <w:rStyle w:val="Hyperlink"/>
                  <w:rFonts w:ascii="Arial" w:hAnsi="Arial" w:cs="Arial"/>
                  <w:sz w:val="24"/>
                  <w:szCs w:val="24"/>
                </w:rPr>
                <w:t>cdunn@firstenergycorp.com</w:t>
              </w:r>
            </w:hyperlink>
          </w:p>
          <w:p w:rsidR="0052090A" w:rsidRPr="0052090A" w:rsidRDefault="00046755" w:rsidP="00021732">
            <w:pPr>
              <w:rPr>
                <w:rFonts w:ascii="Arial" w:hAnsi="Arial" w:cs="Arial"/>
                <w:sz w:val="24"/>
                <w:szCs w:val="24"/>
              </w:rPr>
            </w:pPr>
            <w:hyperlink r:id="rId44" w:history="1">
              <w:r w:rsidR="0052090A" w:rsidRPr="0052090A">
                <w:rPr>
                  <w:rStyle w:val="Hyperlink"/>
                  <w:rFonts w:ascii="Arial" w:hAnsi="Arial" w:cs="Arial"/>
                  <w:sz w:val="24"/>
                  <w:szCs w:val="24"/>
                </w:rPr>
                <w:t>rocco.dascenzo@duke-energy.com</w:t>
              </w:r>
            </w:hyperlink>
          </w:p>
          <w:p w:rsidR="0052090A" w:rsidRPr="0052090A" w:rsidRDefault="00046755" w:rsidP="00021732">
            <w:pPr>
              <w:rPr>
                <w:rFonts w:ascii="Arial" w:hAnsi="Arial" w:cs="Arial"/>
                <w:sz w:val="24"/>
                <w:szCs w:val="24"/>
              </w:rPr>
            </w:pPr>
            <w:hyperlink r:id="rId45" w:history="1">
              <w:r w:rsidR="0052090A" w:rsidRPr="0052090A">
                <w:rPr>
                  <w:rStyle w:val="Hyperlink"/>
                  <w:rFonts w:ascii="Arial" w:hAnsi="Arial" w:cs="Arial"/>
                  <w:sz w:val="24"/>
                  <w:szCs w:val="24"/>
                </w:rPr>
                <w:t>Elizabeth.watts@duke-energy.com</w:t>
              </w:r>
            </w:hyperlink>
          </w:p>
          <w:p w:rsidR="0052090A" w:rsidRPr="0052090A" w:rsidRDefault="0052090A" w:rsidP="00021732">
            <w:pPr>
              <w:rPr>
                <w:rFonts w:ascii="Arial" w:hAnsi="Arial" w:cs="Arial"/>
                <w:sz w:val="24"/>
                <w:szCs w:val="24"/>
              </w:rPr>
            </w:pPr>
          </w:p>
        </w:tc>
      </w:tr>
    </w:tbl>
    <w:p w:rsidR="0052090A" w:rsidRPr="0052090A" w:rsidRDefault="0052090A" w:rsidP="0052090A">
      <w:pPr>
        <w:rPr>
          <w:rFonts w:ascii="Arial" w:hAnsi="Arial" w:cs="Arial"/>
          <w:sz w:val="24"/>
          <w:szCs w:val="24"/>
        </w:rPr>
      </w:pPr>
    </w:p>
    <w:p w:rsidR="00143203" w:rsidRDefault="00143203" w:rsidP="00143203">
      <w:pPr>
        <w:spacing w:line="480" w:lineRule="auto"/>
        <w:rPr>
          <w:rFonts w:ascii="Arial" w:hAnsi="Arial" w:cs="Arial"/>
          <w:b/>
          <w:sz w:val="24"/>
          <w:szCs w:val="24"/>
        </w:rPr>
      </w:pPr>
    </w:p>
    <w:p w:rsidR="00143203" w:rsidRDefault="00143203" w:rsidP="00143203">
      <w:pPr>
        <w:spacing w:line="480" w:lineRule="auto"/>
        <w:ind w:firstLine="360"/>
        <w:rPr>
          <w:rFonts w:ascii="Arial" w:hAnsi="Arial" w:cs="Arial"/>
          <w:b/>
          <w:sz w:val="24"/>
          <w:szCs w:val="24"/>
        </w:rPr>
      </w:pPr>
    </w:p>
    <w:p w:rsidR="00143203" w:rsidRPr="00143203" w:rsidRDefault="00143203" w:rsidP="00143203">
      <w:pPr>
        <w:spacing w:line="480" w:lineRule="auto"/>
        <w:ind w:firstLine="360"/>
        <w:rPr>
          <w:rFonts w:ascii="Arial" w:hAnsi="Arial" w:cs="Arial"/>
          <w:b/>
          <w:sz w:val="24"/>
          <w:szCs w:val="24"/>
        </w:rPr>
      </w:pPr>
    </w:p>
    <w:sectPr w:rsidR="00143203" w:rsidRPr="00143203">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8D" w:rsidRDefault="0034288D" w:rsidP="00CE2DC9">
      <w:pPr>
        <w:spacing w:after="0" w:line="240" w:lineRule="auto"/>
      </w:pPr>
      <w:r>
        <w:separator/>
      </w:r>
    </w:p>
  </w:endnote>
  <w:endnote w:type="continuationSeparator" w:id="0">
    <w:p w:rsidR="0034288D" w:rsidRDefault="0034288D" w:rsidP="00CE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1875"/>
      <w:docPartObj>
        <w:docPartGallery w:val="Page Numbers (Bottom of Page)"/>
        <w:docPartUnique/>
      </w:docPartObj>
    </w:sdtPr>
    <w:sdtEndPr>
      <w:rPr>
        <w:noProof/>
      </w:rPr>
    </w:sdtEndPr>
    <w:sdtContent>
      <w:p w:rsidR="00CD4A50" w:rsidRDefault="00CD4A50">
        <w:pPr>
          <w:pStyle w:val="Footer"/>
          <w:jc w:val="center"/>
        </w:pPr>
        <w:r>
          <w:fldChar w:fldCharType="begin"/>
        </w:r>
        <w:r>
          <w:instrText xml:space="preserve"> PAGE   \* MERGEFORMAT </w:instrText>
        </w:r>
        <w:r>
          <w:fldChar w:fldCharType="separate"/>
        </w:r>
        <w:r w:rsidR="00046755">
          <w:rPr>
            <w:noProof/>
          </w:rPr>
          <w:t>2</w:t>
        </w:r>
        <w:r>
          <w:rPr>
            <w:noProof/>
          </w:rPr>
          <w:fldChar w:fldCharType="end"/>
        </w:r>
      </w:p>
    </w:sdtContent>
  </w:sdt>
  <w:p w:rsidR="00CD4A50" w:rsidRDefault="00CD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8D" w:rsidRDefault="0034288D" w:rsidP="00CE2DC9">
      <w:pPr>
        <w:spacing w:after="0" w:line="240" w:lineRule="auto"/>
      </w:pPr>
      <w:r>
        <w:separator/>
      </w:r>
    </w:p>
  </w:footnote>
  <w:footnote w:type="continuationSeparator" w:id="0">
    <w:p w:rsidR="0034288D" w:rsidRDefault="0034288D" w:rsidP="00CE2DC9">
      <w:pPr>
        <w:spacing w:after="0" w:line="240" w:lineRule="auto"/>
      </w:pPr>
      <w:r>
        <w:continuationSeparator/>
      </w:r>
    </w:p>
  </w:footnote>
  <w:footnote w:id="1">
    <w:p w:rsidR="00B30395" w:rsidRPr="00A36634" w:rsidRDefault="00B30395" w:rsidP="00A36634">
      <w:pPr>
        <w:spacing w:line="240" w:lineRule="auto"/>
        <w:jc w:val="both"/>
        <w:rPr>
          <w:rFonts w:ascii="Arial" w:hAnsi="Arial" w:cs="Arial"/>
          <w:sz w:val="20"/>
          <w:szCs w:val="20"/>
        </w:rPr>
      </w:pPr>
      <w:r w:rsidRPr="00F519B7">
        <w:rPr>
          <w:rStyle w:val="FootnoteReference"/>
          <w:rFonts w:ascii="Arial" w:hAnsi="Arial" w:cs="Arial"/>
          <w:sz w:val="20"/>
          <w:szCs w:val="20"/>
        </w:rPr>
        <w:footnoteRef/>
      </w:r>
      <w:r w:rsidRPr="00F519B7">
        <w:rPr>
          <w:rFonts w:ascii="Arial" w:hAnsi="Arial" w:cs="Arial"/>
          <w:sz w:val="20"/>
          <w:szCs w:val="20"/>
        </w:rPr>
        <w:t xml:space="preserve"> Ohio’s current regulatory structure favors the SSO product in the market in that:  1) all new and legacy EDU distribution customers are enrolled on the SSO by default, 2) all new EDU distribution customers  must remain on the SSO rate for a minimum period of two months before having the opportunity to switch to a competitive retail electric supplier (“CRES”), 3) the SSO product is not subject to the same regulatory rules (and costs associated with complying with those rules) as competitive products,</w:t>
      </w:r>
      <w:r w:rsidR="000D5B5B" w:rsidRPr="00F519B7">
        <w:rPr>
          <w:rFonts w:ascii="Arial" w:hAnsi="Arial" w:cs="Arial"/>
          <w:sz w:val="20"/>
          <w:szCs w:val="20"/>
        </w:rPr>
        <w:t xml:space="preserve"> 4) the SSO product is used as the comparison price in the market, where no other product in the market </w:t>
      </w:r>
      <w:r w:rsidRPr="00F519B7">
        <w:rPr>
          <w:rFonts w:ascii="Arial" w:hAnsi="Arial" w:cs="Arial"/>
          <w:sz w:val="20"/>
          <w:szCs w:val="20"/>
        </w:rPr>
        <w:t xml:space="preserve"> and </w:t>
      </w:r>
      <w:r w:rsidR="0023730C" w:rsidRPr="00F519B7">
        <w:rPr>
          <w:rFonts w:ascii="Arial" w:hAnsi="Arial" w:cs="Arial"/>
          <w:sz w:val="20"/>
          <w:szCs w:val="20"/>
        </w:rPr>
        <w:t>5</w:t>
      </w:r>
      <w:r w:rsidRPr="00F519B7">
        <w:rPr>
          <w:rFonts w:ascii="Arial" w:hAnsi="Arial" w:cs="Arial"/>
          <w:sz w:val="20"/>
          <w:szCs w:val="20"/>
        </w:rPr>
        <w:t>) many costs associated with supplying the default generation rate are still recovered through distribution rates, which are paid for by all customers.</w:t>
      </w:r>
    </w:p>
  </w:footnote>
  <w:footnote w:id="2">
    <w:p w:rsidR="00F36388" w:rsidRPr="00F519B7" w:rsidRDefault="00F36388" w:rsidP="002C105C">
      <w:pPr>
        <w:spacing w:after="120" w:line="240" w:lineRule="auto"/>
        <w:jc w:val="both"/>
        <w:rPr>
          <w:rFonts w:ascii="Arial" w:hAnsi="Arial" w:cs="Arial"/>
          <w:sz w:val="20"/>
          <w:szCs w:val="20"/>
        </w:rPr>
      </w:pPr>
      <w:r w:rsidRPr="00F519B7">
        <w:rPr>
          <w:rStyle w:val="FootnoteReference"/>
          <w:rFonts w:ascii="Arial" w:hAnsi="Arial" w:cs="Arial"/>
          <w:sz w:val="20"/>
          <w:szCs w:val="20"/>
        </w:rPr>
        <w:footnoteRef/>
      </w:r>
      <w:r w:rsidRPr="00F519B7">
        <w:rPr>
          <w:rFonts w:ascii="Arial" w:hAnsi="Arial" w:cs="Arial"/>
          <w:sz w:val="20"/>
          <w:szCs w:val="20"/>
        </w:rPr>
        <w:t xml:space="preserve"> If one product is granted favorable legal or regulatory treatment, or otherwise has an anti-competitive advantage in the market, all else being equal, customers will be more likely to purchase or enroll in that product.  Thus the favored product will have less pressure to innovate and become more efficient, and other products that are not advantaged will be pushed out of the market.  This rationale is the </w:t>
      </w:r>
      <w:r w:rsidR="00941BC6" w:rsidRPr="00F519B7">
        <w:rPr>
          <w:rFonts w:ascii="Arial" w:hAnsi="Arial" w:cs="Arial"/>
          <w:sz w:val="20"/>
          <w:szCs w:val="20"/>
        </w:rPr>
        <w:t>foundation</w:t>
      </w:r>
      <w:r w:rsidRPr="00F519B7">
        <w:rPr>
          <w:rFonts w:ascii="Arial" w:hAnsi="Arial" w:cs="Arial"/>
          <w:sz w:val="20"/>
          <w:szCs w:val="20"/>
        </w:rPr>
        <w:t xml:space="preserve"> for the enactment of anti-trust laws and is also a basic economic principal in a </w:t>
      </w:r>
      <w:r w:rsidR="00941BC6" w:rsidRPr="00F519B7">
        <w:rPr>
          <w:rFonts w:ascii="Arial" w:hAnsi="Arial" w:cs="Arial"/>
          <w:sz w:val="20"/>
          <w:szCs w:val="20"/>
        </w:rPr>
        <w:t>free market</w:t>
      </w:r>
      <w:r w:rsidRPr="00F519B7">
        <w:rPr>
          <w:rFonts w:ascii="Arial" w:hAnsi="Arial" w:cs="Arial"/>
          <w:sz w:val="20"/>
          <w:szCs w:val="20"/>
        </w:rPr>
        <w:t xml:space="preserve"> society.  </w:t>
      </w:r>
    </w:p>
  </w:footnote>
  <w:footnote w:id="3">
    <w:p w:rsidR="009B5271" w:rsidRPr="00F519B7" w:rsidRDefault="009B5271" w:rsidP="00F519B7">
      <w:pPr>
        <w:pStyle w:val="FootnoteText"/>
        <w:jc w:val="both"/>
        <w:rPr>
          <w:rFonts w:ascii="Arial" w:hAnsi="Arial" w:cs="Arial"/>
        </w:rPr>
      </w:pPr>
      <w:r w:rsidRPr="00F519B7">
        <w:rPr>
          <w:rStyle w:val="FootnoteReference"/>
          <w:rFonts w:ascii="Arial" w:hAnsi="Arial" w:cs="Arial"/>
        </w:rPr>
        <w:footnoteRef/>
      </w:r>
      <w:r w:rsidRPr="00F519B7">
        <w:rPr>
          <w:rFonts w:ascii="Arial" w:hAnsi="Arial" w:cs="Arial"/>
        </w:rPr>
        <w:t xml:space="preserve"> March 26 Order, at 36.</w:t>
      </w:r>
    </w:p>
  </w:footnote>
  <w:footnote w:id="4">
    <w:p w:rsidR="00BD2491" w:rsidRPr="00F519B7" w:rsidRDefault="00BD2491" w:rsidP="002C105C">
      <w:pPr>
        <w:pStyle w:val="FootnoteText"/>
        <w:spacing w:after="120"/>
        <w:jc w:val="both"/>
        <w:rPr>
          <w:rFonts w:ascii="Arial" w:hAnsi="Arial" w:cs="Arial"/>
        </w:rPr>
      </w:pPr>
      <w:r w:rsidRPr="00F519B7">
        <w:rPr>
          <w:rStyle w:val="FootnoteReference"/>
          <w:rFonts w:ascii="Arial" w:hAnsi="Arial" w:cs="Arial"/>
        </w:rPr>
        <w:footnoteRef/>
      </w:r>
      <w:r w:rsidRPr="00F519B7">
        <w:rPr>
          <w:rFonts w:ascii="Arial" w:hAnsi="Arial" w:cs="Arial"/>
        </w:rPr>
        <w:t xml:space="preserve"> </w:t>
      </w:r>
      <w:r w:rsidR="004D68C0" w:rsidRPr="00F519B7">
        <w:rPr>
          <w:rFonts w:ascii="Arial" w:hAnsi="Arial" w:cs="Arial"/>
        </w:rPr>
        <w:t>Id</w:t>
      </w:r>
      <w:r w:rsidR="002C105C">
        <w:rPr>
          <w:rFonts w:ascii="Arial" w:hAnsi="Arial" w:cs="Arial"/>
        </w:rPr>
        <w:t>.</w:t>
      </w:r>
      <w:r w:rsidR="004D68C0" w:rsidRPr="00F519B7">
        <w:rPr>
          <w:rFonts w:ascii="Arial" w:hAnsi="Arial" w:cs="Arial"/>
        </w:rPr>
        <w:t xml:space="preserve"> at 23.</w:t>
      </w:r>
    </w:p>
  </w:footnote>
  <w:footnote w:id="5">
    <w:p w:rsidR="007D7CC8" w:rsidRPr="00F519B7" w:rsidRDefault="007D7CC8" w:rsidP="002C105C">
      <w:pPr>
        <w:pStyle w:val="FootnoteText"/>
        <w:spacing w:after="120"/>
        <w:jc w:val="both"/>
        <w:rPr>
          <w:rFonts w:ascii="Arial" w:hAnsi="Arial" w:cs="Arial"/>
        </w:rPr>
      </w:pPr>
      <w:r w:rsidRPr="00F519B7">
        <w:rPr>
          <w:rStyle w:val="FootnoteReference"/>
          <w:rFonts w:ascii="Arial" w:hAnsi="Arial" w:cs="Arial"/>
        </w:rPr>
        <w:footnoteRef/>
      </w:r>
      <w:r w:rsidRPr="00F519B7">
        <w:rPr>
          <w:rFonts w:ascii="Arial" w:hAnsi="Arial" w:cs="Arial"/>
        </w:rPr>
        <w:t xml:space="preserve"> Currently,</w:t>
      </w:r>
      <w:r w:rsidR="00F519B7">
        <w:rPr>
          <w:rFonts w:ascii="Arial" w:hAnsi="Arial" w:cs="Arial"/>
        </w:rPr>
        <w:t xml:space="preserve"> </w:t>
      </w:r>
      <w:r w:rsidRPr="00F519B7">
        <w:rPr>
          <w:rFonts w:ascii="Arial" w:hAnsi="Arial" w:cs="Arial"/>
        </w:rPr>
        <w:t>voice charges are just one of the various components many customers pay on phone bills; other charges include text messaging, data charges and charitable donations, to name a few.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E9"/>
    <w:multiLevelType w:val="hybridMultilevel"/>
    <w:tmpl w:val="7F36A99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4EC"/>
    <w:multiLevelType w:val="hybridMultilevel"/>
    <w:tmpl w:val="4FEC9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F6756"/>
    <w:multiLevelType w:val="hybridMultilevel"/>
    <w:tmpl w:val="E9285982"/>
    <w:lvl w:ilvl="0" w:tplc="8FC4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211CD"/>
    <w:multiLevelType w:val="hybridMultilevel"/>
    <w:tmpl w:val="23E679A0"/>
    <w:lvl w:ilvl="0" w:tplc="5F76B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E01D5"/>
    <w:multiLevelType w:val="hybridMultilevel"/>
    <w:tmpl w:val="3FEC8CDE"/>
    <w:lvl w:ilvl="0" w:tplc="B0F41F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45372F"/>
    <w:multiLevelType w:val="hybridMultilevel"/>
    <w:tmpl w:val="2FAC2814"/>
    <w:lvl w:ilvl="0" w:tplc="9E8A8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3B33ED"/>
    <w:multiLevelType w:val="hybridMultilevel"/>
    <w:tmpl w:val="9C46BE9E"/>
    <w:lvl w:ilvl="0" w:tplc="05527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CE0647"/>
    <w:multiLevelType w:val="hybridMultilevel"/>
    <w:tmpl w:val="2FAC2814"/>
    <w:lvl w:ilvl="0" w:tplc="9E8A8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0F1A20"/>
    <w:multiLevelType w:val="hybridMultilevel"/>
    <w:tmpl w:val="D438E7A0"/>
    <w:lvl w:ilvl="0" w:tplc="766C8964">
      <w:start w:val="1"/>
      <w:numFmt w:val="decimal"/>
      <w:lvlText w:val="%1)"/>
      <w:lvlJc w:val="left"/>
      <w:pPr>
        <w:ind w:left="2160" w:hanging="360"/>
      </w:pPr>
      <w:rPr>
        <w:rFonts w:ascii="Arial" w:eastAsiaTheme="minorHAnsi"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A8E6015"/>
    <w:multiLevelType w:val="hybridMultilevel"/>
    <w:tmpl w:val="D56ABF3E"/>
    <w:lvl w:ilvl="0" w:tplc="DD906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2"/>
  </w:num>
  <w:num w:numId="4">
    <w:abstractNumId w:val="8"/>
  </w:num>
  <w:num w:numId="5">
    <w:abstractNumId w:val="6"/>
  </w:num>
  <w:num w:numId="6">
    <w:abstractNumId w:val="1"/>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2E"/>
    <w:rsid w:val="00046755"/>
    <w:rsid w:val="00051296"/>
    <w:rsid w:val="00053E68"/>
    <w:rsid w:val="00055C77"/>
    <w:rsid w:val="000747D6"/>
    <w:rsid w:val="00095887"/>
    <w:rsid w:val="000C6A8E"/>
    <w:rsid w:val="000D4A72"/>
    <w:rsid w:val="000D5B5B"/>
    <w:rsid w:val="000D5CC5"/>
    <w:rsid w:val="000D7BE3"/>
    <w:rsid w:val="000F4903"/>
    <w:rsid w:val="0010088A"/>
    <w:rsid w:val="00114E58"/>
    <w:rsid w:val="00121F1E"/>
    <w:rsid w:val="00137F65"/>
    <w:rsid w:val="00143203"/>
    <w:rsid w:val="00161201"/>
    <w:rsid w:val="0018559C"/>
    <w:rsid w:val="001950D0"/>
    <w:rsid w:val="001977BF"/>
    <w:rsid w:val="001C24DA"/>
    <w:rsid w:val="001C3D9E"/>
    <w:rsid w:val="001D0AF8"/>
    <w:rsid w:val="001E1188"/>
    <w:rsid w:val="001F10BE"/>
    <w:rsid w:val="001F3C82"/>
    <w:rsid w:val="00221C63"/>
    <w:rsid w:val="0023730C"/>
    <w:rsid w:val="002534B7"/>
    <w:rsid w:val="0027545E"/>
    <w:rsid w:val="0028110C"/>
    <w:rsid w:val="00292EB3"/>
    <w:rsid w:val="002A6ACE"/>
    <w:rsid w:val="002A7B17"/>
    <w:rsid w:val="002C105C"/>
    <w:rsid w:val="002E4CD4"/>
    <w:rsid w:val="002F0847"/>
    <w:rsid w:val="00300731"/>
    <w:rsid w:val="00337316"/>
    <w:rsid w:val="0034288D"/>
    <w:rsid w:val="00345E04"/>
    <w:rsid w:val="003507A1"/>
    <w:rsid w:val="00360157"/>
    <w:rsid w:val="003711FA"/>
    <w:rsid w:val="0037485A"/>
    <w:rsid w:val="00377D27"/>
    <w:rsid w:val="0038416A"/>
    <w:rsid w:val="00390ADD"/>
    <w:rsid w:val="003A6646"/>
    <w:rsid w:val="003B15D8"/>
    <w:rsid w:val="003C797B"/>
    <w:rsid w:val="003E552C"/>
    <w:rsid w:val="00417C3A"/>
    <w:rsid w:val="00422055"/>
    <w:rsid w:val="004478C4"/>
    <w:rsid w:val="0046230E"/>
    <w:rsid w:val="004864B0"/>
    <w:rsid w:val="00487731"/>
    <w:rsid w:val="004B1BBD"/>
    <w:rsid w:val="004B7326"/>
    <w:rsid w:val="004C1832"/>
    <w:rsid w:val="004C23A2"/>
    <w:rsid w:val="004C4AFE"/>
    <w:rsid w:val="004D2C52"/>
    <w:rsid w:val="004D2EE2"/>
    <w:rsid w:val="004D68C0"/>
    <w:rsid w:val="004E26F1"/>
    <w:rsid w:val="00515121"/>
    <w:rsid w:val="0052090A"/>
    <w:rsid w:val="00521C6F"/>
    <w:rsid w:val="005367D1"/>
    <w:rsid w:val="00547530"/>
    <w:rsid w:val="005560B7"/>
    <w:rsid w:val="00567B2B"/>
    <w:rsid w:val="0057159A"/>
    <w:rsid w:val="005730E0"/>
    <w:rsid w:val="0059265C"/>
    <w:rsid w:val="005B7841"/>
    <w:rsid w:val="005C0C95"/>
    <w:rsid w:val="005C37D7"/>
    <w:rsid w:val="005C7C9C"/>
    <w:rsid w:val="005D04D6"/>
    <w:rsid w:val="005D2BB9"/>
    <w:rsid w:val="005D2C27"/>
    <w:rsid w:val="005D6B1B"/>
    <w:rsid w:val="005E4CEE"/>
    <w:rsid w:val="005E63E7"/>
    <w:rsid w:val="005F049B"/>
    <w:rsid w:val="005F6A61"/>
    <w:rsid w:val="00613BB9"/>
    <w:rsid w:val="0062666B"/>
    <w:rsid w:val="0064386D"/>
    <w:rsid w:val="00650A65"/>
    <w:rsid w:val="006671EA"/>
    <w:rsid w:val="00670A17"/>
    <w:rsid w:val="00683185"/>
    <w:rsid w:val="00686B57"/>
    <w:rsid w:val="00690B64"/>
    <w:rsid w:val="00692DF0"/>
    <w:rsid w:val="00693964"/>
    <w:rsid w:val="00697109"/>
    <w:rsid w:val="00697FD4"/>
    <w:rsid w:val="006A08A1"/>
    <w:rsid w:val="006D6084"/>
    <w:rsid w:val="006E15D5"/>
    <w:rsid w:val="006E5B9F"/>
    <w:rsid w:val="006F1EB6"/>
    <w:rsid w:val="00736F40"/>
    <w:rsid w:val="00752AEB"/>
    <w:rsid w:val="00756DD0"/>
    <w:rsid w:val="0075779D"/>
    <w:rsid w:val="007700DA"/>
    <w:rsid w:val="00783F60"/>
    <w:rsid w:val="00786659"/>
    <w:rsid w:val="00787BE5"/>
    <w:rsid w:val="007A43D1"/>
    <w:rsid w:val="007B0179"/>
    <w:rsid w:val="007D74AC"/>
    <w:rsid w:val="007D7CC8"/>
    <w:rsid w:val="007E718C"/>
    <w:rsid w:val="007F437D"/>
    <w:rsid w:val="008030B2"/>
    <w:rsid w:val="00830C0D"/>
    <w:rsid w:val="0084690A"/>
    <w:rsid w:val="00846DD6"/>
    <w:rsid w:val="00850E71"/>
    <w:rsid w:val="008A1E3E"/>
    <w:rsid w:val="008B27F3"/>
    <w:rsid w:val="008C21FA"/>
    <w:rsid w:val="008D03DB"/>
    <w:rsid w:val="008E1298"/>
    <w:rsid w:val="008F0B7E"/>
    <w:rsid w:val="008F2BCE"/>
    <w:rsid w:val="00914289"/>
    <w:rsid w:val="00915111"/>
    <w:rsid w:val="00922CBC"/>
    <w:rsid w:val="009306CA"/>
    <w:rsid w:val="00941BC6"/>
    <w:rsid w:val="0095028E"/>
    <w:rsid w:val="009678DF"/>
    <w:rsid w:val="0097464F"/>
    <w:rsid w:val="009817FC"/>
    <w:rsid w:val="00982E9A"/>
    <w:rsid w:val="00991937"/>
    <w:rsid w:val="009A0D04"/>
    <w:rsid w:val="009A348F"/>
    <w:rsid w:val="009A7BE7"/>
    <w:rsid w:val="009B5271"/>
    <w:rsid w:val="009C778A"/>
    <w:rsid w:val="009E2E91"/>
    <w:rsid w:val="009F435D"/>
    <w:rsid w:val="00A0462A"/>
    <w:rsid w:val="00A23D50"/>
    <w:rsid w:val="00A319A4"/>
    <w:rsid w:val="00A34512"/>
    <w:rsid w:val="00A36634"/>
    <w:rsid w:val="00A44FD6"/>
    <w:rsid w:val="00A4677A"/>
    <w:rsid w:val="00A52491"/>
    <w:rsid w:val="00A53A78"/>
    <w:rsid w:val="00A6107E"/>
    <w:rsid w:val="00AA2BEF"/>
    <w:rsid w:val="00AD23A5"/>
    <w:rsid w:val="00AD3CB6"/>
    <w:rsid w:val="00AD47AB"/>
    <w:rsid w:val="00AD78D4"/>
    <w:rsid w:val="00AF0C14"/>
    <w:rsid w:val="00AF466B"/>
    <w:rsid w:val="00B1081A"/>
    <w:rsid w:val="00B12848"/>
    <w:rsid w:val="00B1784F"/>
    <w:rsid w:val="00B238F3"/>
    <w:rsid w:val="00B30395"/>
    <w:rsid w:val="00B3076B"/>
    <w:rsid w:val="00B4330A"/>
    <w:rsid w:val="00B444C2"/>
    <w:rsid w:val="00B47FB6"/>
    <w:rsid w:val="00B50118"/>
    <w:rsid w:val="00B53C5C"/>
    <w:rsid w:val="00B55A44"/>
    <w:rsid w:val="00B631D4"/>
    <w:rsid w:val="00B7015C"/>
    <w:rsid w:val="00B75294"/>
    <w:rsid w:val="00B82C8B"/>
    <w:rsid w:val="00B9026C"/>
    <w:rsid w:val="00B91B9A"/>
    <w:rsid w:val="00B93B2E"/>
    <w:rsid w:val="00BA6D20"/>
    <w:rsid w:val="00BB476F"/>
    <w:rsid w:val="00BB6205"/>
    <w:rsid w:val="00BD2491"/>
    <w:rsid w:val="00BD756A"/>
    <w:rsid w:val="00BE09C4"/>
    <w:rsid w:val="00BE3EF2"/>
    <w:rsid w:val="00BF1938"/>
    <w:rsid w:val="00BF4E61"/>
    <w:rsid w:val="00BF57C7"/>
    <w:rsid w:val="00C0266A"/>
    <w:rsid w:val="00C05480"/>
    <w:rsid w:val="00C107E2"/>
    <w:rsid w:val="00C23160"/>
    <w:rsid w:val="00C247A9"/>
    <w:rsid w:val="00C379F7"/>
    <w:rsid w:val="00C411D7"/>
    <w:rsid w:val="00C506A0"/>
    <w:rsid w:val="00C60870"/>
    <w:rsid w:val="00C608D8"/>
    <w:rsid w:val="00C61796"/>
    <w:rsid w:val="00C70E22"/>
    <w:rsid w:val="00CA67FA"/>
    <w:rsid w:val="00CC434B"/>
    <w:rsid w:val="00CC70EF"/>
    <w:rsid w:val="00CD4A50"/>
    <w:rsid w:val="00CD6C51"/>
    <w:rsid w:val="00CE2DC9"/>
    <w:rsid w:val="00D1591E"/>
    <w:rsid w:val="00D24936"/>
    <w:rsid w:val="00D456BC"/>
    <w:rsid w:val="00D538D9"/>
    <w:rsid w:val="00D76F2A"/>
    <w:rsid w:val="00D865AA"/>
    <w:rsid w:val="00D954BD"/>
    <w:rsid w:val="00D96C96"/>
    <w:rsid w:val="00DA198D"/>
    <w:rsid w:val="00DA4C9C"/>
    <w:rsid w:val="00DB1A65"/>
    <w:rsid w:val="00DB43E7"/>
    <w:rsid w:val="00E10410"/>
    <w:rsid w:val="00E11407"/>
    <w:rsid w:val="00E216A5"/>
    <w:rsid w:val="00E32A4F"/>
    <w:rsid w:val="00E41537"/>
    <w:rsid w:val="00E6153D"/>
    <w:rsid w:val="00E64EE4"/>
    <w:rsid w:val="00E74B11"/>
    <w:rsid w:val="00E831FD"/>
    <w:rsid w:val="00EB748D"/>
    <w:rsid w:val="00EB7F2B"/>
    <w:rsid w:val="00EC6526"/>
    <w:rsid w:val="00EF786C"/>
    <w:rsid w:val="00F00A2C"/>
    <w:rsid w:val="00F03E6B"/>
    <w:rsid w:val="00F11274"/>
    <w:rsid w:val="00F20965"/>
    <w:rsid w:val="00F20A28"/>
    <w:rsid w:val="00F23AC1"/>
    <w:rsid w:val="00F26A6D"/>
    <w:rsid w:val="00F35328"/>
    <w:rsid w:val="00F36388"/>
    <w:rsid w:val="00F43182"/>
    <w:rsid w:val="00F519B7"/>
    <w:rsid w:val="00F54777"/>
    <w:rsid w:val="00F604FF"/>
    <w:rsid w:val="00F63410"/>
    <w:rsid w:val="00F675F3"/>
    <w:rsid w:val="00F83169"/>
    <w:rsid w:val="00F83420"/>
    <w:rsid w:val="00FA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3B2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93B2E"/>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B93B2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93B2E"/>
    <w:rPr>
      <w:rFonts w:eastAsiaTheme="minorEastAsia"/>
    </w:rPr>
  </w:style>
  <w:style w:type="paragraph" w:styleId="FootnoteText">
    <w:name w:val="footnote text"/>
    <w:basedOn w:val="Normal"/>
    <w:link w:val="FootnoteTextChar"/>
    <w:uiPriority w:val="99"/>
    <w:unhideWhenUsed/>
    <w:rsid w:val="00CE2DC9"/>
    <w:pPr>
      <w:spacing w:after="0" w:line="240" w:lineRule="auto"/>
    </w:pPr>
    <w:rPr>
      <w:sz w:val="20"/>
      <w:szCs w:val="20"/>
    </w:rPr>
  </w:style>
  <w:style w:type="character" w:customStyle="1" w:styleId="FootnoteTextChar">
    <w:name w:val="Footnote Text Char"/>
    <w:basedOn w:val="DefaultParagraphFont"/>
    <w:link w:val="FootnoteText"/>
    <w:uiPriority w:val="99"/>
    <w:rsid w:val="00CE2DC9"/>
    <w:rPr>
      <w:sz w:val="20"/>
      <w:szCs w:val="20"/>
    </w:rPr>
  </w:style>
  <w:style w:type="character" w:styleId="FootnoteReference">
    <w:name w:val="footnote reference"/>
    <w:basedOn w:val="DefaultParagraphFont"/>
    <w:uiPriority w:val="99"/>
    <w:semiHidden/>
    <w:unhideWhenUsed/>
    <w:rsid w:val="00CE2DC9"/>
    <w:rPr>
      <w:vertAlign w:val="superscript"/>
    </w:rPr>
  </w:style>
  <w:style w:type="paragraph" w:styleId="ListParagraph">
    <w:name w:val="List Paragraph"/>
    <w:basedOn w:val="Normal"/>
    <w:uiPriority w:val="34"/>
    <w:qFormat/>
    <w:rsid w:val="00DA198D"/>
    <w:pPr>
      <w:ind w:left="720"/>
      <w:contextualSpacing/>
    </w:pPr>
  </w:style>
  <w:style w:type="paragraph" w:styleId="Header">
    <w:name w:val="header"/>
    <w:basedOn w:val="Normal"/>
    <w:link w:val="HeaderChar"/>
    <w:uiPriority w:val="99"/>
    <w:unhideWhenUsed/>
    <w:rsid w:val="00CD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50"/>
  </w:style>
  <w:style w:type="character" w:customStyle="1" w:styleId="apple-converted-space">
    <w:name w:val="apple-converted-space"/>
    <w:basedOn w:val="DefaultParagraphFont"/>
    <w:rsid w:val="00390ADD"/>
  </w:style>
  <w:style w:type="character" w:styleId="Hyperlink">
    <w:name w:val="Hyperlink"/>
    <w:basedOn w:val="DefaultParagraphFont"/>
    <w:uiPriority w:val="99"/>
    <w:unhideWhenUsed/>
    <w:rsid w:val="008A1E3E"/>
    <w:rPr>
      <w:color w:val="0000FF" w:themeColor="hyperlink"/>
      <w:u w:val="single"/>
    </w:rPr>
  </w:style>
  <w:style w:type="character" w:styleId="CommentReference">
    <w:name w:val="annotation reference"/>
    <w:basedOn w:val="DefaultParagraphFont"/>
    <w:uiPriority w:val="99"/>
    <w:semiHidden/>
    <w:unhideWhenUsed/>
    <w:rsid w:val="00F03E6B"/>
    <w:rPr>
      <w:sz w:val="16"/>
      <w:szCs w:val="16"/>
    </w:rPr>
  </w:style>
  <w:style w:type="paragraph" w:styleId="CommentText">
    <w:name w:val="annotation text"/>
    <w:basedOn w:val="Normal"/>
    <w:link w:val="CommentTextChar"/>
    <w:uiPriority w:val="99"/>
    <w:semiHidden/>
    <w:unhideWhenUsed/>
    <w:rsid w:val="00F03E6B"/>
    <w:pPr>
      <w:spacing w:line="240" w:lineRule="auto"/>
    </w:pPr>
    <w:rPr>
      <w:sz w:val="20"/>
      <w:szCs w:val="20"/>
    </w:rPr>
  </w:style>
  <w:style w:type="character" w:customStyle="1" w:styleId="CommentTextChar">
    <w:name w:val="Comment Text Char"/>
    <w:basedOn w:val="DefaultParagraphFont"/>
    <w:link w:val="CommentText"/>
    <w:uiPriority w:val="99"/>
    <w:semiHidden/>
    <w:rsid w:val="00F03E6B"/>
    <w:rPr>
      <w:sz w:val="20"/>
      <w:szCs w:val="20"/>
    </w:rPr>
  </w:style>
  <w:style w:type="paragraph" w:styleId="CommentSubject">
    <w:name w:val="annotation subject"/>
    <w:basedOn w:val="CommentText"/>
    <w:next w:val="CommentText"/>
    <w:link w:val="CommentSubjectChar"/>
    <w:uiPriority w:val="99"/>
    <w:semiHidden/>
    <w:unhideWhenUsed/>
    <w:rsid w:val="00F03E6B"/>
    <w:rPr>
      <w:b/>
      <w:bCs/>
    </w:rPr>
  </w:style>
  <w:style w:type="character" w:customStyle="1" w:styleId="CommentSubjectChar">
    <w:name w:val="Comment Subject Char"/>
    <w:basedOn w:val="CommentTextChar"/>
    <w:link w:val="CommentSubject"/>
    <w:uiPriority w:val="99"/>
    <w:semiHidden/>
    <w:rsid w:val="00F03E6B"/>
    <w:rPr>
      <w:b/>
      <w:bCs/>
      <w:sz w:val="20"/>
      <w:szCs w:val="20"/>
    </w:rPr>
  </w:style>
  <w:style w:type="paragraph" w:styleId="BalloonText">
    <w:name w:val="Balloon Text"/>
    <w:basedOn w:val="Normal"/>
    <w:link w:val="BalloonTextChar"/>
    <w:uiPriority w:val="99"/>
    <w:semiHidden/>
    <w:unhideWhenUsed/>
    <w:rsid w:val="00F0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6B"/>
    <w:rPr>
      <w:rFonts w:ascii="Tahoma" w:hAnsi="Tahoma" w:cs="Tahoma"/>
      <w:sz w:val="16"/>
      <w:szCs w:val="16"/>
    </w:rPr>
  </w:style>
  <w:style w:type="paragraph" w:customStyle="1" w:styleId="TOCTitle">
    <w:name w:val="TOC Title"/>
    <w:basedOn w:val="Normal"/>
    <w:qFormat/>
    <w:rsid w:val="00C608D8"/>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C608D8"/>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608D8"/>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608D8"/>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608D8"/>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C608D8"/>
    <w:pPr>
      <w:spacing w:after="100"/>
    </w:pPr>
  </w:style>
  <w:style w:type="paragraph" w:styleId="TOC2">
    <w:name w:val="toc 2"/>
    <w:basedOn w:val="Normal"/>
    <w:next w:val="Normal"/>
    <w:autoRedefine/>
    <w:uiPriority w:val="39"/>
    <w:semiHidden/>
    <w:unhideWhenUsed/>
    <w:rsid w:val="00C608D8"/>
    <w:pPr>
      <w:spacing w:after="100"/>
      <w:ind w:left="220"/>
    </w:pPr>
  </w:style>
  <w:style w:type="table" w:styleId="TableGrid">
    <w:name w:val="Table Grid"/>
    <w:basedOn w:val="TableNormal"/>
    <w:uiPriority w:val="59"/>
    <w:rsid w:val="00F60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3B2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93B2E"/>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B93B2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93B2E"/>
    <w:rPr>
      <w:rFonts w:eastAsiaTheme="minorEastAsia"/>
    </w:rPr>
  </w:style>
  <w:style w:type="paragraph" w:styleId="FootnoteText">
    <w:name w:val="footnote text"/>
    <w:basedOn w:val="Normal"/>
    <w:link w:val="FootnoteTextChar"/>
    <w:uiPriority w:val="99"/>
    <w:unhideWhenUsed/>
    <w:rsid w:val="00CE2DC9"/>
    <w:pPr>
      <w:spacing w:after="0" w:line="240" w:lineRule="auto"/>
    </w:pPr>
    <w:rPr>
      <w:sz w:val="20"/>
      <w:szCs w:val="20"/>
    </w:rPr>
  </w:style>
  <w:style w:type="character" w:customStyle="1" w:styleId="FootnoteTextChar">
    <w:name w:val="Footnote Text Char"/>
    <w:basedOn w:val="DefaultParagraphFont"/>
    <w:link w:val="FootnoteText"/>
    <w:uiPriority w:val="99"/>
    <w:rsid w:val="00CE2DC9"/>
    <w:rPr>
      <w:sz w:val="20"/>
      <w:szCs w:val="20"/>
    </w:rPr>
  </w:style>
  <w:style w:type="character" w:styleId="FootnoteReference">
    <w:name w:val="footnote reference"/>
    <w:basedOn w:val="DefaultParagraphFont"/>
    <w:uiPriority w:val="99"/>
    <w:semiHidden/>
    <w:unhideWhenUsed/>
    <w:rsid w:val="00CE2DC9"/>
    <w:rPr>
      <w:vertAlign w:val="superscript"/>
    </w:rPr>
  </w:style>
  <w:style w:type="paragraph" w:styleId="ListParagraph">
    <w:name w:val="List Paragraph"/>
    <w:basedOn w:val="Normal"/>
    <w:uiPriority w:val="34"/>
    <w:qFormat/>
    <w:rsid w:val="00DA198D"/>
    <w:pPr>
      <w:ind w:left="720"/>
      <w:contextualSpacing/>
    </w:pPr>
  </w:style>
  <w:style w:type="paragraph" w:styleId="Header">
    <w:name w:val="header"/>
    <w:basedOn w:val="Normal"/>
    <w:link w:val="HeaderChar"/>
    <w:uiPriority w:val="99"/>
    <w:unhideWhenUsed/>
    <w:rsid w:val="00CD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A50"/>
  </w:style>
  <w:style w:type="character" w:customStyle="1" w:styleId="apple-converted-space">
    <w:name w:val="apple-converted-space"/>
    <w:basedOn w:val="DefaultParagraphFont"/>
    <w:rsid w:val="00390ADD"/>
  </w:style>
  <w:style w:type="character" w:styleId="Hyperlink">
    <w:name w:val="Hyperlink"/>
    <w:basedOn w:val="DefaultParagraphFont"/>
    <w:uiPriority w:val="99"/>
    <w:unhideWhenUsed/>
    <w:rsid w:val="008A1E3E"/>
    <w:rPr>
      <w:color w:val="0000FF" w:themeColor="hyperlink"/>
      <w:u w:val="single"/>
    </w:rPr>
  </w:style>
  <w:style w:type="character" w:styleId="CommentReference">
    <w:name w:val="annotation reference"/>
    <w:basedOn w:val="DefaultParagraphFont"/>
    <w:uiPriority w:val="99"/>
    <w:semiHidden/>
    <w:unhideWhenUsed/>
    <w:rsid w:val="00F03E6B"/>
    <w:rPr>
      <w:sz w:val="16"/>
      <w:szCs w:val="16"/>
    </w:rPr>
  </w:style>
  <w:style w:type="paragraph" w:styleId="CommentText">
    <w:name w:val="annotation text"/>
    <w:basedOn w:val="Normal"/>
    <w:link w:val="CommentTextChar"/>
    <w:uiPriority w:val="99"/>
    <w:semiHidden/>
    <w:unhideWhenUsed/>
    <w:rsid w:val="00F03E6B"/>
    <w:pPr>
      <w:spacing w:line="240" w:lineRule="auto"/>
    </w:pPr>
    <w:rPr>
      <w:sz w:val="20"/>
      <w:szCs w:val="20"/>
    </w:rPr>
  </w:style>
  <w:style w:type="character" w:customStyle="1" w:styleId="CommentTextChar">
    <w:name w:val="Comment Text Char"/>
    <w:basedOn w:val="DefaultParagraphFont"/>
    <w:link w:val="CommentText"/>
    <w:uiPriority w:val="99"/>
    <w:semiHidden/>
    <w:rsid w:val="00F03E6B"/>
    <w:rPr>
      <w:sz w:val="20"/>
      <w:szCs w:val="20"/>
    </w:rPr>
  </w:style>
  <w:style w:type="paragraph" w:styleId="CommentSubject">
    <w:name w:val="annotation subject"/>
    <w:basedOn w:val="CommentText"/>
    <w:next w:val="CommentText"/>
    <w:link w:val="CommentSubjectChar"/>
    <w:uiPriority w:val="99"/>
    <w:semiHidden/>
    <w:unhideWhenUsed/>
    <w:rsid w:val="00F03E6B"/>
    <w:rPr>
      <w:b/>
      <w:bCs/>
    </w:rPr>
  </w:style>
  <w:style w:type="character" w:customStyle="1" w:styleId="CommentSubjectChar">
    <w:name w:val="Comment Subject Char"/>
    <w:basedOn w:val="CommentTextChar"/>
    <w:link w:val="CommentSubject"/>
    <w:uiPriority w:val="99"/>
    <w:semiHidden/>
    <w:rsid w:val="00F03E6B"/>
    <w:rPr>
      <w:b/>
      <w:bCs/>
      <w:sz w:val="20"/>
      <w:szCs w:val="20"/>
    </w:rPr>
  </w:style>
  <w:style w:type="paragraph" w:styleId="BalloonText">
    <w:name w:val="Balloon Text"/>
    <w:basedOn w:val="Normal"/>
    <w:link w:val="BalloonTextChar"/>
    <w:uiPriority w:val="99"/>
    <w:semiHidden/>
    <w:unhideWhenUsed/>
    <w:rsid w:val="00F0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6B"/>
    <w:rPr>
      <w:rFonts w:ascii="Tahoma" w:hAnsi="Tahoma" w:cs="Tahoma"/>
      <w:sz w:val="16"/>
      <w:szCs w:val="16"/>
    </w:rPr>
  </w:style>
  <w:style w:type="paragraph" w:customStyle="1" w:styleId="TOCTitle">
    <w:name w:val="TOC Title"/>
    <w:basedOn w:val="Normal"/>
    <w:qFormat/>
    <w:rsid w:val="00C608D8"/>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C608D8"/>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C608D8"/>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C608D8"/>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C608D8"/>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C608D8"/>
    <w:pPr>
      <w:spacing w:after="100"/>
    </w:pPr>
  </w:style>
  <w:style w:type="paragraph" w:styleId="TOC2">
    <w:name w:val="toc 2"/>
    <w:basedOn w:val="Normal"/>
    <w:next w:val="Normal"/>
    <w:autoRedefine/>
    <w:uiPriority w:val="39"/>
    <w:semiHidden/>
    <w:unhideWhenUsed/>
    <w:rsid w:val="00C608D8"/>
    <w:pPr>
      <w:spacing w:after="100"/>
      <w:ind w:left="220"/>
    </w:pPr>
  </w:style>
  <w:style w:type="table" w:styleId="TableGrid">
    <w:name w:val="Table Grid"/>
    <w:basedOn w:val="TableNormal"/>
    <w:uiPriority w:val="59"/>
    <w:rsid w:val="00F60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61645">
      <w:bodyDiv w:val="1"/>
      <w:marLeft w:val="0"/>
      <w:marRight w:val="0"/>
      <w:marTop w:val="0"/>
      <w:marBottom w:val="0"/>
      <w:divBdr>
        <w:top w:val="none" w:sz="0" w:space="0" w:color="auto"/>
        <w:left w:val="none" w:sz="0" w:space="0" w:color="auto"/>
        <w:bottom w:val="none" w:sz="0" w:space="0" w:color="auto"/>
        <w:right w:val="none" w:sz="0" w:space="0" w:color="auto"/>
      </w:divBdr>
    </w:div>
    <w:div w:id="21201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boehm@BKLlawfirm.com" TargetMode="External"/><Relationship Id="rId18" Type="http://schemas.openxmlformats.org/officeDocument/2006/relationships/hyperlink" Target="mailto:jmaskovyak@ohiopovertylaw.org" TargetMode="External"/><Relationship Id="rId26" Type="http://schemas.openxmlformats.org/officeDocument/2006/relationships/hyperlink" Target="mailto:Cynthia.Brady@Constellation.com" TargetMode="External"/><Relationship Id="rId39" Type="http://schemas.openxmlformats.org/officeDocument/2006/relationships/hyperlink" Target="mailto:mjsatterwhite@aep.com" TargetMode="External"/><Relationship Id="rId3" Type="http://schemas.openxmlformats.org/officeDocument/2006/relationships/styles" Target="styles.xml"/><Relationship Id="rId21" Type="http://schemas.openxmlformats.org/officeDocument/2006/relationships/hyperlink" Target="mailto:burkj@firstenergycorp.com" TargetMode="External"/><Relationship Id="rId34" Type="http://schemas.openxmlformats.org/officeDocument/2006/relationships/hyperlink" Target="mailto:mwalters@proseniors.org" TargetMode="External"/><Relationship Id="rId42" Type="http://schemas.openxmlformats.org/officeDocument/2006/relationships/hyperlink" Target="mailto:srantala@energymarketers.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m@mwncmh.com" TargetMode="External"/><Relationship Id="rId17" Type="http://schemas.openxmlformats.org/officeDocument/2006/relationships/hyperlink" Target="mailto:msmalz@ohiopovertylaw.org" TargetMode="External"/><Relationship Id="rId25" Type="http://schemas.openxmlformats.org/officeDocument/2006/relationships/hyperlink" Target="mailto:elizabeth.stevens@puc.state.oh.us" TargetMode="External"/><Relationship Id="rId33" Type="http://schemas.openxmlformats.org/officeDocument/2006/relationships/hyperlink" Target="mailto:julie.robie@lasclev.org" TargetMode="External"/><Relationship Id="rId38" Type="http://schemas.openxmlformats.org/officeDocument/2006/relationships/hyperlink" Target="mailto:David.Fein@Constellation.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rinebolt@ohiopartners.org" TargetMode="External"/><Relationship Id="rId20" Type="http://schemas.openxmlformats.org/officeDocument/2006/relationships/hyperlink" Target="mailto:william.wright@puc.state.oh.us" TargetMode="External"/><Relationship Id="rId29" Type="http://schemas.openxmlformats.org/officeDocument/2006/relationships/hyperlink" Target="mailto:ejacobs@ablelaw.org" TargetMode="External"/><Relationship Id="rId41" Type="http://schemas.openxmlformats.org/officeDocument/2006/relationships/hyperlink" Target="mailto:cgoodman@energymarketer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darr@mwncmh.com" TargetMode="External"/><Relationship Id="rId24" Type="http://schemas.openxmlformats.org/officeDocument/2006/relationships/hyperlink" Target="mailto:amy.spiller@duke-energy.com" TargetMode="External"/><Relationship Id="rId32" Type="http://schemas.openxmlformats.org/officeDocument/2006/relationships/hyperlink" Target="mailto:nmorgan@lascinti.org" TargetMode="External"/><Relationship Id="rId37" Type="http://schemas.openxmlformats.org/officeDocument/2006/relationships/hyperlink" Target="mailto:gbenjamin@communitylegalaid.org" TargetMode="External"/><Relationship Id="rId40" Type="http://schemas.openxmlformats.org/officeDocument/2006/relationships/hyperlink" Target="mailto:yalami@aep.com" TargetMode="External"/><Relationship Id="rId45" Type="http://schemas.openxmlformats.org/officeDocument/2006/relationships/hyperlink" Target="mailto:Elizabeth.watts@duke-energy.com" TargetMode="External"/><Relationship Id="rId5" Type="http://schemas.openxmlformats.org/officeDocument/2006/relationships/settings" Target="settings.xml"/><Relationship Id="rId15" Type="http://schemas.openxmlformats.org/officeDocument/2006/relationships/hyperlink" Target="mailto:cmooney@ohiopartners.org" TargetMode="External"/><Relationship Id="rId23" Type="http://schemas.openxmlformats.org/officeDocument/2006/relationships/hyperlink" Target="mailto:judi.sobecki@dplinc.com" TargetMode="External"/><Relationship Id="rId28" Type="http://schemas.openxmlformats.org/officeDocument/2006/relationships/hyperlink" Target="mailto:gpoulos@enernoc.com" TargetMode="External"/><Relationship Id="rId36" Type="http://schemas.openxmlformats.org/officeDocument/2006/relationships/hyperlink" Target="mailto:rjohns@oslsa.org" TargetMode="External"/><Relationship Id="rId10" Type="http://schemas.openxmlformats.org/officeDocument/2006/relationships/hyperlink" Target="mailto:serio@occ.state.oh.us" TargetMode="External"/><Relationship Id="rId19" Type="http://schemas.openxmlformats.org/officeDocument/2006/relationships/hyperlink" Target="mailto:gkrassen@bricker.com" TargetMode="External"/><Relationship Id="rId31" Type="http://schemas.openxmlformats.org/officeDocument/2006/relationships/hyperlink" Target="mailto:mwarnock@bricker.com" TargetMode="External"/><Relationship Id="rId44" Type="http://schemas.openxmlformats.org/officeDocument/2006/relationships/hyperlink" Target="mailto:rocco.dascenzo@duke-energy.com" TargetMode="External"/><Relationship Id="rId4" Type="http://schemas.microsoft.com/office/2007/relationships/stylesWithEffects" Target="stylesWithEffects.xml"/><Relationship Id="rId9" Type="http://schemas.openxmlformats.org/officeDocument/2006/relationships/hyperlink" Target="mailto:grady@occ.state.oh.us" TargetMode="External"/><Relationship Id="rId14" Type="http://schemas.openxmlformats.org/officeDocument/2006/relationships/hyperlink" Target="mailto:mkurtz@BKLlawfirm.com" TargetMode="External"/><Relationship Id="rId22" Type="http://schemas.openxmlformats.org/officeDocument/2006/relationships/hyperlink" Target="mailto:stnourse@aep.com" TargetMode="External"/><Relationship Id="rId27" Type="http://schemas.openxmlformats.org/officeDocument/2006/relationships/hyperlink" Target="mailto:jkylercohn@BKLlawfirm.com" TargetMode="External"/><Relationship Id="rId30" Type="http://schemas.openxmlformats.org/officeDocument/2006/relationships/hyperlink" Target="mailto:tsiwo@bricker.com" TargetMode="External"/><Relationship Id="rId35" Type="http://schemas.openxmlformats.org/officeDocument/2006/relationships/hyperlink" Target="mailto:plee@oslsa.org" TargetMode="External"/><Relationship Id="rId43" Type="http://schemas.openxmlformats.org/officeDocument/2006/relationships/hyperlink" Target="mailto:cdunn@firstenergycorp.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0E50-C66A-4B45-8351-3203FFD1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2343</Words>
  <Characters>13356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2</cp:revision>
  <cp:lastPrinted>2014-04-25T18:08:00Z</cp:lastPrinted>
  <dcterms:created xsi:type="dcterms:W3CDTF">2014-04-25T18:20:00Z</dcterms:created>
  <dcterms:modified xsi:type="dcterms:W3CDTF">2014-04-25T18:20:00Z</dcterms:modified>
</cp:coreProperties>
</file>