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C253F" w:rsidRPr="00915AB4" w:rsidP="004C253F" w14:paraId="5127B56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5AB4">
        <w:rPr>
          <w:rFonts w:ascii="Times New Roman" w:eastAsia="Calibri" w:hAnsi="Times New Roman" w:cs="Times New Roman"/>
          <w:b/>
          <w:bCs/>
          <w:sz w:val="24"/>
          <w:szCs w:val="24"/>
        </w:rPr>
        <w:t>BEFORE</w:t>
      </w:r>
    </w:p>
    <w:p w:rsidR="004C253F" w:rsidRPr="00915AB4" w:rsidP="004C253F" w14:paraId="7B67CE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5AB4">
        <w:rPr>
          <w:rFonts w:ascii="Times New Roman" w:eastAsia="Calibri" w:hAnsi="Times New Roman" w:cs="Times New Roman"/>
          <w:b/>
          <w:bCs/>
          <w:sz w:val="24"/>
          <w:szCs w:val="24"/>
        </w:rPr>
        <w:t>THE PUBLIC UTILITIES COMMISSION OF OHIO</w:t>
      </w:r>
    </w:p>
    <w:p w:rsidR="004C253F" w:rsidRPr="00915AB4" w:rsidP="004C253F" w14:paraId="5866C512" w14:textId="77777777">
      <w:pPr>
        <w:pStyle w:val="HTMLPreformatted"/>
        <w:jc w:val="center"/>
        <w:rPr>
          <w:rFonts w:ascii="Times New Roman" w:hAnsi="Times New Roman" w:cs="Times New Roman"/>
          <w:b/>
          <w:bCs/>
          <w:sz w:val="24"/>
          <w:szCs w:val="24"/>
        </w:rPr>
      </w:pPr>
    </w:p>
    <w:tbl>
      <w:tblPr>
        <w:tblW w:w="8730" w:type="dxa"/>
        <w:tblLook w:val="01E0"/>
      </w:tblPr>
      <w:tblGrid>
        <w:gridCol w:w="4230"/>
        <w:gridCol w:w="360"/>
        <w:gridCol w:w="4140"/>
      </w:tblGrid>
      <w:tr w14:paraId="6718E04B" w14:textId="77777777" w:rsidTr="00C271F4">
        <w:tblPrEx>
          <w:tblW w:w="8730" w:type="dxa"/>
          <w:tblLook w:val="01E0"/>
        </w:tblPrEx>
        <w:trPr>
          <w:trHeight w:val="807"/>
        </w:trPr>
        <w:tc>
          <w:tcPr>
            <w:tcW w:w="4230" w:type="dxa"/>
            <w:shd w:val="clear" w:color="auto" w:fill="auto"/>
          </w:tcPr>
          <w:p w:rsidR="004C253F" w:rsidRPr="00915AB4" w:rsidP="00135E33" w14:paraId="79A33A72"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In the Matter of the Application of Ohio Gas Company for Authority to Establish a Right-of-Way Rider.</w:t>
            </w:r>
          </w:p>
        </w:tc>
        <w:tc>
          <w:tcPr>
            <w:tcW w:w="360" w:type="dxa"/>
            <w:shd w:val="clear" w:color="auto" w:fill="auto"/>
          </w:tcPr>
          <w:p w:rsidR="004C253F" w:rsidRPr="00915AB4" w:rsidP="00135E33" w14:paraId="060631BC"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p w:rsidR="004C253F" w:rsidRPr="00915AB4" w:rsidP="00135E33" w14:paraId="36AEB8C3"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p w:rsidR="004C253F" w:rsidRPr="00915AB4" w:rsidP="00135E33" w14:paraId="67F2E4E8"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tc>
        <w:tc>
          <w:tcPr>
            <w:tcW w:w="4140" w:type="dxa"/>
            <w:shd w:val="clear" w:color="auto" w:fill="auto"/>
          </w:tcPr>
          <w:p w:rsidR="004C253F" w:rsidRPr="00915AB4" w:rsidP="00135E33" w14:paraId="6C4490D7" w14:textId="77777777">
            <w:pPr>
              <w:pStyle w:val="HTMLPreformatted"/>
              <w:rPr>
                <w:rFonts w:ascii="Times New Roman" w:hAnsi="Times New Roman" w:cs="Times New Roman"/>
                <w:sz w:val="24"/>
                <w:szCs w:val="24"/>
              </w:rPr>
            </w:pPr>
          </w:p>
          <w:p w:rsidR="004C253F" w:rsidRPr="00915AB4" w:rsidP="00135E33" w14:paraId="1D756BEA"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Case No. 21-943-GA-RDR</w:t>
            </w:r>
          </w:p>
          <w:p w:rsidR="004C253F" w:rsidRPr="00915AB4" w:rsidP="00135E33" w14:paraId="38712157" w14:textId="77777777">
            <w:pPr>
              <w:pStyle w:val="HTMLPreformatted"/>
              <w:rPr>
                <w:rFonts w:ascii="Times New Roman" w:hAnsi="Times New Roman" w:cs="Times New Roman"/>
                <w:sz w:val="24"/>
                <w:szCs w:val="24"/>
              </w:rPr>
            </w:pPr>
          </w:p>
        </w:tc>
      </w:tr>
    </w:tbl>
    <w:p w:rsidR="004C253F" w:rsidRPr="00915AB4" w:rsidP="004C253F" w14:paraId="40618758"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4C253F" w:rsidRPr="00915AB4" w:rsidP="004C253F" w14:paraId="78921C99" w14:textId="77777777">
      <w:pPr>
        <w:autoSpaceDE w:val="0"/>
        <w:autoSpaceDN w:val="0"/>
        <w:adjustRightInd w:val="0"/>
        <w:spacing w:after="0" w:line="240" w:lineRule="auto"/>
        <w:rPr>
          <w:rFonts w:ascii="Times New Roman" w:eastAsia="Calibri" w:hAnsi="Times New Roman" w:cs="Times New Roman"/>
          <w:sz w:val="24"/>
          <w:szCs w:val="24"/>
        </w:rPr>
      </w:pPr>
    </w:p>
    <w:p w:rsidR="004C253F" w:rsidRPr="00915AB4" w:rsidP="004C253F" w14:paraId="18600D6D" w14:textId="77777777">
      <w:pPr>
        <w:widowControl w:val="0"/>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 xml:space="preserve">APPLICATION FOR REHEARING </w:t>
      </w:r>
    </w:p>
    <w:p w:rsidR="004C253F" w:rsidRPr="00915AB4" w:rsidP="004C253F" w14:paraId="37EFBB2E" w14:textId="77777777">
      <w:pPr>
        <w:widowControl w:val="0"/>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BY</w:t>
      </w:r>
    </w:p>
    <w:p w:rsidR="004C253F" w:rsidRPr="00915AB4" w:rsidP="004C253F" w14:paraId="02ECB07A" w14:textId="77777777">
      <w:pPr>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OFFICE OF THE OHIO CONSUMERS’ COUNSEL</w:t>
      </w:r>
    </w:p>
    <w:p w:rsidR="004C253F" w:rsidRPr="00915AB4" w:rsidP="004C253F" w14:paraId="4D3AE6DA"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4C253F" w:rsidRPr="00915AB4" w:rsidP="004C253F" w14:paraId="67B70B51" w14:textId="77777777">
      <w:pPr>
        <w:pStyle w:val="Heading1"/>
      </w:pPr>
    </w:p>
    <w:p w:rsidR="004C253F" w:rsidRPr="00915AB4" w:rsidP="00152A74" w14:paraId="238F83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4C253F" w:rsidRPr="00915AB4" w:rsidP="00152A74" w14:paraId="2E2E6C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4C253F" w:rsidRPr="00915AB4" w:rsidP="00152A74" w14:paraId="04C1BA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4C253F" w:rsidRPr="00915AB4" w:rsidP="004C253F" w14:paraId="59E1CC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4C253F" w:rsidRPr="00915AB4" w:rsidP="00152A74" w14:paraId="78A4D6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4C253F" w:rsidRPr="00915AB4" w:rsidP="00152A74" w14:paraId="1E0E83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4C253F" w:rsidRPr="00915AB4" w:rsidP="004C253F" w14:paraId="2DC4C762" w14:textId="77777777">
      <w:pPr>
        <w:pStyle w:val="BodyTextIndent3"/>
        <w:spacing w:line="240" w:lineRule="auto"/>
        <w:ind w:left="3600" w:right="-672"/>
        <w:rPr>
          <w:szCs w:val="24"/>
        </w:rPr>
      </w:pPr>
      <w:r w:rsidRPr="00915AB4">
        <w:rPr>
          <w:szCs w:val="24"/>
        </w:rPr>
        <w:t>Bruce Weston (0016973)</w:t>
      </w:r>
    </w:p>
    <w:p w:rsidR="004C253F" w:rsidRPr="00915AB4" w:rsidP="004C253F" w14:paraId="7121C467" w14:textId="77777777">
      <w:pPr>
        <w:pStyle w:val="BodyTextIndent3"/>
        <w:spacing w:line="240" w:lineRule="auto"/>
        <w:ind w:left="3600" w:right="-672"/>
        <w:rPr>
          <w:szCs w:val="24"/>
        </w:rPr>
      </w:pPr>
      <w:r w:rsidRPr="00915AB4">
        <w:rPr>
          <w:szCs w:val="24"/>
        </w:rPr>
        <w:t xml:space="preserve">Ohio Consumers’ Counsel </w:t>
      </w:r>
    </w:p>
    <w:p w:rsidR="004C253F" w:rsidRPr="00915AB4" w:rsidP="004C253F" w14:paraId="3778A066" w14:textId="77777777">
      <w:pPr>
        <w:pStyle w:val="BodyTextIndent3"/>
        <w:spacing w:line="240" w:lineRule="auto"/>
        <w:ind w:left="3600" w:right="-672"/>
        <w:rPr>
          <w:szCs w:val="24"/>
        </w:rPr>
      </w:pPr>
    </w:p>
    <w:p w:rsidR="004C253F" w:rsidRPr="00915AB4" w:rsidP="004C253F" w14:paraId="29AE41FF" w14:textId="77777777">
      <w:pPr>
        <w:pStyle w:val="BodyTextIndent3"/>
        <w:spacing w:line="240" w:lineRule="auto"/>
        <w:ind w:left="3600" w:right="-672"/>
        <w:rPr>
          <w:szCs w:val="24"/>
        </w:rPr>
      </w:pPr>
      <w:r w:rsidRPr="00915AB4">
        <w:rPr>
          <w:szCs w:val="24"/>
        </w:rPr>
        <w:t xml:space="preserve">William J. Michael (0070921) </w:t>
      </w:r>
    </w:p>
    <w:p w:rsidR="004C253F" w:rsidRPr="00915AB4" w:rsidP="004C253F" w14:paraId="1D269E6B" w14:textId="77777777">
      <w:pPr>
        <w:pStyle w:val="BodyTextIndent3"/>
        <w:spacing w:line="240" w:lineRule="auto"/>
        <w:ind w:left="3600" w:right="-672"/>
        <w:rPr>
          <w:szCs w:val="24"/>
        </w:rPr>
      </w:pPr>
      <w:r w:rsidRPr="00915AB4">
        <w:rPr>
          <w:szCs w:val="24"/>
        </w:rPr>
        <w:t xml:space="preserve">Counsel of Record </w:t>
      </w:r>
    </w:p>
    <w:p w:rsidR="004C253F" w:rsidRPr="00915AB4" w:rsidP="004C253F" w14:paraId="6D982CFC" w14:textId="77777777">
      <w:pPr>
        <w:pStyle w:val="BodyTextIndent3"/>
        <w:spacing w:line="240" w:lineRule="auto"/>
        <w:ind w:left="3600" w:right="-672"/>
        <w:rPr>
          <w:szCs w:val="24"/>
        </w:rPr>
      </w:pPr>
      <w:r w:rsidRPr="00915AB4">
        <w:rPr>
          <w:szCs w:val="24"/>
        </w:rPr>
        <w:t xml:space="preserve">Ambrosia E. Wilson (0096598) </w:t>
      </w:r>
    </w:p>
    <w:p w:rsidR="004C253F" w:rsidRPr="00915AB4" w:rsidP="004C253F" w14:paraId="0202AFA5" w14:textId="77777777">
      <w:pPr>
        <w:pStyle w:val="BodyTextIndent3"/>
        <w:spacing w:line="240" w:lineRule="auto"/>
        <w:ind w:left="3600" w:right="-672"/>
        <w:rPr>
          <w:szCs w:val="24"/>
        </w:rPr>
      </w:pPr>
      <w:r w:rsidRPr="00915AB4">
        <w:rPr>
          <w:szCs w:val="24"/>
        </w:rPr>
        <w:t xml:space="preserve">Assistant Consumers’ Counsel </w:t>
      </w:r>
    </w:p>
    <w:p w:rsidR="004C253F" w:rsidRPr="00915AB4" w:rsidP="004C253F" w14:paraId="3C18F63A" w14:textId="77777777">
      <w:pPr>
        <w:pStyle w:val="BodyTextIndent3"/>
        <w:spacing w:line="240" w:lineRule="auto"/>
        <w:ind w:left="3600" w:right="-672"/>
        <w:rPr>
          <w:szCs w:val="24"/>
        </w:rPr>
      </w:pPr>
    </w:p>
    <w:p w:rsidR="004C253F" w:rsidRPr="00915AB4" w:rsidP="004C253F" w14:paraId="24AAEC23" w14:textId="77777777">
      <w:pPr>
        <w:pStyle w:val="BodyTextIndent3"/>
        <w:spacing w:line="240" w:lineRule="auto"/>
        <w:ind w:left="3600" w:right="-672"/>
        <w:rPr>
          <w:b/>
          <w:bCs/>
          <w:szCs w:val="24"/>
        </w:rPr>
      </w:pPr>
      <w:r w:rsidRPr="00915AB4">
        <w:rPr>
          <w:b/>
          <w:bCs/>
          <w:szCs w:val="24"/>
        </w:rPr>
        <w:t xml:space="preserve">Office of the Ohio Consumers’ Counsel </w:t>
      </w:r>
    </w:p>
    <w:p w:rsidR="004C253F" w:rsidRPr="00915AB4" w:rsidP="004C253F" w14:paraId="4C31B5C2" w14:textId="77777777">
      <w:pPr>
        <w:pStyle w:val="BodyTextIndent3"/>
        <w:spacing w:line="240" w:lineRule="auto"/>
        <w:ind w:left="3600" w:right="-672"/>
        <w:rPr>
          <w:szCs w:val="24"/>
        </w:rPr>
      </w:pPr>
      <w:r w:rsidRPr="00915AB4">
        <w:rPr>
          <w:szCs w:val="24"/>
        </w:rPr>
        <w:t>65 East State Street, Suite 700</w:t>
      </w:r>
    </w:p>
    <w:p w:rsidR="004C253F" w:rsidRPr="00915AB4" w:rsidP="004C253F" w14:paraId="2A16B26A" w14:textId="77777777">
      <w:pPr>
        <w:pStyle w:val="BodyTextIndent3"/>
        <w:spacing w:line="240" w:lineRule="auto"/>
        <w:ind w:left="3600" w:right="-672"/>
        <w:rPr>
          <w:szCs w:val="24"/>
        </w:rPr>
      </w:pPr>
      <w:r w:rsidRPr="00915AB4">
        <w:rPr>
          <w:szCs w:val="24"/>
        </w:rPr>
        <w:t xml:space="preserve">Columbus, Ohio 43215-4213 </w:t>
      </w:r>
    </w:p>
    <w:p w:rsidR="00915AB4" w:rsidRPr="00915AB4" w:rsidP="00915AB4" w14:paraId="30C15A78" w14:textId="77777777">
      <w:pPr>
        <w:autoSpaceDE w:val="0"/>
        <w:autoSpaceDN w:val="0"/>
        <w:adjustRightInd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Telephone [Michael]: (614) 466-1291</w:t>
      </w:r>
    </w:p>
    <w:p w:rsidR="00915AB4" w:rsidRPr="00915AB4" w:rsidP="00915AB4" w14:paraId="04B88198" w14:textId="77777777">
      <w:pPr>
        <w:autoSpaceDE w:val="0"/>
        <w:autoSpaceDN w:val="0"/>
        <w:adjustRightInd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Telephone [Wilson]: (614) 466-1292</w:t>
      </w:r>
    </w:p>
    <w:p w:rsidR="00915AB4" w:rsidRPr="00915AB4" w:rsidP="00915AB4" w14:paraId="35504916" w14:textId="77777777">
      <w:pPr>
        <w:autoSpaceDE w:val="0"/>
        <w:autoSpaceDN w:val="0"/>
        <w:adjustRightInd w:val="0"/>
        <w:spacing w:after="0" w:line="240" w:lineRule="auto"/>
        <w:ind w:left="4320"/>
        <w:rPr>
          <w:rFonts w:ascii="Times New Roman" w:hAnsi="Times New Roman" w:cs="Times New Roman"/>
          <w:color w:val="0000FF"/>
          <w:sz w:val="24"/>
          <w:szCs w:val="24"/>
        </w:rPr>
      </w:pPr>
      <w:hyperlink r:id="rId6" w:history="1">
        <w:r w:rsidRPr="00915AB4" w:rsidR="000D31D0">
          <w:rPr>
            <w:rStyle w:val="Hyperlink"/>
            <w:rFonts w:ascii="Times New Roman" w:hAnsi="Times New Roman" w:cs="Times New Roman"/>
            <w:color w:val="0000FF"/>
            <w:sz w:val="24"/>
            <w:szCs w:val="24"/>
          </w:rPr>
          <w:t>William.Michael@occ.ohio.gov</w:t>
        </w:r>
      </w:hyperlink>
    </w:p>
    <w:p w:rsidR="00915AB4" w:rsidRPr="00915AB4" w:rsidP="00915AB4" w14:paraId="6410928D" w14:textId="77777777">
      <w:pPr>
        <w:autoSpaceDE w:val="0"/>
        <w:autoSpaceDN w:val="0"/>
        <w:adjustRightInd w:val="0"/>
        <w:spacing w:after="0" w:line="240" w:lineRule="auto"/>
        <w:ind w:left="4320"/>
        <w:rPr>
          <w:rFonts w:ascii="Times New Roman" w:hAnsi="Times New Roman" w:cs="Times New Roman"/>
          <w:color w:val="0000FF"/>
          <w:sz w:val="24"/>
          <w:szCs w:val="24"/>
        </w:rPr>
      </w:pPr>
      <w:hyperlink r:id="rId7" w:history="1">
        <w:r w:rsidRPr="00915AB4" w:rsidR="000D31D0">
          <w:rPr>
            <w:rStyle w:val="Hyperlink"/>
            <w:rFonts w:ascii="Times New Roman" w:hAnsi="Times New Roman" w:cs="Times New Roman"/>
            <w:color w:val="0000FF"/>
            <w:sz w:val="24"/>
            <w:szCs w:val="24"/>
          </w:rPr>
          <w:t>Ambrosia.Wilson@occ.ohio.gov</w:t>
        </w:r>
      </w:hyperlink>
    </w:p>
    <w:p w:rsidR="004C253F" w:rsidRPr="00915AB4" w:rsidP="004C253F" w14:paraId="49EC99EB" w14:textId="43C87930">
      <w:pPr>
        <w:pStyle w:val="BodyTextIndent3"/>
        <w:spacing w:line="240" w:lineRule="auto"/>
        <w:ind w:right="-672" w:firstLine="0"/>
        <w:rPr>
          <w:szCs w:val="24"/>
        </w:rPr>
      </w:pPr>
      <w:r w:rsidRPr="00915AB4">
        <w:rPr>
          <w:szCs w:val="24"/>
        </w:rPr>
        <w:t xml:space="preserve">January </w:t>
      </w:r>
      <w:r w:rsidRPr="00915AB4" w:rsidR="004A75A5">
        <w:rPr>
          <w:szCs w:val="24"/>
        </w:rPr>
        <w:t>14</w:t>
      </w:r>
      <w:r w:rsidRPr="00915AB4">
        <w:rPr>
          <w:szCs w:val="24"/>
        </w:rPr>
        <w:t>, 2022</w:t>
      </w:r>
      <w:r w:rsidRPr="00915AB4">
        <w:rPr>
          <w:szCs w:val="24"/>
        </w:rPr>
        <w:tab/>
      </w:r>
      <w:r w:rsidRPr="00915AB4">
        <w:rPr>
          <w:szCs w:val="24"/>
        </w:rPr>
        <w:tab/>
      </w:r>
      <w:r w:rsidRPr="00915AB4">
        <w:rPr>
          <w:szCs w:val="24"/>
        </w:rPr>
        <w:tab/>
      </w:r>
      <w:r w:rsidRPr="00915AB4">
        <w:rPr>
          <w:szCs w:val="24"/>
        </w:rPr>
        <w:tab/>
        <w:t>(willing to accept service by e-mail)</w:t>
      </w:r>
    </w:p>
    <w:p w:rsidR="004C253F" w:rsidRPr="00915AB4" w:rsidP="00152A74" w14:paraId="67B4F0FB" w14:textId="66BDE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065BCE">
          <w:footerReference w:type="default" r:id="rId8"/>
          <w:pgSz w:w="12240" w:h="15840"/>
          <w:pgMar w:top="1440" w:right="1800" w:bottom="1440" w:left="1800" w:header="720" w:footer="720" w:gutter="0"/>
          <w:cols w:space="720"/>
          <w:docGrid w:linePitch="360"/>
        </w:sectPr>
      </w:pPr>
    </w:p>
    <w:p w:rsidR="00152A74" w:rsidRPr="00915AB4"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5AB4">
        <w:rPr>
          <w:rFonts w:ascii="Times New Roman" w:eastAsia="Calibri" w:hAnsi="Times New Roman" w:cs="Times New Roman"/>
          <w:b/>
          <w:bCs/>
          <w:sz w:val="24"/>
          <w:szCs w:val="24"/>
        </w:rPr>
        <w:t>BEFORE</w:t>
      </w:r>
    </w:p>
    <w:p w:rsidR="00AD677D" w:rsidRPr="00915AB4"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5AB4">
        <w:rPr>
          <w:rFonts w:ascii="Times New Roman" w:eastAsia="Calibri" w:hAnsi="Times New Roman" w:cs="Times New Roman"/>
          <w:b/>
          <w:bCs/>
          <w:sz w:val="24"/>
          <w:szCs w:val="24"/>
        </w:rPr>
        <w:t>THE PUBLIC UTILITIES COMMISSION OF OHIO</w:t>
      </w:r>
    </w:p>
    <w:p w:rsidR="00D20C8D" w:rsidRPr="00915AB4" w:rsidP="00D20C8D" w14:paraId="00D37463" w14:textId="77777777">
      <w:pPr>
        <w:pStyle w:val="HTMLPreformatted"/>
        <w:jc w:val="center"/>
        <w:rPr>
          <w:rFonts w:ascii="Times New Roman" w:hAnsi="Times New Roman" w:cs="Times New Roman"/>
          <w:b/>
          <w:bCs/>
          <w:sz w:val="24"/>
          <w:szCs w:val="24"/>
        </w:rPr>
      </w:pPr>
    </w:p>
    <w:tbl>
      <w:tblPr>
        <w:tblW w:w="8730" w:type="dxa"/>
        <w:tblLook w:val="01E0"/>
      </w:tblPr>
      <w:tblGrid>
        <w:gridCol w:w="4230"/>
        <w:gridCol w:w="360"/>
        <w:gridCol w:w="4140"/>
      </w:tblGrid>
      <w:tr w14:paraId="177E1EF0" w14:textId="77777777" w:rsidTr="00C271F4">
        <w:tblPrEx>
          <w:tblW w:w="8730" w:type="dxa"/>
          <w:tblLook w:val="01E0"/>
        </w:tblPrEx>
        <w:trPr>
          <w:trHeight w:val="807"/>
        </w:trPr>
        <w:tc>
          <w:tcPr>
            <w:tcW w:w="4230" w:type="dxa"/>
            <w:shd w:val="clear" w:color="auto" w:fill="auto"/>
          </w:tcPr>
          <w:p w:rsidR="008C0745" w:rsidRPr="00915AB4" w:rsidP="00135E33" w14:paraId="3B1B8CD0"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In the Matter of the Application of Ohio Gas Company for Authority to Establish a Right-of-Way Rider.</w:t>
            </w:r>
          </w:p>
        </w:tc>
        <w:tc>
          <w:tcPr>
            <w:tcW w:w="360" w:type="dxa"/>
            <w:shd w:val="clear" w:color="auto" w:fill="auto"/>
          </w:tcPr>
          <w:p w:rsidR="008C0745" w:rsidRPr="00915AB4" w:rsidP="00135E33" w14:paraId="2AF5E440"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p w:rsidR="008C0745" w:rsidRPr="00915AB4" w:rsidP="00135E33" w14:paraId="3642392D"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p w:rsidR="008C0745" w:rsidRPr="00915AB4" w:rsidP="00135E33" w14:paraId="25984998"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tc>
        <w:tc>
          <w:tcPr>
            <w:tcW w:w="4140" w:type="dxa"/>
            <w:shd w:val="clear" w:color="auto" w:fill="auto"/>
          </w:tcPr>
          <w:p w:rsidR="008C0745" w:rsidRPr="00915AB4" w:rsidP="00135E33" w14:paraId="5E4C0251" w14:textId="77777777">
            <w:pPr>
              <w:pStyle w:val="HTMLPreformatted"/>
              <w:rPr>
                <w:rFonts w:ascii="Times New Roman" w:hAnsi="Times New Roman" w:cs="Times New Roman"/>
                <w:sz w:val="24"/>
                <w:szCs w:val="24"/>
              </w:rPr>
            </w:pPr>
          </w:p>
          <w:p w:rsidR="008C0745" w:rsidRPr="00915AB4" w:rsidP="00135E33" w14:paraId="2501BCD0"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Case No. 21-943-GA-RDR</w:t>
            </w:r>
          </w:p>
          <w:p w:rsidR="008C0745" w:rsidRPr="00915AB4" w:rsidP="00135E33" w14:paraId="1891412D" w14:textId="77777777">
            <w:pPr>
              <w:pStyle w:val="HTMLPreformatted"/>
              <w:rPr>
                <w:rFonts w:ascii="Times New Roman" w:hAnsi="Times New Roman" w:cs="Times New Roman"/>
                <w:sz w:val="24"/>
                <w:szCs w:val="24"/>
              </w:rPr>
            </w:pPr>
          </w:p>
        </w:tc>
      </w:tr>
    </w:tbl>
    <w:p w:rsidR="00152A74" w:rsidRPr="00915AB4" w:rsidP="00152A74"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915AB4"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EE266E" w:rsidRPr="00915AB4" w:rsidP="00A743CF" w14:paraId="7CA9E78C" w14:textId="7AC313B2">
      <w:pPr>
        <w:widowControl w:val="0"/>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 xml:space="preserve">APPLICATION FOR REHEARING </w:t>
      </w:r>
    </w:p>
    <w:p w:rsidR="00A743CF" w:rsidRPr="00915AB4" w:rsidP="00A743CF" w14:paraId="51EE79C8" w14:textId="7FF61E99">
      <w:pPr>
        <w:widowControl w:val="0"/>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BY</w:t>
      </w:r>
    </w:p>
    <w:p w:rsidR="00EE266E" w:rsidRPr="00915AB4" w:rsidP="00EE266E" w14:paraId="1D24DEDF" w14:textId="77777777">
      <w:pPr>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OFFICE OF THE OHIO CONSUMERS’ COUNSEL</w:t>
      </w:r>
    </w:p>
    <w:p w:rsidR="00152A74" w:rsidRPr="00915AB4" w:rsidP="007633FA"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796B48" w:rsidRPr="00915AB4" w:rsidP="00796B48" w14:paraId="31239A1B"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087E80" w:rsidRPr="00915AB4" w:rsidP="004353CA" w14:paraId="13E3F4BB" w14:textId="4ABDB5DA">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 xml:space="preserve">As </w:t>
      </w:r>
      <w:r w:rsidRPr="00915AB4" w:rsidR="00E25C20">
        <w:rPr>
          <w:rFonts w:ascii="Times New Roman" w:hAnsi="Times New Roman" w:cs="Times New Roman"/>
          <w:sz w:val="24"/>
          <w:szCs w:val="24"/>
        </w:rPr>
        <w:t>OCC has</w:t>
      </w:r>
      <w:r w:rsidRPr="00915AB4">
        <w:rPr>
          <w:rFonts w:ascii="Times New Roman" w:hAnsi="Times New Roman" w:cs="Times New Roman"/>
          <w:sz w:val="24"/>
          <w:szCs w:val="24"/>
        </w:rPr>
        <w:t xml:space="preserve"> long explained, single-issue ratemaking is bad for consumers.</w:t>
      </w:r>
      <w:r w:rsidRPr="00915AB4" w:rsidR="00AF65D5">
        <w:rPr>
          <w:rFonts w:ascii="Times New Roman" w:hAnsi="Times New Roman" w:cs="Times New Roman"/>
          <w:sz w:val="24"/>
          <w:szCs w:val="24"/>
        </w:rPr>
        <w:t xml:space="preserve"> </w:t>
      </w:r>
      <w:r w:rsidRPr="00915AB4" w:rsidR="003C59B7">
        <w:rPr>
          <w:rFonts w:ascii="Times New Roman" w:hAnsi="Times New Roman" w:cs="Times New Roman"/>
          <w:sz w:val="24"/>
          <w:szCs w:val="24"/>
        </w:rPr>
        <w:t>Unfortunately,</w:t>
      </w:r>
      <w:r w:rsidRPr="00915AB4">
        <w:rPr>
          <w:rFonts w:ascii="Times New Roman" w:hAnsi="Times New Roman" w:cs="Times New Roman"/>
          <w:sz w:val="24"/>
          <w:szCs w:val="24"/>
        </w:rPr>
        <w:t xml:space="preserve"> in this case, it has</w:t>
      </w:r>
      <w:r w:rsidRPr="00915AB4" w:rsidR="00205162">
        <w:rPr>
          <w:rFonts w:ascii="Times New Roman" w:hAnsi="Times New Roman" w:cs="Times New Roman"/>
          <w:sz w:val="24"/>
          <w:szCs w:val="24"/>
        </w:rPr>
        <w:t xml:space="preserve"> gotten even worse for consumers</w:t>
      </w:r>
      <w:r w:rsidRPr="00915AB4">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 xml:space="preserve">The PUCO has misapplied a </w:t>
      </w:r>
      <w:r w:rsidRPr="00915AB4" w:rsidR="00205162">
        <w:rPr>
          <w:rFonts w:ascii="Times New Roman" w:hAnsi="Times New Roman" w:cs="Times New Roman"/>
          <w:sz w:val="24"/>
          <w:szCs w:val="24"/>
        </w:rPr>
        <w:t xml:space="preserve">single-issue ratemaking </w:t>
      </w:r>
      <w:r w:rsidRPr="00915AB4">
        <w:rPr>
          <w:rFonts w:ascii="Times New Roman" w:hAnsi="Times New Roman" w:cs="Times New Roman"/>
          <w:sz w:val="24"/>
          <w:szCs w:val="24"/>
        </w:rPr>
        <w:t>statute</w:t>
      </w:r>
      <w:r>
        <w:rPr>
          <w:rStyle w:val="FootnoteReference"/>
          <w:rFonts w:ascii="Times New Roman" w:hAnsi="Times New Roman" w:cs="Times New Roman"/>
          <w:sz w:val="24"/>
          <w:szCs w:val="24"/>
        </w:rPr>
        <w:footnoteReference w:id="2"/>
      </w:r>
      <w:r w:rsidRPr="00915AB4">
        <w:rPr>
          <w:rFonts w:ascii="Times New Roman" w:hAnsi="Times New Roman" w:cs="Times New Roman"/>
          <w:sz w:val="24"/>
          <w:szCs w:val="24"/>
        </w:rPr>
        <w:t xml:space="preserve"> and authorized</w:t>
      </w:r>
      <w:r w:rsidRPr="00915AB4" w:rsidR="00E25C20">
        <w:rPr>
          <w:rFonts w:ascii="Times New Roman" w:hAnsi="Times New Roman" w:cs="Times New Roman"/>
          <w:sz w:val="24"/>
          <w:szCs w:val="24"/>
        </w:rPr>
        <w:t xml:space="preserve"> </w:t>
      </w:r>
      <w:r w:rsidRPr="00915AB4" w:rsidR="003C59B7">
        <w:rPr>
          <w:rFonts w:ascii="Times New Roman" w:hAnsi="Times New Roman" w:cs="Times New Roman"/>
          <w:sz w:val="24"/>
          <w:szCs w:val="24"/>
        </w:rPr>
        <w:t>t</w:t>
      </w:r>
      <w:r w:rsidRPr="00915AB4" w:rsidR="00E25C20">
        <w:rPr>
          <w:rFonts w:ascii="Times New Roman" w:hAnsi="Times New Roman" w:cs="Times New Roman"/>
          <w:sz w:val="24"/>
          <w:szCs w:val="24"/>
        </w:rPr>
        <w:t>he</w:t>
      </w:r>
      <w:r w:rsidRPr="00915AB4">
        <w:rPr>
          <w:rFonts w:ascii="Times New Roman" w:hAnsi="Times New Roman" w:cs="Times New Roman"/>
          <w:sz w:val="24"/>
          <w:szCs w:val="24"/>
        </w:rPr>
        <w:t xml:space="preserve"> Ohio Gas Company </w:t>
      </w:r>
      <w:r w:rsidR="00C41A42">
        <w:rPr>
          <w:rFonts w:ascii="Times New Roman" w:hAnsi="Times New Roman" w:cs="Times New Roman"/>
          <w:sz w:val="24"/>
          <w:szCs w:val="24"/>
        </w:rPr>
        <w:t xml:space="preserve">(“Ohio Gas” or “Utility”) </w:t>
      </w:r>
      <w:r w:rsidRPr="00915AB4">
        <w:rPr>
          <w:rFonts w:ascii="Times New Roman" w:hAnsi="Times New Roman" w:cs="Times New Roman"/>
          <w:sz w:val="24"/>
          <w:szCs w:val="24"/>
        </w:rPr>
        <w:t xml:space="preserve">to charge consumers for capital costs associated with municipal rights-of-way </w:t>
      </w:r>
      <w:r w:rsidRPr="00915AB4" w:rsidR="00205162">
        <w:rPr>
          <w:rFonts w:ascii="Times New Roman" w:hAnsi="Times New Roman" w:cs="Times New Roman"/>
          <w:sz w:val="24"/>
          <w:szCs w:val="24"/>
        </w:rPr>
        <w:t xml:space="preserve">when the </w:t>
      </w:r>
      <w:r w:rsidRPr="00915AB4">
        <w:rPr>
          <w:rFonts w:ascii="Times New Roman" w:hAnsi="Times New Roman" w:cs="Times New Roman"/>
          <w:sz w:val="24"/>
          <w:szCs w:val="24"/>
        </w:rPr>
        <w:t>statute does not permit it to do so.</w:t>
      </w:r>
      <w:r>
        <w:rPr>
          <w:rStyle w:val="FootnoteReference"/>
          <w:rFonts w:ascii="Times New Roman" w:hAnsi="Times New Roman" w:cs="Times New Roman"/>
          <w:sz w:val="24"/>
          <w:szCs w:val="24"/>
        </w:rPr>
        <w:footnoteReference w:id="3"/>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Ohio Gas consumers in Williams, Fulton, Henry, Defiance, Paulding, and Lucas counties</w:t>
      </w:r>
      <w:r w:rsidRPr="00915AB4" w:rsidR="00205162">
        <w:rPr>
          <w:rFonts w:ascii="Times New Roman" w:hAnsi="Times New Roman" w:cs="Times New Roman"/>
          <w:sz w:val="24"/>
          <w:szCs w:val="24"/>
        </w:rPr>
        <w:t xml:space="preserve"> </w:t>
      </w:r>
      <w:r w:rsidR="00C41A42">
        <w:rPr>
          <w:rFonts w:ascii="Times New Roman" w:hAnsi="Times New Roman" w:cs="Times New Roman"/>
          <w:sz w:val="24"/>
          <w:szCs w:val="24"/>
        </w:rPr>
        <w:t xml:space="preserve">are </w:t>
      </w:r>
      <w:r w:rsidRPr="00915AB4" w:rsidR="00205162">
        <w:rPr>
          <w:rFonts w:ascii="Times New Roman" w:hAnsi="Times New Roman" w:cs="Times New Roman"/>
          <w:sz w:val="24"/>
          <w:szCs w:val="24"/>
        </w:rPr>
        <w:t>pay</w:t>
      </w:r>
      <w:r w:rsidR="00C41A42">
        <w:rPr>
          <w:rFonts w:ascii="Times New Roman" w:hAnsi="Times New Roman" w:cs="Times New Roman"/>
          <w:sz w:val="24"/>
          <w:szCs w:val="24"/>
        </w:rPr>
        <w:t xml:space="preserve">ing </w:t>
      </w:r>
      <w:r w:rsidR="00432611">
        <w:rPr>
          <w:rFonts w:ascii="Times New Roman" w:hAnsi="Times New Roman" w:cs="Times New Roman"/>
          <w:sz w:val="24"/>
          <w:szCs w:val="24"/>
        </w:rPr>
        <w:t>un</w:t>
      </w:r>
      <w:r w:rsidR="00C41A42">
        <w:rPr>
          <w:rFonts w:ascii="Times New Roman" w:hAnsi="Times New Roman" w:cs="Times New Roman"/>
          <w:sz w:val="24"/>
          <w:szCs w:val="24"/>
        </w:rPr>
        <w:t xml:space="preserve">just and </w:t>
      </w:r>
      <w:r w:rsidR="00432611">
        <w:rPr>
          <w:rFonts w:ascii="Times New Roman" w:hAnsi="Times New Roman" w:cs="Times New Roman"/>
          <w:sz w:val="24"/>
          <w:szCs w:val="24"/>
        </w:rPr>
        <w:t>un</w:t>
      </w:r>
      <w:r w:rsidR="00C41A42">
        <w:rPr>
          <w:rFonts w:ascii="Times New Roman" w:hAnsi="Times New Roman" w:cs="Times New Roman"/>
          <w:sz w:val="24"/>
          <w:szCs w:val="24"/>
        </w:rPr>
        <w:t xml:space="preserve">reasonable rates </w:t>
      </w:r>
      <w:r w:rsidRPr="00915AB4" w:rsidR="00205162">
        <w:rPr>
          <w:rFonts w:ascii="Times New Roman" w:hAnsi="Times New Roman" w:cs="Times New Roman"/>
          <w:sz w:val="24"/>
          <w:szCs w:val="24"/>
        </w:rPr>
        <w:t xml:space="preserve">as a result of the PUCO’s </w:t>
      </w:r>
      <w:r w:rsidR="00C41A42">
        <w:rPr>
          <w:rFonts w:ascii="Times New Roman" w:hAnsi="Times New Roman" w:cs="Times New Roman"/>
          <w:sz w:val="24"/>
          <w:szCs w:val="24"/>
        </w:rPr>
        <w:t xml:space="preserve">ruling in this proceeding. </w:t>
      </w:r>
    </w:p>
    <w:p w:rsidR="00D713BE" w:rsidRPr="00915AB4" w:rsidP="00D713BE" w14:paraId="4371940A" w14:textId="0FECF601">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The PUCO’s Finding and Order is unreasonable and unlawful because it misapplied the statute.</w:t>
      </w:r>
      <w:r w:rsidRPr="00915AB4" w:rsidR="00655675">
        <w:rPr>
          <w:rFonts w:ascii="Times New Roman" w:hAnsi="Times New Roman" w:cs="Times New Roman"/>
          <w:sz w:val="24"/>
          <w:szCs w:val="24"/>
        </w:rPr>
        <w:t xml:space="preserve"> </w:t>
      </w:r>
      <w:r w:rsidRPr="00915AB4" w:rsidR="002D4B35">
        <w:rPr>
          <w:rFonts w:ascii="Times New Roman" w:hAnsi="Times New Roman" w:cs="Times New Roman"/>
          <w:sz w:val="24"/>
          <w:szCs w:val="24"/>
        </w:rPr>
        <w:t>Accordingly, u</w:t>
      </w:r>
      <w:r w:rsidRPr="00915AB4">
        <w:rPr>
          <w:rFonts w:ascii="Times New Roman" w:hAnsi="Times New Roman" w:cs="Times New Roman"/>
          <w:sz w:val="24"/>
          <w:szCs w:val="24"/>
        </w:rPr>
        <w:t xml:space="preserve">nder R.C. 4903.10, </w:t>
      </w:r>
      <w:r w:rsidRPr="00915AB4" w:rsidR="00094330">
        <w:rPr>
          <w:rFonts w:ascii="Times New Roman" w:hAnsi="Times New Roman" w:cs="Times New Roman"/>
          <w:sz w:val="24"/>
          <w:szCs w:val="24"/>
        </w:rPr>
        <w:t>OCC applies</w:t>
      </w:r>
      <w:r w:rsidRPr="00915AB4">
        <w:rPr>
          <w:rFonts w:ascii="Times New Roman" w:hAnsi="Times New Roman" w:cs="Times New Roman"/>
          <w:sz w:val="24"/>
          <w:szCs w:val="24"/>
        </w:rPr>
        <w:t xml:space="preserve"> for rehearing of the Finding and Order.</w:t>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 xml:space="preserve">As explained more fully in the following memorandum in support, the PUCO’s Finding and Order was unreasonable in the following respect: </w:t>
      </w:r>
    </w:p>
    <w:p w:rsidR="00C271F4" w:rsidP="00D713BE" w14:paraId="56A92C8A" w14:textId="36357996">
      <w:pPr>
        <w:widowControl w:val="0"/>
        <w:ind w:left="720"/>
        <w:rPr>
          <w:rFonts w:ascii="Times New Roman" w:hAnsi="Times New Roman" w:cs="Times New Roman"/>
          <w:sz w:val="24"/>
          <w:szCs w:val="24"/>
        </w:rPr>
      </w:pPr>
      <w:r w:rsidRPr="00915AB4">
        <w:rPr>
          <w:rFonts w:ascii="Times New Roman" w:hAnsi="Times New Roman" w:cs="Times New Roman"/>
          <w:sz w:val="24"/>
          <w:szCs w:val="24"/>
        </w:rPr>
        <w:t>ASSIGNMENT OF ERROR NO. 1: The PUC</w:t>
      </w:r>
      <w:r w:rsidRPr="00915AB4" w:rsidR="00BD1A13">
        <w:rPr>
          <w:rFonts w:ascii="Times New Roman" w:hAnsi="Times New Roman" w:cs="Times New Roman"/>
          <w:sz w:val="24"/>
          <w:szCs w:val="24"/>
        </w:rPr>
        <w:t xml:space="preserve">O’s </w:t>
      </w:r>
      <w:r w:rsidRPr="00915AB4" w:rsidR="00205162">
        <w:rPr>
          <w:rFonts w:ascii="Times New Roman" w:hAnsi="Times New Roman" w:cs="Times New Roman"/>
          <w:sz w:val="24"/>
          <w:szCs w:val="24"/>
        </w:rPr>
        <w:t xml:space="preserve">Finding and Order authorizing Ohio Gas to charge consumers for capital costs associated with municipal rights-of-way is </w:t>
      </w:r>
      <w:r w:rsidR="008003B4">
        <w:rPr>
          <w:rFonts w:ascii="Times New Roman" w:hAnsi="Times New Roman" w:cs="Times New Roman"/>
          <w:sz w:val="24"/>
          <w:szCs w:val="24"/>
        </w:rPr>
        <w:t xml:space="preserve">unreasonable and </w:t>
      </w:r>
      <w:r w:rsidRPr="00915AB4" w:rsidR="00205162">
        <w:rPr>
          <w:rFonts w:ascii="Times New Roman" w:hAnsi="Times New Roman" w:cs="Times New Roman"/>
          <w:sz w:val="24"/>
          <w:szCs w:val="24"/>
        </w:rPr>
        <w:t>unlawful because the statute (R.C. 4939.07) authorizes charging consumers only for expenses</w:t>
      </w:r>
      <w:r w:rsidR="00C135FA">
        <w:rPr>
          <w:rFonts w:ascii="Times New Roman" w:hAnsi="Times New Roman" w:cs="Times New Roman"/>
          <w:sz w:val="24"/>
          <w:szCs w:val="24"/>
        </w:rPr>
        <w:t>.</w:t>
      </w:r>
      <w:r w:rsidRPr="00915AB4" w:rsidR="00205162">
        <w:rPr>
          <w:rFonts w:ascii="Times New Roman" w:hAnsi="Times New Roman" w:cs="Times New Roman"/>
          <w:sz w:val="24"/>
          <w:szCs w:val="24"/>
        </w:rPr>
        <w:t xml:space="preserve"> </w:t>
      </w:r>
    </w:p>
    <w:p w:rsidR="00C271F4" w14:paraId="3C864E0D" w14:textId="77777777">
      <w:pPr>
        <w:rPr>
          <w:rFonts w:ascii="Times New Roman" w:hAnsi="Times New Roman" w:cs="Times New Roman"/>
          <w:sz w:val="24"/>
          <w:szCs w:val="24"/>
        </w:rPr>
      </w:pPr>
      <w:r>
        <w:rPr>
          <w:rFonts w:ascii="Times New Roman" w:hAnsi="Times New Roman" w:cs="Times New Roman"/>
          <w:sz w:val="24"/>
          <w:szCs w:val="24"/>
        </w:rPr>
        <w:br w:type="page"/>
      </w:r>
    </w:p>
    <w:p w:rsidR="00A55BA7" w:rsidRPr="00915AB4" w:rsidP="00310309" w14:paraId="3EC154FD" w14:textId="190DD84C">
      <w:pPr>
        <w:widowControl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Respectfully submitted,</w:t>
      </w:r>
    </w:p>
    <w:p w:rsidR="00FD5310" w:rsidRPr="00915AB4" w:rsidP="00310309" w14:paraId="7B3F610B" w14:textId="77777777">
      <w:pPr>
        <w:widowControl w:val="0"/>
        <w:spacing w:after="0" w:line="240" w:lineRule="auto"/>
        <w:ind w:left="4320"/>
        <w:rPr>
          <w:rFonts w:ascii="Times New Roman" w:hAnsi="Times New Roman" w:cs="Times New Roman"/>
          <w:sz w:val="24"/>
          <w:szCs w:val="24"/>
        </w:rPr>
      </w:pPr>
    </w:p>
    <w:p w:rsidR="00A55BA7" w:rsidRPr="00915AB4" w:rsidP="00310309" w14:paraId="19E6377E" w14:textId="77777777">
      <w:pPr>
        <w:pStyle w:val="Footer"/>
        <w:ind w:left="4320"/>
        <w:rPr>
          <w:rFonts w:ascii="Times New Roman" w:hAnsi="Times New Roman" w:cs="Times New Roman"/>
          <w:sz w:val="24"/>
          <w:szCs w:val="24"/>
        </w:rPr>
      </w:pPr>
      <w:r w:rsidRPr="00915AB4">
        <w:rPr>
          <w:rFonts w:ascii="Times New Roman" w:hAnsi="Times New Roman" w:cs="Times New Roman"/>
          <w:sz w:val="24"/>
          <w:szCs w:val="24"/>
        </w:rPr>
        <w:t>Bruce Weston (0016973)</w:t>
      </w:r>
    </w:p>
    <w:p w:rsidR="00A55BA7" w:rsidRPr="00915AB4" w:rsidP="00310309" w14:paraId="2FEB9E7D"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Ohio Consumers’ Counsel</w:t>
      </w:r>
    </w:p>
    <w:p w:rsidR="00A55BA7" w:rsidRPr="00915AB4" w:rsidP="00310309" w14:paraId="7D2BE059" w14:textId="77777777">
      <w:pPr>
        <w:tabs>
          <w:tab w:val="left" w:pos="4320"/>
        </w:tabs>
        <w:spacing w:after="0" w:line="240" w:lineRule="auto"/>
        <w:ind w:left="4320"/>
        <w:rPr>
          <w:rFonts w:ascii="Times New Roman" w:hAnsi="Times New Roman" w:cs="Times New Roman"/>
          <w:i/>
          <w:sz w:val="24"/>
          <w:szCs w:val="24"/>
          <w:u w:val="single"/>
        </w:rPr>
      </w:pPr>
    </w:p>
    <w:p w:rsidR="00A55BA7" w:rsidRPr="00915AB4" w:rsidP="00310309" w14:paraId="174AA65A" w14:textId="77777777">
      <w:pPr>
        <w:spacing w:after="0" w:line="240" w:lineRule="auto"/>
        <w:ind w:left="4320"/>
        <w:rPr>
          <w:rFonts w:ascii="Times New Roman" w:hAnsi="Times New Roman" w:cs="Times New Roman"/>
          <w:bCs/>
          <w:i/>
          <w:iCs/>
          <w:sz w:val="24"/>
          <w:szCs w:val="24"/>
          <w:u w:val="single"/>
        </w:rPr>
      </w:pPr>
      <w:r w:rsidRPr="00915AB4">
        <w:rPr>
          <w:rFonts w:ascii="Times New Roman" w:hAnsi="Times New Roman" w:cs="Times New Roman"/>
          <w:bCs/>
          <w:i/>
          <w:iCs/>
          <w:sz w:val="24"/>
          <w:szCs w:val="24"/>
          <w:u w:val="single"/>
        </w:rPr>
        <w:t>/s/ William J. Michael</w:t>
      </w:r>
    </w:p>
    <w:p w:rsidR="00A55BA7" w:rsidRPr="00915AB4" w:rsidP="00310309" w14:paraId="25DC9374"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William J. Michael (0070921)</w:t>
      </w:r>
    </w:p>
    <w:p w:rsidR="00A55BA7" w:rsidRPr="00915AB4" w:rsidP="00310309" w14:paraId="1A118AEE"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 xml:space="preserve">Counsel of Record </w:t>
      </w:r>
    </w:p>
    <w:p w:rsidR="00A55BA7" w:rsidRPr="00915AB4" w:rsidP="00310309" w14:paraId="2E0B925F"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Ambrosia E. Wilson (0096598)</w:t>
      </w:r>
    </w:p>
    <w:p w:rsidR="00A55BA7" w:rsidRPr="00915AB4" w:rsidP="00310309" w14:paraId="0CFB0C0C"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Assistant Consumers’ Counsel</w:t>
      </w:r>
    </w:p>
    <w:p w:rsidR="00A55BA7" w:rsidRPr="00915AB4" w:rsidP="00310309" w14:paraId="1609F16B"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ab/>
      </w:r>
    </w:p>
    <w:p w:rsidR="00A55BA7" w:rsidRPr="00915AB4" w:rsidP="00310309" w14:paraId="167F4D2C" w14:textId="77777777">
      <w:pPr>
        <w:spacing w:after="0" w:line="240" w:lineRule="auto"/>
        <w:ind w:left="4320"/>
        <w:rPr>
          <w:rFonts w:ascii="Times New Roman" w:hAnsi="Times New Roman" w:cs="Times New Roman"/>
          <w:b/>
          <w:bCs/>
          <w:sz w:val="24"/>
          <w:szCs w:val="24"/>
        </w:rPr>
      </w:pPr>
      <w:r w:rsidRPr="00915AB4">
        <w:rPr>
          <w:rFonts w:ascii="Times New Roman" w:hAnsi="Times New Roman" w:cs="Times New Roman"/>
          <w:b/>
          <w:bCs/>
          <w:sz w:val="24"/>
          <w:szCs w:val="24"/>
        </w:rPr>
        <w:t>Office of the Ohio Consumers’ Counsel</w:t>
      </w:r>
    </w:p>
    <w:p w:rsidR="00A55BA7" w:rsidRPr="00915AB4" w:rsidP="00310309" w14:paraId="2CC04669" w14:textId="6667AA45">
      <w:pPr>
        <w:spacing w:after="0" w:line="240" w:lineRule="auto"/>
        <w:ind w:left="4320"/>
        <w:rPr>
          <w:rFonts w:ascii="Times New Roman" w:hAnsi="Times New Roman" w:cs="Times New Roman"/>
          <w:b/>
          <w:sz w:val="24"/>
          <w:szCs w:val="24"/>
        </w:rPr>
      </w:pPr>
      <w:r w:rsidRPr="00915AB4">
        <w:rPr>
          <w:rFonts w:ascii="Times New Roman" w:hAnsi="Times New Roman" w:cs="Times New Roman"/>
          <w:sz w:val="24"/>
          <w:szCs w:val="24"/>
        </w:rPr>
        <w:t>65 East State Street, Suite 700</w:t>
      </w:r>
    </w:p>
    <w:p w:rsidR="00A55BA7" w:rsidRPr="00915AB4" w:rsidP="00310309" w14:paraId="6759F12D" w14:textId="77777777">
      <w:pPr>
        <w:spacing w:after="0" w:line="240" w:lineRule="auto"/>
        <w:ind w:left="4320"/>
        <w:rPr>
          <w:rFonts w:ascii="Times New Roman" w:hAnsi="Times New Roman" w:cs="Times New Roman"/>
          <w:b/>
          <w:sz w:val="24"/>
          <w:szCs w:val="24"/>
        </w:rPr>
      </w:pPr>
      <w:r w:rsidRPr="00915AB4">
        <w:rPr>
          <w:rFonts w:ascii="Times New Roman" w:hAnsi="Times New Roman" w:cs="Times New Roman"/>
          <w:sz w:val="24"/>
          <w:szCs w:val="24"/>
        </w:rPr>
        <w:t>Columbus, Ohio 43215-4213</w:t>
      </w:r>
    </w:p>
    <w:p w:rsidR="00A55BA7" w:rsidRPr="00915AB4" w:rsidP="00310309" w14:paraId="00862CAF" w14:textId="77777777">
      <w:pPr>
        <w:autoSpaceDE w:val="0"/>
        <w:autoSpaceDN w:val="0"/>
        <w:adjustRightInd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Telephone [Michael]: (614) 466-1291</w:t>
      </w:r>
    </w:p>
    <w:p w:rsidR="00A55BA7" w:rsidRPr="00915AB4" w:rsidP="00310309" w14:paraId="366CE72D" w14:textId="77777777">
      <w:pPr>
        <w:autoSpaceDE w:val="0"/>
        <w:autoSpaceDN w:val="0"/>
        <w:adjustRightInd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Telephone [Wilson]: (614) 466-1292</w:t>
      </w:r>
    </w:p>
    <w:p w:rsidR="00A55BA7" w:rsidRPr="00915AB4" w:rsidP="00310309" w14:paraId="0AED8CA2" w14:textId="77777777">
      <w:pPr>
        <w:autoSpaceDE w:val="0"/>
        <w:autoSpaceDN w:val="0"/>
        <w:adjustRightInd w:val="0"/>
        <w:spacing w:after="0" w:line="240" w:lineRule="auto"/>
        <w:ind w:left="4320"/>
        <w:rPr>
          <w:rFonts w:ascii="Times New Roman" w:hAnsi="Times New Roman" w:cs="Times New Roman"/>
          <w:color w:val="0000FF"/>
          <w:sz w:val="24"/>
          <w:szCs w:val="24"/>
        </w:rPr>
      </w:pPr>
      <w:hyperlink r:id="rId6" w:history="1">
        <w:r w:rsidRPr="00915AB4" w:rsidR="000D31D0">
          <w:rPr>
            <w:rStyle w:val="Hyperlink"/>
            <w:rFonts w:ascii="Times New Roman" w:hAnsi="Times New Roman" w:cs="Times New Roman"/>
            <w:color w:val="0000FF"/>
            <w:sz w:val="24"/>
            <w:szCs w:val="24"/>
          </w:rPr>
          <w:t>William.Michael@occ.ohio.gov</w:t>
        </w:r>
      </w:hyperlink>
    </w:p>
    <w:p w:rsidR="00A55BA7" w:rsidRPr="00915AB4" w:rsidP="00310309" w14:paraId="5638D547" w14:textId="77777777">
      <w:pPr>
        <w:autoSpaceDE w:val="0"/>
        <w:autoSpaceDN w:val="0"/>
        <w:adjustRightInd w:val="0"/>
        <w:spacing w:after="0" w:line="240" w:lineRule="auto"/>
        <w:ind w:left="4320"/>
        <w:rPr>
          <w:rFonts w:ascii="Times New Roman" w:hAnsi="Times New Roman" w:cs="Times New Roman"/>
          <w:color w:val="0000FF"/>
          <w:sz w:val="24"/>
          <w:szCs w:val="24"/>
        </w:rPr>
      </w:pPr>
      <w:hyperlink r:id="rId7" w:history="1">
        <w:r w:rsidRPr="00915AB4" w:rsidR="000D31D0">
          <w:rPr>
            <w:rStyle w:val="Hyperlink"/>
            <w:rFonts w:ascii="Times New Roman" w:hAnsi="Times New Roman" w:cs="Times New Roman"/>
            <w:color w:val="0000FF"/>
            <w:sz w:val="24"/>
            <w:szCs w:val="24"/>
          </w:rPr>
          <w:t>Ambrosia.Wilson@occ.ohio.gov</w:t>
        </w:r>
      </w:hyperlink>
    </w:p>
    <w:p w:rsidR="00A55BA7" w:rsidRPr="00915AB4" w:rsidP="00310309" w14:paraId="5D5AE7FF"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(willing to accept service by e-mail)</w:t>
      </w:r>
    </w:p>
    <w:p w:rsidR="00560BCF" w:rsidRPr="00915AB4" w:rsidP="00D713BE" w14:paraId="4A892439" w14:textId="77777777">
      <w:pPr>
        <w:widowControl w:val="0"/>
        <w:ind w:left="720"/>
        <w:rPr>
          <w:rFonts w:ascii="Times New Roman" w:hAnsi="Times New Roman" w:cs="Times New Roman"/>
          <w:sz w:val="24"/>
          <w:szCs w:val="24"/>
        </w:rPr>
      </w:pPr>
    </w:p>
    <w:p w:rsidR="00C47AEB" w:rsidRPr="00915AB4" w:rsidP="00D713BE" w14:paraId="7924355E" w14:textId="7D2043F1">
      <w:pPr>
        <w:widowControl w:val="0"/>
        <w:ind w:left="720"/>
        <w:rPr>
          <w:rFonts w:ascii="Times New Roman" w:hAnsi="Times New Roman" w:cs="Times New Roman"/>
          <w:sz w:val="24"/>
          <w:szCs w:val="24"/>
        </w:rPr>
      </w:pPr>
    </w:p>
    <w:p w:rsidR="00C47AEB" w:rsidRPr="00915AB4" w:rsidP="00D713BE" w14:paraId="59DB6ADC" w14:textId="519F72EE">
      <w:pPr>
        <w:widowControl w:val="0"/>
        <w:ind w:left="720"/>
        <w:rPr>
          <w:rFonts w:ascii="Times New Roman" w:hAnsi="Times New Roman" w:cs="Times New Roman"/>
          <w:sz w:val="24"/>
          <w:szCs w:val="24"/>
        </w:rPr>
      </w:pPr>
    </w:p>
    <w:p w:rsidR="002A046C" w:rsidRPr="00915AB4" w:rsidP="00D713BE" w14:paraId="463BD386" w14:textId="77777777">
      <w:pPr>
        <w:widowControl w:val="0"/>
        <w:ind w:left="720"/>
        <w:rPr>
          <w:rFonts w:ascii="Times New Roman" w:hAnsi="Times New Roman" w:cs="Times New Roman"/>
          <w:sz w:val="24"/>
          <w:szCs w:val="24"/>
        </w:rPr>
        <w:sectPr w:rsidSect="00065BCE">
          <w:footerReference w:type="default" r:id="rId9"/>
          <w:pgSz w:w="12240" w:h="15840"/>
          <w:pgMar w:top="1440" w:right="1800" w:bottom="1440" w:left="1800" w:header="720" w:footer="720" w:gutter="0"/>
          <w:pgNumType w:start="1"/>
          <w:cols w:space="720"/>
          <w:docGrid w:linePitch="360"/>
        </w:sectPr>
      </w:pPr>
    </w:p>
    <w:p w:rsidR="00C47AEB" w:rsidRPr="00915AB4" w:rsidP="002A046C" w14:paraId="6D08FBB6" w14:textId="2ED9A8D1">
      <w:pPr>
        <w:widowControl w:val="0"/>
        <w:ind w:left="720"/>
        <w:jc w:val="center"/>
        <w:rPr>
          <w:rFonts w:ascii="Times New Roman" w:hAnsi="Times New Roman" w:cs="Times New Roman"/>
          <w:b/>
          <w:bCs/>
          <w:sz w:val="24"/>
          <w:szCs w:val="24"/>
          <w:u w:val="single"/>
        </w:rPr>
      </w:pPr>
      <w:r w:rsidRPr="00915AB4">
        <w:rPr>
          <w:rFonts w:ascii="Times New Roman" w:hAnsi="Times New Roman" w:cs="Times New Roman"/>
          <w:b/>
          <w:bCs/>
          <w:sz w:val="24"/>
          <w:szCs w:val="24"/>
          <w:u w:val="single"/>
        </w:rPr>
        <w:t>TABLE OF CONTENTS</w:t>
      </w:r>
    </w:p>
    <w:p w:rsidR="00065BCE" w:rsidRPr="00065BCE" w:rsidP="00065BCE" w14:paraId="40F34B2F" w14:textId="7F28C77E">
      <w:pPr>
        <w:widowControl w:val="0"/>
        <w:ind w:left="720"/>
        <w:jc w:val="right"/>
        <w:rPr>
          <w:rFonts w:ascii="Times New Roman" w:hAnsi="Times New Roman" w:cs="Times New Roman"/>
          <w:b/>
          <w:bCs/>
          <w:sz w:val="24"/>
          <w:szCs w:val="24"/>
        </w:rPr>
      </w:pPr>
      <w:r w:rsidRPr="00065BCE">
        <w:rPr>
          <w:rFonts w:ascii="Times New Roman" w:hAnsi="Times New Roman" w:cs="Times New Roman"/>
          <w:b/>
          <w:bCs/>
          <w:sz w:val="24"/>
          <w:szCs w:val="24"/>
        </w:rPr>
        <w:t>PAGE</w:t>
      </w:r>
    </w:p>
    <w:p w:rsidR="0057162C" w14:paraId="2C22F30F" w14:textId="3B7904D0">
      <w:pPr>
        <w:pStyle w:val="TOC1"/>
        <w:rPr>
          <w:rFonts w:asciiTheme="minorHAnsi" w:eastAsiaTheme="minorEastAsia" w:hAnsiTheme="minorHAnsi"/>
          <w:noProof/>
          <w:sz w:val="22"/>
        </w:rPr>
      </w:pPr>
      <w:r>
        <w:rPr>
          <w:rFonts w:cs="Times New Roman"/>
          <w:b/>
          <w:bCs/>
          <w:szCs w:val="24"/>
        </w:rPr>
        <w:fldChar w:fldCharType="begin"/>
      </w:r>
      <w:r>
        <w:rPr>
          <w:rFonts w:cs="Times New Roman"/>
          <w:b/>
          <w:bCs/>
          <w:szCs w:val="24"/>
        </w:rPr>
        <w:instrText xml:space="preserve"> TOC \o "1-3" \h \z \u </w:instrText>
      </w:r>
      <w:r>
        <w:rPr>
          <w:rFonts w:cs="Times New Roman"/>
          <w:b/>
          <w:bCs/>
          <w:szCs w:val="24"/>
        </w:rPr>
        <w:fldChar w:fldCharType="separate"/>
      </w:r>
      <w:hyperlink w:anchor="_Toc92971846" w:history="1">
        <w:r w:rsidRPr="00F5134D">
          <w:rPr>
            <w:rStyle w:val="Hyperlink"/>
            <w:noProof/>
          </w:rPr>
          <w:t>I.</w:t>
        </w:r>
        <w:r>
          <w:rPr>
            <w:rFonts w:asciiTheme="minorHAnsi" w:eastAsiaTheme="minorEastAsia" w:hAnsiTheme="minorHAnsi"/>
            <w:noProof/>
            <w:sz w:val="22"/>
          </w:rPr>
          <w:tab/>
        </w:r>
        <w:r w:rsidRPr="00F5134D">
          <w:rPr>
            <w:rStyle w:val="Hyperlink"/>
            <w:noProof/>
          </w:rPr>
          <w:t>BACKGROUND</w:t>
        </w:r>
        <w:r>
          <w:rPr>
            <w:noProof/>
            <w:webHidden/>
          </w:rPr>
          <w:tab/>
        </w:r>
        <w:r>
          <w:rPr>
            <w:noProof/>
            <w:webHidden/>
          </w:rPr>
          <w:fldChar w:fldCharType="begin"/>
        </w:r>
        <w:r>
          <w:rPr>
            <w:noProof/>
            <w:webHidden/>
          </w:rPr>
          <w:instrText xml:space="preserve"> PAGEREF _Toc92971846 \h </w:instrText>
        </w:r>
        <w:r>
          <w:rPr>
            <w:noProof/>
            <w:webHidden/>
          </w:rPr>
          <w:fldChar w:fldCharType="separate"/>
        </w:r>
        <w:r>
          <w:rPr>
            <w:noProof/>
            <w:webHidden/>
          </w:rPr>
          <w:t>1</w:t>
        </w:r>
        <w:r>
          <w:rPr>
            <w:noProof/>
            <w:webHidden/>
          </w:rPr>
          <w:fldChar w:fldCharType="end"/>
        </w:r>
      </w:hyperlink>
    </w:p>
    <w:p w:rsidR="0057162C" w14:paraId="53D3507A" w14:textId="06459003">
      <w:pPr>
        <w:pStyle w:val="TOC1"/>
        <w:rPr>
          <w:rFonts w:asciiTheme="minorHAnsi" w:eastAsiaTheme="minorEastAsia" w:hAnsiTheme="minorHAnsi"/>
          <w:noProof/>
          <w:sz w:val="22"/>
        </w:rPr>
      </w:pPr>
      <w:hyperlink w:anchor="_Toc92971847" w:history="1">
        <w:r w:rsidRPr="00F5134D" w:rsidR="000D31D0">
          <w:rPr>
            <w:rStyle w:val="Hyperlink"/>
            <w:noProof/>
          </w:rPr>
          <w:t>II.</w:t>
        </w:r>
        <w:r w:rsidR="000D31D0">
          <w:rPr>
            <w:rFonts w:asciiTheme="minorHAnsi" w:eastAsiaTheme="minorEastAsia" w:hAnsiTheme="minorHAnsi"/>
            <w:noProof/>
            <w:sz w:val="22"/>
          </w:rPr>
          <w:tab/>
        </w:r>
        <w:r w:rsidRPr="00F5134D" w:rsidR="000D31D0">
          <w:rPr>
            <w:rStyle w:val="Hyperlink"/>
            <w:noProof/>
          </w:rPr>
          <w:t>MATTERS FOR REHEARING</w:t>
        </w:r>
        <w:r w:rsidR="000D31D0">
          <w:rPr>
            <w:noProof/>
            <w:webHidden/>
          </w:rPr>
          <w:tab/>
        </w:r>
        <w:r w:rsidR="000D31D0">
          <w:rPr>
            <w:noProof/>
            <w:webHidden/>
          </w:rPr>
          <w:fldChar w:fldCharType="begin"/>
        </w:r>
        <w:r w:rsidR="000D31D0">
          <w:rPr>
            <w:noProof/>
            <w:webHidden/>
          </w:rPr>
          <w:instrText xml:space="preserve"> PAGEREF _Toc92971847 \h </w:instrText>
        </w:r>
        <w:r w:rsidR="000D31D0">
          <w:rPr>
            <w:noProof/>
            <w:webHidden/>
          </w:rPr>
          <w:fldChar w:fldCharType="separate"/>
        </w:r>
        <w:r w:rsidR="000D31D0">
          <w:rPr>
            <w:noProof/>
            <w:webHidden/>
          </w:rPr>
          <w:t>2</w:t>
        </w:r>
        <w:r w:rsidR="000D31D0">
          <w:rPr>
            <w:noProof/>
            <w:webHidden/>
          </w:rPr>
          <w:fldChar w:fldCharType="end"/>
        </w:r>
      </w:hyperlink>
    </w:p>
    <w:p w:rsidR="0057162C" w14:paraId="6CC343D7" w14:textId="4010054A">
      <w:pPr>
        <w:pStyle w:val="TOC2"/>
        <w:tabs>
          <w:tab w:val="left" w:pos="1440"/>
        </w:tabs>
        <w:rPr>
          <w:rFonts w:asciiTheme="minorHAnsi" w:eastAsiaTheme="minorEastAsia" w:hAnsiTheme="minorHAnsi"/>
          <w:noProof/>
          <w:sz w:val="22"/>
        </w:rPr>
      </w:pPr>
      <w:hyperlink w:anchor="_Toc92971848" w:history="1">
        <w:r w:rsidRPr="00F5134D" w:rsidR="000D31D0">
          <w:rPr>
            <w:rStyle w:val="Hyperlink"/>
            <w:noProof/>
          </w:rPr>
          <w:t>A.</w:t>
        </w:r>
        <w:r w:rsidR="000D31D0">
          <w:rPr>
            <w:rFonts w:asciiTheme="minorHAnsi" w:eastAsiaTheme="minorEastAsia" w:hAnsiTheme="minorHAnsi"/>
            <w:noProof/>
            <w:sz w:val="22"/>
          </w:rPr>
          <w:tab/>
        </w:r>
        <w:r w:rsidRPr="00F5134D" w:rsidR="000D31D0">
          <w:rPr>
            <w:rStyle w:val="Hyperlink"/>
            <w:noProof/>
          </w:rPr>
          <w:t xml:space="preserve">ASSIGNMENT OF ERROR NO. 1: The PUCO’s Finding and Order authorizing Ohio Gas to charge consumers for capital costs associated with municipal rights-of-way is unreasonable and unlawful because </w:t>
        </w:r>
        <w:r w:rsidR="000D31D0">
          <w:rPr>
            <w:rStyle w:val="Hyperlink"/>
            <w:noProof/>
          </w:rPr>
          <w:br/>
        </w:r>
        <w:r w:rsidRPr="00F5134D" w:rsidR="000D31D0">
          <w:rPr>
            <w:rStyle w:val="Hyperlink"/>
            <w:noProof/>
          </w:rPr>
          <w:t>the statute (R.C. 4939.07) authorizes charging consumers only for expenses.</w:t>
        </w:r>
        <w:r w:rsidR="000D31D0">
          <w:rPr>
            <w:noProof/>
            <w:webHidden/>
          </w:rPr>
          <w:tab/>
        </w:r>
        <w:r w:rsidR="000D31D0">
          <w:rPr>
            <w:noProof/>
            <w:webHidden/>
          </w:rPr>
          <w:fldChar w:fldCharType="begin"/>
        </w:r>
        <w:r w:rsidR="000D31D0">
          <w:rPr>
            <w:noProof/>
            <w:webHidden/>
          </w:rPr>
          <w:instrText xml:space="preserve"> PAGEREF _Toc92971848 \h </w:instrText>
        </w:r>
        <w:r w:rsidR="000D31D0">
          <w:rPr>
            <w:noProof/>
            <w:webHidden/>
          </w:rPr>
          <w:fldChar w:fldCharType="separate"/>
        </w:r>
        <w:r w:rsidR="000D31D0">
          <w:rPr>
            <w:noProof/>
            <w:webHidden/>
          </w:rPr>
          <w:t>2</w:t>
        </w:r>
        <w:r w:rsidR="000D31D0">
          <w:rPr>
            <w:noProof/>
            <w:webHidden/>
          </w:rPr>
          <w:fldChar w:fldCharType="end"/>
        </w:r>
      </w:hyperlink>
    </w:p>
    <w:p w:rsidR="0057162C" w14:paraId="1A0E820C" w14:textId="5ECED9D3">
      <w:pPr>
        <w:pStyle w:val="TOC3"/>
        <w:tabs>
          <w:tab w:val="left" w:pos="2160"/>
        </w:tabs>
        <w:rPr>
          <w:rFonts w:asciiTheme="minorHAnsi" w:eastAsiaTheme="minorEastAsia" w:hAnsiTheme="minorHAnsi"/>
          <w:noProof/>
          <w:sz w:val="22"/>
        </w:rPr>
      </w:pPr>
      <w:hyperlink w:anchor="_Toc92971849" w:history="1">
        <w:r w:rsidRPr="00F5134D" w:rsidR="000D31D0">
          <w:rPr>
            <w:rStyle w:val="Hyperlink"/>
            <w:noProof/>
          </w:rPr>
          <w:t>1.</w:t>
        </w:r>
        <w:r w:rsidR="000D31D0">
          <w:rPr>
            <w:rFonts w:asciiTheme="minorHAnsi" w:eastAsiaTheme="minorEastAsia" w:hAnsiTheme="minorHAnsi"/>
            <w:noProof/>
            <w:sz w:val="22"/>
          </w:rPr>
          <w:tab/>
        </w:r>
        <w:r w:rsidRPr="00F5134D" w:rsidR="000D31D0">
          <w:rPr>
            <w:rStyle w:val="Hyperlink"/>
            <w:noProof/>
          </w:rPr>
          <w:t xml:space="preserve">The PUCO should apply the words in R.C. 4939.07 based on </w:t>
        </w:r>
        <w:r w:rsidR="006D00E2">
          <w:rPr>
            <w:rStyle w:val="Hyperlink"/>
            <w:noProof/>
          </w:rPr>
          <w:br/>
        </w:r>
        <w:r w:rsidRPr="00F5134D" w:rsidR="000D31D0">
          <w:rPr>
            <w:rStyle w:val="Hyperlink"/>
            <w:noProof/>
          </w:rPr>
          <w:t>their meaning in the field of utility regulation, consistent with the General Assembly’s intent.</w:t>
        </w:r>
        <w:r w:rsidR="000D31D0">
          <w:rPr>
            <w:noProof/>
            <w:webHidden/>
          </w:rPr>
          <w:tab/>
        </w:r>
        <w:r w:rsidR="000D31D0">
          <w:rPr>
            <w:noProof/>
            <w:webHidden/>
          </w:rPr>
          <w:fldChar w:fldCharType="begin"/>
        </w:r>
        <w:r w:rsidR="000D31D0">
          <w:rPr>
            <w:noProof/>
            <w:webHidden/>
          </w:rPr>
          <w:instrText xml:space="preserve"> PAGEREF _Toc92971849 \h </w:instrText>
        </w:r>
        <w:r w:rsidR="000D31D0">
          <w:rPr>
            <w:noProof/>
            <w:webHidden/>
          </w:rPr>
          <w:fldChar w:fldCharType="separate"/>
        </w:r>
        <w:r w:rsidR="000D31D0">
          <w:rPr>
            <w:noProof/>
            <w:webHidden/>
          </w:rPr>
          <w:t>2</w:t>
        </w:r>
        <w:r w:rsidR="000D31D0">
          <w:rPr>
            <w:noProof/>
            <w:webHidden/>
          </w:rPr>
          <w:fldChar w:fldCharType="end"/>
        </w:r>
      </w:hyperlink>
    </w:p>
    <w:p w:rsidR="0057162C" w14:paraId="399FD26A" w14:textId="68C95CBF">
      <w:pPr>
        <w:pStyle w:val="TOC3"/>
        <w:tabs>
          <w:tab w:val="left" w:pos="2160"/>
        </w:tabs>
        <w:rPr>
          <w:rFonts w:asciiTheme="minorHAnsi" w:eastAsiaTheme="minorEastAsia" w:hAnsiTheme="minorHAnsi"/>
          <w:noProof/>
          <w:sz w:val="22"/>
        </w:rPr>
      </w:pPr>
      <w:hyperlink w:anchor="_Toc92971850" w:history="1">
        <w:r w:rsidRPr="00F5134D" w:rsidR="000D31D0">
          <w:rPr>
            <w:rStyle w:val="Hyperlink"/>
            <w:noProof/>
          </w:rPr>
          <w:t>2.</w:t>
        </w:r>
        <w:r w:rsidR="000D31D0">
          <w:rPr>
            <w:rFonts w:asciiTheme="minorHAnsi" w:eastAsiaTheme="minorEastAsia" w:hAnsiTheme="minorHAnsi"/>
            <w:noProof/>
            <w:sz w:val="22"/>
          </w:rPr>
          <w:tab/>
        </w:r>
        <w:r w:rsidRPr="00F5134D" w:rsidR="000D31D0">
          <w:rPr>
            <w:rStyle w:val="Hyperlink"/>
            <w:noProof/>
          </w:rPr>
          <w:t xml:space="preserve">To consumers’ detriment, the PUCO made a legal error in </w:t>
        </w:r>
        <w:r w:rsidR="000D31D0">
          <w:rPr>
            <w:rStyle w:val="Hyperlink"/>
            <w:noProof/>
          </w:rPr>
          <w:br/>
        </w:r>
        <w:r w:rsidRPr="00F5134D" w:rsidR="000D31D0">
          <w:rPr>
            <w:rStyle w:val="Hyperlink"/>
            <w:noProof/>
          </w:rPr>
          <w:t xml:space="preserve">applying R.C. 4939.07 to allow Ohio Gas to charge consumers </w:t>
        </w:r>
        <w:r w:rsidR="000D31D0">
          <w:rPr>
            <w:rStyle w:val="Hyperlink"/>
            <w:noProof/>
          </w:rPr>
          <w:br/>
        </w:r>
        <w:r w:rsidRPr="00F5134D" w:rsidR="000D31D0">
          <w:rPr>
            <w:rStyle w:val="Hyperlink"/>
            <w:noProof/>
          </w:rPr>
          <w:t>for capital investment costs associated with municipal rights-of-way.</w:t>
        </w:r>
        <w:r w:rsidR="000D31D0">
          <w:rPr>
            <w:noProof/>
            <w:webHidden/>
          </w:rPr>
          <w:tab/>
        </w:r>
        <w:r w:rsidR="000D31D0">
          <w:rPr>
            <w:noProof/>
            <w:webHidden/>
          </w:rPr>
          <w:fldChar w:fldCharType="begin"/>
        </w:r>
        <w:r w:rsidR="000D31D0">
          <w:rPr>
            <w:noProof/>
            <w:webHidden/>
          </w:rPr>
          <w:instrText xml:space="preserve"> PAGEREF _Toc92971850 \h </w:instrText>
        </w:r>
        <w:r w:rsidR="000D31D0">
          <w:rPr>
            <w:noProof/>
            <w:webHidden/>
          </w:rPr>
          <w:fldChar w:fldCharType="separate"/>
        </w:r>
        <w:r w:rsidR="000D31D0">
          <w:rPr>
            <w:noProof/>
            <w:webHidden/>
          </w:rPr>
          <w:t>3</w:t>
        </w:r>
        <w:r w:rsidR="000D31D0">
          <w:rPr>
            <w:noProof/>
            <w:webHidden/>
          </w:rPr>
          <w:fldChar w:fldCharType="end"/>
        </w:r>
      </w:hyperlink>
    </w:p>
    <w:p w:rsidR="0057162C" w14:paraId="4357EDFF" w14:textId="733E820C">
      <w:pPr>
        <w:pStyle w:val="TOC1"/>
        <w:rPr>
          <w:rFonts w:asciiTheme="minorHAnsi" w:eastAsiaTheme="minorEastAsia" w:hAnsiTheme="minorHAnsi"/>
          <w:noProof/>
          <w:sz w:val="22"/>
        </w:rPr>
      </w:pPr>
      <w:hyperlink w:anchor="_Toc92971851" w:history="1">
        <w:r w:rsidRPr="00F5134D" w:rsidR="000D31D0">
          <w:rPr>
            <w:rStyle w:val="Hyperlink"/>
            <w:noProof/>
          </w:rPr>
          <w:t>III.</w:t>
        </w:r>
        <w:r w:rsidR="000D31D0">
          <w:rPr>
            <w:rFonts w:asciiTheme="minorHAnsi" w:eastAsiaTheme="minorEastAsia" w:hAnsiTheme="minorHAnsi"/>
            <w:noProof/>
            <w:sz w:val="22"/>
          </w:rPr>
          <w:tab/>
        </w:r>
        <w:r w:rsidRPr="00F5134D" w:rsidR="000D31D0">
          <w:rPr>
            <w:rStyle w:val="Hyperlink"/>
            <w:noProof/>
          </w:rPr>
          <w:t>CONCLUSION</w:t>
        </w:r>
        <w:r w:rsidR="000D31D0">
          <w:rPr>
            <w:noProof/>
            <w:webHidden/>
          </w:rPr>
          <w:tab/>
        </w:r>
        <w:r w:rsidR="000D31D0">
          <w:rPr>
            <w:noProof/>
            <w:webHidden/>
          </w:rPr>
          <w:fldChar w:fldCharType="begin"/>
        </w:r>
        <w:r w:rsidR="000D31D0">
          <w:rPr>
            <w:noProof/>
            <w:webHidden/>
          </w:rPr>
          <w:instrText xml:space="preserve"> PAGEREF _Toc92971851 \h </w:instrText>
        </w:r>
        <w:r w:rsidR="000D31D0">
          <w:rPr>
            <w:noProof/>
            <w:webHidden/>
          </w:rPr>
          <w:fldChar w:fldCharType="separate"/>
        </w:r>
        <w:r w:rsidR="000D31D0">
          <w:rPr>
            <w:noProof/>
            <w:webHidden/>
          </w:rPr>
          <w:t>7</w:t>
        </w:r>
        <w:r w:rsidR="000D31D0">
          <w:rPr>
            <w:noProof/>
            <w:webHidden/>
          </w:rPr>
          <w:fldChar w:fldCharType="end"/>
        </w:r>
      </w:hyperlink>
    </w:p>
    <w:p w:rsidR="002A046C" w:rsidRPr="00915AB4" w:rsidP="002A046C" w14:paraId="231FD28E" w14:textId="1F522009">
      <w:pPr>
        <w:widowControl w:val="0"/>
        <w:ind w:left="720"/>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rsidR="002A046C" w:rsidRPr="00915AB4" w:rsidP="002A046C" w14:paraId="0420041B" w14:textId="77777777">
      <w:pPr>
        <w:widowControl w:val="0"/>
        <w:ind w:left="720"/>
        <w:jc w:val="center"/>
        <w:rPr>
          <w:rFonts w:ascii="Times New Roman" w:hAnsi="Times New Roman" w:cs="Times New Roman"/>
          <w:sz w:val="24"/>
          <w:szCs w:val="24"/>
        </w:rPr>
      </w:pPr>
    </w:p>
    <w:p w:rsidR="00C47AEB" w:rsidRPr="00915AB4" w:rsidP="00D713BE" w14:paraId="71758AD5" w14:textId="455BFF45">
      <w:pPr>
        <w:widowControl w:val="0"/>
        <w:ind w:left="720"/>
        <w:rPr>
          <w:rFonts w:ascii="Times New Roman" w:hAnsi="Times New Roman" w:cs="Times New Roman"/>
          <w:sz w:val="24"/>
          <w:szCs w:val="24"/>
        </w:rPr>
      </w:pPr>
    </w:p>
    <w:p w:rsidR="00C47AEB" w:rsidRPr="00915AB4" w:rsidP="00D713BE" w14:paraId="755CD780" w14:textId="5575919B">
      <w:pPr>
        <w:widowControl w:val="0"/>
        <w:ind w:left="720"/>
        <w:rPr>
          <w:rFonts w:ascii="Times New Roman" w:hAnsi="Times New Roman" w:cs="Times New Roman"/>
          <w:sz w:val="24"/>
          <w:szCs w:val="24"/>
        </w:rPr>
      </w:pPr>
    </w:p>
    <w:p w:rsidR="002A046C" w:rsidRPr="00915AB4" w:rsidP="00D713BE" w14:paraId="1A5FC2F3" w14:textId="66C69D5F">
      <w:pPr>
        <w:widowControl w:val="0"/>
        <w:ind w:left="720"/>
        <w:rPr>
          <w:rFonts w:ascii="Times New Roman" w:hAnsi="Times New Roman" w:cs="Times New Roman"/>
          <w:sz w:val="24"/>
          <w:szCs w:val="24"/>
        </w:rPr>
      </w:pPr>
    </w:p>
    <w:p w:rsidR="002A046C" w:rsidRPr="00915AB4" w:rsidP="00D713BE" w14:paraId="6C902F15" w14:textId="726B3635">
      <w:pPr>
        <w:widowControl w:val="0"/>
        <w:ind w:left="720"/>
        <w:rPr>
          <w:rFonts w:ascii="Times New Roman" w:hAnsi="Times New Roman" w:cs="Times New Roman"/>
          <w:sz w:val="24"/>
          <w:szCs w:val="24"/>
        </w:rPr>
      </w:pPr>
    </w:p>
    <w:p w:rsidR="002A046C" w:rsidRPr="00915AB4" w:rsidP="00D713BE" w14:paraId="160B7994" w14:textId="5143F303">
      <w:pPr>
        <w:widowControl w:val="0"/>
        <w:ind w:left="720"/>
        <w:rPr>
          <w:rFonts w:ascii="Times New Roman" w:hAnsi="Times New Roman" w:cs="Times New Roman"/>
          <w:sz w:val="24"/>
          <w:szCs w:val="24"/>
        </w:rPr>
      </w:pPr>
    </w:p>
    <w:p w:rsidR="002A046C" w:rsidRPr="00915AB4" w:rsidP="00D713BE" w14:paraId="36CEA889" w14:textId="31245F92">
      <w:pPr>
        <w:widowControl w:val="0"/>
        <w:ind w:left="720"/>
        <w:rPr>
          <w:rFonts w:ascii="Times New Roman" w:hAnsi="Times New Roman" w:cs="Times New Roman"/>
          <w:sz w:val="24"/>
          <w:szCs w:val="24"/>
        </w:rPr>
      </w:pPr>
    </w:p>
    <w:p w:rsidR="002A046C" w:rsidRPr="00915AB4" w:rsidP="00D713BE" w14:paraId="5B7328AC" w14:textId="6BEC3702">
      <w:pPr>
        <w:widowControl w:val="0"/>
        <w:ind w:left="720"/>
        <w:rPr>
          <w:rFonts w:ascii="Times New Roman" w:hAnsi="Times New Roman" w:cs="Times New Roman"/>
          <w:sz w:val="24"/>
          <w:szCs w:val="24"/>
        </w:rPr>
      </w:pPr>
    </w:p>
    <w:p w:rsidR="002A046C" w:rsidRPr="00915AB4" w:rsidP="00D713BE" w14:paraId="182704B5" w14:textId="77777777">
      <w:pPr>
        <w:widowControl w:val="0"/>
        <w:ind w:left="720"/>
        <w:rPr>
          <w:rFonts w:ascii="Times New Roman" w:hAnsi="Times New Roman" w:cs="Times New Roman"/>
          <w:sz w:val="24"/>
          <w:szCs w:val="24"/>
        </w:rPr>
        <w:sectPr w:rsidSect="00065BCE">
          <w:headerReference w:type="default" r:id="rId10"/>
          <w:pgSz w:w="12240" w:h="15840"/>
          <w:pgMar w:top="1440" w:right="1800" w:bottom="1440" w:left="1800" w:header="720" w:footer="720" w:gutter="0"/>
          <w:pgNumType w:fmt="lowerRoman" w:start="1"/>
          <w:cols w:space="720"/>
          <w:docGrid w:linePitch="360"/>
        </w:sectPr>
      </w:pPr>
    </w:p>
    <w:p w:rsidR="00BB35FD" w:rsidRPr="00915AB4" w:rsidP="00BB35FD" w14:paraId="3BFBA1C7" w14:textId="2E9B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5AB4">
        <w:rPr>
          <w:rFonts w:ascii="Times New Roman" w:eastAsia="Calibri" w:hAnsi="Times New Roman" w:cs="Times New Roman"/>
          <w:b/>
          <w:bCs/>
          <w:sz w:val="24"/>
          <w:szCs w:val="24"/>
        </w:rPr>
        <w:t>BEFORE</w:t>
      </w:r>
    </w:p>
    <w:p w:rsidR="00BB35FD" w:rsidRPr="00915AB4" w:rsidP="00BB35FD" w14:paraId="3F7A24C9" w14:textId="0BBC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5AB4">
        <w:rPr>
          <w:rFonts w:ascii="Times New Roman" w:eastAsia="Calibri" w:hAnsi="Times New Roman" w:cs="Times New Roman"/>
          <w:b/>
          <w:bCs/>
          <w:sz w:val="24"/>
          <w:szCs w:val="24"/>
        </w:rPr>
        <w:t>THE PUBLIC UTILITIES COMMISSION OF OHIO</w:t>
      </w:r>
    </w:p>
    <w:p w:rsidR="00A55BA7" w:rsidRPr="00915AB4" w:rsidP="00BB35FD" w14:paraId="499473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8730" w:type="dxa"/>
        <w:tblLook w:val="01E0"/>
      </w:tblPr>
      <w:tblGrid>
        <w:gridCol w:w="4230"/>
        <w:gridCol w:w="450"/>
        <w:gridCol w:w="4050"/>
      </w:tblGrid>
      <w:tr w14:paraId="62075D9F" w14:textId="77777777" w:rsidTr="00C271F4">
        <w:tblPrEx>
          <w:tblW w:w="8730" w:type="dxa"/>
          <w:tblLook w:val="01E0"/>
        </w:tblPrEx>
        <w:trPr>
          <w:trHeight w:val="807"/>
        </w:trPr>
        <w:tc>
          <w:tcPr>
            <w:tcW w:w="4230" w:type="dxa"/>
            <w:shd w:val="clear" w:color="auto" w:fill="auto"/>
          </w:tcPr>
          <w:p w:rsidR="008C0745" w:rsidRPr="00915AB4" w:rsidP="00135E33" w14:paraId="7DAFE635"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In the Matter of the Application of Ohio Gas Company for Authority to Establish a Right-of-Way Rider.</w:t>
            </w:r>
          </w:p>
        </w:tc>
        <w:tc>
          <w:tcPr>
            <w:tcW w:w="450" w:type="dxa"/>
            <w:shd w:val="clear" w:color="auto" w:fill="auto"/>
          </w:tcPr>
          <w:p w:rsidR="008C0745" w:rsidRPr="00915AB4" w:rsidP="00135E33" w14:paraId="601F879F"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p w:rsidR="008C0745" w:rsidRPr="00915AB4" w:rsidP="00135E33" w14:paraId="34A2CF15"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p w:rsidR="008C0745" w:rsidRPr="00915AB4" w:rsidP="00135E33" w14:paraId="64EF16D1"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w:t>
            </w:r>
          </w:p>
        </w:tc>
        <w:tc>
          <w:tcPr>
            <w:tcW w:w="4050" w:type="dxa"/>
            <w:shd w:val="clear" w:color="auto" w:fill="auto"/>
          </w:tcPr>
          <w:p w:rsidR="008C0745" w:rsidRPr="00915AB4" w:rsidP="00135E33" w14:paraId="434B46FD" w14:textId="77777777">
            <w:pPr>
              <w:pStyle w:val="HTMLPreformatted"/>
              <w:rPr>
                <w:rFonts w:ascii="Times New Roman" w:hAnsi="Times New Roman" w:cs="Times New Roman"/>
                <w:sz w:val="24"/>
                <w:szCs w:val="24"/>
              </w:rPr>
            </w:pPr>
          </w:p>
          <w:p w:rsidR="008C0745" w:rsidRPr="00915AB4" w:rsidP="00135E33" w14:paraId="39EF2370" w14:textId="77777777">
            <w:pPr>
              <w:pStyle w:val="HTMLPreformatted"/>
              <w:rPr>
                <w:rFonts w:ascii="Times New Roman" w:hAnsi="Times New Roman" w:cs="Times New Roman"/>
                <w:sz w:val="24"/>
                <w:szCs w:val="24"/>
              </w:rPr>
            </w:pPr>
            <w:r w:rsidRPr="00915AB4">
              <w:rPr>
                <w:rFonts w:ascii="Times New Roman" w:hAnsi="Times New Roman" w:cs="Times New Roman"/>
                <w:sz w:val="24"/>
                <w:szCs w:val="24"/>
              </w:rPr>
              <w:t>Case No. 21-943-GA-RDR</w:t>
            </w:r>
          </w:p>
          <w:p w:rsidR="008C0745" w:rsidRPr="00915AB4" w:rsidP="00135E33" w14:paraId="02145B83" w14:textId="77777777">
            <w:pPr>
              <w:pStyle w:val="HTMLPreformatted"/>
              <w:rPr>
                <w:rFonts w:ascii="Times New Roman" w:hAnsi="Times New Roman" w:cs="Times New Roman"/>
                <w:sz w:val="24"/>
                <w:szCs w:val="24"/>
              </w:rPr>
            </w:pPr>
          </w:p>
        </w:tc>
      </w:tr>
    </w:tbl>
    <w:p w:rsidR="00BB35FD" w:rsidRPr="00915AB4" w:rsidP="00BB35FD" w14:paraId="01EB7D14"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BB35FD" w:rsidRPr="00915AB4" w:rsidP="00BB35FD" w14:paraId="422A251C" w14:textId="77777777">
      <w:pPr>
        <w:autoSpaceDE w:val="0"/>
        <w:autoSpaceDN w:val="0"/>
        <w:adjustRightInd w:val="0"/>
        <w:spacing w:after="0" w:line="240" w:lineRule="auto"/>
        <w:rPr>
          <w:rFonts w:ascii="Times New Roman" w:eastAsia="Calibri" w:hAnsi="Times New Roman" w:cs="Times New Roman"/>
          <w:sz w:val="24"/>
          <w:szCs w:val="24"/>
        </w:rPr>
      </w:pPr>
    </w:p>
    <w:p w:rsidR="00BB35FD" w:rsidRPr="00915AB4" w:rsidP="00BB35FD" w14:paraId="65DE6988" w14:textId="268459B6">
      <w:pPr>
        <w:widowControl w:val="0"/>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 xml:space="preserve">MEMORANDUM IN SUPPORT OF APPLICATION FOR REHEARING </w:t>
      </w:r>
    </w:p>
    <w:p w:rsidR="00BB35FD" w:rsidRPr="00915AB4" w:rsidP="00BB35FD" w14:paraId="20836664" w14:textId="77777777">
      <w:pPr>
        <w:widowControl w:val="0"/>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BY</w:t>
      </w:r>
    </w:p>
    <w:p w:rsidR="00BB35FD" w:rsidRPr="00915AB4" w:rsidP="00BB35FD" w14:paraId="6BFBD7F4" w14:textId="77777777">
      <w:pPr>
        <w:spacing w:after="0" w:line="240" w:lineRule="auto"/>
        <w:jc w:val="center"/>
        <w:rPr>
          <w:rFonts w:ascii="Times New Roman" w:hAnsi="Times New Roman" w:cs="Times New Roman"/>
          <w:b/>
          <w:sz w:val="24"/>
          <w:szCs w:val="24"/>
        </w:rPr>
      </w:pPr>
      <w:r w:rsidRPr="00915AB4">
        <w:rPr>
          <w:rFonts w:ascii="Times New Roman" w:hAnsi="Times New Roman" w:cs="Times New Roman"/>
          <w:b/>
          <w:sz w:val="24"/>
          <w:szCs w:val="24"/>
        </w:rPr>
        <w:t>OFFICE OF THE OHIO CONSUMERS’ COUNSEL</w:t>
      </w:r>
    </w:p>
    <w:p w:rsidR="00BB35FD" w:rsidRPr="00915AB4" w:rsidP="00BB35FD" w14:paraId="37988C6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FD5310" w:rsidRPr="00915AB4" w:rsidP="008C0745" w14:paraId="3EF11E59" w14:textId="77777777">
      <w:pPr>
        <w:pStyle w:val="Heading1"/>
        <w:spacing w:after="0"/>
      </w:pPr>
    </w:p>
    <w:p w:rsidR="00BB35FD" w:rsidRPr="00915AB4" w:rsidP="00FD5310" w14:paraId="765C710D" w14:textId="3BFB0378">
      <w:pPr>
        <w:pStyle w:val="Heading1"/>
      </w:pPr>
      <w:bookmarkStart w:id="0" w:name="_Toc92362047"/>
      <w:bookmarkStart w:id="1" w:name="_Toc92362627"/>
      <w:bookmarkStart w:id="2" w:name="_Toc92971846"/>
      <w:r w:rsidRPr="00915AB4">
        <w:t>I.</w:t>
      </w:r>
      <w:r w:rsidRPr="00915AB4">
        <w:tab/>
      </w:r>
      <w:r w:rsidRPr="00915AB4" w:rsidR="00024B4B">
        <w:t>BACKGROUND</w:t>
      </w:r>
      <w:bookmarkEnd w:id="0"/>
      <w:bookmarkEnd w:id="1"/>
      <w:bookmarkEnd w:id="2"/>
    </w:p>
    <w:p w:rsidR="00D85D1D" w:rsidP="00C271F4" w14:paraId="1E2A0AB1" w14:textId="00E120D9">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 xml:space="preserve">Under a single-issue ratemaking statute (R.C. 4939.07) that </w:t>
      </w:r>
      <w:r w:rsidR="00432611">
        <w:rPr>
          <w:rFonts w:ascii="Times New Roman" w:hAnsi="Times New Roman" w:cs="Times New Roman"/>
          <w:sz w:val="24"/>
          <w:szCs w:val="24"/>
        </w:rPr>
        <w:t xml:space="preserve">seemingly </w:t>
      </w:r>
      <w:r w:rsidRPr="00915AB4">
        <w:rPr>
          <w:rFonts w:ascii="Times New Roman" w:hAnsi="Times New Roman" w:cs="Times New Roman"/>
          <w:sz w:val="24"/>
          <w:szCs w:val="24"/>
        </w:rPr>
        <w:t>has never before been used by a natural gas utility, Ohio Gas asked the PUCO for authority to charge consumers for capital costs associated with municipal rights-of-way.</w:t>
      </w:r>
      <w:r>
        <w:rPr>
          <w:rStyle w:val="FootnoteReference"/>
          <w:rFonts w:ascii="Times New Roman" w:hAnsi="Times New Roman" w:cs="Times New Roman"/>
          <w:sz w:val="24"/>
          <w:szCs w:val="24"/>
        </w:rPr>
        <w:footnoteReference w:id="4"/>
      </w:r>
      <w:r w:rsidRPr="00915AB4">
        <w:rPr>
          <w:rFonts w:ascii="Times New Roman" w:hAnsi="Times New Roman" w:cs="Times New Roman"/>
          <w:sz w:val="24"/>
          <w:szCs w:val="24"/>
        </w:rPr>
        <w:t xml:space="preserve"> The PUCO Staff issued its Staff Report on November 22, 2021 and recommended the PUCO approve the application with modification</w:t>
      </w:r>
      <w:r w:rsidRPr="00915AB4" w:rsidR="00E93807">
        <w:rPr>
          <w:rFonts w:ascii="Times New Roman" w:hAnsi="Times New Roman" w:cs="Times New Roman"/>
          <w:sz w:val="24"/>
          <w:szCs w:val="24"/>
        </w:rPr>
        <w:t>s</w:t>
      </w:r>
      <w:r w:rsidRPr="00915AB4">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915AB4" w:rsidR="00655675">
        <w:rPr>
          <w:rFonts w:ascii="Times New Roman" w:hAnsi="Times New Roman" w:cs="Times New Roman"/>
          <w:sz w:val="24"/>
          <w:szCs w:val="24"/>
        </w:rPr>
        <w:t xml:space="preserve"> </w:t>
      </w:r>
    </w:p>
    <w:p w:rsidR="00AF4FFB" w:rsidRPr="00915AB4" w:rsidP="00A44345" w14:paraId="4919B535" w14:textId="7294745C">
      <w:pPr>
        <w:spacing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 xml:space="preserve">Less than a month later, the PUCO approved </w:t>
      </w:r>
      <w:r w:rsidR="00C135FA">
        <w:rPr>
          <w:rFonts w:ascii="Times New Roman" w:hAnsi="Times New Roman" w:cs="Times New Roman"/>
          <w:sz w:val="24"/>
          <w:szCs w:val="24"/>
        </w:rPr>
        <w:t xml:space="preserve">(with modification) </w:t>
      </w:r>
      <w:r w:rsidRPr="00915AB4">
        <w:rPr>
          <w:rFonts w:ascii="Times New Roman" w:hAnsi="Times New Roman" w:cs="Times New Roman"/>
          <w:sz w:val="24"/>
          <w:szCs w:val="24"/>
        </w:rPr>
        <w:t>Ohio Gas’s application to charge consumers for capital costs associated with municipal rights-of-way</w:t>
      </w:r>
      <w:r w:rsidR="00D85D1D">
        <w:rPr>
          <w:rFonts w:ascii="Times New Roman" w:hAnsi="Times New Roman" w:cs="Times New Roman"/>
          <w:sz w:val="24"/>
          <w:szCs w:val="24"/>
        </w:rPr>
        <w:t>.</w:t>
      </w:r>
      <w:r w:rsidRPr="00915AB4">
        <w:rPr>
          <w:rFonts w:ascii="Times New Roman" w:hAnsi="Times New Roman" w:cs="Times New Roman"/>
          <w:sz w:val="24"/>
          <w:szCs w:val="24"/>
        </w:rPr>
        <w:t xml:space="preserve"> </w:t>
      </w:r>
      <w:r w:rsidRPr="00915AB4" w:rsidR="00516F7E">
        <w:rPr>
          <w:rFonts w:ascii="Times New Roman" w:hAnsi="Times New Roman" w:cs="Times New Roman"/>
          <w:sz w:val="24"/>
          <w:szCs w:val="24"/>
        </w:rPr>
        <w:t xml:space="preserve">Consumer protection requires that </w:t>
      </w:r>
      <w:r w:rsidRPr="00915AB4">
        <w:rPr>
          <w:rFonts w:ascii="Times New Roman" w:hAnsi="Times New Roman" w:cs="Times New Roman"/>
          <w:sz w:val="24"/>
          <w:szCs w:val="24"/>
        </w:rPr>
        <w:t>the PUCO grant rehearing.</w:t>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It made a legal error in applying the statute.</w:t>
      </w:r>
      <w:r w:rsidRPr="00915AB4" w:rsidR="00655675">
        <w:rPr>
          <w:rFonts w:ascii="Times New Roman" w:hAnsi="Times New Roman" w:cs="Times New Roman"/>
          <w:sz w:val="24"/>
          <w:szCs w:val="24"/>
        </w:rPr>
        <w:t xml:space="preserve"> </w:t>
      </w:r>
      <w:r w:rsidRPr="00915AB4" w:rsidR="00516F7E">
        <w:rPr>
          <w:rFonts w:ascii="Times New Roman" w:hAnsi="Times New Roman" w:cs="Times New Roman"/>
          <w:sz w:val="24"/>
          <w:szCs w:val="24"/>
        </w:rPr>
        <w:t xml:space="preserve">Ohio Gas’s application </w:t>
      </w:r>
      <w:r w:rsidRPr="00915AB4">
        <w:rPr>
          <w:rFonts w:ascii="Times New Roman" w:hAnsi="Times New Roman" w:cs="Times New Roman"/>
          <w:sz w:val="24"/>
          <w:szCs w:val="24"/>
        </w:rPr>
        <w:t>should have</w:t>
      </w:r>
      <w:r w:rsidRPr="00915AB4" w:rsidR="00516F7E">
        <w:rPr>
          <w:rFonts w:ascii="Times New Roman" w:hAnsi="Times New Roman" w:cs="Times New Roman"/>
          <w:sz w:val="24"/>
          <w:szCs w:val="24"/>
        </w:rPr>
        <w:t xml:space="preserve"> </w:t>
      </w:r>
      <w:r w:rsidRPr="00915AB4">
        <w:rPr>
          <w:rFonts w:ascii="Times New Roman" w:hAnsi="Times New Roman" w:cs="Times New Roman"/>
          <w:sz w:val="24"/>
          <w:szCs w:val="24"/>
        </w:rPr>
        <w:t xml:space="preserve">been </w:t>
      </w:r>
      <w:r w:rsidRPr="00915AB4" w:rsidR="00516F7E">
        <w:rPr>
          <w:rFonts w:ascii="Times New Roman" w:hAnsi="Times New Roman" w:cs="Times New Roman"/>
          <w:sz w:val="24"/>
          <w:szCs w:val="24"/>
        </w:rPr>
        <w:t xml:space="preserve">denied because </w:t>
      </w:r>
      <w:r w:rsidRPr="00915AB4">
        <w:rPr>
          <w:rFonts w:ascii="Times New Roman" w:hAnsi="Times New Roman" w:cs="Times New Roman"/>
          <w:sz w:val="24"/>
          <w:szCs w:val="24"/>
        </w:rPr>
        <w:t>under the statute</w:t>
      </w:r>
      <w:r w:rsidRPr="00915AB4" w:rsidR="00516F7E">
        <w:rPr>
          <w:rFonts w:ascii="Times New Roman" w:hAnsi="Times New Roman" w:cs="Times New Roman"/>
          <w:sz w:val="24"/>
          <w:szCs w:val="24"/>
        </w:rPr>
        <w:t xml:space="preserve"> governing the application, capital </w:t>
      </w:r>
      <w:r w:rsidRPr="00915AB4" w:rsidR="006B01EC">
        <w:rPr>
          <w:rFonts w:ascii="Times New Roman" w:hAnsi="Times New Roman" w:cs="Times New Roman"/>
          <w:sz w:val="24"/>
          <w:szCs w:val="24"/>
        </w:rPr>
        <w:t xml:space="preserve">project </w:t>
      </w:r>
      <w:r w:rsidRPr="00915AB4" w:rsidR="00516F7E">
        <w:rPr>
          <w:rFonts w:ascii="Times New Roman" w:hAnsi="Times New Roman" w:cs="Times New Roman"/>
          <w:sz w:val="24"/>
          <w:szCs w:val="24"/>
        </w:rPr>
        <w:t>costs associated with municipal rights-of-way are not collectable from consumers.</w:t>
      </w:r>
    </w:p>
    <w:p w:rsidR="00E95F3D" w:rsidRPr="0077282D" w:rsidP="006B1609" w14:paraId="67FDAEC9" w14:textId="70A3DEFE">
      <w:pPr>
        <w:pStyle w:val="Heading1"/>
      </w:pPr>
      <w:bookmarkStart w:id="3" w:name="_Toc53576255"/>
      <w:bookmarkStart w:id="4" w:name="_Toc53576320"/>
      <w:bookmarkStart w:id="5" w:name="_Toc92362048"/>
      <w:bookmarkStart w:id="6" w:name="_Toc92362628"/>
      <w:bookmarkStart w:id="7" w:name="_Toc92971847"/>
      <w:r>
        <w:t>II.</w:t>
      </w:r>
      <w:r>
        <w:tab/>
      </w:r>
      <w:r w:rsidRPr="0077282D" w:rsidR="00F314DF">
        <w:t xml:space="preserve">MATTERS FOR </w:t>
      </w:r>
      <w:bookmarkEnd w:id="3"/>
      <w:bookmarkEnd w:id="4"/>
      <w:r w:rsidRPr="0077282D" w:rsidR="00E53FA8">
        <w:t>REHEARING</w:t>
      </w:r>
      <w:bookmarkEnd w:id="5"/>
      <w:bookmarkEnd w:id="6"/>
      <w:bookmarkEnd w:id="7"/>
    </w:p>
    <w:p w:rsidR="00DE083A" w:rsidRPr="006B1609" w:rsidP="006A1DE0" w14:paraId="410BEAE6" w14:textId="4440E9A7">
      <w:pPr>
        <w:pStyle w:val="Heading2"/>
      </w:pPr>
      <w:bookmarkStart w:id="8" w:name="_Toc53576256"/>
      <w:bookmarkStart w:id="9" w:name="_Toc53576321"/>
      <w:bookmarkStart w:id="10" w:name="_Toc92362049"/>
      <w:bookmarkStart w:id="11" w:name="_Toc92362629"/>
      <w:bookmarkStart w:id="12" w:name="_Toc92971848"/>
      <w:r>
        <w:rPr>
          <w:rStyle w:val="Heading2Char"/>
          <w:b/>
          <w:bCs/>
        </w:rPr>
        <w:t>A.</w:t>
      </w:r>
      <w:r>
        <w:rPr>
          <w:rStyle w:val="Heading2Char"/>
          <w:b/>
          <w:bCs/>
        </w:rPr>
        <w:tab/>
      </w:r>
      <w:r w:rsidRPr="006B1609" w:rsidR="006C5C84">
        <w:rPr>
          <w:rStyle w:val="Heading2Char"/>
          <w:b/>
          <w:bCs/>
        </w:rPr>
        <w:t xml:space="preserve">ASSIGNMENT OF ERROR NO. </w:t>
      </w:r>
      <w:r w:rsidRPr="006B1609" w:rsidR="002571AE">
        <w:rPr>
          <w:rStyle w:val="Heading2Char"/>
          <w:b/>
          <w:bCs/>
        </w:rPr>
        <w:t>1</w:t>
      </w:r>
      <w:r w:rsidRPr="006B1609" w:rsidR="006C5C84">
        <w:rPr>
          <w:rStyle w:val="Heading2Char"/>
          <w:b/>
          <w:bCs/>
        </w:rPr>
        <w:t>:</w:t>
      </w:r>
      <w:r w:rsidRPr="006B1609" w:rsidR="00BB12AA">
        <w:rPr>
          <w:rStyle w:val="Heading2Char"/>
          <w:b/>
          <w:bCs/>
        </w:rPr>
        <w:t xml:space="preserve"> </w:t>
      </w:r>
      <w:bookmarkEnd w:id="8"/>
      <w:bookmarkEnd w:id="9"/>
      <w:r w:rsidRPr="006B1609" w:rsidR="00350865">
        <w:t xml:space="preserve">The PUCO’s Finding and Order authorizing Ohio Gas to charge consumers for capital costs associated with municipal rights-of-way is </w:t>
      </w:r>
      <w:r w:rsidR="00432611">
        <w:t xml:space="preserve">unreasonable and </w:t>
      </w:r>
      <w:r w:rsidRPr="006B1609" w:rsidR="00350865">
        <w:t>unlawful because the statute (R.C. 4939.07) authorizes charging consumers only for expenses.</w:t>
      </w:r>
      <w:bookmarkEnd w:id="10"/>
      <w:bookmarkEnd w:id="11"/>
      <w:bookmarkEnd w:id="12"/>
    </w:p>
    <w:p w:rsidR="00807A65" w:rsidRPr="00103CCC" w:rsidP="00103CCC" w14:paraId="4A9C4E9D" w14:textId="5189A8B0">
      <w:pPr>
        <w:pStyle w:val="Heading3"/>
      </w:pPr>
      <w:bookmarkStart w:id="13" w:name="_Toc92362050"/>
      <w:bookmarkStart w:id="14" w:name="_Toc92362630"/>
      <w:bookmarkStart w:id="15" w:name="_Toc92971849"/>
      <w:r w:rsidRPr="00103CCC">
        <w:t xml:space="preserve">The PUCO should apply </w:t>
      </w:r>
      <w:r w:rsidRPr="00103CCC" w:rsidR="008547F1">
        <w:t xml:space="preserve">the words in R.C. 4939.07 </w:t>
      </w:r>
      <w:r w:rsidRPr="00103CCC" w:rsidR="00350865">
        <w:t xml:space="preserve">based on their meaning in the field of utility regulation, </w:t>
      </w:r>
      <w:r w:rsidRPr="00103CCC" w:rsidR="008547F1">
        <w:t xml:space="preserve">consistent with </w:t>
      </w:r>
      <w:r w:rsidRPr="00103CCC" w:rsidR="00350865">
        <w:t xml:space="preserve">the </w:t>
      </w:r>
      <w:r w:rsidRPr="00103CCC" w:rsidR="008515BB">
        <w:t>General Assembly’s intent</w:t>
      </w:r>
      <w:r w:rsidRPr="00103CCC" w:rsidR="008547F1">
        <w:t>.</w:t>
      </w:r>
      <w:bookmarkEnd w:id="13"/>
      <w:bookmarkEnd w:id="14"/>
      <w:bookmarkEnd w:id="15"/>
    </w:p>
    <w:p w:rsidR="00F319CA" w:rsidRPr="00915AB4" w:rsidP="00B72EE1" w14:paraId="1B3D7FD1" w14:textId="6362D2E2">
      <w:pPr>
        <w:spacing w:after="0" w:line="480" w:lineRule="auto"/>
        <w:rPr>
          <w:rFonts w:ascii="Times New Roman" w:hAnsi="Times New Roman" w:cs="Times New Roman"/>
          <w:sz w:val="24"/>
          <w:szCs w:val="24"/>
        </w:rPr>
      </w:pPr>
      <w:r w:rsidRPr="00915AB4">
        <w:rPr>
          <w:rFonts w:ascii="Times New Roman" w:hAnsi="Times New Roman" w:cs="Times New Roman"/>
          <w:sz w:val="24"/>
          <w:szCs w:val="24"/>
        </w:rPr>
        <w:tab/>
        <w:t>Of public utility regulation, the Ohio Supreme Court has explained:</w:t>
      </w:r>
    </w:p>
    <w:p w:rsidR="00F319CA" w:rsidRPr="00915AB4" w:rsidP="00F319CA" w14:paraId="38C7D8A6" w14:textId="18243EEE">
      <w:pPr>
        <w:spacing w:after="0" w:line="240" w:lineRule="auto"/>
        <w:ind w:left="720"/>
        <w:rPr>
          <w:rFonts w:ascii="Times New Roman" w:hAnsi="Times New Roman" w:cs="Times New Roman"/>
          <w:color w:val="212121"/>
          <w:sz w:val="24"/>
          <w:szCs w:val="24"/>
          <w:shd w:val="clear" w:color="auto" w:fill="FFFFFF"/>
        </w:rPr>
      </w:pPr>
      <w:r w:rsidRPr="00915AB4">
        <w:rPr>
          <w:rFonts w:ascii="Times New Roman" w:hAnsi="Times New Roman" w:cs="Times New Roman"/>
          <w:color w:val="212121"/>
          <w:sz w:val="24"/>
          <w:szCs w:val="24"/>
          <w:shd w:val="clear" w:color="auto" w:fill="FFFFFF"/>
        </w:rPr>
        <w:t>There is perhaps no field of business subject to greater statutory and governmental control than that of the public utility. This is particularly true of the rates of a public utility. Such rates are set and regulated by a general statutory plan in which the Public Utilities Commission is vested with the authority to determine rates in the first instance, and in which the authority to review such rates is vested exclusively in the Supreme Court . . . .</w:t>
      </w:r>
      <w:r>
        <w:rPr>
          <w:rStyle w:val="FootnoteReference"/>
          <w:rFonts w:ascii="Times New Roman" w:hAnsi="Times New Roman" w:cs="Times New Roman"/>
          <w:color w:val="212121"/>
          <w:sz w:val="24"/>
          <w:szCs w:val="24"/>
          <w:shd w:val="clear" w:color="auto" w:fill="FFFFFF"/>
        </w:rPr>
        <w:footnoteReference w:id="6"/>
      </w:r>
    </w:p>
    <w:p w:rsidR="00F319CA" w:rsidRPr="00915AB4" w:rsidP="00F319CA" w14:paraId="20026D35" w14:textId="77777777">
      <w:pPr>
        <w:spacing w:after="0" w:line="240" w:lineRule="auto"/>
        <w:ind w:left="720"/>
        <w:rPr>
          <w:rFonts w:ascii="Times New Roman" w:hAnsi="Times New Roman" w:cs="Times New Roman"/>
          <w:sz w:val="24"/>
          <w:szCs w:val="24"/>
        </w:rPr>
      </w:pPr>
    </w:p>
    <w:p w:rsidR="00F319CA" w:rsidRPr="00915AB4" w:rsidP="00125128" w14:paraId="531DE077" w14:textId="45DF4651">
      <w:pPr>
        <w:spacing w:after="0" w:line="480" w:lineRule="auto"/>
        <w:ind w:firstLine="720"/>
        <w:rPr>
          <w:rFonts w:ascii="Times New Roman" w:hAnsi="Times New Roman" w:cs="Times New Roman"/>
          <w:color w:val="212121"/>
          <w:sz w:val="24"/>
          <w:szCs w:val="24"/>
          <w:shd w:val="clear" w:color="auto" w:fill="FFFFFF"/>
        </w:rPr>
      </w:pPr>
      <w:r w:rsidRPr="00915AB4">
        <w:rPr>
          <w:rFonts w:ascii="Times New Roman" w:hAnsi="Times New Roman" w:cs="Times New Roman"/>
          <w:color w:val="212121"/>
          <w:sz w:val="24"/>
          <w:szCs w:val="24"/>
          <w:shd w:val="clear" w:color="auto" w:fill="FFFFFF"/>
        </w:rPr>
        <w:t>“The General Assembly has by statute pronounced the public policy of the state that the broad and complete control of public utilities shall be within the administrative agency, the Public Utilities Commission.”</w:t>
      </w:r>
      <w:r>
        <w:rPr>
          <w:rStyle w:val="FootnoteReference"/>
          <w:rFonts w:ascii="Times New Roman" w:hAnsi="Times New Roman" w:cs="Times New Roman"/>
          <w:color w:val="212121"/>
          <w:sz w:val="24"/>
          <w:szCs w:val="24"/>
          <w:shd w:val="clear" w:color="auto" w:fill="FFFFFF"/>
        </w:rPr>
        <w:footnoteReference w:id="7"/>
      </w:r>
      <w:r w:rsidRPr="00915AB4" w:rsidR="00655675">
        <w:rPr>
          <w:rFonts w:ascii="Times New Roman" w:hAnsi="Times New Roman" w:cs="Times New Roman"/>
          <w:color w:val="212121"/>
          <w:sz w:val="24"/>
          <w:szCs w:val="24"/>
          <w:shd w:val="clear" w:color="auto" w:fill="FFFFFF"/>
        </w:rPr>
        <w:t xml:space="preserve"> </w:t>
      </w:r>
      <w:r w:rsidRPr="00915AB4" w:rsidR="00807A65">
        <w:rPr>
          <w:rFonts w:ascii="Times New Roman" w:hAnsi="Times New Roman" w:cs="Times New Roman"/>
          <w:sz w:val="24"/>
          <w:szCs w:val="24"/>
        </w:rPr>
        <w:t>Public utility regulation is a specialized, highly technical field wherein many terms with a technical or particular meaning are used.</w:t>
      </w:r>
      <w:r w:rsidRPr="00915AB4" w:rsidR="00655675">
        <w:rPr>
          <w:rFonts w:ascii="Times New Roman" w:hAnsi="Times New Roman" w:cs="Times New Roman"/>
          <w:sz w:val="24"/>
          <w:szCs w:val="24"/>
        </w:rPr>
        <w:t xml:space="preserve"> </w:t>
      </w:r>
      <w:r w:rsidRPr="00915AB4" w:rsidR="00807A65">
        <w:rPr>
          <w:rFonts w:ascii="Times New Roman" w:hAnsi="Times New Roman" w:cs="Times New Roman"/>
          <w:sz w:val="24"/>
          <w:szCs w:val="24"/>
        </w:rPr>
        <w:t xml:space="preserve">That is why even the Ohio Supreme Court </w:t>
      </w:r>
      <w:r w:rsidRPr="00915AB4" w:rsidR="008515BB">
        <w:rPr>
          <w:rFonts w:ascii="Times New Roman" w:hAnsi="Times New Roman" w:cs="Times New Roman"/>
          <w:sz w:val="24"/>
          <w:szCs w:val="24"/>
        </w:rPr>
        <w:t xml:space="preserve">must sometimes </w:t>
      </w:r>
      <w:r w:rsidRPr="00915AB4" w:rsidR="00807A65">
        <w:rPr>
          <w:rFonts w:ascii="Times New Roman" w:hAnsi="Times New Roman" w:cs="Times New Roman"/>
          <w:sz w:val="24"/>
          <w:szCs w:val="24"/>
        </w:rPr>
        <w:t>rely on the PUCO when applying a statute involving highly specialized issues.</w:t>
      </w:r>
      <w:r>
        <w:rPr>
          <w:rStyle w:val="FootnoteReference"/>
          <w:rFonts w:ascii="Times New Roman" w:hAnsi="Times New Roman" w:cs="Times New Roman"/>
          <w:sz w:val="24"/>
          <w:szCs w:val="24"/>
        </w:rPr>
        <w:footnoteReference w:id="8"/>
      </w:r>
      <w:r w:rsidRPr="00915AB4" w:rsidR="00655675">
        <w:rPr>
          <w:rFonts w:ascii="Times New Roman" w:hAnsi="Times New Roman" w:cs="Times New Roman"/>
          <w:sz w:val="24"/>
          <w:szCs w:val="24"/>
        </w:rPr>
        <w:t xml:space="preserve"> </w:t>
      </w:r>
    </w:p>
    <w:p w:rsidR="00B72EE1" w:rsidRPr="00915AB4" w:rsidP="00F319CA" w14:paraId="705BFB68" w14:textId="2BD918E6">
      <w:pPr>
        <w:spacing w:after="0" w:line="480" w:lineRule="auto"/>
        <w:ind w:firstLine="720"/>
        <w:rPr>
          <w:rFonts w:ascii="Times New Roman" w:hAnsi="Times New Roman" w:cs="Times New Roman"/>
          <w:color w:val="212121"/>
          <w:sz w:val="24"/>
          <w:szCs w:val="24"/>
          <w:shd w:val="clear" w:color="auto" w:fill="FFFFFF"/>
        </w:rPr>
      </w:pPr>
      <w:r w:rsidRPr="00915AB4">
        <w:rPr>
          <w:rFonts w:ascii="Times New Roman" w:hAnsi="Times New Roman" w:cs="Times New Roman"/>
          <w:sz w:val="24"/>
          <w:szCs w:val="24"/>
        </w:rPr>
        <w:t xml:space="preserve">This case turns on the statutory </w:t>
      </w:r>
      <w:r w:rsidRPr="00915AB4" w:rsidR="007A2EE8">
        <w:rPr>
          <w:rFonts w:ascii="Times New Roman" w:hAnsi="Times New Roman" w:cs="Times New Roman"/>
          <w:sz w:val="24"/>
          <w:szCs w:val="24"/>
        </w:rPr>
        <w:t>construction</w:t>
      </w:r>
      <w:r w:rsidRPr="00915AB4">
        <w:rPr>
          <w:rFonts w:ascii="Times New Roman" w:hAnsi="Times New Roman" w:cs="Times New Roman"/>
          <w:sz w:val="24"/>
          <w:szCs w:val="24"/>
        </w:rPr>
        <w:t xml:space="preserve"> of R.C. 4939.07.</w:t>
      </w:r>
      <w:r w:rsidRPr="00915AB4" w:rsidR="00655675">
        <w:rPr>
          <w:rFonts w:ascii="Times New Roman" w:hAnsi="Times New Roman" w:cs="Times New Roman"/>
          <w:sz w:val="24"/>
          <w:szCs w:val="24"/>
        </w:rPr>
        <w:t xml:space="preserve"> </w:t>
      </w:r>
      <w:r w:rsidRPr="00915AB4" w:rsidR="007A2EE8">
        <w:rPr>
          <w:rFonts w:ascii="Times New Roman" w:hAnsi="Times New Roman" w:cs="Times New Roman"/>
          <w:sz w:val="24"/>
          <w:szCs w:val="24"/>
        </w:rPr>
        <w:t>Principles of statutory construction are well-know</w:t>
      </w:r>
      <w:r w:rsidRPr="00915AB4" w:rsidR="006B01EC">
        <w:rPr>
          <w:rFonts w:ascii="Times New Roman" w:hAnsi="Times New Roman" w:cs="Times New Roman"/>
          <w:sz w:val="24"/>
          <w:szCs w:val="24"/>
        </w:rPr>
        <w:t>n</w:t>
      </w:r>
      <w:r w:rsidRPr="00915AB4" w:rsidR="007A2EE8">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sidR="008515BB">
        <w:rPr>
          <w:rFonts w:ascii="Times New Roman" w:hAnsi="Times New Roman" w:cs="Times New Roman"/>
          <w:sz w:val="24"/>
          <w:szCs w:val="24"/>
        </w:rPr>
        <w:t>One must s</w:t>
      </w:r>
      <w:r w:rsidRPr="00915AB4" w:rsidR="007A2EE8">
        <w:rPr>
          <w:rFonts w:ascii="Times New Roman" w:hAnsi="Times New Roman" w:cs="Times New Roman"/>
          <w:sz w:val="24"/>
          <w:szCs w:val="24"/>
        </w:rPr>
        <w:t xml:space="preserve">tart with the statute’s </w:t>
      </w:r>
      <w:r w:rsidRPr="00915AB4" w:rsidR="008515BB">
        <w:rPr>
          <w:rFonts w:ascii="Times New Roman" w:hAnsi="Times New Roman" w:cs="Times New Roman"/>
          <w:sz w:val="24"/>
          <w:szCs w:val="24"/>
        </w:rPr>
        <w:t xml:space="preserve">plain </w:t>
      </w:r>
      <w:r w:rsidRPr="00915AB4" w:rsidR="007A2EE8">
        <w:rPr>
          <w:rFonts w:ascii="Times New Roman" w:hAnsi="Times New Roman" w:cs="Times New Roman"/>
          <w:sz w:val="24"/>
          <w:szCs w:val="24"/>
        </w:rPr>
        <w:t>language.</w:t>
      </w:r>
      <w:r>
        <w:rPr>
          <w:rStyle w:val="FootnoteReference"/>
          <w:rFonts w:ascii="Times New Roman" w:hAnsi="Times New Roman" w:cs="Times New Roman"/>
          <w:sz w:val="24"/>
          <w:szCs w:val="24"/>
        </w:rPr>
        <w:footnoteReference w:id="9"/>
      </w:r>
      <w:r w:rsidRPr="00915AB4" w:rsidR="00655675">
        <w:rPr>
          <w:rFonts w:ascii="Times New Roman" w:hAnsi="Times New Roman" w:cs="Times New Roman"/>
          <w:sz w:val="24"/>
          <w:szCs w:val="24"/>
        </w:rPr>
        <w:t xml:space="preserve"> </w:t>
      </w:r>
      <w:r w:rsidRPr="00915AB4" w:rsidR="00807A65">
        <w:rPr>
          <w:rFonts w:ascii="Times New Roman" w:hAnsi="Times New Roman" w:cs="Times New Roman"/>
          <w:sz w:val="24"/>
          <w:szCs w:val="24"/>
        </w:rPr>
        <w:t xml:space="preserve">Particularly relevant in the world of public utility regulation, </w:t>
      </w:r>
      <w:r w:rsidRPr="00915AB4" w:rsidR="007A2EE8">
        <w:rPr>
          <w:rFonts w:ascii="Times New Roman" w:hAnsi="Times New Roman" w:cs="Times New Roman"/>
          <w:sz w:val="24"/>
          <w:szCs w:val="24"/>
        </w:rPr>
        <w:t>“</w:t>
      </w:r>
      <w:r w:rsidRPr="00915AB4" w:rsidR="00807A65">
        <w:rPr>
          <w:rFonts w:ascii="Times New Roman" w:hAnsi="Times New Roman" w:cs="Times New Roman"/>
          <w:sz w:val="24"/>
          <w:szCs w:val="24"/>
        </w:rPr>
        <w:t>[w]</w:t>
      </w:r>
      <w:r w:rsidRPr="00915AB4" w:rsidR="007A2EE8">
        <w:rPr>
          <w:rFonts w:ascii="Times New Roman" w:hAnsi="Times New Roman" w:cs="Times New Roman"/>
          <w:color w:val="212121"/>
          <w:sz w:val="24"/>
          <w:szCs w:val="24"/>
          <w:shd w:val="clear" w:color="auto" w:fill="FFFFFF"/>
        </w:rPr>
        <w:t>ords and phrases that have acquired a technical or particular meaning, whether by legislative definition or otherwise, shall be construed accordingly.”</w:t>
      </w:r>
      <w:r>
        <w:rPr>
          <w:rStyle w:val="FootnoteReference"/>
          <w:rFonts w:ascii="Times New Roman" w:hAnsi="Times New Roman" w:cs="Times New Roman"/>
          <w:color w:val="212121"/>
          <w:sz w:val="24"/>
          <w:szCs w:val="24"/>
          <w:shd w:val="clear" w:color="auto" w:fill="FFFFFF"/>
        </w:rPr>
        <w:footnoteReference w:id="10"/>
      </w:r>
      <w:r w:rsidRPr="00915AB4" w:rsidR="00655675">
        <w:rPr>
          <w:rFonts w:ascii="Times New Roman" w:hAnsi="Times New Roman" w:cs="Times New Roman"/>
          <w:sz w:val="24"/>
          <w:szCs w:val="24"/>
        </w:rPr>
        <w:t xml:space="preserve"> </w:t>
      </w:r>
      <w:r w:rsidRPr="00915AB4" w:rsidR="007A2EE8">
        <w:rPr>
          <w:rFonts w:ascii="Times New Roman" w:hAnsi="Times New Roman" w:cs="Times New Roman"/>
          <w:sz w:val="24"/>
          <w:szCs w:val="24"/>
        </w:rPr>
        <w:t>Where, as here, a statute is clear an</w:t>
      </w:r>
      <w:r w:rsidRPr="00915AB4">
        <w:rPr>
          <w:rFonts w:ascii="Times New Roman" w:hAnsi="Times New Roman" w:cs="Times New Roman"/>
          <w:sz w:val="24"/>
          <w:szCs w:val="24"/>
        </w:rPr>
        <w:t>d</w:t>
      </w:r>
      <w:r w:rsidRPr="00915AB4" w:rsidR="007A2EE8">
        <w:rPr>
          <w:rFonts w:ascii="Times New Roman" w:hAnsi="Times New Roman" w:cs="Times New Roman"/>
          <w:sz w:val="24"/>
          <w:szCs w:val="24"/>
        </w:rPr>
        <w:t xml:space="preserve"> unambiguous, it should be applied as written.</w:t>
      </w:r>
      <w:r>
        <w:rPr>
          <w:rStyle w:val="FootnoteReference"/>
          <w:rFonts w:ascii="Times New Roman" w:hAnsi="Times New Roman" w:cs="Times New Roman"/>
          <w:sz w:val="24"/>
          <w:szCs w:val="24"/>
        </w:rPr>
        <w:footnoteReference w:id="11"/>
      </w:r>
      <w:r w:rsidRPr="00915AB4" w:rsidR="00655675">
        <w:rPr>
          <w:rFonts w:ascii="Times New Roman" w:hAnsi="Times New Roman" w:cs="Times New Roman"/>
          <w:color w:val="212121"/>
          <w:sz w:val="24"/>
          <w:szCs w:val="24"/>
          <w:shd w:val="clear" w:color="auto" w:fill="FFFFFF"/>
        </w:rPr>
        <w:t xml:space="preserve"> </w:t>
      </w:r>
      <w:r w:rsidRPr="00915AB4">
        <w:rPr>
          <w:rFonts w:ascii="Times New Roman" w:hAnsi="Times New Roman" w:cs="Times New Roman"/>
          <w:color w:val="212121"/>
          <w:sz w:val="24"/>
          <w:szCs w:val="24"/>
          <w:shd w:val="clear" w:color="auto" w:fill="FFFFFF"/>
        </w:rPr>
        <w:t>Ambiguity in a statute exists only if its language is susceptible to more than one reasonable interpretation.</w:t>
      </w:r>
      <w:r>
        <w:rPr>
          <w:rStyle w:val="FootnoteReference"/>
          <w:rFonts w:ascii="Times New Roman" w:hAnsi="Times New Roman" w:cs="Times New Roman"/>
          <w:color w:val="212121"/>
          <w:sz w:val="24"/>
          <w:szCs w:val="24"/>
          <w:shd w:val="clear" w:color="auto" w:fill="FFFFFF"/>
        </w:rPr>
        <w:footnoteReference w:id="12"/>
      </w:r>
      <w:r w:rsidRPr="00915AB4">
        <w:rPr>
          <w:rFonts w:ascii="Times New Roman" w:hAnsi="Times New Roman" w:cs="Times New Roman"/>
          <w:color w:val="212121"/>
          <w:sz w:val="24"/>
          <w:szCs w:val="24"/>
          <w:shd w:val="clear" w:color="auto" w:fill="FFFFFF"/>
        </w:rPr>
        <w:t> </w:t>
      </w:r>
      <w:r w:rsidR="00C135FA">
        <w:rPr>
          <w:rFonts w:ascii="Times New Roman" w:hAnsi="Times New Roman" w:cs="Times New Roman"/>
          <w:color w:val="212121"/>
          <w:sz w:val="24"/>
          <w:szCs w:val="24"/>
          <w:shd w:val="clear" w:color="auto" w:fill="FFFFFF"/>
        </w:rPr>
        <w:t>Applying these principles, t</w:t>
      </w:r>
      <w:r w:rsidRPr="00915AB4" w:rsidR="008515BB">
        <w:rPr>
          <w:rFonts w:ascii="Times New Roman" w:hAnsi="Times New Roman" w:cs="Times New Roman"/>
          <w:color w:val="212121"/>
          <w:sz w:val="24"/>
          <w:szCs w:val="24"/>
          <w:shd w:val="clear" w:color="auto" w:fill="FFFFFF"/>
        </w:rPr>
        <w:t>here is no ambiguity in this statute and the PUCO must apply it as written.</w:t>
      </w:r>
    </w:p>
    <w:p w:rsidR="008547F1" w:rsidRPr="00915AB4" w:rsidP="00103CCC" w14:paraId="6B097F54" w14:textId="219FC18A">
      <w:pPr>
        <w:pStyle w:val="Heading3"/>
      </w:pPr>
      <w:bookmarkStart w:id="16" w:name="_Toc92362051"/>
      <w:bookmarkStart w:id="17" w:name="_Toc92362631"/>
      <w:bookmarkStart w:id="18" w:name="_Toc92971850"/>
      <w:r w:rsidRPr="00915AB4">
        <w:t xml:space="preserve">To consumers’ detriment, the PUCO made a legal error in applying R.C. 4939.07 to allow Ohio Gas to charge consumers for capital </w:t>
      </w:r>
      <w:r w:rsidR="00F627D3">
        <w:t xml:space="preserve">investment </w:t>
      </w:r>
      <w:r w:rsidRPr="00915AB4">
        <w:t>costs associated with municipal rights-of-way.</w:t>
      </w:r>
      <w:bookmarkEnd w:id="16"/>
      <w:bookmarkEnd w:id="17"/>
      <w:bookmarkEnd w:id="18"/>
    </w:p>
    <w:p w:rsidR="00D85D1D" w:rsidP="008547F1" w14:paraId="323AD51A" w14:textId="69898D9B">
      <w:pPr>
        <w:spacing w:after="0" w:line="480" w:lineRule="auto"/>
        <w:ind w:firstLine="720"/>
        <w:rPr>
          <w:rFonts w:ascii="Times New Roman" w:hAnsi="Times New Roman" w:cs="Times New Roman"/>
          <w:color w:val="212121"/>
          <w:sz w:val="24"/>
          <w:szCs w:val="24"/>
          <w:shd w:val="clear" w:color="auto" w:fill="FFFFFF"/>
        </w:rPr>
      </w:pPr>
      <w:r w:rsidRPr="00915AB4">
        <w:rPr>
          <w:rFonts w:ascii="Times New Roman" w:hAnsi="Times New Roman" w:cs="Times New Roman"/>
          <w:color w:val="212121"/>
          <w:sz w:val="24"/>
          <w:szCs w:val="24"/>
          <w:shd w:val="clear" w:color="auto" w:fill="FFFFFF"/>
        </w:rPr>
        <w:t>There is no dispute that Ohio Gas will be charging its consumers for capital costs associated with municipal rights-of-way due to the Finding and Order.</w:t>
      </w:r>
      <w:r>
        <w:rPr>
          <w:rStyle w:val="FootnoteReference"/>
          <w:rFonts w:ascii="Times New Roman" w:hAnsi="Times New Roman" w:cs="Times New Roman"/>
          <w:color w:val="212121"/>
          <w:sz w:val="24"/>
          <w:szCs w:val="24"/>
          <w:shd w:val="clear" w:color="auto" w:fill="FFFFFF"/>
        </w:rPr>
        <w:footnoteReference w:id="13"/>
      </w:r>
      <w:r w:rsidRPr="00915AB4" w:rsidR="00655675">
        <w:rPr>
          <w:rFonts w:ascii="Times New Roman" w:hAnsi="Times New Roman" w:cs="Times New Roman"/>
          <w:color w:val="212121"/>
          <w:sz w:val="24"/>
          <w:szCs w:val="24"/>
          <w:shd w:val="clear" w:color="auto" w:fill="FFFFFF"/>
        </w:rPr>
        <w:t xml:space="preserve"> </w:t>
      </w:r>
      <w:r w:rsidRPr="00915AB4" w:rsidR="008547F1">
        <w:rPr>
          <w:rFonts w:ascii="Times New Roman" w:hAnsi="Times New Roman" w:cs="Times New Roman"/>
          <w:color w:val="212121"/>
          <w:sz w:val="24"/>
          <w:szCs w:val="24"/>
          <w:shd w:val="clear" w:color="auto" w:fill="FFFFFF"/>
        </w:rPr>
        <w:t>Based on</w:t>
      </w:r>
      <w:r w:rsidRPr="00915AB4" w:rsidR="00A51783">
        <w:rPr>
          <w:rFonts w:ascii="Times New Roman" w:hAnsi="Times New Roman" w:cs="Times New Roman"/>
          <w:color w:val="212121"/>
          <w:sz w:val="24"/>
          <w:szCs w:val="24"/>
          <w:shd w:val="clear" w:color="auto" w:fill="FFFFFF"/>
        </w:rPr>
        <w:t xml:space="preserve"> </w:t>
      </w:r>
      <w:r w:rsidRPr="00915AB4" w:rsidR="008547F1">
        <w:rPr>
          <w:rFonts w:ascii="Times New Roman" w:hAnsi="Times New Roman" w:cs="Times New Roman"/>
          <w:color w:val="212121"/>
          <w:sz w:val="24"/>
          <w:szCs w:val="24"/>
          <w:shd w:val="clear" w:color="auto" w:fill="FFFFFF"/>
        </w:rPr>
        <w:t>R.C. 4939.07</w:t>
      </w:r>
      <w:r w:rsidRPr="00915AB4" w:rsidR="00350865">
        <w:rPr>
          <w:rFonts w:ascii="Times New Roman" w:hAnsi="Times New Roman" w:cs="Times New Roman"/>
          <w:color w:val="212121"/>
          <w:sz w:val="24"/>
          <w:szCs w:val="24"/>
          <w:shd w:val="clear" w:color="auto" w:fill="FFFFFF"/>
        </w:rPr>
        <w:t>’s text</w:t>
      </w:r>
      <w:r w:rsidRPr="00915AB4" w:rsidR="008547F1">
        <w:rPr>
          <w:rFonts w:ascii="Times New Roman" w:hAnsi="Times New Roman" w:cs="Times New Roman"/>
          <w:color w:val="212121"/>
          <w:sz w:val="24"/>
          <w:szCs w:val="24"/>
          <w:shd w:val="clear" w:color="auto" w:fill="FFFFFF"/>
        </w:rPr>
        <w:t xml:space="preserve">, </w:t>
      </w:r>
      <w:r w:rsidRPr="00915AB4" w:rsidR="00A51783">
        <w:rPr>
          <w:rFonts w:ascii="Times New Roman" w:hAnsi="Times New Roman" w:cs="Times New Roman"/>
          <w:color w:val="212121"/>
          <w:sz w:val="24"/>
          <w:szCs w:val="24"/>
          <w:shd w:val="clear" w:color="auto" w:fill="FFFFFF"/>
        </w:rPr>
        <w:t xml:space="preserve">OCC </w:t>
      </w:r>
      <w:r w:rsidRPr="00915AB4" w:rsidR="00510444">
        <w:rPr>
          <w:rFonts w:ascii="Times New Roman" w:hAnsi="Times New Roman" w:cs="Times New Roman"/>
          <w:color w:val="212121"/>
          <w:sz w:val="24"/>
          <w:szCs w:val="24"/>
          <w:shd w:val="clear" w:color="auto" w:fill="FFFFFF"/>
        </w:rPr>
        <w:t>previously</w:t>
      </w:r>
      <w:r w:rsidRPr="00915AB4" w:rsidR="00A51783">
        <w:rPr>
          <w:rFonts w:ascii="Times New Roman" w:hAnsi="Times New Roman" w:cs="Times New Roman"/>
          <w:color w:val="212121"/>
          <w:sz w:val="24"/>
          <w:szCs w:val="24"/>
          <w:shd w:val="clear" w:color="auto" w:fill="FFFFFF"/>
        </w:rPr>
        <w:t xml:space="preserve"> </w:t>
      </w:r>
      <w:r w:rsidRPr="00915AB4" w:rsidR="008547F1">
        <w:rPr>
          <w:rFonts w:ascii="Times New Roman" w:hAnsi="Times New Roman" w:cs="Times New Roman"/>
          <w:color w:val="212121"/>
          <w:sz w:val="24"/>
          <w:szCs w:val="24"/>
          <w:shd w:val="clear" w:color="auto" w:fill="FFFFFF"/>
        </w:rPr>
        <w:t>explained that the statute permits charging consumers for expenses associated with municipal rights-of-way</w:t>
      </w:r>
      <w:r w:rsidRPr="00915AB4" w:rsidR="006B01EC">
        <w:rPr>
          <w:rFonts w:ascii="Times New Roman" w:hAnsi="Times New Roman" w:cs="Times New Roman"/>
          <w:color w:val="212121"/>
          <w:sz w:val="24"/>
          <w:szCs w:val="24"/>
          <w:shd w:val="clear" w:color="auto" w:fill="FFFFFF"/>
        </w:rPr>
        <w:t xml:space="preserve"> incurred by a utility</w:t>
      </w:r>
      <w:r w:rsidRPr="00915AB4" w:rsidR="008547F1">
        <w:rPr>
          <w:rFonts w:ascii="Times New Roman" w:hAnsi="Times New Roman" w:cs="Times New Roman"/>
          <w:color w:val="212121"/>
          <w:sz w:val="24"/>
          <w:szCs w:val="24"/>
          <w:shd w:val="clear" w:color="auto" w:fill="FFFFFF"/>
        </w:rPr>
        <w:t xml:space="preserve">, not capital </w:t>
      </w:r>
      <w:r w:rsidRPr="00915AB4" w:rsidR="006B01EC">
        <w:rPr>
          <w:rFonts w:ascii="Times New Roman" w:hAnsi="Times New Roman" w:cs="Times New Roman"/>
          <w:color w:val="212121"/>
          <w:sz w:val="24"/>
          <w:szCs w:val="24"/>
          <w:shd w:val="clear" w:color="auto" w:fill="FFFFFF"/>
        </w:rPr>
        <w:t xml:space="preserve">project </w:t>
      </w:r>
      <w:r w:rsidRPr="00915AB4" w:rsidR="008547F1">
        <w:rPr>
          <w:rFonts w:ascii="Times New Roman" w:hAnsi="Times New Roman" w:cs="Times New Roman"/>
          <w:color w:val="212121"/>
          <w:sz w:val="24"/>
          <w:szCs w:val="24"/>
          <w:shd w:val="clear" w:color="auto" w:fill="FFFFFF"/>
        </w:rPr>
        <w:t>costs.</w:t>
      </w:r>
      <w:r>
        <w:rPr>
          <w:rStyle w:val="FootnoteReference"/>
          <w:rFonts w:ascii="Times New Roman" w:hAnsi="Times New Roman" w:cs="Times New Roman"/>
          <w:color w:val="212121"/>
          <w:sz w:val="24"/>
          <w:szCs w:val="24"/>
          <w:shd w:val="clear" w:color="auto" w:fill="FFFFFF"/>
        </w:rPr>
        <w:footnoteReference w:id="14"/>
      </w:r>
      <w:r w:rsidRPr="00915AB4" w:rsidR="00655675">
        <w:rPr>
          <w:rFonts w:ascii="Times New Roman" w:hAnsi="Times New Roman" w:cs="Times New Roman"/>
          <w:color w:val="212121"/>
          <w:sz w:val="24"/>
          <w:szCs w:val="24"/>
          <w:shd w:val="clear" w:color="auto" w:fill="FFFFFF"/>
        </w:rPr>
        <w:t xml:space="preserve"> </w:t>
      </w:r>
    </w:p>
    <w:p w:rsidR="008547F1" w:rsidRPr="00915AB4" w:rsidP="008547F1" w14:paraId="1CE1042C" w14:textId="7FBDF7E0">
      <w:pPr>
        <w:spacing w:after="0" w:line="480" w:lineRule="auto"/>
        <w:ind w:firstLine="720"/>
        <w:rPr>
          <w:rFonts w:ascii="Times New Roman" w:hAnsi="Times New Roman" w:cs="Times New Roman"/>
          <w:sz w:val="24"/>
          <w:szCs w:val="24"/>
        </w:rPr>
      </w:pPr>
      <w:r>
        <w:rPr>
          <w:rFonts w:ascii="Times New Roman" w:hAnsi="Times New Roman" w:cs="Times New Roman"/>
          <w:color w:val="212121"/>
          <w:sz w:val="24"/>
          <w:szCs w:val="24"/>
          <w:shd w:val="clear" w:color="auto" w:fill="FFFFFF"/>
        </w:rPr>
        <w:t>The PUCO</w:t>
      </w:r>
      <w:r w:rsidRPr="00915AB4" w:rsidR="00C36B78">
        <w:rPr>
          <w:rFonts w:ascii="Times New Roman" w:hAnsi="Times New Roman" w:cs="Times New Roman"/>
          <w:color w:val="212121"/>
          <w:sz w:val="24"/>
          <w:szCs w:val="24"/>
          <w:shd w:val="clear" w:color="auto" w:fill="FFFFFF"/>
        </w:rPr>
        <w:t xml:space="preserve"> did not analyze the statute in detail.</w:t>
      </w:r>
      <w:r w:rsidRPr="00915AB4" w:rsidR="00655675">
        <w:rPr>
          <w:rFonts w:ascii="Times New Roman" w:hAnsi="Times New Roman" w:cs="Times New Roman"/>
          <w:color w:val="212121"/>
          <w:sz w:val="24"/>
          <w:szCs w:val="24"/>
          <w:shd w:val="clear" w:color="auto" w:fill="FFFFFF"/>
        </w:rPr>
        <w:t xml:space="preserve"> </w:t>
      </w:r>
      <w:r w:rsidRPr="00915AB4" w:rsidR="00C36B78">
        <w:rPr>
          <w:rFonts w:ascii="Times New Roman" w:hAnsi="Times New Roman" w:cs="Times New Roman"/>
          <w:color w:val="212121"/>
          <w:sz w:val="24"/>
          <w:szCs w:val="24"/>
          <w:shd w:val="clear" w:color="auto" w:fill="FFFFFF"/>
        </w:rPr>
        <w:t>Instead, it said: “</w:t>
      </w:r>
      <w:r w:rsidRPr="00915AB4" w:rsidR="00C36B78">
        <w:rPr>
          <w:rFonts w:ascii="Times New Roman" w:hAnsi="Times New Roman" w:cs="Times New Roman"/>
          <w:sz w:val="24"/>
          <w:szCs w:val="24"/>
        </w:rPr>
        <w:t>Contrary to OCC’s assertions, the statute does not otherwise categorize costs that are deferrable or recoverable.”</w:t>
      </w:r>
      <w:r>
        <w:rPr>
          <w:rStyle w:val="FootnoteReference"/>
          <w:rFonts w:ascii="Times New Roman" w:hAnsi="Times New Roman" w:cs="Times New Roman"/>
          <w:sz w:val="24"/>
          <w:szCs w:val="24"/>
        </w:rPr>
        <w:footnoteReference w:id="15"/>
      </w:r>
      <w:r w:rsidRPr="00915AB4" w:rsidR="00655675">
        <w:rPr>
          <w:rFonts w:ascii="Times New Roman" w:hAnsi="Times New Roman" w:cs="Times New Roman"/>
          <w:sz w:val="24"/>
          <w:szCs w:val="24"/>
        </w:rPr>
        <w:t xml:space="preserve"> </w:t>
      </w:r>
      <w:r w:rsidRPr="00915AB4" w:rsidR="003573E7">
        <w:rPr>
          <w:rFonts w:ascii="Times New Roman" w:hAnsi="Times New Roman" w:cs="Times New Roman"/>
          <w:sz w:val="24"/>
          <w:szCs w:val="24"/>
        </w:rPr>
        <w:t xml:space="preserve">The PUCO’s </w:t>
      </w:r>
      <w:r w:rsidR="00D978F2">
        <w:rPr>
          <w:rFonts w:ascii="Times New Roman" w:hAnsi="Times New Roman" w:cs="Times New Roman"/>
          <w:sz w:val="24"/>
          <w:szCs w:val="24"/>
        </w:rPr>
        <w:t xml:space="preserve">application of </w:t>
      </w:r>
      <w:r w:rsidRPr="00915AB4" w:rsidR="00C36B78">
        <w:rPr>
          <w:rFonts w:ascii="Times New Roman" w:hAnsi="Times New Roman" w:cs="Times New Roman"/>
          <w:sz w:val="24"/>
          <w:szCs w:val="24"/>
        </w:rPr>
        <w:t>the statute is wrong.</w:t>
      </w:r>
    </w:p>
    <w:p w:rsidR="009E34D6" w:rsidRPr="00915AB4" w:rsidP="008547F1" w14:paraId="5E03F469" w14:textId="35DB3F64">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In relevant part, the statute first provides that the PUCO shall authorize such accounting authority “</w:t>
      </w:r>
      <w:r w:rsidRPr="00915AB4">
        <w:rPr>
          <w:rFonts w:ascii="Times New Roman" w:hAnsi="Times New Roman" w:cs="Times New Roman"/>
          <w:color w:val="333333"/>
          <w:sz w:val="24"/>
          <w:szCs w:val="24"/>
          <w:shd w:val="clear" w:color="auto" w:fill="FFFFFF"/>
        </w:rPr>
        <w:t xml:space="preserve">as may be reasonably necessary to classify any cost described in division (D)(2) of this section as a </w:t>
      </w:r>
      <w:r w:rsidRPr="00915AB4">
        <w:rPr>
          <w:rFonts w:ascii="Times New Roman" w:hAnsi="Times New Roman" w:cs="Times New Roman"/>
          <w:i/>
          <w:iCs/>
          <w:color w:val="333333"/>
          <w:sz w:val="24"/>
          <w:szCs w:val="24"/>
          <w:shd w:val="clear" w:color="auto" w:fill="FFFFFF"/>
        </w:rPr>
        <w:t>regulatory asset</w:t>
      </w:r>
      <w:r w:rsidRPr="00915AB4">
        <w:rPr>
          <w:rFonts w:ascii="Times New Roman" w:hAnsi="Times New Roman" w:cs="Times New Roman"/>
          <w:color w:val="333333"/>
          <w:sz w:val="24"/>
          <w:szCs w:val="24"/>
          <w:shd w:val="clear" w:color="auto" w:fill="FFFFFF"/>
        </w:rPr>
        <w:t xml:space="preserve"> for the purpose of recovering that cost.”</w:t>
      </w:r>
      <w:r>
        <w:rPr>
          <w:rStyle w:val="FootnoteReference"/>
          <w:rFonts w:ascii="Times New Roman" w:hAnsi="Times New Roman" w:cs="Times New Roman"/>
          <w:color w:val="333333"/>
          <w:sz w:val="24"/>
          <w:szCs w:val="24"/>
          <w:shd w:val="clear" w:color="auto" w:fill="FFFFFF"/>
        </w:rPr>
        <w:footnoteReference w:id="16"/>
      </w:r>
      <w:r w:rsidRPr="00915AB4" w:rsidR="00655675">
        <w:rPr>
          <w:rFonts w:ascii="Times New Roman" w:hAnsi="Times New Roman" w:cs="Times New Roman"/>
          <w:color w:val="333333"/>
          <w:sz w:val="24"/>
          <w:szCs w:val="24"/>
          <w:shd w:val="clear" w:color="auto" w:fill="FFFFFF"/>
        </w:rPr>
        <w:t xml:space="preserve"> </w:t>
      </w:r>
      <w:r w:rsidRPr="00915AB4" w:rsidR="00DB4763">
        <w:rPr>
          <w:rFonts w:ascii="Times New Roman" w:hAnsi="Times New Roman" w:cs="Times New Roman"/>
          <w:color w:val="333333"/>
          <w:sz w:val="24"/>
          <w:szCs w:val="24"/>
          <w:shd w:val="clear" w:color="auto" w:fill="FFFFFF"/>
        </w:rPr>
        <w:t>The term “regulatory asset” has a know</w:t>
      </w:r>
      <w:r w:rsidRPr="00915AB4" w:rsidR="001D0AFA">
        <w:rPr>
          <w:rFonts w:ascii="Times New Roman" w:hAnsi="Times New Roman" w:cs="Times New Roman"/>
          <w:color w:val="333333"/>
          <w:sz w:val="24"/>
          <w:szCs w:val="24"/>
          <w:shd w:val="clear" w:color="auto" w:fill="FFFFFF"/>
        </w:rPr>
        <w:t>n</w:t>
      </w:r>
      <w:r w:rsidRPr="00915AB4">
        <w:rPr>
          <w:rFonts w:ascii="Times New Roman" w:hAnsi="Times New Roman" w:cs="Times New Roman"/>
          <w:color w:val="333333"/>
          <w:sz w:val="24"/>
          <w:szCs w:val="24"/>
          <w:shd w:val="clear" w:color="auto" w:fill="FFFFFF"/>
        </w:rPr>
        <w:t>, technical, particular</w:t>
      </w:r>
      <w:r w:rsidRPr="00915AB4" w:rsidR="00DB4763">
        <w:rPr>
          <w:rFonts w:ascii="Times New Roman" w:hAnsi="Times New Roman" w:cs="Times New Roman"/>
          <w:color w:val="333333"/>
          <w:sz w:val="24"/>
          <w:szCs w:val="24"/>
          <w:shd w:val="clear" w:color="auto" w:fill="FFFFFF"/>
        </w:rPr>
        <w:t xml:space="preserve"> meaning in public utility regulation</w:t>
      </w:r>
      <w:r w:rsidRPr="00915AB4">
        <w:rPr>
          <w:rFonts w:ascii="Times New Roman" w:hAnsi="Times New Roman" w:cs="Times New Roman"/>
          <w:color w:val="333333"/>
          <w:sz w:val="24"/>
          <w:szCs w:val="24"/>
          <w:shd w:val="clear" w:color="auto" w:fill="FFFFFF"/>
        </w:rPr>
        <w:t xml:space="preserve"> (and consistent with the General Assembly’s directive,</w:t>
      </w:r>
      <w:r>
        <w:rPr>
          <w:rStyle w:val="FootnoteReference"/>
          <w:rFonts w:ascii="Times New Roman" w:hAnsi="Times New Roman" w:cs="Times New Roman"/>
          <w:color w:val="333333"/>
          <w:sz w:val="24"/>
          <w:szCs w:val="24"/>
          <w:shd w:val="clear" w:color="auto" w:fill="FFFFFF"/>
        </w:rPr>
        <w:footnoteReference w:id="17"/>
      </w:r>
      <w:r w:rsidRPr="00915AB4">
        <w:rPr>
          <w:rFonts w:ascii="Times New Roman" w:hAnsi="Times New Roman" w:cs="Times New Roman"/>
          <w:color w:val="333333"/>
          <w:sz w:val="24"/>
          <w:szCs w:val="24"/>
          <w:shd w:val="clear" w:color="auto" w:fill="FFFFFF"/>
        </w:rPr>
        <w:t xml:space="preserve"> that known, technical, particular meaning should be ascribed to it)</w:t>
      </w:r>
      <w:r w:rsidRPr="00915AB4" w:rsidR="00DB4763">
        <w:rPr>
          <w:rFonts w:ascii="Times New Roman" w:hAnsi="Times New Roman" w:cs="Times New Roman"/>
          <w:color w:val="333333"/>
          <w:sz w:val="24"/>
          <w:szCs w:val="24"/>
          <w:shd w:val="clear" w:color="auto" w:fill="FFFFFF"/>
        </w:rPr>
        <w:t>.</w:t>
      </w:r>
      <w:r w:rsidRPr="00915AB4" w:rsidR="00655675">
        <w:rPr>
          <w:rFonts w:ascii="Times New Roman" w:hAnsi="Times New Roman" w:cs="Times New Roman"/>
          <w:sz w:val="24"/>
          <w:szCs w:val="24"/>
        </w:rPr>
        <w:t xml:space="preserve"> </w:t>
      </w:r>
      <w:r w:rsidRPr="00915AB4" w:rsidR="0095373E">
        <w:rPr>
          <w:rFonts w:ascii="Times New Roman" w:hAnsi="Times New Roman" w:cs="Times New Roman"/>
          <w:sz w:val="24"/>
          <w:szCs w:val="24"/>
        </w:rPr>
        <w:t>O</w:t>
      </w:r>
      <w:r w:rsidRPr="00915AB4" w:rsidR="00481FF8">
        <w:rPr>
          <w:rFonts w:ascii="Times New Roman" w:hAnsi="Times New Roman" w:cs="Times New Roman"/>
          <w:sz w:val="24"/>
          <w:szCs w:val="24"/>
        </w:rPr>
        <w:t xml:space="preserve">nly </w:t>
      </w:r>
      <w:r w:rsidRPr="00915AB4" w:rsidR="008E24FA">
        <w:rPr>
          <w:rFonts w:ascii="Times New Roman" w:hAnsi="Times New Roman" w:cs="Times New Roman"/>
          <w:sz w:val="24"/>
          <w:szCs w:val="24"/>
        </w:rPr>
        <w:t>an action</w:t>
      </w:r>
      <w:r w:rsidRPr="00915AB4" w:rsidR="00DB4763">
        <w:rPr>
          <w:rFonts w:ascii="Times New Roman" w:hAnsi="Times New Roman" w:cs="Times New Roman"/>
          <w:sz w:val="24"/>
          <w:szCs w:val="24"/>
        </w:rPr>
        <w:t xml:space="preserve"> by the regulator allows a utility to treat an expense as an asset, thereby moving the expense from the utility’s income statement to its balance sheet.</w:t>
      </w:r>
      <w:r>
        <w:rPr>
          <w:rStyle w:val="FootnoteReference"/>
          <w:rFonts w:ascii="Times New Roman" w:hAnsi="Times New Roman" w:cs="Times New Roman"/>
          <w:sz w:val="24"/>
          <w:szCs w:val="24"/>
        </w:rPr>
        <w:footnoteReference w:id="18"/>
      </w:r>
      <w:r w:rsidRPr="00915AB4" w:rsidR="00DB4763">
        <w:rPr>
          <w:rFonts w:ascii="Times New Roman" w:hAnsi="Times New Roman" w:cs="Times New Roman"/>
          <w:sz w:val="24"/>
          <w:szCs w:val="24"/>
        </w:rPr>
        <w:t xml:space="preserve"> The expense</w:t>
      </w:r>
      <w:r w:rsidR="00FC3920">
        <w:rPr>
          <w:rFonts w:ascii="Times New Roman" w:hAnsi="Times New Roman" w:cs="Times New Roman"/>
          <w:sz w:val="24"/>
          <w:szCs w:val="24"/>
        </w:rPr>
        <w:t>-</w:t>
      </w:r>
      <w:r w:rsidRPr="00915AB4" w:rsidR="001D0AFA">
        <w:rPr>
          <w:rFonts w:ascii="Times New Roman" w:hAnsi="Times New Roman" w:cs="Times New Roman"/>
          <w:sz w:val="24"/>
          <w:szCs w:val="24"/>
        </w:rPr>
        <w:t xml:space="preserve">turned regulatory asset can then be deferred, if certain requirements are met, for </w:t>
      </w:r>
      <w:r w:rsidR="00FC3920">
        <w:rPr>
          <w:rFonts w:ascii="Times New Roman" w:hAnsi="Times New Roman" w:cs="Times New Roman"/>
          <w:sz w:val="24"/>
          <w:szCs w:val="24"/>
        </w:rPr>
        <w:t xml:space="preserve">possible </w:t>
      </w:r>
      <w:r w:rsidRPr="00915AB4" w:rsidR="001D0AFA">
        <w:rPr>
          <w:rFonts w:ascii="Times New Roman" w:hAnsi="Times New Roman" w:cs="Times New Roman"/>
          <w:sz w:val="24"/>
          <w:szCs w:val="24"/>
        </w:rPr>
        <w:t>future collection from consumers.</w:t>
      </w:r>
      <w:r>
        <w:rPr>
          <w:rStyle w:val="FootnoteReference"/>
          <w:rFonts w:ascii="Times New Roman" w:hAnsi="Times New Roman" w:cs="Times New Roman"/>
          <w:sz w:val="24"/>
          <w:szCs w:val="24"/>
        </w:rPr>
        <w:footnoteReference w:id="19"/>
      </w:r>
      <w:r w:rsidRPr="00915AB4" w:rsidR="00655675">
        <w:rPr>
          <w:rFonts w:ascii="Times New Roman" w:hAnsi="Times New Roman" w:cs="Times New Roman"/>
          <w:sz w:val="24"/>
          <w:szCs w:val="24"/>
        </w:rPr>
        <w:t xml:space="preserve"> </w:t>
      </w:r>
    </w:p>
    <w:p w:rsidR="001F62FA" w:rsidRPr="00915AB4" w:rsidP="008547F1" w14:paraId="37634D07" w14:textId="371BB246">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 xml:space="preserve">Utility capital expenditures are not deferred for future collection from </w:t>
      </w:r>
      <w:r w:rsidRPr="00915AB4" w:rsidR="00B22278">
        <w:rPr>
          <w:rFonts w:ascii="Times New Roman" w:hAnsi="Times New Roman" w:cs="Times New Roman"/>
          <w:sz w:val="24"/>
          <w:szCs w:val="24"/>
        </w:rPr>
        <w:t>consumers</w:t>
      </w:r>
      <w:r w:rsidRPr="00915AB4">
        <w:rPr>
          <w:rFonts w:ascii="Times New Roman" w:hAnsi="Times New Roman" w:cs="Times New Roman"/>
          <w:sz w:val="24"/>
          <w:szCs w:val="24"/>
        </w:rPr>
        <w:t>, per accounting rules.</w:t>
      </w:r>
      <w:r>
        <w:rPr>
          <w:rStyle w:val="FootnoteReference"/>
          <w:rFonts w:ascii="Times New Roman" w:hAnsi="Times New Roman" w:cs="Times New Roman"/>
          <w:sz w:val="24"/>
          <w:szCs w:val="24"/>
        </w:rPr>
        <w:footnoteReference w:id="20"/>
      </w:r>
      <w:r w:rsidRPr="00915AB4" w:rsidR="00655675">
        <w:rPr>
          <w:rFonts w:ascii="Times New Roman" w:hAnsi="Times New Roman" w:cs="Times New Roman"/>
          <w:sz w:val="24"/>
          <w:szCs w:val="24"/>
        </w:rPr>
        <w:t xml:space="preserve"> </w:t>
      </w:r>
      <w:r w:rsidRPr="00915AB4" w:rsidR="001D0AFA">
        <w:rPr>
          <w:rFonts w:ascii="Times New Roman" w:hAnsi="Times New Roman" w:cs="Times New Roman"/>
          <w:sz w:val="24"/>
          <w:szCs w:val="24"/>
        </w:rPr>
        <w:t xml:space="preserve">Capital </w:t>
      </w:r>
      <w:r w:rsidR="00432611">
        <w:rPr>
          <w:rFonts w:ascii="Times New Roman" w:hAnsi="Times New Roman" w:cs="Times New Roman"/>
          <w:sz w:val="24"/>
          <w:szCs w:val="24"/>
        </w:rPr>
        <w:t xml:space="preserve">costs </w:t>
      </w:r>
      <w:r w:rsidRPr="00915AB4" w:rsidR="001D0AFA">
        <w:rPr>
          <w:rFonts w:ascii="Times New Roman" w:hAnsi="Times New Roman" w:cs="Times New Roman"/>
          <w:sz w:val="24"/>
          <w:szCs w:val="24"/>
        </w:rPr>
        <w:t xml:space="preserve">are </w:t>
      </w:r>
      <w:r w:rsidRPr="00915AB4" w:rsidR="001D0AFA">
        <w:rPr>
          <w:rFonts w:ascii="Times New Roman" w:hAnsi="Times New Roman" w:cs="Times New Roman"/>
          <w:i/>
          <w:iCs/>
          <w:sz w:val="24"/>
          <w:szCs w:val="24"/>
        </w:rPr>
        <w:t xml:space="preserve">already </w:t>
      </w:r>
      <w:r w:rsidRPr="00C271F4" w:rsidR="00432611">
        <w:rPr>
          <w:rFonts w:ascii="Times New Roman" w:hAnsi="Times New Roman" w:cs="Times New Roman"/>
          <w:sz w:val="24"/>
          <w:szCs w:val="24"/>
        </w:rPr>
        <w:t>reflected</w:t>
      </w:r>
      <w:r w:rsidR="00432611">
        <w:rPr>
          <w:rFonts w:ascii="Times New Roman" w:hAnsi="Times New Roman" w:cs="Times New Roman"/>
          <w:i/>
          <w:iCs/>
          <w:sz w:val="24"/>
          <w:szCs w:val="24"/>
        </w:rPr>
        <w:t xml:space="preserve"> </w:t>
      </w:r>
      <w:r w:rsidRPr="00915AB4" w:rsidR="001D0AFA">
        <w:rPr>
          <w:rFonts w:ascii="Times New Roman" w:hAnsi="Times New Roman" w:cs="Times New Roman"/>
          <w:sz w:val="24"/>
          <w:szCs w:val="24"/>
        </w:rPr>
        <w:t>on the balance sheet</w:t>
      </w:r>
      <w:r w:rsidR="00432611">
        <w:rPr>
          <w:rFonts w:ascii="Times New Roman" w:hAnsi="Times New Roman" w:cs="Times New Roman"/>
          <w:sz w:val="24"/>
          <w:szCs w:val="24"/>
        </w:rPr>
        <w:t xml:space="preserve"> as an asset, but not a regulatory asset</w:t>
      </w:r>
      <w:r w:rsidRPr="00915AB4" w:rsidR="001D0AFA">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sidR="001D0AFA">
        <w:rPr>
          <w:rFonts w:ascii="Times New Roman" w:hAnsi="Times New Roman" w:cs="Times New Roman"/>
          <w:sz w:val="24"/>
          <w:szCs w:val="24"/>
        </w:rPr>
        <w:t xml:space="preserve">They may </w:t>
      </w:r>
      <w:r w:rsidRPr="00915AB4" w:rsidR="001D0AFA">
        <w:rPr>
          <w:rFonts w:ascii="Times New Roman" w:hAnsi="Times New Roman" w:cs="Times New Roman"/>
          <w:i/>
          <w:iCs/>
          <w:sz w:val="24"/>
          <w:szCs w:val="24"/>
        </w:rPr>
        <w:t xml:space="preserve">already </w:t>
      </w:r>
      <w:r w:rsidRPr="00915AB4" w:rsidR="001D0AFA">
        <w:rPr>
          <w:rFonts w:ascii="Times New Roman" w:hAnsi="Times New Roman" w:cs="Times New Roman"/>
          <w:sz w:val="24"/>
          <w:szCs w:val="24"/>
        </w:rPr>
        <w:t>be collected from consumers in a base rate case (or, in Ohio, in a capital expenditure program).</w:t>
      </w:r>
      <w:r>
        <w:rPr>
          <w:rStyle w:val="FootnoteReference"/>
          <w:rFonts w:ascii="Times New Roman" w:hAnsi="Times New Roman" w:cs="Times New Roman"/>
          <w:sz w:val="24"/>
          <w:szCs w:val="24"/>
        </w:rPr>
        <w:footnoteReference w:id="21"/>
      </w:r>
      <w:r w:rsidRPr="00915AB4" w:rsidR="00655675">
        <w:rPr>
          <w:rFonts w:ascii="Times New Roman" w:hAnsi="Times New Roman" w:cs="Times New Roman"/>
          <w:sz w:val="24"/>
          <w:szCs w:val="24"/>
        </w:rPr>
        <w:t xml:space="preserve"> </w:t>
      </w:r>
      <w:r w:rsidRPr="00915AB4" w:rsidR="009E34D6">
        <w:rPr>
          <w:rFonts w:ascii="Times New Roman" w:hAnsi="Times New Roman" w:cs="Times New Roman"/>
          <w:sz w:val="24"/>
          <w:szCs w:val="24"/>
        </w:rPr>
        <w:t>Capital expenditures are not regulatory assets.</w:t>
      </w:r>
      <w:r w:rsidRPr="00915AB4" w:rsidR="00655675">
        <w:rPr>
          <w:rFonts w:ascii="Times New Roman" w:hAnsi="Times New Roman" w:cs="Times New Roman"/>
          <w:sz w:val="24"/>
          <w:szCs w:val="24"/>
        </w:rPr>
        <w:t xml:space="preserve"> </w:t>
      </w:r>
      <w:r w:rsidRPr="00915AB4" w:rsidR="0095373E">
        <w:rPr>
          <w:rFonts w:ascii="Times New Roman" w:hAnsi="Times New Roman" w:cs="Times New Roman"/>
          <w:sz w:val="24"/>
          <w:szCs w:val="24"/>
        </w:rPr>
        <w:t>Once approved by the PUCO, e</w:t>
      </w:r>
      <w:r w:rsidRPr="00915AB4" w:rsidR="009E34D6">
        <w:rPr>
          <w:rFonts w:ascii="Times New Roman" w:hAnsi="Times New Roman" w:cs="Times New Roman"/>
          <w:sz w:val="24"/>
          <w:szCs w:val="24"/>
        </w:rPr>
        <w:t>xpenses are</w:t>
      </w:r>
      <w:r w:rsidR="00C135FA">
        <w:rPr>
          <w:rFonts w:ascii="Times New Roman" w:hAnsi="Times New Roman" w:cs="Times New Roman"/>
          <w:sz w:val="24"/>
          <w:szCs w:val="24"/>
        </w:rPr>
        <w:t xml:space="preserve"> regulatory assets</w:t>
      </w:r>
      <w:r w:rsidRPr="00915AB4" w:rsidR="009E34D6">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sidR="009E34D6">
        <w:rPr>
          <w:rFonts w:ascii="Times New Roman" w:hAnsi="Times New Roman" w:cs="Times New Roman"/>
          <w:sz w:val="24"/>
          <w:szCs w:val="24"/>
        </w:rPr>
        <w:t xml:space="preserve">Under </w:t>
      </w:r>
      <w:r w:rsidRPr="00915AB4" w:rsidR="00636872">
        <w:rPr>
          <w:rFonts w:ascii="Times New Roman" w:hAnsi="Times New Roman" w:cs="Times New Roman"/>
          <w:sz w:val="24"/>
          <w:szCs w:val="24"/>
        </w:rPr>
        <w:t xml:space="preserve">R.C. 4939.07 </w:t>
      </w:r>
      <w:r w:rsidRPr="00915AB4" w:rsidR="009E34D6">
        <w:rPr>
          <w:rFonts w:ascii="Times New Roman" w:hAnsi="Times New Roman" w:cs="Times New Roman"/>
          <w:sz w:val="24"/>
          <w:szCs w:val="24"/>
        </w:rPr>
        <w:t>(D)(1)</w:t>
      </w:r>
      <w:r w:rsidRPr="00915AB4">
        <w:rPr>
          <w:rFonts w:ascii="Times New Roman" w:hAnsi="Times New Roman" w:cs="Times New Roman"/>
          <w:sz w:val="24"/>
          <w:szCs w:val="24"/>
        </w:rPr>
        <w:t>,</w:t>
      </w:r>
      <w:r w:rsidRPr="00915AB4" w:rsidR="009E34D6">
        <w:rPr>
          <w:rFonts w:ascii="Times New Roman" w:hAnsi="Times New Roman" w:cs="Times New Roman"/>
          <w:sz w:val="24"/>
          <w:szCs w:val="24"/>
        </w:rPr>
        <w:t xml:space="preserve"> the PUCO is given authority to classify (D)(2) costs as a regulatory asset. And since capital investment</w:t>
      </w:r>
      <w:r w:rsidRPr="00915AB4">
        <w:rPr>
          <w:rFonts w:ascii="Times New Roman" w:hAnsi="Times New Roman" w:cs="Times New Roman"/>
          <w:sz w:val="24"/>
          <w:szCs w:val="24"/>
        </w:rPr>
        <w:t>s</w:t>
      </w:r>
      <w:r w:rsidRPr="00915AB4" w:rsidR="009E34D6">
        <w:rPr>
          <w:rFonts w:ascii="Times New Roman" w:hAnsi="Times New Roman" w:cs="Times New Roman"/>
          <w:sz w:val="24"/>
          <w:szCs w:val="24"/>
        </w:rPr>
        <w:t xml:space="preserve"> cannot be authorized as regulatory asset</w:t>
      </w:r>
      <w:r w:rsidRPr="00915AB4">
        <w:rPr>
          <w:rFonts w:ascii="Times New Roman" w:hAnsi="Times New Roman" w:cs="Times New Roman"/>
          <w:sz w:val="24"/>
          <w:szCs w:val="24"/>
        </w:rPr>
        <w:t>s</w:t>
      </w:r>
      <w:r w:rsidRPr="00915AB4" w:rsidR="009E34D6">
        <w:rPr>
          <w:rFonts w:ascii="Times New Roman" w:hAnsi="Times New Roman" w:cs="Times New Roman"/>
          <w:sz w:val="24"/>
          <w:szCs w:val="24"/>
        </w:rPr>
        <w:t>, it must follow that the (D)(2) costs are limited to expenses and not capital investment costs.</w:t>
      </w:r>
      <w:r w:rsidRPr="00915AB4" w:rsidR="00655675">
        <w:rPr>
          <w:rFonts w:ascii="Times New Roman" w:hAnsi="Times New Roman" w:cs="Times New Roman"/>
          <w:sz w:val="24"/>
          <w:szCs w:val="24"/>
        </w:rPr>
        <w:t xml:space="preserve"> </w:t>
      </w:r>
    </w:p>
    <w:p w:rsidR="009E34D6" w:rsidRPr="00915AB4" w:rsidP="008547F1" w14:paraId="7FB41362" w14:textId="6F14A0B1">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 xml:space="preserve">The PUCO should have </w:t>
      </w:r>
      <w:r w:rsidR="00D85D1D">
        <w:rPr>
          <w:rFonts w:ascii="Times New Roman" w:hAnsi="Times New Roman" w:cs="Times New Roman"/>
          <w:sz w:val="24"/>
          <w:szCs w:val="24"/>
        </w:rPr>
        <w:t xml:space="preserve">applied </w:t>
      </w:r>
      <w:r w:rsidRPr="00915AB4">
        <w:rPr>
          <w:rFonts w:ascii="Times New Roman" w:hAnsi="Times New Roman" w:cs="Times New Roman"/>
          <w:sz w:val="24"/>
          <w:szCs w:val="24"/>
        </w:rPr>
        <w:t>R.C. 4939.07 accordingly.</w:t>
      </w:r>
      <w:r w:rsidR="00C135FA">
        <w:rPr>
          <w:rFonts w:ascii="Times New Roman" w:hAnsi="Times New Roman" w:cs="Times New Roman"/>
          <w:sz w:val="24"/>
          <w:szCs w:val="24"/>
        </w:rPr>
        <w:t xml:space="preserve"> </w:t>
      </w:r>
      <w:r w:rsidRPr="00915AB4">
        <w:rPr>
          <w:rFonts w:ascii="Times New Roman" w:hAnsi="Times New Roman" w:cs="Times New Roman"/>
          <w:sz w:val="24"/>
          <w:szCs w:val="24"/>
        </w:rPr>
        <w:t>The PUCO should have recognized that the General Assembly purposefully used technical terms with known meanings within the utility regulatory world and rejected Ohio Gas’s attempt to collect capital project costs that should be collected through other more traditional ratemaking processes</w:t>
      </w:r>
      <w:r w:rsidRPr="00915AB4" w:rsidR="001F62FA">
        <w:rPr>
          <w:rFonts w:ascii="Times New Roman" w:hAnsi="Times New Roman" w:cs="Times New Roman"/>
          <w:sz w:val="24"/>
          <w:szCs w:val="24"/>
        </w:rPr>
        <w:t xml:space="preserve"> from consumers</w:t>
      </w:r>
      <w:r w:rsidRPr="00915AB4">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sidR="00EF0097">
        <w:rPr>
          <w:rFonts w:ascii="Times New Roman" w:hAnsi="Times New Roman" w:cs="Times New Roman"/>
          <w:sz w:val="24"/>
          <w:szCs w:val="24"/>
        </w:rPr>
        <w:t>T</w:t>
      </w:r>
      <w:r w:rsidRPr="00915AB4">
        <w:rPr>
          <w:rFonts w:ascii="Times New Roman" w:hAnsi="Times New Roman" w:cs="Times New Roman"/>
          <w:sz w:val="24"/>
          <w:szCs w:val="24"/>
        </w:rPr>
        <w:t>he PUCO simply ignored the General Assembly’s words and their contextual meaning.</w:t>
      </w:r>
      <w:r w:rsidRPr="00915AB4" w:rsidR="00655675">
        <w:rPr>
          <w:rFonts w:ascii="Times New Roman" w:hAnsi="Times New Roman" w:cs="Times New Roman"/>
          <w:sz w:val="24"/>
          <w:szCs w:val="24"/>
        </w:rPr>
        <w:t xml:space="preserve"> </w:t>
      </w:r>
    </w:p>
    <w:p w:rsidR="00D85D1D" w:rsidP="008547F1" w14:paraId="1FA0DCED" w14:textId="63CAFFDE">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 xml:space="preserve">The costs described in </w:t>
      </w:r>
      <w:r w:rsidRPr="00915AB4" w:rsidR="001F62FA">
        <w:rPr>
          <w:rFonts w:ascii="Times New Roman" w:hAnsi="Times New Roman" w:cs="Times New Roman"/>
          <w:sz w:val="24"/>
          <w:szCs w:val="24"/>
        </w:rPr>
        <w:t xml:space="preserve">R.C. 4939.07 </w:t>
      </w:r>
      <w:r w:rsidRPr="00915AB4">
        <w:rPr>
          <w:rFonts w:ascii="Times New Roman" w:hAnsi="Times New Roman" w:cs="Times New Roman"/>
          <w:sz w:val="24"/>
          <w:szCs w:val="24"/>
        </w:rPr>
        <w:t>(D)(2) confirm that expenses, not capital investment</w:t>
      </w:r>
      <w:r w:rsidR="00432611">
        <w:rPr>
          <w:rFonts w:ascii="Times New Roman" w:hAnsi="Times New Roman" w:cs="Times New Roman"/>
          <w:sz w:val="24"/>
          <w:szCs w:val="24"/>
        </w:rPr>
        <w:t xml:space="preserve"> costs</w:t>
      </w:r>
      <w:r w:rsidRPr="00915AB4">
        <w:rPr>
          <w:rFonts w:ascii="Times New Roman" w:hAnsi="Times New Roman" w:cs="Times New Roman"/>
          <w:sz w:val="24"/>
          <w:szCs w:val="24"/>
        </w:rPr>
        <w:t>, are collectible from consumers under the statute.</w:t>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 xml:space="preserve">Two requirements must be met before a </w:t>
      </w:r>
      <w:r w:rsidRPr="00915AB4" w:rsidR="001F62FA">
        <w:rPr>
          <w:rFonts w:ascii="Times New Roman" w:hAnsi="Times New Roman" w:cs="Times New Roman"/>
          <w:sz w:val="24"/>
          <w:szCs w:val="24"/>
        </w:rPr>
        <w:t xml:space="preserve">R.C. 4939.07 </w:t>
      </w:r>
      <w:r w:rsidRPr="00915AB4">
        <w:rPr>
          <w:rFonts w:ascii="Times New Roman" w:hAnsi="Times New Roman" w:cs="Times New Roman"/>
          <w:sz w:val="24"/>
          <w:szCs w:val="24"/>
        </w:rPr>
        <w:t xml:space="preserve">(D)(2) cost may be </w:t>
      </w:r>
      <w:r w:rsidRPr="00915AB4" w:rsidR="00DD3A80">
        <w:rPr>
          <w:rFonts w:ascii="Times New Roman" w:hAnsi="Times New Roman" w:cs="Times New Roman"/>
          <w:sz w:val="24"/>
          <w:szCs w:val="24"/>
        </w:rPr>
        <w:t xml:space="preserve">classified as a regulatory asset under </w:t>
      </w:r>
      <w:r w:rsidRPr="00915AB4" w:rsidR="00503E9D">
        <w:rPr>
          <w:rFonts w:ascii="Times New Roman" w:hAnsi="Times New Roman" w:cs="Times New Roman"/>
          <w:sz w:val="24"/>
          <w:szCs w:val="24"/>
        </w:rPr>
        <w:t xml:space="preserve">R.C. 4939.07 </w:t>
      </w:r>
      <w:r w:rsidRPr="00915AB4" w:rsidR="00DD3A80">
        <w:rPr>
          <w:rFonts w:ascii="Times New Roman" w:hAnsi="Times New Roman" w:cs="Times New Roman"/>
          <w:sz w:val="24"/>
          <w:szCs w:val="24"/>
        </w:rPr>
        <w:t>(D)(1).</w:t>
      </w:r>
      <w:r w:rsidRPr="00915AB4" w:rsidR="00655675">
        <w:rPr>
          <w:rFonts w:ascii="Times New Roman" w:hAnsi="Times New Roman" w:cs="Times New Roman"/>
          <w:sz w:val="24"/>
          <w:szCs w:val="24"/>
        </w:rPr>
        <w:t xml:space="preserve"> </w:t>
      </w:r>
    </w:p>
    <w:p w:rsidR="001D39F5" w:rsidRPr="00915AB4" w:rsidP="008547F1" w14:paraId="712AC208" w14:textId="069F12CC">
      <w:pPr>
        <w:spacing w:after="0" w:line="480" w:lineRule="auto"/>
        <w:ind w:firstLine="720"/>
        <w:rPr>
          <w:rFonts w:ascii="Times New Roman" w:hAnsi="Times New Roman" w:cs="Times New Roman"/>
          <w:color w:val="333333"/>
          <w:sz w:val="24"/>
          <w:szCs w:val="24"/>
          <w:shd w:val="clear" w:color="auto" w:fill="FFFFFF"/>
        </w:rPr>
      </w:pPr>
      <w:r w:rsidRPr="00915AB4">
        <w:rPr>
          <w:rFonts w:ascii="Times New Roman" w:hAnsi="Times New Roman" w:cs="Times New Roman"/>
          <w:sz w:val="24"/>
          <w:szCs w:val="24"/>
        </w:rPr>
        <w:t xml:space="preserve">First, </w:t>
      </w:r>
      <w:r w:rsidRPr="00915AB4">
        <w:rPr>
          <w:rFonts w:ascii="Times New Roman" w:hAnsi="Times New Roman" w:cs="Times New Roman"/>
          <w:color w:val="333333"/>
          <w:sz w:val="24"/>
          <w:szCs w:val="24"/>
          <w:shd w:val="clear" w:color="auto" w:fill="FFFFFF"/>
        </w:rPr>
        <w:t>“[t]he cost is directly incurred by the public utility as a result of local regulation of its occupancy or use of a public way or an appropriate allocation and assignment of costs related to implementation of this section, excluding any cost arising from a public way fee levied upon and payable by the public utility.”</w:t>
      </w:r>
      <w:r>
        <w:rPr>
          <w:rStyle w:val="FootnoteReference"/>
          <w:rFonts w:ascii="Times New Roman" w:hAnsi="Times New Roman" w:cs="Times New Roman"/>
          <w:color w:val="333333"/>
          <w:sz w:val="24"/>
          <w:szCs w:val="24"/>
          <w:shd w:val="clear" w:color="auto" w:fill="FFFFFF"/>
        </w:rPr>
        <w:footnoteReference w:id="22"/>
      </w:r>
      <w:r w:rsidRPr="00915AB4" w:rsidR="00655675">
        <w:rPr>
          <w:rFonts w:ascii="Times New Roman" w:hAnsi="Times New Roman" w:cs="Times New Roman"/>
          <w:color w:val="333333"/>
          <w:sz w:val="24"/>
          <w:szCs w:val="24"/>
          <w:shd w:val="clear" w:color="auto" w:fill="FFFFFF"/>
        </w:rPr>
        <w:t xml:space="preserve"> </w:t>
      </w:r>
      <w:r w:rsidRPr="00915AB4">
        <w:rPr>
          <w:rFonts w:ascii="Times New Roman" w:hAnsi="Times New Roman" w:cs="Times New Roman"/>
          <w:color w:val="333333"/>
          <w:sz w:val="24"/>
          <w:szCs w:val="24"/>
          <w:shd w:val="clear" w:color="auto" w:fill="FFFFFF"/>
        </w:rPr>
        <w:t xml:space="preserve">Second, “[t]he cost is incurred by the public utility both after January 1, 2002, </w:t>
      </w:r>
      <w:r w:rsidRPr="00915AB4">
        <w:rPr>
          <w:rFonts w:ascii="Times New Roman" w:hAnsi="Times New Roman" w:cs="Times New Roman"/>
          <w:i/>
          <w:iCs/>
          <w:color w:val="333333"/>
          <w:sz w:val="24"/>
          <w:szCs w:val="24"/>
          <w:shd w:val="clear" w:color="auto" w:fill="FFFFFF"/>
        </w:rPr>
        <w:t>and after the test year of the public utility's most recent rate proceeding</w:t>
      </w:r>
      <w:r w:rsidRPr="00915AB4">
        <w:rPr>
          <w:rFonts w:ascii="Times New Roman" w:hAnsi="Times New Roman" w:cs="Times New Roman"/>
          <w:color w:val="333333"/>
          <w:sz w:val="24"/>
          <w:szCs w:val="24"/>
          <w:shd w:val="clear" w:color="auto" w:fill="FFFFFF"/>
        </w:rPr>
        <w:t xml:space="preserve"> or the initial effective date of rates in effect but not established through a proceeding for an increase in rates.”</w:t>
      </w:r>
      <w:r>
        <w:rPr>
          <w:rStyle w:val="FootnoteReference"/>
          <w:rFonts w:ascii="Times New Roman" w:hAnsi="Times New Roman" w:cs="Times New Roman"/>
          <w:color w:val="333333"/>
          <w:sz w:val="24"/>
          <w:szCs w:val="24"/>
          <w:shd w:val="clear" w:color="auto" w:fill="FFFFFF"/>
        </w:rPr>
        <w:footnoteReference w:id="23"/>
      </w:r>
      <w:r w:rsidRPr="00915AB4" w:rsidR="00655675">
        <w:rPr>
          <w:rFonts w:ascii="Times New Roman" w:hAnsi="Times New Roman" w:cs="Times New Roman"/>
          <w:color w:val="333333"/>
          <w:sz w:val="24"/>
          <w:szCs w:val="24"/>
          <w:shd w:val="clear" w:color="auto" w:fill="FFFFFF"/>
        </w:rPr>
        <w:t xml:space="preserve"> </w:t>
      </w:r>
      <w:r w:rsidRPr="00915AB4">
        <w:rPr>
          <w:rFonts w:ascii="Times New Roman" w:hAnsi="Times New Roman" w:cs="Times New Roman"/>
          <w:color w:val="333333"/>
          <w:sz w:val="24"/>
          <w:szCs w:val="24"/>
          <w:shd w:val="clear" w:color="auto" w:fill="FFFFFF"/>
        </w:rPr>
        <w:t>The term “test year” has a known, technical, particular meaning in public utility regulation (and consistent with the General Assembly’s directive,</w:t>
      </w:r>
      <w:r>
        <w:rPr>
          <w:rStyle w:val="FootnoteReference"/>
          <w:rFonts w:ascii="Times New Roman" w:hAnsi="Times New Roman" w:cs="Times New Roman"/>
          <w:color w:val="333333"/>
          <w:sz w:val="24"/>
          <w:szCs w:val="24"/>
          <w:shd w:val="clear" w:color="auto" w:fill="FFFFFF"/>
        </w:rPr>
        <w:footnoteReference w:id="24"/>
      </w:r>
      <w:r w:rsidRPr="00915AB4">
        <w:rPr>
          <w:rFonts w:ascii="Times New Roman" w:hAnsi="Times New Roman" w:cs="Times New Roman"/>
          <w:color w:val="333333"/>
          <w:sz w:val="24"/>
          <w:szCs w:val="24"/>
          <w:shd w:val="clear" w:color="auto" w:fill="FFFFFF"/>
        </w:rPr>
        <w:t xml:space="preserve"> that known, technical, particular meaning should be ascribed to it).</w:t>
      </w:r>
      <w:r w:rsidR="00065BCE">
        <w:rPr>
          <w:rFonts w:ascii="Times New Roman" w:hAnsi="Times New Roman" w:cs="Times New Roman"/>
          <w:color w:val="333333"/>
          <w:sz w:val="24"/>
          <w:szCs w:val="24"/>
          <w:shd w:val="clear" w:color="auto" w:fill="FFFFFF"/>
        </w:rPr>
        <w:t xml:space="preserve"> </w:t>
      </w:r>
    </w:p>
    <w:p w:rsidR="00FF5C8B" w:rsidRPr="00915AB4" w:rsidP="00FF5C8B" w14:paraId="0E82748B" w14:textId="5E9EAC7D">
      <w:pPr>
        <w:spacing w:after="0" w:line="480" w:lineRule="auto"/>
        <w:ind w:firstLine="720"/>
        <w:rPr>
          <w:rFonts w:ascii="Times New Roman" w:hAnsi="Times New Roman" w:cs="Times New Roman"/>
          <w:color w:val="333333"/>
          <w:sz w:val="24"/>
          <w:szCs w:val="24"/>
          <w:shd w:val="clear" w:color="auto" w:fill="FFFFFF"/>
        </w:rPr>
      </w:pPr>
      <w:r w:rsidRPr="00915AB4">
        <w:rPr>
          <w:rFonts w:ascii="Times New Roman" w:hAnsi="Times New Roman" w:cs="Times New Roman"/>
          <w:color w:val="333333"/>
          <w:sz w:val="24"/>
          <w:szCs w:val="24"/>
          <w:shd w:val="clear" w:color="auto" w:fill="FFFFFF"/>
        </w:rPr>
        <w:t xml:space="preserve">Section (D)(3) of </w:t>
      </w:r>
      <w:r w:rsidRPr="00915AB4" w:rsidR="00607308">
        <w:rPr>
          <w:rFonts w:ascii="Times New Roman" w:hAnsi="Times New Roman" w:cs="Times New Roman"/>
          <w:color w:val="333333"/>
          <w:sz w:val="24"/>
          <w:szCs w:val="24"/>
          <w:shd w:val="clear" w:color="auto" w:fill="FFFFFF"/>
        </w:rPr>
        <w:t>R.C. 4939.07</w:t>
      </w:r>
      <w:r w:rsidRPr="00915AB4">
        <w:rPr>
          <w:rFonts w:ascii="Times New Roman" w:hAnsi="Times New Roman" w:cs="Times New Roman"/>
          <w:color w:val="333333"/>
          <w:sz w:val="24"/>
          <w:szCs w:val="24"/>
          <w:shd w:val="clear" w:color="auto" w:fill="FFFFFF"/>
        </w:rPr>
        <w:t xml:space="preserve"> permits immediate collection of </w:t>
      </w:r>
      <w:r w:rsidRPr="00915AB4" w:rsidR="00607308">
        <w:rPr>
          <w:rFonts w:ascii="Times New Roman" w:hAnsi="Times New Roman" w:cs="Times New Roman"/>
          <w:color w:val="333333"/>
          <w:sz w:val="24"/>
          <w:szCs w:val="24"/>
          <w:shd w:val="clear" w:color="auto" w:fill="FFFFFF"/>
        </w:rPr>
        <w:t xml:space="preserve">Section </w:t>
      </w:r>
      <w:r w:rsidRPr="00915AB4">
        <w:rPr>
          <w:rFonts w:ascii="Times New Roman" w:hAnsi="Times New Roman" w:cs="Times New Roman"/>
          <w:color w:val="333333"/>
          <w:sz w:val="24"/>
          <w:szCs w:val="24"/>
          <w:shd w:val="clear" w:color="auto" w:fill="FFFFFF"/>
        </w:rPr>
        <w:t xml:space="preserve">(D)(2) costs classified as a regulatory asset under </w:t>
      </w:r>
      <w:r w:rsidRPr="00915AB4" w:rsidR="00607308">
        <w:rPr>
          <w:rFonts w:ascii="Times New Roman" w:hAnsi="Times New Roman" w:cs="Times New Roman"/>
          <w:color w:val="333333"/>
          <w:sz w:val="24"/>
          <w:szCs w:val="24"/>
          <w:shd w:val="clear" w:color="auto" w:fill="FFFFFF"/>
        </w:rPr>
        <w:t xml:space="preserve">Section </w:t>
      </w:r>
      <w:r w:rsidRPr="00915AB4">
        <w:rPr>
          <w:rFonts w:ascii="Times New Roman" w:hAnsi="Times New Roman" w:cs="Times New Roman"/>
          <w:color w:val="333333"/>
          <w:sz w:val="24"/>
          <w:szCs w:val="24"/>
          <w:shd w:val="clear" w:color="auto" w:fill="FFFFFF"/>
        </w:rPr>
        <w:t>D(1) upon a showing by the utility that deferring collecting the costs would be impractical or work a hardship on the utility or consumers.</w:t>
      </w:r>
      <w:r>
        <w:rPr>
          <w:rStyle w:val="FootnoteReference"/>
          <w:rFonts w:ascii="Times New Roman" w:hAnsi="Times New Roman" w:cs="Times New Roman"/>
          <w:color w:val="333333"/>
          <w:sz w:val="24"/>
          <w:szCs w:val="24"/>
          <w:shd w:val="clear" w:color="auto" w:fill="FFFFFF"/>
        </w:rPr>
        <w:footnoteReference w:id="25"/>
      </w:r>
      <w:r w:rsidRPr="00915AB4" w:rsidR="00655675">
        <w:rPr>
          <w:rFonts w:ascii="Times New Roman" w:hAnsi="Times New Roman" w:cs="Times New Roman"/>
          <w:color w:val="333333"/>
          <w:sz w:val="24"/>
          <w:szCs w:val="24"/>
          <w:shd w:val="clear" w:color="auto" w:fill="FFFFFF"/>
        </w:rPr>
        <w:t xml:space="preserve"> </w:t>
      </w:r>
      <w:r w:rsidRPr="00915AB4">
        <w:rPr>
          <w:rFonts w:ascii="Times New Roman" w:hAnsi="Times New Roman" w:cs="Times New Roman"/>
          <w:color w:val="333333"/>
          <w:sz w:val="24"/>
          <w:szCs w:val="24"/>
          <w:shd w:val="clear" w:color="auto" w:fill="FFFFFF"/>
        </w:rPr>
        <w:t>Once again, the statute uses the term “regulatory asset,” which has a known, technical, particular meaning.</w:t>
      </w:r>
      <w:r w:rsidRPr="00915AB4" w:rsidR="00655675">
        <w:rPr>
          <w:rFonts w:ascii="Times New Roman" w:hAnsi="Times New Roman" w:cs="Times New Roman"/>
          <w:color w:val="333333"/>
          <w:sz w:val="24"/>
          <w:szCs w:val="24"/>
          <w:shd w:val="clear" w:color="auto" w:fill="FFFFFF"/>
        </w:rPr>
        <w:t xml:space="preserve"> </w:t>
      </w:r>
      <w:r w:rsidRPr="00915AB4">
        <w:rPr>
          <w:rFonts w:ascii="Times New Roman" w:hAnsi="Times New Roman" w:cs="Times New Roman"/>
          <w:color w:val="333333"/>
          <w:sz w:val="24"/>
          <w:szCs w:val="24"/>
          <w:shd w:val="clear" w:color="auto" w:fill="FFFFFF"/>
        </w:rPr>
        <w:t xml:space="preserve">And </w:t>
      </w:r>
      <w:r w:rsidRPr="00915AB4" w:rsidR="00C7508D">
        <w:rPr>
          <w:rFonts w:ascii="Times New Roman" w:hAnsi="Times New Roman" w:cs="Times New Roman"/>
          <w:color w:val="333333"/>
          <w:sz w:val="24"/>
          <w:szCs w:val="24"/>
          <w:shd w:val="clear" w:color="auto" w:fill="FFFFFF"/>
        </w:rPr>
        <w:t xml:space="preserve">as </w:t>
      </w:r>
      <w:r w:rsidRPr="00915AB4" w:rsidR="00883F53">
        <w:rPr>
          <w:rFonts w:ascii="Times New Roman" w:hAnsi="Times New Roman" w:cs="Times New Roman"/>
          <w:color w:val="333333"/>
          <w:sz w:val="24"/>
          <w:szCs w:val="24"/>
          <w:shd w:val="clear" w:color="auto" w:fill="FFFFFF"/>
        </w:rPr>
        <w:t xml:space="preserve">the </w:t>
      </w:r>
      <w:r w:rsidRPr="00915AB4">
        <w:rPr>
          <w:rFonts w:ascii="Times New Roman" w:hAnsi="Times New Roman" w:cs="Times New Roman"/>
          <w:color w:val="333333"/>
          <w:sz w:val="24"/>
          <w:szCs w:val="24"/>
          <w:shd w:val="clear" w:color="auto" w:fill="FFFFFF"/>
        </w:rPr>
        <w:t>PUCO knows</w:t>
      </w:r>
      <w:r w:rsidRPr="00915AB4" w:rsidR="00C7508D">
        <w:rPr>
          <w:rFonts w:ascii="Times New Roman" w:hAnsi="Times New Roman" w:cs="Times New Roman"/>
          <w:color w:val="333333"/>
          <w:sz w:val="24"/>
          <w:szCs w:val="24"/>
          <w:shd w:val="clear" w:color="auto" w:fill="FFFFFF"/>
        </w:rPr>
        <w:t>,</w:t>
      </w:r>
      <w:r w:rsidRPr="00915AB4">
        <w:rPr>
          <w:rFonts w:ascii="Times New Roman" w:hAnsi="Times New Roman" w:cs="Times New Roman"/>
          <w:color w:val="333333"/>
          <w:sz w:val="24"/>
          <w:szCs w:val="24"/>
          <w:shd w:val="clear" w:color="auto" w:fill="FFFFFF"/>
        </w:rPr>
        <w:t xml:space="preserve"> that the term “regulatory asset” applies only to utility expenses, not capital investment.</w:t>
      </w:r>
      <w:r w:rsidRPr="00915AB4" w:rsidR="00655675">
        <w:rPr>
          <w:rFonts w:ascii="Times New Roman" w:hAnsi="Times New Roman" w:cs="Times New Roman"/>
          <w:color w:val="333333"/>
          <w:sz w:val="24"/>
          <w:szCs w:val="24"/>
          <w:shd w:val="clear" w:color="auto" w:fill="FFFFFF"/>
        </w:rPr>
        <w:t xml:space="preserve"> </w:t>
      </w:r>
    </w:p>
    <w:p w:rsidR="00735679" w:rsidRPr="00915AB4" w:rsidP="00AE001C" w14:paraId="53FB123F" w14:textId="701612C6">
      <w:pPr>
        <w:spacing w:after="0" w:line="480" w:lineRule="auto"/>
        <w:ind w:firstLine="720"/>
        <w:rPr>
          <w:rFonts w:ascii="Times New Roman" w:hAnsi="Times New Roman" w:cs="Times New Roman"/>
          <w:color w:val="333333"/>
          <w:sz w:val="24"/>
          <w:szCs w:val="24"/>
          <w:shd w:val="clear" w:color="auto" w:fill="FFFFFF"/>
        </w:rPr>
      </w:pPr>
      <w:r w:rsidRPr="00915AB4">
        <w:rPr>
          <w:rFonts w:ascii="Times New Roman" w:hAnsi="Times New Roman" w:cs="Times New Roman"/>
          <w:color w:val="333333"/>
          <w:sz w:val="24"/>
          <w:szCs w:val="24"/>
          <w:shd w:val="clear" w:color="auto" w:fill="FFFFFF"/>
        </w:rPr>
        <w:t xml:space="preserve">The PUCO should have </w:t>
      </w:r>
      <w:r w:rsidRPr="00915AB4" w:rsidR="00883F53">
        <w:rPr>
          <w:rFonts w:ascii="Times New Roman" w:hAnsi="Times New Roman" w:cs="Times New Roman"/>
          <w:color w:val="333333"/>
          <w:sz w:val="24"/>
          <w:szCs w:val="24"/>
          <w:shd w:val="clear" w:color="auto" w:fill="FFFFFF"/>
        </w:rPr>
        <w:t>applied</w:t>
      </w:r>
      <w:r w:rsidRPr="00915AB4">
        <w:rPr>
          <w:rFonts w:ascii="Times New Roman" w:hAnsi="Times New Roman" w:cs="Times New Roman"/>
          <w:color w:val="333333"/>
          <w:sz w:val="24"/>
          <w:szCs w:val="24"/>
          <w:shd w:val="clear" w:color="auto" w:fill="FFFFFF"/>
        </w:rPr>
        <w:t xml:space="preserve"> the known and customary meaning to the term “regulatory asset” and determined that Ohio Gas’ capital project costs are not expenses that can be deferred and, therefore, are not eligible for recovery under the statute</w:t>
      </w:r>
      <w:r w:rsidR="00432611">
        <w:rPr>
          <w:rFonts w:ascii="Times New Roman" w:hAnsi="Times New Roman" w:cs="Times New Roman"/>
          <w:color w:val="333333"/>
          <w:sz w:val="24"/>
          <w:szCs w:val="24"/>
          <w:shd w:val="clear" w:color="auto" w:fill="FFFFFF"/>
        </w:rPr>
        <w:t xml:space="preserve"> as a regulatory asset</w:t>
      </w:r>
      <w:r w:rsidRPr="00915AB4">
        <w:rPr>
          <w:rFonts w:ascii="Times New Roman" w:hAnsi="Times New Roman" w:cs="Times New Roman"/>
          <w:color w:val="333333"/>
          <w:sz w:val="24"/>
          <w:szCs w:val="24"/>
          <w:shd w:val="clear" w:color="auto" w:fill="FFFFFF"/>
        </w:rPr>
        <w:t xml:space="preserve">. The </w:t>
      </w:r>
      <w:r w:rsidRPr="00915AB4" w:rsidR="00FF5C8B">
        <w:rPr>
          <w:rFonts w:ascii="Times New Roman" w:hAnsi="Times New Roman" w:cs="Times New Roman"/>
          <w:color w:val="333333"/>
          <w:sz w:val="24"/>
          <w:szCs w:val="24"/>
          <w:shd w:val="clear" w:color="auto" w:fill="FFFFFF"/>
        </w:rPr>
        <w:t xml:space="preserve">PUCO’s failure to apply the known and </w:t>
      </w:r>
      <w:r w:rsidRPr="00915AB4" w:rsidR="00883F53">
        <w:rPr>
          <w:rFonts w:ascii="Times New Roman" w:hAnsi="Times New Roman" w:cs="Times New Roman"/>
          <w:color w:val="333333"/>
          <w:sz w:val="24"/>
          <w:szCs w:val="24"/>
          <w:shd w:val="clear" w:color="auto" w:fill="FFFFFF"/>
        </w:rPr>
        <w:t>customary</w:t>
      </w:r>
      <w:r w:rsidRPr="00915AB4" w:rsidR="00FF5C8B">
        <w:rPr>
          <w:rFonts w:ascii="Times New Roman" w:hAnsi="Times New Roman" w:cs="Times New Roman"/>
          <w:color w:val="333333"/>
          <w:sz w:val="24"/>
          <w:szCs w:val="24"/>
          <w:shd w:val="clear" w:color="auto" w:fill="FFFFFF"/>
        </w:rPr>
        <w:t xml:space="preserve"> definitions for the terms “regulatory asset,” “deferral,” and “test year</w:t>
      </w:r>
      <w:r w:rsidRPr="00915AB4">
        <w:rPr>
          <w:rFonts w:ascii="Times New Roman" w:hAnsi="Times New Roman" w:cs="Times New Roman"/>
          <w:color w:val="333333"/>
          <w:sz w:val="24"/>
          <w:szCs w:val="24"/>
          <w:shd w:val="clear" w:color="auto" w:fill="FFFFFF"/>
        </w:rPr>
        <w:t>”</w:t>
      </w:r>
      <w:r w:rsidRPr="00915AB4" w:rsidR="00FF5C8B">
        <w:rPr>
          <w:rFonts w:ascii="Times New Roman" w:hAnsi="Times New Roman" w:cs="Times New Roman"/>
          <w:color w:val="333333"/>
          <w:sz w:val="24"/>
          <w:szCs w:val="24"/>
          <w:shd w:val="clear" w:color="auto" w:fill="FFFFFF"/>
        </w:rPr>
        <w:t xml:space="preserve"> as used in R.C. 4939.07 results in its failure to properly </w:t>
      </w:r>
      <w:r w:rsidR="00804292">
        <w:rPr>
          <w:rFonts w:ascii="Times New Roman" w:hAnsi="Times New Roman" w:cs="Times New Roman"/>
          <w:color w:val="333333"/>
          <w:sz w:val="24"/>
          <w:szCs w:val="24"/>
          <w:shd w:val="clear" w:color="auto" w:fill="FFFFFF"/>
        </w:rPr>
        <w:t xml:space="preserve">apply </w:t>
      </w:r>
      <w:r w:rsidRPr="00915AB4" w:rsidR="00FF5C8B">
        <w:rPr>
          <w:rFonts w:ascii="Times New Roman" w:hAnsi="Times New Roman" w:cs="Times New Roman"/>
          <w:color w:val="333333"/>
          <w:sz w:val="24"/>
          <w:szCs w:val="24"/>
          <w:shd w:val="clear" w:color="auto" w:fill="FFFFFF"/>
        </w:rPr>
        <w:t xml:space="preserve">the statute </w:t>
      </w:r>
    </w:p>
    <w:p w:rsidR="0090638B" w:rsidRPr="00915AB4" w:rsidP="00B94682" w14:paraId="4F2150E8" w14:textId="5C56E32A">
      <w:pPr>
        <w:spacing w:after="0" w:line="480" w:lineRule="auto"/>
        <w:ind w:firstLine="720"/>
        <w:rPr>
          <w:rFonts w:ascii="Times New Roman" w:hAnsi="Times New Roman" w:cs="Times New Roman"/>
          <w:sz w:val="24"/>
          <w:szCs w:val="24"/>
        </w:rPr>
      </w:pPr>
      <w:r w:rsidRPr="00915AB4">
        <w:rPr>
          <w:rFonts w:ascii="Times New Roman" w:hAnsi="Times New Roman" w:cs="Times New Roman"/>
          <w:color w:val="333333"/>
          <w:sz w:val="24"/>
          <w:szCs w:val="24"/>
          <w:shd w:val="clear" w:color="auto" w:fill="FFFFFF"/>
        </w:rPr>
        <w:t xml:space="preserve">Allowing Ohio Gas to charge consumers for capital investment </w:t>
      </w:r>
      <w:r w:rsidR="00432611">
        <w:rPr>
          <w:rFonts w:ascii="Times New Roman" w:hAnsi="Times New Roman" w:cs="Times New Roman"/>
          <w:color w:val="333333"/>
          <w:sz w:val="24"/>
          <w:szCs w:val="24"/>
          <w:shd w:val="clear" w:color="auto" w:fill="FFFFFF"/>
        </w:rPr>
        <w:t xml:space="preserve">costs </w:t>
      </w:r>
      <w:r w:rsidRPr="00915AB4">
        <w:rPr>
          <w:rFonts w:ascii="Times New Roman" w:hAnsi="Times New Roman" w:cs="Times New Roman"/>
          <w:color w:val="333333"/>
          <w:sz w:val="24"/>
          <w:szCs w:val="24"/>
          <w:shd w:val="clear" w:color="auto" w:fill="FFFFFF"/>
        </w:rPr>
        <w:t>under the statute would lead to an absurd result, contrary to well-known principles of statutory construction</w:t>
      </w:r>
      <w:r w:rsidR="00FC3920">
        <w:rPr>
          <w:rFonts w:ascii="Times New Roman" w:hAnsi="Times New Roman" w:cs="Times New Roman"/>
          <w:color w:val="333333"/>
          <w:sz w:val="24"/>
          <w:szCs w:val="24"/>
          <w:shd w:val="clear" w:color="auto" w:fill="FFFFFF"/>
        </w:rPr>
        <w:t>, as detailed below</w:t>
      </w:r>
      <w:r w:rsidRPr="00915AB4">
        <w:rPr>
          <w:rFonts w:ascii="Times New Roman" w:hAnsi="Times New Roman" w:cs="Times New Roman"/>
          <w:color w:val="333333"/>
          <w:sz w:val="24"/>
          <w:szCs w:val="24"/>
          <w:shd w:val="clear" w:color="auto" w:fill="FFFFFF"/>
        </w:rPr>
        <w:t>.</w:t>
      </w:r>
      <w:r>
        <w:rPr>
          <w:rStyle w:val="FootnoteReference"/>
          <w:rFonts w:ascii="Times New Roman" w:hAnsi="Times New Roman" w:cs="Times New Roman"/>
          <w:color w:val="333333"/>
          <w:sz w:val="24"/>
          <w:szCs w:val="24"/>
          <w:shd w:val="clear" w:color="auto" w:fill="FFFFFF"/>
        </w:rPr>
        <w:footnoteReference w:id="26"/>
      </w:r>
      <w:r w:rsidRPr="00915AB4" w:rsidR="00655675">
        <w:rPr>
          <w:rFonts w:ascii="Times New Roman" w:hAnsi="Times New Roman" w:cs="Times New Roman"/>
          <w:i/>
          <w:iCs/>
          <w:sz w:val="24"/>
          <w:szCs w:val="24"/>
        </w:rPr>
        <w:t xml:space="preserve"> </w:t>
      </w:r>
      <w:r w:rsidR="00AB4279">
        <w:rPr>
          <w:rFonts w:ascii="Times New Roman" w:hAnsi="Times New Roman" w:cs="Times New Roman"/>
          <w:sz w:val="24"/>
          <w:szCs w:val="24"/>
        </w:rPr>
        <w:t xml:space="preserve">In turn, the absurd result is contrary to </w:t>
      </w:r>
      <w:r w:rsidR="00AE001C">
        <w:rPr>
          <w:rFonts w:ascii="Times New Roman" w:hAnsi="Times New Roman" w:cs="Times New Roman"/>
          <w:sz w:val="24"/>
          <w:szCs w:val="24"/>
        </w:rPr>
        <w:t xml:space="preserve">the </w:t>
      </w:r>
      <w:r w:rsidR="00AB4279">
        <w:rPr>
          <w:rFonts w:ascii="Times New Roman" w:hAnsi="Times New Roman" w:cs="Times New Roman"/>
          <w:sz w:val="24"/>
          <w:szCs w:val="24"/>
        </w:rPr>
        <w:t>just and reasonable results intended when the General Assembly enacts a statute.</w:t>
      </w:r>
      <w:r>
        <w:rPr>
          <w:rStyle w:val="FootnoteReference"/>
          <w:rFonts w:ascii="Times New Roman" w:hAnsi="Times New Roman" w:cs="Times New Roman"/>
          <w:sz w:val="24"/>
          <w:szCs w:val="24"/>
        </w:rPr>
        <w:footnoteReference w:id="27"/>
      </w:r>
      <w:r w:rsidR="00AB4279">
        <w:rPr>
          <w:rFonts w:ascii="Times New Roman" w:hAnsi="Times New Roman" w:cs="Times New Roman"/>
          <w:sz w:val="24"/>
          <w:szCs w:val="24"/>
        </w:rPr>
        <w:t xml:space="preserve">  </w:t>
      </w:r>
      <w:r w:rsidRPr="00915AB4" w:rsidR="00B94682">
        <w:rPr>
          <w:rFonts w:ascii="Times New Roman" w:hAnsi="Times New Roman" w:cs="Times New Roman"/>
          <w:sz w:val="24"/>
          <w:szCs w:val="24"/>
        </w:rPr>
        <w:t xml:space="preserve">As </w:t>
      </w:r>
      <w:r w:rsidRPr="00915AB4">
        <w:rPr>
          <w:rFonts w:ascii="Times New Roman" w:hAnsi="Times New Roman" w:cs="Times New Roman"/>
          <w:sz w:val="24"/>
          <w:szCs w:val="24"/>
        </w:rPr>
        <w:t xml:space="preserve">OCC </w:t>
      </w:r>
      <w:r w:rsidRPr="00915AB4" w:rsidR="00B94682">
        <w:rPr>
          <w:rFonts w:ascii="Times New Roman" w:hAnsi="Times New Roman" w:cs="Times New Roman"/>
          <w:sz w:val="24"/>
          <w:szCs w:val="24"/>
        </w:rPr>
        <w:t xml:space="preserve">explained in </w:t>
      </w:r>
      <w:r w:rsidRPr="00915AB4">
        <w:rPr>
          <w:rFonts w:ascii="Times New Roman" w:hAnsi="Times New Roman" w:cs="Times New Roman"/>
          <w:sz w:val="24"/>
          <w:szCs w:val="24"/>
        </w:rPr>
        <w:t xml:space="preserve">its </w:t>
      </w:r>
      <w:r w:rsidRPr="00915AB4" w:rsidR="00B94682">
        <w:rPr>
          <w:rFonts w:ascii="Times New Roman" w:hAnsi="Times New Roman" w:cs="Times New Roman"/>
          <w:sz w:val="24"/>
          <w:szCs w:val="24"/>
        </w:rPr>
        <w:t xml:space="preserve">comments, Ohio Gas’s proposal (now approved by the PUCO) will </w:t>
      </w:r>
      <w:r w:rsidRPr="00915AB4" w:rsidR="00FF5C8B">
        <w:rPr>
          <w:rFonts w:ascii="Times New Roman" w:hAnsi="Times New Roman" w:cs="Times New Roman"/>
          <w:sz w:val="24"/>
          <w:szCs w:val="24"/>
        </w:rPr>
        <w:t>result in unjust and unreasonable rates</w:t>
      </w:r>
      <w:r w:rsidRPr="00915AB4" w:rsidR="00C7508D">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sidR="00C7508D">
        <w:rPr>
          <w:rFonts w:ascii="Times New Roman" w:hAnsi="Times New Roman" w:cs="Times New Roman"/>
          <w:sz w:val="24"/>
          <w:szCs w:val="24"/>
        </w:rPr>
        <w:t>I</w:t>
      </w:r>
      <w:r w:rsidRPr="00915AB4" w:rsidR="00FF5C8B">
        <w:rPr>
          <w:rFonts w:ascii="Times New Roman" w:hAnsi="Times New Roman" w:cs="Times New Roman"/>
          <w:sz w:val="24"/>
          <w:szCs w:val="24"/>
        </w:rPr>
        <w:t xml:space="preserve">nstead of paying a small annual percentage of long-lived capital assets collected through annual depreciation expenses, consumers will now pay for </w:t>
      </w:r>
      <w:r w:rsidR="00FC3920">
        <w:rPr>
          <w:rFonts w:ascii="Times New Roman" w:hAnsi="Times New Roman" w:cs="Times New Roman"/>
          <w:sz w:val="24"/>
          <w:szCs w:val="24"/>
        </w:rPr>
        <w:t xml:space="preserve">the total costs of </w:t>
      </w:r>
      <w:r w:rsidRPr="00915AB4" w:rsidR="00FF5C8B">
        <w:rPr>
          <w:rFonts w:ascii="Times New Roman" w:hAnsi="Times New Roman" w:cs="Times New Roman"/>
          <w:sz w:val="24"/>
          <w:szCs w:val="24"/>
        </w:rPr>
        <w:t>Ohio Gas’</w:t>
      </w:r>
      <w:r w:rsidRPr="00915AB4" w:rsidR="00C7508D">
        <w:rPr>
          <w:rFonts w:ascii="Times New Roman" w:hAnsi="Times New Roman" w:cs="Times New Roman"/>
          <w:sz w:val="24"/>
          <w:szCs w:val="24"/>
        </w:rPr>
        <w:t>s</w:t>
      </w:r>
      <w:r w:rsidRPr="00915AB4" w:rsidR="00FF5C8B">
        <w:rPr>
          <w:rFonts w:ascii="Times New Roman" w:hAnsi="Times New Roman" w:cs="Times New Roman"/>
          <w:sz w:val="24"/>
          <w:szCs w:val="24"/>
        </w:rPr>
        <w:t xml:space="preserve"> capital projects over a nine-month period rather than over 40 years (Ohio Gas’ 2.5% annual depreciation rate for Account 376 – Distribution Mains).</w:t>
      </w:r>
      <w:r>
        <w:rPr>
          <w:rFonts w:ascii="Times New Roman" w:hAnsi="Times New Roman" w:cs="Times New Roman"/>
          <w:sz w:val="24"/>
          <w:szCs w:val="24"/>
          <w:vertAlign w:val="superscript"/>
        </w:rPr>
        <w:footnoteReference w:id="28"/>
      </w:r>
      <w:r w:rsidRPr="00915AB4" w:rsidR="00FF5C8B">
        <w:rPr>
          <w:rFonts w:ascii="Times New Roman" w:hAnsi="Times New Roman" w:cs="Times New Roman"/>
          <w:sz w:val="24"/>
          <w:szCs w:val="24"/>
        </w:rPr>
        <w:t xml:space="preserve"> </w:t>
      </w:r>
    </w:p>
    <w:p w:rsidR="0090638B" w:rsidRPr="00915AB4" w:rsidP="00B94682" w14:paraId="79680622" w14:textId="084C2675">
      <w:pPr>
        <w:spacing w:after="0"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Additionally, the PUCO’s approval of Ohio Gas’s proposal will permit double collection from consumers.</w:t>
      </w:r>
      <w:r>
        <w:rPr>
          <w:rStyle w:val="FootnoteReference"/>
          <w:rFonts w:ascii="Times New Roman" w:hAnsi="Times New Roman" w:cs="Times New Roman"/>
          <w:sz w:val="24"/>
          <w:szCs w:val="24"/>
        </w:rPr>
        <w:footnoteReference w:id="29"/>
      </w:r>
      <w:r w:rsidRPr="00915AB4" w:rsidR="00655675">
        <w:rPr>
          <w:rFonts w:ascii="Times New Roman" w:hAnsi="Times New Roman" w:cs="Times New Roman"/>
          <w:sz w:val="24"/>
          <w:szCs w:val="24"/>
        </w:rPr>
        <w:t xml:space="preserve"> </w:t>
      </w:r>
      <w:r w:rsidRPr="00915AB4" w:rsidR="00B94682">
        <w:rPr>
          <w:rFonts w:ascii="Times New Roman" w:hAnsi="Times New Roman" w:cs="Times New Roman"/>
          <w:sz w:val="24"/>
          <w:szCs w:val="24"/>
        </w:rPr>
        <w:t xml:space="preserve">Ohio Gas’s proposal (now approved by the PUCO) </w:t>
      </w:r>
      <w:r w:rsidRPr="00915AB4" w:rsidR="00E12486">
        <w:rPr>
          <w:rFonts w:ascii="Times New Roman" w:hAnsi="Times New Roman" w:cs="Times New Roman"/>
          <w:sz w:val="24"/>
          <w:szCs w:val="24"/>
        </w:rPr>
        <w:t xml:space="preserve">will </w:t>
      </w:r>
      <w:r w:rsidRPr="00915AB4" w:rsidR="00EE2EBE">
        <w:rPr>
          <w:rFonts w:ascii="Times New Roman" w:hAnsi="Times New Roman" w:cs="Times New Roman"/>
          <w:sz w:val="24"/>
          <w:szCs w:val="24"/>
        </w:rPr>
        <w:t>permit t</w:t>
      </w:r>
      <w:r w:rsidRPr="00915AB4" w:rsidR="00E12486">
        <w:rPr>
          <w:rFonts w:ascii="Times New Roman" w:hAnsi="Times New Roman" w:cs="Times New Roman"/>
          <w:sz w:val="24"/>
          <w:szCs w:val="24"/>
        </w:rPr>
        <w:t>he utility</w:t>
      </w:r>
      <w:r w:rsidRPr="00915AB4" w:rsidR="00B94682">
        <w:rPr>
          <w:rFonts w:ascii="Times New Roman" w:hAnsi="Times New Roman" w:cs="Times New Roman"/>
          <w:sz w:val="24"/>
          <w:szCs w:val="24"/>
        </w:rPr>
        <w:t xml:space="preserve"> </w:t>
      </w:r>
      <w:r w:rsidRPr="00915AB4">
        <w:rPr>
          <w:rFonts w:ascii="Times New Roman" w:hAnsi="Times New Roman" w:cs="Times New Roman"/>
          <w:sz w:val="24"/>
          <w:szCs w:val="24"/>
        </w:rPr>
        <w:t xml:space="preserve">to </w:t>
      </w:r>
      <w:r w:rsidRPr="00915AB4" w:rsidR="00E501EF">
        <w:rPr>
          <w:rFonts w:ascii="Times New Roman" w:hAnsi="Times New Roman" w:cs="Times New Roman"/>
          <w:sz w:val="24"/>
          <w:szCs w:val="24"/>
        </w:rPr>
        <w:t xml:space="preserve">collect </w:t>
      </w:r>
      <w:r w:rsidRPr="00915AB4" w:rsidR="00B94682">
        <w:rPr>
          <w:rFonts w:ascii="Times New Roman" w:hAnsi="Times New Roman" w:cs="Times New Roman"/>
          <w:sz w:val="24"/>
          <w:szCs w:val="24"/>
        </w:rPr>
        <w:t xml:space="preserve">capital </w:t>
      </w:r>
      <w:r w:rsidRPr="00915AB4" w:rsidR="00E12486">
        <w:rPr>
          <w:rFonts w:ascii="Times New Roman" w:hAnsi="Times New Roman" w:cs="Times New Roman"/>
          <w:sz w:val="24"/>
          <w:szCs w:val="24"/>
        </w:rPr>
        <w:t xml:space="preserve">project costs for relocating and improving gas distribution mains </w:t>
      </w:r>
      <w:r w:rsidRPr="00915AB4" w:rsidR="00E501EF">
        <w:rPr>
          <w:rFonts w:ascii="Times New Roman" w:hAnsi="Times New Roman" w:cs="Times New Roman"/>
          <w:sz w:val="24"/>
          <w:szCs w:val="24"/>
        </w:rPr>
        <w:t xml:space="preserve">from consumers </w:t>
      </w:r>
      <w:r w:rsidRPr="00915AB4" w:rsidR="00E12486">
        <w:rPr>
          <w:rFonts w:ascii="Times New Roman" w:hAnsi="Times New Roman" w:cs="Times New Roman"/>
          <w:sz w:val="24"/>
          <w:szCs w:val="24"/>
        </w:rPr>
        <w:t xml:space="preserve">over a nine-month period rather than over 40 years via </w:t>
      </w:r>
      <w:r w:rsidRPr="00915AB4" w:rsidR="00B94682">
        <w:rPr>
          <w:rFonts w:ascii="Times New Roman" w:hAnsi="Times New Roman" w:cs="Times New Roman"/>
          <w:sz w:val="24"/>
          <w:szCs w:val="24"/>
        </w:rPr>
        <w:t>a new charge</w:t>
      </w:r>
      <w:r w:rsidRPr="00915AB4">
        <w:rPr>
          <w:rFonts w:ascii="Times New Roman" w:hAnsi="Times New Roman" w:cs="Times New Roman"/>
          <w:sz w:val="24"/>
          <w:szCs w:val="24"/>
        </w:rPr>
        <w:t>.</w:t>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 xml:space="preserve">The charge </w:t>
      </w:r>
      <w:r w:rsidRPr="00915AB4" w:rsidR="00B94682">
        <w:rPr>
          <w:rFonts w:ascii="Times New Roman" w:hAnsi="Times New Roman" w:cs="Times New Roman"/>
          <w:sz w:val="24"/>
          <w:szCs w:val="24"/>
        </w:rPr>
        <w:t xml:space="preserve">does not include </w:t>
      </w:r>
      <w:r w:rsidR="00901A55">
        <w:rPr>
          <w:rFonts w:ascii="Times New Roman" w:hAnsi="Times New Roman" w:cs="Times New Roman"/>
          <w:sz w:val="24"/>
          <w:szCs w:val="24"/>
        </w:rPr>
        <w:t xml:space="preserve">the </w:t>
      </w:r>
      <w:r w:rsidRPr="00915AB4" w:rsidR="00B94682">
        <w:rPr>
          <w:rFonts w:ascii="Times New Roman" w:hAnsi="Times New Roman" w:cs="Times New Roman"/>
          <w:sz w:val="24"/>
          <w:szCs w:val="24"/>
        </w:rPr>
        <w:t>remov</w:t>
      </w:r>
      <w:r w:rsidR="00901A55">
        <w:rPr>
          <w:rFonts w:ascii="Times New Roman" w:hAnsi="Times New Roman" w:cs="Times New Roman"/>
          <w:sz w:val="24"/>
          <w:szCs w:val="24"/>
        </w:rPr>
        <w:t xml:space="preserve">al of </w:t>
      </w:r>
      <w:r w:rsidRPr="00915AB4" w:rsidR="00B94682">
        <w:rPr>
          <w:rFonts w:ascii="Times New Roman" w:hAnsi="Times New Roman" w:cs="Times New Roman"/>
          <w:sz w:val="24"/>
          <w:szCs w:val="24"/>
        </w:rPr>
        <w:t xml:space="preserve">the retired plant from the rate base that was set in the Ohio Gas’s most recent rate case. As a result, Ohio Gas will continue to receive return of (through depreciation expenses built into base rates) and return on (rate of return built into the base rates) the retired assets despite that the retired assets are no longer used to provide utility service to </w:t>
      </w:r>
      <w:r w:rsidRPr="00915AB4">
        <w:rPr>
          <w:rFonts w:ascii="Times New Roman" w:hAnsi="Times New Roman" w:cs="Times New Roman"/>
          <w:sz w:val="24"/>
          <w:szCs w:val="24"/>
        </w:rPr>
        <w:t>consumers</w:t>
      </w:r>
      <w:r w:rsidRPr="00915AB4" w:rsidR="00B94682">
        <w:rPr>
          <w:rFonts w:ascii="Times New Roman" w:hAnsi="Times New Roman" w:cs="Times New Roman"/>
          <w:sz w:val="24"/>
          <w:szCs w:val="24"/>
        </w:rPr>
        <w:t>. Ohio Gas will continue to receive return of and on the retired plant assets until the assets are removed from rate base at Ohio Gas’s next rate case.</w:t>
      </w:r>
      <w:r w:rsidRPr="00915AB4" w:rsidR="00655675">
        <w:rPr>
          <w:rFonts w:ascii="Times New Roman" w:hAnsi="Times New Roman" w:cs="Times New Roman"/>
          <w:sz w:val="24"/>
          <w:szCs w:val="24"/>
        </w:rPr>
        <w:t xml:space="preserve"> </w:t>
      </w:r>
      <w:r w:rsidRPr="00915AB4">
        <w:rPr>
          <w:rFonts w:ascii="Times New Roman" w:hAnsi="Times New Roman" w:cs="Times New Roman"/>
          <w:sz w:val="24"/>
          <w:szCs w:val="24"/>
        </w:rPr>
        <w:t>A</w:t>
      </w:r>
      <w:r w:rsidRPr="00915AB4" w:rsidR="00B94682">
        <w:rPr>
          <w:rFonts w:ascii="Times New Roman" w:hAnsi="Times New Roman" w:cs="Times New Roman"/>
          <w:sz w:val="24"/>
          <w:szCs w:val="24"/>
        </w:rPr>
        <w:t xml:space="preserve">llowing Ohio Gas to collect from consumers capital investment under the statute </w:t>
      </w:r>
      <w:r w:rsidRPr="00915AB4" w:rsidR="00F2126F">
        <w:rPr>
          <w:rFonts w:ascii="Times New Roman" w:hAnsi="Times New Roman" w:cs="Times New Roman"/>
          <w:sz w:val="24"/>
          <w:szCs w:val="24"/>
        </w:rPr>
        <w:t>turns longstanding and fundamental utility ratemaking on its head and leads to an absurd result.</w:t>
      </w:r>
      <w:r w:rsidRPr="00915AB4" w:rsidR="00655675">
        <w:rPr>
          <w:rFonts w:ascii="Times New Roman" w:hAnsi="Times New Roman" w:cs="Times New Roman"/>
          <w:sz w:val="24"/>
          <w:szCs w:val="24"/>
        </w:rPr>
        <w:t xml:space="preserve"> </w:t>
      </w:r>
    </w:p>
    <w:p w:rsidR="00E35A19" w:rsidRPr="00915AB4" w:rsidP="00E35A19" w14:paraId="4CD3D87C" w14:textId="77777777">
      <w:pPr>
        <w:spacing w:after="0" w:line="240" w:lineRule="auto"/>
        <w:ind w:firstLine="720"/>
        <w:rPr>
          <w:rFonts w:ascii="Times New Roman" w:hAnsi="Times New Roman" w:cs="Times New Roman"/>
          <w:sz w:val="24"/>
          <w:szCs w:val="24"/>
        </w:rPr>
      </w:pPr>
    </w:p>
    <w:p w:rsidR="00141BD6" w:rsidRPr="00915AB4" w:rsidP="00FD5310" w14:paraId="1339FCF6" w14:textId="649AD2FD">
      <w:pPr>
        <w:pStyle w:val="Heading1"/>
      </w:pPr>
      <w:bookmarkStart w:id="19" w:name="_Toc534639773"/>
      <w:bookmarkStart w:id="20" w:name="_Toc53576259"/>
      <w:bookmarkStart w:id="21" w:name="_Toc53576324"/>
      <w:bookmarkStart w:id="22" w:name="_Toc92362052"/>
      <w:bookmarkStart w:id="23" w:name="_Toc92362632"/>
      <w:bookmarkStart w:id="24" w:name="_Toc92971851"/>
      <w:r w:rsidRPr="00915AB4">
        <w:t>I</w:t>
      </w:r>
      <w:r w:rsidRPr="00915AB4" w:rsidR="002E277F">
        <w:t>II</w:t>
      </w:r>
      <w:r w:rsidRPr="00915AB4">
        <w:t>.</w:t>
      </w:r>
      <w:r w:rsidRPr="00915AB4" w:rsidR="006C5C84">
        <w:tab/>
      </w:r>
      <w:r w:rsidRPr="00915AB4" w:rsidR="001D2205">
        <w:t>CONCLUSION</w:t>
      </w:r>
      <w:bookmarkEnd w:id="19"/>
      <w:bookmarkEnd w:id="20"/>
      <w:bookmarkEnd w:id="21"/>
      <w:bookmarkEnd w:id="22"/>
      <w:bookmarkEnd w:id="23"/>
      <w:bookmarkEnd w:id="24"/>
      <w:r w:rsidRPr="00915AB4" w:rsidR="007327BD">
        <w:t xml:space="preserve"> </w:t>
      </w:r>
    </w:p>
    <w:p w:rsidR="00C271F4" w:rsidP="00BB12AA" w14:paraId="6BD01A56" w14:textId="4A403B3C">
      <w:pPr>
        <w:autoSpaceDE w:val="0"/>
        <w:autoSpaceDN w:val="0"/>
        <w:adjustRightInd w:val="0"/>
        <w:spacing w:line="480" w:lineRule="auto"/>
        <w:ind w:firstLine="720"/>
        <w:rPr>
          <w:rFonts w:ascii="Times New Roman" w:hAnsi="Times New Roman" w:cs="Times New Roman"/>
          <w:sz w:val="24"/>
          <w:szCs w:val="24"/>
        </w:rPr>
      </w:pPr>
      <w:r w:rsidRPr="00915AB4">
        <w:rPr>
          <w:rFonts w:ascii="Times New Roman" w:hAnsi="Times New Roman" w:cs="Times New Roman"/>
          <w:sz w:val="24"/>
          <w:szCs w:val="24"/>
        </w:rPr>
        <w:t>T</w:t>
      </w:r>
      <w:r w:rsidRPr="00915AB4" w:rsidR="006C5C84">
        <w:rPr>
          <w:rFonts w:ascii="Times New Roman" w:hAnsi="Times New Roman" w:cs="Times New Roman"/>
          <w:sz w:val="24"/>
          <w:szCs w:val="24"/>
        </w:rPr>
        <w:t xml:space="preserve">he PUCO should grant rehearing on </w:t>
      </w:r>
      <w:r w:rsidRPr="00915AB4">
        <w:rPr>
          <w:rFonts w:ascii="Times New Roman" w:hAnsi="Times New Roman" w:cs="Times New Roman"/>
          <w:sz w:val="24"/>
          <w:szCs w:val="24"/>
        </w:rPr>
        <w:t>OCC’s</w:t>
      </w:r>
      <w:r w:rsidRPr="00915AB4" w:rsidR="006C5C84">
        <w:rPr>
          <w:rFonts w:ascii="Times New Roman" w:hAnsi="Times New Roman" w:cs="Times New Roman"/>
          <w:sz w:val="24"/>
          <w:szCs w:val="24"/>
        </w:rPr>
        <w:t xml:space="preserve"> assignment of error and modify or abrogate its Order as described above. Granting rehearing is necessary to immediately protect all</w:t>
      </w:r>
      <w:r w:rsidRPr="00915AB4" w:rsidR="006C5C84">
        <w:rPr>
          <w:rFonts w:ascii="Times New Roman" w:hAnsi="Times New Roman" w:cs="Times New Roman"/>
          <w:i/>
          <w:iCs/>
          <w:sz w:val="24"/>
          <w:szCs w:val="24"/>
        </w:rPr>
        <w:t xml:space="preserve"> </w:t>
      </w:r>
      <w:r w:rsidRPr="00915AB4" w:rsidR="006C5C84">
        <w:rPr>
          <w:rFonts w:ascii="Times New Roman" w:hAnsi="Times New Roman" w:cs="Times New Roman"/>
          <w:sz w:val="24"/>
          <w:szCs w:val="24"/>
        </w:rPr>
        <w:t xml:space="preserve">of </w:t>
      </w:r>
      <w:r w:rsidRPr="00915AB4" w:rsidR="00DA32BD">
        <w:rPr>
          <w:rFonts w:ascii="Times New Roman" w:hAnsi="Times New Roman" w:cs="Times New Roman"/>
          <w:sz w:val="24"/>
          <w:szCs w:val="24"/>
        </w:rPr>
        <w:t>Ohio Gas’s</w:t>
      </w:r>
      <w:r w:rsidRPr="00915AB4" w:rsidR="006C5C84">
        <w:rPr>
          <w:rFonts w:ascii="Times New Roman" w:hAnsi="Times New Roman" w:cs="Times New Roman"/>
          <w:sz w:val="24"/>
          <w:szCs w:val="24"/>
        </w:rPr>
        <w:t xml:space="preserve"> consumers.</w:t>
      </w:r>
    </w:p>
    <w:p w:rsidR="00C271F4" w14:paraId="1D2D3960" w14:textId="77777777">
      <w:pPr>
        <w:rPr>
          <w:rFonts w:ascii="Times New Roman" w:hAnsi="Times New Roman" w:cs="Times New Roman"/>
          <w:sz w:val="24"/>
          <w:szCs w:val="24"/>
        </w:rPr>
      </w:pPr>
      <w:r>
        <w:rPr>
          <w:rFonts w:ascii="Times New Roman" w:hAnsi="Times New Roman" w:cs="Times New Roman"/>
          <w:sz w:val="24"/>
          <w:szCs w:val="24"/>
        </w:rPr>
        <w:br w:type="page"/>
      </w:r>
    </w:p>
    <w:p w:rsidR="00FD5310" w:rsidRPr="00915AB4" w:rsidP="00310309" w14:paraId="0D4DE67C" w14:textId="1947020A">
      <w:pPr>
        <w:widowControl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Respectfully submitted,</w:t>
      </w:r>
    </w:p>
    <w:p w:rsidR="00FD5310" w:rsidRPr="00915AB4" w:rsidP="00310309" w14:paraId="008FD64D" w14:textId="77777777">
      <w:pPr>
        <w:widowControl w:val="0"/>
        <w:spacing w:after="0" w:line="240" w:lineRule="auto"/>
        <w:ind w:left="4320"/>
        <w:rPr>
          <w:rFonts w:ascii="Times New Roman" w:hAnsi="Times New Roman" w:cs="Times New Roman"/>
          <w:sz w:val="24"/>
          <w:szCs w:val="24"/>
        </w:rPr>
      </w:pPr>
    </w:p>
    <w:p w:rsidR="00FD5310" w:rsidRPr="00915AB4" w:rsidP="00310309" w14:paraId="291D04BE" w14:textId="77777777">
      <w:pPr>
        <w:pStyle w:val="Footer"/>
        <w:ind w:left="4320"/>
        <w:rPr>
          <w:rFonts w:ascii="Times New Roman" w:hAnsi="Times New Roman" w:cs="Times New Roman"/>
          <w:sz w:val="24"/>
          <w:szCs w:val="24"/>
        </w:rPr>
      </w:pPr>
      <w:r w:rsidRPr="00915AB4">
        <w:rPr>
          <w:rFonts w:ascii="Times New Roman" w:hAnsi="Times New Roman" w:cs="Times New Roman"/>
          <w:sz w:val="24"/>
          <w:szCs w:val="24"/>
        </w:rPr>
        <w:t>Bruce Weston (0016973)</w:t>
      </w:r>
    </w:p>
    <w:p w:rsidR="00FD5310" w:rsidRPr="00915AB4" w:rsidP="00310309" w14:paraId="594BAC6A"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Ohio Consumers’ Counsel</w:t>
      </w:r>
    </w:p>
    <w:p w:rsidR="00FD5310" w:rsidRPr="00915AB4" w:rsidP="00310309" w14:paraId="4722371C" w14:textId="77777777">
      <w:pPr>
        <w:tabs>
          <w:tab w:val="left" w:pos="4320"/>
        </w:tabs>
        <w:spacing w:after="0" w:line="240" w:lineRule="auto"/>
        <w:ind w:left="4320"/>
        <w:rPr>
          <w:rFonts w:ascii="Times New Roman" w:hAnsi="Times New Roman" w:cs="Times New Roman"/>
          <w:i/>
          <w:sz w:val="24"/>
          <w:szCs w:val="24"/>
          <w:u w:val="single"/>
        </w:rPr>
      </w:pPr>
    </w:p>
    <w:p w:rsidR="00FD5310" w:rsidRPr="00915AB4" w:rsidP="00310309" w14:paraId="06A9122E" w14:textId="77777777">
      <w:pPr>
        <w:spacing w:after="0" w:line="240" w:lineRule="auto"/>
        <w:ind w:left="4320"/>
        <w:rPr>
          <w:rFonts w:ascii="Times New Roman" w:hAnsi="Times New Roman" w:cs="Times New Roman"/>
          <w:bCs/>
          <w:i/>
          <w:iCs/>
          <w:sz w:val="24"/>
          <w:szCs w:val="24"/>
          <w:u w:val="single"/>
        </w:rPr>
      </w:pPr>
      <w:r w:rsidRPr="00915AB4">
        <w:rPr>
          <w:rFonts w:ascii="Times New Roman" w:hAnsi="Times New Roman" w:cs="Times New Roman"/>
          <w:bCs/>
          <w:i/>
          <w:iCs/>
          <w:sz w:val="24"/>
          <w:szCs w:val="24"/>
          <w:u w:val="single"/>
        </w:rPr>
        <w:t>/s/ William J. Michael</w:t>
      </w:r>
    </w:p>
    <w:p w:rsidR="00FD5310" w:rsidRPr="00915AB4" w:rsidP="00310309" w14:paraId="1F2B1C7F"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William J. Michael (0070921)</w:t>
      </w:r>
    </w:p>
    <w:p w:rsidR="00FD5310" w:rsidRPr="00915AB4" w:rsidP="00310309" w14:paraId="53F0E6F0"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 xml:space="preserve">Counsel of Record </w:t>
      </w:r>
    </w:p>
    <w:p w:rsidR="00FD5310" w:rsidRPr="00915AB4" w:rsidP="00310309" w14:paraId="5BD864DF"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Ambrosia E. Wilson (0096598)</w:t>
      </w:r>
    </w:p>
    <w:p w:rsidR="00FD5310" w:rsidRPr="00915AB4" w:rsidP="00310309" w14:paraId="17A29721"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Assistant Consumers’ Counsel</w:t>
      </w:r>
    </w:p>
    <w:p w:rsidR="00FD5310" w:rsidRPr="00915AB4" w:rsidP="00310309" w14:paraId="538C97D7"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ab/>
      </w:r>
    </w:p>
    <w:p w:rsidR="00FD5310" w:rsidRPr="00915AB4" w:rsidP="00310309" w14:paraId="53A9FE8D" w14:textId="77777777">
      <w:pPr>
        <w:spacing w:after="0" w:line="240" w:lineRule="auto"/>
        <w:ind w:left="4320"/>
        <w:rPr>
          <w:rFonts w:ascii="Times New Roman" w:hAnsi="Times New Roman" w:cs="Times New Roman"/>
          <w:b/>
          <w:bCs/>
          <w:sz w:val="24"/>
          <w:szCs w:val="24"/>
        </w:rPr>
      </w:pPr>
      <w:r w:rsidRPr="00915AB4">
        <w:rPr>
          <w:rFonts w:ascii="Times New Roman" w:hAnsi="Times New Roman" w:cs="Times New Roman"/>
          <w:b/>
          <w:bCs/>
          <w:sz w:val="24"/>
          <w:szCs w:val="24"/>
        </w:rPr>
        <w:t>Office of the Ohio Consumers’ Counsel</w:t>
      </w:r>
    </w:p>
    <w:p w:rsidR="00FD5310" w:rsidRPr="00915AB4" w:rsidP="00310309" w14:paraId="3B975332" w14:textId="77777777">
      <w:pPr>
        <w:spacing w:after="0" w:line="240" w:lineRule="auto"/>
        <w:ind w:left="4320"/>
        <w:rPr>
          <w:rFonts w:ascii="Times New Roman" w:hAnsi="Times New Roman" w:cs="Times New Roman"/>
          <w:b/>
          <w:sz w:val="24"/>
          <w:szCs w:val="24"/>
        </w:rPr>
      </w:pPr>
      <w:r w:rsidRPr="00915AB4">
        <w:rPr>
          <w:rFonts w:ascii="Times New Roman" w:hAnsi="Times New Roman" w:cs="Times New Roman"/>
          <w:sz w:val="24"/>
          <w:szCs w:val="24"/>
        </w:rPr>
        <w:t>65 East State Street, Suite 700</w:t>
      </w:r>
    </w:p>
    <w:p w:rsidR="00FD5310" w:rsidRPr="00915AB4" w:rsidP="00310309" w14:paraId="375F7530" w14:textId="77777777">
      <w:pPr>
        <w:spacing w:after="0" w:line="240" w:lineRule="auto"/>
        <w:ind w:left="4320"/>
        <w:rPr>
          <w:rFonts w:ascii="Times New Roman" w:hAnsi="Times New Roman" w:cs="Times New Roman"/>
          <w:b/>
          <w:sz w:val="24"/>
          <w:szCs w:val="24"/>
        </w:rPr>
      </w:pPr>
      <w:r w:rsidRPr="00915AB4">
        <w:rPr>
          <w:rFonts w:ascii="Times New Roman" w:hAnsi="Times New Roman" w:cs="Times New Roman"/>
          <w:sz w:val="24"/>
          <w:szCs w:val="24"/>
        </w:rPr>
        <w:t>Columbus, Ohio 43215-4213</w:t>
      </w:r>
    </w:p>
    <w:p w:rsidR="00FD5310" w:rsidRPr="00915AB4" w:rsidP="00310309" w14:paraId="641F8BFA" w14:textId="77777777">
      <w:pPr>
        <w:autoSpaceDE w:val="0"/>
        <w:autoSpaceDN w:val="0"/>
        <w:adjustRightInd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Telephone [Michael]: (614) 466-1291</w:t>
      </w:r>
    </w:p>
    <w:p w:rsidR="00FD5310" w:rsidRPr="00915AB4" w:rsidP="00310309" w14:paraId="2949D1FC" w14:textId="77777777">
      <w:pPr>
        <w:autoSpaceDE w:val="0"/>
        <w:autoSpaceDN w:val="0"/>
        <w:adjustRightInd w:val="0"/>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Telephone [Wilson]: (614) 466-1292</w:t>
      </w:r>
    </w:p>
    <w:p w:rsidR="00FD5310" w:rsidRPr="00915AB4" w:rsidP="00310309" w14:paraId="1009740F" w14:textId="77777777">
      <w:pPr>
        <w:autoSpaceDE w:val="0"/>
        <w:autoSpaceDN w:val="0"/>
        <w:adjustRightInd w:val="0"/>
        <w:spacing w:after="0" w:line="240" w:lineRule="auto"/>
        <w:ind w:left="4320"/>
        <w:rPr>
          <w:rFonts w:ascii="Times New Roman" w:hAnsi="Times New Roman" w:cs="Times New Roman"/>
          <w:color w:val="0000FF"/>
          <w:sz w:val="24"/>
          <w:szCs w:val="24"/>
        </w:rPr>
      </w:pPr>
      <w:hyperlink r:id="rId6" w:history="1">
        <w:r w:rsidRPr="00915AB4" w:rsidR="000D31D0">
          <w:rPr>
            <w:rStyle w:val="Hyperlink"/>
            <w:rFonts w:ascii="Times New Roman" w:hAnsi="Times New Roman" w:cs="Times New Roman"/>
            <w:color w:val="0000FF"/>
            <w:sz w:val="24"/>
            <w:szCs w:val="24"/>
          </w:rPr>
          <w:t>William.Michael@occ.ohio.gov</w:t>
        </w:r>
      </w:hyperlink>
    </w:p>
    <w:p w:rsidR="00FD5310" w:rsidRPr="00915AB4" w:rsidP="00310309" w14:paraId="55B6302D" w14:textId="77777777">
      <w:pPr>
        <w:autoSpaceDE w:val="0"/>
        <w:autoSpaceDN w:val="0"/>
        <w:adjustRightInd w:val="0"/>
        <w:spacing w:after="0" w:line="240" w:lineRule="auto"/>
        <w:ind w:left="4320"/>
        <w:rPr>
          <w:rFonts w:ascii="Times New Roman" w:hAnsi="Times New Roman" w:cs="Times New Roman"/>
          <w:color w:val="0000FF"/>
          <w:sz w:val="24"/>
          <w:szCs w:val="24"/>
        </w:rPr>
      </w:pPr>
      <w:hyperlink r:id="rId7" w:history="1">
        <w:r w:rsidRPr="00915AB4" w:rsidR="000D31D0">
          <w:rPr>
            <w:rStyle w:val="Hyperlink"/>
            <w:rFonts w:ascii="Times New Roman" w:hAnsi="Times New Roman" w:cs="Times New Roman"/>
            <w:color w:val="0000FF"/>
            <w:sz w:val="24"/>
            <w:szCs w:val="24"/>
          </w:rPr>
          <w:t>Ambrosia.Wilson@occ.ohio.gov</w:t>
        </w:r>
      </w:hyperlink>
    </w:p>
    <w:p w:rsidR="00FD5310" w:rsidRPr="00915AB4" w:rsidP="00310309" w14:paraId="49630830" w14:textId="77777777">
      <w:pPr>
        <w:spacing w:after="0" w:line="240" w:lineRule="auto"/>
        <w:ind w:left="4320"/>
        <w:rPr>
          <w:rFonts w:ascii="Times New Roman" w:hAnsi="Times New Roman" w:cs="Times New Roman"/>
          <w:sz w:val="24"/>
          <w:szCs w:val="24"/>
        </w:rPr>
      </w:pPr>
      <w:r w:rsidRPr="00915AB4">
        <w:rPr>
          <w:rFonts w:ascii="Times New Roman" w:hAnsi="Times New Roman" w:cs="Times New Roman"/>
          <w:sz w:val="24"/>
          <w:szCs w:val="24"/>
        </w:rPr>
        <w:t>(willing to accept service by e-mail)</w:t>
      </w:r>
    </w:p>
    <w:p w:rsidR="00FD5310" w:rsidRPr="00915AB4" w:rsidP="00BB12AA" w14:paraId="57AC6FE7" w14:textId="77777777">
      <w:pPr>
        <w:autoSpaceDE w:val="0"/>
        <w:autoSpaceDN w:val="0"/>
        <w:adjustRightInd w:val="0"/>
        <w:spacing w:line="480" w:lineRule="auto"/>
        <w:ind w:firstLine="720"/>
        <w:rPr>
          <w:rFonts w:ascii="Times New Roman" w:hAnsi="Times New Roman" w:cs="Times New Roman"/>
          <w:sz w:val="24"/>
          <w:szCs w:val="24"/>
        </w:rPr>
      </w:pPr>
    </w:p>
    <w:p w:rsidR="002552CD" w:rsidRPr="00915AB4" w:rsidP="00A77C16" w14:paraId="28888C06" w14:textId="77777777">
      <w:pPr>
        <w:spacing w:after="0" w:line="240" w:lineRule="auto"/>
        <w:ind w:left="4320"/>
        <w:rPr>
          <w:rFonts w:ascii="Times New Roman" w:hAnsi="Times New Roman" w:cs="Times New Roman"/>
          <w:sz w:val="24"/>
          <w:szCs w:val="24"/>
        </w:rPr>
      </w:pPr>
    </w:p>
    <w:p w:rsidR="004353CA" w:rsidRPr="00915AB4" w14:paraId="237339FF" w14:textId="7624E16A">
      <w:pPr>
        <w:rPr>
          <w:rFonts w:ascii="Times New Roman" w:hAnsi="Times New Roman" w:cs="Times New Roman"/>
          <w:sz w:val="24"/>
          <w:szCs w:val="24"/>
        </w:rPr>
      </w:pPr>
    </w:p>
    <w:p w:rsidR="00560BCF" w:rsidRPr="00915AB4" w:rsidP="00560BCF" w14:paraId="3B79908A" w14:textId="0DE7F362">
      <w:pPr>
        <w:spacing w:after="0" w:line="240" w:lineRule="auto"/>
        <w:ind w:left="2880" w:firstLine="720"/>
        <w:rPr>
          <w:rFonts w:ascii="Times New Roman" w:hAnsi="Times New Roman" w:cs="Times New Roman"/>
          <w:sz w:val="24"/>
          <w:szCs w:val="24"/>
        </w:rPr>
        <w:sectPr w:rsidSect="00065BCE">
          <w:headerReference w:type="default" r:id="rId11"/>
          <w:pgSz w:w="12240" w:h="15840"/>
          <w:pgMar w:top="1440" w:right="1800" w:bottom="1440" w:left="1800" w:header="720" w:footer="720" w:gutter="0"/>
          <w:pgNumType w:start="1"/>
          <w:cols w:space="720"/>
          <w:docGrid w:linePitch="360"/>
        </w:sectPr>
      </w:pPr>
    </w:p>
    <w:p w:rsidR="00954447" w:rsidRPr="00915AB4" w:rsidP="00954447" w14:paraId="6A3DDC86" w14:textId="77777777">
      <w:pPr>
        <w:jc w:val="center"/>
        <w:rPr>
          <w:rFonts w:ascii="Times New Roman" w:hAnsi="Times New Roman" w:cs="Times New Roman"/>
          <w:b/>
          <w:bCs/>
          <w:sz w:val="24"/>
          <w:szCs w:val="24"/>
          <w:u w:val="single"/>
        </w:rPr>
      </w:pPr>
      <w:r w:rsidRPr="00915AB4">
        <w:rPr>
          <w:rFonts w:ascii="Times New Roman" w:hAnsi="Times New Roman" w:cs="Times New Roman"/>
          <w:b/>
          <w:bCs/>
          <w:sz w:val="24"/>
          <w:szCs w:val="24"/>
          <w:u w:val="single"/>
        </w:rPr>
        <w:t>CERTIFICATE OF SERVICE</w:t>
      </w:r>
    </w:p>
    <w:p w:rsidR="00954447" w:rsidRPr="00915AB4" w:rsidP="00954447" w14:paraId="168DCDC8" w14:textId="0B24DCD5">
      <w:pPr>
        <w:spacing w:line="480" w:lineRule="atLeast"/>
        <w:rPr>
          <w:rFonts w:ascii="Times New Roman" w:hAnsi="Times New Roman" w:cs="Times New Roman"/>
          <w:sz w:val="24"/>
          <w:szCs w:val="24"/>
        </w:rPr>
      </w:pPr>
      <w:r w:rsidRPr="00915AB4">
        <w:rPr>
          <w:rFonts w:ascii="Times New Roman" w:hAnsi="Times New Roman" w:cs="Times New Roman"/>
          <w:sz w:val="24"/>
          <w:szCs w:val="24"/>
        </w:rPr>
        <w:tab/>
        <w:t xml:space="preserve">I hereby certify that a copy of this </w:t>
      </w:r>
      <w:r w:rsidRPr="00915AB4">
        <w:rPr>
          <w:rFonts w:ascii="Times New Roman" w:hAnsi="Times New Roman" w:cs="Times New Roman"/>
          <w:iCs/>
          <w:sz w:val="24"/>
          <w:szCs w:val="24"/>
        </w:rPr>
        <w:t>Application for Rehearing</w:t>
      </w:r>
      <w:r w:rsidRPr="00915AB4">
        <w:rPr>
          <w:rFonts w:ascii="Times New Roman" w:hAnsi="Times New Roman" w:cs="Times New Roman"/>
          <w:sz w:val="24"/>
          <w:szCs w:val="24"/>
        </w:rPr>
        <w:t xml:space="preserve"> was served on the persons stated below</w:t>
      </w:r>
      <w:r w:rsidRPr="00915AB4">
        <w:rPr>
          <w:rFonts w:ascii="Times New Roman" w:hAnsi="Times New Roman" w:cs="Times New Roman"/>
          <w:iCs/>
          <w:sz w:val="24"/>
          <w:szCs w:val="24"/>
        </w:rPr>
        <w:t xml:space="preserve"> via </w:t>
      </w:r>
      <w:r w:rsidRPr="00915AB4">
        <w:rPr>
          <w:rFonts w:ascii="Times New Roman" w:hAnsi="Times New Roman" w:cs="Times New Roman"/>
          <w:sz w:val="24"/>
          <w:szCs w:val="24"/>
        </w:rPr>
        <w:t xml:space="preserve">electronic transmission, this </w:t>
      </w:r>
      <w:r w:rsidRPr="00915AB4" w:rsidR="00FD5310">
        <w:rPr>
          <w:rFonts w:ascii="Times New Roman" w:hAnsi="Times New Roman" w:cs="Times New Roman"/>
          <w:sz w:val="24"/>
          <w:szCs w:val="24"/>
        </w:rPr>
        <w:t>14th</w:t>
      </w:r>
      <w:r w:rsidRPr="00915AB4">
        <w:rPr>
          <w:rFonts w:ascii="Times New Roman" w:hAnsi="Times New Roman" w:cs="Times New Roman"/>
          <w:sz w:val="24"/>
          <w:szCs w:val="24"/>
        </w:rPr>
        <w:t xml:space="preserve"> day of </w:t>
      </w:r>
      <w:r w:rsidRPr="00915AB4" w:rsidR="00FD5310">
        <w:rPr>
          <w:rFonts w:ascii="Times New Roman" w:hAnsi="Times New Roman" w:cs="Times New Roman"/>
          <w:sz w:val="24"/>
          <w:szCs w:val="24"/>
        </w:rPr>
        <w:t xml:space="preserve">January </w:t>
      </w:r>
      <w:r w:rsidRPr="00915AB4">
        <w:rPr>
          <w:rFonts w:ascii="Times New Roman" w:hAnsi="Times New Roman" w:cs="Times New Roman"/>
          <w:sz w:val="24"/>
          <w:szCs w:val="24"/>
        </w:rPr>
        <w:t>202</w:t>
      </w:r>
      <w:r w:rsidRPr="00915AB4" w:rsidR="00FD5310">
        <w:rPr>
          <w:rFonts w:ascii="Times New Roman" w:hAnsi="Times New Roman" w:cs="Times New Roman"/>
          <w:sz w:val="24"/>
          <w:szCs w:val="24"/>
        </w:rPr>
        <w:t>2</w:t>
      </w:r>
      <w:r w:rsidRPr="00915AB4">
        <w:rPr>
          <w:rFonts w:ascii="Times New Roman" w:hAnsi="Times New Roman" w:cs="Times New Roman"/>
          <w:sz w:val="24"/>
          <w:szCs w:val="24"/>
        </w:rPr>
        <w:t>.</w:t>
      </w:r>
    </w:p>
    <w:p w:rsidR="00C13A6F" w:rsidRPr="00915AB4" w:rsidP="00C13A6F" w14:paraId="20387EDE" w14:textId="77777777">
      <w:pPr>
        <w:spacing w:line="240" w:lineRule="auto"/>
        <w:rPr>
          <w:rFonts w:ascii="Times New Roman" w:hAnsi="Times New Roman" w:cs="Times New Roman"/>
          <w:sz w:val="24"/>
          <w:szCs w:val="24"/>
        </w:rPr>
      </w:pPr>
    </w:p>
    <w:p w:rsidR="00954447" w:rsidRPr="00915AB4" w:rsidP="004E4647" w14:paraId="591C21AF" w14:textId="77777777">
      <w:pPr>
        <w:tabs>
          <w:tab w:val="left" w:pos="4320"/>
        </w:tabs>
        <w:spacing w:after="0" w:line="240" w:lineRule="auto"/>
        <w:rPr>
          <w:rFonts w:ascii="Times New Roman" w:hAnsi="Times New Roman" w:cs="Times New Roman"/>
          <w:i/>
          <w:iCs/>
          <w:sz w:val="24"/>
          <w:szCs w:val="24"/>
          <w:u w:val="single"/>
        </w:rPr>
      </w:pPr>
      <w:r w:rsidRPr="00915AB4">
        <w:rPr>
          <w:rFonts w:ascii="Times New Roman" w:hAnsi="Times New Roman" w:cs="Times New Roman"/>
          <w:sz w:val="24"/>
          <w:szCs w:val="24"/>
        </w:rPr>
        <w:tab/>
      </w:r>
      <w:r w:rsidRPr="00915AB4">
        <w:rPr>
          <w:rFonts w:ascii="Times New Roman" w:hAnsi="Times New Roman" w:cs="Times New Roman"/>
          <w:i/>
          <w:iCs/>
          <w:sz w:val="24"/>
          <w:szCs w:val="24"/>
          <w:u w:val="single"/>
        </w:rPr>
        <w:t>/s/ William J. Michael</w:t>
      </w:r>
      <w:r w:rsidRPr="00915AB4">
        <w:rPr>
          <w:rFonts w:ascii="Times New Roman" w:hAnsi="Times New Roman" w:cs="Times New Roman"/>
          <w:i/>
          <w:iCs/>
          <w:sz w:val="24"/>
          <w:szCs w:val="24"/>
          <w:u w:val="single"/>
        </w:rPr>
        <w:tab/>
      </w:r>
      <w:r w:rsidRPr="00915AB4">
        <w:rPr>
          <w:rFonts w:ascii="Times New Roman" w:hAnsi="Times New Roman" w:cs="Times New Roman"/>
          <w:i/>
          <w:iCs/>
          <w:sz w:val="24"/>
          <w:szCs w:val="24"/>
          <w:u w:val="single"/>
        </w:rPr>
        <w:tab/>
      </w:r>
    </w:p>
    <w:p w:rsidR="00954447" w:rsidRPr="00915AB4" w:rsidP="004E4647" w14:paraId="274520F9" w14:textId="77777777">
      <w:pPr>
        <w:tabs>
          <w:tab w:val="left" w:pos="4320"/>
        </w:tabs>
        <w:spacing w:after="0" w:line="240" w:lineRule="auto"/>
        <w:rPr>
          <w:rFonts w:ascii="Times New Roman" w:hAnsi="Times New Roman" w:cs="Times New Roman"/>
          <w:sz w:val="24"/>
          <w:szCs w:val="24"/>
        </w:rPr>
      </w:pPr>
      <w:r w:rsidRPr="00915AB4">
        <w:rPr>
          <w:rFonts w:ascii="Times New Roman" w:hAnsi="Times New Roman" w:cs="Times New Roman"/>
          <w:sz w:val="24"/>
          <w:szCs w:val="24"/>
        </w:rPr>
        <w:tab/>
        <w:t>William J. Michael</w:t>
      </w:r>
    </w:p>
    <w:p w:rsidR="00954447" w:rsidRPr="00915AB4" w:rsidP="004E4647" w14:paraId="220EC79A" w14:textId="77777777">
      <w:pPr>
        <w:tabs>
          <w:tab w:val="left" w:pos="4320"/>
        </w:tabs>
        <w:spacing w:after="0" w:line="240" w:lineRule="auto"/>
        <w:rPr>
          <w:rFonts w:ascii="Times New Roman" w:hAnsi="Times New Roman" w:cs="Times New Roman"/>
          <w:sz w:val="24"/>
          <w:szCs w:val="24"/>
        </w:rPr>
      </w:pPr>
      <w:r w:rsidRPr="00915AB4">
        <w:rPr>
          <w:rFonts w:ascii="Times New Roman" w:hAnsi="Times New Roman" w:cs="Times New Roman"/>
          <w:sz w:val="24"/>
          <w:szCs w:val="24"/>
        </w:rPr>
        <w:tab/>
        <w:t>Assistant Consumers’ Counsel</w:t>
      </w:r>
    </w:p>
    <w:p w:rsidR="00954447" w:rsidRPr="00915AB4" w:rsidP="00954447" w14:paraId="2C0C1BF0" w14:textId="77777777">
      <w:pPr>
        <w:pStyle w:val="CommentSubject"/>
        <w:rPr>
          <w:rFonts w:ascii="Times New Roman" w:hAnsi="Times New Roman" w:cs="Times New Roman"/>
          <w:sz w:val="24"/>
          <w:szCs w:val="24"/>
        </w:rPr>
      </w:pPr>
    </w:p>
    <w:p w:rsidR="008C0745" w:rsidRPr="00915AB4" w:rsidP="008C0745" w14:paraId="2F5F734E" w14:textId="77777777">
      <w:pPr>
        <w:pStyle w:val="CommentText"/>
        <w:rPr>
          <w:rFonts w:ascii="Times New Roman" w:hAnsi="Times New Roman" w:cs="Times New Roman"/>
          <w:bCs/>
          <w:sz w:val="24"/>
          <w:szCs w:val="24"/>
        </w:rPr>
      </w:pPr>
      <w:r w:rsidRPr="00915AB4">
        <w:rPr>
          <w:rFonts w:ascii="Times New Roman" w:hAnsi="Times New Roman" w:cs="Times New Roman"/>
          <w:bCs/>
          <w:sz w:val="24"/>
          <w:szCs w:val="24"/>
        </w:rPr>
        <w:t>The PUCO’s e-filing system will electronically serve notice of the filing of this document on the following parties:</w:t>
      </w:r>
    </w:p>
    <w:p w:rsidR="008C0745" w:rsidRPr="00915AB4" w:rsidP="008C0745" w14:paraId="7BD73932" w14:textId="77777777">
      <w:pPr>
        <w:tabs>
          <w:tab w:val="left" w:pos="5040"/>
        </w:tabs>
        <w:rPr>
          <w:rFonts w:ascii="Times New Roman" w:hAnsi="Times New Roman" w:cs="Times New Roman"/>
          <w:sz w:val="24"/>
          <w:szCs w:val="24"/>
        </w:rPr>
      </w:pPr>
    </w:p>
    <w:p w:rsidR="008C0745" w:rsidRPr="00915AB4" w:rsidP="008C0745" w14:paraId="22602558" w14:textId="77777777">
      <w:pPr>
        <w:pStyle w:val="CommentText"/>
        <w:jc w:val="center"/>
        <w:rPr>
          <w:rFonts w:ascii="Times New Roman" w:hAnsi="Times New Roman" w:cs="Times New Roman"/>
          <w:b/>
          <w:sz w:val="24"/>
          <w:szCs w:val="24"/>
          <w:u w:val="single"/>
        </w:rPr>
      </w:pPr>
      <w:r w:rsidRPr="00915AB4">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BFE9E95" w14:textId="77777777" w:rsidTr="00135E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8C0745" w:rsidRPr="00915AB4" w:rsidP="00135E33" w14:paraId="43AA2602" w14:textId="77777777">
            <w:pPr>
              <w:pStyle w:val="CommentText"/>
              <w:rPr>
                <w:color w:val="0000FF"/>
                <w:sz w:val="24"/>
                <w:szCs w:val="24"/>
              </w:rPr>
            </w:pPr>
            <w:hyperlink r:id="rId12" w:history="1">
              <w:r w:rsidRPr="00915AB4" w:rsidR="000D31D0">
                <w:rPr>
                  <w:rStyle w:val="Hyperlink"/>
                  <w:color w:val="0000FF"/>
                  <w:sz w:val="24"/>
                  <w:szCs w:val="24"/>
                </w:rPr>
                <w:t>Jodi.bair@ohioAGO.gov</w:t>
              </w:r>
            </w:hyperlink>
          </w:p>
          <w:p w:rsidR="008C0745" w:rsidRPr="00915AB4" w:rsidP="00135E33" w14:paraId="718102F3" w14:textId="77777777">
            <w:pPr>
              <w:pStyle w:val="CommentText"/>
              <w:rPr>
                <w:color w:val="0000FF"/>
                <w:sz w:val="24"/>
                <w:szCs w:val="24"/>
              </w:rPr>
            </w:pPr>
            <w:hyperlink r:id="rId13" w:history="1">
              <w:r w:rsidRPr="00915AB4" w:rsidR="000D31D0">
                <w:rPr>
                  <w:rStyle w:val="Hyperlink"/>
                  <w:color w:val="0000FF"/>
                  <w:sz w:val="24"/>
                  <w:szCs w:val="24"/>
                </w:rPr>
                <w:t>Thomas.shepherd@ohioAGO.gov</w:t>
              </w:r>
            </w:hyperlink>
          </w:p>
          <w:p w:rsidR="008C0745" w:rsidRPr="00915AB4" w:rsidP="00135E33" w14:paraId="7D5B1783" w14:textId="77777777">
            <w:pPr>
              <w:pStyle w:val="CommentText"/>
              <w:rPr>
                <w:sz w:val="24"/>
                <w:szCs w:val="24"/>
              </w:rPr>
            </w:pPr>
          </w:p>
          <w:p w:rsidR="008C0745" w:rsidRPr="00915AB4" w:rsidP="00135E33" w14:paraId="2AA20AE1" w14:textId="3F077867">
            <w:pPr>
              <w:pStyle w:val="CommentText"/>
              <w:rPr>
                <w:sz w:val="24"/>
                <w:szCs w:val="24"/>
              </w:rPr>
            </w:pPr>
            <w:r w:rsidRPr="00915AB4">
              <w:rPr>
                <w:sz w:val="24"/>
                <w:szCs w:val="24"/>
              </w:rPr>
              <w:t>Attorney Examiner:</w:t>
            </w:r>
          </w:p>
          <w:p w:rsidR="008C0745" w:rsidRPr="00915AB4" w:rsidP="00135E33" w14:paraId="2588312E" w14:textId="77777777">
            <w:pPr>
              <w:pStyle w:val="CommentText"/>
              <w:rPr>
                <w:color w:val="0000FF"/>
                <w:sz w:val="24"/>
                <w:szCs w:val="24"/>
              </w:rPr>
            </w:pPr>
            <w:hyperlink r:id="rId14" w:history="1">
              <w:r w:rsidRPr="00915AB4" w:rsidR="000D31D0">
                <w:rPr>
                  <w:rStyle w:val="Hyperlink"/>
                  <w:color w:val="0000FF"/>
                  <w:sz w:val="24"/>
                  <w:szCs w:val="24"/>
                </w:rPr>
                <w:t>Patricia.schabo@puco.ohio.gov</w:t>
              </w:r>
            </w:hyperlink>
          </w:p>
          <w:p w:rsidR="008C0745" w:rsidRPr="00915AB4" w:rsidP="00135E33" w14:paraId="74D38A93" w14:textId="77777777">
            <w:pPr>
              <w:pStyle w:val="CommentText"/>
              <w:rPr>
                <w:sz w:val="24"/>
                <w:szCs w:val="24"/>
              </w:rPr>
            </w:pPr>
          </w:p>
          <w:p w:rsidR="008C0745" w:rsidRPr="00915AB4" w:rsidP="00135E33" w14:paraId="72781393" w14:textId="77777777">
            <w:pPr>
              <w:pStyle w:val="CommentText"/>
              <w:rPr>
                <w:sz w:val="24"/>
                <w:szCs w:val="24"/>
              </w:rPr>
            </w:pPr>
          </w:p>
        </w:tc>
        <w:tc>
          <w:tcPr>
            <w:tcW w:w="4315" w:type="dxa"/>
          </w:tcPr>
          <w:p w:rsidR="008C0745" w:rsidRPr="00915AB4" w:rsidP="00135E33" w14:paraId="0393D715" w14:textId="77777777">
            <w:pPr>
              <w:pStyle w:val="CommentText"/>
              <w:ind w:left="702"/>
              <w:rPr>
                <w:color w:val="0000FF"/>
                <w:sz w:val="24"/>
                <w:szCs w:val="24"/>
              </w:rPr>
            </w:pPr>
            <w:hyperlink r:id="rId15" w:history="1">
              <w:r w:rsidRPr="00915AB4" w:rsidR="000D31D0">
                <w:rPr>
                  <w:rStyle w:val="Hyperlink"/>
                  <w:color w:val="0000FF"/>
                  <w:sz w:val="24"/>
                  <w:szCs w:val="24"/>
                </w:rPr>
                <w:t>mpritchard@mcneeslaw.com</w:t>
              </w:r>
            </w:hyperlink>
          </w:p>
          <w:p w:rsidR="008C0745" w:rsidRPr="00915AB4" w:rsidP="00135E33" w14:paraId="266D51C7" w14:textId="77777777">
            <w:pPr>
              <w:pStyle w:val="CommentText"/>
              <w:ind w:left="702"/>
              <w:rPr>
                <w:color w:val="0000FF"/>
                <w:sz w:val="24"/>
                <w:szCs w:val="24"/>
              </w:rPr>
            </w:pPr>
            <w:hyperlink r:id="rId16" w:history="1">
              <w:r w:rsidRPr="00915AB4" w:rsidR="000D31D0">
                <w:rPr>
                  <w:rStyle w:val="Hyperlink"/>
                  <w:color w:val="0000FF"/>
                  <w:sz w:val="24"/>
                  <w:szCs w:val="24"/>
                </w:rPr>
                <w:t>bmckenney@mcneeslaw.com</w:t>
              </w:r>
            </w:hyperlink>
          </w:p>
          <w:p w:rsidR="008C0745" w:rsidRPr="00915AB4" w:rsidP="00135E33" w14:paraId="4AE706D9" w14:textId="77777777">
            <w:pPr>
              <w:pStyle w:val="CommentText"/>
              <w:ind w:left="702"/>
              <w:rPr>
                <w:sz w:val="24"/>
                <w:szCs w:val="24"/>
              </w:rPr>
            </w:pPr>
          </w:p>
        </w:tc>
      </w:tr>
    </w:tbl>
    <w:p w:rsidR="00D66904" w:rsidRPr="00915AB4" w:rsidP="00FD5310" w14:paraId="54D34B7D" w14:textId="77777777">
      <w:pPr>
        <w:spacing w:after="0"/>
        <w:jc w:val="center"/>
        <w:rPr>
          <w:rFonts w:ascii="Times New Roman" w:hAnsi="Times New Roman" w:cs="Times New Roman"/>
          <w:sz w:val="24"/>
          <w:szCs w:val="24"/>
        </w:rPr>
      </w:pPr>
    </w:p>
    <w:sectPr w:rsidSect="00065B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E33" w:rsidRPr="00EA58F3" w14:paraId="5A38DF96" w14:textId="5B52DF19">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3799283"/>
      <w:docPartObj>
        <w:docPartGallery w:val="Page Numbers (Bottom of Page)"/>
        <w:docPartUnique/>
      </w:docPartObj>
    </w:sdtPr>
    <w:sdtEndPr>
      <w:rPr>
        <w:rFonts w:ascii="Times New Roman" w:hAnsi="Times New Roman" w:cs="Times New Roman"/>
        <w:noProof/>
        <w:sz w:val="24"/>
        <w:szCs w:val="24"/>
      </w:rPr>
    </w:sdtEndPr>
    <w:sdtContent>
      <w:p w:rsidR="00135E33" w:rsidRPr="00EA58F3" w14:paraId="7E144066" w14:textId="77777777">
        <w:pPr>
          <w:pStyle w:val="Footer"/>
          <w:jc w:val="center"/>
          <w:rPr>
            <w:rFonts w:ascii="Times New Roman" w:hAnsi="Times New Roman" w:cs="Times New Roman"/>
            <w:sz w:val="24"/>
            <w:szCs w:val="24"/>
          </w:rPr>
        </w:pPr>
        <w:r w:rsidRPr="00EA58F3">
          <w:rPr>
            <w:rFonts w:ascii="Times New Roman" w:hAnsi="Times New Roman" w:cs="Times New Roman"/>
            <w:sz w:val="24"/>
            <w:szCs w:val="24"/>
          </w:rPr>
          <w:fldChar w:fldCharType="begin"/>
        </w:r>
        <w:r w:rsidRPr="00EA58F3">
          <w:rPr>
            <w:rFonts w:ascii="Times New Roman" w:hAnsi="Times New Roman" w:cs="Times New Roman"/>
            <w:sz w:val="24"/>
            <w:szCs w:val="24"/>
          </w:rPr>
          <w:instrText xml:space="preserve"> PAGE   \* MERGEFORMAT </w:instrText>
        </w:r>
        <w:r w:rsidRPr="00EA58F3">
          <w:rPr>
            <w:rFonts w:ascii="Times New Roman" w:hAnsi="Times New Roman" w:cs="Times New Roman"/>
            <w:sz w:val="24"/>
            <w:szCs w:val="24"/>
          </w:rPr>
          <w:fldChar w:fldCharType="separate"/>
        </w:r>
        <w:r w:rsidRPr="00EA58F3">
          <w:rPr>
            <w:rFonts w:ascii="Times New Roman" w:hAnsi="Times New Roman" w:cs="Times New Roman"/>
            <w:noProof/>
            <w:sz w:val="24"/>
            <w:szCs w:val="24"/>
          </w:rPr>
          <w:t>2</w:t>
        </w:r>
        <w:r w:rsidRPr="00EA58F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D31D0" w:rsidP="00152A74" w14:paraId="37B109A9" w14:textId="77777777">
      <w:pPr>
        <w:spacing w:after="0" w:line="240" w:lineRule="auto"/>
      </w:pPr>
      <w:r>
        <w:separator/>
      </w:r>
    </w:p>
  </w:footnote>
  <w:footnote w:type="continuationSeparator" w:id="1">
    <w:p w:rsidR="000D31D0" w:rsidP="00152A74" w14:paraId="44BD96B2" w14:textId="77777777">
      <w:pPr>
        <w:spacing w:after="0" w:line="240" w:lineRule="auto"/>
      </w:pPr>
      <w:r>
        <w:continuationSeparator/>
      </w:r>
    </w:p>
  </w:footnote>
  <w:footnote w:id="2">
    <w:p w:rsidR="00135E33" w:rsidRPr="00C271F4" w:rsidP="00C271F4" w14:paraId="0F8D13F3" w14:textId="2E2B059A">
      <w:pPr>
        <w:pStyle w:val="FootnoteText"/>
        <w:spacing w:after="120"/>
        <w:rPr>
          <w:rFonts w:cs="Times New Roman"/>
        </w:rPr>
      </w:pPr>
      <w:r w:rsidRPr="00C271F4">
        <w:rPr>
          <w:rStyle w:val="FootnoteReference"/>
          <w:rFonts w:cs="Times New Roman"/>
        </w:rPr>
        <w:footnoteRef/>
      </w:r>
      <w:r w:rsidRPr="00C271F4">
        <w:rPr>
          <w:rFonts w:cs="Times New Roman"/>
        </w:rPr>
        <w:t xml:space="preserve"> R.C. 4939.07.</w:t>
      </w:r>
    </w:p>
  </w:footnote>
  <w:footnote w:id="3">
    <w:p w:rsidR="00135E33" w:rsidRPr="00C271F4" w:rsidP="00C271F4" w14:paraId="31EBC6AC" w14:textId="5A2927BB">
      <w:pPr>
        <w:pStyle w:val="FootnoteText"/>
        <w:spacing w:after="120"/>
        <w:rPr>
          <w:rFonts w:cs="Times New Roman"/>
        </w:rPr>
      </w:pPr>
      <w:r w:rsidRPr="00C271F4">
        <w:rPr>
          <w:rStyle w:val="FootnoteReference"/>
          <w:rFonts w:cs="Times New Roman"/>
        </w:rPr>
        <w:footnoteRef/>
      </w:r>
      <w:r w:rsidRPr="00C271F4">
        <w:rPr>
          <w:rFonts w:cs="Times New Roman"/>
        </w:rPr>
        <w:t xml:space="preserve"> Finding and Order (December 15, 2021).</w:t>
      </w:r>
    </w:p>
  </w:footnote>
  <w:footnote w:id="4">
    <w:p w:rsidR="00135E33" w:rsidRPr="00C271F4" w:rsidP="00C271F4" w14:paraId="0EFD387E" w14:textId="77777777">
      <w:pPr>
        <w:pStyle w:val="FootnoteText"/>
        <w:spacing w:after="120"/>
        <w:rPr>
          <w:rFonts w:cs="Times New Roman"/>
          <w:i/>
          <w:iCs/>
        </w:rPr>
      </w:pPr>
      <w:r w:rsidRPr="00C271F4">
        <w:rPr>
          <w:rStyle w:val="FootnoteReference"/>
          <w:rFonts w:cs="Times New Roman"/>
        </w:rPr>
        <w:footnoteRef/>
      </w:r>
      <w:r w:rsidRPr="00C271F4">
        <w:rPr>
          <w:rFonts w:cs="Times New Roman"/>
        </w:rPr>
        <w:t xml:space="preserve"> Application at 1</w:t>
      </w:r>
      <w:r w:rsidRPr="00C271F4">
        <w:rPr>
          <w:rFonts w:cs="Times New Roman"/>
          <w:i/>
          <w:iCs/>
        </w:rPr>
        <w:t>.</w:t>
      </w:r>
    </w:p>
  </w:footnote>
  <w:footnote w:id="5">
    <w:p w:rsidR="00135E33" w:rsidRPr="00C271F4" w:rsidP="00C271F4" w14:paraId="6BEF90A3" w14:textId="77777777">
      <w:pPr>
        <w:pStyle w:val="FootnoteText"/>
        <w:spacing w:after="120"/>
        <w:rPr>
          <w:rFonts w:cs="Times New Roman"/>
        </w:rPr>
      </w:pPr>
      <w:r w:rsidRPr="00C271F4">
        <w:rPr>
          <w:rStyle w:val="FootnoteReference"/>
          <w:rFonts w:cs="Times New Roman"/>
        </w:rPr>
        <w:footnoteRef/>
      </w:r>
      <w:r w:rsidRPr="00C271F4">
        <w:rPr>
          <w:rFonts w:cs="Times New Roman"/>
        </w:rPr>
        <w:t xml:space="preserve"> Staff Review and Recommendation at 6 (November 22, 2021) (“Staff Report”).</w:t>
      </w:r>
    </w:p>
  </w:footnote>
  <w:footnote w:id="6">
    <w:p w:rsidR="00135E33" w:rsidRPr="00C271F4" w:rsidP="00C271F4" w14:paraId="418EFE89" w14:textId="4679584D">
      <w:pPr>
        <w:pStyle w:val="FootnoteText"/>
        <w:spacing w:after="120"/>
        <w:rPr>
          <w:rFonts w:cs="Times New Roman"/>
          <w:i/>
          <w:iCs/>
        </w:rPr>
      </w:pPr>
      <w:r w:rsidRPr="00C271F4">
        <w:rPr>
          <w:rStyle w:val="FootnoteReference"/>
          <w:rFonts w:cs="Times New Roman"/>
        </w:rPr>
        <w:footnoteRef/>
      </w:r>
      <w:r w:rsidRPr="00C271F4">
        <w:rPr>
          <w:rFonts w:cs="Times New Roman"/>
        </w:rPr>
        <w:t xml:space="preserve"> </w:t>
      </w:r>
      <w:r w:rsidRPr="00C271F4">
        <w:rPr>
          <w:rFonts w:cs="Times New Roman"/>
          <w:i/>
          <w:iCs/>
        </w:rPr>
        <w:t>Kazmaier Supermarket Inc. v. Toledo Edison Co.</w:t>
      </w:r>
      <w:r w:rsidRPr="00C271F4">
        <w:rPr>
          <w:rFonts w:cs="Times New Roman"/>
        </w:rPr>
        <w:t>, 61 Ohio St.3d 147, 151 (1991).</w:t>
      </w:r>
      <w:r w:rsidRPr="00C271F4">
        <w:rPr>
          <w:rFonts w:cs="Times New Roman"/>
          <w:i/>
          <w:iCs/>
        </w:rPr>
        <w:t xml:space="preserve"> </w:t>
      </w:r>
    </w:p>
  </w:footnote>
  <w:footnote w:id="7">
    <w:p w:rsidR="00135E33" w:rsidRPr="00C271F4" w:rsidP="00C271F4" w14:paraId="533A13FD" w14:textId="2AAE8AC6">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 xml:space="preserve">Id. </w:t>
      </w:r>
      <w:r w:rsidRPr="00C271F4">
        <w:rPr>
          <w:rFonts w:cs="Times New Roman"/>
        </w:rPr>
        <w:t>at 151.</w:t>
      </w:r>
    </w:p>
  </w:footnote>
  <w:footnote w:id="8">
    <w:p w:rsidR="00135E33" w:rsidRPr="00C271F4" w:rsidP="00C271F4" w14:paraId="62678483" w14:textId="40F5A9AC">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See, e.g., In re Ohio Edison Co.</w:t>
      </w:r>
      <w:r w:rsidRPr="00C271F4">
        <w:rPr>
          <w:rFonts w:cs="Times New Roman"/>
        </w:rPr>
        <w:t>, 157 Ohio St.3d 73, 75 (2019).</w:t>
      </w:r>
    </w:p>
  </w:footnote>
  <w:footnote w:id="9">
    <w:p w:rsidR="00135E33" w:rsidRPr="00C271F4" w:rsidP="00C271F4" w14:paraId="6C48A7FC" w14:textId="383D5777">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See, e.g., State ex rel. Burrows v. Indus. Comm’n</w:t>
      </w:r>
      <w:r w:rsidRPr="00C271F4">
        <w:rPr>
          <w:rFonts w:cs="Times New Roman"/>
        </w:rPr>
        <w:t>, 78 Ohio St.3d 78, 81 (1993).</w:t>
      </w:r>
    </w:p>
  </w:footnote>
  <w:footnote w:id="10">
    <w:p w:rsidR="00135E33" w:rsidRPr="00C271F4" w:rsidP="00C271F4" w14:paraId="3FFB8D97" w14:textId="7F2AA070">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sidR="00C271F4">
        <w:rPr>
          <w:rFonts w:cs="Times New Roman"/>
        </w:rPr>
        <w:t>R.C. 1.42.</w:t>
      </w:r>
    </w:p>
  </w:footnote>
  <w:footnote w:id="11">
    <w:p w:rsidR="00135E33" w:rsidRPr="00C271F4" w:rsidP="00C271F4" w14:paraId="0746DEF7" w14:textId="486BA625">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See, e.g., Burrows</w:t>
      </w:r>
      <w:r w:rsidRPr="00C271F4">
        <w:rPr>
          <w:rFonts w:cs="Times New Roman"/>
        </w:rPr>
        <w:t>, supra note 6.</w:t>
      </w:r>
    </w:p>
  </w:footnote>
  <w:footnote w:id="12">
    <w:p w:rsidR="00135E33" w:rsidRPr="00C271F4" w:rsidP="00C271F4" w14:paraId="184548C7" w14:textId="2726AE3E">
      <w:pPr>
        <w:spacing w:after="120" w:line="240" w:lineRule="auto"/>
        <w:rPr>
          <w:rFonts w:ascii="Times New Roman" w:hAnsi="Times New Roman" w:cs="Times New Roman"/>
          <w:sz w:val="20"/>
          <w:szCs w:val="20"/>
        </w:rPr>
      </w:pPr>
      <w:r w:rsidRPr="00C271F4">
        <w:rPr>
          <w:rStyle w:val="FootnoteReference"/>
          <w:rFonts w:ascii="Times New Roman" w:hAnsi="Times New Roman" w:cs="Times New Roman"/>
          <w:sz w:val="20"/>
          <w:szCs w:val="20"/>
        </w:rPr>
        <w:footnoteRef/>
      </w:r>
      <w:r w:rsidRPr="00C271F4">
        <w:rPr>
          <w:rFonts w:ascii="Times New Roman" w:hAnsi="Times New Roman" w:cs="Times New Roman"/>
          <w:sz w:val="20"/>
          <w:szCs w:val="20"/>
        </w:rPr>
        <w:t xml:space="preserve"> </w:t>
      </w:r>
      <w:r w:rsidRPr="00C271F4">
        <w:rPr>
          <w:rStyle w:val="ssrfcsection"/>
          <w:rFonts w:ascii="Times New Roman" w:hAnsi="Times New Roman" w:cs="Times New Roman"/>
          <w:i/>
          <w:iCs/>
          <w:color w:val="212121"/>
          <w:sz w:val="20"/>
          <w:szCs w:val="20"/>
          <w:bdr w:val="none" w:sz="0" w:space="0" w:color="auto" w:frame="1"/>
          <w:shd w:val="clear" w:color="auto" w:fill="FFFFFF"/>
        </w:rPr>
        <w:t>See</w:t>
      </w:r>
      <w:r w:rsidRPr="00C271F4">
        <w:rPr>
          <w:rStyle w:val="ssrfcsection"/>
          <w:rFonts w:ascii="Times New Roman" w:hAnsi="Times New Roman" w:cs="Times New Roman"/>
          <w:color w:val="212121"/>
          <w:sz w:val="20"/>
          <w:szCs w:val="20"/>
          <w:bdr w:val="none" w:sz="0" w:space="0" w:color="auto" w:frame="1"/>
          <w:shd w:val="clear" w:color="auto" w:fill="FFFFFF"/>
        </w:rPr>
        <w:t>, </w:t>
      </w:r>
      <w:r w:rsidRPr="00C271F4">
        <w:rPr>
          <w:rStyle w:val="ssit"/>
          <w:rFonts w:ascii="Times New Roman" w:hAnsi="Times New Roman" w:cs="Times New Roman"/>
          <w:i/>
          <w:iCs/>
          <w:color w:val="212121"/>
          <w:sz w:val="20"/>
          <w:szCs w:val="20"/>
          <w:bdr w:val="none" w:sz="0" w:space="0" w:color="auto" w:frame="1"/>
          <w:shd w:val="clear" w:color="auto" w:fill="FFFFFF"/>
        </w:rPr>
        <w:t>e.g</w:t>
      </w:r>
      <w:r w:rsidRPr="00C271F4">
        <w:rPr>
          <w:rStyle w:val="ssrfcsection"/>
          <w:rFonts w:ascii="Times New Roman" w:hAnsi="Times New Roman" w:cs="Times New Roman"/>
          <w:color w:val="212121"/>
          <w:sz w:val="20"/>
          <w:szCs w:val="20"/>
          <w:bdr w:val="none" w:sz="0" w:space="0" w:color="auto" w:frame="1"/>
          <w:shd w:val="clear" w:color="auto" w:fill="FFFFFF"/>
        </w:rPr>
        <w:t>., </w:t>
      </w:r>
      <w:hyperlink r:id="rId1" w:history="1">
        <w:r w:rsidRPr="00C271F4">
          <w:rPr>
            <w:rStyle w:val="ssit"/>
            <w:rFonts w:ascii="Times New Roman" w:hAnsi="Times New Roman" w:cs="Times New Roman"/>
            <w:i/>
            <w:iCs/>
            <w:sz w:val="20"/>
            <w:szCs w:val="20"/>
            <w:bdr w:val="none" w:sz="0" w:space="0" w:color="auto" w:frame="1"/>
            <w:shd w:val="clear" w:color="auto" w:fill="FFFFFF"/>
          </w:rPr>
          <w:t>State ex rel. Toledo Edison Co. v. Clyde</w:t>
        </w:r>
        <w:r w:rsidRPr="00C271F4">
          <w:rPr>
            <w:rStyle w:val="Hyperlink"/>
            <w:rFonts w:ascii="Times New Roman" w:hAnsi="Times New Roman" w:cs="Times New Roman"/>
            <w:color w:val="auto"/>
            <w:sz w:val="20"/>
            <w:szCs w:val="20"/>
            <w:u w:val="none"/>
            <w:bdr w:val="none" w:sz="0" w:space="0" w:color="auto" w:frame="1"/>
            <w:shd w:val="clear" w:color="auto" w:fill="FFFFFF"/>
          </w:rPr>
          <w:t>, 76 Ohio St.3d 508, 513 (1996).</w:t>
        </w:r>
      </w:hyperlink>
    </w:p>
  </w:footnote>
  <w:footnote w:id="13">
    <w:p w:rsidR="00135E33" w:rsidRPr="00C271F4" w:rsidP="00C271F4" w14:paraId="3891E952" w14:textId="1548E00B">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 xml:space="preserve">See </w:t>
      </w:r>
      <w:r w:rsidRPr="00C271F4">
        <w:rPr>
          <w:rFonts w:cs="Times New Roman"/>
        </w:rPr>
        <w:t>OCC’s Comments 3-4.</w:t>
      </w:r>
    </w:p>
  </w:footnote>
  <w:footnote w:id="14">
    <w:p w:rsidR="00135E33" w:rsidRPr="00C271F4" w:rsidP="00C271F4" w14:paraId="4AA0D278" w14:textId="1025CBD2">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 xml:space="preserve">See </w:t>
      </w:r>
      <w:r w:rsidRPr="00C271F4">
        <w:rPr>
          <w:rFonts w:cs="Times New Roman"/>
        </w:rPr>
        <w:t>OCC’s Comments at 2-5.</w:t>
      </w:r>
    </w:p>
  </w:footnote>
  <w:footnote w:id="15">
    <w:p w:rsidR="00135E33" w:rsidRPr="00C271F4" w:rsidP="00C271F4" w14:paraId="6C5ACA1E" w14:textId="4FF824BE">
      <w:pPr>
        <w:pStyle w:val="FootnoteText"/>
        <w:spacing w:after="120"/>
        <w:rPr>
          <w:rFonts w:cs="Times New Roman"/>
          <w:i/>
          <w:iCs/>
        </w:rPr>
      </w:pPr>
      <w:r w:rsidRPr="00C271F4">
        <w:rPr>
          <w:rStyle w:val="FootnoteReference"/>
          <w:rFonts w:cs="Times New Roman"/>
        </w:rPr>
        <w:footnoteRef/>
      </w:r>
      <w:r w:rsidRPr="00C271F4">
        <w:rPr>
          <w:rFonts w:cs="Times New Roman"/>
        </w:rPr>
        <w:t xml:space="preserve"> Finding and Order at para. 20. The PUCO mentions the “[n]otwithstanding any other provision of law” part of the statute. </w:t>
      </w:r>
      <w:r w:rsidRPr="00C271F4">
        <w:rPr>
          <w:rFonts w:cs="Times New Roman"/>
          <w:i/>
          <w:iCs/>
        </w:rPr>
        <w:t>Id.</w:t>
      </w:r>
      <w:r w:rsidRPr="00C271F4">
        <w:rPr>
          <w:rFonts w:cs="Times New Roman"/>
        </w:rPr>
        <w:t xml:space="preserve"> That part of the law is not germane here. We are contesting the PUCO’s construction of </w:t>
      </w:r>
      <w:r w:rsidRPr="00C271F4">
        <w:rPr>
          <w:rFonts w:cs="Times New Roman"/>
          <w:i/>
          <w:iCs/>
        </w:rPr>
        <w:t>this</w:t>
      </w:r>
      <w:r w:rsidRPr="00C271F4">
        <w:rPr>
          <w:rFonts w:cs="Times New Roman"/>
        </w:rPr>
        <w:t xml:space="preserve"> law, based on what </w:t>
      </w:r>
      <w:r w:rsidRPr="00C271F4">
        <w:rPr>
          <w:rFonts w:cs="Times New Roman"/>
          <w:i/>
          <w:iCs/>
        </w:rPr>
        <w:t xml:space="preserve">this </w:t>
      </w:r>
      <w:r w:rsidRPr="00C271F4">
        <w:rPr>
          <w:rFonts w:cs="Times New Roman"/>
        </w:rPr>
        <w:t>law says.</w:t>
      </w:r>
      <w:r w:rsidRPr="00C271F4">
        <w:rPr>
          <w:rFonts w:cs="Times New Roman"/>
          <w:i/>
          <w:iCs/>
        </w:rPr>
        <w:t xml:space="preserve"> </w:t>
      </w:r>
    </w:p>
  </w:footnote>
  <w:footnote w:id="16">
    <w:p w:rsidR="00135E33" w:rsidRPr="00C271F4" w:rsidP="00C271F4" w14:paraId="763D9885" w14:textId="48BE0F57">
      <w:pPr>
        <w:pStyle w:val="FootnoteText"/>
        <w:spacing w:after="120"/>
        <w:rPr>
          <w:rFonts w:cs="Times New Roman"/>
        </w:rPr>
      </w:pPr>
      <w:r w:rsidRPr="00C271F4">
        <w:rPr>
          <w:rStyle w:val="FootnoteReference"/>
          <w:rFonts w:cs="Times New Roman"/>
        </w:rPr>
        <w:footnoteRef/>
      </w:r>
      <w:r w:rsidRPr="00C271F4">
        <w:rPr>
          <w:rFonts w:cs="Times New Roman"/>
        </w:rPr>
        <w:t xml:space="preserve"> R.C. 4939.07(D)(1) (italics added).</w:t>
      </w:r>
    </w:p>
  </w:footnote>
  <w:footnote w:id="17">
    <w:p w:rsidR="00135E33" w:rsidRPr="00C271F4" w:rsidP="00C271F4" w14:paraId="19BB6C1C" w14:textId="1A8DDBB7">
      <w:pPr>
        <w:pStyle w:val="FootnoteText"/>
        <w:spacing w:after="120"/>
        <w:rPr>
          <w:rFonts w:cs="Times New Roman"/>
        </w:rPr>
      </w:pPr>
      <w:r w:rsidRPr="00C271F4">
        <w:rPr>
          <w:rStyle w:val="FootnoteReference"/>
          <w:rFonts w:cs="Times New Roman"/>
        </w:rPr>
        <w:footnoteRef/>
      </w:r>
      <w:r w:rsidRPr="00C271F4">
        <w:rPr>
          <w:rFonts w:cs="Times New Roman"/>
        </w:rPr>
        <w:t xml:space="preserve"> R.C. 1.42.</w:t>
      </w:r>
    </w:p>
  </w:footnote>
  <w:footnote w:id="18">
    <w:p w:rsidR="00135E33" w:rsidRPr="00C271F4" w:rsidP="00C271F4" w14:paraId="167FFE3C" w14:textId="7535F0D8">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 xml:space="preserve">See, </w:t>
      </w:r>
      <w:r w:rsidRPr="00C271F4">
        <w:rPr>
          <w:rFonts w:cs="Times New Roman"/>
        </w:rPr>
        <w:t>18 C.F.R. Part 201 – Uniform System of Accounts Prescribed for Natural Gas Companies Subject to the Provisions of the Natural Gas Act, at Definition No. 31 “Regulatory Asset”; R.C. 4905.13; and O.A.C. 4901:1-13-13.</w:t>
      </w:r>
    </w:p>
  </w:footnote>
  <w:footnote w:id="19">
    <w:p w:rsidR="00135E33" w:rsidRPr="00C271F4" w:rsidP="00C271F4" w14:paraId="217E96A3" w14:textId="62D55469">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Id.</w:t>
      </w:r>
    </w:p>
  </w:footnote>
  <w:footnote w:id="20">
    <w:p w:rsidR="00135E33" w:rsidRPr="00C271F4" w:rsidP="00C271F4" w14:paraId="0FAF21EE" w14:textId="39266372">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See, e.g</w:t>
      </w:r>
      <w:r w:rsidRPr="00C271F4">
        <w:rPr>
          <w:rFonts w:cs="Times New Roman"/>
        </w:rPr>
        <w:t>., 18 C.F.R. Part 201 – Uniform System of Accounts Prescribed for Natural Gas Companies Subject to the Provisions of the Natural Gas Act, at “Gas Plant Instructions.”; R.C. 4905.13; O.A.C. 4901:1-13-13.</w:t>
      </w:r>
    </w:p>
  </w:footnote>
  <w:footnote w:id="21">
    <w:p w:rsidR="00135E33" w:rsidRPr="00C271F4" w:rsidP="00C271F4" w14:paraId="319BCFEB" w14:textId="77777777">
      <w:pPr>
        <w:pStyle w:val="FootnoteText"/>
        <w:spacing w:after="120"/>
        <w:rPr>
          <w:rFonts w:cs="Times New Roman"/>
        </w:rPr>
      </w:pPr>
      <w:r w:rsidRPr="00C271F4">
        <w:rPr>
          <w:rStyle w:val="FootnoteReference"/>
          <w:rFonts w:cs="Times New Roman"/>
        </w:rPr>
        <w:footnoteRef/>
      </w:r>
      <w:r w:rsidRPr="00C271F4">
        <w:rPr>
          <w:rFonts w:cs="Times New Roman"/>
        </w:rPr>
        <w:t xml:space="preserve"> R.C. 4929.111.</w:t>
      </w:r>
    </w:p>
  </w:footnote>
  <w:footnote w:id="22">
    <w:p w:rsidR="00135E33" w:rsidRPr="00C271F4" w:rsidP="00C271F4" w14:paraId="297FB019" w14:textId="6F88F2D8">
      <w:pPr>
        <w:pStyle w:val="FootnoteText"/>
        <w:spacing w:after="120"/>
        <w:rPr>
          <w:rFonts w:cs="Times New Roman"/>
        </w:rPr>
      </w:pPr>
      <w:r w:rsidRPr="00C271F4">
        <w:rPr>
          <w:rStyle w:val="FootnoteReference"/>
          <w:rFonts w:cs="Times New Roman"/>
        </w:rPr>
        <w:footnoteRef/>
      </w:r>
      <w:r w:rsidRPr="00C271F4">
        <w:rPr>
          <w:rFonts w:cs="Times New Roman"/>
        </w:rPr>
        <w:t xml:space="preserve"> R.C. 4939.07(D)(2)(a).</w:t>
      </w:r>
    </w:p>
  </w:footnote>
  <w:footnote w:id="23">
    <w:p w:rsidR="00135E33" w:rsidRPr="00C271F4" w:rsidP="00C271F4" w14:paraId="70BF13FA" w14:textId="32EF847C">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 xml:space="preserve">Id. </w:t>
      </w:r>
      <w:r w:rsidRPr="00C271F4">
        <w:rPr>
          <w:rFonts w:cs="Times New Roman"/>
        </w:rPr>
        <w:t>at (D)(2)(b).</w:t>
      </w:r>
    </w:p>
  </w:footnote>
  <w:footnote w:id="24">
    <w:p w:rsidR="00135E33" w:rsidRPr="00C271F4" w:rsidP="00C271F4" w14:paraId="5CD301D2" w14:textId="77777777">
      <w:pPr>
        <w:pStyle w:val="FootnoteText"/>
        <w:spacing w:after="120"/>
        <w:rPr>
          <w:rFonts w:cs="Times New Roman"/>
        </w:rPr>
      </w:pPr>
      <w:r w:rsidRPr="00C271F4">
        <w:rPr>
          <w:rStyle w:val="FootnoteReference"/>
          <w:rFonts w:cs="Times New Roman"/>
        </w:rPr>
        <w:footnoteRef/>
      </w:r>
      <w:r w:rsidRPr="00C271F4">
        <w:rPr>
          <w:rFonts w:cs="Times New Roman"/>
        </w:rPr>
        <w:t xml:space="preserve"> R.C. 1.42.</w:t>
      </w:r>
    </w:p>
  </w:footnote>
  <w:footnote w:id="25">
    <w:p w:rsidR="00135E33" w:rsidRPr="00C271F4" w:rsidP="00C271F4" w14:paraId="1FE8FA58" w14:textId="41858EF1">
      <w:pPr>
        <w:pStyle w:val="FootnoteText"/>
        <w:spacing w:after="120"/>
        <w:rPr>
          <w:rFonts w:cs="Times New Roman"/>
        </w:rPr>
      </w:pPr>
      <w:r w:rsidRPr="00C271F4">
        <w:rPr>
          <w:rStyle w:val="FootnoteReference"/>
          <w:rFonts w:cs="Times New Roman"/>
        </w:rPr>
        <w:footnoteRef/>
      </w:r>
      <w:r w:rsidRPr="00C271F4">
        <w:rPr>
          <w:rFonts w:cs="Times New Roman"/>
        </w:rPr>
        <w:t xml:space="preserve"> R.C. 4939.09(D)(3).</w:t>
      </w:r>
    </w:p>
  </w:footnote>
  <w:footnote w:id="26">
    <w:p w:rsidR="00135E33" w:rsidRPr="00C271F4" w:rsidP="00C271F4" w14:paraId="679304EC" w14:textId="11F75139">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See, e.g., Mishr v. Bd. of Zoning Appeals of Pol.</w:t>
      </w:r>
      <w:r w:rsidRPr="00C271F4">
        <w:rPr>
          <w:rFonts w:cs="Times New Roman"/>
        </w:rPr>
        <w:t>, 76 Ohio St.3d 238, 240 (1996).</w:t>
      </w:r>
    </w:p>
  </w:footnote>
  <w:footnote w:id="27">
    <w:p w:rsidR="00AB4279" w:rsidRPr="00C271F4" w:rsidP="00C271F4" w14:paraId="125B2945" w14:textId="34132C44">
      <w:pPr>
        <w:pStyle w:val="FootnoteText"/>
        <w:spacing w:after="120"/>
      </w:pPr>
      <w:r w:rsidRPr="00C271F4">
        <w:rPr>
          <w:rStyle w:val="FootnoteReference"/>
        </w:rPr>
        <w:footnoteRef/>
      </w:r>
      <w:r w:rsidRPr="00C271F4">
        <w:t xml:space="preserve"> R.C. 1.47(D).</w:t>
      </w:r>
    </w:p>
  </w:footnote>
  <w:footnote w:id="28">
    <w:p w:rsidR="00135E33" w:rsidRPr="00C271F4" w:rsidP="00C271F4" w14:paraId="57926AEC" w14:textId="745D571A">
      <w:pPr>
        <w:pStyle w:val="FootnoteText"/>
        <w:spacing w:after="120"/>
        <w:rPr>
          <w:rFonts w:cs="Times New Roman"/>
        </w:rPr>
      </w:pPr>
      <w:r w:rsidRPr="00C271F4">
        <w:rPr>
          <w:rStyle w:val="FootnoteReference"/>
          <w:rFonts w:cs="Times New Roman"/>
        </w:rPr>
        <w:footnoteRef/>
      </w:r>
      <w:r w:rsidRPr="00C271F4">
        <w:rPr>
          <w:rFonts w:cs="Times New Roman"/>
        </w:rPr>
        <w:t xml:space="preserve"> 100%/2.5% = 40. </w:t>
      </w:r>
      <w:r w:rsidRPr="00C271F4">
        <w:rPr>
          <w:rFonts w:cs="Times New Roman"/>
          <w:i/>
          <w:iCs/>
        </w:rPr>
        <w:t>See</w:t>
      </w:r>
      <w:r w:rsidRPr="00C271F4">
        <w:rPr>
          <w:rFonts w:cs="Times New Roman"/>
        </w:rPr>
        <w:t xml:space="preserve"> ‘Natural Gas Companies Annual Report of Ohio Gas Company for the Year Ended December 31, 2019,’ at 30.</w:t>
      </w:r>
    </w:p>
  </w:footnote>
  <w:footnote w:id="29">
    <w:p w:rsidR="00135E33" w:rsidRPr="00C271F4" w:rsidP="00C271F4" w14:paraId="4C1F2BA1" w14:textId="77777777">
      <w:pPr>
        <w:pStyle w:val="FootnoteText"/>
        <w:spacing w:after="120"/>
        <w:rPr>
          <w:rFonts w:cs="Times New Roman"/>
        </w:rPr>
      </w:pPr>
      <w:r w:rsidRPr="00C271F4">
        <w:rPr>
          <w:rStyle w:val="FootnoteReference"/>
          <w:rFonts w:cs="Times New Roman"/>
        </w:rPr>
        <w:footnoteRef/>
      </w:r>
      <w:r w:rsidRPr="00C271F4">
        <w:rPr>
          <w:rFonts w:cs="Times New Roman"/>
        </w:rPr>
        <w:t xml:space="preserve"> </w:t>
      </w:r>
      <w:r w:rsidRPr="00C271F4">
        <w:rPr>
          <w:rFonts w:cs="Times New Roman"/>
          <w:i/>
          <w:iCs/>
        </w:rPr>
        <w:t xml:space="preserve">See </w:t>
      </w:r>
      <w:r w:rsidRPr="00C271F4">
        <w:rPr>
          <w:rFonts w:cs="Times New Roman"/>
        </w:rPr>
        <w:t>OCC’s Comments at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E33" w14:paraId="6DCA46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E33" w14:paraId="1B783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9184972"/>
    <w:multiLevelType w:val="hybridMultilevel"/>
    <w:tmpl w:val="491C03FA"/>
    <w:lvl w:ilvl="0">
      <w:start w:val="1"/>
      <w:numFmt w:val="decimal"/>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C8701EF"/>
    <w:multiLevelType w:val="hybridMultilevel"/>
    <w:tmpl w:val="49280E3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1">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D465FEE"/>
    <w:multiLevelType w:val="hybridMultilevel"/>
    <w:tmpl w:val="ABD20C7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5"/>
  </w:num>
  <w:num w:numId="2">
    <w:abstractNumId w:val="14"/>
  </w:num>
  <w:num w:numId="3">
    <w:abstractNumId w:val="0"/>
  </w:num>
  <w:num w:numId="4">
    <w:abstractNumId w:val="0"/>
    <w:lvlOverride w:ilvl="0">
      <w:startOverride w:val="1"/>
    </w:lvlOverride>
  </w:num>
  <w:num w:numId="5">
    <w:abstractNumId w:val="0"/>
    <w:lvlOverride w:ilvl="0">
      <w:startOverride w:val="1"/>
    </w:lvlOverride>
  </w:num>
  <w:num w:numId="6">
    <w:abstractNumId w:val="23"/>
  </w:num>
  <w:num w:numId="7">
    <w:abstractNumId w:val="2"/>
  </w:num>
  <w:num w:numId="8">
    <w:abstractNumId w:val="5"/>
  </w:num>
  <w:num w:numId="9">
    <w:abstractNumId w:val="12"/>
  </w:num>
  <w:num w:numId="10">
    <w:abstractNumId w:val="19"/>
  </w:num>
  <w:num w:numId="11">
    <w:abstractNumId w:val="4"/>
  </w:num>
  <w:num w:numId="12">
    <w:abstractNumId w:val="15"/>
  </w:num>
  <w:num w:numId="13">
    <w:abstractNumId w:val="15"/>
  </w:num>
  <w:num w:numId="14">
    <w:abstractNumId w:val="16"/>
  </w:num>
  <w:num w:numId="15">
    <w:abstractNumId w:val="15"/>
  </w:num>
  <w:num w:numId="16">
    <w:abstractNumId w:val="15"/>
  </w:num>
  <w:num w:numId="17">
    <w:abstractNumId w:val="6"/>
  </w:num>
  <w:num w:numId="18">
    <w:abstractNumId w:val="18"/>
  </w:num>
  <w:num w:numId="19">
    <w:abstractNumId w:val="14"/>
  </w:num>
  <w:num w:numId="20">
    <w:abstractNumId w:val="14"/>
  </w:num>
  <w:num w:numId="21">
    <w:abstractNumId w:val="14"/>
  </w:num>
  <w:num w:numId="22">
    <w:abstractNumId w:val="14"/>
  </w:num>
  <w:num w:numId="23">
    <w:abstractNumId w:val="11"/>
  </w:num>
  <w:num w:numId="24">
    <w:abstractNumId w:val="15"/>
  </w:num>
  <w:num w:numId="25">
    <w:abstractNumId w:val="14"/>
  </w:num>
  <w:num w:numId="26">
    <w:abstractNumId w:val="13"/>
  </w:num>
  <w:num w:numId="27">
    <w:abstractNumId w:val="15"/>
  </w:num>
  <w:num w:numId="28">
    <w:abstractNumId w:val="15"/>
  </w:num>
  <w:num w:numId="29">
    <w:abstractNumId w:val="15"/>
  </w:num>
  <w:num w:numId="30">
    <w:abstractNumId w:val="17"/>
  </w:num>
  <w:num w:numId="31">
    <w:abstractNumId w:val="21"/>
  </w:num>
  <w:num w:numId="32">
    <w:abstractNumId w:val="15"/>
  </w:num>
  <w:num w:numId="33">
    <w:abstractNumId w:val="1"/>
  </w:num>
  <w:num w:numId="34">
    <w:abstractNumId w:val="10"/>
  </w:num>
  <w:num w:numId="35">
    <w:abstractNumId w:val="0"/>
    <w:lvlOverride w:ilvl="0">
      <w:startOverride w:val="1"/>
    </w:lvlOverride>
  </w:num>
  <w:num w:numId="36">
    <w:abstractNumId w:val="0"/>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
  </w:num>
  <w:num w:numId="40">
    <w:abstractNumId w:val="20"/>
  </w:num>
  <w:num w:numId="41">
    <w:abstractNumId w:val="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202A0"/>
    <w:rsid w:val="00024B4B"/>
    <w:rsid w:val="00030205"/>
    <w:rsid w:val="00030E37"/>
    <w:rsid w:val="00033D2A"/>
    <w:rsid w:val="000373BB"/>
    <w:rsid w:val="000404DE"/>
    <w:rsid w:val="00045734"/>
    <w:rsid w:val="00050B87"/>
    <w:rsid w:val="0005286A"/>
    <w:rsid w:val="0006044A"/>
    <w:rsid w:val="00060C07"/>
    <w:rsid w:val="00060D4E"/>
    <w:rsid w:val="00062C1C"/>
    <w:rsid w:val="00065BCE"/>
    <w:rsid w:val="00073318"/>
    <w:rsid w:val="000739CD"/>
    <w:rsid w:val="00075EBA"/>
    <w:rsid w:val="00087E80"/>
    <w:rsid w:val="00092CC5"/>
    <w:rsid w:val="00094330"/>
    <w:rsid w:val="000A2322"/>
    <w:rsid w:val="000A349D"/>
    <w:rsid w:val="000A4DA2"/>
    <w:rsid w:val="000A6B46"/>
    <w:rsid w:val="000A6CAB"/>
    <w:rsid w:val="000B4FDC"/>
    <w:rsid w:val="000C43F6"/>
    <w:rsid w:val="000D31D0"/>
    <w:rsid w:val="000D531E"/>
    <w:rsid w:val="000D63DF"/>
    <w:rsid w:val="000E7D3E"/>
    <w:rsid w:val="000F2856"/>
    <w:rsid w:val="000F73BA"/>
    <w:rsid w:val="00103CCC"/>
    <w:rsid w:val="00120147"/>
    <w:rsid w:val="00125128"/>
    <w:rsid w:val="001258E8"/>
    <w:rsid w:val="00133EF9"/>
    <w:rsid w:val="00135E33"/>
    <w:rsid w:val="00141BD6"/>
    <w:rsid w:val="00144814"/>
    <w:rsid w:val="001458FF"/>
    <w:rsid w:val="00147A90"/>
    <w:rsid w:val="00151937"/>
    <w:rsid w:val="00152A74"/>
    <w:rsid w:val="0015444F"/>
    <w:rsid w:val="00154D35"/>
    <w:rsid w:val="00161424"/>
    <w:rsid w:val="0017656C"/>
    <w:rsid w:val="00177C12"/>
    <w:rsid w:val="00182457"/>
    <w:rsid w:val="00186CB5"/>
    <w:rsid w:val="001921EE"/>
    <w:rsid w:val="00193A65"/>
    <w:rsid w:val="00195C32"/>
    <w:rsid w:val="00197E6E"/>
    <w:rsid w:val="001A5A4A"/>
    <w:rsid w:val="001C36FA"/>
    <w:rsid w:val="001D0AFA"/>
    <w:rsid w:val="001D2205"/>
    <w:rsid w:val="001D39F5"/>
    <w:rsid w:val="001D57D5"/>
    <w:rsid w:val="001E1932"/>
    <w:rsid w:val="001E2D93"/>
    <w:rsid w:val="001E4C9A"/>
    <w:rsid w:val="001F17C8"/>
    <w:rsid w:val="001F2033"/>
    <w:rsid w:val="001F4B10"/>
    <w:rsid w:val="001F62FA"/>
    <w:rsid w:val="00205162"/>
    <w:rsid w:val="00205C1D"/>
    <w:rsid w:val="0021078E"/>
    <w:rsid w:val="00214E0C"/>
    <w:rsid w:val="00244C5E"/>
    <w:rsid w:val="00246318"/>
    <w:rsid w:val="00247431"/>
    <w:rsid w:val="002546C0"/>
    <w:rsid w:val="002552CD"/>
    <w:rsid w:val="002571AE"/>
    <w:rsid w:val="00262F26"/>
    <w:rsid w:val="00262F47"/>
    <w:rsid w:val="002677A9"/>
    <w:rsid w:val="00270D5D"/>
    <w:rsid w:val="00274D3B"/>
    <w:rsid w:val="00290D6C"/>
    <w:rsid w:val="002A01FC"/>
    <w:rsid w:val="002A0286"/>
    <w:rsid w:val="002A046C"/>
    <w:rsid w:val="002B11DE"/>
    <w:rsid w:val="002B6E51"/>
    <w:rsid w:val="002C1871"/>
    <w:rsid w:val="002C4209"/>
    <w:rsid w:val="002C45BB"/>
    <w:rsid w:val="002C4B2E"/>
    <w:rsid w:val="002C6134"/>
    <w:rsid w:val="002D4B35"/>
    <w:rsid w:val="002D4C63"/>
    <w:rsid w:val="002E2564"/>
    <w:rsid w:val="002E277F"/>
    <w:rsid w:val="002E3822"/>
    <w:rsid w:val="002E7088"/>
    <w:rsid w:val="002F210E"/>
    <w:rsid w:val="002F5C81"/>
    <w:rsid w:val="002F77D2"/>
    <w:rsid w:val="00300FBA"/>
    <w:rsid w:val="00302DF2"/>
    <w:rsid w:val="003040BD"/>
    <w:rsid w:val="00310309"/>
    <w:rsid w:val="00312ABA"/>
    <w:rsid w:val="00315C87"/>
    <w:rsid w:val="00321E47"/>
    <w:rsid w:val="003235AC"/>
    <w:rsid w:val="00327FF2"/>
    <w:rsid w:val="00347256"/>
    <w:rsid w:val="00347A74"/>
    <w:rsid w:val="003500AC"/>
    <w:rsid w:val="003503CC"/>
    <w:rsid w:val="00350865"/>
    <w:rsid w:val="003524E1"/>
    <w:rsid w:val="00352BCD"/>
    <w:rsid w:val="00354CB1"/>
    <w:rsid w:val="003554C4"/>
    <w:rsid w:val="003573E7"/>
    <w:rsid w:val="00364CF1"/>
    <w:rsid w:val="00381B68"/>
    <w:rsid w:val="00383FE2"/>
    <w:rsid w:val="003860D6"/>
    <w:rsid w:val="00387143"/>
    <w:rsid w:val="00391F0E"/>
    <w:rsid w:val="003A5E01"/>
    <w:rsid w:val="003A7CEB"/>
    <w:rsid w:val="003B178A"/>
    <w:rsid w:val="003C0BC9"/>
    <w:rsid w:val="003C1E55"/>
    <w:rsid w:val="003C312E"/>
    <w:rsid w:val="003C44FC"/>
    <w:rsid w:val="003C59B7"/>
    <w:rsid w:val="003C7506"/>
    <w:rsid w:val="003D103B"/>
    <w:rsid w:val="003D3D8D"/>
    <w:rsid w:val="003E28B1"/>
    <w:rsid w:val="003E4C1A"/>
    <w:rsid w:val="003E6576"/>
    <w:rsid w:val="003F14C3"/>
    <w:rsid w:val="003F440A"/>
    <w:rsid w:val="003F5C5D"/>
    <w:rsid w:val="00401E4F"/>
    <w:rsid w:val="0040593E"/>
    <w:rsid w:val="00407811"/>
    <w:rsid w:val="00412B54"/>
    <w:rsid w:val="004133EE"/>
    <w:rsid w:val="0042093B"/>
    <w:rsid w:val="004242CB"/>
    <w:rsid w:val="00432523"/>
    <w:rsid w:val="00432611"/>
    <w:rsid w:val="004353CA"/>
    <w:rsid w:val="004448B2"/>
    <w:rsid w:val="00453A2C"/>
    <w:rsid w:val="00454254"/>
    <w:rsid w:val="00454401"/>
    <w:rsid w:val="00461179"/>
    <w:rsid w:val="00461696"/>
    <w:rsid w:val="0046199B"/>
    <w:rsid w:val="00464B9F"/>
    <w:rsid w:val="004659E7"/>
    <w:rsid w:val="00477E9D"/>
    <w:rsid w:val="00481FF8"/>
    <w:rsid w:val="0048302F"/>
    <w:rsid w:val="00485FB2"/>
    <w:rsid w:val="004911A5"/>
    <w:rsid w:val="00495680"/>
    <w:rsid w:val="004A3147"/>
    <w:rsid w:val="004A75A5"/>
    <w:rsid w:val="004B17DA"/>
    <w:rsid w:val="004B524B"/>
    <w:rsid w:val="004B7BE8"/>
    <w:rsid w:val="004B7DC4"/>
    <w:rsid w:val="004C0E4E"/>
    <w:rsid w:val="004C253F"/>
    <w:rsid w:val="004C2959"/>
    <w:rsid w:val="004C3FC7"/>
    <w:rsid w:val="004C40ED"/>
    <w:rsid w:val="004D1D07"/>
    <w:rsid w:val="004D22DD"/>
    <w:rsid w:val="004D576B"/>
    <w:rsid w:val="004E09DF"/>
    <w:rsid w:val="004E19F9"/>
    <w:rsid w:val="004E1FEB"/>
    <w:rsid w:val="004E4647"/>
    <w:rsid w:val="004F558E"/>
    <w:rsid w:val="004F725E"/>
    <w:rsid w:val="00503E9D"/>
    <w:rsid w:val="00510444"/>
    <w:rsid w:val="00512DCB"/>
    <w:rsid w:val="00516417"/>
    <w:rsid w:val="00516F7E"/>
    <w:rsid w:val="005245BC"/>
    <w:rsid w:val="00532A68"/>
    <w:rsid w:val="00533E30"/>
    <w:rsid w:val="0053578E"/>
    <w:rsid w:val="005365F6"/>
    <w:rsid w:val="00550275"/>
    <w:rsid w:val="00552277"/>
    <w:rsid w:val="005532F0"/>
    <w:rsid w:val="005538EA"/>
    <w:rsid w:val="00553E4D"/>
    <w:rsid w:val="00560BCF"/>
    <w:rsid w:val="005639A5"/>
    <w:rsid w:val="00567EA9"/>
    <w:rsid w:val="0057162C"/>
    <w:rsid w:val="005826D4"/>
    <w:rsid w:val="005845BD"/>
    <w:rsid w:val="005859A7"/>
    <w:rsid w:val="00596B6D"/>
    <w:rsid w:val="005A0312"/>
    <w:rsid w:val="005A29AE"/>
    <w:rsid w:val="005B4207"/>
    <w:rsid w:val="005C351C"/>
    <w:rsid w:val="005C50ED"/>
    <w:rsid w:val="005C6900"/>
    <w:rsid w:val="005D3D3C"/>
    <w:rsid w:val="005D5FBA"/>
    <w:rsid w:val="005E3D2C"/>
    <w:rsid w:val="005F0886"/>
    <w:rsid w:val="005F3639"/>
    <w:rsid w:val="00600E0B"/>
    <w:rsid w:val="006018FA"/>
    <w:rsid w:val="00607308"/>
    <w:rsid w:val="00613757"/>
    <w:rsid w:val="00613F2D"/>
    <w:rsid w:val="006154B4"/>
    <w:rsid w:val="00624C8F"/>
    <w:rsid w:val="00627945"/>
    <w:rsid w:val="00631FBC"/>
    <w:rsid w:val="00632968"/>
    <w:rsid w:val="00636872"/>
    <w:rsid w:val="00647287"/>
    <w:rsid w:val="00652897"/>
    <w:rsid w:val="006550F3"/>
    <w:rsid w:val="00655675"/>
    <w:rsid w:val="00655E90"/>
    <w:rsid w:val="00663AC9"/>
    <w:rsid w:val="00663CE9"/>
    <w:rsid w:val="006745A7"/>
    <w:rsid w:val="006774BE"/>
    <w:rsid w:val="006869D6"/>
    <w:rsid w:val="00690446"/>
    <w:rsid w:val="00692D8F"/>
    <w:rsid w:val="00693D82"/>
    <w:rsid w:val="006A1DE0"/>
    <w:rsid w:val="006B01EC"/>
    <w:rsid w:val="006B0865"/>
    <w:rsid w:val="006B0EF8"/>
    <w:rsid w:val="006B1609"/>
    <w:rsid w:val="006B2369"/>
    <w:rsid w:val="006B3079"/>
    <w:rsid w:val="006B3086"/>
    <w:rsid w:val="006B49FB"/>
    <w:rsid w:val="006B5ACA"/>
    <w:rsid w:val="006B60CA"/>
    <w:rsid w:val="006B6256"/>
    <w:rsid w:val="006B721B"/>
    <w:rsid w:val="006C34B9"/>
    <w:rsid w:val="006C4A7C"/>
    <w:rsid w:val="006C5C84"/>
    <w:rsid w:val="006D00E2"/>
    <w:rsid w:val="006D19FD"/>
    <w:rsid w:val="006D215E"/>
    <w:rsid w:val="006D38A6"/>
    <w:rsid w:val="006D60F3"/>
    <w:rsid w:val="006D6D8C"/>
    <w:rsid w:val="006D7423"/>
    <w:rsid w:val="006D7B0A"/>
    <w:rsid w:val="006E06EA"/>
    <w:rsid w:val="006E5926"/>
    <w:rsid w:val="006E70D2"/>
    <w:rsid w:val="006E7478"/>
    <w:rsid w:val="006F032E"/>
    <w:rsid w:val="006F34B6"/>
    <w:rsid w:val="006F4D75"/>
    <w:rsid w:val="006F5C9B"/>
    <w:rsid w:val="006F6F08"/>
    <w:rsid w:val="0070006F"/>
    <w:rsid w:val="007025EA"/>
    <w:rsid w:val="00712A0B"/>
    <w:rsid w:val="00713075"/>
    <w:rsid w:val="0072296F"/>
    <w:rsid w:val="007241A8"/>
    <w:rsid w:val="00732470"/>
    <w:rsid w:val="007327BD"/>
    <w:rsid w:val="00735679"/>
    <w:rsid w:val="00740EAB"/>
    <w:rsid w:val="00747035"/>
    <w:rsid w:val="00751792"/>
    <w:rsid w:val="0075402C"/>
    <w:rsid w:val="007633FA"/>
    <w:rsid w:val="00766364"/>
    <w:rsid w:val="00767538"/>
    <w:rsid w:val="0077282D"/>
    <w:rsid w:val="00774830"/>
    <w:rsid w:val="00774C64"/>
    <w:rsid w:val="007775D1"/>
    <w:rsid w:val="00796B48"/>
    <w:rsid w:val="007A2EE8"/>
    <w:rsid w:val="007A4382"/>
    <w:rsid w:val="007A6061"/>
    <w:rsid w:val="007C38B2"/>
    <w:rsid w:val="007D54D1"/>
    <w:rsid w:val="007E0816"/>
    <w:rsid w:val="007E2F68"/>
    <w:rsid w:val="007E32B9"/>
    <w:rsid w:val="007E3FF9"/>
    <w:rsid w:val="007F0FC2"/>
    <w:rsid w:val="007F5D9A"/>
    <w:rsid w:val="008003B4"/>
    <w:rsid w:val="00801953"/>
    <w:rsid w:val="00804292"/>
    <w:rsid w:val="008047B0"/>
    <w:rsid w:val="00807A65"/>
    <w:rsid w:val="008252BA"/>
    <w:rsid w:val="008259C3"/>
    <w:rsid w:val="0082747F"/>
    <w:rsid w:val="00827AF5"/>
    <w:rsid w:val="00835B53"/>
    <w:rsid w:val="0084066D"/>
    <w:rsid w:val="008475D8"/>
    <w:rsid w:val="008515BB"/>
    <w:rsid w:val="008547F1"/>
    <w:rsid w:val="0086090C"/>
    <w:rsid w:val="00861D0B"/>
    <w:rsid w:val="0087231D"/>
    <w:rsid w:val="008759AB"/>
    <w:rsid w:val="00882E14"/>
    <w:rsid w:val="00883F53"/>
    <w:rsid w:val="00892728"/>
    <w:rsid w:val="00897FD6"/>
    <w:rsid w:val="008A296C"/>
    <w:rsid w:val="008B4F01"/>
    <w:rsid w:val="008B509B"/>
    <w:rsid w:val="008C05FC"/>
    <w:rsid w:val="008C0745"/>
    <w:rsid w:val="008C1323"/>
    <w:rsid w:val="008C724F"/>
    <w:rsid w:val="008D4E32"/>
    <w:rsid w:val="008D5478"/>
    <w:rsid w:val="008E086E"/>
    <w:rsid w:val="008E1C65"/>
    <w:rsid w:val="008E24FA"/>
    <w:rsid w:val="008E6FE7"/>
    <w:rsid w:val="008F498C"/>
    <w:rsid w:val="009017FD"/>
    <w:rsid w:val="00901A55"/>
    <w:rsid w:val="00905443"/>
    <w:rsid w:val="0090638B"/>
    <w:rsid w:val="00915AB4"/>
    <w:rsid w:val="0091751C"/>
    <w:rsid w:val="00921A7A"/>
    <w:rsid w:val="00930EAB"/>
    <w:rsid w:val="0093408D"/>
    <w:rsid w:val="00941EBA"/>
    <w:rsid w:val="00945974"/>
    <w:rsid w:val="0095373E"/>
    <w:rsid w:val="00954447"/>
    <w:rsid w:val="009712D3"/>
    <w:rsid w:val="00971714"/>
    <w:rsid w:val="009758B2"/>
    <w:rsid w:val="00980123"/>
    <w:rsid w:val="00981935"/>
    <w:rsid w:val="00985D4A"/>
    <w:rsid w:val="0099412E"/>
    <w:rsid w:val="009A1A4B"/>
    <w:rsid w:val="009A3B8F"/>
    <w:rsid w:val="009A7647"/>
    <w:rsid w:val="009B2491"/>
    <w:rsid w:val="009B6232"/>
    <w:rsid w:val="009D029C"/>
    <w:rsid w:val="009D0F75"/>
    <w:rsid w:val="009D54F0"/>
    <w:rsid w:val="009D6CD8"/>
    <w:rsid w:val="009E34D6"/>
    <w:rsid w:val="009E5565"/>
    <w:rsid w:val="009F0417"/>
    <w:rsid w:val="009F50CE"/>
    <w:rsid w:val="00A01551"/>
    <w:rsid w:val="00A019D6"/>
    <w:rsid w:val="00A04BD0"/>
    <w:rsid w:val="00A06A04"/>
    <w:rsid w:val="00A07DE5"/>
    <w:rsid w:val="00A13813"/>
    <w:rsid w:val="00A1444C"/>
    <w:rsid w:val="00A15099"/>
    <w:rsid w:val="00A27F8B"/>
    <w:rsid w:val="00A30F55"/>
    <w:rsid w:val="00A32A92"/>
    <w:rsid w:val="00A3424B"/>
    <w:rsid w:val="00A43E83"/>
    <w:rsid w:val="00A44345"/>
    <w:rsid w:val="00A45337"/>
    <w:rsid w:val="00A50B0E"/>
    <w:rsid w:val="00A51783"/>
    <w:rsid w:val="00A53576"/>
    <w:rsid w:val="00A543AC"/>
    <w:rsid w:val="00A55BA7"/>
    <w:rsid w:val="00A55DFD"/>
    <w:rsid w:val="00A5782D"/>
    <w:rsid w:val="00A6165D"/>
    <w:rsid w:val="00A6307B"/>
    <w:rsid w:val="00A72D65"/>
    <w:rsid w:val="00A743CF"/>
    <w:rsid w:val="00A7446A"/>
    <w:rsid w:val="00A77C16"/>
    <w:rsid w:val="00A858BC"/>
    <w:rsid w:val="00A85CC9"/>
    <w:rsid w:val="00A92215"/>
    <w:rsid w:val="00A9306F"/>
    <w:rsid w:val="00AA28C0"/>
    <w:rsid w:val="00AB3A22"/>
    <w:rsid w:val="00AB4279"/>
    <w:rsid w:val="00AB531B"/>
    <w:rsid w:val="00AB583D"/>
    <w:rsid w:val="00AC34B3"/>
    <w:rsid w:val="00AC68C4"/>
    <w:rsid w:val="00AD1173"/>
    <w:rsid w:val="00AD18D2"/>
    <w:rsid w:val="00AD1F5C"/>
    <w:rsid w:val="00AD4052"/>
    <w:rsid w:val="00AD677D"/>
    <w:rsid w:val="00AE001C"/>
    <w:rsid w:val="00AF3D21"/>
    <w:rsid w:val="00AF4FFB"/>
    <w:rsid w:val="00AF65D5"/>
    <w:rsid w:val="00B026B5"/>
    <w:rsid w:val="00B05388"/>
    <w:rsid w:val="00B068D9"/>
    <w:rsid w:val="00B06C79"/>
    <w:rsid w:val="00B1448E"/>
    <w:rsid w:val="00B1572E"/>
    <w:rsid w:val="00B22278"/>
    <w:rsid w:val="00B23417"/>
    <w:rsid w:val="00B25CB8"/>
    <w:rsid w:val="00B35828"/>
    <w:rsid w:val="00B35D5A"/>
    <w:rsid w:val="00B4131D"/>
    <w:rsid w:val="00B415B7"/>
    <w:rsid w:val="00B41D45"/>
    <w:rsid w:val="00B42677"/>
    <w:rsid w:val="00B52A65"/>
    <w:rsid w:val="00B54BC2"/>
    <w:rsid w:val="00B57DAE"/>
    <w:rsid w:val="00B72EE1"/>
    <w:rsid w:val="00B85AEF"/>
    <w:rsid w:val="00B90B9A"/>
    <w:rsid w:val="00B94682"/>
    <w:rsid w:val="00B9551E"/>
    <w:rsid w:val="00B95F9D"/>
    <w:rsid w:val="00B96C83"/>
    <w:rsid w:val="00BA6A05"/>
    <w:rsid w:val="00BA7EF9"/>
    <w:rsid w:val="00BB04C2"/>
    <w:rsid w:val="00BB12AA"/>
    <w:rsid w:val="00BB2048"/>
    <w:rsid w:val="00BB35FD"/>
    <w:rsid w:val="00BC1FE4"/>
    <w:rsid w:val="00BC523A"/>
    <w:rsid w:val="00BC5AC8"/>
    <w:rsid w:val="00BC60AA"/>
    <w:rsid w:val="00BC6C6D"/>
    <w:rsid w:val="00BC6E68"/>
    <w:rsid w:val="00BC76C2"/>
    <w:rsid w:val="00BD0312"/>
    <w:rsid w:val="00BD1A13"/>
    <w:rsid w:val="00BD5570"/>
    <w:rsid w:val="00BE1310"/>
    <w:rsid w:val="00C032CB"/>
    <w:rsid w:val="00C04F4C"/>
    <w:rsid w:val="00C135FA"/>
    <w:rsid w:val="00C13A6F"/>
    <w:rsid w:val="00C226B2"/>
    <w:rsid w:val="00C271F4"/>
    <w:rsid w:val="00C3556D"/>
    <w:rsid w:val="00C35690"/>
    <w:rsid w:val="00C36B78"/>
    <w:rsid w:val="00C36EAC"/>
    <w:rsid w:val="00C41A42"/>
    <w:rsid w:val="00C47AEB"/>
    <w:rsid w:val="00C57879"/>
    <w:rsid w:val="00C63163"/>
    <w:rsid w:val="00C66F64"/>
    <w:rsid w:val="00C716B6"/>
    <w:rsid w:val="00C7508D"/>
    <w:rsid w:val="00C76AB9"/>
    <w:rsid w:val="00C8797A"/>
    <w:rsid w:val="00C96ACC"/>
    <w:rsid w:val="00CA3256"/>
    <w:rsid w:val="00CA5929"/>
    <w:rsid w:val="00CB3239"/>
    <w:rsid w:val="00CC144D"/>
    <w:rsid w:val="00CC39ED"/>
    <w:rsid w:val="00CC67B2"/>
    <w:rsid w:val="00CD5FDE"/>
    <w:rsid w:val="00CD772A"/>
    <w:rsid w:val="00CE3168"/>
    <w:rsid w:val="00CF351A"/>
    <w:rsid w:val="00CF6242"/>
    <w:rsid w:val="00D00562"/>
    <w:rsid w:val="00D01E94"/>
    <w:rsid w:val="00D03395"/>
    <w:rsid w:val="00D05459"/>
    <w:rsid w:val="00D05D67"/>
    <w:rsid w:val="00D15061"/>
    <w:rsid w:val="00D15C08"/>
    <w:rsid w:val="00D20C8D"/>
    <w:rsid w:val="00D2308A"/>
    <w:rsid w:val="00D2552C"/>
    <w:rsid w:val="00D25F55"/>
    <w:rsid w:val="00D3104F"/>
    <w:rsid w:val="00D37DF5"/>
    <w:rsid w:val="00D5085C"/>
    <w:rsid w:val="00D50DD1"/>
    <w:rsid w:val="00D52EAF"/>
    <w:rsid w:val="00D54435"/>
    <w:rsid w:val="00D66904"/>
    <w:rsid w:val="00D713BE"/>
    <w:rsid w:val="00D72F3F"/>
    <w:rsid w:val="00D85D1D"/>
    <w:rsid w:val="00D85F68"/>
    <w:rsid w:val="00D90BE5"/>
    <w:rsid w:val="00D978F2"/>
    <w:rsid w:val="00DA1DE2"/>
    <w:rsid w:val="00DA32BD"/>
    <w:rsid w:val="00DA6A1B"/>
    <w:rsid w:val="00DB4763"/>
    <w:rsid w:val="00DB5480"/>
    <w:rsid w:val="00DC6393"/>
    <w:rsid w:val="00DD1F9F"/>
    <w:rsid w:val="00DD3A80"/>
    <w:rsid w:val="00DD3DBD"/>
    <w:rsid w:val="00DD6F87"/>
    <w:rsid w:val="00DD7D17"/>
    <w:rsid w:val="00DE04D1"/>
    <w:rsid w:val="00DE083A"/>
    <w:rsid w:val="00DE3D19"/>
    <w:rsid w:val="00DE4513"/>
    <w:rsid w:val="00DF0263"/>
    <w:rsid w:val="00DF0DB7"/>
    <w:rsid w:val="00DF594B"/>
    <w:rsid w:val="00DF7EA9"/>
    <w:rsid w:val="00E00339"/>
    <w:rsid w:val="00E11D43"/>
    <w:rsid w:val="00E11E30"/>
    <w:rsid w:val="00E12486"/>
    <w:rsid w:val="00E17120"/>
    <w:rsid w:val="00E25C20"/>
    <w:rsid w:val="00E27339"/>
    <w:rsid w:val="00E33BF5"/>
    <w:rsid w:val="00E33C01"/>
    <w:rsid w:val="00E35A19"/>
    <w:rsid w:val="00E36504"/>
    <w:rsid w:val="00E37E16"/>
    <w:rsid w:val="00E42618"/>
    <w:rsid w:val="00E4279E"/>
    <w:rsid w:val="00E42A6B"/>
    <w:rsid w:val="00E501EF"/>
    <w:rsid w:val="00E50CCD"/>
    <w:rsid w:val="00E53FA8"/>
    <w:rsid w:val="00E62CFE"/>
    <w:rsid w:val="00E6300C"/>
    <w:rsid w:val="00E66D8A"/>
    <w:rsid w:val="00E7212D"/>
    <w:rsid w:val="00E73014"/>
    <w:rsid w:val="00E7730D"/>
    <w:rsid w:val="00E77623"/>
    <w:rsid w:val="00E8202E"/>
    <w:rsid w:val="00E83C2C"/>
    <w:rsid w:val="00E924B3"/>
    <w:rsid w:val="00E93807"/>
    <w:rsid w:val="00E95F3D"/>
    <w:rsid w:val="00EA08F1"/>
    <w:rsid w:val="00EA58F3"/>
    <w:rsid w:val="00EB2B3D"/>
    <w:rsid w:val="00EC2356"/>
    <w:rsid w:val="00ED1830"/>
    <w:rsid w:val="00ED5F68"/>
    <w:rsid w:val="00ED6449"/>
    <w:rsid w:val="00EE266E"/>
    <w:rsid w:val="00EE2EBE"/>
    <w:rsid w:val="00EF0048"/>
    <w:rsid w:val="00EF0097"/>
    <w:rsid w:val="00EF039F"/>
    <w:rsid w:val="00EF0E39"/>
    <w:rsid w:val="00EF1535"/>
    <w:rsid w:val="00EF223C"/>
    <w:rsid w:val="00EF6CF8"/>
    <w:rsid w:val="00F1027C"/>
    <w:rsid w:val="00F115FB"/>
    <w:rsid w:val="00F14C8F"/>
    <w:rsid w:val="00F176BC"/>
    <w:rsid w:val="00F2126F"/>
    <w:rsid w:val="00F269B1"/>
    <w:rsid w:val="00F314DF"/>
    <w:rsid w:val="00F319CA"/>
    <w:rsid w:val="00F5035E"/>
    <w:rsid w:val="00F5134D"/>
    <w:rsid w:val="00F5295D"/>
    <w:rsid w:val="00F627D3"/>
    <w:rsid w:val="00F72698"/>
    <w:rsid w:val="00F843DF"/>
    <w:rsid w:val="00F946BD"/>
    <w:rsid w:val="00FA640A"/>
    <w:rsid w:val="00FA738C"/>
    <w:rsid w:val="00FB1E86"/>
    <w:rsid w:val="00FB5962"/>
    <w:rsid w:val="00FC182E"/>
    <w:rsid w:val="00FC3920"/>
    <w:rsid w:val="00FC49BA"/>
    <w:rsid w:val="00FC5FD1"/>
    <w:rsid w:val="00FC7687"/>
    <w:rsid w:val="00FC773D"/>
    <w:rsid w:val="00FD5310"/>
    <w:rsid w:val="00FE1D6E"/>
    <w:rsid w:val="00FE4DBC"/>
    <w:rsid w:val="00FF5C8B"/>
    <w:rsid w:val="00FF73F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AB4"/>
  </w:style>
  <w:style w:type="paragraph" w:styleId="Heading1">
    <w:name w:val="heading 1"/>
    <w:basedOn w:val="Normal"/>
    <w:next w:val="Normal"/>
    <w:link w:val="Heading1Char"/>
    <w:autoRedefine/>
    <w:uiPriority w:val="9"/>
    <w:qFormat/>
    <w:rsid w:val="006B1609"/>
    <w:pPr>
      <w:keepNext/>
      <w:keepLines/>
      <w:spacing w:after="240" w:line="240" w:lineRule="auto"/>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6A1DE0"/>
    <w:pPr>
      <w:keepNext/>
      <w:keepLines/>
      <w:spacing w:after="240" w:line="240" w:lineRule="auto"/>
      <w:ind w:left="1440" w:hanging="720"/>
      <w:outlineLvl w:val="1"/>
    </w:pPr>
    <w:rPr>
      <w:rFonts w:ascii="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103CCC"/>
    <w:pPr>
      <w:keepNext/>
      <w:keepLines/>
      <w:numPr>
        <w:numId w:val="42"/>
      </w:numPr>
      <w:spacing w:after="240" w:line="240" w:lineRule="auto"/>
      <w:ind w:left="2160" w:hanging="720"/>
      <w:outlineLvl w:val="2"/>
    </w:pPr>
    <w:rPr>
      <w:rFonts w:ascii="Times New Roman Bold" w:hAnsi="Times New Roman Bold" w:eastAsiaTheme="majorEastAsia" w:cstheme="majorBidi"/>
      <w:b/>
      <w:sz w:val="24"/>
      <w:szCs w:val="24"/>
      <w:shd w:val="clear" w:color="auto" w:fill="FFFFFF"/>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6A1DE0"/>
    <w:rPr>
      <w:rFonts w:ascii="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1609"/>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103CCC"/>
    <w:rPr>
      <w:rFonts w:ascii="Times New Roman Bold" w:hAnsi="Times New Roman Bold"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065BCE"/>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065BCE"/>
    <w:pPr>
      <w:tabs>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065BCE"/>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character" w:customStyle="1" w:styleId="ssrfcsection">
    <w:name w:val="ss_rfcsection"/>
    <w:basedOn w:val="DefaultParagraphFont"/>
    <w:rsid w:val="00B7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yperlink" Target="mailto:Jodi.bair@ohioAGO.gov" TargetMode="External" /><Relationship Id="rId13" Type="http://schemas.openxmlformats.org/officeDocument/2006/relationships/hyperlink" Target="mailto:Thomas.shepherd@ohioAGO.gov" TargetMode="External" /><Relationship Id="rId14" Type="http://schemas.openxmlformats.org/officeDocument/2006/relationships/hyperlink" Target="mailto:Patricia.schabo@puco.ohio.gov" TargetMode="External" /><Relationship Id="rId15" Type="http://schemas.openxmlformats.org/officeDocument/2006/relationships/hyperlink" Target="mailto:mpritchard@mcneeslaw.com" TargetMode="External" /><Relationship Id="rId16" Type="http://schemas.openxmlformats.org/officeDocument/2006/relationships/hyperlink" Target="mailto:bmckenney@mcneeslaw.com"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plus.lexis.com/document/?pdmfid=1530671&amp;crid=37b257bf-6ffb-4557-8d6f-277647ad3ca8&amp;pddocfullpath=%2Fshared%2Fdocument%2Fcases%2Furn%3AcontentItem%3A3YT4-S8D0-0039-4118-00000-00&amp;pdcontentcomponentid=9250&amp;pdteaserkey=&amp;pdislpamode=false&amp;pdworkfolderlocatorid=NOT_SAVED_IN_WORKFOLDER&amp;ecomp=tf4k&amp;earg=sr2&amp;prid=9182a30c-3345-4721-822b-c141bbadb9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FE AFR.docx</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2022-01-13T19:07:27Z</dcterms:created>
  <dcterms:modified xsi:type="dcterms:W3CDTF">2022-01-13T19:07:27Z</dcterms:modified>
</cp:coreProperties>
</file>