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14" w:rsidRPr="00CC6214" w:rsidRDefault="00CC6214" w:rsidP="00CC6214">
      <w:pPr>
        <w:spacing w:after="0" w:line="240" w:lineRule="auto"/>
        <w:jc w:val="center"/>
        <w:rPr>
          <w:rFonts w:ascii="Times New Roman" w:eastAsia="Calibri" w:hAnsi="Times New Roman"/>
          <w:b/>
          <w:sz w:val="26"/>
          <w:szCs w:val="26"/>
        </w:rPr>
      </w:pPr>
      <w:r w:rsidRPr="00CC6214">
        <w:rPr>
          <w:rFonts w:ascii="Times New Roman" w:eastAsia="Calibri" w:hAnsi="Times New Roman"/>
          <w:b/>
          <w:sz w:val="26"/>
          <w:szCs w:val="26"/>
        </w:rPr>
        <w:t>BEFORE</w:t>
      </w:r>
    </w:p>
    <w:p w:rsidR="00CC6214" w:rsidRPr="00CC6214" w:rsidRDefault="00CC6214" w:rsidP="00CC6214">
      <w:pPr>
        <w:spacing w:after="0" w:line="240" w:lineRule="auto"/>
        <w:jc w:val="center"/>
        <w:rPr>
          <w:rFonts w:ascii="Times New Roman" w:eastAsia="Calibri" w:hAnsi="Times New Roman"/>
          <w:b/>
          <w:sz w:val="26"/>
          <w:szCs w:val="26"/>
        </w:rPr>
      </w:pPr>
      <w:r w:rsidRPr="00CC6214">
        <w:rPr>
          <w:rFonts w:ascii="Times New Roman" w:eastAsia="Calibri" w:hAnsi="Times New Roman"/>
          <w:b/>
          <w:sz w:val="26"/>
          <w:szCs w:val="26"/>
        </w:rPr>
        <w:t>THE PUBLIC UTILITIES COMMISSION OF OHIO</w:t>
      </w:r>
    </w:p>
    <w:p w:rsidR="00CC6214" w:rsidRPr="00CC6214" w:rsidRDefault="00CC6214" w:rsidP="00CC6214">
      <w:pPr>
        <w:rPr>
          <w:rFonts w:ascii="Times New Roman" w:eastAsia="Calibri" w:hAnsi="Times New Roman"/>
          <w:sz w:val="26"/>
          <w:szCs w:val="26"/>
        </w:rPr>
      </w:pPr>
    </w:p>
    <w:tbl>
      <w:tblPr>
        <w:tblW w:w="8762" w:type="dxa"/>
        <w:tblLook w:val="04A0" w:firstRow="1" w:lastRow="0" w:firstColumn="1" w:lastColumn="0" w:noHBand="0" w:noVBand="1"/>
      </w:tblPr>
      <w:tblGrid>
        <w:gridCol w:w="4518"/>
        <w:gridCol w:w="360"/>
        <w:gridCol w:w="3884"/>
      </w:tblGrid>
      <w:tr w:rsidR="00CC6214" w:rsidRPr="00CC6214" w:rsidTr="00EA76DC">
        <w:tc>
          <w:tcPr>
            <w:tcW w:w="4518" w:type="dxa"/>
            <w:shd w:val="clear" w:color="auto" w:fill="auto"/>
          </w:tcPr>
          <w:p w:rsidR="00CC6214" w:rsidRPr="00CC6214" w:rsidRDefault="00CC6214" w:rsidP="00CC6214">
            <w:pPr>
              <w:spacing w:after="0" w:line="240" w:lineRule="auto"/>
              <w:rPr>
                <w:rFonts w:ascii="Times New Roman" w:eastAsia="Calibri" w:hAnsi="Times New Roman"/>
                <w:sz w:val="26"/>
                <w:szCs w:val="26"/>
              </w:rPr>
            </w:pPr>
            <w:r w:rsidRPr="00CC6214">
              <w:rPr>
                <w:rFonts w:ascii="Times New Roman" w:eastAsia="Calibri" w:hAnsi="Times New Roman"/>
                <w:sz w:val="26"/>
                <w:szCs w:val="26"/>
              </w:rPr>
              <w:t xml:space="preserve">In the Matter of the Application of Vectren Energy Delivery of Ohio, Inc. </w:t>
            </w:r>
            <w:r>
              <w:rPr>
                <w:rFonts w:ascii="Times New Roman" w:eastAsia="Calibri" w:hAnsi="Times New Roman"/>
                <w:sz w:val="26"/>
                <w:szCs w:val="26"/>
              </w:rPr>
              <w:t>for</w:t>
            </w:r>
            <w:r w:rsidRPr="00CC6214">
              <w:rPr>
                <w:rFonts w:ascii="Times New Roman" w:eastAsia="Calibri" w:hAnsi="Times New Roman"/>
                <w:sz w:val="26"/>
                <w:szCs w:val="26"/>
              </w:rPr>
              <w:t xml:space="preserve"> </w:t>
            </w:r>
            <w:r>
              <w:rPr>
                <w:rFonts w:ascii="Times New Roman" w:eastAsia="Calibri" w:hAnsi="Times New Roman"/>
                <w:sz w:val="26"/>
                <w:szCs w:val="26"/>
              </w:rPr>
              <w:t>Approval of an Alternative Form of Regulation</w:t>
            </w:r>
            <w:r w:rsidRPr="00CC6214">
              <w:rPr>
                <w:rFonts w:ascii="Times New Roman" w:eastAsia="Calibri" w:hAnsi="Times New Roman"/>
                <w:sz w:val="26"/>
                <w:szCs w:val="26"/>
              </w:rPr>
              <w:t>.</w:t>
            </w:r>
          </w:p>
        </w:tc>
        <w:tc>
          <w:tcPr>
            <w:tcW w:w="360" w:type="dxa"/>
          </w:tcPr>
          <w:p w:rsidR="00CC6214" w:rsidRPr="00CC6214" w:rsidRDefault="00CC6214" w:rsidP="00CC6214">
            <w:pPr>
              <w:spacing w:after="0" w:line="240" w:lineRule="auto"/>
              <w:rPr>
                <w:rFonts w:ascii="Times New Roman" w:eastAsia="Calibri" w:hAnsi="Times New Roman"/>
                <w:sz w:val="26"/>
                <w:szCs w:val="26"/>
              </w:rPr>
            </w:pPr>
            <w:r w:rsidRPr="00CC6214">
              <w:rPr>
                <w:rFonts w:ascii="Times New Roman" w:eastAsia="Calibri" w:hAnsi="Times New Roman"/>
                <w:sz w:val="26"/>
                <w:szCs w:val="26"/>
              </w:rPr>
              <w:t>:</w:t>
            </w:r>
            <w:r w:rsidRPr="00CC6214">
              <w:rPr>
                <w:rFonts w:ascii="Times New Roman" w:eastAsia="Calibri" w:hAnsi="Times New Roman"/>
                <w:sz w:val="26"/>
                <w:szCs w:val="26"/>
              </w:rPr>
              <w:br/>
              <w:t>:</w:t>
            </w:r>
            <w:r w:rsidRPr="00CC6214">
              <w:rPr>
                <w:rFonts w:ascii="Times New Roman" w:eastAsia="Calibri" w:hAnsi="Times New Roman"/>
                <w:sz w:val="26"/>
                <w:szCs w:val="26"/>
              </w:rPr>
              <w:br/>
              <w:t>:</w:t>
            </w:r>
            <w:r w:rsidRPr="00CC6214">
              <w:rPr>
                <w:rFonts w:ascii="Times New Roman" w:eastAsia="Calibri" w:hAnsi="Times New Roman"/>
                <w:sz w:val="26"/>
                <w:szCs w:val="26"/>
              </w:rPr>
              <w:br/>
              <w:t>:</w:t>
            </w:r>
            <w:r w:rsidRPr="00CC6214">
              <w:rPr>
                <w:rFonts w:ascii="Times New Roman" w:eastAsia="Calibri" w:hAnsi="Times New Roman"/>
                <w:sz w:val="26"/>
                <w:szCs w:val="26"/>
              </w:rPr>
              <w:br/>
            </w:r>
          </w:p>
        </w:tc>
        <w:tc>
          <w:tcPr>
            <w:tcW w:w="3884" w:type="dxa"/>
            <w:shd w:val="clear" w:color="auto" w:fill="auto"/>
          </w:tcPr>
          <w:p w:rsidR="00CC6214" w:rsidRPr="00CC6214" w:rsidRDefault="00CC6214" w:rsidP="00CC6214">
            <w:pPr>
              <w:spacing w:after="0" w:line="240" w:lineRule="auto"/>
              <w:ind w:left="-288"/>
              <w:rPr>
                <w:rFonts w:ascii="Times New Roman" w:eastAsia="Calibri" w:hAnsi="Times New Roman"/>
                <w:sz w:val="26"/>
                <w:szCs w:val="26"/>
              </w:rPr>
            </w:pPr>
          </w:p>
          <w:p w:rsidR="00CC6214" w:rsidRPr="00CC6214" w:rsidRDefault="00CC6214" w:rsidP="00CC6214">
            <w:pPr>
              <w:spacing w:after="0" w:line="240" w:lineRule="auto"/>
              <w:ind w:left="72"/>
              <w:rPr>
                <w:rFonts w:ascii="Times New Roman" w:eastAsia="Calibri" w:hAnsi="Times New Roman"/>
                <w:sz w:val="26"/>
                <w:szCs w:val="26"/>
              </w:rPr>
            </w:pPr>
            <w:r w:rsidRPr="00CC6214">
              <w:rPr>
                <w:rFonts w:ascii="Times New Roman" w:eastAsia="Calibri" w:hAnsi="Times New Roman"/>
                <w:sz w:val="26"/>
                <w:szCs w:val="26"/>
              </w:rPr>
              <w:t>Case No. 13-</w:t>
            </w:r>
            <w:r>
              <w:rPr>
                <w:rFonts w:ascii="Times New Roman" w:eastAsia="Calibri" w:hAnsi="Times New Roman"/>
                <w:sz w:val="26"/>
                <w:szCs w:val="26"/>
              </w:rPr>
              <w:t>1571</w:t>
            </w:r>
            <w:r w:rsidRPr="00CC6214">
              <w:rPr>
                <w:rFonts w:ascii="Times New Roman" w:eastAsia="Calibri" w:hAnsi="Times New Roman"/>
                <w:sz w:val="26"/>
                <w:szCs w:val="26"/>
              </w:rPr>
              <w:t>-GA-</w:t>
            </w:r>
            <w:r>
              <w:rPr>
                <w:rFonts w:ascii="Times New Roman" w:eastAsia="Calibri" w:hAnsi="Times New Roman"/>
                <w:sz w:val="26"/>
                <w:szCs w:val="26"/>
              </w:rPr>
              <w:t>ALT</w:t>
            </w:r>
          </w:p>
        </w:tc>
      </w:tr>
    </w:tbl>
    <w:p w:rsidR="00CC6214" w:rsidRPr="00CC6214" w:rsidRDefault="00CC6214" w:rsidP="00CC6214">
      <w:pPr>
        <w:spacing w:after="0" w:line="240" w:lineRule="auto"/>
        <w:rPr>
          <w:rFonts w:ascii="Times New Roman" w:eastAsia="Calibri" w:hAnsi="Times New Roman"/>
          <w:sz w:val="24"/>
        </w:rPr>
      </w:pPr>
    </w:p>
    <w:p w:rsidR="00CC6214" w:rsidRPr="00CC6214" w:rsidRDefault="00CC6214" w:rsidP="00CC6214">
      <w:pPr>
        <w:tabs>
          <w:tab w:val="left" w:pos="9360"/>
        </w:tabs>
        <w:jc w:val="both"/>
        <w:rPr>
          <w:rFonts w:ascii="Times New Roman" w:eastAsia="Calibri" w:hAnsi="Times New Roman"/>
          <w:sz w:val="26"/>
          <w:szCs w:val="26"/>
          <w:u w:val="single"/>
        </w:rPr>
      </w:pPr>
      <w:r w:rsidRPr="00CC6214">
        <w:rPr>
          <w:rFonts w:ascii="Times New Roman" w:eastAsia="Calibri" w:hAnsi="Times New Roman"/>
          <w:sz w:val="26"/>
          <w:szCs w:val="26"/>
          <w:u w:val="single"/>
        </w:rPr>
        <w:tab/>
      </w:r>
    </w:p>
    <w:p w:rsidR="00CC6214" w:rsidRPr="00CC6214" w:rsidRDefault="00CC6214" w:rsidP="00CC6214">
      <w:pPr>
        <w:spacing w:after="0" w:line="240" w:lineRule="auto"/>
        <w:jc w:val="center"/>
        <w:rPr>
          <w:rFonts w:ascii="Times New Roman" w:eastAsia="Calibri" w:hAnsi="Times New Roman"/>
          <w:b/>
          <w:sz w:val="28"/>
          <w:szCs w:val="28"/>
        </w:rPr>
      </w:pPr>
      <w:r w:rsidRPr="00CC6214">
        <w:rPr>
          <w:rFonts w:ascii="Times New Roman" w:eastAsia="Calibri" w:hAnsi="Times New Roman"/>
          <w:b/>
          <w:sz w:val="28"/>
          <w:szCs w:val="28"/>
        </w:rPr>
        <w:t xml:space="preserve">COMMENTS </w:t>
      </w:r>
    </w:p>
    <w:p w:rsidR="00CC6214" w:rsidRPr="00CC6214" w:rsidRDefault="00CC6214" w:rsidP="00CC6214">
      <w:pPr>
        <w:spacing w:after="0" w:line="240" w:lineRule="auto"/>
        <w:jc w:val="center"/>
        <w:rPr>
          <w:rFonts w:ascii="Times New Roman" w:eastAsia="Calibri" w:hAnsi="Times New Roman"/>
          <w:b/>
          <w:sz w:val="26"/>
          <w:szCs w:val="26"/>
        </w:rPr>
      </w:pPr>
      <w:r w:rsidRPr="00CC6214">
        <w:rPr>
          <w:rFonts w:ascii="Times New Roman" w:eastAsia="Calibri" w:hAnsi="Times New Roman"/>
          <w:b/>
          <w:sz w:val="26"/>
          <w:szCs w:val="26"/>
        </w:rPr>
        <w:t>SUBMITTED ON BEHALF OF THE STAFF OF</w:t>
      </w:r>
    </w:p>
    <w:p w:rsidR="00CC6214" w:rsidRPr="00CC6214" w:rsidRDefault="00CC6214" w:rsidP="00CC6214">
      <w:pPr>
        <w:spacing w:after="0" w:line="240" w:lineRule="auto"/>
        <w:jc w:val="center"/>
        <w:rPr>
          <w:rFonts w:ascii="Times New Roman" w:eastAsia="Calibri" w:hAnsi="Times New Roman"/>
          <w:sz w:val="26"/>
          <w:szCs w:val="26"/>
        </w:rPr>
      </w:pPr>
      <w:r w:rsidRPr="00CC6214">
        <w:rPr>
          <w:rFonts w:ascii="Times New Roman" w:eastAsia="Calibri" w:hAnsi="Times New Roman"/>
          <w:b/>
          <w:sz w:val="26"/>
          <w:szCs w:val="26"/>
        </w:rPr>
        <w:t>THE PUBLIC UTILITIES COMMISSION OF OHIO</w:t>
      </w:r>
    </w:p>
    <w:p w:rsidR="00CC6214" w:rsidRPr="00CC6214" w:rsidRDefault="00CC6214" w:rsidP="00CC6214">
      <w:pPr>
        <w:tabs>
          <w:tab w:val="left" w:pos="9360"/>
        </w:tabs>
        <w:jc w:val="both"/>
        <w:rPr>
          <w:rFonts w:ascii="Times New Roman" w:eastAsia="Calibri" w:hAnsi="Times New Roman"/>
          <w:sz w:val="26"/>
          <w:szCs w:val="26"/>
          <w:u w:val="single"/>
        </w:rPr>
      </w:pPr>
      <w:r w:rsidRPr="00CC6214">
        <w:rPr>
          <w:rFonts w:ascii="Times New Roman" w:eastAsia="Calibri" w:hAnsi="Times New Roman"/>
          <w:sz w:val="26"/>
          <w:szCs w:val="26"/>
          <w:u w:val="single"/>
        </w:rPr>
        <w:tab/>
      </w:r>
    </w:p>
    <w:p w:rsidR="00CC6214" w:rsidRPr="00CC6214" w:rsidRDefault="00CC6214" w:rsidP="00CC6214">
      <w:pPr>
        <w:spacing w:after="0" w:line="240" w:lineRule="auto"/>
        <w:rPr>
          <w:rFonts w:ascii="Times New Roman" w:eastAsia="Calibri" w:hAnsi="Times New Roman"/>
          <w:sz w:val="24"/>
        </w:rPr>
      </w:pPr>
    </w:p>
    <w:p w:rsidR="00CC6214" w:rsidRPr="00CC6214" w:rsidRDefault="00CC6214" w:rsidP="00CC6214">
      <w:pPr>
        <w:spacing w:after="0" w:line="240" w:lineRule="auto"/>
        <w:rPr>
          <w:rFonts w:ascii="Times New Roman" w:eastAsia="Calibri" w:hAnsi="Times New Roman"/>
          <w:sz w:val="24"/>
        </w:rPr>
      </w:pPr>
    </w:p>
    <w:p w:rsidR="00CC6214" w:rsidRPr="00CC6214" w:rsidRDefault="00CC6214" w:rsidP="00CC6214">
      <w:pPr>
        <w:tabs>
          <w:tab w:val="left" w:pos="9360"/>
        </w:tabs>
        <w:spacing w:after="0" w:line="240" w:lineRule="auto"/>
        <w:ind w:left="4320"/>
        <w:jc w:val="both"/>
        <w:rPr>
          <w:rFonts w:ascii="Times New Roman" w:hAnsi="Times New Roman"/>
          <w:b/>
          <w:sz w:val="26"/>
          <w:szCs w:val="26"/>
        </w:rPr>
      </w:pPr>
      <w:r w:rsidRPr="00CC6214">
        <w:rPr>
          <w:rFonts w:ascii="Times New Roman" w:hAnsi="Times New Roman"/>
          <w:b/>
          <w:sz w:val="26"/>
          <w:szCs w:val="26"/>
        </w:rPr>
        <w:t xml:space="preserve">Michael DeWine </w:t>
      </w:r>
    </w:p>
    <w:p w:rsidR="00CC6214" w:rsidRPr="00CC6214" w:rsidRDefault="00CC6214" w:rsidP="00CC6214">
      <w:pPr>
        <w:tabs>
          <w:tab w:val="left" w:pos="9360"/>
        </w:tabs>
        <w:spacing w:after="0" w:line="240" w:lineRule="auto"/>
        <w:ind w:left="4320"/>
        <w:jc w:val="both"/>
        <w:rPr>
          <w:rFonts w:ascii="Times New Roman" w:hAnsi="Times New Roman"/>
          <w:sz w:val="26"/>
          <w:szCs w:val="26"/>
        </w:rPr>
      </w:pPr>
      <w:r w:rsidRPr="00CC6214">
        <w:rPr>
          <w:rFonts w:ascii="Times New Roman" w:hAnsi="Times New Roman"/>
          <w:sz w:val="26"/>
          <w:szCs w:val="26"/>
        </w:rPr>
        <w:t>Ohio Attorney General</w:t>
      </w:r>
    </w:p>
    <w:p w:rsidR="00CC6214" w:rsidRPr="00CC6214" w:rsidRDefault="00CC6214" w:rsidP="00CC6214">
      <w:pPr>
        <w:tabs>
          <w:tab w:val="left" w:pos="9360"/>
        </w:tabs>
        <w:spacing w:after="0" w:line="240" w:lineRule="auto"/>
        <w:ind w:left="4320"/>
        <w:jc w:val="both"/>
        <w:rPr>
          <w:rFonts w:ascii="Times New Roman" w:hAnsi="Times New Roman"/>
          <w:sz w:val="26"/>
          <w:szCs w:val="26"/>
        </w:rPr>
      </w:pPr>
    </w:p>
    <w:p w:rsidR="00CC6214" w:rsidRPr="00CC6214" w:rsidRDefault="00CC6214" w:rsidP="00CC6214">
      <w:pPr>
        <w:tabs>
          <w:tab w:val="left" w:pos="9360"/>
        </w:tabs>
        <w:spacing w:after="0" w:line="240" w:lineRule="auto"/>
        <w:ind w:left="4320"/>
        <w:jc w:val="both"/>
        <w:rPr>
          <w:rFonts w:ascii="Times New Roman" w:hAnsi="Times New Roman"/>
          <w:sz w:val="26"/>
          <w:szCs w:val="26"/>
        </w:rPr>
      </w:pPr>
      <w:r w:rsidRPr="00CC6214">
        <w:rPr>
          <w:rFonts w:ascii="Times New Roman" w:hAnsi="Times New Roman"/>
          <w:b/>
          <w:sz w:val="26"/>
          <w:szCs w:val="26"/>
        </w:rPr>
        <w:t>William L. Wright</w:t>
      </w:r>
    </w:p>
    <w:p w:rsidR="00CC6214" w:rsidRPr="00CC6214" w:rsidRDefault="00CC6214" w:rsidP="00CC6214">
      <w:pPr>
        <w:tabs>
          <w:tab w:val="left" w:pos="9360"/>
        </w:tabs>
        <w:spacing w:after="0" w:line="240" w:lineRule="auto"/>
        <w:ind w:left="4320"/>
        <w:jc w:val="both"/>
        <w:rPr>
          <w:rFonts w:ascii="Times New Roman" w:hAnsi="Times New Roman"/>
          <w:b/>
          <w:sz w:val="26"/>
          <w:szCs w:val="26"/>
        </w:rPr>
      </w:pPr>
      <w:r w:rsidRPr="00CC6214">
        <w:rPr>
          <w:rFonts w:ascii="Times New Roman" w:hAnsi="Times New Roman"/>
          <w:sz w:val="26"/>
          <w:szCs w:val="26"/>
        </w:rPr>
        <w:t>Section Chief</w:t>
      </w:r>
    </w:p>
    <w:p w:rsidR="00CC6214" w:rsidRPr="00CC6214" w:rsidRDefault="00CC6214" w:rsidP="00CC6214">
      <w:pPr>
        <w:tabs>
          <w:tab w:val="left" w:pos="9360"/>
        </w:tabs>
        <w:spacing w:after="0" w:line="240" w:lineRule="auto"/>
        <w:ind w:left="4320"/>
        <w:jc w:val="both"/>
        <w:rPr>
          <w:rFonts w:ascii="Times New Roman" w:hAnsi="Times New Roman"/>
          <w:sz w:val="26"/>
          <w:szCs w:val="26"/>
        </w:rPr>
      </w:pPr>
    </w:p>
    <w:p w:rsidR="00CC6214" w:rsidRPr="00CC6214" w:rsidRDefault="00CC6214" w:rsidP="00CC6214">
      <w:pPr>
        <w:tabs>
          <w:tab w:val="left" w:pos="9360"/>
        </w:tabs>
        <w:spacing w:after="0" w:line="240" w:lineRule="auto"/>
        <w:ind w:left="4320"/>
        <w:jc w:val="both"/>
        <w:rPr>
          <w:rFonts w:ascii="Times New Roman" w:hAnsi="Times New Roman"/>
          <w:b/>
          <w:sz w:val="26"/>
          <w:szCs w:val="26"/>
        </w:rPr>
      </w:pPr>
      <w:r w:rsidRPr="00CC6214">
        <w:rPr>
          <w:rFonts w:ascii="Times New Roman" w:hAnsi="Times New Roman"/>
          <w:b/>
          <w:sz w:val="26"/>
          <w:szCs w:val="26"/>
        </w:rPr>
        <w:t>Ryan P. O’Rourke</w:t>
      </w:r>
    </w:p>
    <w:p w:rsidR="00CC6214" w:rsidRPr="00CC6214" w:rsidRDefault="00CC6214" w:rsidP="00CC6214">
      <w:pPr>
        <w:tabs>
          <w:tab w:val="left" w:pos="9360"/>
        </w:tabs>
        <w:spacing w:after="0" w:line="240" w:lineRule="auto"/>
        <w:ind w:left="4320"/>
        <w:jc w:val="both"/>
        <w:rPr>
          <w:rFonts w:ascii="Times New Roman" w:hAnsi="Times New Roman"/>
          <w:sz w:val="26"/>
          <w:szCs w:val="26"/>
        </w:rPr>
      </w:pPr>
      <w:r w:rsidRPr="00CC6214">
        <w:rPr>
          <w:rFonts w:ascii="Times New Roman" w:hAnsi="Times New Roman"/>
          <w:sz w:val="26"/>
          <w:szCs w:val="26"/>
        </w:rPr>
        <w:t>Assistant Attorney General</w:t>
      </w:r>
    </w:p>
    <w:p w:rsidR="00CC6214" w:rsidRPr="00CC6214" w:rsidRDefault="00CC6214" w:rsidP="00CC6214">
      <w:pPr>
        <w:tabs>
          <w:tab w:val="left" w:pos="9360"/>
        </w:tabs>
        <w:spacing w:after="0" w:line="240" w:lineRule="auto"/>
        <w:ind w:left="4320"/>
        <w:jc w:val="both"/>
        <w:rPr>
          <w:rFonts w:ascii="Times New Roman" w:hAnsi="Times New Roman"/>
          <w:sz w:val="26"/>
          <w:szCs w:val="26"/>
        </w:rPr>
      </w:pPr>
      <w:r w:rsidRPr="00CC6214">
        <w:rPr>
          <w:rFonts w:ascii="Times New Roman" w:hAnsi="Times New Roman"/>
          <w:sz w:val="26"/>
          <w:szCs w:val="26"/>
        </w:rPr>
        <w:t>Public Utilities Section</w:t>
      </w:r>
    </w:p>
    <w:p w:rsidR="00CC6214" w:rsidRPr="00CC6214" w:rsidRDefault="00CC6214" w:rsidP="00CC6214">
      <w:pPr>
        <w:tabs>
          <w:tab w:val="left" w:pos="9360"/>
        </w:tabs>
        <w:spacing w:after="0" w:line="240" w:lineRule="auto"/>
        <w:ind w:left="4320"/>
        <w:jc w:val="both"/>
        <w:rPr>
          <w:rFonts w:ascii="Times New Roman" w:hAnsi="Times New Roman"/>
          <w:sz w:val="26"/>
          <w:szCs w:val="26"/>
        </w:rPr>
      </w:pPr>
      <w:r w:rsidRPr="00CC6214">
        <w:rPr>
          <w:rFonts w:ascii="Times New Roman" w:hAnsi="Times New Roman"/>
          <w:sz w:val="26"/>
          <w:szCs w:val="26"/>
        </w:rPr>
        <w:t>180 East Broad Street, 6</w:t>
      </w:r>
      <w:r w:rsidRPr="00CC6214">
        <w:rPr>
          <w:rFonts w:ascii="Times New Roman" w:hAnsi="Times New Roman"/>
          <w:sz w:val="26"/>
          <w:szCs w:val="26"/>
          <w:vertAlign w:val="superscript"/>
        </w:rPr>
        <w:t>th</w:t>
      </w:r>
      <w:r w:rsidRPr="00CC6214">
        <w:rPr>
          <w:rFonts w:ascii="Times New Roman" w:hAnsi="Times New Roman"/>
          <w:sz w:val="26"/>
          <w:szCs w:val="26"/>
        </w:rPr>
        <w:t xml:space="preserve"> Fl. </w:t>
      </w:r>
    </w:p>
    <w:p w:rsidR="00CC6214" w:rsidRPr="00CC6214" w:rsidRDefault="00CC6214" w:rsidP="00CC6214">
      <w:pPr>
        <w:tabs>
          <w:tab w:val="left" w:pos="9360"/>
        </w:tabs>
        <w:spacing w:after="0" w:line="240" w:lineRule="auto"/>
        <w:ind w:left="4320"/>
        <w:jc w:val="both"/>
        <w:rPr>
          <w:rFonts w:ascii="Times New Roman" w:hAnsi="Times New Roman"/>
          <w:sz w:val="26"/>
          <w:szCs w:val="26"/>
        </w:rPr>
      </w:pPr>
      <w:r w:rsidRPr="00CC6214">
        <w:rPr>
          <w:rFonts w:ascii="Times New Roman" w:hAnsi="Times New Roman"/>
          <w:sz w:val="26"/>
          <w:szCs w:val="26"/>
        </w:rPr>
        <w:t>Columbus, OH  43215</w:t>
      </w:r>
    </w:p>
    <w:p w:rsidR="00CC6214" w:rsidRPr="00CC6214" w:rsidRDefault="00CC6214" w:rsidP="00CC6214">
      <w:pPr>
        <w:tabs>
          <w:tab w:val="left" w:pos="9360"/>
        </w:tabs>
        <w:spacing w:after="0" w:line="240" w:lineRule="auto"/>
        <w:ind w:left="4320"/>
        <w:jc w:val="both"/>
        <w:rPr>
          <w:rFonts w:ascii="Times New Roman" w:hAnsi="Times New Roman"/>
          <w:sz w:val="26"/>
          <w:szCs w:val="26"/>
        </w:rPr>
      </w:pPr>
      <w:r w:rsidRPr="00CC6214">
        <w:rPr>
          <w:rFonts w:ascii="Times New Roman" w:hAnsi="Times New Roman"/>
          <w:sz w:val="26"/>
          <w:szCs w:val="26"/>
        </w:rPr>
        <w:t>614.466.4395 (telephone)</w:t>
      </w:r>
    </w:p>
    <w:p w:rsidR="00CC6214" w:rsidRPr="00CC6214" w:rsidRDefault="00CC6214" w:rsidP="00CC6214">
      <w:pPr>
        <w:spacing w:after="0" w:line="240" w:lineRule="auto"/>
        <w:ind w:left="4320"/>
        <w:jc w:val="both"/>
        <w:rPr>
          <w:rFonts w:ascii="Times New Roman" w:eastAsia="Calibri" w:hAnsi="Times New Roman"/>
          <w:sz w:val="26"/>
          <w:szCs w:val="26"/>
        </w:rPr>
      </w:pPr>
      <w:r w:rsidRPr="00CC6214">
        <w:rPr>
          <w:rFonts w:ascii="Times New Roman" w:eastAsia="Calibri" w:hAnsi="Times New Roman"/>
          <w:sz w:val="26"/>
          <w:szCs w:val="26"/>
        </w:rPr>
        <w:t>614.644.8764 (fax)</w:t>
      </w:r>
    </w:p>
    <w:p w:rsidR="00CC6214" w:rsidRPr="00CC6214" w:rsidRDefault="00807B84" w:rsidP="00CC6214">
      <w:pPr>
        <w:spacing w:after="0" w:line="240" w:lineRule="auto"/>
        <w:ind w:left="4320"/>
        <w:jc w:val="both"/>
        <w:rPr>
          <w:rFonts w:ascii="Times New Roman" w:eastAsia="Calibri" w:hAnsi="Times New Roman"/>
          <w:sz w:val="26"/>
          <w:szCs w:val="26"/>
        </w:rPr>
      </w:pPr>
      <w:hyperlink r:id="rId9" w:history="1">
        <w:r w:rsidR="00CC6214" w:rsidRPr="00CC6214">
          <w:rPr>
            <w:rFonts w:ascii="Times New Roman" w:eastAsia="Calibri" w:hAnsi="Times New Roman"/>
            <w:color w:val="0000FF"/>
            <w:sz w:val="26"/>
            <w:szCs w:val="26"/>
            <w:u w:val="single"/>
          </w:rPr>
          <w:t>william.wright@puc.state.oh.us</w:t>
        </w:r>
      </w:hyperlink>
    </w:p>
    <w:p w:rsidR="00CC6214" w:rsidRPr="00CC6214" w:rsidRDefault="00807B84" w:rsidP="00CC6214">
      <w:pPr>
        <w:spacing w:after="0" w:line="240" w:lineRule="auto"/>
        <w:ind w:left="4320"/>
        <w:jc w:val="both"/>
        <w:rPr>
          <w:rFonts w:ascii="Times New Roman" w:eastAsia="Calibri" w:hAnsi="Times New Roman"/>
          <w:sz w:val="26"/>
          <w:szCs w:val="26"/>
        </w:rPr>
      </w:pPr>
      <w:hyperlink r:id="rId10" w:history="1">
        <w:r w:rsidR="00CC6214" w:rsidRPr="00CC6214">
          <w:rPr>
            <w:rFonts w:ascii="Times New Roman" w:eastAsia="Calibri" w:hAnsi="Times New Roman"/>
            <w:color w:val="0000FF"/>
            <w:sz w:val="26"/>
            <w:szCs w:val="26"/>
            <w:u w:val="single"/>
          </w:rPr>
          <w:t>ryan.orourke@puc.state.oh.us</w:t>
        </w:r>
      </w:hyperlink>
    </w:p>
    <w:p w:rsidR="00CC6214" w:rsidRPr="00CC6214" w:rsidRDefault="00CC6214" w:rsidP="00CC6214">
      <w:pPr>
        <w:spacing w:after="0" w:line="240" w:lineRule="auto"/>
        <w:rPr>
          <w:rFonts w:ascii="Times New Roman" w:eastAsia="Calibri" w:hAnsi="Times New Roman"/>
          <w:sz w:val="24"/>
        </w:rPr>
      </w:pPr>
    </w:p>
    <w:p w:rsidR="00CC6214" w:rsidRDefault="00CC6214" w:rsidP="00CC6214">
      <w:pPr>
        <w:spacing w:after="0" w:line="240" w:lineRule="auto"/>
        <w:rPr>
          <w:rFonts w:ascii="Times New Roman" w:eastAsia="Calibri" w:hAnsi="Times New Roman"/>
          <w:sz w:val="24"/>
        </w:rPr>
      </w:pPr>
    </w:p>
    <w:p w:rsidR="00CC6214" w:rsidRDefault="00CC6214" w:rsidP="00CC6214">
      <w:pPr>
        <w:spacing w:after="0" w:line="240" w:lineRule="auto"/>
        <w:rPr>
          <w:rFonts w:ascii="Times New Roman" w:eastAsia="Calibri" w:hAnsi="Times New Roman"/>
          <w:sz w:val="24"/>
        </w:rPr>
      </w:pPr>
    </w:p>
    <w:p w:rsidR="00CC6214" w:rsidRPr="00CC6214" w:rsidRDefault="00CC6214" w:rsidP="00CC6214">
      <w:pPr>
        <w:spacing w:after="0" w:line="240" w:lineRule="auto"/>
        <w:rPr>
          <w:rFonts w:ascii="Times New Roman" w:eastAsia="Calibri" w:hAnsi="Times New Roman"/>
          <w:sz w:val="24"/>
        </w:rPr>
      </w:pPr>
    </w:p>
    <w:p w:rsidR="00CC6214" w:rsidRPr="00CC6214" w:rsidRDefault="00CC6214" w:rsidP="00CC6214">
      <w:pPr>
        <w:spacing w:after="0" w:line="240" w:lineRule="auto"/>
        <w:rPr>
          <w:rFonts w:ascii="Times New Roman" w:eastAsia="Calibri" w:hAnsi="Times New Roman"/>
          <w:sz w:val="24"/>
        </w:rPr>
      </w:pPr>
    </w:p>
    <w:p w:rsidR="00CC6214" w:rsidRPr="00CC6214" w:rsidRDefault="00CC6214" w:rsidP="00CC6214">
      <w:pPr>
        <w:spacing w:after="0" w:line="240" w:lineRule="auto"/>
        <w:rPr>
          <w:rFonts w:ascii="Times New Roman" w:eastAsia="Calibri" w:hAnsi="Times New Roman"/>
          <w:sz w:val="24"/>
        </w:rPr>
      </w:pPr>
    </w:p>
    <w:p w:rsidR="00CC6214" w:rsidRPr="00CC6214" w:rsidRDefault="00CC6214" w:rsidP="00CC6214">
      <w:pPr>
        <w:spacing w:after="0" w:line="240" w:lineRule="auto"/>
        <w:rPr>
          <w:rFonts w:ascii="Times New Roman" w:eastAsia="Calibri" w:hAnsi="Times New Roman"/>
          <w:sz w:val="24"/>
        </w:rPr>
      </w:pPr>
    </w:p>
    <w:p w:rsidR="00CB2457" w:rsidRDefault="00CC6214" w:rsidP="00CC6214">
      <w:pPr>
        <w:jc w:val="both"/>
        <w:rPr>
          <w:rFonts w:ascii="Times New Roman" w:hAnsi="Times New Roman"/>
          <w:sz w:val="28"/>
          <w:szCs w:val="28"/>
        </w:rPr>
      </w:pPr>
      <w:r w:rsidRPr="00CC6214">
        <w:rPr>
          <w:rFonts w:ascii="Times New Roman" w:eastAsia="Calibri" w:hAnsi="Times New Roman"/>
          <w:sz w:val="26"/>
          <w:szCs w:val="26"/>
        </w:rPr>
        <w:t xml:space="preserve">Date Submitted: October </w:t>
      </w:r>
      <w:r>
        <w:rPr>
          <w:rFonts w:ascii="Times New Roman" w:eastAsia="Calibri" w:hAnsi="Times New Roman"/>
          <w:sz w:val="26"/>
          <w:szCs w:val="26"/>
        </w:rPr>
        <w:t>30</w:t>
      </w:r>
      <w:r w:rsidRPr="00CC6214">
        <w:rPr>
          <w:rFonts w:ascii="Times New Roman" w:eastAsia="Calibri" w:hAnsi="Times New Roman"/>
          <w:sz w:val="26"/>
          <w:szCs w:val="26"/>
        </w:rPr>
        <w:t>, 2013</w:t>
      </w:r>
    </w:p>
    <w:p w:rsidR="00F952B8" w:rsidRDefault="00F952B8" w:rsidP="0095004E">
      <w:pPr>
        <w:pStyle w:val="NoSpacing"/>
        <w:rPr>
          <w:rFonts w:ascii="Times New Roman" w:hAnsi="Times New Roman" w:cs="Times New Roman"/>
          <w:sz w:val="28"/>
          <w:szCs w:val="28"/>
        </w:rPr>
        <w:sectPr w:rsidR="00F952B8" w:rsidSect="0095004E">
          <w:footerReference w:type="default" r:id="rId11"/>
          <w:pgSz w:w="12240" w:h="15840"/>
          <w:pgMar w:top="1440" w:right="1440" w:bottom="1440" w:left="1440" w:header="720" w:footer="720" w:gutter="0"/>
          <w:pgNumType w:fmt="lowerRoman" w:start="1"/>
          <w:cols w:space="720"/>
          <w:docGrid w:linePitch="360"/>
        </w:sectPr>
      </w:pPr>
    </w:p>
    <w:p w:rsidR="00962BCA" w:rsidRDefault="004B2FDC">
      <w:pPr>
        <w:pStyle w:val="TOC1"/>
        <w:rPr>
          <w:rFonts w:asciiTheme="minorHAnsi" w:eastAsiaTheme="minorEastAsia" w:hAnsiTheme="minorHAnsi" w:cstheme="minorBidi"/>
          <w:noProof/>
          <w:sz w:val="22"/>
        </w:rPr>
      </w:pPr>
      <w:r w:rsidRPr="00CB2457">
        <w:rPr>
          <w:szCs w:val="26"/>
        </w:rPr>
        <w:lastRenderedPageBreak/>
        <w:fldChar w:fldCharType="begin"/>
      </w:r>
      <w:r w:rsidR="00CB2457" w:rsidRPr="00CB2457">
        <w:rPr>
          <w:szCs w:val="26"/>
        </w:rPr>
        <w:instrText xml:space="preserve"> TOC \o "1-3" \h \z \u </w:instrText>
      </w:r>
      <w:r w:rsidRPr="00CB2457">
        <w:rPr>
          <w:szCs w:val="26"/>
        </w:rPr>
        <w:fldChar w:fldCharType="separate"/>
      </w:r>
      <w:hyperlink w:anchor="_Toc370912406" w:history="1">
        <w:r w:rsidR="00962BCA" w:rsidRPr="00607096">
          <w:rPr>
            <w:rStyle w:val="Hyperlink"/>
            <w:rFonts w:eastAsiaTheme="majorEastAsia"/>
            <w:noProof/>
          </w:rPr>
          <w:t>INTRODUCTION</w:t>
        </w:r>
        <w:r w:rsidR="00962BCA">
          <w:rPr>
            <w:noProof/>
            <w:webHidden/>
          </w:rPr>
          <w:tab/>
        </w:r>
        <w:r w:rsidR="00962BCA">
          <w:rPr>
            <w:noProof/>
            <w:webHidden/>
          </w:rPr>
          <w:fldChar w:fldCharType="begin"/>
        </w:r>
        <w:r w:rsidR="00962BCA">
          <w:rPr>
            <w:noProof/>
            <w:webHidden/>
          </w:rPr>
          <w:instrText xml:space="preserve"> PAGEREF _Toc370912406 \h </w:instrText>
        </w:r>
        <w:r w:rsidR="00962BCA">
          <w:rPr>
            <w:noProof/>
            <w:webHidden/>
          </w:rPr>
        </w:r>
        <w:r w:rsidR="00962BCA">
          <w:rPr>
            <w:noProof/>
            <w:webHidden/>
          </w:rPr>
          <w:fldChar w:fldCharType="separate"/>
        </w:r>
        <w:r w:rsidR="00807B84">
          <w:rPr>
            <w:noProof/>
            <w:webHidden/>
          </w:rPr>
          <w:t>1</w:t>
        </w:r>
        <w:r w:rsidR="00962BCA">
          <w:rPr>
            <w:noProof/>
            <w:webHidden/>
          </w:rPr>
          <w:fldChar w:fldCharType="end"/>
        </w:r>
      </w:hyperlink>
    </w:p>
    <w:p w:rsidR="00962BCA" w:rsidRDefault="00962BCA">
      <w:pPr>
        <w:pStyle w:val="TOC1"/>
        <w:rPr>
          <w:rFonts w:asciiTheme="minorHAnsi" w:eastAsiaTheme="minorEastAsia" w:hAnsiTheme="minorHAnsi" w:cstheme="minorBidi"/>
          <w:noProof/>
          <w:sz w:val="22"/>
        </w:rPr>
      </w:pPr>
      <w:hyperlink w:anchor="_Toc370912407" w:history="1">
        <w:r w:rsidRPr="00607096">
          <w:rPr>
            <w:rStyle w:val="Hyperlink"/>
            <w:rFonts w:eastAsiaTheme="majorEastAsia"/>
            <w:noProof/>
          </w:rPr>
          <w:t>BACKGROUND</w:t>
        </w:r>
        <w:r>
          <w:rPr>
            <w:noProof/>
            <w:webHidden/>
          </w:rPr>
          <w:tab/>
        </w:r>
        <w:r>
          <w:rPr>
            <w:noProof/>
            <w:webHidden/>
          </w:rPr>
          <w:fldChar w:fldCharType="begin"/>
        </w:r>
        <w:r>
          <w:rPr>
            <w:noProof/>
            <w:webHidden/>
          </w:rPr>
          <w:instrText xml:space="preserve"> PAGEREF _Toc370912407 \h </w:instrText>
        </w:r>
        <w:r>
          <w:rPr>
            <w:noProof/>
            <w:webHidden/>
          </w:rPr>
        </w:r>
        <w:r>
          <w:rPr>
            <w:noProof/>
            <w:webHidden/>
          </w:rPr>
          <w:fldChar w:fldCharType="separate"/>
        </w:r>
        <w:r w:rsidR="00807B84">
          <w:rPr>
            <w:noProof/>
            <w:webHidden/>
          </w:rPr>
          <w:t>3</w:t>
        </w:r>
        <w:r>
          <w:rPr>
            <w:noProof/>
            <w:webHidden/>
          </w:rPr>
          <w:fldChar w:fldCharType="end"/>
        </w:r>
      </w:hyperlink>
    </w:p>
    <w:p w:rsidR="00962BCA" w:rsidRDefault="00962BCA">
      <w:pPr>
        <w:pStyle w:val="TOC1"/>
        <w:rPr>
          <w:rFonts w:asciiTheme="minorHAnsi" w:eastAsiaTheme="minorEastAsia" w:hAnsiTheme="minorHAnsi" w:cstheme="minorBidi"/>
          <w:noProof/>
          <w:sz w:val="22"/>
        </w:rPr>
      </w:pPr>
      <w:hyperlink w:anchor="_Toc370912408" w:history="1">
        <w:r w:rsidRPr="00607096">
          <w:rPr>
            <w:rStyle w:val="Hyperlink"/>
            <w:rFonts w:eastAsiaTheme="majorEastAsia"/>
            <w:noProof/>
          </w:rPr>
          <w:t>VEDO’s APPLICATION</w:t>
        </w:r>
        <w:r>
          <w:rPr>
            <w:noProof/>
            <w:webHidden/>
          </w:rPr>
          <w:tab/>
        </w:r>
        <w:r>
          <w:rPr>
            <w:noProof/>
            <w:webHidden/>
          </w:rPr>
          <w:fldChar w:fldCharType="begin"/>
        </w:r>
        <w:r>
          <w:rPr>
            <w:noProof/>
            <w:webHidden/>
          </w:rPr>
          <w:instrText xml:space="preserve"> PAGEREF _Toc370912408 \h </w:instrText>
        </w:r>
        <w:r>
          <w:rPr>
            <w:noProof/>
            <w:webHidden/>
          </w:rPr>
        </w:r>
        <w:r>
          <w:rPr>
            <w:noProof/>
            <w:webHidden/>
          </w:rPr>
          <w:fldChar w:fldCharType="separate"/>
        </w:r>
        <w:r w:rsidR="00807B84">
          <w:rPr>
            <w:noProof/>
            <w:webHidden/>
          </w:rPr>
          <w:t>5</w:t>
        </w:r>
        <w:r>
          <w:rPr>
            <w:noProof/>
            <w:webHidden/>
          </w:rPr>
          <w:fldChar w:fldCharType="end"/>
        </w:r>
      </w:hyperlink>
    </w:p>
    <w:p w:rsidR="00962BCA" w:rsidRDefault="00962BCA">
      <w:pPr>
        <w:pStyle w:val="TOC1"/>
        <w:rPr>
          <w:rFonts w:asciiTheme="minorHAnsi" w:eastAsiaTheme="minorEastAsia" w:hAnsiTheme="minorHAnsi" w:cstheme="minorBidi"/>
          <w:noProof/>
          <w:sz w:val="22"/>
        </w:rPr>
      </w:pPr>
      <w:hyperlink w:anchor="_Toc370912409" w:history="1">
        <w:r w:rsidRPr="00607096">
          <w:rPr>
            <w:rStyle w:val="Hyperlink"/>
            <w:rFonts w:eastAsiaTheme="majorEastAsia"/>
            <w:noProof/>
          </w:rPr>
          <w:t>STAFF’S INVESTIGATION</w:t>
        </w:r>
        <w:r>
          <w:rPr>
            <w:noProof/>
            <w:webHidden/>
          </w:rPr>
          <w:tab/>
        </w:r>
        <w:r>
          <w:rPr>
            <w:noProof/>
            <w:webHidden/>
          </w:rPr>
          <w:fldChar w:fldCharType="begin"/>
        </w:r>
        <w:r>
          <w:rPr>
            <w:noProof/>
            <w:webHidden/>
          </w:rPr>
          <w:instrText xml:space="preserve"> PAGEREF _Toc370912409 \h </w:instrText>
        </w:r>
        <w:r>
          <w:rPr>
            <w:noProof/>
            <w:webHidden/>
          </w:rPr>
        </w:r>
        <w:r>
          <w:rPr>
            <w:noProof/>
            <w:webHidden/>
          </w:rPr>
          <w:fldChar w:fldCharType="separate"/>
        </w:r>
        <w:r w:rsidR="00807B84">
          <w:rPr>
            <w:noProof/>
            <w:webHidden/>
          </w:rPr>
          <w:t>12</w:t>
        </w:r>
        <w:r>
          <w:rPr>
            <w:noProof/>
            <w:webHidden/>
          </w:rPr>
          <w:fldChar w:fldCharType="end"/>
        </w:r>
      </w:hyperlink>
    </w:p>
    <w:p w:rsidR="00962BCA" w:rsidRDefault="00962BCA">
      <w:pPr>
        <w:pStyle w:val="TOC1"/>
        <w:rPr>
          <w:rFonts w:asciiTheme="minorHAnsi" w:eastAsiaTheme="minorEastAsia" w:hAnsiTheme="minorHAnsi" w:cstheme="minorBidi"/>
          <w:noProof/>
          <w:sz w:val="22"/>
        </w:rPr>
      </w:pPr>
      <w:hyperlink w:anchor="_Toc370912410" w:history="1">
        <w:r w:rsidRPr="00607096">
          <w:rPr>
            <w:rStyle w:val="Hyperlink"/>
            <w:rFonts w:eastAsiaTheme="majorEastAsia"/>
            <w:noProof/>
          </w:rPr>
          <w:t>STAFF’S COMMENTS AND RECOMMENDATIONS BY TOPIC AREA</w:t>
        </w:r>
        <w:r>
          <w:rPr>
            <w:noProof/>
            <w:webHidden/>
          </w:rPr>
          <w:tab/>
        </w:r>
        <w:r>
          <w:rPr>
            <w:noProof/>
            <w:webHidden/>
          </w:rPr>
          <w:fldChar w:fldCharType="begin"/>
        </w:r>
        <w:r>
          <w:rPr>
            <w:noProof/>
            <w:webHidden/>
          </w:rPr>
          <w:instrText xml:space="preserve"> PAGEREF _Toc370912410 \h </w:instrText>
        </w:r>
        <w:r>
          <w:rPr>
            <w:noProof/>
            <w:webHidden/>
          </w:rPr>
        </w:r>
        <w:r>
          <w:rPr>
            <w:noProof/>
            <w:webHidden/>
          </w:rPr>
          <w:fldChar w:fldCharType="separate"/>
        </w:r>
        <w:r w:rsidR="00807B84">
          <w:rPr>
            <w:noProof/>
            <w:webHidden/>
          </w:rPr>
          <w:t>13</w:t>
        </w:r>
        <w:r>
          <w:rPr>
            <w:noProof/>
            <w:webHidden/>
          </w:rPr>
          <w:fldChar w:fldCharType="end"/>
        </w:r>
      </w:hyperlink>
    </w:p>
    <w:p w:rsidR="00962BCA" w:rsidRDefault="00962BCA">
      <w:pPr>
        <w:pStyle w:val="TOC2"/>
        <w:tabs>
          <w:tab w:val="left" w:pos="1440"/>
        </w:tabs>
        <w:rPr>
          <w:rFonts w:asciiTheme="minorHAnsi" w:eastAsiaTheme="minorEastAsia" w:hAnsiTheme="minorHAnsi" w:cstheme="minorBidi"/>
          <w:noProof/>
          <w:sz w:val="22"/>
        </w:rPr>
      </w:pPr>
      <w:hyperlink w:anchor="_Toc370912411" w:history="1">
        <w:r w:rsidRPr="00607096">
          <w:rPr>
            <w:rStyle w:val="Hyperlink"/>
            <w:rFonts w:eastAsiaTheme="majorEastAsia"/>
            <w:noProof/>
          </w:rPr>
          <w:t>A.</w:t>
        </w:r>
        <w:r>
          <w:rPr>
            <w:rFonts w:asciiTheme="minorHAnsi" w:eastAsiaTheme="minorEastAsia" w:hAnsiTheme="minorHAnsi" w:cstheme="minorBidi"/>
            <w:noProof/>
            <w:sz w:val="22"/>
          </w:rPr>
          <w:tab/>
        </w:r>
        <w:r w:rsidRPr="00607096">
          <w:rPr>
            <w:rStyle w:val="Hyperlink"/>
            <w:rFonts w:eastAsiaTheme="majorEastAsia"/>
            <w:noProof/>
          </w:rPr>
          <w:t>Modifications to the PIR Program Scope:</w:t>
        </w:r>
        <w:r>
          <w:rPr>
            <w:noProof/>
            <w:webHidden/>
          </w:rPr>
          <w:tab/>
        </w:r>
        <w:r>
          <w:rPr>
            <w:noProof/>
            <w:webHidden/>
          </w:rPr>
          <w:fldChar w:fldCharType="begin"/>
        </w:r>
        <w:r>
          <w:rPr>
            <w:noProof/>
            <w:webHidden/>
          </w:rPr>
          <w:instrText xml:space="preserve"> PAGEREF _Toc370912411 \h </w:instrText>
        </w:r>
        <w:r>
          <w:rPr>
            <w:noProof/>
            <w:webHidden/>
          </w:rPr>
        </w:r>
        <w:r>
          <w:rPr>
            <w:noProof/>
            <w:webHidden/>
          </w:rPr>
          <w:fldChar w:fldCharType="separate"/>
        </w:r>
        <w:r w:rsidR="00807B84">
          <w:rPr>
            <w:noProof/>
            <w:webHidden/>
          </w:rPr>
          <w:t>13</w:t>
        </w:r>
        <w:r>
          <w:rPr>
            <w:noProof/>
            <w:webHidden/>
          </w:rPr>
          <w:fldChar w:fldCharType="end"/>
        </w:r>
      </w:hyperlink>
    </w:p>
    <w:p w:rsidR="00962BCA" w:rsidRDefault="00962BCA">
      <w:pPr>
        <w:pStyle w:val="TOC3"/>
        <w:tabs>
          <w:tab w:val="left" w:pos="2160"/>
        </w:tabs>
        <w:rPr>
          <w:rFonts w:asciiTheme="minorHAnsi" w:eastAsiaTheme="minorEastAsia" w:hAnsiTheme="minorHAnsi" w:cstheme="minorBidi"/>
          <w:noProof/>
          <w:sz w:val="22"/>
        </w:rPr>
      </w:pPr>
      <w:hyperlink w:anchor="_Toc370912412" w:history="1">
        <w:r w:rsidRPr="00607096">
          <w:rPr>
            <w:rStyle w:val="Hyperlink"/>
            <w:rFonts w:eastAsiaTheme="majorEastAsia"/>
            <w:noProof/>
          </w:rPr>
          <w:t>1.</w:t>
        </w:r>
        <w:r>
          <w:rPr>
            <w:rFonts w:asciiTheme="minorHAnsi" w:eastAsiaTheme="minorEastAsia" w:hAnsiTheme="minorHAnsi" w:cstheme="minorBidi"/>
            <w:noProof/>
            <w:sz w:val="22"/>
          </w:rPr>
          <w:tab/>
        </w:r>
        <w:r w:rsidRPr="00607096">
          <w:rPr>
            <w:rStyle w:val="Hyperlink"/>
            <w:rFonts w:eastAsiaTheme="majorEastAsia"/>
            <w:noProof/>
          </w:rPr>
          <w:t>Ineffectively Coated Pipeline</w:t>
        </w:r>
        <w:r>
          <w:rPr>
            <w:noProof/>
            <w:webHidden/>
          </w:rPr>
          <w:tab/>
        </w:r>
        <w:r>
          <w:rPr>
            <w:noProof/>
            <w:webHidden/>
          </w:rPr>
          <w:fldChar w:fldCharType="begin"/>
        </w:r>
        <w:r>
          <w:rPr>
            <w:noProof/>
            <w:webHidden/>
          </w:rPr>
          <w:instrText xml:space="preserve"> PAGEREF _Toc370912412 \h </w:instrText>
        </w:r>
        <w:r>
          <w:rPr>
            <w:noProof/>
            <w:webHidden/>
          </w:rPr>
        </w:r>
        <w:r>
          <w:rPr>
            <w:noProof/>
            <w:webHidden/>
          </w:rPr>
          <w:fldChar w:fldCharType="separate"/>
        </w:r>
        <w:r w:rsidR="00807B84">
          <w:rPr>
            <w:noProof/>
            <w:webHidden/>
          </w:rPr>
          <w:t>13</w:t>
        </w:r>
        <w:r>
          <w:rPr>
            <w:noProof/>
            <w:webHidden/>
          </w:rPr>
          <w:fldChar w:fldCharType="end"/>
        </w:r>
      </w:hyperlink>
    </w:p>
    <w:p w:rsidR="00962BCA" w:rsidRDefault="00962BCA">
      <w:pPr>
        <w:pStyle w:val="TOC3"/>
        <w:tabs>
          <w:tab w:val="left" w:pos="2160"/>
        </w:tabs>
        <w:rPr>
          <w:rFonts w:asciiTheme="minorHAnsi" w:eastAsiaTheme="minorEastAsia" w:hAnsiTheme="minorHAnsi" w:cstheme="minorBidi"/>
          <w:noProof/>
          <w:sz w:val="22"/>
        </w:rPr>
      </w:pPr>
      <w:hyperlink w:anchor="_Toc370912413" w:history="1">
        <w:r w:rsidRPr="00607096">
          <w:rPr>
            <w:rStyle w:val="Hyperlink"/>
            <w:rFonts w:eastAsiaTheme="majorEastAsia"/>
            <w:noProof/>
          </w:rPr>
          <w:t>2.</w:t>
        </w:r>
        <w:r>
          <w:rPr>
            <w:rFonts w:asciiTheme="minorHAnsi" w:eastAsiaTheme="minorEastAsia" w:hAnsiTheme="minorHAnsi" w:cstheme="minorBidi"/>
            <w:noProof/>
            <w:sz w:val="22"/>
          </w:rPr>
          <w:tab/>
        </w:r>
        <w:r w:rsidRPr="00607096">
          <w:rPr>
            <w:rStyle w:val="Hyperlink"/>
            <w:rFonts w:eastAsiaTheme="majorEastAsia"/>
            <w:noProof/>
          </w:rPr>
          <w:t>Obsolete Pipe and Appurtenances</w:t>
        </w:r>
        <w:r>
          <w:rPr>
            <w:noProof/>
            <w:webHidden/>
          </w:rPr>
          <w:tab/>
        </w:r>
        <w:r>
          <w:rPr>
            <w:noProof/>
            <w:webHidden/>
          </w:rPr>
          <w:fldChar w:fldCharType="begin"/>
        </w:r>
        <w:r>
          <w:rPr>
            <w:noProof/>
            <w:webHidden/>
          </w:rPr>
          <w:instrText xml:space="preserve"> PAGEREF _Toc370912413 \h </w:instrText>
        </w:r>
        <w:r>
          <w:rPr>
            <w:noProof/>
            <w:webHidden/>
          </w:rPr>
        </w:r>
        <w:r>
          <w:rPr>
            <w:noProof/>
            <w:webHidden/>
          </w:rPr>
          <w:fldChar w:fldCharType="separate"/>
        </w:r>
        <w:r w:rsidR="00807B84">
          <w:rPr>
            <w:noProof/>
            <w:webHidden/>
          </w:rPr>
          <w:t>13</w:t>
        </w:r>
        <w:r>
          <w:rPr>
            <w:noProof/>
            <w:webHidden/>
          </w:rPr>
          <w:fldChar w:fldCharType="end"/>
        </w:r>
      </w:hyperlink>
    </w:p>
    <w:p w:rsidR="00962BCA" w:rsidRDefault="00962BCA">
      <w:pPr>
        <w:pStyle w:val="TOC3"/>
        <w:tabs>
          <w:tab w:val="left" w:pos="2160"/>
        </w:tabs>
        <w:rPr>
          <w:rFonts w:asciiTheme="minorHAnsi" w:eastAsiaTheme="minorEastAsia" w:hAnsiTheme="minorHAnsi" w:cstheme="minorBidi"/>
          <w:noProof/>
          <w:sz w:val="22"/>
        </w:rPr>
      </w:pPr>
      <w:hyperlink w:anchor="_Toc370912414" w:history="1">
        <w:r w:rsidRPr="00607096">
          <w:rPr>
            <w:rStyle w:val="Hyperlink"/>
            <w:rFonts w:eastAsiaTheme="majorEastAsia"/>
            <w:noProof/>
          </w:rPr>
          <w:t>3.</w:t>
        </w:r>
        <w:r>
          <w:rPr>
            <w:rFonts w:asciiTheme="minorHAnsi" w:eastAsiaTheme="minorEastAsia" w:hAnsiTheme="minorHAnsi" w:cstheme="minorBidi"/>
            <w:noProof/>
            <w:sz w:val="22"/>
          </w:rPr>
          <w:tab/>
        </w:r>
        <w:r w:rsidRPr="00607096">
          <w:rPr>
            <w:rStyle w:val="Hyperlink"/>
            <w:rFonts w:eastAsiaTheme="majorEastAsia"/>
            <w:noProof/>
          </w:rPr>
          <w:t>Vintage Plastic Pipe</w:t>
        </w:r>
        <w:r>
          <w:rPr>
            <w:noProof/>
            <w:webHidden/>
          </w:rPr>
          <w:tab/>
        </w:r>
        <w:r>
          <w:rPr>
            <w:noProof/>
            <w:webHidden/>
          </w:rPr>
          <w:fldChar w:fldCharType="begin"/>
        </w:r>
        <w:r>
          <w:rPr>
            <w:noProof/>
            <w:webHidden/>
          </w:rPr>
          <w:instrText xml:space="preserve"> PAGEREF _Toc370912414 \h </w:instrText>
        </w:r>
        <w:r>
          <w:rPr>
            <w:noProof/>
            <w:webHidden/>
          </w:rPr>
        </w:r>
        <w:r>
          <w:rPr>
            <w:noProof/>
            <w:webHidden/>
          </w:rPr>
          <w:fldChar w:fldCharType="separate"/>
        </w:r>
        <w:r w:rsidR="00807B84">
          <w:rPr>
            <w:noProof/>
            <w:webHidden/>
          </w:rPr>
          <w:t>14</w:t>
        </w:r>
        <w:r>
          <w:rPr>
            <w:noProof/>
            <w:webHidden/>
          </w:rPr>
          <w:fldChar w:fldCharType="end"/>
        </w:r>
      </w:hyperlink>
    </w:p>
    <w:p w:rsidR="00962BCA" w:rsidRDefault="00962BCA">
      <w:pPr>
        <w:pStyle w:val="TOC3"/>
        <w:tabs>
          <w:tab w:val="left" w:pos="2160"/>
        </w:tabs>
        <w:rPr>
          <w:rFonts w:asciiTheme="minorHAnsi" w:eastAsiaTheme="minorEastAsia" w:hAnsiTheme="minorHAnsi" w:cstheme="minorBidi"/>
          <w:noProof/>
          <w:sz w:val="22"/>
        </w:rPr>
      </w:pPr>
      <w:hyperlink w:anchor="_Toc370912415" w:history="1">
        <w:r w:rsidRPr="00607096">
          <w:rPr>
            <w:rStyle w:val="Hyperlink"/>
            <w:rFonts w:eastAsiaTheme="majorEastAsia"/>
            <w:noProof/>
          </w:rPr>
          <w:t>4.</w:t>
        </w:r>
        <w:r>
          <w:rPr>
            <w:rFonts w:asciiTheme="minorHAnsi" w:eastAsiaTheme="minorEastAsia" w:hAnsiTheme="minorHAnsi" w:cstheme="minorBidi"/>
            <w:noProof/>
            <w:sz w:val="22"/>
          </w:rPr>
          <w:tab/>
        </w:r>
        <w:r w:rsidRPr="00607096">
          <w:rPr>
            <w:rStyle w:val="Hyperlink"/>
            <w:rFonts w:eastAsiaTheme="majorEastAsia"/>
            <w:noProof/>
          </w:rPr>
          <w:t>Public Works Projects Involving Relocation of VEDO Facilities</w:t>
        </w:r>
        <w:r>
          <w:rPr>
            <w:noProof/>
            <w:webHidden/>
          </w:rPr>
          <w:tab/>
        </w:r>
        <w:r>
          <w:rPr>
            <w:noProof/>
            <w:webHidden/>
          </w:rPr>
          <w:fldChar w:fldCharType="begin"/>
        </w:r>
        <w:r>
          <w:rPr>
            <w:noProof/>
            <w:webHidden/>
          </w:rPr>
          <w:instrText xml:space="preserve"> PAGEREF _Toc370912415 \h </w:instrText>
        </w:r>
        <w:r>
          <w:rPr>
            <w:noProof/>
            <w:webHidden/>
          </w:rPr>
        </w:r>
        <w:r>
          <w:rPr>
            <w:noProof/>
            <w:webHidden/>
          </w:rPr>
          <w:fldChar w:fldCharType="separate"/>
        </w:r>
        <w:r w:rsidR="00807B84">
          <w:rPr>
            <w:noProof/>
            <w:webHidden/>
          </w:rPr>
          <w:t>14</w:t>
        </w:r>
        <w:r>
          <w:rPr>
            <w:noProof/>
            <w:webHidden/>
          </w:rPr>
          <w:fldChar w:fldCharType="end"/>
        </w:r>
      </w:hyperlink>
    </w:p>
    <w:p w:rsidR="00962BCA" w:rsidRDefault="00962BCA">
      <w:pPr>
        <w:pStyle w:val="TOC2"/>
        <w:tabs>
          <w:tab w:val="left" w:pos="1440"/>
        </w:tabs>
        <w:rPr>
          <w:rFonts w:asciiTheme="minorHAnsi" w:eastAsiaTheme="minorEastAsia" w:hAnsiTheme="minorHAnsi" w:cstheme="minorBidi"/>
          <w:noProof/>
          <w:sz w:val="22"/>
        </w:rPr>
      </w:pPr>
      <w:hyperlink w:anchor="_Toc370912416" w:history="1">
        <w:r w:rsidRPr="00607096">
          <w:rPr>
            <w:rStyle w:val="Hyperlink"/>
            <w:rFonts w:eastAsiaTheme="majorEastAsia"/>
            <w:noProof/>
          </w:rPr>
          <w:t>B.</w:t>
        </w:r>
        <w:r>
          <w:rPr>
            <w:rFonts w:asciiTheme="minorHAnsi" w:eastAsiaTheme="minorEastAsia" w:hAnsiTheme="minorHAnsi" w:cstheme="minorBidi"/>
            <w:noProof/>
            <w:sz w:val="22"/>
          </w:rPr>
          <w:tab/>
        </w:r>
        <w:r w:rsidRPr="00607096">
          <w:rPr>
            <w:rStyle w:val="Hyperlink"/>
            <w:rFonts w:eastAsiaTheme="majorEastAsia"/>
            <w:noProof/>
          </w:rPr>
          <w:t>Further Acceleration of the DRR Program Pace</w:t>
        </w:r>
        <w:r>
          <w:rPr>
            <w:noProof/>
            <w:webHidden/>
          </w:rPr>
          <w:tab/>
        </w:r>
        <w:r>
          <w:rPr>
            <w:noProof/>
            <w:webHidden/>
          </w:rPr>
          <w:fldChar w:fldCharType="begin"/>
        </w:r>
        <w:r>
          <w:rPr>
            <w:noProof/>
            <w:webHidden/>
          </w:rPr>
          <w:instrText xml:space="preserve"> PAGEREF _Toc370912416 \h </w:instrText>
        </w:r>
        <w:r>
          <w:rPr>
            <w:noProof/>
            <w:webHidden/>
          </w:rPr>
        </w:r>
        <w:r>
          <w:rPr>
            <w:noProof/>
            <w:webHidden/>
          </w:rPr>
          <w:fldChar w:fldCharType="separate"/>
        </w:r>
        <w:r w:rsidR="00807B84">
          <w:rPr>
            <w:noProof/>
            <w:webHidden/>
          </w:rPr>
          <w:t>15</w:t>
        </w:r>
        <w:r>
          <w:rPr>
            <w:noProof/>
            <w:webHidden/>
          </w:rPr>
          <w:fldChar w:fldCharType="end"/>
        </w:r>
      </w:hyperlink>
    </w:p>
    <w:p w:rsidR="00962BCA" w:rsidRDefault="00962BCA">
      <w:pPr>
        <w:pStyle w:val="TOC3"/>
        <w:tabs>
          <w:tab w:val="left" w:pos="2160"/>
        </w:tabs>
        <w:rPr>
          <w:rFonts w:asciiTheme="minorHAnsi" w:eastAsiaTheme="minorEastAsia" w:hAnsiTheme="minorHAnsi" w:cstheme="minorBidi"/>
          <w:noProof/>
          <w:sz w:val="22"/>
        </w:rPr>
      </w:pPr>
      <w:hyperlink w:anchor="_Toc370912417" w:history="1">
        <w:r w:rsidRPr="00607096">
          <w:rPr>
            <w:rStyle w:val="Hyperlink"/>
            <w:rFonts w:eastAsiaTheme="majorEastAsia"/>
            <w:noProof/>
          </w:rPr>
          <w:t>1.</w:t>
        </w:r>
        <w:r>
          <w:rPr>
            <w:rFonts w:asciiTheme="minorHAnsi" w:eastAsiaTheme="minorEastAsia" w:hAnsiTheme="minorHAnsi" w:cstheme="minorBidi"/>
            <w:noProof/>
            <w:sz w:val="22"/>
          </w:rPr>
          <w:tab/>
        </w:r>
        <w:r w:rsidRPr="00607096">
          <w:rPr>
            <w:rStyle w:val="Hyperlink"/>
            <w:rFonts w:eastAsiaTheme="majorEastAsia"/>
            <w:noProof/>
          </w:rPr>
          <w:t>Increase the Program Pace for completion in 10 rather than 15 Years</w:t>
        </w:r>
        <w:r>
          <w:rPr>
            <w:noProof/>
            <w:webHidden/>
          </w:rPr>
          <w:tab/>
        </w:r>
        <w:r>
          <w:rPr>
            <w:noProof/>
            <w:webHidden/>
          </w:rPr>
          <w:fldChar w:fldCharType="begin"/>
        </w:r>
        <w:r>
          <w:rPr>
            <w:noProof/>
            <w:webHidden/>
          </w:rPr>
          <w:instrText xml:space="preserve"> PAGEREF _Toc370912417 \h </w:instrText>
        </w:r>
        <w:r>
          <w:rPr>
            <w:noProof/>
            <w:webHidden/>
          </w:rPr>
        </w:r>
        <w:r>
          <w:rPr>
            <w:noProof/>
            <w:webHidden/>
          </w:rPr>
          <w:fldChar w:fldCharType="separate"/>
        </w:r>
        <w:r w:rsidR="00807B84">
          <w:rPr>
            <w:noProof/>
            <w:webHidden/>
          </w:rPr>
          <w:t>15</w:t>
        </w:r>
        <w:r>
          <w:rPr>
            <w:noProof/>
            <w:webHidden/>
          </w:rPr>
          <w:fldChar w:fldCharType="end"/>
        </w:r>
      </w:hyperlink>
    </w:p>
    <w:p w:rsidR="00962BCA" w:rsidRDefault="00962BCA">
      <w:pPr>
        <w:pStyle w:val="TOC2"/>
        <w:tabs>
          <w:tab w:val="left" w:pos="1440"/>
        </w:tabs>
        <w:rPr>
          <w:rFonts w:asciiTheme="minorHAnsi" w:eastAsiaTheme="minorEastAsia" w:hAnsiTheme="minorHAnsi" w:cstheme="minorBidi"/>
          <w:noProof/>
          <w:sz w:val="22"/>
        </w:rPr>
      </w:pPr>
      <w:hyperlink w:anchor="_Toc370912418" w:history="1">
        <w:r w:rsidRPr="00607096">
          <w:rPr>
            <w:rStyle w:val="Hyperlink"/>
            <w:rFonts w:eastAsiaTheme="majorEastAsia"/>
            <w:noProof/>
          </w:rPr>
          <w:t>C.</w:t>
        </w:r>
        <w:r>
          <w:rPr>
            <w:rFonts w:asciiTheme="minorHAnsi" w:eastAsiaTheme="minorEastAsia" w:hAnsiTheme="minorHAnsi" w:cstheme="minorBidi"/>
            <w:noProof/>
            <w:sz w:val="22"/>
          </w:rPr>
          <w:tab/>
        </w:r>
        <w:r w:rsidRPr="00607096">
          <w:rPr>
            <w:rStyle w:val="Hyperlink"/>
            <w:rFonts w:eastAsiaTheme="majorEastAsia"/>
            <w:noProof/>
          </w:rPr>
          <w:t>Other Proposals</w:t>
        </w:r>
        <w:r>
          <w:rPr>
            <w:noProof/>
            <w:webHidden/>
          </w:rPr>
          <w:tab/>
        </w:r>
        <w:r>
          <w:rPr>
            <w:noProof/>
            <w:webHidden/>
          </w:rPr>
          <w:fldChar w:fldCharType="begin"/>
        </w:r>
        <w:r>
          <w:rPr>
            <w:noProof/>
            <w:webHidden/>
          </w:rPr>
          <w:instrText xml:space="preserve"> PAGEREF _Toc370912418 \h </w:instrText>
        </w:r>
        <w:r>
          <w:rPr>
            <w:noProof/>
            <w:webHidden/>
          </w:rPr>
        </w:r>
        <w:r>
          <w:rPr>
            <w:noProof/>
            <w:webHidden/>
          </w:rPr>
          <w:fldChar w:fldCharType="separate"/>
        </w:r>
        <w:r w:rsidR="00807B84">
          <w:rPr>
            <w:noProof/>
            <w:webHidden/>
          </w:rPr>
          <w:t>16</w:t>
        </w:r>
        <w:r>
          <w:rPr>
            <w:noProof/>
            <w:webHidden/>
          </w:rPr>
          <w:fldChar w:fldCharType="end"/>
        </w:r>
      </w:hyperlink>
    </w:p>
    <w:p w:rsidR="00962BCA" w:rsidRDefault="00962BCA">
      <w:pPr>
        <w:pStyle w:val="TOC3"/>
        <w:tabs>
          <w:tab w:val="left" w:pos="2160"/>
        </w:tabs>
        <w:rPr>
          <w:rFonts w:asciiTheme="minorHAnsi" w:eastAsiaTheme="minorEastAsia" w:hAnsiTheme="minorHAnsi" w:cstheme="minorBidi"/>
          <w:noProof/>
          <w:sz w:val="22"/>
        </w:rPr>
      </w:pPr>
      <w:hyperlink w:anchor="_Toc370912419" w:history="1">
        <w:r w:rsidRPr="00607096">
          <w:rPr>
            <w:rStyle w:val="Hyperlink"/>
            <w:rFonts w:eastAsiaTheme="majorEastAsia"/>
            <w:noProof/>
          </w:rPr>
          <w:t>1.</w:t>
        </w:r>
        <w:r>
          <w:rPr>
            <w:rFonts w:asciiTheme="minorHAnsi" w:eastAsiaTheme="minorEastAsia" w:hAnsiTheme="minorHAnsi" w:cstheme="minorBidi"/>
            <w:noProof/>
            <w:sz w:val="22"/>
          </w:rPr>
          <w:tab/>
        </w:r>
        <w:r w:rsidRPr="00607096">
          <w:rPr>
            <w:rStyle w:val="Hyperlink"/>
            <w:rFonts w:eastAsiaTheme="majorEastAsia"/>
            <w:noProof/>
          </w:rPr>
          <w:t>Recovery of All Service Line Replacement Costs through the DRR</w:t>
        </w:r>
        <w:r>
          <w:rPr>
            <w:noProof/>
            <w:webHidden/>
          </w:rPr>
          <w:tab/>
        </w:r>
        <w:r>
          <w:rPr>
            <w:noProof/>
            <w:webHidden/>
          </w:rPr>
          <w:fldChar w:fldCharType="begin"/>
        </w:r>
        <w:r>
          <w:rPr>
            <w:noProof/>
            <w:webHidden/>
          </w:rPr>
          <w:instrText xml:space="preserve"> PAGEREF _Toc370912419 \h </w:instrText>
        </w:r>
        <w:r>
          <w:rPr>
            <w:noProof/>
            <w:webHidden/>
          </w:rPr>
        </w:r>
        <w:r>
          <w:rPr>
            <w:noProof/>
            <w:webHidden/>
          </w:rPr>
          <w:fldChar w:fldCharType="separate"/>
        </w:r>
        <w:r w:rsidR="00807B84">
          <w:rPr>
            <w:noProof/>
            <w:webHidden/>
          </w:rPr>
          <w:t>16</w:t>
        </w:r>
        <w:r>
          <w:rPr>
            <w:noProof/>
            <w:webHidden/>
          </w:rPr>
          <w:fldChar w:fldCharType="end"/>
        </w:r>
      </w:hyperlink>
    </w:p>
    <w:p w:rsidR="00962BCA" w:rsidRDefault="00962BCA">
      <w:pPr>
        <w:pStyle w:val="TOC3"/>
        <w:tabs>
          <w:tab w:val="left" w:pos="2160"/>
        </w:tabs>
        <w:rPr>
          <w:rFonts w:asciiTheme="minorHAnsi" w:eastAsiaTheme="minorEastAsia" w:hAnsiTheme="minorHAnsi" w:cstheme="minorBidi"/>
          <w:noProof/>
          <w:sz w:val="22"/>
        </w:rPr>
      </w:pPr>
      <w:hyperlink w:anchor="_Toc370912420" w:history="1">
        <w:r w:rsidRPr="00607096">
          <w:rPr>
            <w:rStyle w:val="Hyperlink"/>
            <w:rFonts w:eastAsiaTheme="majorEastAsia"/>
            <w:noProof/>
          </w:rPr>
          <w:t>2.</w:t>
        </w:r>
        <w:r>
          <w:rPr>
            <w:rFonts w:asciiTheme="minorHAnsi" w:eastAsiaTheme="minorEastAsia" w:hAnsiTheme="minorHAnsi" w:cstheme="minorBidi"/>
            <w:noProof/>
            <w:sz w:val="22"/>
          </w:rPr>
          <w:tab/>
        </w:r>
        <w:r w:rsidRPr="00607096">
          <w:rPr>
            <w:rStyle w:val="Hyperlink"/>
            <w:rFonts w:eastAsiaTheme="majorEastAsia"/>
            <w:noProof/>
          </w:rPr>
          <w:t>Changes to the O&amp;M Savings Calculation</w:t>
        </w:r>
        <w:r>
          <w:rPr>
            <w:noProof/>
            <w:webHidden/>
          </w:rPr>
          <w:tab/>
        </w:r>
        <w:r>
          <w:rPr>
            <w:noProof/>
            <w:webHidden/>
          </w:rPr>
          <w:fldChar w:fldCharType="begin"/>
        </w:r>
        <w:r>
          <w:rPr>
            <w:noProof/>
            <w:webHidden/>
          </w:rPr>
          <w:instrText xml:space="preserve"> PAGEREF _Toc370912420 \h </w:instrText>
        </w:r>
        <w:r>
          <w:rPr>
            <w:noProof/>
            <w:webHidden/>
          </w:rPr>
        </w:r>
        <w:r>
          <w:rPr>
            <w:noProof/>
            <w:webHidden/>
          </w:rPr>
          <w:fldChar w:fldCharType="separate"/>
        </w:r>
        <w:r w:rsidR="00807B84">
          <w:rPr>
            <w:noProof/>
            <w:webHidden/>
          </w:rPr>
          <w:t>17</w:t>
        </w:r>
        <w:r>
          <w:rPr>
            <w:noProof/>
            <w:webHidden/>
          </w:rPr>
          <w:fldChar w:fldCharType="end"/>
        </w:r>
      </w:hyperlink>
    </w:p>
    <w:p w:rsidR="00962BCA" w:rsidRDefault="00962BCA">
      <w:pPr>
        <w:pStyle w:val="TOC3"/>
        <w:tabs>
          <w:tab w:val="left" w:pos="2160"/>
        </w:tabs>
        <w:rPr>
          <w:rFonts w:asciiTheme="minorHAnsi" w:eastAsiaTheme="minorEastAsia" w:hAnsiTheme="minorHAnsi" w:cstheme="minorBidi"/>
          <w:noProof/>
          <w:sz w:val="22"/>
        </w:rPr>
      </w:pPr>
      <w:hyperlink w:anchor="_Toc370912421" w:history="1">
        <w:r w:rsidRPr="00607096">
          <w:rPr>
            <w:rStyle w:val="Hyperlink"/>
            <w:rFonts w:eastAsiaTheme="majorEastAsia"/>
            <w:noProof/>
          </w:rPr>
          <w:t>3.</w:t>
        </w:r>
        <w:r>
          <w:rPr>
            <w:rFonts w:asciiTheme="minorHAnsi" w:eastAsiaTheme="minorEastAsia" w:hAnsiTheme="minorHAnsi" w:cstheme="minorBidi"/>
            <w:noProof/>
            <w:sz w:val="22"/>
          </w:rPr>
          <w:tab/>
        </w:r>
        <w:r w:rsidRPr="00607096">
          <w:rPr>
            <w:rStyle w:val="Hyperlink"/>
            <w:rFonts w:eastAsiaTheme="majorEastAsia"/>
            <w:noProof/>
          </w:rPr>
          <w:t>Carry-Over of DRR Costs Above Annual Cap for Recovery in Future Years</w:t>
        </w:r>
        <w:r>
          <w:rPr>
            <w:noProof/>
            <w:webHidden/>
          </w:rPr>
          <w:tab/>
        </w:r>
        <w:r>
          <w:rPr>
            <w:noProof/>
            <w:webHidden/>
          </w:rPr>
          <w:fldChar w:fldCharType="begin"/>
        </w:r>
        <w:r>
          <w:rPr>
            <w:noProof/>
            <w:webHidden/>
          </w:rPr>
          <w:instrText xml:space="preserve"> PAGEREF _Toc370912421 \h </w:instrText>
        </w:r>
        <w:r>
          <w:rPr>
            <w:noProof/>
            <w:webHidden/>
          </w:rPr>
        </w:r>
        <w:r>
          <w:rPr>
            <w:noProof/>
            <w:webHidden/>
          </w:rPr>
          <w:fldChar w:fldCharType="separate"/>
        </w:r>
        <w:r w:rsidR="00807B84">
          <w:rPr>
            <w:noProof/>
            <w:webHidden/>
          </w:rPr>
          <w:t>19</w:t>
        </w:r>
        <w:r>
          <w:rPr>
            <w:noProof/>
            <w:webHidden/>
          </w:rPr>
          <w:fldChar w:fldCharType="end"/>
        </w:r>
      </w:hyperlink>
    </w:p>
    <w:p w:rsidR="00962BCA" w:rsidRDefault="00962BCA">
      <w:pPr>
        <w:pStyle w:val="TOC3"/>
        <w:tabs>
          <w:tab w:val="left" w:pos="2160"/>
        </w:tabs>
        <w:rPr>
          <w:rFonts w:asciiTheme="minorHAnsi" w:eastAsiaTheme="minorEastAsia" w:hAnsiTheme="minorHAnsi" w:cstheme="minorBidi"/>
          <w:noProof/>
          <w:sz w:val="22"/>
        </w:rPr>
      </w:pPr>
      <w:hyperlink w:anchor="_Toc370912422" w:history="1">
        <w:r w:rsidRPr="00607096">
          <w:rPr>
            <w:rStyle w:val="Hyperlink"/>
            <w:rFonts w:eastAsiaTheme="majorEastAsia"/>
            <w:noProof/>
          </w:rPr>
          <w:t>4.</w:t>
        </w:r>
        <w:r>
          <w:rPr>
            <w:rFonts w:asciiTheme="minorHAnsi" w:eastAsiaTheme="minorEastAsia" w:hAnsiTheme="minorHAnsi" w:cstheme="minorBidi"/>
            <w:noProof/>
            <w:sz w:val="22"/>
          </w:rPr>
          <w:tab/>
        </w:r>
        <w:r w:rsidRPr="00607096">
          <w:rPr>
            <w:rStyle w:val="Hyperlink"/>
            <w:rFonts w:eastAsiaTheme="majorEastAsia"/>
            <w:noProof/>
          </w:rPr>
          <w:t>Eliminating the Variance Calculation from the Revenue Requirement Calculation</w:t>
        </w:r>
        <w:r>
          <w:rPr>
            <w:noProof/>
            <w:webHidden/>
          </w:rPr>
          <w:tab/>
        </w:r>
        <w:r>
          <w:rPr>
            <w:noProof/>
            <w:webHidden/>
          </w:rPr>
          <w:fldChar w:fldCharType="begin"/>
        </w:r>
        <w:r>
          <w:rPr>
            <w:noProof/>
            <w:webHidden/>
          </w:rPr>
          <w:instrText xml:space="preserve"> PAGEREF _Toc370912422 \h </w:instrText>
        </w:r>
        <w:r>
          <w:rPr>
            <w:noProof/>
            <w:webHidden/>
          </w:rPr>
        </w:r>
        <w:r>
          <w:rPr>
            <w:noProof/>
            <w:webHidden/>
          </w:rPr>
          <w:fldChar w:fldCharType="separate"/>
        </w:r>
        <w:r w:rsidR="00807B84">
          <w:rPr>
            <w:noProof/>
            <w:webHidden/>
          </w:rPr>
          <w:t>20</w:t>
        </w:r>
        <w:r>
          <w:rPr>
            <w:noProof/>
            <w:webHidden/>
          </w:rPr>
          <w:fldChar w:fldCharType="end"/>
        </w:r>
      </w:hyperlink>
    </w:p>
    <w:p w:rsidR="00962BCA" w:rsidRDefault="00962BCA">
      <w:pPr>
        <w:pStyle w:val="TOC3"/>
        <w:tabs>
          <w:tab w:val="left" w:pos="2160"/>
        </w:tabs>
        <w:rPr>
          <w:rFonts w:asciiTheme="minorHAnsi" w:eastAsiaTheme="minorEastAsia" w:hAnsiTheme="minorHAnsi" w:cstheme="minorBidi"/>
          <w:noProof/>
          <w:sz w:val="22"/>
        </w:rPr>
      </w:pPr>
      <w:hyperlink w:anchor="_Toc370912423" w:history="1">
        <w:r w:rsidRPr="00607096">
          <w:rPr>
            <w:rStyle w:val="Hyperlink"/>
            <w:rFonts w:eastAsiaTheme="majorEastAsia"/>
            <w:noProof/>
          </w:rPr>
          <w:t>5.</w:t>
        </w:r>
        <w:r>
          <w:rPr>
            <w:rFonts w:asciiTheme="minorHAnsi" w:eastAsiaTheme="minorEastAsia" w:hAnsiTheme="minorHAnsi" w:cstheme="minorBidi"/>
            <w:noProof/>
            <w:sz w:val="22"/>
          </w:rPr>
          <w:tab/>
        </w:r>
        <w:r w:rsidRPr="00607096">
          <w:rPr>
            <w:rStyle w:val="Hyperlink"/>
            <w:rFonts w:eastAsiaTheme="majorEastAsia"/>
            <w:noProof/>
          </w:rPr>
          <w:t>Annual Increases to the DRR Rate Cap</w:t>
        </w:r>
        <w:r>
          <w:rPr>
            <w:noProof/>
            <w:webHidden/>
          </w:rPr>
          <w:tab/>
        </w:r>
        <w:r>
          <w:rPr>
            <w:noProof/>
            <w:webHidden/>
          </w:rPr>
          <w:fldChar w:fldCharType="begin"/>
        </w:r>
        <w:r>
          <w:rPr>
            <w:noProof/>
            <w:webHidden/>
          </w:rPr>
          <w:instrText xml:space="preserve"> PAGEREF _Toc370912423 \h </w:instrText>
        </w:r>
        <w:r>
          <w:rPr>
            <w:noProof/>
            <w:webHidden/>
          </w:rPr>
        </w:r>
        <w:r>
          <w:rPr>
            <w:noProof/>
            <w:webHidden/>
          </w:rPr>
          <w:fldChar w:fldCharType="separate"/>
        </w:r>
        <w:r w:rsidR="00807B84">
          <w:rPr>
            <w:noProof/>
            <w:webHidden/>
          </w:rPr>
          <w:t>21</w:t>
        </w:r>
        <w:r>
          <w:rPr>
            <w:noProof/>
            <w:webHidden/>
          </w:rPr>
          <w:fldChar w:fldCharType="end"/>
        </w:r>
      </w:hyperlink>
    </w:p>
    <w:p w:rsidR="00962BCA" w:rsidRDefault="00962BCA">
      <w:pPr>
        <w:pStyle w:val="TOC3"/>
        <w:tabs>
          <w:tab w:val="left" w:pos="2160"/>
        </w:tabs>
        <w:rPr>
          <w:rFonts w:asciiTheme="minorHAnsi" w:eastAsiaTheme="minorEastAsia" w:hAnsiTheme="minorHAnsi" w:cstheme="minorBidi"/>
          <w:noProof/>
          <w:sz w:val="22"/>
        </w:rPr>
      </w:pPr>
      <w:hyperlink w:anchor="_Toc370912424" w:history="1">
        <w:r w:rsidRPr="00607096">
          <w:rPr>
            <w:rStyle w:val="Hyperlink"/>
            <w:rFonts w:eastAsiaTheme="majorEastAsia"/>
            <w:noProof/>
          </w:rPr>
          <w:t>6.</w:t>
        </w:r>
        <w:r>
          <w:rPr>
            <w:rFonts w:asciiTheme="minorHAnsi" w:eastAsiaTheme="minorEastAsia" w:hAnsiTheme="minorHAnsi" w:cstheme="minorBidi"/>
            <w:noProof/>
            <w:sz w:val="22"/>
          </w:rPr>
          <w:tab/>
        </w:r>
        <w:r w:rsidRPr="00607096">
          <w:rPr>
            <w:rStyle w:val="Hyperlink"/>
            <w:rFonts w:eastAsiaTheme="majorEastAsia"/>
            <w:noProof/>
          </w:rPr>
          <w:t>Retaining Existing DRR Processes Except as Altered</w:t>
        </w:r>
        <w:r>
          <w:rPr>
            <w:noProof/>
            <w:webHidden/>
          </w:rPr>
          <w:tab/>
        </w:r>
        <w:r>
          <w:rPr>
            <w:noProof/>
            <w:webHidden/>
          </w:rPr>
          <w:fldChar w:fldCharType="begin"/>
        </w:r>
        <w:r>
          <w:rPr>
            <w:noProof/>
            <w:webHidden/>
          </w:rPr>
          <w:instrText xml:space="preserve"> PAGEREF _Toc370912424 \h </w:instrText>
        </w:r>
        <w:r>
          <w:rPr>
            <w:noProof/>
            <w:webHidden/>
          </w:rPr>
        </w:r>
        <w:r>
          <w:rPr>
            <w:noProof/>
            <w:webHidden/>
          </w:rPr>
          <w:fldChar w:fldCharType="separate"/>
        </w:r>
        <w:r w:rsidR="00807B84">
          <w:rPr>
            <w:noProof/>
            <w:webHidden/>
          </w:rPr>
          <w:t>21</w:t>
        </w:r>
        <w:r>
          <w:rPr>
            <w:noProof/>
            <w:webHidden/>
          </w:rPr>
          <w:fldChar w:fldCharType="end"/>
        </w:r>
      </w:hyperlink>
    </w:p>
    <w:p w:rsidR="00962BCA" w:rsidRDefault="00962BCA">
      <w:pPr>
        <w:pStyle w:val="TOC1"/>
        <w:rPr>
          <w:rFonts w:asciiTheme="minorHAnsi" w:eastAsiaTheme="minorEastAsia" w:hAnsiTheme="minorHAnsi" w:cstheme="minorBidi"/>
          <w:noProof/>
          <w:sz w:val="22"/>
        </w:rPr>
      </w:pPr>
      <w:hyperlink w:anchor="_Toc370912425" w:history="1">
        <w:r w:rsidRPr="00607096">
          <w:rPr>
            <w:rStyle w:val="Hyperlink"/>
            <w:rFonts w:eastAsiaTheme="majorEastAsia"/>
            <w:noProof/>
          </w:rPr>
          <w:t>RECOMMENDATIONS TO THE COMMISSION</w:t>
        </w:r>
        <w:r>
          <w:rPr>
            <w:noProof/>
            <w:webHidden/>
          </w:rPr>
          <w:tab/>
        </w:r>
        <w:r>
          <w:rPr>
            <w:noProof/>
            <w:webHidden/>
          </w:rPr>
          <w:fldChar w:fldCharType="begin"/>
        </w:r>
        <w:r>
          <w:rPr>
            <w:noProof/>
            <w:webHidden/>
          </w:rPr>
          <w:instrText xml:space="preserve"> PAGEREF _Toc370912425 \h </w:instrText>
        </w:r>
        <w:r>
          <w:rPr>
            <w:noProof/>
            <w:webHidden/>
          </w:rPr>
        </w:r>
        <w:r>
          <w:rPr>
            <w:noProof/>
            <w:webHidden/>
          </w:rPr>
          <w:fldChar w:fldCharType="separate"/>
        </w:r>
        <w:r w:rsidR="00807B84">
          <w:rPr>
            <w:noProof/>
            <w:webHidden/>
          </w:rPr>
          <w:t>22</w:t>
        </w:r>
        <w:r>
          <w:rPr>
            <w:noProof/>
            <w:webHidden/>
          </w:rPr>
          <w:fldChar w:fldCharType="end"/>
        </w:r>
      </w:hyperlink>
    </w:p>
    <w:p w:rsidR="00962BCA" w:rsidRDefault="00962BCA">
      <w:pPr>
        <w:pStyle w:val="TOC1"/>
        <w:rPr>
          <w:rFonts w:asciiTheme="minorHAnsi" w:eastAsiaTheme="minorEastAsia" w:hAnsiTheme="minorHAnsi" w:cstheme="minorBidi"/>
          <w:noProof/>
          <w:sz w:val="22"/>
        </w:rPr>
      </w:pPr>
      <w:hyperlink w:anchor="_Toc370912426" w:history="1">
        <w:r w:rsidRPr="00607096">
          <w:rPr>
            <w:rStyle w:val="Hyperlink"/>
            <w:rFonts w:eastAsiaTheme="majorEastAsia"/>
            <w:noProof/>
          </w:rPr>
          <w:t>CERTIFICATE OF SERVICE</w:t>
        </w:r>
        <w:r>
          <w:rPr>
            <w:noProof/>
            <w:webHidden/>
          </w:rPr>
          <w:tab/>
        </w:r>
        <w:r>
          <w:rPr>
            <w:noProof/>
            <w:webHidden/>
          </w:rPr>
          <w:fldChar w:fldCharType="begin"/>
        </w:r>
        <w:r>
          <w:rPr>
            <w:noProof/>
            <w:webHidden/>
          </w:rPr>
          <w:instrText xml:space="preserve"> PAGEREF _Toc370912426 \h </w:instrText>
        </w:r>
        <w:r>
          <w:rPr>
            <w:noProof/>
            <w:webHidden/>
          </w:rPr>
        </w:r>
        <w:r>
          <w:rPr>
            <w:noProof/>
            <w:webHidden/>
          </w:rPr>
          <w:fldChar w:fldCharType="separate"/>
        </w:r>
        <w:r w:rsidR="00807B84">
          <w:rPr>
            <w:noProof/>
            <w:webHidden/>
          </w:rPr>
          <w:t>23</w:t>
        </w:r>
        <w:r>
          <w:rPr>
            <w:noProof/>
            <w:webHidden/>
          </w:rPr>
          <w:fldChar w:fldCharType="end"/>
        </w:r>
      </w:hyperlink>
    </w:p>
    <w:p w:rsidR="00DE6036" w:rsidRDefault="004B2FDC" w:rsidP="00544DC7">
      <w:pPr>
        <w:pStyle w:val="NoSpacing"/>
        <w:jc w:val="center"/>
        <w:rPr>
          <w:rFonts w:ascii="Times New Roman" w:hAnsi="Times New Roman" w:cs="Times New Roman"/>
          <w:sz w:val="28"/>
          <w:szCs w:val="28"/>
        </w:rPr>
        <w:sectPr w:rsidR="00DE6036" w:rsidSect="00962BCA">
          <w:headerReference w:type="default" r:id="rId12"/>
          <w:footerReference w:type="default" r:id="rId13"/>
          <w:headerReference w:type="first" r:id="rId14"/>
          <w:footerReference w:type="first" r:id="rId15"/>
          <w:pgSz w:w="12240" w:h="15840"/>
          <w:pgMar w:top="1080" w:right="1440" w:bottom="720" w:left="1440" w:header="720" w:footer="720" w:gutter="0"/>
          <w:pgNumType w:fmt="lowerRoman" w:start="1"/>
          <w:cols w:space="720"/>
          <w:titlePg/>
          <w:docGrid w:linePitch="360"/>
        </w:sectPr>
      </w:pPr>
      <w:r w:rsidRPr="00CB2457">
        <w:rPr>
          <w:rFonts w:ascii="Times New Roman" w:hAnsi="Times New Roman" w:cs="Times New Roman"/>
          <w:sz w:val="26"/>
          <w:szCs w:val="26"/>
        </w:rPr>
        <w:fldChar w:fldCharType="end"/>
      </w:r>
    </w:p>
    <w:p w:rsidR="00CC6214" w:rsidRPr="00CC6214" w:rsidRDefault="00CC6214" w:rsidP="00CC6214">
      <w:pPr>
        <w:spacing w:after="0" w:line="240" w:lineRule="auto"/>
        <w:jc w:val="center"/>
        <w:rPr>
          <w:rFonts w:ascii="Times New Roman" w:eastAsia="Calibri" w:hAnsi="Times New Roman"/>
          <w:b/>
          <w:sz w:val="26"/>
          <w:szCs w:val="26"/>
        </w:rPr>
      </w:pPr>
      <w:r w:rsidRPr="00CC6214">
        <w:rPr>
          <w:rFonts w:ascii="Times New Roman" w:eastAsia="Calibri" w:hAnsi="Times New Roman"/>
          <w:b/>
          <w:sz w:val="26"/>
          <w:szCs w:val="26"/>
        </w:rPr>
        <w:lastRenderedPageBreak/>
        <w:t>BEFORE</w:t>
      </w:r>
    </w:p>
    <w:p w:rsidR="00CC6214" w:rsidRPr="00CC6214" w:rsidRDefault="00CC6214" w:rsidP="00CC6214">
      <w:pPr>
        <w:spacing w:after="0" w:line="240" w:lineRule="auto"/>
        <w:jc w:val="center"/>
        <w:rPr>
          <w:rFonts w:ascii="Times New Roman" w:eastAsia="Calibri" w:hAnsi="Times New Roman"/>
          <w:b/>
          <w:sz w:val="26"/>
          <w:szCs w:val="26"/>
        </w:rPr>
      </w:pPr>
      <w:r w:rsidRPr="00CC6214">
        <w:rPr>
          <w:rFonts w:ascii="Times New Roman" w:eastAsia="Calibri" w:hAnsi="Times New Roman"/>
          <w:b/>
          <w:sz w:val="26"/>
          <w:szCs w:val="26"/>
        </w:rPr>
        <w:t>THE PUBLIC UTILITIES COMMISSION OF OHIO</w:t>
      </w:r>
    </w:p>
    <w:p w:rsidR="00CC6214" w:rsidRPr="00CC6214" w:rsidRDefault="00CC6214" w:rsidP="00CC6214">
      <w:pPr>
        <w:rPr>
          <w:rFonts w:ascii="Times New Roman" w:eastAsia="Calibri" w:hAnsi="Times New Roman"/>
          <w:sz w:val="26"/>
          <w:szCs w:val="26"/>
        </w:rPr>
      </w:pPr>
    </w:p>
    <w:tbl>
      <w:tblPr>
        <w:tblW w:w="8762" w:type="dxa"/>
        <w:tblLook w:val="04A0" w:firstRow="1" w:lastRow="0" w:firstColumn="1" w:lastColumn="0" w:noHBand="0" w:noVBand="1"/>
      </w:tblPr>
      <w:tblGrid>
        <w:gridCol w:w="4518"/>
        <w:gridCol w:w="360"/>
        <w:gridCol w:w="3884"/>
      </w:tblGrid>
      <w:tr w:rsidR="00CC6214" w:rsidRPr="00CC6214" w:rsidTr="00EA76DC">
        <w:tc>
          <w:tcPr>
            <w:tcW w:w="4518" w:type="dxa"/>
            <w:shd w:val="clear" w:color="auto" w:fill="auto"/>
          </w:tcPr>
          <w:p w:rsidR="00CC6214" w:rsidRPr="00CC6214" w:rsidRDefault="00CC6214" w:rsidP="00EA76DC">
            <w:pPr>
              <w:spacing w:after="0" w:line="240" w:lineRule="auto"/>
              <w:rPr>
                <w:rFonts w:ascii="Times New Roman" w:eastAsia="Calibri" w:hAnsi="Times New Roman"/>
                <w:sz w:val="26"/>
                <w:szCs w:val="26"/>
              </w:rPr>
            </w:pPr>
            <w:r w:rsidRPr="00CC6214">
              <w:rPr>
                <w:rFonts w:ascii="Times New Roman" w:eastAsia="Calibri" w:hAnsi="Times New Roman"/>
                <w:sz w:val="26"/>
                <w:szCs w:val="26"/>
              </w:rPr>
              <w:t xml:space="preserve">In the Matter of the Application of Vectren Energy Delivery of Ohio, Inc. </w:t>
            </w:r>
            <w:r>
              <w:rPr>
                <w:rFonts w:ascii="Times New Roman" w:eastAsia="Calibri" w:hAnsi="Times New Roman"/>
                <w:sz w:val="26"/>
                <w:szCs w:val="26"/>
              </w:rPr>
              <w:t>for</w:t>
            </w:r>
            <w:r w:rsidRPr="00CC6214">
              <w:rPr>
                <w:rFonts w:ascii="Times New Roman" w:eastAsia="Calibri" w:hAnsi="Times New Roman"/>
                <w:sz w:val="26"/>
                <w:szCs w:val="26"/>
              </w:rPr>
              <w:t xml:space="preserve"> </w:t>
            </w:r>
            <w:r>
              <w:rPr>
                <w:rFonts w:ascii="Times New Roman" w:eastAsia="Calibri" w:hAnsi="Times New Roman"/>
                <w:sz w:val="26"/>
                <w:szCs w:val="26"/>
              </w:rPr>
              <w:t>Approval of an Alternative Form of Regulation</w:t>
            </w:r>
            <w:r w:rsidRPr="00CC6214">
              <w:rPr>
                <w:rFonts w:ascii="Times New Roman" w:eastAsia="Calibri" w:hAnsi="Times New Roman"/>
                <w:sz w:val="26"/>
                <w:szCs w:val="26"/>
              </w:rPr>
              <w:t>.</w:t>
            </w:r>
          </w:p>
        </w:tc>
        <w:tc>
          <w:tcPr>
            <w:tcW w:w="360" w:type="dxa"/>
          </w:tcPr>
          <w:p w:rsidR="00CC6214" w:rsidRPr="00CC6214" w:rsidRDefault="00CC6214" w:rsidP="00EA76DC">
            <w:pPr>
              <w:spacing w:after="0" w:line="240" w:lineRule="auto"/>
              <w:rPr>
                <w:rFonts w:ascii="Times New Roman" w:eastAsia="Calibri" w:hAnsi="Times New Roman"/>
                <w:sz w:val="26"/>
                <w:szCs w:val="26"/>
              </w:rPr>
            </w:pPr>
            <w:r w:rsidRPr="00CC6214">
              <w:rPr>
                <w:rFonts w:ascii="Times New Roman" w:eastAsia="Calibri" w:hAnsi="Times New Roman"/>
                <w:sz w:val="26"/>
                <w:szCs w:val="26"/>
              </w:rPr>
              <w:t>:</w:t>
            </w:r>
            <w:r w:rsidRPr="00CC6214">
              <w:rPr>
                <w:rFonts w:ascii="Times New Roman" w:eastAsia="Calibri" w:hAnsi="Times New Roman"/>
                <w:sz w:val="26"/>
                <w:szCs w:val="26"/>
              </w:rPr>
              <w:br/>
              <w:t>:</w:t>
            </w:r>
            <w:r w:rsidRPr="00CC6214">
              <w:rPr>
                <w:rFonts w:ascii="Times New Roman" w:eastAsia="Calibri" w:hAnsi="Times New Roman"/>
                <w:sz w:val="26"/>
                <w:szCs w:val="26"/>
              </w:rPr>
              <w:br/>
              <w:t>:</w:t>
            </w:r>
            <w:r w:rsidRPr="00CC6214">
              <w:rPr>
                <w:rFonts w:ascii="Times New Roman" w:eastAsia="Calibri" w:hAnsi="Times New Roman"/>
                <w:sz w:val="26"/>
                <w:szCs w:val="26"/>
              </w:rPr>
              <w:br/>
              <w:t>:</w:t>
            </w:r>
            <w:r w:rsidRPr="00CC6214">
              <w:rPr>
                <w:rFonts w:ascii="Times New Roman" w:eastAsia="Calibri" w:hAnsi="Times New Roman"/>
                <w:sz w:val="26"/>
                <w:szCs w:val="26"/>
              </w:rPr>
              <w:br/>
            </w:r>
          </w:p>
        </w:tc>
        <w:tc>
          <w:tcPr>
            <w:tcW w:w="3884" w:type="dxa"/>
            <w:shd w:val="clear" w:color="auto" w:fill="auto"/>
          </w:tcPr>
          <w:p w:rsidR="00CC6214" w:rsidRPr="00CC6214" w:rsidRDefault="00CC6214" w:rsidP="00EA76DC">
            <w:pPr>
              <w:spacing w:after="0" w:line="240" w:lineRule="auto"/>
              <w:ind w:left="-288"/>
              <w:rPr>
                <w:rFonts w:ascii="Times New Roman" w:eastAsia="Calibri" w:hAnsi="Times New Roman"/>
                <w:sz w:val="26"/>
                <w:szCs w:val="26"/>
              </w:rPr>
            </w:pPr>
          </w:p>
          <w:p w:rsidR="00CC6214" w:rsidRPr="00CC6214" w:rsidRDefault="00CC6214" w:rsidP="00CC6214">
            <w:pPr>
              <w:spacing w:after="0" w:line="240" w:lineRule="auto"/>
              <w:ind w:left="72"/>
              <w:rPr>
                <w:rFonts w:ascii="Times New Roman" w:eastAsia="Calibri" w:hAnsi="Times New Roman"/>
                <w:sz w:val="26"/>
                <w:szCs w:val="26"/>
              </w:rPr>
            </w:pPr>
            <w:r w:rsidRPr="00CC6214">
              <w:rPr>
                <w:rFonts w:ascii="Times New Roman" w:eastAsia="Calibri" w:hAnsi="Times New Roman"/>
                <w:sz w:val="26"/>
                <w:szCs w:val="26"/>
              </w:rPr>
              <w:t>Case No. 13-</w:t>
            </w:r>
            <w:r>
              <w:rPr>
                <w:rFonts w:ascii="Times New Roman" w:eastAsia="Calibri" w:hAnsi="Times New Roman"/>
                <w:sz w:val="26"/>
                <w:szCs w:val="26"/>
              </w:rPr>
              <w:t>1571</w:t>
            </w:r>
            <w:r w:rsidRPr="00CC6214">
              <w:rPr>
                <w:rFonts w:ascii="Times New Roman" w:eastAsia="Calibri" w:hAnsi="Times New Roman"/>
                <w:sz w:val="26"/>
                <w:szCs w:val="26"/>
              </w:rPr>
              <w:t>-GA-</w:t>
            </w:r>
            <w:r>
              <w:rPr>
                <w:rFonts w:ascii="Times New Roman" w:eastAsia="Calibri" w:hAnsi="Times New Roman"/>
                <w:sz w:val="26"/>
                <w:szCs w:val="26"/>
              </w:rPr>
              <w:t>ALT</w:t>
            </w:r>
          </w:p>
        </w:tc>
      </w:tr>
    </w:tbl>
    <w:p w:rsidR="00CC6214" w:rsidRPr="00CC6214" w:rsidRDefault="00CC6214" w:rsidP="00CC6214">
      <w:pPr>
        <w:tabs>
          <w:tab w:val="left" w:pos="9360"/>
        </w:tabs>
        <w:jc w:val="both"/>
        <w:rPr>
          <w:rFonts w:ascii="Times New Roman" w:eastAsia="Calibri" w:hAnsi="Times New Roman"/>
          <w:sz w:val="26"/>
          <w:szCs w:val="26"/>
          <w:u w:val="single"/>
        </w:rPr>
      </w:pPr>
      <w:r w:rsidRPr="00CC6214">
        <w:rPr>
          <w:rFonts w:ascii="Times New Roman" w:eastAsia="Calibri" w:hAnsi="Times New Roman"/>
          <w:sz w:val="26"/>
          <w:szCs w:val="26"/>
          <w:u w:val="single"/>
        </w:rPr>
        <w:tab/>
      </w:r>
    </w:p>
    <w:p w:rsidR="00CC6214" w:rsidRPr="00CC6214" w:rsidRDefault="00CC6214" w:rsidP="00CC6214">
      <w:pPr>
        <w:spacing w:after="0" w:line="240" w:lineRule="auto"/>
        <w:jc w:val="center"/>
        <w:rPr>
          <w:rFonts w:ascii="Times New Roman" w:eastAsia="Calibri" w:hAnsi="Times New Roman"/>
          <w:b/>
          <w:sz w:val="28"/>
          <w:szCs w:val="28"/>
        </w:rPr>
      </w:pPr>
      <w:r w:rsidRPr="00CC6214">
        <w:rPr>
          <w:rFonts w:ascii="Times New Roman" w:eastAsia="Calibri" w:hAnsi="Times New Roman"/>
          <w:b/>
          <w:sz w:val="28"/>
          <w:szCs w:val="28"/>
        </w:rPr>
        <w:t xml:space="preserve">COMMENTS </w:t>
      </w:r>
    </w:p>
    <w:p w:rsidR="00CC6214" w:rsidRPr="00CC6214" w:rsidRDefault="00CC6214" w:rsidP="00CC6214">
      <w:pPr>
        <w:spacing w:after="0" w:line="240" w:lineRule="auto"/>
        <w:jc w:val="center"/>
        <w:rPr>
          <w:rFonts w:ascii="Times New Roman" w:eastAsia="Calibri" w:hAnsi="Times New Roman"/>
          <w:b/>
          <w:sz w:val="26"/>
          <w:szCs w:val="26"/>
        </w:rPr>
      </w:pPr>
      <w:r w:rsidRPr="00CC6214">
        <w:rPr>
          <w:rFonts w:ascii="Times New Roman" w:eastAsia="Calibri" w:hAnsi="Times New Roman"/>
          <w:b/>
          <w:sz w:val="26"/>
          <w:szCs w:val="26"/>
        </w:rPr>
        <w:t>SUBMITTED ON BEHALF OF THE STAFF OF</w:t>
      </w:r>
    </w:p>
    <w:p w:rsidR="00CC6214" w:rsidRPr="00CC6214" w:rsidRDefault="00CC6214" w:rsidP="00CC6214">
      <w:pPr>
        <w:spacing w:after="0" w:line="240" w:lineRule="auto"/>
        <w:jc w:val="center"/>
        <w:rPr>
          <w:rFonts w:ascii="Times New Roman" w:eastAsia="Calibri" w:hAnsi="Times New Roman"/>
          <w:sz w:val="26"/>
          <w:szCs w:val="26"/>
        </w:rPr>
      </w:pPr>
      <w:r w:rsidRPr="00CC6214">
        <w:rPr>
          <w:rFonts w:ascii="Times New Roman" w:eastAsia="Calibri" w:hAnsi="Times New Roman"/>
          <w:b/>
          <w:sz w:val="26"/>
          <w:szCs w:val="26"/>
        </w:rPr>
        <w:t>THE PUBLIC UTILITIES COMMISSION OF OHIO</w:t>
      </w:r>
    </w:p>
    <w:p w:rsidR="00CC6214" w:rsidRPr="00CC6214" w:rsidRDefault="00CC6214" w:rsidP="00CC6214">
      <w:pPr>
        <w:tabs>
          <w:tab w:val="left" w:pos="9360"/>
        </w:tabs>
        <w:jc w:val="both"/>
        <w:rPr>
          <w:rFonts w:ascii="Times New Roman" w:eastAsia="Calibri" w:hAnsi="Times New Roman"/>
          <w:sz w:val="26"/>
          <w:szCs w:val="26"/>
          <w:u w:val="single"/>
        </w:rPr>
      </w:pPr>
      <w:r w:rsidRPr="00CC6214">
        <w:rPr>
          <w:rFonts w:ascii="Times New Roman" w:eastAsia="Calibri" w:hAnsi="Times New Roman"/>
          <w:sz w:val="26"/>
          <w:szCs w:val="26"/>
          <w:u w:val="single"/>
        </w:rPr>
        <w:tab/>
      </w:r>
    </w:p>
    <w:p w:rsidR="00BC28EE" w:rsidRPr="0095004E" w:rsidRDefault="00B0485D" w:rsidP="0095004E">
      <w:pPr>
        <w:pStyle w:val="Heading1"/>
        <w:rPr>
          <w:b w:val="0"/>
        </w:rPr>
      </w:pPr>
      <w:bookmarkStart w:id="0" w:name="_Toc370912406"/>
      <w:r>
        <w:t>INTRODUCTION</w:t>
      </w:r>
      <w:bookmarkEnd w:id="0"/>
    </w:p>
    <w:p w:rsidR="005561EC" w:rsidRPr="0095004E" w:rsidRDefault="005F15EE" w:rsidP="005F15EE">
      <w:pPr>
        <w:pStyle w:val="Textstyle"/>
      </w:pPr>
      <w:r>
        <w:tab/>
      </w:r>
      <w:r w:rsidR="00CF682C">
        <w:t xml:space="preserve">On August 22, 2013, Vectren Energy Delivery of Ohio, Inc. (“VEDO” or “Company”) filed an application in the above captioned case </w:t>
      </w:r>
      <w:r w:rsidR="003F692C">
        <w:t xml:space="preserve">(“Application”) </w:t>
      </w:r>
      <w:r w:rsidR="00CF682C">
        <w:t xml:space="preserve">requesting authority to continue </w:t>
      </w:r>
      <w:r w:rsidR="00615BED">
        <w:t>and modify the Distribution Replacement Rider program (“DRR” or “Program”) that was authorized by the Public Utilities Commission of Ohio (“Commis</w:t>
      </w:r>
      <w:r w:rsidR="007C2F8F">
        <w:softHyphen/>
      </w:r>
      <w:r w:rsidR="00615BED">
        <w:t>sion”) in Case No. 07-1080-GA-AIR</w:t>
      </w:r>
      <w:r w:rsidR="00CF682C">
        <w:t>.</w:t>
      </w:r>
      <w:r w:rsidR="00615BED">
        <w:rPr>
          <w:rStyle w:val="FootnoteReference"/>
        </w:rPr>
        <w:footnoteReference w:id="1"/>
      </w:r>
      <w:r w:rsidR="00CF682C">
        <w:t xml:space="preserve">  </w:t>
      </w:r>
      <w:r w:rsidR="00615BED">
        <w:t xml:space="preserve">The </w:t>
      </w:r>
      <w:r w:rsidR="00EB17FD">
        <w:t xml:space="preserve">purpose of the DRR was to allow VEDO </w:t>
      </w:r>
      <w:r w:rsidR="00EB17FD" w:rsidRPr="005A32F3">
        <w:t>to</w:t>
      </w:r>
      <w:r w:rsidR="00EB17FD">
        <w:t xml:space="preserve"> </w:t>
      </w:r>
      <w:r w:rsidR="00EB17FD" w:rsidRPr="005A32F3">
        <w:t xml:space="preserve">recover a return of and on investments to replace </w:t>
      </w:r>
      <w:r w:rsidR="00154E57">
        <w:t xml:space="preserve">by the end of 2028 </w:t>
      </w:r>
      <w:r w:rsidR="00EB17FD">
        <w:t xml:space="preserve">all </w:t>
      </w:r>
      <w:r w:rsidR="00EB17FD" w:rsidRPr="005A32F3">
        <w:t xml:space="preserve">aging </w:t>
      </w:r>
      <w:r w:rsidR="00EB17FD">
        <w:t xml:space="preserve">bare steel and cast iron (“BS/CI”) </w:t>
      </w:r>
      <w:r w:rsidR="00EB17FD" w:rsidRPr="005A32F3">
        <w:t>natural gas pipeline</w:t>
      </w:r>
      <w:r w:rsidR="00EB17FD">
        <w:t>s</w:t>
      </w:r>
      <w:r w:rsidR="00EB17FD" w:rsidRPr="005A32F3">
        <w:t xml:space="preserve"> </w:t>
      </w:r>
      <w:r w:rsidR="00EB17FD">
        <w:t xml:space="preserve">in its system with lines made from newer materials, </w:t>
      </w:r>
      <w:r w:rsidR="00EB17FD" w:rsidRPr="005A32F3">
        <w:t>recover the costs of assuming ownership and repair of previously customer-owned service lines</w:t>
      </w:r>
      <w:r w:rsidR="00EB17FD">
        <w:t>,</w:t>
      </w:r>
      <w:r w:rsidR="00EB17FD" w:rsidRPr="005A32F3">
        <w:t xml:space="preserve"> and</w:t>
      </w:r>
      <w:r w:rsidR="00AA6BC1">
        <w:t xml:space="preserve"> recover the cost</w:t>
      </w:r>
      <w:r w:rsidR="00615BED">
        <w:t xml:space="preserve"> of </w:t>
      </w:r>
      <w:r w:rsidR="00615BED" w:rsidRPr="005A32F3">
        <w:t>replac</w:t>
      </w:r>
      <w:r w:rsidR="00615BED">
        <w:t>ing</w:t>
      </w:r>
      <w:r w:rsidR="00615BED" w:rsidRPr="005A32F3">
        <w:t xml:space="preserve"> prone-to-fail risers.</w:t>
      </w:r>
      <w:r w:rsidR="00EF4799">
        <w:t xml:space="preserve">  The Commis</w:t>
      </w:r>
      <w:r w:rsidR="007C2F8F">
        <w:softHyphen/>
      </w:r>
      <w:r w:rsidR="00EF4799">
        <w:t xml:space="preserve">sion authorized the DRR Program for an initial five-year period, which is scheduled to </w:t>
      </w:r>
      <w:r w:rsidR="00EF4799">
        <w:lastRenderedPageBreak/>
        <w:t>end on February 22, 2014.</w:t>
      </w:r>
      <w:r w:rsidR="00EF4799">
        <w:rPr>
          <w:rStyle w:val="FootnoteReference"/>
        </w:rPr>
        <w:footnoteReference w:id="2"/>
      </w:r>
      <w:r w:rsidR="00380324">
        <w:t xml:space="preserve">  VEDO indicates that it filed its Application in this case pursu</w:t>
      </w:r>
      <w:r w:rsidR="007C2F8F">
        <w:softHyphen/>
      </w:r>
      <w:r w:rsidR="00380324">
        <w:t xml:space="preserve">ant to R.C. 4929.05, R.C. 4929.051(B), R.C. 4929.11, and R.C. 4909.18, which, among other things, provide </w:t>
      </w:r>
      <w:r w:rsidR="00B95A11">
        <w:t>for utility alternative rate plans, review of alternative rate plan application</w:t>
      </w:r>
      <w:r w:rsidR="003F692C">
        <w:t>s</w:t>
      </w:r>
      <w:r w:rsidR="00B95A11">
        <w:t>, continuation of rate plans, and automatic rate adjustment mechanisms</w:t>
      </w:r>
      <w:r w:rsidR="00774E36">
        <w:t xml:space="preserve">.  </w:t>
      </w:r>
      <w:r w:rsidR="00380324">
        <w:t xml:space="preserve">In its Application, VEDO </w:t>
      </w:r>
      <w:r w:rsidR="007C0DB8">
        <w:t xml:space="preserve">requests authority </w:t>
      </w:r>
      <w:r w:rsidR="00380324">
        <w:t xml:space="preserve">to </w:t>
      </w:r>
      <w:r w:rsidR="007C0DB8">
        <w:t>continue</w:t>
      </w:r>
      <w:r w:rsidR="00380324">
        <w:t xml:space="preserve"> </w:t>
      </w:r>
      <w:r w:rsidR="007C0DB8">
        <w:t>the DRR through calendar year 2017 and proposes certain modifications to the Program</w:t>
      </w:r>
      <w:r w:rsidR="00EB17FD">
        <w:t>, including</w:t>
      </w:r>
      <w:r w:rsidR="00AA6BC1">
        <w:t>:</w:t>
      </w:r>
      <w:r w:rsidR="00EB17FD">
        <w:t xml:space="preserve"> acceleration of pipe</w:t>
      </w:r>
      <w:r w:rsidR="007C2F8F">
        <w:softHyphen/>
      </w:r>
      <w:r w:rsidR="00EB17FD">
        <w:t>line replacement in order to replace all</w:t>
      </w:r>
      <w:r w:rsidR="00AA6BC1">
        <w:t xml:space="preserve"> BS/CI lines by the end of 2023; no longer includ</w:t>
      </w:r>
      <w:r w:rsidR="007C2F8F">
        <w:softHyphen/>
      </w:r>
      <w:r w:rsidR="00AA6BC1">
        <w:t xml:space="preserve">ing the costs to replace prone-to-fail risers, as all such risers have been replaced; </w:t>
      </w:r>
      <w:r w:rsidR="00BA7135">
        <w:t>adding replacement and retirement of ineffectively coated steel infrastructure to the Program scope; adding replacement of obsolete pipe and related appurtenances and vintage plastic pipe when done in conjunction with a BS/CI replacement project to the scope of the Pro</w:t>
      </w:r>
      <w:r w:rsidR="007C2F8F">
        <w:softHyphen/>
      </w:r>
      <w:r w:rsidR="00BA7135">
        <w:t xml:space="preserve">gram; and recovery of the non-reimbursable portion of replacement or relocation project costs incurred as a result of a public works project where a majority of the </w:t>
      </w:r>
      <w:r w:rsidR="00B133F8">
        <w:t>infrastructure replaced is BS/CI.</w:t>
      </w:r>
      <w:r w:rsidR="00B133F8">
        <w:rPr>
          <w:rStyle w:val="FootnoteReference"/>
        </w:rPr>
        <w:footnoteReference w:id="3"/>
      </w:r>
      <w:r w:rsidR="00503FEE">
        <w:t xml:space="preserve">  These Comments</w:t>
      </w:r>
      <w:r w:rsidR="00BA7135">
        <w:t xml:space="preserve"> </w:t>
      </w:r>
      <w:r w:rsidR="00503FEE">
        <w:t xml:space="preserve">summarize the </w:t>
      </w:r>
      <w:r w:rsidR="00503FEE" w:rsidRPr="0095004E">
        <w:t>Commission</w:t>
      </w:r>
      <w:r w:rsidR="00503FEE">
        <w:t xml:space="preserve"> Staff’s </w:t>
      </w:r>
      <w:r w:rsidR="00503FEE" w:rsidRPr="0095004E">
        <w:t xml:space="preserve">(“Staff”) </w:t>
      </w:r>
      <w:r w:rsidR="00503FEE">
        <w:t>review and resulting findings a</w:t>
      </w:r>
      <w:r w:rsidR="00984882">
        <w:t>nd recommendations concerning</w:t>
      </w:r>
      <w:r w:rsidR="00503FEE">
        <w:t xml:space="preserve"> VEDO’s Application and recommendations to modify its DRR Program.  </w:t>
      </w:r>
    </w:p>
    <w:p w:rsidR="00C56593" w:rsidRPr="0095004E" w:rsidRDefault="00B0485D" w:rsidP="0095004E">
      <w:pPr>
        <w:pStyle w:val="Heading1"/>
        <w:rPr>
          <w:b w:val="0"/>
        </w:rPr>
      </w:pPr>
      <w:bookmarkStart w:id="1" w:name="_Toc370912407"/>
      <w:r>
        <w:lastRenderedPageBreak/>
        <w:t>BACKGROUND</w:t>
      </w:r>
      <w:bookmarkEnd w:id="1"/>
    </w:p>
    <w:p w:rsidR="00386684" w:rsidRPr="00386684" w:rsidRDefault="005F15EE" w:rsidP="005F15EE">
      <w:pPr>
        <w:pStyle w:val="Textstyle"/>
      </w:pPr>
      <w:r>
        <w:tab/>
      </w:r>
      <w:r w:rsidR="00386684" w:rsidRPr="00386684">
        <w:t>VEDO is an Ohio Corporation engaged in the business of providing natural gas distribution service to approximately 314,000 customers in west central Ohio.</w:t>
      </w:r>
      <w:r w:rsidR="00386684" w:rsidRPr="00386684">
        <w:rPr>
          <w:vertAlign w:val="superscript"/>
        </w:rPr>
        <w:footnoteReference w:id="4"/>
      </w:r>
      <w:r w:rsidR="00386684" w:rsidRPr="00386684">
        <w:t xml:space="preserve">  It is a pub</w:t>
      </w:r>
      <w:r w:rsidR="00386684" w:rsidRPr="00386684">
        <w:softHyphen/>
        <w:t>lic utility under Sections 4905.02 and 4905.03 of the Ohio Revised Code, and subject to the Commission’s jurisdiction.</w:t>
      </w:r>
      <w:r w:rsidR="00386684">
        <w:t xml:space="preserve">  </w:t>
      </w:r>
      <w:r w:rsidR="00386684" w:rsidRPr="00386684">
        <w:t xml:space="preserve">The Commission’s Opinion and Order in Case No. 07-1080-GA-AIR approved </w:t>
      </w:r>
      <w:r w:rsidR="00386684">
        <w:t>a</w:t>
      </w:r>
      <w:r w:rsidR="00386684" w:rsidRPr="00386684">
        <w:t xml:space="preserve"> Stipulation and Recommendation (</w:t>
      </w:r>
      <w:r w:rsidR="00386684" w:rsidRPr="00774E36">
        <w:rPr>
          <w:i/>
        </w:rPr>
        <w:t>2007 Rate Case</w:t>
      </w:r>
      <w:r w:rsidR="00386684" w:rsidRPr="00386684">
        <w:t xml:space="preserve"> Stipula</w:t>
      </w:r>
      <w:r w:rsidR="00386684" w:rsidRPr="00386684">
        <w:softHyphen/>
        <w:t>tion) and authorized VEDO to establish the DRR for a period of five years or until new rates are approved pursuant to a base or alternative rate case, whichever is less.  The pur</w:t>
      </w:r>
      <w:r w:rsidR="00386684" w:rsidRPr="00386684">
        <w:softHyphen/>
        <w:t>pose of the DRR was to permit VEDO to seek recovery of: (1) the return of and return on</w:t>
      </w:r>
      <w:r w:rsidR="00386684" w:rsidRPr="00386684">
        <w:rPr>
          <w:vertAlign w:val="superscript"/>
        </w:rPr>
        <w:footnoteReference w:id="5"/>
      </w:r>
      <w:r w:rsidR="00386684" w:rsidRPr="00386684">
        <w:t xml:space="preserve"> plant investment, including post-in-service carrying costs (</w:t>
      </w:r>
      <w:r w:rsidR="00774E36">
        <w:t>“</w:t>
      </w:r>
      <w:r w:rsidR="00386684" w:rsidRPr="00386684">
        <w:t>PISCC</w:t>
      </w:r>
      <w:r w:rsidR="00774E36">
        <w:t>”</w:t>
      </w:r>
      <w:r w:rsidR="00386684" w:rsidRPr="00386684">
        <w:t>) and certain incre</w:t>
      </w:r>
      <w:r w:rsidR="00386684" w:rsidRPr="00386684">
        <w:softHyphen/>
        <w:t>mental expenses incurred in implementation of its accelerated bare steel and cast iron mains and service lines replacement program</w:t>
      </w:r>
      <w:r w:rsidR="00FD7F8E">
        <w:t xml:space="preserve"> for replacing approximately 708 miles of BS/CI pipelines over a 20 year period</w:t>
      </w:r>
      <w:r w:rsidR="00386684" w:rsidRPr="00386684">
        <w:t>; (2) deferred expenses associated with the Com</w:t>
      </w:r>
      <w:r w:rsidR="007C2F8F">
        <w:softHyphen/>
      </w:r>
      <w:r w:rsidR="00386684" w:rsidRPr="00386684">
        <w:t>pany’s riser investigation pursuant to Case No. 05-463-GA-COI</w:t>
      </w:r>
      <w:r w:rsidR="00386684" w:rsidRPr="00386684">
        <w:rPr>
          <w:vertAlign w:val="superscript"/>
        </w:rPr>
        <w:footnoteReference w:id="6"/>
      </w:r>
      <w:r w:rsidR="00386684" w:rsidRPr="00386684">
        <w:t>; (3) costs for replace</w:t>
      </w:r>
      <w:r w:rsidR="007C2F8F">
        <w:softHyphen/>
      </w:r>
      <w:r w:rsidR="00386684" w:rsidRPr="00386684">
        <w:t>ment of prone-to-fail risers; (4) incremental costs related to the Company’s assumption of ownership and responsibility for repairing customer service lines; and (5) actual annual Operations and Maintenance (</w:t>
      </w:r>
      <w:r w:rsidR="00774E36">
        <w:t>“</w:t>
      </w:r>
      <w:r w:rsidR="00386684" w:rsidRPr="00386684">
        <w:t>O&amp;M</w:t>
      </w:r>
      <w:r w:rsidR="00774E36">
        <w:t>”</w:t>
      </w:r>
      <w:r w:rsidR="00386684" w:rsidRPr="00386684">
        <w:t xml:space="preserve">) expense savings as an offset to costs otherwise eligible for recovery under the DRR.  </w:t>
      </w:r>
    </w:p>
    <w:p w:rsidR="002F30AF" w:rsidRPr="0095004E" w:rsidRDefault="00386684" w:rsidP="005F15EE">
      <w:pPr>
        <w:pStyle w:val="Textstyle"/>
      </w:pPr>
      <w:r w:rsidRPr="00386684">
        <w:lastRenderedPageBreak/>
        <w:tab/>
        <w:t xml:space="preserve">The </w:t>
      </w:r>
      <w:r w:rsidRPr="00774E36">
        <w:rPr>
          <w:i/>
        </w:rPr>
        <w:t>2007 Rate Case</w:t>
      </w:r>
      <w:r w:rsidRPr="00386684">
        <w:t xml:space="preserve"> Stipulation </w:t>
      </w:r>
      <w:r w:rsidR="003B7C56">
        <w:t>also established</w:t>
      </w:r>
      <w:r w:rsidRPr="00386684">
        <w:t xml:space="preserve"> a</w:t>
      </w:r>
      <w:r w:rsidR="003B7C56">
        <w:t>n annual</w:t>
      </w:r>
      <w:r w:rsidRPr="00386684">
        <w:t xml:space="preserve"> process for </w:t>
      </w:r>
      <w:r w:rsidR="003B7C56">
        <w:t>determining</w:t>
      </w:r>
      <w:r w:rsidRPr="00386684">
        <w:t xml:space="preserve"> the annual DRR rate.  By May 1 of each year, the Company must file an application detail</w:t>
      </w:r>
      <w:r w:rsidR="007C2F8F">
        <w:softHyphen/>
      </w:r>
      <w:r w:rsidRPr="00386684">
        <w:t>ing the investments and costs delineated above that were incurred during the previ</w:t>
      </w:r>
      <w:r w:rsidR="007C2F8F">
        <w:softHyphen/>
      </w:r>
      <w:r w:rsidRPr="00386684">
        <w:t xml:space="preserve">ous calendar year and a summary of its construction plans for the next year.  Under the process, VEDO </w:t>
      </w:r>
      <w:r w:rsidR="008B37EF">
        <w:t>bears</w:t>
      </w:r>
      <w:r w:rsidR="008B37EF" w:rsidRPr="00386684">
        <w:t xml:space="preserve"> </w:t>
      </w:r>
      <w:r w:rsidRPr="00386684">
        <w:t>the burden of proof regarding the justness and reasonableness of the DRR rates proposed each year.  Further, the process provides that the Staff will per</w:t>
      </w:r>
      <w:r w:rsidR="007C2F8F">
        <w:softHyphen/>
      </w:r>
      <w:r w:rsidRPr="00386684">
        <w:t>form an investi</w:t>
      </w:r>
      <w:r w:rsidRPr="00386684">
        <w:softHyphen/>
        <w:t>gation of the annual applications and make recommendations on the just</w:t>
      </w:r>
      <w:r w:rsidR="007C2F8F">
        <w:softHyphen/>
      </w:r>
      <w:r w:rsidRPr="00386684">
        <w:t>ness and reason</w:t>
      </w:r>
      <w:r w:rsidRPr="00386684">
        <w:softHyphen/>
        <w:t>ableness of the applications.  Similarly, other parties may file comments on the applica</w:t>
      </w:r>
      <w:r w:rsidRPr="00386684">
        <w:softHyphen/>
        <w:t>tions</w:t>
      </w:r>
      <w:r w:rsidR="00984882">
        <w:t>; any</w:t>
      </w:r>
      <w:r w:rsidRPr="00386684">
        <w:t xml:space="preserve"> unresolved issues will be set for hearing by the Commission.  The process pro</w:t>
      </w:r>
      <w:r w:rsidRPr="00386684">
        <w:softHyphen/>
        <w:t>vides that the parties will use their best efforts to permit new DRR charges to take effect on a service rendered basis on September 1 of each year.  The ini</w:t>
      </w:r>
      <w:r w:rsidR="008B417B">
        <w:softHyphen/>
      </w:r>
      <w:r w:rsidRPr="00386684">
        <w:t>tial monthly DRR was capped at $1.00 for Residential and Group 1 General Service custom</w:t>
      </w:r>
      <w:r w:rsidR="008B417B">
        <w:softHyphen/>
      </w:r>
      <w:r w:rsidRPr="00386684">
        <w:t>ers and the cap will increase in $1.00 increments in each of the succeeding years.</w:t>
      </w:r>
      <w:r w:rsidRPr="00386684">
        <w:rPr>
          <w:vertAlign w:val="superscript"/>
        </w:rPr>
        <w:footnoteReference w:id="7"/>
      </w:r>
      <w:r w:rsidRPr="00386684">
        <w:t xml:space="preserve"> </w:t>
      </w:r>
    </w:p>
    <w:p w:rsidR="00C56593" w:rsidRDefault="005F15EE" w:rsidP="005F15EE">
      <w:pPr>
        <w:pStyle w:val="Textstyle"/>
      </w:pPr>
      <w:r>
        <w:tab/>
      </w:r>
      <w:r w:rsidR="002F30AF" w:rsidRPr="0095004E">
        <w:t xml:space="preserve">To date, </w:t>
      </w:r>
      <w:r w:rsidR="003B7C56">
        <w:t>VEDO</w:t>
      </w:r>
      <w:r w:rsidR="002F30AF" w:rsidRPr="0095004E">
        <w:t xml:space="preserve"> has filed </w:t>
      </w:r>
      <w:r w:rsidR="003B7C56">
        <w:t>four</w:t>
      </w:r>
      <w:r w:rsidR="002F30AF" w:rsidRPr="0095004E">
        <w:t xml:space="preserve"> </w:t>
      </w:r>
      <w:r w:rsidR="00FD7F8E">
        <w:t xml:space="preserve">DRR </w:t>
      </w:r>
      <w:r w:rsidR="002F30AF" w:rsidRPr="0095004E">
        <w:t xml:space="preserve">applications </w:t>
      </w:r>
      <w:r w:rsidR="004323D1" w:rsidRPr="0095004E">
        <w:t xml:space="preserve">covering the period </w:t>
      </w:r>
      <w:r w:rsidR="00FD7F8E">
        <w:t>January 1,</w:t>
      </w:r>
      <w:r w:rsidR="004323D1" w:rsidRPr="0095004E">
        <w:t xml:space="preserve"> 200</w:t>
      </w:r>
      <w:r w:rsidR="00FD7F8E">
        <w:t>9</w:t>
      </w:r>
      <w:r w:rsidR="004323D1" w:rsidRPr="0095004E">
        <w:t xml:space="preserve"> through </w:t>
      </w:r>
      <w:r w:rsidR="00FD7F8E">
        <w:t>December 31,</w:t>
      </w:r>
      <w:r w:rsidR="009F71FB">
        <w:t xml:space="preserve"> </w:t>
      </w:r>
      <w:r w:rsidR="00FD7F8E">
        <w:t>2012</w:t>
      </w:r>
      <w:r w:rsidR="004323D1" w:rsidRPr="0095004E">
        <w:t>.</w:t>
      </w:r>
      <w:r w:rsidR="00DC4C57" w:rsidRPr="0095004E">
        <w:t xml:space="preserve">  The Company reports that </w:t>
      </w:r>
      <w:r w:rsidR="00E865D2" w:rsidRPr="0095004E">
        <w:t>during</w:t>
      </w:r>
      <w:r w:rsidR="00DC4C57" w:rsidRPr="0095004E">
        <w:t xml:space="preserve"> this time period it replaced approximately </w:t>
      </w:r>
      <w:r w:rsidR="009F71FB">
        <w:t>112.5</w:t>
      </w:r>
      <w:r w:rsidR="00DC4C57" w:rsidRPr="0095004E">
        <w:t xml:space="preserve"> miles of </w:t>
      </w:r>
      <w:r w:rsidR="009F71FB">
        <w:t>BS/CI pipelines and that it had approximately 590.5 miles left to replace.</w:t>
      </w:r>
      <w:r w:rsidR="009F71FB">
        <w:rPr>
          <w:rStyle w:val="FootnoteReference"/>
        </w:rPr>
        <w:footnoteReference w:id="8"/>
      </w:r>
      <w:r w:rsidR="009F71FB">
        <w:t xml:space="preserve">  </w:t>
      </w:r>
      <w:r w:rsidR="00B33D0D" w:rsidRPr="0095004E">
        <w:t xml:space="preserve">In addition, </w:t>
      </w:r>
      <w:r w:rsidR="0005352C" w:rsidRPr="0095004E">
        <w:t xml:space="preserve">the Company </w:t>
      </w:r>
      <w:r w:rsidR="00B33D0D" w:rsidRPr="0095004E">
        <w:t xml:space="preserve">reports that </w:t>
      </w:r>
      <w:r w:rsidR="00B45E63">
        <w:t xml:space="preserve">all prone-to-fail risers in its system </w:t>
      </w:r>
      <w:r w:rsidR="005676CB">
        <w:t>were replaced prior to the end of</w:t>
      </w:r>
      <w:r w:rsidR="00B45E63">
        <w:t xml:space="preserve"> 2011.</w:t>
      </w:r>
      <w:r w:rsidR="00B45E63">
        <w:rPr>
          <w:rStyle w:val="FootnoteReference"/>
        </w:rPr>
        <w:footnoteReference w:id="9"/>
      </w:r>
    </w:p>
    <w:p w:rsidR="005961D8" w:rsidRDefault="005F15EE" w:rsidP="005F15EE">
      <w:pPr>
        <w:pStyle w:val="Textstyle"/>
      </w:pPr>
      <w:r>
        <w:lastRenderedPageBreak/>
        <w:tab/>
      </w:r>
      <w:r w:rsidR="005961D8">
        <w:t>On September 26, 2013, the Attorney Examiner assigned to this case issued an Entry establishing the following procedural schedule:</w:t>
      </w:r>
    </w:p>
    <w:p w:rsidR="005961D8" w:rsidRDefault="005961D8" w:rsidP="005961D8">
      <w:pPr>
        <w:pStyle w:val="BodyTextFirstIndent"/>
        <w:numPr>
          <w:ilvl w:val="0"/>
          <w:numId w:val="13"/>
        </w:numPr>
      </w:pPr>
      <w:r>
        <w:t>October 25, 2013 – deadline for filing motions to intervene in the case;</w:t>
      </w:r>
    </w:p>
    <w:p w:rsidR="005961D8" w:rsidRDefault="005961D8" w:rsidP="005961D8">
      <w:pPr>
        <w:pStyle w:val="BodyTextFirstIndent"/>
        <w:numPr>
          <w:ilvl w:val="0"/>
          <w:numId w:val="13"/>
        </w:numPr>
      </w:pPr>
      <w:r>
        <w:t>October 30, 2013 – deadline for filing comments on VEDO’s Application; and,</w:t>
      </w:r>
    </w:p>
    <w:p w:rsidR="005961D8" w:rsidRPr="0095004E" w:rsidRDefault="005961D8" w:rsidP="005961D8">
      <w:pPr>
        <w:pStyle w:val="BodyTextFirstIndent"/>
        <w:numPr>
          <w:ilvl w:val="0"/>
          <w:numId w:val="13"/>
        </w:numPr>
      </w:pPr>
      <w:r>
        <w:t>November 13, 2013 – deadline for filing reply comments.</w:t>
      </w:r>
    </w:p>
    <w:p w:rsidR="0005352C" w:rsidRPr="0095004E" w:rsidRDefault="00B45E63" w:rsidP="0095004E">
      <w:pPr>
        <w:pStyle w:val="Heading1"/>
        <w:rPr>
          <w:b w:val="0"/>
        </w:rPr>
      </w:pPr>
      <w:bookmarkStart w:id="2" w:name="_Toc370912408"/>
      <w:r>
        <w:t xml:space="preserve">VEDO’s </w:t>
      </w:r>
      <w:r w:rsidR="00B0485D">
        <w:t>APPLICATION</w:t>
      </w:r>
      <w:bookmarkEnd w:id="2"/>
    </w:p>
    <w:p w:rsidR="00D34655" w:rsidRDefault="005F15EE" w:rsidP="005F15EE">
      <w:pPr>
        <w:pStyle w:val="Textstyle"/>
      </w:pPr>
      <w:r>
        <w:tab/>
      </w:r>
      <w:r w:rsidR="00EA76DC">
        <w:t>As noted above, VEDO’s Application requests authority to continue its DRR Pro</w:t>
      </w:r>
      <w:r w:rsidR="007C2F8F">
        <w:softHyphen/>
      </w:r>
      <w:r w:rsidR="00EA76DC">
        <w:t xml:space="preserve">gram for </w:t>
      </w:r>
      <w:r w:rsidR="00A03564">
        <w:t xml:space="preserve">a </w:t>
      </w:r>
      <w:r w:rsidR="00EA76DC">
        <w:t>five year period in order to recover investments made under the Pro</w:t>
      </w:r>
      <w:r w:rsidR="007C2F8F">
        <w:softHyphen/>
      </w:r>
      <w:r w:rsidR="00EA76DC">
        <w:t xml:space="preserve">gram through calendar year 2017.  </w:t>
      </w:r>
      <w:r w:rsidR="00173B6C">
        <w:t xml:space="preserve">The Company is also </w:t>
      </w:r>
      <w:r w:rsidR="00EA76DC">
        <w:t>proposing to accelerate the Pro</w:t>
      </w:r>
      <w:r w:rsidR="007C2F8F">
        <w:softHyphen/>
      </w:r>
      <w:r w:rsidR="00EA76DC">
        <w:t>gram</w:t>
      </w:r>
      <w:r w:rsidR="00154E57">
        <w:t>’s pace</w:t>
      </w:r>
      <w:r w:rsidR="00EA76DC">
        <w:t xml:space="preserve"> in order to complete all BS/CI replacement within </w:t>
      </w:r>
      <w:r w:rsidR="00173B6C">
        <w:t>ten</w:t>
      </w:r>
      <w:r w:rsidR="00EA76DC">
        <w:t xml:space="preserve"> years</w:t>
      </w:r>
      <w:r w:rsidR="00173B6C">
        <w:t xml:space="preserve"> rather than fif</w:t>
      </w:r>
      <w:r w:rsidR="007C2F8F">
        <w:softHyphen/>
      </w:r>
      <w:r w:rsidR="00173B6C">
        <w:t>teen years</w:t>
      </w:r>
      <w:r w:rsidR="00EA76DC">
        <w:t xml:space="preserve"> </w:t>
      </w:r>
      <w:r>
        <w:t xml:space="preserve">if no acceleration is granted. </w:t>
      </w:r>
      <w:r w:rsidR="00173B6C">
        <w:t xml:space="preserve"> In addition, VEDO is proposing several modifica</w:t>
      </w:r>
      <w:r w:rsidR="007C2F8F">
        <w:softHyphen/>
      </w:r>
      <w:r w:rsidR="00173B6C">
        <w:t>tions to the scope of the DRR Program as well as a number of other Program changes.  Specifically, VEDO proposes</w:t>
      </w:r>
      <w:r w:rsidR="00D34655">
        <w:t>:</w:t>
      </w:r>
    </w:p>
    <w:p w:rsidR="00D34655" w:rsidRDefault="009025A8" w:rsidP="004F5043">
      <w:pPr>
        <w:pStyle w:val="BodyTextFirstIndent"/>
        <w:numPr>
          <w:ilvl w:val="0"/>
          <w:numId w:val="14"/>
        </w:numPr>
      </w:pPr>
      <w:r w:rsidRPr="00054288">
        <w:rPr>
          <w:b/>
        </w:rPr>
        <w:t>Further acceleration of the pace of BS/CI replacement in order to com</w:t>
      </w:r>
      <w:r w:rsidR="007C2F8F">
        <w:rPr>
          <w:b/>
        </w:rPr>
        <w:softHyphen/>
      </w:r>
      <w:r w:rsidRPr="00054288">
        <w:rPr>
          <w:b/>
        </w:rPr>
        <w:t>plete replacement of all BS/CI by the end of 2023 as opposed to the end of 2028</w:t>
      </w:r>
      <w:r w:rsidR="00054288" w:rsidRPr="00054288">
        <w:rPr>
          <w:b/>
        </w:rPr>
        <w:t xml:space="preserve"> </w:t>
      </w:r>
      <w:r w:rsidR="00567817">
        <w:rPr>
          <w:b/>
        </w:rPr>
        <w:t xml:space="preserve"> </w:t>
      </w:r>
      <w:r w:rsidR="00054288" w:rsidRPr="00054288">
        <w:rPr>
          <w:b/>
        </w:rPr>
        <w:t>–</w:t>
      </w:r>
      <w:r w:rsidR="005F15EE">
        <w:t xml:space="preserve"> </w:t>
      </w:r>
      <w:r>
        <w:t xml:space="preserve"> The Company states that the DRR Program has improved pipeline safety and reliability of its system, but has observed that its remaining BS/CI infra</w:t>
      </w:r>
      <w:r w:rsidR="007C2F8F">
        <w:softHyphen/>
      </w:r>
      <w:r>
        <w:t xml:space="preserve">structure </w:t>
      </w:r>
      <w:r w:rsidR="00A46568">
        <w:t>continues to experience leakage and repair rates significantly greater than plastic pipelines.  Therefore, the company believes that the increased replacement pace is warranted.</w:t>
      </w:r>
      <w:r w:rsidR="004F5043">
        <w:rPr>
          <w:rStyle w:val="FootnoteReference"/>
        </w:rPr>
        <w:footnoteReference w:id="10"/>
      </w:r>
    </w:p>
    <w:p w:rsidR="004F5043" w:rsidRDefault="004F5043" w:rsidP="004F5043">
      <w:pPr>
        <w:pStyle w:val="BodyTextFirstIndent"/>
        <w:numPr>
          <w:ilvl w:val="0"/>
          <w:numId w:val="14"/>
        </w:numPr>
      </w:pPr>
      <w:r w:rsidRPr="00054288">
        <w:rPr>
          <w:b/>
        </w:rPr>
        <w:lastRenderedPageBreak/>
        <w:t xml:space="preserve">Adding ineffectively coated steel pipelines to the </w:t>
      </w:r>
      <w:r w:rsidR="00AE369A" w:rsidRPr="00054288">
        <w:rPr>
          <w:b/>
        </w:rPr>
        <w:t>P</w:t>
      </w:r>
      <w:r w:rsidRPr="00054288">
        <w:rPr>
          <w:b/>
        </w:rPr>
        <w:t>rogram</w:t>
      </w:r>
      <w:r w:rsidR="00AE369A" w:rsidRPr="00054288">
        <w:rPr>
          <w:b/>
        </w:rPr>
        <w:t xml:space="preserve"> scope</w:t>
      </w:r>
      <w:r w:rsidR="00054288" w:rsidRPr="00054288">
        <w:rPr>
          <w:b/>
        </w:rPr>
        <w:t xml:space="preserve"> </w:t>
      </w:r>
      <w:r w:rsidR="00567817">
        <w:rPr>
          <w:b/>
        </w:rPr>
        <w:t xml:space="preserve"> </w:t>
      </w:r>
      <w:r w:rsidR="00054288" w:rsidRPr="00054288">
        <w:rPr>
          <w:b/>
        </w:rPr>
        <w:t>–</w:t>
      </w:r>
      <w:r w:rsidR="00054288">
        <w:t xml:space="preserve"> </w:t>
      </w:r>
      <w:r>
        <w:t xml:space="preserve"> The origi</w:t>
      </w:r>
      <w:r w:rsidR="007C2F8F">
        <w:softHyphen/>
      </w:r>
      <w:r>
        <w:t>nal DRR scope provided for replacement of only BS/CI pipelines and small segments of plastic pipe when done in conjunction with a BS/CI replace</w:t>
      </w:r>
      <w:r w:rsidR="007C2F8F">
        <w:softHyphen/>
      </w:r>
      <w:r>
        <w:t xml:space="preserve">ment project.  VEDO maintains that </w:t>
      </w:r>
      <w:r w:rsidR="007862D8">
        <w:t xml:space="preserve">coating methods for steel pipelines prior to 1971 failed to provide consistent protection against corrosion and that </w:t>
      </w:r>
      <w:r w:rsidR="00C40044">
        <w:t>cer</w:t>
      </w:r>
      <w:r w:rsidR="007C2F8F">
        <w:softHyphen/>
      </w:r>
      <w:r w:rsidR="00C40044">
        <w:t xml:space="preserve">tain </w:t>
      </w:r>
      <w:r w:rsidR="007862D8">
        <w:t xml:space="preserve">segments of coated steel pipelines in its system appear to be ineffectively coated and subject to corrosion.  </w:t>
      </w:r>
      <w:r w:rsidR="00C40044">
        <w:t>The Company proposes to add to the DRR the cost of replacing ineffectively coated pipe and the cost of testing the pipe to deter</w:t>
      </w:r>
      <w:r w:rsidR="007C2F8F">
        <w:softHyphen/>
      </w:r>
      <w:r w:rsidR="00C40044">
        <w:t>mine that the pipeline segments were indeed ineffectively coated.</w:t>
      </w:r>
      <w:r w:rsidR="00C40044">
        <w:rPr>
          <w:rStyle w:val="FootnoteReference"/>
        </w:rPr>
        <w:footnoteReference w:id="11"/>
      </w:r>
    </w:p>
    <w:p w:rsidR="00A46568" w:rsidRDefault="00C40044" w:rsidP="00C40044">
      <w:pPr>
        <w:pStyle w:val="BodyTextFirstIndent"/>
        <w:numPr>
          <w:ilvl w:val="0"/>
          <w:numId w:val="14"/>
        </w:numPr>
      </w:pPr>
      <w:r w:rsidRPr="00054288">
        <w:rPr>
          <w:b/>
        </w:rPr>
        <w:t xml:space="preserve">Adding </w:t>
      </w:r>
      <w:r w:rsidR="00AE369A" w:rsidRPr="00054288">
        <w:rPr>
          <w:b/>
        </w:rPr>
        <w:t>obsolete pipe and appurtenances</w:t>
      </w:r>
      <w:r w:rsidRPr="00054288">
        <w:rPr>
          <w:b/>
        </w:rPr>
        <w:t xml:space="preserve"> to </w:t>
      </w:r>
      <w:r w:rsidR="00AE369A" w:rsidRPr="00054288">
        <w:rPr>
          <w:b/>
        </w:rPr>
        <w:t>the P</w:t>
      </w:r>
      <w:r w:rsidRPr="00054288">
        <w:rPr>
          <w:b/>
        </w:rPr>
        <w:t>rogram</w:t>
      </w:r>
      <w:r w:rsidR="00AE369A" w:rsidRPr="00054288">
        <w:rPr>
          <w:b/>
        </w:rPr>
        <w:t xml:space="preserve"> scope</w:t>
      </w:r>
      <w:r w:rsidR="0043049C" w:rsidRPr="00054288">
        <w:rPr>
          <w:b/>
        </w:rPr>
        <w:t xml:space="preserve"> when done in conjunction with projects for replacing BS/CI or ineffectively coated steel lines</w:t>
      </w:r>
      <w:r w:rsidR="00054288" w:rsidRPr="00054288">
        <w:rPr>
          <w:b/>
        </w:rPr>
        <w:t xml:space="preserve"> </w:t>
      </w:r>
      <w:r w:rsidR="00567817">
        <w:rPr>
          <w:b/>
        </w:rPr>
        <w:t xml:space="preserve"> </w:t>
      </w:r>
      <w:r w:rsidR="00054288" w:rsidRPr="00054288">
        <w:rPr>
          <w:b/>
        </w:rPr>
        <w:t>–</w:t>
      </w:r>
      <w:r w:rsidR="00054288">
        <w:t xml:space="preserve"> </w:t>
      </w:r>
      <w:r w:rsidR="00AE369A">
        <w:t xml:space="preserve"> VEDO defines obsolete pipe and appurtenances as pipelines and sys</w:t>
      </w:r>
      <w:r w:rsidR="007C2F8F">
        <w:softHyphen/>
      </w:r>
      <w:r w:rsidR="00AE369A">
        <w:t xml:space="preserve">tem components for which replacement parts and related materials are no longer available.  The Company maintains </w:t>
      </w:r>
      <w:r w:rsidR="00403990">
        <w:t xml:space="preserve">that </w:t>
      </w:r>
      <w:r w:rsidR="006103D9">
        <w:t xml:space="preserve">damage and leak </w:t>
      </w:r>
      <w:r w:rsidR="00AE369A">
        <w:t xml:space="preserve">repair </w:t>
      </w:r>
      <w:r w:rsidR="006103D9">
        <w:t>of such pipe</w:t>
      </w:r>
      <w:r w:rsidR="007C2F8F">
        <w:softHyphen/>
      </w:r>
      <w:r w:rsidR="006103D9">
        <w:t>lines and components is more costly and that repair times are longer than for normal repairs because repair and replacement materials must be custom</w:t>
      </w:r>
      <w:r w:rsidR="0043049C">
        <w:t xml:space="preserve"> fabri</w:t>
      </w:r>
      <w:r w:rsidR="007C2F8F">
        <w:softHyphen/>
      </w:r>
      <w:r w:rsidR="0043049C">
        <w:t>cated.</w:t>
      </w:r>
      <w:r w:rsidR="006103D9">
        <w:rPr>
          <w:rStyle w:val="FootnoteReference"/>
        </w:rPr>
        <w:footnoteReference w:id="12"/>
      </w:r>
    </w:p>
    <w:p w:rsidR="000A3C3C" w:rsidRDefault="000A3C3C" w:rsidP="00C40044">
      <w:pPr>
        <w:pStyle w:val="BodyTextFirstIndent"/>
        <w:numPr>
          <w:ilvl w:val="0"/>
          <w:numId w:val="14"/>
        </w:numPr>
      </w:pPr>
      <w:r w:rsidRPr="00054288">
        <w:rPr>
          <w:b/>
        </w:rPr>
        <w:t>Adding replacement of vintage plastic pipe to the Program scope</w:t>
      </w:r>
      <w:r w:rsidR="0043049C" w:rsidRPr="00054288">
        <w:rPr>
          <w:b/>
        </w:rPr>
        <w:t xml:space="preserve"> when encoun</w:t>
      </w:r>
      <w:r w:rsidR="007C2F8F">
        <w:rPr>
          <w:b/>
        </w:rPr>
        <w:softHyphen/>
      </w:r>
      <w:r w:rsidR="0043049C" w:rsidRPr="00054288">
        <w:rPr>
          <w:b/>
        </w:rPr>
        <w:t>tered during DRR replacement projects</w:t>
      </w:r>
      <w:r w:rsidR="00054288" w:rsidRPr="00054288">
        <w:rPr>
          <w:b/>
        </w:rPr>
        <w:t xml:space="preserve"> –</w:t>
      </w:r>
      <w:r w:rsidR="00054288">
        <w:t xml:space="preserve"> </w:t>
      </w:r>
      <w:r>
        <w:t xml:space="preserve">  The Company maintains that this type of older plastic pipe becomes hardened and brittle over time and </w:t>
      </w:r>
      <w:r>
        <w:lastRenderedPageBreak/>
        <w:t xml:space="preserve">is susceptible to cracking and leakage when subjected to stress </w:t>
      </w:r>
      <w:r w:rsidR="0043049C">
        <w:t>intensification,</w:t>
      </w:r>
      <w:r>
        <w:t xml:space="preserve"> </w:t>
      </w:r>
      <w:r w:rsidR="00403990">
        <w:t xml:space="preserve">thus </w:t>
      </w:r>
      <w:r w:rsidR="0043049C">
        <w:t>creating</w:t>
      </w:r>
      <w:r>
        <w:t xml:space="preserve"> a potential safety hazard.</w:t>
      </w:r>
    </w:p>
    <w:p w:rsidR="00BA1060" w:rsidRDefault="00600DB6" w:rsidP="00C40044">
      <w:pPr>
        <w:pStyle w:val="BodyTextFirstIndent"/>
        <w:numPr>
          <w:ilvl w:val="0"/>
          <w:numId w:val="14"/>
        </w:numPr>
      </w:pPr>
      <w:r w:rsidRPr="00054288">
        <w:rPr>
          <w:b/>
        </w:rPr>
        <w:t>Adding non-reimbursable costs of public work</w:t>
      </w:r>
      <w:r w:rsidR="00054288" w:rsidRPr="00054288">
        <w:rPr>
          <w:b/>
        </w:rPr>
        <w:t>s projects to the Program scope</w:t>
      </w:r>
      <w:r w:rsidR="00567817">
        <w:rPr>
          <w:b/>
        </w:rPr>
        <w:t xml:space="preserve"> </w:t>
      </w:r>
      <w:r w:rsidR="00054288" w:rsidRPr="00054288">
        <w:rPr>
          <w:b/>
        </w:rPr>
        <w:t xml:space="preserve"> –</w:t>
      </w:r>
      <w:r w:rsidR="00054288">
        <w:t xml:space="preserve"> </w:t>
      </w:r>
      <w:r w:rsidR="00567817">
        <w:t xml:space="preserve"> </w:t>
      </w:r>
      <w:r>
        <w:t xml:space="preserve">VEDO defines public works projects as projects </w:t>
      </w:r>
      <w:r w:rsidR="006D7A9B">
        <w:t xml:space="preserve">where the Company is required by a third-party government to </w:t>
      </w:r>
      <w:r>
        <w:t xml:space="preserve">relocate </w:t>
      </w:r>
      <w:r w:rsidR="006D7A9B">
        <w:t>existing facilities within the pub</w:t>
      </w:r>
      <w:r w:rsidR="007C2F8F">
        <w:softHyphen/>
      </w:r>
      <w:r w:rsidR="006D7A9B">
        <w:t>lic right-of-way and within the boundary of the project.  The Company pro</w:t>
      </w:r>
      <w:r w:rsidR="007C2F8F">
        <w:softHyphen/>
      </w:r>
      <w:r w:rsidR="006D7A9B">
        <w:t xml:space="preserve">poses to add the costs of a public works project to the DRR if some or </w:t>
      </w:r>
      <w:proofErr w:type="gramStart"/>
      <w:r w:rsidR="006D7A9B">
        <w:t>all of the</w:t>
      </w:r>
      <w:proofErr w:type="gramEnd"/>
      <w:r w:rsidR="006D7A9B">
        <w:t xml:space="preserve"> infrastructure being </w:t>
      </w:r>
      <w:r w:rsidR="003E30DE">
        <w:t xml:space="preserve">relocated is </w:t>
      </w:r>
      <w:r w:rsidR="0070737E">
        <w:t>BS/CI and results in retirement and replace</w:t>
      </w:r>
      <w:r w:rsidR="007C2F8F">
        <w:softHyphen/>
      </w:r>
      <w:r w:rsidR="0070737E">
        <w:t>ment of the BS/CI assets.  In addition, the Company states that it will only include costs that are not reimbursed by the government entity that mandated the relocation.</w:t>
      </w:r>
    </w:p>
    <w:p w:rsidR="002240B6" w:rsidRDefault="00A92810" w:rsidP="00C40044">
      <w:pPr>
        <w:pStyle w:val="BodyTextFirstIndent"/>
        <w:numPr>
          <w:ilvl w:val="0"/>
          <w:numId w:val="14"/>
        </w:numPr>
      </w:pPr>
      <w:r w:rsidRPr="00054288">
        <w:rPr>
          <w:b/>
        </w:rPr>
        <w:t xml:space="preserve">Modifying </w:t>
      </w:r>
      <w:r w:rsidR="002B63B9" w:rsidRPr="00054288">
        <w:rPr>
          <w:b/>
        </w:rPr>
        <w:t xml:space="preserve">the </w:t>
      </w:r>
      <w:r w:rsidRPr="00054288">
        <w:rPr>
          <w:b/>
        </w:rPr>
        <w:t xml:space="preserve">process for recovery of costs to replace service </w:t>
      </w:r>
      <w:proofErr w:type="gramStart"/>
      <w:r w:rsidRPr="00054288">
        <w:rPr>
          <w:b/>
        </w:rPr>
        <w:t>lines</w:t>
      </w:r>
      <w:r w:rsidR="00567817">
        <w:rPr>
          <w:b/>
        </w:rPr>
        <w:t xml:space="preserve"> </w:t>
      </w:r>
      <w:r w:rsidR="00054288" w:rsidRPr="00054288">
        <w:rPr>
          <w:b/>
        </w:rPr>
        <w:t xml:space="preserve"> –</w:t>
      </w:r>
      <w:proofErr w:type="gramEnd"/>
      <w:r w:rsidR="00054288">
        <w:t xml:space="preserve"> </w:t>
      </w:r>
      <w:r>
        <w:t xml:space="preserve"> </w:t>
      </w:r>
      <w:r w:rsidR="00ED39F8">
        <w:t xml:space="preserve">Under the current DRR Program, when VEDO must replace a service line that is not part of a mainline replacement program, it utilizes a formula that was agreed to in the </w:t>
      </w:r>
      <w:r w:rsidR="00ED39F8" w:rsidRPr="00774E36">
        <w:rPr>
          <w:i/>
        </w:rPr>
        <w:t>2007 Rate Case</w:t>
      </w:r>
      <w:r w:rsidR="00ED39F8">
        <w:t xml:space="preserve"> to determine how much of the replacement costs can be included in the DRR.  The formula recognizes that</w:t>
      </w:r>
      <w:r w:rsidR="00993542">
        <w:t>,</w:t>
      </w:r>
      <w:r w:rsidR="00ED39F8">
        <w:t xml:space="preserve"> prior to VEDO assuming ownership of customer service lines with implementation of the DRR Pro</w:t>
      </w:r>
      <w:r w:rsidR="007C2F8F">
        <w:softHyphen/>
      </w:r>
      <w:r w:rsidR="00ED39F8">
        <w:t xml:space="preserve">gram, the Company always had the responsibility (and incurred the costs) to repair or replace the main-to-curb segment of the service line.  </w:t>
      </w:r>
      <w:r w:rsidR="00D73704">
        <w:t xml:space="preserve">Therefore, </w:t>
      </w:r>
      <w:r w:rsidR="00993542">
        <w:t xml:space="preserve">under the DRR, </w:t>
      </w:r>
      <w:r w:rsidR="00D73704">
        <w:t>when the Company replaces a service line the only incre</w:t>
      </w:r>
      <w:r w:rsidR="008B417B">
        <w:softHyphen/>
      </w:r>
      <w:r w:rsidR="00D73704">
        <w:t xml:space="preserve">mental costs that it </w:t>
      </w:r>
      <w:r w:rsidR="00403990">
        <w:t xml:space="preserve">incurs </w:t>
      </w:r>
      <w:r w:rsidR="00D73704">
        <w:t xml:space="preserve">is for replacement of the curb-to-meter segment that, prior to the DRR Program, was owned </w:t>
      </w:r>
      <w:r w:rsidR="00403990">
        <w:t xml:space="preserve">by the customer, who was </w:t>
      </w:r>
      <w:r w:rsidR="00D73704">
        <w:t>responsib</w:t>
      </w:r>
      <w:r w:rsidR="00403990">
        <w:t xml:space="preserve">le </w:t>
      </w:r>
      <w:r w:rsidR="00403990">
        <w:lastRenderedPageBreak/>
        <w:t>for its maintenance</w:t>
      </w:r>
      <w:r w:rsidR="00D73704">
        <w:t>.  The formula was designed to approximate the incremental costs that VEDO would incur as a result of assuming responsibility to replace the formerly customer-owned segment of the service line by determining the differ</w:t>
      </w:r>
      <w:r w:rsidR="007C2F8F">
        <w:softHyphen/>
      </w:r>
      <w:r w:rsidR="00D73704">
        <w:t xml:space="preserve">ence between the average cost </w:t>
      </w:r>
      <w:r w:rsidR="00311D06">
        <w:t>of replacement before the transfer of owner</w:t>
      </w:r>
      <w:r w:rsidR="007C2F8F">
        <w:softHyphen/>
      </w:r>
      <w:r w:rsidR="00311D06">
        <w:t>ship and the costs incurred after the transfer.  In the Application, how</w:t>
      </w:r>
      <w:r w:rsidR="007C2F8F">
        <w:softHyphen/>
      </w:r>
      <w:r w:rsidR="00311D06">
        <w:t>ever, VEDO maintains that the formula significantly understates its actual incre</w:t>
      </w:r>
      <w:r w:rsidR="007C2F8F">
        <w:softHyphen/>
      </w:r>
      <w:r w:rsidR="00311D06">
        <w:t>mental costs for service line replacements that are not part of a DRR replace</w:t>
      </w:r>
      <w:r w:rsidR="007C2F8F">
        <w:softHyphen/>
      </w:r>
      <w:r w:rsidR="00311D06">
        <w:t xml:space="preserve">ment project.  As a result, the Company proposes to modify the service line replacement </w:t>
      </w:r>
      <w:r w:rsidR="00993542">
        <w:t xml:space="preserve">formula so that it would include in the DRR </w:t>
      </w:r>
      <w:r w:rsidR="00BA2596">
        <w:t>one hundred</w:t>
      </w:r>
      <w:r w:rsidR="00993542">
        <w:t xml:space="preserve"> per</w:t>
      </w:r>
      <w:r w:rsidR="007C2F8F">
        <w:softHyphen/>
      </w:r>
      <w:r w:rsidR="00993542">
        <w:t xml:space="preserve">cent of the costs </w:t>
      </w:r>
      <w:r w:rsidR="00D35EB9">
        <w:t xml:space="preserve">to </w:t>
      </w:r>
      <w:r w:rsidR="00993542">
        <w:t>replace steel service lines and customer meter set while using the current formula to allocate costs for replacing plastic service line</w:t>
      </w:r>
      <w:r w:rsidR="00907670">
        <w:t>s.</w:t>
      </w:r>
    </w:p>
    <w:p w:rsidR="00562CF3" w:rsidRDefault="002240B6" w:rsidP="00C40044">
      <w:pPr>
        <w:pStyle w:val="BodyTextFirstIndent"/>
        <w:numPr>
          <w:ilvl w:val="0"/>
          <w:numId w:val="14"/>
        </w:numPr>
      </w:pPr>
      <w:r w:rsidRPr="00054288">
        <w:rPr>
          <w:b/>
        </w:rPr>
        <w:t>Modifying the operation and main</w:t>
      </w:r>
      <w:r w:rsidR="00054288" w:rsidRPr="00054288">
        <w:rPr>
          <w:b/>
        </w:rPr>
        <w:t xml:space="preserve">tenance (“O&amp;M”) savings formula </w:t>
      </w:r>
      <w:r w:rsidR="00567817">
        <w:rPr>
          <w:b/>
        </w:rPr>
        <w:t xml:space="preserve"> </w:t>
      </w:r>
      <w:r w:rsidR="00054288" w:rsidRPr="00054288">
        <w:rPr>
          <w:b/>
        </w:rPr>
        <w:t>–</w:t>
      </w:r>
      <w:r w:rsidR="00054288">
        <w:t xml:space="preserve"> </w:t>
      </w:r>
      <w:r w:rsidR="00567817">
        <w:t xml:space="preserve"> </w:t>
      </w:r>
      <w:r>
        <w:t xml:space="preserve">VEDO proposes to continue to offset recoverable costs under the DRR </w:t>
      </w:r>
      <w:r w:rsidR="005058B7">
        <w:t xml:space="preserve">with the </w:t>
      </w:r>
      <w:r>
        <w:t>O&amp;M cost savings it realizes as older leaking BS/CI pipelines are replaced with new non-leaking materials.  The Company’s current base gas distribution rates were set based on test year expenses that included a certain amount for detect</w:t>
      </w:r>
      <w:r w:rsidR="007C2F8F">
        <w:softHyphen/>
      </w:r>
      <w:r>
        <w:t xml:space="preserve">ing and repairing </w:t>
      </w:r>
      <w:r w:rsidR="008806FC">
        <w:t>pipeline leaks.  However, as older BS/CI pipelines that experience a much higher incidence of leakage are replaced with newer non-leak</w:t>
      </w:r>
      <w:r w:rsidR="007C2F8F">
        <w:softHyphen/>
      </w:r>
      <w:r w:rsidR="008806FC">
        <w:t xml:space="preserve">ing </w:t>
      </w:r>
      <w:r w:rsidR="005058B7">
        <w:t xml:space="preserve">(mostly plastic) </w:t>
      </w:r>
      <w:r w:rsidR="008806FC">
        <w:t>material, these costs are at least partially avoided</w:t>
      </w:r>
      <w:r w:rsidR="005058B7">
        <w:t>,</w:t>
      </w:r>
      <w:r w:rsidR="00B64F34">
        <w:t xml:space="preserve"> and </w:t>
      </w:r>
      <w:r w:rsidR="008902CF">
        <w:t xml:space="preserve">the </w:t>
      </w:r>
      <w:r w:rsidR="00B64F34">
        <w:t xml:space="preserve">resulting cost savings are passed back to customers in the form of reduced DRR rates.  VEDO’s current formula for determining O&amp;M savings was agreed to in the approved </w:t>
      </w:r>
      <w:r w:rsidR="008902CF" w:rsidRPr="00774E36">
        <w:rPr>
          <w:i/>
        </w:rPr>
        <w:t>2007 Rate Case</w:t>
      </w:r>
      <w:r w:rsidR="008902CF">
        <w:t xml:space="preserve"> Stipulation.  It is calculated by </w:t>
      </w:r>
      <w:r w:rsidR="008902CF">
        <w:lastRenderedPageBreak/>
        <w:t>compar</w:t>
      </w:r>
      <w:r w:rsidR="007C2F8F">
        <w:softHyphen/>
      </w:r>
      <w:r w:rsidR="008902CF">
        <w:t xml:space="preserve">ing </w:t>
      </w:r>
      <w:r w:rsidR="00493D4B">
        <w:t xml:space="preserve">each year’s </w:t>
      </w:r>
      <w:r w:rsidR="008902CF">
        <w:t xml:space="preserve">actual </w:t>
      </w:r>
      <w:r w:rsidR="00493D4B">
        <w:t xml:space="preserve">O&amp;M </w:t>
      </w:r>
      <w:r w:rsidR="008902CF">
        <w:t xml:space="preserve">costs for </w:t>
      </w:r>
      <w:r w:rsidR="00493D4B">
        <w:t xml:space="preserve">BS/CI mains and service lines against a baseline of O&amp;M expenses established in the </w:t>
      </w:r>
      <w:r w:rsidR="005F5BCC" w:rsidRPr="00774E36">
        <w:rPr>
          <w:i/>
        </w:rPr>
        <w:t>2007 Rate Case</w:t>
      </w:r>
      <w:r w:rsidR="00493D4B">
        <w:t>.  The Com</w:t>
      </w:r>
      <w:r w:rsidR="007C2F8F">
        <w:softHyphen/>
      </w:r>
      <w:r w:rsidR="00493D4B">
        <w:t xml:space="preserve">pany </w:t>
      </w:r>
      <w:r w:rsidR="0069530D">
        <w:t>proposes to modify this formula such that it will carry forward as an ongoing credit</w:t>
      </w:r>
      <w:r w:rsidR="00D35EB9">
        <w:t xml:space="preserve"> the actual O&amp;M savings that were</w:t>
      </w:r>
      <w:r w:rsidR="0069530D">
        <w:t xml:space="preserve"> included in its most recent</w:t>
      </w:r>
      <w:r w:rsidR="005058B7">
        <w:t>ly</w:t>
      </w:r>
      <w:r w:rsidR="0069530D">
        <w:t xml:space="preserve"> approved annual DRR filing</w:t>
      </w:r>
      <w:r w:rsidR="00516108">
        <w:t xml:space="preserve">, which was </w:t>
      </w:r>
      <w:r w:rsidR="005058B7">
        <w:t>$</w:t>
      </w:r>
      <w:r w:rsidR="00516108">
        <w:t>274,919</w:t>
      </w:r>
      <w:r w:rsidR="0069530D">
        <w:t xml:space="preserve"> (Case No. 13-1121-GA-RDR).  </w:t>
      </w:r>
      <w:r w:rsidR="00516108">
        <w:t xml:space="preserve">For retirements beginning in 2013, the Company will then add this amount to the product produced by multiplying $4,500 times the number of BS/CI miles retired each year, and the savings each year will be cumulative.  In </w:t>
      </w:r>
      <w:r w:rsidR="005D6545">
        <w:t xml:space="preserve">testimony supporting </w:t>
      </w:r>
      <w:r w:rsidR="00516108">
        <w:t xml:space="preserve">its </w:t>
      </w:r>
      <w:r w:rsidR="005D6545">
        <w:t xml:space="preserve">Application, the Company illustrates its proposal with an example that </w:t>
      </w:r>
      <w:r w:rsidR="005058B7">
        <w:t xml:space="preserve">assumes </w:t>
      </w:r>
      <w:r w:rsidR="005D6545">
        <w:t>it retires 40 miles of BS/CI lines in 2013.</w:t>
      </w:r>
      <w:r w:rsidR="005D6545">
        <w:rPr>
          <w:rStyle w:val="FootnoteReference"/>
        </w:rPr>
        <w:footnoteReference w:id="13"/>
      </w:r>
      <w:r w:rsidR="005D6545">
        <w:t xml:space="preserve">  In this exam</w:t>
      </w:r>
      <w:r w:rsidR="007C2F8F">
        <w:softHyphen/>
      </w:r>
      <w:r w:rsidR="005D6545">
        <w:t>ple, the O&amp;M savings would be $454,919 ($4,500 x 40 miles = $180,000 + 274,919</w:t>
      </w:r>
      <w:r w:rsidR="003A207F">
        <w:t>)</w:t>
      </w:r>
      <w:r w:rsidR="005D6545">
        <w:t xml:space="preserve">.  </w:t>
      </w:r>
      <w:r w:rsidR="003A207F">
        <w:t>Then, if</w:t>
      </w:r>
      <w:r w:rsidR="005D6545">
        <w:t xml:space="preserve"> another 40 miles </w:t>
      </w:r>
      <w:r w:rsidR="003A207F">
        <w:t xml:space="preserve">of BS/CI lines </w:t>
      </w:r>
      <w:r w:rsidR="00BA2596">
        <w:t xml:space="preserve">is </w:t>
      </w:r>
      <w:r w:rsidR="005D6545">
        <w:t xml:space="preserve">retired </w:t>
      </w:r>
      <w:r w:rsidR="003A207F">
        <w:t xml:space="preserve">in 2014, the next year’s O&amp;M savings would be the 2013 total savings amount </w:t>
      </w:r>
      <w:r w:rsidR="001233D7">
        <w:t>($454,919) plus $180,000 ($4,500 x 40 miles = $180,000) to produce $634,919 in O&amp;M sav</w:t>
      </w:r>
      <w:r w:rsidR="007C2F8F">
        <w:softHyphen/>
      </w:r>
      <w:r w:rsidR="001233D7">
        <w:t>ings.  VEDO emphasizes in its Application, however, that its recommended O&amp;M savings proposal applies only for investments through the end of 2017.  The Company expressly states that it is not proposing or agreeing that any O&amp;M savings generated through 2017 should be carried forward to filing or recov</w:t>
      </w:r>
      <w:r w:rsidR="008B417B">
        <w:softHyphen/>
      </w:r>
      <w:r w:rsidR="001233D7">
        <w:t>ery pertaining to post-2017 investment.</w:t>
      </w:r>
      <w:r w:rsidR="001233D7">
        <w:rPr>
          <w:rStyle w:val="FootnoteReference"/>
        </w:rPr>
        <w:footnoteReference w:id="14"/>
      </w:r>
    </w:p>
    <w:p w:rsidR="0032089D" w:rsidRDefault="00562CF3" w:rsidP="00C40044">
      <w:pPr>
        <w:pStyle w:val="BodyTextFirstIndent"/>
        <w:numPr>
          <w:ilvl w:val="0"/>
          <w:numId w:val="14"/>
        </w:numPr>
      </w:pPr>
      <w:r w:rsidRPr="00054288">
        <w:rPr>
          <w:b/>
        </w:rPr>
        <w:lastRenderedPageBreak/>
        <w:t>Carryover of annual costs that exceed the approved cap for recovery in future DRR filings</w:t>
      </w:r>
      <w:r w:rsidR="00567817">
        <w:rPr>
          <w:b/>
        </w:rPr>
        <w:t xml:space="preserve"> </w:t>
      </w:r>
      <w:r w:rsidRPr="00054288">
        <w:rPr>
          <w:b/>
        </w:rPr>
        <w:t xml:space="preserve"> –</w:t>
      </w:r>
      <w:r>
        <w:t xml:space="preserve"> </w:t>
      </w:r>
      <w:r w:rsidR="00054288">
        <w:t xml:space="preserve"> </w:t>
      </w:r>
      <w:r>
        <w:t xml:space="preserve">The Company proposes that </w:t>
      </w:r>
      <w:r w:rsidR="00150709">
        <w:t xml:space="preserve">if during any of the first four years of the extended DRR Program its actual costs would exceed the approved annual DRR cap, then </w:t>
      </w:r>
      <w:r>
        <w:t>it be permitted to</w:t>
      </w:r>
      <w:r w:rsidR="00150709">
        <w:t xml:space="preserve"> defer on its books the amount that is over the cap plus carrying charges </w:t>
      </w:r>
      <w:r w:rsidR="0032089D">
        <w:t>(at its approved long-term debt rate) and include the deferred costs in a future DRR filing so long as inclu</w:t>
      </w:r>
      <w:r w:rsidR="007C2F8F">
        <w:softHyphen/>
      </w:r>
      <w:r w:rsidR="0032089D">
        <w:t>sion of the deferred costs does not cause the Company to exceed the annual cap in that subsequent year.</w:t>
      </w:r>
      <w:r w:rsidR="0032089D">
        <w:rPr>
          <w:rStyle w:val="FootnoteReference"/>
        </w:rPr>
        <w:footnoteReference w:id="15"/>
      </w:r>
      <w:r w:rsidR="0032089D">
        <w:t xml:space="preserve"> </w:t>
      </w:r>
    </w:p>
    <w:p w:rsidR="002B63B9" w:rsidRDefault="0032089D" w:rsidP="00B438D2">
      <w:pPr>
        <w:pStyle w:val="BodyTextFirstIndent"/>
        <w:numPr>
          <w:ilvl w:val="0"/>
          <w:numId w:val="14"/>
        </w:numPr>
      </w:pPr>
      <w:r w:rsidRPr="00054288">
        <w:rPr>
          <w:b/>
        </w:rPr>
        <w:t>Modifying the revenue retirement calculation to remove the variance calcula</w:t>
      </w:r>
      <w:r w:rsidR="007C2F8F">
        <w:rPr>
          <w:b/>
        </w:rPr>
        <w:softHyphen/>
      </w:r>
      <w:r w:rsidRPr="00054288">
        <w:rPr>
          <w:b/>
        </w:rPr>
        <w:t xml:space="preserve">tion before the annual DRR cap is applied </w:t>
      </w:r>
      <w:r w:rsidR="00567817">
        <w:rPr>
          <w:b/>
        </w:rPr>
        <w:t xml:space="preserve"> </w:t>
      </w:r>
      <w:r w:rsidRPr="00054288">
        <w:rPr>
          <w:b/>
        </w:rPr>
        <w:t>–</w:t>
      </w:r>
      <w:r>
        <w:t xml:space="preserve"> </w:t>
      </w:r>
      <w:r w:rsidR="00054288">
        <w:t xml:space="preserve"> </w:t>
      </w:r>
      <w:r>
        <w:t>VEDO’s current DRR Pro</w:t>
      </w:r>
      <w:r w:rsidR="007C2F8F">
        <w:softHyphen/>
      </w:r>
      <w:r>
        <w:t xml:space="preserve">gram provides </w:t>
      </w:r>
      <w:r w:rsidR="00EC5E09">
        <w:t>for reconciliation of any over</w:t>
      </w:r>
      <w:r w:rsidR="00B438D2">
        <w:t xml:space="preserve"> or under-collection of each year’s approved revenue requirement in the subsequent year.  The current total reve</w:t>
      </w:r>
      <w:r w:rsidR="007C2F8F">
        <w:softHyphen/>
      </w:r>
      <w:r w:rsidR="00B438D2">
        <w:t>nue requirement calculation each year includes either an addition</w:t>
      </w:r>
      <w:r w:rsidR="00EC5E09">
        <w:t>al amount for recovery of under-</w:t>
      </w:r>
      <w:r w:rsidR="00B438D2">
        <w:t>collections from the previous year or a cr</w:t>
      </w:r>
      <w:r w:rsidR="00EC5E09">
        <w:t>edit (negative amount) for over-</w:t>
      </w:r>
      <w:r w:rsidR="00B438D2">
        <w:t xml:space="preserve">collections.  </w:t>
      </w:r>
      <w:r w:rsidR="008169EB">
        <w:t>Th</w:t>
      </w:r>
      <w:r w:rsidR="00EC5E09">
        <w:t>is reconciliation of prior over or under-</w:t>
      </w:r>
      <w:r w:rsidR="008169EB">
        <w:t>collec</w:t>
      </w:r>
      <w:r w:rsidR="007C2F8F">
        <w:softHyphen/>
      </w:r>
      <w:r w:rsidR="008169EB">
        <w:t xml:space="preserve">tions is included in the revenue requirement calculation, thus </w:t>
      </w:r>
      <w:r w:rsidR="00B5744E">
        <w:t>the reconcilia</w:t>
      </w:r>
      <w:r w:rsidR="007C2F8F">
        <w:softHyphen/>
      </w:r>
      <w:r w:rsidR="00B5744E">
        <w:t xml:space="preserve">tion influences the </w:t>
      </w:r>
      <w:r w:rsidR="008169EB">
        <w:t>annual cap.  VEDO proposes to continue the reconcili</w:t>
      </w:r>
      <w:r w:rsidR="007C2F8F">
        <w:softHyphen/>
      </w:r>
      <w:r w:rsidR="008169EB">
        <w:t xml:space="preserve">ation, but remove it from the revenue requirement calculation and </w:t>
      </w:r>
      <w:r w:rsidR="00BA2596">
        <w:t>consider</w:t>
      </w:r>
      <w:r w:rsidR="007C2F8F">
        <w:softHyphen/>
      </w:r>
      <w:r w:rsidR="00BA2596">
        <w:t>ation</w:t>
      </w:r>
      <w:r w:rsidR="008169EB">
        <w:t xml:space="preserve"> of the annual cap.  </w:t>
      </w:r>
      <w:r w:rsidR="00B5744E">
        <w:t>VEDO recommends that the revenue require</w:t>
      </w:r>
      <w:r w:rsidR="007C2F8F">
        <w:softHyphen/>
      </w:r>
      <w:r w:rsidR="00B5744E">
        <w:t>ment be calculated exclu</w:t>
      </w:r>
      <w:r w:rsidR="008B417B">
        <w:softHyphen/>
      </w:r>
      <w:r w:rsidR="00B5744E">
        <w:t>sive of the reconciliation to avoid it impacting applica</w:t>
      </w:r>
      <w:r w:rsidR="007C2F8F">
        <w:softHyphen/>
      </w:r>
      <w:r w:rsidR="00B5744E">
        <w:t xml:space="preserve">tion of the cap.  The </w:t>
      </w:r>
      <w:r w:rsidR="00B5744E">
        <w:lastRenderedPageBreak/>
        <w:t>Company further recommends that reconcil</w:t>
      </w:r>
      <w:r w:rsidR="00EC5E09">
        <w:t>iation of the prior year’s over or under-</w:t>
      </w:r>
      <w:r w:rsidR="00B5744E">
        <w:t xml:space="preserve">collections then be included </w:t>
      </w:r>
      <w:r w:rsidR="001F08BC">
        <w:t xml:space="preserve">in </w:t>
      </w:r>
      <w:r w:rsidR="00B5744E">
        <w:t>the computa</w:t>
      </w:r>
      <w:r w:rsidR="007C2F8F">
        <w:softHyphen/>
      </w:r>
      <w:r w:rsidR="00B5744E">
        <w:t xml:space="preserve">tion of the DRR rate that will be charged to customers.  </w:t>
      </w:r>
      <w:r w:rsidR="00B438D2">
        <w:t xml:space="preserve"> </w:t>
      </w:r>
      <w:r>
        <w:t xml:space="preserve"> </w:t>
      </w:r>
      <w:r w:rsidR="00562CF3">
        <w:t xml:space="preserve"> </w:t>
      </w:r>
      <w:r w:rsidR="001233D7">
        <w:t xml:space="preserve">  </w:t>
      </w:r>
      <w:r w:rsidR="0069530D">
        <w:t xml:space="preserve"> </w:t>
      </w:r>
      <w:r w:rsidR="00493D4B">
        <w:t xml:space="preserve">  </w:t>
      </w:r>
      <w:r w:rsidR="008902CF">
        <w:t xml:space="preserve"> </w:t>
      </w:r>
    </w:p>
    <w:p w:rsidR="0022403F" w:rsidRDefault="00567817" w:rsidP="00567817">
      <w:pPr>
        <w:pStyle w:val="Textstyle"/>
      </w:pPr>
      <w:r>
        <w:tab/>
      </w:r>
      <w:r w:rsidR="00A92810">
        <w:t>With its proposed modifications and b</w:t>
      </w:r>
      <w:r w:rsidR="00D34655">
        <w:t>ased on historical data, VEDO estimates that its to</w:t>
      </w:r>
      <w:r w:rsidR="0022403F">
        <w:t>tal 2013 though 2017 investment</w:t>
      </w:r>
      <w:r w:rsidR="00D34655">
        <w:t xml:space="preserve"> will be $186,750,000</w:t>
      </w:r>
      <w:r w:rsidR="00600DB6">
        <w:t>,</w:t>
      </w:r>
      <w:r w:rsidR="00D34655">
        <w:t xml:space="preserve"> </w:t>
      </w:r>
      <w:r w:rsidR="001F08BC">
        <w:t xml:space="preserve">detailed </w:t>
      </w:r>
      <w:r w:rsidR="0022403F">
        <w:t>as follows:</w:t>
      </w:r>
    </w:p>
    <w:tbl>
      <w:tblPr>
        <w:tblStyle w:val="TableGrid"/>
        <w:tblW w:w="0" w:type="auto"/>
        <w:tblInd w:w="378" w:type="dxa"/>
        <w:tblLayout w:type="fixed"/>
        <w:tblLook w:val="04A0" w:firstRow="1" w:lastRow="0" w:firstColumn="1" w:lastColumn="0" w:noHBand="0" w:noVBand="1"/>
      </w:tblPr>
      <w:tblGrid>
        <w:gridCol w:w="3060"/>
        <w:gridCol w:w="1170"/>
        <w:gridCol w:w="1080"/>
        <w:gridCol w:w="1080"/>
        <w:gridCol w:w="1080"/>
        <w:gridCol w:w="1260"/>
      </w:tblGrid>
      <w:tr w:rsidR="001F08BC" w:rsidRPr="00BA78CC" w:rsidTr="00E86DDB">
        <w:trPr>
          <w:trHeight w:val="530"/>
        </w:trPr>
        <w:tc>
          <w:tcPr>
            <w:tcW w:w="3060" w:type="dxa"/>
            <w:vMerge w:val="restart"/>
            <w:vAlign w:val="center"/>
          </w:tcPr>
          <w:p w:rsidR="001F08BC" w:rsidRPr="00BA78CC" w:rsidRDefault="001F08BC" w:rsidP="00E86DDB">
            <w:pPr>
              <w:jc w:val="center"/>
              <w:rPr>
                <w:rFonts w:ascii="Times New Roman" w:hAnsi="Times New Roman"/>
                <w:b/>
                <w:sz w:val="26"/>
                <w:szCs w:val="26"/>
              </w:rPr>
            </w:pPr>
            <w:r>
              <w:rPr>
                <w:rFonts w:ascii="Times New Roman" w:hAnsi="Times New Roman"/>
                <w:b/>
                <w:sz w:val="26"/>
                <w:szCs w:val="26"/>
              </w:rPr>
              <w:t>Component</w:t>
            </w:r>
          </w:p>
        </w:tc>
        <w:tc>
          <w:tcPr>
            <w:tcW w:w="5670" w:type="dxa"/>
            <w:gridSpan w:val="5"/>
            <w:vAlign w:val="center"/>
          </w:tcPr>
          <w:p w:rsidR="001F08BC" w:rsidRPr="00BA78CC" w:rsidRDefault="001F08BC" w:rsidP="00B438D2">
            <w:pPr>
              <w:jc w:val="center"/>
              <w:rPr>
                <w:rFonts w:ascii="Times New Roman" w:hAnsi="Times New Roman"/>
                <w:b/>
                <w:sz w:val="26"/>
                <w:szCs w:val="26"/>
              </w:rPr>
            </w:pPr>
            <w:r w:rsidRPr="00BA78CC">
              <w:rPr>
                <w:rFonts w:ascii="Times New Roman" w:hAnsi="Times New Roman"/>
                <w:b/>
                <w:sz w:val="26"/>
                <w:szCs w:val="26"/>
              </w:rPr>
              <w:t>Capital Investment ($000’s)</w:t>
            </w:r>
          </w:p>
        </w:tc>
      </w:tr>
      <w:tr w:rsidR="001F08BC" w:rsidRPr="00BA78CC" w:rsidTr="00867057">
        <w:trPr>
          <w:trHeight w:val="530"/>
        </w:trPr>
        <w:tc>
          <w:tcPr>
            <w:tcW w:w="3060" w:type="dxa"/>
            <w:vMerge/>
            <w:vAlign w:val="center"/>
          </w:tcPr>
          <w:p w:rsidR="001F08BC" w:rsidRPr="00BA78CC" w:rsidRDefault="001F08BC" w:rsidP="00B438D2">
            <w:pPr>
              <w:rPr>
                <w:rFonts w:ascii="Times New Roman" w:hAnsi="Times New Roman"/>
                <w:b/>
                <w:sz w:val="26"/>
                <w:szCs w:val="26"/>
              </w:rPr>
            </w:pPr>
          </w:p>
        </w:tc>
        <w:tc>
          <w:tcPr>
            <w:tcW w:w="1170" w:type="dxa"/>
            <w:vAlign w:val="center"/>
          </w:tcPr>
          <w:p w:rsidR="001F08BC" w:rsidRPr="00BA78CC" w:rsidRDefault="001F08BC" w:rsidP="00B438D2">
            <w:pPr>
              <w:jc w:val="center"/>
              <w:rPr>
                <w:rFonts w:ascii="Times New Roman" w:hAnsi="Times New Roman"/>
                <w:b/>
                <w:sz w:val="26"/>
                <w:szCs w:val="26"/>
              </w:rPr>
            </w:pPr>
            <w:r w:rsidRPr="00BA78CC">
              <w:rPr>
                <w:rFonts w:ascii="Times New Roman" w:hAnsi="Times New Roman"/>
                <w:b/>
                <w:sz w:val="26"/>
                <w:szCs w:val="26"/>
              </w:rPr>
              <w:t>2013</w:t>
            </w:r>
          </w:p>
        </w:tc>
        <w:tc>
          <w:tcPr>
            <w:tcW w:w="1080" w:type="dxa"/>
            <w:vAlign w:val="center"/>
          </w:tcPr>
          <w:p w:rsidR="001F08BC" w:rsidRPr="00BA78CC" w:rsidRDefault="001F08BC" w:rsidP="00B438D2">
            <w:pPr>
              <w:jc w:val="center"/>
              <w:rPr>
                <w:rFonts w:ascii="Times New Roman" w:hAnsi="Times New Roman"/>
                <w:b/>
                <w:sz w:val="26"/>
                <w:szCs w:val="26"/>
              </w:rPr>
            </w:pPr>
            <w:r w:rsidRPr="00BA78CC">
              <w:rPr>
                <w:rFonts w:ascii="Times New Roman" w:hAnsi="Times New Roman"/>
                <w:b/>
                <w:sz w:val="26"/>
                <w:szCs w:val="26"/>
              </w:rPr>
              <w:t>2014</w:t>
            </w:r>
          </w:p>
        </w:tc>
        <w:tc>
          <w:tcPr>
            <w:tcW w:w="1080" w:type="dxa"/>
            <w:vAlign w:val="center"/>
          </w:tcPr>
          <w:p w:rsidR="001F08BC" w:rsidRPr="00BA78CC" w:rsidRDefault="001F08BC" w:rsidP="00B438D2">
            <w:pPr>
              <w:jc w:val="center"/>
              <w:rPr>
                <w:rFonts w:ascii="Times New Roman" w:hAnsi="Times New Roman"/>
                <w:b/>
                <w:sz w:val="26"/>
                <w:szCs w:val="26"/>
              </w:rPr>
            </w:pPr>
            <w:r w:rsidRPr="00BA78CC">
              <w:rPr>
                <w:rFonts w:ascii="Times New Roman" w:hAnsi="Times New Roman"/>
                <w:b/>
                <w:sz w:val="26"/>
                <w:szCs w:val="26"/>
              </w:rPr>
              <w:t>2015</w:t>
            </w:r>
          </w:p>
        </w:tc>
        <w:tc>
          <w:tcPr>
            <w:tcW w:w="1080" w:type="dxa"/>
            <w:vAlign w:val="center"/>
          </w:tcPr>
          <w:p w:rsidR="001F08BC" w:rsidRPr="00BA78CC" w:rsidRDefault="001F08BC" w:rsidP="00B438D2">
            <w:pPr>
              <w:jc w:val="center"/>
              <w:rPr>
                <w:rFonts w:ascii="Times New Roman" w:hAnsi="Times New Roman"/>
                <w:b/>
                <w:sz w:val="26"/>
                <w:szCs w:val="26"/>
              </w:rPr>
            </w:pPr>
            <w:r w:rsidRPr="00BA78CC">
              <w:rPr>
                <w:rFonts w:ascii="Times New Roman" w:hAnsi="Times New Roman"/>
                <w:b/>
                <w:sz w:val="26"/>
                <w:szCs w:val="26"/>
              </w:rPr>
              <w:t>2016</w:t>
            </w:r>
          </w:p>
        </w:tc>
        <w:tc>
          <w:tcPr>
            <w:tcW w:w="1260" w:type="dxa"/>
            <w:vAlign w:val="center"/>
          </w:tcPr>
          <w:p w:rsidR="001F08BC" w:rsidRPr="00BA78CC" w:rsidRDefault="001F08BC" w:rsidP="00B438D2">
            <w:pPr>
              <w:jc w:val="center"/>
              <w:rPr>
                <w:rFonts w:ascii="Times New Roman" w:hAnsi="Times New Roman"/>
                <w:b/>
                <w:sz w:val="26"/>
                <w:szCs w:val="26"/>
              </w:rPr>
            </w:pPr>
            <w:r w:rsidRPr="00BA78CC">
              <w:rPr>
                <w:rFonts w:ascii="Times New Roman" w:hAnsi="Times New Roman"/>
                <w:b/>
                <w:sz w:val="26"/>
                <w:szCs w:val="26"/>
              </w:rPr>
              <w:t>2017</w:t>
            </w:r>
          </w:p>
        </w:tc>
      </w:tr>
      <w:tr w:rsidR="00867057" w:rsidRPr="00BA78CC" w:rsidTr="00867057">
        <w:trPr>
          <w:trHeight w:val="440"/>
        </w:trPr>
        <w:tc>
          <w:tcPr>
            <w:tcW w:w="3060" w:type="dxa"/>
            <w:vAlign w:val="center"/>
          </w:tcPr>
          <w:p w:rsidR="00867057" w:rsidRPr="00BA78CC" w:rsidRDefault="00867057" w:rsidP="00B438D2">
            <w:pPr>
              <w:rPr>
                <w:rFonts w:ascii="Times New Roman" w:hAnsi="Times New Roman"/>
                <w:sz w:val="26"/>
                <w:szCs w:val="26"/>
              </w:rPr>
            </w:pPr>
            <w:r w:rsidRPr="00BA78CC">
              <w:rPr>
                <w:rFonts w:ascii="Times New Roman" w:hAnsi="Times New Roman"/>
                <w:sz w:val="26"/>
                <w:szCs w:val="26"/>
              </w:rPr>
              <w:t>Bare Steel/Cast Iron</w:t>
            </w:r>
          </w:p>
        </w:tc>
        <w:tc>
          <w:tcPr>
            <w:tcW w:w="117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$27,000</w:t>
            </w:r>
          </w:p>
        </w:tc>
        <w:tc>
          <w:tcPr>
            <w:tcW w:w="108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$28,000</w:t>
            </w:r>
          </w:p>
        </w:tc>
        <w:tc>
          <w:tcPr>
            <w:tcW w:w="108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$28,000</w:t>
            </w:r>
          </w:p>
        </w:tc>
        <w:tc>
          <w:tcPr>
            <w:tcW w:w="108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$28,000</w:t>
            </w:r>
          </w:p>
        </w:tc>
        <w:tc>
          <w:tcPr>
            <w:tcW w:w="126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$28,000</w:t>
            </w:r>
          </w:p>
        </w:tc>
      </w:tr>
      <w:tr w:rsidR="00867057" w:rsidRPr="00BA78CC" w:rsidTr="00867057">
        <w:trPr>
          <w:trHeight w:val="530"/>
        </w:trPr>
        <w:tc>
          <w:tcPr>
            <w:tcW w:w="3060" w:type="dxa"/>
            <w:vAlign w:val="center"/>
          </w:tcPr>
          <w:p w:rsidR="00867057" w:rsidRPr="00BA78CC" w:rsidRDefault="00867057" w:rsidP="00B438D2">
            <w:pPr>
              <w:rPr>
                <w:rFonts w:ascii="Times New Roman" w:hAnsi="Times New Roman"/>
                <w:sz w:val="26"/>
                <w:szCs w:val="26"/>
              </w:rPr>
            </w:pPr>
            <w:r w:rsidRPr="00BA78CC">
              <w:rPr>
                <w:rFonts w:ascii="Times New Roman" w:hAnsi="Times New Roman"/>
                <w:sz w:val="26"/>
                <w:szCs w:val="26"/>
              </w:rPr>
              <w:t>Service Replacements</w:t>
            </w:r>
          </w:p>
        </w:tc>
        <w:tc>
          <w:tcPr>
            <w:tcW w:w="117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$6,000</w:t>
            </w:r>
          </w:p>
        </w:tc>
        <w:tc>
          <w:tcPr>
            <w:tcW w:w="108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$6,500</w:t>
            </w:r>
          </w:p>
        </w:tc>
        <w:tc>
          <w:tcPr>
            <w:tcW w:w="108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$6,500</w:t>
            </w:r>
          </w:p>
        </w:tc>
        <w:tc>
          <w:tcPr>
            <w:tcW w:w="108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$6,500</w:t>
            </w:r>
          </w:p>
        </w:tc>
        <w:tc>
          <w:tcPr>
            <w:tcW w:w="126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$6,500</w:t>
            </w:r>
          </w:p>
        </w:tc>
      </w:tr>
      <w:tr w:rsidR="00867057" w:rsidRPr="00BA78CC" w:rsidTr="00867057">
        <w:trPr>
          <w:trHeight w:val="530"/>
        </w:trPr>
        <w:tc>
          <w:tcPr>
            <w:tcW w:w="3060" w:type="dxa"/>
            <w:vAlign w:val="center"/>
          </w:tcPr>
          <w:p w:rsidR="00867057" w:rsidRPr="00BA78CC" w:rsidRDefault="00867057" w:rsidP="00B438D2">
            <w:pPr>
              <w:rPr>
                <w:rFonts w:ascii="Times New Roman" w:hAnsi="Times New Roman"/>
                <w:sz w:val="26"/>
                <w:szCs w:val="26"/>
              </w:rPr>
            </w:pPr>
            <w:r w:rsidRPr="00BA78CC">
              <w:rPr>
                <w:rFonts w:ascii="Times New Roman" w:hAnsi="Times New Roman"/>
                <w:sz w:val="26"/>
                <w:szCs w:val="26"/>
              </w:rPr>
              <w:t>Ineffectively-Coated Steel</w:t>
            </w:r>
          </w:p>
        </w:tc>
        <w:tc>
          <w:tcPr>
            <w:tcW w:w="117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$1,000</w:t>
            </w:r>
          </w:p>
        </w:tc>
        <w:tc>
          <w:tcPr>
            <w:tcW w:w="108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$3,500</w:t>
            </w:r>
          </w:p>
        </w:tc>
        <w:tc>
          <w:tcPr>
            <w:tcW w:w="108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$2,500</w:t>
            </w:r>
          </w:p>
        </w:tc>
        <w:tc>
          <w:tcPr>
            <w:tcW w:w="108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$2,500</w:t>
            </w:r>
          </w:p>
        </w:tc>
        <w:tc>
          <w:tcPr>
            <w:tcW w:w="126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$2,500</w:t>
            </w:r>
          </w:p>
        </w:tc>
      </w:tr>
      <w:tr w:rsidR="00867057" w:rsidRPr="00BA78CC" w:rsidTr="00867057">
        <w:trPr>
          <w:trHeight w:val="530"/>
        </w:trPr>
        <w:tc>
          <w:tcPr>
            <w:tcW w:w="3060" w:type="dxa"/>
            <w:vAlign w:val="center"/>
          </w:tcPr>
          <w:p w:rsidR="00867057" w:rsidRPr="00BA78CC" w:rsidRDefault="00867057" w:rsidP="00B438D2">
            <w:pPr>
              <w:rPr>
                <w:rFonts w:ascii="Times New Roman" w:hAnsi="Times New Roman"/>
                <w:sz w:val="26"/>
                <w:szCs w:val="26"/>
              </w:rPr>
            </w:pPr>
            <w:r w:rsidRPr="00BA78CC">
              <w:rPr>
                <w:rFonts w:ascii="Times New Roman" w:hAnsi="Times New Roman"/>
                <w:sz w:val="26"/>
                <w:szCs w:val="26"/>
              </w:rPr>
              <w:t>Obsolete Pipe and Appurtenances</w:t>
            </w:r>
          </w:p>
        </w:tc>
        <w:tc>
          <w:tcPr>
            <w:tcW w:w="117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$250</w:t>
            </w:r>
          </w:p>
        </w:tc>
        <w:tc>
          <w:tcPr>
            <w:tcW w:w="108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$250</w:t>
            </w:r>
          </w:p>
        </w:tc>
        <w:tc>
          <w:tcPr>
            <w:tcW w:w="108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$250</w:t>
            </w:r>
          </w:p>
        </w:tc>
        <w:tc>
          <w:tcPr>
            <w:tcW w:w="108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$250</w:t>
            </w:r>
          </w:p>
        </w:tc>
        <w:tc>
          <w:tcPr>
            <w:tcW w:w="126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$250</w:t>
            </w:r>
          </w:p>
        </w:tc>
      </w:tr>
      <w:tr w:rsidR="00867057" w:rsidRPr="00BA78CC" w:rsidTr="00867057">
        <w:trPr>
          <w:trHeight w:val="530"/>
        </w:trPr>
        <w:tc>
          <w:tcPr>
            <w:tcW w:w="3060" w:type="dxa"/>
            <w:vAlign w:val="center"/>
          </w:tcPr>
          <w:p w:rsidR="00867057" w:rsidRPr="00BA78CC" w:rsidRDefault="00867057" w:rsidP="00B438D2">
            <w:pPr>
              <w:rPr>
                <w:rFonts w:ascii="Times New Roman" w:hAnsi="Times New Roman"/>
                <w:sz w:val="26"/>
                <w:szCs w:val="26"/>
              </w:rPr>
            </w:pPr>
            <w:r w:rsidRPr="00BA78CC">
              <w:rPr>
                <w:rFonts w:ascii="Times New Roman" w:hAnsi="Times New Roman"/>
                <w:sz w:val="26"/>
                <w:szCs w:val="26"/>
              </w:rPr>
              <w:t>Vintage Plastic</w:t>
            </w:r>
          </w:p>
        </w:tc>
        <w:tc>
          <w:tcPr>
            <w:tcW w:w="117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$250</w:t>
            </w:r>
          </w:p>
        </w:tc>
        <w:tc>
          <w:tcPr>
            <w:tcW w:w="108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$250</w:t>
            </w:r>
          </w:p>
        </w:tc>
        <w:tc>
          <w:tcPr>
            <w:tcW w:w="108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$250</w:t>
            </w:r>
          </w:p>
        </w:tc>
        <w:tc>
          <w:tcPr>
            <w:tcW w:w="108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$250</w:t>
            </w:r>
          </w:p>
        </w:tc>
        <w:tc>
          <w:tcPr>
            <w:tcW w:w="126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$250</w:t>
            </w:r>
          </w:p>
        </w:tc>
      </w:tr>
      <w:tr w:rsidR="00867057" w:rsidRPr="00BA78CC" w:rsidTr="00867057">
        <w:trPr>
          <w:trHeight w:val="440"/>
        </w:trPr>
        <w:tc>
          <w:tcPr>
            <w:tcW w:w="3060" w:type="dxa"/>
            <w:vAlign w:val="center"/>
          </w:tcPr>
          <w:p w:rsidR="00867057" w:rsidRPr="00BA78CC" w:rsidRDefault="00867057" w:rsidP="00B438D2">
            <w:pPr>
              <w:rPr>
                <w:rFonts w:ascii="Times New Roman" w:hAnsi="Times New Roman"/>
                <w:sz w:val="26"/>
                <w:szCs w:val="26"/>
              </w:rPr>
            </w:pPr>
            <w:r w:rsidRPr="00BA78CC">
              <w:rPr>
                <w:rFonts w:ascii="Times New Roman" w:hAnsi="Times New Roman"/>
                <w:sz w:val="26"/>
                <w:szCs w:val="26"/>
              </w:rPr>
              <w:t>Public Improvements</w:t>
            </w:r>
          </w:p>
        </w:tc>
        <w:tc>
          <w:tcPr>
            <w:tcW w:w="117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$250</w:t>
            </w:r>
          </w:p>
        </w:tc>
        <w:tc>
          <w:tcPr>
            <w:tcW w:w="108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$250</w:t>
            </w:r>
          </w:p>
        </w:tc>
        <w:tc>
          <w:tcPr>
            <w:tcW w:w="108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$250</w:t>
            </w:r>
          </w:p>
        </w:tc>
        <w:tc>
          <w:tcPr>
            <w:tcW w:w="108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$250</w:t>
            </w:r>
          </w:p>
        </w:tc>
        <w:tc>
          <w:tcPr>
            <w:tcW w:w="1260" w:type="dxa"/>
            <w:vAlign w:val="center"/>
          </w:tcPr>
          <w:p w:rsidR="00867057" w:rsidRPr="00BA78CC" w:rsidRDefault="00867057" w:rsidP="00B438D2">
            <w:pPr>
              <w:jc w:val="center"/>
              <w:rPr>
                <w:rFonts w:ascii="Times New Roman" w:hAnsi="Times New Roman"/>
                <w:sz w:val="26"/>
                <w:szCs w:val="26"/>
              </w:rPr>
            </w:pPr>
            <w:r w:rsidRPr="00BA78CC">
              <w:rPr>
                <w:rFonts w:ascii="Times New Roman" w:hAnsi="Times New Roman"/>
                <w:sz w:val="26"/>
                <w:szCs w:val="26"/>
              </w:rPr>
              <w:t>$250</w:t>
            </w:r>
          </w:p>
        </w:tc>
      </w:tr>
      <w:tr w:rsidR="00867057" w:rsidRPr="00BA78CC" w:rsidTr="00867057">
        <w:trPr>
          <w:trHeight w:val="440"/>
        </w:trPr>
        <w:tc>
          <w:tcPr>
            <w:tcW w:w="3060" w:type="dxa"/>
            <w:vAlign w:val="center"/>
          </w:tcPr>
          <w:p w:rsidR="00867057" w:rsidRPr="00BA78CC" w:rsidRDefault="00867057" w:rsidP="00B438D2">
            <w:pPr>
              <w:rPr>
                <w:rFonts w:ascii="Times New Roman" w:hAnsi="Times New Roman"/>
                <w:b/>
                <w:sz w:val="26"/>
                <w:szCs w:val="26"/>
              </w:rPr>
            </w:pPr>
            <w:r w:rsidRPr="00BA78CC">
              <w:rPr>
                <w:rFonts w:ascii="Times New Roman" w:hAnsi="Times New Roman"/>
                <w:b/>
                <w:sz w:val="26"/>
                <w:szCs w:val="26"/>
              </w:rPr>
              <w:t>TOTAL</w:t>
            </w:r>
          </w:p>
        </w:tc>
        <w:tc>
          <w:tcPr>
            <w:tcW w:w="1170" w:type="dxa"/>
            <w:vAlign w:val="center"/>
          </w:tcPr>
          <w:p w:rsidR="00867057" w:rsidRPr="00BA78CC" w:rsidRDefault="00867057" w:rsidP="00B438D2">
            <w:pPr>
              <w:jc w:val="center"/>
              <w:rPr>
                <w:rFonts w:ascii="Times New Roman" w:hAnsi="Times New Roman"/>
                <w:b/>
                <w:sz w:val="26"/>
                <w:szCs w:val="26"/>
              </w:rPr>
            </w:pPr>
            <w:r w:rsidRPr="00BA78CC">
              <w:rPr>
                <w:rFonts w:ascii="Times New Roman" w:hAnsi="Times New Roman"/>
                <w:b/>
                <w:sz w:val="26"/>
                <w:szCs w:val="26"/>
              </w:rPr>
              <w:t>$34,750</w:t>
            </w:r>
          </w:p>
        </w:tc>
        <w:tc>
          <w:tcPr>
            <w:tcW w:w="1080" w:type="dxa"/>
            <w:vAlign w:val="center"/>
          </w:tcPr>
          <w:p w:rsidR="00867057" w:rsidRPr="00BA78CC" w:rsidRDefault="00867057" w:rsidP="00B438D2">
            <w:pPr>
              <w:jc w:val="center"/>
              <w:rPr>
                <w:rFonts w:ascii="Times New Roman" w:hAnsi="Times New Roman"/>
                <w:b/>
                <w:sz w:val="26"/>
                <w:szCs w:val="26"/>
              </w:rPr>
            </w:pPr>
            <w:r w:rsidRPr="00BA78CC">
              <w:rPr>
                <w:rFonts w:ascii="Times New Roman" w:hAnsi="Times New Roman"/>
                <w:b/>
                <w:sz w:val="26"/>
                <w:szCs w:val="26"/>
              </w:rPr>
              <w:t>$38,750</w:t>
            </w:r>
          </w:p>
        </w:tc>
        <w:tc>
          <w:tcPr>
            <w:tcW w:w="1080" w:type="dxa"/>
            <w:vAlign w:val="center"/>
          </w:tcPr>
          <w:p w:rsidR="00867057" w:rsidRPr="00BA78CC" w:rsidRDefault="00867057" w:rsidP="00B438D2">
            <w:pPr>
              <w:jc w:val="center"/>
              <w:rPr>
                <w:rFonts w:ascii="Times New Roman" w:hAnsi="Times New Roman"/>
                <w:b/>
                <w:sz w:val="26"/>
                <w:szCs w:val="26"/>
              </w:rPr>
            </w:pPr>
            <w:r w:rsidRPr="00BA78CC">
              <w:rPr>
                <w:rFonts w:ascii="Times New Roman" w:hAnsi="Times New Roman"/>
                <w:b/>
                <w:sz w:val="26"/>
                <w:szCs w:val="26"/>
              </w:rPr>
              <w:t>$37,750</w:t>
            </w:r>
          </w:p>
        </w:tc>
        <w:tc>
          <w:tcPr>
            <w:tcW w:w="1080" w:type="dxa"/>
            <w:vAlign w:val="center"/>
          </w:tcPr>
          <w:p w:rsidR="00867057" w:rsidRPr="00BA78CC" w:rsidRDefault="00867057" w:rsidP="00B438D2">
            <w:pPr>
              <w:jc w:val="center"/>
              <w:rPr>
                <w:rFonts w:ascii="Times New Roman" w:hAnsi="Times New Roman"/>
                <w:b/>
                <w:sz w:val="26"/>
                <w:szCs w:val="26"/>
              </w:rPr>
            </w:pPr>
            <w:r w:rsidRPr="00BA78CC">
              <w:rPr>
                <w:rFonts w:ascii="Times New Roman" w:hAnsi="Times New Roman"/>
                <w:b/>
                <w:sz w:val="26"/>
                <w:szCs w:val="26"/>
              </w:rPr>
              <w:t>$37,750</w:t>
            </w:r>
          </w:p>
        </w:tc>
        <w:tc>
          <w:tcPr>
            <w:tcW w:w="1260" w:type="dxa"/>
            <w:vAlign w:val="center"/>
          </w:tcPr>
          <w:p w:rsidR="00867057" w:rsidRPr="00BA78CC" w:rsidRDefault="00867057" w:rsidP="00B438D2">
            <w:pPr>
              <w:jc w:val="center"/>
              <w:rPr>
                <w:rFonts w:ascii="Times New Roman" w:hAnsi="Times New Roman"/>
                <w:b/>
                <w:sz w:val="26"/>
                <w:szCs w:val="26"/>
              </w:rPr>
            </w:pPr>
            <w:r w:rsidRPr="00BA78CC">
              <w:rPr>
                <w:rFonts w:ascii="Times New Roman" w:hAnsi="Times New Roman"/>
                <w:b/>
                <w:sz w:val="26"/>
                <w:szCs w:val="26"/>
              </w:rPr>
              <w:t>$37,750</w:t>
            </w:r>
          </w:p>
        </w:tc>
      </w:tr>
      <w:tr w:rsidR="00867057" w:rsidRPr="00BA78CC" w:rsidTr="00867057">
        <w:trPr>
          <w:trHeight w:val="440"/>
        </w:trPr>
        <w:tc>
          <w:tcPr>
            <w:tcW w:w="3060" w:type="dxa"/>
            <w:vAlign w:val="center"/>
          </w:tcPr>
          <w:p w:rsidR="00867057" w:rsidRPr="00BA78CC" w:rsidRDefault="00867057" w:rsidP="00B438D2">
            <w:pPr>
              <w:rPr>
                <w:rFonts w:ascii="Times New Roman" w:hAnsi="Times New Roman"/>
                <w:b/>
                <w:sz w:val="26"/>
                <w:szCs w:val="26"/>
              </w:rPr>
            </w:pPr>
            <w:r w:rsidRPr="00BA78CC">
              <w:rPr>
                <w:rFonts w:ascii="Times New Roman" w:hAnsi="Times New Roman"/>
                <w:b/>
                <w:sz w:val="26"/>
                <w:szCs w:val="26"/>
              </w:rPr>
              <w:t>TOTAL -5-YEARS</w:t>
            </w:r>
          </w:p>
        </w:tc>
        <w:tc>
          <w:tcPr>
            <w:tcW w:w="1170" w:type="dxa"/>
            <w:vAlign w:val="center"/>
          </w:tcPr>
          <w:p w:rsidR="00867057" w:rsidRPr="00BA78CC" w:rsidRDefault="00867057" w:rsidP="00B438D2">
            <w:pPr>
              <w:jc w:val="center"/>
              <w:rPr>
                <w:rFonts w:ascii="Times New Roman" w:hAnsi="Times New Roman"/>
                <w:b/>
                <w:sz w:val="26"/>
                <w:szCs w:val="26"/>
              </w:rPr>
            </w:pPr>
          </w:p>
        </w:tc>
        <w:tc>
          <w:tcPr>
            <w:tcW w:w="1080" w:type="dxa"/>
            <w:vAlign w:val="center"/>
          </w:tcPr>
          <w:p w:rsidR="00867057" w:rsidRPr="00BA78CC" w:rsidRDefault="00867057" w:rsidP="00B438D2">
            <w:pPr>
              <w:jc w:val="center"/>
              <w:rPr>
                <w:rFonts w:ascii="Times New Roman" w:hAnsi="Times New Roman"/>
                <w:b/>
                <w:sz w:val="26"/>
                <w:szCs w:val="26"/>
              </w:rPr>
            </w:pPr>
          </w:p>
        </w:tc>
        <w:tc>
          <w:tcPr>
            <w:tcW w:w="1080" w:type="dxa"/>
            <w:vAlign w:val="center"/>
          </w:tcPr>
          <w:p w:rsidR="00867057" w:rsidRPr="00BA78CC" w:rsidRDefault="00867057" w:rsidP="00B438D2">
            <w:pPr>
              <w:jc w:val="center"/>
              <w:rPr>
                <w:rFonts w:ascii="Times New Roman" w:hAnsi="Times New Roman"/>
                <w:b/>
                <w:sz w:val="26"/>
                <w:szCs w:val="26"/>
              </w:rPr>
            </w:pPr>
          </w:p>
        </w:tc>
        <w:tc>
          <w:tcPr>
            <w:tcW w:w="1080" w:type="dxa"/>
            <w:vAlign w:val="center"/>
          </w:tcPr>
          <w:p w:rsidR="00867057" w:rsidRPr="00BA78CC" w:rsidRDefault="00867057" w:rsidP="00B438D2">
            <w:pPr>
              <w:jc w:val="center"/>
              <w:rPr>
                <w:rFonts w:ascii="Times New Roman" w:hAnsi="Times New Roman"/>
                <w:b/>
                <w:sz w:val="26"/>
                <w:szCs w:val="26"/>
              </w:rPr>
            </w:pPr>
          </w:p>
        </w:tc>
        <w:tc>
          <w:tcPr>
            <w:tcW w:w="1260" w:type="dxa"/>
            <w:vAlign w:val="center"/>
          </w:tcPr>
          <w:p w:rsidR="00867057" w:rsidRPr="00BA78CC" w:rsidRDefault="00867057" w:rsidP="00B438D2">
            <w:pPr>
              <w:jc w:val="center"/>
              <w:rPr>
                <w:rFonts w:ascii="Times New Roman" w:hAnsi="Times New Roman"/>
                <w:b/>
                <w:sz w:val="26"/>
                <w:szCs w:val="26"/>
              </w:rPr>
            </w:pPr>
            <w:r w:rsidRPr="00BA78CC">
              <w:rPr>
                <w:rFonts w:ascii="Times New Roman" w:hAnsi="Times New Roman"/>
                <w:b/>
                <w:sz w:val="26"/>
                <w:szCs w:val="26"/>
              </w:rPr>
              <w:t>$186,750</w:t>
            </w:r>
          </w:p>
        </w:tc>
      </w:tr>
    </w:tbl>
    <w:p w:rsidR="0022403F" w:rsidRDefault="0022403F" w:rsidP="00D34655">
      <w:pPr>
        <w:pStyle w:val="BodyTextFirstIndent"/>
        <w:ind w:firstLine="0"/>
      </w:pPr>
    </w:p>
    <w:p w:rsidR="00600DB6" w:rsidRDefault="00567817" w:rsidP="00567817">
      <w:pPr>
        <w:pStyle w:val="Textstyle"/>
      </w:pPr>
      <w:r>
        <w:tab/>
      </w:r>
      <w:r w:rsidR="00600DB6">
        <w:t>In recognition of its proposals to further accelerate the pace and expand the scope of the DRR Program, VEDO also proposes to modify the $1.00 per</w:t>
      </w:r>
      <w:r w:rsidR="001F08BC">
        <w:t>-</w:t>
      </w:r>
      <w:r w:rsidR="00600DB6">
        <w:t>customer per</w:t>
      </w:r>
      <w:r w:rsidR="001F08BC">
        <w:t>-</w:t>
      </w:r>
      <w:r w:rsidR="00600DB6">
        <w:t>month cap on annual increases to the DRR rate that was established in the original Program.  VEDO proposes replacing the annual $1.00 cap with specifically</w:t>
      </w:r>
      <w:r w:rsidR="001F08BC">
        <w:t>-</w:t>
      </w:r>
      <w:r w:rsidR="00600DB6">
        <w:t xml:space="preserve">identified caps in each year of the </w:t>
      </w:r>
      <w:r w:rsidR="00BA2596">
        <w:t>extended</w:t>
      </w:r>
      <w:r w:rsidR="00600DB6">
        <w:t xml:space="preserve"> Program.  The caps that VEDO recommends are:</w:t>
      </w:r>
    </w:p>
    <w:p w:rsidR="00F952B8" w:rsidRDefault="00F952B8" w:rsidP="00567817">
      <w:pPr>
        <w:pStyle w:val="Textstyle"/>
      </w:pPr>
      <w:r>
        <w:br w:type="page"/>
      </w:r>
    </w:p>
    <w:tbl>
      <w:tblPr>
        <w:tblStyle w:val="TableGrid"/>
        <w:tblW w:w="0" w:type="auto"/>
        <w:tblInd w:w="648" w:type="dxa"/>
        <w:tblLook w:val="04A0" w:firstRow="1" w:lastRow="0" w:firstColumn="1" w:lastColumn="0" w:noHBand="0" w:noVBand="1"/>
      </w:tblPr>
      <w:tblGrid>
        <w:gridCol w:w="4230"/>
        <w:gridCol w:w="2340"/>
        <w:gridCol w:w="1350"/>
      </w:tblGrid>
      <w:tr w:rsidR="00600DB6" w:rsidRPr="00AC3D68" w:rsidTr="00B438D2">
        <w:trPr>
          <w:trHeight w:val="440"/>
        </w:trPr>
        <w:tc>
          <w:tcPr>
            <w:tcW w:w="4230" w:type="dxa"/>
            <w:vAlign w:val="center"/>
          </w:tcPr>
          <w:p w:rsidR="00600DB6" w:rsidRPr="00AC3D68" w:rsidRDefault="00600DB6" w:rsidP="00B438D2">
            <w:pPr>
              <w:jc w:val="center"/>
              <w:rPr>
                <w:rFonts w:ascii="Times New Roman" w:hAnsi="Times New Roman"/>
                <w:b/>
                <w:sz w:val="26"/>
                <w:szCs w:val="26"/>
                <w:u w:val="single"/>
              </w:rPr>
            </w:pPr>
            <w:r>
              <w:lastRenderedPageBreak/>
              <w:t xml:space="preserve"> </w:t>
            </w:r>
            <w:r w:rsidRPr="00AC3D68">
              <w:rPr>
                <w:rFonts w:ascii="Times New Roman" w:hAnsi="Times New Roman"/>
                <w:b/>
                <w:sz w:val="26"/>
                <w:szCs w:val="26"/>
                <w:u w:val="single"/>
              </w:rPr>
              <w:t>Annual Rate Period</w:t>
            </w:r>
          </w:p>
        </w:tc>
        <w:tc>
          <w:tcPr>
            <w:tcW w:w="2340" w:type="dxa"/>
            <w:vAlign w:val="center"/>
          </w:tcPr>
          <w:p w:rsidR="00600DB6" w:rsidRPr="00AC3D68" w:rsidRDefault="00600DB6" w:rsidP="00B438D2">
            <w:pPr>
              <w:jc w:val="center"/>
              <w:rPr>
                <w:rFonts w:ascii="Times New Roman" w:hAnsi="Times New Roman"/>
                <w:b/>
                <w:sz w:val="26"/>
                <w:szCs w:val="26"/>
                <w:u w:val="single"/>
              </w:rPr>
            </w:pPr>
            <w:r w:rsidRPr="00AC3D68">
              <w:rPr>
                <w:rFonts w:ascii="Times New Roman" w:hAnsi="Times New Roman"/>
                <w:b/>
                <w:sz w:val="26"/>
                <w:szCs w:val="26"/>
                <w:u w:val="single"/>
              </w:rPr>
              <w:t>Rate Cap</w:t>
            </w:r>
          </w:p>
          <w:p w:rsidR="00600DB6" w:rsidRDefault="00600DB6" w:rsidP="00B438D2">
            <w:pPr>
              <w:jc w:val="center"/>
              <w:rPr>
                <w:rFonts w:ascii="Times New Roman" w:hAnsi="Times New Roman"/>
                <w:sz w:val="26"/>
                <w:szCs w:val="26"/>
                <w:u w:val="single"/>
              </w:rPr>
            </w:pPr>
            <w:r w:rsidRPr="00AC3D68">
              <w:rPr>
                <w:rFonts w:ascii="Times New Roman" w:hAnsi="Times New Roman"/>
                <w:sz w:val="26"/>
                <w:szCs w:val="26"/>
                <w:u w:val="single"/>
              </w:rPr>
              <w:t xml:space="preserve">(per customer, </w:t>
            </w:r>
          </w:p>
          <w:p w:rsidR="00600DB6" w:rsidRPr="00AC3D68" w:rsidRDefault="00600DB6" w:rsidP="00B438D2">
            <w:pPr>
              <w:jc w:val="center"/>
              <w:rPr>
                <w:rFonts w:ascii="Times New Roman" w:hAnsi="Times New Roman"/>
                <w:sz w:val="26"/>
                <w:szCs w:val="26"/>
                <w:u w:val="single"/>
              </w:rPr>
            </w:pPr>
            <w:r w:rsidRPr="00AC3D68">
              <w:rPr>
                <w:rFonts w:ascii="Times New Roman" w:hAnsi="Times New Roman"/>
                <w:sz w:val="26"/>
                <w:szCs w:val="26"/>
                <w:u w:val="single"/>
              </w:rPr>
              <w:t>per month)</w:t>
            </w:r>
          </w:p>
        </w:tc>
        <w:tc>
          <w:tcPr>
            <w:tcW w:w="1350" w:type="dxa"/>
            <w:vAlign w:val="center"/>
          </w:tcPr>
          <w:p w:rsidR="00600DB6" w:rsidRPr="00AC3D68" w:rsidRDefault="00600DB6" w:rsidP="00B438D2">
            <w:pPr>
              <w:jc w:val="center"/>
              <w:rPr>
                <w:rFonts w:ascii="Times New Roman" w:hAnsi="Times New Roman"/>
                <w:b/>
                <w:sz w:val="26"/>
                <w:szCs w:val="26"/>
                <w:u w:val="single"/>
              </w:rPr>
            </w:pPr>
            <w:r w:rsidRPr="00AC3D68">
              <w:rPr>
                <w:rFonts w:ascii="Times New Roman" w:hAnsi="Times New Roman"/>
                <w:b/>
                <w:sz w:val="26"/>
                <w:szCs w:val="26"/>
                <w:u w:val="single"/>
              </w:rPr>
              <w:t>Annual Increase</w:t>
            </w:r>
          </w:p>
        </w:tc>
      </w:tr>
      <w:tr w:rsidR="00600DB6" w:rsidRPr="00AC3D68" w:rsidTr="00B438D2">
        <w:trPr>
          <w:trHeight w:val="377"/>
        </w:trPr>
        <w:tc>
          <w:tcPr>
            <w:tcW w:w="4230" w:type="dxa"/>
            <w:vAlign w:val="center"/>
          </w:tcPr>
          <w:p w:rsidR="00600DB6" w:rsidRPr="00AC3D68" w:rsidRDefault="00600DB6" w:rsidP="00B438D2">
            <w:pPr>
              <w:rPr>
                <w:rFonts w:ascii="Times New Roman" w:hAnsi="Times New Roman"/>
                <w:sz w:val="26"/>
                <w:szCs w:val="26"/>
              </w:rPr>
            </w:pPr>
            <w:r w:rsidRPr="00AC3D68">
              <w:rPr>
                <w:rFonts w:ascii="Times New Roman" w:hAnsi="Times New Roman"/>
                <w:sz w:val="26"/>
                <w:szCs w:val="26"/>
              </w:rPr>
              <w:t>September 1, 2014-August 31, 2015</w:t>
            </w:r>
          </w:p>
        </w:tc>
        <w:tc>
          <w:tcPr>
            <w:tcW w:w="2340" w:type="dxa"/>
            <w:vAlign w:val="center"/>
          </w:tcPr>
          <w:p w:rsidR="00600DB6" w:rsidRPr="00AC3D68" w:rsidRDefault="00600DB6" w:rsidP="00B438D2">
            <w:pPr>
              <w:jc w:val="center"/>
              <w:rPr>
                <w:rFonts w:ascii="Times New Roman" w:hAnsi="Times New Roman"/>
                <w:sz w:val="26"/>
                <w:szCs w:val="26"/>
              </w:rPr>
            </w:pPr>
            <w:r w:rsidRPr="00AC3D68">
              <w:rPr>
                <w:rFonts w:ascii="Times New Roman" w:hAnsi="Times New Roman"/>
                <w:sz w:val="26"/>
                <w:szCs w:val="26"/>
              </w:rPr>
              <w:t>$4.05</w:t>
            </w:r>
          </w:p>
        </w:tc>
        <w:tc>
          <w:tcPr>
            <w:tcW w:w="1350" w:type="dxa"/>
            <w:vAlign w:val="center"/>
          </w:tcPr>
          <w:p w:rsidR="00600DB6" w:rsidRPr="00AC3D68" w:rsidRDefault="00600DB6" w:rsidP="00B438D2">
            <w:pPr>
              <w:jc w:val="center"/>
              <w:rPr>
                <w:rFonts w:ascii="Times New Roman" w:hAnsi="Times New Roman"/>
                <w:sz w:val="26"/>
                <w:szCs w:val="26"/>
              </w:rPr>
            </w:pPr>
            <w:r>
              <w:rPr>
                <w:rFonts w:ascii="Times New Roman" w:hAnsi="Times New Roman"/>
                <w:sz w:val="26"/>
                <w:szCs w:val="26"/>
              </w:rPr>
              <w:t>-</w:t>
            </w:r>
          </w:p>
        </w:tc>
      </w:tr>
      <w:tr w:rsidR="00600DB6" w:rsidRPr="00AC3D68" w:rsidTr="00B438D2">
        <w:trPr>
          <w:trHeight w:val="350"/>
        </w:trPr>
        <w:tc>
          <w:tcPr>
            <w:tcW w:w="4230" w:type="dxa"/>
            <w:vAlign w:val="center"/>
          </w:tcPr>
          <w:p w:rsidR="00600DB6" w:rsidRPr="00AC3D68" w:rsidRDefault="00600DB6" w:rsidP="00B438D2">
            <w:pPr>
              <w:rPr>
                <w:rFonts w:ascii="Times New Roman" w:hAnsi="Times New Roman"/>
                <w:sz w:val="26"/>
                <w:szCs w:val="26"/>
              </w:rPr>
            </w:pPr>
            <w:r w:rsidRPr="00AC3D68">
              <w:rPr>
                <w:rFonts w:ascii="Times New Roman" w:hAnsi="Times New Roman"/>
                <w:sz w:val="26"/>
                <w:szCs w:val="26"/>
              </w:rPr>
              <w:t>September 1, 2015-August 31, 2016</w:t>
            </w:r>
          </w:p>
        </w:tc>
        <w:tc>
          <w:tcPr>
            <w:tcW w:w="2340" w:type="dxa"/>
            <w:vAlign w:val="center"/>
          </w:tcPr>
          <w:p w:rsidR="00600DB6" w:rsidRPr="00AC3D68" w:rsidRDefault="00600DB6" w:rsidP="00B438D2">
            <w:pPr>
              <w:jc w:val="center"/>
              <w:rPr>
                <w:rFonts w:ascii="Times New Roman" w:hAnsi="Times New Roman"/>
                <w:sz w:val="26"/>
                <w:szCs w:val="26"/>
              </w:rPr>
            </w:pPr>
            <w:r w:rsidRPr="00AC3D68">
              <w:rPr>
                <w:rFonts w:ascii="Times New Roman" w:hAnsi="Times New Roman"/>
                <w:sz w:val="26"/>
                <w:szCs w:val="26"/>
              </w:rPr>
              <w:t>$5.45</w:t>
            </w:r>
          </w:p>
        </w:tc>
        <w:tc>
          <w:tcPr>
            <w:tcW w:w="1350" w:type="dxa"/>
            <w:vAlign w:val="center"/>
          </w:tcPr>
          <w:p w:rsidR="00600DB6" w:rsidRPr="00AC3D68" w:rsidRDefault="00600DB6" w:rsidP="00B438D2">
            <w:pPr>
              <w:jc w:val="center"/>
              <w:rPr>
                <w:rFonts w:ascii="Times New Roman" w:hAnsi="Times New Roman"/>
                <w:sz w:val="26"/>
                <w:szCs w:val="26"/>
              </w:rPr>
            </w:pPr>
            <w:r w:rsidRPr="00AC3D68">
              <w:rPr>
                <w:rFonts w:ascii="Times New Roman" w:hAnsi="Times New Roman"/>
                <w:sz w:val="26"/>
                <w:szCs w:val="26"/>
              </w:rPr>
              <w:t>$1.40</w:t>
            </w:r>
          </w:p>
        </w:tc>
      </w:tr>
      <w:tr w:rsidR="00600DB6" w:rsidRPr="00AC3D68" w:rsidTr="00B438D2">
        <w:trPr>
          <w:trHeight w:val="350"/>
        </w:trPr>
        <w:tc>
          <w:tcPr>
            <w:tcW w:w="4230" w:type="dxa"/>
            <w:vAlign w:val="center"/>
          </w:tcPr>
          <w:p w:rsidR="00600DB6" w:rsidRPr="00AC3D68" w:rsidRDefault="00600DB6" w:rsidP="00B438D2">
            <w:pPr>
              <w:rPr>
                <w:rFonts w:ascii="Times New Roman" w:hAnsi="Times New Roman"/>
                <w:sz w:val="26"/>
                <w:szCs w:val="26"/>
              </w:rPr>
            </w:pPr>
            <w:r w:rsidRPr="00AC3D68">
              <w:rPr>
                <w:rFonts w:ascii="Times New Roman" w:hAnsi="Times New Roman"/>
                <w:sz w:val="26"/>
                <w:szCs w:val="26"/>
              </w:rPr>
              <w:t>September 1, 2016-August 31, 2017</w:t>
            </w:r>
          </w:p>
        </w:tc>
        <w:tc>
          <w:tcPr>
            <w:tcW w:w="2340" w:type="dxa"/>
            <w:vAlign w:val="center"/>
          </w:tcPr>
          <w:p w:rsidR="00600DB6" w:rsidRPr="00AC3D68" w:rsidRDefault="00600DB6" w:rsidP="00B438D2">
            <w:pPr>
              <w:jc w:val="center"/>
              <w:rPr>
                <w:rFonts w:ascii="Times New Roman" w:hAnsi="Times New Roman"/>
                <w:sz w:val="26"/>
                <w:szCs w:val="26"/>
              </w:rPr>
            </w:pPr>
            <w:r w:rsidRPr="00AC3D68">
              <w:rPr>
                <w:rFonts w:ascii="Times New Roman" w:hAnsi="Times New Roman"/>
                <w:sz w:val="26"/>
                <w:szCs w:val="26"/>
              </w:rPr>
              <w:t>$6.70</w:t>
            </w:r>
          </w:p>
        </w:tc>
        <w:tc>
          <w:tcPr>
            <w:tcW w:w="1350" w:type="dxa"/>
            <w:vAlign w:val="center"/>
          </w:tcPr>
          <w:p w:rsidR="00600DB6" w:rsidRPr="00AC3D68" w:rsidRDefault="00600DB6" w:rsidP="00B438D2">
            <w:pPr>
              <w:jc w:val="center"/>
              <w:rPr>
                <w:rFonts w:ascii="Times New Roman" w:hAnsi="Times New Roman"/>
                <w:sz w:val="26"/>
                <w:szCs w:val="26"/>
              </w:rPr>
            </w:pPr>
            <w:r w:rsidRPr="00AC3D68">
              <w:rPr>
                <w:rFonts w:ascii="Times New Roman" w:hAnsi="Times New Roman"/>
                <w:sz w:val="26"/>
                <w:szCs w:val="26"/>
              </w:rPr>
              <w:t>$1.25</w:t>
            </w:r>
          </w:p>
        </w:tc>
      </w:tr>
      <w:tr w:rsidR="00600DB6" w:rsidRPr="00AC3D68" w:rsidTr="00B438D2">
        <w:trPr>
          <w:trHeight w:val="350"/>
        </w:trPr>
        <w:tc>
          <w:tcPr>
            <w:tcW w:w="4230" w:type="dxa"/>
            <w:vAlign w:val="center"/>
          </w:tcPr>
          <w:p w:rsidR="00600DB6" w:rsidRPr="00AC3D68" w:rsidRDefault="00600DB6" w:rsidP="00B438D2">
            <w:pPr>
              <w:rPr>
                <w:rFonts w:ascii="Times New Roman" w:hAnsi="Times New Roman"/>
                <w:sz w:val="26"/>
                <w:szCs w:val="26"/>
              </w:rPr>
            </w:pPr>
            <w:r w:rsidRPr="00AC3D68">
              <w:rPr>
                <w:rFonts w:ascii="Times New Roman" w:hAnsi="Times New Roman"/>
                <w:sz w:val="26"/>
                <w:szCs w:val="26"/>
              </w:rPr>
              <w:t>September 1, 2017-August 31, 2018</w:t>
            </w:r>
          </w:p>
        </w:tc>
        <w:tc>
          <w:tcPr>
            <w:tcW w:w="2340" w:type="dxa"/>
            <w:vAlign w:val="center"/>
          </w:tcPr>
          <w:p w:rsidR="00600DB6" w:rsidRPr="00AC3D68" w:rsidRDefault="00600DB6" w:rsidP="00B438D2">
            <w:pPr>
              <w:jc w:val="center"/>
              <w:rPr>
                <w:rFonts w:ascii="Times New Roman" w:hAnsi="Times New Roman"/>
                <w:sz w:val="26"/>
                <w:szCs w:val="26"/>
              </w:rPr>
            </w:pPr>
            <w:r w:rsidRPr="00AC3D68">
              <w:rPr>
                <w:rFonts w:ascii="Times New Roman" w:hAnsi="Times New Roman"/>
                <w:sz w:val="26"/>
                <w:szCs w:val="26"/>
              </w:rPr>
              <w:t>$8.00</w:t>
            </w:r>
          </w:p>
        </w:tc>
        <w:tc>
          <w:tcPr>
            <w:tcW w:w="1350" w:type="dxa"/>
            <w:vAlign w:val="center"/>
          </w:tcPr>
          <w:p w:rsidR="00600DB6" w:rsidRPr="00AC3D68" w:rsidRDefault="00600DB6" w:rsidP="00B438D2">
            <w:pPr>
              <w:jc w:val="center"/>
              <w:rPr>
                <w:rFonts w:ascii="Times New Roman" w:hAnsi="Times New Roman"/>
                <w:sz w:val="26"/>
                <w:szCs w:val="26"/>
              </w:rPr>
            </w:pPr>
            <w:r w:rsidRPr="00AC3D68">
              <w:rPr>
                <w:rFonts w:ascii="Times New Roman" w:hAnsi="Times New Roman"/>
                <w:sz w:val="26"/>
                <w:szCs w:val="26"/>
              </w:rPr>
              <w:t>$1.30</w:t>
            </w:r>
          </w:p>
        </w:tc>
      </w:tr>
      <w:tr w:rsidR="00600DB6" w:rsidRPr="00AC3D68" w:rsidTr="00B438D2">
        <w:trPr>
          <w:trHeight w:val="350"/>
        </w:trPr>
        <w:tc>
          <w:tcPr>
            <w:tcW w:w="4230" w:type="dxa"/>
            <w:vAlign w:val="center"/>
          </w:tcPr>
          <w:p w:rsidR="00600DB6" w:rsidRPr="00AC3D68" w:rsidRDefault="00600DB6" w:rsidP="00B438D2">
            <w:pPr>
              <w:rPr>
                <w:rFonts w:ascii="Times New Roman" w:hAnsi="Times New Roman"/>
                <w:sz w:val="26"/>
                <w:szCs w:val="26"/>
              </w:rPr>
            </w:pPr>
            <w:r w:rsidRPr="00AC3D68">
              <w:rPr>
                <w:rFonts w:ascii="Times New Roman" w:hAnsi="Times New Roman"/>
                <w:sz w:val="26"/>
                <w:szCs w:val="26"/>
              </w:rPr>
              <w:t>September 1, 2018-August 31, 2019</w:t>
            </w:r>
          </w:p>
        </w:tc>
        <w:tc>
          <w:tcPr>
            <w:tcW w:w="2340" w:type="dxa"/>
            <w:vAlign w:val="center"/>
          </w:tcPr>
          <w:p w:rsidR="00600DB6" w:rsidRPr="00AC3D68" w:rsidRDefault="00600DB6" w:rsidP="00B438D2">
            <w:pPr>
              <w:jc w:val="center"/>
              <w:rPr>
                <w:rFonts w:ascii="Times New Roman" w:hAnsi="Times New Roman"/>
                <w:sz w:val="26"/>
                <w:szCs w:val="26"/>
              </w:rPr>
            </w:pPr>
            <w:r w:rsidRPr="00AC3D68">
              <w:rPr>
                <w:rFonts w:ascii="Times New Roman" w:hAnsi="Times New Roman"/>
                <w:sz w:val="26"/>
                <w:szCs w:val="26"/>
              </w:rPr>
              <w:t>$9.25</w:t>
            </w:r>
          </w:p>
        </w:tc>
        <w:tc>
          <w:tcPr>
            <w:tcW w:w="1350" w:type="dxa"/>
            <w:vAlign w:val="center"/>
          </w:tcPr>
          <w:p w:rsidR="00600DB6" w:rsidRPr="00AC3D68" w:rsidRDefault="00600DB6" w:rsidP="00B438D2">
            <w:pPr>
              <w:jc w:val="center"/>
              <w:rPr>
                <w:rFonts w:ascii="Times New Roman" w:hAnsi="Times New Roman"/>
                <w:sz w:val="26"/>
                <w:szCs w:val="26"/>
              </w:rPr>
            </w:pPr>
            <w:r w:rsidRPr="00AC3D68">
              <w:rPr>
                <w:rFonts w:ascii="Times New Roman" w:hAnsi="Times New Roman"/>
                <w:sz w:val="26"/>
                <w:szCs w:val="26"/>
              </w:rPr>
              <w:t>$1.25</w:t>
            </w:r>
          </w:p>
        </w:tc>
      </w:tr>
    </w:tbl>
    <w:p w:rsidR="00600DB6" w:rsidRDefault="00600DB6" w:rsidP="0022403F">
      <w:pPr>
        <w:pStyle w:val="BodyTextFirstIndent"/>
      </w:pPr>
      <w:r>
        <w:t xml:space="preserve">   </w:t>
      </w:r>
    </w:p>
    <w:p w:rsidR="00AA5BC0" w:rsidRDefault="00567817" w:rsidP="00567817">
      <w:pPr>
        <w:pStyle w:val="Textstyle"/>
      </w:pPr>
      <w:r>
        <w:tab/>
      </w:r>
      <w:r w:rsidR="00AA5BC0">
        <w:t>Lastly, the Company proposes that, except for the changes that it recommends, all other DRR processes, filings, timelines, etc. would remain as approved in Case No. 07-1080-GA-AIR.</w:t>
      </w:r>
      <w:r w:rsidR="00AA5BC0">
        <w:rPr>
          <w:rStyle w:val="FootnoteReference"/>
        </w:rPr>
        <w:footnoteReference w:id="16"/>
      </w:r>
    </w:p>
    <w:p w:rsidR="00A22BEC" w:rsidRPr="0095004E" w:rsidRDefault="00567817" w:rsidP="00567817">
      <w:pPr>
        <w:pStyle w:val="Textstyle"/>
      </w:pPr>
      <w:r>
        <w:tab/>
      </w:r>
      <w:r w:rsidR="0022403F">
        <w:t>In support of its Application</w:t>
      </w:r>
      <w:r w:rsidR="001F08BC">
        <w:t>,</w:t>
      </w:r>
      <w:r w:rsidR="0022403F">
        <w:t xml:space="preserve"> VEDO provided several exhibits and the testimony of Scott E. Albertson, Vice President, Regulatory Affairs and James M. Francis, Director of Engineering and Asset Management. </w:t>
      </w:r>
      <w:r w:rsidR="000E6879" w:rsidRPr="0095004E">
        <w:t xml:space="preserve"> </w:t>
      </w:r>
    </w:p>
    <w:p w:rsidR="00A22BEC" w:rsidRPr="0095004E" w:rsidRDefault="00B0485D" w:rsidP="0095004E">
      <w:pPr>
        <w:pStyle w:val="Heading1"/>
        <w:rPr>
          <w:b w:val="0"/>
        </w:rPr>
      </w:pPr>
      <w:bookmarkStart w:id="3" w:name="_Toc370912409"/>
      <w:r>
        <w:t>STAFF’S INVESTIGATION</w:t>
      </w:r>
      <w:bookmarkEnd w:id="3"/>
    </w:p>
    <w:p w:rsidR="00A22BEC" w:rsidRPr="0095004E" w:rsidRDefault="00567817" w:rsidP="00567817">
      <w:pPr>
        <w:pStyle w:val="Textstyle"/>
      </w:pPr>
      <w:r>
        <w:tab/>
      </w:r>
      <w:r w:rsidR="00A22BEC" w:rsidRPr="0095004E">
        <w:t xml:space="preserve">The Staff reviewed </w:t>
      </w:r>
      <w:r w:rsidR="0022403F">
        <w:t>VED</w:t>
      </w:r>
      <w:r w:rsidR="00A22BEC" w:rsidRPr="0095004E">
        <w:t xml:space="preserve">O’s </w:t>
      </w:r>
      <w:r w:rsidR="0022403F">
        <w:t>Application</w:t>
      </w:r>
      <w:r w:rsidR="00A92810">
        <w:t>,</w:t>
      </w:r>
      <w:r w:rsidR="0022403F">
        <w:t xml:space="preserve"> </w:t>
      </w:r>
      <w:r w:rsidR="00A22BEC" w:rsidRPr="0095004E">
        <w:t xml:space="preserve">supporting </w:t>
      </w:r>
      <w:r w:rsidR="00AF53BD">
        <w:t>exhibits</w:t>
      </w:r>
      <w:r w:rsidR="00A92810">
        <w:t>,</w:t>
      </w:r>
      <w:r w:rsidR="00AF53BD">
        <w:t xml:space="preserve"> and </w:t>
      </w:r>
      <w:r w:rsidR="00A92810">
        <w:t>testimony;</w:t>
      </w:r>
      <w:r w:rsidR="00A22BEC" w:rsidRPr="0095004E">
        <w:t xml:space="preserve"> iss</w:t>
      </w:r>
      <w:r w:rsidR="00A92810">
        <w:t>ued formal information requests;</w:t>
      </w:r>
      <w:r w:rsidR="00A22BEC" w:rsidRPr="0095004E">
        <w:t xml:space="preserve"> attended </w:t>
      </w:r>
      <w:r w:rsidR="00CA7174" w:rsidRPr="0095004E">
        <w:t xml:space="preserve">Company </w:t>
      </w:r>
      <w:r w:rsidR="00A22BEC" w:rsidRPr="0095004E">
        <w:t>presentations</w:t>
      </w:r>
      <w:r w:rsidR="00A92810">
        <w:t>;</w:t>
      </w:r>
      <w:r w:rsidR="00A22BEC" w:rsidRPr="0095004E">
        <w:t xml:space="preserve"> </w:t>
      </w:r>
      <w:r w:rsidR="00AF53BD">
        <w:t>requested follow-up and additional detail when necessary</w:t>
      </w:r>
      <w:r w:rsidR="00A92810">
        <w:t>;</w:t>
      </w:r>
      <w:r w:rsidR="00A22BEC" w:rsidRPr="0095004E">
        <w:t xml:space="preserve"> and researched past cases and relevant Commis</w:t>
      </w:r>
      <w:r w:rsidR="007C2F8F">
        <w:softHyphen/>
      </w:r>
      <w:r w:rsidR="00A22BEC" w:rsidRPr="0095004E">
        <w:t xml:space="preserve">sion precedent to reach </w:t>
      </w:r>
      <w:r w:rsidR="00CA7174" w:rsidRPr="0095004E">
        <w:t>the</w:t>
      </w:r>
      <w:r w:rsidR="00A22BEC" w:rsidRPr="0095004E">
        <w:t xml:space="preserve"> findings</w:t>
      </w:r>
      <w:r w:rsidR="00CA7174" w:rsidRPr="0095004E">
        <w:t xml:space="preserve"> and recommendations presented in these </w:t>
      </w:r>
      <w:r w:rsidR="00AF53BD">
        <w:t>C</w:t>
      </w:r>
      <w:r w:rsidR="00CA7174" w:rsidRPr="0095004E">
        <w:t>omments.  The Staff’s findings and recommendations</w:t>
      </w:r>
      <w:r w:rsidR="001F08BC">
        <w:t>,</w:t>
      </w:r>
      <w:r w:rsidR="00CA7174" w:rsidRPr="0095004E">
        <w:t xml:space="preserve"> by topic area</w:t>
      </w:r>
      <w:r w:rsidR="001F08BC">
        <w:t>,</w:t>
      </w:r>
      <w:r w:rsidR="00CA7174" w:rsidRPr="0095004E">
        <w:t xml:space="preserve"> are set forth below.</w:t>
      </w:r>
      <w:r w:rsidR="00A22BEC" w:rsidRPr="0095004E">
        <w:t xml:space="preserve"> </w:t>
      </w:r>
    </w:p>
    <w:p w:rsidR="00CA7174" w:rsidRPr="0095004E" w:rsidRDefault="00B0485D" w:rsidP="003E6004">
      <w:pPr>
        <w:pStyle w:val="Heading1"/>
      </w:pPr>
      <w:bookmarkStart w:id="4" w:name="_Toc370912410"/>
      <w:r>
        <w:lastRenderedPageBreak/>
        <w:t>STAFF’S COMMENTS AND RECOMMENDATIONS BY TOPIC AREA</w:t>
      </w:r>
      <w:bookmarkEnd w:id="4"/>
    </w:p>
    <w:p w:rsidR="00CA7174" w:rsidRDefault="00CA7174" w:rsidP="003E6004">
      <w:pPr>
        <w:pStyle w:val="Heading2"/>
      </w:pPr>
      <w:bookmarkStart w:id="5" w:name="_Toc370912411"/>
      <w:r w:rsidRPr="00787FFA">
        <w:t>Modifications to the PIR Program Scope:</w:t>
      </w:r>
      <w:bookmarkEnd w:id="5"/>
    </w:p>
    <w:p w:rsidR="002A0F05" w:rsidRPr="0095004E" w:rsidRDefault="003E6004" w:rsidP="003E6004">
      <w:pPr>
        <w:pStyle w:val="Heading3"/>
      </w:pPr>
      <w:bookmarkStart w:id="6" w:name="_Toc370912412"/>
      <w:r>
        <w:t>1.</w:t>
      </w:r>
      <w:r>
        <w:tab/>
      </w:r>
      <w:r w:rsidR="002A0F05" w:rsidRPr="0095004E">
        <w:t>Ineffectively Coated Pipeline</w:t>
      </w:r>
      <w:bookmarkEnd w:id="6"/>
      <w:r w:rsidR="002A0F05" w:rsidRPr="0095004E">
        <w:t xml:space="preserve"> </w:t>
      </w:r>
      <w:r w:rsidR="00C95CC9">
        <w:t xml:space="preserve"> </w:t>
      </w:r>
    </w:p>
    <w:p w:rsidR="002A0F05" w:rsidRPr="00787FFA" w:rsidRDefault="00DA6B4B" w:rsidP="00567817">
      <w:pPr>
        <w:pStyle w:val="Textstyle"/>
      </w:pPr>
      <w:r w:rsidRPr="00787FFA">
        <w:tab/>
      </w:r>
      <w:r w:rsidR="00787FFA" w:rsidRPr="00787FFA">
        <w:t xml:space="preserve">VEDO states that its system includes approximately 1,900 miles of coated-steel distribution main that was installed prior to 1971.  VEDO proposes to recover through the DRR the costs of verifying sections of ineffectively coated steel pipe and replacing those sections that have been ineffectively coated.  Staff agrees that field-coated steel pipe installed prior to 1955 should be replaced and the associated cost should be included in the DRR.  </w:t>
      </w:r>
      <w:r w:rsidR="00774E36" w:rsidRPr="00787FFA">
        <w:t>However, VEDO should not need to conduct testing to make such determina</w:t>
      </w:r>
      <w:r w:rsidR="007C2F8F">
        <w:softHyphen/>
      </w:r>
      <w:r w:rsidR="00774E36" w:rsidRPr="00787FFA">
        <w:t xml:space="preserve">tions because it </w:t>
      </w:r>
      <w:r w:rsidR="00774E36">
        <w:t>should have documentation in it</w:t>
      </w:r>
      <w:r w:rsidR="00774E36" w:rsidRPr="00787FFA">
        <w:t xml:space="preserve">s records that such pipe was field coated and installed prior to 1955.  </w:t>
      </w:r>
      <w:r w:rsidR="00787FFA" w:rsidRPr="00787FFA">
        <w:t>Staff believes that VEDO should be allowed to recover the cost of replacing coated pipe installed beginning in 1955 and prior to 1971,</w:t>
      </w:r>
      <w:r w:rsidR="00787FFA" w:rsidRPr="00787FFA" w:rsidDel="00A43572">
        <w:t xml:space="preserve"> </w:t>
      </w:r>
      <w:r w:rsidR="00787FFA" w:rsidRPr="00787FFA">
        <w:t>but only if the pipe fails a cathodic-protection test.  The cost of such testing should be recoverable through the DRR, but only in those instances where test results indicate that the pipe fails the test and VEDO is able to document such results.</w:t>
      </w:r>
    </w:p>
    <w:p w:rsidR="00787FFA" w:rsidRPr="00F7467F" w:rsidRDefault="003E6004" w:rsidP="003E6004">
      <w:pPr>
        <w:pStyle w:val="Heading3"/>
      </w:pPr>
      <w:bookmarkStart w:id="7" w:name="_Toc370912413"/>
      <w:r>
        <w:t>2.</w:t>
      </w:r>
      <w:r>
        <w:tab/>
      </w:r>
      <w:r w:rsidR="00787FFA" w:rsidRPr="00F7467F">
        <w:t>Obsolete Pipe and Appurtenances</w:t>
      </w:r>
      <w:bookmarkEnd w:id="7"/>
      <w:r w:rsidR="00C95CC9" w:rsidRPr="00F7467F">
        <w:t xml:space="preserve">  </w:t>
      </w:r>
    </w:p>
    <w:p w:rsidR="002A0F05" w:rsidRPr="0095004E" w:rsidRDefault="00DA6B4B" w:rsidP="00567817">
      <w:pPr>
        <w:pStyle w:val="Textstyle"/>
      </w:pPr>
      <w:r>
        <w:tab/>
      </w:r>
      <w:r w:rsidR="00787FFA" w:rsidRPr="00787FFA">
        <w:t>VEDO proposes to recover through the DRR the costs of replacing obsolete pipe and appurtenances when these assets are encountered during the replacement of cast-iron, bare-steel, or ineffectively-coated steel pipe.  Such obsolete items involve pipelines and system components for which replacement parts and related materials are no longer availa</w:t>
      </w:r>
      <w:r w:rsidR="007C2F8F">
        <w:softHyphen/>
      </w:r>
      <w:r w:rsidR="00787FFA" w:rsidRPr="00787FFA">
        <w:t>ble.  Examples include obsolete regulators, regulator-station components, non-</w:t>
      </w:r>
      <w:r w:rsidR="00787FFA" w:rsidRPr="00787FFA">
        <w:lastRenderedPageBreak/>
        <w:t>stand</w:t>
      </w:r>
      <w:r w:rsidR="007C2F8F">
        <w:softHyphen/>
      </w:r>
      <w:r w:rsidR="00787FFA" w:rsidRPr="00787FFA">
        <w:t>ard sizes and grades of steel pipe, and pipe processed with non-standard manufactur</w:t>
      </w:r>
      <w:r w:rsidR="007C2F8F">
        <w:softHyphen/>
      </w:r>
      <w:r w:rsidR="00787FFA" w:rsidRPr="00787FFA">
        <w:t xml:space="preserve">ing processes.  Staff supports VEDO’s proposal to recover through the DRR the cost of replacing obsolete pipe and appurtenances to the extent that such facilities are encountered within the context of a main replacement project where the primary focus is the replacement of cast-iron, bare-steel, or ineffectively-coated steel pipe. </w:t>
      </w:r>
      <w:r w:rsidR="002A0F05" w:rsidRPr="0095004E">
        <w:t xml:space="preserve">   </w:t>
      </w:r>
    </w:p>
    <w:p w:rsidR="002A0F05" w:rsidRPr="0095004E" w:rsidRDefault="003E6004" w:rsidP="003E6004">
      <w:pPr>
        <w:pStyle w:val="Heading3"/>
      </w:pPr>
      <w:bookmarkStart w:id="8" w:name="_Toc370912414"/>
      <w:r>
        <w:t>3.</w:t>
      </w:r>
      <w:r>
        <w:tab/>
      </w:r>
      <w:r w:rsidR="00787FFA" w:rsidRPr="00787FFA">
        <w:t>Vintage Plastic Pipe</w:t>
      </w:r>
      <w:bookmarkEnd w:id="8"/>
      <w:r w:rsidR="002A0F05" w:rsidRPr="0095004E">
        <w:t xml:space="preserve"> </w:t>
      </w:r>
      <w:r w:rsidR="00C95CC9">
        <w:t xml:space="preserve"> </w:t>
      </w:r>
    </w:p>
    <w:p w:rsidR="002A0F05" w:rsidRPr="0095004E" w:rsidRDefault="00DA6B4B" w:rsidP="00567817">
      <w:pPr>
        <w:pStyle w:val="Textstyle"/>
      </w:pPr>
      <w:r>
        <w:tab/>
      </w:r>
      <w:r w:rsidR="00787FFA" w:rsidRPr="00787FFA">
        <w:t>VEDO proposes to recover through the DRR the cost of replacing vintage plastic pipe when it is encountered in association with a DRR Replacement Project.  Although Staff understands VEDO’s concerns about vintage plastic, Staff emphasizes that the pri</w:t>
      </w:r>
      <w:r w:rsidR="007C2F8F">
        <w:softHyphen/>
      </w:r>
      <w:r w:rsidR="00787FFA" w:rsidRPr="00787FFA">
        <w:t>mary purpose of the Replacement Program is the replacement of bare s</w:t>
      </w:r>
      <w:r w:rsidR="00ED792E">
        <w:t>teel and cast iron pipe.  Staff s</w:t>
      </w:r>
      <w:r w:rsidR="00787FFA" w:rsidRPr="00787FFA">
        <w:t>upports VEDO’s proposal, but only to the extent that the total footage of vin</w:t>
      </w:r>
      <w:r w:rsidR="007C2F8F">
        <w:softHyphen/>
      </w:r>
      <w:r w:rsidR="00787FFA" w:rsidRPr="00787FFA">
        <w:t>tage plastic replacement does not exceed five percent of the total Replacement Program replacement footage in any given year and such facilities are encountered within the con</w:t>
      </w:r>
      <w:r w:rsidR="007C2F8F">
        <w:softHyphen/>
      </w:r>
      <w:r w:rsidR="00787FFA" w:rsidRPr="00787FFA">
        <w:t>text of a main replacement project where the primary focus is the replacement of cast-iron, bare-steel, or ineffectively-coated steel pipe.  The cost of replacing any excess above that five-percent limit should be excluded from Rider DRR.</w:t>
      </w:r>
    </w:p>
    <w:p w:rsidR="002A0F05" w:rsidRPr="0095004E" w:rsidRDefault="003E6004" w:rsidP="003E6004">
      <w:pPr>
        <w:pStyle w:val="Heading3"/>
      </w:pPr>
      <w:bookmarkStart w:id="9" w:name="_Toc370912415"/>
      <w:r>
        <w:t>4.</w:t>
      </w:r>
      <w:r>
        <w:tab/>
      </w:r>
      <w:r w:rsidR="00787FFA" w:rsidRPr="00787FFA">
        <w:t>Public Works Projects Involvi</w:t>
      </w:r>
      <w:r w:rsidR="00C95CC9">
        <w:t>ng Relocation of VEDO Facili</w:t>
      </w:r>
      <w:r w:rsidR="007C2F8F">
        <w:softHyphen/>
      </w:r>
      <w:r w:rsidR="00C95CC9">
        <w:t>ties</w:t>
      </w:r>
      <w:bookmarkEnd w:id="9"/>
      <w:r w:rsidR="00C95CC9">
        <w:t xml:space="preserve">  </w:t>
      </w:r>
    </w:p>
    <w:p w:rsidR="00787FFA" w:rsidRDefault="00DA6B4B" w:rsidP="00567817">
      <w:pPr>
        <w:pStyle w:val="Textstyle"/>
      </w:pPr>
      <w:r>
        <w:tab/>
      </w:r>
      <w:r w:rsidR="00787FFA" w:rsidRPr="00787FFA">
        <w:t>VEDO proposes to recover through the DRR the (non-reimbursable) cost of relocat</w:t>
      </w:r>
      <w:r w:rsidR="007C2F8F">
        <w:softHyphen/>
      </w:r>
      <w:r w:rsidR="00787FFA" w:rsidRPr="00787FFA">
        <w:t xml:space="preserve">ing its facilities when “some or all” of the infrastructure being relocated is cast-iron or bare steel.  Staff supports VEDO’s proposal, but only if at least 75 percent of the </w:t>
      </w:r>
      <w:r w:rsidR="00787FFA" w:rsidRPr="00787FFA">
        <w:lastRenderedPageBreak/>
        <w:t>pipe footage being retired on a given relocation project is comprised of cast-iron, bare steel, or ineffectively-coated steel pipe.  If a relocation project does not meet that 75-per</w:t>
      </w:r>
      <w:r w:rsidR="007C2F8F">
        <w:softHyphen/>
      </w:r>
      <w:r w:rsidR="00787FFA" w:rsidRPr="00787FFA">
        <w:t>cent threshold, Staff recommends that it be excluded from DRR cost recovery.</w:t>
      </w:r>
    </w:p>
    <w:p w:rsidR="00E3114B" w:rsidRDefault="00B34A9A" w:rsidP="00567817">
      <w:pPr>
        <w:pStyle w:val="Heading2"/>
      </w:pPr>
      <w:bookmarkStart w:id="10" w:name="_Toc370912416"/>
      <w:r w:rsidRPr="00B34A9A">
        <w:t xml:space="preserve">Further Acceleration of the </w:t>
      </w:r>
      <w:r w:rsidR="005F5BCC">
        <w:t>DRR</w:t>
      </w:r>
      <w:r w:rsidRPr="00B34A9A">
        <w:t xml:space="preserve"> Program Pace</w:t>
      </w:r>
      <w:bookmarkEnd w:id="10"/>
      <w:r w:rsidRPr="00B34A9A">
        <w:t xml:space="preserve"> </w:t>
      </w:r>
    </w:p>
    <w:p w:rsidR="00C3282C" w:rsidRDefault="003E6004" w:rsidP="003E6004">
      <w:pPr>
        <w:pStyle w:val="Heading3"/>
      </w:pPr>
      <w:bookmarkStart w:id="11" w:name="_Toc370912417"/>
      <w:r>
        <w:t>1.</w:t>
      </w:r>
      <w:r>
        <w:tab/>
      </w:r>
      <w:r w:rsidR="00B34A9A" w:rsidRPr="00B34A9A">
        <w:t xml:space="preserve">Increase the Program Pace </w:t>
      </w:r>
      <w:r w:rsidR="00C3282C">
        <w:t>for</w:t>
      </w:r>
      <w:r w:rsidR="00C95CC9">
        <w:t xml:space="preserve"> c</w:t>
      </w:r>
      <w:r w:rsidR="00B34A9A" w:rsidRPr="00B34A9A">
        <w:t>omplet</w:t>
      </w:r>
      <w:r w:rsidR="00C3282C">
        <w:t xml:space="preserve">ion </w:t>
      </w:r>
      <w:r w:rsidR="00B34A9A" w:rsidRPr="00B34A9A">
        <w:t xml:space="preserve">in </w:t>
      </w:r>
      <w:r w:rsidR="00F42CEB">
        <w:t>10 rather than 15</w:t>
      </w:r>
      <w:r w:rsidR="00B34A9A" w:rsidRPr="00B34A9A">
        <w:t xml:space="preserve"> Years</w:t>
      </w:r>
      <w:bookmarkEnd w:id="11"/>
      <w:r w:rsidR="00B34A9A" w:rsidRPr="00B34A9A">
        <w:t xml:space="preserve"> </w:t>
      </w:r>
      <w:r w:rsidR="00C95CC9">
        <w:t xml:space="preserve"> </w:t>
      </w:r>
    </w:p>
    <w:p w:rsidR="00F42CEB" w:rsidRDefault="00DA6B4B" w:rsidP="00567817">
      <w:pPr>
        <w:pStyle w:val="Textstyle"/>
      </w:pPr>
      <w:r>
        <w:tab/>
      </w:r>
      <w:r w:rsidR="00F42CEB" w:rsidRPr="00F42CEB">
        <w:t>In addition to expanding the Replacement Program scope, VEDO also proposes to accelerate its pace to complete the program in 15 years instead of 20 as originally planned.  Staff supports this proposal, but since VEDO is currently behind schedule in meeting expectations for main replacement during the first five years of the program, Staff is concerned VEDO may not meet this goal.  The table below summarizes the pro</w:t>
      </w:r>
      <w:r w:rsidR="007C2F8F">
        <w:softHyphen/>
      </w:r>
      <w:r w:rsidR="00F42CEB" w:rsidRPr="00F42CEB">
        <w:t>gress of VEDO’s Replacement Program compared to Staff’s expectations.</w:t>
      </w:r>
    </w:p>
    <w:tbl>
      <w:tblPr>
        <w:tblW w:w="0" w:type="auto"/>
        <w:jc w:val="center"/>
        <w:tblInd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1080"/>
      </w:tblGrid>
      <w:tr w:rsidR="00F42CEB" w:rsidRPr="00567817" w:rsidTr="00CA27B7">
        <w:trPr>
          <w:trHeight w:val="404"/>
          <w:jc w:val="center"/>
        </w:trPr>
        <w:tc>
          <w:tcPr>
            <w:tcW w:w="8362" w:type="dxa"/>
            <w:gridSpan w:val="2"/>
            <w:vAlign w:val="center"/>
          </w:tcPr>
          <w:p w:rsidR="00F42CEB" w:rsidRPr="00567817" w:rsidRDefault="00F42CEB" w:rsidP="00CA27B7">
            <w:pPr>
              <w:pStyle w:val="NoSpacing"/>
              <w:spacing w:before="120" w:after="120"/>
              <w:jc w:val="center"/>
              <w:rPr>
                <w:sz w:val="26"/>
                <w:szCs w:val="26"/>
              </w:rPr>
            </w:pPr>
            <w:r w:rsidRPr="00567817">
              <w:rPr>
                <w:rFonts w:ascii="Times New Roman" w:hAnsi="Times New Roman" w:cs="Times New Roman"/>
                <w:sz w:val="26"/>
                <w:szCs w:val="26"/>
              </w:rPr>
              <w:t>Replacement Program Retirements – Actual vs. Staff Expectation</w:t>
            </w:r>
          </w:p>
        </w:tc>
      </w:tr>
      <w:tr w:rsidR="00F42CEB" w:rsidRPr="00567817" w:rsidTr="00CA27B7">
        <w:trPr>
          <w:jc w:val="center"/>
        </w:trPr>
        <w:tc>
          <w:tcPr>
            <w:tcW w:w="7282" w:type="dxa"/>
          </w:tcPr>
          <w:p w:rsidR="00F42CEB" w:rsidRPr="00567817" w:rsidRDefault="00F42CEB" w:rsidP="00CA27B7">
            <w:pPr>
              <w:pStyle w:val="NoSpacing"/>
              <w:spacing w:before="120" w:after="120"/>
              <w:rPr>
                <w:sz w:val="26"/>
                <w:szCs w:val="26"/>
              </w:rPr>
            </w:pPr>
            <w:r w:rsidRPr="00567817">
              <w:rPr>
                <w:rFonts w:ascii="Times New Roman" w:hAnsi="Times New Roman" w:cs="Times New Roman"/>
                <w:sz w:val="26"/>
                <w:szCs w:val="26"/>
              </w:rPr>
              <w:t>Total mileage to be retired over 20 years</w:t>
            </w:r>
          </w:p>
        </w:tc>
        <w:tc>
          <w:tcPr>
            <w:tcW w:w="1080" w:type="dxa"/>
          </w:tcPr>
          <w:p w:rsidR="00F42CEB" w:rsidRPr="00567817" w:rsidRDefault="00F42CEB" w:rsidP="00CA27B7">
            <w:pPr>
              <w:pStyle w:val="NoSpacing"/>
              <w:tabs>
                <w:tab w:val="decimal" w:pos="450"/>
              </w:tabs>
              <w:spacing w:before="120" w:after="120"/>
              <w:rPr>
                <w:sz w:val="26"/>
                <w:szCs w:val="26"/>
              </w:rPr>
            </w:pPr>
            <w:r w:rsidRPr="00567817">
              <w:rPr>
                <w:rFonts w:ascii="Times New Roman" w:hAnsi="Times New Roman" w:cs="Times New Roman"/>
                <w:sz w:val="26"/>
                <w:szCs w:val="26"/>
              </w:rPr>
              <w:t>703.0</w:t>
            </w:r>
          </w:p>
        </w:tc>
      </w:tr>
      <w:tr w:rsidR="00F42CEB" w:rsidRPr="00567817" w:rsidTr="00CA27B7">
        <w:trPr>
          <w:trHeight w:val="323"/>
          <w:jc w:val="center"/>
        </w:trPr>
        <w:tc>
          <w:tcPr>
            <w:tcW w:w="7282" w:type="dxa"/>
          </w:tcPr>
          <w:p w:rsidR="00F42CEB" w:rsidRPr="00567817" w:rsidRDefault="00F42CEB" w:rsidP="00CA27B7">
            <w:pPr>
              <w:pStyle w:val="NoSpacing"/>
              <w:spacing w:before="120" w:after="120"/>
              <w:rPr>
                <w:sz w:val="26"/>
                <w:szCs w:val="26"/>
              </w:rPr>
            </w:pPr>
            <w:r w:rsidRPr="00567817">
              <w:rPr>
                <w:rFonts w:ascii="Times New Roman" w:hAnsi="Times New Roman" w:cs="Times New Roman"/>
                <w:sz w:val="26"/>
                <w:szCs w:val="26"/>
              </w:rPr>
              <w:t>Mileage expected to be retired during first five years (5/20 x 703)</w:t>
            </w:r>
          </w:p>
        </w:tc>
        <w:tc>
          <w:tcPr>
            <w:tcW w:w="1080" w:type="dxa"/>
          </w:tcPr>
          <w:p w:rsidR="00F42CEB" w:rsidRPr="00567817" w:rsidRDefault="00F42CEB" w:rsidP="00CA27B7">
            <w:pPr>
              <w:pStyle w:val="NoSpacing"/>
              <w:tabs>
                <w:tab w:val="decimal" w:pos="450"/>
              </w:tabs>
              <w:spacing w:before="120" w:after="120"/>
              <w:rPr>
                <w:sz w:val="26"/>
                <w:szCs w:val="26"/>
              </w:rPr>
            </w:pPr>
            <w:r w:rsidRPr="00567817">
              <w:rPr>
                <w:rFonts w:ascii="Times New Roman" w:hAnsi="Times New Roman" w:cs="Times New Roman"/>
                <w:sz w:val="26"/>
                <w:szCs w:val="26"/>
              </w:rPr>
              <w:t>175.8</w:t>
            </w:r>
          </w:p>
        </w:tc>
      </w:tr>
      <w:tr w:rsidR="00F42CEB" w:rsidRPr="00567817" w:rsidTr="00CA27B7">
        <w:trPr>
          <w:trHeight w:val="323"/>
          <w:jc w:val="center"/>
        </w:trPr>
        <w:tc>
          <w:tcPr>
            <w:tcW w:w="7282" w:type="dxa"/>
          </w:tcPr>
          <w:p w:rsidR="00F42CEB" w:rsidRPr="00567817" w:rsidRDefault="00F42CEB" w:rsidP="00CA27B7">
            <w:pPr>
              <w:pStyle w:val="NoSpacing"/>
              <w:spacing w:before="120" w:after="120"/>
              <w:rPr>
                <w:sz w:val="26"/>
                <w:szCs w:val="26"/>
              </w:rPr>
            </w:pPr>
            <w:r w:rsidRPr="00567817">
              <w:rPr>
                <w:rFonts w:ascii="Times New Roman" w:hAnsi="Times New Roman" w:cs="Times New Roman"/>
                <w:sz w:val="26"/>
                <w:szCs w:val="26"/>
              </w:rPr>
              <w:t>Total mileage retired during first five years</w:t>
            </w:r>
          </w:p>
        </w:tc>
        <w:tc>
          <w:tcPr>
            <w:tcW w:w="1080" w:type="dxa"/>
          </w:tcPr>
          <w:p w:rsidR="00F42CEB" w:rsidRPr="00567817" w:rsidRDefault="00F42CEB" w:rsidP="00CA27B7">
            <w:pPr>
              <w:pStyle w:val="NoSpacing"/>
              <w:tabs>
                <w:tab w:val="decimal" w:pos="450"/>
              </w:tabs>
              <w:spacing w:before="120" w:after="120"/>
              <w:rPr>
                <w:sz w:val="26"/>
                <w:szCs w:val="26"/>
              </w:rPr>
            </w:pPr>
            <w:r w:rsidRPr="00567817">
              <w:rPr>
                <w:rFonts w:ascii="Times New Roman" w:hAnsi="Times New Roman" w:cs="Times New Roman"/>
                <w:sz w:val="26"/>
                <w:szCs w:val="26"/>
              </w:rPr>
              <w:t>112.5</w:t>
            </w:r>
          </w:p>
        </w:tc>
      </w:tr>
      <w:tr w:rsidR="00F42CEB" w:rsidRPr="00567817" w:rsidTr="00CA27B7">
        <w:trPr>
          <w:jc w:val="center"/>
        </w:trPr>
        <w:tc>
          <w:tcPr>
            <w:tcW w:w="7282" w:type="dxa"/>
          </w:tcPr>
          <w:p w:rsidR="00F42CEB" w:rsidRPr="00567817" w:rsidRDefault="00F42CEB" w:rsidP="00CA27B7">
            <w:pPr>
              <w:pStyle w:val="NoSpacing"/>
              <w:spacing w:before="120" w:after="120"/>
              <w:rPr>
                <w:sz w:val="26"/>
                <w:szCs w:val="26"/>
              </w:rPr>
            </w:pPr>
            <w:r w:rsidRPr="00567817">
              <w:rPr>
                <w:rFonts w:ascii="Times New Roman" w:hAnsi="Times New Roman" w:cs="Times New Roman"/>
                <w:sz w:val="26"/>
                <w:szCs w:val="26"/>
              </w:rPr>
              <w:t>Mileage shortfall (175.8 – 112.5)</w:t>
            </w:r>
          </w:p>
        </w:tc>
        <w:tc>
          <w:tcPr>
            <w:tcW w:w="1080" w:type="dxa"/>
          </w:tcPr>
          <w:p w:rsidR="00F42CEB" w:rsidRPr="00567817" w:rsidRDefault="00F42CEB" w:rsidP="00CA27B7">
            <w:pPr>
              <w:pStyle w:val="NoSpacing"/>
              <w:tabs>
                <w:tab w:val="decimal" w:pos="450"/>
              </w:tabs>
              <w:spacing w:before="120" w:after="120"/>
              <w:rPr>
                <w:sz w:val="26"/>
                <w:szCs w:val="26"/>
              </w:rPr>
            </w:pPr>
            <w:r w:rsidRPr="00567817">
              <w:rPr>
                <w:rFonts w:ascii="Times New Roman" w:hAnsi="Times New Roman" w:cs="Times New Roman"/>
                <w:sz w:val="26"/>
                <w:szCs w:val="26"/>
              </w:rPr>
              <w:t>63.3</w:t>
            </w:r>
          </w:p>
        </w:tc>
      </w:tr>
      <w:tr w:rsidR="00F42CEB" w:rsidRPr="00567817" w:rsidTr="00CA27B7">
        <w:trPr>
          <w:jc w:val="center"/>
        </w:trPr>
        <w:tc>
          <w:tcPr>
            <w:tcW w:w="7282" w:type="dxa"/>
          </w:tcPr>
          <w:p w:rsidR="00F42CEB" w:rsidRPr="00567817" w:rsidRDefault="00F42CEB" w:rsidP="00CA27B7">
            <w:pPr>
              <w:pStyle w:val="NoSpacing"/>
              <w:spacing w:before="120" w:after="120"/>
              <w:rPr>
                <w:sz w:val="26"/>
                <w:szCs w:val="26"/>
              </w:rPr>
            </w:pPr>
            <w:r w:rsidRPr="00567817">
              <w:rPr>
                <w:rFonts w:ascii="Times New Roman" w:hAnsi="Times New Roman" w:cs="Times New Roman"/>
                <w:sz w:val="26"/>
                <w:szCs w:val="26"/>
              </w:rPr>
              <w:t>Percent shortfall (63.3 / 175.8)</w:t>
            </w:r>
          </w:p>
        </w:tc>
        <w:tc>
          <w:tcPr>
            <w:tcW w:w="1080" w:type="dxa"/>
          </w:tcPr>
          <w:p w:rsidR="00F42CEB" w:rsidRPr="00567817" w:rsidRDefault="00567817" w:rsidP="00CA27B7">
            <w:pPr>
              <w:pStyle w:val="NoSpacing"/>
              <w:spacing w:before="120" w:after="120"/>
              <w:rPr>
                <w:sz w:val="26"/>
                <w:szCs w:val="26"/>
              </w:rPr>
            </w:pPr>
            <w:r>
              <w:rPr>
                <w:rFonts w:ascii="Times New Roman" w:hAnsi="Times New Roman" w:cs="Times New Roman"/>
                <w:sz w:val="26"/>
                <w:szCs w:val="26"/>
              </w:rPr>
              <w:t xml:space="preserve">  </w:t>
            </w:r>
            <w:r w:rsidR="00F42CEB" w:rsidRPr="00567817">
              <w:rPr>
                <w:rFonts w:ascii="Times New Roman" w:hAnsi="Times New Roman" w:cs="Times New Roman"/>
                <w:sz w:val="26"/>
                <w:szCs w:val="26"/>
              </w:rPr>
              <w:t>36 %</w:t>
            </w:r>
          </w:p>
        </w:tc>
      </w:tr>
    </w:tbl>
    <w:p w:rsidR="00F42CEB" w:rsidRPr="00F42CEB" w:rsidRDefault="00F42CEB" w:rsidP="00567817">
      <w:pPr>
        <w:pStyle w:val="BodyTextFirstIndent2"/>
      </w:pPr>
    </w:p>
    <w:p w:rsidR="003917C4" w:rsidRPr="003917C4" w:rsidRDefault="00F42CEB" w:rsidP="00567817">
      <w:pPr>
        <w:pStyle w:val="Textstyle"/>
      </w:pPr>
      <w:r w:rsidRPr="00F42CEB">
        <w:t xml:space="preserve">The above table indicates a 36-percent shortfall below the retirement mileage that Staff expected VEDO to achieve over the first five years of the Replacement Program.  Although VEDO is adding resources to support the program acceleration, Staff believes </w:t>
      </w:r>
      <w:r w:rsidRPr="00F42CEB">
        <w:lastRenderedPageBreak/>
        <w:t>that the Commission should provide an incentive to complete the program on time.  Staff therefore recommends that the cost of replacing any cast-iron or bare steel pipe after the proposed December 31, 2023 program end date should not be recovered through the DRR Rider mechanism.</w:t>
      </w:r>
      <w:r w:rsidR="00FA5CC9">
        <w:t xml:space="preserve"> </w:t>
      </w:r>
    </w:p>
    <w:p w:rsidR="00516F40" w:rsidRPr="00C95CC9" w:rsidRDefault="00C95CC9" w:rsidP="00567817">
      <w:pPr>
        <w:pStyle w:val="Heading2"/>
      </w:pPr>
      <w:bookmarkStart w:id="12" w:name="_Toc370912418"/>
      <w:r>
        <w:t>Other Proposals</w:t>
      </w:r>
      <w:bookmarkEnd w:id="12"/>
      <w:r>
        <w:t xml:space="preserve"> </w:t>
      </w:r>
    </w:p>
    <w:p w:rsidR="00F7467F" w:rsidRDefault="003E6004" w:rsidP="003E6004">
      <w:pPr>
        <w:pStyle w:val="Heading3"/>
      </w:pPr>
      <w:bookmarkStart w:id="13" w:name="_Toc370912419"/>
      <w:r>
        <w:t>1.</w:t>
      </w:r>
      <w:r>
        <w:tab/>
      </w:r>
      <w:r w:rsidR="00475BE3">
        <w:t>Recovery of All Service Line Replacement Costs through the DRR</w:t>
      </w:r>
      <w:bookmarkEnd w:id="13"/>
    </w:p>
    <w:p w:rsidR="00F7467F" w:rsidRPr="00EB286B" w:rsidRDefault="00F7467F" w:rsidP="00567817">
      <w:pPr>
        <w:pStyle w:val="Textstyle"/>
      </w:pPr>
      <w:r>
        <w:tab/>
      </w:r>
      <w:r w:rsidR="00EB286B">
        <w:t xml:space="preserve">VEDO proposes to include for recovery in the DRR one hundred percent of the costs to replace customer service lines and customer meter sets for projects that are not part of a BS/CI replacement project.  The Company maintains that the current formula approach </w:t>
      </w:r>
      <w:r w:rsidR="007F2C0C">
        <w:t xml:space="preserve">of allowing </w:t>
      </w:r>
      <w:r w:rsidR="00EB286B">
        <w:t xml:space="preserve">only a portion of such costs to be included in the DRR </w:t>
      </w:r>
      <w:r w:rsidR="004363F0">
        <w:t xml:space="preserve">significantly understates </w:t>
      </w:r>
      <w:r w:rsidR="007F2C0C">
        <w:t xml:space="preserve">the </w:t>
      </w:r>
      <w:r w:rsidR="004363F0">
        <w:t>actual incremental cost</w:t>
      </w:r>
      <w:r w:rsidR="007F2C0C">
        <w:t xml:space="preserve"> of</w:t>
      </w:r>
      <w:r w:rsidR="004363F0">
        <w:t xml:space="preserve"> replac</w:t>
      </w:r>
      <w:r w:rsidR="007F2C0C">
        <w:t>ing</w:t>
      </w:r>
      <w:r w:rsidR="004363F0">
        <w:t xml:space="preserve"> service lines.  The Staff does not sup</w:t>
      </w:r>
      <w:r w:rsidR="007C2F8F">
        <w:softHyphen/>
      </w:r>
      <w:r w:rsidR="004363F0">
        <w:t xml:space="preserve">port this proposal.  The formula approach included in the current DRR recognizes that only a portion of service line replacement costs is incremental to the Company.  Prior to the DRR, </w:t>
      </w:r>
      <w:r w:rsidR="005D19F3">
        <w:t xml:space="preserve">VEDO </w:t>
      </w:r>
      <w:r w:rsidR="004363F0">
        <w:t xml:space="preserve">was responsible for maintaining, repairing, and replacing the main-to-curb portion of the service line while customers were responsible for the curb-to-meter portion of the line.  The Staff has always understood </w:t>
      </w:r>
      <w:r w:rsidR="005D19F3">
        <w:t xml:space="preserve">that </w:t>
      </w:r>
      <w:r w:rsidR="004363F0">
        <w:t xml:space="preserve">VEDO’s service order reporting and tracking system does not track </w:t>
      </w:r>
      <w:r w:rsidR="005D19F3">
        <w:t xml:space="preserve">whether </w:t>
      </w:r>
      <w:r w:rsidR="004363F0">
        <w:t xml:space="preserve">a leak </w:t>
      </w:r>
      <w:r w:rsidR="005D19F3">
        <w:t xml:space="preserve">necessitating </w:t>
      </w:r>
      <w:r w:rsidR="000558EE">
        <w:t xml:space="preserve">replacement </w:t>
      </w:r>
      <w:r w:rsidR="004363F0">
        <w:t xml:space="preserve">occurred </w:t>
      </w:r>
      <w:r w:rsidR="000558EE">
        <w:t xml:space="preserve">on </w:t>
      </w:r>
      <w:r w:rsidR="005D19F3">
        <w:t xml:space="preserve">the segment of </w:t>
      </w:r>
      <w:r w:rsidR="000558EE">
        <w:t xml:space="preserve">service line </w:t>
      </w:r>
      <w:r w:rsidR="005D19F3">
        <w:t xml:space="preserve">owned by the </w:t>
      </w:r>
      <w:r w:rsidR="004363F0">
        <w:t>Company</w:t>
      </w:r>
      <w:r w:rsidR="005D19F3">
        <w:t xml:space="preserve"> or by </w:t>
      </w:r>
      <w:r w:rsidR="000558EE">
        <w:t>the customer</w:t>
      </w:r>
      <w:r w:rsidR="005D19F3">
        <w:t xml:space="preserve"> </w:t>
      </w:r>
      <w:r w:rsidR="000558EE">
        <w:t>or apportion the replacement costs between</w:t>
      </w:r>
      <w:r w:rsidR="005D19F3">
        <w:t xml:space="preserve"> the two</w:t>
      </w:r>
      <w:r w:rsidR="000558EE">
        <w:t xml:space="preserve">.  </w:t>
      </w:r>
      <w:r w:rsidR="005D19F3">
        <w:t>Staff believes that t</w:t>
      </w:r>
      <w:r w:rsidR="000558EE">
        <w:t xml:space="preserve">he formula approach </w:t>
      </w:r>
      <w:r w:rsidR="005D19F3">
        <w:t>VEDO initi</w:t>
      </w:r>
      <w:r w:rsidR="007C2F8F">
        <w:softHyphen/>
      </w:r>
      <w:r w:rsidR="005D19F3">
        <w:t xml:space="preserve">ated </w:t>
      </w:r>
      <w:r w:rsidR="000558EE">
        <w:t xml:space="preserve">in the original DRR Program </w:t>
      </w:r>
      <w:r w:rsidR="00392079">
        <w:t xml:space="preserve">properly </w:t>
      </w:r>
      <w:r w:rsidR="000558EE">
        <w:t>recognize</w:t>
      </w:r>
      <w:r w:rsidR="00392079">
        <w:t>s</w:t>
      </w:r>
      <w:r w:rsidR="000558EE">
        <w:t xml:space="preserve"> that only a portion of the </w:t>
      </w:r>
      <w:r w:rsidR="00066256">
        <w:t xml:space="preserve">total </w:t>
      </w:r>
      <w:r w:rsidR="000558EE">
        <w:t>ser</w:t>
      </w:r>
      <w:r w:rsidR="007C2F8F">
        <w:softHyphen/>
      </w:r>
      <w:r w:rsidR="000558EE">
        <w:t xml:space="preserve">vice line replacement costs is </w:t>
      </w:r>
      <w:r w:rsidR="00392079">
        <w:t xml:space="preserve">incremental to what the Company was responsible for prior </w:t>
      </w:r>
      <w:r w:rsidR="00392079">
        <w:lastRenderedPageBreak/>
        <w:t xml:space="preserve">to the DRR.  If the Company can now identify </w:t>
      </w:r>
      <w:r w:rsidR="00774E36">
        <w:t>and assign</w:t>
      </w:r>
      <w:r w:rsidR="00392079">
        <w:t xml:space="preserve"> replacement costs to each ser</w:t>
      </w:r>
      <w:r w:rsidR="007C2F8F">
        <w:softHyphen/>
      </w:r>
      <w:r w:rsidR="00392079">
        <w:t xml:space="preserve">vice line segment </w:t>
      </w:r>
      <w:r w:rsidR="00E02AD6">
        <w:t>and thus accurately identify the incremental service line replacement costs, then the Staff would support including the incremental cost in the DRR</w:t>
      </w:r>
      <w:r w:rsidR="00774E36">
        <w:t xml:space="preserve">.  </w:t>
      </w:r>
      <w:r w:rsidR="00E02AD6">
        <w:t xml:space="preserve">However, the Staff does not support simply including </w:t>
      </w:r>
      <w:r w:rsidR="00066256">
        <w:t xml:space="preserve">all </w:t>
      </w:r>
      <w:r w:rsidR="00E02AD6">
        <w:t>of the</w:t>
      </w:r>
      <w:r w:rsidR="00066256">
        <w:t>se</w:t>
      </w:r>
      <w:r w:rsidR="00E02AD6">
        <w:t xml:space="preserve"> costs</w:t>
      </w:r>
      <w:r w:rsidR="00066256">
        <w:t xml:space="preserve"> in the DRR</w:t>
      </w:r>
      <w:r w:rsidR="00E02AD6">
        <w:t>.</w:t>
      </w:r>
    </w:p>
    <w:p w:rsidR="00516F40" w:rsidRPr="0095004E" w:rsidRDefault="003E6004" w:rsidP="003E6004">
      <w:pPr>
        <w:pStyle w:val="Heading3"/>
      </w:pPr>
      <w:bookmarkStart w:id="14" w:name="_Toc370912420"/>
      <w:r>
        <w:t>2.</w:t>
      </w:r>
      <w:r>
        <w:tab/>
      </w:r>
      <w:r w:rsidR="005F3DB3">
        <w:t>Changes to the O&amp;M Savings Calculation</w:t>
      </w:r>
      <w:bookmarkEnd w:id="14"/>
      <w:r w:rsidR="005F3DB3">
        <w:t xml:space="preserve"> </w:t>
      </w:r>
    </w:p>
    <w:p w:rsidR="00441863" w:rsidRDefault="00EA334E" w:rsidP="00567817">
      <w:pPr>
        <w:pStyle w:val="Textstyle"/>
      </w:pPr>
      <w:r>
        <w:tab/>
        <w:t xml:space="preserve">The Company proposes to modify its O&amp;M savings calculation to include </w:t>
      </w:r>
      <w:r w:rsidR="006545BB">
        <w:t>on a cumula</w:t>
      </w:r>
      <w:r w:rsidR="007C2F8F">
        <w:softHyphen/>
      </w:r>
      <w:r w:rsidR="006545BB">
        <w:t xml:space="preserve">tive basis the </w:t>
      </w:r>
      <w:r>
        <w:t>$274,</w:t>
      </w:r>
      <w:r w:rsidR="006545BB">
        <w:t xml:space="preserve">919 in O&amp;M savings from its most recent DRR filing plus annual savings derived </w:t>
      </w:r>
      <w:r w:rsidR="009E62FD">
        <w:t xml:space="preserve">by </w:t>
      </w:r>
      <w:r w:rsidR="006545BB">
        <w:t>multiplying $4,500 times the miles of BS/CI pipelines retired each year.  VEDO indicates that the $4,500 per mile savings estim</w:t>
      </w:r>
      <w:r w:rsidR="009E094E">
        <w:t>ate is based on the total annual average O&amp;M savings that it actually achieved in 2011 and 2012 in several O&amp;M savings categories scaled up to reflect its proposed increase in BS/CI mileage replaced each year.</w:t>
      </w:r>
      <w:r w:rsidR="009E094E">
        <w:rPr>
          <w:rStyle w:val="FootnoteReference"/>
        </w:rPr>
        <w:footnoteReference w:id="17"/>
      </w:r>
      <w:r w:rsidR="009E094E">
        <w:t xml:space="preserve">  </w:t>
      </w:r>
      <w:r w:rsidR="000403AC">
        <w:t xml:space="preserve">The Company arrived at the $4,500 per mile estimate by dividing the scaled-up future savings estimate of $225,000 by the approximately 50 miles per year that it plans to replace each year under the extended Program.  </w:t>
      </w:r>
      <w:r w:rsidR="00B86B12">
        <w:t>The Staff conceptually agree</w:t>
      </w:r>
      <w:r w:rsidR="000403AC">
        <w:t>s</w:t>
      </w:r>
      <w:r w:rsidR="00B86B12">
        <w:t xml:space="preserve"> </w:t>
      </w:r>
      <w:r w:rsidR="000403AC">
        <w:t>with</w:t>
      </w:r>
      <w:r w:rsidR="00B86B12">
        <w:t xml:space="preserve"> VEDO’s proposed O&amp;M savings methodology.  It logically follows that</w:t>
      </w:r>
      <w:r w:rsidR="000403AC">
        <w:t>,</w:t>
      </w:r>
      <w:r w:rsidR="00B86B12">
        <w:t xml:space="preserve"> as the DRR Program progresses and more BS/CI </w:t>
      </w:r>
      <w:r w:rsidR="009E62FD">
        <w:t xml:space="preserve">is </w:t>
      </w:r>
      <w:r w:rsidR="00B86B12">
        <w:t xml:space="preserve">replaced each year, then more O&amp;M costs </w:t>
      </w:r>
      <w:r w:rsidR="009E62FD">
        <w:t xml:space="preserve">incorporated in </w:t>
      </w:r>
      <w:r w:rsidR="00475BE3">
        <w:t>the Company’s base</w:t>
      </w:r>
      <w:r w:rsidR="00B86B12">
        <w:t xml:space="preserve"> rates are avoided and </w:t>
      </w:r>
      <w:r w:rsidR="00147B4F">
        <w:t xml:space="preserve">therefore </w:t>
      </w:r>
      <w:r w:rsidR="00B86B12">
        <w:t xml:space="preserve">can be passed back to customers through </w:t>
      </w:r>
      <w:r w:rsidR="00147B4F">
        <w:t xml:space="preserve">a </w:t>
      </w:r>
      <w:r w:rsidR="00B86B12">
        <w:t xml:space="preserve">reduction of the DRR rate.  </w:t>
      </w:r>
      <w:r w:rsidR="00147B4F">
        <w:t>VEDO</w:t>
      </w:r>
      <w:r w:rsidR="00B86B12">
        <w:t xml:space="preserve">’s proposed methodology follows this logic by </w:t>
      </w:r>
      <w:r w:rsidR="00054288">
        <w:t>recognizing</w:t>
      </w:r>
      <w:r w:rsidR="003834D4">
        <w:t xml:space="preserve"> </w:t>
      </w:r>
      <w:r w:rsidR="00B86B12">
        <w:t xml:space="preserve">O&amp;M savings </w:t>
      </w:r>
      <w:r w:rsidR="00147B4F">
        <w:t xml:space="preserve">achieved during </w:t>
      </w:r>
      <w:r w:rsidR="003834D4">
        <w:t>the Program’s first five years (</w:t>
      </w:r>
      <w:r w:rsidR="00B86B12">
        <w:t xml:space="preserve">i.e., the $274,919 from the most recent DRR filing) and </w:t>
      </w:r>
      <w:r w:rsidR="00837234">
        <w:t xml:space="preserve">then </w:t>
      </w:r>
      <w:r w:rsidR="00B86B12">
        <w:t xml:space="preserve">adding </w:t>
      </w:r>
      <w:r w:rsidR="003834D4">
        <w:t xml:space="preserve">each subsequent </w:t>
      </w:r>
      <w:r w:rsidR="003834D4">
        <w:lastRenderedPageBreak/>
        <w:t xml:space="preserve">year’s annual savings derived from multiplying a projected savings amount per mile (i.e., the $4,500) times the mileage of BS/CI </w:t>
      </w:r>
      <w:r w:rsidR="00837234">
        <w:t xml:space="preserve">pipe </w:t>
      </w:r>
      <w:r w:rsidR="003834D4">
        <w:t>retired each year</w:t>
      </w:r>
      <w:r w:rsidR="00837234" w:rsidRPr="00837234">
        <w:t xml:space="preserve"> </w:t>
      </w:r>
      <w:r w:rsidR="00837234">
        <w:t>on a cumulative basis</w:t>
      </w:r>
      <w:r w:rsidR="003834D4">
        <w:t xml:space="preserve">.  </w:t>
      </w:r>
      <w:r w:rsidR="00837234">
        <w:t>T</w:t>
      </w:r>
      <w:r w:rsidR="003834D4">
        <w:t xml:space="preserve">he Staff </w:t>
      </w:r>
      <w:r w:rsidR="00837234">
        <w:t>believes that this is an acceptable methodology</w:t>
      </w:r>
      <w:r w:rsidR="003834D4">
        <w:t xml:space="preserve">, </w:t>
      </w:r>
      <w:r w:rsidR="00147B4F">
        <w:t xml:space="preserve">but </w:t>
      </w:r>
      <w:r w:rsidR="00054288">
        <w:t>recommends a number of modifica</w:t>
      </w:r>
      <w:r w:rsidR="007C2F8F">
        <w:softHyphen/>
      </w:r>
      <w:r w:rsidR="00054288">
        <w:t xml:space="preserve">tions to </w:t>
      </w:r>
      <w:r w:rsidR="003834D4">
        <w:t xml:space="preserve">the Company’s proposed </w:t>
      </w:r>
      <w:r w:rsidR="00147B4F">
        <w:t xml:space="preserve">calculation </w:t>
      </w:r>
      <w:r w:rsidR="003834D4">
        <w:t xml:space="preserve">inputs.  The Staff </w:t>
      </w:r>
      <w:r w:rsidR="000C6EAB">
        <w:t xml:space="preserve">first </w:t>
      </w:r>
      <w:r w:rsidR="003834D4">
        <w:t xml:space="preserve">recommends replacing the </w:t>
      </w:r>
      <w:r w:rsidR="00903A0A">
        <w:t xml:space="preserve">$274,919 O&amp;M savings amount from the most recent DRR filing with an average of the O&amp;M savings reported in the Program’s first </w:t>
      </w:r>
      <w:r w:rsidR="000C6EAB">
        <w:t xml:space="preserve">four years.  </w:t>
      </w:r>
      <w:r w:rsidR="00147B4F">
        <w:t>Such a</w:t>
      </w:r>
      <w:r w:rsidR="000C6EAB">
        <w:t xml:space="preserve">n average is more reflective of the actual O&amp;M costs avoided each year </w:t>
      </w:r>
      <w:r w:rsidR="00653FFC">
        <w:t>due to</w:t>
      </w:r>
      <w:r w:rsidR="00147B4F">
        <w:t xml:space="preserve"> Program </w:t>
      </w:r>
      <w:r w:rsidR="000C6EAB">
        <w:t>implementa</w:t>
      </w:r>
      <w:r w:rsidR="007C2F8F">
        <w:softHyphen/>
      </w:r>
      <w:r w:rsidR="000C6EAB">
        <w:t xml:space="preserve">tion.  </w:t>
      </w:r>
      <w:r w:rsidR="00653FFC">
        <w:t>VEDO explains that although t</w:t>
      </w:r>
      <w:r w:rsidR="000C6EAB">
        <w:t xml:space="preserve">he O&amp;M savings reported </w:t>
      </w:r>
      <w:r w:rsidR="00A03564">
        <w:t>in its</w:t>
      </w:r>
      <w:r w:rsidR="000C6EAB">
        <w:t xml:space="preserve"> DRR fil</w:t>
      </w:r>
      <w:r w:rsidR="007C2F8F">
        <w:softHyphen/>
      </w:r>
      <w:r w:rsidR="000C6EAB">
        <w:t xml:space="preserve">ings has varied from year to year, </w:t>
      </w:r>
      <w:r w:rsidR="00653FFC">
        <w:t xml:space="preserve">it always </w:t>
      </w:r>
      <w:r w:rsidR="000C6EAB">
        <w:t xml:space="preserve">reflects the </w:t>
      </w:r>
      <w:r w:rsidR="00653FFC">
        <w:t xml:space="preserve">difference between O&amp;M expenses incurred </w:t>
      </w:r>
      <w:r w:rsidR="000C6EAB">
        <w:t xml:space="preserve">in a given year compared to the </w:t>
      </w:r>
      <w:r w:rsidR="000C6EAB" w:rsidRPr="00774E36">
        <w:rPr>
          <w:i/>
        </w:rPr>
        <w:t>2007 Rate Case</w:t>
      </w:r>
      <w:r w:rsidR="000C6EAB">
        <w:t xml:space="preserve"> baseline</w:t>
      </w:r>
      <w:r w:rsidR="004E7DEC">
        <w:t xml:space="preserve">.  </w:t>
      </w:r>
      <w:r w:rsidR="00653FFC">
        <w:t xml:space="preserve">VEDO </w:t>
      </w:r>
      <w:r w:rsidR="000B2460">
        <w:t>fur</w:t>
      </w:r>
      <w:r w:rsidR="007C2F8F">
        <w:softHyphen/>
      </w:r>
      <w:r w:rsidR="000B2460">
        <w:t>ther explained that actual savings versus the baseline in any year is primarily driven by the amount of repair service orders involving digging into and subsequently repairing hard surfaces (e.g., pavement ) versus soft surfaces.  In years where the Company experi</w:t>
      </w:r>
      <w:r w:rsidR="007C2F8F">
        <w:softHyphen/>
      </w:r>
      <w:r w:rsidR="001408D6">
        <w:t>enced relatively more hard-</w:t>
      </w:r>
      <w:r w:rsidR="000B2460">
        <w:t>surface repairs, its actual O&amp;M costs were higher and</w:t>
      </w:r>
      <w:r w:rsidR="00054288">
        <w:t>,</w:t>
      </w:r>
      <w:r w:rsidR="000B2460">
        <w:t xml:space="preserve"> there</w:t>
      </w:r>
      <w:r w:rsidR="007C2F8F">
        <w:softHyphen/>
      </w:r>
      <w:r w:rsidR="000B2460">
        <w:t>fore</w:t>
      </w:r>
      <w:r w:rsidR="00054288">
        <w:t>,</w:t>
      </w:r>
      <w:r w:rsidR="000B2460">
        <w:t xml:space="preserve"> its savings were lower than years with relativel</w:t>
      </w:r>
      <w:r w:rsidR="001408D6">
        <w:t>y fewer hard-</w:t>
      </w:r>
      <w:r w:rsidR="000B2460">
        <w:t xml:space="preserve">surface repairs.  </w:t>
      </w:r>
      <w:r w:rsidR="00D006BE">
        <w:t xml:space="preserve">The </w:t>
      </w:r>
      <w:r w:rsidR="00527F1B">
        <w:t>$</w:t>
      </w:r>
      <w:r w:rsidR="00D006BE">
        <w:t xml:space="preserve">274,919 O&amp;M savings reported for 2012 (the investment year covered in the most recent DRR filing) was less than reported in some prior year’s DRR filings and more than others, again primarily driven by the amount </w:t>
      </w:r>
      <w:r w:rsidR="001408D6">
        <w:t>of hard</w:t>
      </w:r>
      <w:r w:rsidR="00D006BE">
        <w:t xml:space="preserve"> v</w:t>
      </w:r>
      <w:r w:rsidR="001408D6">
        <w:t>ersus soft-</w:t>
      </w:r>
      <w:r w:rsidR="00D006BE">
        <w:t>surface repairs.  There</w:t>
      </w:r>
      <w:r w:rsidR="008B417B">
        <w:softHyphen/>
      </w:r>
      <w:r w:rsidR="00D006BE">
        <w:t>fore, the Staff believes that an average of VEDO’s O&amp;M savings is a more accurate representa</w:t>
      </w:r>
      <w:r w:rsidR="007C2F8F">
        <w:softHyphen/>
      </w:r>
      <w:r w:rsidR="00D006BE">
        <w:t>tion of the savings achieved in the first four years of the Program</w:t>
      </w:r>
      <w:r w:rsidR="00EF1F3E">
        <w:t xml:space="preserve"> and should be used rather than the O&amp;M savings reported for only the most recent year.  </w:t>
      </w:r>
      <w:r w:rsidR="00D006BE">
        <w:t>The average of the O&amp;M savings reported in the 2010 through the 2013 filing years (covering invest</w:t>
      </w:r>
      <w:r w:rsidR="007C2F8F">
        <w:softHyphen/>
      </w:r>
      <w:r w:rsidR="00D006BE">
        <w:lastRenderedPageBreak/>
        <w:t xml:space="preserve">ment years 2009 through 2012) </w:t>
      </w:r>
      <w:r w:rsidR="00187C54">
        <w:t>is $294,116.  The Staff also recommend</w:t>
      </w:r>
      <w:r w:rsidR="00054288">
        <w:t>s</w:t>
      </w:r>
      <w:r w:rsidR="00187C54">
        <w:t xml:space="preserve"> utilizing this number to compute the average </w:t>
      </w:r>
      <w:r w:rsidR="00D06F5E">
        <w:t xml:space="preserve">savings per mile that will be multiplied by the miles of BS/CI lines replaced each year.  The Company computed its recommended $4,500 per mile projection based on an average of actual results achieved in 2011 and 2012.  The Staff believes that </w:t>
      </w:r>
      <w:r w:rsidR="00054288">
        <w:t xml:space="preserve">it is more appropriate to use </w:t>
      </w:r>
      <w:r w:rsidR="007C04FE">
        <w:t>an average of</w:t>
      </w:r>
      <w:r w:rsidR="00054288">
        <w:t xml:space="preserve"> </w:t>
      </w:r>
      <w:r w:rsidR="00D06F5E">
        <w:t xml:space="preserve">actual O&amp;M savings reported by the Company in years 2010 – 2013.  </w:t>
      </w:r>
      <w:r w:rsidR="007C04FE">
        <w:t xml:space="preserve">This approach normalizes the year to year variance across all four years of the current Program and is tied to a baseline that was established in the </w:t>
      </w:r>
      <w:r w:rsidR="007C04FE" w:rsidRPr="00774E36">
        <w:rPr>
          <w:i/>
        </w:rPr>
        <w:t>2007 Rate Case</w:t>
      </w:r>
      <w:r w:rsidR="007C04FE">
        <w:t xml:space="preserve">, where the Company’s base rates and the source of O&amp;M savings were established.  </w:t>
      </w:r>
      <w:r w:rsidR="00441863">
        <w:t>Therefore, the Staff proposes to divide the $294,116 aver</w:t>
      </w:r>
      <w:r w:rsidR="007C2F8F">
        <w:softHyphen/>
      </w:r>
      <w:r w:rsidR="00441863">
        <w:t>age O&amp;M savings by the same 50 miles</w:t>
      </w:r>
      <w:r w:rsidR="00BC0E0F">
        <w:t>-</w:t>
      </w:r>
      <w:r w:rsidR="00441863">
        <w:t>per</w:t>
      </w:r>
      <w:r w:rsidR="00BC0E0F">
        <w:t>-</w:t>
      </w:r>
      <w:r w:rsidR="00441863">
        <w:t>year BS/CI replacement rate that the Com</w:t>
      </w:r>
      <w:r w:rsidR="008B417B">
        <w:softHyphen/>
      </w:r>
      <w:r w:rsidR="00441863">
        <w:t xml:space="preserve">pany proposed in its formula to arrive at a per mile savings estimate of $5,882.  </w:t>
      </w:r>
      <w:r w:rsidR="00493136">
        <w:t>The t</w:t>
      </w:r>
      <w:r w:rsidR="00441863">
        <w:t xml:space="preserve">able below shows the effect of the Staff-recommended changes to </w:t>
      </w:r>
      <w:r w:rsidR="004762CC">
        <w:t xml:space="preserve">VEDO’s proposed O&amp;M savings calculation in each of the five years of the extended Program.  </w:t>
      </w:r>
    </w:p>
    <w:tbl>
      <w:tblPr>
        <w:tblStyle w:val="TableGrid"/>
        <w:tblW w:w="0" w:type="auto"/>
        <w:tblInd w:w="468" w:type="dxa"/>
        <w:tblLook w:val="04A0" w:firstRow="1" w:lastRow="0" w:firstColumn="1" w:lastColumn="0" w:noHBand="0" w:noVBand="1"/>
      </w:tblPr>
      <w:tblGrid>
        <w:gridCol w:w="8640"/>
      </w:tblGrid>
      <w:tr w:rsidR="00493136" w:rsidTr="00493136">
        <w:trPr>
          <w:trHeight w:val="1718"/>
        </w:trPr>
        <w:tc>
          <w:tcPr>
            <w:tcW w:w="8640" w:type="dxa"/>
          </w:tcPr>
          <w:tbl>
            <w:tblPr>
              <w:tblW w:w="7172" w:type="dxa"/>
              <w:tblLook w:val="04A0" w:firstRow="1" w:lastRow="0" w:firstColumn="1" w:lastColumn="0" w:noHBand="0" w:noVBand="1"/>
            </w:tblPr>
            <w:tblGrid>
              <w:gridCol w:w="1039"/>
              <w:gridCol w:w="346"/>
              <w:gridCol w:w="1061"/>
              <w:gridCol w:w="281"/>
              <w:gridCol w:w="1061"/>
              <w:gridCol w:w="281"/>
              <w:gridCol w:w="1256"/>
              <w:gridCol w:w="281"/>
              <w:gridCol w:w="1256"/>
              <w:gridCol w:w="281"/>
              <w:gridCol w:w="1256"/>
            </w:tblGrid>
            <w:tr w:rsidR="00493136" w:rsidRPr="00037183" w:rsidTr="007F2C0C">
              <w:trPr>
                <w:trHeight w:val="288"/>
              </w:trPr>
              <w:tc>
                <w:tcPr>
                  <w:tcW w:w="720" w:type="dxa"/>
                  <w:tcBorders>
                    <w:top w:val="nil"/>
                    <w:left w:val="nil"/>
                    <w:bottom w:val="nil"/>
                    <w:right w:val="nil"/>
                  </w:tcBorders>
                  <w:shd w:val="clear" w:color="auto" w:fill="auto"/>
                  <w:noWrap/>
                  <w:vAlign w:val="bottom"/>
                  <w:hideMark/>
                </w:tcPr>
                <w:p w:rsidR="00493136" w:rsidRPr="00493136" w:rsidRDefault="00493136" w:rsidP="007F2C0C">
                  <w:pPr>
                    <w:spacing w:after="0" w:line="240" w:lineRule="auto"/>
                    <w:rPr>
                      <w:rFonts w:ascii="Times New Roman" w:hAnsi="Times New Roman"/>
                      <w:color w:val="000000"/>
                      <w:sz w:val="26"/>
                      <w:szCs w:val="26"/>
                    </w:rPr>
                  </w:pPr>
                </w:p>
              </w:tc>
              <w:tc>
                <w:tcPr>
                  <w:tcW w:w="318" w:type="dxa"/>
                  <w:tcBorders>
                    <w:top w:val="nil"/>
                    <w:left w:val="nil"/>
                    <w:bottom w:val="nil"/>
                    <w:right w:val="nil"/>
                  </w:tcBorders>
                  <w:shd w:val="clear" w:color="auto" w:fill="auto"/>
                  <w:noWrap/>
                  <w:vAlign w:val="bottom"/>
                  <w:hideMark/>
                </w:tcPr>
                <w:p w:rsidR="00493136" w:rsidRPr="00493136" w:rsidRDefault="00493136" w:rsidP="007F2C0C">
                  <w:pPr>
                    <w:spacing w:after="0" w:line="240" w:lineRule="auto"/>
                    <w:rPr>
                      <w:rFonts w:ascii="Times New Roman" w:hAnsi="Times New Roman"/>
                      <w:color w:val="000000"/>
                      <w:sz w:val="26"/>
                      <w:szCs w:val="26"/>
                    </w:rPr>
                  </w:pPr>
                </w:p>
              </w:tc>
              <w:tc>
                <w:tcPr>
                  <w:tcW w:w="6134" w:type="dxa"/>
                  <w:gridSpan w:val="9"/>
                  <w:tcBorders>
                    <w:top w:val="nil"/>
                    <w:left w:val="nil"/>
                    <w:right w:val="nil"/>
                  </w:tcBorders>
                  <w:shd w:val="clear" w:color="auto" w:fill="auto"/>
                  <w:noWrap/>
                  <w:vAlign w:val="center"/>
                  <w:hideMark/>
                </w:tcPr>
                <w:p w:rsidR="00CA27B7" w:rsidRDefault="00CA27B7" w:rsidP="007F2C0C">
                  <w:pPr>
                    <w:spacing w:after="0" w:line="240" w:lineRule="auto"/>
                    <w:jc w:val="center"/>
                    <w:rPr>
                      <w:rFonts w:ascii="Times New Roman" w:hAnsi="Times New Roman"/>
                      <w:color w:val="000000"/>
                      <w:sz w:val="26"/>
                      <w:szCs w:val="26"/>
                    </w:rPr>
                  </w:pPr>
                </w:p>
                <w:p w:rsidR="00493136" w:rsidRPr="00493136" w:rsidRDefault="00493136" w:rsidP="007F2C0C">
                  <w:pPr>
                    <w:spacing w:after="0" w:line="240" w:lineRule="auto"/>
                    <w:jc w:val="center"/>
                    <w:rPr>
                      <w:rFonts w:ascii="Times New Roman" w:hAnsi="Times New Roman"/>
                      <w:color w:val="000000"/>
                      <w:sz w:val="26"/>
                      <w:szCs w:val="26"/>
                    </w:rPr>
                  </w:pPr>
                  <w:r>
                    <w:rPr>
                      <w:rFonts w:ascii="Times New Roman" w:hAnsi="Times New Roman"/>
                      <w:color w:val="000000"/>
                      <w:sz w:val="26"/>
                      <w:szCs w:val="26"/>
                    </w:rPr>
                    <w:t xml:space="preserve">Staff Vs. VEDO </w:t>
                  </w:r>
                  <w:r w:rsidRPr="00493136">
                    <w:rPr>
                      <w:rFonts w:ascii="Times New Roman" w:hAnsi="Times New Roman"/>
                      <w:color w:val="000000"/>
                      <w:sz w:val="26"/>
                      <w:szCs w:val="26"/>
                    </w:rPr>
                    <w:t>Estimated O&amp;M Savings thru 2017</w:t>
                  </w:r>
                </w:p>
              </w:tc>
            </w:tr>
            <w:tr w:rsidR="00493136" w:rsidRPr="00037183" w:rsidTr="007F2C0C">
              <w:trPr>
                <w:trHeight w:val="20"/>
              </w:trPr>
              <w:tc>
                <w:tcPr>
                  <w:tcW w:w="720" w:type="dxa"/>
                  <w:tcBorders>
                    <w:top w:val="nil"/>
                    <w:left w:val="nil"/>
                    <w:bottom w:val="nil"/>
                    <w:right w:val="nil"/>
                  </w:tcBorders>
                  <w:shd w:val="clear" w:color="auto" w:fill="auto"/>
                  <w:noWrap/>
                  <w:vAlign w:val="bottom"/>
                  <w:hideMark/>
                </w:tcPr>
                <w:p w:rsidR="00493136" w:rsidRPr="00493136" w:rsidRDefault="00493136" w:rsidP="007F2C0C">
                  <w:pPr>
                    <w:spacing w:after="0" w:line="240" w:lineRule="auto"/>
                    <w:rPr>
                      <w:rFonts w:ascii="Times New Roman" w:hAnsi="Times New Roman"/>
                      <w:color w:val="000000"/>
                      <w:sz w:val="26"/>
                      <w:szCs w:val="26"/>
                    </w:rPr>
                  </w:pPr>
                </w:p>
              </w:tc>
              <w:tc>
                <w:tcPr>
                  <w:tcW w:w="318" w:type="dxa"/>
                  <w:tcBorders>
                    <w:top w:val="nil"/>
                    <w:left w:val="nil"/>
                    <w:bottom w:val="nil"/>
                    <w:right w:val="nil"/>
                  </w:tcBorders>
                  <w:shd w:val="clear" w:color="auto" w:fill="auto"/>
                  <w:noWrap/>
                  <w:vAlign w:val="bottom"/>
                  <w:hideMark/>
                </w:tcPr>
                <w:p w:rsidR="00493136" w:rsidRPr="00493136" w:rsidRDefault="00493136" w:rsidP="007F2C0C">
                  <w:pPr>
                    <w:spacing w:after="0" w:line="240" w:lineRule="auto"/>
                    <w:rPr>
                      <w:rFonts w:ascii="Times New Roman" w:hAnsi="Times New Roman"/>
                      <w:color w:val="000000"/>
                      <w:sz w:val="26"/>
                      <w:szCs w:val="26"/>
                    </w:rPr>
                  </w:pPr>
                </w:p>
              </w:tc>
              <w:tc>
                <w:tcPr>
                  <w:tcW w:w="991" w:type="dxa"/>
                  <w:tcBorders>
                    <w:left w:val="nil"/>
                    <w:bottom w:val="single" w:sz="4" w:space="0" w:color="auto"/>
                    <w:right w:val="nil"/>
                  </w:tcBorders>
                  <w:shd w:val="clear" w:color="auto" w:fill="auto"/>
                  <w:noWrap/>
                  <w:vAlign w:val="bottom"/>
                  <w:hideMark/>
                </w:tcPr>
                <w:p w:rsidR="00493136" w:rsidRPr="00493136" w:rsidRDefault="00493136" w:rsidP="007F2C0C">
                  <w:pPr>
                    <w:spacing w:after="0" w:line="240" w:lineRule="auto"/>
                    <w:jc w:val="center"/>
                    <w:rPr>
                      <w:rFonts w:ascii="Times New Roman" w:hAnsi="Times New Roman"/>
                      <w:color w:val="000000"/>
                      <w:sz w:val="26"/>
                      <w:szCs w:val="26"/>
                    </w:rPr>
                  </w:pPr>
                  <w:r w:rsidRPr="00493136">
                    <w:rPr>
                      <w:rFonts w:ascii="Times New Roman" w:hAnsi="Times New Roman"/>
                      <w:color w:val="000000"/>
                      <w:sz w:val="26"/>
                      <w:szCs w:val="26"/>
                    </w:rPr>
                    <w:t> </w:t>
                  </w:r>
                </w:p>
              </w:tc>
              <w:tc>
                <w:tcPr>
                  <w:tcW w:w="266" w:type="dxa"/>
                  <w:tcBorders>
                    <w:left w:val="nil"/>
                    <w:bottom w:val="single" w:sz="4" w:space="0" w:color="auto"/>
                    <w:right w:val="nil"/>
                  </w:tcBorders>
                  <w:shd w:val="clear" w:color="auto" w:fill="auto"/>
                  <w:noWrap/>
                  <w:vAlign w:val="bottom"/>
                  <w:hideMark/>
                </w:tcPr>
                <w:p w:rsidR="00493136" w:rsidRPr="00493136" w:rsidRDefault="00493136" w:rsidP="007F2C0C">
                  <w:pPr>
                    <w:spacing w:after="0" w:line="240" w:lineRule="auto"/>
                    <w:jc w:val="center"/>
                    <w:rPr>
                      <w:rFonts w:ascii="Times New Roman" w:hAnsi="Times New Roman"/>
                      <w:color w:val="000000"/>
                      <w:sz w:val="26"/>
                      <w:szCs w:val="26"/>
                    </w:rPr>
                  </w:pPr>
                  <w:r w:rsidRPr="00493136">
                    <w:rPr>
                      <w:rFonts w:ascii="Times New Roman" w:hAnsi="Times New Roman"/>
                      <w:color w:val="000000"/>
                      <w:sz w:val="26"/>
                      <w:szCs w:val="26"/>
                    </w:rPr>
                    <w:t> </w:t>
                  </w:r>
                </w:p>
              </w:tc>
              <w:tc>
                <w:tcPr>
                  <w:tcW w:w="992" w:type="dxa"/>
                  <w:tcBorders>
                    <w:left w:val="nil"/>
                    <w:bottom w:val="single" w:sz="4" w:space="0" w:color="auto"/>
                    <w:right w:val="nil"/>
                  </w:tcBorders>
                  <w:shd w:val="clear" w:color="auto" w:fill="auto"/>
                  <w:noWrap/>
                  <w:vAlign w:val="bottom"/>
                  <w:hideMark/>
                </w:tcPr>
                <w:p w:rsidR="00493136" w:rsidRPr="00493136" w:rsidRDefault="00493136" w:rsidP="007F2C0C">
                  <w:pPr>
                    <w:spacing w:after="0" w:line="240" w:lineRule="auto"/>
                    <w:jc w:val="center"/>
                    <w:rPr>
                      <w:rFonts w:ascii="Times New Roman" w:hAnsi="Times New Roman"/>
                      <w:color w:val="000000"/>
                      <w:sz w:val="26"/>
                      <w:szCs w:val="26"/>
                    </w:rPr>
                  </w:pPr>
                </w:p>
              </w:tc>
              <w:tc>
                <w:tcPr>
                  <w:tcW w:w="266" w:type="dxa"/>
                  <w:tcBorders>
                    <w:left w:val="nil"/>
                    <w:bottom w:val="single" w:sz="4" w:space="0" w:color="auto"/>
                    <w:right w:val="nil"/>
                  </w:tcBorders>
                  <w:shd w:val="clear" w:color="auto" w:fill="auto"/>
                  <w:noWrap/>
                  <w:vAlign w:val="bottom"/>
                  <w:hideMark/>
                </w:tcPr>
                <w:p w:rsidR="00493136" w:rsidRPr="00493136" w:rsidRDefault="00493136" w:rsidP="007F2C0C">
                  <w:pPr>
                    <w:spacing w:after="0" w:line="240" w:lineRule="auto"/>
                    <w:jc w:val="center"/>
                    <w:rPr>
                      <w:rFonts w:ascii="Times New Roman" w:hAnsi="Times New Roman"/>
                      <w:color w:val="000000"/>
                      <w:sz w:val="26"/>
                      <w:szCs w:val="26"/>
                    </w:rPr>
                  </w:pPr>
                  <w:r w:rsidRPr="00493136">
                    <w:rPr>
                      <w:rFonts w:ascii="Times New Roman" w:hAnsi="Times New Roman"/>
                      <w:color w:val="000000"/>
                      <w:sz w:val="26"/>
                      <w:szCs w:val="26"/>
                    </w:rPr>
                    <w:t> </w:t>
                  </w:r>
                </w:p>
              </w:tc>
              <w:tc>
                <w:tcPr>
                  <w:tcW w:w="1029" w:type="dxa"/>
                  <w:tcBorders>
                    <w:left w:val="nil"/>
                    <w:bottom w:val="single" w:sz="4" w:space="0" w:color="auto"/>
                    <w:right w:val="nil"/>
                  </w:tcBorders>
                  <w:shd w:val="clear" w:color="auto" w:fill="auto"/>
                  <w:noWrap/>
                  <w:vAlign w:val="bottom"/>
                  <w:hideMark/>
                </w:tcPr>
                <w:p w:rsidR="00493136" w:rsidRPr="00493136" w:rsidRDefault="00493136" w:rsidP="007F2C0C">
                  <w:pPr>
                    <w:spacing w:after="0" w:line="240" w:lineRule="auto"/>
                    <w:jc w:val="center"/>
                    <w:rPr>
                      <w:rFonts w:ascii="Times New Roman" w:hAnsi="Times New Roman"/>
                      <w:color w:val="000000"/>
                      <w:sz w:val="26"/>
                      <w:szCs w:val="26"/>
                    </w:rPr>
                  </w:pPr>
                  <w:r w:rsidRPr="00493136">
                    <w:rPr>
                      <w:rFonts w:ascii="Times New Roman" w:hAnsi="Times New Roman"/>
                      <w:color w:val="000000"/>
                      <w:sz w:val="26"/>
                      <w:szCs w:val="26"/>
                    </w:rPr>
                    <w:t> </w:t>
                  </w:r>
                </w:p>
              </w:tc>
              <w:tc>
                <w:tcPr>
                  <w:tcW w:w="266" w:type="dxa"/>
                  <w:tcBorders>
                    <w:left w:val="nil"/>
                    <w:bottom w:val="single" w:sz="4" w:space="0" w:color="auto"/>
                    <w:right w:val="nil"/>
                  </w:tcBorders>
                  <w:shd w:val="clear" w:color="auto" w:fill="auto"/>
                  <w:noWrap/>
                  <w:vAlign w:val="bottom"/>
                  <w:hideMark/>
                </w:tcPr>
                <w:p w:rsidR="00493136" w:rsidRPr="00493136" w:rsidRDefault="00493136" w:rsidP="007F2C0C">
                  <w:pPr>
                    <w:spacing w:after="0" w:line="240" w:lineRule="auto"/>
                    <w:jc w:val="center"/>
                    <w:rPr>
                      <w:rFonts w:ascii="Times New Roman" w:hAnsi="Times New Roman"/>
                      <w:color w:val="000000"/>
                      <w:sz w:val="26"/>
                      <w:szCs w:val="26"/>
                    </w:rPr>
                  </w:pPr>
                  <w:r w:rsidRPr="00493136">
                    <w:rPr>
                      <w:rFonts w:ascii="Times New Roman" w:hAnsi="Times New Roman"/>
                      <w:color w:val="000000"/>
                      <w:sz w:val="26"/>
                      <w:szCs w:val="26"/>
                    </w:rPr>
                    <w:t> </w:t>
                  </w:r>
                </w:p>
              </w:tc>
              <w:tc>
                <w:tcPr>
                  <w:tcW w:w="1029" w:type="dxa"/>
                  <w:tcBorders>
                    <w:left w:val="nil"/>
                    <w:bottom w:val="single" w:sz="4" w:space="0" w:color="auto"/>
                    <w:right w:val="nil"/>
                  </w:tcBorders>
                  <w:shd w:val="clear" w:color="auto" w:fill="auto"/>
                  <w:noWrap/>
                  <w:vAlign w:val="bottom"/>
                  <w:hideMark/>
                </w:tcPr>
                <w:p w:rsidR="00493136" w:rsidRPr="00493136" w:rsidRDefault="00493136" w:rsidP="007F2C0C">
                  <w:pPr>
                    <w:spacing w:after="0" w:line="240" w:lineRule="auto"/>
                    <w:jc w:val="center"/>
                    <w:rPr>
                      <w:rFonts w:ascii="Times New Roman" w:hAnsi="Times New Roman"/>
                      <w:color w:val="000000"/>
                      <w:sz w:val="26"/>
                      <w:szCs w:val="26"/>
                    </w:rPr>
                  </w:pPr>
                  <w:r w:rsidRPr="00493136">
                    <w:rPr>
                      <w:rFonts w:ascii="Times New Roman" w:hAnsi="Times New Roman"/>
                      <w:color w:val="000000"/>
                      <w:sz w:val="26"/>
                      <w:szCs w:val="26"/>
                    </w:rPr>
                    <w:t> </w:t>
                  </w:r>
                </w:p>
              </w:tc>
              <w:tc>
                <w:tcPr>
                  <w:tcW w:w="266" w:type="dxa"/>
                  <w:tcBorders>
                    <w:left w:val="nil"/>
                    <w:bottom w:val="single" w:sz="4" w:space="0" w:color="auto"/>
                    <w:right w:val="nil"/>
                  </w:tcBorders>
                  <w:shd w:val="clear" w:color="auto" w:fill="auto"/>
                  <w:noWrap/>
                  <w:vAlign w:val="bottom"/>
                  <w:hideMark/>
                </w:tcPr>
                <w:p w:rsidR="00493136" w:rsidRPr="00493136" w:rsidRDefault="00493136" w:rsidP="007F2C0C">
                  <w:pPr>
                    <w:spacing w:after="0" w:line="240" w:lineRule="auto"/>
                    <w:jc w:val="center"/>
                    <w:rPr>
                      <w:rFonts w:ascii="Times New Roman" w:hAnsi="Times New Roman"/>
                      <w:color w:val="000000"/>
                      <w:sz w:val="26"/>
                      <w:szCs w:val="26"/>
                    </w:rPr>
                  </w:pPr>
                  <w:r w:rsidRPr="00493136">
                    <w:rPr>
                      <w:rFonts w:ascii="Times New Roman" w:hAnsi="Times New Roman"/>
                      <w:color w:val="000000"/>
                      <w:sz w:val="26"/>
                      <w:szCs w:val="26"/>
                    </w:rPr>
                    <w:t> </w:t>
                  </w:r>
                </w:p>
              </w:tc>
              <w:tc>
                <w:tcPr>
                  <w:tcW w:w="1029" w:type="dxa"/>
                  <w:tcBorders>
                    <w:left w:val="nil"/>
                    <w:bottom w:val="single" w:sz="4" w:space="0" w:color="auto"/>
                    <w:right w:val="nil"/>
                  </w:tcBorders>
                  <w:shd w:val="clear" w:color="auto" w:fill="auto"/>
                  <w:noWrap/>
                  <w:vAlign w:val="bottom"/>
                  <w:hideMark/>
                </w:tcPr>
                <w:p w:rsidR="00493136" w:rsidRPr="00493136" w:rsidRDefault="00493136" w:rsidP="007F2C0C">
                  <w:pPr>
                    <w:spacing w:after="0" w:line="240" w:lineRule="auto"/>
                    <w:jc w:val="center"/>
                    <w:rPr>
                      <w:rFonts w:ascii="Times New Roman" w:hAnsi="Times New Roman"/>
                      <w:color w:val="000000"/>
                      <w:sz w:val="26"/>
                      <w:szCs w:val="26"/>
                    </w:rPr>
                  </w:pPr>
                  <w:r w:rsidRPr="00493136">
                    <w:rPr>
                      <w:rFonts w:ascii="Times New Roman" w:hAnsi="Times New Roman"/>
                      <w:color w:val="000000"/>
                      <w:sz w:val="26"/>
                      <w:szCs w:val="26"/>
                    </w:rPr>
                    <w:t> </w:t>
                  </w:r>
                </w:p>
              </w:tc>
            </w:tr>
            <w:tr w:rsidR="00493136" w:rsidRPr="00037183" w:rsidTr="007F2C0C">
              <w:trPr>
                <w:trHeight w:val="20"/>
              </w:trPr>
              <w:tc>
                <w:tcPr>
                  <w:tcW w:w="720" w:type="dxa"/>
                  <w:tcBorders>
                    <w:top w:val="nil"/>
                    <w:left w:val="nil"/>
                    <w:bottom w:val="nil"/>
                    <w:right w:val="nil"/>
                  </w:tcBorders>
                  <w:shd w:val="clear" w:color="auto" w:fill="auto"/>
                  <w:noWrap/>
                  <w:vAlign w:val="bottom"/>
                  <w:hideMark/>
                </w:tcPr>
                <w:p w:rsidR="00493136" w:rsidRPr="00493136" w:rsidRDefault="00493136" w:rsidP="007F2C0C">
                  <w:pPr>
                    <w:spacing w:after="0" w:line="240" w:lineRule="auto"/>
                    <w:rPr>
                      <w:rFonts w:ascii="Times New Roman" w:hAnsi="Times New Roman"/>
                      <w:color w:val="000000"/>
                      <w:sz w:val="26"/>
                      <w:szCs w:val="26"/>
                    </w:rPr>
                  </w:pPr>
                </w:p>
              </w:tc>
              <w:tc>
                <w:tcPr>
                  <w:tcW w:w="318" w:type="dxa"/>
                  <w:tcBorders>
                    <w:top w:val="nil"/>
                    <w:left w:val="nil"/>
                    <w:bottom w:val="nil"/>
                    <w:right w:val="nil"/>
                  </w:tcBorders>
                  <w:shd w:val="clear" w:color="auto" w:fill="auto"/>
                  <w:noWrap/>
                  <w:vAlign w:val="bottom"/>
                  <w:hideMark/>
                </w:tcPr>
                <w:p w:rsidR="00493136" w:rsidRPr="00493136" w:rsidRDefault="00493136" w:rsidP="007F2C0C">
                  <w:pPr>
                    <w:spacing w:after="0" w:line="240" w:lineRule="auto"/>
                    <w:rPr>
                      <w:rFonts w:ascii="Times New Roman" w:hAnsi="Times New Roman"/>
                      <w:color w:val="000000"/>
                      <w:sz w:val="26"/>
                      <w:szCs w:val="26"/>
                    </w:rPr>
                  </w:pPr>
                </w:p>
              </w:tc>
              <w:tc>
                <w:tcPr>
                  <w:tcW w:w="991" w:type="dxa"/>
                  <w:tcBorders>
                    <w:top w:val="nil"/>
                    <w:left w:val="nil"/>
                    <w:bottom w:val="single" w:sz="4" w:space="0" w:color="auto"/>
                    <w:right w:val="nil"/>
                  </w:tcBorders>
                  <w:shd w:val="clear" w:color="auto" w:fill="auto"/>
                  <w:noWrap/>
                  <w:vAlign w:val="center"/>
                  <w:hideMark/>
                </w:tcPr>
                <w:p w:rsidR="00493136" w:rsidRPr="00493136" w:rsidRDefault="00493136" w:rsidP="007F2C0C">
                  <w:pPr>
                    <w:spacing w:after="0" w:line="240" w:lineRule="auto"/>
                    <w:jc w:val="center"/>
                    <w:rPr>
                      <w:rFonts w:ascii="Times New Roman" w:hAnsi="Times New Roman"/>
                      <w:color w:val="000000"/>
                      <w:sz w:val="26"/>
                      <w:szCs w:val="26"/>
                    </w:rPr>
                  </w:pPr>
                  <w:r w:rsidRPr="00493136">
                    <w:rPr>
                      <w:rFonts w:ascii="Times New Roman" w:hAnsi="Times New Roman"/>
                      <w:color w:val="000000"/>
                      <w:sz w:val="26"/>
                      <w:szCs w:val="26"/>
                    </w:rPr>
                    <w:t>2013</w:t>
                  </w:r>
                </w:p>
              </w:tc>
              <w:tc>
                <w:tcPr>
                  <w:tcW w:w="266" w:type="dxa"/>
                  <w:tcBorders>
                    <w:top w:val="nil"/>
                    <w:left w:val="nil"/>
                    <w:bottom w:val="single" w:sz="4" w:space="0" w:color="auto"/>
                    <w:right w:val="nil"/>
                  </w:tcBorders>
                  <w:shd w:val="clear" w:color="auto" w:fill="auto"/>
                  <w:noWrap/>
                  <w:vAlign w:val="center"/>
                  <w:hideMark/>
                </w:tcPr>
                <w:p w:rsidR="00493136" w:rsidRPr="00493136" w:rsidRDefault="00493136" w:rsidP="007F2C0C">
                  <w:pPr>
                    <w:spacing w:after="0" w:line="240" w:lineRule="auto"/>
                    <w:rPr>
                      <w:rFonts w:ascii="Times New Roman" w:hAnsi="Times New Roman"/>
                      <w:color w:val="000000"/>
                      <w:sz w:val="26"/>
                      <w:szCs w:val="26"/>
                    </w:rPr>
                  </w:pPr>
                  <w:r w:rsidRPr="00493136">
                    <w:rPr>
                      <w:rFonts w:ascii="Times New Roman" w:hAnsi="Times New Roman"/>
                      <w:color w:val="000000"/>
                      <w:sz w:val="26"/>
                      <w:szCs w:val="26"/>
                    </w:rPr>
                    <w:t> </w:t>
                  </w:r>
                </w:p>
              </w:tc>
              <w:tc>
                <w:tcPr>
                  <w:tcW w:w="992" w:type="dxa"/>
                  <w:tcBorders>
                    <w:top w:val="nil"/>
                    <w:left w:val="nil"/>
                    <w:bottom w:val="single" w:sz="4" w:space="0" w:color="auto"/>
                    <w:right w:val="nil"/>
                  </w:tcBorders>
                  <w:shd w:val="clear" w:color="auto" w:fill="auto"/>
                  <w:noWrap/>
                  <w:vAlign w:val="center"/>
                  <w:hideMark/>
                </w:tcPr>
                <w:p w:rsidR="00493136" w:rsidRPr="00493136" w:rsidRDefault="00493136" w:rsidP="007F2C0C">
                  <w:pPr>
                    <w:spacing w:after="0" w:line="240" w:lineRule="auto"/>
                    <w:jc w:val="center"/>
                    <w:rPr>
                      <w:rFonts w:ascii="Times New Roman" w:hAnsi="Times New Roman"/>
                      <w:color w:val="000000"/>
                      <w:sz w:val="26"/>
                      <w:szCs w:val="26"/>
                    </w:rPr>
                  </w:pPr>
                  <w:r w:rsidRPr="00493136">
                    <w:rPr>
                      <w:rFonts w:ascii="Times New Roman" w:hAnsi="Times New Roman"/>
                      <w:color w:val="000000"/>
                      <w:sz w:val="26"/>
                      <w:szCs w:val="26"/>
                    </w:rPr>
                    <w:t>2014</w:t>
                  </w:r>
                </w:p>
              </w:tc>
              <w:tc>
                <w:tcPr>
                  <w:tcW w:w="266" w:type="dxa"/>
                  <w:tcBorders>
                    <w:top w:val="nil"/>
                    <w:left w:val="nil"/>
                    <w:bottom w:val="single" w:sz="4" w:space="0" w:color="auto"/>
                    <w:right w:val="nil"/>
                  </w:tcBorders>
                  <w:shd w:val="clear" w:color="auto" w:fill="auto"/>
                  <w:noWrap/>
                  <w:vAlign w:val="center"/>
                  <w:hideMark/>
                </w:tcPr>
                <w:p w:rsidR="00493136" w:rsidRPr="00493136" w:rsidRDefault="00493136" w:rsidP="007F2C0C">
                  <w:pPr>
                    <w:spacing w:after="0" w:line="240" w:lineRule="auto"/>
                    <w:rPr>
                      <w:rFonts w:ascii="Times New Roman" w:hAnsi="Times New Roman"/>
                      <w:color w:val="000000"/>
                      <w:sz w:val="26"/>
                      <w:szCs w:val="26"/>
                    </w:rPr>
                  </w:pPr>
                  <w:r w:rsidRPr="00493136">
                    <w:rPr>
                      <w:rFonts w:ascii="Times New Roman" w:hAnsi="Times New Roman"/>
                      <w:color w:val="000000"/>
                      <w:sz w:val="26"/>
                      <w:szCs w:val="26"/>
                    </w:rPr>
                    <w:t> </w:t>
                  </w:r>
                </w:p>
              </w:tc>
              <w:tc>
                <w:tcPr>
                  <w:tcW w:w="1029" w:type="dxa"/>
                  <w:tcBorders>
                    <w:top w:val="nil"/>
                    <w:left w:val="nil"/>
                    <w:bottom w:val="single" w:sz="4" w:space="0" w:color="auto"/>
                    <w:right w:val="nil"/>
                  </w:tcBorders>
                  <w:shd w:val="clear" w:color="auto" w:fill="auto"/>
                  <w:noWrap/>
                  <w:vAlign w:val="center"/>
                  <w:hideMark/>
                </w:tcPr>
                <w:p w:rsidR="00493136" w:rsidRPr="00493136" w:rsidRDefault="00493136" w:rsidP="007F2C0C">
                  <w:pPr>
                    <w:spacing w:after="0" w:line="240" w:lineRule="auto"/>
                    <w:jc w:val="center"/>
                    <w:rPr>
                      <w:rFonts w:ascii="Times New Roman" w:hAnsi="Times New Roman"/>
                      <w:color w:val="000000"/>
                      <w:sz w:val="26"/>
                      <w:szCs w:val="26"/>
                    </w:rPr>
                  </w:pPr>
                  <w:r w:rsidRPr="00493136">
                    <w:rPr>
                      <w:rFonts w:ascii="Times New Roman" w:hAnsi="Times New Roman"/>
                      <w:color w:val="000000"/>
                      <w:sz w:val="26"/>
                      <w:szCs w:val="26"/>
                    </w:rPr>
                    <w:t>2015</w:t>
                  </w:r>
                </w:p>
              </w:tc>
              <w:tc>
                <w:tcPr>
                  <w:tcW w:w="266" w:type="dxa"/>
                  <w:tcBorders>
                    <w:top w:val="nil"/>
                    <w:left w:val="nil"/>
                    <w:bottom w:val="single" w:sz="4" w:space="0" w:color="auto"/>
                    <w:right w:val="nil"/>
                  </w:tcBorders>
                  <w:shd w:val="clear" w:color="auto" w:fill="auto"/>
                  <w:noWrap/>
                  <w:vAlign w:val="center"/>
                  <w:hideMark/>
                </w:tcPr>
                <w:p w:rsidR="00493136" w:rsidRPr="00493136" w:rsidRDefault="00493136" w:rsidP="007F2C0C">
                  <w:pPr>
                    <w:spacing w:after="0" w:line="240" w:lineRule="auto"/>
                    <w:rPr>
                      <w:rFonts w:ascii="Times New Roman" w:hAnsi="Times New Roman"/>
                      <w:color w:val="000000"/>
                      <w:sz w:val="26"/>
                      <w:szCs w:val="26"/>
                    </w:rPr>
                  </w:pPr>
                  <w:r w:rsidRPr="00493136">
                    <w:rPr>
                      <w:rFonts w:ascii="Times New Roman" w:hAnsi="Times New Roman"/>
                      <w:color w:val="000000"/>
                      <w:sz w:val="26"/>
                      <w:szCs w:val="26"/>
                    </w:rPr>
                    <w:t> </w:t>
                  </w:r>
                </w:p>
              </w:tc>
              <w:tc>
                <w:tcPr>
                  <w:tcW w:w="1029" w:type="dxa"/>
                  <w:tcBorders>
                    <w:top w:val="nil"/>
                    <w:left w:val="nil"/>
                    <w:bottom w:val="single" w:sz="4" w:space="0" w:color="auto"/>
                    <w:right w:val="nil"/>
                  </w:tcBorders>
                  <w:shd w:val="clear" w:color="auto" w:fill="auto"/>
                  <w:noWrap/>
                  <w:vAlign w:val="center"/>
                  <w:hideMark/>
                </w:tcPr>
                <w:p w:rsidR="00493136" w:rsidRPr="00493136" w:rsidRDefault="00493136" w:rsidP="007F2C0C">
                  <w:pPr>
                    <w:spacing w:after="0" w:line="240" w:lineRule="auto"/>
                    <w:jc w:val="center"/>
                    <w:rPr>
                      <w:rFonts w:ascii="Times New Roman" w:hAnsi="Times New Roman"/>
                      <w:color w:val="000000"/>
                      <w:sz w:val="26"/>
                      <w:szCs w:val="26"/>
                    </w:rPr>
                  </w:pPr>
                  <w:r w:rsidRPr="00493136">
                    <w:rPr>
                      <w:rFonts w:ascii="Times New Roman" w:hAnsi="Times New Roman"/>
                      <w:color w:val="000000"/>
                      <w:sz w:val="26"/>
                      <w:szCs w:val="26"/>
                    </w:rPr>
                    <w:t>2016</w:t>
                  </w:r>
                </w:p>
              </w:tc>
              <w:tc>
                <w:tcPr>
                  <w:tcW w:w="266" w:type="dxa"/>
                  <w:tcBorders>
                    <w:top w:val="nil"/>
                    <w:left w:val="nil"/>
                    <w:bottom w:val="single" w:sz="4" w:space="0" w:color="auto"/>
                    <w:right w:val="nil"/>
                  </w:tcBorders>
                  <w:shd w:val="clear" w:color="auto" w:fill="auto"/>
                  <w:noWrap/>
                  <w:vAlign w:val="center"/>
                  <w:hideMark/>
                </w:tcPr>
                <w:p w:rsidR="00493136" w:rsidRPr="00493136" w:rsidRDefault="00493136" w:rsidP="007F2C0C">
                  <w:pPr>
                    <w:spacing w:after="0" w:line="240" w:lineRule="auto"/>
                    <w:rPr>
                      <w:rFonts w:ascii="Times New Roman" w:hAnsi="Times New Roman"/>
                      <w:color w:val="000000"/>
                      <w:sz w:val="26"/>
                      <w:szCs w:val="26"/>
                    </w:rPr>
                  </w:pPr>
                  <w:r w:rsidRPr="00493136">
                    <w:rPr>
                      <w:rFonts w:ascii="Times New Roman" w:hAnsi="Times New Roman"/>
                      <w:color w:val="000000"/>
                      <w:sz w:val="26"/>
                      <w:szCs w:val="26"/>
                    </w:rPr>
                    <w:t> </w:t>
                  </w:r>
                </w:p>
              </w:tc>
              <w:tc>
                <w:tcPr>
                  <w:tcW w:w="1029" w:type="dxa"/>
                  <w:tcBorders>
                    <w:top w:val="nil"/>
                    <w:left w:val="nil"/>
                    <w:bottom w:val="single" w:sz="4" w:space="0" w:color="auto"/>
                    <w:right w:val="nil"/>
                  </w:tcBorders>
                  <w:shd w:val="clear" w:color="auto" w:fill="auto"/>
                  <w:noWrap/>
                  <w:vAlign w:val="center"/>
                  <w:hideMark/>
                </w:tcPr>
                <w:p w:rsidR="00493136" w:rsidRPr="00493136" w:rsidRDefault="00493136" w:rsidP="007F2C0C">
                  <w:pPr>
                    <w:spacing w:after="0" w:line="240" w:lineRule="auto"/>
                    <w:jc w:val="center"/>
                    <w:rPr>
                      <w:rFonts w:ascii="Times New Roman" w:hAnsi="Times New Roman"/>
                      <w:color w:val="000000"/>
                      <w:sz w:val="26"/>
                      <w:szCs w:val="26"/>
                    </w:rPr>
                  </w:pPr>
                  <w:r w:rsidRPr="00493136">
                    <w:rPr>
                      <w:rFonts w:ascii="Times New Roman" w:hAnsi="Times New Roman"/>
                      <w:color w:val="000000"/>
                      <w:sz w:val="26"/>
                      <w:szCs w:val="26"/>
                    </w:rPr>
                    <w:t>2017</w:t>
                  </w:r>
                </w:p>
              </w:tc>
            </w:tr>
            <w:tr w:rsidR="00493136" w:rsidRPr="00037183" w:rsidTr="007F2C0C">
              <w:trPr>
                <w:trHeight w:val="144"/>
              </w:trPr>
              <w:tc>
                <w:tcPr>
                  <w:tcW w:w="720" w:type="dxa"/>
                  <w:tcBorders>
                    <w:top w:val="nil"/>
                    <w:left w:val="nil"/>
                    <w:bottom w:val="nil"/>
                    <w:right w:val="nil"/>
                  </w:tcBorders>
                  <w:shd w:val="clear" w:color="auto" w:fill="auto"/>
                  <w:noWrap/>
                  <w:vAlign w:val="bottom"/>
                  <w:hideMark/>
                </w:tcPr>
                <w:p w:rsidR="00493136" w:rsidRPr="00493136" w:rsidRDefault="00493136" w:rsidP="007F2C0C">
                  <w:pPr>
                    <w:spacing w:after="0" w:line="240" w:lineRule="auto"/>
                    <w:jc w:val="right"/>
                    <w:rPr>
                      <w:rFonts w:ascii="Times New Roman" w:hAnsi="Times New Roman"/>
                      <w:color w:val="000000"/>
                      <w:sz w:val="26"/>
                      <w:szCs w:val="26"/>
                    </w:rPr>
                  </w:pPr>
                </w:p>
              </w:tc>
              <w:tc>
                <w:tcPr>
                  <w:tcW w:w="318" w:type="dxa"/>
                  <w:tcBorders>
                    <w:top w:val="nil"/>
                    <w:left w:val="nil"/>
                    <w:bottom w:val="nil"/>
                    <w:right w:val="nil"/>
                  </w:tcBorders>
                  <w:shd w:val="clear" w:color="auto" w:fill="auto"/>
                  <w:noWrap/>
                  <w:vAlign w:val="bottom"/>
                  <w:hideMark/>
                </w:tcPr>
                <w:p w:rsidR="00493136" w:rsidRPr="00493136" w:rsidRDefault="00493136" w:rsidP="007F2C0C">
                  <w:pPr>
                    <w:spacing w:after="0" w:line="240" w:lineRule="auto"/>
                    <w:jc w:val="right"/>
                    <w:rPr>
                      <w:rFonts w:ascii="Times New Roman" w:hAnsi="Times New Roman"/>
                      <w:color w:val="000000"/>
                      <w:sz w:val="26"/>
                      <w:szCs w:val="26"/>
                    </w:rPr>
                  </w:pPr>
                </w:p>
              </w:tc>
              <w:tc>
                <w:tcPr>
                  <w:tcW w:w="991" w:type="dxa"/>
                  <w:tcBorders>
                    <w:top w:val="nil"/>
                    <w:left w:val="nil"/>
                    <w:bottom w:val="nil"/>
                    <w:right w:val="nil"/>
                  </w:tcBorders>
                  <w:shd w:val="clear" w:color="auto" w:fill="auto"/>
                  <w:noWrap/>
                  <w:vAlign w:val="bottom"/>
                  <w:hideMark/>
                </w:tcPr>
                <w:p w:rsidR="00493136" w:rsidRPr="00493136" w:rsidRDefault="00493136" w:rsidP="007F2C0C">
                  <w:pPr>
                    <w:spacing w:after="0" w:line="240" w:lineRule="auto"/>
                    <w:jc w:val="center"/>
                    <w:rPr>
                      <w:rFonts w:ascii="Times New Roman" w:hAnsi="Times New Roman"/>
                      <w:b/>
                      <w:bCs/>
                      <w:color w:val="000000"/>
                      <w:sz w:val="26"/>
                      <w:szCs w:val="26"/>
                    </w:rPr>
                  </w:pPr>
                </w:p>
              </w:tc>
              <w:tc>
                <w:tcPr>
                  <w:tcW w:w="266" w:type="dxa"/>
                  <w:tcBorders>
                    <w:top w:val="nil"/>
                    <w:left w:val="nil"/>
                    <w:bottom w:val="nil"/>
                    <w:right w:val="nil"/>
                  </w:tcBorders>
                  <w:shd w:val="clear" w:color="auto" w:fill="auto"/>
                  <w:noWrap/>
                  <w:vAlign w:val="bottom"/>
                  <w:hideMark/>
                </w:tcPr>
                <w:p w:rsidR="00493136" w:rsidRPr="00493136" w:rsidRDefault="00493136" w:rsidP="007F2C0C">
                  <w:pPr>
                    <w:spacing w:after="0" w:line="240" w:lineRule="auto"/>
                    <w:rPr>
                      <w:rFonts w:ascii="Times New Roman" w:hAnsi="Times New Roman"/>
                      <w:color w:val="000000"/>
                      <w:sz w:val="26"/>
                      <w:szCs w:val="26"/>
                    </w:rPr>
                  </w:pPr>
                </w:p>
              </w:tc>
              <w:tc>
                <w:tcPr>
                  <w:tcW w:w="992" w:type="dxa"/>
                  <w:tcBorders>
                    <w:top w:val="nil"/>
                    <w:left w:val="nil"/>
                    <w:bottom w:val="nil"/>
                    <w:right w:val="nil"/>
                  </w:tcBorders>
                  <w:shd w:val="clear" w:color="auto" w:fill="auto"/>
                  <w:noWrap/>
                  <w:vAlign w:val="bottom"/>
                  <w:hideMark/>
                </w:tcPr>
                <w:p w:rsidR="00493136" w:rsidRPr="00493136" w:rsidRDefault="00493136" w:rsidP="007F2C0C">
                  <w:pPr>
                    <w:spacing w:after="0" w:line="240" w:lineRule="auto"/>
                    <w:jc w:val="center"/>
                    <w:rPr>
                      <w:rFonts w:ascii="Times New Roman" w:hAnsi="Times New Roman"/>
                      <w:b/>
                      <w:bCs/>
                      <w:color w:val="000000"/>
                      <w:sz w:val="26"/>
                      <w:szCs w:val="26"/>
                    </w:rPr>
                  </w:pPr>
                </w:p>
              </w:tc>
              <w:tc>
                <w:tcPr>
                  <w:tcW w:w="266" w:type="dxa"/>
                  <w:tcBorders>
                    <w:top w:val="nil"/>
                    <w:left w:val="nil"/>
                    <w:bottom w:val="nil"/>
                    <w:right w:val="nil"/>
                  </w:tcBorders>
                  <w:shd w:val="clear" w:color="auto" w:fill="auto"/>
                  <w:noWrap/>
                  <w:vAlign w:val="bottom"/>
                  <w:hideMark/>
                </w:tcPr>
                <w:p w:rsidR="00493136" w:rsidRPr="00493136" w:rsidRDefault="00493136" w:rsidP="007F2C0C">
                  <w:pPr>
                    <w:spacing w:after="0" w:line="240" w:lineRule="auto"/>
                    <w:rPr>
                      <w:rFonts w:ascii="Times New Roman" w:hAnsi="Times New Roman"/>
                      <w:color w:val="000000"/>
                      <w:sz w:val="26"/>
                      <w:szCs w:val="26"/>
                    </w:rPr>
                  </w:pPr>
                </w:p>
              </w:tc>
              <w:tc>
                <w:tcPr>
                  <w:tcW w:w="1029" w:type="dxa"/>
                  <w:tcBorders>
                    <w:top w:val="nil"/>
                    <w:left w:val="nil"/>
                    <w:bottom w:val="nil"/>
                    <w:right w:val="nil"/>
                  </w:tcBorders>
                  <w:shd w:val="clear" w:color="auto" w:fill="auto"/>
                  <w:noWrap/>
                  <w:vAlign w:val="bottom"/>
                  <w:hideMark/>
                </w:tcPr>
                <w:p w:rsidR="00493136" w:rsidRPr="00493136" w:rsidRDefault="00493136" w:rsidP="007F2C0C">
                  <w:pPr>
                    <w:spacing w:after="0" w:line="240" w:lineRule="auto"/>
                    <w:jc w:val="center"/>
                    <w:rPr>
                      <w:rFonts w:ascii="Times New Roman" w:hAnsi="Times New Roman"/>
                      <w:b/>
                      <w:bCs/>
                      <w:color w:val="000000"/>
                      <w:sz w:val="26"/>
                      <w:szCs w:val="26"/>
                    </w:rPr>
                  </w:pPr>
                </w:p>
              </w:tc>
              <w:tc>
                <w:tcPr>
                  <w:tcW w:w="266" w:type="dxa"/>
                  <w:tcBorders>
                    <w:top w:val="nil"/>
                    <w:left w:val="nil"/>
                    <w:bottom w:val="nil"/>
                    <w:right w:val="nil"/>
                  </w:tcBorders>
                  <w:shd w:val="clear" w:color="auto" w:fill="auto"/>
                  <w:noWrap/>
                  <w:vAlign w:val="bottom"/>
                  <w:hideMark/>
                </w:tcPr>
                <w:p w:rsidR="00493136" w:rsidRPr="00493136" w:rsidRDefault="00493136" w:rsidP="007F2C0C">
                  <w:pPr>
                    <w:spacing w:after="0" w:line="240" w:lineRule="auto"/>
                    <w:rPr>
                      <w:rFonts w:ascii="Times New Roman" w:hAnsi="Times New Roman"/>
                      <w:color w:val="000000"/>
                      <w:sz w:val="26"/>
                      <w:szCs w:val="26"/>
                    </w:rPr>
                  </w:pPr>
                </w:p>
              </w:tc>
              <w:tc>
                <w:tcPr>
                  <w:tcW w:w="1029" w:type="dxa"/>
                  <w:tcBorders>
                    <w:top w:val="nil"/>
                    <w:left w:val="nil"/>
                    <w:bottom w:val="nil"/>
                    <w:right w:val="nil"/>
                  </w:tcBorders>
                  <w:shd w:val="clear" w:color="auto" w:fill="auto"/>
                  <w:noWrap/>
                  <w:vAlign w:val="bottom"/>
                  <w:hideMark/>
                </w:tcPr>
                <w:p w:rsidR="00493136" w:rsidRPr="00493136" w:rsidRDefault="00493136" w:rsidP="007F2C0C">
                  <w:pPr>
                    <w:spacing w:after="0" w:line="240" w:lineRule="auto"/>
                    <w:jc w:val="center"/>
                    <w:rPr>
                      <w:rFonts w:ascii="Times New Roman" w:hAnsi="Times New Roman"/>
                      <w:b/>
                      <w:bCs/>
                      <w:color w:val="000000"/>
                      <w:sz w:val="26"/>
                      <w:szCs w:val="26"/>
                    </w:rPr>
                  </w:pPr>
                </w:p>
              </w:tc>
              <w:tc>
                <w:tcPr>
                  <w:tcW w:w="266" w:type="dxa"/>
                  <w:tcBorders>
                    <w:top w:val="nil"/>
                    <w:left w:val="nil"/>
                    <w:bottom w:val="nil"/>
                    <w:right w:val="nil"/>
                  </w:tcBorders>
                  <w:shd w:val="clear" w:color="auto" w:fill="auto"/>
                  <w:noWrap/>
                  <w:vAlign w:val="bottom"/>
                  <w:hideMark/>
                </w:tcPr>
                <w:p w:rsidR="00493136" w:rsidRPr="00493136" w:rsidRDefault="00493136" w:rsidP="007F2C0C">
                  <w:pPr>
                    <w:spacing w:after="0" w:line="240" w:lineRule="auto"/>
                    <w:rPr>
                      <w:rFonts w:ascii="Times New Roman" w:hAnsi="Times New Roman"/>
                      <w:color w:val="000000"/>
                      <w:sz w:val="26"/>
                      <w:szCs w:val="26"/>
                    </w:rPr>
                  </w:pPr>
                </w:p>
              </w:tc>
              <w:tc>
                <w:tcPr>
                  <w:tcW w:w="1029" w:type="dxa"/>
                  <w:tcBorders>
                    <w:top w:val="nil"/>
                    <w:left w:val="nil"/>
                    <w:bottom w:val="nil"/>
                    <w:right w:val="nil"/>
                  </w:tcBorders>
                  <w:shd w:val="clear" w:color="auto" w:fill="auto"/>
                  <w:noWrap/>
                  <w:vAlign w:val="bottom"/>
                  <w:hideMark/>
                </w:tcPr>
                <w:p w:rsidR="00493136" w:rsidRPr="00493136" w:rsidRDefault="00493136" w:rsidP="007F2C0C">
                  <w:pPr>
                    <w:spacing w:after="0" w:line="240" w:lineRule="auto"/>
                    <w:jc w:val="center"/>
                    <w:rPr>
                      <w:rFonts w:ascii="Times New Roman" w:hAnsi="Times New Roman"/>
                      <w:b/>
                      <w:bCs/>
                      <w:color w:val="000000"/>
                      <w:sz w:val="26"/>
                      <w:szCs w:val="26"/>
                    </w:rPr>
                  </w:pPr>
                </w:p>
              </w:tc>
            </w:tr>
            <w:tr w:rsidR="00493136" w:rsidRPr="00037183" w:rsidTr="007F2C0C">
              <w:trPr>
                <w:trHeight w:val="343"/>
              </w:trPr>
              <w:tc>
                <w:tcPr>
                  <w:tcW w:w="720" w:type="dxa"/>
                  <w:tcBorders>
                    <w:top w:val="nil"/>
                    <w:left w:val="nil"/>
                    <w:bottom w:val="nil"/>
                    <w:right w:val="nil"/>
                  </w:tcBorders>
                  <w:shd w:val="clear" w:color="auto" w:fill="auto"/>
                  <w:vAlign w:val="center"/>
                  <w:hideMark/>
                </w:tcPr>
                <w:p w:rsidR="00493136" w:rsidRPr="00493136" w:rsidRDefault="00493136" w:rsidP="007F2C0C">
                  <w:pPr>
                    <w:spacing w:after="0" w:line="240" w:lineRule="auto"/>
                    <w:jc w:val="right"/>
                    <w:rPr>
                      <w:rFonts w:ascii="Times New Roman" w:hAnsi="Times New Roman"/>
                      <w:color w:val="000000"/>
                      <w:sz w:val="26"/>
                      <w:szCs w:val="26"/>
                    </w:rPr>
                  </w:pPr>
                  <w:r w:rsidRPr="00493136">
                    <w:rPr>
                      <w:rFonts w:ascii="Times New Roman" w:hAnsi="Times New Roman"/>
                      <w:color w:val="000000"/>
                      <w:sz w:val="26"/>
                      <w:szCs w:val="26"/>
                    </w:rPr>
                    <w:t>Vectren</w:t>
                  </w:r>
                </w:p>
              </w:tc>
              <w:tc>
                <w:tcPr>
                  <w:tcW w:w="318" w:type="dxa"/>
                  <w:tcBorders>
                    <w:top w:val="nil"/>
                    <w:left w:val="nil"/>
                    <w:bottom w:val="nil"/>
                    <w:right w:val="nil"/>
                  </w:tcBorders>
                  <w:shd w:val="clear" w:color="auto" w:fill="auto"/>
                  <w:noWrap/>
                  <w:vAlign w:val="center"/>
                  <w:hideMark/>
                </w:tcPr>
                <w:p w:rsidR="00493136" w:rsidRPr="00493136" w:rsidRDefault="00493136" w:rsidP="007F2C0C">
                  <w:pPr>
                    <w:spacing w:after="0" w:line="240" w:lineRule="auto"/>
                    <w:jc w:val="right"/>
                    <w:rPr>
                      <w:rFonts w:ascii="Times New Roman" w:hAnsi="Times New Roman"/>
                      <w:color w:val="000000"/>
                      <w:sz w:val="26"/>
                      <w:szCs w:val="26"/>
                    </w:rPr>
                  </w:pPr>
                  <w:r w:rsidRPr="00493136">
                    <w:rPr>
                      <w:rFonts w:ascii="Times New Roman" w:hAnsi="Times New Roman"/>
                      <w:color w:val="000000"/>
                      <w:sz w:val="26"/>
                      <w:szCs w:val="26"/>
                    </w:rPr>
                    <w:t>$</w:t>
                  </w:r>
                </w:p>
              </w:tc>
              <w:tc>
                <w:tcPr>
                  <w:tcW w:w="991" w:type="dxa"/>
                  <w:tcBorders>
                    <w:top w:val="nil"/>
                    <w:left w:val="nil"/>
                    <w:bottom w:val="nil"/>
                    <w:right w:val="nil"/>
                  </w:tcBorders>
                  <w:shd w:val="clear" w:color="auto" w:fill="auto"/>
                  <w:noWrap/>
                  <w:vAlign w:val="center"/>
                  <w:hideMark/>
                </w:tcPr>
                <w:p w:rsidR="00493136" w:rsidRPr="00493136" w:rsidRDefault="00493136" w:rsidP="007F2C0C">
                  <w:pPr>
                    <w:spacing w:after="0" w:line="240" w:lineRule="auto"/>
                    <w:jc w:val="center"/>
                    <w:rPr>
                      <w:rFonts w:ascii="Times New Roman" w:hAnsi="Times New Roman"/>
                      <w:color w:val="000000"/>
                      <w:sz w:val="26"/>
                      <w:szCs w:val="26"/>
                    </w:rPr>
                  </w:pPr>
                  <w:r w:rsidRPr="00493136">
                    <w:rPr>
                      <w:rFonts w:ascii="Times New Roman" w:hAnsi="Times New Roman"/>
                      <w:color w:val="000000"/>
                      <w:sz w:val="26"/>
                      <w:szCs w:val="26"/>
                    </w:rPr>
                    <w:t xml:space="preserve">499,919 </w:t>
                  </w:r>
                </w:p>
              </w:tc>
              <w:tc>
                <w:tcPr>
                  <w:tcW w:w="266" w:type="dxa"/>
                  <w:tcBorders>
                    <w:top w:val="nil"/>
                    <w:left w:val="nil"/>
                    <w:bottom w:val="nil"/>
                    <w:right w:val="nil"/>
                  </w:tcBorders>
                  <w:shd w:val="clear" w:color="auto" w:fill="auto"/>
                  <w:noWrap/>
                  <w:vAlign w:val="center"/>
                  <w:hideMark/>
                </w:tcPr>
                <w:p w:rsidR="00493136" w:rsidRPr="00493136" w:rsidRDefault="00493136" w:rsidP="007F2C0C">
                  <w:pPr>
                    <w:spacing w:after="0" w:line="240" w:lineRule="auto"/>
                    <w:jc w:val="center"/>
                    <w:rPr>
                      <w:rFonts w:ascii="Times New Roman" w:hAnsi="Times New Roman"/>
                      <w:color w:val="000000"/>
                      <w:sz w:val="26"/>
                      <w:szCs w:val="26"/>
                    </w:rPr>
                  </w:pPr>
                </w:p>
              </w:tc>
              <w:tc>
                <w:tcPr>
                  <w:tcW w:w="992" w:type="dxa"/>
                  <w:tcBorders>
                    <w:top w:val="nil"/>
                    <w:left w:val="nil"/>
                    <w:bottom w:val="nil"/>
                    <w:right w:val="nil"/>
                  </w:tcBorders>
                  <w:shd w:val="clear" w:color="auto" w:fill="auto"/>
                  <w:noWrap/>
                  <w:vAlign w:val="center"/>
                  <w:hideMark/>
                </w:tcPr>
                <w:p w:rsidR="00493136" w:rsidRPr="00493136" w:rsidRDefault="00493136" w:rsidP="007F2C0C">
                  <w:pPr>
                    <w:spacing w:after="0" w:line="240" w:lineRule="auto"/>
                    <w:jc w:val="center"/>
                    <w:rPr>
                      <w:rFonts w:ascii="Times New Roman" w:hAnsi="Times New Roman"/>
                      <w:color w:val="000000"/>
                      <w:sz w:val="26"/>
                      <w:szCs w:val="26"/>
                    </w:rPr>
                  </w:pPr>
                  <w:r w:rsidRPr="00493136">
                    <w:rPr>
                      <w:rFonts w:ascii="Times New Roman" w:hAnsi="Times New Roman"/>
                      <w:color w:val="000000"/>
                      <w:sz w:val="26"/>
                      <w:szCs w:val="26"/>
                    </w:rPr>
                    <w:t xml:space="preserve">724,919 </w:t>
                  </w:r>
                </w:p>
              </w:tc>
              <w:tc>
                <w:tcPr>
                  <w:tcW w:w="266" w:type="dxa"/>
                  <w:tcBorders>
                    <w:top w:val="nil"/>
                    <w:left w:val="nil"/>
                    <w:bottom w:val="nil"/>
                    <w:right w:val="nil"/>
                  </w:tcBorders>
                  <w:shd w:val="clear" w:color="auto" w:fill="auto"/>
                  <w:noWrap/>
                  <w:vAlign w:val="center"/>
                  <w:hideMark/>
                </w:tcPr>
                <w:p w:rsidR="00493136" w:rsidRPr="00493136" w:rsidRDefault="00493136" w:rsidP="007F2C0C">
                  <w:pPr>
                    <w:spacing w:after="0" w:line="240" w:lineRule="auto"/>
                    <w:jc w:val="center"/>
                    <w:rPr>
                      <w:rFonts w:ascii="Times New Roman" w:hAnsi="Times New Roman"/>
                      <w:color w:val="000000"/>
                      <w:sz w:val="26"/>
                      <w:szCs w:val="26"/>
                    </w:rPr>
                  </w:pPr>
                </w:p>
              </w:tc>
              <w:tc>
                <w:tcPr>
                  <w:tcW w:w="1029" w:type="dxa"/>
                  <w:tcBorders>
                    <w:top w:val="nil"/>
                    <w:left w:val="nil"/>
                    <w:bottom w:val="nil"/>
                    <w:right w:val="nil"/>
                  </w:tcBorders>
                  <w:shd w:val="clear" w:color="auto" w:fill="auto"/>
                  <w:noWrap/>
                  <w:vAlign w:val="center"/>
                  <w:hideMark/>
                </w:tcPr>
                <w:p w:rsidR="00493136" w:rsidRPr="00493136" w:rsidRDefault="00493136" w:rsidP="007F2C0C">
                  <w:pPr>
                    <w:spacing w:after="0" w:line="240" w:lineRule="auto"/>
                    <w:jc w:val="center"/>
                    <w:rPr>
                      <w:rFonts w:ascii="Times New Roman" w:hAnsi="Times New Roman"/>
                      <w:color w:val="000000"/>
                      <w:sz w:val="26"/>
                      <w:szCs w:val="26"/>
                    </w:rPr>
                  </w:pPr>
                  <w:r w:rsidRPr="00493136">
                    <w:rPr>
                      <w:rFonts w:ascii="Times New Roman" w:hAnsi="Times New Roman"/>
                      <w:color w:val="000000"/>
                      <w:sz w:val="26"/>
                      <w:szCs w:val="26"/>
                    </w:rPr>
                    <w:t xml:space="preserve">   949,919 </w:t>
                  </w:r>
                </w:p>
              </w:tc>
              <w:tc>
                <w:tcPr>
                  <w:tcW w:w="266" w:type="dxa"/>
                  <w:tcBorders>
                    <w:top w:val="nil"/>
                    <w:left w:val="nil"/>
                    <w:bottom w:val="nil"/>
                    <w:right w:val="nil"/>
                  </w:tcBorders>
                  <w:shd w:val="clear" w:color="auto" w:fill="auto"/>
                  <w:noWrap/>
                  <w:vAlign w:val="center"/>
                  <w:hideMark/>
                </w:tcPr>
                <w:p w:rsidR="00493136" w:rsidRPr="00493136" w:rsidRDefault="00493136" w:rsidP="007F2C0C">
                  <w:pPr>
                    <w:spacing w:after="0" w:line="240" w:lineRule="auto"/>
                    <w:jc w:val="center"/>
                    <w:rPr>
                      <w:rFonts w:ascii="Times New Roman" w:hAnsi="Times New Roman"/>
                      <w:color w:val="000000"/>
                      <w:sz w:val="26"/>
                      <w:szCs w:val="26"/>
                    </w:rPr>
                  </w:pPr>
                </w:p>
              </w:tc>
              <w:tc>
                <w:tcPr>
                  <w:tcW w:w="1029" w:type="dxa"/>
                  <w:tcBorders>
                    <w:top w:val="nil"/>
                    <w:left w:val="nil"/>
                    <w:bottom w:val="nil"/>
                    <w:right w:val="nil"/>
                  </w:tcBorders>
                  <w:shd w:val="clear" w:color="auto" w:fill="auto"/>
                  <w:noWrap/>
                  <w:vAlign w:val="center"/>
                  <w:hideMark/>
                </w:tcPr>
                <w:p w:rsidR="00493136" w:rsidRPr="00493136" w:rsidRDefault="00493136" w:rsidP="007F2C0C">
                  <w:pPr>
                    <w:spacing w:after="0" w:line="240" w:lineRule="auto"/>
                    <w:jc w:val="center"/>
                    <w:rPr>
                      <w:rFonts w:ascii="Times New Roman" w:hAnsi="Times New Roman"/>
                      <w:color w:val="000000"/>
                      <w:sz w:val="26"/>
                      <w:szCs w:val="26"/>
                    </w:rPr>
                  </w:pPr>
                  <w:r w:rsidRPr="00493136">
                    <w:rPr>
                      <w:rFonts w:ascii="Times New Roman" w:hAnsi="Times New Roman"/>
                      <w:color w:val="000000"/>
                      <w:sz w:val="26"/>
                      <w:szCs w:val="26"/>
                    </w:rPr>
                    <w:t xml:space="preserve">1,174,919 </w:t>
                  </w:r>
                </w:p>
              </w:tc>
              <w:tc>
                <w:tcPr>
                  <w:tcW w:w="266" w:type="dxa"/>
                  <w:tcBorders>
                    <w:top w:val="nil"/>
                    <w:left w:val="nil"/>
                    <w:bottom w:val="nil"/>
                    <w:right w:val="nil"/>
                  </w:tcBorders>
                  <w:shd w:val="clear" w:color="auto" w:fill="auto"/>
                  <w:noWrap/>
                  <w:vAlign w:val="center"/>
                  <w:hideMark/>
                </w:tcPr>
                <w:p w:rsidR="00493136" w:rsidRPr="00493136" w:rsidRDefault="00493136" w:rsidP="007F2C0C">
                  <w:pPr>
                    <w:spacing w:after="0" w:line="240" w:lineRule="auto"/>
                    <w:jc w:val="center"/>
                    <w:rPr>
                      <w:rFonts w:ascii="Times New Roman" w:hAnsi="Times New Roman"/>
                      <w:color w:val="000000"/>
                      <w:sz w:val="26"/>
                      <w:szCs w:val="26"/>
                    </w:rPr>
                  </w:pPr>
                </w:p>
              </w:tc>
              <w:tc>
                <w:tcPr>
                  <w:tcW w:w="1029" w:type="dxa"/>
                  <w:tcBorders>
                    <w:top w:val="nil"/>
                    <w:left w:val="nil"/>
                    <w:bottom w:val="nil"/>
                    <w:right w:val="nil"/>
                  </w:tcBorders>
                  <w:shd w:val="clear" w:color="auto" w:fill="auto"/>
                  <w:noWrap/>
                  <w:vAlign w:val="center"/>
                  <w:hideMark/>
                </w:tcPr>
                <w:p w:rsidR="00493136" w:rsidRPr="00493136" w:rsidRDefault="00493136" w:rsidP="007F2C0C">
                  <w:pPr>
                    <w:spacing w:after="0" w:line="240" w:lineRule="auto"/>
                    <w:jc w:val="center"/>
                    <w:rPr>
                      <w:rFonts w:ascii="Times New Roman" w:hAnsi="Times New Roman"/>
                      <w:color w:val="000000"/>
                      <w:sz w:val="26"/>
                      <w:szCs w:val="26"/>
                    </w:rPr>
                  </w:pPr>
                  <w:r w:rsidRPr="00493136">
                    <w:rPr>
                      <w:rFonts w:ascii="Times New Roman" w:hAnsi="Times New Roman"/>
                      <w:color w:val="000000"/>
                      <w:sz w:val="26"/>
                      <w:szCs w:val="26"/>
                    </w:rPr>
                    <w:t xml:space="preserve">1,399,919 </w:t>
                  </w:r>
                </w:p>
              </w:tc>
            </w:tr>
            <w:tr w:rsidR="00493136" w:rsidRPr="00037183" w:rsidTr="007F2C0C">
              <w:trPr>
                <w:trHeight w:val="343"/>
              </w:trPr>
              <w:tc>
                <w:tcPr>
                  <w:tcW w:w="720" w:type="dxa"/>
                  <w:tcBorders>
                    <w:top w:val="nil"/>
                    <w:left w:val="nil"/>
                    <w:bottom w:val="nil"/>
                    <w:right w:val="nil"/>
                  </w:tcBorders>
                  <w:shd w:val="clear" w:color="auto" w:fill="auto"/>
                  <w:vAlign w:val="center"/>
                  <w:hideMark/>
                </w:tcPr>
                <w:p w:rsidR="00493136" w:rsidRPr="00493136" w:rsidRDefault="00493136" w:rsidP="007F2C0C">
                  <w:pPr>
                    <w:spacing w:after="0" w:line="240" w:lineRule="auto"/>
                    <w:jc w:val="right"/>
                    <w:rPr>
                      <w:rFonts w:ascii="Times New Roman" w:hAnsi="Times New Roman"/>
                      <w:bCs/>
                      <w:color w:val="000000"/>
                      <w:sz w:val="26"/>
                      <w:szCs w:val="26"/>
                    </w:rPr>
                  </w:pPr>
                  <w:r w:rsidRPr="00493136">
                    <w:rPr>
                      <w:rFonts w:ascii="Times New Roman" w:hAnsi="Times New Roman"/>
                      <w:bCs/>
                      <w:color w:val="000000"/>
                      <w:sz w:val="26"/>
                      <w:szCs w:val="26"/>
                    </w:rPr>
                    <w:t>Staff</w:t>
                  </w:r>
                </w:p>
              </w:tc>
              <w:tc>
                <w:tcPr>
                  <w:tcW w:w="318" w:type="dxa"/>
                  <w:tcBorders>
                    <w:top w:val="nil"/>
                    <w:left w:val="nil"/>
                    <w:bottom w:val="nil"/>
                    <w:right w:val="nil"/>
                  </w:tcBorders>
                  <w:shd w:val="clear" w:color="auto" w:fill="auto"/>
                  <w:noWrap/>
                  <w:vAlign w:val="center"/>
                  <w:hideMark/>
                </w:tcPr>
                <w:p w:rsidR="00493136" w:rsidRPr="00493136" w:rsidRDefault="00493136" w:rsidP="007F2C0C">
                  <w:pPr>
                    <w:spacing w:after="0" w:line="240" w:lineRule="auto"/>
                    <w:jc w:val="right"/>
                    <w:rPr>
                      <w:rFonts w:ascii="Times New Roman" w:hAnsi="Times New Roman"/>
                      <w:bCs/>
                      <w:color w:val="000000"/>
                      <w:sz w:val="26"/>
                      <w:szCs w:val="26"/>
                    </w:rPr>
                  </w:pPr>
                  <w:r w:rsidRPr="00493136">
                    <w:rPr>
                      <w:rFonts w:ascii="Times New Roman" w:hAnsi="Times New Roman"/>
                      <w:bCs/>
                      <w:color w:val="000000"/>
                      <w:sz w:val="26"/>
                      <w:szCs w:val="26"/>
                    </w:rPr>
                    <w:t>$</w:t>
                  </w:r>
                </w:p>
              </w:tc>
              <w:tc>
                <w:tcPr>
                  <w:tcW w:w="991" w:type="dxa"/>
                  <w:tcBorders>
                    <w:top w:val="nil"/>
                    <w:left w:val="nil"/>
                    <w:bottom w:val="nil"/>
                    <w:right w:val="nil"/>
                  </w:tcBorders>
                  <w:shd w:val="clear" w:color="auto" w:fill="auto"/>
                  <w:noWrap/>
                  <w:vAlign w:val="center"/>
                  <w:hideMark/>
                </w:tcPr>
                <w:p w:rsidR="00493136" w:rsidRPr="00493136" w:rsidRDefault="00493136" w:rsidP="007F2C0C">
                  <w:pPr>
                    <w:spacing w:after="0" w:line="240" w:lineRule="auto"/>
                    <w:jc w:val="center"/>
                    <w:rPr>
                      <w:rFonts w:ascii="Times New Roman" w:hAnsi="Times New Roman"/>
                      <w:bCs/>
                      <w:color w:val="000000"/>
                      <w:sz w:val="26"/>
                      <w:szCs w:val="26"/>
                    </w:rPr>
                  </w:pPr>
                  <w:r w:rsidRPr="00493136">
                    <w:rPr>
                      <w:rFonts w:ascii="Times New Roman" w:hAnsi="Times New Roman"/>
                      <w:bCs/>
                      <w:color w:val="000000"/>
                      <w:sz w:val="26"/>
                      <w:szCs w:val="26"/>
                    </w:rPr>
                    <w:t xml:space="preserve">588,216 </w:t>
                  </w:r>
                </w:p>
              </w:tc>
              <w:tc>
                <w:tcPr>
                  <w:tcW w:w="266" w:type="dxa"/>
                  <w:tcBorders>
                    <w:top w:val="nil"/>
                    <w:left w:val="nil"/>
                    <w:bottom w:val="nil"/>
                    <w:right w:val="nil"/>
                  </w:tcBorders>
                  <w:shd w:val="clear" w:color="auto" w:fill="auto"/>
                  <w:noWrap/>
                  <w:vAlign w:val="center"/>
                  <w:hideMark/>
                </w:tcPr>
                <w:p w:rsidR="00493136" w:rsidRPr="00493136" w:rsidRDefault="00493136" w:rsidP="007F2C0C">
                  <w:pPr>
                    <w:spacing w:after="0" w:line="240" w:lineRule="auto"/>
                    <w:jc w:val="center"/>
                    <w:rPr>
                      <w:rFonts w:ascii="Times New Roman" w:hAnsi="Times New Roman"/>
                      <w:bCs/>
                      <w:color w:val="000000"/>
                      <w:sz w:val="26"/>
                      <w:szCs w:val="26"/>
                    </w:rPr>
                  </w:pPr>
                </w:p>
              </w:tc>
              <w:tc>
                <w:tcPr>
                  <w:tcW w:w="992" w:type="dxa"/>
                  <w:tcBorders>
                    <w:top w:val="nil"/>
                    <w:left w:val="nil"/>
                    <w:bottom w:val="nil"/>
                    <w:right w:val="nil"/>
                  </w:tcBorders>
                  <w:shd w:val="clear" w:color="auto" w:fill="auto"/>
                  <w:noWrap/>
                  <w:vAlign w:val="center"/>
                  <w:hideMark/>
                </w:tcPr>
                <w:p w:rsidR="00493136" w:rsidRPr="00493136" w:rsidRDefault="00493136" w:rsidP="007F2C0C">
                  <w:pPr>
                    <w:spacing w:after="0" w:line="240" w:lineRule="auto"/>
                    <w:jc w:val="center"/>
                    <w:rPr>
                      <w:rFonts w:ascii="Times New Roman" w:hAnsi="Times New Roman"/>
                      <w:bCs/>
                      <w:color w:val="000000"/>
                      <w:sz w:val="26"/>
                      <w:szCs w:val="26"/>
                    </w:rPr>
                  </w:pPr>
                  <w:r w:rsidRPr="00493136">
                    <w:rPr>
                      <w:rFonts w:ascii="Times New Roman" w:hAnsi="Times New Roman"/>
                      <w:bCs/>
                      <w:color w:val="000000"/>
                      <w:sz w:val="26"/>
                      <w:szCs w:val="26"/>
                    </w:rPr>
                    <w:t xml:space="preserve">882,316 </w:t>
                  </w:r>
                </w:p>
              </w:tc>
              <w:tc>
                <w:tcPr>
                  <w:tcW w:w="266" w:type="dxa"/>
                  <w:tcBorders>
                    <w:top w:val="nil"/>
                    <w:left w:val="nil"/>
                    <w:bottom w:val="nil"/>
                    <w:right w:val="nil"/>
                  </w:tcBorders>
                  <w:shd w:val="clear" w:color="auto" w:fill="auto"/>
                  <w:noWrap/>
                  <w:vAlign w:val="center"/>
                  <w:hideMark/>
                </w:tcPr>
                <w:p w:rsidR="00493136" w:rsidRPr="00493136" w:rsidRDefault="00493136" w:rsidP="007F2C0C">
                  <w:pPr>
                    <w:spacing w:after="0" w:line="240" w:lineRule="auto"/>
                    <w:jc w:val="center"/>
                    <w:rPr>
                      <w:rFonts w:ascii="Times New Roman" w:hAnsi="Times New Roman"/>
                      <w:bCs/>
                      <w:color w:val="000000"/>
                      <w:sz w:val="26"/>
                      <w:szCs w:val="26"/>
                    </w:rPr>
                  </w:pPr>
                </w:p>
              </w:tc>
              <w:tc>
                <w:tcPr>
                  <w:tcW w:w="1029" w:type="dxa"/>
                  <w:tcBorders>
                    <w:top w:val="nil"/>
                    <w:left w:val="nil"/>
                    <w:bottom w:val="nil"/>
                    <w:right w:val="nil"/>
                  </w:tcBorders>
                  <w:shd w:val="clear" w:color="auto" w:fill="auto"/>
                  <w:noWrap/>
                  <w:vAlign w:val="center"/>
                  <w:hideMark/>
                </w:tcPr>
                <w:p w:rsidR="00493136" w:rsidRPr="00493136" w:rsidRDefault="00493136" w:rsidP="007F2C0C">
                  <w:pPr>
                    <w:spacing w:after="0" w:line="240" w:lineRule="auto"/>
                    <w:jc w:val="center"/>
                    <w:rPr>
                      <w:rFonts w:ascii="Times New Roman" w:hAnsi="Times New Roman"/>
                      <w:bCs/>
                      <w:color w:val="000000"/>
                      <w:sz w:val="26"/>
                      <w:szCs w:val="26"/>
                    </w:rPr>
                  </w:pPr>
                  <w:r w:rsidRPr="00493136">
                    <w:rPr>
                      <w:rFonts w:ascii="Times New Roman" w:hAnsi="Times New Roman"/>
                      <w:bCs/>
                      <w:color w:val="000000"/>
                      <w:sz w:val="26"/>
                      <w:szCs w:val="26"/>
                    </w:rPr>
                    <w:t xml:space="preserve">1,176,416 </w:t>
                  </w:r>
                </w:p>
              </w:tc>
              <w:tc>
                <w:tcPr>
                  <w:tcW w:w="266" w:type="dxa"/>
                  <w:tcBorders>
                    <w:top w:val="nil"/>
                    <w:left w:val="nil"/>
                    <w:bottom w:val="nil"/>
                    <w:right w:val="nil"/>
                  </w:tcBorders>
                  <w:shd w:val="clear" w:color="auto" w:fill="auto"/>
                  <w:noWrap/>
                  <w:vAlign w:val="center"/>
                  <w:hideMark/>
                </w:tcPr>
                <w:p w:rsidR="00493136" w:rsidRPr="00493136" w:rsidRDefault="00493136" w:rsidP="007F2C0C">
                  <w:pPr>
                    <w:spacing w:after="0" w:line="240" w:lineRule="auto"/>
                    <w:jc w:val="center"/>
                    <w:rPr>
                      <w:rFonts w:ascii="Times New Roman" w:hAnsi="Times New Roman"/>
                      <w:bCs/>
                      <w:color w:val="000000"/>
                      <w:sz w:val="26"/>
                      <w:szCs w:val="26"/>
                    </w:rPr>
                  </w:pPr>
                </w:p>
              </w:tc>
              <w:tc>
                <w:tcPr>
                  <w:tcW w:w="1029" w:type="dxa"/>
                  <w:tcBorders>
                    <w:top w:val="nil"/>
                    <w:left w:val="nil"/>
                    <w:bottom w:val="nil"/>
                    <w:right w:val="nil"/>
                  </w:tcBorders>
                  <w:shd w:val="clear" w:color="auto" w:fill="auto"/>
                  <w:noWrap/>
                  <w:vAlign w:val="center"/>
                  <w:hideMark/>
                </w:tcPr>
                <w:p w:rsidR="00493136" w:rsidRPr="00493136" w:rsidRDefault="00493136" w:rsidP="007F2C0C">
                  <w:pPr>
                    <w:spacing w:after="0" w:line="240" w:lineRule="auto"/>
                    <w:jc w:val="center"/>
                    <w:rPr>
                      <w:rFonts w:ascii="Times New Roman" w:hAnsi="Times New Roman"/>
                      <w:bCs/>
                      <w:color w:val="000000"/>
                      <w:sz w:val="26"/>
                      <w:szCs w:val="26"/>
                    </w:rPr>
                  </w:pPr>
                  <w:r w:rsidRPr="00493136">
                    <w:rPr>
                      <w:rFonts w:ascii="Times New Roman" w:hAnsi="Times New Roman"/>
                      <w:bCs/>
                      <w:color w:val="000000"/>
                      <w:sz w:val="26"/>
                      <w:szCs w:val="26"/>
                    </w:rPr>
                    <w:t xml:space="preserve">1,470,516 </w:t>
                  </w:r>
                </w:p>
              </w:tc>
              <w:tc>
                <w:tcPr>
                  <w:tcW w:w="266" w:type="dxa"/>
                  <w:tcBorders>
                    <w:top w:val="nil"/>
                    <w:left w:val="nil"/>
                    <w:bottom w:val="nil"/>
                    <w:right w:val="nil"/>
                  </w:tcBorders>
                  <w:shd w:val="clear" w:color="auto" w:fill="auto"/>
                  <w:noWrap/>
                  <w:vAlign w:val="center"/>
                  <w:hideMark/>
                </w:tcPr>
                <w:p w:rsidR="00493136" w:rsidRPr="00493136" w:rsidRDefault="00493136" w:rsidP="007F2C0C">
                  <w:pPr>
                    <w:spacing w:after="0" w:line="240" w:lineRule="auto"/>
                    <w:jc w:val="center"/>
                    <w:rPr>
                      <w:rFonts w:ascii="Times New Roman" w:hAnsi="Times New Roman"/>
                      <w:bCs/>
                      <w:color w:val="000000"/>
                      <w:sz w:val="26"/>
                      <w:szCs w:val="26"/>
                    </w:rPr>
                  </w:pPr>
                </w:p>
              </w:tc>
              <w:tc>
                <w:tcPr>
                  <w:tcW w:w="1029" w:type="dxa"/>
                  <w:tcBorders>
                    <w:top w:val="nil"/>
                    <w:left w:val="nil"/>
                    <w:bottom w:val="nil"/>
                    <w:right w:val="nil"/>
                  </w:tcBorders>
                  <w:shd w:val="clear" w:color="auto" w:fill="auto"/>
                  <w:noWrap/>
                  <w:vAlign w:val="center"/>
                  <w:hideMark/>
                </w:tcPr>
                <w:p w:rsidR="00493136" w:rsidRPr="00493136" w:rsidRDefault="00493136" w:rsidP="007F2C0C">
                  <w:pPr>
                    <w:spacing w:after="0" w:line="240" w:lineRule="auto"/>
                    <w:jc w:val="center"/>
                    <w:rPr>
                      <w:rFonts w:ascii="Times New Roman" w:hAnsi="Times New Roman"/>
                      <w:bCs/>
                      <w:color w:val="000000"/>
                      <w:sz w:val="26"/>
                      <w:szCs w:val="26"/>
                    </w:rPr>
                  </w:pPr>
                  <w:r w:rsidRPr="00493136">
                    <w:rPr>
                      <w:rFonts w:ascii="Times New Roman" w:hAnsi="Times New Roman"/>
                      <w:bCs/>
                      <w:color w:val="000000"/>
                      <w:sz w:val="26"/>
                      <w:szCs w:val="26"/>
                    </w:rPr>
                    <w:t xml:space="preserve">1,764,616 </w:t>
                  </w:r>
                </w:p>
              </w:tc>
            </w:tr>
            <w:tr w:rsidR="00493136" w:rsidRPr="00037183" w:rsidTr="007F2C0C">
              <w:trPr>
                <w:trHeight w:val="343"/>
              </w:trPr>
              <w:tc>
                <w:tcPr>
                  <w:tcW w:w="720" w:type="dxa"/>
                  <w:tcBorders>
                    <w:top w:val="nil"/>
                    <w:left w:val="nil"/>
                    <w:bottom w:val="nil"/>
                    <w:right w:val="nil"/>
                  </w:tcBorders>
                  <w:shd w:val="clear" w:color="auto" w:fill="auto"/>
                  <w:vAlign w:val="center"/>
                </w:tcPr>
                <w:p w:rsidR="00493136" w:rsidRPr="00493136" w:rsidRDefault="00493136" w:rsidP="007F2C0C">
                  <w:pPr>
                    <w:spacing w:after="0" w:line="240" w:lineRule="auto"/>
                    <w:jc w:val="right"/>
                    <w:rPr>
                      <w:rFonts w:ascii="Times New Roman" w:hAnsi="Times New Roman"/>
                      <w:b/>
                      <w:bCs/>
                      <w:color w:val="000000"/>
                      <w:sz w:val="26"/>
                      <w:szCs w:val="26"/>
                    </w:rPr>
                  </w:pPr>
                </w:p>
              </w:tc>
              <w:tc>
                <w:tcPr>
                  <w:tcW w:w="318" w:type="dxa"/>
                  <w:tcBorders>
                    <w:top w:val="nil"/>
                    <w:left w:val="nil"/>
                    <w:bottom w:val="nil"/>
                    <w:right w:val="nil"/>
                  </w:tcBorders>
                  <w:shd w:val="clear" w:color="auto" w:fill="auto"/>
                  <w:noWrap/>
                  <w:vAlign w:val="center"/>
                </w:tcPr>
                <w:p w:rsidR="00493136" w:rsidRPr="00493136" w:rsidRDefault="00493136" w:rsidP="007F2C0C">
                  <w:pPr>
                    <w:spacing w:after="0" w:line="240" w:lineRule="auto"/>
                    <w:jc w:val="right"/>
                    <w:rPr>
                      <w:rFonts w:ascii="Times New Roman" w:hAnsi="Times New Roman"/>
                      <w:b/>
                      <w:bCs/>
                      <w:color w:val="000000"/>
                      <w:sz w:val="26"/>
                      <w:szCs w:val="26"/>
                    </w:rPr>
                  </w:pPr>
                </w:p>
              </w:tc>
              <w:tc>
                <w:tcPr>
                  <w:tcW w:w="991" w:type="dxa"/>
                  <w:tcBorders>
                    <w:top w:val="nil"/>
                    <w:left w:val="nil"/>
                    <w:bottom w:val="nil"/>
                    <w:right w:val="nil"/>
                  </w:tcBorders>
                  <w:shd w:val="clear" w:color="auto" w:fill="auto"/>
                  <w:noWrap/>
                  <w:vAlign w:val="center"/>
                </w:tcPr>
                <w:p w:rsidR="00493136" w:rsidRPr="00493136" w:rsidRDefault="00493136" w:rsidP="007F2C0C">
                  <w:pPr>
                    <w:spacing w:after="0" w:line="240" w:lineRule="auto"/>
                    <w:jc w:val="center"/>
                    <w:rPr>
                      <w:rFonts w:ascii="Times New Roman" w:hAnsi="Times New Roman"/>
                      <w:b/>
                      <w:bCs/>
                      <w:color w:val="000000"/>
                      <w:sz w:val="26"/>
                      <w:szCs w:val="26"/>
                    </w:rPr>
                  </w:pPr>
                </w:p>
              </w:tc>
              <w:tc>
                <w:tcPr>
                  <w:tcW w:w="266" w:type="dxa"/>
                  <w:tcBorders>
                    <w:top w:val="nil"/>
                    <w:left w:val="nil"/>
                    <w:bottom w:val="nil"/>
                    <w:right w:val="nil"/>
                  </w:tcBorders>
                  <w:shd w:val="clear" w:color="auto" w:fill="auto"/>
                  <w:noWrap/>
                  <w:vAlign w:val="center"/>
                </w:tcPr>
                <w:p w:rsidR="00493136" w:rsidRPr="00493136" w:rsidRDefault="00493136" w:rsidP="007F2C0C">
                  <w:pPr>
                    <w:spacing w:after="0" w:line="240" w:lineRule="auto"/>
                    <w:jc w:val="center"/>
                    <w:rPr>
                      <w:rFonts w:ascii="Times New Roman" w:hAnsi="Times New Roman"/>
                      <w:b/>
                      <w:bCs/>
                      <w:color w:val="000000"/>
                      <w:sz w:val="26"/>
                      <w:szCs w:val="26"/>
                    </w:rPr>
                  </w:pPr>
                </w:p>
              </w:tc>
              <w:tc>
                <w:tcPr>
                  <w:tcW w:w="992" w:type="dxa"/>
                  <w:tcBorders>
                    <w:top w:val="nil"/>
                    <w:left w:val="nil"/>
                    <w:bottom w:val="nil"/>
                    <w:right w:val="nil"/>
                  </w:tcBorders>
                  <w:shd w:val="clear" w:color="auto" w:fill="auto"/>
                  <w:noWrap/>
                  <w:vAlign w:val="center"/>
                </w:tcPr>
                <w:p w:rsidR="00493136" w:rsidRPr="00493136" w:rsidRDefault="00493136" w:rsidP="007F2C0C">
                  <w:pPr>
                    <w:spacing w:after="0" w:line="240" w:lineRule="auto"/>
                    <w:jc w:val="center"/>
                    <w:rPr>
                      <w:rFonts w:ascii="Times New Roman" w:hAnsi="Times New Roman"/>
                      <w:b/>
                      <w:bCs/>
                      <w:color w:val="000000"/>
                      <w:sz w:val="26"/>
                      <w:szCs w:val="26"/>
                    </w:rPr>
                  </w:pPr>
                </w:p>
              </w:tc>
              <w:tc>
                <w:tcPr>
                  <w:tcW w:w="266" w:type="dxa"/>
                  <w:tcBorders>
                    <w:top w:val="nil"/>
                    <w:left w:val="nil"/>
                    <w:bottom w:val="nil"/>
                    <w:right w:val="nil"/>
                  </w:tcBorders>
                  <w:shd w:val="clear" w:color="auto" w:fill="auto"/>
                  <w:noWrap/>
                  <w:vAlign w:val="center"/>
                </w:tcPr>
                <w:p w:rsidR="00493136" w:rsidRPr="00493136" w:rsidRDefault="00493136" w:rsidP="007F2C0C">
                  <w:pPr>
                    <w:spacing w:after="0" w:line="240" w:lineRule="auto"/>
                    <w:jc w:val="center"/>
                    <w:rPr>
                      <w:rFonts w:ascii="Times New Roman" w:hAnsi="Times New Roman"/>
                      <w:b/>
                      <w:bCs/>
                      <w:color w:val="000000"/>
                      <w:sz w:val="26"/>
                      <w:szCs w:val="26"/>
                    </w:rPr>
                  </w:pPr>
                </w:p>
              </w:tc>
              <w:tc>
                <w:tcPr>
                  <w:tcW w:w="1029" w:type="dxa"/>
                  <w:tcBorders>
                    <w:top w:val="nil"/>
                    <w:left w:val="nil"/>
                    <w:bottom w:val="nil"/>
                    <w:right w:val="nil"/>
                  </w:tcBorders>
                  <w:shd w:val="clear" w:color="auto" w:fill="auto"/>
                  <w:noWrap/>
                  <w:vAlign w:val="center"/>
                </w:tcPr>
                <w:p w:rsidR="00493136" w:rsidRPr="00493136" w:rsidRDefault="00493136" w:rsidP="007F2C0C">
                  <w:pPr>
                    <w:spacing w:after="0" w:line="240" w:lineRule="auto"/>
                    <w:jc w:val="center"/>
                    <w:rPr>
                      <w:rFonts w:ascii="Times New Roman" w:hAnsi="Times New Roman"/>
                      <w:b/>
                      <w:bCs/>
                      <w:color w:val="000000"/>
                      <w:sz w:val="26"/>
                      <w:szCs w:val="26"/>
                    </w:rPr>
                  </w:pPr>
                </w:p>
              </w:tc>
              <w:tc>
                <w:tcPr>
                  <w:tcW w:w="266" w:type="dxa"/>
                  <w:tcBorders>
                    <w:top w:val="nil"/>
                    <w:left w:val="nil"/>
                    <w:bottom w:val="nil"/>
                    <w:right w:val="nil"/>
                  </w:tcBorders>
                  <w:shd w:val="clear" w:color="auto" w:fill="auto"/>
                  <w:noWrap/>
                  <w:vAlign w:val="center"/>
                </w:tcPr>
                <w:p w:rsidR="00493136" w:rsidRPr="00493136" w:rsidRDefault="00493136" w:rsidP="007F2C0C">
                  <w:pPr>
                    <w:spacing w:after="0" w:line="240" w:lineRule="auto"/>
                    <w:jc w:val="center"/>
                    <w:rPr>
                      <w:rFonts w:ascii="Times New Roman" w:hAnsi="Times New Roman"/>
                      <w:b/>
                      <w:bCs/>
                      <w:color w:val="000000"/>
                      <w:sz w:val="26"/>
                      <w:szCs w:val="26"/>
                    </w:rPr>
                  </w:pPr>
                </w:p>
              </w:tc>
              <w:tc>
                <w:tcPr>
                  <w:tcW w:w="1029" w:type="dxa"/>
                  <w:tcBorders>
                    <w:top w:val="nil"/>
                    <w:left w:val="nil"/>
                    <w:bottom w:val="nil"/>
                    <w:right w:val="nil"/>
                  </w:tcBorders>
                  <w:shd w:val="clear" w:color="auto" w:fill="auto"/>
                  <w:noWrap/>
                  <w:vAlign w:val="center"/>
                </w:tcPr>
                <w:p w:rsidR="00493136" w:rsidRPr="00493136" w:rsidRDefault="00493136" w:rsidP="007F2C0C">
                  <w:pPr>
                    <w:spacing w:after="0" w:line="240" w:lineRule="auto"/>
                    <w:jc w:val="center"/>
                    <w:rPr>
                      <w:rFonts w:ascii="Times New Roman" w:hAnsi="Times New Roman"/>
                      <w:b/>
                      <w:bCs/>
                      <w:color w:val="000000"/>
                      <w:sz w:val="26"/>
                      <w:szCs w:val="26"/>
                    </w:rPr>
                  </w:pPr>
                </w:p>
              </w:tc>
              <w:tc>
                <w:tcPr>
                  <w:tcW w:w="266" w:type="dxa"/>
                  <w:tcBorders>
                    <w:top w:val="nil"/>
                    <w:left w:val="nil"/>
                    <w:bottom w:val="nil"/>
                    <w:right w:val="nil"/>
                  </w:tcBorders>
                  <w:shd w:val="clear" w:color="auto" w:fill="auto"/>
                  <w:noWrap/>
                  <w:vAlign w:val="center"/>
                </w:tcPr>
                <w:p w:rsidR="00493136" w:rsidRPr="00493136" w:rsidRDefault="00493136" w:rsidP="007F2C0C">
                  <w:pPr>
                    <w:spacing w:after="0" w:line="240" w:lineRule="auto"/>
                    <w:jc w:val="center"/>
                    <w:rPr>
                      <w:rFonts w:ascii="Times New Roman" w:hAnsi="Times New Roman"/>
                      <w:b/>
                      <w:bCs/>
                      <w:color w:val="000000"/>
                      <w:sz w:val="26"/>
                      <w:szCs w:val="26"/>
                    </w:rPr>
                  </w:pPr>
                </w:p>
              </w:tc>
              <w:tc>
                <w:tcPr>
                  <w:tcW w:w="1029" w:type="dxa"/>
                  <w:tcBorders>
                    <w:top w:val="nil"/>
                    <w:left w:val="nil"/>
                    <w:bottom w:val="nil"/>
                    <w:right w:val="nil"/>
                  </w:tcBorders>
                  <w:shd w:val="clear" w:color="auto" w:fill="auto"/>
                  <w:noWrap/>
                  <w:vAlign w:val="center"/>
                </w:tcPr>
                <w:p w:rsidR="00493136" w:rsidRPr="00493136" w:rsidRDefault="00493136" w:rsidP="007F2C0C">
                  <w:pPr>
                    <w:spacing w:after="0" w:line="240" w:lineRule="auto"/>
                    <w:jc w:val="center"/>
                    <w:rPr>
                      <w:rFonts w:ascii="Times New Roman" w:hAnsi="Times New Roman"/>
                      <w:b/>
                      <w:bCs/>
                      <w:color w:val="000000"/>
                      <w:sz w:val="26"/>
                      <w:szCs w:val="26"/>
                    </w:rPr>
                  </w:pPr>
                </w:p>
              </w:tc>
            </w:tr>
          </w:tbl>
          <w:p w:rsidR="00493136" w:rsidRDefault="00493136" w:rsidP="007F2C0C"/>
        </w:tc>
      </w:tr>
    </w:tbl>
    <w:p w:rsidR="00163854" w:rsidRPr="0095004E" w:rsidRDefault="003E6004" w:rsidP="003E6004">
      <w:pPr>
        <w:pStyle w:val="Heading3"/>
      </w:pPr>
      <w:bookmarkStart w:id="15" w:name="_Toc370912421"/>
      <w:r>
        <w:t>3.</w:t>
      </w:r>
      <w:r>
        <w:tab/>
      </w:r>
      <w:r w:rsidR="00163854" w:rsidRPr="0095004E">
        <w:t xml:space="preserve">Carry-Over </w:t>
      </w:r>
      <w:r w:rsidR="005F3DB3">
        <w:t>of DRR Costs Above Annual Cap for Recov</w:t>
      </w:r>
      <w:r w:rsidR="007C2F8F">
        <w:softHyphen/>
      </w:r>
      <w:r w:rsidR="005F3DB3">
        <w:t>ery in Future Years</w:t>
      </w:r>
      <w:bookmarkEnd w:id="15"/>
      <w:r w:rsidR="00163854" w:rsidRPr="0095004E">
        <w:t xml:space="preserve"> </w:t>
      </w:r>
    </w:p>
    <w:p w:rsidR="00163854" w:rsidRPr="0095004E" w:rsidRDefault="00DA6B4B" w:rsidP="00567817">
      <w:pPr>
        <w:pStyle w:val="Textstyle"/>
      </w:pPr>
      <w:r>
        <w:tab/>
      </w:r>
      <w:r w:rsidR="001408D6">
        <w:t>VEDO proposes to carry</w:t>
      </w:r>
      <w:r w:rsidR="004762CC">
        <w:t>over</w:t>
      </w:r>
      <w:r w:rsidR="00B43F5F">
        <w:t xml:space="preserve">, with carrying costs, </w:t>
      </w:r>
      <w:r w:rsidR="004762CC">
        <w:t xml:space="preserve">DRR Program costs incurred in </w:t>
      </w:r>
      <w:r w:rsidR="00BC0E0F">
        <w:t xml:space="preserve">a given </w:t>
      </w:r>
      <w:r w:rsidR="004762CC">
        <w:t xml:space="preserve">year that would cause it to exceed the authorized rate cap </w:t>
      </w:r>
      <w:r w:rsidR="00B43F5F">
        <w:t>for recovery in future years</w:t>
      </w:r>
      <w:r w:rsidR="00BC0E0F">
        <w:t>,</w:t>
      </w:r>
      <w:r w:rsidR="00B43F5F">
        <w:t xml:space="preserve"> provided that that the carryover does not cause it to exceed the </w:t>
      </w:r>
      <w:r w:rsidR="00EF1F3E">
        <w:t xml:space="preserve">authorized </w:t>
      </w:r>
      <w:r w:rsidR="00B43F5F">
        <w:t xml:space="preserve">cap in </w:t>
      </w:r>
      <w:r w:rsidR="00B43F5F">
        <w:lastRenderedPageBreak/>
        <w:t xml:space="preserve">any of the succeeding years.  The Staff supports this proposal provided that the carryover is limited only to recovery in the year immediately following the year in which the above cap costs were incurred.  This limitation is consistent with </w:t>
      </w:r>
      <w:r w:rsidR="001C057A">
        <w:t>the Commission’s treatment of a similar request by Dominion East Ohio Gas Company (“Dominion”) in Case No. 11-2401-GA-ALT.  In addition, it is possible that there could be partial carryovers from multi</w:t>
      </w:r>
      <w:r w:rsidR="007C2F8F">
        <w:softHyphen/>
      </w:r>
      <w:r w:rsidR="001C057A">
        <w:t xml:space="preserve">ple previous years in a future recovery filing which would significantly add to the complexity of the filing and could include a sizable amount of carrying costs.  </w:t>
      </w:r>
      <w:r w:rsidR="00EF1F3E">
        <w:t>The Staff believes that the one-</w:t>
      </w:r>
      <w:r w:rsidR="001C057A">
        <w:t xml:space="preserve">year carryover that the Commission authorized for Dominion is </w:t>
      </w:r>
      <w:r w:rsidR="00AC1B0E">
        <w:t>appropri</w:t>
      </w:r>
      <w:r w:rsidR="007C2F8F">
        <w:softHyphen/>
      </w:r>
      <w:r w:rsidR="00AC1B0E">
        <w:t>ate.  If VEDO cannot recover all of a carryover amount in the subsequent year’s DRR filing, it can seek to defer the PISCC and deprecia</w:t>
      </w:r>
      <w:r w:rsidR="007C2F8F">
        <w:softHyphen/>
      </w:r>
      <w:r w:rsidR="00AC1B0E">
        <w:t>tion and property tax expenses on the unrecovered amount via its Capital Expendi</w:t>
      </w:r>
      <w:r w:rsidR="007C2F8F">
        <w:softHyphen/>
      </w:r>
      <w:r w:rsidR="00AC1B0E">
        <w:t>ture Program currently pending before the Commission in Case No. 13-1890-GA-UNC or recovery in a future base rate proceeding.</w:t>
      </w:r>
    </w:p>
    <w:p w:rsidR="00C724DD" w:rsidRPr="0095004E" w:rsidRDefault="003E6004" w:rsidP="003E6004">
      <w:pPr>
        <w:pStyle w:val="Heading3"/>
      </w:pPr>
      <w:bookmarkStart w:id="16" w:name="_Toc370912422"/>
      <w:r>
        <w:t>4.</w:t>
      </w:r>
      <w:r>
        <w:tab/>
      </w:r>
      <w:r w:rsidR="005F3DB3">
        <w:t>Eliminating the Variance Calculation from the Rev</w:t>
      </w:r>
      <w:r w:rsidR="008B417B">
        <w:softHyphen/>
      </w:r>
      <w:r w:rsidR="005F3DB3">
        <w:t>enue Requirement Calculation</w:t>
      </w:r>
      <w:bookmarkEnd w:id="16"/>
      <w:r w:rsidR="005F3DB3">
        <w:t xml:space="preserve"> </w:t>
      </w:r>
    </w:p>
    <w:p w:rsidR="00944B56" w:rsidRPr="0095004E" w:rsidRDefault="00DA6B4B" w:rsidP="00567817">
      <w:pPr>
        <w:pStyle w:val="Textstyle"/>
        <w:rPr>
          <w:b/>
        </w:rPr>
      </w:pPr>
      <w:r>
        <w:tab/>
      </w:r>
      <w:r w:rsidR="005F3DB3">
        <w:t xml:space="preserve">VEDO proposes to retain the variance calculation that was approved with adoption of the original DRR in the </w:t>
      </w:r>
      <w:r w:rsidR="005F3DB3" w:rsidRPr="00774E36">
        <w:rPr>
          <w:i/>
        </w:rPr>
        <w:t>2007 Rate Case</w:t>
      </w:r>
      <w:r w:rsidR="005F3DB3">
        <w:t xml:space="preserve">, but </w:t>
      </w:r>
      <w:r w:rsidR="00BC0E0F">
        <w:t xml:space="preserve">also </w:t>
      </w:r>
      <w:r w:rsidR="005F3DB3">
        <w:t>proposes to remove it from the reve</w:t>
      </w:r>
      <w:r w:rsidR="007C2F8F">
        <w:softHyphen/>
      </w:r>
      <w:r w:rsidR="005F3DB3">
        <w:t>nue requirement calculation</w:t>
      </w:r>
      <w:r w:rsidR="00DF214F">
        <w:t>.</w:t>
      </w:r>
      <w:r w:rsidR="005F3DB3">
        <w:t xml:space="preserve">  </w:t>
      </w:r>
      <w:r w:rsidR="00AC1B0E">
        <w:t xml:space="preserve">The Company </w:t>
      </w:r>
      <w:r w:rsidR="00BA2B89">
        <w:t>indicates</w:t>
      </w:r>
      <w:r w:rsidR="00AC1B0E">
        <w:t xml:space="preserve"> that it will provide a new schedule in its annual DRR filings that will detail calculation of the variance and that the variance amount w</w:t>
      </w:r>
      <w:r w:rsidR="00DF214F">
        <w:t>ill</w:t>
      </w:r>
      <w:r w:rsidR="00AC1B0E">
        <w:t xml:space="preserve"> be added </w:t>
      </w:r>
      <w:r w:rsidR="00DF214F">
        <w:t xml:space="preserve">to </w:t>
      </w:r>
      <w:r w:rsidR="00AC1B0E">
        <w:t xml:space="preserve">or subtracted from the revenue requirement prior to </w:t>
      </w:r>
      <w:r w:rsidR="00BC0E0F">
        <w:t>the determina</w:t>
      </w:r>
      <w:r w:rsidR="007C2F8F">
        <w:softHyphen/>
      </w:r>
      <w:r w:rsidR="00BC0E0F">
        <w:t xml:space="preserve">tion of </w:t>
      </w:r>
      <w:r w:rsidR="00AC1B0E">
        <w:t xml:space="preserve">rates.  </w:t>
      </w:r>
      <w:r w:rsidR="00DF214F">
        <w:t xml:space="preserve">The Staff </w:t>
      </w:r>
      <w:r w:rsidR="00BA2B89">
        <w:t>does not support</w:t>
      </w:r>
      <w:r w:rsidR="00DF214F">
        <w:t xml:space="preserve"> VEDO’s proposal.  </w:t>
      </w:r>
      <w:r w:rsidR="00AB7F9C">
        <w:t xml:space="preserve">Adding a charge to make up for the previous year’s under collection in a year when the rate cap has been met by Program investments would result in the rate cap being exceeded.  This tends to defeat </w:t>
      </w:r>
      <w:r w:rsidR="00AB7F9C">
        <w:lastRenderedPageBreak/>
        <w:t xml:space="preserve">the purpose of the rate caps which were put in place as a reasonable balance between DRR Program cost recovery and protecting customers from inordinately high annual increases to their gas distribution bills.  </w:t>
      </w:r>
      <w:r w:rsidR="003D5634">
        <w:t>The Staff recommends that the Commission reject VEDO’s proposal.</w:t>
      </w:r>
    </w:p>
    <w:p w:rsidR="00944B56" w:rsidRPr="0095004E" w:rsidRDefault="003E6004" w:rsidP="003E6004">
      <w:pPr>
        <w:pStyle w:val="Heading3"/>
      </w:pPr>
      <w:bookmarkStart w:id="17" w:name="_Toc370912423"/>
      <w:r>
        <w:t>5.</w:t>
      </w:r>
      <w:r>
        <w:tab/>
      </w:r>
      <w:r w:rsidR="003D5634">
        <w:t>Annual Increases to the DRR Rate Cap</w:t>
      </w:r>
      <w:bookmarkEnd w:id="17"/>
      <w:r w:rsidR="00944B56" w:rsidRPr="0095004E">
        <w:t xml:space="preserve"> </w:t>
      </w:r>
      <w:r w:rsidR="00045CFF" w:rsidRPr="0095004E">
        <w:t xml:space="preserve"> </w:t>
      </w:r>
    </w:p>
    <w:p w:rsidR="00C3282C" w:rsidRDefault="00DA6B4B" w:rsidP="00567817">
      <w:pPr>
        <w:pStyle w:val="Textstyle"/>
      </w:pPr>
      <w:r>
        <w:tab/>
      </w:r>
      <w:r w:rsidR="003D5634">
        <w:t xml:space="preserve">VEDO’s current DRR Program places a $1.00 cap on annual increases to the DRR rate for smaller customers.  The Company proposes to increase the cap </w:t>
      </w:r>
      <w:r w:rsidR="00EF1F3E">
        <w:t xml:space="preserve">each year </w:t>
      </w:r>
      <w:r w:rsidR="003D5634">
        <w:t>by vary</w:t>
      </w:r>
      <w:r w:rsidR="007C2F8F">
        <w:softHyphen/>
      </w:r>
      <w:r w:rsidR="003D5634">
        <w:t>ing amounts (ranging from $1.25 to $1.40) in order to recognize its proposals to expand the scope of the Program and to further accelerate the pace of BS/CI pipeline replace</w:t>
      </w:r>
      <w:r w:rsidR="007C2F8F">
        <w:softHyphen/>
      </w:r>
      <w:r w:rsidR="003D5634">
        <w:t xml:space="preserve">ments.  As described above, the Staff supports both expanding the </w:t>
      </w:r>
      <w:r w:rsidR="00493136">
        <w:t xml:space="preserve">scope of the DRR </w:t>
      </w:r>
      <w:r w:rsidR="003D5634">
        <w:t xml:space="preserve">and </w:t>
      </w:r>
      <w:r w:rsidR="00154E57">
        <w:t xml:space="preserve">accelerating </w:t>
      </w:r>
      <w:r w:rsidR="003D5634">
        <w:t xml:space="preserve">its </w:t>
      </w:r>
      <w:r w:rsidR="00493136">
        <w:t xml:space="preserve">implementation </w:t>
      </w:r>
      <w:r w:rsidR="003D5634">
        <w:t>pace</w:t>
      </w:r>
      <w:r w:rsidR="00493136">
        <w:t>.  Correspondingly, Staff also supports the Com</w:t>
      </w:r>
      <w:r w:rsidR="007C2F8F">
        <w:softHyphen/>
      </w:r>
      <w:r w:rsidR="00493136">
        <w:t>pany’s proposed DRR rate caps.  The annual increases that VEDO is proposing are in-line with annual cap increases that the Commission approved in the infrastructure replace</w:t>
      </w:r>
      <w:r w:rsidR="007C2F8F">
        <w:softHyphen/>
      </w:r>
      <w:r w:rsidR="00493136">
        <w:t>ment cases for the other major gas utilities in</w:t>
      </w:r>
      <w:r w:rsidR="00BC0E0F">
        <w:t xml:space="preserve"> Ohio</w:t>
      </w:r>
      <w:r w:rsidR="00493136">
        <w:t>.</w:t>
      </w:r>
    </w:p>
    <w:p w:rsidR="00833AEB" w:rsidRPr="0095004E" w:rsidRDefault="003E6004" w:rsidP="003E6004">
      <w:pPr>
        <w:pStyle w:val="Heading3"/>
      </w:pPr>
      <w:bookmarkStart w:id="18" w:name="_Toc370912424"/>
      <w:r>
        <w:t>6.</w:t>
      </w:r>
      <w:r>
        <w:tab/>
      </w:r>
      <w:r w:rsidR="00E86F71">
        <w:t xml:space="preserve">Retaining </w:t>
      </w:r>
      <w:r w:rsidR="00EF1F3E">
        <w:t xml:space="preserve">Existing DRR Processes </w:t>
      </w:r>
      <w:proofErr w:type="gramStart"/>
      <w:r w:rsidR="00BC0E0F">
        <w:t>Except</w:t>
      </w:r>
      <w:proofErr w:type="gramEnd"/>
      <w:r w:rsidR="00BC0E0F">
        <w:t xml:space="preserve"> as Altered</w:t>
      </w:r>
      <w:bookmarkEnd w:id="18"/>
    </w:p>
    <w:p w:rsidR="00353D07" w:rsidRDefault="00DA6B4B" w:rsidP="00567817">
      <w:pPr>
        <w:pStyle w:val="Textstyle"/>
      </w:pPr>
      <w:r>
        <w:tab/>
      </w:r>
      <w:r w:rsidR="009F3D4A">
        <w:t xml:space="preserve">VEDO proposes to </w:t>
      </w:r>
      <w:r w:rsidR="00154E57">
        <w:t xml:space="preserve">retain </w:t>
      </w:r>
      <w:r w:rsidR="009F3D4A">
        <w:t xml:space="preserve">all application, filing, review, and rate </w:t>
      </w:r>
      <w:r w:rsidR="00154E57">
        <w:t xml:space="preserve">implementation </w:t>
      </w:r>
      <w:r w:rsidR="009F3D4A">
        <w:t xml:space="preserve">timelines and processes that are currently in place for the DRR Program for the extended Program except as noted in its Application.  The Staff agrees.  The application and review timelines and processes that are currently in place for the DRR have worked well.  </w:t>
      </w:r>
      <w:r w:rsidR="009F3D4A">
        <w:lastRenderedPageBreak/>
        <w:t xml:space="preserve">As a result, the Staff would recommend that the Commission keep all such processes in place except as modified in these Comments.  </w:t>
      </w:r>
      <w:r w:rsidR="000A206D" w:rsidRPr="0095004E">
        <w:t xml:space="preserve">   </w:t>
      </w:r>
    </w:p>
    <w:p w:rsidR="00045CFF" w:rsidRPr="0095004E" w:rsidRDefault="00B0485D" w:rsidP="0095004E">
      <w:pPr>
        <w:pStyle w:val="Heading1"/>
        <w:rPr>
          <w:b w:val="0"/>
          <w:sz w:val="24"/>
          <w:szCs w:val="24"/>
        </w:rPr>
      </w:pPr>
      <w:bookmarkStart w:id="19" w:name="_Toc370912425"/>
      <w:r>
        <w:t>RECOMMENDATIONS TO THE COMMISSION</w:t>
      </w:r>
      <w:bookmarkEnd w:id="19"/>
    </w:p>
    <w:p w:rsidR="00DA6B4B" w:rsidRDefault="00567817" w:rsidP="00567817">
      <w:pPr>
        <w:pStyle w:val="Textstyle"/>
      </w:pPr>
      <w:r>
        <w:tab/>
      </w:r>
      <w:r w:rsidR="00045CFF" w:rsidRPr="0095004E">
        <w:t>The Staff recommends that the Commission adopt all of the Staff recommenda</w:t>
      </w:r>
      <w:r w:rsidR="007C2F8F">
        <w:softHyphen/>
      </w:r>
      <w:r w:rsidR="00045CFF" w:rsidRPr="0095004E">
        <w:t xml:space="preserve">tions contained herein and approve </w:t>
      </w:r>
      <w:r w:rsidR="00353D07">
        <w:t>VED</w:t>
      </w:r>
      <w:r w:rsidR="00045CFF" w:rsidRPr="0095004E">
        <w:t xml:space="preserve">O’s </w:t>
      </w:r>
      <w:r w:rsidR="00353D07">
        <w:t>Application</w:t>
      </w:r>
      <w:r w:rsidR="00045CFF" w:rsidRPr="0095004E">
        <w:t xml:space="preserve"> as modified.</w:t>
      </w:r>
    </w:p>
    <w:p w:rsidR="00DA6B4B" w:rsidRDefault="00DA6B4B" w:rsidP="00567817">
      <w:pPr>
        <w:pStyle w:val="BodyTextFirstIndent"/>
        <w:spacing w:line="240" w:lineRule="auto"/>
        <w:ind w:left="4320" w:firstLine="0"/>
      </w:pPr>
      <w:r w:rsidRPr="003C5187">
        <w:t>Respectfully submitted,</w:t>
      </w:r>
    </w:p>
    <w:p w:rsidR="00567817" w:rsidRDefault="00567817" w:rsidP="00567817">
      <w:pPr>
        <w:pStyle w:val="BodyTextFirstIndent"/>
        <w:spacing w:line="240" w:lineRule="auto"/>
        <w:ind w:left="4320" w:firstLine="0"/>
      </w:pPr>
    </w:p>
    <w:p w:rsidR="00567817" w:rsidRPr="00CC6214" w:rsidRDefault="00567817" w:rsidP="00567817">
      <w:pPr>
        <w:tabs>
          <w:tab w:val="left" w:pos="9360"/>
        </w:tabs>
        <w:spacing w:after="0" w:line="240" w:lineRule="auto"/>
        <w:ind w:left="4320"/>
        <w:jc w:val="both"/>
        <w:rPr>
          <w:rFonts w:ascii="Times New Roman" w:hAnsi="Times New Roman"/>
          <w:b/>
          <w:sz w:val="26"/>
          <w:szCs w:val="26"/>
        </w:rPr>
      </w:pPr>
      <w:r w:rsidRPr="00CC6214">
        <w:rPr>
          <w:rFonts w:ascii="Times New Roman" w:hAnsi="Times New Roman"/>
          <w:b/>
          <w:sz w:val="26"/>
          <w:szCs w:val="26"/>
        </w:rPr>
        <w:t xml:space="preserve">Michael DeWine </w:t>
      </w:r>
    </w:p>
    <w:p w:rsidR="00567817" w:rsidRPr="00CC6214" w:rsidRDefault="00567817" w:rsidP="00567817">
      <w:pPr>
        <w:tabs>
          <w:tab w:val="left" w:pos="9360"/>
        </w:tabs>
        <w:spacing w:after="0" w:line="240" w:lineRule="auto"/>
        <w:ind w:left="4320"/>
        <w:jc w:val="both"/>
        <w:rPr>
          <w:rFonts w:ascii="Times New Roman" w:hAnsi="Times New Roman"/>
          <w:sz w:val="26"/>
          <w:szCs w:val="26"/>
        </w:rPr>
      </w:pPr>
      <w:r w:rsidRPr="00CC6214">
        <w:rPr>
          <w:rFonts w:ascii="Times New Roman" w:hAnsi="Times New Roman"/>
          <w:sz w:val="26"/>
          <w:szCs w:val="26"/>
        </w:rPr>
        <w:t>Ohio Attorney General</w:t>
      </w:r>
    </w:p>
    <w:p w:rsidR="00567817" w:rsidRPr="00CC6214" w:rsidRDefault="00567817" w:rsidP="00567817">
      <w:pPr>
        <w:tabs>
          <w:tab w:val="left" w:pos="9360"/>
        </w:tabs>
        <w:spacing w:after="0" w:line="240" w:lineRule="auto"/>
        <w:ind w:left="4320"/>
        <w:jc w:val="both"/>
        <w:rPr>
          <w:rFonts w:ascii="Times New Roman" w:hAnsi="Times New Roman"/>
          <w:sz w:val="26"/>
          <w:szCs w:val="26"/>
        </w:rPr>
      </w:pPr>
    </w:p>
    <w:p w:rsidR="00567817" w:rsidRPr="00CC6214" w:rsidRDefault="00567817" w:rsidP="00567817">
      <w:pPr>
        <w:tabs>
          <w:tab w:val="left" w:pos="9360"/>
        </w:tabs>
        <w:spacing w:after="0" w:line="240" w:lineRule="auto"/>
        <w:ind w:left="4320"/>
        <w:jc w:val="both"/>
        <w:rPr>
          <w:rFonts w:ascii="Times New Roman" w:hAnsi="Times New Roman"/>
          <w:sz w:val="26"/>
          <w:szCs w:val="26"/>
        </w:rPr>
      </w:pPr>
      <w:r w:rsidRPr="00CC6214">
        <w:rPr>
          <w:rFonts w:ascii="Times New Roman" w:hAnsi="Times New Roman"/>
          <w:b/>
          <w:sz w:val="26"/>
          <w:szCs w:val="26"/>
        </w:rPr>
        <w:t>William L. Wright</w:t>
      </w:r>
    </w:p>
    <w:p w:rsidR="00567817" w:rsidRPr="00CC6214" w:rsidRDefault="00567817" w:rsidP="00567817">
      <w:pPr>
        <w:tabs>
          <w:tab w:val="left" w:pos="9360"/>
        </w:tabs>
        <w:spacing w:after="0" w:line="240" w:lineRule="auto"/>
        <w:ind w:left="4320"/>
        <w:jc w:val="both"/>
        <w:rPr>
          <w:rFonts w:ascii="Times New Roman" w:hAnsi="Times New Roman"/>
          <w:b/>
          <w:sz w:val="26"/>
          <w:szCs w:val="26"/>
        </w:rPr>
      </w:pPr>
      <w:r w:rsidRPr="00CC6214">
        <w:rPr>
          <w:rFonts w:ascii="Times New Roman" w:hAnsi="Times New Roman"/>
          <w:sz w:val="26"/>
          <w:szCs w:val="26"/>
        </w:rPr>
        <w:t>Section Chief</w:t>
      </w:r>
    </w:p>
    <w:p w:rsidR="00567817" w:rsidRDefault="00567817" w:rsidP="00567817">
      <w:pPr>
        <w:tabs>
          <w:tab w:val="left" w:pos="9360"/>
        </w:tabs>
        <w:spacing w:after="0" w:line="240" w:lineRule="auto"/>
        <w:ind w:left="4320"/>
        <w:jc w:val="both"/>
        <w:rPr>
          <w:rFonts w:ascii="Times New Roman" w:hAnsi="Times New Roman"/>
          <w:sz w:val="26"/>
          <w:szCs w:val="26"/>
        </w:rPr>
      </w:pPr>
    </w:p>
    <w:p w:rsidR="00567817" w:rsidRDefault="00567817" w:rsidP="00567817">
      <w:pPr>
        <w:tabs>
          <w:tab w:val="left" w:pos="9360"/>
        </w:tabs>
        <w:spacing w:after="0" w:line="240" w:lineRule="auto"/>
        <w:ind w:left="4320"/>
        <w:jc w:val="both"/>
        <w:rPr>
          <w:rFonts w:ascii="Times New Roman" w:hAnsi="Times New Roman"/>
          <w:sz w:val="26"/>
          <w:szCs w:val="26"/>
        </w:rPr>
      </w:pPr>
    </w:p>
    <w:p w:rsidR="00567817" w:rsidRPr="003011B1" w:rsidRDefault="003011B1" w:rsidP="00567817">
      <w:pPr>
        <w:tabs>
          <w:tab w:val="left" w:pos="9360"/>
        </w:tabs>
        <w:spacing w:after="0" w:line="240" w:lineRule="auto"/>
        <w:ind w:left="4320"/>
        <w:jc w:val="both"/>
        <w:rPr>
          <w:rFonts w:ascii="Viner Hand ITC" w:hAnsi="Viner Hand ITC"/>
          <w:sz w:val="28"/>
          <w:szCs w:val="28"/>
          <w:u w:val="single"/>
        </w:rPr>
      </w:pPr>
      <w:r w:rsidRPr="003011B1">
        <w:rPr>
          <w:rFonts w:ascii="Viner Hand ITC" w:hAnsi="Viner Hand ITC"/>
          <w:sz w:val="28"/>
          <w:szCs w:val="28"/>
          <w:u w:val="single"/>
        </w:rPr>
        <w:t>/s/ Ryan P. O’Rourke</w:t>
      </w:r>
      <w:r w:rsidR="00567817" w:rsidRPr="003011B1">
        <w:rPr>
          <w:rFonts w:ascii="Viner Hand ITC" w:hAnsi="Viner Hand ITC"/>
          <w:sz w:val="28"/>
          <w:szCs w:val="28"/>
          <w:u w:val="single"/>
        </w:rPr>
        <w:tab/>
      </w:r>
    </w:p>
    <w:p w:rsidR="00567817" w:rsidRPr="00CC6214" w:rsidRDefault="00567817" w:rsidP="00567817">
      <w:pPr>
        <w:tabs>
          <w:tab w:val="left" w:pos="9360"/>
        </w:tabs>
        <w:spacing w:after="0" w:line="240" w:lineRule="auto"/>
        <w:ind w:left="4320"/>
        <w:jc w:val="both"/>
        <w:rPr>
          <w:rFonts w:ascii="Times New Roman" w:hAnsi="Times New Roman"/>
          <w:b/>
          <w:sz w:val="26"/>
          <w:szCs w:val="26"/>
        </w:rPr>
      </w:pPr>
      <w:r w:rsidRPr="00CC6214">
        <w:rPr>
          <w:rFonts w:ascii="Times New Roman" w:hAnsi="Times New Roman"/>
          <w:b/>
          <w:sz w:val="26"/>
          <w:szCs w:val="26"/>
        </w:rPr>
        <w:t>Ryan P. O’Rourke</w:t>
      </w:r>
    </w:p>
    <w:p w:rsidR="00567817" w:rsidRPr="00CC6214" w:rsidRDefault="00567817" w:rsidP="00567817">
      <w:pPr>
        <w:tabs>
          <w:tab w:val="left" w:pos="9360"/>
        </w:tabs>
        <w:spacing w:after="0" w:line="240" w:lineRule="auto"/>
        <w:ind w:left="4320"/>
        <w:jc w:val="both"/>
        <w:rPr>
          <w:rFonts w:ascii="Times New Roman" w:hAnsi="Times New Roman"/>
          <w:sz w:val="26"/>
          <w:szCs w:val="26"/>
        </w:rPr>
      </w:pPr>
      <w:r w:rsidRPr="00CC6214">
        <w:rPr>
          <w:rFonts w:ascii="Times New Roman" w:hAnsi="Times New Roman"/>
          <w:sz w:val="26"/>
          <w:szCs w:val="26"/>
        </w:rPr>
        <w:t>Assistant Attorney General</w:t>
      </w:r>
    </w:p>
    <w:p w:rsidR="00567817" w:rsidRPr="00CC6214" w:rsidRDefault="00567817" w:rsidP="00567817">
      <w:pPr>
        <w:tabs>
          <w:tab w:val="left" w:pos="9360"/>
        </w:tabs>
        <w:spacing w:after="0" w:line="240" w:lineRule="auto"/>
        <w:ind w:left="4320"/>
        <w:jc w:val="both"/>
        <w:rPr>
          <w:rFonts w:ascii="Times New Roman" w:hAnsi="Times New Roman"/>
          <w:sz w:val="26"/>
          <w:szCs w:val="26"/>
        </w:rPr>
      </w:pPr>
      <w:r w:rsidRPr="00CC6214">
        <w:rPr>
          <w:rFonts w:ascii="Times New Roman" w:hAnsi="Times New Roman"/>
          <w:sz w:val="26"/>
          <w:szCs w:val="26"/>
        </w:rPr>
        <w:t>Public Utilities Section</w:t>
      </w:r>
    </w:p>
    <w:p w:rsidR="00567817" w:rsidRPr="00CC6214" w:rsidRDefault="00567817" w:rsidP="00567817">
      <w:pPr>
        <w:tabs>
          <w:tab w:val="left" w:pos="9360"/>
        </w:tabs>
        <w:spacing w:after="0" w:line="240" w:lineRule="auto"/>
        <w:ind w:left="4320"/>
        <w:jc w:val="both"/>
        <w:rPr>
          <w:rFonts w:ascii="Times New Roman" w:hAnsi="Times New Roman"/>
          <w:sz w:val="26"/>
          <w:szCs w:val="26"/>
        </w:rPr>
      </w:pPr>
      <w:r w:rsidRPr="00CC6214">
        <w:rPr>
          <w:rFonts w:ascii="Times New Roman" w:hAnsi="Times New Roman"/>
          <w:sz w:val="26"/>
          <w:szCs w:val="26"/>
        </w:rPr>
        <w:t>180 East Broad Street, 6</w:t>
      </w:r>
      <w:r w:rsidRPr="00CC6214">
        <w:rPr>
          <w:rFonts w:ascii="Times New Roman" w:hAnsi="Times New Roman"/>
          <w:sz w:val="26"/>
          <w:szCs w:val="26"/>
          <w:vertAlign w:val="superscript"/>
        </w:rPr>
        <w:t>th</w:t>
      </w:r>
      <w:r w:rsidRPr="00CC6214">
        <w:rPr>
          <w:rFonts w:ascii="Times New Roman" w:hAnsi="Times New Roman"/>
          <w:sz w:val="26"/>
          <w:szCs w:val="26"/>
        </w:rPr>
        <w:t xml:space="preserve"> Fl. </w:t>
      </w:r>
    </w:p>
    <w:p w:rsidR="00567817" w:rsidRPr="00CC6214" w:rsidRDefault="00567817" w:rsidP="00567817">
      <w:pPr>
        <w:tabs>
          <w:tab w:val="left" w:pos="9360"/>
        </w:tabs>
        <w:spacing w:after="0" w:line="240" w:lineRule="auto"/>
        <w:ind w:left="4320"/>
        <w:jc w:val="both"/>
        <w:rPr>
          <w:rFonts w:ascii="Times New Roman" w:hAnsi="Times New Roman"/>
          <w:sz w:val="26"/>
          <w:szCs w:val="26"/>
        </w:rPr>
      </w:pPr>
      <w:r w:rsidRPr="00CC6214">
        <w:rPr>
          <w:rFonts w:ascii="Times New Roman" w:hAnsi="Times New Roman"/>
          <w:sz w:val="26"/>
          <w:szCs w:val="26"/>
        </w:rPr>
        <w:t>Columbus, OH  43215</w:t>
      </w:r>
    </w:p>
    <w:p w:rsidR="00567817" w:rsidRPr="00CC6214" w:rsidRDefault="00567817" w:rsidP="00567817">
      <w:pPr>
        <w:tabs>
          <w:tab w:val="left" w:pos="9360"/>
        </w:tabs>
        <w:spacing w:after="0" w:line="240" w:lineRule="auto"/>
        <w:ind w:left="4320"/>
        <w:jc w:val="both"/>
        <w:rPr>
          <w:rFonts w:ascii="Times New Roman" w:hAnsi="Times New Roman"/>
          <w:sz w:val="26"/>
          <w:szCs w:val="26"/>
        </w:rPr>
      </w:pPr>
      <w:r w:rsidRPr="00CC6214">
        <w:rPr>
          <w:rFonts w:ascii="Times New Roman" w:hAnsi="Times New Roman"/>
          <w:sz w:val="26"/>
          <w:szCs w:val="26"/>
        </w:rPr>
        <w:t>614.466.4395 (telephone)</w:t>
      </w:r>
    </w:p>
    <w:p w:rsidR="00567817" w:rsidRPr="00CC6214" w:rsidRDefault="00567817" w:rsidP="00567817">
      <w:pPr>
        <w:spacing w:after="0" w:line="240" w:lineRule="auto"/>
        <w:ind w:left="4320"/>
        <w:jc w:val="both"/>
        <w:rPr>
          <w:rFonts w:ascii="Times New Roman" w:eastAsia="Calibri" w:hAnsi="Times New Roman"/>
          <w:sz w:val="26"/>
          <w:szCs w:val="26"/>
        </w:rPr>
      </w:pPr>
      <w:r w:rsidRPr="00CC6214">
        <w:rPr>
          <w:rFonts w:ascii="Times New Roman" w:eastAsia="Calibri" w:hAnsi="Times New Roman"/>
          <w:sz w:val="26"/>
          <w:szCs w:val="26"/>
        </w:rPr>
        <w:t>614.644.8764 (fax)</w:t>
      </w:r>
    </w:p>
    <w:p w:rsidR="00567817" w:rsidRPr="00CC6214" w:rsidRDefault="00807B84" w:rsidP="00567817">
      <w:pPr>
        <w:spacing w:after="0" w:line="240" w:lineRule="auto"/>
        <w:ind w:left="4320"/>
        <w:jc w:val="both"/>
        <w:rPr>
          <w:rFonts w:ascii="Times New Roman" w:eastAsia="Calibri" w:hAnsi="Times New Roman"/>
          <w:sz w:val="26"/>
          <w:szCs w:val="26"/>
        </w:rPr>
      </w:pPr>
      <w:hyperlink r:id="rId16" w:history="1">
        <w:r w:rsidR="00567817" w:rsidRPr="00CC6214">
          <w:rPr>
            <w:rFonts w:ascii="Times New Roman" w:eastAsia="Calibri" w:hAnsi="Times New Roman"/>
            <w:color w:val="0000FF"/>
            <w:sz w:val="26"/>
            <w:szCs w:val="26"/>
            <w:u w:val="single"/>
          </w:rPr>
          <w:t>william.wright@puc.state.oh.us</w:t>
        </w:r>
      </w:hyperlink>
    </w:p>
    <w:p w:rsidR="00567817" w:rsidRPr="00CC6214" w:rsidRDefault="00807B84" w:rsidP="00567817">
      <w:pPr>
        <w:spacing w:after="0" w:line="240" w:lineRule="auto"/>
        <w:ind w:left="4320"/>
        <w:jc w:val="both"/>
        <w:rPr>
          <w:rFonts w:ascii="Times New Roman" w:eastAsia="Calibri" w:hAnsi="Times New Roman"/>
          <w:sz w:val="26"/>
          <w:szCs w:val="26"/>
        </w:rPr>
      </w:pPr>
      <w:hyperlink r:id="rId17" w:history="1">
        <w:r w:rsidR="00567817" w:rsidRPr="00CC6214">
          <w:rPr>
            <w:rFonts w:ascii="Times New Roman" w:eastAsia="Calibri" w:hAnsi="Times New Roman"/>
            <w:color w:val="0000FF"/>
            <w:sz w:val="26"/>
            <w:szCs w:val="26"/>
            <w:u w:val="single"/>
          </w:rPr>
          <w:t>ryan.orourke@puc.state.oh.us</w:t>
        </w:r>
      </w:hyperlink>
    </w:p>
    <w:p w:rsidR="00567817" w:rsidRPr="00CC6214" w:rsidRDefault="00567817" w:rsidP="00567817">
      <w:pPr>
        <w:spacing w:after="0" w:line="240" w:lineRule="auto"/>
        <w:rPr>
          <w:rFonts w:ascii="Times New Roman" w:eastAsia="Calibri" w:hAnsi="Times New Roman"/>
          <w:sz w:val="24"/>
        </w:rPr>
      </w:pPr>
    </w:p>
    <w:p w:rsidR="00493916" w:rsidRDefault="00493916">
      <w:r>
        <w:br w:type="page"/>
      </w:r>
    </w:p>
    <w:p w:rsidR="00493916" w:rsidRPr="00493916" w:rsidRDefault="00493916" w:rsidP="00B0485D">
      <w:pPr>
        <w:pStyle w:val="Heading1"/>
      </w:pPr>
      <w:bookmarkStart w:id="20" w:name="_Toc370912426"/>
      <w:r w:rsidRPr="00493916">
        <w:lastRenderedPageBreak/>
        <w:t>CERTIFICATE OF SERVICE</w:t>
      </w:r>
      <w:bookmarkEnd w:id="20"/>
    </w:p>
    <w:p w:rsidR="00493916" w:rsidRDefault="00567817" w:rsidP="00567817">
      <w:pPr>
        <w:pStyle w:val="Textstyle"/>
      </w:pPr>
      <w:r>
        <w:tab/>
      </w:r>
      <w:r w:rsidR="00493916" w:rsidRPr="00493916">
        <w:t xml:space="preserve">I certify a </w:t>
      </w:r>
      <w:r>
        <w:t xml:space="preserve">true </w:t>
      </w:r>
      <w:r w:rsidR="00493916" w:rsidRPr="00493916">
        <w:t xml:space="preserve">copy of the foregoing was served upon the following </w:t>
      </w:r>
      <w:r>
        <w:t xml:space="preserve">parties of record via </w:t>
      </w:r>
      <w:r w:rsidR="00493916" w:rsidRPr="00493916">
        <w:t xml:space="preserve">electronic mail on </w:t>
      </w:r>
      <w:r>
        <w:t>October 30, 2013</w:t>
      </w:r>
      <w:r w:rsidR="00493916" w:rsidRPr="00493916">
        <w:t>.</w:t>
      </w:r>
    </w:p>
    <w:p w:rsidR="00567817" w:rsidRPr="00493916" w:rsidRDefault="00567817" w:rsidP="00567817">
      <w:pPr>
        <w:pStyle w:val="Textstyle"/>
      </w:pPr>
    </w:p>
    <w:p w:rsidR="00567817" w:rsidRDefault="003011B1" w:rsidP="00567817">
      <w:pPr>
        <w:tabs>
          <w:tab w:val="decimal" w:pos="9360"/>
        </w:tabs>
        <w:autoSpaceDE w:val="0"/>
        <w:autoSpaceDN w:val="0"/>
        <w:adjustRightInd w:val="0"/>
        <w:spacing w:after="0" w:line="240" w:lineRule="auto"/>
        <w:ind w:left="4320"/>
        <w:jc w:val="both"/>
        <w:rPr>
          <w:rFonts w:ascii="Times New Roman" w:hAnsi="Times New Roman"/>
          <w:sz w:val="26"/>
          <w:szCs w:val="26"/>
          <w:u w:val="single"/>
        </w:rPr>
      </w:pPr>
      <w:r w:rsidRPr="003011B1">
        <w:rPr>
          <w:rFonts w:ascii="Viner Hand ITC" w:hAnsi="Viner Hand ITC"/>
          <w:sz w:val="28"/>
          <w:szCs w:val="28"/>
          <w:u w:val="single"/>
        </w:rPr>
        <w:t>/s/ Ryan P. O’Rourke</w:t>
      </w:r>
      <w:r w:rsidR="00567817">
        <w:rPr>
          <w:rFonts w:ascii="Times New Roman" w:hAnsi="Times New Roman"/>
          <w:sz w:val="26"/>
          <w:szCs w:val="26"/>
          <w:u w:val="single"/>
        </w:rPr>
        <w:tab/>
      </w:r>
    </w:p>
    <w:p w:rsidR="00567817" w:rsidRDefault="00567817" w:rsidP="00567817">
      <w:pPr>
        <w:tabs>
          <w:tab w:val="decimal" w:pos="9360"/>
        </w:tabs>
        <w:autoSpaceDE w:val="0"/>
        <w:autoSpaceDN w:val="0"/>
        <w:adjustRightInd w:val="0"/>
        <w:spacing w:after="0" w:line="240" w:lineRule="auto"/>
        <w:ind w:left="4320"/>
        <w:jc w:val="both"/>
        <w:rPr>
          <w:rFonts w:ascii="Times New Roman" w:hAnsi="Times New Roman"/>
          <w:b/>
          <w:sz w:val="26"/>
          <w:szCs w:val="26"/>
        </w:rPr>
      </w:pPr>
      <w:r>
        <w:rPr>
          <w:rFonts w:ascii="Times New Roman" w:hAnsi="Times New Roman"/>
          <w:b/>
          <w:sz w:val="26"/>
          <w:szCs w:val="26"/>
        </w:rPr>
        <w:t>Ryan P. O’Rourke</w:t>
      </w:r>
      <w:bookmarkStart w:id="21" w:name="_GoBack"/>
      <w:bookmarkEnd w:id="21"/>
    </w:p>
    <w:p w:rsidR="00567817" w:rsidRPr="00567817" w:rsidRDefault="00567817" w:rsidP="00567817">
      <w:pPr>
        <w:tabs>
          <w:tab w:val="decimal" w:pos="9360"/>
        </w:tabs>
        <w:autoSpaceDE w:val="0"/>
        <w:autoSpaceDN w:val="0"/>
        <w:adjustRightInd w:val="0"/>
        <w:spacing w:after="0" w:line="240" w:lineRule="auto"/>
        <w:ind w:left="4320"/>
        <w:jc w:val="both"/>
        <w:rPr>
          <w:rFonts w:ascii="Times New Roman" w:hAnsi="Times New Roman"/>
          <w:sz w:val="26"/>
          <w:szCs w:val="26"/>
        </w:rPr>
      </w:pPr>
      <w:r>
        <w:rPr>
          <w:rFonts w:ascii="Times New Roman" w:hAnsi="Times New Roman"/>
          <w:sz w:val="26"/>
          <w:szCs w:val="26"/>
        </w:rPr>
        <w:t>Assistant Attorney General</w:t>
      </w:r>
    </w:p>
    <w:p w:rsidR="00493916" w:rsidRPr="00493916" w:rsidRDefault="00493916" w:rsidP="00493916">
      <w:pPr>
        <w:autoSpaceDE w:val="0"/>
        <w:autoSpaceDN w:val="0"/>
        <w:adjustRightInd w:val="0"/>
        <w:rPr>
          <w:rFonts w:ascii="Times New Roman" w:hAnsi="Times New Roman"/>
          <w:sz w:val="26"/>
          <w:szCs w:val="26"/>
        </w:rPr>
      </w:pPr>
      <w:r w:rsidRPr="00493916">
        <w:rPr>
          <w:rFonts w:ascii="Times New Roman" w:hAnsi="Times New Roman"/>
          <w:sz w:val="26"/>
          <w:szCs w:val="26"/>
        </w:rPr>
        <w:t>PARTIES OF RECORD:</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950"/>
      </w:tblGrid>
      <w:tr w:rsidR="00493916" w:rsidRPr="00493916" w:rsidTr="00CB2457">
        <w:tc>
          <w:tcPr>
            <w:tcW w:w="5238" w:type="dxa"/>
            <w:shd w:val="clear" w:color="auto" w:fill="auto"/>
          </w:tcPr>
          <w:p w:rsidR="00493916" w:rsidRPr="00493916" w:rsidRDefault="00493916" w:rsidP="00493916">
            <w:pPr>
              <w:autoSpaceDE w:val="0"/>
              <w:autoSpaceDN w:val="0"/>
              <w:adjustRightInd w:val="0"/>
              <w:rPr>
                <w:rFonts w:ascii="Times New Roman" w:hAnsi="Times New Roman"/>
                <w:sz w:val="26"/>
                <w:szCs w:val="26"/>
              </w:rPr>
            </w:pPr>
            <w:r w:rsidRPr="00493916">
              <w:rPr>
                <w:rFonts w:ascii="Times New Roman" w:hAnsi="Times New Roman"/>
                <w:sz w:val="26"/>
                <w:szCs w:val="26"/>
              </w:rPr>
              <w:t>Mark A. Whitt</w:t>
            </w:r>
          </w:p>
          <w:p w:rsidR="00493916" w:rsidRPr="00493916" w:rsidRDefault="00493916" w:rsidP="00493916">
            <w:pPr>
              <w:autoSpaceDE w:val="0"/>
              <w:autoSpaceDN w:val="0"/>
              <w:adjustRightInd w:val="0"/>
              <w:rPr>
                <w:rFonts w:ascii="Times New Roman" w:hAnsi="Times New Roman"/>
                <w:sz w:val="26"/>
                <w:szCs w:val="26"/>
              </w:rPr>
            </w:pPr>
            <w:r w:rsidRPr="00493916">
              <w:rPr>
                <w:rFonts w:ascii="Times New Roman" w:hAnsi="Times New Roman"/>
                <w:sz w:val="26"/>
                <w:szCs w:val="26"/>
              </w:rPr>
              <w:t>Joel E. Sechler</w:t>
            </w:r>
          </w:p>
          <w:p w:rsidR="00493916" w:rsidRPr="00493916" w:rsidRDefault="00493916" w:rsidP="00493916">
            <w:pPr>
              <w:autoSpaceDE w:val="0"/>
              <w:autoSpaceDN w:val="0"/>
              <w:adjustRightInd w:val="0"/>
              <w:rPr>
                <w:rFonts w:ascii="Times New Roman" w:hAnsi="Times New Roman"/>
                <w:sz w:val="26"/>
                <w:szCs w:val="26"/>
              </w:rPr>
            </w:pPr>
            <w:r w:rsidRPr="00493916">
              <w:rPr>
                <w:rFonts w:ascii="Times New Roman" w:hAnsi="Times New Roman"/>
                <w:sz w:val="26"/>
                <w:szCs w:val="26"/>
              </w:rPr>
              <w:t>Melissa L. Thompson</w:t>
            </w:r>
          </w:p>
          <w:p w:rsidR="00493916" w:rsidRPr="00493916" w:rsidRDefault="00493916" w:rsidP="00493916">
            <w:pPr>
              <w:autoSpaceDE w:val="0"/>
              <w:autoSpaceDN w:val="0"/>
              <w:adjustRightInd w:val="0"/>
              <w:rPr>
                <w:rFonts w:ascii="Times New Roman" w:hAnsi="Times New Roman"/>
                <w:sz w:val="26"/>
                <w:szCs w:val="26"/>
              </w:rPr>
            </w:pPr>
            <w:r w:rsidRPr="00493916">
              <w:rPr>
                <w:rFonts w:ascii="Times New Roman" w:hAnsi="Times New Roman"/>
                <w:sz w:val="26"/>
                <w:szCs w:val="26"/>
              </w:rPr>
              <w:t>Carpenter, Lipps &amp; Leland LLP</w:t>
            </w:r>
          </w:p>
          <w:p w:rsidR="00493916" w:rsidRPr="00493916" w:rsidRDefault="00493916" w:rsidP="00493916">
            <w:pPr>
              <w:autoSpaceDE w:val="0"/>
              <w:autoSpaceDN w:val="0"/>
              <w:adjustRightInd w:val="0"/>
              <w:rPr>
                <w:rFonts w:ascii="Times New Roman" w:hAnsi="Times New Roman"/>
                <w:sz w:val="26"/>
                <w:szCs w:val="26"/>
              </w:rPr>
            </w:pPr>
            <w:r w:rsidRPr="00493916">
              <w:rPr>
                <w:rFonts w:ascii="Times New Roman" w:hAnsi="Times New Roman"/>
                <w:sz w:val="26"/>
                <w:szCs w:val="26"/>
              </w:rPr>
              <w:t>280 Plaza, Suite 1300</w:t>
            </w:r>
          </w:p>
          <w:p w:rsidR="00493916" w:rsidRPr="00493916" w:rsidRDefault="00493916" w:rsidP="00493916">
            <w:pPr>
              <w:autoSpaceDE w:val="0"/>
              <w:autoSpaceDN w:val="0"/>
              <w:adjustRightInd w:val="0"/>
              <w:rPr>
                <w:rFonts w:ascii="Times New Roman" w:hAnsi="Times New Roman"/>
                <w:sz w:val="26"/>
                <w:szCs w:val="26"/>
              </w:rPr>
            </w:pPr>
            <w:r w:rsidRPr="00493916">
              <w:rPr>
                <w:rFonts w:ascii="Times New Roman" w:hAnsi="Times New Roman"/>
                <w:sz w:val="26"/>
                <w:szCs w:val="26"/>
              </w:rPr>
              <w:t>280 North High Street</w:t>
            </w:r>
          </w:p>
          <w:p w:rsidR="00493916" w:rsidRPr="00493916" w:rsidRDefault="00493916" w:rsidP="00493916">
            <w:pPr>
              <w:autoSpaceDE w:val="0"/>
              <w:autoSpaceDN w:val="0"/>
              <w:adjustRightInd w:val="0"/>
              <w:rPr>
                <w:rFonts w:ascii="Times New Roman" w:hAnsi="Times New Roman"/>
                <w:sz w:val="26"/>
                <w:szCs w:val="26"/>
              </w:rPr>
            </w:pPr>
            <w:r w:rsidRPr="00493916">
              <w:rPr>
                <w:rFonts w:ascii="Times New Roman" w:hAnsi="Times New Roman"/>
                <w:sz w:val="26"/>
                <w:szCs w:val="26"/>
              </w:rPr>
              <w:t>Columbus, Ohio 43215</w:t>
            </w:r>
          </w:p>
          <w:p w:rsidR="00774E36" w:rsidRDefault="00807B84" w:rsidP="00493916">
            <w:pPr>
              <w:autoSpaceDE w:val="0"/>
              <w:autoSpaceDN w:val="0"/>
              <w:adjustRightInd w:val="0"/>
              <w:rPr>
                <w:rFonts w:ascii="Times New Roman" w:hAnsi="Times New Roman"/>
                <w:sz w:val="26"/>
                <w:szCs w:val="26"/>
              </w:rPr>
            </w:pPr>
            <w:hyperlink r:id="rId18" w:history="1">
              <w:r w:rsidR="00774E36" w:rsidRPr="00D519A5">
                <w:rPr>
                  <w:rStyle w:val="Hyperlink"/>
                  <w:rFonts w:ascii="Times New Roman" w:hAnsi="Times New Roman"/>
                  <w:sz w:val="26"/>
                  <w:szCs w:val="26"/>
                </w:rPr>
                <w:t>whitt@carpenterlipps.com</w:t>
              </w:r>
            </w:hyperlink>
          </w:p>
          <w:p w:rsidR="00493916" w:rsidRDefault="00807B84" w:rsidP="00493916">
            <w:pPr>
              <w:autoSpaceDE w:val="0"/>
              <w:autoSpaceDN w:val="0"/>
              <w:adjustRightInd w:val="0"/>
              <w:rPr>
                <w:rFonts w:ascii="Times New Roman" w:hAnsi="Times New Roman"/>
                <w:sz w:val="26"/>
                <w:szCs w:val="26"/>
              </w:rPr>
            </w:pPr>
            <w:hyperlink r:id="rId19" w:history="1">
              <w:r w:rsidR="00774E36" w:rsidRPr="00D519A5">
                <w:rPr>
                  <w:rStyle w:val="Hyperlink"/>
                  <w:rFonts w:ascii="Times New Roman" w:hAnsi="Times New Roman"/>
                  <w:sz w:val="26"/>
                  <w:szCs w:val="26"/>
                </w:rPr>
                <w:t>sechler@carpenterlipps.com</w:t>
              </w:r>
            </w:hyperlink>
          </w:p>
          <w:p w:rsidR="00493916" w:rsidRDefault="00807B84" w:rsidP="00493916">
            <w:pPr>
              <w:autoSpaceDE w:val="0"/>
              <w:autoSpaceDN w:val="0"/>
              <w:adjustRightInd w:val="0"/>
              <w:rPr>
                <w:rFonts w:ascii="Times New Roman" w:hAnsi="Times New Roman"/>
                <w:sz w:val="26"/>
                <w:szCs w:val="26"/>
              </w:rPr>
            </w:pPr>
            <w:hyperlink r:id="rId20" w:history="1">
              <w:r w:rsidR="00774E36" w:rsidRPr="00D519A5">
                <w:rPr>
                  <w:rStyle w:val="Hyperlink"/>
                  <w:rFonts w:ascii="Times New Roman" w:hAnsi="Times New Roman"/>
                  <w:sz w:val="26"/>
                  <w:szCs w:val="26"/>
                </w:rPr>
                <w:t>thompson@carpenterlipps.com</w:t>
              </w:r>
            </w:hyperlink>
          </w:p>
          <w:p w:rsidR="00774E36" w:rsidRPr="00493916" w:rsidRDefault="00774E36" w:rsidP="00493916">
            <w:pPr>
              <w:autoSpaceDE w:val="0"/>
              <w:autoSpaceDN w:val="0"/>
              <w:adjustRightInd w:val="0"/>
              <w:rPr>
                <w:rFonts w:ascii="Times New Roman" w:hAnsi="Times New Roman"/>
                <w:sz w:val="26"/>
                <w:szCs w:val="26"/>
              </w:rPr>
            </w:pPr>
          </w:p>
          <w:p w:rsidR="00774E36" w:rsidRPr="00493916" w:rsidRDefault="00774E36" w:rsidP="00774E36">
            <w:pPr>
              <w:autoSpaceDE w:val="0"/>
              <w:autoSpaceDN w:val="0"/>
              <w:adjustRightInd w:val="0"/>
              <w:rPr>
                <w:rFonts w:ascii="Times New Roman" w:hAnsi="Times New Roman"/>
                <w:sz w:val="26"/>
                <w:szCs w:val="26"/>
              </w:rPr>
            </w:pPr>
            <w:r w:rsidRPr="00493916">
              <w:rPr>
                <w:rFonts w:ascii="Times New Roman" w:hAnsi="Times New Roman"/>
                <w:sz w:val="26"/>
                <w:szCs w:val="26"/>
              </w:rPr>
              <w:t>Colleen L. Mooney</w:t>
            </w:r>
          </w:p>
          <w:p w:rsidR="00774E36" w:rsidRPr="00493916" w:rsidRDefault="00774E36" w:rsidP="00774E36">
            <w:pPr>
              <w:autoSpaceDE w:val="0"/>
              <w:autoSpaceDN w:val="0"/>
              <w:adjustRightInd w:val="0"/>
              <w:rPr>
                <w:rFonts w:ascii="Times New Roman" w:hAnsi="Times New Roman"/>
                <w:sz w:val="26"/>
                <w:szCs w:val="26"/>
              </w:rPr>
            </w:pPr>
            <w:r w:rsidRPr="00493916">
              <w:rPr>
                <w:rFonts w:ascii="Times New Roman" w:hAnsi="Times New Roman"/>
                <w:sz w:val="26"/>
                <w:szCs w:val="26"/>
              </w:rPr>
              <w:t>David C. Rinebolt</w:t>
            </w:r>
          </w:p>
          <w:p w:rsidR="00774E36" w:rsidRPr="00493916" w:rsidRDefault="00774E36" w:rsidP="00774E36">
            <w:pPr>
              <w:autoSpaceDE w:val="0"/>
              <w:autoSpaceDN w:val="0"/>
              <w:adjustRightInd w:val="0"/>
              <w:rPr>
                <w:rFonts w:ascii="Times New Roman" w:hAnsi="Times New Roman"/>
                <w:sz w:val="26"/>
                <w:szCs w:val="26"/>
              </w:rPr>
            </w:pPr>
            <w:r w:rsidRPr="00493916">
              <w:rPr>
                <w:rFonts w:ascii="Times New Roman" w:hAnsi="Times New Roman"/>
                <w:sz w:val="26"/>
                <w:szCs w:val="26"/>
              </w:rPr>
              <w:t>Ohio Partners for Affordable Energy</w:t>
            </w:r>
          </w:p>
          <w:p w:rsidR="00774E36" w:rsidRPr="00493916" w:rsidRDefault="00774E36" w:rsidP="00774E36">
            <w:pPr>
              <w:autoSpaceDE w:val="0"/>
              <w:autoSpaceDN w:val="0"/>
              <w:adjustRightInd w:val="0"/>
              <w:rPr>
                <w:rFonts w:ascii="Times New Roman" w:hAnsi="Times New Roman"/>
                <w:sz w:val="26"/>
                <w:szCs w:val="26"/>
              </w:rPr>
            </w:pPr>
            <w:r w:rsidRPr="00493916">
              <w:rPr>
                <w:rFonts w:ascii="Times New Roman" w:hAnsi="Times New Roman"/>
                <w:sz w:val="26"/>
                <w:szCs w:val="26"/>
              </w:rPr>
              <w:t>231 West Lima Street</w:t>
            </w:r>
          </w:p>
          <w:p w:rsidR="00774E36" w:rsidRPr="00493916" w:rsidRDefault="00774E36" w:rsidP="00774E36">
            <w:pPr>
              <w:autoSpaceDE w:val="0"/>
              <w:autoSpaceDN w:val="0"/>
              <w:adjustRightInd w:val="0"/>
              <w:rPr>
                <w:rFonts w:ascii="Times New Roman" w:hAnsi="Times New Roman"/>
                <w:sz w:val="26"/>
                <w:szCs w:val="26"/>
              </w:rPr>
            </w:pPr>
            <w:r w:rsidRPr="00493916">
              <w:rPr>
                <w:rFonts w:ascii="Times New Roman" w:hAnsi="Times New Roman"/>
                <w:sz w:val="26"/>
                <w:szCs w:val="26"/>
              </w:rPr>
              <w:t>P.O. Box 1793</w:t>
            </w:r>
          </w:p>
          <w:p w:rsidR="00774E36" w:rsidRPr="00493916" w:rsidRDefault="00774E36" w:rsidP="00774E36">
            <w:pPr>
              <w:autoSpaceDE w:val="0"/>
              <w:autoSpaceDN w:val="0"/>
              <w:adjustRightInd w:val="0"/>
              <w:rPr>
                <w:rFonts w:ascii="Times New Roman" w:hAnsi="Times New Roman"/>
                <w:sz w:val="26"/>
                <w:szCs w:val="26"/>
              </w:rPr>
            </w:pPr>
            <w:r w:rsidRPr="00493916">
              <w:rPr>
                <w:rFonts w:ascii="Times New Roman" w:hAnsi="Times New Roman"/>
                <w:sz w:val="26"/>
                <w:szCs w:val="26"/>
              </w:rPr>
              <w:t>Findlay, Ohio 45839-1793</w:t>
            </w:r>
          </w:p>
          <w:p w:rsidR="00774E36" w:rsidRDefault="00807B84" w:rsidP="00774E36">
            <w:pPr>
              <w:autoSpaceDE w:val="0"/>
              <w:autoSpaceDN w:val="0"/>
              <w:adjustRightInd w:val="0"/>
              <w:rPr>
                <w:rFonts w:ascii="Times New Roman" w:hAnsi="Times New Roman"/>
                <w:sz w:val="26"/>
                <w:szCs w:val="26"/>
              </w:rPr>
            </w:pPr>
            <w:hyperlink r:id="rId21" w:history="1">
              <w:r w:rsidR="00774E36" w:rsidRPr="00D519A5">
                <w:rPr>
                  <w:rStyle w:val="Hyperlink"/>
                  <w:rFonts w:ascii="Times New Roman" w:hAnsi="Times New Roman"/>
                  <w:sz w:val="26"/>
                  <w:szCs w:val="26"/>
                </w:rPr>
                <w:t>cmooney@ohiopartners.org</w:t>
              </w:r>
            </w:hyperlink>
          </w:p>
          <w:p w:rsidR="00774E36" w:rsidRDefault="00807B84" w:rsidP="00774E36">
            <w:pPr>
              <w:autoSpaceDE w:val="0"/>
              <w:autoSpaceDN w:val="0"/>
              <w:adjustRightInd w:val="0"/>
              <w:rPr>
                <w:rFonts w:ascii="Times New Roman" w:hAnsi="Times New Roman"/>
                <w:sz w:val="26"/>
                <w:szCs w:val="26"/>
              </w:rPr>
            </w:pPr>
            <w:hyperlink r:id="rId22" w:history="1">
              <w:r w:rsidR="00774E36" w:rsidRPr="00D519A5">
                <w:rPr>
                  <w:rStyle w:val="Hyperlink"/>
                  <w:rFonts w:ascii="Times New Roman" w:hAnsi="Times New Roman"/>
                  <w:sz w:val="26"/>
                  <w:szCs w:val="26"/>
                </w:rPr>
                <w:t>drinebolt@aol.com</w:t>
              </w:r>
            </w:hyperlink>
          </w:p>
          <w:p w:rsidR="00774E36" w:rsidRPr="00493916" w:rsidRDefault="00774E36" w:rsidP="00774E36">
            <w:pPr>
              <w:autoSpaceDE w:val="0"/>
              <w:autoSpaceDN w:val="0"/>
              <w:adjustRightInd w:val="0"/>
              <w:rPr>
                <w:rFonts w:ascii="Times New Roman" w:hAnsi="Times New Roman"/>
                <w:sz w:val="26"/>
                <w:szCs w:val="26"/>
              </w:rPr>
            </w:pPr>
          </w:p>
          <w:p w:rsidR="00493916" w:rsidRPr="00493916" w:rsidRDefault="00493916" w:rsidP="00493916">
            <w:pPr>
              <w:autoSpaceDE w:val="0"/>
              <w:autoSpaceDN w:val="0"/>
              <w:adjustRightInd w:val="0"/>
              <w:rPr>
                <w:rFonts w:ascii="Times New Roman" w:hAnsi="Times New Roman"/>
                <w:sz w:val="26"/>
                <w:szCs w:val="26"/>
              </w:rPr>
            </w:pPr>
          </w:p>
        </w:tc>
        <w:tc>
          <w:tcPr>
            <w:tcW w:w="4950" w:type="dxa"/>
            <w:shd w:val="clear" w:color="auto" w:fill="auto"/>
          </w:tcPr>
          <w:p w:rsidR="00493916" w:rsidRPr="00493916" w:rsidRDefault="00493916" w:rsidP="00493916">
            <w:pPr>
              <w:autoSpaceDE w:val="0"/>
              <w:autoSpaceDN w:val="0"/>
              <w:adjustRightInd w:val="0"/>
              <w:rPr>
                <w:rFonts w:ascii="Times New Roman" w:hAnsi="Times New Roman"/>
                <w:sz w:val="26"/>
                <w:szCs w:val="26"/>
              </w:rPr>
            </w:pPr>
            <w:r w:rsidRPr="00493916">
              <w:rPr>
                <w:rFonts w:ascii="Times New Roman" w:hAnsi="Times New Roman"/>
                <w:sz w:val="26"/>
                <w:szCs w:val="26"/>
              </w:rPr>
              <w:t>Joseph P. Serio</w:t>
            </w:r>
          </w:p>
          <w:p w:rsidR="00493916" w:rsidRPr="00493916" w:rsidRDefault="00493916" w:rsidP="00493916">
            <w:pPr>
              <w:autoSpaceDE w:val="0"/>
              <w:autoSpaceDN w:val="0"/>
              <w:adjustRightInd w:val="0"/>
              <w:rPr>
                <w:rFonts w:ascii="Times New Roman" w:hAnsi="Times New Roman"/>
                <w:sz w:val="26"/>
                <w:szCs w:val="26"/>
              </w:rPr>
            </w:pPr>
            <w:r w:rsidRPr="00493916">
              <w:rPr>
                <w:rFonts w:ascii="Times New Roman" w:hAnsi="Times New Roman"/>
                <w:sz w:val="26"/>
                <w:szCs w:val="26"/>
              </w:rPr>
              <w:t>Larry S. Sauer</w:t>
            </w:r>
          </w:p>
          <w:p w:rsidR="00493916" w:rsidRPr="00493916" w:rsidRDefault="00493916" w:rsidP="00493916">
            <w:pPr>
              <w:autoSpaceDE w:val="0"/>
              <w:autoSpaceDN w:val="0"/>
              <w:adjustRightInd w:val="0"/>
              <w:rPr>
                <w:rFonts w:ascii="Times New Roman" w:hAnsi="Times New Roman"/>
                <w:sz w:val="26"/>
                <w:szCs w:val="26"/>
              </w:rPr>
            </w:pPr>
            <w:r w:rsidRPr="00493916">
              <w:rPr>
                <w:rFonts w:ascii="Times New Roman" w:hAnsi="Times New Roman"/>
                <w:sz w:val="26"/>
                <w:szCs w:val="26"/>
              </w:rPr>
              <w:t>Kyle L. Verrett</w:t>
            </w:r>
          </w:p>
          <w:p w:rsidR="00493916" w:rsidRPr="00493916" w:rsidRDefault="00493916" w:rsidP="00493916">
            <w:pPr>
              <w:autoSpaceDE w:val="0"/>
              <w:autoSpaceDN w:val="0"/>
              <w:adjustRightInd w:val="0"/>
              <w:rPr>
                <w:rFonts w:ascii="Times New Roman" w:hAnsi="Times New Roman"/>
                <w:sz w:val="26"/>
                <w:szCs w:val="26"/>
              </w:rPr>
            </w:pPr>
            <w:r w:rsidRPr="00493916">
              <w:rPr>
                <w:rFonts w:ascii="Times New Roman" w:hAnsi="Times New Roman"/>
                <w:sz w:val="26"/>
                <w:szCs w:val="26"/>
              </w:rPr>
              <w:t>Assistant Consumers' Counsel</w:t>
            </w:r>
          </w:p>
          <w:p w:rsidR="00493916" w:rsidRPr="00493916" w:rsidRDefault="00493916" w:rsidP="00493916">
            <w:pPr>
              <w:autoSpaceDE w:val="0"/>
              <w:autoSpaceDN w:val="0"/>
              <w:adjustRightInd w:val="0"/>
              <w:rPr>
                <w:rFonts w:ascii="Times New Roman" w:hAnsi="Times New Roman"/>
                <w:sz w:val="26"/>
                <w:szCs w:val="26"/>
              </w:rPr>
            </w:pPr>
            <w:r w:rsidRPr="00493916">
              <w:rPr>
                <w:rFonts w:ascii="Times New Roman" w:hAnsi="Times New Roman"/>
                <w:sz w:val="26"/>
                <w:szCs w:val="26"/>
              </w:rPr>
              <w:t>Office of the Ohio Consumers' Counsel</w:t>
            </w:r>
          </w:p>
          <w:p w:rsidR="00493916" w:rsidRPr="00493916" w:rsidRDefault="00493916" w:rsidP="00493916">
            <w:pPr>
              <w:autoSpaceDE w:val="0"/>
              <w:autoSpaceDN w:val="0"/>
              <w:adjustRightInd w:val="0"/>
              <w:rPr>
                <w:rFonts w:ascii="Times New Roman" w:hAnsi="Times New Roman"/>
                <w:sz w:val="26"/>
                <w:szCs w:val="26"/>
              </w:rPr>
            </w:pPr>
            <w:r w:rsidRPr="00493916">
              <w:rPr>
                <w:rFonts w:ascii="Times New Roman" w:hAnsi="Times New Roman"/>
                <w:sz w:val="26"/>
                <w:szCs w:val="26"/>
              </w:rPr>
              <w:t>10 West Broad Street, Suite 1800</w:t>
            </w:r>
          </w:p>
          <w:p w:rsidR="00493916" w:rsidRPr="00493916" w:rsidRDefault="00493916" w:rsidP="00493916">
            <w:pPr>
              <w:autoSpaceDE w:val="0"/>
              <w:autoSpaceDN w:val="0"/>
              <w:adjustRightInd w:val="0"/>
              <w:rPr>
                <w:rFonts w:ascii="Times New Roman" w:hAnsi="Times New Roman"/>
                <w:sz w:val="26"/>
                <w:szCs w:val="26"/>
              </w:rPr>
            </w:pPr>
            <w:r w:rsidRPr="00493916">
              <w:rPr>
                <w:rFonts w:ascii="Times New Roman" w:hAnsi="Times New Roman"/>
                <w:sz w:val="26"/>
                <w:szCs w:val="26"/>
              </w:rPr>
              <w:t>Columbus, Ohio 43215-3485</w:t>
            </w:r>
          </w:p>
          <w:p w:rsidR="00774E36" w:rsidRDefault="00807B84" w:rsidP="00493916">
            <w:pPr>
              <w:autoSpaceDE w:val="0"/>
              <w:autoSpaceDN w:val="0"/>
              <w:adjustRightInd w:val="0"/>
              <w:rPr>
                <w:rFonts w:ascii="Times New Roman" w:hAnsi="Times New Roman"/>
                <w:sz w:val="26"/>
                <w:szCs w:val="26"/>
              </w:rPr>
            </w:pPr>
            <w:hyperlink r:id="rId23" w:history="1">
              <w:r w:rsidR="00774E36" w:rsidRPr="00D519A5">
                <w:rPr>
                  <w:rStyle w:val="Hyperlink"/>
                  <w:rFonts w:ascii="Times New Roman" w:hAnsi="Times New Roman"/>
                  <w:sz w:val="26"/>
                  <w:szCs w:val="26"/>
                </w:rPr>
                <w:t>serio@occ.state.oh.us</w:t>
              </w:r>
            </w:hyperlink>
          </w:p>
          <w:p w:rsidR="00493916" w:rsidRDefault="00807B84" w:rsidP="00493916">
            <w:pPr>
              <w:autoSpaceDE w:val="0"/>
              <w:autoSpaceDN w:val="0"/>
              <w:adjustRightInd w:val="0"/>
              <w:rPr>
                <w:rFonts w:ascii="Times New Roman" w:hAnsi="Times New Roman"/>
                <w:sz w:val="26"/>
                <w:szCs w:val="26"/>
              </w:rPr>
            </w:pPr>
            <w:hyperlink r:id="rId24" w:history="1">
              <w:r w:rsidR="00774E36" w:rsidRPr="00D519A5">
                <w:rPr>
                  <w:rStyle w:val="Hyperlink"/>
                  <w:rFonts w:ascii="Times New Roman" w:hAnsi="Times New Roman"/>
                  <w:sz w:val="26"/>
                  <w:szCs w:val="26"/>
                </w:rPr>
                <w:t>sauer@occ.state.oh.us</w:t>
              </w:r>
            </w:hyperlink>
          </w:p>
          <w:p w:rsidR="00774E36" w:rsidRDefault="00807B84" w:rsidP="00493916">
            <w:pPr>
              <w:autoSpaceDE w:val="0"/>
              <w:autoSpaceDN w:val="0"/>
              <w:adjustRightInd w:val="0"/>
              <w:rPr>
                <w:rFonts w:ascii="Times New Roman" w:hAnsi="Times New Roman"/>
                <w:sz w:val="26"/>
                <w:szCs w:val="26"/>
              </w:rPr>
            </w:pPr>
            <w:hyperlink r:id="rId25" w:history="1">
              <w:r w:rsidR="00774E36" w:rsidRPr="00D519A5">
                <w:rPr>
                  <w:rStyle w:val="Hyperlink"/>
                  <w:rFonts w:ascii="Times New Roman" w:hAnsi="Times New Roman"/>
                  <w:sz w:val="26"/>
                  <w:szCs w:val="26"/>
                </w:rPr>
                <w:t>verrett@occ.state.oh.us</w:t>
              </w:r>
            </w:hyperlink>
          </w:p>
          <w:p w:rsidR="00774E36" w:rsidRDefault="00774E36" w:rsidP="00493916">
            <w:pPr>
              <w:autoSpaceDE w:val="0"/>
              <w:autoSpaceDN w:val="0"/>
              <w:adjustRightInd w:val="0"/>
              <w:rPr>
                <w:rFonts w:ascii="Times New Roman" w:hAnsi="Times New Roman"/>
                <w:sz w:val="26"/>
                <w:szCs w:val="26"/>
              </w:rPr>
            </w:pPr>
          </w:p>
          <w:p w:rsidR="00774E36" w:rsidRPr="00493916" w:rsidRDefault="00774E36" w:rsidP="00774E36">
            <w:pPr>
              <w:autoSpaceDE w:val="0"/>
              <w:autoSpaceDN w:val="0"/>
              <w:adjustRightInd w:val="0"/>
              <w:rPr>
                <w:rFonts w:ascii="Times New Roman" w:hAnsi="Times New Roman"/>
                <w:sz w:val="26"/>
                <w:szCs w:val="26"/>
              </w:rPr>
            </w:pPr>
            <w:r w:rsidRPr="00493916">
              <w:rPr>
                <w:rFonts w:ascii="Times New Roman" w:hAnsi="Times New Roman"/>
                <w:sz w:val="26"/>
                <w:szCs w:val="26"/>
              </w:rPr>
              <w:t>Todd M. Smith</w:t>
            </w:r>
          </w:p>
          <w:p w:rsidR="00774E36" w:rsidRPr="00493916" w:rsidRDefault="00774E36" w:rsidP="00774E36">
            <w:pPr>
              <w:autoSpaceDE w:val="0"/>
              <w:autoSpaceDN w:val="0"/>
              <w:adjustRightInd w:val="0"/>
              <w:rPr>
                <w:rFonts w:ascii="Times New Roman" w:hAnsi="Times New Roman"/>
                <w:sz w:val="26"/>
                <w:szCs w:val="26"/>
              </w:rPr>
            </w:pPr>
            <w:r w:rsidRPr="00493916">
              <w:rPr>
                <w:rFonts w:ascii="Times New Roman" w:hAnsi="Times New Roman"/>
                <w:sz w:val="26"/>
                <w:szCs w:val="26"/>
              </w:rPr>
              <w:t>Schwarzwald McNair &amp; Fuso LLP</w:t>
            </w:r>
          </w:p>
          <w:p w:rsidR="00774E36" w:rsidRPr="00493916" w:rsidRDefault="00774E36" w:rsidP="00774E36">
            <w:pPr>
              <w:autoSpaceDE w:val="0"/>
              <w:autoSpaceDN w:val="0"/>
              <w:adjustRightInd w:val="0"/>
              <w:rPr>
                <w:rFonts w:ascii="Times New Roman" w:hAnsi="Times New Roman"/>
                <w:sz w:val="26"/>
                <w:szCs w:val="26"/>
              </w:rPr>
            </w:pPr>
            <w:r w:rsidRPr="00493916">
              <w:rPr>
                <w:rFonts w:ascii="Times New Roman" w:hAnsi="Times New Roman"/>
                <w:sz w:val="26"/>
                <w:szCs w:val="26"/>
              </w:rPr>
              <w:t>616 Penton Media Building</w:t>
            </w:r>
          </w:p>
          <w:p w:rsidR="00774E36" w:rsidRPr="00493916" w:rsidRDefault="00774E36" w:rsidP="00774E36">
            <w:pPr>
              <w:autoSpaceDE w:val="0"/>
              <w:autoSpaceDN w:val="0"/>
              <w:adjustRightInd w:val="0"/>
              <w:rPr>
                <w:rFonts w:ascii="Times New Roman" w:hAnsi="Times New Roman"/>
                <w:sz w:val="26"/>
                <w:szCs w:val="26"/>
              </w:rPr>
            </w:pPr>
            <w:r w:rsidRPr="00493916">
              <w:rPr>
                <w:rFonts w:ascii="Times New Roman" w:hAnsi="Times New Roman"/>
                <w:sz w:val="26"/>
                <w:szCs w:val="26"/>
              </w:rPr>
              <w:t>300 East Ninth Street</w:t>
            </w:r>
          </w:p>
          <w:p w:rsidR="00774E36" w:rsidRPr="00493916" w:rsidRDefault="00774E36" w:rsidP="00774E36">
            <w:pPr>
              <w:autoSpaceDE w:val="0"/>
              <w:autoSpaceDN w:val="0"/>
              <w:adjustRightInd w:val="0"/>
              <w:rPr>
                <w:rFonts w:ascii="Times New Roman" w:hAnsi="Times New Roman"/>
                <w:sz w:val="26"/>
                <w:szCs w:val="26"/>
              </w:rPr>
            </w:pPr>
            <w:r w:rsidRPr="00493916">
              <w:rPr>
                <w:rFonts w:ascii="Times New Roman" w:hAnsi="Times New Roman"/>
                <w:sz w:val="26"/>
                <w:szCs w:val="26"/>
              </w:rPr>
              <w:t>Cleveland, Ohio 44114</w:t>
            </w:r>
          </w:p>
          <w:p w:rsidR="00774E36" w:rsidRDefault="00807B84" w:rsidP="00774E36">
            <w:pPr>
              <w:autoSpaceDE w:val="0"/>
              <w:autoSpaceDN w:val="0"/>
              <w:adjustRightInd w:val="0"/>
              <w:rPr>
                <w:rFonts w:ascii="Times New Roman" w:hAnsi="Times New Roman"/>
                <w:sz w:val="26"/>
                <w:szCs w:val="26"/>
              </w:rPr>
            </w:pPr>
            <w:hyperlink r:id="rId26" w:history="1">
              <w:r w:rsidR="00774E36" w:rsidRPr="00D519A5">
                <w:rPr>
                  <w:rStyle w:val="Hyperlink"/>
                  <w:rFonts w:ascii="Times New Roman" w:hAnsi="Times New Roman"/>
                  <w:sz w:val="26"/>
                  <w:szCs w:val="26"/>
                </w:rPr>
                <w:t>tsmith@smcnlaw.com</w:t>
              </w:r>
            </w:hyperlink>
          </w:p>
          <w:p w:rsidR="00774E36" w:rsidRPr="00493916" w:rsidRDefault="00774E36" w:rsidP="00774E36">
            <w:pPr>
              <w:autoSpaceDE w:val="0"/>
              <w:autoSpaceDN w:val="0"/>
              <w:adjustRightInd w:val="0"/>
              <w:rPr>
                <w:rFonts w:ascii="Times New Roman" w:hAnsi="Times New Roman"/>
                <w:sz w:val="26"/>
                <w:szCs w:val="26"/>
              </w:rPr>
            </w:pPr>
          </w:p>
          <w:p w:rsidR="00493916" w:rsidRPr="00493916" w:rsidRDefault="00493916" w:rsidP="00493916">
            <w:pPr>
              <w:autoSpaceDE w:val="0"/>
              <w:autoSpaceDN w:val="0"/>
              <w:adjustRightInd w:val="0"/>
              <w:rPr>
                <w:rFonts w:ascii="Times New Roman" w:hAnsi="Times New Roman"/>
                <w:sz w:val="26"/>
                <w:szCs w:val="26"/>
              </w:rPr>
            </w:pPr>
          </w:p>
        </w:tc>
      </w:tr>
    </w:tbl>
    <w:p w:rsidR="00493916" w:rsidRPr="00493916" w:rsidRDefault="00493916" w:rsidP="00493916"/>
    <w:sectPr w:rsidR="00493916" w:rsidRPr="00493916" w:rsidSect="0095004E">
      <w:headerReference w:type="default" r:id="rId27"/>
      <w:footerReference w:type="default" r:id="rId28"/>
      <w:headerReference w:type="first" r:id="rId29"/>
      <w:footerReference w:type="first" r:id="rId3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D6" w:rsidRDefault="005471D6" w:rsidP="001C70C8">
      <w:pPr>
        <w:spacing w:after="0" w:line="240" w:lineRule="auto"/>
      </w:pPr>
      <w:r>
        <w:separator/>
      </w:r>
    </w:p>
  </w:endnote>
  <w:endnote w:type="continuationSeparator" w:id="0">
    <w:p w:rsidR="005471D6" w:rsidRDefault="005471D6" w:rsidP="001C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288639"/>
      <w:docPartObj>
        <w:docPartGallery w:val="Page Numbers (Bottom of Page)"/>
        <w:docPartUnique/>
      </w:docPartObj>
    </w:sdtPr>
    <w:sdtEndPr>
      <w:rPr>
        <w:rFonts w:ascii="Times New Roman" w:hAnsi="Times New Roman"/>
        <w:noProof/>
        <w:sz w:val="26"/>
        <w:szCs w:val="26"/>
      </w:rPr>
    </w:sdtEndPr>
    <w:sdtContent>
      <w:p w:rsidR="005471D6" w:rsidRPr="0095004E" w:rsidRDefault="005471D6">
        <w:pPr>
          <w:pStyle w:val="Footer"/>
          <w:jc w:val="center"/>
          <w:rPr>
            <w:rFonts w:ascii="Times New Roman" w:hAnsi="Times New Roman"/>
            <w:sz w:val="26"/>
            <w:szCs w:val="26"/>
          </w:rPr>
        </w:pPr>
        <w:r w:rsidRPr="0095004E">
          <w:rPr>
            <w:rFonts w:ascii="Times New Roman" w:hAnsi="Times New Roman"/>
            <w:sz w:val="26"/>
            <w:szCs w:val="26"/>
          </w:rPr>
          <w:fldChar w:fldCharType="begin"/>
        </w:r>
        <w:r w:rsidRPr="0095004E">
          <w:rPr>
            <w:rFonts w:ascii="Times New Roman" w:hAnsi="Times New Roman"/>
            <w:sz w:val="26"/>
            <w:szCs w:val="26"/>
          </w:rPr>
          <w:instrText xml:space="preserve"> PAGE   \* MERGEFORMAT </w:instrText>
        </w:r>
        <w:r w:rsidRPr="0095004E">
          <w:rPr>
            <w:rFonts w:ascii="Times New Roman" w:hAnsi="Times New Roman"/>
            <w:sz w:val="26"/>
            <w:szCs w:val="26"/>
          </w:rPr>
          <w:fldChar w:fldCharType="separate"/>
        </w:r>
        <w:r w:rsidR="00807B84">
          <w:rPr>
            <w:rFonts w:ascii="Times New Roman" w:hAnsi="Times New Roman"/>
            <w:noProof/>
            <w:sz w:val="26"/>
            <w:szCs w:val="26"/>
          </w:rPr>
          <w:t>i</w:t>
        </w:r>
        <w:r w:rsidRPr="0095004E">
          <w:rPr>
            <w:rFonts w:ascii="Times New Roman" w:hAnsi="Times New Roman"/>
            <w:noProof/>
            <w:sz w:val="26"/>
            <w:szCs w:val="26"/>
          </w:rPr>
          <w:fldChar w:fldCharType="end"/>
        </w:r>
      </w:p>
    </w:sdtContent>
  </w:sdt>
  <w:p w:rsidR="005471D6" w:rsidRDefault="00547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121585"/>
      <w:docPartObj>
        <w:docPartGallery w:val="Page Numbers (Bottom of Page)"/>
        <w:docPartUnique/>
      </w:docPartObj>
    </w:sdtPr>
    <w:sdtEndPr>
      <w:rPr>
        <w:rFonts w:ascii="Times New Roman" w:hAnsi="Times New Roman"/>
        <w:noProof/>
        <w:sz w:val="26"/>
        <w:szCs w:val="26"/>
      </w:rPr>
    </w:sdtEndPr>
    <w:sdtContent>
      <w:p w:rsidR="005471D6" w:rsidRPr="00F952B8" w:rsidRDefault="005471D6" w:rsidP="00F952B8">
        <w:pPr>
          <w:pStyle w:val="Footer"/>
          <w:jc w:val="center"/>
          <w:rPr>
            <w:rFonts w:ascii="Times New Roman" w:hAnsi="Times New Roman"/>
            <w:sz w:val="26"/>
            <w:szCs w:val="26"/>
          </w:rPr>
        </w:pPr>
        <w:r w:rsidRPr="0095004E">
          <w:rPr>
            <w:rFonts w:ascii="Times New Roman" w:hAnsi="Times New Roman"/>
            <w:sz w:val="26"/>
            <w:szCs w:val="26"/>
          </w:rPr>
          <w:fldChar w:fldCharType="begin"/>
        </w:r>
        <w:r w:rsidRPr="0095004E">
          <w:rPr>
            <w:rFonts w:ascii="Times New Roman" w:hAnsi="Times New Roman"/>
            <w:sz w:val="26"/>
            <w:szCs w:val="26"/>
          </w:rPr>
          <w:instrText xml:space="preserve"> PAGE   \* MERGEFORMAT </w:instrText>
        </w:r>
        <w:r w:rsidRPr="0095004E">
          <w:rPr>
            <w:rFonts w:ascii="Times New Roman" w:hAnsi="Times New Roman"/>
            <w:sz w:val="26"/>
            <w:szCs w:val="26"/>
          </w:rPr>
          <w:fldChar w:fldCharType="separate"/>
        </w:r>
        <w:r w:rsidR="00962BCA">
          <w:rPr>
            <w:rFonts w:ascii="Times New Roman" w:hAnsi="Times New Roman"/>
            <w:noProof/>
            <w:sz w:val="26"/>
            <w:szCs w:val="26"/>
          </w:rPr>
          <w:t>ii</w:t>
        </w:r>
        <w:r w:rsidRPr="0095004E">
          <w:rPr>
            <w:rFonts w:ascii="Times New Roman" w:hAnsi="Times New Roman"/>
            <w:noProof/>
            <w:sz w:val="26"/>
            <w:szCs w:val="2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748372"/>
      <w:docPartObj>
        <w:docPartGallery w:val="Page Numbers (Bottom of Page)"/>
        <w:docPartUnique/>
      </w:docPartObj>
    </w:sdtPr>
    <w:sdtEndPr>
      <w:rPr>
        <w:noProof/>
      </w:rPr>
    </w:sdtEndPr>
    <w:sdtContent>
      <w:p w:rsidR="005471D6" w:rsidRPr="00F952B8" w:rsidRDefault="005471D6" w:rsidP="00F952B8">
        <w:pPr>
          <w:pStyle w:val="Footer"/>
          <w:jc w:val="center"/>
          <w:rPr>
            <w:rFonts w:ascii="Times New Roman" w:hAnsi="Times New Roman"/>
            <w:sz w:val="24"/>
            <w:szCs w:val="24"/>
          </w:rPr>
        </w:pPr>
        <w:r w:rsidRPr="00F952B8">
          <w:rPr>
            <w:rFonts w:ascii="Times New Roman" w:hAnsi="Times New Roman"/>
            <w:sz w:val="24"/>
            <w:szCs w:val="24"/>
          </w:rPr>
          <w:fldChar w:fldCharType="begin"/>
        </w:r>
        <w:r w:rsidRPr="00F952B8">
          <w:rPr>
            <w:rFonts w:ascii="Times New Roman" w:hAnsi="Times New Roman"/>
            <w:sz w:val="24"/>
            <w:szCs w:val="24"/>
          </w:rPr>
          <w:instrText xml:space="preserve"> PAGE   \* MERGEFORMAT </w:instrText>
        </w:r>
        <w:r w:rsidRPr="00F952B8">
          <w:rPr>
            <w:rFonts w:ascii="Times New Roman" w:hAnsi="Times New Roman"/>
            <w:sz w:val="24"/>
            <w:szCs w:val="24"/>
          </w:rPr>
          <w:fldChar w:fldCharType="separate"/>
        </w:r>
        <w:r w:rsidR="00807B84">
          <w:rPr>
            <w:rFonts w:ascii="Times New Roman" w:hAnsi="Times New Roman"/>
            <w:noProof/>
            <w:sz w:val="24"/>
            <w:szCs w:val="24"/>
          </w:rPr>
          <w:t>i</w:t>
        </w:r>
        <w:r w:rsidRPr="00F952B8">
          <w:rPr>
            <w:rFonts w:ascii="Times New Roman" w:hAnsi="Times New Roman"/>
            <w:noProof/>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58911"/>
      <w:docPartObj>
        <w:docPartGallery w:val="Page Numbers (Bottom of Page)"/>
        <w:docPartUnique/>
      </w:docPartObj>
    </w:sdtPr>
    <w:sdtEndPr>
      <w:rPr>
        <w:rFonts w:ascii="Times New Roman" w:hAnsi="Times New Roman"/>
        <w:noProof/>
        <w:sz w:val="26"/>
        <w:szCs w:val="26"/>
      </w:rPr>
    </w:sdtEndPr>
    <w:sdtContent>
      <w:p w:rsidR="005471D6" w:rsidRPr="00F952B8" w:rsidRDefault="005471D6" w:rsidP="00F952B8">
        <w:pPr>
          <w:pStyle w:val="Footer"/>
          <w:jc w:val="center"/>
          <w:rPr>
            <w:rFonts w:ascii="Times New Roman" w:hAnsi="Times New Roman"/>
            <w:sz w:val="26"/>
            <w:szCs w:val="26"/>
          </w:rPr>
        </w:pPr>
        <w:r w:rsidRPr="0095004E">
          <w:rPr>
            <w:rFonts w:ascii="Times New Roman" w:hAnsi="Times New Roman"/>
            <w:sz w:val="26"/>
            <w:szCs w:val="26"/>
          </w:rPr>
          <w:fldChar w:fldCharType="begin"/>
        </w:r>
        <w:r w:rsidRPr="0095004E">
          <w:rPr>
            <w:rFonts w:ascii="Times New Roman" w:hAnsi="Times New Roman"/>
            <w:sz w:val="26"/>
            <w:szCs w:val="26"/>
          </w:rPr>
          <w:instrText xml:space="preserve"> PAGE   \* MERGEFORMAT </w:instrText>
        </w:r>
        <w:r w:rsidRPr="0095004E">
          <w:rPr>
            <w:rFonts w:ascii="Times New Roman" w:hAnsi="Times New Roman"/>
            <w:sz w:val="26"/>
            <w:szCs w:val="26"/>
          </w:rPr>
          <w:fldChar w:fldCharType="separate"/>
        </w:r>
        <w:r w:rsidR="00807B84">
          <w:rPr>
            <w:rFonts w:ascii="Times New Roman" w:hAnsi="Times New Roman"/>
            <w:noProof/>
            <w:sz w:val="26"/>
            <w:szCs w:val="26"/>
          </w:rPr>
          <w:t>23</w:t>
        </w:r>
        <w:r w:rsidRPr="0095004E">
          <w:rPr>
            <w:rFonts w:ascii="Times New Roman" w:hAnsi="Times New Roman"/>
            <w:noProof/>
            <w:sz w:val="26"/>
            <w:szCs w:val="2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6" w:rsidRPr="00F952B8" w:rsidRDefault="005471D6" w:rsidP="00F95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D6" w:rsidRDefault="005471D6" w:rsidP="001C70C8">
      <w:pPr>
        <w:spacing w:after="0" w:line="240" w:lineRule="auto"/>
      </w:pPr>
      <w:r>
        <w:separator/>
      </w:r>
    </w:p>
  </w:footnote>
  <w:footnote w:type="continuationSeparator" w:id="0">
    <w:p w:rsidR="005471D6" w:rsidRDefault="005471D6" w:rsidP="001C70C8">
      <w:pPr>
        <w:spacing w:after="0" w:line="240" w:lineRule="auto"/>
      </w:pPr>
      <w:r>
        <w:continuationSeparator/>
      </w:r>
    </w:p>
  </w:footnote>
  <w:footnote w:id="1">
    <w:p w:rsidR="005471D6" w:rsidRDefault="005471D6" w:rsidP="005F15EE">
      <w:pPr>
        <w:pStyle w:val="FootnoteText"/>
      </w:pPr>
      <w:r>
        <w:rPr>
          <w:rStyle w:val="FootnoteReference"/>
        </w:rPr>
        <w:footnoteRef/>
      </w:r>
      <w:r>
        <w:t xml:space="preserve"> </w:t>
      </w:r>
      <w:r>
        <w:tab/>
      </w:r>
      <w:r>
        <w:tab/>
      </w:r>
      <w:r w:rsidRPr="005F15EE">
        <w:rPr>
          <w:i/>
        </w:rPr>
        <w:t>In the Matter of the Application of Vectren Energy Delivery of Ohio, Inc., for Authority to Amend its Filed Tariffs to Increase the Rates and Charges for Gas Services and Related Matters</w:t>
      </w:r>
      <w:r>
        <w:t>, Case No. 07-1080-GA-AIR (</w:t>
      </w:r>
      <w:r w:rsidRPr="005F15EE">
        <w:rPr>
          <w:i/>
        </w:rPr>
        <w:t>2007 Rate Case</w:t>
      </w:r>
      <w:r>
        <w:t>) (</w:t>
      </w:r>
      <w:r w:rsidRPr="00B95A11">
        <w:t>Opinion and Order</w:t>
      </w:r>
      <w:r>
        <w:t>) (</w:t>
      </w:r>
      <w:r w:rsidRPr="00B95A11">
        <w:t>Jan</w:t>
      </w:r>
      <w:r>
        <w:t>.</w:t>
      </w:r>
      <w:r w:rsidRPr="00B95A11">
        <w:t xml:space="preserve"> 7, 2009</w:t>
      </w:r>
      <w:r>
        <w:t>)</w:t>
      </w:r>
      <w:r w:rsidRPr="00B95A11">
        <w:t>.</w:t>
      </w:r>
    </w:p>
  </w:footnote>
  <w:footnote w:id="2">
    <w:p w:rsidR="005471D6" w:rsidRDefault="005471D6" w:rsidP="005F15EE">
      <w:pPr>
        <w:pStyle w:val="FootnoteText"/>
      </w:pPr>
      <w:r>
        <w:rPr>
          <w:rStyle w:val="FootnoteReference"/>
        </w:rPr>
        <w:footnoteRef/>
      </w:r>
      <w:r>
        <w:t xml:space="preserve"> </w:t>
      </w:r>
      <w:r>
        <w:tab/>
      </w:r>
      <w:r>
        <w:tab/>
      </w:r>
      <w:r w:rsidRPr="00A51C4D">
        <w:t xml:space="preserve">The Opinion and Order </w:t>
      </w:r>
      <w:r>
        <w:t xml:space="preserve">in </w:t>
      </w:r>
      <w:r w:rsidRPr="00A51C4D">
        <w:t>Case No. 07-1080</w:t>
      </w:r>
      <w:r>
        <w:t>-GA-AIR</w:t>
      </w:r>
      <w:r w:rsidRPr="00A51C4D">
        <w:t xml:space="preserve"> </w:t>
      </w:r>
      <w:r>
        <w:t xml:space="preserve">(issued January 7, 2009) </w:t>
      </w:r>
      <w:r w:rsidRPr="00A51C4D">
        <w:t>authorized the DRR for a five year period from the effective date of rates filed in Case No. 07-1081-GA-AL</w:t>
      </w:r>
      <w:r>
        <w:t>T</w:t>
      </w:r>
      <w:r w:rsidRPr="00A51C4D">
        <w:t>, which was Febru</w:t>
      </w:r>
      <w:r w:rsidR="008B417B">
        <w:softHyphen/>
      </w:r>
      <w:r w:rsidRPr="00A51C4D">
        <w:t>ary 22, 2009.</w:t>
      </w:r>
    </w:p>
  </w:footnote>
  <w:footnote w:id="3">
    <w:p w:rsidR="005471D6" w:rsidRPr="003548DA" w:rsidRDefault="005471D6" w:rsidP="005F15EE">
      <w:pPr>
        <w:pStyle w:val="FootnoteText"/>
        <w:rPr>
          <w:highlight w:val="yellow"/>
        </w:rPr>
      </w:pPr>
      <w:r>
        <w:rPr>
          <w:rStyle w:val="FootnoteReference"/>
        </w:rPr>
        <w:footnoteRef/>
      </w:r>
      <w:r>
        <w:t xml:space="preserve"> </w:t>
      </w:r>
      <w:r>
        <w:tab/>
      </w:r>
      <w:r>
        <w:tab/>
      </w:r>
      <w:r w:rsidRPr="005F15EE">
        <w:rPr>
          <w:rFonts w:eastAsia="Calibri"/>
          <w:i/>
        </w:rPr>
        <w:t>In the Matter of the Application of Vectren Energy Delivery of Ohio, Inc. for Approval of an Alterna</w:t>
      </w:r>
      <w:r w:rsidR="008B417B">
        <w:rPr>
          <w:rFonts w:eastAsia="Calibri"/>
          <w:i/>
        </w:rPr>
        <w:softHyphen/>
      </w:r>
      <w:r w:rsidRPr="005F15EE">
        <w:rPr>
          <w:rFonts w:eastAsia="Calibri"/>
          <w:i/>
        </w:rPr>
        <w:t>tive Form of Regulation</w:t>
      </w:r>
      <w:r>
        <w:rPr>
          <w:rFonts w:eastAsia="Calibri"/>
        </w:rPr>
        <w:t>, Case No. 13-1571-GA-ALT</w:t>
      </w:r>
      <w:r w:rsidRPr="00E552D6">
        <w:rPr>
          <w:rFonts w:eastAsia="Calibri"/>
        </w:rPr>
        <w:t xml:space="preserve"> </w:t>
      </w:r>
      <w:r>
        <w:rPr>
          <w:rFonts w:eastAsia="Calibri"/>
        </w:rPr>
        <w:t>(</w:t>
      </w:r>
      <w:r>
        <w:rPr>
          <w:rFonts w:eastAsia="Calibri"/>
          <w:i/>
        </w:rPr>
        <w:t>In re VEDO</w:t>
      </w:r>
      <w:r>
        <w:rPr>
          <w:rFonts w:eastAsia="Calibri"/>
        </w:rPr>
        <w:t xml:space="preserve">) </w:t>
      </w:r>
      <w:r w:rsidRPr="00E552D6">
        <w:rPr>
          <w:rFonts w:eastAsia="Calibri"/>
        </w:rPr>
        <w:t>(</w:t>
      </w:r>
      <w:r>
        <w:rPr>
          <w:rFonts w:eastAsia="Calibri"/>
        </w:rPr>
        <w:t>Application at 3-4) (Aug. 22</w:t>
      </w:r>
      <w:r w:rsidRPr="00E552D6">
        <w:rPr>
          <w:rFonts w:eastAsia="Calibri"/>
        </w:rPr>
        <w:t>, 2013).</w:t>
      </w:r>
    </w:p>
  </w:footnote>
  <w:footnote w:id="4">
    <w:p w:rsidR="005471D6" w:rsidRPr="000B7A9D" w:rsidRDefault="005471D6" w:rsidP="005F15EE">
      <w:pPr>
        <w:pStyle w:val="FootnoteText"/>
      </w:pPr>
      <w:r w:rsidRPr="000B7A9D">
        <w:rPr>
          <w:rStyle w:val="FootnoteReference"/>
          <w:szCs w:val="24"/>
        </w:rPr>
        <w:footnoteRef/>
      </w:r>
      <w:r>
        <w:tab/>
      </w:r>
      <w:r>
        <w:tab/>
      </w:r>
      <w:r w:rsidRPr="00FE19AB">
        <w:t>I</w:t>
      </w:r>
      <w:r w:rsidRPr="005F15EE">
        <w:rPr>
          <w:i/>
        </w:rPr>
        <w:t>n the Matter of the Application of Vectren Energy Delivery of Ohio, Inc. for Authority to Adjust its Distribution Replacement Rider Charges</w:t>
      </w:r>
      <w:r>
        <w:t xml:space="preserve"> (</w:t>
      </w:r>
      <w:r w:rsidRPr="005F15EE">
        <w:rPr>
          <w:i/>
        </w:rPr>
        <w:t>2012 DRR Case</w:t>
      </w:r>
      <w:r>
        <w:t>), Case No. 12-1423-GA-RDR</w:t>
      </w:r>
      <w:r w:rsidRPr="000B7A9D">
        <w:t>.</w:t>
      </w:r>
    </w:p>
  </w:footnote>
  <w:footnote w:id="5">
    <w:p w:rsidR="005471D6" w:rsidRPr="000B7A9D" w:rsidRDefault="005471D6" w:rsidP="005F15EE">
      <w:pPr>
        <w:pStyle w:val="FootnoteText"/>
      </w:pPr>
      <w:r w:rsidRPr="000B7A9D">
        <w:rPr>
          <w:rStyle w:val="FootnoteReference"/>
          <w:szCs w:val="24"/>
        </w:rPr>
        <w:footnoteRef/>
      </w:r>
      <w:r w:rsidRPr="000B7A9D">
        <w:t xml:space="preserve"> </w:t>
      </w:r>
      <w:r>
        <w:tab/>
      </w:r>
      <w:r>
        <w:tab/>
      </w:r>
      <w:r w:rsidRPr="000B7A9D">
        <w:t xml:space="preserve">The pre-tax rate of return is 11.67% as established in </w:t>
      </w:r>
      <w:r>
        <w:t xml:space="preserve">Case No. 07-1080-GA-AIR. </w:t>
      </w:r>
    </w:p>
  </w:footnote>
  <w:footnote w:id="6">
    <w:p w:rsidR="005471D6" w:rsidRPr="000B7A9D" w:rsidRDefault="005471D6" w:rsidP="005F15EE">
      <w:pPr>
        <w:pStyle w:val="FootnoteText"/>
      </w:pPr>
      <w:r w:rsidRPr="000B7A9D">
        <w:rPr>
          <w:rStyle w:val="FootnoteReference"/>
          <w:szCs w:val="24"/>
        </w:rPr>
        <w:footnoteRef/>
      </w:r>
      <w:r w:rsidRPr="000B7A9D">
        <w:t xml:space="preserve"> </w:t>
      </w:r>
      <w:r>
        <w:tab/>
      </w:r>
      <w:r>
        <w:tab/>
      </w:r>
      <w:r w:rsidRPr="000B7A9D">
        <w:t>The initial DRR rate for recovery VEDO’s actual deferred costs of its riser investigation as of July 2008 was in effect from March 1, 2009 through February 28, 2010.  The DRR was reset to zero effective March 1, 2010.</w:t>
      </w:r>
    </w:p>
  </w:footnote>
  <w:footnote w:id="7">
    <w:p w:rsidR="005471D6" w:rsidRPr="0096103C" w:rsidRDefault="005471D6" w:rsidP="00386684">
      <w:pPr>
        <w:autoSpaceDE w:val="0"/>
        <w:autoSpaceDN w:val="0"/>
        <w:adjustRightInd w:val="0"/>
        <w:ind w:left="720" w:hanging="720"/>
        <w:rPr>
          <w:sz w:val="26"/>
          <w:szCs w:val="26"/>
        </w:rPr>
      </w:pPr>
      <w:r w:rsidRPr="005676CB">
        <w:rPr>
          <w:rStyle w:val="FootnoteReference"/>
          <w:rFonts w:ascii="Times New Roman" w:eastAsiaTheme="majorEastAsia" w:hAnsi="Times New Roman"/>
          <w:sz w:val="20"/>
          <w:szCs w:val="20"/>
        </w:rPr>
        <w:footnoteRef/>
      </w:r>
      <w:r>
        <w:rPr>
          <w:sz w:val="24"/>
          <w:szCs w:val="24"/>
        </w:rPr>
        <w:tab/>
      </w:r>
      <w:r>
        <w:rPr>
          <w:sz w:val="24"/>
          <w:szCs w:val="24"/>
        </w:rPr>
        <w:tab/>
      </w:r>
      <w:r w:rsidRPr="005676CB">
        <w:rPr>
          <w:rFonts w:ascii="Times New Roman" w:hAnsi="Times New Roman"/>
          <w:i/>
          <w:sz w:val="20"/>
          <w:szCs w:val="20"/>
        </w:rPr>
        <w:t>2007 Rate Case</w:t>
      </w:r>
      <w:r w:rsidRPr="005676CB">
        <w:rPr>
          <w:rFonts w:ascii="Times New Roman" w:hAnsi="Times New Roman"/>
          <w:sz w:val="20"/>
          <w:szCs w:val="20"/>
        </w:rPr>
        <w:t xml:space="preserve"> (Stipulation and Recommendation at 8-14) (Aug. 17, 2010).</w:t>
      </w:r>
    </w:p>
  </w:footnote>
  <w:footnote w:id="8">
    <w:p w:rsidR="005471D6" w:rsidRDefault="005471D6" w:rsidP="005F15EE">
      <w:pPr>
        <w:pStyle w:val="FootnoteText"/>
      </w:pPr>
      <w:r>
        <w:rPr>
          <w:rStyle w:val="FootnoteReference"/>
        </w:rPr>
        <w:footnoteRef/>
      </w:r>
      <w:r>
        <w:t xml:space="preserve"> </w:t>
      </w:r>
      <w:r>
        <w:tab/>
      </w:r>
      <w:r>
        <w:tab/>
      </w:r>
      <w:r w:rsidRPr="005676CB">
        <w:rPr>
          <w:rFonts w:eastAsia="Calibri"/>
          <w:i/>
        </w:rPr>
        <w:t xml:space="preserve">In re VEDO </w:t>
      </w:r>
      <w:r w:rsidRPr="005676CB">
        <w:rPr>
          <w:rFonts w:eastAsia="Calibri"/>
        </w:rPr>
        <w:t>(</w:t>
      </w:r>
      <w:r w:rsidRPr="005676CB">
        <w:t>Direct Testimony of James M. Francis at Ex. JMF-1) (Aug. 22, 2013).</w:t>
      </w:r>
    </w:p>
  </w:footnote>
  <w:footnote w:id="9">
    <w:p w:rsidR="005471D6" w:rsidRDefault="005471D6" w:rsidP="005F15EE">
      <w:pPr>
        <w:pStyle w:val="FootnoteText"/>
      </w:pPr>
      <w:r>
        <w:rPr>
          <w:rStyle w:val="FootnoteReference"/>
        </w:rPr>
        <w:footnoteRef/>
      </w:r>
      <w:r>
        <w:t xml:space="preserve"> </w:t>
      </w:r>
      <w:r>
        <w:tab/>
      </w:r>
      <w:r>
        <w:tab/>
      </w:r>
      <w:r>
        <w:rPr>
          <w:i/>
        </w:rPr>
        <w:t>In re VEDO</w:t>
      </w:r>
      <w:r>
        <w:t xml:space="preserve"> (Application at 4) (Aug. 22, 2013).</w:t>
      </w:r>
    </w:p>
  </w:footnote>
  <w:footnote w:id="10">
    <w:p w:rsidR="005471D6" w:rsidRDefault="005471D6" w:rsidP="005F15EE">
      <w:pPr>
        <w:pStyle w:val="FootnoteText"/>
      </w:pPr>
      <w:r>
        <w:rPr>
          <w:rStyle w:val="FootnoteReference"/>
        </w:rPr>
        <w:footnoteRef/>
      </w:r>
      <w:r>
        <w:t xml:space="preserve"> </w:t>
      </w:r>
      <w:r>
        <w:tab/>
      </w:r>
      <w:r>
        <w:tab/>
      </w:r>
      <w:r>
        <w:rPr>
          <w:rFonts w:eastAsia="Calibri"/>
          <w:i/>
        </w:rPr>
        <w:t>In re VEDO</w:t>
      </w:r>
      <w:r>
        <w:rPr>
          <w:rFonts w:eastAsia="Calibri"/>
        </w:rPr>
        <w:t xml:space="preserve"> </w:t>
      </w:r>
      <w:r w:rsidRPr="00E552D6">
        <w:rPr>
          <w:rFonts w:eastAsia="Calibri"/>
        </w:rPr>
        <w:t>(</w:t>
      </w:r>
      <w:r>
        <w:rPr>
          <w:rFonts w:eastAsia="Calibri"/>
        </w:rPr>
        <w:t>Application Alternative Rate Plan Exhibits at 2) (Aug. 22</w:t>
      </w:r>
      <w:r w:rsidRPr="00E552D6">
        <w:rPr>
          <w:rFonts w:eastAsia="Calibri"/>
        </w:rPr>
        <w:t>, 2013)</w:t>
      </w:r>
      <w:r>
        <w:rPr>
          <w:rFonts w:eastAsia="Calibri"/>
        </w:rPr>
        <w:t>.</w:t>
      </w:r>
    </w:p>
  </w:footnote>
  <w:footnote w:id="11">
    <w:p w:rsidR="005471D6" w:rsidRPr="00567817" w:rsidRDefault="005471D6" w:rsidP="005F15EE">
      <w:pPr>
        <w:pStyle w:val="FootnoteText"/>
      </w:pPr>
      <w:r>
        <w:rPr>
          <w:rStyle w:val="FootnoteReference"/>
        </w:rPr>
        <w:footnoteRef/>
      </w:r>
      <w:r>
        <w:t xml:space="preserve"> </w:t>
      </w:r>
      <w:r>
        <w:tab/>
      </w:r>
      <w:r w:rsidRPr="00567817">
        <w:tab/>
      </w:r>
      <w:r>
        <w:rPr>
          <w:rFonts w:eastAsia="Calibri"/>
          <w:i/>
        </w:rPr>
        <w:t>In re VEDO</w:t>
      </w:r>
      <w:r>
        <w:rPr>
          <w:rFonts w:eastAsia="Calibri"/>
        </w:rPr>
        <w:t xml:space="preserve"> </w:t>
      </w:r>
      <w:r w:rsidRPr="00E552D6">
        <w:rPr>
          <w:rFonts w:eastAsia="Calibri"/>
        </w:rPr>
        <w:t>(</w:t>
      </w:r>
      <w:r>
        <w:rPr>
          <w:rFonts w:eastAsia="Calibri"/>
        </w:rPr>
        <w:t>Application Alternative Rate Plan Exhibits at 2) (Aug. 22</w:t>
      </w:r>
      <w:r w:rsidRPr="00E552D6">
        <w:rPr>
          <w:rFonts w:eastAsia="Calibri"/>
        </w:rPr>
        <w:t>, 2013)</w:t>
      </w:r>
      <w:r>
        <w:rPr>
          <w:rFonts w:eastAsia="Calibri"/>
        </w:rPr>
        <w:t>.</w:t>
      </w:r>
      <w:r w:rsidRPr="00567817">
        <w:tab/>
      </w:r>
      <w:r w:rsidRPr="00567817">
        <w:tab/>
      </w:r>
    </w:p>
  </w:footnote>
  <w:footnote w:id="12">
    <w:p w:rsidR="005471D6" w:rsidRDefault="005471D6" w:rsidP="005F15EE">
      <w:pPr>
        <w:pStyle w:val="FootnoteText"/>
      </w:pPr>
      <w:r>
        <w:rPr>
          <w:rStyle w:val="FootnoteReference"/>
        </w:rPr>
        <w:footnoteRef/>
      </w:r>
      <w:r>
        <w:t xml:space="preserve"> </w:t>
      </w:r>
      <w:r>
        <w:tab/>
      </w:r>
      <w:r>
        <w:tab/>
      </w:r>
      <w:r w:rsidRPr="002475D6">
        <w:rPr>
          <w:i/>
        </w:rPr>
        <w:t>Id.</w:t>
      </w:r>
      <w:r w:rsidRPr="002475D6">
        <w:t xml:space="preserve"> at 3</w:t>
      </w:r>
    </w:p>
  </w:footnote>
  <w:footnote w:id="13">
    <w:p w:rsidR="005471D6" w:rsidRDefault="005471D6" w:rsidP="005F15EE">
      <w:pPr>
        <w:pStyle w:val="FootnoteText"/>
      </w:pPr>
      <w:r>
        <w:rPr>
          <w:rStyle w:val="FootnoteReference"/>
        </w:rPr>
        <w:footnoteRef/>
      </w:r>
      <w:r>
        <w:t xml:space="preserve"> </w:t>
      </w:r>
      <w:r>
        <w:tab/>
      </w:r>
      <w:r>
        <w:tab/>
      </w:r>
      <w:r>
        <w:rPr>
          <w:i/>
        </w:rPr>
        <w:t>In re VEDO</w:t>
      </w:r>
      <w:r>
        <w:t xml:space="preserve"> (</w:t>
      </w:r>
      <w:r w:rsidRPr="003F692C">
        <w:t>Direc</w:t>
      </w:r>
      <w:r>
        <w:t xml:space="preserve">t Testimony of James M. Francis </w:t>
      </w:r>
      <w:r w:rsidRPr="003F692C">
        <w:t>at Ex</w:t>
      </w:r>
      <w:r>
        <w:t>.</w:t>
      </w:r>
      <w:r w:rsidRPr="003F692C">
        <w:t xml:space="preserve"> JMF-1</w:t>
      </w:r>
      <w:r>
        <w:t xml:space="preserve">) </w:t>
      </w:r>
      <w:r w:rsidRPr="003F692C">
        <w:t>(Aug</w:t>
      </w:r>
      <w:r>
        <w:t>.</w:t>
      </w:r>
      <w:r w:rsidRPr="003F692C">
        <w:t xml:space="preserve"> 22</w:t>
      </w:r>
      <w:r>
        <w:t>, 2013).</w:t>
      </w:r>
    </w:p>
  </w:footnote>
  <w:footnote w:id="14">
    <w:p w:rsidR="005471D6" w:rsidRDefault="005471D6" w:rsidP="005F15EE">
      <w:pPr>
        <w:pStyle w:val="FootnoteText"/>
      </w:pPr>
      <w:r>
        <w:rPr>
          <w:rStyle w:val="FootnoteReference"/>
        </w:rPr>
        <w:footnoteRef/>
      </w:r>
      <w:r>
        <w:t xml:space="preserve"> </w:t>
      </w:r>
      <w:r>
        <w:tab/>
      </w:r>
      <w:r>
        <w:tab/>
      </w:r>
      <w:r>
        <w:rPr>
          <w:i/>
        </w:rPr>
        <w:t>In re VEDO</w:t>
      </w:r>
      <w:r>
        <w:t xml:space="preserve"> (</w:t>
      </w:r>
      <w:r>
        <w:rPr>
          <w:rFonts w:eastAsia="Calibri"/>
        </w:rPr>
        <w:t>Application Alternative Rate Plan Exhibits</w:t>
      </w:r>
      <w:r>
        <w:t xml:space="preserve"> </w:t>
      </w:r>
      <w:r w:rsidRPr="002475D6">
        <w:rPr>
          <w:szCs w:val="24"/>
        </w:rPr>
        <w:t>at 7</w:t>
      </w:r>
      <w:r>
        <w:rPr>
          <w:szCs w:val="24"/>
        </w:rPr>
        <w:t>) (Aug. 22, 2013)</w:t>
      </w:r>
      <w:r w:rsidRPr="002475D6">
        <w:rPr>
          <w:szCs w:val="24"/>
        </w:rPr>
        <w:t>.</w:t>
      </w:r>
    </w:p>
  </w:footnote>
  <w:footnote w:id="15">
    <w:p w:rsidR="005471D6" w:rsidRDefault="005471D6" w:rsidP="005F15EE">
      <w:pPr>
        <w:pStyle w:val="FootnoteText"/>
      </w:pPr>
      <w:r>
        <w:rPr>
          <w:rStyle w:val="FootnoteReference"/>
        </w:rPr>
        <w:footnoteRef/>
      </w:r>
      <w:r>
        <w:t xml:space="preserve"> </w:t>
      </w:r>
      <w:r>
        <w:tab/>
      </w:r>
      <w:r>
        <w:tab/>
      </w:r>
      <w:r>
        <w:rPr>
          <w:i/>
        </w:rPr>
        <w:t>In re VEDO</w:t>
      </w:r>
      <w:r>
        <w:t xml:space="preserve"> (</w:t>
      </w:r>
      <w:r>
        <w:rPr>
          <w:rFonts w:eastAsia="Calibri"/>
        </w:rPr>
        <w:t>Application Alternative Rate Plan Exhibits</w:t>
      </w:r>
      <w:r>
        <w:t xml:space="preserve"> </w:t>
      </w:r>
      <w:r w:rsidRPr="002475D6">
        <w:rPr>
          <w:szCs w:val="24"/>
        </w:rPr>
        <w:t xml:space="preserve">at </w:t>
      </w:r>
      <w:r>
        <w:rPr>
          <w:szCs w:val="24"/>
        </w:rPr>
        <w:t>9) (Aug. 22, 2013).</w:t>
      </w:r>
    </w:p>
  </w:footnote>
  <w:footnote w:id="16">
    <w:p w:rsidR="005471D6" w:rsidRDefault="005471D6" w:rsidP="005F15EE">
      <w:pPr>
        <w:pStyle w:val="FootnoteText"/>
      </w:pPr>
      <w:r>
        <w:rPr>
          <w:rStyle w:val="FootnoteReference"/>
        </w:rPr>
        <w:footnoteRef/>
      </w:r>
      <w:r>
        <w:t xml:space="preserve"> </w:t>
      </w:r>
      <w:r>
        <w:tab/>
      </w:r>
      <w:r>
        <w:tab/>
      </w:r>
      <w:r>
        <w:rPr>
          <w:i/>
        </w:rPr>
        <w:t>In re VEDO</w:t>
      </w:r>
      <w:r>
        <w:t xml:space="preserve"> (</w:t>
      </w:r>
      <w:r>
        <w:rPr>
          <w:rFonts w:eastAsia="Calibri"/>
        </w:rPr>
        <w:t>Application Alternative Rate Plan Exhibits</w:t>
      </w:r>
      <w:r>
        <w:t xml:space="preserve"> </w:t>
      </w:r>
      <w:r w:rsidRPr="002475D6">
        <w:rPr>
          <w:szCs w:val="24"/>
        </w:rPr>
        <w:t xml:space="preserve">at </w:t>
      </w:r>
      <w:r>
        <w:rPr>
          <w:szCs w:val="24"/>
        </w:rPr>
        <w:t>2) (Aug. 22, 2013).</w:t>
      </w:r>
    </w:p>
  </w:footnote>
  <w:footnote w:id="17">
    <w:p w:rsidR="005471D6" w:rsidRDefault="005471D6" w:rsidP="005F15EE">
      <w:pPr>
        <w:pStyle w:val="FootnoteText"/>
      </w:pPr>
      <w:r>
        <w:rPr>
          <w:rStyle w:val="FootnoteReference"/>
        </w:rPr>
        <w:footnoteRef/>
      </w:r>
      <w:r>
        <w:t xml:space="preserve"> </w:t>
      </w:r>
      <w:r>
        <w:tab/>
      </w:r>
      <w:r>
        <w:tab/>
      </w:r>
      <w:r>
        <w:rPr>
          <w:i/>
        </w:rPr>
        <w:t xml:space="preserve">In re VEDO </w:t>
      </w:r>
      <w:r>
        <w:t>(</w:t>
      </w:r>
      <w:r w:rsidRPr="003F692C">
        <w:t>Direc</w:t>
      </w:r>
      <w:r>
        <w:t xml:space="preserve">t Testimony of James M. Francis </w:t>
      </w:r>
      <w:r w:rsidRPr="003F692C">
        <w:t xml:space="preserve">at </w:t>
      </w:r>
      <w:r>
        <w:t xml:space="preserve">23 and </w:t>
      </w:r>
      <w:r w:rsidRPr="003F692C">
        <w:t>Ex</w:t>
      </w:r>
      <w:r>
        <w:t>.</w:t>
      </w:r>
      <w:r w:rsidRPr="003F692C">
        <w:t xml:space="preserve"> JMF-1</w:t>
      </w:r>
      <w:r>
        <w:t xml:space="preserve">0) </w:t>
      </w:r>
      <w:r w:rsidRPr="003F692C">
        <w:t>(Aug</w:t>
      </w:r>
      <w:r>
        <w:t>.</w:t>
      </w:r>
      <w:r w:rsidRPr="003F692C">
        <w:t xml:space="preserve"> 22</w:t>
      </w:r>
      <w:r>
        <w: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6" w:rsidRDefault="005471D6" w:rsidP="0095004E">
    <w:pPr>
      <w:pStyle w:val="Header"/>
      <w:jc w:val="center"/>
      <w:rPr>
        <w:rFonts w:ascii="Times New Roman" w:hAnsi="Times New Roman"/>
        <w:b/>
        <w:sz w:val="28"/>
        <w:szCs w:val="28"/>
      </w:rPr>
    </w:pPr>
    <w:r>
      <w:rPr>
        <w:rFonts w:ascii="Times New Roman" w:hAnsi="Times New Roman"/>
        <w:b/>
        <w:sz w:val="28"/>
        <w:szCs w:val="28"/>
      </w:rPr>
      <w:t>TABLE OF CONTENTS (cont’d)</w:t>
    </w:r>
  </w:p>
  <w:p w:rsidR="005471D6" w:rsidRPr="00F952B8" w:rsidRDefault="005471D6" w:rsidP="00F952B8">
    <w:pPr>
      <w:pStyle w:val="Header"/>
      <w:jc w:val="right"/>
      <w:rPr>
        <w:rFonts w:ascii="Times New Roman" w:hAnsi="Times New Roman"/>
        <w:b/>
        <w:sz w:val="28"/>
        <w:szCs w:val="28"/>
      </w:rPr>
    </w:pPr>
    <w:r>
      <w:rPr>
        <w:rFonts w:ascii="Times New Roman" w:hAnsi="Times New Roman"/>
        <w:b/>
        <w:sz w:val="28"/>
        <w:szCs w:val="28"/>
      </w:rPr>
      <w:t>Page</w:t>
    </w:r>
  </w:p>
  <w:p w:rsidR="005471D6" w:rsidRPr="0095004E" w:rsidRDefault="005471D6" w:rsidP="0095004E">
    <w:pPr>
      <w:pStyle w:val="Header"/>
      <w:jc w:val="center"/>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6" w:rsidRDefault="005471D6" w:rsidP="00F952B8">
    <w:pPr>
      <w:pStyle w:val="Header"/>
      <w:jc w:val="center"/>
      <w:rPr>
        <w:rFonts w:ascii="Times New Roman" w:hAnsi="Times New Roman"/>
        <w:b/>
        <w:sz w:val="28"/>
        <w:szCs w:val="28"/>
      </w:rPr>
    </w:pPr>
    <w:r>
      <w:rPr>
        <w:rFonts w:ascii="Times New Roman" w:hAnsi="Times New Roman"/>
        <w:b/>
        <w:sz w:val="28"/>
        <w:szCs w:val="28"/>
      </w:rPr>
      <w:t>TABLE OF CONTENTS</w:t>
    </w:r>
  </w:p>
  <w:p w:rsidR="005471D6" w:rsidRPr="00F952B8" w:rsidRDefault="005471D6" w:rsidP="00F952B8">
    <w:pPr>
      <w:pStyle w:val="Header"/>
      <w:jc w:val="right"/>
      <w:rPr>
        <w:rFonts w:ascii="Times New Roman" w:hAnsi="Times New Roman"/>
        <w:b/>
        <w:sz w:val="28"/>
        <w:szCs w:val="28"/>
      </w:rPr>
    </w:pPr>
    <w:r>
      <w:rPr>
        <w:rFonts w:ascii="Times New Roman" w:hAnsi="Times New Roman"/>
        <w:b/>
        <w:sz w:val="28"/>
        <w:szCs w:val="28"/>
      </w:rPr>
      <w:t>Page</w:t>
    </w:r>
  </w:p>
  <w:p w:rsidR="005471D6" w:rsidRPr="00F952B8" w:rsidRDefault="005471D6" w:rsidP="00F952B8">
    <w:pPr>
      <w:pStyle w:val="Header"/>
      <w:jc w:val="center"/>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6" w:rsidRPr="008B417B" w:rsidRDefault="005471D6" w:rsidP="008B41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1D6" w:rsidRPr="008B417B" w:rsidRDefault="005471D6" w:rsidP="008B4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42A9CA"/>
    <w:lvl w:ilvl="0">
      <w:start w:val="1"/>
      <w:numFmt w:val="decimal"/>
      <w:lvlText w:val="%1."/>
      <w:lvlJc w:val="left"/>
      <w:pPr>
        <w:tabs>
          <w:tab w:val="num" w:pos="1800"/>
        </w:tabs>
        <w:ind w:left="1800" w:hanging="360"/>
      </w:pPr>
    </w:lvl>
  </w:abstractNum>
  <w:abstractNum w:abstractNumId="1">
    <w:nsid w:val="FFFFFF7D"/>
    <w:multiLevelType w:val="singleLevel"/>
    <w:tmpl w:val="E14E1AE6"/>
    <w:lvl w:ilvl="0">
      <w:start w:val="1"/>
      <w:numFmt w:val="decimal"/>
      <w:lvlText w:val="%1."/>
      <w:lvlJc w:val="left"/>
      <w:pPr>
        <w:tabs>
          <w:tab w:val="num" w:pos="1440"/>
        </w:tabs>
        <w:ind w:left="1440" w:hanging="360"/>
      </w:pPr>
    </w:lvl>
  </w:abstractNum>
  <w:abstractNum w:abstractNumId="2">
    <w:nsid w:val="FFFFFF7E"/>
    <w:multiLevelType w:val="singleLevel"/>
    <w:tmpl w:val="895AB720"/>
    <w:lvl w:ilvl="0">
      <w:start w:val="1"/>
      <w:numFmt w:val="decimal"/>
      <w:lvlText w:val="%1."/>
      <w:lvlJc w:val="left"/>
      <w:pPr>
        <w:tabs>
          <w:tab w:val="num" w:pos="1080"/>
        </w:tabs>
        <w:ind w:left="1080" w:hanging="360"/>
      </w:pPr>
    </w:lvl>
  </w:abstractNum>
  <w:abstractNum w:abstractNumId="3">
    <w:nsid w:val="FFFFFF7F"/>
    <w:multiLevelType w:val="singleLevel"/>
    <w:tmpl w:val="AB7E7A62"/>
    <w:lvl w:ilvl="0">
      <w:start w:val="1"/>
      <w:numFmt w:val="decimal"/>
      <w:lvlText w:val="%1."/>
      <w:lvlJc w:val="left"/>
      <w:pPr>
        <w:tabs>
          <w:tab w:val="num" w:pos="720"/>
        </w:tabs>
        <w:ind w:left="720" w:hanging="360"/>
      </w:pPr>
    </w:lvl>
  </w:abstractNum>
  <w:abstractNum w:abstractNumId="4">
    <w:nsid w:val="FFFFFF80"/>
    <w:multiLevelType w:val="singleLevel"/>
    <w:tmpl w:val="B1E668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2844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80C6B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9EE87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AC6FA0"/>
    <w:lvl w:ilvl="0">
      <w:start w:val="1"/>
      <w:numFmt w:val="decimal"/>
      <w:lvlText w:val="%1."/>
      <w:lvlJc w:val="left"/>
      <w:pPr>
        <w:tabs>
          <w:tab w:val="num" w:pos="360"/>
        </w:tabs>
        <w:ind w:left="360" w:hanging="360"/>
      </w:pPr>
    </w:lvl>
  </w:abstractNum>
  <w:abstractNum w:abstractNumId="9">
    <w:nsid w:val="FFFFFF89"/>
    <w:multiLevelType w:val="singleLevel"/>
    <w:tmpl w:val="DEB0AFCA"/>
    <w:lvl w:ilvl="0">
      <w:start w:val="1"/>
      <w:numFmt w:val="bullet"/>
      <w:lvlText w:val=""/>
      <w:lvlJc w:val="left"/>
      <w:pPr>
        <w:tabs>
          <w:tab w:val="num" w:pos="360"/>
        </w:tabs>
        <w:ind w:left="360" w:hanging="360"/>
      </w:pPr>
      <w:rPr>
        <w:rFonts w:ascii="Symbol" w:hAnsi="Symbol" w:hint="default"/>
      </w:rPr>
    </w:lvl>
  </w:abstractNum>
  <w:abstractNum w:abstractNumId="10">
    <w:nsid w:val="030D2A08"/>
    <w:multiLevelType w:val="hybridMultilevel"/>
    <w:tmpl w:val="775ED092"/>
    <w:lvl w:ilvl="0" w:tplc="00C03A7C">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E102396"/>
    <w:multiLevelType w:val="hybridMultilevel"/>
    <w:tmpl w:val="B27CBFEC"/>
    <w:lvl w:ilvl="0" w:tplc="C940283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1E07E11"/>
    <w:multiLevelType w:val="hybridMultilevel"/>
    <w:tmpl w:val="33E2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0845E7"/>
    <w:multiLevelType w:val="hybridMultilevel"/>
    <w:tmpl w:val="CEE6E6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3077C0"/>
    <w:multiLevelType w:val="hybridMultilevel"/>
    <w:tmpl w:val="4C0CC858"/>
    <w:lvl w:ilvl="0" w:tplc="640ED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D05381"/>
    <w:multiLevelType w:val="hybridMultilevel"/>
    <w:tmpl w:val="0ED07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02"/>
    <w:rsid w:val="00011302"/>
    <w:rsid w:val="00026AAB"/>
    <w:rsid w:val="000403AC"/>
    <w:rsid w:val="00045CFF"/>
    <w:rsid w:val="0005352C"/>
    <w:rsid w:val="00054288"/>
    <w:rsid w:val="000558EE"/>
    <w:rsid w:val="00066256"/>
    <w:rsid w:val="0006679F"/>
    <w:rsid w:val="000702AA"/>
    <w:rsid w:val="000979B7"/>
    <w:rsid w:val="000A206D"/>
    <w:rsid w:val="000A3C3C"/>
    <w:rsid w:val="000A6796"/>
    <w:rsid w:val="000B2460"/>
    <w:rsid w:val="000C25CC"/>
    <w:rsid w:val="000C6EAB"/>
    <w:rsid w:val="000E6879"/>
    <w:rsid w:val="000E7F4D"/>
    <w:rsid w:val="000F7120"/>
    <w:rsid w:val="00107612"/>
    <w:rsid w:val="001147B4"/>
    <w:rsid w:val="001233D7"/>
    <w:rsid w:val="001329CC"/>
    <w:rsid w:val="001408D6"/>
    <w:rsid w:val="00147B4F"/>
    <w:rsid w:val="00150709"/>
    <w:rsid w:val="00154E57"/>
    <w:rsid w:val="0016362F"/>
    <w:rsid w:val="00163854"/>
    <w:rsid w:val="0017082D"/>
    <w:rsid w:val="00173B6C"/>
    <w:rsid w:val="00187C54"/>
    <w:rsid w:val="00194D13"/>
    <w:rsid w:val="00197E76"/>
    <w:rsid w:val="001C057A"/>
    <w:rsid w:val="001C63E9"/>
    <w:rsid w:val="001C70C8"/>
    <w:rsid w:val="001C7E64"/>
    <w:rsid w:val="001D1758"/>
    <w:rsid w:val="001F08BC"/>
    <w:rsid w:val="0022403F"/>
    <w:rsid w:val="002240B6"/>
    <w:rsid w:val="002475D6"/>
    <w:rsid w:val="002754E7"/>
    <w:rsid w:val="00284B73"/>
    <w:rsid w:val="002971FB"/>
    <w:rsid w:val="002A0F05"/>
    <w:rsid w:val="002B5FB0"/>
    <w:rsid w:val="002B63B9"/>
    <w:rsid w:val="002C670F"/>
    <w:rsid w:val="002D7D65"/>
    <w:rsid w:val="002F30AF"/>
    <w:rsid w:val="003011B1"/>
    <w:rsid w:val="00311D06"/>
    <w:rsid w:val="003124DF"/>
    <w:rsid w:val="0032089D"/>
    <w:rsid w:val="003333AE"/>
    <w:rsid w:val="00353D07"/>
    <w:rsid w:val="003548DA"/>
    <w:rsid w:val="00365513"/>
    <w:rsid w:val="00380324"/>
    <w:rsid w:val="003834D4"/>
    <w:rsid w:val="00386684"/>
    <w:rsid w:val="003873D9"/>
    <w:rsid w:val="003917C4"/>
    <w:rsid w:val="00392079"/>
    <w:rsid w:val="00397548"/>
    <w:rsid w:val="003A207F"/>
    <w:rsid w:val="003B136C"/>
    <w:rsid w:val="003B6F5C"/>
    <w:rsid w:val="003B7C56"/>
    <w:rsid w:val="003C01F4"/>
    <w:rsid w:val="003D5634"/>
    <w:rsid w:val="003E30DE"/>
    <w:rsid w:val="003E6004"/>
    <w:rsid w:val="003E7B44"/>
    <w:rsid w:val="003F2EFC"/>
    <w:rsid w:val="003F692C"/>
    <w:rsid w:val="003F71C5"/>
    <w:rsid w:val="00403990"/>
    <w:rsid w:val="00427F55"/>
    <w:rsid w:val="0043049C"/>
    <w:rsid w:val="004323D1"/>
    <w:rsid w:val="004363F0"/>
    <w:rsid w:val="00436BD0"/>
    <w:rsid w:val="00441863"/>
    <w:rsid w:val="00441B25"/>
    <w:rsid w:val="00445F67"/>
    <w:rsid w:val="00450D7A"/>
    <w:rsid w:val="00475BE3"/>
    <w:rsid w:val="004762CC"/>
    <w:rsid w:val="00493136"/>
    <w:rsid w:val="00493916"/>
    <w:rsid w:val="00493D4B"/>
    <w:rsid w:val="004B2077"/>
    <w:rsid w:val="004B2FDC"/>
    <w:rsid w:val="004E7DEC"/>
    <w:rsid w:val="004F5043"/>
    <w:rsid w:val="00503FEE"/>
    <w:rsid w:val="005058B7"/>
    <w:rsid w:val="00510929"/>
    <w:rsid w:val="00516108"/>
    <w:rsid w:val="00516F40"/>
    <w:rsid w:val="00527F1B"/>
    <w:rsid w:val="00544251"/>
    <w:rsid w:val="00544DC7"/>
    <w:rsid w:val="00546442"/>
    <w:rsid w:val="005471D6"/>
    <w:rsid w:val="0055410B"/>
    <w:rsid w:val="00554F44"/>
    <w:rsid w:val="005561EC"/>
    <w:rsid w:val="00562CF3"/>
    <w:rsid w:val="005676CB"/>
    <w:rsid w:val="00567817"/>
    <w:rsid w:val="005936FF"/>
    <w:rsid w:val="005961D8"/>
    <w:rsid w:val="005D19F3"/>
    <w:rsid w:val="005D6545"/>
    <w:rsid w:val="005F15EE"/>
    <w:rsid w:val="005F3DB3"/>
    <w:rsid w:val="005F5BCC"/>
    <w:rsid w:val="00600DB6"/>
    <w:rsid w:val="00601EC2"/>
    <w:rsid w:val="006054B8"/>
    <w:rsid w:val="006103D9"/>
    <w:rsid w:val="00611C3A"/>
    <w:rsid w:val="00615BED"/>
    <w:rsid w:val="00616E70"/>
    <w:rsid w:val="00625396"/>
    <w:rsid w:val="006308FB"/>
    <w:rsid w:val="00631488"/>
    <w:rsid w:val="00653FFC"/>
    <w:rsid w:val="006545BB"/>
    <w:rsid w:val="00680B82"/>
    <w:rsid w:val="0069530D"/>
    <w:rsid w:val="006B1107"/>
    <w:rsid w:val="006D7A9B"/>
    <w:rsid w:val="006F04B3"/>
    <w:rsid w:val="006F495D"/>
    <w:rsid w:val="0070737E"/>
    <w:rsid w:val="00732D0C"/>
    <w:rsid w:val="00774E36"/>
    <w:rsid w:val="0078153D"/>
    <w:rsid w:val="007823A4"/>
    <w:rsid w:val="007862D8"/>
    <w:rsid w:val="00787FFA"/>
    <w:rsid w:val="0079129A"/>
    <w:rsid w:val="00797287"/>
    <w:rsid w:val="007A1E15"/>
    <w:rsid w:val="007C04FE"/>
    <w:rsid w:val="007C0DB8"/>
    <w:rsid w:val="007C2F8F"/>
    <w:rsid w:val="007D05DA"/>
    <w:rsid w:val="007E7CA6"/>
    <w:rsid w:val="007F2C0C"/>
    <w:rsid w:val="007F7BBD"/>
    <w:rsid w:val="0080508B"/>
    <w:rsid w:val="00807B84"/>
    <w:rsid w:val="00812467"/>
    <w:rsid w:val="00814F79"/>
    <w:rsid w:val="008169EB"/>
    <w:rsid w:val="00822D31"/>
    <w:rsid w:val="00824566"/>
    <w:rsid w:val="00833AEB"/>
    <w:rsid w:val="00837234"/>
    <w:rsid w:val="00841062"/>
    <w:rsid w:val="00863DC4"/>
    <w:rsid w:val="00867057"/>
    <w:rsid w:val="00873135"/>
    <w:rsid w:val="008806FC"/>
    <w:rsid w:val="008902CF"/>
    <w:rsid w:val="008A53B7"/>
    <w:rsid w:val="008B37EF"/>
    <w:rsid w:val="008B417B"/>
    <w:rsid w:val="008C7225"/>
    <w:rsid w:val="008D28A2"/>
    <w:rsid w:val="008D3CAE"/>
    <w:rsid w:val="008E112E"/>
    <w:rsid w:val="009025A8"/>
    <w:rsid w:val="00903A0A"/>
    <w:rsid w:val="00907670"/>
    <w:rsid w:val="00915811"/>
    <w:rsid w:val="0092674A"/>
    <w:rsid w:val="009371C3"/>
    <w:rsid w:val="00941CEF"/>
    <w:rsid w:val="00944B56"/>
    <w:rsid w:val="0095004E"/>
    <w:rsid w:val="0095100B"/>
    <w:rsid w:val="00962259"/>
    <w:rsid w:val="00962BCA"/>
    <w:rsid w:val="009633AC"/>
    <w:rsid w:val="00976286"/>
    <w:rsid w:val="00977C36"/>
    <w:rsid w:val="00984882"/>
    <w:rsid w:val="00987B35"/>
    <w:rsid w:val="009913FB"/>
    <w:rsid w:val="00993542"/>
    <w:rsid w:val="009B4A7C"/>
    <w:rsid w:val="009B508A"/>
    <w:rsid w:val="009C0FB6"/>
    <w:rsid w:val="009C38B4"/>
    <w:rsid w:val="009E094E"/>
    <w:rsid w:val="009E11DA"/>
    <w:rsid w:val="009E132F"/>
    <w:rsid w:val="009E62FD"/>
    <w:rsid w:val="009F3D4A"/>
    <w:rsid w:val="009F4137"/>
    <w:rsid w:val="009F71FB"/>
    <w:rsid w:val="00A03564"/>
    <w:rsid w:val="00A1420B"/>
    <w:rsid w:val="00A153DB"/>
    <w:rsid w:val="00A16319"/>
    <w:rsid w:val="00A2025E"/>
    <w:rsid w:val="00A21DC4"/>
    <w:rsid w:val="00A22BEC"/>
    <w:rsid w:val="00A46568"/>
    <w:rsid w:val="00A51C4D"/>
    <w:rsid w:val="00A536CF"/>
    <w:rsid w:val="00A6193B"/>
    <w:rsid w:val="00A63F8F"/>
    <w:rsid w:val="00A733D8"/>
    <w:rsid w:val="00A83880"/>
    <w:rsid w:val="00A9073B"/>
    <w:rsid w:val="00A90A05"/>
    <w:rsid w:val="00A92810"/>
    <w:rsid w:val="00A93121"/>
    <w:rsid w:val="00AA5BC0"/>
    <w:rsid w:val="00AA6BC1"/>
    <w:rsid w:val="00AB7F9C"/>
    <w:rsid w:val="00AC1B0E"/>
    <w:rsid w:val="00AD3C53"/>
    <w:rsid w:val="00AE369A"/>
    <w:rsid w:val="00AE7D70"/>
    <w:rsid w:val="00AF53BD"/>
    <w:rsid w:val="00AF5FFA"/>
    <w:rsid w:val="00B0485D"/>
    <w:rsid w:val="00B12E34"/>
    <w:rsid w:val="00B133F8"/>
    <w:rsid w:val="00B33D0D"/>
    <w:rsid w:val="00B34A9A"/>
    <w:rsid w:val="00B42568"/>
    <w:rsid w:val="00B438D2"/>
    <w:rsid w:val="00B43F5F"/>
    <w:rsid w:val="00B44E20"/>
    <w:rsid w:val="00B45E63"/>
    <w:rsid w:val="00B528B8"/>
    <w:rsid w:val="00B5744E"/>
    <w:rsid w:val="00B616FC"/>
    <w:rsid w:val="00B64F34"/>
    <w:rsid w:val="00B833C4"/>
    <w:rsid w:val="00B86B12"/>
    <w:rsid w:val="00B92B07"/>
    <w:rsid w:val="00B95A11"/>
    <w:rsid w:val="00B97D3B"/>
    <w:rsid w:val="00BA1060"/>
    <w:rsid w:val="00BA2596"/>
    <w:rsid w:val="00BA2B89"/>
    <w:rsid w:val="00BA7135"/>
    <w:rsid w:val="00BC0E0F"/>
    <w:rsid w:val="00BC28EE"/>
    <w:rsid w:val="00BD2BDC"/>
    <w:rsid w:val="00BF4F02"/>
    <w:rsid w:val="00C3282C"/>
    <w:rsid w:val="00C33927"/>
    <w:rsid w:val="00C40044"/>
    <w:rsid w:val="00C56593"/>
    <w:rsid w:val="00C61E93"/>
    <w:rsid w:val="00C70F0C"/>
    <w:rsid w:val="00C724DD"/>
    <w:rsid w:val="00C73E2D"/>
    <w:rsid w:val="00C81A49"/>
    <w:rsid w:val="00C87168"/>
    <w:rsid w:val="00C873CF"/>
    <w:rsid w:val="00C92A10"/>
    <w:rsid w:val="00C95CC9"/>
    <w:rsid w:val="00CA20EA"/>
    <w:rsid w:val="00CA27B7"/>
    <w:rsid w:val="00CA7174"/>
    <w:rsid w:val="00CB2457"/>
    <w:rsid w:val="00CB2ED2"/>
    <w:rsid w:val="00CC6214"/>
    <w:rsid w:val="00CF682C"/>
    <w:rsid w:val="00D006BE"/>
    <w:rsid w:val="00D06F5E"/>
    <w:rsid w:val="00D34655"/>
    <w:rsid w:val="00D35EB9"/>
    <w:rsid w:val="00D36781"/>
    <w:rsid w:val="00D6764C"/>
    <w:rsid w:val="00D73704"/>
    <w:rsid w:val="00D93963"/>
    <w:rsid w:val="00D95EA3"/>
    <w:rsid w:val="00DA144B"/>
    <w:rsid w:val="00DA6B4B"/>
    <w:rsid w:val="00DB10FD"/>
    <w:rsid w:val="00DC17AE"/>
    <w:rsid w:val="00DC4C57"/>
    <w:rsid w:val="00DD7EB1"/>
    <w:rsid w:val="00DE6036"/>
    <w:rsid w:val="00DF214F"/>
    <w:rsid w:val="00DF2C27"/>
    <w:rsid w:val="00DF400C"/>
    <w:rsid w:val="00E02AD6"/>
    <w:rsid w:val="00E050AC"/>
    <w:rsid w:val="00E3114B"/>
    <w:rsid w:val="00E314B0"/>
    <w:rsid w:val="00E42986"/>
    <w:rsid w:val="00E552D6"/>
    <w:rsid w:val="00E74E18"/>
    <w:rsid w:val="00E8196F"/>
    <w:rsid w:val="00E865D2"/>
    <w:rsid w:val="00E86DDB"/>
    <w:rsid w:val="00E86F71"/>
    <w:rsid w:val="00EA334E"/>
    <w:rsid w:val="00EA76DC"/>
    <w:rsid w:val="00EB1555"/>
    <w:rsid w:val="00EB17FD"/>
    <w:rsid w:val="00EB286B"/>
    <w:rsid w:val="00EC5E09"/>
    <w:rsid w:val="00ED39F8"/>
    <w:rsid w:val="00ED792E"/>
    <w:rsid w:val="00EF1997"/>
    <w:rsid w:val="00EF1F3E"/>
    <w:rsid w:val="00EF385C"/>
    <w:rsid w:val="00EF4799"/>
    <w:rsid w:val="00EF5E43"/>
    <w:rsid w:val="00F00083"/>
    <w:rsid w:val="00F14812"/>
    <w:rsid w:val="00F277E5"/>
    <w:rsid w:val="00F35808"/>
    <w:rsid w:val="00F42CEB"/>
    <w:rsid w:val="00F47A56"/>
    <w:rsid w:val="00F55FDF"/>
    <w:rsid w:val="00F67503"/>
    <w:rsid w:val="00F7467F"/>
    <w:rsid w:val="00F8201B"/>
    <w:rsid w:val="00F86968"/>
    <w:rsid w:val="00F86E86"/>
    <w:rsid w:val="00F90E01"/>
    <w:rsid w:val="00F952B8"/>
    <w:rsid w:val="00FA3984"/>
    <w:rsid w:val="00FA5CC9"/>
    <w:rsid w:val="00FC2B06"/>
    <w:rsid w:val="00FD7F8E"/>
    <w:rsid w:val="00FE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68"/>
    <w:rPr>
      <w:rFonts w:ascii="Calibri" w:eastAsia="Times New Roman" w:hAnsi="Calibri" w:cs="Times New Roman"/>
    </w:rPr>
  </w:style>
  <w:style w:type="paragraph" w:styleId="Heading1">
    <w:name w:val="heading 1"/>
    <w:basedOn w:val="Normal"/>
    <w:next w:val="Normal"/>
    <w:link w:val="Heading1Char"/>
    <w:autoRedefine/>
    <w:uiPriority w:val="9"/>
    <w:qFormat/>
    <w:rsid w:val="003E6004"/>
    <w:pPr>
      <w:keepNext/>
      <w:widowControl w:val="0"/>
      <w:spacing w:before="240" w:after="240" w:line="240" w:lineRule="auto"/>
      <w:jc w:val="center"/>
      <w:outlineLvl w:val="0"/>
    </w:pPr>
    <w:rPr>
      <w:rFonts w:ascii="Times New Roman Bold" w:eastAsiaTheme="majorEastAsia" w:hAnsi="Times New Roman Bold" w:cstheme="majorBidi"/>
      <w:b/>
      <w:bCs/>
      <w:caps/>
      <w:color w:val="000000" w:themeColor="text1"/>
      <w:sz w:val="26"/>
      <w:szCs w:val="28"/>
    </w:rPr>
  </w:style>
  <w:style w:type="paragraph" w:styleId="Heading2">
    <w:name w:val="heading 2"/>
    <w:basedOn w:val="Normal"/>
    <w:next w:val="Normal"/>
    <w:link w:val="Heading2Char"/>
    <w:autoRedefine/>
    <w:uiPriority w:val="9"/>
    <w:unhideWhenUsed/>
    <w:qFormat/>
    <w:rsid w:val="003E6004"/>
    <w:pPr>
      <w:keepNext/>
      <w:widowControl w:val="0"/>
      <w:numPr>
        <w:numId w:val="15"/>
      </w:numPr>
      <w:spacing w:before="360" w:after="240" w:line="240" w:lineRule="auto"/>
      <w:ind w:right="1440" w:hanging="720"/>
      <w:outlineLvl w:val="1"/>
    </w:pPr>
    <w:rPr>
      <w:rFonts w:ascii="Times New Roman Bold" w:eastAsiaTheme="majorEastAsia" w:hAnsi="Times New Roman Bold"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3E6004"/>
    <w:pPr>
      <w:keepNext/>
      <w:widowControl w:val="0"/>
      <w:spacing w:before="360" w:after="240" w:line="240" w:lineRule="auto"/>
      <w:ind w:left="2160" w:right="1440" w:hanging="720"/>
      <w:outlineLvl w:val="2"/>
    </w:pPr>
    <w:rPr>
      <w:rFonts w:ascii="Times New Roman" w:eastAsiaTheme="majorEastAsia" w:hAnsi="Times New Roman" w:cstheme="majorBidi"/>
      <w:b/>
      <w:bCs/>
      <w:sz w:val="26"/>
    </w:rPr>
  </w:style>
  <w:style w:type="paragraph" w:styleId="Heading4">
    <w:name w:val="heading 4"/>
    <w:basedOn w:val="Normal"/>
    <w:next w:val="Normal"/>
    <w:link w:val="Heading4Char"/>
    <w:uiPriority w:val="9"/>
    <w:semiHidden/>
    <w:unhideWhenUsed/>
    <w:qFormat/>
    <w:rsid w:val="00DF40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302"/>
    <w:pPr>
      <w:spacing w:after="0" w:line="240" w:lineRule="auto"/>
    </w:pPr>
  </w:style>
  <w:style w:type="paragraph" w:styleId="FootnoteText">
    <w:name w:val="footnote text"/>
    <w:basedOn w:val="Normal"/>
    <w:link w:val="FootnoteTextChar"/>
    <w:autoRedefine/>
    <w:uiPriority w:val="99"/>
    <w:unhideWhenUsed/>
    <w:rsid w:val="005F15EE"/>
    <w:pPr>
      <w:spacing w:before="240" w:after="240" w:line="240" w:lineRule="auto"/>
      <w:ind w:left="720" w:hanging="720"/>
    </w:pPr>
    <w:rPr>
      <w:rFonts w:ascii="Times New Roman" w:eastAsiaTheme="minorEastAsia" w:hAnsi="Times New Roman" w:cstheme="minorBidi"/>
      <w:sz w:val="20"/>
      <w:szCs w:val="20"/>
    </w:rPr>
  </w:style>
  <w:style w:type="character" w:customStyle="1" w:styleId="FootnoteTextChar">
    <w:name w:val="Footnote Text Char"/>
    <w:basedOn w:val="DefaultParagraphFont"/>
    <w:link w:val="FootnoteText"/>
    <w:uiPriority w:val="99"/>
    <w:rsid w:val="005F15EE"/>
    <w:rPr>
      <w:rFonts w:ascii="Times New Roman" w:hAnsi="Times New Roman"/>
      <w:sz w:val="20"/>
      <w:szCs w:val="20"/>
    </w:rPr>
  </w:style>
  <w:style w:type="character" w:styleId="FootnoteReference">
    <w:name w:val="footnote reference"/>
    <w:basedOn w:val="DefaultParagraphFont"/>
    <w:uiPriority w:val="99"/>
    <w:semiHidden/>
    <w:unhideWhenUsed/>
    <w:rsid w:val="001C70C8"/>
    <w:rPr>
      <w:vertAlign w:val="superscript"/>
    </w:rPr>
  </w:style>
  <w:style w:type="paragraph" w:styleId="CommentText">
    <w:name w:val="annotation text"/>
    <w:basedOn w:val="Normal"/>
    <w:link w:val="CommentTextChar"/>
    <w:uiPriority w:val="99"/>
    <w:semiHidden/>
    <w:unhideWhenUsed/>
    <w:rsid w:val="00E865D2"/>
    <w:rPr>
      <w:sz w:val="20"/>
      <w:szCs w:val="20"/>
    </w:rPr>
  </w:style>
  <w:style w:type="character" w:customStyle="1" w:styleId="CommentTextChar">
    <w:name w:val="Comment Text Char"/>
    <w:basedOn w:val="DefaultParagraphFont"/>
    <w:link w:val="CommentText"/>
    <w:uiPriority w:val="99"/>
    <w:semiHidden/>
    <w:rsid w:val="00E865D2"/>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544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DC7"/>
    <w:rPr>
      <w:rFonts w:ascii="Tahoma" w:eastAsia="Times New Roman" w:hAnsi="Tahoma" w:cs="Tahoma"/>
      <w:sz w:val="16"/>
      <w:szCs w:val="16"/>
    </w:rPr>
  </w:style>
  <w:style w:type="table" w:styleId="TableGrid">
    <w:name w:val="Table Grid"/>
    <w:basedOn w:val="TableNormal"/>
    <w:uiPriority w:val="59"/>
    <w:rsid w:val="00544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E6004"/>
    <w:rPr>
      <w:rFonts w:ascii="Times New Roman Bold" w:eastAsiaTheme="majorEastAsia" w:hAnsi="Times New Roman Bold" w:cstheme="majorBidi"/>
      <w:b/>
      <w:bCs/>
      <w:caps/>
      <w:color w:val="000000" w:themeColor="text1"/>
      <w:sz w:val="26"/>
      <w:szCs w:val="28"/>
    </w:rPr>
  </w:style>
  <w:style w:type="character" w:customStyle="1" w:styleId="Heading2Char">
    <w:name w:val="Heading 2 Char"/>
    <w:basedOn w:val="DefaultParagraphFont"/>
    <w:link w:val="Heading2"/>
    <w:uiPriority w:val="9"/>
    <w:rsid w:val="003E6004"/>
    <w:rPr>
      <w:rFonts w:ascii="Times New Roman Bold" w:eastAsiaTheme="majorEastAsia" w:hAnsi="Times New Roman Bold" w:cstheme="majorBidi"/>
      <w:b/>
      <w:bCs/>
      <w:color w:val="000000" w:themeColor="text1"/>
      <w:sz w:val="26"/>
      <w:szCs w:val="26"/>
    </w:rPr>
  </w:style>
  <w:style w:type="character" w:customStyle="1" w:styleId="Heading3Char">
    <w:name w:val="Heading 3 Char"/>
    <w:basedOn w:val="DefaultParagraphFont"/>
    <w:link w:val="Heading3"/>
    <w:uiPriority w:val="9"/>
    <w:rsid w:val="003E6004"/>
    <w:rPr>
      <w:rFonts w:ascii="Times New Roman" w:eastAsiaTheme="majorEastAsia" w:hAnsi="Times New Roman" w:cstheme="majorBidi"/>
      <w:b/>
      <w:bCs/>
      <w:sz w:val="26"/>
    </w:rPr>
  </w:style>
  <w:style w:type="character" w:customStyle="1" w:styleId="Heading4Char">
    <w:name w:val="Heading 4 Char"/>
    <w:basedOn w:val="DefaultParagraphFont"/>
    <w:link w:val="Heading4"/>
    <w:uiPriority w:val="9"/>
    <w:semiHidden/>
    <w:rsid w:val="00DF400C"/>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873135"/>
    <w:pPr>
      <w:spacing w:before="240" w:after="240" w:line="240" w:lineRule="auto"/>
      <w:ind w:left="1440" w:right="1440"/>
    </w:pPr>
    <w:rPr>
      <w:rFonts w:ascii="Times New Roman" w:hAnsi="Times New Roman"/>
      <w:sz w:val="26"/>
    </w:rPr>
  </w:style>
  <w:style w:type="character" w:customStyle="1" w:styleId="BodyTextChar">
    <w:name w:val="Body Text Char"/>
    <w:basedOn w:val="DefaultParagraphFont"/>
    <w:link w:val="BodyText"/>
    <w:uiPriority w:val="99"/>
    <w:rsid w:val="00873135"/>
    <w:rPr>
      <w:rFonts w:ascii="Times New Roman" w:eastAsia="Times New Roman" w:hAnsi="Times New Roman" w:cs="Times New Roman"/>
      <w:sz w:val="26"/>
    </w:rPr>
  </w:style>
  <w:style w:type="paragraph" w:styleId="BodyTextFirstIndent">
    <w:name w:val="Body Text First Indent"/>
    <w:basedOn w:val="BodyText"/>
    <w:link w:val="BodyTextFirstIndentChar"/>
    <w:uiPriority w:val="99"/>
    <w:unhideWhenUsed/>
    <w:rsid w:val="00873135"/>
    <w:pPr>
      <w:spacing w:before="0" w:after="0" w:line="480" w:lineRule="auto"/>
      <w:ind w:left="0" w:right="0" w:firstLine="720"/>
    </w:pPr>
  </w:style>
  <w:style w:type="character" w:customStyle="1" w:styleId="BodyTextFirstIndentChar">
    <w:name w:val="Body Text First Indent Char"/>
    <w:basedOn w:val="BodyTextChar"/>
    <w:link w:val="BodyTextFirstIndent"/>
    <w:uiPriority w:val="99"/>
    <w:rsid w:val="00873135"/>
    <w:rPr>
      <w:rFonts w:ascii="Times New Roman" w:eastAsia="Times New Roman" w:hAnsi="Times New Roman" w:cs="Times New Roman"/>
      <w:sz w:val="26"/>
    </w:rPr>
  </w:style>
  <w:style w:type="paragraph" w:styleId="BodyTextIndent">
    <w:name w:val="Body Text Indent"/>
    <w:basedOn w:val="Normal"/>
    <w:link w:val="BodyTextIndentChar"/>
    <w:uiPriority w:val="99"/>
    <w:semiHidden/>
    <w:unhideWhenUsed/>
    <w:rsid w:val="00DF400C"/>
    <w:pPr>
      <w:spacing w:after="120"/>
      <w:ind w:left="360"/>
    </w:pPr>
  </w:style>
  <w:style w:type="character" w:customStyle="1" w:styleId="BodyTextIndentChar">
    <w:name w:val="Body Text Indent Char"/>
    <w:basedOn w:val="DefaultParagraphFont"/>
    <w:link w:val="BodyTextIndent"/>
    <w:uiPriority w:val="99"/>
    <w:semiHidden/>
    <w:rsid w:val="00DF400C"/>
    <w:rPr>
      <w:rFonts w:ascii="Calibri" w:eastAsia="Times New Roman" w:hAnsi="Calibri" w:cs="Times New Roman"/>
    </w:rPr>
  </w:style>
  <w:style w:type="paragraph" w:styleId="BodyTextFirstIndent2">
    <w:name w:val="Body Text First Indent 2"/>
    <w:basedOn w:val="BodyTextIndent"/>
    <w:link w:val="BodyTextFirstIndent2Char"/>
    <w:autoRedefine/>
    <w:uiPriority w:val="99"/>
    <w:unhideWhenUsed/>
    <w:rsid w:val="00567817"/>
    <w:pPr>
      <w:tabs>
        <w:tab w:val="left" w:pos="720"/>
      </w:tabs>
      <w:spacing w:after="0" w:line="480" w:lineRule="auto"/>
      <w:ind w:left="0"/>
    </w:pPr>
    <w:rPr>
      <w:rFonts w:ascii="Times New Roman" w:eastAsiaTheme="majorEastAsia" w:hAnsi="Times New Roman"/>
      <w:sz w:val="26"/>
    </w:rPr>
  </w:style>
  <w:style w:type="character" w:customStyle="1" w:styleId="BodyTextFirstIndent2Char">
    <w:name w:val="Body Text First Indent 2 Char"/>
    <w:basedOn w:val="BodyTextIndentChar"/>
    <w:link w:val="BodyTextFirstIndent2"/>
    <w:uiPriority w:val="99"/>
    <w:rsid w:val="00567817"/>
    <w:rPr>
      <w:rFonts w:ascii="Times New Roman" w:eastAsiaTheme="majorEastAsia" w:hAnsi="Times New Roman" w:cs="Times New Roman"/>
      <w:sz w:val="26"/>
    </w:rPr>
  </w:style>
  <w:style w:type="paragraph" w:styleId="BodyTextIndent2">
    <w:name w:val="Body Text Indent 2"/>
    <w:basedOn w:val="Normal"/>
    <w:link w:val="BodyTextIndent2Char"/>
    <w:uiPriority w:val="99"/>
    <w:unhideWhenUsed/>
    <w:rsid w:val="00DF400C"/>
    <w:pPr>
      <w:spacing w:after="120" w:line="480" w:lineRule="auto"/>
      <w:ind w:left="360"/>
    </w:pPr>
  </w:style>
  <w:style w:type="character" w:customStyle="1" w:styleId="BodyTextIndent2Char">
    <w:name w:val="Body Text Indent 2 Char"/>
    <w:basedOn w:val="DefaultParagraphFont"/>
    <w:link w:val="BodyTextIndent2"/>
    <w:uiPriority w:val="99"/>
    <w:rsid w:val="00DF400C"/>
    <w:rPr>
      <w:rFonts w:ascii="Calibri" w:eastAsia="Times New Roman" w:hAnsi="Calibri" w:cs="Times New Roman"/>
    </w:rPr>
  </w:style>
  <w:style w:type="paragraph" w:styleId="BlockText">
    <w:name w:val="Block Text"/>
    <w:basedOn w:val="Normal"/>
    <w:uiPriority w:val="99"/>
    <w:semiHidden/>
    <w:unhideWhenUsed/>
    <w:rsid w:val="0087313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440" w:right="1440"/>
    </w:pPr>
    <w:rPr>
      <w:rFonts w:ascii="Times New Roman" w:eastAsiaTheme="minorEastAsia" w:hAnsi="Times New Roman" w:cstheme="minorBidi"/>
      <w:i/>
      <w:iCs/>
      <w:sz w:val="26"/>
    </w:rPr>
  </w:style>
  <w:style w:type="paragraph" w:styleId="Header">
    <w:name w:val="header"/>
    <w:basedOn w:val="Normal"/>
    <w:link w:val="HeaderChar"/>
    <w:uiPriority w:val="99"/>
    <w:unhideWhenUsed/>
    <w:rsid w:val="00DE6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036"/>
    <w:rPr>
      <w:rFonts w:ascii="Calibri" w:eastAsia="Times New Roman" w:hAnsi="Calibri" w:cs="Times New Roman"/>
    </w:rPr>
  </w:style>
  <w:style w:type="paragraph" w:styleId="Footer">
    <w:name w:val="footer"/>
    <w:basedOn w:val="Normal"/>
    <w:link w:val="FooterChar"/>
    <w:uiPriority w:val="99"/>
    <w:unhideWhenUsed/>
    <w:rsid w:val="00DE6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036"/>
    <w:rPr>
      <w:rFonts w:ascii="Calibri" w:eastAsia="Times New Roman" w:hAnsi="Calibri" w:cs="Times New Roman"/>
    </w:rPr>
  </w:style>
  <w:style w:type="character" w:styleId="Hyperlink">
    <w:name w:val="Hyperlink"/>
    <w:basedOn w:val="DefaultParagraphFont"/>
    <w:uiPriority w:val="99"/>
    <w:unhideWhenUsed/>
    <w:rsid w:val="00493916"/>
    <w:rPr>
      <w:color w:val="0000FF" w:themeColor="hyperlink"/>
      <w:u w:val="single"/>
    </w:rPr>
  </w:style>
  <w:style w:type="paragraph" w:styleId="TOC1">
    <w:name w:val="toc 1"/>
    <w:basedOn w:val="Normal"/>
    <w:next w:val="Normal"/>
    <w:autoRedefine/>
    <w:uiPriority w:val="39"/>
    <w:unhideWhenUsed/>
    <w:rsid w:val="00B0485D"/>
    <w:pPr>
      <w:tabs>
        <w:tab w:val="right" w:leader="dot" w:pos="9350"/>
      </w:tabs>
      <w:spacing w:before="240" w:after="240" w:line="240" w:lineRule="auto"/>
    </w:pPr>
    <w:rPr>
      <w:rFonts w:ascii="Times New Roman" w:hAnsi="Times New Roman"/>
      <w:sz w:val="26"/>
    </w:rPr>
  </w:style>
  <w:style w:type="paragraph" w:styleId="TOC3">
    <w:name w:val="toc 3"/>
    <w:basedOn w:val="Normal"/>
    <w:next w:val="Normal"/>
    <w:autoRedefine/>
    <w:uiPriority w:val="39"/>
    <w:unhideWhenUsed/>
    <w:rsid w:val="00B0485D"/>
    <w:pPr>
      <w:tabs>
        <w:tab w:val="right" w:leader="dot" w:pos="9350"/>
      </w:tabs>
      <w:spacing w:before="240" w:after="240" w:line="240" w:lineRule="auto"/>
      <w:ind w:left="2160" w:right="1440" w:hanging="720"/>
    </w:pPr>
    <w:rPr>
      <w:rFonts w:ascii="Times New Roman" w:hAnsi="Times New Roman"/>
      <w:sz w:val="26"/>
    </w:rPr>
  </w:style>
  <w:style w:type="paragraph" w:styleId="TOC2">
    <w:name w:val="toc 2"/>
    <w:basedOn w:val="Normal"/>
    <w:next w:val="Normal"/>
    <w:autoRedefine/>
    <w:uiPriority w:val="39"/>
    <w:unhideWhenUsed/>
    <w:rsid w:val="00B0485D"/>
    <w:pPr>
      <w:tabs>
        <w:tab w:val="left" w:pos="660"/>
        <w:tab w:val="right" w:leader="dot" w:pos="9350"/>
      </w:tabs>
      <w:spacing w:before="240" w:after="240" w:line="240" w:lineRule="auto"/>
      <w:ind w:left="1440" w:hanging="720"/>
    </w:pPr>
    <w:rPr>
      <w:rFonts w:ascii="Times New Roman" w:hAnsi="Times New Roman"/>
      <w:sz w:val="26"/>
    </w:rPr>
  </w:style>
  <w:style w:type="paragraph" w:customStyle="1" w:styleId="Textstyle">
    <w:name w:val="Text style"/>
    <w:basedOn w:val="BodyTextFirstIndent"/>
    <w:autoRedefine/>
    <w:rsid w:val="005F15EE"/>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68"/>
    <w:rPr>
      <w:rFonts w:ascii="Calibri" w:eastAsia="Times New Roman" w:hAnsi="Calibri" w:cs="Times New Roman"/>
    </w:rPr>
  </w:style>
  <w:style w:type="paragraph" w:styleId="Heading1">
    <w:name w:val="heading 1"/>
    <w:basedOn w:val="Normal"/>
    <w:next w:val="Normal"/>
    <w:link w:val="Heading1Char"/>
    <w:autoRedefine/>
    <w:uiPriority w:val="9"/>
    <w:qFormat/>
    <w:rsid w:val="003E6004"/>
    <w:pPr>
      <w:keepNext/>
      <w:widowControl w:val="0"/>
      <w:spacing w:before="240" w:after="240" w:line="240" w:lineRule="auto"/>
      <w:jc w:val="center"/>
      <w:outlineLvl w:val="0"/>
    </w:pPr>
    <w:rPr>
      <w:rFonts w:ascii="Times New Roman Bold" w:eastAsiaTheme="majorEastAsia" w:hAnsi="Times New Roman Bold" w:cstheme="majorBidi"/>
      <w:b/>
      <w:bCs/>
      <w:caps/>
      <w:color w:val="000000" w:themeColor="text1"/>
      <w:sz w:val="26"/>
      <w:szCs w:val="28"/>
    </w:rPr>
  </w:style>
  <w:style w:type="paragraph" w:styleId="Heading2">
    <w:name w:val="heading 2"/>
    <w:basedOn w:val="Normal"/>
    <w:next w:val="Normal"/>
    <w:link w:val="Heading2Char"/>
    <w:autoRedefine/>
    <w:uiPriority w:val="9"/>
    <w:unhideWhenUsed/>
    <w:qFormat/>
    <w:rsid w:val="003E6004"/>
    <w:pPr>
      <w:keepNext/>
      <w:widowControl w:val="0"/>
      <w:numPr>
        <w:numId w:val="15"/>
      </w:numPr>
      <w:spacing w:before="360" w:after="240" w:line="240" w:lineRule="auto"/>
      <w:ind w:right="1440" w:hanging="720"/>
      <w:outlineLvl w:val="1"/>
    </w:pPr>
    <w:rPr>
      <w:rFonts w:ascii="Times New Roman Bold" w:eastAsiaTheme="majorEastAsia" w:hAnsi="Times New Roman Bold"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3E6004"/>
    <w:pPr>
      <w:keepNext/>
      <w:widowControl w:val="0"/>
      <w:spacing w:before="360" w:after="240" w:line="240" w:lineRule="auto"/>
      <w:ind w:left="2160" w:right="1440" w:hanging="720"/>
      <w:outlineLvl w:val="2"/>
    </w:pPr>
    <w:rPr>
      <w:rFonts w:ascii="Times New Roman" w:eastAsiaTheme="majorEastAsia" w:hAnsi="Times New Roman" w:cstheme="majorBidi"/>
      <w:b/>
      <w:bCs/>
      <w:sz w:val="26"/>
    </w:rPr>
  </w:style>
  <w:style w:type="paragraph" w:styleId="Heading4">
    <w:name w:val="heading 4"/>
    <w:basedOn w:val="Normal"/>
    <w:next w:val="Normal"/>
    <w:link w:val="Heading4Char"/>
    <w:uiPriority w:val="9"/>
    <w:semiHidden/>
    <w:unhideWhenUsed/>
    <w:qFormat/>
    <w:rsid w:val="00DF40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302"/>
    <w:pPr>
      <w:spacing w:after="0" w:line="240" w:lineRule="auto"/>
    </w:pPr>
  </w:style>
  <w:style w:type="paragraph" w:styleId="FootnoteText">
    <w:name w:val="footnote text"/>
    <w:basedOn w:val="Normal"/>
    <w:link w:val="FootnoteTextChar"/>
    <w:autoRedefine/>
    <w:uiPriority w:val="99"/>
    <w:unhideWhenUsed/>
    <w:rsid w:val="005F15EE"/>
    <w:pPr>
      <w:spacing w:before="240" w:after="240" w:line="240" w:lineRule="auto"/>
      <w:ind w:left="720" w:hanging="720"/>
    </w:pPr>
    <w:rPr>
      <w:rFonts w:ascii="Times New Roman" w:eastAsiaTheme="minorEastAsia" w:hAnsi="Times New Roman" w:cstheme="minorBidi"/>
      <w:sz w:val="20"/>
      <w:szCs w:val="20"/>
    </w:rPr>
  </w:style>
  <w:style w:type="character" w:customStyle="1" w:styleId="FootnoteTextChar">
    <w:name w:val="Footnote Text Char"/>
    <w:basedOn w:val="DefaultParagraphFont"/>
    <w:link w:val="FootnoteText"/>
    <w:uiPriority w:val="99"/>
    <w:rsid w:val="005F15EE"/>
    <w:rPr>
      <w:rFonts w:ascii="Times New Roman" w:hAnsi="Times New Roman"/>
      <w:sz w:val="20"/>
      <w:szCs w:val="20"/>
    </w:rPr>
  </w:style>
  <w:style w:type="character" w:styleId="FootnoteReference">
    <w:name w:val="footnote reference"/>
    <w:basedOn w:val="DefaultParagraphFont"/>
    <w:uiPriority w:val="99"/>
    <w:semiHidden/>
    <w:unhideWhenUsed/>
    <w:rsid w:val="001C70C8"/>
    <w:rPr>
      <w:vertAlign w:val="superscript"/>
    </w:rPr>
  </w:style>
  <w:style w:type="paragraph" w:styleId="CommentText">
    <w:name w:val="annotation text"/>
    <w:basedOn w:val="Normal"/>
    <w:link w:val="CommentTextChar"/>
    <w:uiPriority w:val="99"/>
    <w:semiHidden/>
    <w:unhideWhenUsed/>
    <w:rsid w:val="00E865D2"/>
    <w:rPr>
      <w:sz w:val="20"/>
      <w:szCs w:val="20"/>
    </w:rPr>
  </w:style>
  <w:style w:type="character" w:customStyle="1" w:styleId="CommentTextChar">
    <w:name w:val="Comment Text Char"/>
    <w:basedOn w:val="DefaultParagraphFont"/>
    <w:link w:val="CommentText"/>
    <w:uiPriority w:val="99"/>
    <w:semiHidden/>
    <w:rsid w:val="00E865D2"/>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544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DC7"/>
    <w:rPr>
      <w:rFonts w:ascii="Tahoma" w:eastAsia="Times New Roman" w:hAnsi="Tahoma" w:cs="Tahoma"/>
      <w:sz w:val="16"/>
      <w:szCs w:val="16"/>
    </w:rPr>
  </w:style>
  <w:style w:type="table" w:styleId="TableGrid">
    <w:name w:val="Table Grid"/>
    <w:basedOn w:val="TableNormal"/>
    <w:uiPriority w:val="59"/>
    <w:rsid w:val="00544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E6004"/>
    <w:rPr>
      <w:rFonts w:ascii="Times New Roman Bold" w:eastAsiaTheme="majorEastAsia" w:hAnsi="Times New Roman Bold" w:cstheme="majorBidi"/>
      <w:b/>
      <w:bCs/>
      <w:caps/>
      <w:color w:val="000000" w:themeColor="text1"/>
      <w:sz w:val="26"/>
      <w:szCs w:val="28"/>
    </w:rPr>
  </w:style>
  <w:style w:type="character" w:customStyle="1" w:styleId="Heading2Char">
    <w:name w:val="Heading 2 Char"/>
    <w:basedOn w:val="DefaultParagraphFont"/>
    <w:link w:val="Heading2"/>
    <w:uiPriority w:val="9"/>
    <w:rsid w:val="003E6004"/>
    <w:rPr>
      <w:rFonts w:ascii="Times New Roman Bold" w:eastAsiaTheme="majorEastAsia" w:hAnsi="Times New Roman Bold" w:cstheme="majorBidi"/>
      <w:b/>
      <w:bCs/>
      <w:color w:val="000000" w:themeColor="text1"/>
      <w:sz w:val="26"/>
      <w:szCs w:val="26"/>
    </w:rPr>
  </w:style>
  <w:style w:type="character" w:customStyle="1" w:styleId="Heading3Char">
    <w:name w:val="Heading 3 Char"/>
    <w:basedOn w:val="DefaultParagraphFont"/>
    <w:link w:val="Heading3"/>
    <w:uiPriority w:val="9"/>
    <w:rsid w:val="003E6004"/>
    <w:rPr>
      <w:rFonts w:ascii="Times New Roman" w:eastAsiaTheme="majorEastAsia" w:hAnsi="Times New Roman" w:cstheme="majorBidi"/>
      <w:b/>
      <w:bCs/>
      <w:sz w:val="26"/>
    </w:rPr>
  </w:style>
  <w:style w:type="character" w:customStyle="1" w:styleId="Heading4Char">
    <w:name w:val="Heading 4 Char"/>
    <w:basedOn w:val="DefaultParagraphFont"/>
    <w:link w:val="Heading4"/>
    <w:uiPriority w:val="9"/>
    <w:semiHidden/>
    <w:rsid w:val="00DF400C"/>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873135"/>
    <w:pPr>
      <w:spacing w:before="240" w:after="240" w:line="240" w:lineRule="auto"/>
      <w:ind w:left="1440" w:right="1440"/>
    </w:pPr>
    <w:rPr>
      <w:rFonts w:ascii="Times New Roman" w:hAnsi="Times New Roman"/>
      <w:sz w:val="26"/>
    </w:rPr>
  </w:style>
  <w:style w:type="character" w:customStyle="1" w:styleId="BodyTextChar">
    <w:name w:val="Body Text Char"/>
    <w:basedOn w:val="DefaultParagraphFont"/>
    <w:link w:val="BodyText"/>
    <w:uiPriority w:val="99"/>
    <w:rsid w:val="00873135"/>
    <w:rPr>
      <w:rFonts w:ascii="Times New Roman" w:eastAsia="Times New Roman" w:hAnsi="Times New Roman" w:cs="Times New Roman"/>
      <w:sz w:val="26"/>
    </w:rPr>
  </w:style>
  <w:style w:type="paragraph" w:styleId="BodyTextFirstIndent">
    <w:name w:val="Body Text First Indent"/>
    <w:basedOn w:val="BodyText"/>
    <w:link w:val="BodyTextFirstIndentChar"/>
    <w:uiPriority w:val="99"/>
    <w:unhideWhenUsed/>
    <w:rsid w:val="00873135"/>
    <w:pPr>
      <w:spacing w:before="0" w:after="0" w:line="480" w:lineRule="auto"/>
      <w:ind w:left="0" w:right="0" w:firstLine="720"/>
    </w:pPr>
  </w:style>
  <w:style w:type="character" w:customStyle="1" w:styleId="BodyTextFirstIndentChar">
    <w:name w:val="Body Text First Indent Char"/>
    <w:basedOn w:val="BodyTextChar"/>
    <w:link w:val="BodyTextFirstIndent"/>
    <w:uiPriority w:val="99"/>
    <w:rsid w:val="00873135"/>
    <w:rPr>
      <w:rFonts w:ascii="Times New Roman" w:eastAsia="Times New Roman" w:hAnsi="Times New Roman" w:cs="Times New Roman"/>
      <w:sz w:val="26"/>
    </w:rPr>
  </w:style>
  <w:style w:type="paragraph" w:styleId="BodyTextIndent">
    <w:name w:val="Body Text Indent"/>
    <w:basedOn w:val="Normal"/>
    <w:link w:val="BodyTextIndentChar"/>
    <w:uiPriority w:val="99"/>
    <w:semiHidden/>
    <w:unhideWhenUsed/>
    <w:rsid w:val="00DF400C"/>
    <w:pPr>
      <w:spacing w:after="120"/>
      <w:ind w:left="360"/>
    </w:pPr>
  </w:style>
  <w:style w:type="character" w:customStyle="1" w:styleId="BodyTextIndentChar">
    <w:name w:val="Body Text Indent Char"/>
    <w:basedOn w:val="DefaultParagraphFont"/>
    <w:link w:val="BodyTextIndent"/>
    <w:uiPriority w:val="99"/>
    <w:semiHidden/>
    <w:rsid w:val="00DF400C"/>
    <w:rPr>
      <w:rFonts w:ascii="Calibri" w:eastAsia="Times New Roman" w:hAnsi="Calibri" w:cs="Times New Roman"/>
    </w:rPr>
  </w:style>
  <w:style w:type="paragraph" w:styleId="BodyTextFirstIndent2">
    <w:name w:val="Body Text First Indent 2"/>
    <w:basedOn w:val="BodyTextIndent"/>
    <w:link w:val="BodyTextFirstIndent2Char"/>
    <w:autoRedefine/>
    <w:uiPriority w:val="99"/>
    <w:unhideWhenUsed/>
    <w:rsid w:val="00567817"/>
    <w:pPr>
      <w:tabs>
        <w:tab w:val="left" w:pos="720"/>
      </w:tabs>
      <w:spacing w:after="0" w:line="480" w:lineRule="auto"/>
      <w:ind w:left="0"/>
    </w:pPr>
    <w:rPr>
      <w:rFonts w:ascii="Times New Roman" w:eastAsiaTheme="majorEastAsia" w:hAnsi="Times New Roman"/>
      <w:sz w:val="26"/>
    </w:rPr>
  </w:style>
  <w:style w:type="character" w:customStyle="1" w:styleId="BodyTextFirstIndent2Char">
    <w:name w:val="Body Text First Indent 2 Char"/>
    <w:basedOn w:val="BodyTextIndentChar"/>
    <w:link w:val="BodyTextFirstIndent2"/>
    <w:uiPriority w:val="99"/>
    <w:rsid w:val="00567817"/>
    <w:rPr>
      <w:rFonts w:ascii="Times New Roman" w:eastAsiaTheme="majorEastAsia" w:hAnsi="Times New Roman" w:cs="Times New Roman"/>
      <w:sz w:val="26"/>
    </w:rPr>
  </w:style>
  <w:style w:type="paragraph" w:styleId="BodyTextIndent2">
    <w:name w:val="Body Text Indent 2"/>
    <w:basedOn w:val="Normal"/>
    <w:link w:val="BodyTextIndent2Char"/>
    <w:uiPriority w:val="99"/>
    <w:unhideWhenUsed/>
    <w:rsid w:val="00DF400C"/>
    <w:pPr>
      <w:spacing w:after="120" w:line="480" w:lineRule="auto"/>
      <w:ind w:left="360"/>
    </w:pPr>
  </w:style>
  <w:style w:type="character" w:customStyle="1" w:styleId="BodyTextIndent2Char">
    <w:name w:val="Body Text Indent 2 Char"/>
    <w:basedOn w:val="DefaultParagraphFont"/>
    <w:link w:val="BodyTextIndent2"/>
    <w:uiPriority w:val="99"/>
    <w:rsid w:val="00DF400C"/>
    <w:rPr>
      <w:rFonts w:ascii="Calibri" w:eastAsia="Times New Roman" w:hAnsi="Calibri" w:cs="Times New Roman"/>
    </w:rPr>
  </w:style>
  <w:style w:type="paragraph" w:styleId="BlockText">
    <w:name w:val="Block Text"/>
    <w:basedOn w:val="Normal"/>
    <w:uiPriority w:val="99"/>
    <w:semiHidden/>
    <w:unhideWhenUsed/>
    <w:rsid w:val="0087313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440" w:right="1440"/>
    </w:pPr>
    <w:rPr>
      <w:rFonts w:ascii="Times New Roman" w:eastAsiaTheme="minorEastAsia" w:hAnsi="Times New Roman" w:cstheme="minorBidi"/>
      <w:i/>
      <w:iCs/>
      <w:sz w:val="26"/>
    </w:rPr>
  </w:style>
  <w:style w:type="paragraph" w:styleId="Header">
    <w:name w:val="header"/>
    <w:basedOn w:val="Normal"/>
    <w:link w:val="HeaderChar"/>
    <w:uiPriority w:val="99"/>
    <w:unhideWhenUsed/>
    <w:rsid w:val="00DE6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036"/>
    <w:rPr>
      <w:rFonts w:ascii="Calibri" w:eastAsia="Times New Roman" w:hAnsi="Calibri" w:cs="Times New Roman"/>
    </w:rPr>
  </w:style>
  <w:style w:type="paragraph" w:styleId="Footer">
    <w:name w:val="footer"/>
    <w:basedOn w:val="Normal"/>
    <w:link w:val="FooterChar"/>
    <w:uiPriority w:val="99"/>
    <w:unhideWhenUsed/>
    <w:rsid w:val="00DE6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036"/>
    <w:rPr>
      <w:rFonts w:ascii="Calibri" w:eastAsia="Times New Roman" w:hAnsi="Calibri" w:cs="Times New Roman"/>
    </w:rPr>
  </w:style>
  <w:style w:type="character" w:styleId="Hyperlink">
    <w:name w:val="Hyperlink"/>
    <w:basedOn w:val="DefaultParagraphFont"/>
    <w:uiPriority w:val="99"/>
    <w:unhideWhenUsed/>
    <w:rsid w:val="00493916"/>
    <w:rPr>
      <w:color w:val="0000FF" w:themeColor="hyperlink"/>
      <w:u w:val="single"/>
    </w:rPr>
  </w:style>
  <w:style w:type="paragraph" w:styleId="TOC1">
    <w:name w:val="toc 1"/>
    <w:basedOn w:val="Normal"/>
    <w:next w:val="Normal"/>
    <w:autoRedefine/>
    <w:uiPriority w:val="39"/>
    <w:unhideWhenUsed/>
    <w:rsid w:val="00B0485D"/>
    <w:pPr>
      <w:tabs>
        <w:tab w:val="right" w:leader="dot" w:pos="9350"/>
      </w:tabs>
      <w:spacing w:before="240" w:after="240" w:line="240" w:lineRule="auto"/>
    </w:pPr>
    <w:rPr>
      <w:rFonts w:ascii="Times New Roman" w:hAnsi="Times New Roman"/>
      <w:sz w:val="26"/>
    </w:rPr>
  </w:style>
  <w:style w:type="paragraph" w:styleId="TOC3">
    <w:name w:val="toc 3"/>
    <w:basedOn w:val="Normal"/>
    <w:next w:val="Normal"/>
    <w:autoRedefine/>
    <w:uiPriority w:val="39"/>
    <w:unhideWhenUsed/>
    <w:rsid w:val="00B0485D"/>
    <w:pPr>
      <w:tabs>
        <w:tab w:val="right" w:leader="dot" w:pos="9350"/>
      </w:tabs>
      <w:spacing w:before="240" w:after="240" w:line="240" w:lineRule="auto"/>
      <w:ind w:left="2160" w:right="1440" w:hanging="720"/>
    </w:pPr>
    <w:rPr>
      <w:rFonts w:ascii="Times New Roman" w:hAnsi="Times New Roman"/>
      <w:sz w:val="26"/>
    </w:rPr>
  </w:style>
  <w:style w:type="paragraph" w:styleId="TOC2">
    <w:name w:val="toc 2"/>
    <w:basedOn w:val="Normal"/>
    <w:next w:val="Normal"/>
    <w:autoRedefine/>
    <w:uiPriority w:val="39"/>
    <w:unhideWhenUsed/>
    <w:rsid w:val="00B0485D"/>
    <w:pPr>
      <w:tabs>
        <w:tab w:val="left" w:pos="660"/>
        <w:tab w:val="right" w:leader="dot" w:pos="9350"/>
      </w:tabs>
      <w:spacing w:before="240" w:after="240" w:line="240" w:lineRule="auto"/>
      <w:ind w:left="1440" w:hanging="720"/>
    </w:pPr>
    <w:rPr>
      <w:rFonts w:ascii="Times New Roman" w:hAnsi="Times New Roman"/>
      <w:sz w:val="26"/>
    </w:rPr>
  </w:style>
  <w:style w:type="paragraph" w:customStyle="1" w:styleId="Textstyle">
    <w:name w:val="Text style"/>
    <w:basedOn w:val="BodyTextFirstIndent"/>
    <w:autoRedefine/>
    <w:rsid w:val="005F15EE"/>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34035">
      <w:bodyDiv w:val="1"/>
      <w:marLeft w:val="0"/>
      <w:marRight w:val="0"/>
      <w:marTop w:val="0"/>
      <w:marBottom w:val="0"/>
      <w:divBdr>
        <w:top w:val="none" w:sz="0" w:space="0" w:color="auto"/>
        <w:left w:val="none" w:sz="0" w:space="0" w:color="auto"/>
        <w:bottom w:val="none" w:sz="0" w:space="0" w:color="auto"/>
        <w:right w:val="none" w:sz="0" w:space="0" w:color="auto"/>
      </w:divBdr>
      <w:divsChild>
        <w:div w:id="1140266854">
          <w:marLeft w:val="0"/>
          <w:marRight w:val="-5040"/>
          <w:marTop w:val="0"/>
          <w:marBottom w:val="0"/>
          <w:divBdr>
            <w:top w:val="none" w:sz="0" w:space="0" w:color="auto"/>
            <w:left w:val="none" w:sz="0" w:space="0" w:color="auto"/>
            <w:bottom w:val="none" w:sz="0" w:space="0" w:color="auto"/>
            <w:right w:val="none" w:sz="0" w:space="0" w:color="auto"/>
          </w:divBdr>
          <w:divsChild>
            <w:div w:id="1572544946">
              <w:marLeft w:val="0"/>
              <w:marRight w:val="5040"/>
              <w:marTop w:val="0"/>
              <w:marBottom w:val="0"/>
              <w:divBdr>
                <w:top w:val="none" w:sz="0" w:space="0" w:color="auto"/>
                <w:left w:val="none" w:sz="0" w:space="0" w:color="auto"/>
                <w:bottom w:val="none" w:sz="0" w:space="0" w:color="auto"/>
                <w:right w:val="none" w:sz="0" w:space="0" w:color="auto"/>
              </w:divBdr>
              <w:divsChild>
                <w:div w:id="3831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whitt@carpenterlipps.com" TargetMode="External"/><Relationship Id="rId26" Type="http://schemas.openxmlformats.org/officeDocument/2006/relationships/hyperlink" Target="mailto:tsmith@smcnlaw.com" TargetMode="External"/><Relationship Id="rId3" Type="http://schemas.openxmlformats.org/officeDocument/2006/relationships/styles" Target="styles.xml"/><Relationship Id="rId21" Type="http://schemas.openxmlformats.org/officeDocument/2006/relationships/hyperlink" Target="mailto:cmooney@ohiopartners.org"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ryan.orourke@puc.state.oh.us" TargetMode="External"/><Relationship Id="rId25" Type="http://schemas.openxmlformats.org/officeDocument/2006/relationships/hyperlink" Target="mailto:verrett@occ.state.oh.us" TargetMode="External"/><Relationship Id="rId2" Type="http://schemas.openxmlformats.org/officeDocument/2006/relationships/numbering" Target="numbering.xml"/><Relationship Id="rId16" Type="http://schemas.openxmlformats.org/officeDocument/2006/relationships/hyperlink" Target="mailto:william.wright@puc.state.oh.us" TargetMode="External"/><Relationship Id="rId20" Type="http://schemas.openxmlformats.org/officeDocument/2006/relationships/hyperlink" Target="mailto:thompson@carpenterlipps.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sauer@occ.state.oh.u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serio@occ.state.oh.us" TargetMode="External"/><Relationship Id="rId28" Type="http://schemas.openxmlformats.org/officeDocument/2006/relationships/footer" Target="footer4.xml"/><Relationship Id="rId10" Type="http://schemas.openxmlformats.org/officeDocument/2006/relationships/hyperlink" Target="mailto:ryan.orourke@puc.state.oh.us" TargetMode="External"/><Relationship Id="rId19" Type="http://schemas.openxmlformats.org/officeDocument/2006/relationships/hyperlink" Target="mailto:sechler@carpenterlipps.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illiam.wright@puc.state.oh.us" TargetMode="External"/><Relationship Id="rId14" Type="http://schemas.openxmlformats.org/officeDocument/2006/relationships/header" Target="header2.xml"/><Relationship Id="rId22" Type="http://schemas.openxmlformats.org/officeDocument/2006/relationships/hyperlink" Target="mailto:drinebolt@aol.com" TargetMode="External"/><Relationship Id="rId27" Type="http://schemas.openxmlformats.org/officeDocument/2006/relationships/header" Target="header3.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7F89D-7685-471D-B81C-EF138A80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5522</Words>
  <Characters>31480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36929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dc:creator>
  <cp:lastModifiedBy>Keeton, Kim</cp:lastModifiedBy>
  <cp:revision>9</cp:revision>
  <cp:lastPrinted>2013-10-30T20:06:00Z</cp:lastPrinted>
  <dcterms:created xsi:type="dcterms:W3CDTF">2013-10-30T19:43:00Z</dcterms:created>
  <dcterms:modified xsi:type="dcterms:W3CDTF">2013-10-30T20:06:00Z</dcterms:modified>
</cp:coreProperties>
</file>