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C3" w:rsidRPr="00AF71E9" w:rsidRDefault="00D45FC3" w:rsidP="00D45FC3">
      <w:pPr>
        <w:pStyle w:val="HTMLPreformatted"/>
        <w:jc w:val="center"/>
        <w:rPr>
          <w:rFonts w:ascii="Times New Roman" w:hAnsi="Times New Roman" w:cs="Times New Roman"/>
          <w:b/>
          <w:bCs/>
          <w:sz w:val="24"/>
          <w:szCs w:val="24"/>
        </w:rPr>
      </w:pPr>
      <w:bookmarkStart w:id="0" w:name="_GoBack"/>
      <w:bookmarkEnd w:id="0"/>
      <w:r w:rsidRPr="00AF71E9">
        <w:rPr>
          <w:rFonts w:ascii="Times New Roman" w:hAnsi="Times New Roman" w:cs="Times New Roman"/>
          <w:b/>
          <w:bCs/>
          <w:sz w:val="24"/>
          <w:szCs w:val="24"/>
        </w:rPr>
        <w:t>BEFORE</w:t>
      </w:r>
    </w:p>
    <w:p w:rsidR="00D45FC3" w:rsidRPr="00AF71E9" w:rsidRDefault="00D45FC3" w:rsidP="00D45FC3">
      <w:pPr>
        <w:pStyle w:val="HTMLPreformatted"/>
        <w:jc w:val="center"/>
        <w:rPr>
          <w:rFonts w:ascii="Times New Roman" w:hAnsi="Times New Roman" w:cs="Times New Roman"/>
          <w:sz w:val="24"/>
          <w:szCs w:val="24"/>
        </w:rPr>
      </w:pPr>
      <w:r w:rsidRPr="00AF71E9">
        <w:rPr>
          <w:rFonts w:ascii="Times New Roman" w:hAnsi="Times New Roman" w:cs="Times New Roman"/>
          <w:b/>
          <w:bCs/>
          <w:sz w:val="24"/>
          <w:szCs w:val="24"/>
        </w:rPr>
        <w:t>THE PUBLIC UTILITIES COMMISSION OF OHIO</w:t>
      </w:r>
    </w:p>
    <w:p w:rsidR="00D45FC3" w:rsidRPr="00AF71E9" w:rsidRDefault="00D45FC3" w:rsidP="00D45FC3">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D45FC3" w:rsidRPr="00AF71E9" w:rsidTr="00DB5BDF">
        <w:trPr>
          <w:trHeight w:val="807"/>
        </w:trPr>
        <w:tc>
          <w:tcPr>
            <w:tcW w:w="4332" w:type="dxa"/>
            <w:shd w:val="clear" w:color="auto" w:fill="auto"/>
          </w:tcPr>
          <w:p w:rsidR="00D45FC3" w:rsidRPr="00AF71E9" w:rsidRDefault="00D45FC3" w:rsidP="00DB5BDF">
            <w:pPr>
              <w:pStyle w:val="HTMLPreformatted"/>
              <w:rPr>
                <w:rFonts w:ascii="Times New Roman" w:hAnsi="Times New Roman" w:cs="Times New Roman"/>
                <w:sz w:val="24"/>
                <w:szCs w:val="24"/>
              </w:rPr>
            </w:pPr>
            <w:r w:rsidRPr="00AF71E9">
              <w:rPr>
                <w:rFonts w:ascii="Times New Roman" w:hAnsi="Times New Roman" w:cs="Times New Roman"/>
                <w:sz w:val="24"/>
                <w:szCs w:val="24"/>
              </w:rPr>
              <w:t xml:space="preserve">In the Matter of the Application of Columbia Gas of Ohio, Inc. for Approval to Change Accounting Methods. </w:t>
            </w:r>
          </w:p>
        </w:tc>
        <w:tc>
          <w:tcPr>
            <w:tcW w:w="360" w:type="dxa"/>
            <w:shd w:val="clear" w:color="auto" w:fill="auto"/>
          </w:tcPr>
          <w:p w:rsidR="00D45FC3" w:rsidRPr="00AF71E9" w:rsidRDefault="00D45FC3" w:rsidP="00DB5BDF">
            <w:pPr>
              <w:pStyle w:val="HTMLPreformatted"/>
              <w:rPr>
                <w:rFonts w:ascii="Times New Roman" w:hAnsi="Times New Roman" w:cs="Times New Roman"/>
                <w:sz w:val="24"/>
                <w:szCs w:val="24"/>
              </w:rPr>
            </w:pPr>
            <w:r w:rsidRPr="00AF71E9">
              <w:rPr>
                <w:rFonts w:ascii="Times New Roman" w:hAnsi="Times New Roman" w:cs="Times New Roman"/>
                <w:sz w:val="24"/>
                <w:szCs w:val="24"/>
              </w:rPr>
              <w:t>)</w:t>
            </w:r>
          </w:p>
          <w:p w:rsidR="00D45FC3" w:rsidRPr="00AF71E9" w:rsidRDefault="00D45FC3" w:rsidP="00DB5BDF">
            <w:pPr>
              <w:pStyle w:val="HTMLPreformatted"/>
              <w:rPr>
                <w:rFonts w:ascii="Times New Roman" w:hAnsi="Times New Roman" w:cs="Times New Roman"/>
                <w:sz w:val="24"/>
                <w:szCs w:val="24"/>
              </w:rPr>
            </w:pPr>
            <w:r w:rsidRPr="00AF71E9">
              <w:rPr>
                <w:rFonts w:ascii="Times New Roman" w:hAnsi="Times New Roman" w:cs="Times New Roman"/>
                <w:sz w:val="24"/>
                <w:szCs w:val="24"/>
              </w:rPr>
              <w:t>)</w:t>
            </w:r>
          </w:p>
          <w:p w:rsidR="00D45FC3" w:rsidRPr="00AF71E9" w:rsidRDefault="00D45FC3" w:rsidP="00DB5BDF">
            <w:pPr>
              <w:pStyle w:val="HTMLPreformatted"/>
              <w:rPr>
                <w:rFonts w:ascii="Times New Roman" w:hAnsi="Times New Roman" w:cs="Times New Roman"/>
                <w:sz w:val="24"/>
                <w:szCs w:val="24"/>
              </w:rPr>
            </w:pPr>
            <w:r w:rsidRPr="00AF71E9">
              <w:rPr>
                <w:rFonts w:ascii="Times New Roman" w:hAnsi="Times New Roman" w:cs="Times New Roman"/>
                <w:sz w:val="24"/>
                <w:szCs w:val="24"/>
              </w:rPr>
              <w:t>)</w:t>
            </w:r>
          </w:p>
        </w:tc>
        <w:tc>
          <w:tcPr>
            <w:tcW w:w="4400" w:type="dxa"/>
            <w:shd w:val="clear" w:color="auto" w:fill="auto"/>
          </w:tcPr>
          <w:p w:rsidR="00D45FC3" w:rsidRPr="00AF71E9" w:rsidRDefault="00D45FC3" w:rsidP="00DB5BDF">
            <w:pPr>
              <w:pStyle w:val="HTMLPreformatted"/>
              <w:rPr>
                <w:rFonts w:ascii="Times New Roman" w:hAnsi="Times New Roman" w:cs="Times New Roman"/>
                <w:sz w:val="24"/>
                <w:szCs w:val="24"/>
              </w:rPr>
            </w:pPr>
          </w:p>
          <w:p w:rsidR="00D45FC3" w:rsidRPr="00AF71E9" w:rsidRDefault="00D45FC3" w:rsidP="00DB5BDF">
            <w:pPr>
              <w:pStyle w:val="HTMLPreformatted"/>
              <w:rPr>
                <w:rFonts w:ascii="Times New Roman" w:hAnsi="Times New Roman" w:cs="Times New Roman"/>
                <w:sz w:val="24"/>
                <w:szCs w:val="24"/>
              </w:rPr>
            </w:pPr>
            <w:r w:rsidRPr="00AF71E9">
              <w:rPr>
                <w:rFonts w:ascii="Times New Roman" w:hAnsi="Times New Roman" w:cs="Times New Roman"/>
                <w:sz w:val="24"/>
                <w:szCs w:val="24"/>
              </w:rPr>
              <w:t>Case No. 14-1615-GA-AAM</w:t>
            </w:r>
          </w:p>
          <w:p w:rsidR="00D45FC3" w:rsidRPr="00AF71E9" w:rsidRDefault="00D45FC3" w:rsidP="00DB5BDF">
            <w:pPr>
              <w:pStyle w:val="HTMLPreformatted"/>
              <w:rPr>
                <w:rFonts w:ascii="Times New Roman" w:hAnsi="Times New Roman" w:cs="Times New Roman"/>
                <w:sz w:val="24"/>
                <w:szCs w:val="24"/>
              </w:rPr>
            </w:pPr>
          </w:p>
        </w:tc>
      </w:tr>
    </w:tbl>
    <w:p w:rsidR="00D45FC3" w:rsidRPr="00AF71E9" w:rsidRDefault="00D45FC3" w:rsidP="00D45FC3">
      <w:pPr>
        <w:pBdr>
          <w:bottom w:val="single" w:sz="12" w:space="1" w:color="auto"/>
        </w:pBdr>
        <w:jc w:val="center"/>
        <w:rPr>
          <w:b/>
          <w:szCs w:val="24"/>
        </w:rPr>
      </w:pPr>
    </w:p>
    <w:p w:rsidR="00D45FC3" w:rsidRPr="00AF71E9" w:rsidRDefault="00D45FC3" w:rsidP="00D45FC3">
      <w:pPr>
        <w:jc w:val="center"/>
        <w:rPr>
          <w:b/>
          <w:szCs w:val="24"/>
        </w:rPr>
      </w:pPr>
    </w:p>
    <w:p w:rsidR="00D45FC3" w:rsidRPr="00AF71E9" w:rsidRDefault="00D45FC3" w:rsidP="00D45FC3">
      <w:pPr>
        <w:jc w:val="center"/>
        <w:rPr>
          <w:b/>
          <w:szCs w:val="24"/>
        </w:rPr>
      </w:pPr>
      <w:r w:rsidRPr="00AF71E9">
        <w:rPr>
          <w:b/>
          <w:szCs w:val="24"/>
        </w:rPr>
        <w:t>REPLY COMMENTS</w:t>
      </w:r>
    </w:p>
    <w:p w:rsidR="00D45FC3" w:rsidRPr="00AF71E9" w:rsidRDefault="00D45FC3" w:rsidP="00D45FC3">
      <w:pPr>
        <w:jc w:val="center"/>
        <w:rPr>
          <w:b/>
          <w:szCs w:val="24"/>
        </w:rPr>
      </w:pPr>
      <w:r w:rsidRPr="00AF71E9">
        <w:rPr>
          <w:b/>
          <w:szCs w:val="24"/>
        </w:rPr>
        <w:t>BY</w:t>
      </w:r>
    </w:p>
    <w:p w:rsidR="00D45FC3" w:rsidRPr="00AF71E9" w:rsidRDefault="00D45FC3" w:rsidP="00D45FC3">
      <w:pPr>
        <w:jc w:val="center"/>
        <w:rPr>
          <w:b/>
          <w:szCs w:val="24"/>
        </w:rPr>
      </w:pPr>
      <w:r w:rsidRPr="00AF71E9">
        <w:rPr>
          <w:b/>
          <w:szCs w:val="24"/>
        </w:rPr>
        <w:t>THE OFFICE OF THE OHIO CONSUMERS’ COUNSEL</w:t>
      </w:r>
    </w:p>
    <w:p w:rsidR="00D45FC3" w:rsidRPr="00AF71E9" w:rsidRDefault="00D45FC3" w:rsidP="00D45FC3">
      <w:pPr>
        <w:pBdr>
          <w:bottom w:val="single" w:sz="12" w:space="1" w:color="auto"/>
        </w:pBdr>
        <w:jc w:val="center"/>
        <w:rPr>
          <w:b/>
          <w:szCs w:val="24"/>
        </w:rPr>
      </w:pPr>
    </w:p>
    <w:p w:rsidR="00D45FC3" w:rsidRPr="00AF71E9" w:rsidRDefault="00D45FC3" w:rsidP="00D45FC3">
      <w:pPr>
        <w:pStyle w:val="BodyTextIndent3"/>
        <w:widowControl w:val="0"/>
        <w:spacing w:line="480" w:lineRule="auto"/>
        <w:ind w:right="-672" w:firstLine="0"/>
        <w:rPr>
          <w:szCs w:val="24"/>
        </w:rPr>
      </w:pPr>
    </w:p>
    <w:p w:rsidR="00D45FC3" w:rsidRPr="00AF71E9" w:rsidRDefault="00D45FC3" w:rsidP="00D45FC3">
      <w:pPr>
        <w:pStyle w:val="Heading1"/>
      </w:pPr>
      <w:bookmarkStart w:id="1" w:name="_Toc403985584"/>
      <w:r w:rsidRPr="00AF71E9">
        <w:t>I.</w:t>
      </w:r>
      <w:r w:rsidRPr="00AF71E9">
        <w:tab/>
        <w:t>INTRODUCTION</w:t>
      </w:r>
      <w:bookmarkEnd w:id="1"/>
    </w:p>
    <w:p w:rsidR="00D45FC3" w:rsidRPr="00AF71E9" w:rsidRDefault="00D45FC3" w:rsidP="00D45FC3">
      <w:pPr>
        <w:pStyle w:val="BodyTextIndent3"/>
        <w:widowControl w:val="0"/>
        <w:spacing w:line="480" w:lineRule="auto"/>
        <w:rPr>
          <w:szCs w:val="24"/>
        </w:rPr>
      </w:pPr>
      <w:r w:rsidRPr="00AF71E9">
        <w:rPr>
          <w:szCs w:val="24"/>
        </w:rPr>
        <w:t xml:space="preserve">On September 9, 2014, Columbia Gas of Ohio, Inc., (“Columbia” or “the Utility”) filed an Application </w:t>
      </w:r>
      <w:r w:rsidR="00DB5BDF">
        <w:rPr>
          <w:szCs w:val="24"/>
        </w:rPr>
        <w:t xml:space="preserve">seeking approval </w:t>
      </w:r>
      <w:r w:rsidRPr="00AF71E9">
        <w:rPr>
          <w:szCs w:val="24"/>
        </w:rPr>
        <w:t>from the Public Utilities Commission of Ohio (“PUCO”) to modify its accounting procedures</w:t>
      </w:r>
      <w:r w:rsidR="00525011">
        <w:rPr>
          <w:szCs w:val="24"/>
        </w:rPr>
        <w:t xml:space="preserve">. </w:t>
      </w:r>
      <w:r w:rsidR="00DB5BDF">
        <w:rPr>
          <w:szCs w:val="24"/>
        </w:rPr>
        <w:t>Specifically the Utility asked for authority</w:t>
      </w:r>
      <w:r w:rsidRPr="00AF71E9">
        <w:rPr>
          <w:szCs w:val="24"/>
        </w:rPr>
        <w:t xml:space="preserve"> to defer the expenses of its Pipeline Safety Program (“PSP”). Such accounting is a prelude t</w:t>
      </w:r>
      <w:r w:rsidR="0024152F">
        <w:rPr>
          <w:szCs w:val="24"/>
        </w:rPr>
        <w:t>o rate increases to customers.</w:t>
      </w:r>
    </w:p>
    <w:p w:rsidR="00DB5BDF" w:rsidRDefault="00D45FC3" w:rsidP="00D45FC3">
      <w:pPr>
        <w:pStyle w:val="BodyTextIndent3"/>
        <w:widowControl w:val="0"/>
        <w:spacing w:line="480" w:lineRule="auto"/>
        <w:rPr>
          <w:szCs w:val="24"/>
        </w:rPr>
      </w:pPr>
      <w:r w:rsidRPr="00AF71E9">
        <w:rPr>
          <w:szCs w:val="24"/>
        </w:rPr>
        <w:t xml:space="preserve">Parties were required to file Motions to Intervene and Initial Comments by November 17, 2014, and Reply Comments by December 2, 2014. Initial Comments were timely filed by the PUCO Staff (“Staff”), the Office of the Ohio Consumers’ Counsel (“OCC”), and the Ohio Partners </w:t>
      </w:r>
      <w:r w:rsidR="0024152F">
        <w:rPr>
          <w:szCs w:val="24"/>
        </w:rPr>
        <w:t>for Affordable Energy (“OPAE”).</w:t>
      </w:r>
    </w:p>
    <w:p w:rsidR="00D45FC3" w:rsidRDefault="00D45FC3" w:rsidP="00D45FC3">
      <w:pPr>
        <w:pStyle w:val="BodyTextIndent3"/>
        <w:widowControl w:val="0"/>
        <w:spacing w:line="480" w:lineRule="auto"/>
        <w:rPr>
          <w:szCs w:val="24"/>
        </w:rPr>
      </w:pPr>
      <w:r w:rsidRPr="00AF71E9">
        <w:rPr>
          <w:szCs w:val="24"/>
        </w:rPr>
        <w:t>The OCC appreciates the opportunity to file these Reply Comments on behalf of the 1.3 million residential customers provided natural gas service by Columbia. These comments demonstrate that Columbia’s request for deferral authority should be denied.</w:t>
      </w:r>
    </w:p>
    <w:p w:rsidR="000C19F3" w:rsidRPr="00AF71E9" w:rsidRDefault="000C19F3" w:rsidP="000C19F3">
      <w:pPr>
        <w:pStyle w:val="BodyTextIndent3"/>
        <w:widowControl w:val="0"/>
        <w:spacing w:line="240" w:lineRule="auto"/>
        <w:rPr>
          <w:szCs w:val="24"/>
        </w:rPr>
      </w:pPr>
    </w:p>
    <w:p w:rsidR="00D45FC3" w:rsidRPr="00AF71E9" w:rsidRDefault="00D45FC3" w:rsidP="00D45FC3">
      <w:pPr>
        <w:pStyle w:val="Heading1"/>
      </w:pPr>
      <w:bookmarkStart w:id="2" w:name="_Toc403985585"/>
      <w:r w:rsidRPr="00AF71E9">
        <w:lastRenderedPageBreak/>
        <w:t>ii.</w:t>
      </w:r>
      <w:r w:rsidRPr="00AF71E9">
        <w:tab/>
      </w:r>
      <w:bookmarkEnd w:id="2"/>
      <w:r w:rsidRPr="00AF71E9">
        <w:t>reply to comments of the puco staff</w:t>
      </w:r>
      <w:r w:rsidR="005E1220">
        <w:t xml:space="preserve"> </w:t>
      </w:r>
    </w:p>
    <w:p w:rsidR="00D45FC3" w:rsidRPr="00AF71E9" w:rsidRDefault="0018163C" w:rsidP="0018163C">
      <w:pPr>
        <w:pStyle w:val="Heading2"/>
      </w:pPr>
      <w:bookmarkStart w:id="3" w:name="_Toc403985587"/>
      <w:r>
        <w:t>A.</w:t>
      </w:r>
      <w:r>
        <w:tab/>
      </w:r>
      <w:r w:rsidR="00D45FC3" w:rsidRPr="00AF71E9">
        <w:t xml:space="preserve">The Staff </w:t>
      </w:r>
      <w:r w:rsidR="00A56820">
        <w:t xml:space="preserve">Comments </w:t>
      </w:r>
      <w:r w:rsidR="00D45FC3" w:rsidRPr="00AF71E9">
        <w:t>failed to</w:t>
      </w:r>
      <w:r w:rsidR="007C4C3F" w:rsidRPr="00AF71E9">
        <w:t xml:space="preserve"> </w:t>
      </w:r>
      <w:r w:rsidR="004715DD">
        <w:t xml:space="preserve">consider </w:t>
      </w:r>
      <w:r w:rsidR="007C4C3F" w:rsidRPr="00AF71E9">
        <w:t xml:space="preserve">whether Columbia’s </w:t>
      </w:r>
      <w:r>
        <w:t>A</w:t>
      </w:r>
      <w:r w:rsidR="00D45FC3" w:rsidRPr="00AF71E9">
        <w:t>pplication meets any of the PUCO standards for deferral authority.</w:t>
      </w:r>
      <w:bookmarkEnd w:id="3"/>
    </w:p>
    <w:p w:rsidR="00C5105E" w:rsidRPr="00AF71E9" w:rsidRDefault="00EB620A" w:rsidP="00E054CC">
      <w:pPr>
        <w:spacing w:line="480" w:lineRule="auto"/>
        <w:ind w:firstLine="720"/>
        <w:rPr>
          <w:szCs w:val="24"/>
        </w:rPr>
      </w:pPr>
      <w:r>
        <w:rPr>
          <w:szCs w:val="24"/>
        </w:rPr>
        <w:t>T</w:t>
      </w:r>
      <w:r w:rsidR="00E959CA">
        <w:rPr>
          <w:szCs w:val="24"/>
        </w:rPr>
        <w:t>he OCC</w:t>
      </w:r>
      <w:r>
        <w:rPr>
          <w:szCs w:val="24"/>
        </w:rPr>
        <w:t xml:space="preserve">’s initial comments </w:t>
      </w:r>
      <w:r w:rsidR="00D45FC3" w:rsidRPr="00AF71E9">
        <w:rPr>
          <w:szCs w:val="24"/>
        </w:rPr>
        <w:t xml:space="preserve">explained </w:t>
      </w:r>
      <w:r w:rsidR="007C4C3F" w:rsidRPr="00AF71E9">
        <w:rPr>
          <w:szCs w:val="24"/>
        </w:rPr>
        <w:t xml:space="preserve">that </w:t>
      </w:r>
      <w:r w:rsidR="00D45FC3" w:rsidRPr="00AF71E9">
        <w:rPr>
          <w:szCs w:val="24"/>
        </w:rPr>
        <w:t>when a utility makes a request for deferral authority</w:t>
      </w:r>
      <w:r w:rsidR="007C4C3F" w:rsidRPr="00AF71E9">
        <w:rPr>
          <w:szCs w:val="24"/>
        </w:rPr>
        <w:t>, granting the request is: (1) a discretionary matter within the PUCO’s authority; and (2) only allowed if the utility has met several criteria.</w:t>
      </w:r>
      <w:r w:rsidR="007C4C3F" w:rsidRPr="00AF71E9">
        <w:rPr>
          <w:rStyle w:val="FootnoteReference"/>
          <w:szCs w:val="24"/>
        </w:rPr>
        <w:footnoteReference w:id="1"/>
      </w:r>
      <w:r w:rsidR="00D45FC3" w:rsidRPr="00AF71E9">
        <w:rPr>
          <w:szCs w:val="24"/>
        </w:rPr>
        <w:t xml:space="preserve"> The established principle is that a utility requesting deferral authority must demonstrate that both exigent circumstances and good cause or reason exist for why the expenses should be treated differently from ordinary utility expenses.</w:t>
      </w:r>
      <w:r w:rsidR="0080339B" w:rsidRPr="00AF71E9">
        <w:rPr>
          <w:rStyle w:val="FootnoteReference"/>
          <w:szCs w:val="24"/>
        </w:rPr>
        <w:footnoteReference w:id="2"/>
      </w:r>
      <w:r w:rsidR="00D45FC3" w:rsidRPr="00AF71E9">
        <w:rPr>
          <w:szCs w:val="24"/>
        </w:rPr>
        <w:t xml:space="preserve"> Furthermore, the OCC explained that the costs in question must be review</w:t>
      </w:r>
      <w:r w:rsidR="00DB5BDF">
        <w:rPr>
          <w:szCs w:val="24"/>
        </w:rPr>
        <w:t>ed</w:t>
      </w:r>
      <w:r w:rsidR="00D45FC3" w:rsidRPr="00AF71E9">
        <w:rPr>
          <w:szCs w:val="24"/>
        </w:rPr>
        <w:t xml:space="preserve"> before they are incorporated into rates</w:t>
      </w:r>
      <w:r w:rsidR="0024152F">
        <w:rPr>
          <w:szCs w:val="24"/>
        </w:rPr>
        <w:t xml:space="preserve">. </w:t>
      </w:r>
      <w:r w:rsidR="00DB5BDF">
        <w:rPr>
          <w:szCs w:val="24"/>
        </w:rPr>
        <w:t xml:space="preserve">This is to </w:t>
      </w:r>
      <w:r w:rsidR="00D45FC3" w:rsidRPr="00AF71E9">
        <w:rPr>
          <w:szCs w:val="24"/>
        </w:rPr>
        <w:t>ensur</w:t>
      </w:r>
      <w:r w:rsidR="00DB5BDF">
        <w:rPr>
          <w:szCs w:val="24"/>
        </w:rPr>
        <w:t>e</w:t>
      </w:r>
      <w:r w:rsidR="00D45FC3" w:rsidRPr="00AF71E9">
        <w:rPr>
          <w:szCs w:val="24"/>
        </w:rPr>
        <w:t xml:space="preserve"> that the costs are reasonable, appropriately incurred, and clearly and directly related to the exigent circumstances for which they were authorized.</w:t>
      </w:r>
      <w:r w:rsidR="0024152F">
        <w:rPr>
          <w:rStyle w:val="FootnoteReference"/>
          <w:szCs w:val="24"/>
        </w:rPr>
        <w:footnoteReference w:id="3"/>
      </w:r>
      <w:r w:rsidR="00C5105E" w:rsidRPr="00AF71E9">
        <w:rPr>
          <w:szCs w:val="24"/>
        </w:rPr>
        <w:t xml:space="preserve"> As stated in OCC’s initial comments, these requirements have been recognized and confirmed by the Ohio Supreme Court.</w:t>
      </w:r>
      <w:r w:rsidR="00C5105E" w:rsidRPr="00AF71E9">
        <w:rPr>
          <w:rStyle w:val="FootnoteReference"/>
          <w:szCs w:val="24"/>
        </w:rPr>
        <w:footnoteReference w:id="4"/>
      </w:r>
    </w:p>
    <w:p w:rsidR="00D45FC3" w:rsidRPr="00AF71E9" w:rsidRDefault="00D45FC3" w:rsidP="00D45FC3">
      <w:pPr>
        <w:spacing w:line="480" w:lineRule="auto"/>
        <w:ind w:firstLine="720"/>
        <w:rPr>
          <w:szCs w:val="24"/>
        </w:rPr>
      </w:pPr>
      <w:r w:rsidRPr="00AF71E9">
        <w:rPr>
          <w:szCs w:val="24"/>
        </w:rPr>
        <w:t xml:space="preserve">In addition to these two requirements, </w:t>
      </w:r>
      <w:r w:rsidR="007C4C3F" w:rsidRPr="00AF71E9">
        <w:rPr>
          <w:szCs w:val="24"/>
        </w:rPr>
        <w:t xml:space="preserve">the </w:t>
      </w:r>
      <w:r w:rsidRPr="00AF71E9">
        <w:rPr>
          <w:szCs w:val="24"/>
        </w:rPr>
        <w:t xml:space="preserve">PUCO has also </w:t>
      </w:r>
      <w:r w:rsidR="00DB5BDF">
        <w:rPr>
          <w:szCs w:val="24"/>
        </w:rPr>
        <w:t xml:space="preserve">ruled that deferral accounting is only appropriate for expenses that are not </w:t>
      </w:r>
      <w:r w:rsidRPr="00AF71E9">
        <w:rPr>
          <w:szCs w:val="24"/>
        </w:rPr>
        <w:t>already included in the utility’s base rates</w:t>
      </w:r>
      <w:r w:rsidR="00DB5BDF">
        <w:rPr>
          <w:szCs w:val="24"/>
        </w:rPr>
        <w:t>.</w:t>
      </w:r>
      <w:r w:rsidR="00DB5BDF">
        <w:rPr>
          <w:rStyle w:val="FootnoteReference"/>
          <w:szCs w:val="24"/>
        </w:rPr>
        <w:footnoteReference w:id="5"/>
      </w:r>
      <w:r w:rsidR="00525011">
        <w:rPr>
          <w:szCs w:val="24"/>
        </w:rPr>
        <w:t xml:space="preserve"> </w:t>
      </w:r>
      <w:r w:rsidR="00DB5BDF">
        <w:rPr>
          <w:szCs w:val="24"/>
        </w:rPr>
        <w:t xml:space="preserve">And, the PUCO has insisted that the utility demonstrate </w:t>
      </w:r>
      <w:r w:rsidRPr="00AF71E9">
        <w:rPr>
          <w:szCs w:val="24"/>
        </w:rPr>
        <w:t>that the expenses are</w:t>
      </w:r>
      <w:r w:rsidR="00DB5BDF">
        <w:rPr>
          <w:szCs w:val="24"/>
        </w:rPr>
        <w:t xml:space="preserve">:  </w:t>
      </w:r>
      <w:r w:rsidRPr="00AF71E9">
        <w:rPr>
          <w:szCs w:val="24"/>
        </w:rPr>
        <w:lastRenderedPageBreak/>
        <w:t xml:space="preserve">reasonable, appropriately incurred, </w:t>
      </w:r>
      <w:r w:rsidR="00DB5BDF">
        <w:rPr>
          <w:szCs w:val="24"/>
        </w:rPr>
        <w:t xml:space="preserve">and </w:t>
      </w:r>
      <w:r w:rsidRPr="00AF71E9">
        <w:rPr>
          <w:szCs w:val="24"/>
        </w:rPr>
        <w:t>clearly and directly related to necessary infrastructure improvements and reliability needs of the utility.</w:t>
      </w:r>
      <w:r w:rsidR="00E5527C" w:rsidRPr="00AF71E9">
        <w:rPr>
          <w:rStyle w:val="FootnoteReference"/>
          <w:szCs w:val="24"/>
        </w:rPr>
        <w:footnoteReference w:id="6"/>
      </w:r>
    </w:p>
    <w:p w:rsidR="00D45FC3" w:rsidRPr="00AF71E9" w:rsidRDefault="00DB5BDF" w:rsidP="00D45FC3">
      <w:pPr>
        <w:spacing w:line="480" w:lineRule="auto"/>
        <w:ind w:firstLine="720"/>
        <w:rPr>
          <w:szCs w:val="24"/>
        </w:rPr>
      </w:pPr>
      <w:r>
        <w:rPr>
          <w:szCs w:val="24"/>
        </w:rPr>
        <w:t>T</w:t>
      </w:r>
      <w:r w:rsidR="00145457">
        <w:rPr>
          <w:szCs w:val="24"/>
        </w:rPr>
        <w:t xml:space="preserve">he </w:t>
      </w:r>
      <w:r w:rsidR="00D45FC3" w:rsidRPr="00AF71E9">
        <w:rPr>
          <w:szCs w:val="24"/>
        </w:rPr>
        <w:t>Staf</w:t>
      </w:r>
      <w:r w:rsidR="00525011">
        <w:rPr>
          <w:szCs w:val="24"/>
        </w:rPr>
        <w:t>f, however, ignores</w:t>
      </w:r>
      <w:r w:rsidR="00D45FC3" w:rsidRPr="00AF71E9">
        <w:rPr>
          <w:szCs w:val="24"/>
        </w:rPr>
        <w:t xml:space="preserve"> these well-established </w:t>
      </w:r>
      <w:r w:rsidR="00525011">
        <w:rPr>
          <w:szCs w:val="24"/>
        </w:rPr>
        <w:t>principles and</w:t>
      </w:r>
      <w:r w:rsidR="00D45FC3" w:rsidRPr="00AF71E9">
        <w:rPr>
          <w:szCs w:val="24"/>
        </w:rPr>
        <w:t xml:space="preserve"> make</w:t>
      </w:r>
      <w:r>
        <w:rPr>
          <w:szCs w:val="24"/>
        </w:rPr>
        <w:t>s</w:t>
      </w:r>
      <w:r w:rsidR="00D45FC3" w:rsidRPr="00AF71E9">
        <w:rPr>
          <w:szCs w:val="24"/>
        </w:rPr>
        <w:t xml:space="preserve"> contradictory recommendations</w:t>
      </w:r>
      <w:r>
        <w:rPr>
          <w:szCs w:val="24"/>
        </w:rPr>
        <w:t xml:space="preserve"> in its comments</w:t>
      </w:r>
      <w:r w:rsidR="00D45FC3" w:rsidRPr="00AF71E9">
        <w:rPr>
          <w:szCs w:val="24"/>
        </w:rPr>
        <w:t xml:space="preserve">. For example, </w:t>
      </w:r>
      <w:r w:rsidR="00145457">
        <w:rPr>
          <w:szCs w:val="24"/>
        </w:rPr>
        <w:t xml:space="preserve">the </w:t>
      </w:r>
      <w:r w:rsidR="00D45FC3" w:rsidRPr="00AF71E9">
        <w:rPr>
          <w:szCs w:val="24"/>
        </w:rPr>
        <w:t xml:space="preserve">Staff recommends that the PUCO adopt Columbia’s proposal to hold regular meetings, </w:t>
      </w:r>
      <w:r w:rsidR="00D45FC3" w:rsidRPr="00AF71E9">
        <w:rPr>
          <w:i/>
          <w:szCs w:val="24"/>
        </w:rPr>
        <w:t>i.e.,</w:t>
      </w:r>
      <w:r w:rsidR="00D45FC3" w:rsidRPr="00AF71E9">
        <w:rPr>
          <w:szCs w:val="24"/>
        </w:rPr>
        <w:t xml:space="preserve"> two per year, between Staff and the Utility to review and discuss the progress of the PSP.</w:t>
      </w:r>
      <w:r w:rsidR="00C51968" w:rsidRPr="00AF71E9">
        <w:rPr>
          <w:rStyle w:val="FootnoteReference"/>
          <w:szCs w:val="24"/>
        </w:rPr>
        <w:footnoteReference w:id="7"/>
      </w:r>
      <w:r w:rsidR="00D45FC3" w:rsidRPr="00AF71E9">
        <w:rPr>
          <w:szCs w:val="24"/>
        </w:rPr>
        <w:t xml:space="preserve"> In its comments, </w:t>
      </w:r>
      <w:r w:rsidR="00145457">
        <w:rPr>
          <w:szCs w:val="24"/>
        </w:rPr>
        <w:t xml:space="preserve">the </w:t>
      </w:r>
      <w:r w:rsidR="00D45FC3" w:rsidRPr="00AF71E9">
        <w:rPr>
          <w:szCs w:val="24"/>
        </w:rPr>
        <w:t>Staff justifies its recommendation, in part, by statin</w:t>
      </w:r>
      <w:r w:rsidR="0024152F">
        <w:rPr>
          <w:szCs w:val="24"/>
        </w:rPr>
        <w:t>g that:</w:t>
      </w:r>
    </w:p>
    <w:p w:rsidR="00D45FC3" w:rsidRPr="00AF71E9" w:rsidRDefault="005A3995" w:rsidP="00E959CA">
      <w:pPr>
        <w:ind w:left="1440" w:right="720"/>
        <w:rPr>
          <w:szCs w:val="24"/>
        </w:rPr>
      </w:pPr>
      <w:r>
        <w:rPr>
          <w:szCs w:val="24"/>
        </w:rPr>
        <w:t>[t]</w:t>
      </w:r>
      <w:r w:rsidR="00D45FC3" w:rsidRPr="00AF71E9">
        <w:rPr>
          <w:szCs w:val="24"/>
        </w:rPr>
        <w:t>he Company recognizes that significant portions of the PSP involve future investigations and that the results of those investigations are unknown.  Similarly, as Columbia measures the effectiveness of various projects and programs undertaken under the proposed safety initiatives, it may determine that some projects or programs are inefficient or ineffective.  As a result, the Company may need to modify its plans and projects or reallocate resources to respond to the results of future investigations or changing conditions.</w:t>
      </w:r>
      <w:r w:rsidR="00D45FC3" w:rsidRPr="00AF71E9">
        <w:rPr>
          <w:rStyle w:val="FootnoteReference"/>
          <w:szCs w:val="24"/>
        </w:rPr>
        <w:footnoteReference w:id="8"/>
      </w:r>
    </w:p>
    <w:p w:rsidR="00D45FC3" w:rsidRPr="00AF71E9" w:rsidRDefault="00D45FC3" w:rsidP="00D45FC3">
      <w:pPr>
        <w:ind w:right="720"/>
        <w:rPr>
          <w:szCs w:val="24"/>
        </w:rPr>
      </w:pPr>
    </w:p>
    <w:p w:rsidR="00DB5BDF" w:rsidRDefault="00145457" w:rsidP="00E054CC">
      <w:pPr>
        <w:spacing w:line="480" w:lineRule="auto"/>
        <w:ind w:firstLine="720"/>
        <w:rPr>
          <w:szCs w:val="24"/>
        </w:rPr>
      </w:pPr>
      <w:r>
        <w:rPr>
          <w:szCs w:val="24"/>
        </w:rPr>
        <w:t xml:space="preserve">The </w:t>
      </w:r>
      <w:r w:rsidR="00E959CA">
        <w:rPr>
          <w:szCs w:val="24"/>
        </w:rPr>
        <w:t>Staff’s reasoning only further points out</w:t>
      </w:r>
      <w:r w:rsidR="00D45FC3" w:rsidRPr="00AF71E9">
        <w:rPr>
          <w:szCs w:val="24"/>
        </w:rPr>
        <w:t xml:space="preserve"> why Columbia’s request for deferral authority should not be approved. First, Staff’s reasoning attests to the fact that Colu</w:t>
      </w:r>
      <w:r w:rsidR="00D97875">
        <w:rPr>
          <w:szCs w:val="24"/>
        </w:rPr>
        <w:t>mbia’s application fails to demonstrate</w:t>
      </w:r>
      <w:r w:rsidR="00EB620A">
        <w:rPr>
          <w:szCs w:val="24"/>
        </w:rPr>
        <w:t>,</w:t>
      </w:r>
      <w:r w:rsidR="00D97875">
        <w:rPr>
          <w:szCs w:val="24"/>
        </w:rPr>
        <w:t xml:space="preserve"> or even</w:t>
      </w:r>
      <w:r w:rsidR="00D45FC3" w:rsidRPr="00AF71E9">
        <w:rPr>
          <w:szCs w:val="24"/>
        </w:rPr>
        <w:t xml:space="preserve"> confirm</w:t>
      </w:r>
      <w:r w:rsidR="00647F78">
        <w:rPr>
          <w:szCs w:val="24"/>
        </w:rPr>
        <w:t>,</w:t>
      </w:r>
      <w:r w:rsidR="00D45FC3" w:rsidRPr="00AF71E9">
        <w:rPr>
          <w:szCs w:val="24"/>
        </w:rPr>
        <w:t xml:space="preserve"> the existence of the re</w:t>
      </w:r>
      <w:r w:rsidR="00647F78">
        <w:rPr>
          <w:szCs w:val="24"/>
        </w:rPr>
        <w:t>quisite “exigent circumstances.”</w:t>
      </w:r>
      <w:r w:rsidR="00525011">
        <w:rPr>
          <w:szCs w:val="24"/>
        </w:rPr>
        <w:t xml:space="preserve"> </w:t>
      </w:r>
      <w:r w:rsidR="00DB5BDF">
        <w:rPr>
          <w:szCs w:val="24"/>
        </w:rPr>
        <w:t>And exigent circumstances are one of the factors that must be present to justify the extraordinary regulatory relief provided by deferral accounting.</w:t>
      </w:r>
    </w:p>
    <w:p w:rsidR="00DB5BDF" w:rsidRDefault="00DB5BDF" w:rsidP="00E054CC">
      <w:pPr>
        <w:spacing w:line="480" w:lineRule="auto"/>
        <w:ind w:firstLine="720"/>
        <w:rPr>
          <w:szCs w:val="24"/>
        </w:rPr>
      </w:pPr>
      <w:r>
        <w:rPr>
          <w:szCs w:val="24"/>
        </w:rPr>
        <w:t xml:space="preserve">“Exigent circumstances” are inconsistent with a regular review process such as that recommended by the PUCO Staff.  </w:t>
      </w:r>
      <w:r w:rsidR="00233836" w:rsidRPr="00AF71E9">
        <w:rPr>
          <w:szCs w:val="24"/>
        </w:rPr>
        <w:t>Black</w:t>
      </w:r>
      <w:r w:rsidR="00D45FC3" w:rsidRPr="00AF71E9">
        <w:rPr>
          <w:szCs w:val="24"/>
        </w:rPr>
        <w:t xml:space="preserve">’s </w:t>
      </w:r>
      <w:r w:rsidR="00233836" w:rsidRPr="00AF71E9">
        <w:rPr>
          <w:szCs w:val="24"/>
        </w:rPr>
        <w:t>Law Dictionary defines “exigent circumstance</w:t>
      </w:r>
      <w:r w:rsidR="00D45FC3" w:rsidRPr="00AF71E9">
        <w:rPr>
          <w:szCs w:val="24"/>
        </w:rPr>
        <w:t>” as</w:t>
      </w:r>
      <w:r w:rsidR="00233836" w:rsidRPr="00AF71E9">
        <w:rPr>
          <w:szCs w:val="24"/>
        </w:rPr>
        <w:t xml:space="preserve"> “[a] situation that demands unusual or </w:t>
      </w:r>
      <w:r w:rsidR="00233836" w:rsidRPr="00AF71E9">
        <w:rPr>
          <w:b/>
          <w:szCs w:val="24"/>
        </w:rPr>
        <w:t>immediate action</w:t>
      </w:r>
      <w:r w:rsidR="00233836" w:rsidRPr="00AF71E9">
        <w:rPr>
          <w:szCs w:val="24"/>
        </w:rPr>
        <w:t xml:space="preserve"> and that may </w:t>
      </w:r>
      <w:r w:rsidR="00233836" w:rsidRPr="00AF71E9">
        <w:rPr>
          <w:szCs w:val="24"/>
        </w:rPr>
        <w:lastRenderedPageBreak/>
        <w:t>allow people to circumvent usual procedures, as when a neighbor breaks through a window of a burning house to save someone inside.”</w:t>
      </w:r>
      <w:r w:rsidR="00E3240E" w:rsidRPr="00AF71E9">
        <w:rPr>
          <w:rStyle w:val="FootnoteReference"/>
          <w:szCs w:val="24"/>
        </w:rPr>
        <w:footnoteReference w:id="9"/>
      </w:r>
      <w:r w:rsidR="00A82CB3">
        <w:rPr>
          <w:szCs w:val="24"/>
        </w:rPr>
        <w:t xml:space="preserve"> Also, </w:t>
      </w:r>
      <w:r w:rsidR="00233836" w:rsidRPr="00AF71E9">
        <w:rPr>
          <w:szCs w:val="24"/>
        </w:rPr>
        <w:t xml:space="preserve">Black’s Law Dictionary defines “exigency” as </w:t>
      </w:r>
      <w:r w:rsidR="00D45FC3" w:rsidRPr="00AF71E9">
        <w:rPr>
          <w:szCs w:val="24"/>
        </w:rPr>
        <w:t>“[a] state of urgency; a situation requiring immediate action.”</w:t>
      </w:r>
      <w:r w:rsidR="00D45FC3" w:rsidRPr="00AF71E9">
        <w:rPr>
          <w:rStyle w:val="FootnoteReference"/>
          <w:szCs w:val="24"/>
        </w:rPr>
        <w:footnoteReference w:id="10"/>
      </w:r>
    </w:p>
    <w:p w:rsidR="00D45FC3" w:rsidRPr="00AF71E9" w:rsidRDefault="00DB5BDF" w:rsidP="00DB5BDF">
      <w:pPr>
        <w:spacing w:line="480" w:lineRule="auto"/>
        <w:ind w:firstLine="720"/>
        <w:rPr>
          <w:szCs w:val="24"/>
        </w:rPr>
      </w:pPr>
      <w:r>
        <w:rPr>
          <w:szCs w:val="24"/>
        </w:rPr>
        <w:t>W</w:t>
      </w:r>
      <w:r w:rsidR="00233836" w:rsidRPr="00AF71E9">
        <w:rPr>
          <w:szCs w:val="24"/>
        </w:rPr>
        <w:t>hat is required</w:t>
      </w:r>
      <w:r w:rsidR="00BF12FC">
        <w:rPr>
          <w:szCs w:val="24"/>
        </w:rPr>
        <w:t xml:space="preserve">, in part, </w:t>
      </w:r>
      <w:r w:rsidR="00223949" w:rsidRPr="00AF71E9">
        <w:rPr>
          <w:szCs w:val="24"/>
        </w:rPr>
        <w:t xml:space="preserve">for deferral authority </w:t>
      </w:r>
      <w:r w:rsidR="00233836" w:rsidRPr="00AF71E9">
        <w:rPr>
          <w:szCs w:val="24"/>
        </w:rPr>
        <w:t xml:space="preserve">is a </w:t>
      </w:r>
      <w:r w:rsidR="00DF0325" w:rsidRPr="00AF71E9">
        <w:rPr>
          <w:szCs w:val="24"/>
        </w:rPr>
        <w:t>situation that was</w:t>
      </w:r>
      <w:r w:rsidR="00223949" w:rsidRPr="00AF71E9">
        <w:rPr>
          <w:szCs w:val="24"/>
        </w:rPr>
        <w:t>, presumably,</w:t>
      </w:r>
      <w:r w:rsidR="00DF0325" w:rsidRPr="00AF71E9">
        <w:rPr>
          <w:szCs w:val="24"/>
        </w:rPr>
        <w:t xml:space="preserve"> unexpected and requires the </w:t>
      </w:r>
      <w:r w:rsidR="00BF12FC">
        <w:rPr>
          <w:szCs w:val="24"/>
        </w:rPr>
        <w:t>expenses to be immediately incurred</w:t>
      </w:r>
      <w:r w:rsidR="00DF0325" w:rsidRPr="00AF71E9">
        <w:rPr>
          <w:szCs w:val="24"/>
        </w:rPr>
        <w:t xml:space="preserve"> to remedy</w:t>
      </w:r>
      <w:r w:rsidR="00BF12FC">
        <w:rPr>
          <w:szCs w:val="24"/>
        </w:rPr>
        <w:t xml:space="preserve"> an impending problem</w:t>
      </w:r>
      <w:r w:rsidR="00DF0325" w:rsidRPr="00AF71E9">
        <w:rPr>
          <w:szCs w:val="24"/>
        </w:rPr>
        <w:t>.</w:t>
      </w:r>
      <w:r w:rsidR="00233836" w:rsidRPr="00AF71E9">
        <w:rPr>
          <w:szCs w:val="24"/>
        </w:rPr>
        <w:t xml:space="preserve"> </w:t>
      </w:r>
      <w:r w:rsidR="00525011">
        <w:rPr>
          <w:szCs w:val="24"/>
        </w:rPr>
        <w:t>Here, no such situation exists.</w:t>
      </w:r>
      <w:r w:rsidR="00D45FC3" w:rsidRPr="00AF71E9">
        <w:rPr>
          <w:szCs w:val="24"/>
        </w:rPr>
        <w:t xml:space="preserve"> In fact, </w:t>
      </w:r>
      <w:r w:rsidR="001A12C5" w:rsidRPr="00AF71E9">
        <w:rPr>
          <w:szCs w:val="24"/>
        </w:rPr>
        <w:t xml:space="preserve">Staff’s comments acknowledge that </w:t>
      </w:r>
      <w:r w:rsidR="00D45FC3" w:rsidRPr="00AF71E9">
        <w:rPr>
          <w:szCs w:val="24"/>
        </w:rPr>
        <w:t>“</w:t>
      </w:r>
      <w:r w:rsidR="001A12C5" w:rsidRPr="00AF71E9">
        <w:rPr>
          <w:szCs w:val="24"/>
        </w:rPr>
        <w:t xml:space="preserve">[Columbia] </w:t>
      </w:r>
      <w:r w:rsidR="00D45FC3" w:rsidRPr="00AF71E9">
        <w:rPr>
          <w:szCs w:val="24"/>
        </w:rPr>
        <w:t>recognize</w:t>
      </w:r>
      <w:r w:rsidR="001A12C5" w:rsidRPr="00AF71E9">
        <w:rPr>
          <w:szCs w:val="24"/>
        </w:rPr>
        <w:t>s</w:t>
      </w:r>
      <w:r w:rsidR="00D45FC3" w:rsidRPr="00AF71E9">
        <w:rPr>
          <w:szCs w:val="24"/>
        </w:rPr>
        <w:t xml:space="preserve"> that </w:t>
      </w:r>
      <w:r w:rsidR="00D45FC3" w:rsidRPr="00AF71E9">
        <w:rPr>
          <w:b/>
          <w:szCs w:val="24"/>
        </w:rPr>
        <w:t>significant portions</w:t>
      </w:r>
      <w:r w:rsidR="00D45FC3" w:rsidRPr="00AF71E9">
        <w:rPr>
          <w:szCs w:val="24"/>
        </w:rPr>
        <w:t xml:space="preserve"> of the PSP involve </w:t>
      </w:r>
      <w:r w:rsidR="00D45FC3" w:rsidRPr="00AF71E9">
        <w:rPr>
          <w:b/>
          <w:szCs w:val="24"/>
        </w:rPr>
        <w:t>future</w:t>
      </w:r>
      <w:r w:rsidR="00D45FC3" w:rsidRPr="00AF71E9">
        <w:rPr>
          <w:szCs w:val="24"/>
        </w:rPr>
        <w:t xml:space="preserve"> investigations and that the results of those investigations are </w:t>
      </w:r>
      <w:r w:rsidR="00D45FC3" w:rsidRPr="00AF71E9">
        <w:rPr>
          <w:b/>
          <w:szCs w:val="24"/>
        </w:rPr>
        <w:t>unknown</w:t>
      </w:r>
      <w:r w:rsidR="00D45FC3" w:rsidRPr="00AF71E9">
        <w:rPr>
          <w:szCs w:val="24"/>
        </w:rPr>
        <w:t>.”</w:t>
      </w:r>
      <w:r w:rsidR="00223949" w:rsidRPr="00AF71E9">
        <w:rPr>
          <w:rStyle w:val="FootnoteReference"/>
          <w:szCs w:val="24"/>
        </w:rPr>
        <w:footnoteReference w:id="11"/>
      </w:r>
      <w:r w:rsidR="00D45FC3" w:rsidRPr="00AF71E9">
        <w:rPr>
          <w:szCs w:val="24"/>
        </w:rPr>
        <w:t xml:space="preserve"> </w:t>
      </w:r>
      <w:r w:rsidR="00E959CA">
        <w:rPr>
          <w:szCs w:val="24"/>
        </w:rPr>
        <w:t>Thus, Columbia does not know and cannot claim with any assurance</w:t>
      </w:r>
      <w:r w:rsidR="00DF0325" w:rsidRPr="00AF71E9">
        <w:rPr>
          <w:szCs w:val="24"/>
        </w:rPr>
        <w:t xml:space="preserve"> that a significant or dangerous pro</w:t>
      </w:r>
      <w:r w:rsidR="00E959CA">
        <w:rPr>
          <w:szCs w:val="24"/>
        </w:rPr>
        <w:t>blem exists, much less one</w:t>
      </w:r>
      <w:r w:rsidR="00DF0325" w:rsidRPr="00AF71E9">
        <w:rPr>
          <w:szCs w:val="24"/>
        </w:rPr>
        <w:t xml:space="preserve"> that requires immediate and urgent action</w:t>
      </w:r>
      <w:r w:rsidR="00BF12FC">
        <w:rPr>
          <w:szCs w:val="24"/>
        </w:rPr>
        <w:t xml:space="preserve">. </w:t>
      </w:r>
      <w:r w:rsidR="00D45FC3" w:rsidRPr="00AF71E9">
        <w:rPr>
          <w:szCs w:val="24"/>
        </w:rPr>
        <w:t>Therefore, in this proceeding, exigent circumstances do not exist and deferral authority should not be granted.</w:t>
      </w:r>
    </w:p>
    <w:p w:rsidR="00C7160D" w:rsidRDefault="00D45FC3" w:rsidP="00D45FC3">
      <w:pPr>
        <w:spacing w:line="480" w:lineRule="auto"/>
        <w:rPr>
          <w:szCs w:val="24"/>
        </w:rPr>
      </w:pPr>
      <w:r w:rsidRPr="00AF71E9">
        <w:rPr>
          <w:szCs w:val="24"/>
        </w:rPr>
        <w:tab/>
      </w:r>
      <w:r w:rsidR="00BF12FC">
        <w:rPr>
          <w:szCs w:val="24"/>
        </w:rPr>
        <w:t xml:space="preserve">Staff also admits that the Utility’s pipeline safety program is not directly related to safety improvements, another factor that </w:t>
      </w:r>
      <w:r w:rsidR="00C7160D">
        <w:rPr>
          <w:szCs w:val="24"/>
        </w:rPr>
        <w:t xml:space="preserve">must be met for </w:t>
      </w:r>
      <w:r w:rsidR="00525011">
        <w:rPr>
          <w:szCs w:val="24"/>
        </w:rPr>
        <w:t xml:space="preserve">deferral accounting authority. </w:t>
      </w:r>
      <w:r w:rsidRPr="00AF71E9">
        <w:rPr>
          <w:szCs w:val="24"/>
        </w:rPr>
        <w:t>Staff</w:t>
      </w:r>
      <w:r w:rsidR="00525011">
        <w:rPr>
          <w:szCs w:val="24"/>
        </w:rPr>
        <w:t xml:space="preserve"> comments</w:t>
      </w:r>
      <w:r w:rsidRPr="00AF71E9">
        <w:rPr>
          <w:szCs w:val="24"/>
        </w:rPr>
        <w:t xml:space="preserve"> that “as Columbia measures the effectiveness of various projects and programs undertaken under the proposed safety initiatives, it may determine that some projects or programs are inefficient or ineffective</w:t>
      </w:r>
      <w:r w:rsidR="00C7160D">
        <w:rPr>
          <w:szCs w:val="24"/>
        </w:rPr>
        <w:t>.</w:t>
      </w:r>
      <w:r w:rsidRPr="00AF71E9">
        <w:rPr>
          <w:szCs w:val="24"/>
        </w:rPr>
        <w:t>”</w:t>
      </w:r>
      <w:r w:rsidR="001A12C5" w:rsidRPr="00AF71E9">
        <w:rPr>
          <w:rStyle w:val="FootnoteReference"/>
          <w:szCs w:val="24"/>
        </w:rPr>
        <w:footnoteReference w:id="12"/>
      </w:r>
      <w:r w:rsidRPr="00AF71E9">
        <w:rPr>
          <w:szCs w:val="24"/>
        </w:rPr>
        <w:t xml:space="preserve"> </w:t>
      </w:r>
      <w:r w:rsidR="00C7160D">
        <w:rPr>
          <w:szCs w:val="24"/>
        </w:rPr>
        <w:t xml:space="preserve">These comments show Staff does not believe that </w:t>
      </w:r>
      <w:r w:rsidRPr="00AF71E9">
        <w:rPr>
          <w:szCs w:val="24"/>
        </w:rPr>
        <w:t>Columbia’s PSP is “clearly and directly related to specific and necessary infrastructure improvements and reliability needs of the utility.”</w:t>
      </w:r>
      <w:r w:rsidR="001A12C5" w:rsidRPr="00AF71E9">
        <w:rPr>
          <w:rStyle w:val="FootnoteReference"/>
          <w:szCs w:val="24"/>
        </w:rPr>
        <w:footnoteReference w:id="13"/>
      </w:r>
    </w:p>
    <w:p w:rsidR="004715DD" w:rsidRDefault="004715DD" w:rsidP="00D45FC3">
      <w:pPr>
        <w:spacing w:line="480" w:lineRule="auto"/>
        <w:rPr>
          <w:szCs w:val="24"/>
        </w:rPr>
      </w:pPr>
      <w:r>
        <w:rPr>
          <w:szCs w:val="24"/>
        </w:rPr>
        <w:tab/>
        <w:t>Because the PUCO Staff failed to consider the principles that underlie deferral accounting, its comments should not form the basis for PUCO action on the Utility’s application. Instead, the PUCO should be guided by those principles</w:t>
      </w:r>
      <w:r w:rsidR="00525011">
        <w:rPr>
          <w:szCs w:val="24"/>
        </w:rPr>
        <w:t xml:space="preserve">. </w:t>
      </w:r>
      <w:r>
        <w:rPr>
          <w:szCs w:val="24"/>
        </w:rPr>
        <w:t xml:space="preserve">It should base its decision on whether the application meets the </w:t>
      </w:r>
      <w:r w:rsidR="00267212">
        <w:rPr>
          <w:szCs w:val="24"/>
        </w:rPr>
        <w:t xml:space="preserve">deferral </w:t>
      </w:r>
      <w:r>
        <w:rPr>
          <w:szCs w:val="24"/>
        </w:rPr>
        <w:t>standards discussed in OCC’s comments.</w:t>
      </w:r>
    </w:p>
    <w:p w:rsidR="00A50003" w:rsidRPr="009C0870" w:rsidRDefault="009C0870" w:rsidP="009C0870">
      <w:pPr>
        <w:pStyle w:val="Heading2"/>
      </w:pPr>
      <w:r>
        <w:t>B.</w:t>
      </w:r>
      <w:r>
        <w:tab/>
      </w:r>
      <w:r w:rsidR="00A56820" w:rsidRPr="009C0870">
        <w:t>The Staff Comments</w:t>
      </w:r>
      <w:r w:rsidR="00C532A8" w:rsidRPr="009C0870">
        <w:t xml:space="preserve"> did not address </w:t>
      </w:r>
      <w:r w:rsidR="00A56820" w:rsidRPr="009C0870">
        <w:t xml:space="preserve">whether each of the four initiatives in </w:t>
      </w:r>
      <w:r w:rsidR="00A50003" w:rsidRPr="009C0870">
        <w:t xml:space="preserve">Columbia’s Pipeline Safety Program </w:t>
      </w:r>
      <w:r w:rsidR="00A56820" w:rsidRPr="009C0870">
        <w:t>meets any of the PUCO’s</w:t>
      </w:r>
      <w:r w:rsidR="00A50003" w:rsidRPr="009C0870">
        <w:t xml:space="preserve"> standard</w:t>
      </w:r>
      <w:r w:rsidR="00A56820" w:rsidRPr="009C0870">
        <w:t>s</w:t>
      </w:r>
      <w:r w:rsidR="00A50003" w:rsidRPr="009C0870">
        <w:t xml:space="preserve"> </w:t>
      </w:r>
      <w:r w:rsidR="00A56820" w:rsidRPr="009C0870">
        <w:t>for deferral authority</w:t>
      </w:r>
      <w:r w:rsidR="00A50003" w:rsidRPr="009C0870">
        <w:t>.</w:t>
      </w:r>
    </w:p>
    <w:p w:rsidR="00EA031C" w:rsidRDefault="00C532A8" w:rsidP="00817B52">
      <w:pPr>
        <w:spacing w:line="480" w:lineRule="auto"/>
        <w:ind w:firstLine="720"/>
        <w:rPr>
          <w:szCs w:val="24"/>
        </w:rPr>
      </w:pPr>
      <w:r>
        <w:rPr>
          <w:szCs w:val="24"/>
        </w:rPr>
        <w:t xml:space="preserve">The Staff Comments did not address </w:t>
      </w:r>
      <w:r w:rsidR="00817B52">
        <w:rPr>
          <w:szCs w:val="24"/>
        </w:rPr>
        <w:t>Columbia</w:t>
      </w:r>
      <w:r>
        <w:rPr>
          <w:szCs w:val="24"/>
        </w:rPr>
        <w:t>’s failure</w:t>
      </w:r>
      <w:r w:rsidR="00817B52">
        <w:rPr>
          <w:szCs w:val="24"/>
        </w:rPr>
        <w:t xml:space="preserve"> </w:t>
      </w:r>
      <w:r w:rsidR="00D45FC3" w:rsidRPr="00AF71E9">
        <w:rPr>
          <w:szCs w:val="24"/>
        </w:rPr>
        <w:t>to show that</w:t>
      </w:r>
      <w:r w:rsidR="00A50003" w:rsidRPr="00AF71E9">
        <w:rPr>
          <w:szCs w:val="24"/>
        </w:rPr>
        <w:t xml:space="preserve"> its</w:t>
      </w:r>
      <w:r w:rsidR="00D45FC3" w:rsidRPr="00AF71E9">
        <w:rPr>
          <w:szCs w:val="24"/>
        </w:rPr>
        <w:t xml:space="preserve"> </w:t>
      </w:r>
      <w:r w:rsidR="00EA031C">
        <w:rPr>
          <w:szCs w:val="24"/>
        </w:rPr>
        <w:t>program</w:t>
      </w:r>
      <w:r w:rsidR="00D45FC3" w:rsidRPr="00AF71E9">
        <w:rPr>
          <w:szCs w:val="24"/>
        </w:rPr>
        <w:t xml:space="preserve"> is necessary. Columbia cited only one past </w:t>
      </w:r>
      <w:r w:rsidR="00EA031C">
        <w:rPr>
          <w:szCs w:val="24"/>
        </w:rPr>
        <w:t xml:space="preserve">safety </w:t>
      </w:r>
      <w:r w:rsidR="00D45FC3" w:rsidRPr="00AF71E9">
        <w:rPr>
          <w:szCs w:val="24"/>
        </w:rPr>
        <w:t xml:space="preserve">incident and admitted that it needs to “identify” and then “investigate” its system to </w:t>
      </w:r>
      <w:r w:rsidR="00EA031C">
        <w:rPr>
          <w:szCs w:val="24"/>
        </w:rPr>
        <w:t>determine</w:t>
      </w:r>
      <w:r w:rsidR="00525011">
        <w:rPr>
          <w:szCs w:val="24"/>
        </w:rPr>
        <w:t xml:space="preserve"> if</w:t>
      </w:r>
      <w:r w:rsidR="00D45FC3" w:rsidRPr="00AF71E9">
        <w:rPr>
          <w:szCs w:val="24"/>
        </w:rPr>
        <w:t xml:space="preserve"> “potentially dangerous” situations exist.</w:t>
      </w:r>
      <w:r w:rsidR="001D1B6F" w:rsidRPr="00AF71E9">
        <w:rPr>
          <w:rStyle w:val="FootnoteReference"/>
          <w:szCs w:val="24"/>
        </w:rPr>
        <w:footnoteReference w:id="14"/>
      </w:r>
      <w:r w:rsidR="00EA031C">
        <w:rPr>
          <w:szCs w:val="24"/>
        </w:rPr>
        <w:t xml:space="preserve"> </w:t>
      </w:r>
      <w:r w:rsidR="00E054CC">
        <w:rPr>
          <w:szCs w:val="24"/>
        </w:rPr>
        <w:t xml:space="preserve"> </w:t>
      </w:r>
      <w:r w:rsidR="00817B52">
        <w:rPr>
          <w:szCs w:val="24"/>
        </w:rPr>
        <w:t xml:space="preserve">Neither has Columbia shown that conditions exist creating </w:t>
      </w:r>
      <w:r w:rsidR="00D45FC3" w:rsidRPr="00AF71E9">
        <w:rPr>
          <w:szCs w:val="24"/>
        </w:rPr>
        <w:t>“a situation requiring immediate action.”</w:t>
      </w:r>
      <w:r w:rsidR="00E054CC">
        <w:rPr>
          <w:szCs w:val="24"/>
        </w:rPr>
        <w:t xml:space="preserve"> </w:t>
      </w:r>
      <w:r w:rsidR="00D45FC3" w:rsidRPr="00AF71E9">
        <w:rPr>
          <w:szCs w:val="24"/>
        </w:rPr>
        <w:t xml:space="preserve"> </w:t>
      </w:r>
      <w:r w:rsidR="00EA031C">
        <w:rPr>
          <w:szCs w:val="24"/>
        </w:rPr>
        <w:t xml:space="preserve">It is not sound ratemaking to charge customers expenses that are not ordinary and necessary to </w:t>
      </w:r>
      <w:r w:rsidR="0024152F">
        <w:rPr>
          <w:szCs w:val="24"/>
        </w:rPr>
        <w:t>provide them utility service.</w:t>
      </w:r>
    </w:p>
    <w:p w:rsidR="00EA031C" w:rsidRDefault="00D45FC3" w:rsidP="00EA031C">
      <w:pPr>
        <w:spacing w:line="480" w:lineRule="auto"/>
        <w:ind w:firstLine="720"/>
        <w:rPr>
          <w:szCs w:val="24"/>
        </w:rPr>
      </w:pPr>
      <w:r w:rsidRPr="00AF71E9">
        <w:rPr>
          <w:szCs w:val="24"/>
        </w:rPr>
        <w:t>As the OCC stated in its initial comments, what the Utility does show is that the</w:t>
      </w:r>
      <w:r w:rsidR="00267212">
        <w:rPr>
          <w:szCs w:val="24"/>
        </w:rPr>
        <w:t xml:space="preserve">re are </w:t>
      </w:r>
      <w:r w:rsidRPr="00AF71E9">
        <w:rPr>
          <w:szCs w:val="24"/>
        </w:rPr>
        <w:t xml:space="preserve"> three root causes for</w:t>
      </w:r>
      <w:r w:rsidR="007366D0" w:rsidRPr="00AF71E9">
        <w:rPr>
          <w:szCs w:val="24"/>
        </w:rPr>
        <w:t xml:space="preserve"> potential system risk: (1) excavator error; (2) poor records; (3)</w:t>
      </w:r>
      <w:r w:rsidRPr="00AF71E9">
        <w:rPr>
          <w:szCs w:val="24"/>
        </w:rPr>
        <w:t xml:space="preserve"> and locate error</w:t>
      </w:r>
      <w:r w:rsidR="00267212">
        <w:rPr>
          <w:szCs w:val="24"/>
        </w:rPr>
        <w:t xml:space="preserve">.  These </w:t>
      </w:r>
      <w:r w:rsidRPr="00AF71E9">
        <w:rPr>
          <w:szCs w:val="24"/>
        </w:rPr>
        <w:t>are all situations in which either Columbia or a third-party excavator was in err.</w:t>
      </w:r>
      <w:r w:rsidR="00A90EF1" w:rsidRPr="00AF71E9">
        <w:rPr>
          <w:rStyle w:val="FootnoteReference"/>
          <w:szCs w:val="24"/>
        </w:rPr>
        <w:footnoteReference w:id="15"/>
      </w:r>
      <w:r w:rsidR="00355345">
        <w:rPr>
          <w:szCs w:val="24"/>
        </w:rPr>
        <w:t xml:space="preserve"> </w:t>
      </w:r>
      <w:r w:rsidR="00E054CC">
        <w:rPr>
          <w:szCs w:val="24"/>
        </w:rPr>
        <w:t xml:space="preserve"> </w:t>
      </w:r>
      <w:r w:rsidR="00EA031C">
        <w:rPr>
          <w:szCs w:val="24"/>
        </w:rPr>
        <w:t>It is not sound ratemaking practices to charge customers for the error of the utility or</w:t>
      </w:r>
      <w:r w:rsidR="00267212">
        <w:rPr>
          <w:szCs w:val="24"/>
        </w:rPr>
        <w:t xml:space="preserve"> a </w:t>
      </w:r>
      <w:r w:rsidR="00EA031C">
        <w:rPr>
          <w:szCs w:val="24"/>
        </w:rPr>
        <w:t>third party</w:t>
      </w:r>
      <w:r w:rsidR="00267212">
        <w:rPr>
          <w:szCs w:val="24"/>
        </w:rPr>
        <w:t>.</w:t>
      </w:r>
    </w:p>
    <w:p w:rsidR="00D45FC3" w:rsidRPr="00AF71E9" w:rsidRDefault="00817B52" w:rsidP="00EA031C">
      <w:pPr>
        <w:spacing w:line="480" w:lineRule="auto"/>
        <w:ind w:firstLine="720"/>
        <w:rPr>
          <w:szCs w:val="24"/>
        </w:rPr>
      </w:pPr>
      <w:r>
        <w:rPr>
          <w:szCs w:val="24"/>
        </w:rPr>
        <w:t xml:space="preserve">Columbia did not prove </w:t>
      </w:r>
      <w:r w:rsidR="00355345">
        <w:rPr>
          <w:szCs w:val="24"/>
        </w:rPr>
        <w:t xml:space="preserve">the effectiveness </w:t>
      </w:r>
      <w:r w:rsidR="00EA031C">
        <w:rPr>
          <w:szCs w:val="24"/>
        </w:rPr>
        <w:t>(</w:t>
      </w:r>
      <w:r w:rsidR="00355345">
        <w:rPr>
          <w:szCs w:val="24"/>
        </w:rPr>
        <w:t>or lack of effectiveness</w:t>
      </w:r>
      <w:r w:rsidR="00EA031C">
        <w:rPr>
          <w:szCs w:val="24"/>
        </w:rPr>
        <w:t>)</w:t>
      </w:r>
      <w:r w:rsidR="00355345">
        <w:rPr>
          <w:szCs w:val="24"/>
        </w:rPr>
        <w:t xml:space="preserve"> of</w:t>
      </w:r>
      <w:r w:rsidR="00D45FC3" w:rsidRPr="00AF71E9">
        <w:rPr>
          <w:szCs w:val="24"/>
        </w:rPr>
        <w:t xml:space="preserve"> </w:t>
      </w:r>
      <w:r>
        <w:rPr>
          <w:szCs w:val="24"/>
        </w:rPr>
        <w:t>its</w:t>
      </w:r>
      <w:r w:rsidR="00D45FC3" w:rsidRPr="00AF71E9">
        <w:rPr>
          <w:szCs w:val="24"/>
        </w:rPr>
        <w:t xml:space="preserve"> current procedures </w:t>
      </w:r>
      <w:r w:rsidR="00355345">
        <w:rPr>
          <w:szCs w:val="24"/>
        </w:rPr>
        <w:t>that are</w:t>
      </w:r>
      <w:r w:rsidR="00D45FC3" w:rsidRPr="00AF71E9">
        <w:rPr>
          <w:szCs w:val="24"/>
        </w:rPr>
        <w:t xml:space="preserve"> producing </w:t>
      </w:r>
      <w:r w:rsidR="00525011">
        <w:rPr>
          <w:szCs w:val="24"/>
        </w:rPr>
        <w:t>system risk.</w:t>
      </w:r>
      <w:r>
        <w:rPr>
          <w:szCs w:val="24"/>
        </w:rPr>
        <w:t xml:space="preserve"> </w:t>
      </w:r>
      <w:r w:rsidR="00E054CC">
        <w:rPr>
          <w:szCs w:val="24"/>
        </w:rPr>
        <w:t xml:space="preserve"> </w:t>
      </w:r>
      <w:r w:rsidR="004715DD">
        <w:rPr>
          <w:szCs w:val="24"/>
        </w:rPr>
        <w:t xml:space="preserve">This bears upon whether the expenditures </w:t>
      </w:r>
      <w:r>
        <w:rPr>
          <w:szCs w:val="24"/>
        </w:rPr>
        <w:t>are reasonable and appropriate</w:t>
      </w:r>
      <w:r w:rsidR="0024152F">
        <w:rPr>
          <w:szCs w:val="24"/>
        </w:rPr>
        <w:t>ly incurred.</w:t>
      </w:r>
    </w:p>
    <w:p w:rsidR="00D45FC3" w:rsidRPr="00AF71E9" w:rsidRDefault="00D45FC3" w:rsidP="00145457">
      <w:pPr>
        <w:spacing w:line="480" w:lineRule="auto"/>
        <w:ind w:firstLine="720"/>
        <w:rPr>
          <w:szCs w:val="24"/>
        </w:rPr>
      </w:pPr>
      <w:r w:rsidRPr="00AF71E9">
        <w:rPr>
          <w:szCs w:val="24"/>
        </w:rPr>
        <w:t>T</w:t>
      </w:r>
      <w:r w:rsidR="00EB620A">
        <w:rPr>
          <w:szCs w:val="24"/>
        </w:rPr>
        <w:t>he</w:t>
      </w:r>
      <w:r w:rsidR="00145457">
        <w:rPr>
          <w:szCs w:val="24"/>
        </w:rPr>
        <w:t xml:space="preserve"> Staff</w:t>
      </w:r>
      <w:r w:rsidR="00EB620A">
        <w:rPr>
          <w:szCs w:val="24"/>
        </w:rPr>
        <w:t>’s</w:t>
      </w:r>
      <w:r w:rsidR="00647F78">
        <w:rPr>
          <w:szCs w:val="24"/>
        </w:rPr>
        <w:t xml:space="preserve"> Comments also fail to explain</w:t>
      </w:r>
      <w:r w:rsidR="00145457">
        <w:rPr>
          <w:szCs w:val="24"/>
        </w:rPr>
        <w:t xml:space="preserve"> </w:t>
      </w:r>
      <w:r w:rsidR="00E877B3">
        <w:rPr>
          <w:szCs w:val="24"/>
        </w:rPr>
        <w:t xml:space="preserve">why it </w:t>
      </w:r>
      <w:r w:rsidR="00145457">
        <w:rPr>
          <w:szCs w:val="24"/>
        </w:rPr>
        <w:t>support</w:t>
      </w:r>
      <w:r w:rsidR="00E877B3">
        <w:rPr>
          <w:szCs w:val="24"/>
        </w:rPr>
        <w:t>s</w:t>
      </w:r>
      <w:r w:rsidR="00145457">
        <w:rPr>
          <w:szCs w:val="24"/>
        </w:rPr>
        <w:t xml:space="preserve"> </w:t>
      </w:r>
      <w:r w:rsidRPr="00AF71E9">
        <w:rPr>
          <w:szCs w:val="24"/>
        </w:rPr>
        <w:t>Colum</w:t>
      </w:r>
      <w:r w:rsidR="00145457">
        <w:rPr>
          <w:szCs w:val="24"/>
        </w:rPr>
        <w:t>bia’</w:t>
      </w:r>
      <w:r w:rsidRPr="00AF71E9">
        <w:rPr>
          <w:szCs w:val="24"/>
        </w:rPr>
        <w:t xml:space="preserve">s Advanced Workforce Training Initiative, </w:t>
      </w:r>
      <w:r w:rsidR="00E877B3">
        <w:rPr>
          <w:szCs w:val="24"/>
        </w:rPr>
        <w:t>con</w:t>
      </w:r>
      <w:r w:rsidR="00525011">
        <w:rPr>
          <w:szCs w:val="24"/>
        </w:rPr>
        <w:t>tradicting its prior positions.</w:t>
      </w:r>
      <w:r w:rsidR="00E877B3">
        <w:rPr>
          <w:szCs w:val="24"/>
        </w:rPr>
        <w:t xml:space="preserve"> Staff in prior proceedings </w:t>
      </w:r>
      <w:r w:rsidR="00145457">
        <w:rPr>
          <w:szCs w:val="24"/>
        </w:rPr>
        <w:t>reject</w:t>
      </w:r>
      <w:r w:rsidR="00E877B3">
        <w:rPr>
          <w:szCs w:val="24"/>
        </w:rPr>
        <w:t xml:space="preserve">ed </w:t>
      </w:r>
      <w:r w:rsidR="00DD521C" w:rsidRPr="00AF71E9">
        <w:rPr>
          <w:szCs w:val="24"/>
        </w:rPr>
        <w:t xml:space="preserve">such requests </w:t>
      </w:r>
      <w:r w:rsidR="00525011">
        <w:rPr>
          <w:szCs w:val="24"/>
        </w:rPr>
        <w:t>because</w:t>
      </w:r>
      <w:r w:rsidRPr="00AF71E9">
        <w:rPr>
          <w:szCs w:val="24"/>
        </w:rPr>
        <w:t xml:space="preserve"> </w:t>
      </w:r>
      <w:r w:rsidR="00E877B3">
        <w:rPr>
          <w:szCs w:val="24"/>
        </w:rPr>
        <w:t>the</w:t>
      </w:r>
      <w:r w:rsidRPr="00AF71E9">
        <w:rPr>
          <w:szCs w:val="24"/>
        </w:rPr>
        <w:t xml:space="preserve"> expenses are general costs that should be reviewed and addressed in a general distribution rate base case.</w:t>
      </w:r>
      <w:r w:rsidR="00DD521C" w:rsidRPr="00AF71E9">
        <w:rPr>
          <w:rStyle w:val="FootnoteReference"/>
          <w:szCs w:val="24"/>
        </w:rPr>
        <w:footnoteReference w:id="16"/>
      </w:r>
      <w:r w:rsidR="00525011">
        <w:rPr>
          <w:szCs w:val="24"/>
        </w:rPr>
        <w:t xml:space="preserve"> </w:t>
      </w:r>
      <w:r w:rsidR="00E054CC">
        <w:rPr>
          <w:szCs w:val="24"/>
        </w:rPr>
        <w:t xml:space="preserve"> </w:t>
      </w:r>
      <w:r w:rsidR="00525011">
        <w:rPr>
          <w:szCs w:val="24"/>
        </w:rPr>
        <w:t>Here, the U</w:t>
      </w:r>
      <w:r w:rsidR="004715DD">
        <w:rPr>
          <w:szCs w:val="24"/>
        </w:rPr>
        <w:t xml:space="preserve">tility thus has not shown good cause for the </w:t>
      </w:r>
      <w:r w:rsidR="00817B52">
        <w:rPr>
          <w:szCs w:val="24"/>
        </w:rPr>
        <w:t>extraordinary treatment it requ</w:t>
      </w:r>
      <w:r w:rsidR="0024152F">
        <w:rPr>
          <w:szCs w:val="24"/>
        </w:rPr>
        <w:t>ests.</w:t>
      </w:r>
    </w:p>
    <w:p w:rsidR="004715DD" w:rsidRDefault="00D45FC3" w:rsidP="00525011">
      <w:pPr>
        <w:spacing w:line="480" w:lineRule="auto"/>
        <w:ind w:firstLine="720"/>
        <w:rPr>
          <w:szCs w:val="24"/>
        </w:rPr>
      </w:pPr>
      <w:r w:rsidRPr="00AF71E9">
        <w:rPr>
          <w:szCs w:val="24"/>
        </w:rPr>
        <w:t>F</w:t>
      </w:r>
      <w:r w:rsidR="00EB620A">
        <w:rPr>
          <w:szCs w:val="24"/>
        </w:rPr>
        <w:t>inally, the</w:t>
      </w:r>
      <w:r w:rsidR="00145457">
        <w:rPr>
          <w:szCs w:val="24"/>
        </w:rPr>
        <w:t xml:space="preserve"> Staff</w:t>
      </w:r>
      <w:r w:rsidR="00EB620A">
        <w:rPr>
          <w:szCs w:val="24"/>
        </w:rPr>
        <w:t>’s</w:t>
      </w:r>
      <w:r w:rsidR="00647F78">
        <w:rPr>
          <w:szCs w:val="24"/>
        </w:rPr>
        <w:t xml:space="preserve"> Comments fail</w:t>
      </w:r>
      <w:r w:rsidR="00145457">
        <w:rPr>
          <w:szCs w:val="24"/>
        </w:rPr>
        <w:t xml:space="preserve"> to address how </w:t>
      </w:r>
      <w:r w:rsidRPr="00AF71E9">
        <w:rPr>
          <w:szCs w:val="24"/>
        </w:rPr>
        <w:t xml:space="preserve">sponsoring </w:t>
      </w:r>
      <w:r w:rsidR="00145457">
        <w:rPr>
          <w:szCs w:val="24"/>
        </w:rPr>
        <w:t xml:space="preserve">more </w:t>
      </w:r>
      <w:r w:rsidRPr="00AF71E9">
        <w:rPr>
          <w:szCs w:val="24"/>
        </w:rPr>
        <w:t>pu</w:t>
      </w:r>
      <w:r w:rsidR="00145457">
        <w:rPr>
          <w:szCs w:val="24"/>
        </w:rPr>
        <w:t>blic service announcements</w:t>
      </w:r>
      <w:r w:rsidRPr="00AF71E9">
        <w:rPr>
          <w:szCs w:val="24"/>
        </w:rPr>
        <w:t xml:space="preserve"> will remedy</w:t>
      </w:r>
      <w:r w:rsidR="00145457">
        <w:rPr>
          <w:szCs w:val="24"/>
        </w:rPr>
        <w:t xml:space="preserve"> the problems claimed by the Utility</w:t>
      </w:r>
      <w:r w:rsidRPr="00AF71E9">
        <w:rPr>
          <w:szCs w:val="24"/>
        </w:rPr>
        <w:t xml:space="preserve">. </w:t>
      </w:r>
      <w:r w:rsidR="00E054CC">
        <w:rPr>
          <w:szCs w:val="24"/>
        </w:rPr>
        <w:t xml:space="preserve"> </w:t>
      </w:r>
      <w:r w:rsidR="00EB620A">
        <w:rPr>
          <w:szCs w:val="24"/>
        </w:rPr>
        <w:t>Both Columbia and</w:t>
      </w:r>
      <w:r w:rsidR="00145457">
        <w:rPr>
          <w:szCs w:val="24"/>
        </w:rPr>
        <w:t xml:space="preserve"> th</w:t>
      </w:r>
      <w:r w:rsidR="00EB620A">
        <w:rPr>
          <w:szCs w:val="24"/>
        </w:rPr>
        <w:t>e</w:t>
      </w:r>
      <w:r w:rsidR="00145457">
        <w:rPr>
          <w:szCs w:val="24"/>
        </w:rPr>
        <w:t xml:space="preserve"> Staff </w:t>
      </w:r>
      <w:r w:rsidR="00EB620A">
        <w:rPr>
          <w:szCs w:val="24"/>
        </w:rPr>
        <w:t>fail to address</w:t>
      </w:r>
      <w:r w:rsidRPr="00AF71E9">
        <w:rPr>
          <w:szCs w:val="24"/>
        </w:rPr>
        <w:t xml:space="preserve"> why Columbia’s current practice of spending $343,000 annually on such announcements is failing to produce </w:t>
      </w:r>
      <w:r w:rsidR="00EB620A">
        <w:rPr>
          <w:szCs w:val="24"/>
        </w:rPr>
        <w:t xml:space="preserve">better </w:t>
      </w:r>
      <w:r w:rsidRPr="00AF71E9">
        <w:rPr>
          <w:szCs w:val="24"/>
        </w:rPr>
        <w:t>results.</w:t>
      </w:r>
      <w:r w:rsidR="00DC592D" w:rsidRPr="00AF71E9">
        <w:rPr>
          <w:rStyle w:val="FootnoteReference"/>
          <w:szCs w:val="24"/>
        </w:rPr>
        <w:footnoteReference w:id="17"/>
      </w:r>
      <w:r w:rsidR="00EB620A">
        <w:rPr>
          <w:szCs w:val="24"/>
        </w:rPr>
        <w:t xml:space="preserve"> </w:t>
      </w:r>
      <w:r w:rsidR="00E054CC">
        <w:rPr>
          <w:szCs w:val="24"/>
        </w:rPr>
        <w:t xml:space="preserve"> </w:t>
      </w:r>
      <w:r w:rsidR="00EB620A">
        <w:rPr>
          <w:szCs w:val="24"/>
        </w:rPr>
        <w:t xml:space="preserve">Neither, do </w:t>
      </w:r>
      <w:r w:rsidR="007B0D8A" w:rsidRPr="00AF71E9">
        <w:rPr>
          <w:szCs w:val="24"/>
        </w:rPr>
        <w:t>t</w:t>
      </w:r>
      <w:r w:rsidR="007B0D8A">
        <w:rPr>
          <w:szCs w:val="24"/>
        </w:rPr>
        <w:t xml:space="preserve">hey </w:t>
      </w:r>
      <w:r w:rsidR="007B0D8A" w:rsidRPr="00AF71E9">
        <w:rPr>
          <w:szCs w:val="24"/>
        </w:rPr>
        <w:t>explain</w:t>
      </w:r>
      <w:r w:rsidRPr="00AF71E9">
        <w:rPr>
          <w:szCs w:val="24"/>
        </w:rPr>
        <w:t xml:space="preserve"> how spending more money on the same practice will now produce different</w:t>
      </w:r>
      <w:r w:rsidR="00EB620A">
        <w:rPr>
          <w:szCs w:val="24"/>
        </w:rPr>
        <w:t xml:space="preserve"> results. In other words, the U</w:t>
      </w:r>
      <w:r w:rsidRPr="00AF71E9">
        <w:rPr>
          <w:szCs w:val="24"/>
        </w:rPr>
        <w:t xml:space="preserve">tility, again, has failed to show </w:t>
      </w:r>
      <w:r w:rsidR="004715DD">
        <w:rPr>
          <w:szCs w:val="24"/>
        </w:rPr>
        <w:t>that the costs are reasona</w:t>
      </w:r>
      <w:r w:rsidR="0024152F">
        <w:rPr>
          <w:szCs w:val="24"/>
        </w:rPr>
        <w:t>ble and appropriately incurred.</w:t>
      </w:r>
    </w:p>
    <w:p w:rsidR="00D45FC3" w:rsidRPr="009C0870" w:rsidRDefault="009C0870" w:rsidP="009C0870">
      <w:pPr>
        <w:pStyle w:val="Heading2"/>
      </w:pPr>
      <w:r>
        <w:t>C.</w:t>
      </w:r>
      <w:r>
        <w:tab/>
      </w:r>
      <w:r w:rsidR="00D45FC3" w:rsidRPr="009C0870">
        <w:t>If, in the alternative, the PUCO decides to accep</w:t>
      </w:r>
      <w:r w:rsidR="00525011" w:rsidRPr="009C0870">
        <w:t>t Columbia</w:t>
      </w:r>
      <w:r w:rsidR="00D45FC3" w:rsidRPr="009C0870">
        <w:t xml:space="preserve">’s Application, </w:t>
      </w:r>
      <w:r w:rsidR="004715DD" w:rsidRPr="009C0870">
        <w:t xml:space="preserve">contrary to OCC’s recommendation otherwise, </w:t>
      </w:r>
      <w:r w:rsidR="00D45FC3" w:rsidRPr="009C0870">
        <w:t xml:space="preserve">the PUCO should direct Staff and the Utility to </w:t>
      </w:r>
      <w:r w:rsidR="00A56820" w:rsidRPr="009C0870">
        <w:t>implement</w:t>
      </w:r>
      <w:r w:rsidR="00D45FC3" w:rsidRPr="009C0870">
        <w:t xml:space="preserve"> several </w:t>
      </w:r>
      <w:r w:rsidR="00A56820" w:rsidRPr="009C0870">
        <w:t>modifications</w:t>
      </w:r>
      <w:r w:rsidR="00D45FC3" w:rsidRPr="009C0870">
        <w:t>.</w:t>
      </w:r>
    </w:p>
    <w:p w:rsidR="00145457" w:rsidRDefault="00D45FC3" w:rsidP="00145457">
      <w:pPr>
        <w:spacing w:line="480" w:lineRule="auto"/>
        <w:ind w:firstLine="720"/>
        <w:rPr>
          <w:szCs w:val="24"/>
        </w:rPr>
      </w:pPr>
      <w:r w:rsidRPr="00AF71E9">
        <w:rPr>
          <w:szCs w:val="24"/>
        </w:rPr>
        <w:t xml:space="preserve">If, in the alternative, the PUCO decides to accept Columbia’s request for authority to deferral PSP related expenditures, the OCC agrees with several </w:t>
      </w:r>
      <w:r w:rsidR="00267212">
        <w:rPr>
          <w:szCs w:val="24"/>
        </w:rPr>
        <w:t xml:space="preserve">of the </w:t>
      </w:r>
      <w:r w:rsidRPr="00AF71E9">
        <w:rPr>
          <w:szCs w:val="24"/>
        </w:rPr>
        <w:t>Staff recommendations.</w:t>
      </w:r>
    </w:p>
    <w:p w:rsidR="00914510" w:rsidRDefault="00914510">
      <w:pPr>
        <w:spacing w:after="200" w:line="276" w:lineRule="auto"/>
        <w:rPr>
          <w:szCs w:val="24"/>
        </w:rPr>
      </w:pPr>
      <w:r>
        <w:rPr>
          <w:szCs w:val="24"/>
        </w:rPr>
        <w:br w:type="page"/>
      </w:r>
    </w:p>
    <w:p w:rsidR="00C42AC6" w:rsidRDefault="00D45FC3" w:rsidP="00C42AC6">
      <w:pPr>
        <w:pStyle w:val="ListParagraph"/>
        <w:numPr>
          <w:ilvl w:val="0"/>
          <w:numId w:val="2"/>
        </w:numPr>
        <w:spacing w:after="240"/>
        <w:ind w:right="720"/>
        <w:rPr>
          <w:szCs w:val="24"/>
        </w:rPr>
      </w:pPr>
      <w:r w:rsidRPr="00C42AC6">
        <w:rPr>
          <w:szCs w:val="24"/>
        </w:rPr>
        <w:t>First, the OCC agrees with Staff that the PUCO should direct Columbia to identify and implement efficiencies and cost saving measures to reduce PSP deferrals and the ultimate amount that woul</w:t>
      </w:r>
      <w:r w:rsidR="0024152F" w:rsidRPr="00C42AC6">
        <w:rPr>
          <w:szCs w:val="24"/>
        </w:rPr>
        <w:t>d be recovered from customers.</w:t>
      </w:r>
    </w:p>
    <w:p w:rsidR="00C42AC6" w:rsidRDefault="00D45FC3" w:rsidP="00C42AC6">
      <w:pPr>
        <w:pStyle w:val="ListParagraph"/>
        <w:numPr>
          <w:ilvl w:val="0"/>
          <w:numId w:val="2"/>
        </w:numPr>
        <w:spacing w:after="240"/>
        <w:ind w:right="720"/>
        <w:rPr>
          <w:szCs w:val="24"/>
        </w:rPr>
      </w:pPr>
      <w:r w:rsidRPr="00C42AC6">
        <w:rPr>
          <w:szCs w:val="24"/>
        </w:rPr>
        <w:t>Second, the Commission should direct Columbia to use a risk-based approach</w:t>
      </w:r>
      <w:r w:rsidR="00813A64" w:rsidRPr="00C42AC6">
        <w:rPr>
          <w:szCs w:val="24"/>
        </w:rPr>
        <w:t xml:space="preserve">, </w:t>
      </w:r>
      <w:r w:rsidR="00D32EB0" w:rsidRPr="00C42AC6">
        <w:rPr>
          <w:szCs w:val="24"/>
        </w:rPr>
        <w:t xml:space="preserve">developed through specific, well-researched </w:t>
      </w:r>
      <w:r w:rsidR="00813A64" w:rsidRPr="00C42AC6">
        <w:rPr>
          <w:szCs w:val="24"/>
        </w:rPr>
        <w:t>criteria,</w:t>
      </w:r>
      <w:r w:rsidRPr="00C42AC6">
        <w:rPr>
          <w:szCs w:val="24"/>
        </w:rPr>
        <w:t xml:space="preserve"> for determining the potential sewer mains and lateral cross bores that need to be investigated via camera.</w:t>
      </w:r>
    </w:p>
    <w:p w:rsidR="00C42AC6" w:rsidRDefault="00D45FC3" w:rsidP="00C42AC6">
      <w:pPr>
        <w:pStyle w:val="ListParagraph"/>
        <w:numPr>
          <w:ilvl w:val="0"/>
          <w:numId w:val="2"/>
        </w:numPr>
        <w:spacing w:after="240"/>
        <w:ind w:right="720"/>
        <w:rPr>
          <w:szCs w:val="24"/>
        </w:rPr>
      </w:pPr>
      <w:r w:rsidRPr="00C42AC6">
        <w:rPr>
          <w:szCs w:val="24"/>
        </w:rPr>
        <w:t>Third, the OCC agrees that the PUCO should direct Columbia to develop specific performance measures for each of its proposed safety initiatives and establish baseline performance measurements for each measure so that risk reduction resultin</w:t>
      </w:r>
      <w:r w:rsidR="0024152F" w:rsidRPr="00C42AC6">
        <w:rPr>
          <w:szCs w:val="24"/>
        </w:rPr>
        <w:t>g from the PSP can be tracked.</w:t>
      </w:r>
    </w:p>
    <w:p w:rsidR="00C42AC6" w:rsidRDefault="00D45FC3" w:rsidP="00C42AC6">
      <w:pPr>
        <w:pStyle w:val="ListParagraph"/>
        <w:numPr>
          <w:ilvl w:val="0"/>
          <w:numId w:val="2"/>
        </w:numPr>
        <w:spacing w:after="240"/>
        <w:ind w:right="720"/>
        <w:rPr>
          <w:szCs w:val="24"/>
        </w:rPr>
      </w:pPr>
      <w:r w:rsidRPr="00C42AC6">
        <w:rPr>
          <w:szCs w:val="24"/>
        </w:rPr>
        <w:t>Fourth, the OCC agrees that as the PSP initiatives are completed or continue to progress and risks are reduced and elimi</w:t>
      </w:r>
      <w:r w:rsidR="00584949" w:rsidRPr="00C42AC6">
        <w:rPr>
          <w:szCs w:val="24"/>
        </w:rPr>
        <w:t>nated on Columbia’s system, S</w:t>
      </w:r>
      <w:r w:rsidRPr="00C42AC6">
        <w:rPr>
          <w:szCs w:val="24"/>
        </w:rPr>
        <w:t>taff and Columbia should recommend a threshold</w:t>
      </w:r>
      <w:r w:rsidR="009D1E6C" w:rsidRPr="00C42AC6">
        <w:rPr>
          <w:szCs w:val="24"/>
        </w:rPr>
        <w:t xml:space="preserve"> expense level</w:t>
      </w:r>
      <w:r w:rsidRPr="00C42AC6">
        <w:rPr>
          <w:szCs w:val="24"/>
        </w:rPr>
        <w:t xml:space="preserve"> for discontinuing the PSP deferrals.</w:t>
      </w:r>
    </w:p>
    <w:p w:rsidR="00D45FC3" w:rsidRPr="00C42AC6" w:rsidRDefault="00D45FC3" w:rsidP="00C42AC6">
      <w:pPr>
        <w:pStyle w:val="ListParagraph"/>
        <w:numPr>
          <w:ilvl w:val="0"/>
          <w:numId w:val="2"/>
        </w:numPr>
        <w:spacing w:after="240"/>
        <w:ind w:right="720"/>
        <w:rPr>
          <w:szCs w:val="24"/>
        </w:rPr>
      </w:pPr>
      <w:r w:rsidRPr="00C42AC6">
        <w:rPr>
          <w:szCs w:val="24"/>
        </w:rPr>
        <w:t>Fifth, the OCC agrees with Staff’s recommendation that the PUCO direct Columbia to file an annual report that includes expenses</w:t>
      </w:r>
      <w:r w:rsidR="009D1E6C" w:rsidRPr="00C42AC6">
        <w:rPr>
          <w:szCs w:val="24"/>
        </w:rPr>
        <w:t>,</w:t>
      </w:r>
      <w:r w:rsidRPr="00C42AC6">
        <w:rPr>
          <w:szCs w:val="24"/>
        </w:rPr>
        <w:t xml:space="preserve"> the auditor’s findings, the PSP’s progress towards reducing risks to Columbia’s system, the results of the ongoing and future investigations, mid-term adjustments to PSP projects or programs, and efforts towards identifying and implementing cost saving measures.</w:t>
      </w:r>
    </w:p>
    <w:p w:rsidR="00D45FC3" w:rsidRDefault="00D45FC3" w:rsidP="00D45FC3">
      <w:pPr>
        <w:spacing w:line="480" w:lineRule="auto"/>
        <w:ind w:firstLine="720"/>
        <w:rPr>
          <w:szCs w:val="24"/>
        </w:rPr>
      </w:pPr>
      <w:r w:rsidRPr="00AF71E9">
        <w:rPr>
          <w:szCs w:val="24"/>
        </w:rPr>
        <w:t>Finally, the OCC agrees that Staff should be directed to file a report to the PUCO regarding the Utility’s proposed PSP deferrals within 90 days of the Utility’s Annual Report.</w:t>
      </w:r>
    </w:p>
    <w:p w:rsidR="009C0870" w:rsidRPr="00AF71E9" w:rsidRDefault="009C0870" w:rsidP="009C0870">
      <w:pPr>
        <w:ind w:firstLine="720"/>
        <w:rPr>
          <w:szCs w:val="24"/>
        </w:rPr>
      </w:pPr>
    </w:p>
    <w:p w:rsidR="00D45FC3" w:rsidRPr="00AF71E9" w:rsidRDefault="000C19F3" w:rsidP="00D45FC3">
      <w:pPr>
        <w:pStyle w:val="Heading1"/>
        <w:ind w:left="0"/>
      </w:pPr>
      <w:bookmarkStart w:id="4" w:name="_Toc403985597"/>
      <w:r>
        <w:t>II</w:t>
      </w:r>
      <w:r w:rsidR="00D45FC3" w:rsidRPr="00AF71E9">
        <w:t>I.</w:t>
      </w:r>
      <w:r w:rsidR="00D45FC3" w:rsidRPr="00AF71E9">
        <w:tab/>
        <w:t>CONCLUSION</w:t>
      </w:r>
      <w:bookmarkEnd w:id="4"/>
    </w:p>
    <w:p w:rsidR="00D45FC3" w:rsidRPr="00AF71E9" w:rsidRDefault="00D45FC3" w:rsidP="00D45FC3">
      <w:pPr>
        <w:pStyle w:val="BodyTextIndent3"/>
        <w:widowControl w:val="0"/>
        <w:spacing w:line="480" w:lineRule="auto"/>
        <w:rPr>
          <w:szCs w:val="24"/>
        </w:rPr>
      </w:pPr>
      <w:r w:rsidRPr="00AF71E9">
        <w:rPr>
          <w:szCs w:val="24"/>
        </w:rPr>
        <w:t>The Commission should reject Columbi</w:t>
      </w:r>
      <w:r w:rsidR="009D1E6C" w:rsidRPr="00AF71E9">
        <w:rPr>
          <w:szCs w:val="24"/>
        </w:rPr>
        <w:t xml:space="preserve">a’s Application in this case. </w:t>
      </w:r>
      <w:r w:rsidR="00145457">
        <w:rPr>
          <w:szCs w:val="24"/>
        </w:rPr>
        <w:t xml:space="preserve"> </w:t>
      </w:r>
      <w:r w:rsidRPr="00AF71E9">
        <w:rPr>
          <w:szCs w:val="24"/>
        </w:rPr>
        <w:t>As Staff’s comments show, the expenses sought to be deferred are not ne</w:t>
      </w:r>
      <w:r w:rsidR="009D1E6C" w:rsidRPr="00AF71E9">
        <w:rPr>
          <w:szCs w:val="24"/>
        </w:rPr>
        <w:t xml:space="preserve">cessary. </w:t>
      </w:r>
      <w:r w:rsidR="00E054CC">
        <w:rPr>
          <w:szCs w:val="24"/>
        </w:rPr>
        <w:t xml:space="preserve"> </w:t>
      </w:r>
      <w:r w:rsidRPr="00AF71E9">
        <w:rPr>
          <w:szCs w:val="24"/>
        </w:rPr>
        <w:t>Moreover, there are no exigent circumstances or good reasons to allow the ext</w:t>
      </w:r>
      <w:r w:rsidR="0024152F">
        <w:rPr>
          <w:szCs w:val="24"/>
        </w:rPr>
        <w:t>raordinary deferral treatment.</w:t>
      </w:r>
    </w:p>
    <w:p w:rsidR="00914510" w:rsidRDefault="00914510">
      <w:pPr>
        <w:spacing w:after="200" w:line="276" w:lineRule="auto"/>
        <w:rPr>
          <w:szCs w:val="24"/>
        </w:rPr>
      </w:pPr>
      <w:r>
        <w:rPr>
          <w:szCs w:val="24"/>
        </w:rPr>
        <w:br w:type="page"/>
      </w:r>
    </w:p>
    <w:p w:rsidR="00D45FC3" w:rsidRPr="00AF71E9" w:rsidRDefault="00856050" w:rsidP="00D45FC3">
      <w:pPr>
        <w:pStyle w:val="BodyTextIndent3"/>
        <w:widowControl w:val="0"/>
        <w:spacing w:line="480" w:lineRule="auto"/>
        <w:rPr>
          <w:szCs w:val="24"/>
        </w:rPr>
      </w:pPr>
      <w:r>
        <w:rPr>
          <w:szCs w:val="24"/>
        </w:rPr>
        <w:t>I</w:t>
      </w:r>
      <w:r w:rsidR="00D45FC3" w:rsidRPr="00AF71E9">
        <w:rPr>
          <w:szCs w:val="24"/>
        </w:rPr>
        <w:t xml:space="preserve">f the deferrals are approved, the Utility’s next step will be to seek to collect these costs from customers. </w:t>
      </w:r>
      <w:r w:rsidR="00E054CC">
        <w:rPr>
          <w:szCs w:val="24"/>
        </w:rPr>
        <w:t xml:space="preserve"> </w:t>
      </w:r>
      <w:r w:rsidR="00D45FC3" w:rsidRPr="00AF71E9">
        <w:rPr>
          <w:szCs w:val="24"/>
        </w:rPr>
        <w:t>The PUCO should act now to prevent a future request for unnecessary and unreasonable expenses t</w:t>
      </w:r>
      <w:r w:rsidR="0024152F">
        <w:rPr>
          <w:szCs w:val="24"/>
        </w:rPr>
        <w:t>o be collected from customers.</w:t>
      </w:r>
    </w:p>
    <w:p w:rsidR="009D1E6C" w:rsidRDefault="009D1E6C" w:rsidP="00D45FC3">
      <w:pPr>
        <w:pStyle w:val="BodyTextIndent3"/>
        <w:widowControl w:val="0"/>
        <w:spacing w:line="480" w:lineRule="auto"/>
        <w:rPr>
          <w:szCs w:val="24"/>
        </w:rPr>
      </w:pPr>
      <w:r w:rsidRPr="00AF71E9">
        <w:rPr>
          <w:szCs w:val="24"/>
        </w:rPr>
        <w:t xml:space="preserve">If the PUCO does decide to accept the Utility’s request for deferral authority, </w:t>
      </w:r>
      <w:r w:rsidR="00856050">
        <w:rPr>
          <w:szCs w:val="24"/>
        </w:rPr>
        <w:t xml:space="preserve">contrary to OCC’s recommendations otherwise, </w:t>
      </w:r>
      <w:r w:rsidRPr="00AF71E9">
        <w:rPr>
          <w:szCs w:val="24"/>
        </w:rPr>
        <w:t xml:space="preserve">the PUCO should direct the Utility to comply with certain requirements, as described above, that will help to ensure </w:t>
      </w:r>
      <w:r w:rsidR="00856050">
        <w:rPr>
          <w:szCs w:val="24"/>
        </w:rPr>
        <w:t>customers pay no more than is reasonably necessary to provide safe</w:t>
      </w:r>
      <w:r w:rsidR="0024152F">
        <w:rPr>
          <w:szCs w:val="24"/>
        </w:rPr>
        <w:t xml:space="preserve"> and reliable utility service.</w:t>
      </w:r>
    </w:p>
    <w:p w:rsidR="0024152F" w:rsidRPr="00AF71E9" w:rsidRDefault="0024152F" w:rsidP="00D45FC3">
      <w:pPr>
        <w:pStyle w:val="BodyTextIndent3"/>
        <w:widowControl w:val="0"/>
        <w:spacing w:line="480" w:lineRule="auto"/>
        <w:rPr>
          <w:szCs w:val="24"/>
        </w:rPr>
      </w:pPr>
    </w:p>
    <w:p w:rsidR="00D45FC3" w:rsidRPr="00AF71E9" w:rsidRDefault="00D45FC3" w:rsidP="00D45FC3">
      <w:pPr>
        <w:pStyle w:val="BodyTextIndent3"/>
        <w:widowControl w:val="0"/>
        <w:spacing w:line="480" w:lineRule="auto"/>
        <w:ind w:left="3600" w:right="-672"/>
        <w:rPr>
          <w:szCs w:val="24"/>
        </w:rPr>
      </w:pPr>
      <w:r w:rsidRPr="00AF71E9">
        <w:rPr>
          <w:szCs w:val="24"/>
        </w:rPr>
        <w:t>Respectfully submitted,</w:t>
      </w:r>
    </w:p>
    <w:p w:rsidR="00D45FC3" w:rsidRPr="00AF71E9" w:rsidRDefault="00D45FC3" w:rsidP="00D45FC3">
      <w:pPr>
        <w:pStyle w:val="Footer"/>
        <w:tabs>
          <w:tab w:val="clear" w:pos="8640"/>
          <w:tab w:val="left" w:pos="4320"/>
        </w:tabs>
        <w:rPr>
          <w:sz w:val="24"/>
          <w:szCs w:val="24"/>
        </w:rPr>
      </w:pPr>
      <w:r w:rsidRPr="00AF71E9">
        <w:rPr>
          <w:sz w:val="24"/>
          <w:szCs w:val="24"/>
        </w:rPr>
        <w:tab/>
        <w:t>BRUCE J. WESTON</w:t>
      </w:r>
    </w:p>
    <w:p w:rsidR="00D45FC3" w:rsidRPr="00AF71E9" w:rsidRDefault="00D45FC3" w:rsidP="00D45FC3">
      <w:pPr>
        <w:tabs>
          <w:tab w:val="left" w:pos="4320"/>
        </w:tabs>
        <w:rPr>
          <w:szCs w:val="24"/>
        </w:rPr>
      </w:pPr>
      <w:r w:rsidRPr="00AF71E9">
        <w:rPr>
          <w:szCs w:val="24"/>
        </w:rPr>
        <w:tab/>
        <w:t>OHIO CONSUMERS’ COUNSEL</w:t>
      </w:r>
    </w:p>
    <w:p w:rsidR="00D45FC3" w:rsidRPr="00AF71E9" w:rsidRDefault="00D45FC3" w:rsidP="00D45FC3">
      <w:pPr>
        <w:tabs>
          <w:tab w:val="left" w:pos="4320"/>
        </w:tabs>
        <w:rPr>
          <w:szCs w:val="24"/>
        </w:rPr>
      </w:pPr>
      <w:r w:rsidRPr="00AF71E9">
        <w:rPr>
          <w:szCs w:val="24"/>
        </w:rPr>
        <w:tab/>
      </w:r>
    </w:p>
    <w:p w:rsidR="00D45FC3" w:rsidRPr="00AF71E9" w:rsidRDefault="00D45FC3" w:rsidP="00D45FC3">
      <w:pPr>
        <w:tabs>
          <w:tab w:val="left" w:pos="4320"/>
        </w:tabs>
        <w:rPr>
          <w:szCs w:val="24"/>
        </w:rPr>
      </w:pPr>
      <w:r w:rsidRPr="00AF71E9">
        <w:rPr>
          <w:szCs w:val="24"/>
        </w:rPr>
        <w:tab/>
      </w:r>
    </w:p>
    <w:p w:rsidR="00D45FC3" w:rsidRPr="00D217A9" w:rsidRDefault="00D45FC3" w:rsidP="00D45FC3">
      <w:pPr>
        <w:tabs>
          <w:tab w:val="left" w:pos="4320"/>
        </w:tabs>
        <w:rPr>
          <w:i/>
          <w:szCs w:val="24"/>
          <w:u w:val="single"/>
        </w:rPr>
      </w:pPr>
      <w:r w:rsidRPr="00D217A9">
        <w:rPr>
          <w:i/>
          <w:szCs w:val="24"/>
        </w:rPr>
        <w:tab/>
      </w:r>
      <w:r w:rsidRPr="00D217A9">
        <w:rPr>
          <w:i/>
          <w:szCs w:val="24"/>
          <w:u w:val="single"/>
        </w:rPr>
        <w:t xml:space="preserve">/s/ </w:t>
      </w:r>
      <w:r w:rsidR="00D217A9" w:rsidRPr="00D217A9">
        <w:rPr>
          <w:i/>
          <w:szCs w:val="24"/>
          <w:u w:val="single"/>
        </w:rPr>
        <w:t>Kevin F. Moore</w:t>
      </w:r>
      <w:r w:rsidRPr="00D217A9">
        <w:rPr>
          <w:i/>
          <w:szCs w:val="24"/>
          <w:u w:val="single"/>
        </w:rPr>
        <w:tab/>
      </w:r>
      <w:r w:rsidRPr="00D217A9">
        <w:rPr>
          <w:i/>
          <w:szCs w:val="24"/>
          <w:u w:val="single"/>
        </w:rPr>
        <w:tab/>
      </w:r>
      <w:r w:rsidRPr="00D217A9">
        <w:rPr>
          <w:i/>
          <w:szCs w:val="24"/>
          <w:u w:val="single"/>
        </w:rPr>
        <w:tab/>
      </w:r>
    </w:p>
    <w:p w:rsidR="00D45FC3" w:rsidRPr="00AF71E9" w:rsidRDefault="00D45FC3" w:rsidP="00D45FC3">
      <w:pPr>
        <w:tabs>
          <w:tab w:val="left" w:pos="4320"/>
        </w:tabs>
        <w:rPr>
          <w:szCs w:val="24"/>
        </w:rPr>
      </w:pPr>
      <w:r w:rsidRPr="00AF71E9">
        <w:rPr>
          <w:szCs w:val="24"/>
        </w:rPr>
        <w:tab/>
        <w:t>Joseph P. Serio (Reg. No. 0036959)</w:t>
      </w:r>
    </w:p>
    <w:p w:rsidR="00D45FC3" w:rsidRPr="00AF71E9" w:rsidRDefault="00D45FC3" w:rsidP="00D45FC3">
      <w:pPr>
        <w:tabs>
          <w:tab w:val="left" w:pos="4320"/>
        </w:tabs>
        <w:rPr>
          <w:szCs w:val="24"/>
        </w:rPr>
      </w:pPr>
      <w:r w:rsidRPr="00AF71E9">
        <w:rPr>
          <w:szCs w:val="24"/>
        </w:rPr>
        <w:tab/>
        <w:t>Counsel of Record</w:t>
      </w:r>
    </w:p>
    <w:p w:rsidR="00D45FC3" w:rsidRPr="00AF71E9" w:rsidRDefault="00D45FC3" w:rsidP="00D45FC3">
      <w:pPr>
        <w:tabs>
          <w:tab w:val="left" w:pos="4320"/>
        </w:tabs>
        <w:rPr>
          <w:szCs w:val="24"/>
        </w:rPr>
      </w:pPr>
      <w:r w:rsidRPr="00AF71E9">
        <w:rPr>
          <w:szCs w:val="24"/>
        </w:rPr>
        <w:tab/>
        <w:t>Kevin F. Moore (Reg. No. 0089228)</w:t>
      </w:r>
    </w:p>
    <w:p w:rsidR="00D45FC3" w:rsidRPr="00AF71E9" w:rsidRDefault="00D45FC3" w:rsidP="00D45FC3">
      <w:pPr>
        <w:tabs>
          <w:tab w:val="left" w:pos="4320"/>
        </w:tabs>
        <w:rPr>
          <w:szCs w:val="24"/>
        </w:rPr>
      </w:pPr>
      <w:r w:rsidRPr="00AF71E9">
        <w:rPr>
          <w:szCs w:val="24"/>
        </w:rPr>
        <w:tab/>
        <w:t>Assistant Consumers’ Counsel</w:t>
      </w:r>
    </w:p>
    <w:p w:rsidR="00D45FC3" w:rsidRPr="00AF71E9" w:rsidRDefault="00D45FC3" w:rsidP="00D45FC3">
      <w:pPr>
        <w:ind w:left="3600"/>
        <w:rPr>
          <w:szCs w:val="24"/>
        </w:rPr>
      </w:pPr>
      <w:r w:rsidRPr="00AF71E9">
        <w:rPr>
          <w:szCs w:val="24"/>
        </w:rPr>
        <w:tab/>
      </w:r>
    </w:p>
    <w:p w:rsidR="00D45FC3" w:rsidRPr="00AF71E9" w:rsidRDefault="00D45FC3" w:rsidP="00D45FC3">
      <w:pPr>
        <w:ind w:left="3600"/>
        <w:rPr>
          <w:b/>
          <w:szCs w:val="24"/>
        </w:rPr>
      </w:pPr>
      <w:r w:rsidRPr="00AF71E9">
        <w:rPr>
          <w:b/>
          <w:szCs w:val="24"/>
        </w:rPr>
        <w:tab/>
        <w:t>Office of the Ohio Consumers’ Counsel</w:t>
      </w:r>
    </w:p>
    <w:p w:rsidR="00D45FC3" w:rsidRPr="00AF71E9" w:rsidRDefault="00D45FC3" w:rsidP="00D45FC3">
      <w:pPr>
        <w:ind w:left="3600"/>
        <w:rPr>
          <w:szCs w:val="24"/>
        </w:rPr>
      </w:pPr>
      <w:r w:rsidRPr="00AF71E9">
        <w:rPr>
          <w:szCs w:val="24"/>
        </w:rPr>
        <w:tab/>
        <w:t>10 West Broad Street, Suite 1800</w:t>
      </w:r>
    </w:p>
    <w:p w:rsidR="00D45FC3" w:rsidRPr="00AF71E9" w:rsidRDefault="00D45FC3" w:rsidP="00D45FC3">
      <w:pPr>
        <w:ind w:left="3600"/>
        <w:rPr>
          <w:szCs w:val="24"/>
        </w:rPr>
      </w:pPr>
      <w:r w:rsidRPr="00AF71E9">
        <w:rPr>
          <w:szCs w:val="24"/>
        </w:rPr>
        <w:tab/>
        <w:t>Columbus, Ohio 43215-3485</w:t>
      </w:r>
    </w:p>
    <w:p w:rsidR="00D45FC3" w:rsidRPr="00AF71E9" w:rsidRDefault="00D45FC3" w:rsidP="00D45FC3">
      <w:pPr>
        <w:autoSpaceDE w:val="0"/>
        <w:autoSpaceDN w:val="0"/>
        <w:adjustRightInd w:val="0"/>
        <w:ind w:left="3600" w:firstLine="720"/>
        <w:rPr>
          <w:szCs w:val="24"/>
        </w:rPr>
      </w:pPr>
      <w:r w:rsidRPr="00AF71E9">
        <w:rPr>
          <w:szCs w:val="24"/>
        </w:rPr>
        <w:t>Telephone: Serio (614) 466-9565</w:t>
      </w:r>
    </w:p>
    <w:p w:rsidR="00D45FC3" w:rsidRPr="00AF71E9" w:rsidRDefault="00D45FC3" w:rsidP="00D45FC3">
      <w:pPr>
        <w:autoSpaceDE w:val="0"/>
        <w:autoSpaceDN w:val="0"/>
        <w:adjustRightInd w:val="0"/>
        <w:ind w:left="3600" w:firstLine="720"/>
        <w:rPr>
          <w:szCs w:val="24"/>
        </w:rPr>
      </w:pPr>
      <w:r w:rsidRPr="00AF71E9">
        <w:rPr>
          <w:szCs w:val="24"/>
        </w:rPr>
        <w:t>Telephone: Moore (614) 387-2965</w:t>
      </w:r>
    </w:p>
    <w:p w:rsidR="000C19F3" w:rsidRDefault="00D45FC3" w:rsidP="00D45FC3">
      <w:pPr>
        <w:rPr>
          <w:szCs w:val="24"/>
        </w:rPr>
      </w:pPr>
      <w:r w:rsidRPr="00AF71E9">
        <w:rPr>
          <w:szCs w:val="24"/>
        </w:rPr>
        <w:tab/>
      </w:r>
      <w:r w:rsidRPr="00AF71E9">
        <w:rPr>
          <w:szCs w:val="24"/>
        </w:rPr>
        <w:tab/>
      </w:r>
      <w:r w:rsidRPr="00AF71E9">
        <w:rPr>
          <w:szCs w:val="24"/>
        </w:rPr>
        <w:tab/>
      </w:r>
      <w:r w:rsidRPr="00AF71E9">
        <w:rPr>
          <w:szCs w:val="24"/>
        </w:rPr>
        <w:tab/>
      </w:r>
      <w:r w:rsidRPr="00AF71E9">
        <w:rPr>
          <w:szCs w:val="24"/>
        </w:rPr>
        <w:tab/>
      </w:r>
      <w:r w:rsidRPr="00AF71E9">
        <w:rPr>
          <w:szCs w:val="24"/>
        </w:rPr>
        <w:tab/>
      </w:r>
      <w:r w:rsidR="000C19F3" w:rsidRPr="00E1351C">
        <w:rPr>
          <w:szCs w:val="24"/>
        </w:rPr>
        <w:t>Joseph.serio@occ.ohio.go</w:t>
      </w:r>
      <w:r w:rsidR="007B0D8A" w:rsidRPr="00E1351C">
        <w:rPr>
          <w:szCs w:val="24"/>
        </w:rPr>
        <w:t>v</w:t>
      </w:r>
    </w:p>
    <w:p w:rsidR="00D45FC3" w:rsidRDefault="00D45FC3" w:rsidP="00D45FC3">
      <w:pPr>
        <w:rPr>
          <w:szCs w:val="24"/>
        </w:rPr>
      </w:pPr>
      <w:r w:rsidRPr="00AF71E9">
        <w:rPr>
          <w:szCs w:val="24"/>
        </w:rPr>
        <w:tab/>
      </w:r>
      <w:r w:rsidRPr="00AF71E9">
        <w:rPr>
          <w:szCs w:val="24"/>
        </w:rPr>
        <w:tab/>
      </w:r>
      <w:r w:rsidRPr="00AF71E9">
        <w:rPr>
          <w:szCs w:val="24"/>
        </w:rPr>
        <w:tab/>
      </w:r>
      <w:r w:rsidRPr="00AF71E9">
        <w:rPr>
          <w:szCs w:val="24"/>
        </w:rPr>
        <w:tab/>
      </w:r>
      <w:r w:rsidRPr="00AF71E9">
        <w:rPr>
          <w:szCs w:val="24"/>
        </w:rPr>
        <w:tab/>
      </w:r>
      <w:r w:rsidRPr="00AF71E9">
        <w:rPr>
          <w:szCs w:val="24"/>
        </w:rPr>
        <w:tab/>
      </w:r>
      <w:r w:rsidR="000C19F3" w:rsidRPr="00E1351C">
        <w:rPr>
          <w:szCs w:val="24"/>
        </w:rPr>
        <w:t>Kevin.moore@occ.ohio.gov</w:t>
      </w:r>
    </w:p>
    <w:p w:rsidR="000C19F3" w:rsidRPr="00AF71E9" w:rsidRDefault="000C19F3" w:rsidP="00D45FC3">
      <w:pPr>
        <w:rPr>
          <w:szCs w:val="24"/>
        </w:rPr>
      </w:pPr>
    </w:p>
    <w:p w:rsidR="00D45FC3" w:rsidRPr="00AF71E9" w:rsidRDefault="00D45FC3" w:rsidP="00D45FC3">
      <w:pPr>
        <w:rPr>
          <w:szCs w:val="24"/>
        </w:rPr>
      </w:pPr>
    </w:p>
    <w:p w:rsidR="00D45FC3" w:rsidRPr="00AF71E9" w:rsidRDefault="00D45FC3" w:rsidP="00D45FC3">
      <w:pPr>
        <w:jc w:val="right"/>
        <w:rPr>
          <w:szCs w:val="24"/>
        </w:rPr>
      </w:pPr>
    </w:p>
    <w:p w:rsidR="00E959CA" w:rsidRDefault="00E959CA">
      <w:pPr>
        <w:spacing w:after="200" w:line="276" w:lineRule="auto"/>
        <w:rPr>
          <w:b/>
          <w:bCs/>
          <w:szCs w:val="24"/>
          <w:u w:val="single"/>
        </w:rPr>
      </w:pPr>
      <w:r>
        <w:rPr>
          <w:b/>
          <w:bCs/>
          <w:szCs w:val="24"/>
          <w:u w:val="single"/>
        </w:rPr>
        <w:br w:type="page"/>
      </w:r>
    </w:p>
    <w:p w:rsidR="00D45FC3" w:rsidRPr="00AF71E9" w:rsidRDefault="00D45FC3" w:rsidP="00D45FC3">
      <w:pPr>
        <w:ind w:left="2160" w:firstLine="720"/>
        <w:rPr>
          <w:b/>
          <w:bCs/>
          <w:szCs w:val="24"/>
          <w:u w:val="single"/>
        </w:rPr>
      </w:pPr>
      <w:r w:rsidRPr="00AF71E9">
        <w:rPr>
          <w:b/>
          <w:bCs/>
          <w:szCs w:val="24"/>
          <w:u w:val="single"/>
        </w:rPr>
        <w:t>CERTIFICATE OF SERVICE</w:t>
      </w:r>
    </w:p>
    <w:p w:rsidR="00D45FC3" w:rsidRPr="00AF71E9" w:rsidRDefault="00D45FC3" w:rsidP="00D45FC3">
      <w:pPr>
        <w:spacing w:line="480" w:lineRule="atLeast"/>
        <w:rPr>
          <w:szCs w:val="24"/>
        </w:rPr>
      </w:pPr>
      <w:r w:rsidRPr="00AF71E9">
        <w:rPr>
          <w:szCs w:val="24"/>
        </w:rPr>
        <w:tab/>
        <w:t xml:space="preserve">I hereby certify that a copy of these </w:t>
      </w:r>
      <w:r w:rsidRPr="00AF71E9">
        <w:rPr>
          <w:i/>
          <w:szCs w:val="24"/>
        </w:rPr>
        <w:t xml:space="preserve">Comments </w:t>
      </w:r>
      <w:r w:rsidRPr="00AF71E9">
        <w:rPr>
          <w:szCs w:val="24"/>
        </w:rPr>
        <w:t xml:space="preserve">have been served on the persons stated below </w:t>
      </w:r>
      <w:r w:rsidRPr="00AF71E9">
        <w:rPr>
          <w:i/>
          <w:szCs w:val="24"/>
        </w:rPr>
        <w:t>via</w:t>
      </w:r>
      <w:r w:rsidRPr="00AF71E9">
        <w:rPr>
          <w:szCs w:val="24"/>
        </w:rPr>
        <w:t xml:space="preserve"> electronic transmission, this </w:t>
      </w:r>
      <w:r w:rsidR="007B0D8A">
        <w:rPr>
          <w:szCs w:val="24"/>
        </w:rPr>
        <w:t>2</w:t>
      </w:r>
      <w:r w:rsidR="007B0D8A" w:rsidRPr="007B0D8A">
        <w:rPr>
          <w:szCs w:val="24"/>
          <w:vertAlign w:val="superscript"/>
        </w:rPr>
        <w:t>nd</w:t>
      </w:r>
      <w:r w:rsidR="007B0D8A">
        <w:rPr>
          <w:szCs w:val="24"/>
        </w:rPr>
        <w:t xml:space="preserve"> </w:t>
      </w:r>
      <w:r w:rsidRPr="00AF71E9">
        <w:rPr>
          <w:szCs w:val="24"/>
        </w:rPr>
        <w:t xml:space="preserve">day of </w:t>
      </w:r>
      <w:r w:rsidR="007B0D8A">
        <w:rPr>
          <w:szCs w:val="24"/>
        </w:rPr>
        <w:t>December</w:t>
      </w:r>
      <w:r w:rsidRPr="00AF71E9">
        <w:rPr>
          <w:szCs w:val="24"/>
        </w:rPr>
        <w:t xml:space="preserve"> 2014.</w:t>
      </w:r>
    </w:p>
    <w:p w:rsidR="00D45FC3" w:rsidRPr="00AF71E9" w:rsidRDefault="00D45FC3" w:rsidP="00D45FC3">
      <w:pPr>
        <w:spacing w:line="480" w:lineRule="atLeast"/>
        <w:rPr>
          <w:szCs w:val="24"/>
        </w:rPr>
      </w:pPr>
    </w:p>
    <w:p w:rsidR="00D45FC3" w:rsidRPr="00AF71E9" w:rsidRDefault="00D45FC3" w:rsidP="00D45FC3">
      <w:pPr>
        <w:tabs>
          <w:tab w:val="left" w:pos="4320"/>
        </w:tabs>
        <w:rPr>
          <w:i/>
          <w:szCs w:val="24"/>
          <w:u w:val="single"/>
        </w:rPr>
      </w:pPr>
      <w:r w:rsidRPr="00AF71E9">
        <w:rPr>
          <w:szCs w:val="24"/>
        </w:rPr>
        <w:tab/>
      </w:r>
      <w:r w:rsidRPr="00AF71E9">
        <w:rPr>
          <w:i/>
          <w:szCs w:val="24"/>
          <w:u w:val="single"/>
        </w:rPr>
        <w:t xml:space="preserve">/s/ </w:t>
      </w:r>
      <w:r w:rsidR="00D217A9">
        <w:rPr>
          <w:i/>
          <w:szCs w:val="24"/>
          <w:u w:val="single"/>
        </w:rPr>
        <w:t>Kevin F. Moore</w:t>
      </w:r>
      <w:r w:rsidRPr="00AF71E9">
        <w:rPr>
          <w:i/>
          <w:szCs w:val="24"/>
          <w:u w:val="single"/>
        </w:rPr>
        <w:tab/>
      </w:r>
      <w:r w:rsidRPr="00AF71E9">
        <w:rPr>
          <w:i/>
          <w:szCs w:val="24"/>
          <w:u w:val="single"/>
        </w:rPr>
        <w:tab/>
      </w:r>
      <w:r w:rsidRPr="00AF71E9">
        <w:rPr>
          <w:i/>
          <w:szCs w:val="24"/>
          <w:u w:val="single"/>
        </w:rPr>
        <w:tab/>
      </w:r>
    </w:p>
    <w:p w:rsidR="00D45FC3" w:rsidRPr="00AF71E9" w:rsidRDefault="00D45FC3" w:rsidP="00D45FC3">
      <w:pPr>
        <w:tabs>
          <w:tab w:val="left" w:pos="4320"/>
        </w:tabs>
        <w:rPr>
          <w:szCs w:val="24"/>
        </w:rPr>
      </w:pPr>
      <w:r w:rsidRPr="00AF71E9">
        <w:rPr>
          <w:szCs w:val="24"/>
        </w:rPr>
        <w:tab/>
      </w:r>
      <w:r w:rsidR="00D217A9">
        <w:rPr>
          <w:szCs w:val="24"/>
        </w:rPr>
        <w:t>Kevin F. Moore</w:t>
      </w:r>
    </w:p>
    <w:p w:rsidR="00D45FC3" w:rsidRPr="00AF71E9" w:rsidRDefault="00D45FC3" w:rsidP="00D45FC3">
      <w:pPr>
        <w:tabs>
          <w:tab w:val="left" w:pos="4320"/>
        </w:tabs>
        <w:rPr>
          <w:szCs w:val="24"/>
        </w:rPr>
      </w:pPr>
      <w:r w:rsidRPr="00AF71E9">
        <w:rPr>
          <w:szCs w:val="24"/>
        </w:rPr>
        <w:tab/>
        <w:t>Assistant Consumers’ Counsel</w:t>
      </w:r>
    </w:p>
    <w:p w:rsidR="00D45FC3" w:rsidRPr="00AF71E9" w:rsidRDefault="00D45FC3" w:rsidP="00D45FC3">
      <w:pPr>
        <w:pStyle w:val="CommentSubject"/>
        <w:rPr>
          <w:szCs w:val="24"/>
        </w:rPr>
      </w:pPr>
    </w:p>
    <w:p w:rsidR="00D45FC3" w:rsidRPr="00AF71E9" w:rsidRDefault="00D45FC3" w:rsidP="00D45FC3">
      <w:pPr>
        <w:pStyle w:val="CommentText"/>
      </w:pPr>
    </w:p>
    <w:p w:rsidR="00D45FC3" w:rsidRDefault="00D45FC3" w:rsidP="00D45FC3">
      <w:pPr>
        <w:pStyle w:val="CommentText"/>
        <w:jc w:val="center"/>
        <w:rPr>
          <w:b/>
          <w:u w:val="single"/>
        </w:rPr>
      </w:pPr>
      <w:r w:rsidRPr="00AF71E9">
        <w:rPr>
          <w:b/>
          <w:u w:val="single"/>
        </w:rPr>
        <w:t>SERVICE LIST</w:t>
      </w:r>
    </w:p>
    <w:p w:rsidR="000C19F3" w:rsidRDefault="000C19F3" w:rsidP="00D45FC3">
      <w:pPr>
        <w:pStyle w:val="CommentText"/>
        <w:jc w:val="center"/>
        <w:rPr>
          <w:b/>
          <w:u w:val="single"/>
        </w:rPr>
      </w:pPr>
    </w:p>
    <w:p w:rsidR="000C19F3" w:rsidRDefault="000C19F3" w:rsidP="00D45FC3">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C19F3" w:rsidTr="00F66915">
        <w:tc>
          <w:tcPr>
            <w:tcW w:w="4428" w:type="dxa"/>
          </w:tcPr>
          <w:p w:rsidR="007B0D8A" w:rsidRDefault="000C19F3" w:rsidP="000C19F3">
            <w:pPr>
              <w:rPr>
                <w:szCs w:val="24"/>
              </w:rPr>
            </w:pPr>
            <w:r w:rsidRPr="00AF71E9">
              <w:rPr>
                <w:szCs w:val="24"/>
              </w:rPr>
              <w:t>William Wright</w:t>
            </w:r>
          </w:p>
          <w:p w:rsidR="000C19F3" w:rsidRPr="00AF71E9" w:rsidRDefault="000C19F3" w:rsidP="000C19F3">
            <w:pPr>
              <w:rPr>
                <w:szCs w:val="24"/>
              </w:rPr>
            </w:pPr>
            <w:r w:rsidRPr="00AF71E9">
              <w:rPr>
                <w:szCs w:val="24"/>
              </w:rPr>
              <w:t>Chief, Public Utilities Section</w:t>
            </w:r>
          </w:p>
          <w:p w:rsidR="000C19F3" w:rsidRPr="00AF71E9" w:rsidRDefault="000C19F3" w:rsidP="000C19F3">
            <w:pPr>
              <w:rPr>
                <w:szCs w:val="24"/>
              </w:rPr>
            </w:pPr>
            <w:r w:rsidRPr="00AF71E9">
              <w:rPr>
                <w:szCs w:val="24"/>
              </w:rPr>
              <w:t>Public Utilities Commission of Ohio</w:t>
            </w:r>
          </w:p>
          <w:p w:rsidR="000C19F3" w:rsidRPr="00AF71E9" w:rsidRDefault="000C19F3" w:rsidP="000C19F3">
            <w:pPr>
              <w:rPr>
                <w:szCs w:val="24"/>
              </w:rPr>
            </w:pPr>
            <w:r w:rsidRPr="00AF71E9">
              <w:rPr>
                <w:szCs w:val="24"/>
              </w:rPr>
              <w:t>180 East Broad Street, 6</w:t>
            </w:r>
            <w:r w:rsidRPr="00AF71E9">
              <w:rPr>
                <w:szCs w:val="24"/>
                <w:vertAlign w:val="superscript"/>
              </w:rPr>
              <w:t>th</w:t>
            </w:r>
            <w:r w:rsidRPr="00AF71E9">
              <w:rPr>
                <w:szCs w:val="24"/>
              </w:rPr>
              <w:t xml:space="preserve"> Floor</w:t>
            </w:r>
          </w:p>
          <w:p w:rsidR="000C19F3" w:rsidRPr="00AF71E9" w:rsidRDefault="000C19F3" w:rsidP="000C19F3">
            <w:pPr>
              <w:rPr>
                <w:szCs w:val="24"/>
              </w:rPr>
            </w:pPr>
            <w:r w:rsidRPr="00AF71E9">
              <w:rPr>
                <w:szCs w:val="24"/>
              </w:rPr>
              <w:t>Columbus, Ohio  43215</w:t>
            </w:r>
          </w:p>
          <w:p w:rsidR="000C19F3" w:rsidRDefault="007B0D8A" w:rsidP="000C19F3">
            <w:pPr>
              <w:rPr>
                <w:szCs w:val="24"/>
              </w:rPr>
            </w:pPr>
            <w:r w:rsidRPr="00F66915">
              <w:rPr>
                <w:szCs w:val="24"/>
              </w:rPr>
              <w:t>William.wright@puc.state.oh.us</w:t>
            </w:r>
          </w:p>
          <w:p w:rsidR="007B0D8A" w:rsidRPr="00AF71E9" w:rsidRDefault="007B0D8A" w:rsidP="000C19F3">
            <w:pPr>
              <w:rPr>
                <w:szCs w:val="24"/>
              </w:rPr>
            </w:pPr>
          </w:p>
          <w:p w:rsidR="000C19F3" w:rsidRDefault="000C19F3" w:rsidP="00D45FC3">
            <w:pPr>
              <w:pStyle w:val="CommentText"/>
              <w:jc w:val="center"/>
              <w:rPr>
                <w:b/>
                <w:u w:val="single"/>
              </w:rPr>
            </w:pPr>
          </w:p>
        </w:tc>
        <w:tc>
          <w:tcPr>
            <w:tcW w:w="4428" w:type="dxa"/>
          </w:tcPr>
          <w:p w:rsidR="007B0D8A" w:rsidRPr="007B0D8A" w:rsidRDefault="007B0D8A" w:rsidP="007B0D8A">
            <w:pPr>
              <w:autoSpaceDE w:val="0"/>
              <w:autoSpaceDN w:val="0"/>
              <w:adjustRightInd w:val="0"/>
              <w:rPr>
                <w:bCs/>
              </w:rPr>
            </w:pPr>
            <w:r w:rsidRPr="007B0D8A">
              <w:rPr>
                <w:bCs/>
              </w:rPr>
              <w:t>Brooke E. Leslie, Counsel of Record</w:t>
            </w:r>
          </w:p>
          <w:p w:rsidR="007B0D8A" w:rsidRPr="007B0D8A" w:rsidRDefault="007B0D8A" w:rsidP="007B0D8A">
            <w:pPr>
              <w:autoSpaceDE w:val="0"/>
              <w:autoSpaceDN w:val="0"/>
              <w:adjustRightInd w:val="0"/>
              <w:rPr>
                <w:bCs/>
              </w:rPr>
            </w:pPr>
            <w:r w:rsidRPr="007B0D8A">
              <w:rPr>
                <w:bCs/>
              </w:rPr>
              <w:t>Stephen B. Seiple</w:t>
            </w:r>
          </w:p>
          <w:p w:rsidR="007B0D8A" w:rsidRPr="007B0D8A" w:rsidRDefault="007B0D8A" w:rsidP="007B0D8A">
            <w:pPr>
              <w:autoSpaceDE w:val="0"/>
              <w:autoSpaceDN w:val="0"/>
              <w:adjustRightInd w:val="0"/>
              <w:rPr>
                <w:bCs/>
              </w:rPr>
            </w:pPr>
            <w:r w:rsidRPr="007B0D8A">
              <w:rPr>
                <w:bCs/>
              </w:rPr>
              <w:t>Melissa L. Thompson</w:t>
            </w:r>
          </w:p>
          <w:p w:rsidR="007B0D8A" w:rsidRPr="007B0D8A" w:rsidRDefault="007B0D8A" w:rsidP="007B0D8A">
            <w:pPr>
              <w:autoSpaceDE w:val="0"/>
              <w:autoSpaceDN w:val="0"/>
              <w:adjustRightInd w:val="0"/>
              <w:rPr>
                <w:bCs/>
              </w:rPr>
            </w:pPr>
            <w:r w:rsidRPr="007B0D8A">
              <w:rPr>
                <w:bCs/>
              </w:rPr>
              <w:t>Columbia Gas of Ohio, Inc.</w:t>
            </w:r>
          </w:p>
          <w:p w:rsidR="007B0D8A" w:rsidRPr="007B0D8A" w:rsidRDefault="007B0D8A" w:rsidP="007B0D8A">
            <w:pPr>
              <w:autoSpaceDE w:val="0"/>
              <w:autoSpaceDN w:val="0"/>
              <w:adjustRightInd w:val="0"/>
              <w:rPr>
                <w:bCs/>
              </w:rPr>
            </w:pPr>
            <w:r w:rsidRPr="007B0D8A">
              <w:rPr>
                <w:bCs/>
              </w:rPr>
              <w:t>200 Civic Center Drive</w:t>
            </w:r>
          </w:p>
          <w:p w:rsidR="007B0D8A" w:rsidRPr="007B0D8A" w:rsidRDefault="007B0D8A" w:rsidP="007B0D8A">
            <w:pPr>
              <w:autoSpaceDE w:val="0"/>
              <w:autoSpaceDN w:val="0"/>
              <w:adjustRightInd w:val="0"/>
              <w:rPr>
                <w:bCs/>
              </w:rPr>
            </w:pPr>
            <w:r w:rsidRPr="007B0D8A">
              <w:rPr>
                <w:bCs/>
              </w:rPr>
              <w:t>P.O. Box 117</w:t>
            </w:r>
          </w:p>
          <w:p w:rsidR="007B0D8A" w:rsidRPr="007B0D8A" w:rsidRDefault="007B0D8A" w:rsidP="007B0D8A">
            <w:pPr>
              <w:autoSpaceDE w:val="0"/>
              <w:autoSpaceDN w:val="0"/>
              <w:adjustRightInd w:val="0"/>
              <w:rPr>
                <w:bCs/>
              </w:rPr>
            </w:pPr>
            <w:r w:rsidRPr="007B0D8A">
              <w:rPr>
                <w:bCs/>
              </w:rPr>
              <w:t>Columbus, Ohio  43216-0117</w:t>
            </w:r>
          </w:p>
          <w:p w:rsidR="007B0D8A" w:rsidRDefault="007B0D8A" w:rsidP="007B0D8A">
            <w:pPr>
              <w:autoSpaceDE w:val="0"/>
              <w:autoSpaceDN w:val="0"/>
              <w:adjustRightInd w:val="0"/>
              <w:rPr>
                <w:bCs/>
              </w:rPr>
            </w:pPr>
            <w:r w:rsidRPr="00F66915">
              <w:rPr>
                <w:bCs/>
              </w:rPr>
              <w:t>bleslie@nisource.com</w:t>
            </w:r>
          </w:p>
          <w:p w:rsidR="007B0D8A" w:rsidRDefault="007B0D8A" w:rsidP="007B0D8A">
            <w:pPr>
              <w:autoSpaceDE w:val="0"/>
              <w:autoSpaceDN w:val="0"/>
              <w:adjustRightInd w:val="0"/>
              <w:rPr>
                <w:bCs/>
              </w:rPr>
            </w:pPr>
            <w:r w:rsidRPr="00F66915">
              <w:rPr>
                <w:bCs/>
              </w:rPr>
              <w:t>sseiple@nisource.com</w:t>
            </w:r>
          </w:p>
          <w:p w:rsidR="007B0D8A" w:rsidRDefault="007B0D8A" w:rsidP="007B0D8A">
            <w:pPr>
              <w:autoSpaceDE w:val="0"/>
              <w:autoSpaceDN w:val="0"/>
              <w:adjustRightInd w:val="0"/>
              <w:rPr>
                <w:bCs/>
              </w:rPr>
            </w:pPr>
            <w:r w:rsidRPr="00F66915">
              <w:rPr>
                <w:bCs/>
              </w:rPr>
              <w:t>mlthompson@nisource.com</w:t>
            </w:r>
          </w:p>
          <w:p w:rsidR="007B0D8A" w:rsidRPr="007B0D8A" w:rsidRDefault="007B0D8A" w:rsidP="007B0D8A">
            <w:pPr>
              <w:autoSpaceDE w:val="0"/>
              <w:autoSpaceDN w:val="0"/>
              <w:adjustRightInd w:val="0"/>
              <w:rPr>
                <w:bCs/>
              </w:rPr>
            </w:pPr>
          </w:p>
          <w:p w:rsidR="000C19F3" w:rsidRDefault="000C19F3" w:rsidP="000C19F3">
            <w:pPr>
              <w:pStyle w:val="CommentText"/>
              <w:jc w:val="center"/>
              <w:rPr>
                <w:b/>
                <w:u w:val="single"/>
              </w:rPr>
            </w:pPr>
          </w:p>
        </w:tc>
      </w:tr>
      <w:tr w:rsidR="000C19F3" w:rsidTr="00F66915">
        <w:tc>
          <w:tcPr>
            <w:tcW w:w="4428" w:type="dxa"/>
          </w:tcPr>
          <w:p w:rsidR="000C19F3" w:rsidRPr="00AF71E9" w:rsidRDefault="000C19F3" w:rsidP="000C19F3">
            <w:pPr>
              <w:pStyle w:val="BodyText"/>
              <w:rPr>
                <w:bCs/>
                <w:szCs w:val="24"/>
              </w:rPr>
            </w:pPr>
            <w:r w:rsidRPr="00AF71E9">
              <w:rPr>
                <w:bCs/>
                <w:szCs w:val="24"/>
              </w:rPr>
              <w:t>Colleen L. Mooney</w:t>
            </w:r>
          </w:p>
          <w:p w:rsidR="000C19F3" w:rsidRPr="00AF71E9" w:rsidRDefault="000C19F3" w:rsidP="000C19F3">
            <w:pPr>
              <w:pStyle w:val="BodyText"/>
              <w:rPr>
                <w:bCs/>
                <w:szCs w:val="24"/>
              </w:rPr>
            </w:pPr>
            <w:r w:rsidRPr="00AF71E9">
              <w:rPr>
                <w:bCs/>
                <w:szCs w:val="24"/>
              </w:rPr>
              <w:t>Ohio Partners for Affordable Energy</w:t>
            </w:r>
          </w:p>
          <w:p w:rsidR="000C19F3" w:rsidRPr="00AF71E9" w:rsidRDefault="000C19F3" w:rsidP="000C19F3">
            <w:pPr>
              <w:pStyle w:val="BodyText"/>
              <w:rPr>
                <w:bCs/>
                <w:szCs w:val="24"/>
              </w:rPr>
            </w:pPr>
            <w:r w:rsidRPr="00AF71E9">
              <w:rPr>
                <w:bCs/>
                <w:szCs w:val="24"/>
              </w:rPr>
              <w:t>231 West Lima Street</w:t>
            </w:r>
          </w:p>
          <w:p w:rsidR="000C19F3" w:rsidRPr="00AF71E9" w:rsidRDefault="000C19F3" w:rsidP="000C19F3">
            <w:pPr>
              <w:pStyle w:val="BodyText"/>
              <w:rPr>
                <w:bCs/>
                <w:szCs w:val="24"/>
              </w:rPr>
            </w:pPr>
            <w:r w:rsidRPr="00AF71E9">
              <w:rPr>
                <w:bCs/>
                <w:szCs w:val="24"/>
              </w:rPr>
              <w:t>P.O. Box 1793</w:t>
            </w:r>
          </w:p>
          <w:p w:rsidR="000C19F3" w:rsidRPr="00AF71E9" w:rsidRDefault="000C19F3" w:rsidP="000C19F3">
            <w:pPr>
              <w:pStyle w:val="BodyText"/>
              <w:rPr>
                <w:bCs/>
                <w:szCs w:val="24"/>
              </w:rPr>
            </w:pPr>
            <w:r w:rsidRPr="00AF71E9">
              <w:rPr>
                <w:bCs/>
                <w:szCs w:val="24"/>
              </w:rPr>
              <w:t>Findlay, Ohio  45839-1793</w:t>
            </w:r>
          </w:p>
          <w:p w:rsidR="000C19F3" w:rsidRDefault="007B0D8A" w:rsidP="000C19F3">
            <w:pPr>
              <w:pStyle w:val="BodyText"/>
              <w:rPr>
                <w:bCs/>
                <w:szCs w:val="24"/>
              </w:rPr>
            </w:pPr>
            <w:r w:rsidRPr="00F66915">
              <w:rPr>
                <w:bCs/>
                <w:szCs w:val="24"/>
              </w:rPr>
              <w:t>cmooney@ohiopartners.org</w:t>
            </w:r>
          </w:p>
          <w:p w:rsidR="007B0D8A" w:rsidRPr="00AF71E9" w:rsidRDefault="007B0D8A" w:rsidP="000C19F3">
            <w:pPr>
              <w:pStyle w:val="BodyText"/>
              <w:rPr>
                <w:bCs/>
                <w:szCs w:val="24"/>
              </w:rPr>
            </w:pPr>
          </w:p>
          <w:p w:rsidR="000C19F3" w:rsidRPr="00AF71E9" w:rsidRDefault="000C19F3" w:rsidP="000C19F3">
            <w:pPr>
              <w:rPr>
                <w:szCs w:val="24"/>
              </w:rPr>
            </w:pPr>
          </w:p>
        </w:tc>
        <w:tc>
          <w:tcPr>
            <w:tcW w:w="4428" w:type="dxa"/>
          </w:tcPr>
          <w:p w:rsidR="000C19F3" w:rsidRDefault="007B0D8A" w:rsidP="007B0D8A">
            <w:pPr>
              <w:pStyle w:val="CommentText"/>
            </w:pPr>
            <w:r>
              <w:t>Attorney Examiner:</w:t>
            </w:r>
          </w:p>
          <w:p w:rsidR="007B0D8A" w:rsidRDefault="007B0D8A" w:rsidP="007B0D8A">
            <w:pPr>
              <w:pStyle w:val="CommentText"/>
            </w:pPr>
          </w:p>
          <w:p w:rsidR="007B0D8A" w:rsidRDefault="007B0D8A" w:rsidP="007B0D8A">
            <w:pPr>
              <w:pStyle w:val="CommentText"/>
            </w:pPr>
            <w:r w:rsidRPr="00F66915">
              <w:t>Mandy.willey@puc.state.oh.us</w:t>
            </w:r>
          </w:p>
          <w:p w:rsidR="007B0D8A" w:rsidRPr="007B0D8A" w:rsidRDefault="007B0D8A" w:rsidP="007B0D8A">
            <w:pPr>
              <w:pStyle w:val="CommentText"/>
            </w:pPr>
          </w:p>
        </w:tc>
      </w:tr>
    </w:tbl>
    <w:p w:rsidR="000C19F3" w:rsidRDefault="000C19F3" w:rsidP="00D45FC3">
      <w:pPr>
        <w:pStyle w:val="CommentText"/>
        <w:jc w:val="center"/>
        <w:rPr>
          <w:b/>
          <w:u w:val="single"/>
        </w:rPr>
      </w:pPr>
    </w:p>
    <w:p w:rsidR="000C19F3" w:rsidRDefault="000C19F3" w:rsidP="00D45FC3">
      <w:pPr>
        <w:pStyle w:val="CommentText"/>
        <w:jc w:val="center"/>
        <w:rPr>
          <w:b/>
          <w:u w:val="single"/>
        </w:rPr>
      </w:pPr>
    </w:p>
    <w:p w:rsidR="000C19F3" w:rsidRDefault="000C19F3" w:rsidP="00D45FC3">
      <w:pPr>
        <w:pStyle w:val="CommentText"/>
        <w:jc w:val="center"/>
        <w:rPr>
          <w:b/>
          <w:u w:val="single"/>
        </w:rPr>
      </w:pPr>
    </w:p>
    <w:sectPr w:rsidR="000C19F3" w:rsidSect="000C19F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9E" w:rsidRDefault="002B389E" w:rsidP="00D45FC3">
      <w:r>
        <w:separator/>
      </w:r>
    </w:p>
  </w:endnote>
  <w:endnote w:type="continuationSeparator" w:id="0">
    <w:p w:rsidR="002B389E" w:rsidRDefault="002B389E" w:rsidP="00D4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1C" w:rsidRDefault="00E13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52" w:rsidRDefault="00817B5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90431">
      <w:rPr>
        <w:rStyle w:val="PageNumber"/>
        <w:noProof/>
      </w:rPr>
      <w:t>2</w:t>
    </w:r>
    <w:r>
      <w:rPr>
        <w:rStyle w:val="PageNumber"/>
      </w:rPr>
      <w:fldChar w:fldCharType="end"/>
    </w:r>
  </w:p>
  <w:p w:rsidR="00817B52" w:rsidRDefault="00817B52">
    <w:pPr>
      <w:pStyle w:val="Footer"/>
      <w:framePr w:wrap="around" w:vAnchor="text" w:hAnchor="margin" w:xAlign="center" w:y="1"/>
      <w:rPr>
        <w:rStyle w:val="PageNumber"/>
      </w:rPr>
    </w:pPr>
  </w:p>
  <w:p w:rsidR="00817B52" w:rsidRDefault="00817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1C" w:rsidRDefault="00E13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9E" w:rsidRDefault="002B389E" w:rsidP="00D45FC3">
      <w:r>
        <w:separator/>
      </w:r>
    </w:p>
  </w:footnote>
  <w:footnote w:type="continuationSeparator" w:id="0">
    <w:p w:rsidR="002B389E" w:rsidRDefault="002B389E" w:rsidP="00D45FC3">
      <w:r>
        <w:continuationSeparator/>
      </w:r>
    </w:p>
  </w:footnote>
  <w:footnote w:id="1">
    <w:p w:rsidR="00817B52" w:rsidRDefault="00817B52" w:rsidP="00E959CA">
      <w:pPr>
        <w:pStyle w:val="FootnoteText"/>
        <w:spacing w:after="120"/>
      </w:pPr>
      <w:r>
        <w:rPr>
          <w:rStyle w:val="FootnoteReference"/>
        </w:rPr>
        <w:footnoteRef/>
      </w:r>
      <w:r>
        <w:t xml:space="preserve"> </w:t>
      </w:r>
      <w:r>
        <w:rPr>
          <w:i/>
          <w:iCs/>
        </w:rPr>
        <w:t>In the Matter of the Joint Application of Ohio Edison Company, The Cleveland Electric Illuminating Company and The Toledo Edison Electric Company for Approval of a Generation Charge Adjustment Rider</w:t>
      </w:r>
      <w:r>
        <w:t xml:space="preserve">, Case No. 05-704-EL-AAM, Opinion and Order at 8 (January 4, 2006). (“FirstEnergy Deferral Case”).  </w:t>
      </w:r>
    </w:p>
  </w:footnote>
  <w:footnote w:id="2">
    <w:p w:rsidR="00817B52" w:rsidRPr="0080339B" w:rsidRDefault="00817B52" w:rsidP="0024152F">
      <w:pPr>
        <w:pStyle w:val="FootnoteText"/>
        <w:spacing w:after="120"/>
      </w:pPr>
      <w:r>
        <w:rPr>
          <w:rStyle w:val="FootnoteReference"/>
        </w:rPr>
        <w:footnoteRef/>
      </w:r>
      <w:r>
        <w:t xml:space="preserve"> </w:t>
      </w:r>
      <w:r>
        <w:rPr>
          <w:i/>
        </w:rPr>
        <w:t>Id.</w:t>
      </w:r>
      <w:r>
        <w:t xml:space="preserve"> at 8-9.</w:t>
      </w:r>
    </w:p>
  </w:footnote>
  <w:footnote w:id="3">
    <w:p w:rsidR="0024152F" w:rsidRDefault="0024152F" w:rsidP="0024152F">
      <w:pPr>
        <w:pStyle w:val="FootnoteText"/>
        <w:spacing w:after="120"/>
      </w:pPr>
      <w:r>
        <w:rPr>
          <w:rStyle w:val="FootnoteReference"/>
        </w:rPr>
        <w:footnoteRef/>
      </w:r>
      <w:r>
        <w:t xml:space="preserve"> </w:t>
      </w:r>
      <w:r w:rsidR="00135F3C" w:rsidRPr="00135F3C">
        <w:rPr>
          <w:i/>
        </w:rPr>
        <w:t xml:space="preserve">Id. </w:t>
      </w:r>
    </w:p>
  </w:footnote>
  <w:footnote w:id="4">
    <w:p w:rsidR="00817B52" w:rsidRDefault="00817B52" w:rsidP="0024152F">
      <w:pPr>
        <w:pStyle w:val="FootnoteText"/>
        <w:spacing w:after="120"/>
      </w:pPr>
      <w:r>
        <w:rPr>
          <w:rStyle w:val="FootnoteReference"/>
        </w:rPr>
        <w:footnoteRef/>
      </w:r>
      <w:r>
        <w:t xml:space="preserve"> </w:t>
      </w:r>
      <w:r>
        <w:rPr>
          <w:i/>
          <w:iCs/>
        </w:rPr>
        <w:t xml:space="preserve">Elyria Foundry Co. v. Public Utility Comm. of Ohio </w:t>
      </w:r>
      <w:r>
        <w:t xml:space="preserve">(2007), 114 Ohio St.3d at 310-312, 2007-Ohio-4164.  </w:t>
      </w:r>
    </w:p>
  </w:footnote>
  <w:footnote w:id="5">
    <w:p w:rsidR="00817B52" w:rsidRDefault="00817B52" w:rsidP="0024152F">
      <w:pPr>
        <w:pStyle w:val="FootnoteText"/>
        <w:spacing w:after="120"/>
      </w:pPr>
      <w:r>
        <w:rPr>
          <w:rStyle w:val="FootnoteReference"/>
        </w:rPr>
        <w:footnoteRef/>
      </w:r>
      <w:r>
        <w:t xml:space="preserve"> </w:t>
      </w:r>
      <w:r w:rsidR="00135F3C" w:rsidRPr="00C42AC6">
        <w:rPr>
          <w:i/>
        </w:rPr>
        <w:t>FirstEnergy Deferral Case</w:t>
      </w:r>
      <w:r w:rsidR="00135F3C">
        <w:t xml:space="preserve"> at 9.</w:t>
      </w:r>
    </w:p>
  </w:footnote>
  <w:footnote w:id="6">
    <w:p w:rsidR="00817B52" w:rsidRPr="00E5527C" w:rsidRDefault="00817B52" w:rsidP="00525011">
      <w:pPr>
        <w:pStyle w:val="FootnoteText"/>
        <w:spacing w:after="120"/>
      </w:pPr>
      <w:r>
        <w:rPr>
          <w:rStyle w:val="FootnoteReference"/>
        </w:rPr>
        <w:footnoteRef/>
      </w:r>
      <w:r>
        <w:t xml:space="preserve"> </w:t>
      </w:r>
      <w:r w:rsidRPr="00C5105E">
        <w:rPr>
          <w:i/>
        </w:rPr>
        <w:t>FirstEnergy Deferral Case</w:t>
      </w:r>
      <w:r>
        <w:t xml:space="preserve"> at 9.</w:t>
      </w:r>
    </w:p>
  </w:footnote>
  <w:footnote w:id="7">
    <w:p w:rsidR="00817B52" w:rsidRDefault="00817B52" w:rsidP="00E959CA">
      <w:pPr>
        <w:pStyle w:val="FootnoteText"/>
        <w:spacing w:after="120"/>
      </w:pPr>
      <w:r>
        <w:rPr>
          <w:rStyle w:val="FootnoteReference"/>
        </w:rPr>
        <w:footnoteRef/>
      </w:r>
      <w:r>
        <w:t xml:space="preserve"> Staff Comments at 8.</w:t>
      </w:r>
    </w:p>
  </w:footnote>
  <w:footnote w:id="8">
    <w:p w:rsidR="00817B52" w:rsidRDefault="00817B52" w:rsidP="00E959CA">
      <w:pPr>
        <w:pStyle w:val="FootnoteText"/>
        <w:spacing w:after="120"/>
      </w:pPr>
      <w:r>
        <w:rPr>
          <w:rStyle w:val="FootnoteReference"/>
        </w:rPr>
        <w:footnoteRef/>
      </w:r>
      <w:r>
        <w:t xml:space="preserve"> </w:t>
      </w:r>
      <w:r>
        <w:rPr>
          <w:i/>
        </w:rPr>
        <w:t>Id</w:t>
      </w:r>
      <w:r>
        <w:t>.</w:t>
      </w:r>
    </w:p>
  </w:footnote>
  <w:footnote w:id="9">
    <w:p w:rsidR="00817B52" w:rsidRPr="00E3240E" w:rsidRDefault="00817B52" w:rsidP="00E959CA">
      <w:pPr>
        <w:pStyle w:val="FootnoteText"/>
        <w:spacing w:after="120"/>
      </w:pPr>
      <w:r>
        <w:rPr>
          <w:rStyle w:val="FootnoteReference"/>
        </w:rPr>
        <w:footnoteRef/>
      </w:r>
      <w:r>
        <w:t xml:space="preserve"> </w:t>
      </w:r>
      <w:r>
        <w:rPr>
          <w:i/>
        </w:rPr>
        <w:t>Black’s Law Dictionary</w:t>
      </w:r>
      <w:r>
        <w:t xml:space="preserve"> 296 (10</w:t>
      </w:r>
      <w:r w:rsidRPr="00E3240E">
        <w:rPr>
          <w:vertAlign w:val="superscript"/>
        </w:rPr>
        <w:t>th</w:t>
      </w:r>
      <w:r>
        <w:t xml:space="preserve"> ed. 2014) (emphasis added).</w:t>
      </w:r>
    </w:p>
  </w:footnote>
  <w:footnote w:id="10">
    <w:p w:rsidR="00817B52" w:rsidRDefault="00817B52" w:rsidP="00E959CA">
      <w:pPr>
        <w:pStyle w:val="FootnoteText"/>
        <w:spacing w:after="120"/>
      </w:pPr>
      <w:r>
        <w:rPr>
          <w:rStyle w:val="FootnoteReference"/>
        </w:rPr>
        <w:footnoteRef/>
      </w:r>
      <w:r>
        <w:t xml:space="preserve"> </w:t>
      </w:r>
      <w:r>
        <w:rPr>
          <w:i/>
        </w:rPr>
        <w:t>Black’s Law Dictionary</w:t>
      </w:r>
      <w:r>
        <w:t xml:space="preserve"> 695 (10</w:t>
      </w:r>
      <w:r w:rsidRPr="00E3240E">
        <w:rPr>
          <w:vertAlign w:val="superscript"/>
        </w:rPr>
        <w:t>th</w:t>
      </w:r>
      <w:r>
        <w:t xml:space="preserve"> ed. 2014).</w:t>
      </w:r>
    </w:p>
  </w:footnote>
  <w:footnote w:id="11">
    <w:p w:rsidR="00817B52" w:rsidRDefault="00817B52" w:rsidP="00E959CA">
      <w:pPr>
        <w:pStyle w:val="FootnoteText"/>
        <w:spacing w:after="120"/>
      </w:pPr>
      <w:r>
        <w:rPr>
          <w:rStyle w:val="FootnoteReference"/>
        </w:rPr>
        <w:footnoteRef/>
      </w:r>
      <w:r>
        <w:t xml:space="preserve"> Staff Comments at 8 (emphasis added).</w:t>
      </w:r>
    </w:p>
  </w:footnote>
  <w:footnote w:id="12">
    <w:p w:rsidR="00817B52" w:rsidRDefault="00817B52" w:rsidP="00E959CA">
      <w:pPr>
        <w:pStyle w:val="FootnoteText"/>
        <w:spacing w:after="120"/>
      </w:pPr>
      <w:r>
        <w:rPr>
          <w:rStyle w:val="FootnoteReference"/>
        </w:rPr>
        <w:footnoteRef/>
      </w:r>
      <w:r>
        <w:t xml:space="preserve"> Staff Comments at 8.</w:t>
      </w:r>
    </w:p>
  </w:footnote>
  <w:footnote w:id="13">
    <w:p w:rsidR="00817B52" w:rsidRDefault="00817B52" w:rsidP="00E959CA">
      <w:pPr>
        <w:pStyle w:val="FootnoteText"/>
        <w:spacing w:after="120"/>
      </w:pPr>
      <w:r>
        <w:rPr>
          <w:rStyle w:val="FootnoteReference"/>
        </w:rPr>
        <w:footnoteRef/>
      </w:r>
      <w:r>
        <w:t xml:space="preserve"> </w:t>
      </w:r>
      <w:r w:rsidRPr="00C5105E">
        <w:rPr>
          <w:i/>
        </w:rPr>
        <w:t>FirstEnergy Deferral Case</w:t>
      </w:r>
      <w:r>
        <w:t xml:space="preserve"> at 9.</w:t>
      </w:r>
    </w:p>
  </w:footnote>
  <w:footnote w:id="14">
    <w:p w:rsidR="00817B52" w:rsidRDefault="00817B52" w:rsidP="000C19F3">
      <w:pPr>
        <w:pStyle w:val="FootnoteText"/>
        <w:spacing w:after="120"/>
      </w:pPr>
      <w:r>
        <w:rPr>
          <w:rStyle w:val="FootnoteReference"/>
        </w:rPr>
        <w:footnoteRef/>
      </w:r>
      <w:r>
        <w:t xml:space="preserve"> Columbia Application at 7-9.</w:t>
      </w:r>
    </w:p>
  </w:footnote>
  <w:footnote w:id="15">
    <w:p w:rsidR="00817B52" w:rsidRDefault="00817B52" w:rsidP="000C19F3">
      <w:pPr>
        <w:pStyle w:val="FootnoteText"/>
        <w:spacing w:after="120"/>
      </w:pPr>
      <w:r>
        <w:rPr>
          <w:rStyle w:val="FootnoteReference"/>
        </w:rPr>
        <w:footnoteRef/>
      </w:r>
      <w:r>
        <w:t xml:space="preserve"> Columbia Application at 10.</w:t>
      </w:r>
    </w:p>
  </w:footnote>
  <w:footnote w:id="16">
    <w:p w:rsidR="00817B52" w:rsidRDefault="00817B52" w:rsidP="00E959CA">
      <w:pPr>
        <w:pStyle w:val="FootnoteText"/>
        <w:spacing w:after="120"/>
      </w:pPr>
      <w:r>
        <w:rPr>
          <w:rStyle w:val="FootnoteReference"/>
        </w:rPr>
        <w:footnoteRef/>
      </w:r>
      <w:r w:rsidR="00914510">
        <w:t xml:space="preserve"> OCC Comments at 12-13 (citing </w:t>
      </w:r>
      <w:r w:rsidR="00914510">
        <w:rPr>
          <w:i/>
          <w:iCs/>
        </w:rPr>
        <w:t xml:space="preserve">In the Matter of the Application of Ohio Power Company for Authority to Establish a Standard Service Offer Pursuant to Section 4928.143, Revised Code, in the Form of an Electric Security Plan, </w:t>
      </w:r>
      <w:r w:rsidR="00914510">
        <w:t xml:space="preserve">Case No. 13-2385-EL-SSO, Prefiled Testimony of Wm. Ross Willis, at 3-4, (May 20, 2014); </w:t>
      </w:r>
      <w:r w:rsidR="00914510">
        <w:rPr>
          <w:i/>
          <w:iCs/>
        </w:rPr>
        <w:t>In the Matter of the Application of Vectren Energy Delivery of Ohio, Inc. for Approval of an Alternative Rate Plan for a Distribution Replacement Rider to Recover the Costs of a Program for the Accelerated Replacement of Cast Iron Mains and Bare Steel Mains and Service Lines, a Sales Reconciliation Rider to Collect Differences between Actual and Approved Revenues, and Inclusion in Operating Expense of the Costs of Certain System Reliability Programs</w:t>
      </w:r>
      <w:r w:rsidR="00914510">
        <w:t>, Case No. 07-1081-GA-ALT,</w:t>
      </w:r>
      <w:r w:rsidR="00914510" w:rsidRPr="00343DBC">
        <w:t xml:space="preserve"> </w:t>
      </w:r>
      <w:r w:rsidR="00914510">
        <w:t xml:space="preserve">Staff Report at 10 (June 16, 2008)).  </w:t>
      </w:r>
    </w:p>
  </w:footnote>
  <w:footnote w:id="17">
    <w:p w:rsidR="00817B52" w:rsidRDefault="00817B52">
      <w:pPr>
        <w:pStyle w:val="FootnoteText"/>
      </w:pPr>
      <w:r>
        <w:rPr>
          <w:rStyle w:val="FootnoteReference"/>
        </w:rPr>
        <w:footnoteRef/>
      </w:r>
      <w:r>
        <w:t xml:space="preserve"> Columbia Application 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1C" w:rsidRDefault="00E13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1C" w:rsidRDefault="00E13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1C" w:rsidRDefault="00E13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166"/>
    <w:multiLevelType w:val="hybridMultilevel"/>
    <w:tmpl w:val="BF802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0E17B3"/>
    <w:multiLevelType w:val="hybridMultilevel"/>
    <w:tmpl w:val="C0BA2C10"/>
    <w:lvl w:ilvl="0" w:tplc="E16CA5B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C3"/>
    <w:rsid w:val="0000186E"/>
    <w:rsid w:val="000C19F3"/>
    <w:rsid w:val="00135F3C"/>
    <w:rsid w:val="001451AE"/>
    <w:rsid w:val="00145457"/>
    <w:rsid w:val="00164958"/>
    <w:rsid w:val="0018163C"/>
    <w:rsid w:val="001A12C5"/>
    <w:rsid w:val="001A4C62"/>
    <w:rsid w:val="001D1B6F"/>
    <w:rsid w:val="001D57F8"/>
    <w:rsid w:val="00223949"/>
    <w:rsid w:val="00233836"/>
    <w:rsid w:val="0024152F"/>
    <w:rsid w:val="00267212"/>
    <w:rsid w:val="0029071A"/>
    <w:rsid w:val="002B389E"/>
    <w:rsid w:val="002D77E2"/>
    <w:rsid w:val="003220E6"/>
    <w:rsid w:val="00337131"/>
    <w:rsid w:val="00355345"/>
    <w:rsid w:val="00364FB2"/>
    <w:rsid w:val="0045341B"/>
    <w:rsid w:val="004715DD"/>
    <w:rsid w:val="00475AB7"/>
    <w:rsid w:val="004C15A7"/>
    <w:rsid w:val="004E5986"/>
    <w:rsid w:val="00525011"/>
    <w:rsid w:val="00557C53"/>
    <w:rsid w:val="00584949"/>
    <w:rsid w:val="00587D38"/>
    <w:rsid w:val="005A3995"/>
    <w:rsid w:val="005E1220"/>
    <w:rsid w:val="005F4FF9"/>
    <w:rsid w:val="00647F78"/>
    <w:rsid w:val="006C28ED"/>
    <w:rsid w:val="006E6D56"/>
    <w:rsid w:val="007366D0"/>
    <w:rsid w:val="007B0D8A"/>
    <w:rsid w:val="007C4C3F"/>
    <w:rsid w:val="0080339B"/>
    <w:rsid w:val="00813A64"/>
    <w:rsid w:val="00817B52"/>
    <w:rsid w:val="00856050"/>
    <w:rsid w:val="008732BA"/>
    <w:rsid w:val="00895F87"/>
    <w:rsid w:val="008F0371"/>
    <w:rsid w:val="00914510"/>
    <w:rsid w:val="009202D7"/>
    <w:rsid w:val="009B03C9"/>
    <w:rsid w:val="009C0870"/>
    <w:rsid w:val="009D1E6C"/>
    <w:rsid w:val="009F01D5"/>
    <w:rsid w:val="00A50003"/>
    <w:rsid w:val="00A56820"/>
    <w:rsid w:val="00A82CB3"/>
    <w:rsid w:val="00A90EF1"/>
    <w:rsid w:val="00AA4FA0"/>
    <w:rsid w:val="00AB464F"/>
    <w:rsid w:val="00AF71E9"/>
    <w:rsid w:val="00B05DA9"/>
    <w:rsid w:val="00B35C6F"/>
    <w:rsid w:val="00B53041"/>
    <w:rsid w:val="00BF12FC"/>
    <w:rsid w:val="00C42AC6"/>
    <w:rsid w:val="00C5105E"/>
    <w:rsid w:val="00C51968"/>
    <w:rsid w:val="00C532A8"/>
    <w:rsid w:val="00C7160D"/>
    <w:rsid w:val="00C90431"/>
    <w:rsid w:val="00C96083"/>
    <w:rsid w:val="00D02ECC"/>
    <w:rsid w:val="00D217A9"/>
    <w:rsid w:val="00D32EB0"/>
    <w:rsid w:val="00D45FC3"/>
    <w:rsid w:val="00D97875"/>
    <w:rsid w:val="00DB5BDF"/>
    <w:rsid w:val="00DC592D"/>
    <w:rsid w:val="00DD521C"/>
    <w:rsid w:val="00DF0325"/>
    <w:rsid w:val="00E054CC"/>
    <w:rsid w:val="00E1351C"/>
    <w:rsid w:val="00E3240E"/>
    <w:rsid w:val="00E5527C"/>
    <w:rsid w:val="00E877B3"/>
    <w:rsid w:val="00E959CA"/>
    <w:rsid w:val="00EA031C"/>
    <w:rsid w:val="00EB620A"/>
    <w:rsid w:val="00F23FAB"/>
    <w:rsid w:val="00F3432A"/>
    <w:rsid w:val="00F52F38"/>
    <w:rsid w:val="00F66915"/>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C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D45FC3"/>
    <w:pPr>
      <w:keepNext/>
      <w:spacing w:after="240"/>
      <w:ind w:left="90"/>
      <w:outlineLvl w:val="0"/>
    </w:pPr>
    <w:rPr>
      <w:b/>
      <w:caps/>
      <w:szCs w:val="24"/>
    </w:rPr>
  </w:style>
  <w:style w:type="paragraph" w:styleId="Heading2">
    <w:name w:val="heading 2"/>
    <w:basedOn w:val="Normal"/>
    <w:next w:val="Normal"/>
    <w:link w:val="Heading2Char"/>
    <w:autoRedefine/>
    <w:qFormat/>
    <w:rsid w:val="0018163C"/>
    <w:pPr>
      <w:keepNext/>
      <w:spacing w:after="240"/>
      <w:ind w:left="144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FC3"/>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18163C"/>
    <w:rPr>
      <w:rFonts w:ascii="Times New Roman" w:eastAsia="Times New Roman" w:hAnsi="Times New Roman" w:cs="Times New Roman"/>
      <w:b/>
      <w:sz w:val="24"/>
      <w:szCs w:val="20"/>
    </w:rPr>
  </w:style>
  <w:style w:type="paragraph" w:styleId="HTMLPreformatted">
    <w:name w:val="HTML Preformatted"/>
    <w:basedOn w:val="Normal"/>
    <w:link w:val="HTMLPreformattedChar"/>
    <w:rsid w:val="00D4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D45FC3"/>
    <w:rPr>
      <w:rFonts w:ascii="Courier New" w:eastAsia="Courier New" w:hAnsi="Courier New" w:cs="Courier New"/>
      <w:sz w:val="20"/>
      <w:szCs w:val="20"/>
    </w:rPr>
  </w:style>
  <w:style w:type="paragraph" w:styleId="Footer">
    <w:name w:val="footer"/>
    <w:basedOn w:val="Normal"/>
    <w:link w:val="FooterChar"/>
    <w:uiPriority w:val="99"/>
    <w:rsid w:val="00D45FC3"/>
    <w:pPr>
      <w:tabs>
        <w:tab w:val="center" w:pos="4320"/>
        <w:tab w:val="right" w:pos="8640"/>
      </w:tabs>
    </w:pPr>
    <w:rPr>
      <w:sz w:val="20"/>
    </w:rPr>
  </w:style>
  <w:style w:type="character" w:customStyle="1" w:styleId="FooterChar">
    <w:name w:val="Footer Char"/>
    <w:basedOn w:val="DefaultParagraphFont"/>
    <w:link w:val="Footer"/>
    <w:uiPriority w:val="99"/>
    <w:rsid w:val="00D45FC3"/>
    <w:rPr>
      <w:rFonts w:ascii="Times New Roman" w:eastAsia="Times New Roman" w:hAnsi="Times New Roman" w:cs="Times New Roman"/>
      <w:sz w:val="20"/>
      <w:szCs w:val="20"/>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t,fn C"/>
    <w:basedOn w:val="Normal"/>
    <w:link w:val="FootnoteTextChar"/>
    <w:uiPriority w:val="99"/>
    <w:rsid w:val="00D45FC3"/>
    <w:rPr>
      <w:sz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D45FC3"/>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D45FC3"/>
    <w:rPr>
      <w:vertAlign w:val="superscript"/>
    </w:rPr>
  </w:style>
  <w:style w:type="paragraph" w:styleId="BodyTextIndent3">
    <w:name w:val="Body Text Indent 3"/>
    <w:basedOn w:val="Normal"/>
    <w:link w:val="BodyTextIndent3Char"/>
    <w:rsid w:val="00D45FC3"/>
    <w:pPr>
      <w:spacing w:line="480" w:lineRule="atLeast"/>
      <w:ind w:firstLine="720"/>
    </w:pPr>
  </w:style>
  <w:style w:type="character" w:customStyle="1" w:styleId="BodyTextIndent3Char">
    <w:name w:val="Body Text Indent 3 Char"/>
    <w:basedOn w:val="DefaultParagraphFont"/>
    <w:link w:val="BodyTextIndent3"/>
    <w:rsid w:val="00D45FC3"/>
    <w:rPr>
      <w:rFonts w:ascii="Times New Roman" w:eastAsia="Times New Roman" w:hAnsi="Times New Roman" w:cs="Times New Roman"/>
      <w:sz w:val="24"/>
      <w:szCs w:val="20"/>
    </w:rPr>
  </w:style>
  <w:style w:type="character" w:styleId="PageNumber">
    <w:name w:val="page number"/>
    <w:basedOn w:val="DefaultParagraphFont"/>
    <w:rsid w:val="00D45FC3"/>
  </w:style>
  <w:style w:type="paragraph" w:styleId="BodyText">
    <w:name w:val="Body Text"/>
    <w:basedOn w:val="Normal"/>
    <w:link w:val="BodyTextChar"/>
    <w:rsid w:val="00D45FC3"/>
    <w:pPr>
      <w:jc w:val="both"/>
    </w:pPr>
  </w:style>
  <w:style w:type="character" w:customStyle="1" w:styleId="BodyTextChar">
    <w:name w:val="Body Text Char"/>
    <w:basedOn w:val="DefaultParagraphFont"/>
    <w:link w:val="BodyText"/>
    <w:rsid w:val="00D45FC3"/>
    <w:rPr>
      <w:rFonts w:ascii="Times New Roman" w:eastAsia="Times New Roman" w:hAnsi="Times New Roman" w:cs="Times New Roman"/>
      <w:sz w:val="24"/>
      <w:szCs w:val="20"/>
    </w:rPr>
  </w:style>
  <w:style w:type="paragraph" w:styleId="Header">
    <w:name w:val="header"/>
    <w:basedOn w:val="Normal"/>
    <w:link w:val="HeaderChar"/>
    <w:rsid w:val="00D45FC3"/>
    <w:pPr>
      <w:tabs>
        <w:tab w:val="center" w:pos="4320"/>
        <w:tab w:val="right" w:pos="8640"/>
      </w:tabs>
    </w:pPr>
  </w:style>
  <w:style w:type="character" w:customStyle="1" w:styleId="HeaderChar">
    <w:name w:val="Header Char"/>
    <w:basedOn w:val="DefaultParagraphFont"/>
    <w:link w:val="Header"/>
    <w:rsid w:val="00D45FC3"/>
    <w:rPr>
      <w:rFonts w:ascii="Times New Roman" w:eastAsia="Times New Roman" w:hAnsi="Times New Roman" w:cs="Times New Roman"/>
      <w:sz w:val="24"/>
      <w:szCs w:val="20"/>
    </w:rPr>
  </w:style>
  <w:style w:type="paragraph" w:styleId="CommentText">
    <w:name w:val="annotation text"/>
    <w:basedOn w:val="Normal"/>
    <w:link w:val="CommentTextChar"/>
    <w:semiHidden/>
    <w:rsid w:val="00D45FC3"/>
    <w:rPr>
      <w:szCs w:val="24"/>
    </w:rPr>
  </w:style>
  <w:style w:type="character" w:customStyle="1" w:styleId="CommentTextChar">
    <w:name w:val="Comment Text Char"/>
    <w:basedOn w:val="DefaultParagraphFont"/>
    <w:link w:val="CommentText"/>
    <w:semiHidden/>
    <w:rsid w:val="00D45FC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D45FC3"/>
    <w:rPr>
      <w:szCs w:val="20"/>
    </w:rPr>
  </w:style>
  <w:style w:type="character" w:customStyle="1" w:styleId="CommentSubjectChar">
    <w:name w:val="Comment Subject Char"/>
    <w:basedOn w:val="CommentTextChar"/>
    <w:link w:val="CommentSubject"/>
    <w:semiHidden/>
    <w:rsid w:val="00D45FC3"/>
    <w:rPr>
      <w:rFonts w:ascii="Times New Roman" w:eastAsia="Times New Roman" w:hAnsi="Times New Roman" w:cs="Times New Roman"/>
      <w:sz w:val="24"/>
      <w:szCs w:val="20"/>
    </w:rPr>
  </w:style>
  <w:style w:type="paragraph" w:styleId="ListParagraph">
    <w:name w:val="List Paragraph"/>
    <w:basedOn w:val="Normal"/>
    <w:uiPriority w:val="34"/>
    <w:qFormat/>
    <w:rsid w:val="00D45FC3"/>
    <w:pPr>
      <w:ind w:left="720"/>
    </w:pPr>
  </w:style>
  <w:style w:type="character" w:styleId="Hyperlink">
    <w:name w:val="Hyperlink"/>
    <w:basedOn w:val="DefaultParagraphFont"/>
    <w:uiPriority w:val="99"/>
    <w:unhideWhenUsed/>
    <w:rsid w:val="000C19F3"/>
    <w:rPr>
      <w:color w:val="0000FF" w:themeColor="hyperlink"/>
      <w:u w:val="single"/>
    </w:rPr>
  </w:style>
  <w:style w:type="table" w:styleId="TableGrid">
    <w:name w:val="Table Grid"/>
    <w:basedOn w:val="TableNormal"/>
    <w:uiPriority w:val="59"/>
    <w:rsid w:val="000C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BDF"/>
    <w:rPr>
      <w:rFonts w:ascii="Lucida Grande" w:hAnsi="Lucida Grande"/>
      <w:sz w:val="18"/>
      <w:szCs w:val="18"/>
    </w:rPr>
  </w:style>
  <w:style w:type="character" w:customStyle="1" w:styleId="BalloonTextChar">
    <w:name w:val="Balloon Text Char"/>
    <w:basedOn w:val="DefaultParagraphFont"/>
    <w:link w:val="BalloonText"/>
    <w:uiPriority w:val="99"/>
    <w:semiHidden/>
    <w:rsid w:val="00DB5BD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817B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C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D45FC3"/>
    <w:pPr>
      <w:keepNext/>
      <w:spacing w:after="240"/>
      <w:ind w:left="90"/>
      <w:outlineLvl w:val="0"/>
    </w:pPr>
    <w:rPr>
      <w:b/>
      <w:caps/>
      <w:szCs w:val="24"/>
    </w:rPr>
  </w:style>
  <w:style w:type="paragraph" w:styleId="Heading2">
    <w:name w:val="heading 2"/>
    <w:basedOn w:val="Normal"/>
    <w:next w:val="Normal"/>
    <w:link w:val="Heading2Char"/>
    <w:autoRedefine/>
    <w:qFormat/>
    <w:rsid w:val="0018163C"/>
    <w:pPr>
      <w:keepNext/>
      <w:spacing w:after="240"/>
      <w:ind w:left="144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FC3"/>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18163C"/>
    <w:rPr>
      <w:rFonts w:ascii="Times New Roman" w:eastAsia="Times New Roman" w:hAnsi="Times New Roman" w:cs="Times New Roman"/>
      <w:b/>
      <w:sz w:val="24"/>
      <w:szCs w:val="20"/>
    </w:rPr>
  </w:style>
  <w:style w:type="paragraph" w:styleId="HTMLPreformatted">
    <w:name w:val="HTML Preformatted"/>
    <w:basedOn w:val="Normal"/>
    <w:link w:val="HTMLPreformattedChar"/>
    <w:rsid w:val="00D4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D45FC3"/>
    <w:rPr>
      <w:rFonts w:ascii="Courier New" w:eastAsia="Courier New" w:hAnsi="Courier New" w:cs="Courier New"/>
      <w:sz w:val="20"/>
      <w:szCs w:val="20"/>
    </w:rPr>
  </w:style>
  <w:style w:type="paragraph" w:styleId="Footer">
    <w:name w:val="footer"/>
    <w:basedOn w:val="Normal"/>
    <w:link w:val="FooterChar"/>
    <w:uiPriority w:val="99"/>
    <w:rsid w:val="00D45FC3"/>
    <w:pPr>
      <w:tabs>
        <w:tab w:val="center" w:pos="4320"/>
        <w:tab w:val="right" w:pos="8640"/>
      </w:tabs>
    </w:pPr>
    <w:rPr>
      <w:sz w:val="20"/>
    </w:rPr>
  </w:style>
  <w:style w:type="character" w:customStyle="1" w:styleId="FooterChar">
    <w:name w:val="Footer Char"/>
    <w:basedOn w:val="DefaultParagraphFont"/>
    <w:link w:val="Footer"/>
    <w:uiPriority w:val="99"/>
    <w:rsid w:val="00D45FC3"/>
    <w:rPr>
      <w:rFonts w:ascii="Times New Roman" w:eastAsia="Times New Roman" w:hAnsi="Times New Roman" w:cs="Times New Roman"/>
      <w:sz w:val="20"/>
      <w:szCs w:val="20"/>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t,fn C"/>
    <w:basedOn w:val="Normal"/>
    <w:link w:val="FootnoteTextChar"/>
    <w:uiPriority w:val="99"/>
    <w:rsid w:val="00D45FC3"/>
    <w:rPr>
      <w:sz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D45FC3"/>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D45FC3"/>
    <w:rPr>
      <w:vertAlign w:val="superscript"/>
    </w:rPr>
  </w:style>
  <w:style w:type="paragraph" w:styleId="BodyTextIndent3">
    <w:name w:val="Body Text Indent 3"/>
    <w:basedOn w:val="Normal"/>
    <w:link w:val="BodyTextIndent3Char"/>
    <w:rsid w:val="00D45FC3"/>
    <w:pPr>
      <w:spacing w:line="480" w:lineRule="atLeast"/>
      <w:ind w:firstLine="720"/>
    </w:pPr>
  </w:style>
  <w:style w:type="character" w:customStyle="1" w:styleId="BodyTextIndent3Char">
    <w:name w:val="Body Text Indent 3 Char"/>
    <w:basedOn w:val="DefaultParagraphFont"/>
    <w:link w:val="BodyTextIndent3"/>
    <w:rsid w:val="00D45FC3"/>
    <w:rPr>
      <w:rFonts w:ascii="Times New Roman" w:eastAsia="Times New Roman" w:hAnsi="Times New Roman" w:cs="Times New Roman"/>
      <w:sz w:val="24"/>
      <w:szCs w:val="20"/>
    </w:rPr>
  </w:style>
  <w:style w:type="character" w:styleId="PageNumber">
    <w:name w:val="page number"/>
    <w:basedOn w:val="DefaultParagraphFont"/>
    <w:rsid w:val="00D45FC3"/>
  </w:style>
  <w:style w:type="paragraph" w:styleId="BodyText">
    <w:name w:val="Body Text"/>
    <w:basedOn w:val="Normal"/>
    <w:link w:val="BodyTextChar"/>
    <w:rsid w:val="00D45FC3"/>
    <w:pPr>
      <w:jc w:val="both"/>
    </w:pPr>
  </w:style>
  <w:style w:type="character" w:customStyle="1" w:styleId="BodyTextChar">
    <w:name w:val="Body Text Char"/>
    <w:basedOn w:val="DefaultParagraphFont"/>
    <w:link w:val="BodyText"/>
    <w:rsid w:val="00D45FC3"/>
    <w:rPr>
      <w:rFonts w:ascii="Times New Roman" w:eastAsia="Times New Roman" w:hAnsi="Times New Roman" w:cs="Times New Roman"/>
      <w:sz w:val="24"/>
      <w:szCs w:val="20"/>
    </w:rPr>
  </w:style>
  <w:style w:type="paragraph" w:styleId="Header">
    <w:name w:val="header"/>
    <w:basedOn w:val="Normal"/>
    <w:link w:val="HeaderChar"/>
    <w:rsid w:val="00D45FC3"/>
    <w:pPr>
      <w:tabs>
        <w:tab w:val="center" w:pos="4320"/>
        <w:tab w:val="right" w:pos="8640"/>
      </w:tabs>
    </w:pPr>
  </w:style>
  <w:style w:type="character" w:customStyle="1" w:styleId="HeaderChar">
    <w:name w:val="Header Char"/>
    <w:basedOn w:val="DefaultParagraphFont"/>
    <w:link w:val="Header"/>
    <w:rsid w:val="00D45FC3"/>
    <w:rPr>
      <w:rFonts w:ascii="Times New Roman" w:eastAsia="Times New Roman" w:hAnsi="Times New Roman" w:cs="Times New Roman"/>
      <w:sz w:val="24"/>
      <w:szCs w:val="20"/>
    </w:rPr>
  </w:style>
  <w:style w:type="paragraph" w:styleId="CommentText">
    <w:name w:val="annotation text"/>
    <w:basedOn w:val="Normal"/>
    <w:link w:val="CommentTextChar"/>
    <w:semiHidden/>
    <w:rsid w:val="00D45FC3"/>
    <w:rPr>
      <w:szCs w:val="24"/>
    </w:rPr>
  </w:style>
  <w:style w:type="character" w:customStyle="1" w:styleId="CommentTextChar">
    <w:name w:val="Comment Text Char"/>
    <w:basedOn w:val="DefaultParagraphFont"/>
    <w:link w:val="CommentText"/>
    <w:semiHidden/>
    <w:rsid w:val="00D45FC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D45FC3"/>
    <w:rPr>
      <w:szCs w:val="20"/>
    </w:rPr>
  </w:style>
  <w:style w:type="character" w:customStyle="1" w:styleId="CommentSubjectChar">
    <w:name w:val="Comment Subject Char"/>
    <w:basedOn w:val="CommentTextChar"/>
    <w:link w:val="CommentSubject"/>
    <w:semiHidden/>
    <w:rsid w:val="00D45FC3"/>
    <w:rPr>
      <w:rFonts w:ascii="Times New Roman" w:eastAsia="Times New Roman" w:hAnsi="Times New Roman" w:cs="Times New Roman"/>
      <w:sz w:val="24"/>
      <w:szCs w:val="20"/>
    </w:rPr>
  </w:style>
  <w:style w:type="paragraph" w:styleId="ListParagraph">
    <w:name w:val="List Paragraph"/>
    <w:basedOn w:val="Normal"/>
    <w:uiPriority w:val="34"/>
    <w:qFormat/>
    <w:rsid w:val="00D45FC3"/>
    <w:pPr>
      <w:ind w:left="720"/>
    </w:pPr>
  </w:style>
  <w:style w:type="character" w:styleId="Hyperlink">
    <w:name w:val="Hyperlink"/>
    <w:basedOn w:val="DefaultParagraphFont"/>
    <w:uiPriority w:val="99"/>
    <w:unhideWhenUsed/>
    <w:rsid w:val="000C19F3"/>
    <w:rPr>
      <w:color w:val="0000FF" w:themeColor="hyperlink"/>
      <w:u w:val="single"/>
    </w:rPr>
  </w:style>
  <w:style w:type="table" w:styleId="TableGrid">
    <w:name w:val="Table Grid"/>
    <w:basedOn w:val="TableNormal"/>
    <w:uiPriority w:val="59"/>
    <w:rsid w:val="000C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BDF"/>
    <w:rPr>
      <w:rFonts w:ascii="Lucida Grande" w:hAnsi="Lucida Grande"/>
      <w:sz w:val="18"/>
      <w:szCs w:val="18"/>
    </w:rPr>
  </w:style>
  <w:style w:type="character" w:customStyle="1" w:styleId="BalloonTextChar">
    <w:name w:val="Balloon Text Char"/>
    <w:basedOn w:val="DefaultParagraphFont"/>
    <w:link w:val="BalloonText"/>
    <w:uiPriority w:val="99"/>
    <w:semiHidden/>
    <w:rsid w:val="00DB5BD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817B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10514</Characters>
  <Application>Microsoft Office Word</Application>
  <DocSecurity>0</DocSecurity>
  <Lines>247</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2014-12-02T20:30:00Z</cp:lastPrinted>
  <dcterms:created xsi:type="dcterms:W3CDTF">2014-12-02T21:02:00Z</dcterms:created>
  <dcterms:modified xsi:type="dcterms:W3CDTF">2014-12-02T21:02:00Z</dcterms:modified>
  <cp:category> </cp:category>
  <cp:contentStatus> </cp:contentStatus>
</cp:coreProperties>
</file>